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864"/>
          <w:sz w:val="60"/>
          <w:szCs w:val="60"/>
        </w:rPr>
        <w:t xml:space="preserve">CRYPTO-QUANT-DESK</w:t>
      </w:r>
    </w:p>
    <w:p>
      <w:pPr>
        <w:pBdr>
          <w:bottom w:val="single" w:color="2F7D8C" w:sz="12" w:space="8"/>
        </w:pBdr>
        <w:spacing w:after="0" w:before="120"/>
        <w:jc w:val="center"/>
      </w:pPr>
      <w:r>
        <w:rPr>
          <w:sz w:val="4"/>
          <w:szCs w:val="4"/>
        </w:rPr>
        <w:t xml:space="preserve"/>
      </w:r>
    </w:p>
    <w:p>
      <w:pPr>
        <w:spacing w:after="0" w:before="220"/>
        <w:jc w:val="center"/>
      </w:pPr>
      <w:r>
        <w:rPr>
          <w:color w:val="2E5496"/>
          <w:sz w:val="32"/>
          <w:szCs w:val="32"/>
        </w:rPr>
        <w:t xml:space="preserve">Plan de Trabajo y Charter de Proyecto</w:t>
      </w:r>
    </w:p>
    <w:p>
      <w:pPr>
        <w:spacing w:after="0" w:before="80"/>
        <w:jc w:val="center"/>
      </w:pPr>
      <w:r>
        <w:rPr>
          <w:i/>
          <w:iCs/>
          <w:color w:val="595959"/>
          <w:sz w:val="22"/>
          <w:szCs w:val="22"/>
        </w:rPr>
        <w:t xml:space="preserve">Herramienta cuantitativa de decisión de trading en criptoactivos</w:t>
      </w:r>
    </w:p>
    <w:p>
      <w:pPr>
        <w:spacing w:after="0" w:before="900"/>
        <w:jc w:val="center"/>
      </w:pPr>
      <w:r>
        <w:rPr>
          <w:color w:val="595959"/>
          <w:sz w:val="20"/>
          <w:szCs w:val="20"/>
        </w:rPr>
        <w:t xml:space="preserve">Econometría · Machine Learning · Gestión de Riesgo</w:t>
      </w:r>
    </w:p>
    <w:p>
      <w:pPr>
        <w:spacing w:after="0" w:before="1200"/>
        <w:jc w:val="center"/>
      </w:pPr>
      <w:r>
        <w:rPr>
          <w:b/>
          <w:bCs/>
          <w:color w:val="1F3864"/>
          <w:sz w:val="20"/>
          <w:szCs w:val="20"/>
        </w:rPr>
        <w:t xml:space="preserve">Versión 1.0  ·  Documento fundacional</w:t>
      </w:r>
    </w:p>
    <w:p>
      <w:pPr>
        <w:spacing w:before="60"/>
        <w:jc w:val="center"/>
      </w:pPr>
      <w:r>
        <w:rPr>
          <w:color w:val="595959"/>
          <w:sz w:val="18"/>
          <w:szCs w:val="18"/>
        </w:rPr>
        <w:t xml:space="preserve">Autor del proyecto: MLEIV  ·  Asistencia de diseño y verificación: Claude</w:t>
      </w:r>
    </w:p>
    <w:p>
      <w:r>
        <w:br w:type="page"/>
      </w:r>
    </w:p>
    <w:p>
      <w:pPr>
        <w:pStyle w:val="Heading1"/>
        <w:spacing w:after="140" w:before="320"/>
      </w:pPr>
      <w:r>
        <w:rPr>
          <w:b/>
          <w:bCs/>
          <w:color w:val="1F3864"/>
          <w:sz w:val="30"/>
          <w:szCs w:val="30"/>
        </w:rPr>
        <w:t xml:space="preserve">Control de versiones</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1400"/>
        <w:gridCol w:w="1500"/>
        <w:gridCol w:w="4860"/>
        <w:gridCol w:w="1600"/>
      </w:tblGrid>
      <w:tr>
        <w:trPr>
          <w:tblHeader/>
        </w:trPr>
        <w:tc>
          <w:tcPr>
            <w:tcW w:type="dxa" w:w="1400"/>
            <w:shd w:fill="1F3864" w:color="auto" w:val="clear"/>
            <w:tcMar>
              <w:top w:type="dxa" w:w="60"/>
              <w:left w:type="dxa" w:w="110"/>
              <w:bottom w:type="dxa" w:w="60"/>
              <w:right w:type="dxa" w:w="110"/>
            </w:tcMar>
          </w:tcPr>
          <w:p>
            <w:pPr>
              <w:spacing w:after="20" w:line="250"/>
              <w:jc w:val="left"/>
            </w:pPr>
            <w:r>
              <w:rPr>
                <w:b/>
                <w:bCs/>
                <w:color w:val="FFFFFF"/>
                <w:sz w:val="20"/>
                <w:szCs w:val="20"/>
              </w:rPr>
              <w:t xml:space="preserve">Versión</w:t>
            </w:r>
          </w:p>
        </w:tc>
        <w:tc>
          <w:tcPr>
            <w:tcW w:type="dxa" w:w="1500"/>
            <w:shd w:fill="1F3864" w:color="auto" w:val="clear"/>
            <w:tcMar>
              <w:top w:type="dxa" w:w="60"/>
              <w:left w:type="dxa" w:w="110"/>
              <w:bottom w:type="dxa" w:w="60"/>
              <w:right w:type="dxa" w:w="110"/>
            </w:tcMar>
          </w:tcPr>
          <w:p>
            <w:pPr>
              <w:spacing w:after="20" w:line="250"/>
              <w:jc w:val="left"/>
            </w:pPr>
            <w:r>
              <w:rPr>
                <w:b/>
                <w:bCs/>
                <w:color w:val="FFFFFF"/>
                <w:sz w:val="20"/>
                <w:szCs w:val="20"/>
              </w:rPr>
              <w:t xml:space="preserve">Fecha</w:t>
            </w:r>
          </w:p>
        </w:tc>
        <w:tc>
          <w:tcPr>
            <w:tcW w:type="dxa" w:w="4860"/>
            <w:shd w:fill="1F3864" w:color="auto" w:val="clear"/>
            <w:tcMar>
              <w:top w:type="dxa" w:w="60"/>
              <w:left w:type="dxa" w:w="110"/>
              <w:bottom w:type="dxa" w:w="60"/>
              <w:right w:type="dxa" w:w="110"/>
            </w:tcMar>
          </w:tcPr>
          <w:p>
            <w:pPr>
              <w:spacing w:after="20" w:line="250"/>
              <w:jc w:val="left"/>
            </w:pPr>
            <w:r>
              <w:rPr>
                <w:b/>
                <w:bCs/>
                <w:color w:val="FFFFFF"/>
                <w:sz w:val="20"/>
                <w:szCs w:val="20"/>
              </w:rPr>
              <w:t xml:space="preserve">Descripción</w:t>
            </w:r>
          </w:p>
        </w:tc>
        <w:tc>
          <w:tcPr>
            <w:tcW w:type="dxa" w:w="1600"/>
            <w:shd w:fill="1F3864" w:color="auto" w:val="clear"/>
            <w:tcMar>
              <w:top w:type="dxa" w:w="60"/>
              <w:left w:type="dxa" w:w="110"/>
              <w:bottom w:type="dxa" w:w="60"/>
              <w:right w:type="dxa" w:w="110"/>
            </w:tcMar>
          </w:tcPr>
          <w:p>
            <w:pPr>
              <w:spacing w:after="20" w:line="250"/>
              <w:jc w:val="left"/>
            </w:pPr>
            <w:r>
              <w:rPr>
                <w:b/>
                <w:bCs/>
                <w:color w:val="FFFFFF"/>
                <w:sz w:val="20"/>
                <w:szCs w:val="20"/>
              </w:rPr>
              <w:t xml:space="preserve">Estado</w:t>
            </w:r>
          </w:p>
        </w:tc>
      </w:tr>
      <w:tr>
        <w:tc>
          <w:tcPr>
            <w:tcW w:type="dxa" w:w="1400"/>
            <w:tcMar>
              <w:top w:type="dxa" w:w="60"/>
              <w:left w:type="dxa" w:w="110"/>
              <w:bottom w:type="dxa" w:w="60"/>
              <w:right w:type="dxa" w:w="110"/>
            </w:tcMar>
          </w:tcPr>
          <w:p>
            <w:pPr>
              <w:spacing w:after="20" w:line="250"/>
              <w:jc w:val="left"/>
            </w:pPr>
            <w:r>
              <w:rPr>
                <w:b w:val="false"/>
                <w:bCs w:val="false"/>
                <w:color w:val="000000"/>
                <w:sz w:val="20"/>
                <w:szCs w:val="20"/>
              </w:rPr>
              <w:t xml:space="preserve">0.1</w:t>
            </w:r>
          </w:p>
        </w:tc>
        <w:tc>
          <w:tcPr>
            <w:tcW w:type="dxa" w:w="1500"/>
            <w:tcMar>
              <w:top w:type="dxa" w:w="60"/>
              <w:left w:type="dxa" w:w="110"/>
              <w:bottom w:type="dxa" w:w="60"/>
              <w:right w:type="dxa" w:w="110"/>
            </w:tcMar>
          </w:tcPr>
          <w:p>
            <w:pPr>
              <w:spacing w:after="20" w:line="250"/>
              <w:jc w:val="left"/>
            </w:pPr>
            <w:r>
              <w:rPr>
                <w:b w:val="false"/>
                <w:bCs w:val="false"/>
                <w:color w:val="000000"/>
                <w:sz w:val="20"/>
                <w:szCs w:val="20"/>
              </w:rPr>
              <w:t xml:space="preserve">Inicial</w:t>
            </w:r>
          </w:p>
        </w:tc>
        <w:tc>
          <w:tcPr>
            <w:tcW w:type="dxa" w:w="4860"/>
            <w:tcMar>
              <w:top w:type="dxa" w:w="60"/>
              <w:left w:type="dxa" w:w="110"/>
              <w:bottom w:type="dxa" w:w="60"/>
              <w:right w:type="dxa" w:w="110"/>
            </w:tcMar>
          </w:tcPr>
          <w:p>
            <w:pPr>
              <w:spacing w:after="20" w:line="250"/>
              <w:jc w:val="left"/>
            </w:pPr>
            <w:r>
              <w:rPr>
                <w:b w:val="false"/>
                <w:bCs w:val="false"/>
                <w:color w:val="000000"/>
                <w:sz w:val="20"/>
                <w:szCs w:val="20"/>
              </w:rPr>
              <w:t xml:space="preserve">Dossier de alcance y roadmap preliminar (DOSSIER.md)</w:t>
            </w:r>
          </w:p>
        </w:tc>
        <w:tc>
          <w:tcPr>
            <w:tcW w:type="dxa" w:w="1600"/>
            <w:tcMar>
              <w:top w:type="dxa" w:w="60"/>
              <w:left w:type="dxa" w:w="110"/>
              <w:bottom w:type="dxa" w:w="60"/>
              <w:right w:type="dxa" w:w="110"/>
            </w:tcMar>
          </w:tcPr>
          <w:p>
            <w:pPr>
              <w:spacing w:after="20" w:line="250"/>
              <w:jc w:val="left"/>
            </w:pPr>
            <w:r>
              <w:rPr>
                <w:b w:val="false"/>
                <w:bCs w:val="false"/>
                <w:color w:val="000000"/>
                <w:sz w:val="20"/>
                <w:szCs w:val="20"/>
              </w:rPr>
              <w:t xml:space="preserve">Superado</w:t>
            </w:r>
          </w:p>
        </w:tc>
      </w:tr>
      <w:tr>
        <w:tc>
          <w:tcPr>
            <w:tcW w:type="dxa" w:w="14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1.0</w:t>
            </w:r>
          </w:p>
        </w:tc>
        <w:tc>
          <w:tcPr>
            <w:tcW w:type="dxa" w:w="15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Actual</w:t>
            </w:r>
          </w:p>
        </w:tc>
        <w:tc>
          <w:tcPr>
            <w:tcW w:type="dxa" w:w="486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Charter formal: gobernanza, fases con gates y criterios de aceptación</w:t>
            </w:r>
          </w:p>
        </w:tc>
        <w:tc>
          <w:tcPr>
            <w:tcW w:type="dxa" w:w="16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Vigente</w:t>
            </w:r>
          </w:p>
        </w:tc>
      </w:tr>
    </w:tbl>
    <w:p>
      <w:pPr>
        <w:spacing w:after="160"/>
      </w:pPr>
      <w:r>
        <w:rPr>
          <w:sz w:val="2"/>
          <w:szCs w:val="2"/>
        </w:rPr>
        <w:t xml:space="preserve"/>
      </w:r>
    </w:p>
    <w:p>
      <w:pPr>
        <w:spacing w:after="120" w:line="276"/>
      </w:pPr>
      <w:r>
        <w:rPr>
          <w:sz w:val="21"/>
          <w:szCs w:val="21"/>
        </w:rPr>
        <w:t xml:space="preserve">Este documento es el </w:t>
      </w:r>
      <w:r>
        <w:rPr>
          <w:b/>
          <w:bCs/>
          <w:sz w:val="21"/>
          <w:szCs w:val="21"/>
        </w:rPr>
        <w:t xml:space="preserve">plano rector</w:t>
      </w:r>
      <w:r>
        <w:rPr>
          <w:sz w:val="21"/>
          <w:szCs w:val="21"/>
        </w:rPr>
        <w:t xml:space="preserve"> del proyecto. Ninguna fase avanza sin cumplir sus criterios de aceptación. Es un documento vivo: se versiona cuando cambia el alcance o la metodología.</w:t>
      </w:r>
    </w:p>
    <w:p>
      <w:r>
        <w:br w:type="page"/>
      </w:r>
    </w:p>
    <w:p>
      <w:pPr>
        <w:pStyle w:val="Heading1"/>
        <w:spacing w:after="140" w:before="320"/>
      </w:pPr>
      <w:r>
        <w:rPr>
          <w:b/>
          <w:bCs/>
          <w:color w:val="1F3864"/>
          <w:sz w:val="30"/>
          <w:szCs w:val="30"/>
        </w:rPr>
        <w:t xml:space="preserve">Índice</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1F3864"/>
          <w:sz w:val="30"/>
          <w:szCs w:val="30"/>
        </w:rPr>
        <w:t xml:space="preserve">1. Resumen ejecutivo</w:t>
      </w:r>
    </w:p>
    <w:p>
      <w:pPr>
        <w:spacing w:after="120" w:line="276"/>
      </w:pPr>
      <w:r>
        <w:rPr>
          <w:b/>
          <w:bCs/>
          <w:sz w:val="21"/>
          <w:szCs w:val="21"/>
        </w:rPr>
        <w:t xml:space="preserve">crypto-quant-desk</w:t>
      </w:r>
      <w:r>
        <w:rPr>
          <w:sz w:val="21"/>
          <w:szCs w:val="21"/>
        </w:rPr>
        <w:t xml:space="preserve"> es una herramienta de decisión de trading en criptoactivos de grado profesional. Integra análisis cuantitativo —econometría clásica y machine learning— con una capa de gestión de riesgo, para responder ante cada activo y momento una pregunta operativa concreta: </w:t>
      </w:r>
      <w:r>
        <w:rPr>
          <w:i/>
          <w:iCs/>
          <w:sz w:val="21"/>
          <w:szCs w:val="21"/>
        </w:rPr>
        <w:t xml:space="preserve">¿conviene operar ahora, en qué dirección y con qué tamaño de posición?</w:t>
      </w:r>
    </w:p>
    <w:p>
      <w:pPr>
        <w:spacing w:after="120" w:line="276"/>
      </w:pPr>
      <w:r>
        <w:rPr>
          <w:sz w:val="21"/>
          <w:szCs w:val="21"/>
        </w:rPr>
        <w:t xml:space="preserve">No es un predictor mágico del precio ni una promesa de rentabilidad. Es un copiloto de decisión que combina evidencia, expone su nivel de confianza y mantiene el riesgo siempre a la vista. Su valor no está en adivinar el precio, sino en la calidad y disciplina de la decisión: exactamente el enfoque de las mesas cuantitativas institucionales, donde la gestión de riesgo y la validación rigurosa pesan más que cualquier modelo aislado.</w:t>
      </w:r>
    </w:p>
    <w:p>
      <w:pPr>
        <w:spacing w:after="120" w:line="276"/>
      </w:pPr>
      <w:r>
        <w:rPr>
          <w:sz w:val="21"/>
          <w:szCs w:val="21"/>
        </w:rPr>
        <w:t xml:space="preserve">El proyecto se ejecuta por </w:t>
      </w:r>
      <w:r>
        <w:rPr>
          <w:b/>
          <w:bCs/>
          <w:sz w:val="21"/>
          <w:szCs w:val="21"/>
        </w:rPr>
        <w:t xml:space="preserve">fases con puntos de control (gates)</w:t>
      </w:r>
      <w:r>
        <w:rPr>
          <w:sz w:val="21"/>
          <w:szCs w:val="21"/>
        </w:rPr>
        <w:t xml:space="preserve">: cada fase tiene entregables y criterios de aceptación definidos, y no se avanza hasta verificarlos. Este documento fija ese marco.</w:t>
      </w:r>
    </w:p>
    <w:p>
      <w:pPr>
        <w:pStyle w:val="Heading1"/>
        <w:spacing w:after="140" w:before="320"/>
      </w:pPr>
      <w:r>
        <w:rPr>
          <w:b/>
          <w:bCs/>
          <w:color w:val="1F3864"/>
          <w:sz w:val="30"/>
          <w:szCs w:val="30"/>
        </w:rPr>
        <w:t xml:space="preserve">2. Objetivo y alcance</w:t>
      </w:r>
    </w:p>
    <w:p>
      <w:pPr>
        <w:pStyle w:val="Heading2"/>
        <w:spacing w:after="90" w:before="220"/>
      </w:pPr>
      <w:r>
        <w:rPr>
          <w:b/>
          <w:bCs/>
          <w:color w:val="2E5496"/>
          <w:sz w:val="25"/>
          <w:szCs w:val="25"/>
        </w:rPr>
        <w:t xml:space="preserve">2.1 Objetivo</w:t>
      </w:r>
    </w:p>
    <w:p>
      <w:pPr>
        <w:spacing w:after="120" w:line="276"/>
      </w:pPr>
      <w:r>
        <w:rPr>
          <w:sz w:val="21"/>
          <w:szCs w:val="21"/>
        </w:rPr>
        <w:t xml:space="preserve">Construir una plataforma modular en Python que, a partir de datos de mercado, genere recomendaciones de trading fundamentadas y cuantificadas en riesgo, verificables mediante backtesting riguroso, y accesibles a través de una terminal de escritorio.</w:t>
      </w:r>
    </w:p>
    <w:p>
      <w:pPr>
        <w:pStyle w:val="Heading2"/>
        <w:spacing w:after="90" w:before="220"/>
      </w:pPr>
      <w:r>
        <w:rPr>
          <w:b/>
          <w:bCs/>
          <w:color w:val="2E5496"/>
          <w:sz w:val="25"/>
          <w:szCs w:val="25"/>
        </w:rPr>
        <w:t xml:space="preserve">2.2 Dentro de alcance</w:t>
      </w:r>
    </w:p>
    <w:p>
      <w:pPr>
        <w:pStyle w:val="ListParagraph"/>
        <w:numPr>
          <w:ilvl w:val="0"/>
          <w:numId w:val="2"/>
        </w:numPr>
        <w:spacing w:after="60" w:line="268"/>
      </w:pPr>
      <w:r>
        <w:rPr>
          <w:sz w:val="21"/>
          <w:szCs w:val="21"/>
        </w:rPr>
        <w:t xml:space="preserve">Ingesta de datos de mercado diarios (OHLCV) desde fuentes profesionales, con capa de calidad de datos.</w:t>
      </w:r>
    </w:p>
    <w:p>
      <w:pPr>
        <w:pStyle w:val="ListParagraph"/>
        <w:numPr>
          <w:ilvl w:val="0"/>
          <w:numId w:val="2"/>
        </w:numPr>
        <w:spacing w:after="60" w:line="268"/>
      </w:pPr>
      <w:r>
        <w:rPr>
          <w:sz w:val="21"/>
          <w:szCs w:val="21"/>
        </w:rPr>
        <w:t xml:space="preserve">Análisis independiente por activo (modo direccional) y análisis de pares market-neutral (stat-arb).</w:t>
      </w:r>
    </w:p>
    <w:p>
      <w:pPr>
        <w:pStyle w:val="ListParagraph"/>
        <w:numPr>
          <w:ilvl w:val="0"/>
          <w:numId w:val="2"/>
        </w:numPr>
        <w:spacing w:after="60" w:line="268"/>
      </w:pPr>
      <w:r>
        <w:rPr>
          <w:sz w:val="21"/>
          <w:szCs w:val="21"/>
        </w:rPr>
        <w:t xml:space="preserve">Modelado de volatilidad y régimen (GARCH y variantes asimétricas EGARCH/GJR).</w:t>
      </w:r>
    </w:p>
    <w:p>
      <w:pPr>
        <w:pStyle w:val="ListParagraph"/>
        <w:numPr>
          <w:ilvl w:val="0"/>
          <w:numId w:val="2"/>
        </w:numPr>
        <w:spacing w:after="60" w:line="268"/>
      </w:pPr>
      <w:r>
        <w:rPr>
          <w:sz w:val="21"/>
          <w:szCs w:val="21"/>
        </w:rPr>
        <w:t xml:space="preserve">Núcleo predictivo de machine learning para la decisión de trade (etiquetado triple-barrier + meta-labeling).</w:t>
      </w:r>
    </w:p>
    <w:p>
      <w:pPr>
        <w:pStyle w:val="ListParagraph"/>
        <w:numPr>
          <w:ilvl w:val="0"/>
          <w:numId w:val="2"/>
        </w:numPr>
        <w:spacing w:after="60" w:line="268"/>
      </w:pPr>
      <w:r>
        <w:rPr>
          <w:sz w:val="21"/>
          <w:szCs w:val="21"/>
        </w:rPr>
        <w:t xml:space="preserve">Motor de decisión que integra señales, régimen y riesgo en una recomendación con confianza y tamaño sugerido.</w:t>
      </w:r>
    </w:p>
    <w:p>
      <w:pPr>
        <w:pStyle w:val="ListParagraph"/>
        <w:numPr>
          <w:ilvl w:val="0"/>
          <w:numId w:val="2"/>
        </w:numPr>
        <w:spacing w:after="60" w:line="268"/>
      </w:pPr>
      <w:r>
        <w:rPr>
          <w:sz w:val="21"/>
          <w:szCs w:val="21"/>
        </w:rPr>
        <w:t xml:space="preserve">Backtesting vectorizado con costos de transacción y validación anti-sobreajuste.</w:t>
      </w:r>
    </w:p>
    <w:p>
      <w:pPr>
        <w:pStyle w:val="ListParagraph"/>
        <w:numPr>
          <w:ilvl w:val="0"/>
          <w:numId w:val="2"/>
        </w:numPr>
        <w:spacing w:after="60" w:line="268"/>
      </w:pPr>
      <w:r>
        <w:rPr>
          <w:sz w:val="21"/>
          <w:szCs w:val="21"/>
        </w:rPr>
        <w:t xml:space="preserve">Interfaz de escritorio (PySide6) tipo terminal de trading.</w:t>
      </w:r>
    </w:p>
    <w:p>
      <w:pPr>
        <w:pStyle w:val="Heading2"/>
        <w:spacing w:after="90" w:before="220"/>
      </w:pPr>
      <w:r>
        <w:rPr>
          <w:b/>
          <w:bCs/>
          <w:color w:val="2E5496"/>
          <w:sz w:val="25"/>
          <w:szCs w:val="25"/>
        </w:rPr>
        <w:t xml:space="preserve">2.3 Fuera de alcance (explícito)</w:t>
      </w:r>
    </w:p>
    <w:p>
      <w:pPr>
        <w:pStyle w:val="ListParagraph"/>
        <w:numPr>
          <w:ilvl w:val="0"/>
          <w:numId w:val="2"/>
        </w:numPr>
        <w:spacing w:after="60" w:line="268"/>
      </w:pPr>
      <w:r>
        <w:rPr>
          <w:b/>
          <w:bCs/>
          <w:sz w:val="21"/>
          <w:szCs w:val="21"/>
        </w:rPr>
        <w:t xml:space="preserve">Arbitraje entre exchanges</w:t>
      </w:r>
      <w:r>
        <w:rPr>
          <w:sz w:val="21"/>
          <w:szCs w:val="21"/>
        </w:rPr>
        <w:t xml:space="preserve">: es una guerra de latencia e infraestructura; no es viable para un operador individual.</w:t>
      </w:r>
    </w:p>
    <w:p>
      <w:pPr>
        <w:pStyle w:val="ListParagraph"/>
        <w:numPr>
          <w:ilvl w:val="0"/>
          <w:numId w:val="2"/>
        </w:numPr>
        <w:spacing w:after="60" w:line="268"/>
      </w:pPr>
      <w:r>
        <w:rPr>
          <w:b/>
          <w:bCs/>
          <w:sz w:val="21"/>
          <w:szCs w:val="21"/>
        </w:rPr>
        <w:t xml:space="preserve">High-Frequency Trading / intradía de minutos</w:t>
      </w:r>
      <w:r>
        <w:rPr>
          <w:sz w:val="21"/>
          <w:szCs w:val="21"/>
        </w:rPr>
        <w:t xml:space="preserve">: la microestructura y las comisiones lo vuelven poco realista como punto de partida.</w:t>
      </w:r>
    </w:p>
    <w:p>
      <w:pPr>
        <w:pStyle w:val="ListParagraph"/>
        <w:numPr>
          <w:ilvl w:val="0"/>
          <w:numId w:val="2"/>
        </w:numPr>
        <w:spacing w:after="60" w:line="268"/>
      </w:pPr>
      <w:r>
        <w:rPr>
          <w:b/>
          <w:bCs/>
          <w:sz w:val="21"/>
          <w:szCs w:val="21"/>
        </w:rPr>
        <w:t xml:space="preserve">Predicción del precio exacto</w:t>
      </w:r>
      <w:r>
        <w:rPr>
          <w:sz w:val="21"/>
          <w:szCs w:val="21"/>
        </w:rPr>
        <w:t xml:space="preserve">: el precio de cripto se comporta de forma casi aleatoria; ARIMA se usa solo como referencia (baseline), no como predictor principal.</w:t>
      </w:r>
    </w:p>
    <w:p>
      <w:pPr>
        <w:pStyle w:val="ListParagraph"/>
        <w:numPr>
          <w:ilvl w:val="0"/>
          <w:numId w:val="2"/>
        </w:numPr>
        <w:spacing w:after="60" w:line="268"/>
      </w:pPr>
      <w:r>
        <w:rPr>
          <w:b/>
          <w:bCs/>
          <w:sz w:val="21"/>
          <w:szCs w:val="21"/>
        </w:rPr>
        <w:t xml:space="preserve">Ejecución automática de órdenes con dinero real</w:t>
      </w:r>
      <w:r>
        <w:rPr>
          <w:sz w:val="21"/>
          <w:szCs w:val="21"/>
        </w:rPr>
        <w:t xml:space="preserve">: el sistema es de soporte a la decisión. La ejecución en vivo, de incorporarse, sería una fase posterior con controles adicionales.</w:t>
      </w:r>
    </w:p>
    <w:p>
      <w:pPr>
        <w:pStyle w:val="ListParagraph"/>
        <w:numPr>
          <w:ilvl w:val="0"/>
          <w:numId w:val="2"/>
        </w:numPr>
        <w:spacing w:after="60" w:line="268"/>
      </w:pPr>
      <w:r>
        <w:rPr>
          <w:b/>
          <w:bCs/>
          <w:sz w:val="21"/>
          <w:szCs w:val="21"/>
        </w:rPr>
        <w:t xml:space="preserve">Asesoramiento financiero</w:t>
      </w:r>
      <w:r>
        <w:rPr>
          <w:sz w:val="21"/>
          <w:szCs w:val="21"/>
        </w:rPr>
        <w:t xml:space="preserve">: es una herramienta de análisis y educación. Ver sección de advertencias.</w:t>
      </w:r>
    </w:p>
    <w:p>
      <w:pPr>
        <w:pStyle w:val="Heading1"/>
        <w:spacing w:after="140" w:before="320"/>
      </w:pPr>
      <w:r>
        <w:rPr>
          <w:b/>
          <w:bCs/>
          <w:color w:val="1F3864"/>
          <w:sz w:val="30"/>
          <w:szCs w:val="30"/>
        </w:rPr>
        <w:t xml:space="preserve">3. Principios de diseño y gobernanza</w:t>
      </w:r>
    </w:p>
    <w:p>
      <w:pPr>
        <w:pStyle w:val="Heading2"/>
        <w:spacing w:after="90" w:before="220"/>
      </w:pPr>
      <w:r>
        <w:rPr>
          <w:b/>
          <w:bCs/>
          <w:color w:val="2E5496"/>
          <w:sz w:val="25"/>
          <w:szCs w:val="25"/>
        </w:rPr>
        <w:t xml:space="preserve">3.1 Principios rectores</w:t>
      </w:r>
    </w:p>
    <w:p>
      <w:pPr>
        <w:pStyle w:val="ListParagraph"/>
        <w:numPr>
          <w:ilvl w:val="0"/>
          <w:numId w:val="2"/>
        </w:numPr>
        <w:spacing w:after="60" w:line="268"/>
      </w:pPr>
      <w:r>
        <w:rPr>
          <w:b/>
          <w:bCs/>
          <w:sz w:val="21"/>
          <w:szCs w:val="21"/>
        </w:rPr>
        <w:t xml:space="preserve">Reutilizar, no reinventar. </w:t>
      </w:r>
      <w:r>
        <w:rPr>
          <w:sz w:val="21"/>
          <w:szCs w:val="21"/>
        </w:rPr>
        <w:t xml:space="preserve">Se parte de módulos ya probados del repositorio de tesis del autor (GARCH t-Student, VaR/ES, Sharpe de Lo), adaptados de frecuencia mensual a diaria.</w:t>
      </w:r>
    </w:p>
    <w:p>
      <w:pPr>
        <w:pStyle w:val="ListParagraph"/>
        <w:numPr>
          <w:ilvl w:val="0"/>
          <w:numId w:val="2"/>
        </w:numPr>
        <w:spacing w:after="60" w:line="268"/>
      </w:pPr>
      <w:r>
        <w:rPr>
          <w:b/>
          <w:bCs/>
          <w:sz w:val="21"/>
          <w:szCs w:val="21"/>
        </w:rPr>
        <w:t xml:space="preserve">Decisión, no predicción de precio. </w:t>
      </w:r>
      <w:r>
        <w:rPr>
          <w:sz w:val="21"/>
          <w:szCs w:val="21"/>
        </w:rPr>
        <w:t xml:space="preserve">El objetivo es la calidad de la decisión de trade, no el ajuste sobre el precio.</w:t>
      </w:r>
    </w:p>
    <w:p>
      <w:pPr>
        <w:pStyle w:val="ListParagraph"/>
        <w:numPr>
          <w:ilvl w:val="0"/>
          <w:numId w:val="2"/>
        </w:numPr>
        <w:spacing w:after="60" w:line="268"/>
      </w:pPr>
      <w:r>
        <w:rPr>
          <w:b/>
          <w:bCs/>
          <w:sz w:val="21"/>
          <w:szCs w:val="21"/>
        </w:rPr>
        <w:t xml:space="preserve">El riesgo primero. </w:t>
      </w:r>
      <w:r>
        <w:rPr>
          <w:sz w:val="21"/>
          <w:szCs w:val="21"/>
        </w:rPr>
        <w:t xml:space="preserve">El dimensionamiento por volatilidad y los límites de riesgo son parte del núcleo, no un agregado posterior.</w:t>
      </w:r>
    </w:p>
    <w:p>
      <w:pPr>
        <w:pStyle w:val="ListParagraph"/>
        <w:numPr>
          <w:ilvl w:val="0"/>
          <w:numId w:val="2"/>
        </w:numPr>
        <w:spacing w:after="60" w:line="268"/>
      </w:pPr>
      <w:r>
        <w:rPr>
          <w:b/>
          <w:bCs/>
          <w:sz w:val="21"/>
          <w:szCs w:val="21"/>
        </w:rPr>
        <w:t xml:space="preserve">Validación como control de calidad. </w:t>
      </w:r>
      <w:r>
        <w:rPr>
          <w:sz w:val="21"/>
          <w:szCs w:val="21"/>
        </w:rPr>
        <w:t xml:space="preserve">Walk-forward con costos, purging y embargo. Sin validación no se confía en ningún resultado.</w:t>
      </w:r>
    </w:p>
    <w:p>
      <w:pPr>
        <w:pStyle w:val="ListParagraph"/>
        <w:numPr>
          <w:ilvl w:val="0"/>
          <w:numId w:val="2"/>
        </w:numPr>
        <w:spacing w:after="60" w:line="268"/>
      </w:pPr>
      <w:r>
        <w:rPr>
          <w:b/>
          <w:bCs/>
          <w:sz w:val="21"/>
          <w:szCs w:val="21"/>
        </w:rPr>
        <w:t xml:space="preserve">Reproducibilidad y configuración centralizada. </w:t>
      </w:r>
      <w:r>
        <w:rPr>
          <w:sz w:val="21"/>
          <w:szCs w:val="21"/>
        </w:rPr>
        <w:t xml:space="preserve">Parámetros, universo, costos y fechas en un único punto de control.</w:t>
      </w:r>
    </w:p>
    <w:p>
      <w:pPr>
        <w:pStyle w:val="ListParagraph"/>
        <w:numPr>
          <w:ilvl w:val="0"/>
          <w:numId w:val="2"/>
        </w:numPr>
        <w:spacing w:after="60" w:line="268"/>
      </w:pPr>
      <w:r>
        <w:rPr>
          <w:b/>
          <w:bCs/>
          <w:sz w:val="21"/>
          <w:szCs w:val="21"/>
        </w:rPr>
        <w:t xml:space="preserve">Trazabilidad. </w:t>
      </w:r>
      <w:r>
        <w:rPr>
          <w:sz w:val="21"/>
          <w:szCs w:val="21"/>
        </w:rPr>
        <w:t xml:space="preserve">Todo cambio pasa por control de versiones (Git) y se verifica antes de integrarse.</w:t>
      </w:r>
    </w:p>
    <w:p>
      <w:pPr>
        <w:pStyle w:val="Heading2"/>
        <w:spacing w:after="90" w:before="220"/>
      </w:pPr>
      <w:r>
        <w:rPr>
          <w:b/>
          <w:bCs/>
          <w:color w:val="2E5496"/>
          <w:sz w:val="25"/>
          <w:szCs w:val="25"/>
        </w:rPr>
        <w:t xml:space="preserve">3.2 Roles y responsabilidades</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2100"/>
        <w:gridCol w:w="1900"/>
        <w:gridCol w:w="5360"/>
      </w:tblGrid>
      <w:tr>
        <w:trPr>
          <w:tblHeader/>
        </w:trPr>
        <w:tc>
          <w:tcPr>
            <w:tcW w:type="dxa" w:w="2100"/>
            <w:shd w:fill="1F3864" w:color="auto" w:val="clear"/>
            <w:tcMar>
              <w:top w:type="dxa" w:w="60"/>
              <w:left w:type="dxa" w:w="110"/>
              <w:bottom w:type="dxa" w:w="60"/>
              <w:right w:type="dxa" w:w="110"/>
            </w:tcMar>
          </w:tcPr>
          <w:p>
            <w:pPr>
              <w:spacing w:after="20" w:line="250"/>
              <w:jc w:val="left"/>
            </w:pPr>
            <w:r>
              <w:rPr>
                <w:b/>
                <w:bCs/>
                <w:color w:val="FFFFFF"/>
                <w:sz w:val="20"/>
                <w:szCs w:val="20"/>
              </w:rPr>
              <w:t xml:space="preserve">Rol</w:t>
            </w:r>
          </w:p>
        </w:tc>
        <w:tc>
          <w:tcPr>
            <w:tcW w:type="dxa" w:w="1900"/>
            <w:shd w:fill="1F3864" w:color="auto" w:val="clear"/>
            <w:tcMar>
              <w:top w:type="dxa" w:w="60"/>
              <w:left w:type="dxa" w:w="110"/>
              <w:bottom w:type="dxa" w:w="60"/>
              <w:right w:type="dxa" w:w="110"/>
            </w:tcMar>
          </w:tcPr>
          <w:p>
            <w:pPr>
              <w:spacing w:after="20" w:line="250"/>
              <w:jc w:val="left"/>
            </w:pPr>
            <w:r>
              <w:rPr>
                <w:b/>
                <w:bCs/>
                <w:color w:val="FFFFFF"/>
                <w:sz w:val="20"/>
                <w:szCs w:val="20"/>
              </w:rPr>
              <w:t xml:space="preserve">Responsable</w:t>
            </w:r>
          </w:p>
        </w:tc>
        <w:tc>
          <w:tcPr>
            <w:tcW w:type="dxa" w:w="5360"/>
            <w:shd w:fill="1F3864" w:color="auto" w:val="clear"/>
            <w:tcMar>
              <w:top w:type="dxa" w:w="60"/>
              <w:left w:type="dxa" w:w="110"/>
              <w:bottom w:type="dxa" w:w="60"/>
              <w:right w:type="dxa" w:w="110"/>
            </w:tcMar>
          </w:tcPr>
          <w:p>
            <w:pPr>
              <w:spacing w:after="20" w:line="250"/>
              <w:jc w:val="left"/>
            </w:pPr>
            <w:r>
              <w:rPr>
                <w:b/>
                <w:bCs/>
                <w:color w:val="FFFFFF"/>
                <w:sz w:val="20"/>
                <w:szCs w:val="20"/>
              </w:rPr>
              <w:t xml:space="preserve">Responsabilidades</w:t>
            </w:r>
          </w:p>
        </w:tc>
      </w:tr>
      <w:tr>
        <w:tc>
          <w:tcPr>
            <w:tcW w:type="dxa" w:w="2100"/>
            <w:tcMar>
              <w:top w:type="dxa" w:w="60"/>
              <w:left w:type="dxa" w:w="110"/>
              <w:bottom w:type="dxa" w:w="60"/>
              <w:right w:type="dxa" w:w="110"/>
            </w:tcMar>
          </w:tcPr>
          <w:p>
            <w:pPr>
              <w:spacing w:after="20" w:line="250"/>
              <w:jc w:val="left"/>
            </w:pPr>
            <w:r>
              <w:rPr>
                <w:b w:val="false"/>
                <w:bCs w:val="false"/>
                <w:color w:val="000000"/>
                <w:sz w:val="20"/>
                <w:szCs w:val="20"/>
              </w:rPr>
              <w:t xml:space="preserve">Project / Quant Lead</w:t>
            </w:r>
          </w:p>
        </w:tc>
        <w:tc>
          <w:tcPr>
            <w:tcW w:type="dxa" w:w="1900"/>
            <w:tcMar>
              <w:top w:type="dxa" w:w="60"/>
              <w:left w:type="dxa" w:w="110"/>
              <w:bottom w:type="dxa" w:w="60"/>
              <w:right w:type="dxa" w:w="110"/>
            </w:tcMar>
          </w:tcPr>
          <w:p>
            <w:pPr>
              <w:spacing w:after="20" w:line="250"/>
              <w:jc w:val="left"/>
            </w:pPr>
            <w:r>
              <w:rPr>
                <w:b w:val="false"/>
                <w:bCs w:val="false"/>
                <w:color w:val="000000"/>
                <w:sz w:val="20"/>
                <w:szCs w:val="20"/>
              </w:rPr>
              <w:t xml:space="preserve">MLEIV</w:t>
            </w:r>
          </w:p>
        </w:tc>
        <w:tc>
          <w:tcPr>
            <w:tcW w:type="dxa" w:w="5360"/>
            <w:tcMar>
              <w:top w:type="dxa" w:w="60"/>
              <w:left w:type="dxa" w:w="110"/>
              <w:bottom w:type="dxa" w:w="60"/>
              <w:right w:type="dxa" w:w="110"/>
            </w:tcMar>
          </w:tcPr>
          <w:p>
            <w:pPr>
              <w:spacing w:after="20" w:line="250"/>
              <w:jc w:val="left"/>
            </w:pPr>
            <w:r>
              <w:rPr>
                <w:b w:val="false"/>
                <w:bCs w:val="false"/>
                <w:color w:val="000000"/>
                <w:sz w:val="20"/>
                <w:szCs w:val="20"/>
              </w:rPr>
              <w:t xml:space="preserve">Dueño del proyecto. Define alcance, aprueba fases, decide metodología y valida resultados finales.</w:t>
            </w:r>
          </w:p>
        </w:tc>
      </w:tr>
      <w:tr>
        <w:tc>
          <w:tcPr>
            <w:tcW w:type="dxa" w:w="21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Diseño y revisión</w:t>
            </w:r>
          </w:p>
        </w:tc>
        <w:tc>
          <w:tcPr>
            <w:tcW w:type="dxa" w:w="19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Claude (chat)</w:t>
            </w:r>
          </w:p>
        </w:tc>
        <w:tc>
          <w:tcPr>
            <w:tcW w:type="dxa" w:w="536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Diseño de arquitectura, redacción de prompts, revisión de código, verificación independiente de cada entrega.</w:t>
            </w:r>
          </w:p>
        </w:tc>
      </w:tr>
      <w:tr>
        <w:tc>
          <w:tcPr>
            <w:tcW w:type="dxa" w:w="2100"/>
            <w:tcMar>
              <w:top w:type="dxa" w:w="60"/>
              <w:left w:type="dxa" w:w="110"/>
              <w:bottom w:type="dxa" w:w="60"/>
              <w:right w:type="dxa" w:w="110"/>
            </w:tcMar>
          </w:tcPr>
          <w:p>
            <w:pPr>
              <w:spacing w:after="20" w:line="250"/>
              <w:jc w:val="left"/>
            </w:pPr>
            <w:r>
              <w:rPr>
                <w:b w:val="false"/>
                <w:bCs w:val="false"/>
                <w:color w:val="000000"/>
                <w:sz w:val="20"/>
                <w:szCs w:val="20"/>
              </w:rPr>
              <w:t xml:space="preserve">Implementación</w:t>
            </w:r>
          </w:p>
        </w:tc>
        <w:tc>
          <w:tcPr>
            <w:tcW w:type="dxa" w:w="1900"/>
            <w:tcMar>
              <w:top w:type="dxa" w:w="60"/>
              <w:left w:type="dxa" w:w="110"/>
              <w:bottom w:type="dxa" w:w="60"/>
              <w:right w:type="dxa" w:w="110"/>
            </w:tcMar>
          </w:tcPr>
          <w:p>
            <w:pPr>
              <w:spacing w:after="20" w:line="250"/>
              <w:jc w:val="left"/>
            </w:pPr>
            <w:r>
              <w:rPr>
                <w:b w:val="false"/>
                <w:bCs w:val="false"/>
                <w:color w:val="000000"/>
                <w:sz w:val="20"/>
                <w:szCs w:val="20"/>
              </w:rPr>
              <w:t xml:space="preserve">Claude Code</w:t>
            </w:r>
          </w:p>
        </w:tc>
        <w:tc>
          <w:tcPr>
            <w:tcW w:type="dxa" w:w="5360"/>
            <w:tcMar>
              <w:top w:type="dxa" w:w="60"/>
              <w:left w:type="dxa" w:w="110"/>
              <w:bottom w:type="dxa" w:w="60"/>
              <w:right w:type="dxa" w:w="110"/>
            </w:tcMar>
          </w:tcPr>
          <w:p>
            <w:pPr>
              <w:spacing w:after="20" w:line="250"/>
              <w:jc w:val="left"/>
            </w:pPr>
            <w:r>
              <w:rPr>
                <w:b w:val="false"/>
                <w:bCs w:val="false"/>
                <w:color w:val="000000"/>
                <w:sz w:val="20"/>
                <w:szCs w:val="20"/>
              </w:rPr>
              <w:t xml:space="preserve">Desarrollo del código en el entorno local según los prompts, ejecución de tests y push al repositorio.</w:t>
            </w:r>
          </w:p>
        </w:tc>
      </w:tr>
    </w:tbl>
    <w:p>
      <w:pPr>
        <w:pStyle w:val="Heading2"/>
        <w:spacing w:after="90" w:before="220"/>
      </w:pPr>
      <w:r>
        <w:rPr>
          <w:b/>
          <w:bCs/>
          <w:color w:val="2E5496"/>
          <w:sz w:val="25"/>
          <w:szCs w:val="25"/>
        </w:rPr>
        <w:t xml:space="preserve">3.3 Marco de gobernanza de modelos</w:t>
      </w:r>
    </w:p>
    <w:p>
      <w:pPr>
        <w:spacing w:after="120" w:line="276"/>
      </w:pPr>
      <w:r>
        <w:rPr>
          <w:sz w:val="21"/>
          <w:szCs w:val="21"/>
        </w:rPr>
        <w:t xml:space="preserve">El desarrollo sigue una lógica de model risk management análoga a la de banca (líneas de defensa, validación independiente, documentación). En concreto:</w:t>
      </w:r>
    </w:p>
    <w:p>
      <w:pPr>
        <w:pStyle w:val="ListParagraph"/>
        <w:numPr>
          <w:ilvl w:val="0"/>
          <w:numId w:val="2"/>
        </w:numPr>
        <w:spacing w:after="60" w:line="268"/>
      </w:pPr>
      <w:r>
        <w:rPr>
          <w:sz w:val="21"/>
          <w:szCs w:val="21"/>
        </w:rPr>
        <w:t xml:space="preserve">Todo modelo tiene un baseline de referencia contra el cual se mide; un modelo complejo solo se adopta si supera al baseline en validación fuera de muestra.</w:t>
      </w:r>
    </w:p>
    <w:p>
      <w:pPr>
        <w:pStyle w:val="ListParagraph"/>
        <w:numPr>
          <w:ilvl w:val="0"/>
          <w:numId w:val="2"/>
        </w:numPr>
        <w:spacing w:after="60" w:line="268"/>
      </w:pPr>
      <w:r>
        <w:rPr>
          <w:sz w:val="21"/>
          <w:szCs w:val="21"/>
        </w:rPr>
        <w:t xml:space="preserve">La validación es independiente del desarrollo: el código lo escribe el implementador y lo verifica de forma separada el revisor.</w:t>
      </w:r>
    </w:p>
    <w:p>
      <w:pPr>
        <w:pStyle w:val="ListParagraph"/>
        <w:numPr>
          <w:ilvl w:val="0"/>
          <w:numId w:val="2"/>
        </w:numPr>
        <w:spacing w:after="60" w:line="268"/>
      </w:pPr>
      <w:r>
        <w:rPr>
          <w:sz w:val="21"/>
          <w:szCs w:val="21"/>
        </w:rPr>
        <w:t xml:space="preserve">Cada fase produce documentación y criterios de aceptación auditables (este charter y los tests automatizados).</w:t>
      </w:r>
    </w:p>
    <w:p>
      <w:pPr>
        <w:pStyle w:val="ListParagraph"/>
        <w:numPr>
          <w:ilvl w:val="0"/>
          <w:numId w:val="2"/>
        </w:numPr>
        <w:spacing w:after="60" w:line="268"/>
      </w:pPr>
      <w:r>
        <w:rPr>
          <w:sz w:val="21"/>
          <w:szCs w:val="21"/>
        </w:rPr>
        <w:t xml:space="preserve">El sobreajuste de backtest se trata como el principal riesgo de modelo y se mitiga explícitamente (sección 8).</w:t>
      </w:r>
    </w:p>
    <w:p>
      <w:r>
        <w:br w:type="page"/>
      </w:r>
    </w:p>
    <w:p>
      <w:pPr>
        <w:pStyle w:val="Heading1"/>
        <w:spacing w:after="140" w:before="320"/>
      </w:pPr>
      <w:r>
        <w:rPr>
          <w:b/>
          <w:bCs/>
          <w:color w:val="1F3864"/>
          <w:sz w:val="30"/>
          <w:szCs w:val="30"/>
        </w:rPr>
        <w:t xml:space="preserve">4. Arquitectura del sistema</w:t>
      </w:r>
    </w:p>
    <w:p>
      <w:pPr>
        <w:spacing w:after="120" w:line="276"/>
      </w:pPr>
      <w:r>
        <w:rPr>
          <w:sz w:val="21"/>
          <w:szCs w:val="21"/>
        </w:rPr>
        <w:t xml:space="preserve">Diseño modular en capas. Cada carpeta es una responsabilidad única; los datos fluyen de la ingesta hacia la decisión.</w:t>
      </w:r>
    </w:p>
    <w:p>
      <w:pPr>
        <w:pBdr>
          <w:left w:val="single" w:color="1F3864" w:sz="18" w:space="10"/>
        </w:pBdr>
        <w:shd w:fill="F4F6FA" w:color="auto" w:val="clear"/>
        <w:spacing w:after="120" w:before="60" w:line="240"/>
      </w:pPr>
      <w:r>
        <w:rPr>
          <w:rFonts w:ascii="Consolas" w:cs="Consolas" w:eastAsia="Consolas" w:hAnsi="Consolas"/>
          <w:sz w:val="17"/>
          <w:szCs w:val="17"/>
        </w:rPr>
        <w:t xml:space="preserve">crypto-quant-desk/</w:t>
      </w:r>
      <w:r>
        <w:rPr>
          <w:rFonts w:ascii="Consolas" w:cs="Consolas" w:eastAsia="Consolas" w:hAnsi="Consolas"/>
          <w:sz w:val="17"/>
          <w:szCs w:val="17"/>
        </w:rPr>
        <w:br/>
        <w:t xml:space="preserve">├── config.py                 Config central (universo, costos, fechas)</w:t>
      </w:r>
      <w:r>
        <w:rPr>
          <w:rFonts w:ascii="Consolas" w:cs="Consolas" w:eastAsia="Consolas" w:hAnsi="Consolas"/>
          <w:sz w:val="17"/>
          <w:szCs w:val="17"/>
        </w:rPr>
        <w:br/>
        <w:t xml:space="preserve">├── data/</w:t>
      </w:r>
      <w:r>
        <w:rPr>
          <w:rFonts w:ascii="Consolas" w:cs="Consolas" w:eastAsia="Consolas" w:hAnsi="Consolas"/>
          <w:sz w:val="17"/>
          <w:szCs w:val="17"/>
        </w:rPr>
        <w:br/>
        <w:t xml:space="preserve">│   ├── loaders.py            Ingesta OHLCV (Binance / CoinMetrics / CoinGecko)</w:t>
      </w:r>
      <w:r>
        <w:rPr>
          <w:rFonts w:ascii="Consolas" w:cs="Consolas" w:eastAsia="Consolas" w:hAnsi="Consolas"/>
          <w:sz w:val="17"/>
          <w:szCs w:val="17"/>
        </w:rPr>
        <w:br/>
        <w:t xml:space="preserve">│   └── quality.py            Validación dura + tratamiento de gaps/outliers  [Fase 0.5]</w:t>
      </w:r>
      <w:r>
        <w:rPr>
          <w:rFonts w:ascii="Consolas" w:cs="Consolas" w:eastAsia="Consolas" w:hAnsi="Consolas"/>
          <w:sz w:val="17"/>
          <w:szCs w:val="17"/>
        </w:rPr>
        <w:br/>
        <w:t xml:space="preserve">├── signals/</w:t>
      </w:r>
      <w:r>
        <w:rPr>
          <w:rFonts w:ascii="Consolas" w:cs="Consolas" w:eastAsia="Consolas" w:hAnsi="Consolas"/>
          <w:sz w:val="17"/>
          <w:szCs w:val="17"/>
        </w:rPr>
        <w:br/>
        <w:t xml:space="preserve">│   ├── returns.py            Retornos simples y logarítmicos</w:t>
      </w:r>
      <w:r>
        <w:rPr>
          <w:rFonts w:ascii="Consolas" w:cs="Consolas" w:eastAsia="Consolas" w:hAnsi="Consolas"/>
          <w:sz w:val="17"/>
          <w:szCs w:val="17"/>
        </w:rPr>
        <w:br/>
        <w:t xml:space="preserve">│   ├── indicators.py         RSI, MACD, Bollinger, ATR, medias</w:t>
      </w:r>
      <w:r>
        <w:rPr>
          <w:rFonts w:ascii="Consolas" w:cs="Consolas" w:eastAsia="Consolas" w:hAnsi="Consolas"/>
          <w:sz w:val="17"/>
          <w:szCs w:val="17"/>
        </w:rPr>
        <w:br/>
        <w:t xml:space="preserve">│   └── engine.py             Motor de decisión (score, semáforo, sizing)  [Fase 1e]</w:t>
      </w:r>
      <w:r>
        <w:rPr>
          <w:rFonts w:ascii="Consolas" w:cs="Consolas" w:eastAsia="Consolas" w:hAnsi="Consolas"/>
          <w:sz w:val="17"/>
          <w:szCs w:val="17"/>
        </w:rPr>
        <w:br/>
        <w:t xml:space="preserve">├── metrics/</w:t>
      </w:r>
      <w:r>
        <w:rPr>
          <w:rFonts w:ascii="Consolas" w:cs="Consolas" w:eastAsia="Consolas" w:hAnsi="Consolas"/>
          <w:sz w:val="17"/>
          <w:szCs w:val="17"/>
        </w:rPr>
        <w:br/>
        <w:t xml:space="preserve">│   └── risk_measures.py      Sharpe/Lo, Sortino, VaR, ES, drawdown, Calmar</w:t>
      </w:r>
      <w:r>
        <w:rPr>
          <w:rFonts w:ascii="Consolas" w:cs="Consolas" w:eastAsia="Consolas" w:hAnsi="Consolas"/>
          <w:sz w:val="17"/>
          <w:szCs w:val="17"/>
        </w:rPr>
        <w:br/>
        <w:t xml:space="preserve">├── models/</w:t>
      </w:r>
      <w:r>
        <w:rPr>
          <w:rFonts w:ascii="Consolas" w:cs="Consolas" w:eastAsia="Consolas" w:hAnsi="Consolas"/>
          <w:sz w:val="17"/>
          <w:szCs w:val="17"/>
        </w:rPr>
        <w:br/>
        <w:t xml:space="preserve">│   ├── garch.py              GARCH / EGARCH / GJR + régimen  [Fase 1b]</w:t>
      </w:r>
      <w:r>
        <w:rPr>
          <w:rFonts w:ascii="Consolas" w:cs="Consolas" w:eastAsia="Consolas" w:hAnsi="Consolas"/>
          <w:sz w:val="17"/>
          <w:szCs w:val="17"/>
        </w:rPr>
        <w:br/>
        <w:t xml:space="preserve">│   └── arima.py              Baseline direccional  [Fase 1c]</w:t>
      </w:r>
      <w:r>
        <w:rPr>
          <w:rFonts w:ascii="Consolas" w:cs="Consolas" w:eastAsia="Consolas" w:hAnsi="Consolas"/>
          <w:sz w:val="17"/>
          <w:szCs w:val="17"/>
        </w:rPr>
        <w:br/>
        <w:t xml:space="preserve">├── pairs/</w:t>
      </w:r>
      <w:r>
        <w:rPr>
          <w:rFonts w:ascii="Consolas" w:cs="Consolas" w:eastAsia="Consolas" w:hAnsi="Consolas"/>
          <w:sz w:val="17"/>
          <w:szCs w:val="17"/>
        </w:rPr>
        <w:br/>
        <w:t xml:space="preserve">│   ├── cointegration.py      Engle-Granger, Johansen, half-life  [Fase 2]</w:t>
      </w:r>
      <w:r>
        <w:rPr>
          <w:rFonts w:ascii="Consolas" w:cs="Consolas" w:eastAsia="Consolas" w:hAnsi="Consolas"/>
          <w:sz w:val="17"/>
          <w:szCs w:val="17"/>
        </w:rPr>
        <w:br/>
        <w:t xml:space="preserve">│   ├── kalman_hedge.py       Hedge ratio dinámico  [Fase 2]</w:t>
      </w:r>
      <w:r>
        <w:rPr>
          <w:rFonts w:ascii="Consolas" w:cs="Consolas" w:eastAsia="Consolas" w:hAnsi="Consolas"/>
          <w:sz w:val="17"/>
          <w:szCs w:val="17"/>
        </w:rPr>
        <w:br/>
        <w:t xml:space="preserve">│   └── stat_arb.py           Spread, z-score, Kelly  [Fase 2]</w:t>
      </w:r>
      <w:r>
        <w:rPr>
          <w:rFonts w:ascii="Consolas" w:cs="Consolas" w:eastAsia="Consolas" w:hAnsi="Consolas"/>
          <w:sz w:val="17"/>
          <w:szCs w:val="17"/>
        </w:rPr>
        <w:br/>
        <w:t xml:space="preserve">├── ml/</w:t>
      </w:r>
      <w:r>
        <w:rPr>
          <w:rFonts w:ascii="Consolas" w:cs="Consolas" w:eastAsia="Consolas" w:hAnsi="Consolas"/>
          <w:sz w:val="17"/>
          <w:szCs w:val="17"/>
        </w:rPr>
        <w:br/>
        <w:t xml:space="preserve">│   ├── labeling.py           Triple-barrier + meta-labeling  [Fase 3]</w:t>
      </w:r>
      <w:r>
        <w:rPr>
          <w:rFonts w:ascii="Consolas" w:cs="Consolas" w:eastAsia="Consolas" w:hAnsi="Consolas"/>
          <w:sz w:val="17"/>
          <w:szCs w:val="17"/>
        </w:rPr>
        <w:br/>
        <w:t xml:space="preserve">│   ├── validation.py         Purged+embargo CV, deflated Sharpe  [Fase 3]</w:t>
      </w:r>
      <w:r>
        <w:rPr>
          <w:rFonts w:ascii="Consolas" w:cs="Consolas" w:eastAsia="Consolas" w:hAnsi="Consolas"/>
          <w:sz w:val="17"/>
          <w:szCs w:val="17"/>
        </w:rPr>
        <w:br/>
        <w:t xml:space="preserve">│   └── models.py             Gradient Boosting  [Fase 3]</w:t>
      </w:r>
      <w:r>
        <w:rPr>
          <w:rFonts w:ascii="Consolas" w:cs="Consolas" w:eastAsia="Consolas" w:hAnsi="Consolas"/>
          <w:sz w:val="17"/>
          <w:szCs w:val="17"/>
        </w:rPr>
        <w:br/>
        <w:t xml:space="preserve">├── backtest/</w:t>
      </w:r>
      <w:r>
        <w:rPr>
          <w:rFonts w:ascii="Consolas" w:cs="Consolas" w:eastAsia="Consolas" w:hAnsi="Consolas"/>
          <w:sz w:val="17"/>
          <w:szCs w:val="17"/>
        </w:rPr>
        <w:br/>
        <w:t xml:space="preserve">│   └── engine.py             Backtester vectorizado con costos  [Fase 1d]</w:t>
      </w:r>
      <w:r>
        <w:rPr>
          <w:rFonts w:ascii="Consolas" w:cs="Consolas" w:eastAsia="Consolas" w:hAnsi="Consolas"/>
          <w:sz w:val="17"/>
          <w:szCs w:val="17"/>
        </w:rPr>
        <w:br/>
        <w:t xml:space="preserve">├── app/                      Terminal de escritorio PySide6  [Fase 4]</w:t>
      </w:r>
      <w:r>
        <w:rPr>
          <w:rFonts w:ascii="Consolas" w:cs="Consolas" w:eastAsia="Consolas" w:hAnsi="Consolas"/>
          <w:sz w:val="17"/>
          <w:szCs w:val="17"/>
        </w:rPr>
        <w:br/>
        <w:t xml:space="preserve">├── eda/                      Notebooks de análisis exploratorio  [Fase 0.5]</w:t>
      </w:r>
      <w:r>
        <w:rPr>
          <w:rFonts w:ascii="Consolas" w:cs="Consolas" w:eastAsia="Consolas" w:hAnsi="Consolas"/>
          <w:sz w:val="17"/>
          <w:szCs w:val="17"/>
        </w:rPr>
        <w:br/>
        <w:t xml:space="preserve">└── tests/                    Suite pytest (una por módulo)</w:t>
      </w:r>
    </w:p>
    <w:p>
      <w:pPr>
        <w:spacing w:after="120" w:line="276"/>
      </w:pPr>
      <w:r>
        <w:rPr>
          <w:b/>
          <w:bCs/>
          <w:sz w:val="21"/>
          <w:szCs w:val="21"/>
        </w:rPr>
        <w:t xml:space="preserve">Nota: </w:t>
      </w:r>
      <w:r>
        <w:rPr>
          <w:sz w:val="21"/>
          <w:szCs w:val="21"/>
        </w:rPr>
        <w:t xml:space="preserve">los sufijos [Fase X] indican en qué etapa se construye cada componente. Lo que no tiene sufijo ya está implementado y verificado.</w:t>
      </w:r>
    </w:p>
    <w:p>
      <w:pPr>
        <w:pStyle w:val="Heading1"/>
        <w:spacing w:after="140" w:before="320"/>
      </w:pPr>
      <w:r>
        <w:rPr>
          <w:b/>
          <w:bCs/>
          <w:color w:val="1F3864"/>
          <w:sz w:val="30"/>
          <w:szCs w:val="30"/>
        </w:rPr>
        <w:t xml:space="preserve">5. Universo de activos</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1400"/>
        <w:gridCol w:w="2400"/>
        <w:gridCol w:w="5560"/>
      </w:tblGrid>
      <w:tr>
        <w:trPr>
          <w:tblHeader/>
        </w:trPr>
        <w:tc>
          <w:tcPr>
            <w:tcW w:type="dxa" w:w="1400"/>
            <w:shd w:fill="1F3864" w:color="auto" w:val="clear"/>
            <w:tcMar>
              <w:top w:type="dxa" w:w="60"/>
              <w:left w:type="dxa" w:w="110"/>
              <w:bottom w:type="dxa" w:w="60"/>
              <w:right w:type="dxa" w:w="110"/>
            </w:tcMar>
          </w:tcPr>
          <w:p>
            <w:pPr>
              <w:spacing w:after="20" w:line="250"/>
              <w:jc w:val="left"/>
            </w:pPr>
            <w:r>
              <w:rPr>
                <w:b/>
                <w:bCs/>
                <w:color w:val="FFFFFF"/>
                <w:sz w:val="20"/>
                <w:szCs w:val="20"/>
              </w:rPr>
              <w:t xml:space="preserve">Activo</w:t>
            </w:r>
          </w:p>
        </w:tc>
        <w:tc>
          <w:tcPr>
            <w:tcW w:type="dxa" w:w="2400"/>
            <w:shd w:fill="1F3864" w:color="auto" w:val="clear"/>
            <w:tcMar>
              <w:top w:type="dxa" w:w="60"/>
              <w:left w:type="dxa" w:w="110"/>
              <w:bottom w:type="dxa" w:w="60"/>
              <w:right w:type="dxa" w:w="110"/>
            </w:tcMar>
          </w:tcPr>
          <w:p>
            <w:pPr>
              <w:spacing w:after="20" w:line="250"/>
              <w:jc w:val="left"/>
            </w:pPr>
            <w:r>
              <w:rPr>
                <w:b/>
                <w:bCs/>
                <w:color w:val="FFFFFF"/>
                <w:sz w:val="20"/>
                <w:szCs w:val="20"/>
              </w:rPr>
              <w:t xml:space="preserve">Símbolo Binance</w:t>
            </w:r>
          </w:p>
        </w:tc>
        <w:tc>
          <w:tcPr>
            <w:tcW w:type="dxa" w:w="5560"/>
            <w:shd w:fill="1F3864" w:color="auto" w:val="clear"/>
            <w:tcMar>
              <w:top w:type="dxa" w:w="60"/>
              <w:left w:type="dxa" w:w="110"/>
              <w:bottom w:type="dxa" w:w="60"/>
              <w:right w:type="dxa" w:w="110"/>
            </w:tcMar>
          </w:tcPr>
          <w:p>
            <w:pPr>
              <w:spacing w:after="20" w:line="250"/>
              <w:jc w:val="left"/>
            </w:pPr>
            <w:r>
              <w:rPr>
                <w:b/>
                <w:bCs/>
                <w:color w:val="FFFFFF"/>
                <w:sz w:val="20"/>
                <w:szCs w:val="20"/>
              </w:rPr>
              <w:t xml:space="preserve">Rol</w:t>
            </w:r>
          </w:p>
        </w:tc>
      </w:tr>
      <w:tr>
        <w:tc>
          <w:tcPr>
            <w:tcW w:type="dxa" w:w="1400"/>
            <w:tcMar>
              <w:top w:type="dxa" w:w="60"/>
              <w:left w:type="dxa" w:w="110"/>
              <w:bottom w:type="dxa" w:w="60"/>
              <w:right w:type="dxa" w:w="110"/>
            </w:tcMar>
          </w:tcPr>
          <w:p>
            <w:pPr>
              <w:spacing w:after="20" w:line="250"/>
              <w:jc w:val="left"/>
            </w:pPr>
            <w:r>
              <w:rPr>
                <w:b w:val="false"/>
                <w:bCs w:val="false"/>
                <w:color w:val="000000"/>
                <w:sz w:val="20"/>
                <w:szCs w:val="20"/>
              </w:rPr>
              <w:t xml:space="preserve">BTC</w:t>
            </w:r>
          </w:p>
        </w:tc>
        <w:tc>
          <w:tcPr>
            <w:tcW w:type="dxa" w:w="2400"/>
            <w:tcMar>
              <w:top w:type="dxa" w:w="60"/>
              <w:left w:type="dxa" w:w="110"/>
              <w:bottom w:type="dxa" w:w="60"/>
              <w:right w:type="dxa" w:w="110"/>
            </w:tcMar>
          </w:tcPr>
          <w:p>
            <w:pPr>
              <w:spacing w:after="20" w:line="250"/>
              <w:jc w:val="left"/>
            </w:pPr>
            <w:r>
              <w:rPr>
                <w:b w:val="false"/>
                <w:bCs w:val="false"/>
                <w:color w:val="000000"/>
                <w:sz w:val="20"/>
                <w:szCs w:val="20"/>
              </w:rPr>
              <w:t xml:space="preserve">BTCUSDT</w:t>
            </w:r>
          </w:p>
        </w:tc>
        <w:tc>
          <w:tcPr>
            <w:tcW w:type="dxa" w:w="5560"/>
            <w:tcMar>
              <w:top w:type="dxa" w:w="60"/>
              <w:left w:type="dxa" w:w="110"/>
              <w:bottom w:type="dxa" w:w="60"/>
              <w:right w:type="dxa" w:w="110"/>
            </w:tcMar>
          </w:tcPr>
          <w:p>
            <w:pPr>
              <w:spacing w:after="20" w:line="250"/>
              <w:jc w:val="left"/>
            </w:pPr>
            <w:r>
              <w:rPr>
                <w:b w:val="false"/>
                <w:bCs w:val="false"/>
                <w:color w:val="000000"/>
                <w:sz w:val="20"/>
                <w:szCs w:val="20"/>
              </w:rPr>
              <w:t xml:space="preserve">Ancla del mercado; direccional; pata de pares</w:t>
            </w:r>
          </w:p>
        </w:tc>
      </w:tr>
      <w:tr>
        <w:tc>
          <w:tcPr>
            <w:tcW w:type="dxa" w:w="14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ETH</w:t>
            </w:r>
          </w:p>
        </w:tc>
        <w:tc>
          <w:tcPr>
            <w:tcW w:type="dxa" w:w="24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ETHUSDT</w:t>
            </w:r>
          </w:p>
        </w:tc>
        <w:tc>
          <w:tcPr>
            <w:tcW w:type="dxa" w:w="556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Direccional; par clásico cointegrado con BTC</w:t>
            </w:r>
          </w:p>
        </w:tc>
      </w:tr>
      <w:tr>
        <w:tc>
          <w:tcPr>
            <w:tcW w:type="dxa" w:w="1400"/>
            <w:tcMar>
              <w:top w:type="dxa" w:w="60"/>
              <w:left w:type="dxa" w:w="110"/>
              <w:bottom w:type="dxa" w:w="60"/>
              <w:right w:type="dxa" w:w="110"/>
            </w:tcMar>
          </w:tcPr>
          <w:p>
            <w:pPr>
              <w:spacing w:after="20" w:line="250"/>
              <w:jc w:val="left"/>
            </w:pPr>
            <w:r>
              <w:rPr>
                <w:b w:val="false"/>
                <w:bCs w:val="false"/>
                <w:color w:val="000000"/>
                <w:sz w:val="20"/>
                <w:szCs w:val="20"/>
              </w:rPr>
              <w:t xml:space="preserve">SOL</w:t>
            </w:r>
          </w:p>
        </w:tc>
        <w:tc>
          <w:tcPr>
            <w:tcW w:type="dxa" w:w="2400"/>
            <w:tcMar>
              <w:top w:type="dxa" w:w="60"/>
              <w:left w:type="dxa" w:w="110"/>
              <w:bottom w:type="dxa" w:w="60"/>
              <w:right w:type="dxa" w:w="110"/>
            </w:tcMar>
          </w:tcPr>
          <w:p>
            <w:pPr>
              <w:spacing w:after="20" w:line="250"/>
              <w:jc w:val="left"/>
            </w:pPr>
            <w:r>
              <w:rPr>
                <w:b w:val="false"/>
                <w:bCs w:val="false"/>
                <w:color w:val="000000"/>
                <w:sz w:val="20"/>
                <w:szCs w:val="20"/>
              </w:rPr>
              <w:t xml:space="preserve">SOLUSDT</w:t>
            </w:r>
          </w:p>
        </w:tc>
        <w:tc>
          <w:tcPr>
            <w:tcW w:type="dxa" w:w="5560"/>
            <w:tcMar>
              <w:top w:type="dxa" w:w="60"/>
              <w:left w:type="dxa" w:w="110"/>
              <w:bottom w:type="dxa" w:w="60"/>
              <w:right w:type="dxa" w:w="110"/>
            </w:tcMar>
          </w:tcPr>
          <w:p>
            <w:pPr>
              <w:spacing w:after="20" w:line="250"/>
              <w:jc w:val="left"/>
            </w:pPr>
            <w:r>
              <w:rPr>
                <w:b w:val="false"/>
                <w:bCs w:val="false"/>
                <w:color w:val="000000"/>
                <w:sz w:val="20"/>
                <w:szCs w:val="20"/>
              </w:rPr>
              <w:t xml:space="preserve">Direccional; candidato de pares</w:t>
            </w:r>
          </w:p>
        </w:tc>
      </w:tr>
      <w:tr>
        <w:tc>
          <w:tcPr>
            <w:tcW w:type="dxa" w:w="14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BNB</w:t>
            </w:r>
          </w:p>
        </w:tc>
        <w:tc>
          <w:tcPr>
            <w:tcW w:type="dxa" w:w="24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BNBUSDT</w:t>
            </w:r>
          </w:p>
        </w:tc>
        <w:tc>
          <w:tcPr>
            <w:tcW w:type="dxa" w:w="556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Direccional; candidato de pares</w:t>
            </w:r>
          </w:p>
        </w:tc>
      </w:tr>
      <w:tr>
        <w:tc>
          <w:tcPr>
            <w:tcW w:type="dxa" w:w="1400"/>
            <w:tcMar>
              <w:top w:type="dxa" w:w="60"/>
              <w:left w:type="dxa" w:w="110"/>
              <w:bottom w:type="dxa" w:w="60"/>
              <w:right w:type="dxa" w:w="110"/>
            </w:tcMar>
          </w:tcPr>
          <w:p>
            <w:pPr>
              <w:spacing w:after="20" w:line="250"/>
              <w:jc w:val="left"/>
            </w:pPr>
            <w:r>
              <w:rPr>
                <w:b w:val="false"/>
                <w:bCs w:val="false"/>
                <w:color w:val="000000"/>
                <w:sz w:val="20"/>
                <w:szCs w:val="20"/>
              </w:rPr>
              <w:t xml:space="preserve">LTC</w:t>
            </w:r>
          </w:p>
        </w:tc>
        <w:tc>
          <w:tcPr>
            <w:tcW w:type="dxa" w:w="2400"/>
            <w:tcMar>
              <w:top w:type="dxa" w:w="60"/>
              <w:left w:type="dxa" w:w="110"/>
              <w:bottom w:type="dxa" w:w="60"/>
              <w:right w:type="dxa" w:w="110"/>
            </w:tcMar>
          </w:tcPr>
          <w:p>
            <w:pPr>
              <w:spacing w:after="20" w:line="250"/>
              <w:jc w:val="left"/>
            </w:pPr>
            <w:r>
              <w:rPr>
                <w:b w:val="false"/>
                <w:bCs w:val="false"/>
                <w:color w:val="000000"/>
                <w:sz w:val="20"/>
                <w:szCs w:val="20"/>
              </w:rPr>
              <w:t xml:space="preserve">LTCUSDT</w:t>
            </w:r>
          </w:p>
        </w:tc>
        <w:tc>
          <w:tcPr>
            <w:tcW w:type="dxa" w:w="5560"/>
            <w:tcMar>
              <w:top w:type="dxa" w:w="60"/>
              <w:left w:type="dxa" w:w="110"/>
              <w:bottom w:type="dxa" w:w="60"/>
              <w:right w:type="dxa" w:w="110"/>
            </w:tcMar>
          </w:tcPr>
          <w:p>
            <w:pPr>
              <w:spacing w:after="20" w:line="250"/>
              <w:jc w:val="left"/>
            </w:pPr>
            <w:r>
              <w:rPr>
                <w:b w:val="false"/>
                <w:bCs w:val="false"/>
                <w:color w:val="000000"/>
                <w:sz w:val="20"/>
                <w:szCs w:val="20"/>
              </w:rPr>
              <w:t xml:space="preserve">Candidato de pares (historia larga, cointegración con BTC)</w:t>
            </w:r>
          </w:p>
        </w:tc>
      </w:tr>
    </w:tbl>
    <w:p>
      <w:pPr>
        <w:spacing w:after="120"/>
      </w:pPr>
      <w:r>
        <w:rPr>
          <w:sz w:val="2"/>
          <w:szCs w:val="2"/>
        </w:rPr>
        <w:t xml:space="preserve"/>
      </w:r>
    </w:p>
    <w:p>
      <w:pPr>
        <w:spacing w:after="120" w:line="276"/>
      </w:pPr>
      <w:r>
        <w:rPr>
          <w:sz w:val="21"/>
          <w:szCs w:val="21"/>
        </w:rPr>
        <w:t xml:space="preserve">Los pares no se fijan a discreción: se </w:t>
      </w:r>
      <w:r>
        <w:rPr>
          <w:b/>
          <w:bCs/>
          <w:sz w:val="21"/>
          <w:szCs w:val="21"/>
        </w:rPr>
        <w:t xml:space="preserve">validan por cointegración</w:t>
      </w:r>
      <w:r>
        <w:rPr>
          <w:sz w:val="21"/>
          <w:szCs w:val="21"/>
        </w:rPr>
        <w:t xml:space="preserve"> y solo se conservan los que superan el test estadístico.</w:t>
      </w:r>
    </w:p>
    <w:p>
      <w:r>
        <w:br w:type="page"/>
      </w:r>
    </w:p>
    <w:p>
      <w:pPr>
        <w:pStyle w:val="Heading1"/>
        <w:spacing w:after="140" w:before="320"/>
      </w:pPr>
      <w:r>
        <w:rPr>
          <w:b/>
          <w:bCs/>
          <w:color w:val="1F3864"/>
          <w:sz w:val="30"/>
          <w:szCs w:val="30"/>
        </w:rPr>
        <w:t xml:space="preserve">6. Metodología cuantitativa</w:t>
      </w:r>
    </w:p>
    <w:p>
      <w:pPr>
        <w:spacing w:after="120" w:line="276"/>
      </w:pPr>
      <w:r>
        <w:rPr>
          <w:sz w:val="21"/>
          <w:szCs w:val="21"/>
        </w:rPr>
        <w:t xml:space="preserve">El sistema es un único pipeline de decisión (no modelos compitiendo entre sí). El flujo es: régimen de volatilidad → señal primaria → filtro y dimensionamiento por ML → overlay de riesgo → recomendación.</w:t>
      </w:r>
    </w:p>
    <w:p>
      <w:pPr>
        <w:pStyle w:val="Heading2"/>
        <w:spacing w:after="90" w:before="220"/>
      </w:pPr>
      <w:r>
        <w:rPr>
          <w:b/>
          <w:bCs/>
          <w:color w:val="2E5496"/>
          <w:sz w:val="25"/>
          <w:szCs w:val="25"/>
        </w:rPr>
        <w:t xml:space="preserve">6.1 Régimen de volatilidad</w:t>
      </w:r>
    </w:p>
    <w:p>
      <w:pPr>
        <w:spacing w:after="120" w:line="276"/>
      </w:pPr>
      <w:r>
        <w:rPr>
          <w:sz w:val="21"/>
          <w:szCs w:val="21"/>
        </w:rPr>
        <w:t xml:space="preserve">Modelado de la volatilidad condicional con GARCH(1,1) de innovaciones t-Student (base del repositorio de tesis), extendido a variantes asimétricas EGARCH y GJR-GARCH, que capturan el efecto apalancamiento (las caídas elevan la volatilidad más que las subidas). La selección entre variantes se hace por criterios de información (AIC/BIC). La salida define un régimen —calma o tensión— que modula el tamaño de las posiciones.</w:t>
      </w:r>
    </w:p>
    <w:p>
      <w:pPr>
        <w:pStyle w:val="Heading2"/>
        <w:spacing w:after="90" w:before="220"/>
      </w:pPr>
      <w:r>
        <w:rPr>
          <w:b/>
          <w:bCs/>
          <w:color w:val="2E5496"/>
          <w:sz w:val="25"/>
          <w:szCs w:val="25"/>
        </w:rPr>
        <w:t xml:space="preserve">6.2 Señales</w:t>
      </w:r>
    </w:p>
    <w:p>
      <w:pPr>
        <w:spacing w:after="120" w:line="276"/>
      </w:pPr>
      <w:r>
        <w:rPr>
          <w:sz w:val="21"/>
          <w:szCs w:val="21"/>
        </w:rPr>
        <w:t xml:space="preserve">Indicadores técnicos clásicos (RSI, MACD, Bandas de Bollinger, ATR, medias) como generadores de señal primaria en el modo direccional, y el spread estadístico en el modo de pares. Son insumos, no decisiones finales.</w:t>
      </w:r>
    </w:p>
    <w:p>
      <w:pPr>
        <w:pStyle w:val="Heading2"/>
        <w:spacing w:after="90" w:before="220"/>
      </w:pPr>
      <w:r>
        <w:rPr>
          <w:b/>
          <w:bCs/>
          <w:color w:val="2E5496"/>
          <w:sz w:val="25"/>
          <w:szCs w:val="25"/>
        </w:rPr>
        <w:t xml:space="preserve">6.3 Núcleo predictivo (Machine Learning)</w:t>
      </w:r>
    </w:p>
    <w:p>
      <w:pPr>
        <w:spacing w:after="120" w:line="276"/>
      </w:pPr>
      <w:r>
        <w:rPr>
          <w:sz w:val="21"/>
          <w:szCs w:val="21"/>
        </w:rPr>
        <w:t xml:space="preserve">Componente predictivo central, elegido por ser el más valioso para la decisión operativa. Se basa en el marco de </w:t>
      </w:r>
      <w:r>
        <w:rPr>
          <w:i/>
          <w:iCs/>
          <w:sz w:val="21"/>
          <w:szCs w:val="21"/>
        </w:rPr>
        <w:t xml:space="preserve">financial machine learning</w:t>
      </w:r>
      <w:r>
        <w:rPr>
          <w:sz w:val="21"/>
          <w:szCs w:val="21"/>
        </w:rPr>
        <w:t xml:space="preserve"> (López de Prado):</w:t>
      </w:r>
    </w:p>
    <w:p>
      <w:pPr>
        <w:pStyle w:val="ListParagraph"/>
        <w:numPr>
          <w:ilvl w:val="0"/>
          <w:numId w:val="2"/>
        </w:numPr>
        <w:spacing w:after="60" w:line="268"/>
      </w:pPr>
      <w:r>
        <w:rPr>
          <w:b/>
          <w:bCs/>
          <w:sz w:val="21"/>
          <w:szCs w:val="21"/>
        </w:rPr>
        <w:t xml:space="preserve">Etiquetado triple-barrier: </w:t>
      </w:r>
      <w:r>
        <w:rPr>
          <w:sz w:val="21"/>
          <w:szCs w:val="21"/>
        </w:rPr>
        <w:t xml:space="preserve">cada operación se etiqueta según qué barrera toca primero —take-profit, stop-loss o vencimiento temporal—, escaladas por la volatilidad local. Es mucho más realista que un simple '¿sube mañana?'.</w:t>
      </w:r>
    </w:p>
    <w:p>
      <w:pPr>
        <w:pStyle w:val="ListParagraph"/>
        <w:numPr>
          <w:ilvl w:val="0"/>
          <w:numId w:val="2"/>
        </w:numPr>
        <w:spacing w:after="60" w:line="268"/>
      </w:pPr>
      <w:r>
        <w:rPr>
          <w:b/>
          <w:bCs/>
          <w:sz w:val="21"/>
          <w:szCs w:val="21"/>
        </w:rPr>
        <w:t xml:space="preserve">Meta-labeling: </w:t>
      </w:r>
      <w:r>
        <w:rPr>
          <w:sz w:val="21"/>
          <w:szCs w:val="21"/>
        </w:rPr>
        <w:t xml:space="preserve">un modelo primario define el lado (largo/corto) y un meta-modelo define el tamaño, filtrando señales de baja calidad. Reduce falsos positivos y alimenta el sizing.</w:t>
      </w:r>
    </w:p>
    <w:p>
      <w:pPr>
        <w:pStyle w:val="ListParagraph"/>
        <w:numPr>
          <w:ilvl w:val="0"/>
          <w:numId w:val="2"/>
        </w:numPr>
        <w:spacing w:after="60" w:line="268"/>
      </w:pPr>
      <w:r>
        <w:rPr>
          <w:b/>
          <w:bCs/>
          <w:sz w:val="21"/>
          <w:szCs w:val="21"/>
        </w:rPr>
        <w:t xml:space="preserve">Gradient Boosting: </w:t>
      </w:r>
      <w:r>
        <w:rPr>
          <w:sz w:val="21"/>
          <w:szCs w:val="21"/>
        </w:rPr>
        <w:t xml:space="preserve">modelo de clasificación (XGBoost/LightGBM), interpretable y robusto, preferido sobre deep learning por su menor tendencia al sobreajuste en series financieras.</w:t>
      </w:r>
    </w:p>
    <w:p>
      <w:pPr>
        <w:pStyle w:val="Heading2"/>
        <w:spacing w:after="90" w:before="220"/>
      </w:pPr>
      <w:r>
        <w:rPr>
          <w:b/>
          <w:bCs/>
          <w:color w:val="2E5496"/>
          <w:sz w:val="25"/>
          <w:szCs w:val="25"/>
        </w:rPr>
        <w:t xml:space="preserve">6.4 Pares / arbitraje estadístico</w:t>
      </w:r>
    </w:p>
    <w:p>
      <w:pPr>
        <w:spacing w:after="120" w:line="276"/>
      </w:pPr>
      <w:r>
        <w:rPr>
          <w:sz w:val="21"/>
          <w:szCs w:val="21"/>
        </w:rPr>
        <w:t xml:space="preserve">Estrategia market-neutral: si dos activos están cointegrados y su spread se aparta de la media, se toma posición apostando a la reversión (largo del relativamente barato, corto del caro). Componentes: tests de cointegración (Engle-Granger y Johansen) y de estacionariedad (ADF), vida media (half-life) de la reversión, ratio de cobertura dinámico vía filtro de Kalman, señales por z-score y dimensionamiento por criterio de Kelly.</w:t>
      </w:r>
    </w:p>
    <w:p>
      <w:pPr>
        <w:pStyle w:val="Heading2"/>
        <w:spacing w:after="90" w:before="220"/>
      </w:pPr>
      <w:r>
        <w:rPr>
          <w:b/>
          <w:bCs/>
          <w:color w:val="2E5496"/>
          <w:sz w:val="25"/>
          <w:szCs w:val="25"/>
        </w:rPr>
        <w:t xml:space="preserve">6.5 Gestión de riesgo y dimensionamiento</w:t>
      </w:r>
    </w:p>
    <w:p>
      <w:pPr>
        <w:spacing w:after="120" w:line="276"/>
      </w:pPr>
      <w:r>
        <w:rPr>
          <w:sz w:val="21"/>
          <w:szCs w:val="21"/>
        </w:rPr>
        <w:t xml:space="preserve">Capa transversal: dimensionamiento por objetivo de volatilidad (vol targeting), límites de exposición, y métricas de riesgo condicional (VaR y Expected Shortfall) reportadas como pérdida positiva, con la misma convención que el trabajo de tesis del autor.</w:t>
      </w:r>
    </w:p>
    <w:p>
      <w:pPr>
        <w:pStyle w:val="Heading1"/>
        <w:spacing w:after="140" w:before="320"/>
      </w:pPr>
      <w:r>
        <w:rPr>
          <w:b/>
          <w:bCs/>
          <w:color w:val="1F3864"/>
          <w:sz w:val="30"/>
          <w:szCs w:val="30"/>
        </w:rPr>
        <w:t xml:space="preserve">7. Marco de calidad de datos (EDA / ETL)</w:t>
      </w:r>
    </w:p>
    <w:p>
      <w:pPr>
        <w:spacing w:after="120" w:line="276"/>
      </w:pPr>
      <w:r>
        <w:rPr>
          <w:sz w:val="21"/>
          <w:szCs w:val="21"/>
        </w:rPr>
        <w:t xml:space="preserve">Principio innegociable: no se construyen señales ni modelos sobre datos no auditados (garbage in, garbage out). La capa de datos se descompone en tres responsabilidades:</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2100"/>
        <w:gridCol w:w="5560"/>
        <w:gridCol w:w="1700"/>
      </w:tblGrid>
      <w:tr>
        <w:trPr>
          <w:tblHeader/>
        </w:trPr>
        <w:tc>
          <w:tcPr>
            <w:tcW w:type="dxa" w:w="2100"/>
            <w:shd w:fill="1F3864" w:color="auto" w:val="clear"/>
            <w:tcMar>
              <w:top w:type="dxa" w:w="60"/>
              <w:left w:type="dxa" w:w="110"/>
              <w:bottom w:type="dxa" w:w="60"/>
              <w:right w:type="dxa" w:w="110"/>
            </w:tcMar>
          </w:tcPr>
          <w:p>
            <w:pPr>
              <w:spacing w:after="20" w:line="250"/>
              <w:jc w:val="left"/>
            </w:pPr>
            <w:r>
              <w:rPr>
                <w:b/>
                <w:bCs/>
                <w:color w:val="FFFFFF"/>
                <w:sz w:val="20"/>
                <w:szCs w:val="20"/>
              </w:rPr>
              <w:t xml:space="preserve">Etapa</w:t>
            </w:r>
          </w:p>
        </w:tc>
        <w:tc>
          <w:tcPr>
            <w:tcW w:type="dxa" w:w="5560"/>
            <w:shd w:fill="1F3864" w:color="auto" w:val="clear"/>
            <w:tcMar>
              <w:top w:type="dxa" w:w="60"/>
              <w:left w:type="dxa" w:w="110"/>
              <w:bottom w:type="dxa" w:w="60"/>
              <w:right w:type="dxa" w:w="110"/>
            </w:tcMar>
          </w:tcPr>
          <w:p>
            <w:pPr>
              <w:spacing w:after="20" w:line="250"/>
              <w:jc w:val="left"/>
            </w:pPr>
            <w:r>
              <w:rPr>
                <w:b/>
                <w:bCs/>
                <w:color w:val="FFFFFF"/>
                <w:sz w:val="20"/>
                <w:szCs w:val="20"/>
              </w:rPr>
              <w:t xml:space="preserve">Contenido</w:t>
            </w:r>
          </w:p>
        </w:tc>
        <w:tc>
          <w:tcPr>
            <w:tcW w:type="dxa" w:w="1700"/>
            <w:shd w:fill="1F3864" w:color="auto" w:val="clear"/>
            <w:tcMar>
              <w:top w:type="dxa" w:w="60"/>
              <w:left w:type="dxa" w:w="110"/>
              <w:bottom w:type="dxa" w:w="60"/>
              <w:right w:type="dxa" w:w="110"/>
            </w:tcMar>
          </w:tcPr>
          <w:p>
            <w:pPr>
              <w:spacing w:after="20" w:line="250"/>
              <w:jc w:val="left"/>
            </w:pPr>
            <w:r>
              <w:rPr>
                <w:b/>
                <w:bCs/>
                <w:color w:val="FFFFFF"/>
                <w:sz w:val="20"/>
                <w:szCs w:val="20"/>
              </w:rPr>
              <w:t xml:space="preserve">Estado</w:t>
            </w:r>
          </w:p>
        </w:tc>
      </w:tr>
      <w:tr>
        <w:tc>
          <w:tcPr>
            <w:tcW w:type="dxa" w:w="2100"/>
            <w:tcMar>
              <w:top w:type="dxa" w:w="60"/>
              <w:left w:type="dxa" w:w="110"/>
              <w:bottom w:type="dxa" w:w="60"/>
              <w:right w:type="dxa" w:w="110"/>
            </w:tcMar>
          </w:tcPr>
          <w:p>
            <w:pPr>
              <w:spacing w:after="20" w:line="250"/>
              <w:jc w:val="left"/>
            </w:pPr>
            <w:r>
              <w:rPr>
                <w:b w:val="false"/>
                <w:bCs w:val="false"/>
                <w:color w:val="000000"/>
                <w:sz w:val="20"/>
                <w:szCs w:val="20"/>
              </w:rPr>
              <w:t xml:space="preserve">Ingesta (E-L mínima)</w:t>
            </w:r>
          </w:p>
        </w:tc>
        <w:tc>
          <w:tcPr>
            <w:tcW w:type="dxa" w:w="5560"/>
            <w:tcMar>
              <w:top w:type="dxa" w:w="60"/>
              <w:left w:type="dxa" w:w="110"/>
              <w:bottom w:type="dxa" w:w="60"/>
              <w:right w:type="dxa" w:w="110"/>
            </w:tcMar>
          </w:tcPr>
          <w:p>
            <w:pPr>
              <w:spacing w:after="20" w:line="250"/>
              <w:jc w:val="left"/>
            </w:pPr>
            <w:r>
              <w:rPr>
                <w:b w:val="false"/>
                <w:bCs w:val="false"/>
                <w:color w:val="000000"/>
                <w:sz w:val="20"/>
                <w:szCs w:val="20"/>
              </w:rPr>
              <w:t xml:space="preserve">Descarga estandarizada, índice UTC, sin duplicados, tipos correctos, detección de gaps por logging.</w:t>
            </w:r>
          </w:p>
        </w:tc>
        <w:tc>
          <w:tcPr>
            <w:tcW w:type="dxa" w:w="1700"/>
            <w:tcMar>
              <w:top w:type="dxa" w:w="60"/>
              <w:left w:type="dxa" w:w="110"/>
              <w:bottom w:type="dxa" w:w="60"/>
              <w:right w:type="dxa" w:w="110"/>
            </w:tcMar>
          </w:tcPr>
          <w:p>
            <w:pPr>
              <w:spacing w:after="20" w:line="250"/>
              <w:jc w:val="left"/>
            </w:pPr>
            <w:r>
              <w:rPr>
                <w:b w:val="false"/>
                <w:bCs w:val="false"/>
                <w:color w:val="000000"/>
                <w:sz w:val="20"/>
                <w:szCs w:val="20"/>
              </w:rPr>
              <w:t xml:space="preserve">Implementado (Fase 0)</w:t>
            </w:r>
          </w:p>
        </w:tc>
      </w:tr>
      <w:tr>
        <w:tc>
          <w:tcPr>
            <w:tcW w:type="dxa" w:w="21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Calidad de datos</w:t>
            </w:r>
          </w:p>
        </w:tc>
        <w:tc>
          <w:tcPr>
            <w:tcW w:type="dxa" w:w="556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Validación dura: detección de precios erróneos (spikes, ceros), tratamiento explícito de gaps, reglas de saneamiento.</w:t>
            </w:r>
          </w:p>
        </w:tc>
        <w:tc>
          <w:tcPr>
            <w:tcW w:type="dxa" w:w="17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Pendiente (Fase 0.5)</w:t>
            </w:r>
          </w:p>
        </w:tc>
      </w:tr>
      <w:tr>
        <w:tc>
          <w:tcPr>
            <w:tcW w:type="dxa" w:w="2100"/>
            <w:tcMar>
              <w:top w:type="dxa" w:w="60"/>
              <w:left w:type="dxa" w:w="110"/>
              <w:bottom w:type="dxa" w:w="60"/>
              <w:right w:type="dxa" w:w="110"/>
            </w:tcMar>
          </w:tcPr>
          <w:p>
            <w:pPr>
              <w:spacing w:after="20" w:line="250"/>
              <w:jc w:val="left"/>
            </w:pPr>
            <w:r>
              <w:rPr>
                <w:b w:val="false"/>
                <w:bCs w:val="false"/>
                <w:color w:val="000000"/>
                <w:sz w:val="20"/>
                <w:szCs w:val="20"/>
              </w:rPr>
              <w:t xml:space="preserve">EDA</w:t>
            </w:r>
          </w:p>
        </w:tc>
        <w:tc>
          <w:tcPr>
            <w:tcW w:type="dxa" w:w="5560"/>
            <w:tcMar>
              <w:top w:type="dxa" w:w="60"/>
              <w:left w:type="dxa" w:w="110"/>
              <w:bottom w:type="dxa" w:w="60"/>
              <w:right w:type="dxa" w:w="110"/>
            </w:tcMar>
          </w:tcPr>
          <w:p>
            <w:pPr>
              <w:spacing w:after="20" w:line="250"/>
              <w:jc w:val="left"/>
            </w:pPr>
            <w:r>
              <w:rPr>
                <w:b w:val="false"/>
                <w:bCs w:val="false"/>
                <w:color w:val="000000"/>
                <w:sz w:val="20"/>
                <w:szCs w:val="20"/>
              </w:rPr>
              <w:t xml:space="preserve">Descriptivas, distribución de retornos, colas gordas, autocorrelación, estacionariedad (ADF), correlaciones y visualizaciones.</w:t>
            </w:r>
          </w:p>
        </w:tc>
        <w:tc>
          <w:tcPr>
            <w:tcW w:type="dxa" w:w="1700"/>
            <w:tcMar>
              <w:top w:type="dxa" w:w="60"/>
              <w:left w:type="dxa" w:w="110"/>
              <w:bottom w:type="dxa" w:w="60"/>
              <w:right w:type="dxa" w:w="110"/>
            </w:tcMar>
          </w:tcPr>
          <w:p>
            <w:pPr>
              <w:spacing w:after="20" w:line="250"/>
              <w:jc w:val="left"/>
            </w:pPr>
            <w:r>
              <w:rPr>
                <w:b w:val="false"/>
                <w:bCs w:val="false"/>
                <w:color w:val="000000"/>
                <w:sz w:val="20"/>
                <w:szCs w:val="20"/>
              </w:rPr>
              <w:t xml:space="preserve">Pendiente (Fase 0.5)</w:t>
            </w:r>
          </w:p>
        </w:tc>
      </w:tr>
    </w:tbl>
    <w:p>
      <w:pPr>
        <w:spacing w:after="120"/>
      </w:pPr>
      <w:r>
        <w:rPr>
          <w:sz w:val="2"/>
          <w:szCs w:val="2"/>
        </w:rPr>
        <w:t xml:space="preserve"/>
      </w:r>
    </w:p>
    <w:p>
      <w:pPr>
        <w:spacing w:after="120" w:line="276"/>
      </w:pPr>
      <w:r>
        <w:rPr>
          <w:sz w:val="21"/>
          <w:szCs w:val="21"/>
        </w:rPr>
        <w:t xml:space="preserve">Esta preocupación —planteada explícitamente por el Quant Lead— motiva la inserción de la </w:t>
      </w:r>
      <w:r>
        <w:rPr>
          <w:b/>
          <w:bCs/>
          <w:sz w:val="21"/>
          <w:szCs w:val="21"/>
        </w:rPr>
        <w:t xml:space="preserve">Fase 0.5</w:t>
      </w:r>
      <w:r>
        <w:rPr>
          <w:sz w:val="21"/>
          <w:szCs w:val="21"/>
        </w:rPr>
        <w:t xml:space="preserve"> como próxima etapa, antes de continuar con los modelos.</w:t>
      </w:r>
    </w:p>
    <w:p>
      <w:pPr>
        <w:pStyle w:val="Heading1"/>
        <w:spacing w:after="140" w:before="320"/>
      </w:pPr>
      <w:r>
        <w:rPr>
          <w:b/>
          <w:bCs/>
          <w:color w:val="1F3864"/>
          <w:sz w:val="30"/>
          <w:szCs w:val="30"/>
        </w:rPr>
        <w:t xml:space="preserve">8. Validación y control de riesgo de modelo</w:t>
      </w:r>
    </w:p>
    <w:p>
      <w:pPr>
        <w:spacing w:after="120" w:line="276"/>
      </w:pPr>
      <w:r>
        <w:rPr>
          <w:sz w:val="21"/>
          <w:szCs w:val="21"/>
        </w:rPr>
        <w:t xml:space="preserve">El sobreajuste de backtest es el principal riesgo del proyecto: es fácil producir una curva de resultados espectacular que se evapora con dinero real. Se mitiga con un protocolo explícito:</w:t>
      </w:r>
    </w:p>
    <w:p>
      <w:pPr>
        <w:pStyle w:val="ListParagraph"/>
        <w:numPr>
          <w:ilvl w:val="0"/>
          <w:numId w:val="2"/>
        </w:numPr>
        <w:spacing w:after="60" w:line="268"/>
      </w:pPr>
      <w:r>
        <w:rPr>
          <w:b/>
          <w:bCs/>
          <w:sz w:val="21"/>
          <w:szCs w:val="21"/>
        </w:rPr>
        <w:t xml:space="preserve">Costos desde el día uno: </w:t>
      </w:r>
      <w:r>
        <w:rPr>
          <w:sz w:val="21"/>
          <w:szCs w:val="21"/>
        </w:rPr>
        <w:t xml:space="preserve">todo backtest incluye comisiones y turnover. Un backtest sin costos se considera inválido.</w:t>
      </w:r>
    </w:p>
    <w:p>
      <w:pPr>
        <w:pStyle w:val="ListParagraph"/>
        <w:numPr>
          <w:ilvl w:val="0"/>
          <w:numId w:val="2"/>
        </w:numPr>
        <w:spacing w:after="60" w:line="268"/>
      </w:pPr>
      <w:r>
        <w:rPr>
          <w:b/>
          <w:bCs/>
          <w:sz w:val="21"/>
          <w:szCs w:val="21"/>
        </w:rPr>
        <w:t xml:space="preserve">Purging + embargo: </w:t>
      </w:r>
      <w:r>
        <w:rPr>
          <w:sz w:val="21"/>
          <w:szCs w:val="21"/>
        </w:rPr>
        <w:t xml:space="preserve">validación cruzada que elimina el solapamiento temporal entre entrenamiento y prueba, porque el k-fold estándar filtra información en finanzas.</w:t>
      </w:r>
    </w:p>
    <w:p>
      <w:pPr>
        <w:pStyle w:val="ListParagraph"/>
        <w:numPr>
          <w:ilvl w:val="0"/>
          <w:numId w:val="2"/>
        </w:numPr>
        <w:spacing w:after="60" w:line="268"/>
      </w:pPr>
      <w:r>
        <w:rPr>
          <w:b/>
          <w:bCs/>
          <w:sz w:val="21"/>
          <w:szCs w:val="21"/>
        </w:rPr>
        <w:t xml:space="preserve">Walk-forward: </w:t>
      </w:r>
      <w:r>
        <w:rPr>
          <w:sz w:val="21"/>
          <w:szCs w:val="21"/>
        </w:rPr>
        <w:t xml:space="preserve">evaluación fuera de muestra respetando el orden temporal; nunca se entrena con el futuro.</w:t>
      </w:r>
    </w:p>
    <w:p>
      <w:pPr>
        <w:pStyle w:val="ListParagraph"/>
        <w:numPr>
          <w:ilvl w:val="0"/>
          <w:numId w:val="2"/>
        </w:numPr>
        <w:spacing w:after="60" w:line="268"/>
      </w:pPr>
      <w:r>
        <w:rPr>
          <w:b/>
          <w:bCs/>
          <w:sz w:val="21"/>
          <w:szCs w:val="21"/>
        </w:rPr>
        <w:t xml:space="preserve">Deflated Sharpe / Combinatorial Purged CV: </w:t>
      </w:r>
      <w:r>
        <w:rPr>
          <w:sz w:val="21"/>
          <w:szCs w:val="21"/>
        </w:rPr>
        <w:t xml:space="preserve">se penaliza la probabilidad de que un buen resultado sea producto del azar tras múltiples pruebas.</w:t>
      </w:r>
    </w:p>
    <w:p>
      <w:pPr>
        <w:pStyle w:val="ListParagraph"/>
        <w:numPr>
          <w:ilvl w:val="0"/>
          <w:numId w:val="2"/>
        </w:numPr>
        <w:spacing w:after="60" w:line="268"/>
      </w:pPr>
      <w:r>
        <w:rPr>
          <w:b/>
          <w:bCs/>
          <w:sz w:val="21"/>
          <w:szCs w:val="21"/>
        </w:rPr>
        <w:t xml:space="preserve">Auditoría de fugas (data leakage): </w:t>
      </w:r>
      <w:r>
        <w:rPr>
          <w:sz w:val="21"/>
          <w:szCs w:val="21"/>
        </w:rPr>
        <w:t xml:space="preserve">revisión de cada feature para descartar que incorpore información futura.</w:t>
      </w:r>
    </w:p>
    <w:p>
      <w:r>
        <w:br w:type="page"/>
      </w:r>
    </w:p>
    <w:p>
      <w:pPr>
        <w:pStyle w:val="Heading1"/>
        <w:spacing w:after="140" w:before="320"/>
      </w:pPr>
      <w:r>
        <w:rPr>
          <w:b/>
          <w:bCs/>
          <w:color w:val="1F3864"/>
          <w:sz w:val="30"/>
          <w:szCs w:val="30"/>
        </w:rPr>
        <w:t xml:space="preserve">9. Plan de trabajo por fases</w:t>
      </w:r>
    </w:p>
    <w:p>
      <w:pPr>
        <w:spacing w:after="120" w:line="276"/>
      </w:pPr>
      <w:r>
        <w:rPr>
          <w:sz w:val="21"/>
          <w:szCs w:val="21"/>
        </w:rPr>
        <w:t xml:space="preserve">Cada fase se ejecuta y se cierra con un </w:t>
      </w:r>
      <w:r>
        <w:rPr>
          <w:b/>
          <w:bCs/>
          <w:sz w:val="21"/>
          <w:szCs w:val="21"/>
        </w:rPr>
        <w:t xml:space="preserve">gate</w:t>
      </w:r>
      <w:r>
        <w:rPr>
          <w:sz w:val="21"/>
          <w:szCs w:val="21"/>
        </w:rPr>
        <w:t xml:space="preserve">: no se avanza a la siguiente hasta cumplir los criterios de aceptación (Definition of Done) y verificarlos de forma independiente. Las fases se subdividen en entregas pequeñas y revisables.</w:t>
      </w:r>
    </w:p>
    <w:p>
      <w:pPr>
        <w:pStyle w:val="Heading2"/>
        <w:spacing w:after="90" w:before="220"/>
      </w:pPr>
      <w:r>
        <w:rPr>
          <w:b/>
          <w:bCs/>
          <w:color w:val="2E5496"/>
          <w:sz w:val="25"/>
          <w:szCs w:val="25"/>
        </w:rPr>
        <w:t xml:space="preserve">Fase 0. Andamiaje + capa de datos</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2200"/>
        <w:gridCol w:w="7160"/>
      </w:tblGrid>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Estado</w:t>
            </w:r>
          </w:p>
        </w:tc>
        <w:tc>
          <w:tcPr>
            <w:tcW w:type="dxa" w:w="7160"/>
            <w:tcMar>
              <w:top w:type="dxa" w:w="60"/>
              <w:left w:type="dxa" w:w="110"/>
              <w:bottom w:type="dxa" w:w="60"/>
              <w:right w:type="dxa" w:w="110"/>
            </w:tcMar>
          </w:tcPr>
          <w:p>
            <w:pPr>
              <w:spacing w:after="20" w:line="252"/>
            </w:pPr>
            <w:r>
              <w:rPr>
                <w:color w:val="1E7D34"/>
                <w:sz w:val="20"/>
                <w:szCs w:val="20"/>
              </w:rPr>
              <w:t xml:space="preserve">COMPLETADA</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Objetivo</w:t>
            </w:r>
          </w:p>
        </w:tc>
        <w:tc>
          <w:tcPr>
            <w:tcW w:type="dxa" w:w="7160"/>
            <w:tcMar>
              <w:top w:type="dxa" w:w="60"/>
              <w:left w:type="dxa" w:w="110"/>
              <w:bottom w:type="dxa" w:w="60"/>
              <w:right w:type="dxa" w:w="110"/>
            </w:tcMar>
          </w:tcPr>
          <w:p>
            <w:pPr>
              <w:spacing w:after="20" w:line="252"/>
            </w:pPr>
            <w:r>
              <w:rPr>
                <w:color w:val="000000"/>
                <w:sz w:val="20"/>
                <w:szCs w:val="20"/>
              </w:rPr>
              <w:t xml:space="preserve">Estructura del proyecto y capa de ingesta de datos operativa.</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Entregables</w:t>
            </w:r>
          </w:p>
        </w:tc>
        <w:tc>
          <w:tcPr>
            <w:tcW w:type="dxa" w:w="7160"/>
            <w:tcMar>
              <w:top w:type="dxa" w:w="60"/>
              <w:left w:type="dxa" w:w="110"/>
              <w:bottom w:type="dxa" w:w="60"/>
              <w:right w:type="dxa" w:w="110"/>
            </w:tcMar>
          </w:tcPr>
          <w:p>
            <w:pPr>
              <w:pStyle w:val="ListParagraph"/>
              <w:numPr>
                <w:ilvl w:val="0"/>
                <w:numId w:val="2"/>
              </w:numPr>
              <w:spacing w:after="30" w:line="250"/>
            </w:pPr>
            <w:r>
              <w:rPr>
                <w:sz w:val="20"/>
                <w:szCs w:val="20"/>
              </w:rPr>
              <w:t xml:space="preserve">config.py con universo, costos y fechas</w:t>
            </w:r>
          </w:p>
          <w:p>
            <w:pPr>
              <w:pStyle w:val="ListParagraph"/>
              <w:numPr>
                <w:ilvl w:val="0"/>
                <w:numId w:val="2"/>
              </w:numPr>
              <w:spacing w:after="30" w:line="250"/>
            </w:pPr>
            <w:r>
              <w:rPr>
                <w:sz w:val="20"/>
                <w:szCs w:val="20"/>
              </w:rPr>
              <w:t xml:space="preserve">data/loaders.py (Binance paginado + fallbacks CoinMetrics/CoinGecko)</w:t>
            </w:r>
          </w:p>
          <w:p>
            <w:pPr>
              <w:pStyle w:val="ListParagraph"/>
              <w:numPr>
                <w:ilvl w:val="0"/>
                <w:numId w:val="2"/>
              </w:numPr>
              <w:spacing w:after="30" w:line="250"/>
            </w:pPr>
            <w:r>
              <w:rPr>
                <w:sz w:val="20"/>
                <w:szCs w:val="20"/>
              </w:rPr>
              <w:t xml:space="preserve">scripts/build_dataset.py</w:t>
            </w:r>
          </w:p>
          <w:p>
            <w:pPr>
              <w:pStyle w:val="ListParagraph"/>
              <w:numPr>
                <w:ilvl w:val="0"/>
                <w:numId w:val="2"/>
              </w:numPr>
              <w:spacing w:after="30" w:line="250"/>
            </w:pPr>
            <w:r>
              <w:rPr>
                <w:sz w:val="20"/>
                <w:szCs w:val="20"/>
              </w:rPr>
              <w:t xml:space="preserve">CSV de verificación commiteados</w:t>
            </w:r>
          </w:p>
          <w:p>
            <w:pPr>
              <w:pStyle w:val="ListParagraph"/>
              <w:numPr>
                <w:ilvl w:val="0"/>
                <w:numId w:val="2"/>
              </w:numPr>
              <w:spacing w:after="30" w:line="250"/>
            </w:pPr>
            <w:r>
              <w:rPr>
                <w:sz w:val="20"/>
                <w:szCs w:val="20"/>
              </w:rPr>
              <w:t xml:space="preserve">Suite de tests base</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Criterios de aceptación (DoD)</w:t>
            </w:r>
          </w:p>
        </w:tc>
        <w:tc>
          <w:tcPr>
            <w:tcW w:type="dxa" w:w="7160"/>
            <w:tcMar>
              <w:top w:type="dxa" w:w="60"/>
              <w:left w:type="dxa" w:w="110"/>
              <w:bottom w:type="dxa" w:w="60"/>
              <w:right w:type="dxa" w:w="110"/>
            </w:tcMar>
          </w:tcPr>
          <w:p>
            <w:pPr>
              <w:pStyle w:val="ListParagraph"/>
              <w:numPr>
                <w:ilvl w:val="0"/>
                <w:numId w:val="2"/>
              </w:numPr>
              <w:spacing w:after="30" w:line="250"/>
            </w:pPr>
            <w:r>
              <w:rPr>
                <w:sz w:val="20"/>
                <w:szCs w:val="20"/>
              </w:rPr>
              <w:t xml:space="preserve">Tests en verde</w:t>
            </w:r>
          </w:p>
          <w:p>
            <w:pPr>
              <w:pStyle w:val="ListParagraph"/>
              <w:numPr>
                <w:ilvl w:val="0"/>
                <w:numId w:val="2"/>
              </w:numPr>
              <w:spacing w:after="30" w:line="250"/>
            </w:pPr>
            <w:r>
              <w:rPr>
                <w:sz w:val="20"/>
                <w:szCs w:val="20"/>
              </w:rPr>
              <w:t xml:space="preserve">Ingesta end-to-end con datos reales verificada</w:t>
            </w:r>
          </w:p>
          <w:p>
            <w:pPr>
              <w:pStyle w:val="ListParagraph"/>
              <w:numPr>
                <w:ilvl w:val="0"/>
                <w:numId w:val="2"/>
              </w:numPr>
              <w:spacing w:after="30" w:line="250"/>
            </w:pPr>
            <w:r>
              <w:rPr>
                <w:sz w:val="20"/>
                <w:szCs w:val="20"/>
              </w:rPr>
              <w:t xml:space="preserve">Salida estandarizada (UTC, sin duplicados, columnas correctas)</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Dependencias</w:t>
            </w:r>
          </w:p>
        </w:tc>
        <w:tc>
          <w:tcPr>
            <w:tcW w:type="dxa" w:w="7160"/>
            <w:tcMar>
              <w:top w:type="dxa" w:w="60"/>
              <w:left w:type="dxa" w:w="110"/>
              <w:bottom w:type="dxa" w:w="60"/>
              <w:right w:type="dxa" w:w="110"/>
            </w:tcMar>
          </w:tcPr>
          <w:p>
            <w:pPr>
              <w:spacing w:after="20" w:line="252"/>
            </w:pPr>
            <w:r>
              <w:rPr>
                <w:color w:val="000000"/>
                <w:sz w:val="20"/>
                <w:szCs w:val="20"/>
              </w:rPr>
              <w:t xml:space="preserve">Ninguna</w:t>
            </w:r>
          </w:p>
        </w:tc>
      </w:tr>
    </w:tbl>
    <w:p>
      <w:pPr>
        <w:spacing w:after="140"/>
      </w:pPr>
      <w:r>
        <w:rPr>
          <w:sz w:val="2"/>
          <w:szCs w:val="2"/>
        </w:rPr>
        <w:t xml:space="preserve"/>
      </w:r>
    </w:p>
    <w:p>
      <w:pPr>
        <w:pStyle w:val="Heading2"/>
        <w:spacing w:after="90" w:before="220"/>
      </w:pPr>
      <w:r>
        <w:rPr>
          <w:b/>
          <w:bCs/>
          <w:color w:val="2E5496"/>
          <w:sz w:val="25"/>
          <w:szCs w:val="25"/>
        </w:rPr>
        <w:t xml:space="preserve">Fase 0.5. Calidad de datos + EDA</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2200"/>
        <w:gridCol w:w="7160"/>
      </w:tblGrid>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Estado</w:t>
            </w:r>
          </w:p>
        </w:tc>
        <w:tc>
          <w:tcPr>
            <w:tcW w:type="dxa" w:w="7160"/>
            <w:tcMar>
              <w:top w:type="dxa" w:w="60"/>
              <w:left w:type="dxa" w:w="110"/>
              <w:bottom w:type="dxa" w:w="60"/>
              <w:right w:type="dxa" w:w="110"/>
            </w:tcMar>
          </w:tcPr>
          <w:p>
            <w:pPr>
              <w:spacing w:after="20" w:line="252"/>
            </w:pPr>
            <w:r>
              <w:rPr>
                <w:color w:val="9C6500"/>
                <w:sz w:val="20"/>
                <w:szCs w:val="20"/>
              </w:rPr>
              <w:t xml:space="preserve">PRÓXIMA</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Objetivo</w:t>
            </w:r>
          </w:p>
        </w:tc>
        <w:tc>
          <w:tcPr>
            <w:tcW w:type="dxa" w:w="7160"/>
            <w:tcMar>
              <w:top w:type="dxa" w:w="60"/>
              <w:left w:type="dxa" w:w="110"/>
              <w:bottom w:type="dxa" w:w="60"/>
              <w:right w:type="dxa" w:w="110"/>
            </w:tcMar>
          </w:tcPr>
          <w:p>
            <w:pPr>
              <w:spacing w:after="20" w:line="252"/>
            </w:pPr>
            <w:r>
              <w:rPr>
                <w:color w:val="000000"/>
                <w:sz w:val="20"/>
                <w:szCs w:val="20"/>
              </w:rPr>
              <w:t xml:space="preserve">Auditar y sanear los datos, y comprender sus propiedades estadísticas antes de modelar.</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Entregables</w:t>
            </w:r>
          </w:p>
        </w:tc>
        <w:tc>
          <w:tcPr>
            <w:tcW w:type="dxa" w:w="7160"/>
            <w:tcMar>
              <w:top w:type="dxa" w:w="60"/>
              <w:left w:type="dxa" w:w="110"/>
              <w:bottom w:type="dxa" w:w="60"/>
              <w:right w:type="dxa" w:w="110"/>
            </w:tcMar>
          </w:tcPr>
          <w:p>
            <w:pPr>
              <w:pStyle w:val="ListParagraph"/>
              <w:numPr>
                <w:ilvl w:val="0"/>
                <w:numId w:val="2"/>
              </w:numPr>
              <w:spacing w:after="30" w:line="250"/>
            </w:pPr>
            <w:r>
              <w:rPr>
                <w:sz w:val="20"/>
                <w:szCs w:val="20"/>
              </w:rPr>
              <w:t xml:space="preserve">data/quality.py (validación dura, gaps, outliers)</w:t>
            </w:r>
          </w:p>
          <w:p>
            <w:pPr>
              <w:pStyle w:val="ListParagraph"/>
              <w:numPr>
                <w:ilvl w:val="0"/>
                <w:numId w:val="2"/>
              </w:numPr>
              <w:spacing w:after="30" w:line="250"/>
            </w:pPr>
            <w:r>
              <w:rPr>
                <w:sz w:val="20"/>
                <w:szCs w:val="20"/>
              </w:rPr>
              <w:t xml:space="preserve">eda/exploracion.ipynb con análisis de las 5 monedas</w:t>
            </w:r>
          </w:p>
          <w:p>
            <w:pPr>
              <w:pStyle w:val="ListParagraph"/>
              <w:numPr>
                <w:ilvl w:val="0"/>
                <w:numId w:val="2"/>
              </w:numPr>
              <w:spacing w:after="30" w:line="250"/>
            </w:pPr>
            <w:r>
              <w:rPr>
                <w:sz w:val="20"/>
                <w:szCs w:val="20"/>
              </w:rPr>
              <w:t xml:space="preserve">Reporte de hallazgos (estacionariedad, colas, correlaciones)</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Criterios de aceptación (DoD)</w:t>
            </w:r>
          </w:p>
        </w:tc>
        <w:tc>
          <w:tcPr>
            <w:tcW w:type="dxa" w:w="7160"/>
            <w:tcMar>
              <w:top w:type="dxa" w:w="60"/>
              <w:left w:type="dxa" w:w="110"/>
              <w:bottom w:type="dxa" w:w="60"/>
              <w:right w:type="dxa" w:w="110"/>
            </w:tcMar>
          </w:tcPr>
          <w:p>
            <w:pPr>
              <w:pStyle w:val="ListParagraph"/>
              <w:numPr>
                <w:ilvl w:val="0"/>
                <w:numId w:val="2"/>
              </w:numPr>
              <w:spacing w:after="30" w:line="250"/>
            </w:pPr>
            <w:r>
              <w:rPr>
                <w:sz w:val="20"/>
                <w:szCs w:val="20"/>
              </w:rPr>
              <w:t xml:space="preserve">Reglas de saneamiento documentadas y testeadas</w:t>
            </w:r>
          </w:p>
          <w:p>
            <w:pPr>
              <w:pStyle w:val="ListParagraph"/>
              <w:numPr>
                <w:ilvl w:val="0"/>
                <w:numId w:val="2"/>
              </w:numPr>
              <w:spacing w:after="30" w:line="250"/>
            </w:pPr>
            <w:r>
              <w:rPr>
                <w:sz w:val="20"/>
                <w:szCs w:val="20"/>
              </w:rPr>
              <w:t xml:space="preserve">EDA cubre descriptivas, retornos, ADF, autocorrelación y correlaciones</w:t>
            </w:r>
          </w:p>
          <w:p>
            <w:pPr>
              <w:pStyle w:val="ListParagraph"/>
              <w:numPr>
                <w:ilvl w:val="0"/>
                <w:numId w:val="2"/>
              </w:numPr>
              <w:spacing w:after="30" w:line="250"/>
            </w:pPr>
            <w:r>
              <w:rPr>
                <w:sz w:val="20"/>
                <w:szCs w:val="20"/>
              </w:rPr>
              <w:t xml:space="preserve">Decisión explícita sobre tratamiento de gaps/outliers</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Dependencias</w:t>
            </w:r>
          </w:p>
        </w:tc>
        <w:tc>
          <w:tcPr>
            <w:tcW w:type="dxa" w:w="7160"/>
            <w:tcMar>
              <w:top w:type="dxa" w:w="60"/>
              <w:left w:type="dxa" w:w="110"/>
              <w:bottom w:type="dxa" w:w="60"/>
              <w:right w:type="dxa" w:w="110"/>
            </w:tcMar>
          </w:tcPr>
          <w:p>
            <w:pPr>
              <w:spacing w:after="20" w:line="252"/>
            </w:pPr>
            <w:r>
              <w:rPr>
                <w:color w:val="000000"/>
                <w:sz w:val="20"/>
                <w:szCs w:val="20"/>
              </w:rPr>
              <w:t xml:space="preserve">Fase 0</w:t>
            </w:r>
          </w:p>
        </w:tc>
      </w:tr>
    </w:tbl>
    <w:p>
      <w:pPr>
        <w:spacing w:after="140"/>
      </w:pPr>
      <w:r>
        <w:rPr>
          <w:sz w:val="2"/>
          <w:szCs w:val="2"/>
        </w:rPr>
        <w:t xml:space="preserve"/>
      </w:r>
    </w:p>
    <w:p>
      <w:pPr>
        <w:pStyle w:val="Heading2"/>
        <w:spacing w:after="90" w:before="220"/>
      </w:pPr>
      <w:r>
        <w:rPr>
          <w:b/>
          <w:bCs/>
          <w:color w:val="2E5496"/>
          <w:sz w:val="25"/>
          <w:szCs w:val="25"/>
        </w:rPr>
        <w:t xml:space="preserve">Fase 1. Motor clásico (baseline + decisión)</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2200"/>
        <w:gridCol w:w="7160"/>
      </w:tblGrid>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Estado</w:t>
            </w:r>
          </w:p>
        </w:tc>
        <w:tc>
          <w:tcPr>
            <w:tcW w:type="dxa" w:w="7160"/>
            <w:tcMar>
              <w:top w:type="dxa" w:w="60"/>
              <w:left w:type="dxa" w:w="110"/>
              <w:bottom w:type="dxa" w:w="60"/>
              <w:right w:type="dxa" w:w="110"/>
            </w:tcMar>
          </w:tcPr>
          <w:p>
            <w:pPr>
              <w:spacing w:after="20" w:line="252"/>
            </w:pPr>
            <w:r>
              <w:rPr>
                <w:color w:val="9C6500"/>
                <w:sz w:val="20"/>
                <w:szCs w:val="20"/>
              </w:rPr>
              <w:t xml:space="preserve">EN CURSO</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Objetivo</w:t>
            </w:r>
          </w:p>
        </w:tc>
        <w:tc>
          <w:tcPr>
            <w:tcW w:type="dxa" w:w="7160"/>
            <w:tcMar>
              <w:top w:type="dxa" w:w="60"/>
              <w:left w:type="dxa" w:w="110"/>
              <w:bottom w:type="dxa" w:w="60"/>
              <w:right w:type="dxa" w:w="110"/>
            </w:tcMar>
          </w:tcPr>
          <w:p>
            <w:pPr>
              <w:spacing w:after="20" w:line="252"/>
            </w:pPr>
            <w:r>
              <w:rPr>
                <w:color w:val="000000"/>
                <w:sz w:val="20"/>
                <w:szCs w:val="20"/>
              </w:rPr>
              <w:t xml:space="preserve">Construir el motor de decisión sobre econometría clásica, con backtesting.</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Entregables</w:t>
            </w:r>
          </w:p>
        </w:tc>
        <w:tc>
          <w:tcPr>
            <w:tcW w:type="dxa" w:w="7160"/>
            <w:tcMar>
              <w:top w:type="dxa" w:w="60"/>
              <w:left w:type="dxa" w:w="110"/>
              <w:bottom w:type="dxa" w:w="60"/>
              <w:right w:type="dxa" w:w="110"/>
            </w:tcMar>
          </w:tcPr>
          <w:p>
            <w:pPr>
              <w:pStyle w:val="ListParagraph"/>
              <w:numPr>
                <w:ilvl w:val="0"/>
                <w:numId w:val="2"/>
              </w:numPr>
              <w:spacing w:after="30" w:line="250"/>
            </w:pPr>
            <w:r>
              <w:rPr>
                <w:sz w:val="20"/>
                <w:szCs w:val="20"/>
              </w:rPr>
              <w:t xml:space="preserve">1a. Indicadores + retornos + métricas de riesgo  (COMPLETADA)</w:t>
            </w:r>
          </w:p>
          <w:p>
            <w:pPr>
              <w:pStyle w:val="ListParagraph"/>
              <w:numPr>
                <w:ilvl w:val="0"/>
                <w:numId w:val="2"/>
              </w:numPr>
              <w:spacing w:after="30" w:line="250"/>
            </w:pPr>
            <w:r>
              <w:rPr>
                <w:sz w:val="20"/>
                <w:szCs w:val="20"/>
              </w:rPr>
              <w:t xml:space="preserve">1b. Volatilidad: GARCH/EGARCH/GJR + régimen</w:t>
            </w:r>
          </w:p>
          <w:p>
            <w:pPr>
              <w:pStyle w:val="ListParagraph"/>
              <w:numPr>
                <w:ilvl w:val="0"/>
                <w:numId w:val="2"/>
              </w:numPr>
              <w:spacing w:after="30" w:line="250"/>
            </w:pPr>
            <w:r>
              <w:rPr>
                <w:sz w:val="20"/>
                <w:szCs w:val="20"/>
              </w:rPr>
              <w:t xml:space="preserve">1c. ARIMA baseline direccional</w:t>
            </w:r>
          </w:p>
          <w:p>
            <w:pPr>
              <w:pStyle w:val="ListParagraph"/>
              <w:numPr>
                <w:ilvl w:val="0"/>
                <w:numId w:val="2"/>
              </w:numPr>
              <w:spacing w:after="30" w:line="250"/>
            </w:pPr>
            <w:r>
              <w:rPr>
                <w:sz w:val="20"/>
                <w:szCs w:val="20"/>
              </w:rPr>
              <w:t xml:space="preserve">1d. Backtester vectorizado con costos</w:t>
            </w:r>
          </w:p>
          <w:p>
            <w:pPr>
              <w:pStyle w:val="ListParagraph"/>
              <w:numPr>
                <w:ilvl w:val="0"/>
                <w:numId w:val="2"/>
              </w:numPr>
              <w:spacing w:after="30" w:line="250"/>
            </w:pPr>
            <w:r>
              <w:rPr>
                <w:sz w:val="20"/>
                <w:szCs w:val="20"/>
              </w:rPr>
              <w:t xml:space="preserve">1e. engine: integración en score / semáforo / sizing</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Criterios de aceptación (DoD)</w:t>
            </w:r>
          </w:p>
        </w:tc>
        <w:tc>
          <w:tcPr>
            <w:tcW w:type="dxa" w:w="7160"/>
            <w:tcMar>
              <w:top w:type="dxa" w:w="60"/>
              <w:left w:type="dxa" w:w="110"/>
              <w:bottom w:type="dxa" w:w="60"/>
              <w:right w:type="dxa" w:w="110"/>
            </w:tcMar>
          </w:tcPr>
          <w:p>
            <w:pPr>
              <w:pStyle w:val="ListParagraph"/>
              <w:numPr>
                <w:ilvl w:val="0"/>
                <w:numId w:val="2"/>
              </w:numPr>
              <w:spacing w:after="30" w:line="250"/>
            </w:pPr>
            <w:r>
              <w:rPr>
                <w:sz w:val="20"/>
                <w:szCs w:val="20"/>
              </w:rPr>
              <w:t xml:space="preserve">Cada subfase con tests en verde y verificación independiente</w:t>
            </w:r>
          </w:p>
          <w:p>
            <w:pPr>
              <w:pStyle w:val="ListParagraph"/>
              <w:numPr>
                <w:ilvl w:val="0"/>
                <w:numId w:val="2"/>
              </w:numPr>
              <w:spacing w:after="30" w:line="250"/>
            </w:pPr>
            <w:r>
              <w:rPr>
                <w:sz w:val="20"/>
                <w:szCs w:val="20"/>
              </w:rPr>
              <w:t xml:space="preserve">Backtester reproduce métricas correctas con costos</w:t>
            </w:r>
          </w:p>
          <w:p>
            <w:pPr>
              <w:pStyle w:val="ListParagraph"/>
              <w:numPr>
                <w:ilvl w:val="0"/>
                <w:numId w:val="2"/>
              </w:numPr>
              <w:spacing w:after="30" w:line="250"/>
            </w:pPr>
            <w:r>
              <w:rPr>
                <w:sz w:val="20"/>
                <w:szCs w:val="20"/>
              </w:rPr>
              <w:t xml:space="preserve">El engine emite recomendación con confianza y tamaño</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Dependencias</w:t>
            </w:r>
          </w:p>
        </w:tc>
        <w:tc>
          <w:tcPr>
            <w:tcW w:type="dxa" w:w="7160"/>
            <w:tcMar>
              <w:top w:type="dxa" w:w="60"/>
              <w:left w:type="dxa" w:w="110"/>
              <w:bottom w:type="dxa" w:w="60"/>
              <w:right w:type="dxa" w:w="110"/>
            </w:tcMar>
          </w:tcPr>
          <w:p>
            <w:pPr>
              <w:spacing w:after="20" w:line="252"/>
            </w:pPr>
            <w:r>
              <w:rPr>
                <w:color w:val="000000"/>
                <w:sz w:val="20"/>
                <w:szCs w:val="20"/>
              </w:rPr>
              <w:t xml:space="preserve">Fase 0.5 (recomendado)</w:t>
            </w:r>
          </w:p>
        </w:tc>
      </w:tr>
    </w:tbl>
    <w:p>
      <w:pPr>
        <w:spacing w:after="140"/>
      </w:pPr>
      <w:r>
        <w:rPr>
          <w:sz w:val="2"/>
          <w:szCs w:val="2"/>
        </w:rPr>
        <w:t xml:space="preserve"/>
      </w:r>
    </w:p>
    <w:p>
      <w:pPr>
        <w:pStyle w:val="Heading2"/>
        <w:spacing w:after="90" w:before="220"/>
      </w:pPr>
      <w:r>
        <w:rPr>
          <w:b/>
          <w:bCs/>
          <w:color w:val="2E5496"/>
          <w:sz w:val="25"/>
          <w:szCs w:val="25"/>
        </w:rPr>
        <w:t xml:space="preserve">Fase 2. Arbitraje estadístico / pares</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2200"/>
        <w:gridCol w:w="7160"/>
      </w:tblGrid>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Estado</w:t>
            </w:r>
          </w:p>
        </w:tc>
        <w:tc>
          <w:tcPr>
            <w:tcW w:type="dxa" w:w="7160"/>
            <w:tcMar>
              <w:top w:type="dxa" w:w="60"/>
              <w:left w:type="dxa" w:w="110"/>
              <w:bottom w:type="dxa" w:w="60"/>
              <w:right w:type="dxa" w:w="110"/>
            </w:tcMar>
          </w:tcPr>
          <w:p>
            <w:pPr>
              <w:spacing w:after="20" w:line="252"/>
            </w:pPr>
            <w:r>
              <w:rPr>
                <w:color w:val="595959"/>
                <w:sz w:val="20"/>
                <w:szCs w:val="20"/>
              </w:rPr>
              <w:t xml:space="preserve">PLANIFICADA</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Objetivo</w:t>
            </w:r>
          </w:p>
        </w:tc>
        <w:tc>
          <w:tcPr>
            <w:tcW w:type="dxa" w:w="7160"/>
            <w:tcMar>
              <w:top w:type="dxa" w:w="60"/>
              <w:left w:type="dxa" w:w="110"/>
              <w:bottom w:type="dxa" w:w="60"/>
              <w:right w:type="dxa" w:w="110"/>
            </w:tcMar>
          </w:tcPr>
          <w:p>
            <w:pPr>
              <w:spacing w:after="20" w:line="252"/>
            </w:pPr>
            <w:r>
              <w:rPr>
                <w:color w:val="000000"/>
                <w:sz w:val="20"/>
                <w:szCs w:val="20"/>
              </w:rPr>
              <w:t xml:space="preserve">Módulo market-neutral de pairs trading como segundo modo de operación.</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Entregables</w:t>
            </w:r>
          </w:p>
        </w:tc>
        <w:tc>
          <w:tcPr>
            <w:tcW w:type="dxa" w:w="7160"/>
            <w:tcMar>
              <w:top w:type="dxa" w:w="60"/>
              <w:left w:type="dxa" w:w="110"/>
              <w:bottom w:type="dxa" w:w="60"/>
              <w:right w:type="dxa" w:w="110"/>
            </w:tcMar>
          </w:tcPr>
          <w:p>
            <w:pPr>
              <w:pStyle w:val="ListParagraph"/>
              <w:numPr>
                <w:ilvl w:val="0"/>
                <w:numId w:val="2"/>
              </w:numPr>
              <w:spacing w:after="30" w:line="250"/>
            </w:pPr>
            <w:r>
              <w:rPr>
                <w:sz w:val="20"/>
                <w:szCs w:val="20"/>
              </w:rPr>
              <w:t xml:space="preserve">pairs/cointegration.py (Engle-Granger, Johansen, half-life)</w:t>
            </w:r>
          </w:p>
          <w:p>
            <w:pPr>
              <w:pStyle w:val="ListParagraph"/>
              <w:numPr>
                <w:ilvl w:val="0"/>
                <w:numId w:val="2"/>
              </w:numPr>
              <w:spacing w:after="30" w:line="250"/>
            </w:pPr>
            <w:r>
              <w:rPr>
                <w:sz w:val="20"/>
                <w:szCs w:val="20"/>
              </w:rPr>
              <w:t xml:space="preserve">pairs/kalman_hedge.py (hedge ratio dinámico)</w:t>
            </w:r>
          </w:p>
          <w:p>
            <w:pPr>
              <w:pStyle w:val="ListParagraph"/>
              <w:numPr>
                <w:ilvl w:val="0"/>
                <w:numId w:val="2"/>
              </w:numPr>
              <w:spacing w:after="30" w:line="250"/>
            </w:pPr>
            <w:r>
              <w:rPr>
                <w:sz w:val="20"/>
                <w:szCs w:val="20"/>
              </w:rPr>
              <w:t xml:space="preserve">pairs/stat_arb.py (z-score, Kelly)</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Criterios de aceptación (DoD)</w:t>
            </w:r>
          </w:p>
        </w:tc>
        <w:tc>
          <w:tcPr>
            <w:tcW w:type="dxa" w:w="7160"/>
            <w:tcMar>
              <w:top w:type="dxa" w:w="60"/>
              <w:left w:type="dxa" w:w="110"/>
              <w:bottom w:type="dxa" w:w="60"/>
              <w:right w:type="dxa" w:w="110"/>
            </w:tcMar>
          </w:tcPr>
          <w:p>
            <w:pPr>
              <w:pStyle w:val="ListParagraph"/>
              <w:numPr>
                <w:ilvl w:val="0"/>
                <w:numId w:val="2"/>
              </w:numPr>
              <w:spacing w:after="30" w:line="250"/>
            </w:pPr>
            <w:r>
              <w:rPr>
                <w:sz w:val="20"/>
                <w:szCs w:val="20"/>
              </w:rPr>
              <w:t xml:space="preserve">Selección de pares por test de cointegración</w:t>
            </w:r>
          </w:p>
          <w:p>
            <w:pPr>
              <w:pStyle w:val="ListParagraph"/>
              <w:numPr>
                <w:ilvl w:val="0"/>
                <w:numId w:val="2"/>
              </w:numPr>
              <w:spacing w:after="30" w:line="250"/>
            </w:pPr>
            <w:r>
              <w:rPr>
                <w:sz w:val="20"/>
                <w:szCs w:val="20"/>
              </w:rPr>
              <w:t xml:space="preserve">Backtest del spread con costos</w:t>
            </w:r>
          </w:p>
          <w:p>
            <w:pPr>
              <w:pStyle w:val="ListParagraph"/>
              <w:numPr>
                <w:ilvl w:val="0"/>
                <w:numId w:val="2"/>
              </w:numPr>
              <w:spacing w:after="30" w:line="250"/>
            </w:pPr>
            <w:r>
              <w:rPr>
                <w:sz w:val="20"/>
                <w:szCs w:val="20"/>
              </w:rPr>
              <w:t xml:space="preserve">Integración con el backtester común</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Dependencias</w:t>
            </w:r>
          </w:p>
        </w:tc>
        <w:tc>
          <w:tcPr>
            <w:tcW w:type="dxa" w:w="7160"/>
            <w:tcMar>
              <w:top w:type="dxa" w:w="60"/>
              <w:left w:type="dxa" w:w="110"/>
              <w:bottom w:type="dxa" w:w="60"/>
              <w:right w:type="dxa" w:w="110"/>
            </w:tcMar>
          </w:tcPr>
          <w:p>
            <w:pPr>
              <w:spacing w:after="20" w:line="252"/>
            </w:pPr>
            <w:r>
              <w:rPr>
                <w:color w:val="000000"/>
                <w:sz w:val="20"/>
                <w:szCs w:val="20"/>
              </w:rPr>
              <w:t xml:space="preserve">Fase 1</w:t>
            </w:r>
          </w:p>
        </w:tc>
      </w:tr>
    </w:tbl>
    <w:p>
      <w:pPr>
        <w:spacing w:after="140"/>
      </w:pPr>
      <w:r>
        <w:rPr>
          <w:sz w:val="2"/>
          <w:szCs w:val="2"/>
        </w:rPr>
        <w:t xml:space="preserve"/>
      </w:r>
    </w:p>
    <w:p>
      <w:pPr>
        <w:pStyle w:val="Heading2"/>
        <w:spacing w:after="90" w:before="220"/>
      </w:pPr>
      <w:r>
        <w:rPr>
          <w:b/>
          <w:bCs/>
          <w:color w:val="2E5496"/>
          <w:sz w:val="25"/>
          <w:szCs w:val="25"/>
        </w:rPr>
        <w:t xml:space="preserve">Fase 3. Capa de Machine Learning</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2200"/>
        <w:gridCol w:w="7160"/>
      </w:tblGrid>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Estado</w:t>
            </w:r>
          </w:p>
        </w:tc>
        <w:tc>
          <w:tcPr>
            <w:tcW w:type="dxa" w:w="7160"/>
            <w:tcMar>
              <w:top w:type="dxa" w:w="60"/>
              <w:left w:type="dxa" w:w="110"/>
              <w:bottom w:type="dxa" w:w="60"/>
              <w:right w:type="dxa" w:w="110"/>
            </w:tcMar>
          </w:tcPr>
          <w:p>
            <w:pPr>
              <w:spacing w:after="20" w:line="252"/>
            </w:pPr>
            <w:r>
              <w:rPr>
                <w:color w:val="595959"/>
                <w:sz w:val="20"/>
                <w:szCs w:val="20"/>
              </w:rPr>
              <w:t xml:space="preserve">PLANIFICADA</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Objetivo</w:t>
            </w:r>
          </w:p>
        </w:tc>
        <w:tc>
          <w:tcPr>
            <w:tcW w:type="dxa" w:w="7160"/>
            <w:tcMar>
              <w:top w:type="dxa" w:w="60"/>
              <w:left w:type="dxa" w:w="110"/>
              <w:bottom w:type="dxa" w:w="60"/>
              <w:right w:type="dxa" w:w="110"/>
            </w:tcMar>
          </w:tcPr>
          <w:p>
            <w:pPr>
              <w:spacing w:after="20" w:line="252"/>
            </w:pPr>
            <w:r>
              <w:rPr>
                <w:color w:val="000000"/>
                <w:sz w:val="20"/>
                <w:szCs w:val="20"/>
              </w:rPr>
              <w:t xml:space="preserve">Núcleo predictivo con etiquetado y validación de grado profesional.</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Entregables</w:t>
            </w:r>
          </w:p>
        </w:tc>
        <w:tc>
          <w:tcPr>
            <w:tcW w:type="dxa" w:w="7160"/>
            <w:tcMar>
              <w:top w:type="dxa" w:w="60"/>
              <w:left w:type="dxa" w:w="110"/>
              <w:bottom w:type="dxa" w:w="60"/>
              <w:right w:type="dxa" w:w="110"/>
            </w:tcMar>
          </w:tcPr>
          <w:p>
            <w:pPr>
              <w:pStyle w:val="ListParagraph"/>
              <w:numPr>
                <w:ilvl w:val="0"/>
                <w:numId w:val="2"/>
              </w:numPr>
              <w:spacing w:after="30" w:line="250"/>
            </w:pPr>
            <w:r>
              <w:rPr>
                <w:sz w:val="20"/>
                <w:szCs w:val="20"/>
              </w:rPr>
              <w:t xml:space="preserve">ml/labeling.py (triple-barrier + meta-labeling)</w:t>
            </w:r>
          </w:p>
          <w:p>
            <w:pPr>
              <w:pStyle w:val="ListParagraph"/>
              <w:numPr>
                <w:ilvl w:val="0"/>
                <w:numId w:val="2"/>
              </w:numPr>
              <w:spacing w:after="30" w:line="250"/>
            </w:pPr>
            <w:r>
              <w:rPr>
                <w:sz w:val="20"/>
                <w:szCs w:val="20"/>
              </w:rPr>
              <w:t xml:space="preserve">ml/validation.py (purged+embargo CV, deflated Sharpe)</w:t>
            </w:r>
          </w:p>
          <w:p>
            <w:pPr>
              <w:pStyle w:val="ListParagraph"/>
              <w:numPr>
                <w:ilvl w:val="0"/>
                <w:numId w:val="2"/>
              </w:numPr>
              <w:spacing w:after="30" w:line="250"/>
            </w:pPr>
            <w:r>
              <w:rPr>
                <w:sz w:val="20"/>
                <w:szCs w:val="20"/>
              </w:rPr>
              <w:t xml:space="preserve">ml/models.py (Gradient Boosting)</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Criterios de aceptación (DoD)</w:t>
            </w:r>
          </w:p>
        </w:tc>
        <w:tc>
          <w:tcPr>
            <w:tcW w:type="dxa" w:w="7160"/>
            <w:tcMar>
              <w:top w:type="dxa" w:w="60"/>
              <w:left w:type="dxa" w:w="110"/>
              <w:bottom w:type="dxa" w:w="60"/>
              <w:right w:type="dxa" w:w="110"/>
            </w:tcMar>
          </w:tcPr>
          <w:p>
            <w:pPr>
              <w:pStyle w:val="ListParagraph"/>
              <w:numPr>
                <w:ilvl w:val="0"/>
                <w:numId w:val="2"/>
              </w:numPr>
              <w:spacing w:after="30" w:line="250"/>
            </w:pPr>
            <w:r>
              <w:rPr>
                <w:sz w:val="20"/>
                <w:szCs w:val="20"/>
              </w:rPr>
              <w:t xml:space="preserve">Validación purged sin fugas demostrada</w:t>
            </w:r>
          </w:p>
          <w:p>
            <w:pPr>
              <w:pStyle w:val="ListParagraph"/>
              <w:numPr>
                <w:ilvl w:val="0"/>
                <w:numId w:val="2"/>
              </w:numPr>
              <w:spacing w:after="30" w:line="250"/>
            </w:pPr>
            <w:r>
              <w:rPr>
                <w:sz w:val="20"/>
                <w:szCs w:val="20"/>
              </w:rPr>
              <w:t xml:space="preserve">El modelo ML supera al baseline fuera de muestra, o se documenta que no lo hace</w:t>
            </w:r>
          </w:p>
          <w:p>
            <w:pPr>
              <w:pStyle w:val="ListParagraph"/>
              <w:numPr>
                <w:ilvl w:val="0"/>
                <w:numId w:val="2"/>
              </w:numPr>
              <w:spacing w:after="30" w:line="250"/>
            </w:pPr>
            <w:r>
              <w:rPr>
                <w:sz w:val="20"/>
                <w:szCs w:val="20"/>
              </w:rPr>
              <w:t xml:space="preserve">Métricas ajustadas por múltiples pruebas</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Dependencias</w:t>
            </w:r>
          </w:p>
        </w:tc>
        <w:tc>
          <w:tcPr>
            <w:tcW w:type="dxa" w:w="7160"/>
            <w:tcMar>
              <w:top w:type="dxa" w:w="60"/>
              <w:left w:type="dxa" w:w="110"/>
              <w:bottom w:type="dxa" w:w="60"/>
              <w:right w:type="dxa" w:w="110"/>
            </w:tcMar>
          </w:tcPr>
          <w:p>
            <w:pPr>
              <w:spacing w:after="20" w:line="252"/>
            </w:pPr>
            <w:r>
              <w:rPr>
                <w:color w:val="000000"/>
                <w:sz w:val="20"/>
                <w:szCs w:val="20"/>
              </w:rPr>
              <w:t xml:space="preserve">Fase 1</w:t>
            </w:r>
          </w:p>
        </w:tc>
      </w:tr>
    </w:tbl>
    <w:p>
      <w:pPr>
        <w:spacing w:after="140"/>
      </w:pPr>
      <w:r>
        <w:rPr>
          <w:sz w:val="2"/>
          <w:szCs w:val="2"/>
        </w:rPr>
        <w:t xml:space="preserve"/>
      </w:r>
    </w:p>
    <w:p>
      <w:pPr>
        <w:pStyle w:val="Heading2"/>
        <w:spacing w:after="90" w:before="220"/>
      </w:pPr>
      <w:r>
        <w:rPr>
          <w:b/>
          <w:bCs/>
          <w:color w:val="2E5496"/>
          <w:sz w:val="25"/>
          <w:szCs w:val="25"/>
        </w:rPr>
        <w:t xml:space="preserve">Fase 4. Interfaz de escritorio (terminal)</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2200"/>
        <w:gridCol w:w="7160"/>
      </w:tblGrid>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Estado</w:t>
            </w:r>
          </w:p>
        </w:tc>
        <w:tc>
          <w:tcPr>
            <w:tcW w:type="dxa" w:w="7160"/>
            <w:tcMar>
              <w:top w:type="dxa" w:w="60"/>
              <w:left w:type="dxa" w:w="110"/>
              <w:bottom w:type="dxa" w:w="60"/>
              <w:right w:type="dxa" w:w="110"/>
            </w:tcMar>
          </w:tcPr>
          <w:p>
            <w:pPr>
              <w:spacing w:after="20" w:line="252"/>
            </w:pPr>
            <w:r>
              <w:rPr>
                <w:color w:val="595959"/>
                <w:sz w:val="20"/>
                <w:szCs w:val="20"/>
              </w:rPr>
              <w:t xml:space="preserve">PLANIFICADA</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Objetivo</w:t>
            </w:r>
          </w:p>
        </w:tc>
        <w:tc>
          <w:tcPr>
            <w:tcW w:type="dxa" w:w="7160"/>
            <w:tcMar>
              <w:top w:type="dxa" w:w="60"/>
              <w:left w:type="dxa" w:w="110"/>
              <w:bottom w:type="dxa" w:w="60"/>
              <w:right w:type="dxa" w:w="110"/>
            </w:tcMar>
          </w:tcPr>
          <w:p>
            <w:pPr>
              <w:spacing w:after="20" w:line="252"/>
            </w:pPr>
            <w:r>
              <w:rPr>
                <w:color w:val="000000"/>
                <w:sz w:val="20"/>
                <w:szCs w:val="20"/>
              </w:rPr>
              <w:t xml:space="preserve">Terminal PySide6 que expone el motor de decisión de forma visual.</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Entregables</w:t>
            </w:r>
          </w:p>
        </w:tc>
        <w:tc>
          <w:tcPr>
            <w:tcW w:type="dxa" w:w="7160"/>
            <w:tcMar>
              <w:top w:type="dxa" w:w="60"/>
              <w:left w:type="dxa" w:w="110"/>
              <w:bottom w:type="dxa" w:w="60"/>
              <w:right w:type="dxa" w:w="110"/>
            </w:tcMar>
          </w:tcPr>
          <w:p>
            <w:pPr>
              <w:pStyle w:val="ListParagraph"/>
              <w:numPr>
                <w:ilvl w:val="0"/>
                <w:numId w:val="2"/>
              </w:numPr>
              <w:spacing w:after="30" w:line="250"/>
            </w:pPr>
            <w:r>
              <w:rPr>
                <w:sz w:val="20"/>
                <w:szCs w:val="20"/>
              </w:rPr>
              <w:t xml:space="preserve">app/ con gráficos, semáforo de decisión, tablas de señales y sizing</w:t>
            </w:r>
          </w:p>
          <w:p>
            <w:pPr>
              <w:pStyle w:val="ListParagraph"/>
              <w:numPr>
                <w:ilvl w:val="0"/>
                <w:numId w:val="2"/>
              </w:numPr>
              <w:spacing w:after="30" w:line="250"/>
            </w:pPr>
            <w:r>
              <w:rPr>
                <w:sz w:val="20"/>
                <w:szCs w:val="20"/>
              </w:rPr>
              <w:t xml:space="preserve">Threading para no congelar la UI durante cómputos</w:t>
            </w:r>
          </w:p>
          <w:p>
            <w:pPr>
              <w:pStyle w:val="ListParagraph"/>
              <w:numPr>
                <w:ilvl w:val="0"/>
                <w:numId w:val="2"/>
              </w:numPr>
              <w:spacing w:after="30" w:line="250"/>
            </w:pPr>
            <w:r>
              <w:rPr>
                <w:sz w:val="20"/>
                <w:szCs w:val="20"/>
              </w:rPr>
              <w:t xml:space="preserve">Panel de backtesting</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Criterios de aceptación (DoD)</w:t>
            </w:r>
          </w:p>
        </w:tc>
        <w:tc>
          <w:tcPr>
            <w:tcW w:type="dxa" w:w="7160"/>
            <w:tcMar>
              <w:top w:type="dxa" w:w="60"/>
              <w:left w:type="dxa" w:w="110"/>
              <w:bottom w:type="dxa" w:w="60"/>
              <w:right w:type="dxa" w:w="110"/>
            </w:tcMar>
          </w:tcPr>
          <w:p>
            <w:pPr>
              <w:pStyle w:val="ListParagraph"/>
              <w:numPr>
                <w:ilvl w:val="0"/>
                <w:numId w:val="2"/>
              </w:numPr>
              <w:spacing w:after="30" w:line="250"/>
            </w:pPr>
            <w:r>
              <w:rPr>
                <w:sz w:val="20"/>
                <w:szCs w:val="20"/>
              </w:rPr>
              <w:t xml:space="preserve">La UI corre el motor completo sin bloquearse</w:t>
            </w:r>
          </w:p>
          <w:p>
            <w:pPr>
              <w:pStyle w:val="ListParagraph"/>
              <w:numPr>
                <w:ilvl w:val="0"/>
                <w:numId w:val="2"/>
              </w:numPr>
              <w:spacing w:after="30" w:line="250"/>
            </w:pPr>
            <w:r>
              <w:rPr>
                <w:sz w:val="20"/>
                <w:szCs w:val="20"/>
              </w:rPr>
              <w:t xml:space="preserve">Visualización de régimen, señales y riesgo</w:t>
            </w:r>
          </w:p>
          <w:p>
            <w:pPr>
              <w:pStyle w:val="ListParagraph"/>
              <w:numPr>
                <w:ilvl w:val="0"/>
                <w:numId w:val="2"/>
              </w:numPr>
              <w:spacing w:after="30" w:line="250"/>
            </w:pPr>
            <w:r>
              <w:rPr>
                <w:sz w:val="20"/>
                <w:szCs w:val="20"/>
              </w:rPr>
              <w:t xml:space="preserve">Empaquetado ejecutable local</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Dependencias</w:t>
            </w:r>
          </w:p>
        </w:tc>
        <w:tc>
          <w:tcPr>
            <w:tcW w:type="dxa" w:w="7160"/>
            <w:tcMar>
              <w:top w:type="dxa" w:w="60"/>
              <w:left w:type="dxa" w:w="110"/>
              <w:bottom w:type="dxa" w:w="60"/>
              <w:right w:type="dxa" w:w="110"/>
            </w:tcMar>
          </w:tcPr>
          <w:p>
            <w:pPr>
              <w:spacing w:after="20" w:line="252"/>
            </w:pPr>
            <w:r>
              <w:rPr>
                <w:color w:val="000000"/>
                <w:sz w:val="20"/>
                <w:szCs w:val="20"/>
              </w:rPr>
              <w:t xml:space="preserve">Fases 1–3</w:t>
            </w:r>
          </w:p>
        </w:tc>
      </w:tr>
    </w:tbl>
    <w:p>
      <w:pPr>
        <w:spacing w:after="140"/>
      </w:pPr>
      <w:r>
        <w:rPr>
          <w:sz w:val="2"/>
          <w:szCs w:val="2"/>
        </w:rPr>
        <w:t xml:space="preserve"/>
      </w:r>
    </w:p>
    <w:p>
      <w:pPr>
        <w:pStyle w:val="Heading2"/>
        <w:spacing w:after="90" w:before="220"/>
      </w:pPr>
      <w:r>
        <w:rPr>
          <w:b/>
          <w:bCs/>
          <w:color w:val="2E5496"/>
          <w:sz w:val="25"/>
          <w:szCs w:val="25"/>
        </w:rPr>
        <w:t xml:space="preserve">Fase 5. Extensiones (opcional)</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2200"/>
        <w:gridCol w:w="7160"/>
      </w:tblGrid>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Estado</w:t>
            </w:r>
          </w:p>
        </w:tc>
        <w:tc>
          <w:tcPr>
            <w:tcW w:type="dxa" w:w="7160"/>
            <w:tcMar>
              <w:top w:type="dxa" w:w="60"/>
              <w:left w:type="dxa" w:w="110"/>
              <w:bottom w:type="dxa" w:w="60"/>
              <w:right w:type="dxa" w:w="110"/>
            </w:tcMar>
          </w:tcPr>
          <w:p>
            <w:pPr>
              <w:spacing w:after="20" w:line="252"/>
            </w:pPr>
            <w:r>
              <w:rPr>
                <w:color w:val="595959"/>
                <w:sz w:val="20"/>
                <w:szCs w:val="20"/>
              </w:rPr>
              <w:t xml:space="preserve">OPCIONAL</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Objetivo</w:t>
            </w:r>
          </w:p>
        </w:tc>
        <w:tc>
          <w:tcPr>
            <w:tcW w:type="dxa" w:w="7160"/>
            <w:tcMar>
              <w:top w:type="dxa" w:w="60"/>
              <w:left w:type="dxa" w:w="110"/>
              <w:bottom w:type="dxa" w:w="60"/>
              <w:right w:type="dxa" w:w="110"/>
            </w:tcMar>
          </w:tcPr>
          <w:p>
            <w:pPr>
              <w:spacing w:after="20" w:line="252"/>
            </w:pPr>
            <w:r>
              <w:rPr>
                <w:color w:val="000000"/>
                <w:sz w:val="20"/>
                <w:szCs w:val="20"/>
              </w:rPr>
              <w:t xml:space="preserve">Experimentos avanzados para comparar contra el sistema base.</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Entregables</w:t>
            </w:r>
          </w:p>
        </w:tc>
        <w:tc>
          <w:tcPr>
            <w:tcW w:type="dxa" w:w="7160"/>
            <w:tcMar>
              <w:top w:type="dxa" w:w="60"/>
              <w:left w:type="dxa" w:w="110"/>
              <w:bottom w:type="dxa" w:w="60"/>
              <w:right w:type="dxa" w:w="110"/>
            </w:tcMar>
          </w:tcPr>
          <w:p>
            <w:pPr>
              <w:pStyle w:val="ListParagraph"/>
              <w:numPr>
                <w:ilvl w:val="0"/>
                <w:numId w:val="2"/>
              </w:numPr>
              <w:spacing w:after="30" w:line="250"/>
            </w:pPr>
            <w:r>
              <w:rPr>
                <w:sz w:val="20"/>
                <w:szCs w:val="20"/>
              </w:rPr>
              <w:t xml:space="preserve">Deep Learning (LSTM/Transformers) experimental</w:t>
            </w:r>
          </w:p>
          <w:p>
            <w:pPr>
              <w:pStyle w:val="ListParagraph"/>
              <w:numPr>
                <w:ilvl w:val="0"/>
                <w:numId w:val="2"/>
              </w:numPr>
              <w:spacing w:after="30" w:line="250"/>
            </w:pPr>
            <w:r>
              <w:rPr>
                <w:sz w:val="20"/>
                <w:szCs w:val="20"/>
              </w:rPr>
              <w:t xml:space="preserve">Detección de régimen con modelos ocultos de Markov (HMM)</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Criterios de aceptación (DoD)</w:t>
            </w:r>
          </w:p>
        </w:tc>
        <w:tc>
          <w:tcPr>
            <w:tcW w:type="dxa" w:w="7160"/>
            <w:tcMar>
              <w:top w:type="dxa" w:w="60"/>
              <w:left w:type="dxa" w:w="110"/>
              <w:bottom w:type="dxa" w:w="60"/>
              <w:right w:type="dxa" w:w="110"/>
            </w:tcMar>
          </w:tcPr>
          <w:p>
            <w:pPr>
              <w:pStyle w:val="ListParagraph"/>
              <w:numPr>
                <w:ilvl w:val="0"/>
                <w:numId w:val="2"/>
              </w:numPr>
              <w:spacing w:after="30" w:line="250"/>
            </w:pPr>
            <w:r>
              <w:rPr>
                <w:sz w:val="20"/>
                <w:szCs w:val="20"/>
              </w:rPr>
              <w:t xml:space="preserve">Comparación honesta contra el baseline</w:t>
            </w:r>
          </w:p>
          <w:p>
            <w:pPr>
              <w:pStyle w:val="ListParagraph"/>
              <w:numPr>
                <w:ilvl w:val="0"/>
                <w:numId w:val="2"/>
              </w:numPr>
              <w:spacing w:after="30" w:line="250"/>
            </w:pPr>
            <w:r>
              <w:rPr>
                <w:sz w:val="20"/>
                <w:szCs w:val="20"/>
              </w:rPr>
              <w:t xml:space="preserve">Conclusión documentada (aunque sea negativa)</w:t>
            </w:r>
          </w:p>
        </w:tc>
      </w:tr>
      <w:tr>
        <w:tc>
          <w:tcPr>
            <w:tcW w:type="dxa" w:w="2200"/>
            <w:shd w:fill="EEF2F8" w:color="auto" w:val="clear"/>
            <w:tcMar>
              <w:top w:type="dxa" w:w="60"/>
              <w:left w:type="dxa" w:w="110"/>
              <w:bottom w:type="dxa" w:w="60"/>
              <w:right w:type="dxa" w:w="110"/>
            </w:tcMar>
          </w:tcPr>
          <w:p>
            <w:pPr>
              <w:spacing w:after="20" w:line="250"/>
              <w:jc w:val="left"/>
            </w:pPr>
            <w:r>
              <w:rPr>
                <w:b/>
                <w:bCs/>
                <w:color w:val="1F3864"/>
                <w:sz w:val="20"/>
                <w:szCs w:val="20"/>
              </w:rPr>
              <w:t xml:space="preserve">Dependencias</w:t>
            </w:r>
          </w:p>
        </w:tc>
        <w:tc>
          <w:tcPr>
            <w:tcW w:type="dxa" w:w="7160"/>
            <w:tcMar>
              <w:top w:type="dxa" w:w="60"/>
              <w:left w:type="dxa" w:w="110"/>
              <w:bottom w:type="dxa" w:w="60"/>
              <w:right w:type="dxa" w:w="110"/>
            </w:tcMar>
          </w:tcPr>
          <w:p>
            <w:pPr>
              <w:spacing w:after="20" w:line="252"/>
            </w:pPr>
            <w:r>
              <w:rPr>
                <w:color w:val="000000"/>
                <w:sz w:val="20"/>
                <w:szCs w:val="20"/>
              </w:rPr>
              <w:t xml:space="preserve">Fase 3</w:t>
            </w:r>
          </w:p>
        </w:tc>
      </w:tr>
    </w:tbl>
    <w:p>
      <w:pPr>
        <w:spacing w:after="140"/>
      </w:pPr>
      <w:r>
        <w:rPr>
          <w:sz w:val="2"/>
          <w:szCs w:val="2"/>
        </w:rPr>
        <w:t xml:space="preserve"/>
      </w:r>
    </w:p>
    <w:p>
      <w:r>
        <w:br w:type="page"/>
      </w:r>
    </w:p>
    <w:p>
      <w:pPr>
        <w:pStyle w:val="Heading1"/>
        <w:spacing w:after="140" w:before="320"/>
      </w:pPr>
      <w:r>
        <w:rPr>
          <w:b/>
          <w:bCs/>
          <w:color w:val="1F3864"/>
          <w:sz w:val="30"/>
          <w:szCs w:val="30"/>
        </w:rPr>
        <w:t xml:space="preserve">10. Flujo de trabajo operativo</w:t>
      </w:r>
    </w:p>
    <w:p>
      <w:pPr>
        <w:spacing w:after="120" w:line="276"/>
      </w:pPr>
      <w:r>
        <w:rPr>
          <w:sz w:val="21"/>
          <w:szCs w:val="21"/>
        </w:rPr>
        <w:t xml:space="preserve">Ciclo estándar por cada entrega, diseñado para trazabilidad y verificación independiente:</w:t>
      </w:r>
    </w:p>
    <w:p>
      <w:pPr>
        <w:pStyle w:val="ListParagraph"/>
        <w:numPr>
          <w:ilvl w:val="0"/>
          <w:numId w:val="2"/>
        </w:numPr>
        <w:spacing w:after="60" w:line="268"/>
      </w:pPr>
      <w:r>
        <w:rPr>
          <w:b/>
          <w:bCs/>
          <w:sz w:val="21"/>
          <w:szCs w:val="21"/>
        </w:rPr>
        <w:t xml:space="preserve">1. </w:t>
      </w:r>
      <w:r>
        <w:rPr>
          <w:sz w:val="21"/>
          <w:szCs w:val="21"/>
        </w:rPr>
        <w:t xml:space="preserve">El revisor (Claude, chat) redacta un prompt acotado para la subfase, con criterios de aceptación.</w:t>
      </w:r>
    </w:p>
    <w:p>
      <w:pPr>
        <w:pStyle w:val="ListParagraph"/>
        <w:numPr>
          <w:ilvl w:val="0"/>
          <w:numId w:val="2"/>
        </w:numPr>
        <w:spacing w:after="60" w:line="268"/>
      </w:pPr>
      <w:r>
        <w:rPr>
          <w:b/>
          <w:bCs/>
          <w:sz w:val="21"/>
          <w:szCs w:val="21"/>
        </w:rPr>
        <w:t xml:space="preserve">2. </w:t>
      </w:r>
      <w:r>
        <w:rPr>
          <w:sz w:val="21"/>
          <w:szCs w:val="21"/>
        </w:rPr>
        <w:t xml:space="preserve">El implementador (Claude Code) desarrolla en el entorno local, ejecuta los tests y sube al repositorio (git add / commit / push).</w:t>
      </w:r>
    </w:p>
    <w:p>
      <w:pPr>
        <w:pStyle w:val="ListParagraph"/>
        <w:numPr>
          <w:ilvl w:val="0"/>
          <w:numId w:val="2"/>
        </w:numPr>
        <w:spacing w:after="60" w:line="268"/>
      </w:pPr>
      <w:r>
        <w:rPr>
          <w:b/>
          <w:bCs/>
          <w:sz w:val="21"/>
          <w:szCs w:val="21"/>
        </w:rPr>
        <w:t xml:space="preserve">3. </w:t>
      </w:r>
      <w:r>
        <w:rPr>
          <w:sz w:val="21"/>
          <w:szCs w:val="21"/>
        </w:rPr>
        <w:t xml:space="preserve">El revisor clona el repositorio, corre los tests y realiza una verificación funcional independiente sobre datos reales.</w:t>
      </w:r>
    </w:p>
    <w:p>
      <w:pPr>
        <w:pStyle w:val="ListParagraph"/>
        <w:numPr>
          <w:ilvl w:val="0"/>
          <w:numId w:val="2"/>
        </w:numPr>
        <w:spacing w:after="60" w:line="268"/>
      </w:pPr>
      <w:r>
        <w:rPr>
          <w:b/>
          <w:bCs/>
          <w:sz w:val="21"/>
          <w:szCs w:val="21"/>
        </w:rPr>
        <w:t xml:space="preserve">4. </w:t>
      </w:r>
      <w:r>
        <w:rPr>
          <w:sz w:val="21"/>
          <w:szCs w:val="21"/>
        </w:rPr>
        <w:t xml:space="preserve">Si cumple el gate, se aprueba y se pasa a la siguiente subfase; si no, se corrige antes de avanzar.</w:t>
      </w:r>
    </w:p>
    <w:p>
      <w:pPr>
        <w:spacing w:after="120" w:line="276"/>
      </w:pPr>
      <w:r>
        <w:rPr>
          <w:b/>
          <w:bCs/>
          <w:sz w:val="21"/>
          <w:szCs w:val="21"/>
        </w:rPr>
        <w:t xml:space="preserve">Regla operativa: </w:t>
      </w:r>
      <w:r>
        <w:rPr>
          <w:sz w:val="21"/>
          <w:szCs w:val="21"/>
        </w:rPr>
        <w:t xml:space="preserve">todo prompt de implementación termina con la instrucción explícita de commitear y pushear, y de confirmar que el push fue exitoso.</w:t>
      </w:r>
    </w:p>
    <w:p>
      <w:pPr>
        <w:pStyle w:val="Heading1"/>
        <w:spacing w:after="140" w:before="320"/>
      </w:pPr>
      <w:r>
        <w:rPr>
          <w:b/>
          <w:bCs/>
          <w:color w:val="1F3864"/>
          <w:sz w:val="30"/>
          <w:szCs w:val="30"/>
        </w:rPr>
        <w:t xml:space="preserve">11. Estado actual del proyecto</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3800"/>
        <w:gridCol w:w="1800"/>
        <w:gridCol w:w="3760"/>
      </w:tblGrid>
      <w:tr>
        <w:trPr>
          <w:tblHeader/>
        </w:trPr>
        <w:tc>
          <w:tcPr>
            <w:tcW w:type="dxa" w:w="3800"/>
            <w:shd w:fill="1F3864" w:color="auto" w:val="clear"/>
            <w:tcMar>
              <w:top w:type="dxa" w:w="60"/>
              <w:left w:type="dxa" w:w="110"/>
              <w:bottom w:type="dxa" w:w="60"/>
              <w:right w:type="dxa" w:w="110"/>
            </w:tcMar>
          </w:tcPr>
          <w:p>
            <w:pPr>
              <w:spacing w:after="20" w:line="250"/>
              <w:jc w:val="left"/>
            </w:pPr>
            <w:r>
              <w:rPr>
                <w:b/>
                <w:bCs/>
                <w:color w:val="FFFFFF"/>
                <w:sz w:val="20"/>
                <w:szCs w:val="20"/>
              </w:rPr>
              <w:t xml:space="preserve">Fase / Entrega</w:t>
            </w:r>
          </w:p>
        </w:tc>
        <w:tc>
          <w:tcPr>
            <w:tcW w:type="dxa" w:w="1800"/>
            <w:shd w:fill="1F3864" w:color="auto" w:val="clear"/>
            <w:tcMar>
              <w:top w:type="dxa" w:w="60"/>
              <w:left w:type="dxa" w:w="110"/>
              <w:bottom w:type="dxa" w:w="60"/>
              <w:right w:type="dxa" w:w="110"/>
            </w:tcMar>
          </w:tcPr>
          <w:p>
            <w:pPr>
              <w:spacing w:after="20" w:line="250"/>
              <w:jc w:val="left"/>
            </w:pPr>
            <w:r>
              <w:rPr>
                <w:b/>
                <w:bCs/>
                <w:color w:val="FFFFFF"/>
                <w:sz w:val="20"/>
                <w:szCs w:val="20"/>
              </w:rPr>
              <w:t xml:space="preserve">Estado</w:t>
            </w:r>
          </w:p>
        </w:tc>
        <w:tc>
          <w:tcPr>
            <w:tcW w:type="dxa" w:w="3760"/>
            <w:shd w:fill="1F3864" w:color="auto" w:val="clear"/>
            <w:tcMar>
              <w:top w:type="dxa" w:w="60"/>
              <w:left w:type="dxa" w:w="110"/>
              <w:bottom w:type="dxa" w:w="60"/>
              <w:right w:type="dxa" w:w="110"/>
            </w:tcMar>
          </w:tcPr>
          <w:p>
            <w:pPr>
              <w:spacing w:after="20" w:line="250"/>
              <w:jc w:val="left"/>
            </w:pPr>
            <w:r>
              <w:rPr>
                <w:b/>
                <w:bCs/>
                <w:color w:val="FFFFFF"/>
                <w:sz w:val="20"/>
                <w:szCs w:val="20"/>
              </w:rPr>
              <w:t xml:space="preserve">Verificación</w:t>
            </w:r>
          </w:p>
        </w:tc>
      </w:tr>
      <w:tr>
        <w:tc>
          <w:tcPr>
            <w:tcW w:type="dxa" w:w="3800"/>
            <w:tcMar>
              <w:top w:type="dxa" w:w="60"/>
              <w:left w:type="dxa" w:w="110"/>
              <w:bottom w:type="dxa" w:w="60"/>
              <w:right w:type="dxa" w:w="110"/>
            </w:tcMar>
          </w:tcPr>
          <w:p>
            <w:pPr>
              <w:spacing w:after="20" w:line="250"/>
              <w:jc w:val="left"/>
            </w:pPr>
            <w:r>
              <w:rPr>
                <w:b w:val="false"/>
                <w:bCs w:val="false"/>
                <w:color w:val="000000"/>
                <w:sz w:val="20"/>
                <w:szCs w:val="20"/>
              </w:rPr>
              <w:t xml:space="preserve">Fase 0 — Andamiaje + datos</w:t>
            </w:r>
          </w:p>
        </w:tc>
        <w:tc>
          <w:tcPr>
            <w:tcW w:type="dxa" w:w="1800"/>
            <w:tcMar>
              <w:top w:type="dxa" w:w="60"/>
              <w:left w:type="dxa" w:w="110"/>
              <w:bottom w:type="dxa" w:w="60"/>
              <w:right w:type="dxa" w:w="110"/>
            </w:tcMar>
          </w:tcPr>
          <w:p>
            <w:pPr>
              <w:spacing w:after="20" w:line="250"/>
              <w:jc w:val="left"/>
            </w:pPr>
            <w:r>
              <w:rPr>
                <w:b w:val="false"/>
                <w:bCs w:val="false"/>
                <w:color w:val="000000"/>
                <w:sz w:val="20"/>
                <w:szCs w:val="20"/>
              </w:rPr>
              <w:t xml:space="preserve">Completada</w:t>
            </w:r>
          </w:p>
        </w:tc>
        <w:tc>
          <w:tcPr>
            <w:tcW w:type="dxa" w:w="3760"/>
            <w:tcMar>
              <w:top w:type="dxa" w:w="60"/>
              <w:left w:type="dxa" w:w="110"/>
              <w:bottom w:type="dxa" w:w="60"/>
              <w:right w:type="dxa" w:w="110"/>
            </w:tcMar>
          </w:tcPr>
          <w:p>
            <w:pPr>
              <w:spacing w:after="20" w:line="250"/>
              <w:jc w:val="left"/>
            </w:pPr>
            <w:r>
              <w:rPr>
                <w:b w:val="false"/>
                <w:bCs w:val="false"/>
                <w:color w:val="000000"/>
                <w:sz w:val="20"/>
                <w:szCs w:val="20"/>
              </w:rPr>
              <w:t xml:space="preserve">36 tests en verde; ingesta real verificada</w:t>
            </w:r>
          </w:p>
        </w:tc>
      </w:tr>
      <w:tr>
        <w:tc>
          <w:tcPr>
            <w:tcW w:type="dxa" w:w="38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Fase 1a — Indicadores + métricas</w:t>
            </w:r>
          </w:p>
        </w:tc>
        <w:tc>
          <w:tcPr>
            <w:tcW w:type="dxa" w:w="18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Completada</w:t>
            </w:r>
          </w:p>
        </w:tc>
        <w:tc>
          <w:tcPr>
            <w:tcW w:type="dxa" w:w="376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Verificada sobre BTC real; VaR/ES y drawdown correctos</w:t>
            </w:r>
          </w:p>
        </w:tc>
      </w:tr>
      <w:tr>
        <w:tc>
          <w:tcPr>
            <w:tcW w:type="dxa" w:w="3800"/>
            <w:tcMar>
              <w:top w:type="dxa" w:w="60"/>
              <w:left w:type="dxa" w:w="110"/>
              <w:bottom w:type="dxa" w:w="60"/>
              <w:right w:type="dxa" w:w="110"/>
            </w:tcMar>
          </w:tcPr>
          <w:p>
            <w:pPr>
              <w:spacing w:after="20" w:line="250"/>
              <w:jc w:val="left"/>
            </w:pPr>
            <w:r>
              <w:rPr>
                <w:b w:val="false"/>
                <w:bCs w:val="false"/>
                <w:color w:val="000000"/>
                <w:sz w:val="20"/>
                <w:szCs w:val="20"/>
              </w:rPr>
              <w:t xml:space="preserve">Fase 0.5 — Calidad de datos + EDA</w:t>
            </w:r>
          </w:p>
        </w:tc>
        <w:tc>
          <w:tcPr>
            <w:tcW w:type="dxa" w:w="1800"/>
            <w:tcMar>
              <w:top w:type="dxa" w:w="60"/>
              <w:left w:type="dxa" w:w="110"/>
              <w:bottom w:type="dxa" w:w="60"/>
              <w:right w:type="dxa" w:w="110"/>
            </w:tcMar>
          </w:tcPr>
          <w:p>
            <w:pPr>
              <w:spacing w:after="20" w:line="250"/>
              <w:jc w:val="left"/>
            </w:pPr>
            <w:r>
              <w:rPr>
                <w:b w:val="false"/>
                <w:bCs w:val="false"/>
                <w:color w:val="000000"/>
                <w:sz w:val="20"/>
                <w:szCs w:val="20"/>
              </w:rPr>
              <w:t xml:space="preserve">Próxima</w:t>
            </w:r>
          </w:p>
        </w:tc>
        <w:tc>
          <w:tcPr>
            <w:tcW w:type="dxa" w:w="3760"/>
            <w:tcMar>
              <w:top w:type="dxa" w:w="60"/>
              <w:left w:type="dxa" w:w="110"/>
              <w:bottom w:type="dxa" w:w="60"/>
              <w:right w:type="dxa" w:w="110"/>
            </w:tcMar>
          </w:tcPr>
          <w:p>
            <w:pPr>
              <w:spacing w:after="20" w:line="250"/>
              <w:jc w:val="left"/>
            </w:pPr>
            <w:r>
              <w:rPr>
                <w:b w:val="false"/>
                <w:bCs w:val="false"/>
                <w:color w:val="000000"/>
                <w:sz w:val="20"/>
                <w:szCs w:val="20"/>
              </w:rPr>
              <w:t xml:space="preserve">Pendiente de ejecutar</w:t>
            </w:r>
          </w:p>
        </w:tc>
      </w:tr>
      <w:tr>
        <w:tc>
          <w:tcPr>
            <w:tcW w:type="dxa" w:w="38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Fase 1b–1e — Resto del motor clásico</w:t>
            </w:r>
          </w:p>
        </w:tc>
        <w:tc>
          <w:tcPr>
            <w:tcW w:type="dxa" w:w="18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En cola</w:t>
            </w:r>
          </w:p>
        </w:tc>
        <w:tc>
          <w:tcPr>
            <w:tcW w:type="dxa" w:w="376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Pendiente</w:t>
            </w:r>
          </w:p>
        </w:tc>
      </w:tr>
    </w:tbl>
    <w:p>
      <w:pPr>
        <w:spacing w:after="120"/>
      </w:pPr>
      <w:r>
        <w:rPr>
          <w:sz w:val="2"/>
          <w:szCs w:val="2"/>
        </w:rPr>
        <w:t xml:space="preserve"/>
      </w:r>
    </w:p>
    <w:p>
      <w:pPr>
        <w:spacing w:after="120" w:line="276"/>
      </w:pPr>
      <w:r>
        <w:rPr>
          <w:b/>
          <w:bCs/>
          <w:sz w:val="21"/>
          <w:szCs w:val="21"/>
        </w:rPr>
        <w:t xml:space="preserve">Recomendación del revisor: </w:t>
      </w:r>
      <w:r>
        <w:rPr>
          <w:sz w:val="21"/>
          <w:szCs w:val="21"/>
        </w:rPr>
        <w:t xml:space="preserve">ejecutar la Fase 0.5 (calidad de datos + EDA) como próximo paso antes de continuar con GARCH y ARIMA, para no construir modelos sobre datos sin auditar.</w:t>
      </w:r>
    </w:p>
    <w:p>
      <w:pPr>
        <w:pStyle w:val="Heading1"/>
        <w:spacing w:after="140" w:before="320"/>
      </w:pPr>
      <w:r>
        <w:rPr>
          <w:b/>
          <w:bCs/>
          <w:color w:val="1F3864"/>
          <w:sz w:val="30"/>
          <w:szCs w:val="30"/>
        </w:rPr>
        <w:t xml:space="preserve">12. Gestión de riesgos del proyecto</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3200"/>
        <w:gridCol w:w="1400"/>
        <w:gridCol w:w="4760"/>
      </w:tblGrid>
      <w:tr>
        <w:trPr>
          <w:tblHeader/>
        </w:trPr>
        <w:tc>
          <w:tcPr>
            <w:tcW w:type="dxa" w:w="3200"/>
            <w:shd w:fill="1F3864" w:color="auto" w:val="clear"/>
            <w:tcMar>
              <w:top w:type="dxa" w:w="60"/>
              <w:left w:type="dxa" w:w="110"/>
              <w:bottom w:type="dxa" w:w="60"/>
              <w:right w:type="dxa" w:w="110"/>
            </w:tcMar>
          </w:tcPr>
          <w:p>
            <w:pPr>
              <w:spacing w:after="20" w:line="250"/>
              <w:jc w:val="left"/>
            </w:pPr>
            <w:r>
              <w:rPr>
                <w:b/>
                <w:bCs/>
                <w:color w:val="FFFFFF"/>
                <w:sz w:val="20"/>
                <w:szCs w:val="20"/>
              </w:rPr>
              <w:t xml:space="preserve">Riesgo</w:t>
            </w:r>
          </w:p>
        </w:tc>
        <w:tc>
          <w:tcPr>
            <w:tcW w:type="dxa" w:w="1400"/>
            <w:shd w:fill="1F3864" w:color="auto" w:val="clear"/>
            <w:tcMar>
              <w:top w:type="dxa" w:w="60"/>
              <w:left w:type="dxa" w:w="110"/>
              <w:bottom w:type="dxa" w:w="60"/>
              <w:right w:type="dxa" w:w="110"/>
            </w:tcMar>
          </w:tcPr>
          <w:p>
            <w:pPr>
              <w:spacing w:after="20" w:line="250"/>
              <w:jc w:val="left"/>
            </w:pPr>
            <w:r>
              <w:rPr>
                <w:b/>
                <w:bCs/>
                <w:color w:val="FFFFFF"/>
                <w:sz w:val="20"/>
                <w:szCs w:val="20"/>
              </w:rPr>
              <w:t xml:space="preserve">Impacto</w:t>
            </w:r>
          </w:p>
        </w:tc>
        <w:tc>
          <w:tcPr>
            <w:tcW w:type="dxa" w:w="4760"/>
            <w:shd w:fill="1F3864" w:color="auto" w:val="clear"/>
            <w:tcMar>
              <w:top w:type="dxa" w:w="60"/>
              <w:left w:type="dxa" w:w="110"/>
              <w:bottom w:type="dxa" w:w="60"/>
              <w:right w:type="dxa" w:w="110"/>
            </w:tcMar>
          </w:tcPr>
          <w:p>
            <w:pPr>
              <w:spacing w:after="20" w:line="250"/>
              <w:jc w:val="left"/>
            </w:pPr>
            <w:r>
              <w:rPr>
                <w:b/>
                <w:bCs/>
                <w:color w:val="FFFFFF"/>
                <w:sz w:val="20"/>
                <w:szCs w:val="20"/>
              </w:rPr>
              <w:t xml:space="preserve">Mitigación</w:t>
            </w:r>
          </w:p>
        </w:tc>
      </w:tr>
      <w:tr>
        <w:tc>
          <w:tcPr>
            <w:tcW w:type="dxa" w:w="3200"/>
            <w:tcMar>
              <w:top w:type="dxa" w:w="60"/>
              <w:left w:type="dxa" w:w="110"/>
              <w:bottom w:type="dxa" w:w="60"/>
              <w:right w:type="dxa" w:w="110"/>
            </w:tcMar>
          </w:tcPr>
          <w:p>
            <w:pPr>
              <w:spacing w:after="20" w:line="250"/>
              <w:jc w:val="left"/>
            </w:pPr>
            <w:r>
              <w:rPr>
                <w:b w:val="false"/>
                <w:bCs w:val="false"/>
                <w:color w:val="000000"/>
                <w:sz w:val="20"/>
                <w:szCs w:val="20"/>
              </w:rPr>
              <w:t xml:space="preserve">Sobreajuste de backtest</w:t>
            </w:r>
          </w:p>
        </w:tc>
        <w:tc>
          <w:tcPr>
            <w:tcW w:type="dxa" w:w="1400"/>
            <w:tcMar>
              <w:top w:type="dxa" w:w="60"/>
              <w:left w:type="dxa" w:w="110"/>
              <w:bottom w:type="dxa" w:w="60"/>
              <w:right w:type="dxa" w:w="110"/>
            </w:tcMar>
          </w:tcPr>
          <w:p>
            <w:pPr>
              <w:spacing w:after="20" w:line="250"/>
              <w:jc w:val="left"/>
            </w:pPr>
            <w:r>
              <w:rPr>
                <w:b w:val="false"/>
                <w:bCs w:val="false"/>
                <w:color w:val="000000"/>
                <w:sz w:val="20"/>
                <w:szCs w:val="20"/>
              </w:rPr>
              <w:t xml:space="preserve">Alto</w:t>
            </w:r>
          </w:p>
        </w:tc>
        <w:tc>
          <w:tcPr>
            <w:tcW w:type="dxa" w:w="4760"/>
            <w:tcMar>
              <w:top w:type="dxa" w:w="60"/>
              <w:left w:type="dxa" w:w="110"/>
              <w:bottom w:type="dxa" w:w="60"/>
              <w:right w:type="dxa" w:w="110"/>
            </w:tcMar>
          </w:tcPr>
          <w:p>
            <w:pPr>
              <w:spacing w:after="20" w:line="250"/>
              <w:jc w:val="left"/>
            </w:pPr>
            <w:r>
              <w:rPr>
                <w:b w:val="false"/>
                <w:bCs w:val="false"/>
                <w:color w:val="000000"/>
                <w:sz w:val="20"/>
                <w:szCs w:val="20"/>
              </w:rPr>
              <w:t xml:space="preserve">Purging+embargo, walk-forward, deflated Sharpe, costos siempre</w:t>
            </w:r>
          </w:p>
        </w:tc>
      </w:tr>
      <w:tr>
        <w:tc>
          <w:tcPr>
            <w:tcW w:type="dxa" w:w="32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Data leakage (fuga de futuro)</w:t>
            </w:r>
          </w:p>
        </w:tc>
        <w:tc>
          <w:tcPr>
            <w:tcW w:type="dxa" w:w="14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Alto</w:t>
            </w:r>
          </w:p>
        </w:tc>
        <w:tc>
          <w:tcPr>
            <w:tcW w:type="dxa" w:w="476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Auditoría de features; validación temporal estricta</w:t>
            </w:r>
          </w:p>
        </w:tc>
      </w:tr>
      <w:tr>
        <w:tc>
          <w:tcPr>
            <w:tcW w:type="dxa" w:w="3200"/>
            <w:tcMar>
              <w:top w:type="dxa" w:w="60"/>
              <w:left w:type="dxa" w:w="110"/>
              <w:bottom w:type="dxa" w:w="60"/>
              <w:right w:type="dxa" w:w="110"/>
            </w:tcMar>
          </w:tcPr>
          <w:p>
            <w:pPr>
              <w:spacing w:after="20" w:line="250"/>
              <w:jc w:val="left"/>
            </w:pPr>
            <w:r>
              <w:rPr>
                <w:b w:val="false"/>
                <w:bCs w:val="false"/>
                <w:color w:val="000000"/>
                <w:sz w:val="20"/>
                <w:szCs w:val="20"/>
              </w:rPr>
              <w:t xml:space="preserve">Datos de baja calidad</w:t>
            </w:r>
          </w:p>
        </w:tc>
        <w:tc>
          <w:tcPr>
            <w:tcW w:type="dxa" w:w="1400"/>
            <w:tcMar>
              <w:top w:type="dxa" w:w="60"/>
              <w:left w:type="dxa" w:w="110"/>
              <w:bottom w:type="dxa" w:w="60"/>
              <w:right w:type="dxa" w:w="110"/>
            </w:tcMar>
          </w:tcPr>
          <w:p>
            <w:pPr>
              <w:spacing w:after="20" w:line="250"/>
              <w:jc w:val="left"/>
            </w:pPr>
            <w:r>
              <w:rPr>
                <w:b w:val="false"/>
                <w:bCs w:val="false"/>
                <w:color w:val="000000"/>
                <w:sz w:val="20"/>
                <w:szCs w:val="20"/>
              </w:rPr>
              <w:t xml:space="preserve">Alto</w:t>
            </w:r>
          </w:p>
        </w:tc>
        <w:tc>
          <w:tcPr>
            <w:tcW w:type="dxa" w:w="4760"/>
            <w:tcMar>
              <w:top w:type="dxa" w:w="60"/>
              <w:left w:type="dxa" w:w="110"/>
              <w:bottom w:type="dxa" w:w="60"/>
              <w:right w:type="dxa" w:w="110"/>
            </w:tcMar>
          </w:tcPr>
          <w:p>
            <w:pPr>
              <w:spacing w:after="20" w:line="250"/>
              <w:jc w:val="left"/>
            </w:pPr>
            <w:r>
              <w:rPr>
                <w:b w:val="false"/>
                <w:bCs w:val="false"/>
                <w:color w:val="000000"/>
                <w:sz w:val="20"/>
                <w:szCs w:val="20"/>
              </w:rPr>
              <w:t xml:space="preserve">Fase 0.5 de calidad de datos y EDA antes de modelar</w:t>
            </w:r>
          </w:p>
        </w:tc>
      </w:tr>
      <w:tr>
        <w:tc>
          <w:tcPr>
            <w:tcW w:type="dxa" w:w="32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Cambio de régimen del mercado</w:t>
            </w:r>
          </w:p>
        </w:tc>
        <w:tc>
          <w:tcPr>
            <w:tcW w:type="dxa" w:w="14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Medio</w:t>
            </w:r>
          </w:p>
        </w:tc>
        <w:tc>
          <w:tcPr>
            <w:tcW w:type="dxa" w:w="476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Régimen GARCH; reentrenamiento; monitoreo de estabilidad</w:t>
            </w:r>
          </w:p>
        </w:tc>
      </w:tr>
      <w:tr>
        <w:tc>
          <w:tcPr>
            <w:tcW w:type="dxa" w:w="3200"/>
            <w:tcMar>
              <w:top w:type="dxa" w:w="60"/>
              <w:left w:type="dxa" w:w="110"/>
              <w:bottom w:type="dxa" w:w="60"/>
              <w:right w:type="dxa" w:w="110"/>
            </w:tcMar>
          </w:tcPr>
          <w:p>
            <w:pPr>
              <w:spacing w:after="20" w:line="250"/>
              <w:jc w:val="left"/>
            </w:pPr>
            <w:r>
              <w:rPr>
                <w:b w:val="false"/>
                <w:bCs w:val="false"/>
                <w:color w:val="000000"/>
                <w:sz w:val="20"/>
                <w:szCs w:val="20"/>
              </w:rPr>
              <w:t xml:space="preserve">Desorden de proceso / deuda técnica</w:t>
            </w:r>
          </w:p>
        </w:tc>
        <w:tc>
          <w:tcPr>
            <w:tcW w:type="dxa" w:w="1400"/>
            <w:tcMar>
              <w:top w:type="dxa" w:w="60"/>
              <w:left w:type="dxa" w:w="110"/>
              <w:bottom w:type="dxa" w:w="60"/>
              <w:right w:type="dxa" w:w="110"/>
            </w:tcMar>
          </w:tcPr>
          <w:p>
            <w:pPr>
              <w:spacing w:after="20" w:line="250"/>
              <w:jc w:val="left"/>
            </w:pPr>
            <w:r>
              <w:rPr>
                <w:b w:val="false"/>
                <w:bCs w:val="false"/>
                <w:color w:val="000000"/>
                <w:sz w:val="20"/>
                <w:szCs w:val="20"/>
              </w:rPr>
              <w:t xml:space="preserve">Medio</w:t>
            </w:r>
          </w:p>
        </w:tc>
        <w:tc>
          <w:tcPr>
            <w:tcW w:type="dxa" w:w="4760"/>
            <w:tcMar>
              <w:top w:type="dxa" w:w="60"/>
              <w:left w:type="dxa" w:w="110"/>
              <w:bottom w:type="dxa" w:w="60"/>
              <w:right w:type="dxa" w:w="110"/>
            </w:tcMar>
          </w:tcPr>
          <w:p>
            <w:pPr>
              <w:spacing w:after="20" w:line="250"/>
              <w:jc w:val="left"/>
            </w:pPr>
            <w:r>
              <w:rPr>
                <w:b w:val="false"/>
                <w:bCs w:val="false"/>
                <w:color w:val="000000"/>
                <w:sz w:val="20"/>
                <w:szCs w:val="20"/>
              </w:rPr>
              <w:t xml:space="preserve">Este charter; fases con gates; verificación independiente</w:t>
            </w:r>
          </w:p>
        </w:tc>
      </w:tr>
      <w:tr>
        <w:tc>
          <w:tcPr>
            <w:tcW w:type="dxa" w:w="32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Límites de API / acceso a datos</w:t>
            </w:r>
          </w:p>
        </w:tc>
        <w:tc>
          <w:tcPr>
            <w:tcW w:type="dxa" w:w="14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Bajo</w:t>
            </w:r>
          </w:p>
        </w:tc>
        <w:tc>
          <w:tcPr>
            <w:tcW w:type="dxa" w:w="476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Fuentes múltiples con fallback en cascada</w:t>
            </w:r>
          </w:p>
        </w:tc>
      </w:tr>
    </w:tbl>
    <w:p>
      <w:pPr>
        <w:pStyle w:val="Heading1"/>
        <w:spacing w:after="140" w:before="320"/>
      </w:pPr>
      <w:r>
        <w:rPr>
          <w:b/>
          <w:bCs/>
          <w:color w:val="1F3864"/>
          <w:sz w:val="30"/>
          <w:szCs w:val="30"/>
        </w:rPr>
        <w:t xml:space="preserve">13. Fuentes de datos</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1900"/>
        <w:gridCol w:w="3200"/>
        <w:gridCol w:w="4260"/>
      </w:tblGrid>
      <w:tr>
        <w:trPr>
          <w:tblHeader/>
        </w:trPr>
        <w:tc>
          <w:tcPr>
            <w:tcW w:type="dxa" w:w="1900"/>
            <w:shd w:fill="1F3864" w:color="auto" w:val="clear"/>
            <w:tcMar>
              <w:top w:type="dxa" w:w="60"/>
              <w:left w:type="dxa" w:w="110"/>
              <w:bottom w:type="dxa" w:w="60"/>
              <w:right w:type="dxa" w:w="110"/>
            </w:tcMar>
          </w:tcPr>
          <w:p>
            <w:pPr>
              <w:spacing w:after="20" w:line="250"/>
              <w:jc w:val="left"/>
            </w:pPr>
            <w:r>
              <w:rPr>
                <w:b/>
                <w:bCs/>
                <w:color w:val="FFFFFF"/>
                <w:sz w:val="20"/>
                <w:szCs w:val="20"/>
              </w:rPr>
              <w:t xml:space="preserve">Fuente</w:t>
            </w:r>
          </w:p>
        </w:tc>
        <w:tc>
          <w:tcPr>
            <w:tcW w:type="dxa" w:w="3200"/>
            <w:shd w:fill="1F3864" w:color="auto" w:val="clear"/>
            <w:tcMar>
              <w:top w:type="dxa" w:w="60"/>
              <w:left w:type="dxa" w:w="110"/>
              <w:bottom w:type="dxa" w:w="60"/>
              <w:right w:type="dxa" w:w="110"/>
            </w:tcMar>
          </w:tcPr>
          <w:p>
            <w:pPr>
              <w:spacing w:after="20" w:line="250"/>
              <w:jc w:val="left"/>
            </w:pPr>
            <w:r>
              <w:rPr>
                <w:b/>
                <w:bCs/>
                <w:color w:val="FFFFFF"/>
                <w:sz w:val="20"/>
                <w:szCs w:val="20"/>
              </w:rPr>
              <w:t xml:space="preserve">Uso</w:t>
            </w:r>
          </w:p>
        </w:tc>
        <w:tc>
          <w:tcPr>
            <w:tcW w:type="dxa" w:w="4260"/>
            <w:shd w:fill="1F3864" w:color="auto" w:val="clear"/>
            <w:tcMar>
              <w:top w:type="dxa" w:w="60"/>
              <w:left w:type="dxa" w:w="110"/>
              <w:bottom w:type="dxa" w:w="60"/>
              <w:right w:type="dxa" w:w="110"/>
            </w:tcMar>
          </w:tcPr>
          <w:p>
            <w:pPr>
              <w:spacing w:after="20" w:line="250"/>
              <w:jc w:val="left"/>
            </w:pPr>
            <w:r>
              <w:rPr>
                <w:b/>
                <w:bCs/>
                <w:color w:val="FFFFFF"/>
                <w:sz w:val="20"/>
                <w:szCs w:val="20"/>
              </w:rPr>
              <w:t xml:space="preserve">Consideraciones</w:t>
            </w:r>
          </w:p>
        </w:tc>
      </w:tr>
      <w:tr>
        <w:tc>
          <w:tcPr>
            <w:tcW w:type="dxa" w:w="1900"/>
            <w:tcMar>
              <w:top w:type="dxa" w:w="60"/>
              <w:left w:type="dxa" w:w="110"/>
              <w:bottom w:type="dxa" w:w="60"/>
              <w:right w:type="dxa" w:w="110"/>
            </w:tcMar>
          </w:tcPr>
          <w:p>
            <w:pPr>
              <w:spacing w:after="20" w:line="250"/>
              <w:jc w:val="left"/>
            </w:pPr>
            <w:r>
              <w:rPr>
                <w:b w:val="false"/>
                <w:bCs w:val="false"/>
                <w:color w:val="000000"/>
                <w:sz w:val="20"/>
                <w:szCs w:val="20"/>
              </w:rPr>
              <w:t xml:space="preserve">Binance (klines)</w:t>
            </w:r>
          </w:p>
        </w:tc>
        <w:tc>
          <w:tcPr>
            <w:tcW w:type="dxa" w:w="3200"/>
            <w:tcMar>
              <w:top w:type="dxa" w:w="60"/>
              <w:left w:type="dxa" w:w="110"/>
              <w:bottom w:type="dxa" w:w="60"/>
              <w:right w:type="dxa" w:w="110"/>
            </w:tcMar>
          </w:tcPr>
          <w:p>
            <w:pPr>
              <w:spacing w:after="20" w:line="250"/>
              <w:jc w:val="left"/>
            </w:pPr>
            <w:r>
              <w:rPr>
                <w:b w:val="false"/>
                <w:bCs w:val="false"/>
                <w:color w:val="000000"/>
                <w:sz w:val="20"/>
                <w:szCs w:val="20"/>
              </w:rPr>
              <w:t xml:space="preserve">Primaria — OHLCV diario para backtest y operación</w:t>
            </w:r>
          </w:p>
        </w:tc>
        <w:tc>
          <w:tcPr>
            <w:tcW w:type="dxa" w:w="4260"/>
            <w:tcMar>
              <w:top w:type="dxa" w:w="60"/>
              <w:left w:type="dxa" w:w="110"/>
              <w:bottom w:type="dxa" w:w="60"/>
              <w:right w:type="dxa" w:w="110"/>
            </w:tcMar>
          </w:tcPr>
          <w:p>
            <w:pPr>
              <w:spacing w:after="20" w:line="250"/>
              <w:jc w:val="left"/>
            </w:pPr>
            <w:r>
              <w:rPr>
                <w:b w:val="false"/>
                <w:bCs w:val="false"/>
                <w:color w:val="000000"/>
                <w:sz w:val="20"/>
                <w:szCs w:val="20"/>
              </w:rPr>
              <w:t xml:space="preserve">Pública sin API key; ~1200 req/min; ~500–1000 velas por request (se pagina)</w:t>
            </w:r>
          </w:p>
        </w:tc>
      </w:tr>
      <w:tr>
        <w:tc>
          <w:tcPr>
            <w:tcW w:type="dxa" w:w="19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CoinMetrics</w:t>
            </w:r>
          </w:p>
        </w:tc>
        <w:tc>
          <w:tcPr>
            <w:tcW w:type="dxa" w:w="320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Fallback + verificación offline</w:t>
            </w:r>
          </w:p>
        </w:tc>
        <w:tc>
          <w:tcPr>
            <w:tcW w:type="dxa" w:w="4260"/>
            <w:shd w:fill="EEF2F8" w:color="auto" w:val="clear"/>
            <w:tcMar>
              <w:top w:type="dxa" w:w="60"/>
              <w:left w:type="dxa" w:w="110"/>
              <w:bottom w:type="dxa" w:w="60"/>
              <w:right w:type="dxa" w:w="110"/>
            </w:tcMar>
          </w:tcPr>
          <w:p>
            <w:pPr>
              <w:spacing w:after="20" w:line="250"/>
              <w:jc w:val="left"/>
            </w:pPr>
            <w:r>
              <w:rPr>
                <w:b w:val="false"/>
                <w:bCs w:val="false"/>
                <w:color w:val="000000"/>
                <w:sz w:val="20"/>
                <w:szCs w:val="20"/>
              </w:rPr>
              <w:t xml:space="preserve">Histórico diario completo vía GitHub; solo precio de cierre</w:t>
            </w:r>
          </w:p>
        </w:tc>
      </w:tr>
      <w:tr>
        <w:tc>
          <w:tcPr>
            <w:tcW w:type="dxa" w:w="1900"/>
            <w:tcMar>
              <w:top w:type="dxa" w:w="60"/>
              <w:left w:type="dxa" w:w="110"/>
              <w:bottom w:type="dxa" w:w="60"/>
              <w:right w:type="dxa" w:w="110"/>
            </w:tcMar>
          </w:tcPr>
          <w:p>
            <w:pPr>
              <w:spacing w:after="20" w:line="250"/>
              <w:jc w:val="left"/>
            </w:pPr>
            <w:r>
              <w:rPr>
                <w:b w:val="false"/>
                <w:bCs w:val="false"/>
                <w:color w:val="000000"/>
                <w:sz w:val="20"/>
                <w:szCs w:val="20"/>
              </w:rPr>
              <w:t xml:space="preserve">CoinGecko</w:t>
            </w:r>
          </w:p>
        </w:tc>
        <w:tc>
          <w:tcPr>
            <w:tcW w:type="dxa" w:w="3200"/>
            <w:tcMar>
              <w:top w:type="dxa" w:w="60"/>
              <w:left w:type="dxa" w:w="110"/>
              <w:bottom w:type="dxa" w:w="60"/>
              <w:right w:type="dxa" w:w="110"/>
            </w:tcMar>
          </w:tcPr>
          <w:p>
            <w:pPr>
              <w:spacing w:after="20" w:line="250"/>
              <w:jc w:val="left"/>
            </w:pPr>
            <w:r>
              <w:rPr>
                <w:b w:val="false"/>
                <w:bCs w:val="false"/>
                <w:color w:val="000000"/>
                <w:sz w:val="20"/>
                <w:szCs w:val="20"/>
              </w:rPr>
              <w:t xml:space="preserve">Fallback secundario</w:t>
            </w:r>
          </w:p>
        </w:tc>
        <w:tc>
          <w:tcPr>
            <w:tcW w:type="dxa" w:w="4260"/>
            <w:tcMar>
              <w:top w:type="dxa" w:w="60"/>
              <w:left w:type="dxa" w:w="110"/>
              <w:bottom w:type="dxa" w:w="60"/>
              <w:right w:type="dxa" w:w="110"/>
            </w:tcMar>
          </w:tcPr>
          <w:p>
            <w:pPr>
              <w:spacing w:after="20" w:line="250"/>
              <w:jc w:val="left"/>
            </w:pPr>
            <w:r>
              <w:rPr>
                <w:b w:val="false"/>
                <w:bCs w:val="false"/>
                <w:color w:val="000000"/>
                <w:sz w:val="20"/>
                <w:szCs w:val="20"/>
              </w:rPr>
              <w:t xml:space="preserve">Histórico gratuito limitado (~365 días); suele requerir API key</w:t>
            </w:r>
          </w:p>
        </w:tc>
      </w:tr>
    </w:tbl>
    <w:p>
      <w:pPr>
        <w:pStyle w:val="Heading1"/>
        <w:spacing w:after="140" w:before="320"/>
      </w:pPr>
      <w:r>
        <w:rPr>
          <w:b/>
          <w:bCs/>
          <w:color w:val="1F3864"/>
          <w:sz w:val="30"/>
          <w:szCs w:val="30"/>
        </w:rPr>
        <w:t xml:space="preserve">14. Advertencias y limitaciones</w:t>
      </w:r>
    </w:p>
    <w:p>
      <w:pPr>
        <w:pBdr>
          <w:left w:val="single" w:color="9C6500" w:sz="18" w:space="10"/>
        </w:pBdr>
        <w:shd w:fill="FBF3E4" w:color="auto" w:val="clear"/>
        <w:spacing w:after="120" w:before="80" w:line="268"/>
      </w:pPr>
      <w:r>
        <w:rPr>
          <w:b/>
          <w:bCs/>
          <w:color w:val="9C6500"/>
          <w:sz w:val="21"/>
          <w:szCs w:val="21"/>
        </w:rPr>
        <w:t xml:space="preserve">Aviso importante. </w:t>
      </w:r>
      <w:r>
        <w:rPr>
          <w:sz w:val="21"/>
          <w:szCs w:val="21"/>
        </w:rPr>
        <w:t xml:space="preserve">crypto-quant-desk es una herramienta de análisis cuantitativo y educación. No constituye asesoramiento financiero ni recomendación de inversión. El trading de criptoactivos conlleva un riesgo elevado de pérdida total del capital. El desempeño histórico en backtests no garantiza resultados futuros. Toda decisión de operar es responsabilidad exclusiva del usuario.</w:t>
      </w:r>
    </w:p>
    <w:p>
      <w:pPr>
        <w:pStyle w:val="Heading1"/>
        <w:spacing w:after="140" w:before="320"/>
      </w:pPr>
      <w:r>
        <w:rPr>
          <w:b/>
          <w:bCs/>
          <w:color w:val="1F3864"/>
          <w:sz w:val="30"/>
          <w:szCs w:val="30"/>
        </w:rPr>
        <w:t xml:space="preserve">Glosario</w:t>
      </w:r>
    </w:p>
    <w:p>
      <w:pPr>
        <w:pStyle w:val="ListParagraph"/>
        <w:numPr>
          <w:ilvl w:val="0"/>
          <w:numId w:val="2"/>
        </w:numPr>
        <w:spacing w:after="60" w:line="268"/>
      </w:pPr>
      <w:r>
        <w:rPr>
          <w:b/>
          <w:bCs/>
          <w:sz w:val="21"/>
          <w:szCs w:val="21"/>
        </w:rPr>
        <w:t xml:space="preserve">GARCH / EGARCH / GJR: </w:t>
      </w:r>
      <w:r>
        <w:rPr>
          <w:sz w:val="21"/>
          <w:szCs w:val="21"/>
        </w:rPr>
        <w:t xml:space="preserve">modelos de volatilidad condicional; las variantes E/GJR capturan la asimetría de las caídas.</w:t>
      </w:r>
    </w:p>
    <w:p>
      <w:pPr>
        <w:pStyle w:val="ListParagraph"/>
        <w:numPr>
          <w:ilvl w:val="0"/>
          <w:numId w:val="2"/>
        </w:numPr>
        <w:spacing w:after="60" w:line="268"/>
      </w:pPr>
      <w:r>
        <w:rPr>
          <w:b/>
          <w:bCs/>
          <w:sz w:val="21"/>
          <w:szCs w:val="21"/>
        </w:rPr>
        <w:t xml:space="preserve">Cointegración: </w:t>
      </w:r>
      <w:r>
        <w:rPr>
          <w:sz w:val="21"/>
          <w:szCs w:val="21"/>
        </w:rPr>
        <w:t xml:space="preserve">relación estadística de largo plazo entre dos series; base del pairs trading.</w:t>
      </w:r>
    </w:p>
    <w:p>
      <w:pPr>
        <w:pStyle w:val="ListParagraph"/>
        <w:numPr>
          <w:ilvl w:val="0"/>
          <w:numId w:val="2"/>
        </w:numPr>
        <w:spacing w:after="60" w:line="268"/>
      </w:pPr>
      <w:r>
        <w:rPr>
          <w:b/>
          <w:bCs/>
          <w:sz w:val="21"/>
          <w:szCs w:val="21"/>
        </w:rPr>
        <w:t xml:space="preserve">Triple-barrier: </w:t>
      </w:r>
      <w:r>
        <w:rPr>
          <w:sz w:val="21"/>
          <w:szCs w:val="21"/>
        </w:rPr>
        <w:t xml:space="preserve">método de etiquetado que define el resultado de un trade por la primera barrera tocada (TP, SL o tiempo).</w:t>
      </w:r>
    </w:p>
    <w:p>
      <w:pPr>
        <w:pStyle w:val="ListParagraph"/>
        <w:numPr>
          <w:ilvl w:val="0"/>
          <w:numId w:val="2"/>
        </w:numPr>
        <w:spacing w:after="60" w:line="268"/>
      </w:pPr>
      <w:r>
        <w:rPr>
          <w:b/>
          <w:bCs/>
          <w:sz w:val="21"/>
          <w:szCs w:val="21"/>
        </w:rPr>
        <w:t xml:space="preserve">Meta-labeling: </w:t>
      </w:r>
      <w:r>
        <w:rPr>
          <w:sz w:val="21"/>
          <w:szCs w:val="21"/>
        </w:rPr>
        <w:t xml:space="preserve">técnica en dos etapas: un modelo decide el lado; otro decide el tamaño filtrando señales.</w:t>
      </w:r>
    </w:p>
    <w:p>
      <w:pPr>
        <w:pStyle w:val="ListParagraph"/>
        <w:numPr>
          <w:ilvl w:val="0"/>
          <w:numId w:val="2"/>
        </w:numPr>
        <w:spacing w:after="60" w:line="268"/>
      </w:pPr>
      <w:r>
        <w:rPr>
          <w:b/>
          <w:bCs/>
          <w:sz w:val="21"/>
          <w:szCs w:val="21"/>
        </w:rPr>
        <w:t xml:space="preserve">Purging + embargo: </w:t>
      </w:r>
      <w:r>
        <w:rPr>
          <w:sz w:val="21"/>
          <w:szCs w:val="21"/>
        </w:rPr>
        <w:t xml:space="preserve">validación cruzada que evita la fuga de información temporal en finanzas.</w:t>
      </w:r>
    </w:p>
    <w:p>
      <w:pPr>
        <w:pStyle w:val="ListParagraph"/>
        <w:numPr>
          <w:ilvl w:val="0"/>
          <w:numId w:val="2"/>
        </w:numPr>
        <w:spacing w:after="60" w:line="268"/>
      </w:pPr>
      <w:r>
        <w:rPr>
          <w:b/>
          <w:bCs/>
          <w:sz w:val="21"/>
          <w:szCs w:val="21"/>
        </w:rPr>
        <w:t xml:space="preserve">VaR / Expected Shortfall: </w:t>
      </w:r>
      <w:r>
        <w:rPr>
          <w:sz w:val="21"/>
          <w:szCs w:val="21"/>
        </w:rPr>
        <w:t xml:space="preserve">medidas de riesgo de cola; ES es la pérdida esperada más allá del VaR.</w:t>
      </w:r>
    </w:p>
    <w:p>
      <w:pPr>
        <w:pStyle w:val="ListParagraph"/>
        <w:numPr>
          <w:ilvl w:val="0"/>
          <w:numId w:val="2"/>
        </w:numPr>
        <w:spacing w:after="60" w:line="268"/>
      </w:pPr>
      <w:r>
        <w:rPr>
          <w:b/>
          <w:bCs/>
          <w:sz w:val="21"/>
          <w:szCs w:val="21"/>
        </w:rPr>
        <w:t xml:space="preserve">Vol targeting: </w:t>
      </w:r>
      <w:r>
        <w:rPr>
          <w:sz w:val="21"/>
          <w:szCs w:val="21"/>
        </w:rPr>
        <w:t xml:space="preserve">dimensionar posiciones para apuntar a un nivel de volatilidad objetivo.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6" w:space="6"/>
      </w:pBdr>
      <w:jc w:val="center"/>
    </w:pPr>
    <w:r>
      <w:rPr>
        <w:color w:val="595959"/>
        <w:sz w:val="16"/>
        <w:szCs w:val="16"/>
      </w:rPr>
      <w:t xml:space="preserve">crypto-quant-desk · Charter v1.0 · Confidencial ·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 y Charter de Proyecto — crypto-quant-desk</dc:title>
  <dc:creator>crypto-quant-desk</dc:creator>
  <cp:lastModifiedBy>Un-named</cp:lastModifiedBy>
  <cp:revision>1</cp:revision>
  <dcterms:created xsi:type="dcterms:W3CDTF">2026-08-12T21:35:04.601Z</dcterms:created>
  <dcterms:modified xsi:type="dcterms:W3CDTF">2026-08-12T21:35:04.612Z</dcterms:modified>
</cp:coreProperties>
</file>

<file path=docProps/custom.xml><?xml version="1.0" encoding="utf-8"?>
<Properties xmlns="http://schemas.openxmlformats.org/officeDocument/2006/custom-properties" xmlns:vt="http://schemas.openxmlformats.org/officeDocument/2006/docPropsVTypes"/>
</file>