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3A5F"/>
          <w:sz w:val="56"/>
          <w:szCs w:val="56"/>
        </w:rPr>
        <w:t xml:space="preserve">FX Book Risk Analyzer</w:t>
      </w:r>
    </w:p>
    <w:p>
      <w:pPr>
        <w:spacing w:after="0" w:before="120"/>
        <w:jc w:val="center"/>
      </w:pPr>
      <w:r>
        <w:rPr>
          <w:rFonts w:ascii="Arial" w:cs="Arial" w:eastAsia="Arial" w:hAnsi="Arial"/>
          <w:color w:val="5C6678"/>
          <w:sz w:val="32"/>
          <w:szCs w:val="32"/>
        </w:rPr>
        <w:t xml:space="preserve">Technical and user manual</w:t>
      </w:r>
    </w:p>
    <w:p>
      <w:pPr>
        <w:spacing w:after="0" w:before="120"/>
        <w:jc w:val="center"/>
      </w:pPr>
      <w:r>
        <w:rPr>
          <w:rFonts w:ascii="Arial" w:cs="Arial" w:eastAsia="Arial" w:hAnsi="Arial"/>
          <w:i/>
          <w:iCs/>
          <w:color w:val="8A93A3"/>
          <w:sz w:val="24"/>
          <w:szCs w:val="24"/>
        </w:rPr>
        <w:t xml:space="preserve">A risk engine for a book of FX forwards and options</w:t>
      </w:r>
    </w:p>
    <w:p>
      <w:pPr>
        <w:spacing w:before="2400"/>
        <w:jc w:val="center"/>
      </w:pPr>
      <w:r>
        <w:rPr>
          <w:rFonts w:ascii="Arial" w:cs="Arial" w:eastAsia="Arial" w:hAnsi="Arial"/>
          <w:color w:val="8A93A3"/>
          <w:sz w:val="20"/>
          <w:szCs w:val="20"/>
        </w:rPr>
        <w:t xml:space="preserve">Reference document · construction, formulas and behaviour</w:t>
      </w:r>
    </w:p>
    <w:p>
      <w:r>
        <w:br w:type="page"/>
      </w:r>
    </w:p>
    <w:p>
      <w:pPr>
        <w:pStyle w:val="Heading1"/>
      </w:pPr>
      <w:r>
        <w:rPr>
          <w:rFonts w:ascii="Arial" w:cs="Arial" w:eastAsia="Arial" w:hAnsi="Arial"/>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What the project is</w:t>
      </w:r>
    </w:p>
    <w:p>
      <w:pPr>
        <w:spacing w:after="120" w:line="276"/>
      </w:pPr>
      <w:r>
        <w:rPr>
          <w:rFonts w:ascii="Arial" w:cs="Arial" w:eastAsia="Arial" w:hAnsi="Arial"/>
          <w:sz w:val="22"/>
          <w:szCs w:val="22"/>
        </w:rPr>
        <w:t xml:space="preserve">This project is a risk-analysis tool for a book of foreign-exchange (FX) trades: forwards and options on currency pairs. It is built from the point of view of an FX provider — a fintech that sells currency hedging to its clients — and not from the point of view of a speculator. That distinction, which seems subtle, drives absolutely everything the program computes and how it presents it. It is worth understanding before any formula.</w:t>
      </w:r>
    </w:p>
    <w:p>
      <w:pPr>
        <w:pStyle w:val="Heading2"/>
      </w:pPr>
      <w:r>
        <w:rPr>
          <w:rFonts w:ascii="Arial" w:cs="Arial" w:eastAsia="Arial" w:hAnsi="Arial"/>
        </w:rPr>
        <w:t xml:space="preserve">1.1 The provider-first concept</w:t>
      </w:r>
    </w:p>
    <w:p>
      <w:pPr>
        <w:spacing w:after="120" w:line="276"/>
      </w:pPr>
      <w:r>
        <w:rPr>
          <w:rFonts w:ascii="Arial" w:cs="Arial" w:eastAsia="Arial" w:hAnsi="Arial"/>
          <w:sz w:val="22"/>
          <w:szCs w:val="22"/>
        </w:rPr>
        <w:t xml:space="preserve">Imagine an importer that must pay EUR 2,000,000 to a European manufacturer in 90 days. Today it does not know the exchange rate at which it will be able to buy those euros in 90 days: if the euro appreciates, it will cost more in its home currency. To remove that uncertainty, the importer goes to an FX provider (for example Ebury) and agrees a forward: it fixes today the rate at which it will buy the euros in 90 days. The importer is hedged; it no longer carries FX risk.</w:t>
      </w:r>
    </w:p>
    <w:p>
      <w:pPr>
        <w:spacing w:after="120" w:line="276"/>
      </w:pPr>
      <w:r>
        <w:rPr>
          <w:rFonts w:ascii="Arial" w:cs="Arial" w:eastAsia="Arial" w:hAnsi="Arial"/>
          <w:sz w:val="22"/>
          <w:szCs w:val="22"/>
        </w:rPr>
        <w:t xml:space="preserve">Now comes the central point: </w:t>
      </w:r>
      <w:r>
        <w:rPr>
          <w:rFonts w:ascii="Arial" w:cs="Arial" w:eastAsia="Arial" w:hAnsi="Arial"/>
          <w:b/>
          <w:bCs/>
          <w:sz w:val="22"/>
          <w:szCs w:val="22"/>
        </w:rPr>
        <w:t xml:space="preserve">that risk does not disappear, it is transferred to the provider.</w:t>
      </w:r>
      <w:r>
        <w:rPr>
          <w:rFonts w:ascii="Arial" w:cs="Arial" w:eastAsia="Arial" w:hAnsi="Arial"/>
          <w:sz w:val="22"/>
          <w:szCs w:val="22"/>
        </w:rPr>
        <w:t xml:space="preserve"> When the client buys EUR 2,000,000 forward from the provider, the provider takes the mirror position: it has committed to </w:t>
      </w:r>
      <w:r>
        <w:rPr>
          <w:rFonts w:ascii="Arial" w:cs="Arial" w:eastAsia="Arial" w:hAnsi="Arial"/>
          <w:i/>
          <w:iCs/>
          <w:sz w:val="22"/>
          <w:szCs w:val="22"/>
        </w:rPr>
        <w:t xml:space="preserve">sell</w:t>
      </w:r>
      <w:r>
        <w:rPr>
          <w:rFonts w:ascii="Arial" w:cs="Arial" w:eastAsia="Arial" w:hAnsi="Arial"/>
          <w:sz w:val="22"/>
          <w:szCs w:val="22"/>
        </w:rPr>
        <w:t xml:space="preserve"> EUR 2,000,000 forward. If the euro appreciates, the provider loses (it must deliver euros now worth more at a lower agreed price). The provider is the one that ends up carrying the market risk, and it is that risk this tool measures.</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Key idea. </w:t>
      </w:r>
      <w:r>
        <w:rPr>
          <w:rFonts w:ascii="Arial" w:cs="Arial" w:eastAsia="Arial" w:hAnsi="Arial"/>
          <w:sz w:val="22"/>
          <w:szCs w:val="22"/>
        </w:rPr>
        <w:t xml:space="preserve">The provider's position is always the </w:t>
      </w:r>
      <w:r>
        <w:rPr>
          <w:rFonts w:ascii="Arial" w:cs="Arial" w:eastAsia="Arial" w:hAnsi="Arial"/>
          <w:b/>
          <w:bCs/>
          <w:sz w:val="22"/>
          <w:szCs w:val="22"/>
        </w:rPr>
        <w:t xml:space="preserve">mirror</w:t>
      </w:r>
      <w:r>
        <w:rPr>
          <w:rFonts w:ascii="Arial" w:cs="Arial" w:eastAsia="Arial" w:hAnsi="Arial"/>
          <w:sz w:val="22"/>
          <w:szCs w:val="22"/>
        </w:rPr>
        <w:t xml:space="preserve"> of the client's. If the client buys the base currency, the provider is short that currency. If the client sells it, the provider is long. The whole risk engine reasons about the provider's position.</w:t>
      </w:r>
    </w:p>
    <w:p>
      <w:pPr>
        <w:spacing w:after="120" w:line="276"/>
      </w:pPr>
      <w:r>
        <w:rPr>
          <w:rFonts w:ascii="Arial" w:cs="Arial" w:eastAsia="Arial" w:hAnsi="Arial"/>
          <w:sz w:val="22"/>
          <w:szCs w:val="22"/>
        </w:rPr>
        <w:t xml:space="preserve">That is why the architecture is called «provider-first»: the natural flow of the tool is that the client does a trade and the program automatically records the provider's mirror position. In the code, when a position is added to the book, the client's side is inverted with the expression not side — if the client buys (side = True), the provider gets long_base = not True = False, that is, short. This is seen literally in the app when a forward is added:</w:t>
      </w:r>
    </w:p>
    <w:p>
      <w:pPr>
        <w:shd w:fill="1E1E2E" w:val="clear"/>
        <w:spacing w:after="0" w:line="264"/>
        <w:ind w:left="360"/>
      </w:pPr>
      <w:r>
        <w:rPr>
          <w:rFonts w:ascii="Consolas" w:cs="Consolas" w:eastAsia="Consolas" w:hAnsi="Consolas"/>
          <w:color w:val="E8ECF3"/>
          <w:sz w:val="18"/>
          <w:szCs w:val="18"/>
        </w:rPr>
        <w:t xml:space="preserve"># The client chooses to buy or sell the base; the provider takes the mirror.</w:t>
      </w:r>
    </w:p>
    <w:p>
      <w:pPr>
        <w:shd w:fill="1E1E2E" w:val="clear"/>
        <w:spacing w:after="0" w:line="264"/>
        <w:ind w:left="360"/>
      </w:pPr>
      <w:r>
        <w:rPr>
          <w:rFonts w:ascii="Consolas" w:cs="Consolas" w:eastAsia="Consolas" w:hAnsi="Consolas"/>
          <w:color w:val="E8ECF3"/>
          <w:sz w:val="18"/>
          <w:szCs w:val="18"/>
        </w:rPr>
        <w:t xml:space="preserve">client_rate = client_rate_with_spread(snap.forward(), fspread, fbuys)</w:t>
      </w:r>
    </w:p>
    <w:p>
      <w:pPr>
        <w:shd w:fill="1E1E2E" w:val="clear"/>
        <w:spacing w:after="0" w:line="264"/>
        <w:ind w:left="360"/>
      </w:pPr>
      <w:r>
        <w:rPr>
          <w:rFonts w:ascii="Consolas" w:cs="Consolas" w:eastAsia="Consolas" w:hAnsi="Consolas"/>
          <w:color w:val="E8ECF3"/>
          <w:sz w:val="18"/>
          <w:szCs w:val="18"/>
        </w:rPr>
        <w:t xml:space="preserve">pos = Position(fpair, not fbuys, float(fnotional), int(ftenor),</w:t>
      </w:r>
    </w:p>
    <w:p>
      <w:pPr>
        <w:shd w:fill="1E1E2E" w:val="clear"/>
        <w:spacing w:after="120" w:line="264"/>
        <w:ind w:left="360"/>
      </w:pPr>
      <w:r>
        <w:rPr>
          <w:rFonts w:ascii="Consolas" w:cs="Consolas" w:eastAsia="Consolas" w:hAnsi="Consolas"/>
          <w:color w:val="E8ECF3"/>
          <w:sz w:val="18"/>
          <w:szCs w:val="18"/>
        </w:rPr>
        <w:t xml:space="preserve">               float(client_rate), label=f"Client {'buys' if fbuys else 'sells'} {fbase}")</w:t>
      </w:r>
    </w:p>
    <w:p>
      <w:pPr>
        <w:spacing w:after="120" w:line="276"/>
      </w:pPr>
      <w:r>
        <w:rPr>
          <w:rFonts w:ascii="Arial" w:cs="Arial" w:eastAsia="Arial" w:hAnsi="Arial"/>
          <w:sz w:val="22"/>
          <w:szCs w:val="22"/>
        </w:rPr>
        <w:t xml:space="preserve">The practical consequence is large and explains a behaviour that surprises at first: because the provider is typically short EUR and GBP (its importer clients tend to buy those currencies), when those currencies fall in a crisis, the provider gains. The provider's book is not a book that «bets» on a direction: it is a book that inherits the opposite side of what its clients need to hedge. When we reach stress testing (section 3.9) we will see that, for the example book, scenarios like COVID or Brexit produce gains, not losses — precisely for this reason.</w:t>
      </w:r>
    </w:p>
    <w:p>
      <w:pPr>
        <w:pStyle w:val="Heading2"/>
      </w:pPr>
      <w:r>
        <w:rPr>
          <w:rFonts w:ascii="Arial" w:cs="Arial" w:eastAsia="Arial" w:hAnsi="Arial"/>
        </w:rPr>
        <w:t xml:space="preserve">1.2 The two-layer architecture</w:t>
      </w:r>
    </w:p>
    <w:p>
      <w:pPr>
        <w:spacing w:after="120" w:line="276"/>
      </w:pPr>
      <w:r>
        <w:rPr>
          <w:rFonts w:ascii="Arial" w:cs="Arial" w:eastAsia="Arial" w:hAnsi="Arial"/>
          <w:sz w:val="22"/>
          <w:szCs w:val="22"/>
        </w:rPr>
        <w:t xml:space="preserve">The project is split into two layers that do not mix, and understanding that separation is understanding how everything is built:</w:t>
      </w:r>
    </w:p>
    <w:p>
      <w:pPr>
        <w:pStyle w:val="ListParagraph"/>
        <w:numPr>
          <w:ilvl w:val="0"/>
          <w:numId w:val="2"/>
        </w:numPr>
        <w:spacing w:after="80" w:line="276"/>
      </w:pPr>
      <w:r>
        <w:rPr>
          <w:rFonts w:ascii="Arial" w:cs="Arial" w:eastAsia="Arial" w:hAnsi="Arial"/>
          <w:b/>
          <w:bCs/>
          <w:sz w:val="22"/>
          <w:szCs w:val="22"/>
        </w:rPr>
        <w:t xml:space="preserve">The engine (</w:t>
      </w:r>
      <w:r>
        <w:rPr>
          <w:rFonts w:ascii="Consolas" w:cs="Consolas" w:eastAsia="Consolas" w:hAnsi="Consolas"/>
          <w:sz w:val="20"/>
          <w:szCs w:val="20"/>
        </w:rPr>
        <w:t xml:space="preserve">fxrisk/</w:t>
      </w:r>
      <w:r>
        <w:rPr>
          <w:rFonts w:ascii="Arial" w:cs="Arial" w:eastAsia="Arial" w:hAnsi="Arial"/>
          <w:b/>
          <w:bCs/>
          <w:sz w:val="22"/>
          <w:szCs w:val="22"/>
        </w:rPr>
        <w:t xml:space="preserve">). </w:t>
      </w:r>
      <w:r>
        <w:rPr>
          <w:rFonts w:ascii="Arial" w:cs="Arial" w:eastAsia="Arial" w:hAnsi="Arial"/>
          <w:sz w:val="22"/>
          <w:szCs w:val="22"/>
        </w:rPr>
        <w:t xml:space="preserve">A pure Python library: it takes numbers and returns numbers. It knows nothing about screens, buttons or colours. It contains all the financial mathematics — pricing of forwards and options, rate curves, volatility, Value at Risk, sensitivities, stress, limits. Each function is testable in isolation, and is in fact covered by 121 automated tests. If tomorrow this engine were to be used from another interface (an API, a cron job, an Excel), it could be, because it does not depend on the interface.</w:t>
      </w:r>
    </w:p>
    <w:p>
      <w:pPr>
        <w:pStyle w:val="ListParagraph"/>
        <w:numPr>
          <w:ilvl w:val="0"/>
          <w:numId w:val="2"/>
        </w:numPr>
        <w:spacing w:after="80" w:line="276"/>
      </w:pPr>
      <w:r>
        <w:rPr>
          <w:rFonts w:ascii="Arial" w:cs="Arial" w:eastAsia="Arial" w:hAnsi="Arial"/>
          <w:b/>
          <w:bCs/>
          <w:sz w:val="22"/>
          <w:szCs w:val="22"/>
        </w:rPr>
        <w:t xml:space="preserve">The application (</w:t>
      </w:r>
      <w:r>
        <w:rPr>
          <w:rFonts w:ascii="Consolas" w:cs="Consolas" w:eastAsia="Consolas" w:hAnsi="Consolas"/>
          <w:sz w:val="20"/>
          <w:szCs w:val="20"/>
        </w:rPr>
        <w:t xml:space="preserve">app.py</w:t>
      </w:r>
      <w:r>
        <w:rPr>
          <w:rFonts w:ascii="Arial" w:cs="Arial" w:eastAsia="Arial" w:hAnsi="Arial"/>
          <w:b/>
          <w:bCs/>
          <w:sz w:val="22"/>
          <w:szCs w:val="22"/>
        </w:rPr>
        <w:t xml:space="preserve"> and helpers). </w:t>
      </w:r>
      <w:r>
        <w:rPr>
          <w:rFonts w:ascii="Arial" w:cs="Arial" w:eastAsia="Arial" w:hAnsi="Arial"/>
          <w:sz w:val="22"/>
          <w:szCs w:val="22"/>
        </w:rPr>
        <w:t xml:space="preserve">The presentation layer, written in Streamlit. Its job is to ask the engine for data, show it clearly, draw the charts and handle user interaction. It does no financial mathematics of its own: every figure it shows comes from the engine. This layer also includes the caching and retry helpers (</w:t>
      </w:r>
      <w:r>
        <w:rPr>
          <w:rFonts w:ascii="Consolas" w:cs="Consolas" w:eastAsia="Consolas" w:hAnsi="Consolas"/>
          <w:sz w:val="20"/>
          <w:szCs w:val="20"/>
        </w:rPr>
        <w:t xml:space="preserve">app_helpers.py</w:t>
      </w:r>
      <w:r>
        <w:rPr>
          <w:rFonts w:ascii="Arial" w:cs="Arial" w:eastAsia="Arial" w:hAnsi="Arial"/>
          <w:sz w:val="22"/>
          <w:szCs w:val="22"/>
        </w:rPr>
        <w:t xml:space="preserve">) and the Excel report generator (</w:t>
      </w:r>
      <w:r>
        <w:rPr>
          <w:rFonts w:ascii="Consolas" w:cs="Consolas" w:eastAsia="Consolas" w:hAnsi="Consolas"/>
          <w:sz w:val="20"/>
          <w:szCs w:val="20"/>
        </w:rPr>
        <w:t xml:space="preserve">report_export.py</w:t>
      </w:r>
      <w:r>
        <w:rPr>
          <w:rFonts w:ascii="Arial" w:cs="Arial" w:eastAsia="Arial" w:hAnsi="Arial"/>
          <w:sz w:val="22"/>
          <w:szCs w:val="22"/>
        </w:rPr>
        <w:t xml:space="preserve">).</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Why this separation matters. </w:t>
      </w:r>
      <w:r>
        <w:rPr>
          <w:rFonts w:ascii="Arial" w:cs="Arial" w:eastAsia="Arial" w:hAnsi="Arial"/>
          <w:sz w:val="22"/>
          <w:szCs w:val="22"/>
        </w:rPr>
        <w:t xml:space="preserve">Keeping the engine pure has three concrete benefits: (1) the mathematics can be tested without launching the interface; (2) a presentation bug never corrupts a calculation, and a calculation bug is localised in one place; (3) the engine is reusable. This discipline is exactly what is audited in a professional risk environment: that the number and its presentation are kept apart.</w:t>
      </w:r>
    </w:p>
    <w:p>
      <w:pPr>
        <w:spacing w:after="120" w:line="276"/>
      </w:pPr>
      <w:r>
        <w:rPr>
          <w:rFonts w:ascii="Arial" w:cs="Arial" w:eastAsia="Arial" w:hAnsi="Arial"/>
          <w:sz w:val="22"/>
          <w:szCs w:val="22"/>
        </w:rPr>
        <w:t xml:space="preserve">There is a golden rule the project respects throughout the engine code: the language of the code and comments is English, while the original study manual was written in Spanish. The engine uses English because it is the industry standard and because the project is presented to an English-speaking company.</w:t>
      </w:r>
    </w:p>
    <w:p>
      <w:pPr>
        <w:pStyle w:val="Heading2"/>
      </w:pPr>
      <w:r>
        <w:rPr>
          <w:rFonts w:ascii="Arial" w:cs="Arial" w:eastAsia="Arial" w:hAnsi="Arial"/>
        </w:rPr>
        <w:t xml:space="preserve">1.3 The data philosophy: honesty and failing loud</w:t>
      </w:r>
    </w:p>
    <w:p>
      <w:pPr>
        <w:spacing w:after="120" w:line="276"/>
      </w:pPr>
      <w:r>
        <w:rPr>
          <w:rFonts w:ascii="Arial" w:cs="Arial" w:eastAsia="Arial" w:hAnsi="Arial"/>
          <w:sz w:val="22"/>
          <w:szCs w:val="22"/>
        </w:rPr>
        <w:t xml:space="preserve">One design decision runs through the whole project and is important to understand because it is a mark of professional judgement: the program never invents data. If it cannot obtain a real price, a real rate or a real volatility, it does not fill in with a plausible-looking synthetic number: it raises an error and says so clearly. This is called «fail-loud», the opposite of «failing silently» by returning a fake number.</w:t>
      </w:r>
    </w:p>
    <w:p>
      <w:pPr>
        <w:spacing w:after="120" w:line="276"/>
      </w:pPr>
      <w:r>
        <w:rPr>
          <w:rFonts w:ascii="Arial" w:cs="Arial" w:eastAsia="Arial" w:hAnsi="Arial"/>
          <w:sz w:val="22"/>
          <w:szCs w:val="22"/>
        </w:rPr>
        <w:t xml:space="preserve">This is seen in the data module, where the exception </w:t>
      </w:r>
      <w:r>
        <w:rPr>
          <w:rFonts w:ascii="Consolas" w:cs="Consolas" w:eastAsia="Consolas" w:hAnsi="Consolas"/>
          <w:sz w:val="20"/>
          <w:szCs w:val="20"/>
        </w:rPr>
        <w:t xml:space="preserve">MarketDataError</w:t>
      </w:r>
      <w:r>
        <w:rPr>
          <w:rFonts w:ascii="Arial" w:cs="Arial" w:eastAsia="Arial" w:hAnsi="Arial"/>
          <w:sz w:val="22"/>
          <w:szCs w:val="22"/>
        </w:rPr>
        <w:t xml:space="preserve"> is defined. When the market download fails, the engine raises it, and the app catches it to show an honest message such as «live market data is unavailable right now», instead of showing invented prices as if they were real. Showing a synthetic price disguised as real would deceive the user — and in risk, deceiving with a number is worse than giving no number.</w:t>
      </w:r>
    </w:p>
    <w:p>
      <w:pPr>
        <w:spacing w:after="120" w:line="276"/>
      </w:pPr>
      <w:r>
        <w:rPr>
          <w:rFonts w:ascii="Arial" w:cs="Arial" w:eastAsia="Arial" w:hAnsi="Arial"/>
          <w:sz w:val="22"/>
          <w:szCs w:val="22"/>
        </w:rPr>
        <w:t xml:space="preserve">The same honesty applies to limitations. Where a piece of data is imperfect, the program declares it explicitly rather than hiding it. For example, the GBP rate curve is built from a single point (the 3-month interbank rate), so it is treated as a flat curve — and the code says so openly in its comments and on the limitations screen. It does not pretend to have a full curve it does not have.</w:t>
      </w:r>
    </w:p>
    <w:p>
      <w:r>
        <w:br w:type="page"/>
      </w:r>
    </w:p>
    <w:p>
      <w:pPr>
        <w:pStyle w:val="Heading1"/>
      </w:pPr>
      <w:r>
        <w:rPr>
          <w:rFonts w:ascii="Arial" w:cs="Arial" w:eastAsia="Arial" w:hAnsi="Arial"/>
        </w:rPr>
        <w:t xml:space="preserve">2. Where the data comes from</w:t>
      </w:r>
    </w:p>
    <w:p>
      <w:pPr>
        <w:spacing w:after="120" w:line="276"/>
      </w:pPr>
      <w:r>
        <w:rPr>
          <w:rFonts w:ascii="Arial" w:cs="Arial" w:eastAsia="Arial" w:hAnsi="Arial"/>
          <w:sz w:val="22"/>
          <w:szCs w:val="22"/>
        </w:rPr>
        <w:t xml:space="preserve">Every risk calculation is only as good as the data feeding it. This section details each data source the program uses, what is obtained from it, how often, and what limitation it has. The guiding principle we already saw: all data is real and from official, free sources; where there is a limitation, it is declared.</w:t>
      </w:r>
    </w:p>
    <w:p>
      <w:pPr>
        <w:pStyle w:val="Heading2"/>
      </w:pPr>
      <w:r>
        <w:rPr>
          <w:rFonts w:ascii="Arial" w:cs="Arial" w:eastAsia="Arial" w:hAnsi="Arial"/>
        </w:rPr>
        <w:t xml:space="preserve">2.1 Spot prices: yfinance</w:t>
      </w:r>
    </w:p>
    <w:p>
      <w:pPr>
        <w:spacing w:after="120" w:line="276"/>
      </w:pPr>
      <w:r>
        <w:rPr>
          <w:rFonts w:ascii="Arial" w:cs="Arial" w:eastAsia="Arial" w:hAnsi="Arial"/>
          <w:sz w:val="22"/>
          <w:szCs w:val="22"/>
        </w:rPr>
        <w:t xml:space="preserve">Spot exchange rates — how much 1 EUR is worth in USD today, for example — are obtained from </w:t>
      </w:r>
      <w:r>
        <w:rPr>
          <w:rFonts w:ascii="Arial" w:cs="Arial" w:eastAsia="Arial" w:hAnsi="Arial"/>
          <w:b/>
          <w:bCs/>
          <w:sz w:val="22"/>
          <w:szCs w:val="22"/>
        </w:rPr>
        <w:t xml:space="preserve">yfinance</w:t>
      </w:r>
      <w:r>
        <w:rPr>
          <w:rFonts w:ascii="Arial" w:cs="Arial" w:eastAsia="Arial" w:hAnsi="Arial"/>
          <w:sz w:val="22"/>
          <w:szCs w:val="22"/>
        </w:rPr>
        <w:t xml:space="preserve">, the free interface to Yahoo Finance. The </w:t>
      </w:r>
      <w:r>
        <w:rPr>
          <w:rFonts w:ascii="Consolas" w:cs="Consolas" w:eastAsia="Consolas" w:hAnsi="Consolas"/>
          <w:sz w:val="20"/>
          <w:szCs w:val="20"/>
        </w:rPr>
        <w:t xml:space="preserve">data.py</w:t>
      </w:r>
      <w:r>
        <w:rPr>
          <w:rFonts w:ascii="Arial" w:cs="Arial" w:eastAsia="Arial" w:hAnsi="Arial"/>
          <w:sz w:val="22"/>
          <w:szCs w:val="22"/>
        </w:rPr>
        <w:t xml:space="preserve"> module is the only one in the whole project that talks to the outside world. Isolating data access in a single module is a deliberate decision: if the source changes or fails, the rest of the engine is unaffected — only one file needs touching.</w:t>
      </w:r>
    </w:p>
    <w:p>
      <w:pPr>
        <w:spacing w:after="120" w:line="276"/>
      </w:pPr>
      <w:r>
        <w:rPr>
          <w:rFonts w:ascii="Arial" w:cs="Arial" w:eastAsia="Arial" w:hAnsi="Arial"/>
          <w:sz w:val="22"/>
          <w:szCs w:val="22"/>
        </w:rPr>
        <w:t xml:space="preserve">The pairs configured by default are two, the ones with a full rate curve and fully convertible: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Pair</w:t>
            </w:r>
          </w:p>
        </w:tc>
        <w:tc>
          <w:tcPr>
            <w:tcW w:type="dxa" w:w="3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Yahoo ticker</w:t>
            </w:r>
          </w:p>
        </w:tc>
        <w:tc>
          <w:tcPr>
            <w:tcW w:type="dxa" w:w="4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EUR/USD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EURUSD=X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How many USD 1 EUR is worth</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GBP/USD</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GBPUSD=X</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How many USD 1 GBP is worth</w:t>
            </w:r>
          </w:p>
        </w:tc>
      </w:tr>
    </w:tbl>
    <w:p>
      <w:pPr>
        <w:spacing w:after="120" w:line="276"/>
      </w:pPr>
      <w:r>
        <w:rPr>
          <w:rFonts w:ascii="Arial" w:cs="Arial" w:eastAsia="Arial" w:hAnsi="Arial"/>
          <w:sz w:val="22"/>
          <w:szCs w:val="22"/>
        </w:rPr>
        <w:t xml:space="preserve">Two different things are downloaded: the </w:t>
      </w:r>
      <w:r>
        <w:rPr>
          <w:rFonts w:ascii="Arial" w:cs="Arial" w:eastAsia="Arial" w:hAnsi="Arial"/>
          <w:b/>
          <w:bCs/>
          <w:sz w:val="22"/>
          <w:szCs w:val="22"/>
        </w:rPr>
        <w:t xml:space="preserve">most recent spot price</w:t>
      </w:r>
      <w:r>
        <w:rPr>
          <w:rFonts w:ascii="Arial" w:cs="Arial" w:eastAsia="Arial" w:hAnsi="Arial"/>
          <w:sz w:val="22"/>
          <w:szCs w:val="22"/>
        </w:rPr>
        <w:t xml:space="preserve"> (to value positions today) and the </w:t>
      </w:r>
      <w:r>
        <w:rPr>
          <w:rFonts w:ascii="Arial" w:cs="Arial" w:eastAsia="Arial" w:hAnsi="Arial"/>
          <w:b/>
          <w:bCs/>
          <w:sz w:val="22"/>
          <w:szCs w:val="22"/>
        </w:rPr>
        <w:t xml:space="preserve">daily history of the last 2 years</w:t>
      </w:r>
      <w:r>
        <w:rPr>
          <w:rFonts w:ascii="Arial" w:cs="Arial" w:eastAsia="Arial" w:hAnsi="Arial"/>
          <w:sz w:val="22"/>
          <w:szCs w:val="22"/>
        </w:rPr>
        <w:t xml:space="preserve"> (to compute volatility and Value at Risk, which need to see how the price moved in the past). The function that fetches history is </w:t>
      </w:r>
      <w:r>
        <w:rPr>
          <w:rFonts w:ascii="Consolas" w:cs="Consolas" w:eastAsia="Consolas" w:hAnsi="Consolas"/>
          <w:sz w:val="20"/>
          <w:szCs w:val="20"/>
        </w:rPr>
        <w:t xml:space="preserve">fetch_spot_history</w:t>
      </w:r>
      <w:r>
        <w:rPr>
          <w:rFonts w:ascii="Arial" w:cs="Arial" w:eastAsia="Arial" w:hAnsi="Arial"/>
          <w:sz w:val="22"/>
          <w:szCs w:val="22"/>
        </w:rPr>
        <w:t xml:space="preserve"> and returns a table of closing prices, one column per pair.</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Declared limitation. </w:t>
      </w:r>
      <w:r>
        <w:rPr>
          <w:rFonts w:ascii="Arial" w:cs="Arial" w:eastAsia="Arial" w:hAnsi="Arial"/>
          <w:sz w:val="22"/>
          <w:szCs w:val="22"/>
        </w:rPr>
        <w:t xml:space="preserve">yfinance provides free, somewhat delayed data, perfect for a reproducible demonstration, but not of institutional quality. In production, this layer would be backed by a professional feed such as Bloomberg or Refinitiv/LSEG, the industry standard for real-time market data. The project's design allows that swap by touching a single module.</w:t>
      </w:r>
    </w:p>
    <w:p>
      <w:pPr>
        <w:spacing w:after="120" w:line="276"/>
      </w:pPr>
      <w:r>
        <w:rPr>
          <w:rFonts w:ascii="Arial" w:cs="Arial" w:eastAsia="Arial" w:hAnsi="Arial"/>
          <w:sz w:val="22"/>
          <w:szCs w:val="22"/>
        </w:rPr>
        <w:t xml:space="preserve">There is also a synthetic-data generator in this module, but its only purpose is so the test suite can run without an internet connection. It is never used as a substitute for real data in the application. This distinction is part of the fail-loud philosophy: synthetic data is for testing logic, not for deceiving the user.</w:t>
      </w:r>
    </w:p>
    <w:p>
      <w:pPr>
        <w:pStyle w:val="Heading2"/>
      </w:pPr>
      <w:r>
        <w:rPr>
          <w:rFonts w:ascii="Arial" w:cs="Arial" w:eastAsia="Arial" w:hAnsi="Arial"/>
        </w:rPr>
        <w:t xml:space="preserve">2.2 Interest-rate curves: FRED and ECB</w:t>
      </w:r>
    </w:p>
    <w:p>
      <w:pPr>
        <w:spacing w:after="120" w:line="276"/>
      </w:pPr>
      <w:r>
        <w:rPr>
          <w:rFonts w:ascii="Arial" w:cs="Arial" w:eastAsia="Arial" w:hAnsi="Arial"/>
          <w:sz w:val="22"/>
          <w:szCs w:val="22"/>
        </w:rPr>
        <w:t xml:space="preserve">To value a forward you need, besides the spot, the interest rate of each currency at the trade's tenor. The reason is Covered Interest Rate Parity (covered in detail in 3.1): the forward price is the spot adjusted by the rate differential between the two currencies. So the program needs real rate curves, and it obtains them from official sources, one per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360"/>
        <w:gridCol w:w="2800"/>
      </w:tblGrid>
      <w:tr>
        <w:trPr>
          <w:tblHeader/>
        </w:trPr>
        <w:tc>
          <w:tcPr>
            <w:tcW w:type="dxa" w:w="12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3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Curve points</w:t>
            </w:r>
          </w:p>
        </w:tc>
        <w:tc>
          <w:tcPr>
            <w:tcW w:type="dxa" w:w="28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FRED (Federal 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3M, 6M, 1Y, 2Y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curve, daily</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EUR</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ECB (European Central Bank)</w:t>
            </w:r>
          </w:p>
        </w:tc>
        <w:tc>
          <w:tcPr>
            <w:tcW w:type="dxa" w:w="2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3M, 6M, 1Y, 2Y</w:t>
            </w:r>
          </w:p>
        </w:tc>
        <w:tc>
          <w:tcPr>
            <w:tcW w:type="dxa" w:w="28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Full curve, daily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GBP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FRED (3M interbank rate)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point (3M)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Flat curve, monthly</w:t>
            </w:r>
          </w:p>
        </w:tc>
      </w:tr>
    </w:tbl>
    <w:p>
      <w:pPr>
        <w:spacing w:after="120" w:line="276"/>
      </w:pPr>
      <w:r>
        <w:rPr>
          <w:rFonts w:ascii="Arial" w:cs="Arial" w:eastAsia="Arial" w:hAnsi="Arial"/>
          <w:sz w:val="22"/>
          <w:szCs w:val="22"/>
        </w:rPr>
        <w:t xml:space="preserve">For USD, the source is </w:t>
      </w:r>
      <w:r>
        <w:rPr>
          <w:rFonts w:ascii="Arial" w:cs="Arial" w:eastAsia="Arial" w:hAnsi="Arial"/>
          <w:b/>
          <w:bCs/>
          <w:sz w:val="22"/>
          <w:szCs w:val="22"/>
        </w:rPr>
        <w:t xml:space="preserve">FRED</w:t>
      </w:r>
      <w:r>
        <w:rPr>
          <w:rFonts w:ascii="Arial" w:cs="Arial" w:eastAsia="Arial" w:hAnsi="Arial"/>
          <w:sz w:val="22"/>
          <w:szCs w:val="22"/>
        </w:rPr>
        <w:t xml:space="preserve"> (Federal Reserve Economic Data), from which constant-maturity Treasury yields are taken at four tenors: 3 months, 6 months, 1 year and 2 years (series </w:t>
      </w:r>
      <w:r>
        <w:rPr>
          <w:rFonts w:ascii="Consolas" w:cs="Consolas" w:eastAsia="Consolas" w:hAnsi="Consolas"/>
          <w:sz w:val="20"/>
          <w:szCs w:val="20"/>
        </w:rPr>
        <w:t xml:space="preserve">DGS3MO, DGS6MO, DGS1, DGS2</w:t>
      </w:r>
      <w:r>
        <w:rPr>
          <w:rFonts w:ascii="Arial" w:cs="Arial" w:eastAsia="Arial" w:hAnsi="Arial"/>
          <w:sz w:val="22"/>
          <w:szCs w:val="22"/>
        </w:rPr>
        <w:t xml:space="preserve">). For EUR, the source is the </w:t>
      </w:r>
      <w:r>
        <w:rPr>
          <w:rFonts w:ascii="Arial" w:cs="Arial" w:eastAsia="Arial" w:hAnsi="Arial"/>
          <w:b/>
          <w:bCs/>
          <w:sz w:val="22"/>
          <w:szCs w:val="22"/>
        </w:rPr>
        <w:t xml:space="preserve">ECB</w:t>
      </w:r>
      <w:r>
        <w:rPr>
          <w:rFonts w:ascii="Arial" w:cs="Arial" w:eastAsia="Arial" w:hAnsi="Arial"/>
          <w:sz w:val="22"/>
          <w:szCs w:val="22"/>
        </w:rPr>
        <w:t xml:space="preserve"> data portal, from which the AAA-rated euro-area government yield curve is taken at the same four tenors. The same tenors were chosen for EUR and USD on purpose, so both curves are built identically.</w:t>
      </w:r>
    </w:p>
    <w:p>
      <w:pPr>
        <w:spacing w:after="120" w:line="276"/>
      </w:pPr>
      <w:r>
        <w:rPr>
          <w:rFonts w:ascii="Arial" w:cs="Arial" w:eastAsia="Arial" w:hAnsi="Arial"/>
          <w:sz w:val="22"/>
          <w:szCs w:val="22"/>
        </w:rPr>
        <w:t xml:space="preserve">For GBP, by contrast, only </w:t>
      </w:r>
      <w:r>
        <w:rPr>
          <w:rFonts w:ascii="Arial" w:cs="Arial" w:eastAsia="Arial" w:hAnsi="Arial"/>
          <w:b/>
          <w:bCs/>
          <w:sz w:val="22"/>
          <w:szCs w:val="22"/>
        </w:rPr>
        <w:t xml:space="preserve">one point</w:t>
      </w:r>
      <w:r>
        <w:rPr>
          <w:rFonts w:ascii="Arial" w:cs="Arial" w:eastAsia="Arial" w:hAnsi="Arial"/>
          <w:sz w:val="22"/>
          <w:szCs w:val="22"/>
        </w:rPr>
        <w:t xml:space="preserve"> is used: the 3-month interbank reference rate (series </w:t>
      </w:r>
      <w:r>
        <w:rPr>
          <w:rFonts w:ascii="Consolas" w:cs="Consolas" w:eastAsia="Consolas" w:hAnsi="Consolas"/>
          <w:sz w:val="20"/>
          <w:szCs w:val="20"/>
        </w:rPr>
        <w:t xml:space="preserve">IR3TIB01GBM156N</w:t>
      </w:r>
      <w:r>
        <w:rPr>
          <w:rFonts w:ascii="Arial" w:cs="Arial" w:eastAsia="Arial" w:hAnsi="Arial"/>
          <w:sz w:val="22"/>
          <w:szCs w:val="22"/>
        </w:rPr>
        <w:t xml:space="preserve">). With a single point you cannot build a sloped curve, so it is treated as a </w:t>
      </w:r>
      <w:r>
        <w:rPr>
          <w:rFonts w:ascii="Arial" w:cs="Arial" w:eastAsia="Arial" w:hAnsi="Arial"/>
          <w:b/>
          <w:bCs/>
          <w:sz w:val="22"/>
          <w:szCs w:val="22"/>
        </w:rPr>
        <w:t xml:space="preserve">flat curve</w:t>
      </w:r>
      <w:r>
        <w:rPr>
          <w:rFonts w:ascii="Arial" w:cs="Arial" w:eastAsia="Arial" w:hAnsi="Arial"/>
          <w:sz w:val="22"/>
          <w:szCs w:val="22"/>
        </w:rPr>
        <w:t xml:space="preserve"> — the same rate for all tenors — and the code declares this explicitly. A full GBP curve would come from the Bank of England; it is not connected in this academic version, and that is stated openly.</w:t>
      </w:r>
    </w:p>
    <w:p>
      <w:pPr>
        <w:pStyle w:val="Heading3"/>
      </w:pPr>
      <w:r>
        <w:rPr>
          <w:rFonts w:ascii="Arial" w:cs="Arial" w:eastAsia="Arial" w:hAnsi="Arial"/>
        </w:rPr>
        <w:t xml:space="preserve">Reading a rate at an intermediate tenor: interpolation</w:t>
      </w:r>
    </w:p>
    <w:p>
      <w:pPr>
        <w:spacing w:after="120" w:line="276"/>
      </w:pPr>
      <w:r>
        <w:rPr>
          <w:rFonts w:ascii="Arial" w:cs="Arial" w:eastAsia="Arial" w:hAnsi="Arial"/>
          <w:sz w:val="22"/>
          <w:szCs w:val="22"/>
        </w:rPr>
        <w:t xml:space="preserve">The curves have anchors at 3M, 6M, 1Y and 2Y, but a trade can have any tenor, for example 90 or 120 days. For those intermediate tenors, the program </w:t>
      </w:r>
      <w:r>
        <w:rPr>
          <w:rFonts w:ascii="Arial" w:cs="Arial" w:eastAsia="Arial" w:hAnsi="Arial"/>
          <w:b/>
          <w:bCs/>
          <w:sz w:val="22"/>
          <w:szCs w:val="22"/>
        </w:rPr>
        <w:t xml:space="preserve">linearly interpolates</w:t>
      </w:r>
      <w:r>
        <w:rPr>
          <w:rFonts w:ascii="Arial" w:cs="Arial" w:eastAsia="Arial" w:hAnsi="Arial"/>
          <w:sz w:val="22"/>
          <w:szCs w:val="22"/>
        </w:rPr>
        <w:t xml:space="preserve"> between the anchor points with the </w:t>
      </w:r>
      <w:r>
        <w:rPr>
          <w:rFonts w:ascii="Consolas" w:cs="Consolas" w:eastAsia="Consolas" w:hAnsi="Consolas"/>
          <w:sz w:val="20"/>
          <w:szCs w:val="20"/>
        </w:rPr>
        <w:t xml:space="preserve">rate_at</w:t>
      </w:r>
      <w:r>
        <w:rPr>
          <w:rFonts w:ascii="Arial" w:cs="Arial" w:eastAsia="Arial" w:hAnsi="Arial"/>
          <w:sz w:val="22"/>
          <w:szCs w:val="22"/>
        </w:rPr>
        <w:t xml:space="preserve"> function. For instance, a 9-month rate is computed as a weighted average between the 6-month and the 1-year.</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Declared limitation. </w:t>
      </w:r>
      <w:r>
        <w:rPr>
          <w:rFonts w:ascii="Arial" w:cs="Arial" w:eastAsia="Arial" w:hAnsi="Arial"/>
          <w:sz w:val="22"/>
          <w:szCs w:val="22"/>
        </w:rPr>
        <w:t xml:space="preserve">Outside the anchor range, the rate is held </w:t>
      </w:r>
      <w:r>
        <w:rPr>
          <w:rFonts w:ascii="Arial" w:cs="Arial" w:eastAsia="Arial" w:hAnsi="Arial"/>
          <w:b/>
          <w:bCs/>
          <w:sz w:val="22"/>
          <w:szCs w:val="22"/>
        </w:rPr>
        <w:t xml:space="preserve">flat</w:t>
      </w:r>
      <w:r>
        <w:rPr>
          <w:rFonts w:ascii="Arial" w:cs="Arial" w:eastAsia="Arial" w:hAnsi="Arial"/>
          <w:sz w:val="22"/>
          <w:szCs w:val="22"/>
        </w:rPr>
        <w:t xml:space="preserve"> (it is not extrapolated): a tenor below 3 months uses the 3-month rate, and one above 2 years uses the 2-year. The engine (np.interp) clamps the value to the nearest point. This mostly affects positions with less than ~90 days of life, which end up using the 3-month rate. It is a declared simplification, not a hidden error.</w:t>
      </w:r>
    </w:p>
    <w:p>
      <w:pPr>
        <w:pStyle w:val="Heading2"/>
      </w:pPr>
      <w:r>
        <w:rPr>
          <w:rFonts w:ascii="Arial" w:cs="Arial" w:eastAsia="Arial" w:hAnsi="Arial"/>
        </w:rPr>
        <w:t xml:space="preserve">2.3 Volatility: GARCH and historical volatility</w:t>
      </w:r>
    </w:p>
    <w:p>
      <w:pPr>
        <w:spacing w:after="120" w:line="276"/>
      </w:pPr>
      <w:r>
        <w:rPr>
          <w:rFonts w:ascii="Arial" w:cs="Arial" w:eastAsia="Arial" w:hAnsi="Arial"/>
          <w:sz w:val="22"/>
          <w:szCs w:val="22"/>
        </w:rPr>
        <w:t xml:space="preserve">To value an option and to measure risk you need volatility: how much the price fluctuates. The program estimates it from historical returns at two levels of sophistication, and always prefers the more advanced when available.</w:t>
      </w:r>
    </w:p>
    <w:p>
      <w:pPr>
        <w:pStyle w:val="ListParagraph"/>
        <w:numPr>
          <w:ilvl w:val="0"/>
          <w:numId w:val="2"/>
        </w:numPr>
        <w:spacing w:after="80" w:line="276"/>
      </w:pPr>
      <w:r>
        <w:rPr>
          <w:rFonts w:ascii="Arial" w:cs="Arial" w:eastAsia="Arial" w:hAnsi="Arial"/>
          <w:b/>
          <w:bCs/>
          <w:sz w:val="22"/>
          <w:szCs w:val="22"/>
        </w:rPr>
        <w:t xml:space="preserve">Historical volatility. </w:t>
      </w:r>
      <w:r>
        <w:rPr>
          <w:rFonts w:ascii="Arial" w:cs="Arial" w:eastAsia="Arial" w:hAnsi="Arial"/>
          <w:sz w:val="22"/>
          <w:szCs w:val="22"/>
        </w:rPr>
        <w:t xml:space="preserve">The standard deviation of daily returns, annualised by multiplying by the square root of 252 (the number of business days in a year). It is a single number for the whole data window. Its limitation is that it cannot react to regime changes: it treats a calm day two years ago and last week's crisis alike.</w:t>
      </w:r>
    </w:p>
    <w:p>
      <w:pPr>
        <w:pStyle w:val="ListParagraph"/>
        <w:numPr>
          <w:ilvl w:val="0"/>
          <w:numId w:val="2"/>
        </w:numPr>
        <w:spacing w:after="80" w:line="276"/>
      </w:pPr>
      <w:r>
        <w:rPr>
          <w:rFonts w:ascii="Arial" w:cs="Arial" w:eastAsia="Arial" w:hAnsi="Arial"/>
          <w:b/>
          <w:bCs/>
          <w:sz w:val="22"/>
          <w:szCs w:val="22"/>
        </w:rPr>
        <w:t xml:space="preserve">GARCH(1,1). </w:t>
      </w:r>
      <w:r>
        <w:rPr>
          <w:rFonts w:ascii="Arial" w:cs="Arial" w:eastAsia="Arial" w:hAnsi="Arial"/>
          <w:sz w:val="22"/>
          <w:szCs w:val="22"/>
        </w:rPr>
        <w:t xml:space="preserve">A conditional-volatility model. It captures «volatility clustering» (a violent day tends to be followed by another violent day), so it reflects today's volatility given recent history, not a flat average. It is estimated with the arch library, an industry standard. It uses Student-t innovations to capture the heavy tails of FX returns — that is, the fact that extreme moves happen more often than a normal distribution would say.</w:t>
      </w:r>
    </w:p>
    <w:p>
      <w:pPr>
        <w:spacing w:after="120" w:line="276"/>
      </w:pPr>
      <w:r>
        <w:rPr>
          <w:rFonts w:ascii="Arial" w:cs="Arial" w:eastAsia="Arial" w:hAnsi="Arial"/>
          <w:sz w:val="22"/>
          <w:szCs w:val="22"/>
        </w:rPr>
        <w:t xml:space="preserve">In practice, the program uses GARCH volatility when it can estimate it, and if it cannot (for example, with little history), it falls back to historical volatility and declares it. This preference is seen in </w:t>
      </w:r>
      <w:r>
        <w:rPr>
          <w:rFonts w:ascii="Consolas" w:cs="Consolas" w:eastAsia="Consolas" w:hAnsi="Consolas"/>
          <w:sz w:val="20"/>
          <w:szCs w:val="20"/>
        </w:rPr>
        <w:t xml:space="preserve">market.py</w:t>
      </w:r>
      <w:r>
        <w:rPr>
          <w:rFonts w:ascii="Arial" w:cs="Arial" w:eastAsia="Arial" w:hAnsi="Arial"/>
          <w:sz w:val="22"/>
          <w:szCs w:val="22"/>
        </w:rPr>
        <w:t xml:space="preserve">, where the market snapshot carries both and the app chooses: «GARCH when available, historical otherwise (declared)».</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On implied volatility. </w:t>
      </w:r>
      <w:r>
        <w:rPr>
          <w:rFonts w:ascii="Arial" w:cs="Arial" w:eastAsia="Arial" w:hAnsi="Arial"/>
          <w:sz w:val="22"/>
          <w:szCs w:val="22"/>
        </w:rPr>
        <w:t xml:space="preserve">An experienced reader will notice that </w:t>
      </w:r>
      <w:r>
        <w:rPr>
          <w:rFonts w:ascii="Arial" w:cs="Arial" w:eastAsia="Arial" w:hAnsi="Arial"/>
          <w:b/>
          <w:bCs/>
          <w:sz w:val="22"/>
          <w:szCs w:val="22"/>
        </w:rPr>
        <w:t xml:space="preserve">implied volatility</w:t>
      </w:r>
      <w:r>
        <w:rPr>
          <w:rFonts w:ascii="Arial" w:cs="Arial" w:eastAsia="Arial" w:hAnsi="Arial"/>
          <w:sz w:val="22"/>
          <w:szCs w:val="22"/>
        </w:rPr>
        <w:t xml:space="preserve"> (what the options market quotes, rather than what is estimated from past prices) is missing. It was investigated thoroughly and the decision was not to include it, because no free, code-consumable source exists that is reliable for these pairs. This judgement call is explained in section 7.</w:t>
      </w:r>
    </w:p>
    <w:p>
      <w:r>
        <w:br w:type="page"/>
      </w:r>
    </w:p>
    <w:p>
      <w:pPr>
        <w:pStyle w:val="Heading1"/>
      </w:pPr>
      <w:r>
        <w:rPr>
          <w:rFonts w:ascii="Arial" w:cs="Arial" w:eastAsia="Arial" w:hAnsi="Arial"/>
        </w:rPr>
        <w:t xml:space="preserve">3. The engine, module by module</w:t>
      </w:r>
    </w:p>
    <w:p>
      <w:pPr>
        <w:spacing w:after="120" w:line="276"/>
      </w:pPr>
      <w:r>
        <w:rPr>
          <w:rFonts w:ascii="Arial" w:cs="Arial" w:eastAsia="Arial" w:hAnsi="Arial"/>
          <w:sz w:val="22"/>
          <w:szCs w:val="22"/>
        </w:rPr>
        <w:t xml:space="preserve">This is the central section of the manual. It walks through each module of the fxrisk/ package explaining what it does, with which formula, and how the code implements it. The order goes from the most basic (pricing one instrument) to the most aggregated (risk of the whole book). Each formula comes with its intuition: what the number means, not just how it is computed.</w:t>
      </w:r>
    </w:p>
    <w:p>
      <w:pPr>
        <w:pStyle w:val="Heading2"/>
      </w:pPr>
      <w:r>
        <w:rPr>
          <w:rFonts w:ascii="Arial" w:cs="Arial" w:eastAsia="Arial" w:hAnsi="Arial"/>
        </w:rPr>
        <w:t xml:space="preserve">3.1 forwards.py — pricing forwards</w:t>
      </w:r>
    </w:p>
    <w:p>
      <w:pPr>
        <w:spacing w:after="120" w:line="276"/>
      </w:pPr>
      <w:r>
        <w:rPr>
          <w:rFonts w:ascii="Arial" w:cs="Arial" w:eastAsia="Arial" w:hAnsi="Arial"/>
          <w:sz w:val="22"/>
          <w:szCs w:val="22"/>
        </w:rPr>
        <w:t xml:space="preserve">A forward is an agreement to exchange two currencies on a future date at a rate fixed today. This module computes that fair rate, the value of an already-agreed forward, and the provider's revenue from the spread. It is pure mathematics: it takes numbers, returns numbers.</w:t>
      </w:r>
    </w:p>
    <w:p>
      <w:pPr>
        <w:pStyle w:val="Heading3"/>
      </w:pPr>
      <w:r>
        <w:rPr>
          <w:rFonts w:ascii="Arial" w:cs="Arial" w:eastAsia="Arial" w:hAnsi="Arial"/>
        </w:rPr>
        <w:t xml:space="preserve">Covered Interest Rate Parity (CIP): the fair forward price</w:t>
      </w:r>
    </w:p>
    <w:p>
      <w:pPr>
        <w:spacing w:after="120" w:line="276"/>
      </w:pPr>
      <w:r>
        <w:rPr>
          <w:rFonts w:ascii="Arial" w:cs="Arial" w:eastAsia="Arial" w:hAnsi="Arial"/>
          <w:sz w:val="22"/>
          <w:szCs w:val="22"/>
        </w:rPr>
        <w:t xml:space="preserve">The question is: at what future exchange rate is there no arbitrage? The answer is </w:t>
      </w:r>
      <w:r>
        <w:rPr>
          <w:rFonts w:ascii="Arial" w:cs="Arial" w:eastAsia="Arial" w:hAnsi="Arial"/>
          <w:b/>
          <w:bCs/>
          <w:sz w:val="22"/>
          <w:szCs w:val="22"/>
        </w:rPr>
        <w:t xml:space="preserve">Covered Interest Rate Parity</w:t>
      </w:r>
      <w:r>
        <w:rPr>
          <w:rFonts w:ascii="Arial" w:cs="Arial" w:eastAsia="Arial" w:hAnsi="Arial"/>
          <w:sz w:val="22"/>
          <w:szCs w:val="22"/>
        </w:rPr>
        <w:t xml:space="preserve">. The idea: having euros today and having them in 90 days must come out the same, whether you (a) buy euros today and invest them at the European rate, or (b) invest dollars at the US rate and buy euros forward. If they did not match, there would be a risk-free profit. From that equality comes the formula:</w:t>
      </w:r>
    </w:p>
    <w:p>
      <w:pPr>
        <w:shd w:fill="EEF2F8" w:val="clear"/>
        <w:spacing w:after="100" w:before="100"/>
        <w:ind w:left="360"/>
      </w:pPr>
      <w:r>
        <w:rPr>
          <w:rFonts w:ascii="Consolas" w:cs="Consolas" w:eastAsia="Consolas" w:hAnsi="Consolas"/>
          <w:color w:val="1F3A5F"/>
          <w:sz w:val="21"/>
          <w:szCs w:val="21"/>
        </w:rPr>
        <w:t xml:space="preserve">F = S × (1 + r_quote × τ) / (1 + r_base × τ)</w:t>
      </w:r>
    </w:p>
    <w:p>
      <w:pPr>
        <w:spacing w:after="120" w:line="276"/>
      </w:pPr>
      <w:r>
        <w:rPr>
          <w:rFonts w:ascii="Arial" w:cs="Arial" w:eastAsia="Arial" w:hAnsi="Arial"/>
          <w:sz w:val="22"/>
          <w:szCs w:val="22"/>
        </w:rPr>
        <w:t xml:space="preserve">where </w:t>
      </w:r>
      <w:r>
        <w:rPr>
          <w:rFonts w:ascii="Consolas" w:cs="Consolas" w:eastAsia="Consolas" w:hAnsi="Consolas"/>
          <w:sz w:val="20"/>
          <w:szCs w:val="20"/>
        </w:rPr>
        <w:t xml:space="preserve">S</w:t>
      </w:r>
      <w:r>
        <w:rPr>
          <w:rFonts w:ascii="Arial" w:cs="Arial" w:eastAsia="Arial" w:hAnsi="Arial"/>
          <w:sz w:val="22"/>
          <w:szCs w:val="22"/>
        </w:rPr>
        <w:t xml:space="preserve"> is the spot, </w:t>
      </w:r>
      <w:r>
        <w:rPr>
          <w:rFonts w:ascii="Consolas" w:cs="Consolas" w:eastAsia="Consolas" w:hAnsi="Consolas"/>
          <w:sz w:val="20"/>
          <w:szCs w:val="20"/>
        </w:rPr>
        <w:t xml:space="preserve">r_quote</w:t>
      </w:r>
      <w:r>
        <w:rPr>
          <w:rFonts w:ascii="Arial" w:cs="Arial" w:eastAsia="Arial" w:hAnsi="Arial"/>
          <w:sz w:val="22"/>
          <w:szCs w:val="22"/>
        </w:rPr>
        <w:t xml:space="preserve"> the quote-currency rate (USD), </w:t>
      </w:r>
      <w:r>
        <w:rPr>
          <w:rFonts w:ascii="Consolas" w:cs="Consolas" w:eastAsia="Consolas" w:hAnsi="Consolas"/>
          <w:sz w:val="20"/>
          <w:szCs w:val="20"/>
        </w:rPr>
        <w:t xml:space="preserve">r_base</w:t>
      </w:r>
      <w:r>
        <w:rPr>
          <w:rFonts w:ascii="Arial" w:cs="Arial" w:eastAsia="Arial" w:hAnsi="Arial"/>
          <w:sz w:val="22"/>
          <w:szCs w:val="22"/>
        </w:rPr>
        <w:t xml:space="preserve"> the base-currency rate (EUR), and </w:t>
      </w:r>
      <w:r>
        <w:rPr>
          <w:rFonts w:ascii="Consolas" w:cs="Consolas" w:eastAsia="Consolas" w:hAnsi="Consolas"/>
          <w:sz w:val="20"/>
          <w:szCs w:val="20"/>
        </w:rPr>
        <w:t xml:space="preserve">τ</w:t>
      </w:r>
      <w:r>
        <w:rPr>
          <w:rFonts w:ascii="Arial" w:cs="Arial" w:eastAsia="Arial" w:hAnsi="Arial"/>
          <w:sz w:val="22"/>
          <w:szCs w:val="22"/>
        </w:rPr>
        <w:t xml:space="preserve"> (tau) the fraction of a year to maturity. It is key to understand that </w:t>
      </w:r>
      <w:r>
        <w:rPr>
          <w:rFonts w:ascii="Arial" w:cs="Arial" w:eastAsia="Arial" w:hAnsi="Arial"/>
          <w:b/>
          <w:bCs/>
          <w:sz w:val="22"/>
          <w:szCs w:val="22"/>
        </w:rPr>
        <w:t xml:space="preserve">the forward is not a forecast</w:t>
      </w:r>
      <w:r>
        <w:rPr>
          <w:rFonts w:ascii="Arial" w:cs="Arial" w:eastAsia="Arial" w:hAnsi="Arial"/>
          <w:sz w:val="22"/>
          <w:szCs w:val="22"/>
        </w:rPr>
        <w:t xml:space="preserve">: it does not say where the euro is going. It is just the spot adjusted by the rate differential. In code:</w:t>
      </w:r>
    </w:p>
    <w:p>
      <w:pPr>
        <w:shd w:fill="1E1E2E" w:val="clear"/>
        <w:spacing w:after="0" w:line="264"/>
        <w:ind w:left="360"/>
      </w:pPr>
      <w:r>
        <w:rPr>
          <w:rFonts w:ascii="Consolas" w:cs="Consolas" w:eastAsia="Consolas" w:hAnsi="Consolas"/>
          <w:color w:val="E8ECF3"/>
          <w:sz w:val="18"/>
          <w:szCs w:val="18"/>
        </w:rPr>
        <w:t xml:space="preserve">def forward_rate(spot, r_base, r_quote, tau):</w:t>
      </w:r>
    </w:p>
    <w:p>
      <w:pPr>
        <w:shd w:fill="1E1E2E" w:val="clear"/>
        <w:spacing w:after="120" w:line="264"/>
        <w:ind w:left="360"/>
      </w:pPr>
      <w:r>
        <w:rPr>
          <w:rFonts w:ascii="Consolas" w:cs="Consolas" w:eastAsia="Consolas" w:hAnsi="Consolas"/>
          <w:color w:val="E8ECF3"/>
          <w:sz w:val="18"/>
          <w:szCs w:val="18"/>
        </w:rPr>
        <w:t xml:space="preserve">    return spot * (1.0 + r_quote * tau) / (1.0 + r_base * tau)</w:t>
      </w:r>
    </w:p>
    <w:p>
      <w:pPr>
        <w:pStyle w:val="Heading3"/>
      </w:pPr>
      <w:r>
        <w:rPr>
          <w:rFonts w:ascii="Arial" w:cs="Arial" w:eastAsia="Arial" w:hAnsi="Arial"/>
        </w:rPr>
        <w:t xml:space="preserve">The year fraction: ACT/360 convention</w:t>
      </w:r>
    </w:p>
    <w:p>
      <w:pPr>
        <w:spacing w:after="120" w:line="276"/>
      </w:pPr>
      <w:r>
        <w:rPr>
          <w:rFonts w:ascii="Arial" w:cs="Arial" w:eastAsia="Arial" w:hAnsi="Arial"/>
          <w:sz w:val="22"/>
          <w:szCs w:val="22"/>
        </w:rPr>
        <w:t xml:space="preserve">The tenor is measured in days, but rates are annual, so days must be converted to years. The project uses the </w:t>
      </w:r>
      <w:r>
        <w:rPr>
          <w:rFonts w:ascii="Arial" w:cs="Arial" w:eastAsia="Arial" w:hAnsi="Arial"/>
          <w:b/>
          <w:bCs/>
          <w:sz w:val="22"/>
          <w:szCs w:val="22"/>
        </w:rPr>
        <w:t xml:space="preserve">ACT/360</w:t>
      </w:r>
      <w:r>
        <w:rPr>
          <w:rFonts w:ascii="Arial" w:cs="Arial" w:eastAsia="Arial" w:hAnsi="Arial"/>
          <w:sz w:val="22"/>
          <w:szCs w:val="22"/>
        </w:rPr>
        <w:t xml:space="preserve"> convention (the FX money-market standard): the actual number of days is divided by 360. So 90 days = 90/360 = 0.25 years. This is </w:t>
      </w:r>
      <w:r>
        <w:rPr>
          <w:rFonts w:ascii="Consolas" w:cs="Consolas" w:eastAsia="Consolas" w:hAnsi="Consolas"/>
          <w:sz w:val="20"/>
          <w:szCs w:val="20"/>
        </w:rPr>
        <w:t xml:space="preserve">year_fraction</w:t>
      </w:r>
      <w:r>
        <w:rPr>
          <w:rFonts w:ascii="Arial" w:cs="Arial" w:eastAsia="Arial" w:hAnsi="Arial"/>
          <w:sz w:val="22"/>
          <w:szCs w:val="22"/>
        </w:rPr>
        <w:t xml:space="preserve">. It matters because the same convention is used across the WHOLE engine — forwards and options — so that one instrument and another at the same tenor use exactly the same τ. (That consistency was the subject of an audit fix: see section 6.)</w:t>
      </w:r>
    </w:p>
    <w:p>
      <w:pPr>
        <w:shd w:fill="EEF2F8" w:val="clear"/>
        <w:spacing w:after="100" w:before="100"/>
        <w:ind w:left="360"/>
      </w:pPr>
      <w:r>
        <w:rPr>
          <w:rFonts w:ascii="Consolas" w:cs="Consolas" w:eastAsia="Consolas" w:hAnsi="Consolas"/>
          <w:color w:val="1F3A5F"/>
          <w:sz w:val="21"/>
          <w:szCs w:val="21"/>
        </w:rPr>
        <w:t xml:space="preserve">τ = days / 360       (90 days → 0.25)</w:t>
      </w:r>
    </w:p>
    <w:p>
      <w:pPr>
        <w:pStyle w:val="Heading3"/>
      </w:pPr>
      <w:r>
        <w:rPr>
          <w:rFonts w:ascii="Arial" w:cs="Arial" w:eastAsia="Arial" w:hAnsi="Arial"/>
        </w:rPr>
        <w:t xml:space="preserve">The value of an already-agreed forward (Mark-to-Market)</w:t>
      </w:r>
    </w:p>
    <w:p>
      <w:pPr>
        <w:spacing w:after="120" w:line="276"/>
      </w:pPr>
      <w:r>
        <w:rPr>
          <w:rFonts w:ascii="Arial" w:cs="Arial" w:eastAsia="Arial" w:hAnsi="Arial"/>
          <w:sz w:val="22"/>
          <w:szCs w:val="22"/>
        </w:rPr>
        <w:t xml:space="preserve">Once a forward is live, what is it worth today? If you agreed it at a strike </w:t>
      </w:r>
      <w:r>
        <w:rPr>
          <w:rFonts w:ascii="Consolas" w:cs="Consolas" w:eastAsia="Consolas" w:hAnsi="Consolas"/>
          <w:sz w:val="20"/>
          <w:szCs w:val="20"/>
        </w:rPr>
        <w:t xml:space="preserve">K</w:t>
      </w:r>
      <w:r>
        <w:rPr>
          <w:rFonts w:ascii="Arial" w:cs="Arial" w:eastAsia="Arial" w:hAnsi="Arial"/>
          <w:sz w:val="22"/>
          <w:szCs w:val="22"/>
        </w:rPr>
        <w:t xml:space="preserve"> and today's fair forward is </w:t>
      </w:r>
      <w:r>
        <w:rPr>
          <w:rFonts w:ascii="Consolas" w:cs="Consolas" w:eastAsia="Consolas" w:hAnsi="Consolas"/>
          <w:sz w:val="20"/>
          <w:szCs w:val="20"/>
        </w:rPr>
        <w:t xml:space="preserve">F_now</w:t>
      </w:r>
      <w:r>
        <w:rPr>
          <w:rFonts w:ascii="Arial" w:cs="Arial" w:eastAsia="Arial" w:hAnsi="Arial"/>
          <w:sz w:val="22"/>
          <w:szCs w:val="22"/>
        </w:rPr>
        <w:t xml:space="preserve">, the difference </w:t>
      </w:r>
      <w:r>
        <w:rPr>
          <w:rFonts w:ascii="Consolas" w:cs="Consolas" w:eastAsia="Consolas" w:hAnsi="Consolas"/>
          <w:sz w:val="20"/>
          <w:szCs w:val="20"/>
        </w:rPr>
        <w:t xml:space="preserve">(F_now − K)</w:t>
      </w:r>
      <w:r>
        <w:rPr>
          <w:rFonts w:ascii="Arial" w:cs="Arial" w:eastAsia="Arial" w:hAnsi="Arial"/>
          <w:sz w:val="22"/>
          <w:szCs w:val="22"/>
        </w:rPr>
        <w:t xml:space="preserve"> is your gain or loss per unit, in quote currency. But that gain is collected at maturity, not today, so it must be </w:t>
      </w:r>
      <w:r>
        <w:rPr>
          <w:rFonts w:ascii="Arial" w:cs="Arial" w:eastAsia="Arial" w:hAnsi="Arial"/>
          <w:b/>
          <w:bCs/>
          <w:sz w:val="22"/>
          <w:szCs w:val="22"/>
        </w:rPr>
        <w:t xml:space="preserve">discounted to present value</w:t>
      </w:r>
      <w:r>
        <w:rPr>
          <w:rFonts w:ascii="Arial" w:cs="Arial" w:eastAsia="Arial" w:hAnsi="Arial"/>
          <w:sz w:val="22"/>
          <w:szCs w:val="22"/>
        </w:rPr>
        <w:t xml:space="preserve"> using the quote rate. The value (MtM) formula:</w:t>
      </w:r>
    </w:p>
    <w:p>
      <w:pPr>
        <w:shd w:fill="EEF2F8" w:val="clear"/>
        <w:spacing w:after="100" w:before="100"/>
        <w:ind w:left="360"/>
      </w:pPr>
      <w:r>
        <w:rPr>
          <w:rFonts w:ascii="Consolas" w:cs="Consolas" w:eastAsia="Consolas" w:hAnsi="Consolas"/>
          <w:color w:val="1F3A5F"/>
          <w:sz w:val="21"/>
          <w:szCs w:val="21"/>
        </w:rPr>
        <w:t xml:space="preserve">V = N_base × (F_now − K) × DF_quote</w:t>
      </w:r>
    </w:p>
    <w:p>
      <w:pPr>
        <w:shd w:fill="EEF2F8" w:val="clear"/>
        <w:spacing w:after="100" w:before="100"/>
        <w:ind w:left="360"/>
      </w:pPr>
      <w:r>
        <w:rPr>
          <w:rFonts w:ascii="Consolas" w:cs="Consolas" w:eastAsia="Consolas" w:hAnsi="Consolas"/>
          <w:color w:val="1F3A5F"/>
          <w:sz w:val="21"/>
          <w:szCs w:val="21"/>
        </w:rPr>
        <w:t xml:space="preserve">DF_quote = 1 / (1 + r_quote × τ_remaining)</w:t>
      </w:r>
    </w:p>
    <w:p>
      <w:pPr>
        <w:spacing w:after="120" w:line="276"/>
      </w:pPr>
      <w:r>
        <w:rPr>
          <w:rFonts w:ascii="Arial" w:cs="Arial" w:eastAsia="Arial" w:hAnsi="Arial"/>
          <w:sz w:val="22"/>
          <w:szCs w:val="22"/>
        </w:rPr>
        <w:t xml:space="preserve">It is discounted at the quote rate because the result </w:t>
      </w:r>
      <w:r>
        <w:rPr>
          <w:rFonts w:ascii="Consolas" w:cs="Consolas" w:eastAsia="Consolas" w:hAnsi="Consolas"/>
          <w:sz w:val="20"/>
          <w:szCs w:val="20"/>
        </w:rPr>
        <w:t xml:space="preserve">(F_now − K)</w:t>
      </w:r>
      <w:r>
        <w:rPr>
          <w:rFonts w:ascii="Arial" w:cs="Arial" w:eastAsia="Arial" w:hAnsi="Arial"/>
          <w:sz w:val="22"/>
          <w:szCs w:val="22"/>
        </w:rPr>
        <w:t xml:space="preserve"> is in that currency. If the position is long base, the value is </w:t>
      </w:r>
      <w:r>
        <w:rPr>
          <w:rFonts w:ascii="Consolas" w:cs="Consolas" w:eastAsia="Consolas" w:hAnsi="Consolas"/>
          <w:sz w:val="20"/>
          <w:szCs w:val="20"/>
        </w:rPr>
        <w:t xml:space="preserve">V</w:t>
      </w:r>
      <w:r>
        <w:rPr>
          <w:rFonts w:ascii="Arial" w:cs="Arial" w:eastAsia="Arial" w:hAnsi="Arial"/>
          <w:sz w:val="22"/>
          <w:szCs w:val="22"/>
        </w:rPr>
        <w:t xml:space="preserve">; if short, it is </w:t>
      </w:r>
      <w:r>
        <w:rPr>
          <w:rFonts w:ascii="Consolas" w:cs="Consolas" w:eastAsia="Consolas" w:hAnsi="Consolas"/>
          <w:sz w:val="20"/>
          <w:szCs w:val="20"/>
        </w:rPr>
        <w:t xml:space="preserve">−V</w:t>
      </w:r>
      <w:r>
        <w:rPr>
          <w:rFonts w:ascii="Arial" w:cs="Arial" w:eastAsia="Arial" w:hAnsi="Arial"/>
          <w:sz w:val="22"/>
          <w:szCs w:val="22"/>
        </w:rPr>
        <w:t xml:space="preserve"> — the exact mirror. This symmetry (long = −short) was verified in the audit to machine precision.</w:t>
      </w:r>
    </w:p>
    <w:p>
      <w:pPr>
        <w:pStyle w:val="Heading3"/>
      </w:pPr>
      <w:r>
        <w:rPr>
          <w:rFonts w:ascii="Arial" w:cs="Arial" w:eastAsia="Arial" w:hAnsi="Arial"/>
        </w:rPr>
        <w:t xml:space="preserve">The spread and the provider's revenue</w:t>
      </w:r>
    </w:p>
    <w:p>
      <w:pPr>
        <w:spacing w:after="120" w:line="276"/>
      </w:pPr>
      <w:r>
        <w:rPr>
          <w:rFonts w:ascii="Arial" w:cs="Arial" w:eastAsia="Arial" w:hAnsi="Arial"/>
          <w:sz w:val="22"/>
          <w:szCs w:val="22"/>
        </w:rPr>
        <w:t xml:space="preserve">The provider does not charge a separate fee: it earns from the </w:t>
      </w:r>
      <w:r>
        <w:rPr>
          <w:rFonts w:ascii="Arial" w:cs="Arial" w:eastAsia="Arial" w:hAnsi="Arial"/>
          <w:b/>
          <w:bCs/>
          <w:sz w:val="22"/>
          <w:szCs w:val="22"/>
        </w:rPr>
        <w:t xml:space="preserve">spread</w:t>
      </w:r>
      <w:r>
        <w:rPr>
          <w:rFonts w:ascii="Arial" w:cs="Arial" w:eastAsia="Arial" w:hAnsi="Arial"/>
          <w:sz w:val="22"/>
          <w:szCs w:val="22"/>
        </w:rPr>
        <w:t xml:space="preserve">, a small margin added on top of the fair forward. If the client buys the base, it is quoted slightly more expensive (fair + spread); if it sells, slightly cheaper (fair − spread). That is </w:t>
      </w:r>
      <w:r>
        <w:rPr>
          <w:rFonts w:ascii="Consolas" w:cs="Consolas" w:eastAsia="Consolas" w:hAnsi="Consolas"/>
          <w:sz w:val="20"/>
          <w:szCs w:val="20"/>
        </w:rPr>
        <w:t xml:space="preserve">client_rate_with_spread</w:t>
      </w:r>
      <w:r>
        <w:rPr>
          <w:rFonts w:ascii="Arial" w:cs="Arial" w:eastAsia="Arial" w:hAnsi="Arial"/>
          <w:sz w:val="22"/>
          <w:szCs w:val="22"/>
        </w:rPr>
        <w:t xml:space="preserve">. The provider's revenue is simply notional times spread:</w:t>
      </w:r>
    </w:p>
    <w:p>
      <w:pPr>
        <w:shd w:fill="EEF2F8" w:val="clear"/>
        <w:spacing w:after="100" w:before="100"/>
        <w:ind w:left="360"/>
      </w:pPr>
      <w:r>
        <w:rPr>
          <w:rFonts w:ascii="Consolas" w:cs="Consolas" w:eastAsia="Consolas" w:hAnsi="Consolas"/>
          <w:color w:val="1F3A5F"/>
          <w:sz w:val="21"/>
          <w:szCs w:val="21"/>
        </w:rPr>
        <w:t xml:space="preserve">revenue = notional_base × spread_pips × 0.0001</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Judgement detail. </w:t>
      </w:r>
      <w:r>
        <w:rPr>
          <w:rFonts w:ascii="Arial" w:cs="Arial" w:eastAsia="Arial" w:hAnsi="Arial"/>
          <w:sz w:val="22"/>
          <w:szCs w:val="22"/>
        </w:rPr>
        <w:t xml:space="preserve">The provider's revenue scales with the </w:t>
      </w:r>
      <w:r>
        <w:rPr>
          <w:rFonts w:ascii="Arial" w:cs="Arial" w:eastAsia="Arial" w:hAnsi="Arial"/>
          <w:b/>
          <w:bCs/>
          <w:sz w:val="22"/>
          <w:szCs w:val="22"/>
        </w:rPr>
        <w:t xml:space="preserve">size of the trade</w:t>
      </w:r>
      <w:r>
        <w:rPr>
          <w:rFonts w:ascii="Arial" w:cs="Arial" w:eastAsia="Arial" w:hAnsi="Arial"/>
          <w:sz w:val="22"/>
          <w:szCs w:val="22"/>
        </w:rPr>
        <w:t xml:space="preserve">, not with the risk it takes on. One pip = 0.0001 for these pairs. This is the business logic of an FX provider: it earns from intermediated volume, and the market risk it inherits is what this tool measures separately.</w:t>
      </w:r>
    </w:p>
    <w:p>
      <w:r>
        <w:br w:type="page"/>
      </w:r>
    </w:p>
    <w:p>
      <w:pPr>
        <w:pStyle w:val="Heading2"/>
      </w:pPr>
      <w:r>
        <w:rPr>
          <w:rFonts w:ascii="Arial" w:cs="Arial" w:eastAsia="Arial" w:hAnsi="Arial"/>
        </w:rPr>
        <w:t xml:space="preserve">3.2 options.py — pricing options (Garman-Kohlhagen)</w:t>
      </w:r>
    </w:p>
    <w:p>
      <w:pPr>
        <w:spacing w:after="120" w:line="276"/>
      </w:pPr>
      <w:r>
        <w:rPr>
          <w:rFonts w:ascii="Arial" w:cs="Arial" w:eastAsia="Arial" w:hAnsi="Arial"/>
          <w:sz w:val="22"/>
          <w:szCs w:val="22"/>
        </w:rPr>
        <w:t xml:space="preserve">Unlike a forward, an option is a </w:t>
      </w:r>
      <w:r>
        <w:rPr>
          <w:rFonts w:ascii="Arial" w:cs="Arial" w:eastAsia="Arial" w:hAnsi="Arial"/>
          <w:b/>
          <w:bCs/>
          <w:sz w:val="22"/>
          <w:szCs w:val="22"/>
        </w:rPr>
        <w:t xml:space="preserve">right, not an obligation</w:t>
      </w:r>
      <w:r>
        <w:rPr>
          <w:rFonts w:ascii="Arial" w:cs="Arial" w:eastAsia="Arial" w:hAnsi="Arial"/>
          <w:sz w:val="22"/>
          <w:szCs w:val="22"/>
        </w:rPr>
        <w:t xml:space="preserve">. That is why it has a premium: it is the price of that right, conceptually the pure premium of an insurance policy. The model used is </w:t>
      </w:r>
      <w:r>
        <w:rPr>
          <w:rFonts w:ascii="Arial" w:cs="Arial" w:eastAsia="Arial" w:hAnsi="Arial"/>
          <w:b/>
          <w:bCs/>
          <w:sz w:val="22"/>
          <w:szCs w:val="22"/>
        </w:rPr>
        <w:t xml:space="preserve">Garman-Kohlhagen</w:t>
      </w:r>
      <w:r>
        <w:rPr>
          <w:rFonts w:ascii="Arial" w:cs="Arial" w:eastAsia="Arial" w:hAnsi="Arial"/>
          <w:sz w:val="22"/>
          <w:szCs w:val="22"/>
        </w:rPr>
        <w:t xml:space="preserve">, which is Black-Scholes adapted to FX: the difference is that in currencies there are two interest rates (one per currency), not one.</w:t>
      </w:r>
    </w:p>
    <w:p>
      <w:pPr>
        <w:pStyle w:val="Heading3"/>
      </w:pPr>
      <w:r>
        <w:rPr>
          <w:rFonts w:ascii="Arial" w:cs="Arial" w:eastAsia="Arial" w:hAnsi="Arial"/>
        </w:rPr>
        <w:t xml:space="preserve">Conversion to continuous compounding</w:t>
      </w:r>
    </w:p>
    <w:p>
      <w:pPr>
        <w:spacing w:after="120" w:line="276"/>
      </w:pPr>
      <w:r>
        <w:rPr>
          <w:rFonts w:ascii="Arial" w:cs="Arial" w:eastAsia="Arial" w:hAnsi="Arial"/>
          <w:sz w:val="22"/>
          <w:szCs w:val="22"/>
        </w:rPr>
        <w:t xml:space="preserve">Garman-Kohlhagen is a continuous-time model, so the simple rates from the curves are converted to their </w:t>
      </w:r>
      <w:r>
        <w:rPr>
          <w:rFonts w:ascii="Arial" w:cs="Arial" w:eastAsia="Arial" w:hAnsi="Arial"/>
          <w:b/>
          <w:bCs/>
          <w:sz w:val="22"/>
          <w:szCs w:val="22"/>
        </w:rPr>
        <w:t xml:space="preserve">continuous</w:t>
      </w:r>
      <w:r>
        <w:rPr>
          <w:rFonts w:ascii="Arial" w:cs="Arial" w:eastAsia="Arial" w:hAnsi="Arial"/>
          <w:sz w:val="22"/>
          <w:szCs w:val="22"/>
        </w:rPr>
        <w:t xml:space="preserve"> equivalent inside the module, with </w:t>
      </w:r>
      <w:r>
        <w:rPr>
          <w:rFonts w:ascii="Consolas" w:cs="Consolas" w:eastAsia="Consolas" w:hAnsi="Consolas"/>
          <w:sz w:val="20"/>
          <w:szCs w:val="20"/>
        </w:rPr>
        <w:t xml:space="preserve">_to_continuous</w:t>
      </w:r>
      <w:r>
        <w:rPr>
          <w:rFonts w:ascii="Arial" w:cs="Arial" w:eastAsia="Arial" w:hAnsi="Arial"/>
          <w:sz w:val="22"/>
          <w:szCs w:val="22"/>
        </w:rPr>
        <w:t xml:space="preserve">:</w:t>
      </w:r>
    </w:p>
    <w:p>
      <w:pPr>
        <w:shd w:fill="EEF2F8" w:val="clear"/>
        <w:spacing w:after="100" w:before="100"/>
        <w:ind w:left="360"/>
      </w:pPr>
      <w:r>
        <w:rPr>
          <w:rFonts w:ascii="Consolas" w:cs="Consolas" w:eastAsia="Consolas" w:hAnsi="Consolas"/>
          <w:color w:val="1F3A5F"/>
          <w:sz w:val="21"/>
          <w:szCs w:val="21"/>
        </w:rPr>
        <w:t xml:space="preserve">r_c = ln(1 + r_simple × τ) / τ</w:t>
      </w:r>
    </w:p>
    <w:p>
      <w:pPr>
        <w:spacing w:after="120" w:line="276"/>
      </w:pPr>
      <w:r>
        <w:rPr>
          <w:rFonts w:ascii="Arial" w:cs="Arial" w:eastAsia="Arial" w:hAnsi="Arial"/>
          <w:sz w:val="22"/>
          <w:szCs w:val="22"/>
        </w:rPr>
        <w:t xml:space="preserve">This keeps the option consistent with its own continuous-time convention, while the rest of the engine (forwards, curves) uses simple rates. Both conventions are standard in their context, and over the short tenors used the numerical difference is minimal.</w:t>
      </w:r>
    </w:p>
    <w:p>
      <w:pPr>
        <w:pStyle w:val="Heading3"/>
      </w:pPr>
      <w:r>
        <w:rPr>
          <w:rFonts w:ascii="Arial" w:cs="Arial" w:eastAsia="Arial" w:hAnsi="Arial"/>
        </w:rPr>
        <w:t xml:space="preserve">The d1 and d2 terms</w:t>
      </w:r>
    </w:p>
    <w:p>
      <w:pPr>
        <w:spacing w:after="120" w:line="276"/>
      </w:pPr>
      <w:r>
        <w:rPr>
          <w:rFonts w:ascii="Arial" w:cs="Arial" w:eastAsia="Arial" w:hAnsi="Arial"/>
          <w:sz w:val="22"/>
          <w:szCs w:val="22"/>
        </w:rPr>
        <w:t xml:space="preserve">The heart of the model is two quantities, d1 and d2, which measure how far in or out of the money the option is, adjusted for volatility and time:</w:t>
      </w:r>
    </w:p>
    <w:p>
      <w:pPr>
        <w:shd w:fill="EEF2F8" w:val="clear"/>
        <w:spacing w:after="100" w:before="100"/>
        <w:ind w:left="360"/>
      </w:pPr>
      <w:r>
        <w:rPr>
          <w:rFonts w:ascii="Consolas" w:cs="Consolas" w:eastAsia="Consolas" w:hAnsi="Consolas"/>
          <w:color w:val="1F3A5F"/>
          <w:sz w:val="21"/>
          <w:szCs w:val="21"/>
        </w:rPr>
        <w:t xml:space="preserve">d1 = [ ln(S/K) + (r_quote − r_base + ½·σ²)·τ ] / (σ·√τ)</w:t>
      </w:r>
    </w:p>
    <w:p>
      <w:pPr>
        <w:shd w:fill="EEF2F8" w:val="clear"/>
        <w:spacing w:after="100" w:before="100"/>
        <w:ind w:left="360"/>
      </w:pPr>
      <w:r>
        <w:rPr>
          <w:rFonts w:ascii="Consolas" w:cs="Consolas" w:eastAsia="Consolas" w:hAnsi="Consolas"/>
          <w:color w:val="1F3A5F"/>
          <w:sz w:val="21"/>
          <w:szCs w:val="21"/>
        </w:rPr>
        <w:t xml:space="preserve">d2 = d1 − σ·√τ</w:t>
      </w:r>
    </w:p>
    <w:p>
      <w:pPr>
        <w:spacing w:after="120" w:line="276"/>
      </w:pPr>
      <w:r>
        <w:rPr>
          <w:rFonts w:ascii="Arial" w:cs="Arial" w:eastAsia="Arial" w:hAnsi="Arial"/>
          <w:sz w:val="22"/>
          <w:szCs w:val="22"/>
        </w:rPr>
        <w:t xml:space="preserve">where </w:t>
      </w:r>
      <w:r>
        <w:rPr>
          <w:rFonts w:ascii="Consolas" w:cs="Consolas" w:eastAsia="Consolas" w:hAnsi="Consolas"/>
          <w:sz w:val="20"/>
          <w:szCs w:val="20"/>
        </w:rPr>
        <w:t xml:space="preserve">σ</w:t>
      </w:r>
      <w:r>
        <w:rPr>
          <w:rFonts w:ascii="Arial" w:cs="Arial" w:eastAsia="Arial" w:hAnsi="Arial"/>
          <w:sz w:val="22"/>
          <w:szCs w:val="22"/>
        </w:rPr>
        <w:t xml:space="preserve"> (sigma) is volatility. Intuitively, </w:t>
      </w:r>
      <w:r>
        <w:rPr>
          <w:rFonts w:ascii="Consolas" w:cs="Consolas" w:eastAsia="Consolas" w:hAnsi="Consolas"/>
          <w:sz w:val="20"/>
          <w:szCs w:val="20"/>
        </w:rPr>
        <w:t xml:space="preserve">N(d2)</w:t>
      </w:r>
      <w:r>
        <w:rPr>
          <w:rFonts w:ascii="Arial" w:cs="Arial" w:eastAsia="Arial" w:hAnsi="Arial"/>
          <w:sz w:val="22"/>
          <w:szCs w:val="22"/>
        </w:rPr>
        <w:t xml:space="preserve"> is the probability (in the risk-neutral world) that the option ends in-the-money, and </w:t>
      </w:r>
      <w:r>
        <w:rPr>
          <w:rFonts w:ascii="Consolas" w:cs="Consolas" w:eastAsia="Consolas" w:hAnsi="Consolas"/>
          <w:sz w:val="20"/>
          <w:szCs w:val="20"/>
        </w:rPr>
        <w:t xml:space="preserve">N(d1)</w:t>
      </w:r>
      <w:r>
        <w:rPr>
          <w:rFonts w:ascii="Arial" w:cs="Arial" w:eastAsia="Arial" w:hAnsi="Arial"/>
          <w:sz w:val="22"/>
          <w:szCs w:val="22"/>
        </w:rPr>
        <w:t xml:space="preserve"> is related to the delta. </w:t>
      </w:r>
      <w:r>
        <w:rPr>
          <w:rFonts w:ascii="Consolas" w:cs="Consolas" w:eastAsia="Consolas" w:hAnsi="Consolas"/>
          <w:sz w:val="20"/>
          <w:szCs w:val="20"/>
        </w:rPr>
        <w:t xml:space="preserve">N(·)</w:t>
      </w:r>
      <w:r>
        <w:rPr>
          <w:rFonts w:ascii="Arial" w:cs="Arial" w:eastAsia="Arial" w:hAnsi="Arial"/>
          <w:sz w:val="22"/>
          <w:szCs w:val="22"/>
        </w:rPr>
        <w:t xml:space="preserve"> is the cumulative normal distribution, which the code computes with the error function (</w:t>
      </w:r>
      <w:r>
        <w:rPr>
          <w:rFonts w:ascii="Consolas" w:cs="Consolas" w:eastAsia="Consolas" w:hAnsi="Consolas"/>
          <w:sz w:val="20"/>
          <w:szCs w:val="20"/>
        </w:rPr>
        <w:t xml:space="preserve">math.erf</w:t>
      </w:r>
      <w:r>
        <w:rPr>
          <w:rFonts w:ascii="Arial" w:cs="Arial" w:eastAsia="Arial" w:hAnsi="Arial"/>
          <w:sz w:val="22"/>
          <w:szCs w:val="22"/>
        </w:rPr>
        <w:t xml:space="preserve">), exact to floating-point precision.</w:t>
      </w:r>
    </w:p>
    <w:p>
      <w:pPr>
        <w:pStyle w:val="Heading3"/>
      </w:pPr>
      <w:r>
        <w:rPr>
          <w:rFonts w:ascii="Arial" w:cs="Arial" w:eastAsia="Arial" w:hAnsi="Arial"/>
        </w:rPr>
        <w:t xml:space="preserve">The option price</w:t>
      </w:r>
    </w:p>
    <w:p>
      <w:pPr>
        <w:spacing w:after="120" w:line="276"/>
      </w:pPr>
      <w:r>
        <w:rPr>
          <w:rFonts w:ascii="Arial" w:cs="Arial" w:eastAsia="Arial" w:hAnsi="Arial"/>
          <w:sz w:val="22"/>
          <w:szCs w:val="22"/>
        </w:rPr>
        <w:t xml:space="preserve">With d1 and d2, the prices of a call and a put are:</w:t>
      </w:r>
    </w:p>
    <w:p>
      <w:pPr>
        <w:shd w:fill="EEF2F8" w:val="clear"/>
        <w:spacing w:after="100" w:before="100"/>
        <w:ind w:left="360"/>
      </w:pPr>
      <w:r>
        <w:rPr>
          <w:rFonts w:ascii="Consolas" w:cs="Consolas" w:eastAsia="Consolas" w:hAnsi="Consolas"/>
          <w:color w:val="1F3A5F"/>
          <w:sz w:val="21"/>
          <w:szCs w:val="21"/>
        </w:rPr>
        <w:t xml:space="preserve">call = S·e^(−r_base·τ)·N(d1) − K·e^(−r_quote·τ)·N(d2)</w:t>
      </w:r>
    </w:p>
    <w:p>
      <w:pPr>
        <w:shd w:fill="EEF2F8" w:val="clear"/>
        <w:spacing w:after="100" w:before="100"/>
        <w:ind w:left="360"/>
      </w:pPr>
      <w:r>
        <w:rPr>
          <w:rFonts w:ascii="Consolas" w:cs="Consolas" w:eastAsia="Consolas" w:hAnsi="Consolas"/>
          <w:color w:val="1F3A5F"/>
          <w:sz w:val="21"/>
          <w:szCs w:val="21"/>
        </w:rPr>
        <w:t xml:space="preserve">put  = K·e^(−r_quote·τ)·N(−d2) − S·e^(−r_base·τ)·N(−d1)</w:t>
      </w:r>
    </w:p>
    <w:p>
      <w:pPr>
        <w:spacing w:after="120" w:line="276"/>
      </w:pPr>
      <w:r>
        <w:rPr>
          <w:rFonts w:ascii="Arial" w:cs="Arial" w:eastAsia="Arial" w:hAnsi="Arial"/>
          <w:sz w:val="22"/>
          <w:szCs w:val="22"/>
        </w:rPr>
        <w:t xml:space="preserve">The result is the premium per unit of base currency; multiplied by the notional it gives the total premium. These prices satisfy </w:t>
      </w:r>
      <w:r>
        <w:rPr>
          <w:rFonts w:ascii="Arial" w:cs="Arial" w:eastAsia="Arial" w:hAnsi="Arial"/>
          <w:b/>
          <w:bCs/>
          <w:sz w:val="22"/>
          <w:szCs w:val="22"/>
        </w:rPr>
        <w:t xml:space="preserve">put-call parity</w:t>
      </w:r>
      <w:r>
        <w:rPr>
          <w:rFonts w:ascii="Arial" w:cs="Arial" w:eastAsia="Arial" w:hAnsi="Arial"/>
          <w:sz w:val="22"/>
          <w:szCs w:val="22"/>
        </w:rPr>
        <w:t xml:space="preserve"> exactly, a relationship that must hold regardless of volatility — and which the audit verified over 1,000 random points with an error of 4×10⁻¹⁶ (machine precision).</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Robustness (audit fix). </w:t>
      </w:r>
      <w:r>
        <w:rPr>
          <w:rFonts w:ascii="Arial" w:cs="Arial" w:eastAsia="Arial" w:hAnsi="Arial"/>
          <w:sz w:val="22"/>
          <w:szCs w:val="22"/>
        </w:rPr>
        <w:t xml:space="preserve">The pricer validates its inputs (it rejects non-finite values or non-positive spot/strike) and handles the limit case where </w:t>
      </w:r>
      <w:r>
        <w:rPr>
          <w:rFonts w:ascii="Consolas" w:cs="Consolas" w:eastAsia="Consolas" w:hAnsi="Consolas"/>
          <w:sz w:val="20"/>
          <w:szCs w:val="20"/>
        </w:rPr>
        <w:t xml:space="preserve">σ·√τ → 0</w:t>
      </w:r>
      <w:r>
        <w:rPr>
          <w:rFonts w:ascii="Arial" w:cs="Arial" w:eastAsia="Arial" w:hAnsi="Arial"/>
          <w:sz w:val="22"/>
          <w:szCs w:val="22"/>
        </w:rPr>
        <w:t xml:space="preserve"> (at expiry, or zero volatility): instead of dividing by zero, it returns the </w:t>
      </w:r>
      <w:r>
        <w:rPr>
          <w:rFonts w:ascii="Arial" w:cs="Arial" w:eastAsia="Arial" w:hAnsi="Arial"/>
          <w:b/>
          <w:bCs/>
          <w:sz w:val="22"/>
          <w:szCs w:val="22"/>
        </w:rPr>
        <w:t xml:space="preserve">discounted intrinsic value</w:t>
      </w:r>
      <w:r>
        <w:rPr>
          <w:rFonts w:ascii="Arial" w:cs="Arial" w:eastAsia="Arial" w:hAnsi="Arial"/>
          <w:sz w:val="22"/>
          <w:szCs w:val="22"/>
        </w:rPr>
        <w:t xml:space="preserve">, which is the correct mathematical limit. See section 6.</w:t>
      </w:r>
    </w:p>
    <w:p>
      <w:pPr>
        <w:pStyle w:val="Heading3"/>
      </w:pPr>
      <w:r>
        <w:rPr>
          <w:rFonts w:ascii="Arial" w:cs="Arial" w:eastAsia="Arial" w:hAnsi="Arial"/>
        </w:rPr>
        <w:t xml:space="preserve">The four Greeks (sensitivities)</w:t>
      </w:r>
    </w:p>
    <w:p>
      <w:pPr>
        <w:spacing w:after="120" w:line="276"/>
      </w:pPr>
      <w:r>
        <w:rPr>
          <w:rFonts w:ascii="Arial" w:cs="Arial" w:eastAsia="Arial" w:hAnsi="Arial"/>
          <w:sz w:val="22"/>
          <w:szCs w:val="22"/>
        </w:rPr>
        <w:t xml:space="preserve">The «Greeks» measure how the option price changes with each factor. The program computes the four main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Greek</w:t>
            </w:r>
          </w:p>
        </w:tc>
        <w:tc>
          <w:tcPr>
            <w:tcW w:type="dxa" w:w="4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Measures</w:t>
            </w:r>
          </w:p>
        </w:tc>
        <w:tc>
          <w:tcPr>
            <w:tcW w:type="dxa" w:w="36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Price change per unit move in spot. The hedge ratio.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call: e^(−r_base·τ)·N(d1)</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Gamma</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Change in delta per move in spot (the curvature).</w:t>
            </w:r>
          </w:p>
        </w:tc>
        <w:tc>
          <w:tcPr>
            <w:tcW w:type="dxa" w:w="3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e^(−r_base·τ)·n(d1)/(S·σ·√τ)</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Vega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Sensitivity to volatility (same for call and put).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S·e^(−r_base·τ)·√τ·n(d1)</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Theta</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Value lost as one day passes (time decay).</w:t>
            </w:r>
          </w:p>
        </w:tc>
        <w:tc>
          <w:tcPr>
            <w:tcW w:type="dxa" w:w="3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annual θ / 365</w:t>
            </w:r>
          </w:p>
        </w:tc>
      </w:tr>
    </w:tbl>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gamma</w:t>
      </w:r>
      <w:r>
        <w:rPr>
          <w:rFonts w:ascii="Arial" w:cs="Arial" w:eastAsia="Arial" w:hAnsi="Arial"/>
          <w:sz w:val="22"/>
          <w:szCs w:val="22"/>
        </w:rPr>
        <w:t xml:space="preserve"> is why an option's risk is not captured by the delta alone: as the spot moves, the delta itself changes, and the gamma measures how fast. This is central to the option book's risk valuation (section 3.10), which uses </w:t>
      </w:r>
      <w:r>
        <w:rPr>
          <w:rFonts w:ascii="Arial" w:cs="Arial" w:eastAsia="Arial" w:hAnsi="Arial"/>
          <w:b/>
          <w:bCs/>
          <w:sz w:val="22"/>
          <w:szCs w:val="22"/>
        </w:rPr>
        <w:t xml:space="preserve">full revaluation</w:t>
      </w:r>
      <w:r>
        <w:rPr>
          <w:rFonts w:ascii="Arial" w:cs="Arial" w:eastAsia="Arial" w:hAnsi="Arial"/>
          <w:sz w:val="22"/>
          <w:szCs w:val="22"/>
        </w:rPr>
        <w:t xml:space="preserve"> precisely to capture this non-linear effect.</w:t>
      </w:r>
    </w:p>
    <w:p>
      <w:pPr>
        <w:spacing w:after="120" w:line="276"/>
      </w:pPr>
      <w:r>
        <w:rPr>
          <w:rFonts w:ascii="Arial" w:cs="Arial" w:eastAsia="Arial" w:hAnsi="Arial"/>
          <w:sz w:val="22"/>
          <w:szCs w:val="22"/>
        </w:rPr>
        <w:t xml:space="preserve">Two presentation details the manual clarifies because they appear on screen: </w:t>
      </w:r>
      <w:r>
        <w:rPr>
          <w:rFonts w:ascii="Arial" w:cs="Arial" w:eastAsia="Arial" w:hAnsi="Arial"/>
          <w:b/>
          <w:bCs/>
          <w:sz w:val="22"/>
          <w:szCs w:val="22"/>
        </w:rPr>
        <w:t xml:space="preserve">vega</w:t>
      </w:r>
      <w:r>
        <w:rPr>
          <w:rFonts w:ascii="Arial" w:cs="Arial" w:eastAsia="Arial" w:hAnsi="Arial"/>
          <w:sz w:val="22"/>
          <w:szCs w:val="22"/>
        </w:rPr>
        <w:t xml:space="preserve"> is computed per 1.00 (100 volatility points), and the app divides it by 100 to show the change «per volatility point». </w:t>
      </w:r>
      <w:r>
        <w:rPr>
          <w:rFonts w:ascii="Arial" w:cs="Arial" w:eastAsia="Arial" w:hAnsi="Arial"/>
          <w:b/>
          <w:bCs/>
          <w:sz w:val="22"/>
          <w:szCs w:val="22"/>
        </w:rPr>
        <w:t xml:space="preserve">Theta</w:t>
      </w:r>
      <w:r>
        <w:rPr>
          <w:rFonts w:ascii="Arial" w:cs="Arial" w:eastAsia="Arial" w:hAnsi="Arial"/>
          <w:sz w:val="22"/>
          <w:szCs w:val="22"/>
        </w:rPr>
        <w:t xml:space="preserve"> is returned per calendar day (annual theta divided by 365) and is typically negative: an option loses value as expiry approaches.</w:t>
      </w:r>
    </w:p>
    <w:p>
      <w:r>
        <w:br w:type="page"/>
      </w:r>
    </w:p>
    <w:p>
      <w:pPr>
        <w:pStyle w:val="Heading2"/>
      </w:pPr>
      <w:r>
        <w:rPr>
          <w:rFonts w:ascii="Arial" w:cs="Arial" w:eastAsia="Arial" w:hAnsi="Arial"/>
        </w:rPr>
        <w:t xml:space="preserve">3.3 curves.py — real rate curves</w:t>
      </w:r>
    </w:p>
    <w:p>
      <w:pPr>
        <w:spacing w:after="120" w:line="276"/>
      </w:pPr>
      <w:r>
        <w:rPr>
          <w:rFonts w:ascii="Arial" w:cs="Arial" w:eastAsia="Arial" w:hAnsi="Arial"/>
          <w:sz w:val="22"/>
          <w:szCs w:val="22"/>
        </w:rPr>
        <w:t xml:space="preserve">We already saw the curve sources in section 2.2. This module builds them and lets you read a rate at any tenor. It defines a RateCurve structure with the anchor tenors, the rates, and flags such as is_flat (whether the curve is flat) and notes (where any limitation is declared).</w:t>
      </w:r>
    </w:p>
    <w:p>
      <w:pPr>
        <w:spacing w:after="120" w:line="276"/>
      </w:pPr>
      <w:r>
        <w:rPr>
          <w:rFonts w:ascii="Arial" w:cs="Arial" w:eastAsia="Arial" w:hAnsi="Arial"/>
          <w:sz w:val="22"/>
          <w:szCs w:val="22"/>
        </w:rPr>
        <w:t xml:space="preserve">The central function is </w:t>
      </w:r>
      <w:r>
        <w:rPr>
          <w:rFonts w:ascii="Consolas" w:cs="Consolas" w:eastAsia="Consolas" w:hAnsi="Consolas"/>
          <w:sz w:val="20"/>
          <w:szCs w:val="20"/>
        </w:rPr>
        <w:t xml:space="preserve">rate_at</w:t>
      </w:r>
      <w:r>
        <w:rPr>
          <w:rFonts w:ascii="Arial" w:cs="Arial" w:eastAsia="Arial" w:hAnsi="Arial"/>
          <w:sz w:val="22"/>
          <w:szCs w:val="22"/>
        </w:rPr>
        <w:t xml:space="preserve">, which linearly interpolates the rate at the requested tenor with </w:t>
      </w:r>
      <w:r>
        <w:rPr>
          <w:rFonts w:ascii="Consolas" w:cs="Consolas" w:eastAsia="Consolas" w:hAnsi="Consolas"/>
          <w:sz w:val="20"/>
          <w:szCs w:val="20"/>
        </w:rPr>
        <w:t xml:space="preserve">np.interp</w:t>
      </w:r>
      <w:r>
        <w:rPr>
          <w:rFonts w:ascii="Arial" w:cs="Arial" w:eastAsia="Arial" w:hAnsi="Arial"/>
          <w:sz w:val="22"/>
          <w:szCs w:val="22"/>
        </w:rPr>
        <w:t xml:space="preserve">. If the curve has a single point (like GBP), it returns that point for all tenors. Outside the anchor range, it holds the value flat (no extrapolation). All of this is declared in the code's own comments and on the limitations screen. The </w:t>
      </w:r>
      <w:r>
        <w:rPr>
          <w:rFonts w:ascii="Consolas" w:cs="Consolas" w:eastAsia="Consolas" w:hAnsi="Consolas"/>
          <w:sz w:val="20"/>
          <w:szCs w:val="20"/>
        </w:rPr>
        <w:t xml:space="preserve">supported_currencies</w:t>
      </w:r>
      <w:r>
        <w:rPr>
          <w:rFonts w:ascii="Arial" w:cs="Arial" w:eastAsia="Arial" w:hAnsi="Arial"/>
          <w:sz w:val="22"/>
          <w:szCs w:val="22"/>
        </w:rPr>
        <w:t xml:space="preserve"> function returns the configured currencies: EUR, USD and GBP. On any download failure it raises </w:t>
      </w:r>
      <w:r>
        <w:rPr>
          <w:rFonts w:ascii="Consolas" w:cs="Consolas" w:eastAsia="Consolas" w:hAnsi="Consolas"/>
          <w:sz w:val="20"/>
          <w:szCs w:val="20"/>
        </w:rPr>
        <w:t xml:space="preserve">CurveError</w:t>
      </w:r>
      <w:r>
        <w:rPr>
          <w:rFonts w:ascii="Arial" w:cs="Arial" w:eastAsia="Arial" w:hAnsi="Arial"/>
          <w:sz w:val="22"/>
          <w:szCs w:val="22"/>
        </w:rPr>
        <w:t xml:space="preserve"> — it never invents a rate.</w:t>
      </w:r>
    </w:p>
    <w:p>
      <w:pPr>
        <w:pStyle w:val="Heading2"/>
      </w:pPr>
      <w:r>
        <w:rPr>
          <w:rFonts w:ascii="Arial" w:cs="Arial" w:eastAsia="Arial" w:hAnsi="Arial"/>
        </w:rPr>
        <w:t xml:space="preserve">3.4 garch.py — volatility estimation</w:t>
      </w:r>
    </w:p>
    <w:p>
      <w:pPr>
        <w:spacing w:after="120" w:line="276"/>
      </w:pPr>
      <w:r>
        <w:rPr>
          <w:rFonts w:ascii="Arial" w:cs="Arial" w:eastAsia="Arial" w:hAnsi="Arial"/>
          <w:sz w:val="22"/>
          <w:szCs w:val="22"/>
        </w:rPr>
        <w:t xml:space="preserve">Already described conceptually in 2.3. At the code level, this module offers two functions:</w:t>
      </w:r>
    </w:p>
    <w:p>
      <w:pPr>
        <w:pStyle w:val="ListParagraph"/>
        <w:numPr>
          <w:ilvl w:val="0"/>
          <w:numId w:val="2"/>
        </w:numPr>
        <w:spacing w:after="80" w:line="276"/>
      </w:pPr>
      <w:r>
        <w:rPr>
          <w:rFonts w:ascii="Consolas" w:cs="Consolas" w:eastAsia="Consolas" w:hAnsi="Consolas"/>
          <w:sz w:val="20"/>
          <w:szCs w:val="20"/>
        </w:rPr>
        <w:t xml:space="preserve">historical_vol</w:t>
      </w:r>
      <w:r>
        <w:rPr>
          <w:rFonts w:ascii="Arial" w:cs="Arial" w:eastAsia="Arial" w:hAnsi="Arial"/>
          <w:sz w:val="22"/>
          <w:szCs w:val="22"/>
        </w:rPr>
        <w:t xml:space="preserve">: the standard deviation of returns (with ddof=1, i.e. sample) times the square root of 252. A single annualised number.</w:t>
      </w:r>
    </w:p>
    <w:p>
      <w:pPr>
        <w:pStyle w:val="ListParagraph"/>
        <w:numPr>
          <w:ilvl w:val="0"/>
          <w:numId w:val="2"/>
        </w:numPr>
        <w:spacing w:after="80" w:line="276"/>
      </w:pPr>
      <w:r>
        <w:rPr>
          <w:rFonts w:ascii="Consolas" w:cs="Consolas" w:eastAsia="Consolas" w:hAnsi="Consolas"/>
          <w:sz w:val="20"/>
          <w:szCs w:val="20"/>
        </w:rPr>
        <w:t xml:space="preserve">fit_garch</w:t>
      </w:r>
      <w:r>
        <w:rPr>
          <w:rFonts w:ascii="Arial" w:cs="Arial" w:eastAsia="Arial" w:hAnsi="Arial"/>
          <w:sz w:val="22"/>
          <w:szCs w:val="22"/>
        </w:rPr>
        <w:t xml:space="preserve">: fits a GARCH(1,1) with Student-t innovations using the arch library. It returns a GarchResult with the daily conditional volatility and the most recent annualised conditional volatility — which is what the system uses as «today's volatility».</w:t>
      </w:r>
    </w:p>
    <w:p>
      <w:pPr>
        <w:pStyle w:val="Heading2"/>
      </w:pPr>
      <w:r>
        <w:rPr>
          <w:rFonts w:ascii="Arial" w:cs="Arial" w:eastAsia="Arial" w:hAnsi="Arial"/>
        </w:rPr>
        <w:t xml:space="preserve">3.5 data.py and market.py — data and market snapshot</w:t>
      </w:r>
    </w:p>
    <w:p>
      <w:pPr>
        <w:spacing w:after="120" w:line="276"/>
      </w:pPr>
      <w:r>
        <w:rPr>
          <w:rFonts w:ascii="Arial" w:cs="Arial" w:eastAsia="Arial" w:hAnsi="Arial"/>
          <w:sz w:val="22"/>
          <w:szCs w:val="22"/>
        </w:rPr>
        <w:t xml:space="preserve">The </w:t>
      </w:r>
      <w:r>
        <w:rPr>
          <w:rFonts w:ascii="Consolas" w:cs="Consolas" w:eastAsia="Consolas" w:hAnsi="Consolas"/>
          <w:sz w:val="20"/>
          <w:szCs w:val="20"/>
        </w:rPr>
        <w:t xml:space="preserve">data.py</w:t>
      </w:r>
      <w:r>
        <w:rPr>
          <w:rFonts w:ascii="Arial" w:cs="Arial" w:eastAsia="Arial" w:hAnsi="Arial"/>
          <w:sz w:val="22"/>
          <w:szCs w:val="22"/>
        </w:rPr>
        <w:t xml:space="preserve"> module (described in 2.1) is the only one touching the outside world. The </w:t>
      </w:r>
      <w:r>
        <w:rPr>
          <w:rFonts w:ascii="Consolas" w:cs="Consolas" w:eastAsia="Consolas" w:hAnsi="Consolas"/>
          <w:sz w:val="20"/>
          <w:szCs w:val="20"/>
        </w:rPr>
        <w:t xml:space="preserve">market.py</w:t>
      </w:r>
      <w:r>
        <w:rPr>
          <w:rFonts w:ascii="Arial" w:cs="Arial" w:eastAsia="Arial" w:hAnsi="Arial"/>
          <w:sz w:val="22"/>
          <w:szCs w:val="22"/>
        </w:rPr>
        <w:t xml:space="preserve"> module is the integration layer: it assembles everything needed to value into an object called </w:t>
      </w:r>
      <w:r>
        <w:rPr>
          <w:rFonts w:ascii="Arial" w:cs="Arial" w:eastAsia="Arial" w:hAnsi="Arial"/>
          <w:b/>
          <w:bCs/>
          <w:sz w:val="22"/>
          <w:szCs w:val="22"/>
        </w:rPr>
        <w:t xml:space="preserve">MarketSnapshot</w:t>
      </w:r>
      <w:r>
        <w:rPr>
          <w:rFonts w:ascii="Arial" w:cs="Arial" w:eastAsia="Arial" w:hAnsi="Arial"/>
          <w:sz w:val="22"/>
          <w:szCs w:val="22"/>
        </w:rPr>
        <w:t xml:space="preserve">. A snapshot contains, for a pair and a tenor: the spot, the two rates (base and quote) read from the curves at the matching tenor, the historical and GARCH volatilities, and the year fraction of the tenor (computed with the same ACT/360 </w:t>
      </w:r>
      <w:r>
        <w:rPr>
          <w:rFonts w:ascii="Consolas" w:cs="Consolas" w:eastAsia="Consolas" w:hAnsi="Consolas"/>
          <w:sz w:val="20"/>
          <w:szCs w:val="20"/>
        </w:rPr>
        <w:t xml:space="preserve">year_fraction</w:t>
      </w:r>
      <w:r>
        <w:rPr>
          <w:rFonts w:ascii="Arial" w:cs="Arial" w:eastAsia="Arial" w:hAnsi="Arial"/>
          <w:sz w:val="22"/>
          <w:szCs w:val="22"/>
        </w:rPr>
        <w:t xml:space="preserve"> as the rest of the engine). The snapshot also has a </w:t>
      </w:r>
      <w:r>
        <w:rPr>
          <w:rFonts w:ascii="Consolas" w:cs="Consolas" w:eastAsia="Consolas" w:hAnsi="Consolas"/>
          <w:sz w:val="20"/>
          <w:szCs w:val="20"/>
        </w:rPr>
        <w:t xml:space="preserve">forward()</w:t>
      </w:r>
      <w:r>
        <w:rPr>
          <w:rFonts w:ascii="Arial" w:cs="Arial" w:eastAsia="Arial" w:hAnsi="Arial"/>
          <w:sz w:val="22"/>
          <w:szCs w:val="22"/>
        </w:rPr>
        <w:t xml:space="preserve"> method that computes the fair forward by applying CIP to that data. It is the piece that connects raw data to pricing.</w:t>
      </w:r>
    </w:p>
    <w:p>
      <w:r>
        <w:br w:type="page"/>
      </w:r>
    </w:p>
    <w:p>
      <w:pPr>
        <w:pStyle w:val="Heading2"/>
      </w:pPr>
      <w:r>
        <w:rPr>
          <w:rFonts w:ascii="Arial" w:cs="Arial" w:eastAsia="Arial" w:hAnsi="Arial"/>
        </w:rPr>
        <w:t xml:space="preserve">3.6 book.py — the book structure</w:t>
      </w:r>
    </w:p>
    <w:p>
      <w:pPr>
        <w:spacing w:after="120" w:line="276"/>
      </w:pPr>
      <w:r>
        <w:rPr>
          <w:rFonts w:ascii="Arial" w:cs="Arial" w:eastAsia="Arial" w:hAnsi="Arial"/>
          <w:sz w:val="22"/>
          <w:szCs w:val="22"/>
        </w:rPr>
        <w:t xml:space="preserve">This module defines what a </w:t>
      </w:r>
      <w:r>
        <w:rPr>
          <w:rFonts w:ascii="Arial" w:cs="Arial" w:eastAsia="Arial" w:hAnsi="Arial"/>
          <w:b/>
          <w:bCs/>
          <w:sz w:val="22"/>
          <w:szCs w:val="22"/>
        </w:rPr>
        <w:t xml:space="preserve">position</w:t>
      </w:r>
      <w:r>
        <w:rPr>
          <w:rFonts w:ascii="Arial" w:cs="Arial" w:eastAsia="Arial" w:hAnsi="Arial"/>
          <w:sz w:val="22"/>
          <w:szCs w:val="22"/>
        </w:rPr>
        <w:t xml:space="preserve"> is and what a </w:t>
      </w:r>
      <w:r>
        <w:rPr>
          <w:rFonts w:ascii="Arial" w:cs="Arial" w:eastAsia="Arial" w:hAnsi="Arial"/>
          <w:b/>
          <w:bCs/>
          <w:sz w:val="22"/>
          <w:szCs w:val="22"/>
        </w:rPr>
        <w:t xml:space="preserve">book</w:t>
      </w:r>
      <w:r>
        <w:rPr>
          <w:rFonts w:ascii="Arial" w:cs="Arial" w:eastAsia="Arial" w:hAnsi="Arial"/>
          <w:sz w:val="22"/>
          <w:szCs w:val="22"/>
        </w:rPr>
        <w:t xml:space="preserve"> is. A </w:t>
      </w:r>
      <w:r>
        <w:rPr>
          <w:rFonts w:ascii="Consolas" w:cs="Consolas" w:eastAsia="Consolas" w:hAnsi="Consolas"/>
          <w:sz w:val="20"/>
          <w:szCs w:val="20"/>
        </w:rPr>
        <w:t xml:space="preserve">Position</w:t>
      </w:r>
      <w:r>
        <w:rPr>
          <w:rFonts w:ascii="Arial" w:cs="Arial" w:eastAsia="Arial" w:hAnsi="Arial"/>
          <w:sz w:val="22"/>
          <w:szCs w:val="22"/>
        </w:rPr>
        <w:t xml:space="preserve"> stores the pair, whether it is long base (long_base), the notional, the tenor in days, the strike, an id and a label. It has useful derived properties: </w:t>
      </w:r>
      <w:r>
        <w:rPr>
          <w:rFonts w:ascii="Consolas" w:cs="Consolas" w:eastAsia="Consolas" w:hAnsi="Consolas"/>
          <w:sz w:val="20"/>
          <w:szCs w:val="20"/>
        </w:rPr>
        <w:t xml:space="preserve">base_ccy</w:t>
      </w:r>
      <w:r>
        <w:rPr>
          <w:rFonts w:ascii="Arial" w:cs="Arial" w:eastAsia="Arial" w:hAnsi="Arial"/>
          <w:sz w:val="22"/>
          <w:szCs w:val="22"/>
        </w:rPr>
        <w:t xml:space="preserve"> and </w:t>
      </w:r>
      <w:r>
        <w:rPr>
          <w:rFonts w:ascii="Consolas" w:cs="Consolas" w:eastAsia="Consolas" w:hAnsi="Consolas"/>
          <w:sz w:val="20"/>
          <w:szCs w:val="20"/>
        </w:rPr>
        <w:t xml:space="preserve">quote_ccy</w:t>
      </w:r>
      <w:r>
        <w:rPr>
          <w:rFonts w:ascii="Arial" w:cs="Arial" w:eastAsia="Arial" w:hAnsi="Arial"/>
          <w:sz w:val="22"/>
          <w:szCs w:val="22"/>
        </w:rPr>
        <w:t xml:space="preserve">, and </w:t>
      </w:r>
      <w:r>
        <w:rPr>
          <w:rFonts w:ascii="Consolas" w:cs="Consolas" w:eastAsia="Consolas" w:hAnsi="Consolas"/>
          <w:sz w:val="20"/>
          <w:szCs w:val="20"/>
        </w:rPr>
        <w:t xml:space="preserve">side</w:t>
      </w:r>
      <w:r>
        <w:rPr>
          <w:rFonts w:ascii="Arial" w:cs="Arial" w:eastAsia="Arial" w:hAnsi="Arial"/>
          <w:sz w:val="22"/>
          <w:szCs w:val="22"/>
        </w:rPr>
        <w:t xml:space="preserve"> (long or short). A </w:t>
      </w:r>
      <w:r>
        <w:rPr>
          <w:rFonts w:ascii="Consolas" w:cs="Consolas" w:eastAsia="Consolas" w:hAnsi="Consolas"/>
          <w:sz w:val="20"/>
          <w:szCs w:val="20"/>
        </w:rPr>
        <w:t xml:space="preserve">Book</w:t>
      </w:r>
      <w:r>
        <w:rPr>
          <w:rFonts w:ascii="Arial" w:cs="Arial" w:eastAsia="Arial" w:hAnsi="Arial"/>
          <w:sz w:val="22"/>
          <w:szCs w:val="22"/>
        </w:rPr>
        <w:t xml:space="preserve"> is a collection of positions with operations to add, remove and query. The key queries are </w:t>
      </w:r>
      <w:r>
        <w:rPr>
          <w:rFonts w:ascii="Arial" w:cs="Arial" w:eastAsia="Arial" w:hAnsi="Arial"/>
          <w:b/>
          <w:bCs/>
          <w:sz w:val="22"/>
          <w:szCs w:val="22"/>
        </w:rPr>
        <w:t xml:space="preserve">exposure</w:t>
      </w:r>
      <w:r>
        <w:rPr>
          <w:rFonts w:ascii="Arial" w:cs="Arial" w:eastAsia="Arial" w:hAnsi="Arial"/>
          <w:sz w:val="22"/>
          <w:szCs w:val="22"/>
        </w:rPr>
        <w:t xml:space="preserve">: </w:t>
      </w:r>
      <w:r>
        <w:rPr>
          <w:rFonts w:ascii="Consolas" w:cs="Consolas" w:eastAsia="Consolas" w:hAnsi="Consolas"/>
          <w:sz w:val="20"/>
          <w:szCs w:val="20"/>
        </w:rPr>
        <w:t xml:space="preserve">net_exposure_by_currency</w:t>
      </w:r>
      <w:r>
        <w:rPr>
          <w:rFonts w:ascii="Arial" w:cs="Arial" w:eastAsia="Arial" w:hAnsi="Arial"/>
          <w:sz w:val="22"/>
          <w:szCs w:val="22"/>
        </w:rPr>
        <w:t xml:space="preserve"> (net per currency, adding longs and subtracting shorts) and </w:t>
      </w:r>
      <w:r>
        <w:rPr>
          <w:rFonts w:ascii="Consolas" w:cs="Consolas" w:eastAsia="Consolas" w:hAnsi="Consolas"/>
          <w:sz w:val="20"/>
          <w:szCs w:val="20"/>
        </w:rPr>
        <w:t xml:space="preserve">gross_exposure_by_currency</w:t>
      </w:r>
      <w:r>
        <w:rPr>
          <w:rFonts w:ascii="Arial" w:cs="Arial" w:eastAsia="Arial" w:hAnsi="Arial"/>
          <w:sz w:val="22"/>
          <w:szCs w:val="22"/>
        </w:rPr>
        <w:t xml:space="preserve"> (gross, summing absolute values). The book can also be serialised and rebuilt (</w:t>
      </w:r>
      <w:r>
        <w:rPr>
          <w:rFonts w:ascii="Consolas" w:cs="Consolas" w:eastAsia="Consolas" w:hAnsi="Consolas"/>
          <w:sz w:val="20"/>
          <w:szCs w:val="20"/>
        </w:rPr>
        <w:t xml:space="preserve">to_dict</w:t>
      </w:r>
      <w:r>
        <w:rPr>
          <w:rFonts w:ascii="Arial" w:cs="Arial" w:eastAsia="Arial" w:hAnsi="Arial"/>
          <w:sz w:val="22"/>
          <w:szCs w:val="22"/>
        </w:rPr>
        <w:t xml:space="preserve">/</w:t>
      </w:r>
      <w:r>
        <w:rPr>
          <w:rFonts w:ascii="Consolas" w:cs="Consolas" w:eastAsia="Consolas" w:hAnsi="Consolas"/>
          <w:sz w:val="20"/>
          <w:szCs w:val="20"/>
        </w:rPr>
        <w:t xml:space="preserve">from_dict</w:t>
      </w:r>
      <w:r>
        <w:rPr>
          <w:rFonts w:ascii="Arial" w:cs="Arial" w:eastAsia="Arial" w:hAnsi="Arial"/>
          <w:sz w:val="22"/>
          <w:szCs w:val="22"/>
        </w:rPr>
        <w:t xml:space="preserve">).</w:t>
      </w:r>
    </w:p>
    <w:p>
      <w:pPr>
        <w:pStyle w:val="Heading2"/>
      </w:pPr>
      <w:r>
        <w:rPr>
          <w:rFonts w:ascii="Arial" w:cs="Arial" w:eastAsia="Arial" w:hAnsi="Arial"/>
        </w:rPr>
        <w:t xml:space="preserve">3.7 book_analytics.py — valuation (Mark-to-Market)</w:t>
      </w:r>
    </w:p>
    <w:p>
      <w:pPr>
        <w:spacing w:after="120" w:line="276"/>
      </w:pPr>
      <w:r>
        <w:rPr>
          <w:rFonts w:ascii="Arial" w:cs="Arial" w:eastAsia="Arial" w:hAnsi="Arial"/>
          <w:sz w:val="22"/>
          <w:szCs w:val="22"/>
        </w:rPr>
        <w:t xml:space="preserve">This module values the whole book at today's prices. For each position it takes its snapshot, computes the current forward and applies the MtM formula from section 3.1, obtaining the value in quote currency (</w:t>
      </w:r>
      <w:r>
        <w:rPr>
          <w:rFonts w:ascii="Consolas" w:cs="Consolas" w:eastAsia="Consolas" w:hAnsi="Consolas"/>
          <w:sz w:val="20"/>
          <w:szCs w:val="20"/>
        </w:rPr>
        <w:t xml:space="preserve">mtm_quote</w:t>
      </w:r>
      <w:r>
        <w:rPr>
          <w:rFonts w:ascii="Arial" w:cs="Arial" w:eastAsia="Arial" w:hAnsi="Arial"/>
          <w:sz w:val="22"/>
          <w:szCs w:val="22"/>
        </w:rPr>
        <w:t xml:space="preserve">). The </w:t>
      </w:r>
      <w:r>
        <w:rPr>
          <w:rFonts w:ascii="Consolas" w:cs="Consolas" w:eastAsia="Consolas" w:hAnsi="Consolas"/>
          <w:sz w:val="20"/>
          <w:szCs w:val="20"/>
        </w:rPr>
        <w:t xml:space="preserve">value_book</w:t>
      </w:r>
      <w:r>
        <w:rPr>
          <w:rFonts w:ascii="Arial" w:cs="Arial" w:eastAsia="Arial" w:hAnsi="Arial"/>
          <w:sz w:val="22"/>
          <w:szCs w:val="22"/>
        </w:rPr>
        <w:t xml:space="preserve"> function sums all MtMs and builds a report (</w:t>
      </w:r>
      <w:r>
        <w:rPr>
          <w:rFonts w:ascii="Consolas" w:cs="Consolas" w:eastAsia="Consolas" w:hAnsi="Consolas"/>
          <w:sz w:val="20"/>
          <w:szCs w:val="20"/>
        </w:rPr>
        <w:t xml:space="preserve">BookReport</w:t>
      </w:r>
      <w:r>
        <w:rPr>
          <w:rFonts w:ascii="Arial" w:cs="Arial" w:eastAsia="Arial" w:hAnsi="Arial"/>
          <w:sz w:val="22"/>
          <w:szCs w:val="22"/>
        </w:rPr>
        <w:t xml:space="preserve">) with the total value, the gains (sum of positive MtMs), the losses (sum of negatives) and the concentration (what fraction of gross risk each position contributes).</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Verified identity. </w:t>
      </w:r>
      <w:r>
        <w:rPr>
          <w:rFonts w:ascii="Arial" w:cs="Arial" w:eastAsia="Arial" w:hAnsi="Arial"/>
          <w:sz w:val="22"/>
          <w:szCs w:val="22"/>
        </w:rPr>
        <w:t xml:space="preserve">By construction, total = gains + losses always. This and other sign invariants were verified in the coherence audit (section 6).</w:t>
      </w:r>
    </w:p>
    <w:p>
      <w:r>
        <w:br w:type="page"/>
      </w:r>
    </w:p>
    <w:p>
      <w:pPr>
        <w:pStyle w:val="Heading2"/>
      </w:pPr>
      <w:r>
        <w:rPr>
          <w:rFonts w:ascii="Arial" w:cs="Arial" w:eastAsia="Arial" w:hAnsi="Arial"/>
        </w:rPr>
        <w:t xml:space="preserve">3.8 portfolio_risk.py — VaR, ES, backtesting and attribution</w:t>
      </w:r>
    </w:p>
    <w:p>
      <w:pPr>
        <w:spacing w:after="120" w:line="276"/>
      </w:pPr>
      <w:r>
        <w:rPr>
          <w:rFonts w:ascii="Arial" w:cs="Arial" w:eastAsia="Arial" w:hAnsi="Arial"/>
          <w:sz w:val="22"/>
          <w:szCs w:val="22"/>
        </w:rPr>
        <w:t xml:space="preserve">This is the most important market-risk module. It answers the three questions of a risk committee: how much can we lose? (VaR and ES), is that number reliable? (backtesting), and where does the risk come from? (attribution).</w:t>
      </w:r>
    </w:p>
    <w:p>
      <w:pPr>
        <w:pStyle w:val="Heading3"/>
      </w:pPr>
      <w:r>
        <w:rPr>
          <w:rFonts w:ascii="Arial" w:cs="Arial" w:eastAsia="Arial" w:hAnsi="Arial"/>
        </w:rPr>
        <w:t xml:space="preserve">How the book maps to risk factors</w:t>
      </w:r>
    </w:p>
    <w:p>
      <w:pPr>
        <w:spacing w:after="120" w:line="276"/>
      </w:pPr>
      <w:r>
        <w:rPr>
          <w:rFonts w:ascii="Arial" w:cs="Arial" w:eastAsia="Arial" w:hAnsi="Arial"/>
          <w:sz w:val="22"/>
          <w:szCs w:val="22"/>
        </w:rPr>
        <w:t xml:space="preserve">First, the book is translated into </w:t>
      </w:r>
      <w:r>
        <w:rPr>
          <w:rFonts w:ascii="Arial" w:cs="Arial" w:eastAsia="Arial" w:hAnsi="Arial"/>
          <w:b/>
          <w:bCs/>
          <w:sz w:val="22"/>
          <w:szCs w:val="22"/>
        </w:rPr>
        <w:t xml:space="preserve">exposures per pair</w:t>
      </w:r>
      <w:r>
        <w:rPr>
          <w:rFonts w:ascii="Arial" w:cs="Arial" w:eastAsia="Arial" w:hAnsi="Arial"/>
          <w:sz w:val="22"/>
          <w:szCs w:val="22"/>
        </w:rPr>
        <w:t xml:space="preserve"> in quote currency: a long position of N base of a pair has an exposure of ~N×spot. Positions in the same pair are netted. This is done by </w:t>
      </w:r>
      <w:r>
        <w:rPr>
          <w:rFonts w:ascii="Consolas" w:cs="Consolas" w:eastAsia="Consolas" w:hAnsi="Consolas"/>
          <w:sz w:val="20"/>
          <w:szCs w:val="20"/>
        </w:rPr>
        <w:t xml:space="preserve">_factor_positions</w:t>
      </w:r>
      <w:r>
        <w:rPr>
          <w:rFonts w:ascii="Arial" w:cs="Arial" w:eastAsia="Arial" w:hAnsi="Arial"/>
          <w:sz w:val="22"/>
          <w:szCs w:val="22"/>
        </w:rPr>
        <w:t xml:space="preserve">.</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Declared scope (fail-loud). </w:t>
      </w:r>
      <w:r>
        <w:rPr>
          <w:rFonts w:ascii="Arial" w:cs="Arial" w:eastAsia="Arial" w:hAnsi="Arial"/>
          <w:sz w:val="22"/>
          <w:szCs w:val="22"/>
        </w:rPr>
        <w:t xml:space="preserve">All exposures are summed in quote-currency terms into a single covariance and a single VaR. That is only valid if all pairs share the same quote currency (USD here). A pair quoted in another currency (e.g. EUR/JPY) would mix P&amp;L in different currencies without converting, silently corrupting the VaR. The code </w:t>
      </w:r>
      <w:r>
        <w:rPr>
          <w:rFonts w:ascii="Arial" w:cs="Arial" w:eastAsia="Arial" w:hAnsi="Arial"/>
          <w:b/>
          <w:bCs/>
          <w:sz w:val="22"/>
          <w:szCs w:val="22"/>
        </w:rPr>
        <w:t xml:space="preserve">fails loudly</w:t>
      </w:r>
      <w:r>
        <w:rPr>
          <w:rFonts w:ascii="Arial" w:cs="Arial" w:eastAsia="Arial" w:hAnsi="Arial"/>
          <w:sz w:val="22"/>
          <w:szCs w:val="22"/>
        </w:rPr>
        <w:t xml:space="preserve"> in that case instead of returning a wrong number.</w:t>
      </w:r>
    </w:p>
    <w:p>
      <w:pPr>
        <w:pStyle w:val="Heading3"/>
      </w:pPr>
      <w:r>
        <w:rPr>
          <w:rFonts w:ascii="Arial" w:cs="Arial" w:eastAsia="Arial" w:hAnsi="Arial"/>
        </w:rPr>
        <w:t xml:space="preserve">Value at Risk (VaR): what it is</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Value at Risk</w:t>
      </w:r>
      <w:r>
        <w:rPr>
          <w:rFonts w:ascii="Arial" w:cs="Arial" w:eastAsia="Arial" w:hAnsi="Arial"/>
          <w:sz w:val="22"/>
          <w:szCs w:val="22"/>
        </w:rPr>
        <w:t xml:space="preserve"> at 1 day and 99% confidence answers: «what is the loss not exceeded on 99% of days?». That is, the threshold of a bad 1-in-100 day. The program computes it </w:t>
      </w:r>
      <w:r>
        <w:rPr>
          <w:rFonts w:ascii="Arial" w:cs="Arial" w:eastAsia="Arial" w:hAnsi="Arial"/>
          <w:b/>
          <w:bCs/>
          <w:sz w:val="22"/>
          <w:szCs w:val="22"/>
        </w:rPr>
        <w:t xml:space="preserve">three independent ways</w:t>
      </w:r>
      <w:r>
        <w:rPr>
          <w:rFonts w:ascii="Arial" w:cs="Arial" w:eastAsia="Arial" w:hAnsi="Arial"/>
          <w:sz w:val="22"/>
          <w:szCs w:val="22"/>
        </w:rPr>
        <w:t xml:space="preserve">, because each makes different assumptions and comparing them reveals how reliable the figure is:</w:t>
      </w:r>
    </w:p>
    <w:p>
      <w:pPr>
        <w:pStyle w:val="ListParagraph"/>
        <w:numPr>
          <w:ilvl w:val="0"/>
          <w:numId w:val="2"/>
        </w:numPr>
        <w:spacing w:after="80" w:line="276"/>
      </w:pPr>
      <w:r>
        <w:rPr>
          <w:rFonts w:ascii="Arial" w:cs="Arial" w:eastAsia="Arial" w:hAnsi="Arial"/>
          <w:b/>
          <w:bCs/>
          <w:sz w:val="22"/>
          <w:szCs w:val="22"/>
        </w:rPr>
        <w:t xml:space="preserve">Parametric VaR. </w:t>
      </w:r>
      <w:r>
        <w:rPr>
          <w:rFonts w:ascii="Arial" w:cs="Arial" w:eastAsia="Arial" w:hAnsi="Arial"/>
          <w:sz w:val="22"/>
          <w:szCs w:val="22"/>
        </w:rPr>
        <w:t xml:space="preserve">Assumes returns are normally distributed. Builds the portfolio P&amp;L standard deviation from the covariance matrix and scales it by the normal quantile (z). Fast and smooth, but underestimates the tail when returns are heavy-tailed.</w:t>
      </w:r>
    </w:p>
    <w:p>
      <w:pPr>
        <w:pStyle w:val="ListParagraph"/>
        <w:numPr>
          <w:ilvl w:val="0"/>
          <w:numId w:val="2"/>
        </w:numPr>
        <w:spacing w:after="80" w:line="276"/>
      </w:pPr>
      <w:r>
        <w:rPr>
          <w:rFonts w:ascii="Arial" w:cs="Arial" w:eastAsia="Arial" w:hAnsi="Arial"/>
          <w:b/>
          <w:bCs/>
          <w:sz w:val="22"/>
          <w:szCs w:val="22"/>
        </w:rPr>
        <w:t xml:space="preserve">Historical VaR. </w:t>
      </w:r>
      <w:r>
        <w:rPr>
          <w:rFonts w:ascii="Arial" w:cs="Arial" w:eastAsia="Arial" w:hAnsi="Arial"/>
          <w:sz w:val="22"/>
          <w:szCs w:val="22"/>
        </w:rPr>
        <w:t xml:space="preserve">Assumes no distribution. Re-values the book on each real historical scenario and reads the empirical percentile of the loss side. Captures what actually happened.</w:t>
      </w:r>
    </w:p>
    <w:p>
      <w:pPr>
        <w:pStyle w:val="ListParagraph"/>
        <w:numPr>
          <w:ilvl w:val="0"/>
          <w:numId w:val="2"/>
        </w:numPr>
        <w:spacing w:after="80" w:line="276"/>
      </w:pPr>
      <w:r>
        <w:rPr>
          <w:rFonts w:ascii="Arial" w:cs="Arial" w:eastAsia="Arial" w:hAnsi="Arial"/>
          <w:b/>
          <w:bCs/>
          <w:sz w:val="22"/>
          <w:szCs w:val="22"/>
        </w:rPr>
        <w:t xml:space="preserve">Monte Carlo VaR. </w:t>
      </w:r>
      <w:r>
        <w:rPr>
          <w:rFonts w:ascii="Arial" w:cs="Arial" w:eastAsia="Arial" w:hAnsi="Arial"/>
          <w:sz w:val="22"/>
          <w:szCs w:val="22"/>
        </w:rPr>
        <w:t xml:space="preserve">Simulates 50,000 scenarios from the estimated covariance and reads the percentile. Smooths the noise of the historical method with many scenarios.</w:t>
      </w:r>
    </w:p>
    <w:p>
      <w:pPr>
        <w:spacing w:after="120" w:line="276"/>
      </w:pPr>
      <w:r>
        <w:rPr>
          <w:rFonts w:ascii="Arial" w:cs="Arial" w:eastAsia="Arial" w:hAnsi="Arial"/>
          <w:sz w:val="22"/>
          <w:szCs w:val="22"/>
        </w:rPr>
        <w:t xml:space="preserve">Each scenario's P&amp;L is computed as </w:t>
      </w:r>
      <w:r>
        <w:rPr>
          <w:rFonts w:ascii="Consolas" w:cs="Consolas" w:eastAsia="Consolas" w:hAnsi="Consolas"/>
          <w:sz w:val="20"/>
          <w:szCs w:val="20"/>
        </w:rPr>
        <w:t xml:space="preserve">returns @ positions</w:t>
      </w:r>
      <w:r>
        <w:rPr>
          <w:rFonts w:ascii="Arial" w:cs="Arial" w:eastAsia="Arial" w:hAnsi="Arial"/>
          <w:sz w:val="22"/>
          <w:szCs w:val="22"/>
        </w:rPr>
        <w:t xml:space="preserve">. The audit verified the three methods converge to the analytical value with an error below 1%.</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Invariant (audit fix). </w:t>
      </w:r>
      <w:r>
        <w:rPr>
          <w:rFonts w:ascii="Arial" w:cs="Arial" w:eastAsia="Arial" w:hAnsi="Arial"/>
          <w:sz w:val="22"/>
          <w:szCs w:val="22"/>
        </w:rPr>
        <w:t xml:space="preserve">VaR is a loss magnitude: it is never negative. If the data has a strong upward trend and the «loss» percentile is in fact a gain, the VaR is floored at zero (standard convention). See section 6.</w:t>
      </w:r>
    </w:p>
    <w:p>
      <w:pPr>
        <w:pStyle w:val="Heading3"/>
      </w:pPr>
      <w:r>
        <w:rPr>
          <w:rFonts w:ascii="Arial" w:cs="Arial" w:eastAsia="Arial" w:hAnsi="Arial"/>
        </w:rPr>
        <w:t xml:space="preserve">Expected Shortfall (ES): beyond VaR</w:t>
      </w:r>
    </w:p>
    <w:p>
      <w:pPr>
        <w:spacing w:after="120" w:line="276"/>
      </w:pPr>
      <w:r>
        <w:rPr>
          <w:rFonts w:ascii="Arial" w:cs="Arial" w:eastAsia="Arial" w:hAnsi="Arial"/>
          <w:sz w:val="22"/>
          <w:szCs w:val="22"/>
        </w:rPr>
        <w:t xml:space="preserve">VaR gives the threshold, but not how bad what lies </w:t>
      </w:r>
      <w:r>
        <w:rPr>
          <w:rFonts w:ascii="Arial" w:cs="Arial" w:eastAsia="Arial" w:hAnsi="Arial"/>
          <w:i/>
          <w:iCs/>
          <w:sz w:val="22"/>
          <w:szCs w:val="22"/>
        </w:rPr>
        <w:t xml:space="preserve">beyond</w:t>
      </w:r>
      <w:r>
        <w:rPr>
          <w:rFonts w:ascii="Arial" w:cs="Arial" w:eastAsia="Arial" w:hAnsi="Arial"/>
          <w:sz w:val="22"/>
          <w:szCs w:val="22"/>
        </w:rPr>
        <w:t xml:space="preserve"> it is. </w:t>
      </w:r>
      <w:r>
        <w:rPr>
          <w:rFonts w:ascii="Arial" w:cs="Arial" w:eastAsia="Arial" w:hAnsi="Arial"/>
          <w:b/>
          <w:bCs/>
          <w:sz w:val="22"/>
          <w:szCs w:val="22"/>
        </w:rPr>
        <w:t xml:space="preserve">Expected Shortfall</w:t>
      </w:r>
      <w:r>
        <w:rPr>
          <w:rFonts w:ascii="Arial" w:cs="Arial" w:eastAsia="Arial" w:hAnsi="Arial"/>
          <w:sz w:val="22"/>
          <w:szCs w:val="22"/>
        </w:rPr>
        <w:t xml:space="preserve"> (or CVaR) answers that: it is the average loss on the worst days, those exceeding the VaR. By construction, ES ≥ VaR always. It is a more conservative measure and now preferred by regulators.</w:t>
      </w:r>
    </w:p>
    <w:p>
      <w:pPr>
        <w:pStyle w:val="Heading3"/>
      </w:pPr>
      <w:r>
        <w:rPr>
          <w:rFonts w:ascii="Arial" w:cs="Arial" w:eastAsia="Arial" w:hAnsi="Arial"/>
        </w:rPr>
        <w:t xml:space="preserve">The five VaR methods: EWMA and Student-t</w:t>
      </w:r>
    </w:p>
    <w:p>
      <w:pPr>
        <w:spacing w:after="120" w:line="276"/>
      </w:pPr>
      <w:r>
        <w:rPr>
          <w:rFonts w:ascii="Arial" w:cs="Arial" w:eastAsia="Arial" w:hAnsi="Arial"/>
          <w:sz w:val="22"/>
          <w:szCs w:val="22"/>
        </w:rPr>
        <w:t xml:space="preserve">Besides the three classics, the module adds two professional-grade refinements, which the app shows together to compare:</w:t>
      </w:r>
    </w:p>
    <w:p>
      <w:pPr>
        <w:pStyle w:val="ListParagraph"/>
        <w:numPr>
          <w:ilvl w:val="0"/>
          <w:numId w:val="2"/>
        </w:numPr>
        <w:spacing w:after="80" w:line="276"/>
      </w:pPr>
      <w:r>
        <w:rPr>
          <w:rFonts w:ascii="Arial" w:cs="Arial" w:eastAsia="Arial" w:hAnsi="Arial"/>
          <w:b/>
          <w:bCs/>
          <w:sz w:val="22"/>
          <w:szCs w:val="22"/>
        </w:rPr>
        <w:t xml:space="preserve">EWMA VaR. </w:t>
      </w:r>
      <w:r>
        <w:rPr>
          <w:rFonts w:ascii="Arial" w:cs="Arial" w:eastAsia="Arial" w:hAnsi="Arial"/>
          <w:sz w:val="22"/>
          <w:szCs w:val="22"/>
        </w:rPr>
        <w:t xml:space="preserve">Weights recent days more than distant ones (with a decay factor λ=0.94, the RiskMetrics standard). So it reacts fast to the current regime: if the last week was volatile, the VaR rises even if the long average is calm.</w:t>
      </w:r>
    </w:p>
    <w:p>
      <w:pPr>
        <w:pStyle w:val="ListParagraph"/>
        <w:numPr>
          <w:ilvl w:val="0"/>
          <w:numId w:val="2"/>
        </w:numPr>
        <w:spacing w:after="80" w:line="276"/>
      </w:pPr>
      <w:r>
        <w:rPr>
          <w:rFonts w:ascii="Arial" w:cs="Arial" w:eastAsia="Arial" w:hAnsi="Arial"/>
          <w:b/>
          <w:bCs/>
          <w:sz w:val="22"/>
          <w:szCs w:val="22"/>
        </w:rPr>
        <w:t xml:space="preserve">Student-t VaR. </w:t>
      </w:r>
      <w:r>
        <w:rPr>
          <w:rFonts w:ascii="Arial" w:cs="Arial" w:eastAsia="Arial" w:hAnsi="Arial"/>
          <w:sz w:val="22"/>
          <w:szCs w:val="22"/>
        </w:rPr>
        <w:t xml:space="preserve">Instead of the normal quantile, it uses a Student-t quantile, fitting the degrees of freedom to the data. The t has heavier tails, so it captures the extreme moves the normal underestimates. It tends to be among the most conservative.</w:t>
      </w:r>
    </w:p>
    <w:p>
      <w:pPr>
        <w:spacing w:after="120" w:line="276"/>
      </w:pPr>
      <w:r>
        <w:rPr>
          <w:rFonts w:ascii="Arial" w:cs="Arial" w:eastAsia="Arial" w:hAnsi="Arial"/>
          <w:sz w:val="22"/>
          <w:szCs w:val="22"/>
        </w:rPr>
        <w:t xml:space="preserve">Comparing the five is revealing: if they are close, the data is well-behaved; if they diverge a lot, there are heavy tails or a regime change, and relying on the normal VaR alone would understate risk.</w:t>
      </w:r>
    </w:p>
    <w:p>
      <w:pPr>
        <w:pStyle w:val="Heading3"/>
      </w:pPr>
      <w:r>
        <w:rPr>
          <w:rFonts w:ascii="Arial" w:cs="Arial" w:eastAsia="Arial" w:hAnsi="Arial"/>
        </w:rPr>
        <w:t xml:space="preserve">Backtesting: is the VaR reliable? (Kupiec and Christoffersen)</w:t>
      </w:r>
    </w:p>
    <w:p>
      <w:pPr>
        <w:spacing w:after="120" w:line="276"/>
      </w:pPr>
      <w:r>
        <w:rPr>
          <w:rFonts w:ascii="Arial" w:cs="Arial" w:eastAsia="Arial" w:hAnsi="Arial"/>
          <w:sz w:val="22"/>
          <w:szCs w:val="22"/>
        </w:rPr>
        <w:t xml:space="preserve">A VaR that is not validated is worthless. The </w:t>
      </w:r>
      <w:r>
        <w:rPr>
          <w:rFonts w:ascii="Arial" w:cs="Arial" w:eastAsia="Arial" w:hAnsi="Arial"/>
          <w:b/>
          <w:bCs/>
          <w:sz w:val="22"/>
          <w:szCs w:val="22"/>
        </w:rPr>
        <w:t xml:space="preserve">Kupiec backtest</w:t>
      </w:r>
      <w:r>
        <w:rPr>
          <w:rFonts w:ascii="Arial" w:cs="Arial" w:eastAsia="Arial" w:hAnsi="Arial"/>
          <w:sz w:val="22"/>
          <w:szCs w:val="22"/>
        </w:rPr>
        <w:t xml:space="preserve"> counts how many times the real loss exceeded the VaR (the «exceptions») and compares that to the expected: at 99% confidence, ~1 exception per 100 days is expected. If there are many more, the model underestimates risk and is «rejected». It returns a p-value: above 0.05, the model is not rejected (it passes). The </w:t>
      </w:r>
      <w:r>
        <w:rPr>
          <w:rFonts w:ascii="Arial" w:cs="Arial" w:eastAsia="Arial" w:hAnsi="Arial"/>
          <w:b/>
          <w:bCs/>
          <w:sz w:val="22"/>
          <w:szCs w:val="22"/>
        </w:rPr>
        <w:t xml:space="preserve">Christoffersen test</w:t>
      </w:r>
      <w:r>
        <w:rPr>
          <w:rFonts w:ascii="Arial" w:cs="Arial" w:eastAsia="Arial" w:hAnsi="Arial"/>
          <w:sz w:val="22"/>
          <w:szCs w:val="22"/>
        </w:rPr>
        <w:t xml:space="preserve"> complements it: Kupiec counts how many exceptions there are, but Christoffersen checks whether they are </w:t>
      </w:r>
      <w:r>
        <w:rPr>
          <w:rFonts w:ascii="Arial" w:cs="Arial" w:eastAsia="Arial" w:hAnsi="Arial"/>
          <w:i/>
          <w:iCs/>
          <w:sz w:val="22"/>
          <w:szCs w:val="22"/>
        </w:rPr>
        <w:t xml:space="preserve">clustered</w:t>
      </w:r>
      <w:r>
        <w:rPr>
          <w:rFonts w:ascii="Arial" w:cs="Arial" w:eastAsia="Arial" w:hAnsi="Arial"/>
          <w:sz w:val="22"/>
          <w:szCs w:val="22"/>
        </w:rPr>
        <w:t xml:space="preserve">. The backtest is done rolling: the VaR is re-estimated each day with a moving window and tested against the next day, as in production.</w:t>
      </w:r>
    </w:p>
    <w:p>
      <w:pPr>
        <w:pStyle w:val="Heading3"/>
      </w:pPr>
      <w:r>
        <w:rPr>
          <w:rFonts w:ascii="Arial" w:cs="Arial" w:eastAsia="Arial" w:hAnsi="Arial"/>
        </w:rPr>
        <w:t xml:space="preserve">Attribution and diversification: where does the risk come from?</w:t>
      </w:r>
    </w:p>
    <w:p>
      <w:pPr>
        <w:spacing w:after="120" w:line="276"/>
      </w:pPr>
      <w:r>
        <w:rPr>
          <w:rFonts w:ascii="Arial" w:cs="Arial" w:eastAsia="Arial" w:hAnsi="Arial"/>
          <w:sz w:val="22"/>
          <w:szCs w:val="22"/>
        </w:rPr>
        <w:t xml:space="preserve">Risk </w:t>
      </w:r>
      <w:r>
        <w:rPr>
          <w:rFonts w:ascii="Arial" w:cs="Arial" w:eastAsia="Arial" w:hAnsi="Arial"/>
          <w:b/>
          <w:bCs/>
          <w:sz w:val="22"/>
          <w:szCs w:val="22"/>
        </w:rPr>
        <w:t xml:space="preserve">attribution</w:t>
      </w:r>
      <w:r>
        <w:rPr>
          <w:rFonts w:ascii="Arial" w:cs="Arial" w:eastAsia="Arial" w:hAnsi="Arial"/>
          <w:sz w:val="22"/>
          <w:szCs w:val="22"/>
        </w:rPr>
        <w:t xml:space="preserve"> decomposes the portfolio's total variance into how much each pair contributes; the contributions sum to 100%. The </w:t>
      </w:r>
      <w:r>
        <w:rPr>
          <w:rFonts w:ascii="Arial" w:cs="Arial" w:eastAsia="Arial" w:hAnsi="Arial"/>
          <w:b/>
          <w:bCs/>
          <w:sz w:val="22"/>
          <w:szCs w:val="22"/>
        </w:rPr>
        <w:t xml:space="preserve">diversification benefit</w:t>
      </w:r>
      <w:r>
        <w:rPr>
          <w:rFonts w:ascii="Arial" w:cs="Arial" w:eastAsia="Arial" w:hAnsi="Arial"/>
          <w:sz w:val="22"/>
          <w:szCs w:val="22"/>
        </w:rPr>
        <w:t xml:space="preserve"> measures how much lower the portfolio VaR is than the sum of standalone VaRs, thanks to pairs not moving perfectly together:</w:t>
      </w:r>
    </w:p>
    <w:p>
      <w:pPr>
        <w:shd w:fill="EEF2F8" w:val="clear"/>
        <w:spacing w:after="100" w:before="100"/>
        <w:ind w:left="360"/>
      </w:pPr>
      <w:r>
        <w:rPr>
          <w:rFonts w:ascii="Consolas" w:cs="Consolas" w:eastAsia="Consolas" w:hAnsi="Consolas"/>
          <w:color w:val="1F3A5F"/>
          <w:sz w:val="21"/>
          <w:szCs w:val="21"/>
        </w:rPr>
        <w:t xml:space="preserve">diversification = 1 − VaR_portfolio / Σ VaR_standalone</w:t>
      </w:r>
    </w:p>
    <w:p>
      <w:pPr>
        <w:spacing w:after="120" w:line="276"/>
      </w:pPr>
      <w:r>
        <w:rPr>
          <w:rFonts w:ascii="Arial" w:cs="Arial" w:eastAsia="Arial" w:hAnsi="Arial"/>
          <w:sz w:val="22"/>
          <w:szCs w:val="22"/>
        </w:rPr>
        <w:t xml:space="preserve">If positive, diversifying helps. If it were negative (concentration), the app labels it «concentration penalty» instead of «benefit» — a presentation fix from the audit.</w:t>
      </w:r>
    </w:p>
    <w:p>
      <w:pPr>
        <w:pStyle w:val="Heading3"/>
      </w:pPr>
      <w:r>
        <w:rPr>
          <w:rFonts w:ascii="Arial" w:cs="Arial" w:eastAsia="Arial" w:hAnsi="Arial"/>
        </w:rPr>
        <w:t xml:space="preserve">Stressed VaR</w:t>
      </w:r>
    </w:p>
    <w:p>
      <w:pPr>
        <w:spacing w:after="120" w:line="276"/>
      </w:pPr>
      <w:r>
        <w:rPr>
          <w:rFonts w:ascii="Arial" w:cs="Arial" w:eastAsia="Arial" w:hAnsi="Arial"/>
          <w:sz w:val="22"/>
          <w:szCs w:val="22"/>
        </w:rPr>
        <w:t xml:space="preserve">The stressed VaR recalibrates the VaR to the </w:t>
      </w:r>
      <w:r>
        <w:rPr>
          <w:rFonts w:ascii="Arial" w:cs="Arial" w:eastAsia="Arial" w:hAnsi="Arial"/>
          <w:b/>
          <w:bCs/>
          <w:sz w:val="22"/>
          <w:szCs w:val="22"/>
        </w:rPr>
        <w:t xml:space="preserve">most volatile</w:t>
      </w:r>
      <w:r>
        <w:rPr>
          <w:rFonts w:ascii="Arial" w:cs="Arial" w:eastAsia="Arial" w:hAnsi="Arial"/>
          <w:sz w:val="22"/>
          <w:szCs w:val="22"/>
        </w:rPr>
        <w:t xml:space="preserve"> period in the available history: «how much would we lose if the market behaved as in its worst observed regime». It is a Basel requirement. The program reports the normal VaR, the stressed one, and the multiple between them.</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Invariant (audit fix). </w:t>
      </w:r>
      <w:r>
        <w:rPr>
          <w:rFonts w:ascii="Arial" w:cs="Arial" w:eastAsia="Arial" w:hAnsi="Arial"/>
          <w:sz w:val="22"/>
          <w:szCs w:val="22"/>
        </w:rPr>
        <w:t xml:space="preserve">By definition, the stressed VaR can never be lower than the normal one (the worst regime cannot be less risky than the average). With homogeneous data the calculation could, by chance, give a slightly lower value; it was fixed by flooring it at the normal VaR. See section 6.</w:t>
      </w:r>
    </w:p>
    <w:p>
      <w:r>
        <w:br w:type="page"/>
      </w:r>
    </w:p>
    <w:p>
      <w:pPr>
        <w:pStyle w:val="Heading2"/>
      </w:pPr>
      <w:r>
        <w:rPr>
          <w:rFonts w:ascii="Arial" w:cs="Arial" w:eastAsia="Arial" w:hAnsi="Arial"/>
        </w:rPr>
        <w:t xml:space="preserve">3.9 book_risk.py — DV01, liquidity and stress on the book</w:t>
      </w:r>
    </w:p>
    <w:p>
      <w:pPr>
        <w:spacing w:after="120" w:line="276"/>
      </w:pPr>
      <w:r>
        <w:rPr>
          <w:rFonts w:ascii="Arial" w:cs="Arial" w:eastAsia="Arial" w:hAnsi="Arial"/>
          <w:sz w:val="22"/>
          <w:szCs w:val="22"/>
        </w:rPr>
        <w:t xml:space="preserve">While portfolio_risk measures the risk of exchange rates moving (spot risk), this module measures three complementary risks.</w:t>
      </w:r>
    </w:p>
    <w:p>
      <w:pPr>
        <w:pStyle w:val="Heading3"/>
      </w:pPr>
      <w:r>
        <w:rPr>
          <w:rFonts w:ascii="Arial" w:cs="Arial" w:eastAsia="Arial" w:hAnsi="Arial"/>
        </w:rPr>
        <w:t xml:space="preserve">DV01: interest-rate risk</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DV01</w:t>
      </w:r>
      <w:r>
        <w:rPr>
          <w:rFonts w:ascii="Arial" w:cs="Arial" w:eastAsia="Arial" w:hAnsi="Arial"/>
          <w:sz w:val="22"/>
          <w:szCs w:val="22"/>
        </w:rPr>
        <w:t xml:space="preserve"> (dollar value of 1 basis point) measures how much the book's value changes if interest rates move 1 basis point (0.01%). Recall the forward depends on rates via CIP; if rates move, the forward value moves. The module computes the DV01 per currency, and also per tenor bucket (</w:t>
      </w:r>
      <w:r>
        <w:rPr>
          <w:rFonts w:ascii="Consolas" w:cs="Consolas" w:eastAsia="Consolas" w:hAnsi="Consolas"/>
          <w:sz w:val="20"/>
          <w:szCs w:val="20"/>
        </w:rPr>
        <w:t xml:space="preserve">dv01_book_by_tenor</w:t>
      </w:r>
      <w:r>
        <w:rPr>
          <w:rFonts w:ascii="Arial" w:cs="Arial" w:eastAsia="Arial" w:hAnsi="Arial"/>
          <w:sz w:val="22"/>
          <w:szCs w:val="22"/>
        </w:rPr>
        <w:t xml:space="preserve">, the «key-rate durations»). It is computed numerically: the rate is bumped 1 basis point, the book is re-valued, and the difference is measured. It is a different and much smaller risk than spot, and is reported separately.</w:t>
      </w:r>
    </w:p>
    <w:p>
      <w:pPr>
        <w:pStyle w:val="Heading3"/>
      </w:pPr>
      <w:r>
        <w:rPr>
          <w:rFonts w:ascii="Arial" w:cs="Arial" w:eastAsia="Arial" w:hAnsi="Arial"/>
        </w:rPr>
        <w:t xml:space="preserve">Liquidity: variation margin</w:t>
      </w:r>
    </w:p>
    <w:p>
      <w:pPr>
        <w:spacing w:after="120" w:line="276"/>
      </w:pPr>
      <w:r>
        <w:rPr>
          <w:rFonts w:ascii="Arial" w:cs="Arial" w:eastAsia="Arial" w:hAnsi="Arial"/>
          <w:sz w:val="22"/>
          <w:szCs w:val="22"/>
        </w:rPr>
        <w:t xml:space="preserve">Even if the book is not closed, daily moves can require </w:t>
      </w:r>
      <w:r>
        <w:rPr>
          <w:rFonts w:ascii="Arial" w:cs="Arial" w:eastAsia="Arial" w:hAnsi="Arial"/>
          <w:b/>
          <w:bCs/>
          <w:sz w:val="22"/>
          <w:szCs w:val="22"/>
        </w:rPr>
        <w:t xml:space="preserve">posting margin</w:t>
      </w:r>
      <w:r>
        <w:rPr>
          <w:rFonts w:ascii="Arial" w:cs="Arial" w:eastAsia="Arial" w:hAnsi="Arial"/>
          <w:sz w:val="22"/>
          <w:szCs w:val="22"/>
        </w:rPr>
        <w:t xml:space="preserve"> (collateral). The liquidity function estimates how much cash the desk might have to put up in a 1-day adverse scenario, using the VaR as the reference for the adverse move. It is an operational risk: you can be solvent yet run out of cash if you did not plan for margin.</w:t>
      </w:r>
    </w:p>
    <w:p>
      <w:pPr>
        <w:pStyle w:val="Heading3"/>
      </w:pPr>
      <w:r>
        <w:rPr>
          <w:rFonts w:ascii="Arial" w:cs="Arial" w:eastAsia="Arial" w:hAnsi="Arial"/>
        </w:rPr>
        <w:t xml:space="preserve">Stress testing</w:t>
      </w:r>
    </w:p>
    <w:p>
      <w:pPr>
        <w:spacing w:after="120" w:line="276"/>
      </w:pPr>
      <w:r>
        <w:rPr>
          <w:rFonts w:ascii="Arial" w:cs="Arial" w:eastAsia="Arial" w:hAnsi="Arial"/>
          <w:sz w:val="22"/>
          <w:szCs w:val="22"/>
        </w:rPr>
        <w:t xml:space="preserve">Stress applies the real moves of historical crises to today's book. The scenarios are three, computed from real windows: the </w:t>
      </w:r>
      <w:r>
        <w:rPr>
          <w:rFonts w:ascii="Arial" w:cs="Arial" w:eastAsia="Arial" w:hAnsi="Arial"/>
          <w:b/>
          <w:bCs/>
          <w:sz w:val="22"/>
          <w:szCs w:val="22"/>
        </w:rPr>
        <w:t xml:space="preserve">Brexit referendum</w:t>
      </w:r>
      <w:r>
        <w:rPr>
          <w:rFonts w:ascii="Arial" w:cs="Arial" w:eastAsia="Arial" w:hAnsi="Arial"/>
          <w:sz w:val="22"/>
          <w:szCs w:val="22"/>
        </w:rPr>
        <w:t xml:space="preserve"> (Jun 2016), the </w:t>
      </w:r>
      <w:r>
        <w:rPr>
          <w:rFonts w:ascii="Arial" w:cs="Arial" w:eastAsia="Arial" w:hAnsi="Arial"/>
          <w:b/>
          <w:bCs/>
          <w:sz w:val="22"/>
          <w:szCs w:val="22"/>
        </w:rPr>
        <w:t xml:space="preserve">COVID crash</w:t>
      </w:r>
      <w:r>
        <w:rPr>
          <w:rFonts w:ascii="Arial" w:cs="Arial" w:eastAsia="Arial" w:hAnsi="Arial"/>
          <w:sz w:val="22"/>
          <w:szCs w:val="22"/>
        </w:rPr>
        <w:t xml:space="preserve"> (Mar 2020) and the </w:t>
      </w:r>
      <w:r>
        <w:rPr>
          <w:rFonts w:ascii="Arial" w:cs="Arial" w:eastAsia="Arial" w:hAnsi="Arial"/>
          <w:b/>
          <w:bCs/>
          <w:sz w:val="22"/>
          <w:szCs w:val="22"/>
        </w:rPr>
        <w:t xml:space="preserve">UK mini-budget</w:t>
      </w:r>
      <w:r>
        <w:rPr>
          <w:rFonts w:ascii="Arial" w:cs="Arial" w:eastAsia="Arial" w:hAnsi="Arial"/>
          <w:sz w:val="22"/>
          <w:szCs w:val="22"/>
        </w:rPr>
        <w:t xml:space="preserve"> (Sep 2022). For each, the P&amp;L is the sum over positions of exposure × pair move.</w:t>
      </w:r>
    </w:p>
    <w:p>
      <w:pPr>
        <w:shd w:fill="1E1E2E" w:val="clear"/>
        <w:spacing w:after="0" w:line="264"/>
        <w:ind w:left="360"/>
      </w:pPr>
      <w:r>
        <w:rPr>
          <w:rFonts w:ascii="Consolas" w:cs="Consolas" w:eastAsia="Consolas" w:hAnsi="Consolas"/>
          <w:color w:val="E8ECF3"/>
          <w:sz w:val="18"/>
          <w:szCs w:val="18"/>
        </w:rPr>
        <w:t xml:space="preserve">STRESS_SCENARIOS = {</w:t>
      </w:r>
    </w:p>
    <w:p>
      <w:pPr>
        <w:shd w:fill="1E1E2E" w:val="clear"/>
        <w:spacing w:after="0" w:line="264"/>
        <w:ind w:left="360"/>
      </w:pPr>
      <w:r>
        <w:rPr>
          <w:rFonts w:ascii="Consolas" w:cs="Consolas" w:eastAsia="Consolas" w:hAnsi="Consolas"/>
          <w:color w:val="E8ECF3"/>
          <w:sz w:val="18"/>
          <w:szCs w:val="18"/>
        </w:rPr>
        <w:t xml:space="preserve">  'Brexit referendum (Jun 2016)': {'EUR/USD': -0.0276, 'GBP/USD': -0.126},</w:t>
      </w:r>
    </w:p>
    <w:p>
      <w:pPr>
        <w:shd w:fill="1E1E2E" w:val="clear"/>
        <w:spacing w:after="0" w:line="264"/>
        <w:ind w:left="360"/>
      </w:pPr>
      <w:r>
        <w:rPr>
          <w:rFonts w:ascii="Consolas" w:cs="Consolas" w:eastAsia="Consolas" w:hAnsi="Consolas"/>
          <w:color w:val="E8ECF3"/>
          <w:sz w:val="18"/>
          <w:szCs w:val="18"/>
        </w:rPr>
        <w:t xml:space="preserve">  'COVID crash (Mar 2020)':       {'EUR/USD': -0.065,  'GBP/USD': -0.1225},</w:t>
      </w:r>
    </w:p>
    <w:p>
      <w:pPr>
        <w:shd w:fill="1E1E2E" w:val="clear"/>
        <w:spacing w:after="0" w:line="264"/>
        <w:ind w:left="360"/>
      </w:pPr>
      <w:r>
        <w:rPr>
          <w:rFonts w:ascii="Consolas" w:cs="Consolas" w:eastAsia="Consolas" w:hAnsi="Consolas"/>
          <w:color w:val="E8ECF3"/>
          <w:sz w:val="18"/>
          <w:szCs w:val="18"/>
        </w:rPr>
        <w:t xml:space="preserve">  'UK mini-budget (Sep 2022)':    {'EUR/USD': -0.0249, 'GBP/USD': -0.0476},</w:t>
      </w:r>
    </w:p>
    <w:p>
      <w:pPr>
        <w:shd w:fill="1E1E2E" w:val="clear"/>
        <w:spacing w:after="120" w:line="264"/>
        <w:ind w:left="360"/>
      </w:pPr>
      <w:r>
        <w:rPr>
          <w:rFonts w:ascii="Consolas" w:cs="Consolas" w:eastAsia="Consolas" w:hAnsi="Consolas"/>
          <w:color w:val="E8ECF3"/>
          <w:sz w:val="18"/>
          <w:szCs w:val="18"/>
        </w:rPr>
        <w:t xml:space="preserve">}</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Important fix (audit). </w:t>
      </w:r>
      <w:r>
        <w:rPr>
          <w:rFonts w:ascii="Arial" w:cs="Arial" w:eastAsia="Arial" w:hAnsi="Arial"/>
          <w:sz w:val="22"/>
          <w:szCs w:val="22"/>
        </w:rPr>
        <w:t xml:space="preserve">Because the provider's book is usually short EUR/GBP, these downward shocks often produce </w:t>
      </w:r>
      <w:r>
        <w:rPr>
          <w:rFonts w:ascii="Arial" w:cs="Arial" w:eastAsia="Arial" w:hAnsi="Arial"/>
          <w:b/>
          <w:bCs/>
          <w:sz w:val="22"/>
          <w:szCs w:val="22"/>
        </w:rPr>
        <w:t xml:space="preserve">gains</w:t>
      </w:r>
      <w:r>
        <w:rPr>
          <w:rFonts w:ascii="Arial" w:cs="Arial" w:eastAsia="Arial" w:hAnsi="Arial"/>
          <w:sz w:val="22"/>
          <w:szCs w:val="22"/>
        </w:rPr>
        <w:t xml:space="preserve">, not losses. The original version picked the «worst scenario» by the smallest P&amp;L and labelled it as a loss, which was misleading when everything was gains. It was fixed: the module now distinguishes gain from loss (</w:t>
      </w:r>
      <w:r>
        <w:rPr>
          <w:rFonts w:ascii="Consolas" w:cs="Consolas" w:eastAsia="Consolas" w:hAnsi="Consolas"/>
          <w:sz w:val="20"/>
          <w:szCs w:val="20"/>
        </w:rPr>
        <w:t xml:space="preserve">is_loss</w:t>
      </w:r>
      <w:r>
        <w:rPr>
          <w:rFonts w:ascii="Arial" w:cs="Arial" w:eastAsia="Arial" w:hAnsi="Arial"/>
          <w:sz w:val="22"/>
          <w:szCs w:val="22"/>
        </w:rPr>
        <w:t xml:space="preserve">), the «VaR multiple» is only computed for real losses, and if no scenario produces a loss, the app says so explicitly. This fix is detailed in section 6 and was the one that triggered the full 10-layer audit.</w:t>
      </w:r>
    </w:p>
    <w:p>
      <w:r>
        <w:br w:type="page"/>
      </w:r>
    </w:p>
    <w:p>
      <w:pPr>
        <w:pStyle w:val="Heading2"/>
      </w:pPr>
      <w:r>
        <w:rPr>
          <w:rFonts w:ascii="Arial" w:cs="Arial" w:eastAsia="Arial" w:hAnsi="Arial"/>
        </w:rPr>
        <w:t xml:space="preserve">3.10 option_book.py — option book and full-revaluation VaR</w:t>
      </w:r>
    </w:p>
    <w:p>
      <w:pPr>
        <w:spacing w:after="120" w:line="276"/>
      </w:pPr>
      <w:r>
        <w:rPr>
          <w:rFonts w:ascii="Arial" w:cs="Arial" w:eastAsia="Arial" w:hAnsi="Arial"/>
          <w:sz w:val="22"/>
          <w:szCs w:val="22"/>
        </w:rPr>
        <w:t xml:space="preserve">Analogous to the forwards book, but for options. An </w:t>
      </w:r>
      <w:r>
        <w:rPr>
          <w:rFonts w:ascii="Consolas" w:cs="Consolas" w:eastAsia="Consolas" w:hAnsi="Consolas"/>
          <w:sz w:val="20"/>
          <w:szCs w:val="20"/>
        </w:rPr>
        <w:t xml:space="preserve">OptionPosition</w:t>
      </w:r>
      <w:r>
        <w:rPr>
          <w:rFonts w:ascii="Arial" w:cs="Arial" w:eastAsia="Arial" w:hAnsi="Arial"/>
          <w:sz w:val="22"/>
          <w:szCs w:val="22"/>
        </w:rPr>
        <w:t xml:space="preserve"> stores the pair, whether it is a call or put, the notional, the strike, the tenor, the volatility and the premium. The </w:t>
      </w:r>
      <w:r>
        <w:rPr>
          <w:rFonts w:ascii="Consolas" w:cs="Consolas" w:eastAsia="Consolas" w:hAnsi="Consolas"/>
          <w:sz w:val="20"/>
          <w:szCs w:val="20"/>
        </w:rPr>
        <w:t xml:space="preserve">OptionBook</w:t>
      </w:r>
      <w:r>
        <w:rPr>
          <w:rFonts w:ascii="Arial" w:cs="Arial" w:eastAsia="Arial" w:hAnsi="Arial"/>
          <w:sz w:val="22"/>
          <w:szCs w:val="22"/>
        </w:rPr>
        <w:t xml:space="preserve"> groups them. The </w:t>
      </w:r>
      <w:r>
        <w:rPr>
          <w:rFonts w:ascii="Consolas" w:cs="Consolas" w:eastAsia="Consolas" w:hAnsi="Consolas"/>
          <w:sz w:val="20"/>
          <w:szCs w:val="20"/>
        </w:rPr>
        <w:t xml:space="preserve">option_book_greeks</w:t>
      </w:r>
      <w:r>
        <w:rPr>
          <w:rFonts w:ascii="Arial" w:cs="Arial" w:eastAsia="Arial" w:hAnsi="Arial"/>
          <w:sz w:val="22"/>
          <w:szCs w:val="22"/>
        </w:rPr>
        <w:t xml:space="preserve"> function aggregates the Greeks of all options (delta, gamma, vega, theta and total value), scaling each by its notional.</w:t>
      </w:r>
    </w:p>
    <w:p>
      <w:pPr>
        <w:pStyle w:val="Heading3"/>
      </w:pPr>
      <w:r>
        <w:rPr>
          <w:rFonts w:ascii="Arial" w:cs="Arial" w:eastAsia="Arial" w:hAnsi="Arial"/>
        </w:rPr>
        <w:t xml:space="preserve">Full-revaluation VaR</w:t>
      </w:r>
    </w:p>
    <w:p>
      <w:pPr>
        <w:spacing w:after="120" w:line="276"/>
      </w:pPr>
      <w:r>
        <w:rPr>
          <w:rFonts w:ascii="Arial" w:cs="Arial" w:eastAsia="Arial" w:hAnsi="Arial"/>
          <w:sz w:val="22"/>
          <w:szCs w:val="22"/>
        </w:rPr>
        <w:t xml:space="preserve">Here is the most sophisticated part of the module. An option's VaR </w:t>
      </w:r>
      <w:r>
        <w:rPr>
          <w:rFonts w:ascii="Arial" w:cs="Arial" w:eastAsia="Arial" w:hAnsi="Arial"/>
          <w:i/>
          <w:iCs/>
          <w:sz w:val="22"/>
          <w:szCs w:val="22"/>
        </w:rPr>
        <w:t xml:space="preserve">cannot</w:t>
      </w:r>
      <w:r>
        <w:rPr>
          <w:rFonts w:ascii="Arial" w:cs="Arial" w:eastAsia="Arial" w:hAnsi="Arial"/>
          <w:sz w:val="22"/>
          <w:szCs w:val="22"/>
        </w:rPr>
        <w:t xml:space="preserve"> be well approximated by the delta alone, because the option is non-linear (the gamma). So </w:t>
      </w:r>
      <w:r>
        <w:rPr>
          <w:rFonts w:ascii="Consolas" w:cs="Consolas" w:eastAsia="Consolas" w:hAnsi="Consolas"/>
          <w:sz w:val="20"/>
          <w:szCs w:val="20"/>
        </w:rPr>
        <w:t xml:space="preserve">option_book_var</w:t>
      </w:r>
      <w:r>
        <w:rPr>
          <w:rFonts w:ascii="Arial" w:cs="Arial" w:eastAsia="Arial" w:hAnsi="Arial"/>
          <w:sz w:val="22"/>
          <w:szCs w:val="22"/>
        </w:rPr>
        <w:t xml:space="preserve"> does </w:t>
      </w:r>
      <w:r>
        <w:rPr>
          <w:rFonts w:ascii="Arial" w:cs="Arial" w:eastAsia="Arial" w:hAnsi="Arial"/>
          <w:b/>
          <w:bCs/>
          <w:sz w:val="22"/>
          <w:szCs w:val="22"/>
        </w:rPr>
        <w:t xml:space="preserve">full revaluation</w:t>
      </w:r>
      <w:r>
        <w:rPr>
          <w:rFonts w:ascii="Arial" w:cs="Arial" w:eastAsia="Arial" w:hAnsi="Arial"/>
          <w:sz w:val="22"/>
          <w:szCs w:val="22"/>
        </w:rPr>
        <w:t xml:space="preserve">: in each simulated spot scenario, it re-prices every option with Garman-Kohlhagen at the new spot, and measures the real loss. This captures the gamma effect that a linear (delta-equivalent) approximation would miss.</w:t>
      </w:r>
    </w:p>
    <w:p>
      <w:pPr>
        <w:spacing w:after="120" w:line="276"/>
      </w:pPr>
      <w:r>
        <w:rPr>
          <w:rFonts w:ascii="Arial" w:cs="Arial" w:eastAsia="Arial" w:hAnsi="Arial"/>
          <w:sz w:val="22"/>
          <w:szCs w:val="22"/>
        </w:rPr>
        <w:t xml:space="preserve">The function returns three numbers to compare: the full-revaluation VaR, the delta-equivalent VaR (the linear approximation), and the «gamma effect» (the difference between them). For an at-the-money option, the gamma effect is notable; for a deep in-the-money one, both converge — because there the option behaves almost like a forward.</w:t>
      </w:r>
    </w:p>
    <w:p>
      <w:pPr>
        <w:pStyle w:val="Heading2"/>
      </w:pPr>
      <w:r>
        <w:rPr>
          <w:rFonts w:ascii="Arial" w:cs="Arial" w:eastAsia="Arial" w:hAnsi="Arial"/>
        </w:rPr>
        <w:t xml:space="preserve">3.11 limits.py — risk-limit control</w:t>
      </w:r>
    </w:p>
    <w:p>
      <w:pPr>
        <w:spacing w:after="120" w:line="276"/>
      </w:pPr>
      <w:r>
        <w:rPr>
          <w:rFonts w:ascii="Arial" w:cs="Arial" w:eastAsia="Arial" w:hAnsi="Arial"/>
          <w:sz w:val="22"/>
          <w:szCs w:val="22"/>
        </w:rPr>
        <w:t xml:space="preserve">A risk desk operates with </w:t>
      </w:r>
      <w:r>
        <w:rPr>
          <w:rFonts w:ascii="Arial" w:cs="Arial" w:eastAsia="Arial" w:hAnsi="Arial"/>
          <w:b/>
          <w:bCs/>
          <w:sz w:val="22"/>
          <w:szCs w:val="22"/>
        </w:rPr>
        <w:t xml:space="preserve">limits</w:t>
      </w:r>
      <w:r>
        <w:rPr>
          <w:rFonts w:ascii="Arial" w:cs="Arial" w:eastAsia="Arial" w:hAnsi="Arial"/>
          <w:sz w:val="22"/>
          <w:szCs w:val="22"/>
        </w:rPr>
        <w:t xml:space="preserve">: caps that must not be exceeded. This module defines a limits configuration (</w:t>
      </w:r>
      <w:r>
        <w:rPr>
          <w:rFonts w:ascii="Consolas" w:cs="Consolas" w:eastAsia="Consolas" w:hAnsi="Consolas"/>
          <w:sz w:val="20"/>
          <w:szCs w:val="20"/>
        </w:rPr>
        <w:t xml:space="preserve">LimitsConfig</w:t>
      </w:r>
      <w:r>
        <w:rPr>
          <w:rFonts w:ascii="Arial" w:cs="Arial" w:eastAsia="Arial" w:hAnsi="Arial"/>
          <w:sz w:val="22"/>
          <w:szCs w:val="22"/>
        </w:rPr>
        <w:t xml:space="preserve">) with a VaR cap and a net-exposure-per-currency cap, and a </w:t>
      </w:r>
      <w:r>
        <w:rPr>
          <w:rFonts w:ascii="Consolas" w:cs="Consolas" w:eastAsia="Consolas" w:hAnsi="Consolas"/>
          <w:sz w:val="20"/>
          <w:szCs w:val="20"/>
        </w:rPr>
        <w:t xml:space="preserve">check_limits</w:t>
      </w:r>
      <w:r>
        <w:rPr>
          <w:rFonts w:ascii="Arial" w:cs="Arial" w:eastAsia="Arial" w:hAnsi="Arial"/>
          <w:sz w:val="22"/>
          <w:szCs w:val="22"/>
        </w:rPr>
        <w:t xml:space="preserve"> function that compares the current state against those caps. The result is a report where each check has its name, status, whether it is breached, and its «utilisation». The app turns this into the dashboard traffic light: green if everything is within caps, amber if something exceeds 80% utilisation, red if there is a breach. Setting a limit to zero means «ignore that limit».</w:t>
      </w:r>
    </w:p>
    <w:p>
      <w:r>
        <w:br w:type="page"/>
      </w:r>
    </w:p>
    <w:p>
      <w:pPr>
        <w:pStyle w:val="Heading1"/>
      </w:pPr>
      <w:r>
        <w:rPr>
          <w:rFonts w:ascii="Arial" w:cs="Arial" w:eastAsia="Arial" w:hAnsi="Arial"/>
        </w:rPr>
        <w:t xml:space="preserve">4. The screens, step by step</w:t>
      </w:r>
    </w:p>
    <w:p>
      <w:pPr>
        <w:spacing w:after="120" w:line="276"/>
      </w:pPr>
      <w:r>
        <w:rPr>
          <w:rFonts w:ascii="Arial" w:cs="Arial" w:eastAsia="Arial" w:hAnsi="Arial"/>
          <w:sz w:val="22"/>
          <w:szCs w:val="22"/>
        </w:rPr>
        <w:t xml:space="preserve">This section walks through the application as the user sees it: each screen, what is entered, which button does what, and what each number means. It is the practical complement to section 3: there we saw how the engine computes; here we see where each result is shown.</w:t>
      </w:r>
    </w:p>
    <w:p>
      <w:pPr>
        <w:pStyle w:val="Heading3"/>
      </w:pPr>
      <w:r>
        <w:rPr>
          <w:rFonts w:ascii="Arial" w:cs="Arial" w:eastAsia="Arial" w:hAnsi="Arial"/>
        </w:rPr>
        <w:t xml:space="preserve">The sidebar: always visible</w:t>
      </w:r>
    </w:p>
    <w:p>
      <w:pPr>
        <w:spacing w:after="120" w:line="276"/>
      </w:pPr>
      <w:r>
        <w:rPr>
          <w:rFonts w:ascii="Arial" w:cs="Arial" w:eastAsia="Arial" w:hAnsi="Arial"/>
          <w:sz w:val="22"/>
          <w:szCs w:val="22"/>
        </w:rPr>
        <w:t xml:space="preserve">Before the screens, the sidebar accompanies the user at all times. It has three blocks:</w:t>
      </w:r>
    </w:p>
    <w:p>
      <w:pPr>
        <w:pStyle w:val="ListParagraph"/>
        <w:numPr>
          <w:ilvl w:val="0"/>
          <w:numId w:val="2"/>
        </w:numPr>
        <w:spacing w:after="80" w:line="276"/>
      </w:pPr>
      <w:r>
        <w:rPr>
          <w:rFonts w:ascii="Arial" w:cs="Arial" w:eastAsia="Arial" w:hAnsi="Arial"/>
          <w:b/>
          <w:bCs/>
          <w:sz w:val="22"/>
          <w:szCs w:val="22"/>
        </w:rPr>
        <w:t xml:space="preserve">Book actions. </w:t>
      </w:r>
      <w:r>
        <w:rPr>
          <w:rFonts w:ascii="Arial" w:cs="Arial" w:eastAsia="Arial" w:hAnsi="Arial"/>
          <w:sz w:val="22"/>
          <w:szCs w:val="22"/>
        </w:rPr>
        <w:t xml:space="preserve">A «Load example» button that loads a sample book to explore the tool without building anything, and a «Clear book» button that empties it.</w:t>
      </w:r>
    </w:p>
    <w:p>
      <w:pPr>
        <w:pStyle w:val="ListParagraph"/>
        <w:numPr>
          <w:ilvl w:val="0"/>
          <w:numId w:val="2"/>
        </w:numPr>
        <w:spacing w:after="80" w:line="276"/>
      </w:pPr>
      <w:r>
        <w:rPr>
          <w:rFonts w:ascii="Arial" w:cs="Arial" w:eastAsia="Arial" w:hAnsi="Arial"/>
          <w:b/>
          <w:bCs/>
          <w:sz w:val="22"/>
          <w:szCs w:val="22"/>
        </w:rPr>
        <w:t xml:space="preserve">Risk limits. </w:t>
      </w:r>
      <w:r>
        <w:rPr>
          <w:rFonts w:ascii="Arial" w:cs="Arial" w:eastAsia="Arial" w:hAnsi="Arial"/>
          <w:sz w:val="22"/>
          <w:szCs w:val="22"/>
        </w:rPr>
        <w:t xml:space="preserve">Three controls: the VaR cap (in USD), the net-exposure-per-currency cap, and the VaR confidence level (95%, 97.5% or 99%). Setting a cap to zero means «ignore that limit».</w:t>
      </w:r>
    </w:p>
    <w:p>
      <w:pPr>
        <w:pStyle w:val="ListParagraph"/>
        <w:numPr>
          <w:ilvl w:val="0"/>
          <w:numId w:val="2"/>
        </w:numPr>
        <w:spacing w:after="80" w:line="276"/>
      </w:pPr>
      <w:r>
        <w:rPr>
          <w:rFonts w:ascii="Arial" w:cs="Arial" w:eastAsia="Arial" w:hAnsi="Arial"/>
          <w:b/>
          <w:bCs/>
          <w:sz w:val="22"/>
          <w:szCs w:val="22"/>
        </w:rPr>
        <w:t xml:space="preserve">Book status. </w:t>
      </w:r>
      <w:r>
        <w:rPr>
          <w:rFonts w:ascii="Arial" w:cs="Arial" w:eastAsia="Arial" w:hAnsi="Arial"/>
          <w:sz w:val="22"/>
          <w:szCs w:val="22"/>
        </w:rPr>
        <w:t xml:space="preserve">A permanent mini-summary: how many positions there are and the net exposure per currency. It keeps the global state in view when navigating between screens.</w:t>
      </w:r>
    </w:p>
    <w:p>
      <w:pPr>
        <w:pStyle w:val="Heading2"/>
      </w:pPr>
      <w:r>
        <w:rPr>
          <w:rFonts w:ascii="Arial" w:cs="Arial" w:eastAsia="Arial" w:hAnsi="Arial"/>
        </w:rPr>
        <w:t xml:space="preserve">4.1 Overview</w:t>
      </w:r>
    </w:p>
    <w:p>
      <w:pPr>
        <w:spacing w:after="120" w:line="276"/>
      </w:pPr>
      <w:r>
        <w:rPr>
          <w:rFonts w:ascii="Arial" w:cs="Arial" w:eastAsia="Arial" w:hAnsi="Arial"/>
          <w:sz w:val="22"/>
          <w:szCs w:val="22"/>
        </w:rPr>
        <w:t xml:space="preserve">The welcome screen. It explains in plain language what the tool is, the provider-first concept, and how it is organised. Its purpose is to orient a first-time visitor. It includes a collapsible glossary with the key terms (VaR, MtM, delta, etc.) one line each, and if the book is empty, a «Load example book to start» button. It does no calculations: it is purely educational.</w:t>
      </w:r>
    </w:p>
    <w:p>
      <w:pPr>
        <w:pStyle w:val="Heading2"/>
      </w:pPr>
      <w:r>
        <w:rPr>
          <w:rFonts w:ascii="Arial" w:cs="Arial" w:eastAsia="Arial" w:hAnsi="Arial"/>
        </w:rPr>
        <w:t xml:space="preserve">4.2 Dashboard</w:t>
      </w:r>
    </w:p>
    <w:p>
      <w:pPr>
        <w:spacing w:after="120" w:line="276"/>
      </w:pPr>
      <w:r>
        <w:rPr>
          <w:rFonts w:ascii="Arial" w:cs="Arial" w:eastAsia="Arial" w:hAnsi="Arial"/>
          <w:sz w:val="22"/>
          <w:szCs w:val="22"/>
        </w:rPr>
        <w:t xml:space="preserve">The synthesis view: the book's risk state at a glance, designed so a risk manager understands the situation in seconds. If no book is loaded, it shows a message inviting one. With a book, it shows four blocks:</w:t>
      </w:r>
    </w:p>
    <w:p>
      <w:pPr>
        <w:pStyle w:val="ListParagraph"/>
        <w:numPr>
          <w:ilvl w:val="0"/>
          <w:numId w:val="2"/>
        </w:numPr>
        <w:spacing w:after="80" w:line="276"/>
      </w:pPr>
      <w:r>
        <w:rPr>
          <w:rFonts w:ascii="Arial" w:cs="Arial" w:eastAsia="Arial" w:hAnsi="Arial"/>
          <w:b/>
          <w:bCs/>
          <w:sz w:val="22"/>
          <w:szCs w:val="22"/>
        </w:rPr>
        <w:t xml:space="preserve">The traffic-light status. </w:t>
      </w:r>
      <w:r>
        <w:rPr>
          <w:rFonts w:ascii="Arial" w:cs="Arial" w:eastAsia="Arial" w:hAnsi="Arial"/>
          <w:sz w:val="22"/>
          <w:szCs w:val="22"/>
        </w:rPr>
        <w:t xml:space="preserve">A colour indicator based on limits: green (all within caps), amber (a limit above 80% utilisation), red (a breach), or grey (no limits set). With a sentence saying what to attend to.</w:t>
      </w:r>
    </w:p>
    <w:p>
      <w:pPr>
        <w:pStyle w:val="ListParagraph"/>
        <w:numPr>
          <w:ilvl w:val="0"/>
          <w:numId w:val="2"/>
        </w:numPr>
        <w:spacing w:after="80" w:line="276"/>
      </w:pPr>
      <w:r>
        <w:rPr>
          <w:rFonts w:ascii="Arial" w:cs="Arial" w:eastAsia="Arial" w:hAnsi="Arial"/>
          <w:b/>
          <w:bCs/>
          <w:sz w:val="22"/>
          <w:szCs w:val="22"/>
        </w:rPr>
        <w:t xml:space="preserve">The key metrics. </w:t>
      </w:r>
      <w:r>
        <w:rPr>
          <w:rFonts w:ascii="Arial" w:cs="Arial" w:eastAsia="Arial" w:hAnsi="Arial"/>
          <w:sz w:val="22"/>
          <w:szCs w:val="22"/>
        </w:rPr>
        <w:t xml:space="preserve">Four large cards: the book notional (USD), its mark-to-market value (MtM), the day's VaR, and the Expected Shortfall.</w:t>
      </w:r>
    </w:p>
    <w:p>
      <w:pPr>
        <w:pStyle w:val="ListParagraph"/>
        <w:numPr>
          <w:ilvl w:val="0"/>
          <w:numId w:val="2"/>
        </w:numPr>
        <w:spacing w:after="80" w:line="276"/>
      </w:pPr>
      <w:r>
        <w:rPr>
          <w:rFonts w:ascii="Arial" w:cs="Arial" w:eastAsia="Arial" w:hAnsi="Arial"/>
          <w:b/>
          <w:bCs/>
          <w:sz w:val="22"/>
          <w:szCs w:val="22"/>
        </w:rPr>
        <w:t xml:space="preserve">The limit-utilisation bars. </w:t>
      </w:r>
      <w:r>
        <w:rPr>
          <w:rFonts w:ascii="Arial" w:cs="Arial" w:eastAsia="Arial" w:hAnsi="Arial"/>
          <w:sz w:val="22"/>
          <w:szCs w:val="22"/>
        </w:rPr>
        <w:t xml:space="preserve">Each limit with its usage percentage and colour status.</w:t>
      </w:r>
    </w:p>
    <w:p>
      <w:pPr>
        <w:pStyle w:val="ListParagraph"/>
        <w:numPr>
          <w:ilvl w:val="0"/>
          <w:numId w:val="2"/>
        </w:numPr>
        <w:spacing w:after="80" w:line="276"/>
      </w:pPr>
      <w:r>
        <w:rPr>
          <w:rFonts w:ascii="Arial" w:cs="Arial" w:eastAsia="Arial" w:hAnsi="Arial"/>
          <w:b/>
          <w:bCs/>
          <w:sz w:val="22"/>
          <w:szCs w:val="22"/>
        </w:rPr>
        <w:t xml:space="preserve">The net-exposure-by-currency chart. </w:t>
      </w:r>
      <w:r>
        <w:rPr>
          <w:rFonts w:ascii="Arial" w:cs="Arial" w:eastAsia="Arial" w:hAnsi="Arial"/>
          <w:sz w:val="22"/>
          <w:szCs w:val="22"/>
        </w:rPr>
        <w:t xml:space="preserve">Horizontal bars showing how long or short the book is in each currency. Long and short are directions, not good or bad, so they use neutral colours (not the alarm red) — a fix from the visual audit.</w:t>
      </w:r>
    </w:p>
    <w:p>
      <w:pPr>
        <w:pStyle w:val="Heading2"/>
      </w:pPr>
      <w:r>
        <w:rPr>
          <w:rFonts w:ascii="Arial" w:cs="Arial" w:eastAsia="Arial" w:hAnsi="Arial"/>
        </w:rPr>
        <w:t xml:space="preserve">4.3 Instruments</w:t>
      </w:r>
    </w:p>
    <w:p>
      <w:pPr>
        <w:spacing w:after="120" w:line="276"/>
      </w:pPr>
      <w:r>
        <w:rPr>
          <w:rFonts w:ascii="Arial" w:cs="Arial" w:eastAsia="Arial" w:hAnsi="Arial"/>
          <w:sz w:val="22"/>
          <w:szCs w:val="22"/>
        </w:rPr>
        <w:t xml:space="preserve">The pricing and exploration screen. It has two sub-screens: Forward and Option.</w:t>
      </w:r>
    </w:p>
    <w:p>
      <w:pPr>
        <w:pStyle w:val="Heading3"/>
      </w:pPr>
      <w:r>
        <w:rPr>
          <w:rFonts w:ascii="Arial" w:cs="Arial" w:eastAsia="Arial" w:hAnsi="Arial"/>
        </w:rPr>
        <w:t xml:space="preserve">4.3.1 Forward</w:t>
      </w:r>
    </w:p>
    <w:p>
      <w:pPr>
        <w:spacing w:after="120" w:line="276"/>
      </w:pPr>
      <w:r>
        <w:rPr>
          <w:rFonts w:ascii="Arial" w:cs="Arial" w:eastAsia="Arial" w:hAnsi="Arial"/>
          <w:sz w:val="22"/>
          <w:szCs w:val="22"/>
        </w:rPr>
        <w:t xml:space="preserve">Lets you quote and add a forward to the book. The inputs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What it is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 pair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currency pair (EUR/USD or GBP/USD).</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Client wants to</w:t>
            </w:r>
          </w:p>
        </w:tc>
        <w:tc>
          <w:tcPr>
            <w:tcW w:type="dxa" w:w="6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Whether the client buys or sells the base currency. The provider takes the mirror side.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Notional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trade size, in base currency.</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Tenor (days)</w:t>
            </w:r>
          </w:p>
        </w:tc>
        <w:tc>
          <w:tcPr>
            <w:tcW w:type="dxa" w:w="67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The tenor to maturity, from 7 to 730 days.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Provider spread (pips)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provider's margin over the fair forward.</w:t>
            </w:r>
          </w:p>
        </w:tc>
      </w:tr>
    </w:tbl>
    <w:p>
      <w:pPr>
        <w:spacing w:after="120" w:line="276"/>
      </w:pPr>
      <w:r>
        <w:rPr>
          <w:rFonts w:ascii="Arial" w:cs="Arial" w:eastAsia="Arial" w:hAnsi="Arial"/>
          <w:sz w:val="22"/>
          <w:szCs w:val="22"/>
        </w:rPr>
        <w:t xml:space="preserve">On pressing </w:t>
      </w:r>
      <w:r>
        <w:rPr>
          <w:rFonts w:ascii="Arial" w:cs="Arial" w:eastAsia="Arial" w:hAnsi="Arial"/>
          <w:b/>
          <w:bCs/>
          <w:sz w:val="22"/>
          <w:szCs w:val="22"/>
        </w:rPr>
        <w:t xml:space="preserve">«Add forward to book»</w:t>
      </w:r>
      <w:r>
        <w:rPr>
          <w:rFonts w:ascii="Arial" w:cs="Arial" w:eastAsia="Arial" w:hAnsi="Arial"/>
          <w:sz w:val="22"/>
          <w:szCs w:val="22"/>
        </w:rPr>
        <w:t xml:space="preserve">, the program downloads market data, computes the fair forward (CIP), adds the spread to obtain the rate quoted to the client, and records the provider's mirror position in the book. It shows a clear confirmation. Before adding, it shows the computed metrics: the fair forward, the client rate with spread, the forward points, and the provider's revenue from the spread.</w:t>
      </w:r>
    </w:p>
    <w:p>
      <w:pPr>
        <w:pStyle w:val="Heading3"/>
      </w:pPr>
      <w:r>
        <w:rPr>
          <w:rFonts w:ascii="Arial" w:cs="Arial" w:eastAsia="Arial" w:hAnsi="Arial"/>
        </w:rPr>
        <w:t xml:space="preserve">4.3.2 Option</w:t>
      </w:r>
    </w:p>
    <w:p>
      <w:pPr>
        <w:spacing w:after="120" w:line="276"/>
      </w:pPr>
      <w:r>
        <w:rPr>
          <w:rFonts w:ascii="Arial" w:cs="Arial" w:eastAsia="Arial" w:hAnsi="Arial"/>
          <w:sz w:val="22"/>
          <w:szCs w:val="22"/>
        </w:rPr>
        <w:t xml:space="preserve">Lets you quote and add an option. You enter the pair, whether it is a call or put, the notional, the strike (defaulting to the at-the-money forward), the tenor, and the volatility is obtained automatically (GARCH if available, historical otherwise, declared). On pressing </w:t>
      </w:r>
      <w:r>
        <w:rPr>
          <w:rFonts w:ascii="Arial" w:cs="Arial" w:eastAsia="Arial" w:hAnsi="Arial"/>
          <w:b/>
          <w:bCs/>
          <w:sz w:val="22"/>
          <w:szCs w:val="22"/>
        </w:rPr>
        <w:t xml:space="preserve">«Price option»</w:t>
      </w:r>
      <w:r>
        <w:rPr>
          <w:rFonts w:ascii="Arial" w:cs="Arial" w:eastAsia="Arial" w:hAnsi="Arial"/>
          <w:sz w:val="22"/>
          <w:szCs w:val="22"/>
        </w:rPr>
        <w:t xml:space="preserve">, it computes the premium with Garman-Kohlhagen and shows the per-unit and total premium, plus the four Greeks. It includes three charts: the </w:t>
      </w:r>
      <w:r>
        <w:rPr>
          <w:rFonts w:ascii="Arial" w:cs="Arial" w:eastAsia="Arial" w:hAnsi="Arial"/>
          <w:b/>
          <w:bCs/>
          <w:sz w:val="22"/>
          <w:szCs w:val="22"/>
        </w:rPr>
        <w:t xml:space="preserve">payoff</w:t>
      </w:r>
      <w:r>
        <w:rPr>
          <w:rFonts w:ascii="Arial" w:cs="Arial" w:eastAsia="Arial" w:hAnsi="Arial"/>
          <w:sz w:val="22"/>
          <w:szCs w:val="22"/>
        </w:rPr>
        <w:t xml:space="preserve"> at expiry, the </w:t>
      </w:r>
      <w:r>
        <w:rPr>
          <w:rFonts w:ascii="Arial" w:cs="Arial" w:eastAsia="Arial" w:hAnsi="Arial"/>
          <w:b/>
          <w:bCs/>
          <w:sz w:val="22"/>
          <w:szCs w:val="22"/>
        </w:rPr>
        <w:t xml:space="preserve">option value vs spot</w:t>
      </w:r>
      <w:r>
        <w:rPr>
          <w:rFonts w:ascii="Arial" w:cs="Arial" w:eastAsia="Arial" w:hAnsi="Arial"/>
          <w:sz w:val="22"/>
          <w:szCs w:val="22"/>
        </w:rPr>
        <w:t xml:space="preserve">, and the </w:t>
      </w:r>
      <w:r>
        <w:rPr>
          <w:rFonts w:ascii="Arial" w:cs="Arial" w:eastAsia="Arial" w:hAnsi="Arial"/>
          <w:b/>
          <w:bCs/>
          <w:sz w:val="22"/>
          <w:szCs w:val="22"/>
        </w:rPr>
        <w:t xml:space="preserve">delta and gamma vs spot</w:t>
      </w:r>
      <w:r>
        <w:rPr>
          <w:rFonts w:ascii="Arial" w:cs="Arial" w:eastAsia="Arial" w:hAnsi="Arial"/>
          <w:sz w:val="22"/>
          <w:szCs w:val="22"/>
        </w:rPr>
        <w:t xml:space="preserve">. A collapsible shows all Greeks and the put-call parity check. The «Add to option book» button adds the option.</w:t>
      </w:r>
    </w:p>
    <w:p>
      <w:r>
        <w:br w:type="page"/>
      </w:r>
    </w:p>
    <w:p>
      <w:pPr>
        <w:pStyle w:val="Heading2"/>
      </w:pPr>
      <w:r>
        <w:rPr>
          <w:rFonts w:ascii="Arial" w:cs="Arial" w:eastAsia="Arial" w:hAnsi="Arial"/>
        </w:rPr>
        <w:t xml:space="preserve">4.4 Book &amp; Risk</w:t>
      </w:r>
    </w:p>
    <w:p>
      <w:pPr>
        <w:spacing w:after="120" w:line="276"/>
      </w:pPr>
      <w:r>
        <w:rPr>
          <w:rFonts w:ascii="Arial" w:cs="Arial" w:eastAsia="Arial" w:hAnsi="Arial"/>
          <w:sz w:val="22"/>
          <w:szCs w:val="22"/>
        </w:rPr>
        <w:t xml:space="preserve">The densest screen and the analytical core of the tool. It has four sub-screens: Book, Valuation, Market risk and Rates &amp; Liquidity.</w:t>
      </w:r>
    </w:p>
    <w:p>
      <w:pPr>
        <w:pStyle w:val="Heading3"/>
      </w:pPr>
      <w:r>
        <w:rPr>
          <w:rFonts w:ascii="Arial" w:cs="Arial" w:eastAsia="Arial" w:hAnsi="Arial"/>
        </w:rPr>
        <w:t xml:space="preserve">4.4.1 Book</w:t>
      </w:r>
    </w:p>
    <w:p>
      <w:pPr>
        <w:spacing w:after="120" w:line="276"/>
      </w:pPr>
      <w:r>
        <w:rPr>
          <w:rFonts w:ascii="Arial" w:cs="Arial" w:eastAsia="Arial" w:hAnsi="Arial"/>
          <w:sz w:val="22"/>
          <w:szCs w:val="22"/>
        </w:rPr>
        <w:t xml:space="preserve">Shows the provider's positions table: pair, side, notional, rate, tenor. Below, the </w:t>
      </w:r>
      <w:r>
        <w:rPr>
          <w:rFonts w:ascii="Arial" w:cs="Arial" w:eastAsia="Arial" w:hAnsi="Arial"/>
          <w:b/>
          <w:bCs/>
          <w:sz w:val="22"/>
          <w:szCs w:val="22"/>
        </w:rPr>
        <w:t xml:space="preserve">net exposure per currency</w:t>
      </w:r>
      <w:r>
        <w:rPr>
          <w:rFonts w:ascii="Arial" w:cs="Arial" w:eastAsia="Arial" w:hAnsi="Arial"/>
          <w:sz w:val="22"/>
          <w:szCs w:val="22"/>
        </w:rPr>
        <w:t xml:space="preserve"> in cards (with the gross as a hover hint). It includes a «Client view» collapsible that reconstructs how the client saw each trade — the mirror of the provider's position. (This view used to be a separate tab; the UX audit merged it here to simplify navigation.)</w:t>
      </w:r>
    </w:p>
    <w:p>
      <w:pPr>
        <w:pStyle w:val="Heading3"/>
      </w:pPr>
      <w:r>
        <w:rPr>
          <w:rFonts w:ascii="Arial" w:cs="Arial" w:eastAsia="Arial" w:hAnsi="Arial"/>
        </w:rPr>
        <w:t xml:space="preserve">4.4.2 Valuation</w:t>
      </w:r>
    </w:p>
    <w:p>
      <w:pPr>
        <w:spacing w:after="120" w:line="276"/>
      </w:pPr>
      <w:r>
        <w:rPr>
          <w:rFonts w:ascii="Arial" w:cs="Arial" w:eastAsia="Arial" w:hAnsi="Arial"/>
          <w:sz w:val="22"/>
          <w:szCs w:val="22"/>
        </w:rPr>
        <w:t xml:space="preserve">Values the book at market. The main card is the </w:t>
      </w:r>
      <w:r>
        <w:rPr>
          <w:rFonts w:ascii="Arial" w:cs="Arial" w:eastAsia="Arial" w:hAnsi="Arial"/>
          <w:b/>
          <w:bCs/>
          <w:sz w:val="22"/>
          <w:szCs w:val="22"/>
        </w:rPr>
        <w:t xml:space="preserve">total MtM in USD</w:t>
      </w:r>
      <w:r>
        <w:rPr>
          <w:rFonts w:ascii="Arial" w:cs="Arial" w:eastAsia="Arial" w:hAnsi="Arial"/>
          <w:sz w:val="22"/>
          <w:szCs w:val="22"/>
        </w:rPr>
        <w:t xml:space="preserve"> (green if a gain, red if a loss), with gains and losses shown separately. Below, a </w:t>
      </w:r>
      <w:r>
        <w:rPr>
          <w:rFonts w:ascii="Arial" w:cs="Arial" w:eastAsia="Arial" w:hAnsi="Arial"/>
          <w:b/>
          <w:bCs/>
          <w:sz w:val="22"/>
          <w:szCs w:val="22"/>
        </w:rPr>
        <w:t xml:space="preserve">concentration</w:t>
      </w:r>
      <w:r>
        <w:rPr>
          <w:rFonts w:ascii="Arial" w:cs="Arial" w:eastAsia="Arial" w:hAnsi="Arial"/>
          <w:sz w:val="22"/>
          <w:szCs w:val="22"/>
        </w:rPr>
        <w:t xml:space="preserve"> table: what fraction of gross risk each position contributes.</w:t>
      </w:r>
    </w:p>
    <w:p>
      <w:pPr>
        <w:pStyle w:val="Heading3"/>
      </w:pPr>
      <w:r>
        <w:rPr>
          <w:rFonts w:ascii="Arial" w:cs="Arial" w:eastAsia="Arial" w:hAnsi="Arial"/>
        </w:rPr>
        <w:t xml:space="preserve">4.4.3 Market risk</w:t>
      </w:r>
    </w:p>
    <w:p>
      <w:pPr>
        <w:spacing w:after="120" w:line="276"/>
      </w:pPr>
      <w:r>
        <w:rPr>
          <w:rFonts w:ascii="Arial" w:cs="Arial" w:eastAsia="Arial" w:hAnsi="Arial"/>
          <w:sz w:val="22"/>
          <w:szCs w:val="22"/>
        </w:rPr>
        <w:t xml:space="preserve">The most important sub-screen. It was very crowded and the UX audit split it into three internal sub-sections:</w:t>
      </w:r>
    </w:p>
    <w:p>
      <w:pPr>
        <w:pStyle w:val="ListParagraph"/>
        <w:numPr>
          <w:ilvl w:val="0"/>
          <w:numId w:val="2"/>
        </w:numPr>
        <w:spacing w:after="80" w:line="276"/>
      </w:pPr>
      <w:r>
        <w:rPr>
          <w:rFonts w:ascii="Arial" w:cs="Arial" w:eastAsia="Arial" w:hAnsi="Arial"/>
          <w:b/>
          <w:bCs/>
          <w:sz w:val="22"/>
          <w:szCs w:val="22"/>
        </w:rPr>
        <w:t xml:space="preserve">VaR &amp; methods. </w:t>
      </w:r>
      <w:r>
        <w:rPr>
          <w:rFonts w:ascii="Arial" w:cs="Arial" w:eastAsia="Arial" w:hAnsi="Arial"/>
          <w:sz w:val="22"/>
          <w:szCs w:val="22"/>
        </w:rPr>
        <w:t xml:space="preserve">The cards for the five VaRs (parametric, historical, Monte Carlo, EWMA, Student-t) plus the Expected Shortfall, each as a percentage of the book. A bar chart compares the five methods. Then the 10-day VaR (Basel regulatory horizon, scaled by √10) and the P&amp;L distribution histogram, with lines marking the VaR and the ES.</w:t>
      </w:r>
    </w:p>
    <w:p>
      <w:pPr>
        <w:pStyle w:val="ListParagraph"/>
        <w:numPr>
          <w:ilvl w:val="0"/>
          <w:numId w:val="2"/>
        </w:numPr>
        <w:spacing w:after="80" w:line="276"/>
      </w:pPr>
      <w:r>
        <w:rPr>
          <w:rFonts w:ascii="Arial" w:cs="Arial" w:eastAsia="Arial" w:hAnsi="Arial"/>
          <w:b/>
          <w:bCs/>
          <w:sz w:val="22"/>
          <w:szCs w:val="22"/>
        </w:rPr>
        <w:t xml:space="preserve">Backtesting. </w:t>
      </w:r>
      <w:r>
        <w:rPr>
          <w:rFonts w:ascii="Arial" w:cs="Arial" w:eastAsia="Arial" w:hAnsi="Arial"/>
          <w:sz w:val="22"/>
          <w:szCs w:val="22"/>
        </w:rPr>
        <w:t xml:space="preserve">Model validation: how many days were tested, how many exceptions occurred (days where the loss exceeded the VaR), and whether the model «passes» or needs «review» per Kupiec. Plus the Christoffersen test on whether exceptions cluster.</w:t>
      </w:r>
    </w:p>
    <w:p>
      <w:pPr>
        <w:pStyle w:val="ListParagraph"/>
        <w:numPr>
          <w:ilvl w:val="0"/>
          <w:numId w:val="2"/>
        </w:numPr>
        <w:spacing w:after="80" w:line="276"/>
      </w:pPr>
      <w:r>
        <w:rPr>
          <w:rFonts w:ascii="Arial" w:cs="Arial" w:eastAsia="Arial" w:hAnsi="Arial"/>
          <w:b/>
          <w:bCs/>
          <w:sz w:val="22"/>
          <w:szCs w:val="22"/>
        </w:rPr>
        <w:t xml:space="preserve">Stress &amp; contribution. </w:t>
      </w:r>
      <w:r>
        <w:rPr>
          <w:rFonts w:ascii="Arial" w:cs="Arial" w:eastAsia="Arial" w:hAnsi="Arial"/>
          <w:sz w:val="22"/>
          <w:szCs w:val="22"/>
        </w:rPr>
        <w:t xml:space="preserve">Limit control with its status, each pair's contribution to risk (chart), the correlation between pairs, the stressed VaR, and the Excel report download button.</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On stress testing. </w:t>
      </w:r>
      <w:r>
        <w:rPr>
          <w:rFonts w:ascii="Arial" w:cs="Arial" w:eastAsia="Arial" w:hAnsi="Arial"/>
          <w:sz w:val="22"/>
          <w:szCs w:val="22"/>
        </w:rPr>
        <w:t xml:space="preserve">Here the crisis-scenario table is shown with its P&amp;L, marking whether each is a gain or a loss, and the «Loss × VaR» only for losses. If no scenario produces a loss (because the book is positioned to gain from those shocks), the app says so explicitly instead of inventing a «worst loss». This is the fix that triggered the whole 10-layer audit — see section 6.</w:t>
      </w:r>
    </w:p>
    <w:p>
      <w:pPr>
        <w:pStyle w:val="Heading3"/>
      </w:pPr>
      <w:r>
        <w:rPr>
          <w:rFonts w:ascii="Arial" w:cs="Arial" w:eastAsia="Arial" w:hAnsi="Arial"/>
        </w:rPr>
        <w:t xml:space="preserve">4.4.4 Rates &amp; Liquidity</w:t>
      </w:r>
    </w:p>
    <w:p>
      <w:pPr>
        <w:spacing w:after="120" w:line="276"/>
      </w:pPr>
      <w:r>
        <w:rPr>
          <w:rFonts w:ascii="Arial" w:cs="Arial" w:eastAsia="Arial" w:hAnsi="Arial"/>
          <w:sz w:val="22"/>
          <w:szCs w:val="22"/>
        </w:rPr>
        <w:t xml:space="preserve">Shows the three risks complementary to market risk: the </w:t>
      </w:r>
      <w:r>
        <w:rPr>
          <w:rFonts w:ascii="Arial" w:cs="Arial" w:eastAsia="Arial" w:hAnsi="Arial"/>
          <w:b/>
          <w:bCs/>
          <w:sz w:val="22"/>
          <w:szCs w:val="22"/>
        </w:rPr>
        <w:t xml:space="preserve">DV01</w:t>
      </w:r>
      <w:r>
        <w:rPr>
          <w:rFonts w:ascii="Arial" w:cs="Arial" w:eastAsia="Arial" w:hAnsi="Arial"/>
          <w:sz w:val="22"/>
          <w:szCs w:val="22"/>
        </w:rPr>
        <w:t xml:space="preserve"> per currency and per tenor bucket (interest-rate sensitivity), the </w:t>
      </w:r>
      <w:r>
        <w:rPr>
          <w:rFonts w:ascii="Arial" w:cs="Arial" w:eastAsia="Arial" w:hAnsi="Arial"/>
          <w:b/>
          <w:bCs/>
          <w:sz w:val="22"/>
          <w:szCs w:val="22"/>
        </w:rPr>
        <w:t xml:space="preserve">liquidity</w:t>
      </w:r>
      <w:r>
        <w:rPr>
          <w:rFonts w:ascii="Arial" w:cs="Arial" w:eastAsia="Arial" w:hAnsi="Arial"/>
          <w:sz w:val="22"/>
          <w:szCs w:val="22"/>
        </w:rPr>
        <w:t xml:space="preserve"> (cash the book might require as margin), and the </w:t>
      </w:r>
      <w:r>
        <w:rPr>
          <w:rFonts w:ascii="Arial" w:cs="Arial" w:eastAsia="Arial" w:hAnsi="Arial"/>
          <w:b/>
          <w:bCs/>
          <w:sz w:val="22"/>
          <w:szCs w:val="22"/>
        </w:rPr>
        <w:t xml:space="preserve">stress testing</w:t>
      </w:r>
      <w:r>
        <w:rPr>
          <w:rFonts w:ascii="Arial" w:cs="Arial" w:eastAsia="Arial" w:hAnsi="Arial"/>
          <w:sz w:val="22"/>
          <w:szCs w:val="22"/>
        </w:rPr>
        <w:t xml:space="preserve"> described above.</w:t>
      </w:r>
    </w:p>
    <w:p>
      <w:pPr>
        <w:pStyle w:val="Heading2"/>
      </w:pPr>
      <w:r>
        <w:rPr>
          <w:rFonts w:ascii="Arial" w:cs="Arial" w:eastAsia="Arial" w:hAnsi="Arial"/>
        </w:rPr>
        <w:t xml:space="preserve">4.5 Limitations</w:t>
      </w:r>
    </w:p>
    <w:p>
      <w:pPr>
        <w:spacing w:after="120" w:line="276"/>
      </w:pPr>
      <w:r>
        <w:rPr>
          <w:rFonts w:ascii="Arial" w:cs="Arial" w:eastAsia="Arial" w:hAnsi="Arial"/>
          <w:sz w:val="22"/>
          <w:szCs w:val="22"/>
        </w:rPr>
        <w:t xml:space="preserve">A screen dedicated to openly declaring the model's limits: that the VaR is spot (it does not include rate risk, reported separately as DV01), that it only handles USD-quoted pairs, that the GBP curve is flat, that the stress window is the worst of ~2 years of free history, and why implied volatility and NDFs are not included. This declared honesty is, in itself, a mark of professional judgement: a serious risk tool says what it does not do.</w:t>
      </w:r>
    </w:p>
    <w:p>
      <w:r>
        <w:br w:type="page"/>
      </w:r>
    </w:p>
    <w:p>
      <w:pPr>
        <w:pStyle w:val="Heading1"/>
      </w:pPr>
      <w:r>
        <w:rPr>
          <w:rFonts w:ascii="Arial" w:cs="Arial" w:eastAsia="Arial" w:hAnsi="Arial"/>
        </w:rPr>
        <w:t xml:space="preserve">5. How a figure flows end to end</w:t>
      </w:r>
    </w:p>
    <w:p>
      <w:pPr>
        <w:spacing w:after="120" w:line="276"/>
      </w:pPr>
      <w:r>
        <w:rPr>
          <w:rFonts w:ascii="Arial" w:cs="Arial" w:eastAsia="Arial" w:hAnsi="Arial"/>
          <w:sz w:val="22"/>
          <w:szCs w:val="22"/>
        </w:rPr>
        <w:t xml:space="preserve">The previous sections described the pieces separately. This one connects them: it follows a concrete number from raw market data to the screen, through each module. It is the best way to understand how everything fits. We take as an example the historical VaR of a book with a single position.</w:t>
      </w:r>
    </w:p>
    <w:p>
      <w:pPr>
        <w:pStyle w:val="Heading2"/>
      </w:pPr>
      <w:r>
        <w:rPr>
          <w:rFonts w:ascii="Arial" w:cs="Arial" w:eastAsia="Arial" w:hAnsi="Arial"/>
        </w:rPr>
        <w:t xml:space="preserve">5.1 The full path of the VaR</w:t>
      </w:r>
    </w:p>
    <w:p>
      <w:pPr>
        <w:spacing w:after="120" w:line="276"/>
      </w:pPr>
      <w:r>
        <w:rPr>
          <w:rFonts w:ascii="Arial" w:cs="Arial" w:eastAsia="Arial" w:hAnsi="Arial"/>
          <w:sz w:val="22"/>
          <w:szCs w:val="22"/>
        </w:rPr>
        <w:t xml:space="preserve">Suppose the client bought EUR 2,000,000 forward at 90 days, so the provider is short EUR 2,000,000. We want the day's VaR at 99%. The number goes through these steps:</w:t>
      </w:r>
    </w:p>
    <w:p>
      <w:pPr>
        <w:pStyle w:val="ListParagraph"/>
        <w:numPr>
          <w:ilvl w:val="0"/>
          <w:numId w:val="3"/>
        </w:numPr>
        <w:spacing w:after="100" w:line="276"/>
      </w:pPr>
      <w:r>
        <w:rPr>
          <w:rFonts w:ascii="Arial" w:cs="Arial" w:eastAsia="Arial" w:hAnsi="Arial"/>
          <w:b/>
          <w:bCs/>
          <w:sz w:val="22"/>
          <w:szCs w:val="22"/>
        </w:rPr>
        <w:t xml:space="preserve">History download (data.py). </w:t>
      </w:r>
      <w:r>
        <w:rPr>
          <w:rFonts w:ascii="Arial" w:cs="Arial" w:eastAsia="Arial" w:hAnsi="Arial"/>
          <w:sz w:val="22"/>
          <w:szCs w:val="22"/>
        </w:rPr>
        <w:t xml:space="preserve">The app asks </w:t>
      </w:r>
      <w:r>
        <w:rPr>
          <w:rFonts w:ascii="Consolas" w:cs="Consolas" w:eastAsia="Consolas" w:hAnsi="Consolas"/>
          <w:sz w:val="20"/>
          <w:szCs w:val="20"/>
        </w:rPr>
        <w:t xml:space="preserve">fetch_spot_history</w:t>
      </w:r>
      <w:r>
        <w:rPr>
          <w:rFonts w:ascii="Arial" w:cs="Arial" w:eastAsia="Arial" w:hAnsi="Arial"/>
          <w:sz w:val="22"/>
          <w:szCs w:val="22"/>
        </w:rPr>
        <w:t xml:space="preserve"> for EUR/USD daily closing prices over the last 2 years. If the download fails, </w:t>
      </w:r>
      <w:r>
        <w:rPr>
          <w:rFonts w:ascii="Consolas" w:cs="Consolas" w:eastAsia="Consolas" w:hAnsi="Consolas"/>
          <w:sz w:val="20"/>
          <w:szCs w:val="20"/>
        </w:rPr>
        <w:t xml:space="preserve">MarketDataError</w:t>
      </w:r>
      <w:r>
        <w:rPr>
          <w:rFonts w:ascii="Arial" w:cs="Arial" w:eastAsia="Arial" w:hAnsi="Arial"/>
          <w:sz w:val="22"/>
          <w:szCs w:val="22"/>
        </w:rPr>
        <w:t xml:space="preserve"> is raised and the app shows «data unavailable» — it never invents prices.</w:t>
      </w:r>
    </w:p>
    <w:p>
      <w:pPr>
        <w:pStyle w:val="ListParagraph"/>
        <w:numPr>
          <w:ilvl w:val="0"/>
          <w:numId w:val="3"/>
        </w:numPr>
        <w:spacing w:after="100" w:line="276"/>
      </w:pPr>
      <w:r>
        <w:rPr>
          <w:rFonts w:ascii="Arial" w:cs="Arial" w:eastAsia="Arial" w:hAnsi="Arial"/>
          <w:b/>
          <w:bCs/>
          <w:sz w:val="22"/>
          <w:szCs w:val="22"/>
        </w:rPr>
        <w:t xml:space="preserve">Return calculation. </w:t>
      </w:r>
      <w:r>
        <w:rPr>
          <w:rFonts w:ascii="Arial" w:cs="Arial" w:eastAsia="Arial" w:hAnsi="Arial"/>
          <w:sz w:val="22"/>
          <w:szCs w:val="22"/>
        </w:rPr>
        <w:t xml:space="preserve">From that price series the daily returns are computed (the percentage change from one day to the next), giving a column of ~500 historical returns.</w:t>
      </w:r>
    </w:p>
    <w:p>
      <w:pPr>
        <w:pStyle w:val="ListParagraph"/>
        <w:numPr>
          <w:ilvl w:val="0"/>
          <w:numId w:val="3"/>
        </w:numPr>
        <w:spacing w:after="100" w:line="276"/>
      </w:pPr>
      <w:r>
        <w:rPr>
          <w:rFonts w:ascii="Arial" w:cs="Arial" w:eastAsia="Arial" w:hAnsi="Arial"/>
          <w:b/>
          <w:bCs/>
          <w:sz w:val="22"/>
          <w:szCs w:val="22"/>
        </w:rPr>
        <w:t xml:space="preserve">Mapping to exposure (portfolio_risk.py). </w:t>
      </w:r>
      <w:r>
        <w:rPr>
          <w:rFonts w:ascii="Arial" w:cs="Arial" w:eastAsia="Arial" w:hAnsi="Arial"/>
          <w:sz w:val="22"/>
          <w:szCs w:val="22"/>
        </w:rPr>
        <w:t xml:space="preserve">The </w:t>
      </w:r>
      <w:r>
        <w:rPr>
          <w:rFonts w:ascii="Consolas" w:cs="Consolas" w:eastAsia="Consolas" w:hAnsi="Consolas"/>
          <w:sz w:val="20"/>
          <w:szCs w:val="20"/>
        </w:rPr>
        <w:t xml:space="preserve">_factor_positions</w:t>
      </w:r>
      <w:r>
        <w:rPr>
          <w:rFonts w:ascii="Arial" w:cs="Arial" w:eastAsia="Arial" w:hAnsi="Arial"/>
          <w:sz w:val="22"/>
          <w:szCs w:val="22"/>
        </w:rPr>
        <w:t xml:space="preserve"> function converts the book position into an exposure: short EUR 2,000,000 at a spot of ~1.085 gives an exposure of about −2,170,000 USD (negative, because it is short).</w:t>
      </w:r>
    </w:p>
    <w:p>
      <w:pPr>
        <w:pStyle w:val="ListParagraph"/>
        <w:numPr>
          <w:ilvl w:val="0"/>
          <w:numId w:val="3"/>
        </w:numPr>
        <w:spacing w:after="100" w:line="276"/>
      </w:pPr>
      <w:r>
        <w:rPr>
          <w:rFonts w:ascii="Arial" w:cs="Arial" w:eastAsia="Arial" w:hAnsi="Arial"/>
          <w:b/>
          <w:bCs/>
          <w:sz w:val="22"/>
          <w:szCs w:val="22"/>
        </w:rPr>
        <w:t xml:space="preserve">P&amp;L vector. </w:t>
      </w:r>
      <w:r>
        <w:rPr>
          <w:rFonts w:ascii="Arial" w:cs="Arial" w:eastAsia="Arial" w:hAnsi="Arial"/>
          <w:sz w:val="22"/>
          <w:szCs w:val="22"/>
        </w:rPr>
        <w:t xml:space="preserve">Each historical return is multiplied by that exposure (</w:t>
      </w:r>
      <w:r>
        <w:rPr>
          <w:rFonts w:ascii="Consolas" w:cs="Consolas" w:eastAsia="Consolas" w:hAnsi="Consolas"/>
          <w:sz w:val="20"/>
          <w:szCs w:val="20"/>
        </w:rPr>
        <w:t xml:space="preserve">returns @ positions</w:t>
      </w:r>
      <w:r>
        <w:rPr>
          <w:rFonts w:ascii="Arial" w:cs="Arial" w:eastAsia="Arial" w:hAnsi="Arial"/>
          <w:sz w:val="22"/>
          <w:szCs w:val="22"/>
        </w:rPr>
        <w:t xml:space="preserve">), giving a vector of ~500 possible P&amp;Ls: how much the book would have gained or lost on each historical day.</w:t>
      </w:r>
    </w:p>
    <w:p>
      <w:pPr>
        <w:pStyle w:val="ListParagraph"/>
        <w:numPr>
          <w:ilvl w:val="0"/>
          <w:numId w:val="3"/>
        </w:numPr>
        <w:spacing w:after="100" w:line="276"/>
      </w:pPr>
      <w:r>
        <w:rPr>
          <w:rFonts w:ascii="Arial" w:cs="Arial" w:eastAsia="Arial" w:hAnsi="Arial"/>
          <w:b/>
          <w:bCs/>
          <w:sz w:val="22"/>
          <w:szCs w:val="22"/>
        </w:rPr>
        <w:t xml:space="preserve">Loss percentile (risk.py). </w:t>
      </w:r>
      <w:r>
        <w:rPr>
          <w:rFonts w:ascii="Arial" w:cs="Arial" w:eastAsia="Arial" w:hAnsi="Arial"/>
          <w:sz w:val="22"/>
          <w:szCs w:val="22"/>
        </w:rPr>
        <w:t xml:space="preserve">The </w:t>
      </w:r>
      <w:r>
        <w:rPr>
          <w:rFonts w:ascii="Consolas" w:cs="Consolas" w:eastAsia="Consolas" w:hAnsi="Consolas"/>
          <w:sz w:val="20"/>
          <w:szCs w:val="20"/>
        </w:rPr>
        <w:t xml:space="preserve">var_historical</w:t>
      </w:r>
      <w:r>
        <w:rPr>
          <w:rFonts w:ascii="Arial" w:cs="Arial" w:eastAsia="Arial" w:hAnsi="Arial"/>
          <w:sz w:val="22"/>
          <w:szCs w:val="22"/>
        </w:rPr>
        <w:t xml:space="preserve"> function takes that vector and reads the 1% percentile of the loss side (because confidence is 99%). That is the VaR: the loss only exceeded 1 day in 100. The zero floor is applied (a VaR is never negative).</w:t>
      </w:r>
    </w:p>
    <w:p>
      <w:pPr>
        <w:pStyle w:val="ListParagraph"/>
        <w:numPr>
          <w:ilvl w:val="0"/>
          <w:numId w:val="3"/>
        </w:numPr>
        <w:spacing w:after="100" w:line="276"/>
      </w:pPr>
      <w:r>
        <w:rPr>
          <w:rFonts w:ascii="Arial" w:cs="Arial" w:eastAsia="Arial" w:hAnsi="Arial"/>
          <w:b/>
          <w:bCs/>
          <w:sz w:val="22"/>
          <w:szCs w:val="22"/>
        </w:rPr>
        <w:t xml:space="preserve">Packaging into the report. </w:t>
      </w:r>
      <w:r>
        <w:rPr>
          <w:rFonts w:ascii="Arial" w:cs="Arial" w:eastAsia="Arial" w:hAnsi="Arial"/>
          <w:sz w:val="22"/>
          <w:szCs w:val="22"/>
        </w:rPr>
        <w:t xml:space="preserve">That number, along with the other VaR methods, the ES and the attribution, is stored in a </w:t>
      </w:r>
      <w:r>
        <w:rPr>
          <w:rFonts w:ascii="Consolas" w:cs="Consolas" w:eastAsia="Consolas" w:hAnsi="Consolas"/>
          <w:sz w:val="20"/>
          <w:szCs w:val="20"/>
        </w:rPr>
        <w:t xml:space="preserve">VaRReport</w:t>
      </w:r>
      <w:r>
        <w:rPr>
          <w:rFonts w:ascii="Arial" w:cs="Arial" w:eastAsia="Arial" w:hAnsi="Arial"/>
          <w:sz w:val="22"/>
          <w:szCs w:val="22"/>
        </w:rPr>
        <w:t xml:space="preserve">.</w:t>
      </w:r>
    </w:p>
    <w:p>
      <w:pPr>
        <w:pStyle w:val="ListParagraph"/>
        <w:numPr>
          <w:ilvl w:val="0"/>
          <w:numId w:val="3"/>
        </w:numPr>
        <w:spacing w:after="100" w:line="276"/>
      </w:pPr>
      <w:r>
        <w:rPr>
          <w:rFonts w:ascii="Arial" w:cs="Arial" w:eastAsia="Arial" w:hAnsi="Arial"/>
          <w:b/>
          <w:bCs/>
          <w:sz w:val="22"/>
          <w:szCs w:val="22"/>
        </w:rPr>
        <w:t xml:space="preserve">Presentation (app.py). </w:t>
      </w:r>
      <w:r>
        <w:rPr>
          <w:rFonts w:ascii="Arial" w:cs="Arial" w:eastAsia="Arial" w:hAnsi="Arial"/>
          <w:sz w:val="22"/>
          <w:szCs w:val="22"/>
        </w:rPr>
        <w:t xml:space="preserve">The app reads </w:t>
      </w:r>
      <w:r>
        <w:rPr>
          <w:rFonts w:ascii="Consolas" w:cs="Consolas" w:eastAsia="Consolas" w:hAnsi="Consolas"/>
          <w:sz w:val="20"/>
          <w:szCs w:val="20"/>
        </w:rPr>
        <w:t xml:space="preserve">var_report.var_historical</w:t>
      </w:r>
      <w:r>
        <w:rPr>
          <w:rFonts w:ascii="Arial" w:cs="Arial" w:eastAsia="Arial" w:hAnsi="Arial"/>
          <w:sz w:val="22"/>
          <w:szCs w:val="22"/>
        </w:rPr>
        <w:t xml:space="preserve">, formats it with thousands separators, computes what percentage of the notional it represents, and shows it in a card in the «VaR &amp; methods» sub-screen. It also draws the VaR line over the P&amp;L histogram.</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The underlying idea. </w:t>
      </w:r>
      <w:r>
        <w:rPr>
          <w:rFonts w:ascii="Arial" w:cs="Arial" w:eastAsia="Arial" w:hAnsi="Arial"/>
          <w:sz w:val="22"/>
          <w:szCs w:val="22"/>
        </w:rPr>
        <w:t xml:space="preserve">No number appears «out of nowhere»: every figure on screen is traceable back to real market data, through a chain of pure, tested functions. That traceability is what makes the number trustworthy — and what an audit verifies (section 6).</w:t>
      </w:r>
    </w:p>
    <w:p>
      <w:r>
        <w:br w:type="page"/>
      </w:r>
    </w:p>
    <w:p>
      <w:pPr>
        <w:pStyle w:val="Heading1"/>
      </w:pPr>
      <w:r>
        <w:rPr>
          <w:rFonts w:ascii="Arial" w:cs="Arial" w:eastAsia="Arial" w:hAnsi="Arial"/>
        </w:rPr>
        <w:t xml:space="preserve">6. Validation and audit</w:t>
      </w:r>
    </w:p>
    <w:p>
      <w:pPr>
        <w:spacing w:after="120" w:line="276"/>
      </w:pPr>
      <w:r>
        <w:rPr>
          <w:rFonts w:ascii="Arial" w:cs="Arial" w:eastAsia="Arial" w:hAnsi="Arial"/>
          <w:sz w:val="22"/>
          <w:szCs w:val="22"/>
        </w:rPr>
        <w:t xml:space="preserve">A risk engine is worth not for the formulas it writes, but for the confidence one can place in its numbers. This section describes how the project was validated at two levels: automated tests and an exhaustive layered audit.</w:t>
      </w:r>
    </w:p>
    <w:p>
      <w:pPr>
        <w:pStyle w:val="Heading2"/>
      </w:pPr>
      <w:r>
        <w:rPr>
          <w:rFonts w:ascii="Arial" w:cs="Arial" w:eastAsia="Arial" w:hAnsi="Arial"/>
        </w:rPr>
        <w:t xml:space="preserve">6.1 The automated tests (121 tests)</w:t>
      </w:r>
    </w:p>
    <w:p>
      <w:pPr>
        <w:spacing w:after="120" w:line="276"/>
      </w:pPr>
      <w:r>
        <w:rPr>
          <w:rFonts w:ascii="Arial" w:cs="Arial" w:eastAsia="Arial" w:hAnsi="Arial"/>
          <w:sz w:val="22"/>
          <w:szCs w:val="22"/>
        </w:rPr>
        <w:t xml:space="preserve">The project has </w:t>
      </w:r>
      <w:r>
        <w:rPr>
          <w:rFonts w:ascii="Arial" w:cs="Arial" w:eastAsia="Arial" w:hAnsi="Arial"/>
          <w:b/>
          <w:bCs/>
          <w:sz w:val="22"/>
          <w:szCs w:val="22"/>
        </w:rPr>
        <w:t xml:space="preserve">121 automated tests</w:t>
      </w:r>
      <w:r>
        <w:rPr>
          <w:rFonts w:ascii="Arial" w:cs="Arial" w:eastAsia="Arial" w:hAnsi="Arial"/>
          <w:sz w:val="22"/>
          <w:szCs w:val="22"/>
        </w:rPr>
        <w:t xml:space="preserve"> run with pytest. They cover each engine module: that pricing is correct, that the VaR converges to its theoretical value, that signs are coherent, that edge cases do not break. A part uses </w:t>
      </w:r>
      <w:r>
        <w:rPr>
          <w:rFonts w:ascii="Arial" w:cs="Arial" w:eastAsia="Arial" w:hAnsi="Arial"/>
          <w:b/>
          <w:bCs/>
          <w:sz w:val="22"/>
          <w:szCs w:val="22"/>
        </w:rPr>
        <w:t xml:space="preserve">property-based testing</w:t>
      </w:r>
      <w:r>
        <w:rPr>
          <w:rFonts w:ascii="Arial" w:cs="Arial" w:eastAsia="Arial" w:hAnsi="Arial"/>
          <w:sz w:val="22"/>
          <w:szCs w:val="22"/>
        </w:rPr>
        <w:t xml:space="preserve"> (with the Hypothesis library): instead of testing a fixed case, they generate thousands of random inputs and verify invariants that must always hold. For example, that put-call parity holds for any combination of spot, strike, rates, volatility and tenor. This finds edge cases a manual test would not think to try.</w:t>
      </w:r>
    </w:p>
    <w:p>
      <w:pPr>
        <w:pStyle w:val="Heading2"/>
      </w:pPr>
      <w:r>
        <w:rPr>
          <w:rFonts w:ascii="Arial" w:cs="Arial" w:eastAsia="Arial" w:hAnsi="Arial"/>
        </w:rPr>
        <w:t xml:space="preserve">6.2 The ten-layer audit</w:t>
      </w:r>
    </w:p>
    <w:p>
      <w:pPr>
        <w:spacing w:after="120" w:line="276"/>
      </w:pPr>
      <w:r>
        <w:rPr>
          <w:rFonts w:ascii="Arial" w:cs="Arial" w:eastAsia="Arial" w:hAnsi="Arial"/>
          <w:sz w:val="22"/>
          <w:szCs w:val="22"/>
        </w:rPr>
        <w:t xml:space="preserve">Beyond the tests, the project went through a systematic audit organised in ten layers, grouped in three blocks. The method for each layer was: inventory everything auditable, review item by item, document findings, fix with a test that locks in the fix, and validate. The three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Block</w:t>
            </w:r>
          </w:p>
        </w:tc>
        <w:tc>
          <w:tcPr>
            <w:tcW w:type="dxa" w:w="436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Layers</w:t>
            </w:r>
          </w:p>
        </w:tc>
        <w:tc>
          <w:tcPr>
            <w:tcW w:type="dxa" w:w="300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r>
              <w:rPr>
                <w:rFonts w:ascii="Arial" w:cs="Arial" w:eastAsia="Arial" w:hAnsi="Arial"/>
                <w:b/>
                <w:bCs/>
                <w:color w:val="FFFFFF"/>
                <w:sz w:val="20"/>
                <w:szCs w:val="20"/>
              </w:rPr>
              <w:t xml:space="preserve">Question it answers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Correctness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Engine, presentation logic, end-to-end coherence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Are the numbers right?</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Robustness</w:t>
            </w:r>
          </w:p>
        </w:tc>
        <w:tc>
          <w:tcPr>
            <w:tcW w:type="dxa" w:w="436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Edge cases, consistency, errors and messages</w:t>
            </w:r>
          </w:p>
        </w:tc>
        <w:tc>
          <w:tcPr>
            <w:tcW w:type="dxa" w:w="30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Does it break or lie at the edges?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Experience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Charts, texts, usage flow, visual design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Does it look and work well?</w:t>
            </w:r>
          </w:p>
        </w:tc>
      </w:tr>
    </w:tbl>
    <w:p>
      <w:pPr>
        <w:spacing w:after="120" w:line="276"/>
      </w:pPr>
      <w:r>
        <w:rPr>
          <w:rFonts w:ascii="Arial" w:cs="Arial" w:eastAsia="Arial" w:hAnsi="Arial"/>
          <w:sz w:val="22"/>
          <w:szCs w:val="22"/>
        </w:rPr>
        <w:t xml:space="preserve">The audit found and fixed fifteen findings in total. The most important, which illustrate the kind of error a deep review detects:</w:t>
      </w:r>
    </w:p>
    <w:p>
      <w:pPr>
        <w:pStyle w:val="ListParagraph"/>
        <w:numPr>
          <w:ilvl w:val="0"/>
          <w:numId w:val="2"/>
        </w:numPr>
        <w:spacing w:after="80" w:line="276"/>
      </w:pPr>
      <w:r>
        <w:rPr>
          <w:rFonts w:ascii="Arial" w:cs="Arial" w:eastAsia="Arial" w:hAnsi="Arial"/>
          <w:b/>
          <w:bCs/>
          <w:sz w:val="22"/>
          <w:szCs w:val="22"/>
        </w:rPr>
        <w:t xml:space="preserve">The stress that confused gain with loss. </w:t>
      </w:r>
      <w:r>
        <w:rPr>
          <w:rFonts w:ascii="Arial" w:cs="Arial" w:eastAsia="Arial" w:hAnsi="Arial"/>
          <w:sz w:val="22"/>
          <w:szCs w:val="22"/>
        </w:rPr>
        <w:t xml:space="preserve">Because the provider's book usually gains in crises (it is short the falling currencies), the code picked the «smallest gain» and showed it as «worst loss, 3.4× the VaR». It was fixed to distinguish gains from losses. This finding, detected while using the tool, was the one that triggered the full audit.</w:t>
      </w:r>
    </w:p>
    <w:p>
      <w:pPr>
        <w:pStyle w:val="ListParagraph"/>
        <w:numPr>
          <w:ilvl w:val="0"/>
          <w:numId w:val="2"/>
        </w:numPr>
        <w:spacing w:after="80" w:line="276"/>
      </w:pPr>
      <w:r>
        <w:rPr>
          <w:rFonts w:ascii="Arial" w:cs="Arial" w:eastAsia="Arial" w:hAnsi="Arial"/>
          <w:b/>
          <w:bCs/>
          <w:sz w:val="22"/>
          <w:szCs w:val="22"/>
        </w:rPr>
        <w:t xml:space="preserve">The VaR that could be negative. </w:t>
      </w:r>
      <w:r>
        <w:rPr>
          <w:rFonts w:ascii="Arial" w:cs="Arial" w:eastAsia="Arial" w:hAnsi="Arial"/>
          <w:sz w:val="22"/>
          <w:szCs w:val="22"/>
        </w:rPr>
        <w:t xml:space="preserve">With strongly upward-trending data, the «loss» percentile was in fact a gain, and the VaR came out negative — conceptually impossible. A zero floor was set.</w:t>
      </w:r>
    </w:p>
    <w:p>
      <w:pPr>
        <w:pStyle w:val="ListParagraph"/>
        <w:numPr>
          <w:ilvl w:val="0"/>
          <w:numId w:val="2"/>
        </w:numPr>
        <w:spacing w:after="80" w:line="276"/>
      </w:pPr>
      <w:r>
        <w:rPr>
          <w:rFonts w:ascii="Arial" w:cs="Arial" w:eastAsia="Arial" w:hAnsi="Arial"/>
          <w:b/>
          <w:bCs/>
          <w:sz w:val="22"/>
          <w:szCs w:val="22"/>
        </w:rPr>
        <w:t xml:space="preserve">The stressed VaR lower than the normal. </w:t>
      </w:r>
      <w:r>
        <w:rPr>
          <w:rFonts w:ascii="Arial" w:cs="Arial" w:eastAsia="Arial" w:hAnsi="Arial"/>
          <w:sz w:val="22"/>
          <w:szCs w:val="22"/>
        </w:rPr>
        <w:t xml:space="preserve">By a statistical artefact, the worst regime could give a VaR lower than the average. A floor at the normal VaR was set.</w:t>
      </w:r>
    </w:p>
    <w:p>
      <w:pPr>
        <w:pStyle w:val="ListParagraph"/>
        <w:numPr>
          <w:ilvl w:val="0"/>
          <w:numId w:val="2"/>
        </w:numPr>
        <w:spacing w:after="80" w:line="276"/>
      </w:pPr>
      <w:r>
        <w:rPr>
          <w:rFonts w:ascii="Arial" w:cs="Arial" w:eastAsia="Arial" w:hAnsi="Arial"/>
          <w:b/>
          <w:bCs/>
          <w:sz w:val="22"/>
          <w:szCs w:val="22"/>
        </w:rPr>
        <w:t xml:space="preserve">The day-count convention inconsistency. </w:t>
      </w:r>
      <w:r>
        <w:rPr>
          <w:rFonts w:ascii="Arial" w:cs="Arial" w:eastAsia="Arial" w:hAnsi="Arial"/>
          <w:sz w:val="22"/>
          <w:szCs w:val="22"/>
        </w:rPr>
        <w:t xml:space="preserve">The option book used 365 days while the rest of the engine used ACT/360. Everything was unified to ACT/360.</w:t>
      </w:r>
    </w:p>
    <w:p>
      <w:pPr>
        <w:pStyle w:val="ListParagraph"/>
        <w:numPr>
          <w:ilvl w:val="0"/>
          <w:numId w:val="2"/>
        </w:numPr>
        <w:spacing w:after="80" w:line="276"/>
      </w:pPr>
      <w:r>
        <w:rPr>
          <w:rFonts w:ascii="Arial" w:cs="Arial" w:eastAsia="Arial" w:hAnsi="Arial"/>
          <w:b/>
          <w:bCs/>
          <w:sz w:val="22"/>
          <w:szCs w:val="22"/>
        </w:rPr>
        <w:t xml:space="preserve">The misleading colour. </w:t>
      </w:r>
      <w:r>
        <w:rPr>
          <w:rFonts w:ascii="Arial" w:cs="Arial" w:eastAsia="Arial" w:hAnsi="Arial"/>
          <w:sz w:val="22"/>
          <w:szCs w:val="22"/>
        </w:rPr>
        <w:t xml:space="preserve">Short exposure was shown in red (the alarm colour), when being short is just a direction. It was changed to neutral colours.</w:t>
      </w:r>
    </w:p>
    <w:p>
      <w:pPr>
        <w:pBdr>
          <w:top w:val="single" w:color="EADBB8" w:sz="2" w:space="4"/>
          <w:left w:val="single" w:color="E0A23C" w:sz="18" w:space="8"/>
          <w:bottom w:val="single" w:color="EADBB8" w:sz="2" w:space="4"/>
          <w:right w:val="single" w:color="EADBB8" w:sz="2" w:space="4"/>
        </w:pBdr>
        <w:shd w:fill="FFF8E6" w:val="clear"/>
        <w:spacing w:after="140" w:before="100" w:line="276"/>
      </w:pPr>
      <w:r>
        <w:rPr>
          <w:rFonts w:ascii="Arial" w:cs="Arial" w:eastAsia="Arial" w:hAnsi="Arial"/>
          <w:b/>
          <w:bCs/>
          <w:color w:val="8A6D1B"/>
          <w:sz w:val="22"/>
          <w:szCs w:val="22"/>
        </w:rPr>
        <w:t xml:space="preserve">The honest lesson. </w:t>
      </w:r>
      <w:r>
        <w:rPr>
          <w:rFonts w:ascii="Arial" w:cs="Arial" w:eastAsia="Arial" w:hAnsi="Arial"/>
          <w:sz w:val="22"/>
          <w:szCs w:val="22"/>
        </w:rPr>
        <w:t xml:space="preserve">The initial mathematical audit reviewed the engine but not the presentation layer, which is why it did not catch the stress error — real use revealed it. This confirms a principle: no audit is perfect, and the user who understands the model is the last line of defence.</w:t>
      </w:r>
    </w:p>
    <w:p>
      <w:r>
        <w:br w:type="page"/>
      </w:r>
    </w:p>
    <w:p>
      <w:pPr>
        <w:pStyle w:val="Heading1"/>
      </w:pPr>
      <w:r>
        <w:rPr>
          <w:rFonts w:ascii="Arial" w:cs="Arial" w:eastAsia="Arial" w:hAnsi="Arial"/>
        </w:rPr>
        <w:t xml:space="preserve">7. Limitations and judgement calls</w:t>
      </w:r>
    </w:p>
    <w:p>
      <w:pPr>
        <w:spacing w:after="120" w:line="276"/>
      </w:pPr>
      <w:r>
        <w:rPr>
          <w:rFonts w:ascii="Arial" w:cs="Arial" w:eastAsia="Arial" w:hAnsi="Arial"/>
          <w:sz w:val="22"/>
          <w:szCs w:val="22"/>
        </w:rPr>
        <w:t xml:space="preserve">A professional risk tool is distinguished as much by what it does as by what it decides not to do and declares. This section gathers the model's limitations and two judgement calls worth understanding.</w:t>
      </w:r>
    </w:p>
    <w:p>
      <w:pPr>
        <w:pStyle w:val="Heading2"/>
      </w:pPr>
      <w:r>
        <w:rPr>
          <w:rFonts w:ascii="Arial" w:cs="Arial" w:eastAsia="Arial" w:hAnsi="Arial"/>
        </w:rPr>
        <w:t xml:space="preserve">7.1 Declared model limitations</w:t>
      </w:r>
    </w:p>
    <w:p>
      <w:pPr>
        <w:pStyle w:val="ListParagraph"/>
        <w:numPr>
          <w:ilvl w:val="0"/>
          <w:numId w:val="2"/>
        </w:numPr>
        <w:spacing w:after="80" w:line="276"/>
      </w:pPr>
      <w:r>
        <w:rPr>
          <w:rFonts w:ascii="Arial" w:cs="Arial" w:eastAsia="Arial" w:hAnsi="Arial"/>
          <w:b/>
          <w:bCs/>
          <w:sz w:val="22"/>
          <w:szCs w:val="22"/>
        </w:rPr>
        <w:t xml:space="preserve">Spot VaR, not rate VaR. </w:t>
      </w:r>
      <w:r>
        <w:rPr>
          <w:rFonts w:ascii="Arial" w:cs="Arial" w:eastAsia="Arial" w:hAnsi="Arial"/>
          <w:sz w:val="22"/>
          <w:szCs w:val="22"/>
        </w:rPr>
        <w:t xml:space="preserve">The VaR measures the risk of exchange rates moving. Interest-rate risk is measured separately as DV01. They are not summed into one number, which would require a joint spot-rate covariance, out of scope.</w:t>
      </w:r>
    </w:p>
    <w:p>
      <w:pPr>
        <w:pStyle w:val="ListParagraph"/>
        <w:numPr>
          <w:ilvl w:val="0"/>
          <w:numId w:val="2"/>
        </w:numPr>
        <w:spacing w:after="80" w:line="276"/>
      </w:pPr>
      <w:r>
        <w:rPr>
          <w:rFonts w:ascii="Arial" w:cs="Arial" w:eastAsia="Arial" w:hAnsi="Arial"/>
          <w:b/>
          <w:bCs/>
          <w:sz w:val="22"/>
          <w:szCs w:val="22"/>
        </w:rPr>
        <w:t xml:space="preserve">USD-quoted pairs only. </w:t>
      </w:r>
      <w:r>
        <w:rPr>
          <w:rFonts w:ascii="Arial" w:cs="Arial" w:eastAsia="Arial" w:hAnsi="Arial"/>
          <w:sz w:val="22"/>
          <w:szCs w:val="22"/>
        </w:rPr>
        <w:t xml:space="preserve">The portfolio VaR assumes all pairs are USD-quoted. A pair like EUR/JPY would mix currencies without converting; the engine fails loud in that case rather than giving a wrong number.</w:t>
      </w:r>
    </w:p>
    <w:p>
      <w:pPr>
        <w:pStyle w:val="ListParagraph"/>
        <w:numPr>
          <w:ilvl w:val="0"/>
          <w:numId w:val="2"/>
        </w:numPr>
        <w:spacing w:after="80" w:line="276"/>
      </w:pPr>
      <w:r>
        <w:rPr>
          <w:rFonts w:ascii="Arial" w:cs="Arial" w:eastAsia="Arial" w:hAnsi="Arial"/>
          <w:b/>
          <w:bCs/>
          <w:sz w:val="22"/>
          <w:szCs w:val="22"/>
        </w:rPr>
        <w:t xml:space="preserve">Flat GBP curve. </w:t>
      </w:r>
      <w:r>
        <w:rPr>
          <w:rFonts w:ascii="Arial" w:cs="Arial" w:eastAsia="Arial" w:hAnsi="Arial"/>
          <w:sz w:val="22"/>
          <w:szCs w:val="22"/>
        </w:rPr>
        <w:t xml:space="preserve">Built from a single point (the 3-month interbank rate), so treated as flat and declared.</w:t>
      </w:r>
    </w:p>
    <w:p>
      <w:pPr>
        <w:pStyle w:val="ListParagraph"/>
        <w:numPr>
          <w:ilvl w:val="0"/>
          <w:numId w:val="2"/>
        </w:numPr>
        <w:spacing w:after="80" w:line="276"/>
      </w:pPr>
      <w:r>
        <w:rPr>
          <w:rFonts w:ascii="Arial" w:cs="Arial" w:eastAsia="Arial" w:hAnsi="Arial"/>
          <w:b/>
          <w:bCs/>
          <w:sz w:val="22"/>
          <w:szCs w:val="22"/>
        </w:rPr>
        <w:t xml:space="preserve">Stress window. </w:t>
      </w:r>
      <w:r>
        <w:rPr>
          <w:rFonts w:ascii="Arial" w:cs="Arial" w:eastAsia="Arial" w:hAnsi="Arial"/>
          <w:sz w:val="22"/>
          <w:szCs w:val="22"/>
        </w:rPr>
        <w:t xml:space="preserve">The stressed VaR uses the worst period of ~2 years of free history; a full implementation would fix a specific crisis window (e.g. 2008).</w:t>
      </w:r>
    </w:p>
    <w:p>
      <w:pPr>
        <w:pStyle w:val="ListParagraph"/>
        <w:numPr>
          <w:ilvl w:val="0"/>
          <w:numId w:val="2"/>
        </w:numPr>
        <w:spacing w:after="80" w:line="276"/>
      </w:pPr>
      <w:r>
        <w:rPr>
          <w:rFonts w:ascii="Arial" w:cs="Arial" w:eastAsia="Arial" w:hAnsi="Arial"/>
          <w:b/>
          <w:bCs/>
          <w:sz w:val="22"/>
          <w:szCs w:val="22"/>
        </w:rPr>
        <w:t xml:space="preserve">Free data. </w:t>
      </w:r>
      <w:r>
        <w:rPr>
          <w:rFonts w:ascii="Arial" w:cs="Arial" w:eastAsia="Arial" w:hAnsi="Arial"/>
          <w:sz w:val="22"/>
          <w:szCs w:val="22"/>
        </w:rPr>
        <w:t xml:space="preserve">yfinance provides somewhat delayed data, suitable for a demonstration. In production a professional feed (Bloomberg/Refinitiv) would replace this layer by touching a single module.</w:t>
      </w:r>
    </w:p>
    <w:p>
      <w:pPr>
        <w:pStyle w:val="Heading2"/>
      </w:pPr>
      <w:r>
        <w:rPr>
          <w:rFonts w:ascii="Arial" w:cs="Arial" w:eastAsia="Arial" w:hAnsi="Arial"/>
        </w:rPr>
        <w:t xml:space="preserve">7.2 Why there is no implied volatility</w:t>
      </w:r>
    </w:p>
    <w:p>
      <w:pPr>
        <w:spacing w:after="120" w:line="276"/>
      </w:pPr>
      <w:r>
        <w:rPr>
          <w:rFonts w:ascii="Arial" w:cs="Arial" w:eastAsia="Arial" w:hAnsi="Arial"/>
          <w:sz w:val="22"/>
          <w:szCs w:val="22"/>
        </w:rPr>
        <w:t xml:space="preserve">Implied volatility is what the options market quotes, in contrast to the historical/GARCH volatility estimated from past prices. It would be desirable for valuing options, but it was investigated thoroughly and the decision was not to include it, for an honest reason: no free, code-consumable source exists that is reliable for these pairs. The available ETF options are American-style (inconsistent with the European Garman-Kohlhagen model) and illiquid, the relevant volatility indices were discontinued, and professional sources are paid. Rather than use an unreliable figure disguised as a good one, the project keeps GARCH volatility and declares the limitation. This decision is consistent with the project's honesty philosophy.</w:t>
      </w:r>
    </w:p>
    <w:p>
      <w:pPr>
        <w:pStyle w:val="Heading2"/>
      </w:pPr>
      <w:r>
        <w:rPr>
          <w:rFonts w:ascii="Arial" w:cs="Arial" w:eastAsia="Arial" w:hAnsi="Arial"/>
        </w:rPr>
        <w:t xml:space="preserve">7.3 Why there are no NDFs</w:t>
      </w:r>
    </w:p>
    <w:p>
      <w:pPr>
        <w:spacing w:after="120" w:line="276"/>
      </w:pPr>
      <w:r>
        <w:rPr>
          <w:rFonts w:ascii="Arial" w:cs="Arial" w:eastAsia="Arial" w:hAnsi="Arial"/>
          <w:sz w:val="22"/>
          <w:szCs w:val="22"/>
        </w:rPr>
        <w:t xml:space="preserve">An NDF (non-deliverable forward) is a forward settled in cash by difference, with no physical delivery. It is used for currencies of countries with convertibility restrictions or capital controls — Brazilian real, Indian rupee, yuan, etc. For fully convertible currencies like EUR, GBP and USD, an NDF makes no sense: a liquid deliverable-forward market exists. Including NDFs on the project's currencies would force an instrument that in reality is not used for them; and including them on emerging currencies would require rate curves for those currencies, not freely available. As a judgement call, they are not implemented.</w:t>
      </w:r>
    </w:p>
    <w:p>
      <w:pPr>
        <w:pStyle w:val="Heading1"/>
      </w:pPr>
      <w:r>
        <w:rPr>
          <w:rFonts w:ascii="Arial" w:cs="Arial" w:eastAsia="Arial" w:hAnsi="Arial"/>
        </w:rPr>
        <w:t xml:space="preserve">8. Running the project</w:t>
      </w:r>
    </w:p>
    <w:p>
      <w:pPr>
        <w:spacing w:after="120" w:line="276"/>
      </w:pPr>
      <w:r>
        <w:rPr>
          <w:rFonts w:ascii="Arial" w:cs="Arial" w:eastAsia="Arial" w:hAnsi="Arial"/>
          <w:sz w:val="22"/>
          <w:szCs w:val="22"/>
        </w:rPr>
        <w:t xml:space="preserve">The project can be run two ways: locally or in the cloud.</w:t>
      </w:r>
    </w:p>
    <w:p>
      <w:pPr>
        <w:pStyle w:val="Heading2"/>
      </w:pPr>
      <w:r>
        <w:rPr>
          <w:rFonts w:ascii="Arial" w:cs="Arial" w:eastAsia="Arial" w:hAnsi="Arial"/>
        </w:rPr>
        <w:t xml:space="preserve">8.1 Local execution</w:t>
      </w:r>
    </w:p>
    <w:p>
      <w:pPr>
        <w:spacing w:after="120" w:line="276"/>
      </w:pPr>
      <w:r>
        <w:rPr>
          <w:rFonts w:ascii="Arial" w:cs="Arial" w:eastAsia="Arial" w:hAnsi="Arial"/>
          <w:sz w:val="22"/>
          <w:szCs w:val="22"/>
        </w:rPr>
        <w:t xml:space="preserve">With Python installed, the steps are: install the dependencies listed in requirements.txt and launch the application with Streamlit.</w:t>
      </w:r>
    </w:p>
    <w:p>
      <w:pPr>
        <w:shd w:fill="1E1E2E" w:val="clear"/>
        <w:spacing w:after="0" w:line="264"/>
        <w:ind w:left="360"/>
      </w:pPr>
      <w:r>
        <w:rPr>
          <w:rFonts w:ascii="Consolas" w:cs="Consolas" w:eastAsia="Consolas" w:hAnsi="Consolas"/>
          <w:color w:val="E8ECF3"/>
          <w:sz w:val="18"/>
          <w:szCs w:val="18"/>
        </w:rPr>
        <w:t xml:space="preserve">pip install -r requirements.txt</w:t>
      </w:r>
    </w:p>
    <w:p>
      <w:pPr>
        <w:shd w:fill="1E1E2E" w:val="clear"/>
        <w:spacing w:after="120" w:line="264"/>
        <w:ind w:left="360"/>
      </w:pPr>
      <w:r>
        <w:rPr>
          <w:rFonts w:ascii="Consolas" w:cs="Consolas" w:eastAsia="Consolas" w:hAnsi="Consolas"/>
          <w:color w:val="E8ECF3"/>
          <w:sz w:val="18"/>
          <w:szCs w:val="18"/>
        </w:rPr>
        <w:t xml:space="preserve">streamlit run app.py</w:t>
      </w:r>
    </w:p>
    <w:p>
      <w:pPr>
        <w:spacing w:after="120" w:line="276"/>
      </w:pPr>
      <w:r>
        <w:rPr>
          <w:rFonts w:ascii="Arial" w:cs="Arial" w:eastAsia="Arial" w:hAnsi="Arial"/>
          <w:sz w:val="22"/>
          <w:szCs w:val="22"/>
        </w:rPr>
        <w:t xml:space="preserve">This opens the application in the browser. The dependencies include Streamlit (the interface), NumPy and SciPy (numerical computing), pandas (data), Plotly (charts), yfinance (market data), arch (GARCH), pandas-datareader (FRED/ECB) and xlsxwriter (Excel report).</w:t>
      </w:r>
    </w:p>
    <w:p>
      <w:pPr>
        <w:pStyle w:val="Heading2"/>
      </w:pPr>
      <w:r>
        <w:rPr>
          <w:rFonts w:ascii="Arial" w:cs="Arial" w:eastAsia="Arial" w:hAnsi="Arial"/>
        </w:rPr>
        <w:t xml:space="preserve">8.2 Running the tests</w:t>
      </w:r>
    </w:p>
    <w:p>
      <w:pPr>
        <w:spacing w:after="120" w:line="276"/>
      </w:pPr>
      <w:r>
        <w:rPr>
          <w:rFonts w:ascii="Arial" w:cs="Arial" w:eastAsia="Arial" w:hAnsi="Arial"/>
          <w:sz w:val="22"/>
          <w:szCs w:val="22"/>
        </w:rPr>
        <w:t xml:space="preserve">To run the 121-test suite and confirm everything works, install the dev dependencies (which include pytest and Hypothesis) and run pytest:</w:t>
      </w:r>
    </w:p>
    <w:p>
      <w:pPr>
        <w:shd w:fill="1E1E2E" w:val="clear"/>
        <w:spacing w:after="0" w:line="264"/>
        <w:ind w:left="360"/>
      </w:pPr>
      <w:r>
        <w:rPr>
          <w:rFonts w:ascii="Consolas" w:cs="Consolas" w:eastAsia="Consolas" w:hAnsi="Consolas"/>
          <w:color w:val="E8ECF3"/>
          <w:sz w:val="18"/>
          <w:szCs w:val="18"/>
        </w:rPr>
        <w:t xml:space="preserve">pip install -r requirements-dev.txt</w:t>
      </w:r>
    </w:p>
    <w:p>
      <w:pPr>
        <w:shd w:fill="1E1E2E" w:val="clear"/>
        <w:spacing w:after="120" w:line="264"/>
        <w:ind w:left="360"/>
      </w:pPr>
      <w:r>
        <w:rPr>
          <w:rFonts w:ascii="Consolas" w:cs="Consolas" w:eastAsia="Consolas" w:hAnsi="Consolas"/>
          <w:color w:val="E8ECF3"/>
          <w:sz w:val="18"/>
          <w:szCs w:val="18"/>
        </w:rPr>
        <w:t xml:space="preserve">pytest -q</w:t>
      </w:r>
    </w:p>
    <w:p>
      <w:pPr>
        <w:pStyle w:val="Heading2"/>
      </w:pPr>
      <w:r>
        <w:rPr>
          <w:rFonts w:ascii="Arial" w:cs="Arial" w:eastAsia="Arial" w:hAnsi="Arial"/>
        </w:rPr>
        <w:t xml:space="preserve">8.3 Cloud deployment</w:t>
      </w:r>
    </w:p>
    <w:p>
      <w:pPr>
        <w:spacing w:after="120" w:line="276"/>
      </w:pPr>
      <w:r>
        <w:rPr>
          <w:rFonts w:ascii="Arial" w:cs="Arial" w:eastAsia="Arial" w:hAnsi="Arial"/>
          <w:sz w:val="22"/>
          <w:szCs w:val="22"/>
        </w:rPr>
        <w:t xml:space="preserve">The project is deployed on Streamlit Community Cloud, which takes the code directly from the GitHub repository and publishes it as a web application accessible by link. Whenever the repository is updated, the application rebuilds automatically. This is how the tool is available online without the user installing anything.</w:t>
      </w:r>
    </w:p>
    <w:p>
      <w:pPr>
        <w:spacing w:before="240"/>
      </w:pPr>
      <w:r>
        <w:rPr>
          <w:rFonts w:ascii="Arial" w:cs="Arial" w:eastAsia="Arial" w:hAnsi="Arial"/>
          <w:i/>
          <w:iCs/>
          <w:color w:val="8A93A3"/>
          <w:sz w:val="22"/>
          <w:szCs w:val="22"/>
        </w:rPr>
        <w:t xml:space="preserve">— End of manual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FX Book Risk Analyzer — Technical manual · page </w:t>
    </w:r>
    <w:r>
      <w:rPr>
        <w:rFonts w:ascii="Arial" w:cs="Arial" w:eastAsia="Arial" w:hAnsi="Arial"/>
        <w:color w:val="8A93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C66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and user manual</dc:title>
  <dc:creator>FX Book Risk Analyzer</dc:creator>
  <cp:lastModifiedBy>Un-named</cp:lastModifiedBy>
  <cp:revision>1</cp:revision>
  <dcterms:created xsi:type="dcterms:W3CDTF">2026-06-29T07:52:07.264Z</dcterms:created>
  <dcterms:modified xsi:type="dcterms:W3CDTF">2026-06-29T07:52:07.275Z</dcterms:modified>
</cp:coreProperties>
</file>

<file path=docProps/custom.xml><?xml version="1.0" encoding="utf-8"?>
<Properties xmlns="http://schemas.openxmlformats.org/officeDocument/2006/custom-properties" xmlns:vt="http://schemas.openxmlformats.org/officeDocument/2006/docPropsVTypes"/>
</file>