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A1D23"/>
          <w:sz w:val="56"/>
          <w:szCs w:val="56"/>
        </w:rPr>
        <w:t xml:space="preserve">FX Book Risk Analyzer</w:t>
      </w:r>
    </w:p>
    <w:p>
      <w:pPr>
        <w:spacing w:after="80"/>
        <w:jc w:val="center"/>
      </w:pPr>
      <w:r>
        <w:rPr>
          <w:color w:val="5A6573"/>
          <w:sz w:val="26"/>
          <w:szCs w:val="26"/>
        </w:rPr>
        <w:t xml:space="preserve">Technical Manual — How the tool works and how every figure is computed</w:t>
      </w:r>
    </w:p>
    <w:p>
      <w:pPr>
        <w:spacing w:after="2400"/>
        <w:jc w:val="center"/>
      </w:pPr>
      <w:r>
        <w:rPr>
          <w:i/>
          <w:iCs/>
          <w:color w:val="5A6573"/>
          <w:sz w:val="22"/>
          <w:szCs w:val="22"/>
        </w:rPr>
        <w:t xml:space="preserve">A step-by-step guide to the engine and the five screens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the tool is</w:t>
      </w:r>
    </w:p>
    <w:p>
      <w:pPr>
        <w:spacing w:after="120"/>
      </w:pPr>
      <w:r>
        <w:t xml:space="preserve">The FX Book Risk Analyzer is a desk-side tool that lets a foreign-exchange (FX) provider build a book of forward positions and analyse its risk. It is written from the perspective of the provider — the institution that sells hedges to clients and then has to manage the resulting risk on its own book.</w:t>
      </w:r>
    </w:p>
    <w:p>
      <w:pPr>
        <w:spacing w:after="120"/>
      </w:pPr>
      <w:r>
        <w:t xml:space="preserve">The central idea is simple: when a client hedges a currency exposure, the provider takes the opposite position. The risk the client transfers does not disappear — it becomes the provider's risk to measure and control. The tool makes that risk visible and quantifiable.</w:t>
      </w:r>
    </w:p>
    <w:p>
      <w:pPr>
        <w:pStyle w:val="Heading2"/>
      </w:pPr>
      <w:r>
        <w:t xml:space="preserve">1.1 The two layers</w:t>
      </w:r>
    </w:p>
    <w:p>
      <w:pPr>
        <w:spacing w:after="120"/>
      </w:pPr>
      <w:r>
        <w:t xml:space="preserve">The project is split into two clearly separated layers, and understanding this split is the key to understanding the whole tool:</w:t>
      </w:r>
    </w:p>
    <w:p>
      <w:pPr>
        <w:pStyle w:val="ListParagraph"/>
        <w:numPr>
          <w:ilvl w:val="0"/>
          <w:numId w:val="2"/>
        </w:numPr>
        <w:spacing w:after="60"/>
      </w:pPr>
      <w:r>
        <w:t xml:space="preserve">The engine (the fxrisk package): pure calculation code. It takes numbers and returns numbers, with no user interface and no live data fetching mixed in. Because it is pure, every function can be tested in isolation. There are 66 automated tests covering it.</w:t>
      </w:r>
    </w:p>
    <w:p>
      <w:pPr>
        <w:pStyle w:val="ListParagraph"/>
        <w:numPr>
          <w:ilvl w:val="0"/>
          <w:numId w:val="2"/>
        </w:numPr>
        <w:spacing w:after="60"/>
      </w:pPr>
      <w:r>
        <w:t xml:space="preserve">The interface (app.py): the Streamlit web application. It fetches market data, calls the engine, and displays the results across five screens (tabs).</w:t>
      </w:r>
    </w:p>
    <w:p>
      <w:pPr>
        <w:pBdr>
          <w:left w:val="single" w:color="3A4DE0" w:sz="18" w:space="8"/>
        </w:pBdr>
        <w:shd w:fill="EEF1F8" w:val="clear"/>
        <w:spacing w:after="120" w:before="40"/>
      </w:pPr>
      <w:r>
        <w:rPr>
          <w:b/>
          <w:bCs/>
          <w:color w:val="3A4DE0"/>
        </w:rPr>
        <w:t xml:space="preserve">Why this matters: </w:t>
      </w:r>
      <w:r>
        <w:t xml:space="preserve">Separating calculation from interface is the single most important design decision. It means the maths can be verified independently of the screen, and the same engine could power a different interface (an API, a report) without rewriting the logic. In an interview, this is the first thing to highlight.</w:t>
      </w:r>
    </w:p>
    <w:p>
      <w:pPr>
        <w:pStyle w:val="Heading2"/>
      </w:pPr>
      <w:r>
        <w:t xml:space="preserve">1.2 The data philosophy</w:t>
      </w:r>
    </w:p>
    <w:p>
      <w:pPr>
        <w:spacing w:after="120"/>
      </w:pPr>
      <w:r>
        <w:t xml:space="preserve">Every number shown is either observed, derived, or assumed — and the tool always declares which:</w:t>
      </w:r>
    </w:p>
    <w:p>
      <w:pPr>
        <w:pStyle w:val="ListParagraph"/>
        <w:numPr>
          <w:ilvl w:val="0"/>
          <w:numId w:val="2"/>
        </w:numPr>
        <w:spacing w:after="60"/>
      </w:pPr>
      <w:r>
        <w:t xml:space="preserve">Observed: downloaded directly from the market (spot rate, price history, interest-rate curves).</w:t>
      </w:r>
    </w:p>
    <w:p>
      <w:pPr>
        <w:pStyle w:val="ListParagraph"/>
        <w:numPr>
          <w:ilvl w:val="0"/>
          <w:numId w:val="2"/>
        </w:numPr>
        <w:spacing w:after="60"/>
      </w:pPr>
      <w:r>
        <w:t xml:space="preserve">Derived: computed from observed data (returns, volatility, correlations, mark-to-market).</w:t>
      </w:r>
    </w:p>
    <w:p>
      <w:pPr>
        <w:pStyle w:val="ListParagraph"/>
        <w:numPr>
          <w:ilvl w:val="0"/>
          <w:numId w:val="2"/>
        </w:numPr>
        <w:spacing w:after="60"/>
      </w:pPr>
      <w:r>
        <w:t xml:space="preserve">Assumed: where a real datum is not freely available, an approximation is used and explicitly flagged (for example, a flat rate curve for GBP).</w:t>
      </w:r>
    </w:p>
    <w:p>
      <w:pPr>
        <w:spacing w:after="120"/>
      </w:pPr>
      <w:r>
        <w:t xml:space="preserve">The rule is: exactness where possible, an explicit declaration of the limit where not — never an invented number disguised as real. If live data cannot be retrieved, the tool fails with a clear message rather than showing synthetic numbers.</w:t>
      </w:r>
    </w:p>
    <w:p>
      <w:pPr>
        <w:pStyle w:val="Heading1"/>
      </w:pPr>
      <w:r>
        <w:t xml:space="preserve">2. Where the data comes from</w:t>
      </w:r>
    </w:p>
    <w:p>
      <w:pPr>
        <w:spacing w:after="120"/>
      </w:pPr>
      <w:r>
        <w:t xml:space="preserve">Three real, free data sources feed the tool. Each is isolated in its own engine module so that, if a source changes, only that module is affected.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9DEF5" w:val="clear"/>
            <w:tcMar>
              <w:top w:type="dxa" w:w="60"/>
              <w:left w:type="dxa" w:w="100"/>
              <w:bottom w:type="dxa" w:w="60"/>
              <w:right w:type="dxa" w:w="100"/>
            </w:tcMar>
          </w:tcPr>
          <w:p>
            <w:r>
              <w:rPr>
                <w:b/>
                <w:bCs/>
                <w:sz w:val="19"/>
                <w:szCs w:val="19"/>
              </w:rPr>
              <w:t xml:space="preserve">Datum</w:t>
            </w:r>
          </w:p>
        </w:tc>
        <w:tc>
          <w:tcPr>
            <w:tcW w:type="dxa" w:w="2340"/>
            <w:tcBorders>
              <w:top w:val="single" w:color="CCCCCC" w:sz="1"/>
              <w:left w:val="single" w:color="CCCCCC" w:sz="1"/>
              <w:bottom w:val="single" w:color="CCCCCC" w:sz="1"/>
              <w:right w:val="single" w:color="CCCCCC" w:sz="1"/>
            </w:tcBorders>
            <w:shd w:fill="D9DEF5" w:val="clear"/>
            <w:tcMar>
              <w:top w:type="dxa" w:w="60"/>
              <w:left w:type="dxa" w:w="100"/>
              <w:bottom w:type="dxa" w:w="60"/>
              <w:right w:type="dxa" w:w="100"/>
            </w:tcMar>
          </w:tcPr>
          <w:p>
            <w:r>
              <w:rPr>
                <w:b/>
                <w:bCs/>
                <w:sz w:val="19"/>
                <w:szCs w:val="19"/>
              </w:rPr>
              <w:t xml:space="preserve">Source</w:t>
            </w:r>
          </w:p>
        </w:tc>
        <w:tc>
          <w:tcPr>
            <w:tcW w:type="dxa" w:w="2340"/>
            <w:tcBorders>
              <w:top w:val="single" w:color="CCCCCC" w:sz="1"/>
              <w:left w:val="single" w:color="CCCCCC" w:sz="1"/>
              <w:bottom w:val="single" w:color="CCCCCC" w:sz="1"/>
              <w:right w:val="single" w:color="CCCCCC" w:sz="1"/>
            </w:tcBorders>
            <w:shd w:fill="D9DEF5" w:val="clear"/>
            <w:tcMar>
              <w:top w:type="dxa" w:w="60"/>
              <w:left w:type="dxa" w:w="100"/>
              <w:bottom w:type="dxa" w:w="60"/>
              <w:right w:type="dxa" w:w="100"/>
            </w:tcMar>
          </w:tcPr>
          <w:p>
            <w:r>
              <w:rPr>
                <w:b/>
                <w:bCs/>
                <w:sz w:val="19"/>
                <w:szCs w:val="19"/>
              </w:rPr>
              <w:t xml:space="preserve">Module</w:t>
            </w:r>
          </w:p>
        </w:tc>
        <w:tc>
          <w:tcPr>
            <w:tcW w:type="dxa" w:w="2340"/>
            <w:tcBorders>
              <w:top w:val="single" w:color="CCCCCC" w:sz="1"/>
              <w:left w:val="single" w:color="CCCCCC" w:sz="1"/>
              <w:bottom w:val="single" w:color="CCCCCC" w:sz="1"/>
              <w:right w:val="single" w:color="CCCCCC" w:sz="1"/>
            </w:tcBorders>
            <w:shd w:fill="D9DEF5" w:val="clear"/>
            <w:tcMar>
              <w:top w:type="dxa" w:w="60"/>
              <w:left w:type="dxa" w:w="100"/>
              <w:bottom w:type="dxa" w:w="60"/>
              <w:right w:type="dxa" w:w="100"/>
            </w:tcMar>
          </w:tcPr>
          <w:p>
            <w:r>
              <w:rPr>
                <w:b/>
                <w:bCs/>
                <w:sz w:val="19"/>
                <w:szCs w:val="19"/>
              </w:rPr>
              <w:t xml:space="preserve">Nature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Spot rate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yfinance (Yahoo Finance), latest close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data.py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Observed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Price history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yfinance, ~2 years of daily closes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data.py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Observed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USD rate curve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FRED — US Treasury yields (3M, 6M, 1Y, 2Y)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curves.py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Observed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EUR rate curve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ECB — AAA euro-area yield curve (3M, 6M, 1Y, 2Y)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curves.py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Observed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GBP &amp; others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FRED — 3-month interbank rate (single point)</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curves.py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Observed (flat)</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Volatility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Historical std + GARCH(1,1)-t from returns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garch.py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Derived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Correlations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Computed from the return history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data.py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sz w:val="19"/>
                <w:szCs w:val="19"/>
              </w:rPr>
              <w:t xml:space="preserve">Derived</w:t>
            </w:r>
          </w:p>
        </w:tc>
      </w:tr>
    </w:tbl>
    <w:p>
      <w:pPr>
        <w:pBdr>
          <w:left w:val="single" w:color="3A4DE0" w:sz="18" w:space="8"/>
        </w:pBdr>
        <w:shd w:fill="EEF1F8" w:val="clear"/>
        <w:spacing w:after="120" w:before="40"/>
      </w:pPr>
      <w:r>
        <w:rPr>
          <w:b/>
          <w:bCs/>
          <w:color w:val="3A4DE0"/>
        </w:rPr>
        <w:t xml:space="preserve">Declared limit: </w:t>
      </w:r>
      <w:r>
        <w:t xml:space="preserve">USD and EUR have a real multi-point curve (the rate depends on the tenor). GBP, JPY, CHF, CAD and AUD only have a free 3-month point on FRED, so they are treated as a flat curve and this is stated in the tool. A full GBP curve would need the Bank of England's data (no API, Excel only) or a paid feed such as Bloomberg.</w:t>
      </w:r>
    </w:p>
    <w:p>
      <w:pPr>
        <w:pStyle w:val="Heading1"/>
      </w:pPr>
      <w:r>
        <w:t xml:space="preserve">3. The engine, module by module</w:t>
      </w:r>
    </w:p>
    <w:p>
      <w:pPr>
        <w:spacing w:after="120"/>
      </w:pPr>
      <w:r>
        <w:t xml:space="preserve">The fxrisk package contains thirteen modules. This section explains each one: what it does, the key formulas, and why it is built that way.</w:t>
      </w:r>
    </w:p>
    <w:p>
      <w:pPr>
        <w:pStyle w:val="Heading2"/>
      </w:pPr>
      <w:r>
        <w:t xml:space="preserve">3.1 forwards.py — forward pricing</w:t>
      </w:r>
    </w:p>
    <w:p>
      <w:pPr>
        <w:spacing w:after="120"/>
      </w:pPr>
      <w:r>
        <w:t xml:space="preserve">Prices an FX forward using Covered Interest Rate Parity (CIP). A forward is not a forecast of the future rate; it is the spot rate adjusted for the interest-rate difference between the two currencies.</w:t>
      </w:r>
    </w:p>
    <w:p>
      <w:pPr>
        <w:shd w:fill="EEF1F8" w:val="clear"/>
        <w:spacing w:after="120" w:before="80"/>
        <w:jc w:val="center"/>
      </w:pPr>
      <w:r>
        <w:rPr>
          <w:rFonts w:ascii="Cambria Math" w:cs="Cambria Math" w:eastAsia="Cambria Math" w:hAnsi="Cambria Math"/>
          <w:i/>
          <w:iCs/>
          <w:sz w:val="24"/>
          <w:szCs w:val="24"/>
        </w:rPr>
        <w:t xml:space="preserve">F = S × (1 + r_quote × τ) / (1 + r_base × τ)</w:t>
      </w:r>
    </w:p>
    <w:p>
      <w:pPr>
        <w:spacing w:after="120"/>
      </w:pPr>
      <w:r>
        <w:t xml:space="preserve">Where </w:t>
      </w:r>
      <w:r>
        <w:rPr>
          <w:i/>
          <w:iCs/>
        </w:rPr>
        <w:t xml:space="preserve">S</w:t>
      </w:r>
      <w:r>
        <w:t xml:space="preserve"> is the spot, </w:t>
      </w:r>
      <w:r>
        <w:rPr>
          <w:i/>
          <w:iCs/>
        </w:rPr>
        <w:t xml:space="preserve">r_base</w:t>
      </w:r>
      <w:r>
        <w:t xml:space="preserve"> and </w:t>
      </w:r>
      <w:r>
        <w:rPr>
          <w:i/>
          <w:iCs/>
        </w:rPr>
        <w:t xml:space="preserve">r_quote</w:t>
      </w:r>
      <w:r>
        <w:t xml:space="preserve"> are the two interest rates, and </w:t>
      </w:r>
      <w:r>
        <w:rPr>
          <w:i/>
          <w:iCs/>
        </w:rPr>
        <w:t xml:space="preserve">τ (tau)</w:t>
      </w:r>
      <w:r>
        <w:t xml:space="preserve"> is the time to maturity as a fraction of a year (90 days = 0.25). The currency that yields more makes the forward move against it.</w:t>
      </w:r>
    </w:p>
    <w:p>
      <w:pPr>
        <w:spacing w:after="120"/>
      </w:pPr>
      <w:r>
        <w:t xml:space="preserve">Other functions in this module: forward_points (the forward minus spot, in pips), client_rate_with_spread (the forward plus the provider's spread — this is what the client is quoted), provider_revenue (the spread times the notional — the provider's income), and forward_mtm (the mark-to-market of an existing forward, explained in section 3.9).</w:t>
      </w:r>
    </w:p>
    <w:p>
      <w:pPr>
        <w:pBdr>
          <w:left w:val="single" w:color="3A4DE0" w:sz="18" w:space="8"/>
        </w:pBdr>
        <w:shd w:fill="EEF1F8" w:val="clear"/>
        <w:spacing w:after="120" w:before="40"/>
      </w:pPr>
      <w:r>
        <w:rPr>
          <w:b/>
          <w:bCs/>
          <w:color w:val="3A4DE0"/>
        </w:rPr>
        <w:t xml:space="preserve">Key distinction: </w:t>
      </w:r>
      <w:r>
        <w:t xml:space="preserve">The provider's profit is the spread over the theoretical forward, not a premium. The spread is income that scales with deal size; it is not compensation for risk.</w:t>
      </w:r>
    </w:p>
    <w:p>
      <w:pPr>
        <w:pStyle w:val="Heading2"/>
      </w:pPr>
      <w:r>
        <w:t xml:space="preserve">3.2 options.py — option pricing (Garman-Kohlhagen)</w:t>
      </w:r>
    </w:p>
    <w:p>
      <w:pPr>
        <w:spacing w:after="120"/>
      </w:pPr>
      <w:r>
        <w:t xml:space="preserve">Prices FX options using the Garman-Kohlhagen model (the Black-Scholes model adapted for two interest rates). Unlike a forward, an option has a premium because it is a right, not an obligation.</w:t>
      </w:r>
    </w:p>
    <w:p>
      <w:pPr>
        <w:shd w:fill="EEF1F8" w:val="clear"/>
        <w:spacing w:after="120" w:before="80"/>
        <w:jc w:val="center"/>
      </w:pPr>
      <w:r>
        <w:rPr>
          <w:rFonts w:ascii="Cambria Math" w:cs="Cambria Math" w:eastAsia="Cambria Math" w:hAnsi="Cambria Math"/>
          <w:i/>
          <w:iCs/>
          <w:sz w:val="24"/>
          <w:szCs w:val="24"/>
        </w:rPr>
        <w:t xml:space="preserve">call = S·e^(−r_base·τ)·N(d1) − K·e^(−r_quote·τ)·N(d2)</w:t>
      </w:r>
    </w:p>
    <w:p>
      <w:pPr>
        <w:spacing w:after="120"/>
      </w:pPr>
      <w:r>
        <w:t xml:space="preserve">The terms </w:t>
      </w:r>
      <w:r>
        <w:rPr>
          <w:i/>
          <w:iCs/>
        </w:rPr>
        <w:t xml:space="preserve">d1</w:t>
      </w:r>
      <w:r>
        <w:t xml:space="preserve"> and </w:t>
      </w:r>
      <w:r>
        <w:rPr>
          <w:i/>
          <w:iCs/>
        </w:rPr>
        <w:t xml:space="preserve">d2</w:t>
      </w:r>
      <w:r>
        <w:t xml:space="preserve"> measure how far the option is from its strike in standard-deviation units; </w:t>
      </w:r>
      <w:r>
        <w:rPr>
          <w:i/>
          <w:iCs/>
        </w:rPr>
        <w:t xml:space="preserve">N(...)</w:t>
      </w:r>
      <w:r>
        <w:t xml:space="preserve"> is the normal distribution (the probability of ending in the money). The module also computes delta (the hedge ratio) and vega (sensitivity to volatility).</w:t>
      </w:r>
    </w:p>
    <w:p>
      <w:pPr>
        <w:pBdr>
          <w:left w:val="single" w:color="3A4DE0" w:sz="18" w:space="8"/>
        </w:pBdr>
        <w:shd w:fill="EEF1F8" w:val="clear"/>
        <w:spacing w:after="120" w:before="40"/>
      </w:pPr>
      <w:r>
        <w:rPr>
          <w:b/>
          <w:bCs/>
          <w:color w:val="3A4DE0"/>
        </w:rPr>
        <w:t xml:space="preserve">Interpretation: </w:t>
      </w:r>
      <w:r>
        <w:t xml:space="preserve">The premium is a discounted expected payoff — conceptually identical to an insurance pure premium. This is a useful bridge for someone with an actuarial background.</w:t>
      </w:r>
    </w:p>
    <w:p>
      <w:pPr>
        <w:pStyle w:val="Heading2"/>
      </w:pPr>
      <w:r>
        <w:t xml:space="preserve">3.3 data.py — market data access</w:t>
      </w:r>
    </w:p>
    <w:p>
      <w:pPr>
        <w:spacing w:after="120"/>
      </w:pPr>
      <w:r>
        <w:t xml:space="preserve">The only module that talks to the price feed (yfinance). It downloads spot history, converts prices to daily returns, and computes the correlation matrix. If the feed fails it raises a clear error (MarketDataError) rather than returning fake data. A synthetic generator exists but is used only by the test suite, so the tests never depend on an internet connection.</w:t>
      </w:r>
    </w:p>
    <w:p>
      <w:pPr>
        <w:shd w:fill="EEF1F8" w:val="clear"/>
        <w:spacing w:after="120" w:before="80"/>
        <w:jc w:val="center"/>
      </w:pPr>
      <w:r>
        <w:rPr>
          <w:rFonts w:ascii="Cambria Math" w:cs="Cambria Math" w:eastAsia="Cambria Math" w:hAnsi="Cambria Math"/>
          <w:i/>
          <w:iCs/>
          <w:sz w:val="24"/>
          <w:szCs w:val="24"/>
        </w:rPr>
        <w:t xml:space="preserve">return_t = price_t / price_(t−1) − 1</w:t>
      </w:r>
    </w:p>
    <w:p>
      <w:pPr>
        <w:pStyle w:val="Heading2"/>
      </w:pPr>
      <w:r>
        <w:t xml:space="preserve">3.4 curves.py — real interest-rate curves</w:t>
      </w:r>
    </w:p>
    <w:p>
      <w:pPr>
        <w:spacing w:after="120"/>
      </w:pPr>
      <w:r>
        <w:t xml:space="preserve">Builds a rate curve per currency from FRED and the ECB, then interpolates it to the exact tenor of the deal. For USD it fetches four US-Treasury points; for EUR it fetches four ECB yield-curve points; for the rest it fetches a single 3-month point and treats the curve as flat (declared).</w:t>
      </w:r>
    </w:p>
    <w:p>
      <w:pPr>
        <w:spacing w:after="120"/>
      </w:pPr>
      <w:r>
        <w:t xml:space="preserve">Linear interpolation gives the rate at any tenor between two known points — for example, a 9-month rate is interpolated between the 6-month and 1-year points. The module raises CurveError on failure and never invents a rate.</w:t>
      </w:r>
    </w:p>
    <w:p>
      <w:pPr>
        <w:pBdr>
          <w:left w:val="single" w:color="3A4DE0" w:sz="18" w:space="8"/>
        </w:pBdr>
        <w:shd w:fill="EEF1F8" w:val="clear"/>
        <w:spacing w:after="120" w:before="40"/>
      </w:pPr>
      <w:r>
        <w:rPr>
          <w:b/>
          <w:bCs/>
          <w:color w:val="3A4DE0"/>
        </w:rPr>
        <w:t xml:space="preserve">Why per curve: </w:t>
      </w:r>
      <w:r>
        <w:t xml:space="preserve">A forward depends on the rate of each currency at the deal's tenor. The 3-month rate and the 1-year rate are different; using the right point per tenor is what separates a real tool from a toy that types in one rate by hand.</w:t>
      </w:r>
    </w:p>
    <w:p>
      <w:pPr>
        <w:pStyle w:val="Heading2"/>
      </w:pPr>
      <w:r>
        <w:t xml:space="preserve">3.5 garch.py — volatility estimation</w:t>
      </w:r>
    </w:p>
    <w:p>
      <w:pPr>
        <w:spacing w:after="120"/>
      </w:pPr>
      <w:r>
        <w:t xml:space="preserve">Estimates volatility two ways. Historical volatility is the simple annualised standard deviation of returns — one number for the whole window. GARCH(1,1)-t is a conditional model: it captures volatility clustering (violent days cluster together) and fat tails (via the Student-t distribution), giving today's volatility conditional on recent history.</w:t>
      </w:r>
    </w:p>
    <w:p>
      <w:pPr>
        <w:shd w:fill="EEF1F8" w:val="clear"/>
        <w:spacing w:after="120" w:before="80"/>
        <w:jc w:val="center"/>
      </w:pPr>
      <w:r>
        <w:rPr>
          <w:rFonts w:ascii="Cambria Math" w:cs="Cambria Math" w:eastAsia="Cambria Math" w:hAnsi="Cambria Math"/>
          <w:i/>
          <w:iCs/>
          <w:sz w:val="24"/>
          <w:szCs w:val="24"/>
        </w:rPr>
        <w:t xml:space="preserve">historical vol = std(returns) × √252</w:t>
      </w:r>
    </w:p>
    <w:p>
      <w:pPr>
        <w:spacing w:after="120"/>
      </w:pPr>
      <w:r>
        <w:t xml:space="preserve">GARCH reacts to the current regime, while the historical figure averages everything. In calm periods GARCH sits below the historical average; in stress it jumps above it. The module also offers GJR-GARCH, which adds an asymmetry term so that down-moves can raise volatility more than up-moves.</w:t>
      </w:r>
    </w:p>
    <w:p>
      <w:pPr>
        <w:pBdr>
          <w:left w:val="single" w:color="3A4DE0" w:sz="18" w:space="8"/>
        </w:pBdr>
        <w:shd w:fill="EEF1F8" w:val="clear"/>
        <w:spacing w:after="120" w:before="40"/>
      </w:pPr>
      <w:r>
        <w:rPr>
          <w:b/>
          <w:bCs/>
          <w:color w:val="3A4DE0"/>
        </w:rPr>
        <w:t xml:space="preserve">Two separate layers: </w:t>
      </w:r>
      <w:r>
        <w:t xml:space="preserve">Volatility estimation (historical vs GARCH) is one layer. The VaR method (parametric, historical, Monte Carlo) is a different layer. GARCH feeds the parametric and Monte Carlo VaR; the historical VaR uses the raw returns and needs no volatility estimate. Do not confuse the two.</w:t>
      </w:r>
    </w:p>
    <w:p>
      <w:pPr>
        <w:pStyle w:val="Heading2"/>
      </w:pPr>
      <w:r>
        <w:t xml:space="preserve">3.6 market.py — the integration layer</w:t>
      </w:r>
    </w:p>
    <w:p>
      <w:pPr>
        <w:spacing w:after="120"/>
      </w:pPr>
      <w:r>
        <w:t xml:space="preserve">The glue. Given a pair and a tenor, get_market_snapshot assembles a complete, real market picture: spot from yfinance, both rates from the curves (interpolated to the tenor), and volatility from the history. It returns a MarketSnapshot object where every field carries its source. The snapshot can then price a forward directly. This is the module that turns three separate data sources into one usable object, with no user-typed market parameters.</w:t>
      </w:r>
    </w:p>
    <w:p>
      <w:pPr>
        <w:pStyle w:val="Heading2"/>
      </w:pPr>
      <w:r>
        <w:t xml:space="preserve">3.7 book.py — the book structure</w:t>
      </w:r>
    </w:p>
    <w:p>
      <w:pPr>
        <w:spacing w:after="120"/>
      </w:pPr>
      <w:r>
        <w:t xml:space="preserve">Defines a Position (pair, direction, notional, tenor, and the agreed rate) and a Book (a collection of positions). It is pure structure: it aggregates exposures from numbers already stored on each position, without fetching anything.</w:t>
      </w:r>
    </w:p>
    <w:p>
      <w:pPr>
        <w:spacing w:after="120"/>
      </w:pPr>
      <w:r>
        <w:t xml:space="preserve">The headline calculation is net exposure by currency — the net cash flow per currency at maturity. A forward where the provider is long N base of BASE/QUOTE at rate K means: receive +N base, pay −N×K quote. Summed across positions, this shows the desk's true aggregate exposure, not a trade-by-trade view. Gross exposure (ignoring netting) is also provided, because that is the number a director reads as 'total amount at play'.</w:t>
      </w:r>
    </w:p>
    <w:p>
      <w:pPr>
        <w:pStyle w:val="Heading2"/>
      </w:pPr>
      <w:r>
        <w:t xml:space="preserve">3.8 book_analytics.py — valuation (mark-to-market)</w:t>
      </w:r>
    </w:p>
    <w:p>
      <w:pPr>
        <w:spacing w:after="120"/>
      </w:pPr>
      <w:r>
        <w:t xml:space="preserve">Turns the book into a committee-ready valuation. For each position it fetches the real market snapshot and computes the mark-to-market (MtM).</w:t>
      </w:r>
    </w:p>
    <w:p>
      <w:pPr>
        <w:shd w:fill="EEF1F8" w:val="clear"/>
        <w:spacing w:after="120" w:before="80"/>
        <w:jc w:val="center"/>
      </w:pPr>
      <w:r>
        <w:rPr>
          <w:rFonts w:ascii="Cambria Math" w:cs="Cambria Math" w:eastAsia="Cambria Math" w:hAnsi="Cambria Math"/>
          <w:i/>
          <w:iCs/>
          <w:sz w:val="24"/>
          <w:szCs w:val="24"/>
        </w:rPr>
        <w:t xml:space="preserve">MtM = N_base × (F_now − K) × DF_quote</w:t>
      </w:r>
    </w:p>
    <w:p>
      <w:pPr>
        <w:spacing w:after="120"/>
      </w:pPr>
      <w:r>
        <w:t xml:space="preserve">Where </w:t>
      </w:r>
      <w:r>
        <w:rPr>
          <w:i/>
          <w:iCs/>
        </w:rPr>
        <w:t xml:space="preserve">F_now</w:t>
      </w:r>
      <w:r>
        <w:t xml:space="preserve"> is the current market forward, </w:t>
      </w:r>
      <w:r>
        <w:rPr>
          <w:i/>
          <w:iCs/>
        </w:rPr>
        <w:t xml:space="preserve">K</w:t>
      </w:r>
      <w:r>
        <w:t xml:space="preserve"> is the rate the position was struck at, and </w:t>
      </w:r>
      <w:r>
        <w:rPr>
          <w:i/>
          <w:iCs/>
        </w:rPr>
        <w:t xml:space="preserve">DF_quote = 1 / (1 + r_quote × τ)</w:t>
      </w:r>
      <w:r>
        <w:t xml:space="preserve"> discounts the future cash flow back to today. At inception, when K equals the current forward, the MtM is about zero; it moves into gain or loss as the market moves.</w:t>
      </w:r>
    </w:p>
    <w:p>
      <w:pPr>
        <w:spacing w:after="120"/>
      </w:pPr>
      <w:r>
        <w:t xml:space="preserve">The module also produces the profit/loss composition (how much is in vs out of the money), the concentration (each position's share of the total — to spot if the book leans on one trade), a sensitivity to spot shocks (±1%, ±5%), and the data-quality flags.</w:t>
      </w:r>
    </w:p>
    <w:p>
      <w:pPr>
        <w:pStyle w:val="Heading2"/>
      </w:pPr>
      <w:r>
        <w:t xml:space="preserve">3.9 portfolio_risk.py — VaR, ES, Kupiec, attribution</w:t>
      </w:r>
    </w:p>
    <w:p>
      <w:pPr>
        <w:spacing w:after="120"/>
      </w:pPr>
      <w:r>
        <w:t xml:space="preserve">The core of market-risk measurement. It answers three questions a committee asks: how much can we lose, is that number trustworthy, and where does the risk come from.</w:t>
      </w:r>
    </w:p>
    <w:p>
      <w:pPr>
        <w:pStyle w:val="Heading3"/>
      </w:pPr>
      <w:r>
        <w:t xml:space="preserve">Value at Risk (VaR) — three methods</w:t>
      </w:r>
    </w:p>
    <w:p>
      <w:pPr>
        <w:pStyle w:val="ListParagraph"/>
        <w:numPr>
          <w:ilvl w:val="0"/>
          <w:numId w:val="2"/>
        </w:numPr>
        <w:spacing w:after="60"/>
      </w:pPr>
      <w:r>
        <w:t xml:space="preserve">Parametric: assumes returns are normal. Builds the portfolio standard deviation from the covariance matrix and scales by the confidence z-score. Fast, but underestimates fat tails.</w:t>
      </w:r>
    </w:p>
    <w:p>
      <w:pPr>
        <w:pStyle w:val="ListParagraph"/>
        <w:numPr>
          <w:ilvl w:val="0"/>
          <w:numId w:val="2"/>
        </w:numPr>
        <w:spacing w:after="60"/>
      </w:pPr>
      <w:r>
        <w:t xml:space="preserve">Historical: makes no distribution assumption. Reprices the book on every past day and reads the empirical percentile of the loss side.</w:t>
      </w:r>
    </w:p>
    <w:p>
      <w:pPr>
        <w:pStyle w:val="ListParagraph"/>
        <w:numPr>
          <w:ilvl w:val="0"/>
          <w:numId w:val="2"/>
        </w:numPr>
        <w:spacing w:after="60"/>
      </w:pPr>
      <w:r>
        <w:t xml:space="preserve">Monte Carlo: simulates many correlated return scenarios (using a Cholesky factor of the covariance matrix to respect correlations) and reads the percentile.</w:t>
      </w:r>
    </w:p>
    <w:p>
      <w:pPr>
        <w:shd w:fill="EEF1F8" w:val="clear"/>
        <w:spacing w:after="120" w:before="80"/>
        <w:jc w:val="center"/>
      </w:pPr>
      <w:r>
        <w:rPr>
          <w:rFonts w:ascii="Cambria Math" w:cs="Cambria Math" w:eastAsia="Cambria Math" w:hAnsi="Cambria Math"/>
          <w:i/>
          <w:iCs/>
          <w:sz w:val="24"/>
          <w:szCs w:val="24"/>
        </w:rPr>
        <w:t xml:space="preserve">portfolio variance = positionsᵀ × Covariance × positions</w:t>
      </w:r>
    </w:p>
    <w:p>
      <w:pPr>
        <w:spacing w:after="120"/>
      </w:pPr>
      <w:r>
        <w:t xml:space="preserve">The covariance matrix is what makes this a portfolio calculation rather than a sum of separate risks: it captures how the pairs move together. With a single pair there is no correlation, so the matrix is 1×1.</w:t>
      </w:r>
    </w:p>
    <w:p>
      <w:pPr>
        <w:pStyle w:val="Heading3"/>
      </w:pPr>
      <w:r>
        <w:t xml:space="preserve">Expected Shortfall (ES)</w:t>
      </w:r>
    </w:p>
    <w:p>
      <w:pPr>
        <w:spacing w:after="120"/>
      </w:pPr>
      <w:r>
        <w:t xml:space="preserve">The average loss in the tail beyond the VaR. It always exceeds the VaR because it averages the worst cases rather than reading the cut-off point. ES is now the regulatory standard (Basel FRTB) precisely because VaR alone does not describe how bad the tail is.</w:t>
      </w:r>
    </w:p>
    <w:p>
      <w:pPr>
        <w:pStyle w:val="Heading3"/>
      </w:pPr>
      <w:r>
        <w:t xml:space="preserve">Risk attribution</w:t>
      </w:r>
    </w:p>
    <w:p>
      <w:pPr>
        <w:spacing w:after="120"/>
      </w:pPr>
      <w:r>
        <w:t xml:space="preserve">Decomposes the portfolio variance into each factor's contribution (these sum to 100%), answering 'where does our risk come from'. It also reports the diversification benefit — how far the portfolio VaR sits below the sum of the standalone VaRs. Highly correlated pairs (EUR/USD and GBP/USD move together at about 0.8) diversify little, which is why that benefit can be small.</w:t>
      </w:r>
    </w:p>
    <w:p>
      <w:pPr>
        <w:pStyle w:val="Heading3"/>
      </w:pPr>
      <w:r>
        <w:t xml:space="preserve">Kupiec backtest</w:t>
      </w:r>
    </w:p>
    <w:p>
      <w:pPr>
        <w:spacing w:after="120"/>
      </w:pPr>
      <w:r>
        <w:t xml:space="preserve">The validation step. It counts how often the realised loss exceeded the VaR over history and tests, with a likelihood-ratio statistic, whether that frequency is statistically consistent with the chosen confidence level. If the model is not rejected (p-value above 5%) it is considered adequate.</w:t>
      </w:r>
    </w:p>
    <w:p>
      <w:pPr>
        <w:pBdr>
          <w:left w:val="single" w:color="3A4DE0" w:sz="18" w:space="8"/>
        </w:pBdr>
        <w:shd w:fill="EEF1F8" w:val="clear"/>
        <w:spacing w:after="120" w:before="40"/>
      </w:pPr>
      <w:r>
        <w:rPr>
          <w:b/>
          <w:bCs/>
          <w:color w:val="3A4DE0"/>
        </w:rPr>
        <w:t xml:space="preserve">Why this matters most: </w:t>
      </w:r>
      <w:r>
        <w:t xml:space="preserve">Computing a VaR is routine; validating it is what a serious risk function does. Kupiec is the answer to a committee's question: 'how do I know your VaR is not lying?' This is the strongest single feature to highlight in an interview.</w:t>
      </w:r>
    </w:p>
    <w:p>
      <w:pPr>
        <w:pStyle w:val="Heading2"/>
      </w:pPr>
      <w:r>
        <w:t xml:space="preserve">3.10 book_risk.py — DV01, liquidity, stress over the book</w:t>
      </w:r>
    </w:p>
    <w:p>
      <w:pPr>
        <w:pStyle w:val="Heading3"/>
      </w:pPr>
      <w:r>
        <w:t xml:space="preserve">DV01 (interest-rate risk)</w:t>
      </w:r>
    </w:p>
    <w:p>
      <w:pPr>
        <w:spacing w:after="120"/>
      </w:pPr>
      <w:r>
        <w:t xml:space="preserve">The change in the book's value for a 1-basis-point move in rates, computed by 'bump and reprice' (move the rate by 1bp, reprice, take the difference) and reported per currency curve. The two legs of a forward partly offset, so the net DV01 is small — the real rate risk lives in the differential between the two curves, which the per-curve breakdown reveals.</w:t>
      </w:r>
    </w:p>
    <w:p>
      <w:pPr>
        <w:pStyle w:val="Heading3"/>
      </w:pPr>
      <w:r>
        <w:t xml:space="preserve">Liquidity (variation margin)</w:t>
      </w:r>
    </w:p>
    <w:p>
      <w:pPr>
        <w:spacing w:after="120"/>
      </w:pPr>
      <w:r>
        <w:t xml:space="preserve">Simulates the cash the provider may have to post as daily variation margin over time. A book that is hedged in profit-and-loss can still need cash in between, because the bank charges margin daily while the client only settles at maturity. The simulation reports the buffer Treasury should keep available. (Simplification, declared: constant volatility; a real desk would use implied vol or GARCH.)</w:t>
      </w:r>
    </w:p>
    <w:p>
      <w:pPr>
        <w:pStyle w:val="Heading3"/>
      </w:pPr>
      <w:r>
        <w:t xml:space="preserve">Stress testing</w:t>
      </w:r>
    </w:p>
    <w:p>
      <w:pPr>
        <w:spacing w:after="120"/>
      </w:pPr>
      <w:r>
        <w:t xml:space="preserve">Applies the percentage moves of real historical events (Brexit, the COVID crash, the SNB de-peg) to today's book and compares the loss to the VaR. Only the percentage move travels from the past; applied to today's positions, the result is already in today's money. Pairs not covered by a scenario get a zero move (declared). This shows the tail that a normal-day VaR does not capture.</w:t>
      </w:r>
    </w:p>
    <w:p>
      <w:pPr>
        <w:pStyle w:val="Heading2"/>
      </w:pPr>
      <w:r>
        <w:t xml:space="preserve">3.11 limits.py — risk-limit control</w:t>
      </w:r>
    </w:p>
    <w:p>
      <w:pPr>
        <w:spacing w:after="120"/>
      </w:pPr>
      <w:r>
        <w:t xml:space="preserve">Turns risk measurement into risk control. The desk sets limits (a VaR limit, a net-exposure limit per currency, a liquidity limit); the module compares the book's current figures against them and returns, for each, a status (OK or BREACH), the current value, the limit, and the utilisation percentage. A warning zone triggers at 80% utilisation before an actual breach.</w:t>
      </w:r>
    </w:p>
    <w:p>
      <w:pPr>
        <w:pBdr>
          <w:left w:val="single" w:color="3A4DE0" w:sz="18" w:space="8"/>
        </w:pBdr>
        <w:shd w:fill="EEF1F8" w:val="clear"/>
        <w:spacing w:after="120" w:before="40"/>
      </w:pPr>
      <w:r>
        <w:rPr>
          <w:b/>
          <w:bCs/>
          <w:color w:val="3A4DE0"/>
        </w:rPr>
        <w:t xml:space="preserve">Measurement vs control: </w:t>
      </w:r>
      <w:r>
        <w:t xml:space="preserve">A risk function does not only measure risk — it controls it against approved limits and reports utilisation. This is the most 'head of risk' part of the tool and a clear signal of seniority.</w:t>
      </w:r>
    </w:p>
    <w:p>
      <w:r>
        <w:br w:type="page"/>
      </w:r>
    </w:p>
    <w:p>
      <w:pPr>
        <w:pStyle w:val="Heading1"/>
      </w:pPr>
      <w:r>
        <w:t xml:space="preserve">4. The five screens, step by step</w:t>
      </w:r>
    </w:p>
    <w:p>
      <w:pPr>
        <w:spacing w:after="120"/>
      </w:pPr>
      <w:r>
        <w:t xml:space="preserve">The interface presents everything across five tabs. The book is the entry point; the other four analyse whatever the book contains. All figures update from the real market data and the engine described above.</w:t>
      </w:r>
    </w:p>
    <w:p>
      <w:pPr>
        <w:pStyle w:val="Heading2"/>
      </w:pPr>
      <w:r>
        <w:t xml:space="preserve">4.1 Book</w:t>
      </w:r>
    </w:p>
    <w:p>
      <w:pPr>
        <w:spacing w:after="120"/>
      </w:pPr>
      <w:r>
        <w:t xml:space="preserve">The starting screen. From the sidebar the user defines a trade from the client's perspective (buy or sell the base currency, notional, tenor, spread). When added, the tool fetches the real market, computes the rate quoted to the client, and records the provider's mirror position. A position where the client buys EUR becomes a provider short EUR.</w:t>
      </w:r>
    </w:p>
    <w:p>
      <w:pPr>
        <w:spacing w:after="120"/>
      </w:pPr>
      <w:r>
        <w:t xml:space="preserve">The book table lists every position with a clean number (#001, #002…), its provider side, notional, tenor and strike. Positions can be removed. Below, the exposure by currency shows the net cash flow per currency (with gross in the tooltip). An example book can be loaded with one click for demonstration; the book persists while navigating.</w:t>
      </w:r>
    </w:p>
    <w:p>
      <w:pPr>
        <w:pStyle w:val="Heading2"/>
      </w:pPr>
      <w:r>
        <w:t xml:space="preserve">4.2 Valuation</w:t>
      </w:r>
    </w:p>
    <w:p>
      <w:pPr>
        <w:spacing w:after="120"/>
      </w:pPr>
      <w:r>
        <w:t xml:space="preserve">The mark-to-market report. It shows the total MtM in USD, the split between gains and losses (the composition behind the net figure), a concentration table (each position's share of gross MtM), the sensitivity to spot shocks of ±1% and ±5%, and the data-quality notes. This is the screen a committee reads first to know what the book is worth and where the value sits.</w:t>
      </w:r>
    </w:p>
    <w:p>
      <w:pPr>
        <w:pStyle w:val="Heading2"/>
      </w:pPr>
      <w:r>
        <w:t xml:space="preserve">4.3 Market risk</w:t>
      </w:r>
    </w:p>
    <w:p>
      <w:pPr>
        <w:spacing w:after="120"/>
      </w:pPr>
      <w:r>
        <w:t xml:space="preserve">The risk screen. It shows the three VaRs and the Expected Shortfall (1-day horizon, with each expressed as a percentage of the book notional for context), the limit control (green/red with utilisation), the P&amp;L distribution chart with the VaR and ES marked, the risk-contribution chart by factor, the correlation matrix (which explains the diversification benefit), and the Kupiec backtest with a PASS/REVIEW verdict.</w:t>
      </w:r>
    </w:p>
    <w:p>
      <w:pPr>
        <w:pBdr>
          <w:left w:val="single" w:color="3A4DE0" w:sz="18" w:space="8"/>
        </w:pBdr>
        <w:shd w:fill="EEF1F8" w:val="clear"/>
        <w:spacing w:after="120" w:before="40"/>
      </w:pPr>
      <w:r>
        <w:rPr>
          <w:b/>
          <w:bCs/>
          <w:color w:val="3A4DE0"/>
        </w:rPr>
        <w:t xml:space="preserve">How to read the VaR: </w:t>
      </w:r>
      <w:r>
        <w:t xml:space="preserve">A VaR of, say, 20,000 USD at 99% over 1 day means: on a normal bad day (the worst 1% of days), the book is not expected to lose more than about 20,000 USD. It is a statistic on historical behaviour, not a forecast of a specific event.</w:t>
      </w:r>
    </w:p>
    <w:p>
      <w:pPr>
        <w:pStyle w:val="Heading2"/>
      </w:pPr>
      <w:r>
        <w:t xml:space="preserve">4.4 Rate / Liquidity / Stress</w:t>
      </w:r>
    </w:p>
    <w:p>
      <w:pPr>
        <w:spacing w:after="120"/>
      </w:pPr>
      <w:r>
        <w:t xml:space="preserve">Three sections. DV01 by curve shows the rate sensitivity per currency and the small net (the risk in the differential). The liquidity buffer shows the cash Treasury should hold for variation margin. The stress table shows each historical scenario's P&amp;L on today's book and its ratio to the VaR, with the worst scenario highlighted.</w:t>
      </w:r>
    </w:p>
    <w:p>
      <w:pPr>
        <w:pStyle w:val="Heading2"/>
      </w:pPr>
      <w:r>
        <w:t xml:space="preserve">4.5 Client</w:t>
      </w:r>
    </w:p>
    <w:p>
      <w:pPr>
        <w:spacing w:after="120"/>
      </w:pPr>
      <w:r>
        <w:t xml:space="preserve">The derived, secondary view: for each booked trade, what it looked like to the client — the side they took, the notional, the rate quoted, and the tenor. The rate quoted already includes the provider's spread, which is simultaneously the provider's revenue and the client's cost of certainty.</w:t>
      </w:r>
    </w:p>
    <w:p>
      <w:pPr>
        <w:pStyle w:val="Heading1"/>
      </w:pPr>
      <w:r>
        <w:t xml:space="preserve">5. How a single figure flows end to end</w:t>
      </w:r>
    </w:p>
    <w:p>
      <w:pPr>
        <w:spacing w:after="120"/>
      </w:pPr>
      <w:r>
        <w:t xml:space="preserve">To see how the pieces fit, follow one number — the VaR — from raw data to the screen:</w:t>
      </w:r>
    </w:p>
    <w:p>
      <w:pPr>
        <w:pStyle w:val="ListParagraph"/>
        <w:numPr>
          <w:ilvl w:val="0"/>
          <w:numId w:val="3"/>
        </w:numPr>
        <w:spacing w:after="60"/>
      </w:pPr>
      <w:r>
        <w:t xml:space="preserve">The user builds a book of positions (book.py).</w:t>
      </w:r>
    </w:p>
    <w:p>
      <w:pPr>
        <w:pStyle w:val="ListParagraph"/>
        <w:numPr>
          <w:ilvl w:val="0"/>
          <w:numId w:val="3"/>
        </w:numPr>
        <w:spacing w:after="60"/>
      </w:pPr>
      <w:r>
        <w:t xml:space="preserve">For each pair, the tool downloads the price history (data.py) and computes daily returns.</w:t>
      </w:r>
    </w:p>
    <w:p>
      <w:pPr>
        <w:pStyle w:val="ListParagraph"/>
        <w:numPr>
          <w:ilvl w:val="0"/>
          <w:numId w:val="3"/>
        </w:numPr>
        <w:spacing w:after="60"/>
      </w:pPr>
      <w:r>
        <w:t xml:space="preserve">The positions are mapped to a spot exposure per pair, in quote currency (the risk factors).</w:t>
      </w:r>
    </w:p>
    <w:p>
      <w:pPr>
        <w:pStyle w:val="ListParagraph"/>
        <w:numPr>
          <w:ilvl w:val="0"/>
          <w:numId w:val="3"/>
        </w:numPr>
        <w:spacing w:after="60"/>
      </w:pPr>
      <w:r>
        <w:t xml:space="preserve">The returns matrix and the exposure vector go into portfolio_risk.py.</w:t>
      </w:r>
    </w:p>
    <w:p>
      <w:pPr>
        <w:pStyle w:val="ListParagraph"/>
        <w:numPr>
          <w:ilvl w:val="0"/>
          <w:numId w:val="3"/>
        </w:numPr>
        <w:spacing w:after="60"/>
      </w:pPr>
      <w:r>
        <w:t xml:space="preserve">The covariance matrix combines the exposures with how the pairs move together; the three VaR methods compute the loss percentile.</w:t>
      </w:r>
    </w:p>
    <w:p>
      <w:pPr>
        <w:pStyle w:val="ListParagraph"/>
        <w:numPr>
          <w:ilvl w:val="0"/>
          <w:numId w:val="3"/>
        </w:numPr>
        <w:spacing w:after="60"/>
      </w:pPr>
      <w:r>
        <w:t xml:space="preserve">The Kupiec test checks the VaR against the historical P&amp;L.</w:t>
      </w:r>
    </w:p>
    <w:p>
      <w:pPr>
        <w:pStyle w:val="ListParagraph"/>
        <w:numPr>
          <w:ilvl w:val="0"/>
          <w:numId w:val="3"/>
        </w:numPr>
        <w:spacing w:after="60"/>
      </w:pPr>
      <w:r>
        <w:t xml:space="preserve">The Market risk screen displays the VaRs, the charts, the attribution and the backtest, and checks them against the limits (limits.py).</w:t>
      </w:r>
    </w:p>
    <w:p>
      <w:pPr>
        <w:spacing w:after="120"/>
      </w:pPr>
      <w:r>
        <w:t xml:space="preserve">At no point is a market parameter typed in by hand. Every input is observed or derived, and every approximation is declared on screen.</w:t>
      </w:r>
    </w:p>
    <w:p>
      <w:pPr>
        <w:pStyle w:val="Heading1"/>
      </w:pPr>
      <w:r>
        <w:t xml:space="preserve">6. Testing and reliability</w:t>
      </w:r>
    </w:p>
    <w:p>
      <w:pPr>
        <w:spacing w:after="120"/>
      </w:pPr>
      <w:r>
        <w:t xml:space="preserve">The engine has 66 automated tests (run with the command pytest). They cover the pure logic of every module: that the forward prices match a known reference, that the VaR methods agree on normal data, that Expected Shortfall exceeds the VaR, that the Kupiec test passes a good model and rejects a bad one, that the book aggregates exposures correctly, and that the limit checks flag breaches. The tests never touch the network — data-dependent code is validated by running the app, while the maths is verified in isolation.</w:t>
      </w:r>
    </w:p>
    <w:p>
      <w:pPr>
        <w:pBdr>
          <w:left w:val="single" w:color="3A4DE0" w:sz="18" w:space="8"/>
        </w:pBdr>
        <w:shd w:fill="EEF1F8" w:val="clear"/>
        <w:spacing w:after="120" w:before="40"/>
      </w:pPr>
      <w:r>
        <w:rPr>
          <w:b/>
          <w:bCs/>
          <w:color w:val="3A4DE0"/>
        </w:rPr>
        <w:t xml:space="preserve">In an interview: </w:t>
      </w:r>
      <w:r>
        <w:t xml:space="preserve">Being able to say 'the engine is separated from the interface and covered by 66 tests' demonstrates engineering discipline, not just modelling ability. It is the difference between a script and a system.</w:t>
      </w:r>
    </w:p>
    <w:p>
      <w:pPr>
        <w:spacing w:after="120"/>
      </w:pPr>
      <w:r>
        <w:t xml:space="preserve"/>
      </w:r>
    </w:p>
    <w:p>
      <w:pPr>
        <w:pBdr>
          <w:top w:val="single" w:color="3A4DE0" w:sz="6" w:space="6"/>
        </w:pBdr>
        <w:spacing w:before="240"/>
      </w:pPr>
      <w:r>
        <w:rPr>
          <w:i/>
          <w:iCs/>
          <w:color w:val="5A6573"/>
        </w:rPr>
        <w:t xml:space="preserve">End of manual.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73"/>
        <w:sz w:val="16"/>
        <w:szCs w:val="16"/>
      </w:rPr>
      <w:t xml:space="preserve">Page </w:t>
    </w:r>
    <w:r>
      <w:rPr>
        <w:color w:val="5A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73"/>
        <w:sz w:val="16"/>
        <w:szCs w:val="16"/>
      </w:rPr>
      <w:t xml:space="preserve">FX Book Risk Analyzer — Technical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1D23"/>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3A4DE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A1D2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FX Book Risk Analyzer</dc:creator>
  <cp:lastModifiedBy>Un-named</cp:lastModifiedBy>
  <cp:revision>1</cp:revision>
  <dcterms:created xsi:type="dcterms:W3CDTF">2026-06-25T22:48:40.820Z</dcterms:created>
  <dcterms:modified xsi:type="dcterms:W3CDTF">2026-06-25T22:48:40.820Z</dcterms:modified>
</cp:coreProperties>
</file>

<file path=docProps/custom.xml><?xml version="1.0" encoding="utf-8"?>
<Properties xmlns="http://schemas.openxmlformats.org/officeDocument/2006/custom-properties" xmlns:vt="http://schemas.openxmlformats.org/officeDocument/2006/docPropsVTypes"/>
</file>