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A060" w14:textId="77777777" w:rsidR="00B334E5" w:rsidRDefault="00B334E5" w:rsidP="00B334E5">
      <w:pPr>
        <w:jc w:val="center"/>
      </w:pPr>
      <w:bookmarkStart w:id="0" w:name="capítulo-1-introducción"/>
      <w:r>
        <w:rPr>
          <w:noProof/>
        </w:rPr>
        <w:drawing>
          <wp:inline distT="0" distB="0" distL="0" distR="0" wp14:anchorId="196F15A8" wp14:editId="559E92E4">
            <wp:extent cx="2332963" cy="1028337"/>
            <wp:effectExtent l="0" t="0" r="0" b="0"/>
            <wp:docPr id="1877740503" name="image14.jpg" descr="FCE UBA"/>
            <wp:cNvGraphicFramePr/>
            <a:graphic xmlns:a="http://schemas.openxmlformats.org/drawingml/2006/main">
              <a:graphicData uri="http://schemas.openxmlformats.org/drawingml/2006/picture">
                <pic:pic xmlns:pic="http://schemas.openxmlformats.org/drawingml/2006/picture">
                  <pic:nvPicPr>
                    <pic:cNvPr id="0" name="image14.jpg" descr="FCE UBA"/>
                    <pic:cNvPicPr preferRelativeResize="0"/>
                  </pic:nvPicPr>
                  <pic:blipFill>
                    <a:blip r:embed="rId8"/>
                    <a:srcRect/>
                    <a:stretch>
                      <a:fillRect/>
                    </a:stretch>
                  </pic:blipFill>
                  <pic:spPr>
                    <a:xfrm>
                      <a:off x="0" y="0"/>
                      <a:ext cx="2332963" cy="1028337"/>
                    </a:xfrm>
                    <a:prstGeom prst="rect">
                      <a:avLst/>
                    </a:prstGeom>
                    <a:ln/>
                  </pic:spPr>
                </pic:pic>
              </a:graphicData>
            </a:graphic>
          </wp:inline>
        </w:drawing>
      </w:r>
    </w:p>
    <w:p w14:paraId="0E806CFA" w14:textId="77777777" w:rsidR="00B334E5" w:rsidRDefault="00B334E5" w:rsidP="00B334E5"/>
    <w:p w14:paraId="6FE16E16" w14:textId="77777777" w:rsidR="00B334E5" w:rsidRDefault="00B334E5" w:rsidP="00B334E5"/>
    <w:p w14:paraId="364935D5" w14:textId="77777777" w:rsidR="00B334E5" w:rsidRDefault="00B334E5" w:rsidP="00B334E5"/>
    <w:p w14:paraId="31A2FF53" w14:textId="77777777" w:rsidR="00B334E5" w:rsidRDefault="00B334E5" w:rsidP="00B334E5">
      <w:pPr>
        <w:jc w:val="center"/>
        <w:rPr>
          <w:rFonts w:eastAsia="Times New Roman" w:cs="Times New Roman"/>
          <w:b/>
          <w:sz w:val="32"/>
          <w:szCs w:val="32"/>
        </w:rPr>
      </w:pPr>
      <w:r>
        <w:rPr>
          <w:rFonts w:eastAsia="Times New Roman" w:cs="Times New Roman"/>
          <w:b/>
          <w:sz w:val="32"/>
          <w:szCs w:val="32"/>
        </w:rPr>
        <w:t>UNIVERSIDAD DE BUENOS AIRES</w:t>
      </w:r>
    </w:p>
    <w:p w14:paraId="5529EFEA" w14:textId="77777777" w:rsidR="00B334E5" w:rsidRDefault="00B334E5" w:rsidP="00B334E5">
      <w:pPr>
        <w:jc w:val="center"/>
        <w:rPr>
          <w:rFonts w:eastAsia="Times New Roman" w:cs="Times New Roman"/>
          <w:b/>
          <w:sz w:val="32"/>
          <w:szCs w:val="32"/>
        </w:rPr>
      </w:pPr>
      <w:r>
        <w:rPr>
          <w:rFonts w:eastAsia="Times New Roman" w:cs="Times New Roman"/>
          <w:b/>
          <w:sz w:val="32"/>
          <w:szCs w:val="32"/>
        </w:rPr>
        <w:t>Facultad de Ciencia Económicas</w:t>
      </w:r>
    </w:p>
    <w:p w14:paraId="44E5B8E7" w14:textId="77777777" w:rsidR="00B334E5" w:rsidRDefault="00B334E5" w:rsidP="00B334E5">
      <w:pPr>
        <w:rPr>
          <w:rFonts w:eastAsia="Times New Roman" w:cs="Times New Roman"/>
        </w:rPr>
      </w:pPr>
    </w:p>
    <w:p w14:paraId="3BF3480A" w14:textId="77777777" w:rsidR="00B334E5" w:rsidRDefault="00B334E5" w:rsidP="00B334E5">
      <w:pPr>
        <w:rPr>
          <w:rFonts w:eastAsia="Times New Roman" w:cs="Times New Roman"/>
        </w:rPr>
      </w:pPr>
    </w:p>
    <w:p w14:paraId="06EAF054" w14:textId="12914462" w:rsidR="00EA6B5B" w:rsidRDefault="00EA6B5B" w:rsidP="00857411">
      <w:pPr>
        <w:jc w:val="center"/>
        <w:rPr>
          <w:rFonts w:eastAsia="Times New Roman" w:cs="Times New Roman"/>
          <w:b/>
          <w:sz w:val="32"/>
          <w:szCs w:val="32"/>
        </w:rPr>
      </w:pPr>
      <w:r w:rsidRPr="00EA6B5B">
        <w:rPr>
          <w:rFonts w:eastAsia="Times New Roman" w:cs="Times New Roman"/>
          <w:b/>
          <w:sz w:val="32"/>
          <w:szCs w:val="32"/>
        </w:rPr>
        <w:t>Estrategias de Inversión Basadas en Momentum Sectorial:</w:t>
      </w:r>
    </w:p>
    <w:p w14:paraId="5E0D143A" w14:textId="44F2E7F0" w:rsidR="00B334E5" w:rsidRDefault="00EA6B5B" w:rsidP="00857411">
      <w:pPr>
        <w:jc w:val="center"/>
        <w:rPr>
          <w:rFonts w:eastAsia="Times New Roman" w:cs="Times New Roman"/>
        </w:rPr>
      </w:pPr>
      <w:r w:rsidRPr="00EA6B5B">
        <w:rPr>
          <w:rFonts w:eastAsia="Times New Roman" w:cs="Times New Roman"/>
          <w:b/>
          <w:sz w:val="32"/>
          <w:szCs w:val="32"/>
        </w:rPr>
        <w:t>Un Análisis de Riesgo,</w:t>
      </w:r>
      <w:r>
        <w:rPr>
          <w:rFonts w:eastAsia="Times New Roman" w:cs="Times New Roman"/>
          <w:b/>
          <w:sz w:val="32"/>
          <w:szCs w:val="32"/>
        </w:rPr>
        <w:t xml:space="preserve"> </w:t>
      </w:r>
      <w:r w:rsidRPr="00EA6B5B">
        <w:rPr>
          <w:rFonts w:eastAsia="Times New Roman" w:cs="Times New Roman"/>
          <w:b/>
          <w:sz w:val="32"/>
          <w:szCs w:val="32"/>
        </w:rPr>
        <w:t>Rentabilidad y Optimización con ETFs en el Mercado Estadounidense (2005-202</w:t>
      </w:r>
      <w:r>
        <w:rPr>
          <w:rFonts w:eastAsia="Times New Roman" w:cs="Times New Roman"/>
          <w:b/>
          <w:sz w:val="32"/>
          <w:szCs w:val="32"/>
        </w:rPr>
        <w:t>5</w:t>
      </w:r>
      <w:r w:rsidRPr="00EA6B5B">
        <w:rPr>
          <w:rFonts w:eastAsia="Times New Roman" w:cs="Times New Roman"/>
          <w:b/>
          <w:sz w:val="32"/>
          <w:szCs w:val="32"/>
        </w:rPr>
        <w:t>)</w:t>
      </w:r>
    </w:p>
    <w:p w14:paraId="065A2E82" w14:textId="77777777" w:rsidR="00B334E5" w:rsidRDefault="00B334E5" w:rsidP="00B334E5">
      <w:pPr>
        <w:rPr>
          <w:rFonts w:eastAsia="Times New Roman" w:cs="Times New Roman"/>
        </w:rPr>
      </w:pPr>
    </w:p>
    <w:p w14:paraId="2164C890" w14:textId="77777777" w:rsidR="00B334E5" w:rsidRDefault="00B334E5" w:rsidP="00B334E5">
      <w:pPr>
        <w:rPr>
          <w:rFonts w:eastAsia="Times New Roman" w:cs="Times New Roman"/>
        </w:rPr>
      </w:pPr>
    </w:p>
    <w:p w14:paraId="66A6D665" w14:textId="77777777" w:rsidR="00B334E5" w:rsidRDefault="00B334E5" w:rsidP="00B334E5">
      <w:pPr>
        <w:rPr>
          <w:rFonts w:eastAsia="Times New Roman" w:cs="Times New Roman"/>
        </w:rPr>
      </w:pPr>
    </w:p>
    <w:p w14:paraId="0E7B595F" w14:textId="77777777" w:rsidR="00B334E5" w:rsidRDefault="00B334E5" w:rsidP="00B334E5">
      <w:pPr>
        <w:rPr>
          <w:rFonts w:eastAsia="Times New Roman" w:cs="Times New Roman"/>
        </w:rPr>
      </w:pPr>
    </w:p>
    <w:p w14:paraId="482C04CB" w14:textId="77777777" w:rsidR="00B334E5" w:rsidRDefault="00B334E5" w:rsidP="00B334E5">
      <w:pPr>
        <w:rPr>
          <w:rFonts w:eastAsia="Times New Roman" w:cs="Times New Roman"/>
        </w:rPr>
      </w:pPr>
    </w:p>
    <w:p w14:paraId="0957DB4B" w14:textId="77777777" w:rsidR="00B334E5" w:rsidRDefault="00B334E5" w:rsidP="00B334E5">
      <w:pPr>
        <w:rPr>
          <w:rFonts w:eastAsia="Times New Roman" w:cs="Times New Roman"/>
        </w:rPr>
      </w:pPr>
    </w:p>
    <w:p w14:paraId="1658C293" w14:textId="77777777" w:rsidR="00B334E5" w:rsidRDefault="00B334E5" w:rsidP="00B334E5">
      <w:pPr>
        <w:rPr>
          <w:rFonts w:eastAsia="Times New Roman" w:cs="Times New Roman"/>
        </w:rPr>
      </w:pPr>
    </w:p>
    <w:p w14:paraId="36CDD74D" w14:textId="030CEE87" w:rsidR="00B334E5" w:rsidRDefault="00B334E5" w:rsidP="00B334E5">
      <w:pPr>
        <w:rPr>
          <w:rFonts w:eastAsia="Times New Roman" w:cs="Times New Roman"/>
        </w:rPr>
      </w:pPr>
      <w:r>
        <w:rPr>
          <w:rFonts w:eastAsia="Times New Roman" w:cs="Times New Roman"/>
        </w:rPr>
        <w:t xml:space="preserve">Alumno: </w:t>
      </w:r>
      <w:r w:rsidR="00857411">
        <w:rPr>
          <w:rFonts w:eastAsia="Times New Roman" w:cs="Times New Roman"/>
        </w:rPr>
        <w:t>Matias Leiva</w:t>
      </w:r>
    </w:p>
    <w:p w14:paraId="11C983D6" w14:textId="3742E7BF" w:rsidR="00B334E5" w:rsidRDefault="00B334E5" w:rsidP="00B334E5">
      <w:pPr>
        <w:rPr>
          <w:rFonts w:eastAsia="Times New Roman" w:cs="Times New Roman"/>
        </w:rPr>
      </w:pPr>
      <w:r>
        <w:rPr>
          <w:rFonts w:eastAsia="Times New Roman" w:cs="Times New Roman"/>
        </w:rPr>
        <w:t>Registro Nº: 878823</w:t>
      </w:r>
    </w:p>
    <w:p w14:paraId="7AD35A91" w14:textId="40C85FE0" w:rsidR="00B334E5" w:rsidRPr="00857411" w:rsidRDefault="00B334E5" w:rsidP="00B334E5">
      <w:pPr>
        <w:rPr>
          <w:rFonts w:ascii="Symbol" w:eastAsia="Times New Roman" w:hAnsi="Symbol" w:cs="Times New Roman"/>
        </w:rPr>
      </w:pPr>
      <w:r w:rsidRPr="00857411">
        <w:rPr>
          <w:rFonts w:eastAsia="Times New Roman" w:cs="Times New Roman"/>
        </w:rPr>
        <w:t>e-mail: mati.santi.leiva</w:t>
      </w:r>
      <w:r>
        <w:rPr>
          <w:rFonts w:eastAsia="Times New Roman" w:cs="Times New Roman"/>
        </w:rPr>
        <w:t>@gmail.com</w:t>
      </w:r>
    </w:p>
    <w:p w14:paraId="194664DD" w14:textId="77777777" w:rsidR="00B334E5" w:rsidRPr="00857411" w:rsidRDefault="00B334E5" w:rsidP="00B334E5">
      <w:pPr>
        <w:rPr>
          <w:rFonts w:eastAsia="Times New Roman" w:cs="Times New Roman"/>
        </w:rPr>
      </w:pPr>
    </w:p>
    <w:p w14:paraId="3C983340" w14:textId="77777777" w:rsidR="00B334E5" w:rsidRPr="00857411" w:rsidRDefault="00B334E5" w:rsidP="00B334E5">
      <w:pPr>
        <w:rPr>
          <w:rFonts w:eastAsia="Times New Roman" w:cs="Times New Roman"/>
        </w:rPr>
      </w:pPr>
    </w:p>
    <w:p w14:paraId="35F2E43C" w14:textId="0A55F1BB" w:rsidR="00B334E5" w:rsidRDefault="00B334E5" w:rsidP="00B334E5">
      <w:pPr>
        <w:rPr>
          <w:rFonts w:eastAsia="Times New Roman" w:cs="Times New Roman"/>
        </w:rPr>
      </w:pPr>
      <w:r>
        <w:rPr>
          <w:rFonts w:eastAsia="Times New Roman" w:cs="Times New Roman"/>
        </w:rPr>
        <w:t>Tutor:</w:t>
      </w:r>
      <w:r w:rsidR="00857411">
        <w:rPr>
          <w:rFonts w:eastAsia="Times New Roman" w:cs="Times New Roman"/>
        </w:rPr>
        <w:t xml:space="preserve"> Rodrigo Arana</w:t>
      </w:r>
    </w:p>
    <w:p w14:paraId="422A9E4D" w14:textId="022067AD" w:rsidR="00B334E5" w:rsidRDefault="00B334E5" w:rsidP="00B334E5">
      <w:pPr>
        <w:rPr>
          <w:rFonts w:eastAsia="Times New Roman" w:cs="Times New Roman"/>
        </w:rPr>
      </w:pPr>
      <w:r>
        <w:rPr>
          <w:rFonts w:eastAsia="Times New Roman" w:cs="Times New Roman"/>
        </w:rPr>
        <w:t xml:space="preserve">e-mail: </w:t>
      </w:r>
      <w:r w:rsidRPr="00B334E5">
        <w:rPr>
          <w:rFonts w:eastAsia="Times New Roman" w:cs="Times New Roman"/>
        </w:rPr>
        <w:t>rodrigoarana56@gmail.com</w:t>
      </w:r>
    </w:p>
    <w:p w14:paraId="7807B4E7" w14:textId="77777777" w:rsidR="00B334E5" w:rsidRDefault="00B334E5" w:rsidP="00B334E5">
      <w:pPr>
        <w:rPr>
          <w:rFonts w:eastAsia="Times New Roman" w:cs="Times New Roman"/>
        </w:rPr>
      </w:pPr>
      <w:r>
        <w:rPr>
          <w:rFonts w:eastAsia="Times New Roman" w:cs="Times New Roman"/>
        </w:rPr>
        <w:t>Firma del tutor:</w:t>
      </w:r>
    </w:p>
    <w:p w14:paraId="5AB40651" w14:textId="77777777" w:rsidR="00B334E5" w:rsidRDefault="00B334E5" w:rsidP="00B334E5">
      <w:pPr>
        <w:rPr>
          <w:rFonts w:eastAsia="Times New Roman" w:cs="Times New Roman"/>
        </w:rPr>
      </w:pPr>
    </w:p>
    <w:p w14:paraId="476329C4" w14:textId="77777777" w:rsidR="00B334E5" w:rsidRDefault="00B334E5" w:rsidP="00B334E5">
      <w:pPr>
        <w:rPr>
          <w:rFonts w:eastAsia="Times New Roman" w:cs="Times New Roman"/>
        </w:rPr>
      </w:pPr>
    </w:p>
    <w:p w14:paraId="424623F6" w14:textId="77777777" w:rsidR="00B334E5" w:rsidRDefault="00B334E5" w:rsidP="00B334E5">
      <w:pPr>
        <w:rPr>
          <w:rFonts w:eastAsia="Times New Roman" w:cs="Times New Roman"/>
        </w:rPr>
      </w:pPr>
    </w:p>
    <w:p w14:paraId="17DE7374" w14:textId="77777777" w:rsidR="00B334E5" w:rsidRDefault="00B334E5" w:rsidP="00B334E5">
      <w:pPr>
        <w:rPr>
          <w:rFonts w:eastAsia="Times New Roman" w:cs="Times New Roman"/>
        </w:rPr>
      </w:pPr>
    </w:p>
    <w:p w14:paraId="4BFFEFDF" w14:textId="47005396" w:rsidR="00B334E5" w:rsidRDefault="00B334E5" w:rsidP="00B334E5">
      <w:pPr>
        <w:jc w:val="center"/>
        <w:rPr>
          <w:rFonts w:eastAsia="Times New Roman" w:cs="Times New Roman"/>
          <w:b/>
        </w:rPr>
      </w:pPr>
      <w:r>
        <w:rPr>
          <w:rFonts w:eastAsia="Times New Roman" w:cs="Times New Roman"/>
          <w:b/>
        </w:rPr>
        <w:t>1° Cuatrimestre 2026</w:t>
      </w:r>
    </w:p>
    <w:p w14:paraId="425DB7B2" w14:textId="77777777" w:rsidR="00B334E5" w:rsidRDefault="00B334E5">
      <w:pPr>
        <w:pStyle w:val="TtuloTDC"/>
        <w:rPr>
          <w:rFonts w:eastAsiaTheme="minorHAnsi" w:cs="Times New Roman"/>
          <w:b w:val="0"/>
          <w:color w:val="auto"/>
          <w:kern w:val="2"/>
          <w:sz w:val="24"/>
          <w:szCs w:val="24"/>
          <w:lang w:val="es-ES" w:eastAsia="en-US"/>
          <w14:ligatures w14:val="standardContextual"/>
        </w:rPr>
      </w:pPr>
    </w:p>
    <w:p w14:paraId="29EA50BA" w14:textId="77777777" w:rsidR="00B334E5" w:rsidRDefault="00B334E5">
      <w:pPr>
        <w:pStyle w:val="TtuloTDC"/>
        <w:rPr>
          <w:rFonts w:eastAsiaTheme="minorHAnsi" w:cs="Times New Roman"/>
          <w:b w:val="0"/>
          <w:color w:val="auto"/>
          <w:kern w:val="2"/>
          <w:sz w:val="24"/>
          <w:szCs w:val="24"/>
          <w:lang w:val="es-ES" w:eastAsia="en-US"/>
          <w14:ligatures w14:val="standardContextual"/>
        </w:rPr>
      </w:pPr>
    </w:p>
    <w:p w14:paraId="1A161671" w14:textId="77777777" w:rsidR="00B334E5" w:rsidRDefault="00B334E5">
      <w:pPr>
        <w:pStyle w:val="TtuloTDC"/>
        <w:rPr>
          <w:rFonts w:eastAsiaTheme="minorHAnsi" w:cs="Times New Roman"/>
          <w:b w:val="0"/>
          <w:color w:val="auto"/>
          <w:kern w:val="2"/>
          <w:sz w:val="24"/>
          <w:szCs w:val="24"/>
          <w:lang w:val="es-ES" w:eastAsia="en-US"/>
          <w14:ligatures w14:val="standardContextual"/>
        </w:rPr>
      </w:pPr>
    </w:p>
    <w:sdt>
      <w:sdtPr>
        <w:rPr>
          <w:rFonts w:eastAsiaTheme="minorHAnsi" w:cs="Times New Roman"/>
          <w:b w:val="0"/>
          <w:color w:val="auto"/>
          <w:kern w:val="2"/>
          <w:sz w:val="24"/>
          <w:szCs w:val="24"/>
          <w:lang w:val="es-ES" w:eastAsia="en-US"/>
          <w14:ligatures w14:val="standardContextual"/>
        </w:rPr>
        <w:id w:val="764580252"/>
        <w:docPartObj>
          <w:docPartGallery w:val="Table of Contents"/>
          <w:docPartUnique/>
        </w:docPartObj>
      </w:sdtPr>
      <w:sdtEndPr>
        <w:rPr>
          <w:bCs/>
        </w:rPr>
      </w:sdtEndPr>
      <w:sdtContent>
        <w:p w14:paraId="4A95D4A9" w14:textId="1D27C750" w:rsidR="00DF16BE" w:rsidRPr="0029754F" w:rsidRDefault="00DF16BE">
          <w:pPr>
            <w:pStyle w:val="TtuloTDC"/>
            <w:rPr>
              <w:rFonts w:eastAsiaTheme="minorHAnsi" w:cs="Times New Roman"/>
              <w:b w:val="0"/>
              <w:color w:val="auto"/>
              <w:kern w:val="2"/>
              <w:sz w:val="24"/>
              <w:szCs w:val="24"/>
              <w:lang w:val="es-ES" w:eastAsia="en-US"/>
              <w14:ligatures w14:val="standardContextual"/>
            </w:rPr>
          </w:pPr>
          <w:r w:rsidRPr="009706C8">
            <w:rPr>
              <w:rFonts w:cs="Times New Roman"/>
              <w:lang w:val="es-ES"/>
            </w:rPr>
            <w:t>Contenido</w:t>
          </w:r>
        </w:p>
        <w:p w14:paraId="3797D1F8" w14:textId="379942F8" w:rsidR="00B931FC" w:rsidRDefault="00DF16BE">
          <w:pPr>
            <w:pStyle w:val="TDC1"/>
            <w:tabs>
              <w:tab w:val="right" w:leader="dot" w:pos="8493"/>
            </w:tabs>
            <w:rPr>
              <w:rFonts w:asciiTheme="minorHAnsi" w:eastAsiaTheme="minorEastAsia" w:hAnsiTheme="minorHAnsi"/>
              <w:noProof/>
              <w:lang w:eastAsia="es-AR"/>
            </w:rPr>
          </w:pPr>
          <w:r w:rsidRPr="009706C8">
            <w:rPr>
              <w:rFonts w:cs="Times New Roman"/>
            </w:rPr>
            <w:fldChar w:fldCharType="begin"/>
          </w:r>
          <w:r w:rsidRPr="009706C8">
            <w:rPr>
              <w:rFonts w:cs="Times New Roman"/>
            </w:rPr>
            <w:instrText xml:space="preserve"> TOC \o "1-3" \h \z \u </w:instrText>
          </w:r>
          <w:r w:rsidRPr="009706C8">
            <w:rPr>
              <w:rFonts w:cs="Times New Roman"/>
            </w:rPr>
            <w:fldChar w:fldCharType="separate"/>
          </w:r>
          <w:hyperlink w:anchor="_Toc223214746" w:history="1">
            <w:r w:rsidR="00B931FC" w:rsidRPr="007774AB">
              <w:rPr>
                <w:rStyle w:val="Hipervnculo"/>
                <w:noProof/>
              </w:rPr>
              <w:t xml:space="preserve">Capítulo </w:t>
            </w:r>
            <w:r w:rsidR="00B931FC" w:rsidRPr="007774AB">
              <w:rPr>
                <w:rStyle w:val="Hipervnculo"/>
                <w:rFonts w:cs="Times New Roman"/>
                <w:noProof/>
              </w:rPr>
              <w:t>1</w:t>
            </w:r>
            <w:r w:rsidR="00B931FC">
              <w:rPr>
                <w:noProof/>
                <w:webHidden/>
              </w:rPr>
              <w:tab/>
            </w:r>
            <w:r w:rsidR="00B931FC">
              <w:rPr>
                <w:noProof/>
                <w:webHidden/>
              </w:rPr>
              <w:fldChar w:fldCharType="begin"/>
            </w:r>
            <w:r w:rsidR="00B931FC">
              <w:rPr>
                <w:noProof/>
                <w:webHidden/>
              </w:rPr>
              <w:instrText xml:space="preserve"> PAGEREF _Toc223214746 \h </w:instrText>
            </w:r>
            <w:r w:rsidR="00B931FC">
              <w:rPr>
                <w:noProof/>
                <w:webHidden/>
              </w:rPr>
            </w:r>
            <w:r w:rsidR="00B931FC">
              <w:rPr>
                <w:noProof/>
                <w:webHidden/>
              </w:rPr>
              <w:fldChar w:fldCharType="separate"/>
            </w:r>
            <w:r w:rsidR="00B931FC">
              <w:rPr>
                <w:noProof/>
                <w:webHidden/>
              </w:rPr>
              <w:t>4</w:t>
            </w:r>
            <w:r w:rsidR="00B931FC">
              <w:rPr>
                <w:noProof/>
                <w:webHidden/>
              </w:rPr>
              <w:fldChar w:fldCharType="end"/>
            </w:r>
          </w:hyperlink>
        </w:p>
        <w:p w14:paraId="565EE1B9" w14:textId="73978E99" w:rsidR="00B931FC" w:rsidRDefault="00B931FC">
          <w:pPr>
            <w:pStyle w:val="TDC1"/>
            <w:tabs>
              <w:tab w:val="right" w:leader="dot" w:pos="8493"/>
            </w:tabs>
            <w:rPr>
              <w:rFonts w:asciiTheme="minorHAnsi" w:eastAsiaTheme="minorEastAsia" w:hAnsiTheme="minorHAnsi"/>
              <w:noProof/>
              <w:lang w:eastAsia="es-AR"/>
            </w:rPr>
          </w:pPr>
          <w:hyperlink w:anchor="_Toc223214747" w:history="1">
            <w:r w:rsidRPr="007774AB">
              <w:rPr>
                <w:rStyle w:val="Hipervnculo"/>
                <w:rFonts w:cs="Times New Roman"/>
                <w:noProof/>
              </w:rPr>
              <w:t>Introducción</w:t>
            </w:r>
            <w:r>
              <w:rPr>
                <w:noProof/>
                <w:webHidden/>
              </w:rPr>
              <w:tab/>
            </w:r>
            <w:r>
              <w:rPr>
                <w:noProof/>
                <w:webHidden/>
              </w:rPr>
              <w:fldChar w:fldCharType="begin"/>
            </w:r>
            <w:r>
              <w:rPr>
                <w:noProof/>
                <w:webHidden/>
              </w:rPr>
              <w:instrText xml:space="preserve"> PAGEREF _Toc223214747 \h </w:instrText>
            </w:r>
            <w:r>
              <w:rPr>
                <w:noProof/>
                <w:webHidden/>
              </w:rPr>
            </w:r>
            <w:r>
              <w:rPr>
                <w:noProof/>
                <w:webHidden/>
              </w:rPr>
              <w:fldChar w:fldCharType="separate"/>
            </w:r>
            <w:r>
              <w:rPr>
                <w:noProof/>
                <w:webHidden/>
              </w:rPr>
              <w:t>4</w:t>
            </w:r>
            <w:r>
              <w:rPr>
                <w:noProof/>
                <w:webHidden/>
              </w:rPr>
              <w:fldChar w:fldCharType="end"/>
            </w:r>
          </w:hyperlink>
        </w:p>
        <w:p w14:paraId="11064CC1" w14:textId="61BC647A" w:rsidR="00B931FC" w:rsidRDefault="00B931FC">
          <w:pPr>
            <w:pStyle w:val="TDC2"/>
            <w:tabs>
              <w:tab w:val="right" w:leader="dot" w:pos="8493"/>
            </w:tabs>
            <w:rPr>
              <w:rFonts w:asciiTheme="minorHAnsi" w:eastAsiaTheme="minorEastAsia" w:hAnsiTheme="minorHAnsi"/>
              <w:noProof/>
              <w:lang w:eastAsia="es-AR"/>
            </w:rPr>
          </w:pPr>
          <w:hyperlink w:anchor="_Toc223214748" w:history="1">
            <w:r w:rsidRPr="007774AB">
              <w:rPr>
                <w:rStyle w:val="Hipervnculo"/>
                <w:rFonts w:cs="Times New Roman"/>
                <w:noProof/>
              </w:rPr>
              <w:t>1.1 Motivación y contexto del estudio</w:t>
            </w:r>
            <w:r>
              <w:rPr>
                <w:noProof/>
                <w:webHidden/>
              </w:rPr>
              <w:tab/>
            </w:r>
            <w:r>
              <w:rPr>
                <w:noProof/>
                <w:webHidden/>
              </w:rPr>
              <w:fldChar w:fldCharType="begin"/>
            </w:r>
            <w:r>
              <w:rPr>
                <w:noProof/>
                <w:webHidden/>
              </w:rPr>
              <w:instrText xml:space="preserve"> PAGEREF _Toc223214748 \h </w:instrText>
            </w:r>
            <w:r>
              <w:rPr>
                <w:noProof/>
                <w:webHidden/>
              </w:rPr>
            </w:r>
            <w:r>
              <w:rPr>
                <w:noProof/>
                <w:webHidden/>
              </w:rPr>
              <w:fldChar w:fldCharType="separate"/>
            </w:r>
            <w:r>
              <w:rPr>
                <w:noProof/>
                <w:webHidden/>
              </w:rPr>
              <w:t>5</w:t>
            </w:r>
            <w:r>
              <w:rPr>
                <w:noProof/>
                <w:webHidden/>
              </w:rPr>
              <w:fldChar w:fldCharType="end"/>
            </w:r>
          </w:hyperlink>
        </w:p>
        <w:p w14:paraId="39BB33B9" w14:textId="0346B368" w:rsidR="00B931FC" w:rsidRDefault="00B931FC">
          <w:pPr>
            <w:pStyle w:val="TDC2"/>
            <w:tabs>
              <w:tab w:val="right" w:leader="dot" w:pos="8493"/>
            </w:tabs>
            <w:rPr>
              <w:rFonts w:asciiTheme="minorHAnsi" w:eastAsiaTheme="minorEastAsia" w:hAnsiTheme="minorHAnsi"/>
              <w:noProof/>
              <w:lang w:eastAsia="es-AR"/>
            </w:rPr>
          </w:pPr>
          <w:hyperlink w:anchor="_Toc223214749" w:history="1">
            <w:r w:rsidRPr="007774AB">
              <w:rPr>
                <w:rStyle w:val="Hipervnculo"/>
                <w:rFonts w:cs="Times New Roman"/>
                <w:noProof/>
              </w:rPr>
              <w:t>1.2 Planteo del problema de investigación</w:t>
            </w:r>
            <w:r>
              <w:rPr>
                <w:noProof/>
                <w:webHidden/>
              </w:rPr>
              <w:tab/>
            </w:r>
            <w:r>
              <w:rPr>
                <w:noProof/>
                <w:webHidden/>
              </w:rPr>
              <w:fldChar w:fldCharType="begin"/>
            </w:r>
            <w:r>
              <w:rPr>
                <w:noProof/>
                <w:webHidden/>
              </w:rPr>
              <w:instrText xml:space="preserve"> PAGEREF _Toc223214749 \h </w:instrText>
            </w:r>
            <w:r>
              <w:rPr>
                <w:noProof/>
                <w:webHidden/>
              </w:rPr>
            </w:r>
            <w:r>
              <w:rPr>
                <w:noProof/>
                <w:webHidden/>
              </w:rPr>
              <w:fldChar w:fldCharType="separate"/>
            </w:r>
            <w:r>
              <w:rPr>
                <w:noProof/>
                <w:webHidden/>
              </w:rPr>
              <w:t>5</w:t>
            </w:r>
            <w:r>
              <w:rPr>
                <w:noProof/>
                <w:webHidden/>
              </w:rPr>
              <w:fldChar w:fldCharType="end"/>
            </w:r>
          </w:hyperlink>
        </w:p>
        <w:p w14:paraId="5DBC0F1B" w14:textId="78FC643A" w:rsidR="00B931FC" w:rsidRDefault="00B931FC">
          <w:pPr>
            <w:pStyle w:val="TDC2"/>
            <w:tabs>
              <w:tab w:val="right" w:leader="dot" w:pos="8493"/>
            </w:tabs>
            <w:rPr>
              <w:rFonts w:asciiTheme="minorHAnsi" w:eastAsiaTheme="minorEastAsia" w:hAnsiTheme="minorHAnsi"/>
              <w:noProof/>
              <w:lang w:eastAsia="es-AR"/>
            </w:rPr>
          </w:pPr>
          <w:hyperlink w:anchor="_Toc223214750" w:history="1">
            <w:r w:rsidRPr="007774AB">
              <w:rPr>
                <w:rStyle w:val="Hipervnculo"/>
                <w:rFonts w:cs="Times New Roman"/>
                <w:noProof/>
              </w:rPr>
              <w:t>1.3 Objetivos de la investigación</w:t>
            </w:r>
            <w:r>
              <w:rPr>
                <w:noProof/>
                <w:webHidden/>
              </w:rPr>
              <w:tab/>
            </w:r>
            <w:r>
              <w:rPr>
                <w:noProof/>
                <w:webHidden/>
              </w:rPr>
              <w:fldChar w:fldCharType="begin"/>
            </w:r>
            <w:r>
              <w:rPr>
                <w:noProof/>
                <w:webHidden/>
              </w:rPr>
              <w:instrText xml:space="preserve"> PAGEREF _Toc223214750 \h </w:instrText>
            </w:r>
            <w:r>
              <w:rPr>
                <w:noProof/>
                <w:webHidden/>
              </w:rPr>
            </w:r>
            <w:r>
              <w:rPr>
                <w:noProof/>
                <w:webHidden/>
              </w:rPr>
              <w:fldChar w:fldCharType="separate"/>
            </w:r>
            <w:r>
              <w:rPr>
                <w:noProof/>
                <w:webHidden/>
              </w:rPr>
              <w:t>5</w:t>
            </w:r>
            <w:r>
              <w:rPr>
                <w:noProof/>
                <w:webHidden/>
              </w:rPr>
              <w:fldChar w:fldCharType="end"/>
            </w:r>
          </w:hyperlink>
        </w:p>
        <w:p w14:paraId="129C62EA" w14:textId="16D3477F" w:rsidR="00B931FC" w:rsidRDefault="00B931FC">
          <w:pPr>
            <w:pStyle w:val="TDC2"/>
            <w:tabs>
              <w:tab w:val="right" w:leader="dot" w:pos="8493"/>
            </w:tabs>
            <w:rPr>
              <w:rFonts w:asciiTheme="minorHAnsi" w:eastAsiaTheme="minorEastAsia" w:hAnsiTheme="minorHAnsi"/>
              <w:noProof/>
              <w:lang w:eastAsia="es-AR"/>
            </w:rPr>
          </w:pPr>
          <w:hyperlink w:anchor="_Toc223214751" w:history="1">
            <w:r w:rsidRPr="007774AB">
              <w:rPr>
                <w:rStyle w:val="Hipervnculo"/>
                <w:rFonts w:cs="Times New Roman"/>
                <w:noProof/>
              </w:rPr>
              <w:t>1.4 Hipótesis de trabajo</w:t>
            </w:r>
            <w:r>
              <w:rPr>
                <w:noProof/>
                <w:webHidden/>
              </w:rPr>
              <w:tab/>
            </w:r>
            <w:r>
              <w:rPr>
                <w:noProof/>
                <w:webHidden/>
              </w:rPr>
              <w:fldChar w:fldCharType="begin"/>
            </w:r>
            <w:r>
              <w:rPr>
                <w:noProof/>
                <w:webHidden/>
              </w:rPr>
              <w:instrText xml:space="preserve"> PAGEREF _Toc223214751 \h </w:instrText>
            </w:r>
            <w:r>
              <w:rPr>
                <w:noProof/>
                <w:webHidden/>
              </w:rPr>
            </w:r>
            <w:r>
              <w:rPr>
                <w:noProof/>
                <w:webHidden/>
              </w:rPr>
              <w:fldChar w:fldCharType="separate"/>
            </w:r>
            <w:r>
              <w:rPr>
                <w:noProof/>
                <w:webHidden/>
              </w:rPr>
              <w:t>6</w:t>
            </w:r>
            <w:r>
              <w:rPr>
                <w:noProof/>
                <w:webHidden/>
              </w:rPr>
              <w:fldChar w:fldCharType="end"/>
            </w:r>
          </w:hyperlink>
        </w:p>
        <w:p w14:paraId="148B7843" w14:textId="0ABB3238" w:rsidR="00B931FC" w:rsidRDefault="00B931FC">
          <w:pPr>
            <w:pStyle w:val="TDC2"/>
            <w:tabs>
              <w:tab w:val="right" w:leader="dot" w:pos="8493"/>
            </w:tabs>
            <w:rPr>
              <w:rFonts w:asciiTheme="minorHAnsi" w:eastAsiaTheme="minorEastAsia" w:hAnsiTheme="minorHAnsi"/>
              <w:noProof/>
              <w:lang w:eastAsia="es-AR"/>
            </w:rPr>
          </w:pPr>
          <w:hyperlink w:anchor="_Toc223214752" w:history="1">
            <w:r w:rsidRPr="007774AB">
              <w:rPr>
                <w:rStyle w:val="Hipervnculo"/>
                <w:rFonts w:cs="Times New Roman"/>
                <w:noProof/>
              </w:rPr>
              <w:t>1.5 Alcance, supuestos y delimitaciones</w:t>
            </w:r>
            <w:r>
              <w:rPr>
                <w:noProof/>
                <w:webHidden/>
              </w:rPr>
              <w:tab/>
            </w:r>
            <w:r>
              <w:rPr>
                <w:noProof/>
                <w:webHidden/>
              </w:rPr>
              <w:fldChar w:fldCharType="begin"/>
            </w:r>
            <w:r>
              <w:rPr>
                <w:noProof/>
                <w:webHidden/>
              </w:rPr>
              <w:instrText xml:space="preserve"> PAGEREF _Toc223214752 \h </w:instrText>
            </w:r>
            <w:r>
              <w:rPr>
                <w:noProof/>
                <w:webHidden/>
              </w:rPr>
            </w:r>
            <w:r>
              <w:rPr>
                <w:noProof/>
                <w:webHidden/>
              </w:rPr>
              <w:fldChar w:fldCharType="separate"/>
            </w:r>
            <w:r>
              <w:rPr>
                <w:noProof/>
                <w:webHidden/>
              </w:rPr>
              <w:t>6</w:t>
            </w:r>
            <w:r>
              <w:rPr>
                <w:noProof/>
                <w:webHidden/>
              </w:rPr>
              <w:fldChar w:fldCharType="end"/>
            </w:r>
          </w:hyperlink>
        </w:p>
        <w:p w14:paraId="4591603B" w14:textId="054BA2A0" w:rsidR="00B931FC" w:rsidRDefault="00B931FC">
          <w:pPr>
            <w:pStyle w:val="TDC2"/>
            <w:tabs>
              <w:tab w:val="right" w:leader="dot" w:pos="8493"/>
            </w:tabs>
            <w:rPr>
              <w:rFonts w:asciiTheme="minorHAnsi" w:eastAsiaTheme="minorEastAsia" w:hAnsiTheme="minorHAnsi"/>
              <w:noProof/>
              <w:lang w:eastAsia="es-AR"/>
            </w:rPr>
          </w:pPr>
          <w:hyperlink w:anchor="_Toc223214753" w:history="1">
            <w:r w:rsidRPr="007774AB">
              <w:rPr>
                <w:rStyle w:val="Hipervnculo"/>
                <w:rFonts w:cs="Times New Roman"/>
                <w:noProof/>
              </w:rPr>
              <w:t>1.6 Organización del trabajo</w:t>
            </w:r>
            <w:r>
              <w:rPr>
                <w:noProof/>
                <w:webHidden/>
              </w:rPr>
              <w:tab/>
            </w:r>
            <w:r>
              <w:rPr>
                <w:noProof/>
                <w:webHidden/>
              </w:rPr>
              <w:fldChar w:fldCharType="begin"/>
            </w:r>
            <w:r>
              <w:rPr>
                <w:noProof/>
                <w:webHidden/>
              </w:rPr>
              <w:instrText xml:space="preserve"> PAGEREF _Toc223214753 \h </w:instrText>
            </w:r>
            <w:r>
              <w:rPr>
                <w:noProof/>
                <w:webHidden/>
              </w:rPr>
            </w:r>
            <w:r>
              <w:rPr>
                <w:noProof/>
                <w:webHidden/>
              </w:rPr>
              <w:fldChar w:fldCharType="separate"/>
            </w:r>
            <w:r>
              <w:rPr>
                <w:noProof/>
                <w:webHidden/>
              </w:rPr>
              <w:t>7</w:t>
            </w:r>
            <w:r>
              <w:rPr>
                <w:noProof/>
                <w:webHidden/>
              </w:rPr>
              <w:fldChar w:fldCharType="end"/>
            </w:r>
          </w:hyperlink>
        </w:p>
        <w:p w14:paraId="7525929E" w14:textId="44FE9DAE" w:rsidR="00B931FC" w:rsidRDefault="00B931FC">
          <w:pPr>
            <w:pStyle w:val="TDC1"/>
            <w:tabs>
              <w:tab w:val="right" w:leader="dot" w:pos="8493"/>
            </w:tabs>
            <w:rPr>
              <w:rFonts w:asciiTheme="minorHAnsi" w:eastAsiaTheme="minorEastAsia" w:hAnsiTheme="minorHAnsi"/>
              <w:noProof/>
              <w:lang w:eastAsia="es-AR"/>
            </w:rPr>
          </w:pPr>
          <w:hyperlink w:anchor="_Toc223214754" w:history="1">
            <w:r w:rsidRPr="007774AB">
              <w:rPr>
                <w:rStyle w:val="Hipervnculo"/>
                <w:noProof/>
              </w:rPr>
              <w:t>Capítulo 2</w:t>
            </w:r>
            <w:r>
              <w:rPr>
                <w:noProof/>
                <w:webHidden/>
              </w:rPr>
              <w:tab/>
            </w:r>
            <w:r>
              <w:rPr>
                <w:noProof/>
                <w:webHidden/>
              </w:rPr>
              <w:fldChar w:fldCharType="begin"/>
            </w:r>
            <w:r>
              <w:rPr>
                <w:noProof/>
                <w:webHidden/>
              </w:rPr>
              <w:instrText xml:space="preserve"> PAGEREF _Toc223214754 \h </w:instrText>
            </w:r>
            <w:r>
              <w:rPr>
                <w:noProof/>
                <w:webHidden/>
              </w:rPr>
            </w:r>
            <w:r>
              <w:rPr>
                <w:noProof/>
                <w:webHidden/>
              </w:rPr>
              <w:fldChar w:fldCharType="separate"/>
            </w:r>
            <w:r>
              <w:rPr>
                <w:noProof/>
                <w:webHidden/>
              </w:rPr>
              <w:t>7</w:t>
            </w:r>
            <w:r>
              <w:rPr>
                <w:noProof/>
                <w:webHidden/>
              </w:rPr>
              <w:fldChar w:fldCharType="end"/>
            </w:r>
          </w:hyperlink>
        </w:p>
        <w:p w14:paraId="3D76B9C6" w14:textId="07448D22" w:rsidR="00B931FC" w:rsidRDefault="00B931FC">
          <w:pPr>
            <w:pStyle w:val="TDC1"/>
            <w:tabs>
              <w:tab w:val="right" w:leader="dot" w:pos="8493"/>
            </w:tabs>
            <w:rPr>
              <w:rFonts w:asciiTheme="minorHAnsi" w:eastAsiaTheme="minorEastAsia" w:hAnsiTheme="minorHAnsi"/>
              <w:noProof/>
              <w:lang w:eastAsia="es-AR"/>
            </w:rPr>
          </w:pPr>
          <w:hyperlink w:anchor="_Toc223214755" w:history="1">
            <w:r w:rsidRPr="007774AB">
              <w:rPr>
                <w:rStyle w:val="Hipervnculo"/>
                <w:noProof/>
              </w:rPr>
              <w:t>Marco Teórico y Antecedentes Empíricos</w:t>
            </w:r>
            <w:r>
              <w:rPr>
                <w:noProof/>
                <w:webHidden/>
              </w:rPr>
              <w:tab/>
            </w:r>
            <w:r>
              <w:rPr>
                <w:noProof/>
                <w:webHidden/>
              </w:rPr>
              <w:fldChar w:fldCharType="begin"/>
            </w:r>
            <w:r>
              <w:rPr>
                <w:noProof/>
                <w:webHidden/>
              </w:rPr>
              <w:instrText xml:space="preserve"> PAGEREF _Toc223214755 \h </w:instrText>
            </w:r>
            <w:r>
              <w:rPr>
                <w:noProof/>
                <w:webHidden/>
              </w:rPr>
            </w:r>
            <w:r>
              <w:rPr>
                <w:noProof/>
                <w:webHidden/>
              </w:rPr>
              <w:fldChar w:fldCharType="separate"/>
            </w:r>
            <w:r>
              <w:rPr>
                <w:noProof/>
                <w:webHidden/>
              </w:rPr>
              <w:t>7</w:t>
            </w:r>
            <w:r>
              <w:rPr>
                <w:noProof/>
                <w:webHidden/>
              </w:rPr>
              <w:fldChar w:fldCharType="end"/>
            </w:r>
          </w:hyperlink>
        </w:p>
        <w:p w14:paraId="0EC1BCDF" w14:textId="182710E6" w:rsidR="00B931FC" w:rsidRDefault="00B931FC">
          <w:pPr>
            <w:pStyle w:val="TDC2"/>
            <w:tabs>
              <w:tab w:val="right" w:leader="dot" w:pos="8493"/>
            </w:tabs>
            <w:rPr>
              <w:rFonts w:asciiTheme="minorHAnsi" w:eastAsiaTheme="minorEastAsia" w:hAnsiTheme="minorHAnsi"/>
              <w:noProof/>
              <w:lang w:eastAsia="es-AR"/>
            </w:rPr>
          </w:pPr>
          <w:hyperlink w:anchor="_Toc223214756" w:history="1">
            <w:r w:rsidRPr="007774AB">
              <w:rPr>
                <w:rStyle w:val="Hipervnculo"/>
                <w:rFonts w:cs="Times New Roman"/>
                <w:noProof/>
              </w:rPr>
              <w:t>2.1 Hipótesis de los Mercados Eficientes</w:t>
            </w:r>
            <w:r>
              <w:rPr>
                <w:noProof/>
                <w:webHidden/>
              </w:rPr>
              <w:tab/>
            </w:r>
            <w:r>
              <w:rPr>
                <w:noProof/>
                <w:webHidden/>
              </w:rPr>
              <w:fldChar w:fldCharType="begin"/>
            </w:r>
            <w:r>
              <w:rPr>
                <w:noProof/>
                <w:webHidden/>
              </w:rPr>
              <w:instrText xml:space="preserve"> PAGEREF _Toc223214756 \h </w:instrText>
            </w:r>
            <w:r>
              <w:rPr>
                <w:noProof/>
                <w:webHidden/>
              </w:rPr>
            </w:r>
            <w:r>
              <w:rPr>
                <w:noProof/>
                <w:webHidden/>
              </w:rPr>
              <w:fldChar w:fldCharType="separate"/>
            </w:r>
            <w:r>
              <w:rPr>
                <w:noProof/>
                <w:webHidden/>
              </w:rPr>
              <w:t>8</w:t>
            </w:r>
            <w:r>
              <w:rPr>
                <w:noProof/>
                <w:webHidden/>
              </w:rPr>
              <w:fldChar w:fldCharType="end"/>
            </w:r>
          </w:hyperlink>
        </w:p>
        <w:p w14:paraId="3977659E" w14:textId="39E8A9C0" w:rsidR="00B931FC" w:rsidRDefault="00B931FC">
          <w:pPr>
            <w:pStyle w:val="TDC2"/>
            <w:tabs>
              <w:tab w:val="right" w:leader="dot" w:pos="8493"/>
            </w:tabs>
            <w:rPr>
              <w:rFonts w:asciiTheme="minorHAnsi" w:eastAsiaTheme="minorEastAsia" w:hAnsiTheme="minorHAnsi"/>
              <w:noProof/>
              <w:lang w:eastAsia="es-AR"/>
            </w:rPr>
          </w:pPr>
          <w:hyperlink w:anchor="_Toc223214757" w:history="1">
            <w:r w:rsidRPr="007774AB">
              <w:rPr>
                <w:rStyle w:val="Hipervnculo"/>
                <w:rFonts w:cs="Times New Roman"/>
                <w:noProof/>
              </w:rPr>
              <w:t>2.2 Anomalías financieras</w:t>
            </w:r>
            <w:r>
              <w:rPr>
                <w:noProof/>
                <w:webHidden/>
              </w:rPr>
              <w:tab/>
            </w:r>
            <w:r>
              <w:rPr>
                <w:noProof/>
                <w:webHidden/>
              </w:rPr>
              <w:fldChar w:fldCharType="begin"/>
            </w:r>
            <w:r>
              <w:rPr>
                <w:noProof/>
                <w:webHidden/>
              </w:rPr>
              <w:instrText xml:space="preserve"> PAGEREF _Toc223214757 \h </w:instrText>
            </w:r>
            <w:r>
              <w:rPr>
                <w:noProof/>
                <w:webHidden/>
              </w:rPr>
            </w:r>
            <w:r>
              <w:rPr>
                <w:noProof/>
                <w:webHidden/>
              </w:rPr>
              <w:fldChar w:fldCharType="separate"/>
            </w:r>
            <w:r>
              <w:rPr>
                <w:noProof/>
                <w:webHidden/>
              </w:rPr>
              <w:t>8</w:t>
            </w:r>
            <w:r>
              <w:rPr>
                <w:noProof/>
                <w:webHidden/>
              </w:rPr>
              <w:fldChar w:fldCharType="end"/>
            </w:r>
          </w:hyperlink>
        </w:p>
        <w:p w14:paraId="3482377D" w14:textId="794B322A" w:rsidR="00B931FC" w:rsidRDefault="00B931FC">
          <w:pPr>
            <w:pStyle w:val="TDC2"/>
            <w:tabs>
              <w:tab w:val="right" w:leader="dot" w:pos="8493"/>
            </w:tabs>
            <w:rPr>
              <w:rFonts w:asciiTheme="minorHAnsi" w:eastAsiaTheme="minorEastAsia" w:hAnsiTheme="minorHAnsi"/>
              <w:noProof/>
              <w:lang w:eastAsia="es-AR"/>
            </w:rPr>
          </w:pPr>
          <w:hyperlink w:anchor="_Toc223214758" w:history="1">
            <w:r w:rsidRPr="007774AB">
              <w:rPr>
                <w:rStyle w:val="Hipervnculo"/>
                <w:rFonts w:cs="Times New Roman"/>
                <w:noProof/>
              </w:rPr>
              <w:t>2.3 El efecto momentum</w:t>
            </w:r>
            <w:r>
              <w:rPr>
                <w:noProof/>
                <w:webHidden/>
              </w:rPr>
              <w:tab/>
            </w:r>
            <w:r>
              <w:rPr>
                <w:noProof/>
                <w:webHidden/>
              </w:rPr>
              <w:fldChar w:fldCharType="begin"/>
            </w:r>
            <w:r>
              <w:rPr>
                <w:noProof/>
                <w:webHidden/>
              </w:rPr>
              <w:instrText xml:space="preserve"> PAGEREF _Toc223214758 \h </w:instrText>
            </w:r>
            <w:r>
              <w:rPr>
                <w:noProof/>
                <w:webHidden/>
              </w:rPr>
            </w:r>
            <w:r>
              <w:rPr>
                <w:noProof/>
                <w:webHidden/>
              </w:rPr>
              <w:fldChar w:fldCharType="separate"/>
            </w:r>
            <w:r>
              <w:rPr>
                <w:noProof/>
                <w:webHidden/>
              </w:rPr>
              <w:t>9</w:t>
            </w:r>
            <w:r>
              <w:rPr>
                <w:noProof/>
                <w:webHidden/>
              </w:rPr>
              <w:fldChar w:fldCharType="end"/>
            </w:r>
          </w:hyperlink>
        </w:p>
        <w:p w14:paraId="02978F21" w14:textId="5A3D1860" w:rsidR="00B931FC" w:rsidRDefault="00B931FC">
          <w:pPr>
            <w:pStyle w:val="TDC2"/>
            <w:tabs>
              <w:tab w:val="right" w:leader="dot" w:pos="8493"/>
            </w:tabs>
            <w:rPr>
              <w:rFonts w:asciiTheme="minorHAnsi" w:eastAsiaTheme="minorEastAsia" w:hAnsiTheme="minorHAnsi"/>
              <w:noProof/>
              <w:lang w:eastAsia="es-AR"/>
            </w:rPr>
          </w:pPr>
          <w:hyperlink w:anchor="_Toc223214759" w:history="1">
            <w:r w:rsidRPr="007774AB">
              <w:rPr>
                <w:rStyle w:val="Hipervnculo"/>
                <w:rFonts w:cs="Times New Roman"/>
                <w:noProof/>
              </w:rPr>
              <w:t>2.4 Momentum cross-sectional y momentum sectorial</w:t>
            </w:r>
            <w:r>
              <w:rPr>
                <w:noProof/>
                <w:webHidden/>
              </w:rPr>
              <w:tab/>
            </w:r>
            <w:r>
              <w:rPr>
                <w:noProof/>
                <w:webHidden/>
              </w:rPr>
              <w:fldChar w:fldCharType="begin"/>
            </w:r>
            <w:r>
              <w:rPr>
                <w:noProof/>
                <w:webHidden/>
              </w:rPr>
              <w:instrText xml:space="preserve"> PAGEREF _Toc223214759 \h </w:instrText>
            </w:r>
            <w:r>
              <w:rPr>
                <w:noProof/>
                <w:webHidden/>
              </w:rPr>
            </w:r>
            <w:r>
              <w:rPr>
                <w:noProof/>
                <w:webHidden/>
              </w:rPr>
              <w:fldChar w:fldCharType="separate"/>
            </w:r>
            <w:r>
              <w:rPr>
                <w:noProof/>
                <w:webHidden/>
              </w:rPr>
              <w:t>9</w:t>
            </w:r>
            <w:r>
              <w:rPr>
                <w:noProof/>
                <w:webHidden/>
              </w:rPr>
              <w:fldChar w:fldCharType="end"/>
            </w:r>
          </w:hyperlink>
        </w:p>
        <w:p w14:paraId="0B5A9ADE" w14:textId="5C14FD1B" w:rsidR="00B931FC" w:rsidRDefault="00B931FC">
          <w:pPr>
            <w:pStyle w:val="TDC2"/>
            <w:tabs>
              <w:tab w:val="right" w:leader="dot" w:pos="8493"/>
            </w:tabs>
            <w:rPr>
              <w:rFonts w:asciiTheme="minorHAnsi" w:eastAsiaTheme="minorEastAsia" w:hAnsiTheme="minorHAnsi"/>
              <w:noProof/>
              <w:lang w:eastAsia="es-AR"/>
            </w:rPr>
          </w:pPr>
          <w:hyperlink w:anchor="_Toc223214760" w:history="1">
            <w:r w:rsidRPr="007774AB">
              <w:rPr>
                <w:rStyle w:val="Hipervnculo"/>
                <w:rFonts w:cs="Times New Roman"/>
                <w:noProof/>
              </w:rPr>
              <w:t>2.5 Explicaciones teóricas del momentum</w:t>
            </w:r>
            <w:r>
              <w:rPr>
                <w:noProof/>
                <w:webHidden/>
              </w:rPr>
              <w:tab/>
            </w:r>
            <w:r>
              <w:rPr>
                <w:noProof/>
                <w:webHidden/>
              </w:rPr>
              <w:fldChar w:fldCharType="begin"/>
            </w:r>
            <w:r>
              <w:rPr>
                <w:noProof/>
                <w:webHidden/>
              </w:rPr>
              <w:instrText xml:space="preserve"> PAGEREF _Toc223214760 \h </w:instrText>
            </w:r>
            <w:r>
              <w:rPr>
                <w:noProof/>
                <w:webHidden/>
              </w:rPr>
            </w:r>
            <w:r>
              <w:rPr>
                <w:noProof/>
                <w:webHidden/>
              </w:rPr>
              <w:fldChar w:fldCharType="separate"/>
            </w:r>
            <w:r>
              <w:rPr>
                <w:noProof/>
                <w:webHidden/>
              </w:rPr>
              <w:t>9</w:t>
            </w:r>
            <w:r>
              <w:rPr>
                <w:noProof/>
                <w:webHidden/>
              </w:rPr>
              <w:fldChar w:fldCharType="end"/>
            </w:r>
          </w:hyperlink>
        </w:p>
        <w:p w14:paraId="2DF3DAC5" w14:textId="052512F5" w:rsidR="00B931FC" w:rsidRDefault="00B931FC">
          <w:pPr>
            <w:pStyle w:val="TDC2"/>
            <w:tabs>
              <w:tab w:val="right" w:leader="dot" w:pos="8493"/>
            </w:tabs>
            <w:rPr>
              <w:rFonts w:asciiTheme="minorHAnsi" w:eastAsiaTheme="minorEastAsia" w:hAnsiTheme="minorHAnsi"/>
              <w:noProof/>
              <w:lang w:eastAsia="es-AR"/>
            </w:rPr>
          </w:pPr>
          <w:hyperlink w:anchor="_Toc223214761" w:history="1">
            <w:r w:rsidRPr="007774AB">
              <w:rPr>
                <w:rStyle w:val="Hipervnculo"/>
                <w:rFonts w:cs="Times New Roman"/>
                <w:noProof/>
              </w:rPr>
              <w:t>2.6 ETFs como instrumentos para estrategias de momentum</w:t>
            </w:r>
            <w:r>
              <w:rPr>
                <w:noProof/>
                <w:webHidden/>
              </w:rPr>
              <w:tab/>
            </w:r>
            <w:r>
              <w:rPr>
                <w:noProof/>
                <w:webHidden/>
              </w:rPr>
              <w:fldChar w:fldCharType="begin"/>
            </w:r>
            <w:r>
              <w:rPr>
                <w:noProof/>
                <w:webHidden/>
              </w:rPr>
              <w:instrText xml:space="preserve"> PAGEREF _Toc223214761 \h </w:instrText>
            </w:r>
            <w:r>
              <w:rPr>
                <w:noProof/>
                <w:webHidden/>
              </w:rPr>
            </w:r>
            <w:r>
              <w:rPr>
                <w:noProof/>
                <w:webHidden/>
              </w:rPr>
              <w:fldChar w:fldCharType="separate"/>
            </w:r>
            <w:r>
              <w:rPr>
                <w:noProof/>
                <w:webHidden/>
              </w:rPr>
              <w:t>10</w:t>
            </w:r>
            <w:r>
              <w:rPr>
                <w:noProof/>
                <w:webHidden/>
              </w:rPr>
              <w:fldChar w:fldCharType="end"/>
            </w:r>
          </w:hyperlink>
        </w:p>
        <w:p w14:paraId="7F1C70CC" w14:textId="27E367FA" w:rsidR="00B931FC" w:rsidRDefault="00B931FC">
          <w:pPr>
            <w:pStyle w:val="TDC2"/>
            <w:tabs>
              <w:tab w:val="right" w:leader="dot" w:pos="8493"/>
            </w:tabs>
            <w:rPr>
              <w:rFonts w:asciiTheme="minorHAnsi" w:eastAsiaTheme="minorEastAsia" w:hAnsiTheme="minorHAnsi"/>
              <w:noProof/>
              <w:lang w:eastAsia="es-AR"/>
            </w:rPr>
          </w:pPr>
          <w:hyperlink w:anchor="_Toc223214762" w:history="1">
            <w:r w:rsidRPr="007774AB">
              <w:rPr>
                <w:rStyle w:val="Hipervnculo"/>
                <w:rFonts w:cs="Times New Roman"/>
                <w:noProof/>
              </w:rPr>
              <w:t>2.7 Relación con los modelos de factores</w:t>
            </w:r>
            <w:r>
              <w:rPr>
                <w:noProof/>
                <w:webHidden/>
              </w:rPr>
              <w:tab/>
            </w:r>
            <w:r>
              <w:rPr>
                <w:noProof/>
                <w:webHidden/>
              </w:rPr>
              <w:fldChar w:fldCharType="begin"/>
            </w:r>
            <w:r>
              <w:rPr>
                <w:noProof/>
                <w:webHidden/>
              </w:rPr>
              <w:instrText xml:space="preserve"> PAGEREF _Toc223214762 \h </w:instrText>
            </w:r>
            <w:r>
              <w:rPr>
                <w:noProof/>
                <w:webHidden/>
              </w:rPr>
            </w:r>
            <w:r>
              <w:rPr>
                <w:noProof/>
                <w:webHidden/>
              </w:rPr>
              <w:fldChar w:fldCharType="separate"/>
            </w:r>
            <w:r>
              <w:rPr>
                <w:noProof/>
                <w:webHidden/>
              </w:rPr>
              <w:t>10</w:t>
            </w:r>
            <w:r>
              <w:rPr>
                <w:noProof/>
                <w:webHidden/>
              </w:rPr>
              <w:fldChar w:fldCharType="end"/>
            </w:r>
          </w:hyperlink>
        </w:p>
        <w:p w14:paraId="012050BD" w14:textId="01E41412" w:rsidR="00B931FC" w:rsidRDefault="00B931FC">
          <w:pPr>
            <w:pStyle w:val="TDC1"/>
            <w:tabs>
              <w:tab w:val="right" w:leader="dot" w:pos="8493"/>
            </w:tabs>
            <w:rPr>
              <w:rFonts w:asciiTheme="minorHAnsi" w:eastAsiaTheme="minorEastAsia" w:hAnsiTheme="minorHAnsi"/>
              <w:noProof/>
              <w:lang w:eastAsia="es-AR"/>
            </w:rPr>
          </w:pPr>
          <w:hyperlink w:anchor="_Toc223214763" w:history="1">
            <w:r w:rsidRPr="007774AB">
              <w:rPr>
                <w:rStyle w:val="Hipervnculo"/>
                <w:noProof/>
              </w:rPr>
              <w:t>Capítulo 3</w:t>
            </w:r>
            <w:r>
              <w:rPr>
                <w:noProof/>
                <w:webHidden/>
              </w:rPr>
              <w:tab/>
            </w:r>
            <w:r>
              <w:rPr>
                <w:noProof/>
                <w:webHidden/>
              </w:rPr>
              <w:fldChar w:fldCharType="begin"/>
            </w:r>
            <w:r>
              <w:rPr>
                <w:noProof/>
                <w:webHidden/>
              </w:rPr>
              <w:instrText xml:space="preserve"> PAGEREF _Toc223214763 \h </w:instrText>
            </w:r>
            <w:r>
              <w:rPr>
                <w:noProof/>
                <w:webHidden/>
              </w:rPr>
            </w:r>
            <w:r>
              <w:rPr>
                <w:noProof/>
                <w:webHidden/>
              </w:rPr>
              <w:fldChar w:fldCharType="separate"/>
            </w:r>
            <w:r>
              <w:rPr>
                <w:noProof/>
                <w:webHidden/>
              </w:rPr>
              <w:t>11</w:t>
            </w:r>
            <w:r>
              <w:rPr>
                <w:noProof/>
                <w:webHidden/>
              </w:rPr>
              <w:fldChar w:fldCharType="end"/>
            </w:r>
          </w:hyperlink>
        </w:p>
        <w:p w14:paraId="4FC61FE0" w14:textId="038FEDE8" w:rsidR="00B931FC" w:rsidRDefault="00B931FC">
          <w:pPr>
            <w:pStyle w:val="TDC1"/>
            <w:tabs>
              <w:tab w:val="right" w:leader="dot" w:pos="8493"/>
            </w:tabs>
            <w:rPr>
              <w:rFonts w:asciiTheme="minorHAnsi" w:eastAsiaTheme="minorEastAsia" w:hAnsiTheme="minorHAnsi"/>
              <w:noProof/>
              <w:lang w:eastAsia="es-AR"/>
            </w:rPr>
          </w:pPr>
          <w:hyperlink w:anchor="_Toc223214764" w:history="1">
            <w:r w:rsidRPr="007774AB">
              <w:rPr>
                <w:rStyle w:val="Hipervnculo"/>
                <w:noProof/>
              </w:rPr>
              <w:t>Datos y metodología de construcción de las estrategias</w:t>
            </w:r>
            <w:r>
              <w:rPr>
                <w:noProof/>
                <w:webHidden/>
              </w:rPr>
              <w:tab/>
            </w:r>
            <w:r>
              <w:rPr>
                <w:noProof/>
                <w:webHidden/>
              </w:rPr>
              <w:fldChar w:fldCharType="begin"/>
            </w:r>
            <w:r>
              <w:rPr>
                <w:noProof/>
                <w:webHidden/>
              </w:rPr>
              <w:instrText xml:space="preserve"> PAGEREF _Toc223214764 \h </w:instrText>
            </w:r>
            <w:r>
              <w:rPr>
                <w:noProof/>
                <w:webHidden/>
              </w:rPr>
            </w:r>
            <w:r>
              <w:rPr>
                <w:noProof/>
                <w:webHidden/>
              </w:rPr>
              <w:fldChar w:fldCharType="separate"/>
            </w:r>
            <w:r>
              <w:rPr>
                <w:noProof/>
                <w:webHidden/>
              </w:rPr>
              <w:t>11</w:t>
            </w:r>
            <w:r>
              <w:rPr>
                <w:noProof/>
                <w:webHidden/>
              </w:rPr>
              <w:fldChar w:fldCharType="end"/>
            </w:r>
          </w:hyperlink>
        </w:p>
        <w:p w14:paraId="7EC1BD92" w14:textId="696244C2" w:rsidR="00B931FC" w:rsidRDefault="00B931FC">
          <w:pPr>
            <w:pStyle w:val="TDC2"/>
            <w:tabs>
              <w:tab w:val="right" w:leader="dot" w:pos="8493"/>
            </w:tabs>
            <w:rPr>
              <w:rFonts w:asciiTheme="minorHAnsi" w:eastAsiaTheme="minorEastAsia" w:hAnsiTheme="minorHAnsi"/>
              <w:noProof/>
              <w:lang w:eastAsia="es-AR"/>
            </w:rPr>
          </w:pPr>
          <w:hyperlink w:anchor="_Toc223214765" w:history="1">
            <w:r w:rsidRPr="007774AB">
              <w:rPr>
                <w:rStyle w:val="Hipervnculo"/>
                <w:rFonts w:cs="Times New Roman"/>
                <w:noProof/>
              </w:rPr>
              <w:t>3.1 Universo de análisis</w:t>
            </w:r>
            <w:r>
              <w:rPr>
                <w:noProof/>
                <w:webHidden/>
              </w:rPr>
              <w:tab/>
            </w:r>
            <w:r>
              <w:rPr>
                <w:noProof/>
                <w:webHidden/>
              </w:rPr>
              <w:fldChar w:fldCharType="begin"/>
            </w:r>
            <w:r>
              <w:rPr>
                <w:noProof/>
                <w:webHidden/>
              </w:rPr>
              <w:instrText xml:space="preserve"> PAGEREF _Toc223214765 \h </w:instrText>
            </w:r>
            <w:r>
              <w:rPr>
                <w:noProof/>
                <w:webHidden/>
              </w:rPr>
            </w:r>
            <w:r>
              <w:rPr>
                <w:noProof/>
                <w:webHidden/>
              </w:rPr>
              <w:fldChar w:fldCharType="separate"/>
            </w:r>
            <w:r>
              <w:rPr>
                <w:noProof/>
                <w:webHidden/>
              </w:rPr>
              <w:t>11</w:t>
            </w:r>
            <w:r>
              <w:rPr>
                <w:noProof/>
                <w:webHidden/>
              </w:rPr>
              <w:fldChar w:fldCharType="end"/>
            </w:r>
          </w:hyperlink>
        </w:p>
        <w:p w14:paraId="6992969A" w14:textId="39E4E785" w:rsidR="00B931FC" w:rsidRDefault="00B931FC">
          <w:pPr>
            <w:pStyle w:val="TDC2"/>
            <w:tabs>
              <w:tab w:val="right" w:leader="dot" w:pos="8493"/>
            </w:tabs>
            <w:rPr>
              <w:rFonts w:asciiTheme="minorHAnsi" w:eastAsiaTheme="minorEastAsia" w:hAnsiTheme="minorHAnsi"/>
              <w:noProof/>
              <w:lang w:eastAsia="es-AR"/>
            </w:rPr>
          </w:pPr>
          <w:hyperlink w:anchor="_Toc223214766" w:history="1">
            <w:r w:rsidRPr="007774AB">
              <w:rPr>
                <w:rStyle w:val="Hipervnculo"/>
                <w:rFonts w:cs="Times New Roman"/>
                <w:noProof/>
              </w:rPr>
              <w:t>3.2 Fuentes de datos</w:t>
            </w:r>
            <w:r>
              <w:rPr>
                <w:noProof/>
                <w:webHidden/>
              </w:rPr>
              <w:tab/>
            </w:r>
            <w:r>
              <w:rPr>
                <w:noProof/>
                <w:webHidden/>
              </w:rPr>
              <w:fldChar w:fldCharType="begin"/>
            </w:r>
            <w:r>
              <w:rPr>
                <w:noProof/>
                <w:webHidden/>
              </w:rPr>
              <w:instrText xml:space="preserve"> PAGEREF _Toc223214766 \h </w:instrText>
            </w:r>
            <w:r>
              <w:rPr>
                <w:noProof/>
                <w:webHidden/>
              </w:rPr>
            </w:r>
            <w:r>
              <w:rPr>
                <w:noProof/>
                <w:webHidden/>
              </w:rPr>
              <w:fldChar w:fldCharType="separate"/>
            </w:r>
            <w:r>
              <w:rPr>
                <w:noProof/>
                <w:webHidden/>
              </w:rPr>
              <w:t>12</w:t>
            </w:r>
            <w:r>
              <w:rPr>
                <w:noProof/>
                <w:webHidden/>
              </w:rPr>
              <w:fldChar w:fldCharType="end"/>
            </w:r>
          </w:hyperlink>
        </w:p>
        <w:p w14:paraId="37A888DB" w14:textId="1E466A58" w:rsidR="00B931FC" w:rsidRDefault="00B931FC">
          <w:pPr>
            <w:pStyle w:val="TDC2"/>
            <w:tabs>
              <w:tab w:val="right" w:leader="dot" w:pos="8493"/>
            </w:tabs>
            <w:rPr>
              <w:rFonts w:asciiTheme="minorHAnsi" w:eastAsiaTheme="minorEastAsia" w:hAnsiTheme="minorHAnsi"/>
              <w:noProof/>
              <w:lang w:eastAsia="es-AR"/>
            </w:rPr>
          </w:pPr>
          <w:hyperlink w:anchor="_Toc223214767" w:history="1">
            <w:r w:rsidRPr="007774AB">
              <w:rPr>
                <w:rStyle w:val="Hipervnculo"/>
                <w:rFonts w:cs="Times New Roman"/>
                <w:noProof/>
              </w:rPr>
              <w:t>3.3 Tratamiento y limpieza de los datos</w:t>
            </w:r>
            <w:r>
              <w:rPr>
                <w:noProof/>
                <w:webHidden/>
              </w:rPr>
              <w:tab/>
            </w:r>
            <w:r>
              <w:rPr>
                <w:noProof/>
                <w:webHidden/>
              </w:rPr>
              <w:fldChar w:fldCharType="begin"/>
            </w:r>
            <w:r>
              <w:rPr>
                <w:noProof/>
                <w:webHidden/>
              </w:rPr>
              <w:instrText xml:space="preserve"> PAGEREF _Toc223214767 \h </w:instrText>
            </w:r>
            <w:r>
              <w:rPr>
                <w:noProof/>
                <w:webHidden/>
              </w:rPr>
            </w:r>
            <w:r>
              <w:rPr>
                <w:noProof/>
                <w:webHidden/>
              </w:rPr>
              <w:fldChar w:fldCharType="separate"/>
            </w:r>
            <w:r>
              <w:rPr>
                <w:noProof/>
                <w:webHidden/>
              </w:rPr>
              <w:t>12</w:t>
            </w:r>
            <w:r>
              <w:rPr>
                <w:noProof/>
                <w:webHidden/>
              </w:rPr>
              <w:fldChar w:fldCharType="end"/>
            </w:r>
          </w:hyperlink>
        </w:p>
        <w:p w14:paraId="57971D83" w14:textId="27DB9D60" w:rsidR="00B931FC" w:rsidRDefault="00B931FC">
          <w:pPr>
            <w:pStyle w:val="TDC2"/>
            <w:tabs>
              <w:tab w:val="right" w:leader="dot" w:pos="8493"/>
            </w:tabs>
            <w:rPr>
              <w:rFonts w:asciiTheme="minorHAnsi" w:eastAsiaTheme="minorEastAsia" w:hAnsiTheme="minorHAnsi"/>
              <w:noProof/>
              <w:lang w:eastAsia="es-AR"/>
            </w:rPr>
          </w:pPr>
          <w:hyperlink w:anchor="_Toc223214768" w:history="1">
            <w:r w:rsidRPr="007774AB">
              <w:rPr>
                <w:rStyle w:val="Hipervnculo"/>
                <w:rFonts w:cs="Times New Roman"/>
                <w:noProof/>
              </w:rPr>
              <w:t>3.4 Construcción de los retornos</w:t>
            </w:r>
            <w:r>
              <w:rPr>
                <w:noProof/>
                <w:webHidden/>
              </w:rPr>
              <w:tab/>
            </w:r>
            <w:r>
              <w:rPr>
                <w:noProof/>
                <w:webHidden/>
              </w:rPr>
              <w:fldChar w:fldCharType="begin"/>
            </w:r>
            <w:r>
              <w:rPr>
                <w:noProof/>
                <w:webHidden/>
              </w:rPr>
              <w:instrText xml:space="preserve"> PAGEREF _Toc223214768 \h </w:instrText>
            </w:r>
            <w:r>
              <w:rPr>
                <w:noProof/>
                <w:webHidden/>
              </w:rPr>
            </w:r>
            <w:r>
              <w:rPr>
                <w:noProof/>
                <w:webHidden/>
              </w:rPr>
              <w:fldChar w:fldCharType="separate"/>
            </w:r>
            <w:r>
              <w:rPr>
                <w:noProof/>
                <w:webHidden/>
              </w:rPr>
              <w:t>13</w:t>
            </w:r>
            <w:r>
              <w:rPr>
                <w:noProof/>
                <w:webHidden/>
              </w:rPr>
              <w:fldChar w:fldCharType="end"/>
            </w:r>
          </w:hyperlink>
        </w:p>
        <w:p w14:paraId="5B541044" w14:textId="0BCE82E3" w:rsidR="00B931FC" w:rsidRDefault="00B931FC">
          <w:pPr>
            <w:pStyle w:val="TDC2"/>
            <w:tabs>
              <w:tab w:val="right" w:leader="dot" w:pos="8493"/>
            </w:tabs>
            <w:rPr>
              <w:rFonts w:asciiTheme="minorHAnsi" w:eastAsiaTheme="minorEastAsia" w:hAnsiTheme="minorHAnsi"/>
              <w:noProof/>
              <w:lang w:eastAsia="es-AR"/>
            </w:rPr>
          </w:pPr>
          <w:hyperlink w:anchor="_Toc223214769" w:history="1">
            <w:r w:rsidRPr="007774AB">
              <w:rPr>
                <w:rStyle w:val="Hipervnculo"/>
                <w:rFonts w:cs="Times New Roman"/>
                <w:noProof/>
              </w:rPr>
              <w:t>3.5 Consideraciones metodológicas sobre los retornos financieros</w:t>
            </w:r>
            <w:r>
              <w:rPr>
                <w:noProof/>
                <w:webHidden/>
              </w:rPr>
              <w:tab/>
            </w:r>
            <w:r>
              <w:rPr>
                <w:noProof/>
                <w:webHidden/>
              </w:rPr>
              <w:fldChar w:fldCharType="begin"/>
            </w:r>
            <w:r>
              <w:rPr>
                <w:noProof/>
                <w:webHidden/>
              </w:rPr>
              <w:instrText xml:space="preserve"> PAGEREF _Toc223214769 \h </w:instrText>
            </w:r>
            <w:r>
              <w:rPr>
                <w:noProof/>
                <w:webHidden/>
              </w:rPr>
            </w:r>
            <w:r>
              <w:rPr>
                <w:noProof/>
                <w:webHidden/>
              </w:rPr>
              <w:fldChar w:fldCharType="separate"/>
            </w:r>
            <w:r>
              <w:rPr>
                <w:noProof/>
                <w:webHidden/>
              </w:rPr>
              <w:t>13</w:t>
            </w:r>
            <w:r>
              <w:rPr>
                <w:noProof/>
                <w:webHidden/>
              </w:rPr>
              <w:fldChar w:fldCharType="end"/>
            </w:r>
          </w:hyperlink>
        </w:p>
        <w:p w14:paraId="4300ED33" w14:textId="23323F12" w:rsidR="00B931FC" w:rsidRDefault="00B931FC">
          <w:pPr>
            <w:pStyle w:val="TDC2"/>
            <w:tabs>
              <w:tab w:val="right" w:leader="dot" w:pos="8493"/>
            </w:tabs>
            <w:rPr>
              <w:rFonts w:asciiTheme="minorHAnsi" w:eastAsiaTheme="minorEastAsia" w:hAnsiTheme="minorHAnsi"/>
              <w:noProof/>
              <w:lang w:eastAsia="es-AR"/>
            </w:rPr>
          </w:pPr>
          <w:hyperlink w:anchor="_Toc223214770" w:history="1">
            <w:r w:rsidRPr="007774AB">
              <w:rPr>
                <w:rStyle w:val="Hipervnculo"/>
                <w:rFonts w:cs="Times New Roman"/>
                <w:noProof/>
              </w:rPr>
              <w:t>3.6 Definición de la señal de momentum</w:t>
            </w:r>
            <w:r>
              <w:rPr>
                <w:noProof/>
                <w:webHidden/>
              </w:rPr>
              <w:tab/>
            </w:r>
            <w:r>
              <w:rPr>
                <w:noProof/>
                <w:webHidden/>
              </w:rPr>
              <w:fldChar w:fldCharType="begin"/>
            </w:r>
            <w:r>
              <w:rPr>
                <w:noProof/>
                <w:webHidden/>
              </w:rPr>
              <w:instrText xml:space="preserve"> PAGEREF _Toc223214770 \h </w:instrText>
            </w:r>
            <w:r>
              <w:rPr>
                <w:noProof/>
                <w:webHidden/>
              </w:rPr>
            </w:r>
            <w:r>
              <w:rPr>
                <w:noProof/>
                <w:webHidden/>
              </w:rPr>
              <w:fldChar w:fldCharType="separate"/>
            </w:r>
            <w:r>
              <w:rPr>
                <w:noProof/>
                <w:webHidden/>
              </w:rPr>
              <w:t>14</w:t>
            </w:r>
            <w:r>
              <w:rPr>
                <w:noProof/>
                <w:webHidden/>
              </w:rPr>
              <w:fldChar w:fldCharType="end"/>
            </w:r>
          </w:hyperlink>
        </w:p>
        <w:p w14:paraId="159897F8" w14:textId="76C558D8" w:rsidR="00B931FC" w:rsidRDefault="00B931FC">
          <w:pPr>
            <w:pStyle w:val="TDC2"/>
            <w:tabs>
              <w:tab w:val="right" w:leader="dot" w:pos="8493"/>
            </w:tabs>
            <w:rPr>
              <w:rFonts w:asciiTheme="minorHAnsi" w:eastAsiaTheme="minorEastAsia" w:hAnsiTheme="minorHAnsi"/>
              <w:noProof/>
              <w:lang w:eastAsia="es-AR"/>
            </w:rPr>
          </w:pPr>
          <w:hyperlink w:anchor="_Toc223214771" w:history="1">
            <w:r w:rsidRPr="007774AB">
              <w:rPr>
                <w:rStyle w:val="Hipervnculo"/>
                <w:rFonts w:cs="Times New Roman"/>
                <w:noProof/>
              </w:rPr>
              <w:t>3.7 Procedimiento de ranking y selección sectorial</w:t>
            </w:r>
            <w:r>
              <w:rPr>
                <w:noProof/>
                <w:webHidden/>
              </w:rPr>
              <w:tab/>
            </w:r>
            <w:r>
              <w:rPr>
                <w:noProof/>
                <w:webHidden/>
              </w:rPr>
              <w:fldChar w:fldCharType="begin"/>
            </w:r>
            <w:r>
              <w:rPr>
                <w:noProof/>
                <w:webHidden/>
              </w:rPr>
              <w:instrText xml:space="preserve"> PAGEREF _Toc223214771 \h </w:instrText>
            </w:r>
            <w:r>
              <w:rPr>
                <w:noProof/>
                <w:webHidden/>
              </w:rPr>
            </w:r>
            <w:r>
              <w:rPr>
                <w:noProof/>
                <w:webHidden/>
              </w:rPr>
              <w:fldChar w:fldCharType="separate"/>
            </w:r>
            <w:r>
              <w:rPr>
                <w:noProof/>
                <w:webHidden/>
              </w:rPr>
              <w:t>15</w:t>
            </w:r>
            <w:r>
              <w:rPr>
                <w:noProof/>
                <w:webHidden/>
              </w:rPr>
              <w:fldChar w:fldCharType="end"/>
            </w:r>
          </w:hyperlink>
        </w:p>
        <w:p w14:paraId="1A0AC1CA" w14:textId="4F802D40" w:rsidR="00B931FC" w:rsidRDefault="00B931FC">
          <w:pPr>
            <w:pStyle w:val="TDC2"/>
            <w:tabs>
              <w:tab w:val="right" w:leader="dot" w:pos="8493"/>
            </w:tabs>
            <w:rPr>
              <w:rFonts w:asciiTheme="minorHAnsi" w:eastAsiaTheme="minorEastAsia" w:hAnsiTheme="minorHAnsi"/>
              <w:noProof/>
              <w:lang w:eastAsia="es-AR"/>
            </w:rPr>
          </w:pPr>
          <w:hyperlink w:anchor="_Toc223214772" w:history="1">
            <w:r w:rsidRPr="007774AB">
              <w:rPr>
                <w:rStyle w:val="Hipervnculo"/>
                <w:rFonts w:cs="Times New Roman"/>
                <w:noProof/>
              </w:rPr>
              <w:t>3.8 Construcción de los portafolios Long-Only</w:t>
            </w:r>
            <w:r>
              <w:rPr>
                <w:noProof/>
                <w:webHidden/>
              </w:rPr>
              <w:tab/>
            </w:r>
            <w:r>
              <w:rPr>
                <w:noProof/>
                <w:webHidden/>
              </w:rPr>
              <w:fldChar w:fldCharType="begin"/>
            </w:r>
            <w:r>
              <w:rPr>
                <w:noProof/>
                <w:webHidden/>
              </w:rPr>
              <w:instrText xml:space="preserve"> PAGEREF _Toc223214772 \h </w:instrText>
            </w:r>
            <w:r>
              <w:rPr>
                <w:noProof/>
                <w:webHidden/>
              </w:rPr>
            </w:r>
            <w:r>
              <w:rPr>
                <w:noProof/>
                <w:webHidden/>
              </w:rPr>
              <w:fldChar w:fldCharType="separate"/>
            </w:r>
            <w:r>
              <w:rPr>
                <w:noProof/>
                <w:webHidden/>
              </w:rPr>
              <w:t>15</w:t>
            </w:r>
            <w:r>
              <w:rPr>
                <w:noProof/>
                <w:webHidden/>
              </w:rPr>
              <w:fldChar w:fldCharType="end"/>
            </w:r>
          </w:hyperlink>
        </w:p>
        <w:p w14:paraId="29B91ACE" w14:textId="6885F2C1" w:rsidR="00B931FC" w:rsidRDefault="00B931FC">
          <w:pPr>
            <w:pStyle w:val="TDC2"/>
            <w:tabs>
              <w:tab w:val="right" w:leader="dot" w:pos="8493"/>
            </w:tabs>
            <w:rPr>
              <w:rFonts w:asciiTheme="minorHAnsi" w:eastAsiaTheme="minorEastAsia" w:hAnsiTheme="minorHAnsi"/>
              <w:noProof/>
              <w:lang w:eastAsia="es-AR"/>
            </w:rPr>
          </w:pPr>
          <w:hyperlink w:anchor="_Toc223214773" w:history="1">
            <w:r w:rsidRPr="007774AB">
              <w:rPr>
                <w:rStyle w:val="Hipervnculo"/>
                <w:rFonts w:cs="Times New Roman"/>
                <w:noProof/>
              </w:rPr>
              <w:t>3.9 Reglas de rebalanceo y supuestos operativos</w:t>
            </w:r>
            <w:r>
              <w:rPr>
                <w:noProof/>
                <w:webHidden/>
              </w:rPr>
              <w:tab/>
            </w:r>
            <w:r>
              <w:rPr>
                <w:noProof/>
                <w:webHidden/>
              </w:rPr>
              <w:fldChar w:fldCharType="begin"/>
            </w:r>
            <w:r>
              <w:rPr>
                <w:noProof/>
                <w:webHidden/>
              </w:rPr>
              <w:instrText xml:space="preserve"> PAGEREF _Toc223214773 \h </w:instrText>
            </w:r>
            <w:r>
              <w:rPr>
                <w:noProof/>
                <w:webHidden/>
              </w:rPr>
            </w:r>
            <w:r>
              <w:rPr>
                <w:noProof/>
                <w:webHidden/>
              </w:rPr>
              <w:fldChar w:fldCharType="separate"/>
            </w:r>
            <w:r>
              <w:rPr>
                <w:noProof/>
                <w:webHidden/>
              </w:rPr>
              <w:t>15</w:t>
            </w:r>
            <w:r>
              <w:rPr>
                <w:noProof/>
                <w:webHidden/>
              </w:rPr>
              <w:fldChar w:fldCharType="end"/>
            </w:r>
          </w:hyperlink>
        </w:p>
        <w:p w14:paraId="3D46220F" w14:textId="3516EB44" w:rsidR="00B931FC" w:rsidRDefault="00B931FC">
          <w:pPr>
            <w:pStyle w:val="TDC2"/>
            <w:tabs>
              <w:tab w:val="right" w:leader="dot" w:pos="8493"/>
            </w:tabs>
            <w:rPr>
              <w:rFonts w:asciiTheme="minorHAnsi" w:eastAsiaTheme="minorEastAsia" w:hAnsiTheme="minorHAnsi"/>
              <w:noProof/>
              <w:lang w:eastAsia="es-AR"/>
            </w:rPr>
          </w:pPr>
          <w:hyperlink w:anchor="_Toc223214774" w:history="1">
            <w:r w:rsidRPr="007774AB">
              <w:rPr>
                <w:rStyle w:val="Hipervnculo"/>
                <w:rFonts w:cs="Times New Roman"/>
                <w:noProof/>
              </w:rPr>
              <w:t>3.10 Síntesis metodológica</w:t>
            </w:r>
            <w:r>
              <w:rPr>
                <w:noProof/>
                <w:webHidden/>
              </w:rPr>
              <w:tab/>
            </w:r>
            <w:r>
              <w:rPr>
                <w:noProof/>
                <w:webHidden/>
              </w:rPr>
              <w:fldChar w:fldCharType="begin"/>
            </w:r>
            <w:r>
              <w:rPr>
                <w:noProof/>
                <w:webHidden/>
              </w:rPr>
              <w:instrText xml:space="preserve"> PAGEREF _Toc223214774 \h </w:instrText>
            </w:r>
            <w:r>
              <w:rPr>
                <w:noProof/>
                <w:webHidden/>
              </w:rPr>
            </w:r>
            <w:r>
              <w:rPr>
                <w:noProof/>
                <w:webHidden/>
              </w:rPr>
              <w:fldChar w:fldCharType="separate"/>
            </w:r>
            <w:r>
              <w:rPr>
                <w:noProof/>
                <w:webHidden/>
              </w:rPr>
              <w:t>16</w:t>
            </w:r>
            <w:r>
              <w:rPr>
                <w:noProof/>
                <w:webHidden/>
              </w:rPr>
              <w:fldChar w:fldCharType="end"/>
            </w:r>
          </w:hyperlink>
        </w:p>
        <w:p w14:paraId="46956F64" w14:textId="4BDBDDCA" w:rsidR="00B931FC" w:rsidRDefault="00B931FC">
          <w:pPr>
            <w:pStyle w:val="TDC1"/>
            <w:tabs>
              <w:tab w:val="right" w:leader="dot" w:pos="8493"/>
            </w:tabs>
            <w:rPr>
              <w:rFonts w:asciiTheme="minorHAnsi" w:eastAsiaTheme="minorEastAsia" w:hAnsiTheme="minorHAnsi"/>
              <w:noProof/>
              <w:lang w:eastAsia="es-AR"/>
            </w:rPr>
          </w:pPr>
          <w:hyperlink w:anchor="_Toc223214775" w:history="1">
            <w:r w:rsidRPr="007774AB">
              <w:rPr>
                <w:rStyle w:val="Hipervnculo"/>
                <w:noProof/>
              </w:rPr>
              <w:t>Capítulo 4</w:t>
            </w:r>
            <w:r>
              <w:rPr>
                <w:noProof/>
                <w:webHidden/>
              </w:rPr>
              <w:tab/>
            </w:r>
            <w:r>
              <w:rPr>
                <w:noProof/>
                <w:webHidden/>
              </w:rPr>
              <w:fldChar w:fldCharType="begin"/>
            </w:r>
            <w:r>
              <w:rPr>
                <w:noProof/>
                <w:webHidden/>
              </w:rPr>
              <w:instrText xml:space="preserve"> PAGEREF _Toc223214775 \h </w:instrText>
            </w:r>
            <w:r>
              <w:rPr>
                <w:noProof/>
                <w:webHidden/>
              </w:rPr>
            </w:r>
            <w:r>
              <w:rPr>
                <w:noProof/>
                <w:webHidden/>
              </w:rPr>
              <w:fldChar w:fldCharType="separate"/>
            </w:r>
            <w:r>
              <w:rPr>
                <w:noProof/>
                <w:webHidden/>
              </w:rPr>
              <w:t>17</w:t>
            </w:r>
            <w:r>
              <w:rPr>
                <w:noProof/>
                <w:webHidden/>
              </w:rPr>
              <w:fldChar w:fldCharType="end"/>
            </w:r>
          </w:hyperlink>
        </w:p>
        <w:p w14:paraId="6DDF3647" w14:textId="27C3C61E" w:rsidR="00B931FC" w:rsidRDefault="00B931FC">
          <w:pPr>
            <w:pStyle w:val="TDC1"/>
            <w:tabs>
              <w:tab w:val="right" w:leader="dot" w:pos="8493"/>
            </w:tabs>
            <w:rPr>
              <w:rFonts w:asciiTheme="minorHAnsi" w:eastAsiaTheme="minorEastAsia" w:hAnsiTheme="minorHAnsi"/>
              <w:noProof/>
              <w:lang w:eastAsia="es-AR"/>
            </w:rPr>
          </w:pPr>
          <w:hyperlink w:anchor="_Toc223214776" w:history="1">
            <w:r w:rsidRPr="007774AB">
              <w:rPr>
                <w:rStyle w:val="Hipervnculo"/>
                <w:noProof/>
              </w:rPr>
              <w:t>Evaluación empírica del desempeño y modelos de factores</w:t>
            </w:r>
            <w:r>
              <w:rPr>
                <w:noProof/>
                <w:webHidden/>
              </w:rPr>
              <w:tab/>
            </w:r>
            <w:r>
              <w:rPr>
                <w:noProof/>
                <w:webHidden/>
              </w:rPr>
              <w:fldChar w:fldCharType="begin"/>
            </w:r>
            <w:r>
              <w:rPr>
                <w:noProof/>
                <w:webHidden/>
              </w:rPr>
              <w:instrText xml:space="preserve"> PAGEREF _Toc223214776 \h </w:instrText>
            </w:r>
            <w:r>
              <w:rPr>
                <w:noProof/>
                <w:webHidden/>
              </w:rPr>
            </w:r>
            <w:r>
              <w:rPr>
                <w:noProof/>
                <w:webHidden/>
              </w:rPr>
              <w:fldChar w:fldCharType="separate"/>
            </w:r>
            <w:r>
              <w:rPr>
                <w:noProof/>
                <w:webHidden/>
              </w:rPr>
              <w:t>17</w:t>
            </w:r>
            <w:r>
              <w:rPr>
                <w:noProof/>
                <w:webHidden/>
              </w:rPr>
              <w:fldChar w:fldCharType="end"/>
            </w:r>
          </w:hyperlink>
        </w:p>
        <w:p w14:paraId="273231AA" w14:textId="7E901C28" w:rsidR="00B931FC" w:rsidRDefault="00B931FC">
          <w:pPr>
            <w:pStyle w:val="TDC2"/>
            <w:tabs>
              <w:tab w:val="right" w:leader="dot" w:pos="8493"/>
            </w:tabs>
            <w:rPr>
              <w:rFonts w:asciiTheme="minorHAnsi" w:eastAsiaTheme="minorEastAsia" w:hAnsiTheme="minorHAnsi"/>
              <w:noProof/>
              <w:lang w:eastAsia="es-AR"/>
            </w:rPr>
          </w:pPr>
          <w:hyperlink w:anchor="_Toc223214777" w:history="1">
            <w:r w:rsidRPr="007774AB">
              <w:rPr>
                <w:rStyle w:val="Hipervnculo"/>
                <w:rFonts w:cs="Times New Roman"/>
                <w:noProof/>
              </w:rPr>
              <w:t>4.1 Desempeño de las estrategias</w:t>
            </w:r>
            <w:r>
              <w:rPr>
                <w:noProof/>
                <w:webHidden/>
              </w:rPr>
              <w:tab/>
            </w:r>
            <w:r>
              <w:rPr>
                <w:noProof/>
                <w:webHidden/>
              </w:rPr>
              <w:fldChar w:fldCharType="begin"/>
            </w:r>
            <w:r>
              <w:rPr>
                <w:noProof/>
                <w:webHidden/>
              </w:rPr>
              <w:instrText xml:space="preserve"> PAGEREF _Toc223214777 \h </w:instrText>
            </w:r>
            <w:r>
              <w:rPr>
                <w:noProof/>
                <w:webHidden/>
              </w:rPr>
            </w:r>
            <w:r>
              <w:rPr>
                <w:noProof/>
                <w:webHidden/>
              </w:rPr>
              <w:fldChar w:fldCharType="separate"/>
            </w:r>
            <w:r>
              <w:rPr>
                <w:noProof/>
                <w:webHidden/>
              </w:rPr>
              <w:t>17</w:t>
            </w:r>
            <w:r>
              <w:rPr>
                <w:noProof/>
                <w:webHidden/>
              </w:rPr>
              <w:fldChar w:fldCharType="end"/>
            </w:r>
          </w:hyperlink>
        </w:p>
        <w:p w14:paraId="4BA80193" w14:textId="6B7575F4" w:rsidR="00B931FC" w:rsidRDefault="00B931FC">
          <w:pPr>
            <w:pStyle w:val="TDC2"/>
            <w:tabs>
              <w:tab w:val="right" w:leader="dot" w:pos="8493"/>
            </w:tabs>
            <w:rPr>
              <w:rFonts w:asciiTheme="minorHAnsi" w:eastAsiaTheme="minorEastAsia" w:hAnsiTheme="minorHAnsi"/>
              <w:noProof/>
              <w:lang w:eastAsia="es-AR"/>
            </w:rPr>
          </w:pPr>
          <w:hyperlink w:anchor="_Toc223214778" w:history="1">
            <w:r w:rsidRPr="007774AB">
              <w:rPr>
                <w:rStyle w:val="Hipervnculo"/>
                <w:rFonts w:cs="Times New Roman"/>
                <w:noProof/>
              </w:rPr>
              <w:t>4.2 Evolución temporal y curvas de capital</w:t>
            </w:r>
            <w:r>
              <w:rPr>
                <w:noProof/>
                <w:webHidden/>
              </w:rPr>
              <w:tab/>
            </w:r>
            <w:r>
              <w:rPr>
                <w:noProof/>
                <w:webHidden/>
              </w:rPr>
              <w:fldChar w:fldCharType="begin"/>
            </w:r>
            <w:r>
              <w:rPr>
                <w:noProof/>
                <w:webHidden/>
              </w:rPr>
              <w:instrText xml:space="preserve"> PAGEREF _Toc223214778 \h </w:instrText>
            </w:r>
            <w:r>
              <w:rPr>
                <w:noProof/>
                <w:webHidden/>
              </w:rPr>
            </w:r>
            <w:r>
              <w:rPr>
                <w:noProof/>
                <w:webHidden/>
              </w:rPr>
              <w:fldChar w:fldCharType="separate"/>
            </w:r>
            <w:r>
              <w:rPr>
                <w:noProof/>
                <w:webHidden/>
              </w:rPr>
              <w:t>20</w:t>
            </w:r>
            <w:r>
              <w:rPr>
                <w:noProof/>
                <w:webHidden/>
              </w:rPr>
              <w:fldChar w:fldCharType="end"/>
            </w:r>
          </w:hyperlink>
        </w:p>
        <w:p w14:paraId="075154CC" w14:textId="37F7AAED" w:rsidR="00B931FC" w:rsidRDefault="00B931FC">
          <w:pPr>
            <w:pStyle w:val="TDC2"/>
            <w:tabs>
              <w:tab w:val="right" w:leader="dot" w:pos="8493"/>
            </w:tabs>
            <w:rPr>
              <w:rFonts w:asciiTheme="minorHAnsi" w:eastAsiaTheme="minorEastAsia" w:hAnsiTheme="minorHAnsi"/>
              <w:noProof/>
              <w:lang w:eastAsia="es-AR"/>
            </w:rPr>
          </w:pPr>
          <w:hyperlink w:anchor="_Toc223214779" w:history="1">
            <w:r w:rsidRPr="007774AB">
              <w:rPr>
                <w:rStyle w:val="Hipervnculo"/>
                <w:rFonts w:cs="Times New Roman"/>
                <w:noProof/>
              </w:rPr>
              <w:t>4.3 Medidas de riesgo y drawdowns</w:t>
            </w:r>
            <w:r>
              <w:rPr>
                <w:noProof/>
                <w:webHidden/>
              </w:rPr>
              <w:tab/>
            </w:r>
            <w:r>
              <w:rPr>
                <w:noProof/>
                <w:webHidden/>
              </w:rPr>
              <w:fldChar w:fldCharType="begin"/>
            </w:r>
            <w:r>
              <w:rPr>
                <w:noProof/>
                <w:webHidden/>
              </w:rPr>
              <w:instrText xml:space="preserve"> PAGEREF _Toc223214779 \h </w:instrText>
            </w:r>
            <w:r>
              <w:rPr>
                <w:noProof/>
                <w:webHidden/>
              </w:rPr>
            </w:r>
            <w:r>
              <w:rPr>
                <w:noProof/>
                <w:webHidden/>
              </w:rPr>
              <w:fldChar w:fldCharType="separate"/>
            </w:r>
            <w:r>
              <w:rPr>
                <w:noProof/>
                <w:webHidden/>
              </w:rPr>
              <w:t>21</w:t>
            </w:r>
            <w:r>
              <w:rPr>
                <w:noProof/>
                <w:webHidden/>
              </w:rPr>
              <w:fldChar w:fldCharType="end"/>
            </w:r>
          </w:hyperlink>
        </w:p>
        <w:p w14:paraId="562EDB44" w14:textId="46FA8937" w:rsidR="00B931FC" w:rsidRDefault="00B931FC">
          <w:pPr>
            <w:pStyle w:val="TDC2"/>
            <w:tabs>
              <w:tab w:val="right" w:leader="dot" w:pos="8493"/>
            </w:tabs>
            <w:rPr>
              <w:rFonts w:asciiTheme="minorHAnsi" w:eastAsiaTheme="minorEastAsia" w:hAnsiTheme="minorHAnsi"/>
              <w:noProof/>
              <w:lang w:eastAsia="es-AR"/>
            </w:rPr>
          </w:pPr>
          <w:hyperlink w:anchor="_Toc223214780" w:history="1">
            <w:r w:rsidRPr="007774AB">
              <w:rPr>
                <w:rStyle w:val="Hipervnculo"/>
                <w:rFonts w:cs="Times New Roman"/>
                <w:noProof/>
              </w:rPr>
              <w:t>4.4 Ratios ajustados por riesgo</w:t>
            </w:r>
            <w:r>
              <w:rPr>
                <w:noProof/>
                <w:webHidden/>
              </w:rPr>
              <w:tab/>
            </w:r>
            <w:r>
              <w:rPr>
                <w:noProof/>
                <w:webHidden/>
              </w:rPr>
              <w:fldChar w:fldCharType="begin"/>
            </w:r>
            <w:r>
              <w:rPr>
                <w:noProof/>
                <w:webHidden/>
              </w:rPr>
              <w:instrText xml:space="preserve"> PAGEREF _Toc223214780 \h </w:instrText>
            </w:r>
            <w:r>
              <w:rPr>
                <w:noProof/>
                <w:webHidden/>
              </w:rPr>
            </w:r>
            <w:r>
              <w:rPr>
                <w:noProof/>
                <w:webHidden/>
              </w:rPr>
              <w:fldChar w:fldCharType="separate"/>
            </w:r>
            <w:r>
              <w:rPr>
                <w:noProof/>
                <w:webHidden/>
              </w:rPr>
              <w:t>22</w:t>
            </w:r>
            <w:r>
              <w:rPr>
                <w:noProof/>
                <w:webHidden/>
              </w:rPr>
              <w:fldChar w:fldCharType="end"/>
            </w:r>
          </w:hyperlink>
        </w:p>
        <w:p w14:paraId="5E9EB2A4" w14:textId="7E3F3D42" w:rsidR="00B931FC" w:rsidRDefault="00B931FC">
          <w:pPr>
            <w:pStyle w:val="TDC2"/>
            <w:tabs>
              <w:tab w:val="right" w:leader="dot" w:pos="8493"/>
            </w:tabs>
            <w:rPr>
              <w:rFonts w:asciiTheme="minorHAnsi" w:eastAsiaTheme="minorEastAsia" w:hAnsiTheme="minorHAnsi"/>
              <w:noProof/>
              <w:lang w:eastAsia="es-AR"/>
            </w:rPr>
          </w:pPr>
          <w:hyperlink w:anchor="_Toc223214781" w:history="1">
            <w:r w:rsidRPr="007774AB">
              <w:rPr>
                <w:rStyle w:val="Hipervnculo"/>
                <w:rFonts w:cs="Times New Roman"/>
                <w:noProof/>
              </w:rPr>
              <w:t>4.5 Comparación con el benchmark de mercado</w:t>
            </w:r>
            <w:r>
              <w:rPr>
                <w:noProof/>
                <w:webHidden/>
              </w:rPr>
              <w:tab/>
            </w:r>
            <w:r>
              <w:rPr>
                <w:noProof/>
                <w:webHidden/>
              </w:rPr>
              <w:fldChar w:fldCharType="begin"/>
            </w:r>
            <w:r>
              <w:rPr>
                <w:noProof/>
                <w:webHidden/>
              </w:rPr>
              <w:instrText xml:space="preserve"> PAGEREF _Toc223214781 \h </w:instrText>
            </w:r>
            <w:r>
              <w:rPr>
                <w:noProof/>
                <w:webHidden/>
              </w:rPr>
            </w:r>
            <w:r>
              <w:rPr>
                <w:noProof/>
                <w:webHidden/>
              </w:rPr>
              <w:fldChar w:fldCharType="separate"/>
            </w:r>
            <w:r>
              <w:rPr>
                <w:noProof/>
                <w:webHidden/>
              </w:rPr>
              <w:t>22</w:t>
            </w:r>
            <w:r>
              <w:rPr>
                <w:noProof/>
                <w:webHidden/>
              </w:rPr>
              <w:fldChar w:fldCharType="end"/>
            </w:r>
          </w:hyperlink>
        </w:p>
        <w:p w14:paraId="09382FD9" w14:textId="27E1726F" w:rsidR="00B931FC" w:rsidRDefault="00B931FC">
          <w:pPr>
            <w:pStyle w:val="TDC2"/>
            <w:tabs>
              <w:tab w:val="right" w:leader="dot" w:pos="8493"/>
            </w:tabs>
            <w:rPr>
              <w:rFonts w:asciiTheme="minorHAnsi" w:eastAsiaTheme="minorEastAsia" w:hAnsiTheme="minorHAnsi"/>
              <w:noProof/>
              <w:lang w:eastAsia="es-AR"/>
            </w:rPr>
          </w:pPr>
          <w:hyperlink w:anchor="_Toc223214782" w:history="1">
            <w:r w:rsidRPr="007774AB">
              <w:rPr>
                <w:rStyle w:val="Hipervnculo"/>
                <w:rFonts w:cs="Times New Roman"/>
                <w:noProof/>
              </w:rPr>
              <w:t>4.6 Evaluación del desempeño mediante el modelo CAPM</w:t>
            </w:r>
            <w:r>
              <w:rPr>
                <w:noProof/>
                <w:webHidden/>
              </w:rPr>
              <w:tab/>
            </w:r>
            <w:r>
              <w:rPr>
                <w:noProof/>
                <w:webHidden/>
              </w:rPr>
              <w:fldChar w:fldCharType="begin"/>
            </w:r>
            <w:r>
              <w:rPr>
                <w:noProof/>
                <w:webHidden/>
              </w:rPr>
              <w:instrText xml:space="preserve"> PAGEREF _Toc223214782 \h </w:instrText>
            </w:r>
            <w:r>
              <w:rPr>
                <w:noProof/>
                <w:webHidden/>
              </w:rPr>
            </w:r>
            <w:r>
              <w:rPr>
                <w:noProof/>
                <w:webHidden/>
              </w:rPr>
              <w:fldChar w:fldCharType="separate"/>
            </w:r>
            <w:r>
              <w:rPr>
                <w:noProof/>
                <w:webHidden/>
              </w:rPr>
              <w:t>24</w:t>
            </w:r>
            <w:r>
              <w:rPr>
                <w:noProof/>
                <w:webHidden/>
              </w:rPr>
              <w:fldChar w:fldCharType="end"/>
            </w:r>
          </w:hyperlink>
        </w:p>
        <w:p w14:paraId="4B904B62" w14:textId="1F30868D" w:rsidR="00B931FC" w:rsidRDefault="00B931FC">
          <w:pPr>
            <w:pStyle w:val="TDC3"/>
            <w:tabs>
              <w:tab w:val="right" w:leader="dot" w:pos="8493"/>
            </w:tabs>
            <w:rPr>
              <w:rFonts w:asciiTheme="minorHAnsi" w:eastAsiaTheme="minorEastAsia" w:hAnsiTheme="minorHAnsi"/>
              <w:noProof/>
              <w:lang w:eastAsia="es-AR"/>
            </w:rPr>
          </w:pPr>
          <w:hyperlink w:anchor="_Toc223214783" w:history="1">
            <w:r w:rsidRPr="007774AB">
              <w:rPr>
                <w:rStyle w:val="Hipervnculo"/>
                <w:rFonts w:cs="Times New Roman"/>
                <w:noProof/>
              </w:rPr>
              <w:t>4.6.1 Especificación del modelo</w:t>
            </w:r>
            <w:r>
              <w:rPr>
                <w:noProof/>
                <w:webHidden/>
              </w:rPr>
              <w:tab/>
            </w:r>
            <w:r>
              <w:rPr>
                <w:noProof/>
                <w:webHidden/>
              </w:rPr>
              <w:fldChar w:fldCharType="begin"/>
            </w:r>
            <w:r>
              <w:rPr>
                <w:noProof/>
                <w:webHidden/>
              </w:rPr>
              <w:instrText xml:space="preserve"> PAGEREF _Toc223214783 \h </w:instrText>
            </w:r>
            <w:r>
              <w:rPr>
                <w:noProof/>
                <w:webHidden/>
              </w:rPr>
            </w:r>
            <w:r>
              <w:rPr>
                <w:noProof/>
                <w:webHidden/>
              </w:rPr>
              <w:fldChar w:fldCharType="separate"/>
            </w:r>
            <w:r>
              <w:rPr>
                <w:noProof/>
                <w:webHidden/>
              </w:rPr>
              <w:t>24</w:t>
            </w:r>
            <w:r>
              <w:rPr>
                <w:noProof/>
                <w:webHidden/>
              </w:rPr>
              <w:fldChar w:fldCharType="end"/>
            </w:r>
          </w:hyperlink>
        </w:p>
        <w:p w14:paraId="79A8C73D" w14:textId="48DF1CF2" w:rsidR="00B931FC" w:rsidRDefault="00B931FC">
          <w:pPr>
            <w:pStyle w:val="TDC3"/>
            <w:tabs>
              <w:tab w:val="right" w:leader="dot" w:pos="8493"/>
            </w:tabs>
            <w:rPr>
              <w:rFonts w:asciiTheme="minorHAnsi" w:eastAsiaTheme="minorEastAsia" w:hAnsiTheme="minorHAnsi"/>
              <w:noProof/>
              <w:lang w:eastAsia="es-AR"/>
            </w:rPr>
          </w:pPr>
          <w:hyperlink w:anchor="_Toc223214784" w:history="1">
            <w:r w:rsidRPr="007774AB">
              <w:rPr>
                <w:rStyle w:val="Hipervnculo"/>
                <w:rFonts w:cs="Times New Roman"/>
                <w:noProof/>
              </w:rPr>
              <w:t>4.6.2 Construcción de los retornos en exceso</w:t>
            </w:r>
            <w:r>
              <w:rPr>
                <w:noProof/>
                <w:webHidden/>
              </w:rPr>
              <w:tab/>
            </w:r>
            <w:r>
              <w:rPr>
                <w:noProof/>
                <w:webHidden/>
              </w:rPr>
              <w:fldChar w:fldCharType="begin"/>
            </w:r>
            <w:r>
              <w:rPr>
                <w:noProof/>
                <w:webHidden/>
              </w:rPr>
              <w:instrText xml:space="preserve"> PAGEREF _Toc223214784 \h </w:instrText>
            </w:r>
            <w:r>
              <w:rPr>
                <w:noProof/>
                <w:webHidden/>
              </w:rPr>
            </w:r>
            <w:r>
              <w:rPr>
                <w:noProof/>
                <w:webHidden/>
              </w:rPr>
              <w:fldChar w:fldCharType="separate"/>
            </w:r>
            <w:r>
              <w:rPr>
                <w:noProof/>
                <w:webHidden/>
              </w:rPr>
              <w:t>25</w:t>
            </w:r>
            <w:r>
              <w:rPr>
                <w:noProof/>
                <w:webHidden/>
              </w:rPr>
              <w:fldChar w:fldCharType="end"/>
            </w:r>
          </w:hyperlink>
        </w:p>
        <w:p w14:paraId="5AF06ACA" w14:textId="18E06605" w:rsidR="00B931FC" w:rsidRDefault="00B931FC">
          <w:pPr>
            <w:pStyle w:val="TDC3"/>
            <w:tabs>
              <w:tab w:val="right" w:leader="dot" w:pos="8493"/>
            </w:tabs>
            <w:rPr>
              <w:rFonts w:asciiTheme="minorHAnsi" w:eastAsiaTheme="minorEastAsia" w:hAnsiTheme="minorHAnsi"/>
              <w:noProof/>
              <w:lang w:eastAsia="es-AR"/>
            </w:rPr>
          </w:pPr>
          <w:hyperlink w:anchor="_Toc223214785" w:history="1">
            <w:r w:rsidRPr="007774AB">
              <w:rPr>
                <w:rStyle w:val="Hipervnculo"/>
                <w:rFonts w:cs="Times New Roman"/>
                <w:noProof/>
              </w:rPr>
              <w:t>4.6.3 Metodología de estimación e inferencia</w:t>
            </w:r>
            <w:r>
              <w:rPr>
                <w:noProof/>
                <w:webHidden/>
              </w:rPr>
              <w:tab/>
            </w:r>
            <w:r>
              <w:rPr>
                <w:noProof/>
                <w:webHidden/>
              </w:rPr>
              <w:fldChar w:fldCharType="begin"/>
            </w:r>
            <w:r>
              <w:rPr>
                <w:noProof/>
                <w:webHidden/>
              </w:rPr>
              <w:instrText xml:space="preserve"> PAGEREF _Toc223214785 \h </w:instrText>
            </w:r>
            <w:r>
              <w:rPr>
                <w:noProof/>
                <w:webHidden/>
              </w:rPr>
            </w:r>
            <w:r>
              <w:rPr>
                <w:noProof/>
                <w:webHidden/>
              </w:rPr>
              <w:fldChar w:fldCharType="separate"/>
            </w:r>
            <w:r>
              <w:rPr>
                <w:noProof/>
                <w:webHidden/>
              </w:rPr>
              <w:t>25</w:t>
            </w:r>
            <w:r>
              <w:rPr>
                <w:noProof/>
                <w:webHidden/>
              </w:rPr>
              <w:fldChar w:fldCharType="end"/>
            </w:r>
          </w:hyperlink>
        </w:p>
        <w:p w14:paraId="543DBC7F" w14:textId="3F6A9F4D" w:rsidR="00B931FC" w:rsidRDefault="00B931FC">
          <w:pPr>
            <w:pStyle w:val="TDC3"/>
            <w:tabs>
              <w:tab w:val="right" w:leader="dot" w:pos="8493"/>
            </w:tabs>
            <w:rPr>
              <w:rFonts w:asciiTheme="minorHAnsi" w:eastAsiaTheme="minorEastAsia" w:hAnsiTheme="minorHAnsi"/>
              <w:noProof/>
              <w:lang w:eastAsia="es-AR"/>
            </w:rPr>
          </w:pPr>
          <w:hyperlink w:anchor="_Toc223214786" w:history="1">
            <w:r w:rsidRPr="007774AB">
              <w:rPr>
                <w:rStyle w:val="Hipervnculo"/>
                <w:rFonts w:cs="Times New Roman"/>
                <w:noProof/>
              </w:rPr>
              <w:t>4.6.4 Resultados empíricos</w:t>
            </w:r>
            <w:r>
              <w:rPr>
                <w:noProof/>
                <w:webHidden/>
              </w:rPr>
              <w:tab/>
            </w:r>
            <w:r>
              <w:rPr>
                <w:noProof/>
                <w:webHidden/>
              </w:rPr>
              <w:fldChar w:fldCharType="begin"/>
            </w:r>
            <w:r>
              <w:rPr>
                <w:noProof/>
                <w:webHidden/>
              </w:rPr>
              <w:instrText xml:space="preserve"> PAGEREF _Toc223214786 \h </w:instrText>
            </w:r>
            <w:r>
              <w:rPr>
                <w:noProof/>
                <w:webHidden/>
              </w:rPr>
            </w:r>
            <w:r>
              <w:rPr>
                <w:noProof/>
                <w:webHidden/>
              </w:rPr>
              <w:fldChar w:fldCharType="separate"/>
            </w:r>
            <w:r>
              <w:rPr>
                <w:noProof/>
                <w:webHidden/>
              </w:rPr>
              <w:t>26</w:t>
            </w:r>
            <w:r>
              <w:rPr>
                <w:noProof/>
                <w:webHidden/>
              </w:rPr>
              <w:fldChar w:fldCharType="end"/>
            </w:r>
          </w:hyperlink>
        </w:p>
        <w:p w14:paraId="5F752A4D" w14:textId="346C4FE4" w:rsidR="00B931FC" w:rsidRDefault="00B931FC">
          <w:pPr>
            <w:pStyle w:val="TDC3"/>
            <w:tabs>
              <w:tab w:val="right" w:leader="dot" w:pos="8493"/>
            </w:tabs>
            <w:rPr>
              <w:rFonts w:asciiTheme="minorHAnsi" w:eastAsiaTheme="minorEastAsia" w:hAnsiTheme="minorHAnsi"/>
              <w:noProof/>
              <w:lang w:eastAsia="es-AR"/>
            </w:rPr>
          </w:pPr>
          <w:hyperlink w:anchor="_Toc223214787" w:history="1">
            <w:r w:rsidRPr="007774AB">
              <w:rPr>
                <w:rStyle w:val="Hipervnculo"/>
                <w:rFonts w:cs="Times New Roman"/>
                <w:noProof/>
              </w:rPr>
              <w:t>4.6.5 Evidencia gráfica</w:t>
            </w:r>
            <w:r>
              <w:rPr>
                <w:noProof/>
                <w:webHidden/>
              </w:rPr>
              <w:tab/>
            </w:r>
            <w:r>
              <w:rPr>
                <w:noProof/>
                <w:webHidden/>
              </w:rPr>
              <w:fldChar w:fldCharType="begin"/>
            </w:r>
            <w:r>
              <w:rPr>
                <w:noProof/>
                <w:webHidden/>
              </w:rPr>
              <w:instrText xml:space="preserve"> PAGEREF _Toc223214787 \h </w:instrText>
            </w:r>
            <w:r>
              <w:rPr>
                <w:noProof/>
                <w:webHidden/>
              </w:rPr>
            </w:r>
            <w:r>
              <w:rPr>
                <w:noProof/>
                <w:webHidden/>
              </w:rPr>
              <w:fldChar w:fldCharType="separate"/>
            </w:r>
            <w:r>
              <w:rPr>
                <w:noProof/>
                <w:webHidden/>
              </w:rPr>
              <w:t>27</w:t>
            </w:r>
            <w:r>
              <w:rPr>
                <w:noProof/>
                <w:webHidden/>
              </w:rPr>
              <w:fldChar w:fldCharType="end"/>
            </w:r>
          </w:hyperlink>
        </w:p>
        <w:p w14:paraId="2CE4C7D5" w14:textId="0560F61C" w:rsidR="00B931FC" w:rsidRDefault="00B931FC">
          <w:pPr>
            <w:pStyle w:val="TDC2"/>
            <w:tabs>
              <w:tab w:val="right" w:leader="dot" w:pos="8493"/>
            </w:tabs>
            <w:rPr>
              <w:rFonts w:asciiTheme="minorHAnsi" w:eastAsiaTheme="minorEastAsia" w:hAnsiTheme="minorHAnsi"/>
              <w:noProof/>
              <w:lang w:eastAsia="es-AR"/>
            </w:rPr>
          </w:pPr>
          <w:hyperlink w:anchor="_Toc223214788" w:history="1">
            <w:r w:rsidRPr="007774AB">
              <w:rPr>
                <w:rStyle w:val="Hipervnculo"/>
                <w:rFonts w:cs="Times New Roman"/>
                <w:noProof/>
              </w:rPr>
              <w:t>4.7 Discusión de los resultados</w:t>
            </w:r>
            <w:r>
              <w:rPr>
                <w:noProof/>
                <w:webHidden/>
              </w:rPr>
              <w:tab/>
            </w:r>
            <w:r>
              <w:rPr>
                <w:noProof/>
                <w:webHidden/>
              </w:rPr>
              <w:fldChar w:fldCharType="begin"/>
            </w:r>
            <w:r>
              <w:rPr>
                <w:noProof/>
                <w:webHidden/>
              </w:rPr>
              <w:instrText xml:space="preserve"> PAGEREF _Toc223214788 \h </w:instrText>
            </w:r>
            <w:r>
              <w:rPr>
                <w:noProof/>
                <w:webHidden/>
              </w:rPr>
            </w:r>
            <w:r>
              <w:rPr>
                <w:noProof/>
                <w:webHidden/>
              </w:rPr>
              <w:fldChar w:fldCharType="separate"/>
            </w:r>
            <w:r>
              <w:rPr>
                <w:noProof/>
                <w:webHidden/>
              </w:rPr>
              <w:t>29</w:t>
            </w:r>
            <w:r>
              <w:rPr>
                <w:noProof/>
                <w:webHidden/>
              </w:rPr>
              <w:fldChar w:fldCharType="end"/>
            </w:r>
          </w:hyperlink>
        </w:p>
        <w:p w14:paraId="5FD2F385" w14:textId="496DDB57" w:rsidR="00B931FC" w:rsidRDefault="00B931FC">
          <w:pPr>
            <w:pStyle w:val="TDC1"/>
            <w:tabs>
              <w:tab w:val="right" w:leader="dot" w:pos="8493"/>
            </w:tabs>
            <w:rPr>
              <w:rFonts w:asciiTheme="minorHAnsi" w:eastAsiaTheme="minorEastAsia" w:hAnsiTheme="minorHAnsi"/>
              <w:noProof/>
              <w:lang w:eastAsia="es-AR"/>
            </w:rPr>
          </w:pPr>
          <w:hyperlink w:anchor="_Toc223214789" w:history="1">
            <w:r w:rsidRPr="007774AB">
              <w:rPr>
                <w:rStyle w:val="Hipervnculo"/>
                <w:rFonts w:cs="Times New Roman"/>
                <w:noProof/>
              </w:rPr>
              <w:t>Capítulo 5</w:t>
            </w:r>
            <w:r>
              <w:rPr>
                <w:noProof/>
                <w:webHidden/>
              </w:rPr>
              <w:tab/>
            </w:r>
            <w:r>
              <w:rPr>
                <w:noProof/>
                <w:webHidden/>
              </w:rPr>
              <w:fldChar w:fldCharType="begin"/>
            </w:r>
            <w:r>
              <w:rPr>
                <w:noProof/>
                <w:webHidden/>
              </w:rPr>
              <w:instrText xml:space="preserve"> PAGEREF _Toc223214789 \h </w:instrText>
            </w:r>
            <w:r>
              <w:rPr>
                <w:noProof/>
                <w:webHidden/>
              </w:rPr>
            </w:r>
            <w:r>
              <w:rPr>
                <w:noProof/>
                <w:webHidden/>
              </w:rPr>
              <w:fldChar w:fldCharType="separate"/>
            </w:r>
            <w:r>
              <w:rPr>
                <w:noProof/>
                <w:webHidden/>
              </w:rPr>
              <w:t>31</w:t>
            </w:r>
            <w:r>
              <w:rPr>
                <w:noProof/>
                <w:webHidden/>
              </w:rPr>
              <w:fldChar w:fldCharType="end"/>
            </w:r>
          </w:hyperlink>
        </w:p>
        <w:p w14:paraId="3AD5178C" w14:textId="738BC10C" w:rsidR="00B931FC" w:rsidRDefault="00B931FC">
          <w:pPr>
            <w:pStyle w:val="TDC1"/>
            <w:tabs>
              <w:tab w:val="right" w:leader="dot" w:pos="8493"/>
            </w:tabs>
            <w:rPr>
              <w:rFonts w:asciiTheme="minorHAnsi" w:eastAsiaTheme="minorEastAsia" w:hAnsiTheme="minorHAnsi"/>
              <w:noProof/>
              <w:lang w:eastAsia="es-AR"/>
            </w:rPr>
          </w:pPr>
          <w:hyperlink w:anchor="_Toc223214790" w:history="1">
            <w:r w:rsidRPr="007774AB">
              <w:rPr>
                <w:rStyle w:val="Hipervnculo"/>
                <w:rFonts w:cs="Times New Roman"/>
                <w:noProof/>
              </w:rPr>
              <w:t>Análisis del riesgo y dinámica de la volatilidad</w:t>
            </w:r>
            <w:r>
              <w:rPr>
                <w:noProof/>
                <w:webHidden/>
              </w:rPr>
              <w:tab/>
            </w:r>
            <w:r>
              <w:rPr>
                <w:noProof/>
                <w:webHidden/>
              </w:rPr>
              <w:fldChar w:fldCharType="begin"/>
            </w:r>
            <w:r>
              <w:rPr>
                <w:noProof/>
                <w:webHidden/>
              </w:rPr>
              <w:instrText xml:space="preserve"> PAGEREF _Toc223214790 \h </w:instrText>
            </w:r>
            <w:r>
              <w:rPr>
                <w:noProof/>
                <w:webHidden/>
              </w:rPr>
            </w:r>
            <w:r>
              <w:rPr>
                <w:noProof/>
                <w:webHidden/>
              </w:rPr>
              <w:fldChar w:fldCharType="separate"/>
            </w:r>
            <w:r>
              <w:rPr>
                <w:noProof/>
                <w:webHidden/>
              </w:rPr>
              <w:t>31</w:t>
            </w:r>
            <w:r>
              <w:rPr>
                <w:noProof/>
                <w:webHidden/>
              </w:rPr>
              <w:fldChar w:fldCharType="end"/>
            </w:r>
          </w:hyperlink>
        </w:p>
        <w:p w14:paraId="1BF534B9" w14:textId="0519610C" w:rsidR="00B931FC" w:rsidRDefault="00B931FC">
          <w:pPr>
            <w:pStyle w:val="TDC2"/>
            <w:tabs>
              <w:tab w:val="right" w:leader="dot" w:pos="8493"/>
            </w:tabs>
            <w:rPr>
              <w:rFonts w:asciiTheme="minorHAnsi" w:eastAsiaTheme="minorEastAsia" w:hAnsiTheme="minorHAnsi"/>
              <w:noProof/>
              <w:lang w:eastAsia="es-AR"/>
            </w:rPr>
          </w:pPr>
          <w:hyperlink w:anchor="_Toc223214791" w:history="1">
            <w:r w:rsidRPr="007774AB">
              <w:rPr>
                <w:rStyle w:val="Hipervnculo"/>
                <w:rFonts w:cs="Times New Roman"/>
                <w:noProof/>
              </w:rPr>
              <w:t>5.1 Riesgo, volatilidad y heterocedasticidad condicional</w:t>
            </w:r>
            <w:r>
              <w:rPr>
                <w:noProof/>
                <w:webHidden/>
              </w:rPr>
              <w:tab/>
            </w:r>
            <w:r>
              <w:rPr>
                <w:noProof/>
                <w:webHidden/>
              </w:rPr>
              <w:fldChar w:fldCharType="begin"/>
            </w:r>
            <w:r>
              <w:rPr>
                <w:noProof/>
                <w:webHidden/>
              </w:rPr>
              <w:instrText xml:space="preserve"> PAGEREF _Toc223214791 \h </w:instrText>
            </w:r>
            <w:r>
              <w:rPr>
                <w:noProof/>
                <w:webHidden/>
              </w:rPr>
            </w:r>
            <w:r>
              <w:rPr>
                <w:noProof/>
                <w:webHidden/>
              </w:rPr>
              <w:fldChar w:fldCharType="separate"/>
            </w:r>
            <w:r>
              <w:rPr>
                <w:noProof/>
                <w:webHidden/>
              </w:rPr>
              <w:t>31</w:t>
            </w:r>
            <w:r>
              <w:rPr>
                <w:noProof/>
                <w:webHidden/>
              </w:rPr>
              <w:fldChar w:fldCharType="end"/>
            </w:r>
          </w:hyperlink>
        </w:p>
        <w:p w14:paraId="28F44F09" w14:textId="355072D6" w:rsidR="00B931FC" w:rsidRDefault="00B931FC">
          <w:pPr>
            <w:pStyle w:val="TDC2"/>
            <w:tabs>
              <w:tab w:val="right" w:leader="dot" w:pos="8493"/>
            </w:tabs>
            <w:rPr>
              <w:rFonts w:asciiTheme="minorHAnsi" w:eastAsiaTheme="minorEastAsia" w:hAnsiTheme="minorHAnsi"/>
              <w:noProof/>
              <w:lang w:eastAsia="es-AR"/>
            </w:rPr>
          </w:pPr>
          <w:hyperlink w:anchor="_Toc223214792" w:history="1">
            <w:r w:rsidRPr="007774AB">
              <w:rPr>
                <w:rStyle w:val="Hipervnculo"/>
                <w:rFonts w:cs="Times New Roman"/>
                <w:noProof/>
              </w:rPr>
              <w:t>5.2 Modelización de la volatilidad mediante modelos GARCH</w:t>
            </w:r>
            <w:r>
              <w:rPr>
                <w:noProof/>
                <w:webHidden/>
              </w:rPr>
              <w:tab/>
            </w:r>
            <w:r>
              <w:rPr>
                <w:noProof/>
                <w:webHidden/>
              </w:rPr>
              <w:fldChar w:fldCharType="begin"/>
            </w:r>
            <w:r>
              <w:rPr>
                <w:noProof/>
                <w:webHidden/>
              </w:rPr>
              <w:instrText xml:space="preserve"> PAGEREF _Toc223214792 \h </w:instrText>
            </w:r>
            <w:r>
              <w:rPr>
                <w:noProof/>
                <w:webHidden/>
              </w:rPr>
            </w:r>
            <w:r>
              <w:rPr>
                <w:noProof/>
                <w:webHidden/>
              </w:rPr>
              <w:fldChar w:fldCharType="separate"/>
            </w:r>
            <w:r>
              <w:rPr>
                <w:noProof/>
                <w:webHidden/>
              </w:rPr>
              <w:t>33</w:t>
            </w:r>
            <w:r>
              <w:rPr>
                <w:noProof/>
                <w:webHidden/>
              </w:rPr>
              <w:fldChar w:fldCharType="end"/>
            </w:r>
          </w:hyperlink>
        </w:p>
        <w:p w14:paraId="3F88DE17" w14:textId="6F575897" w:rsidR="00B931FC" w:rsidRDefault="00B931FC">
          <w:pPr>
            <w:pStyle w:val="TDC2"/>
            <w:tabs>
              <w:tab w:val="right" w:leader="dot" w:pos="8493"/>
            </w:tabs>
            <w:rPr>
              <w:rFonts w:asciiTheme="minorHAnsi" w:eastAsiaTheme="minorEastAsia" w:hAnsiTheme="minorHAnsi"/>
              <w:noProof/>
              <w:lang w:eastAsia="es-AR"/>
            </w:rPr>
          </w:pPr>
          <w:hyperlink w:anchor="_Toc223214793" w:history="1">
            <w:r w:rsidRPr="007774AB">
              <w:rPr>
                <w:rStyle w:val="Hipervnculo"/>
                <w:rFonts w:cs="Times New Roman"/>
                <w:noProof/>
              </w:rPr>
              <w:t>5.3 Estimación y resultados del modelo GARCH</w:t>
            </w:r>
            <w:r>
              <w:rPr>
                <w:noProof/>
                <w:webHidden/>
              </w:rPr>
              <w:tab/>
            </w:r>
            <w:r>
              <w:rPr>
                <w:noProof/>
                <w:webHidden/>
              </w:rPr>
              <w:fldChar w:fldCharType="begin"/>
            </w:r>
            <w:r>
              <w:rPr>
                <w:noProof/>
                <w:webHidden/>
              </w:rPr>
              <w:instrText xml:space="preserve"> PAGEREF _Toc223214793 \h </w:instrText>
            </w:r>
            <w:r>
              <w:rPr>
                <w:noProof/>
                <w:webHidden/>
              </w:rPr>
            </w:r>
            <w:r>
              <w:rPr>
                <w:noProof/>
                <w:webHidden/>
              </w:rPr>
              <w:fldChar w:fldCharType="separate"/>
            </w:r>
            <w:r>
              <w:rPr>
                <w:noProof/>
                <w:webHidden/>
              </w:rPr>
              <w:t>34</w:t>
            </w:r>
            <w:r>
              <w:rPr>
                <w:noProof/>
                <w:webHidden/>
              </w:rPr>
              <w:fldChar w:fldCharType="end"/>
            </w:r>
          </w:hyperlink>
        </w:p>
        <w:p w14:paraId="00BCFFB0" w14:textId="4CAFB172" w:rsidR="00B931FC" w:rsidRDefault="00B931FC">
          <w:pPr>
            <w:pStyle w:val="TDC3"/>
            <w:tabs>
              <w:tab w:val="right" w:leader="dot" w:pos="8493"/>
            </w:tabs>
            <w:rPr>
              <w:rFonts w:asciiTheme="minorHAnsi" w:eastAsiaTheme="minorEastAsia" w:hAnsiTheme="minorHAnsi"/>
              <w:noProof/>
              <w:lang w:eastAsia="es-AR"/>
            </w:rPr>
          </w:pPr>
          <w:hyperlink w:anchor="_Toc223214794" w:history="1">
            <w:r w:rsidRPr="007774AB">
              <w:rPr>
                <w:rStyle w:val="Hipervnculo"/>
                <w:noProof/>
              </w:rPr>
              <w:t>5.3.1 Selección de la distribución de las innovaciones</w:t>
            </w:r>
            <w:r>
              <w:rPr>
                <w:noProof/>
                <w:webHidden/>
              </w:rPr>
              <w:tab/>
            </w:r>
            <w:r>
              <w:rPr>
                <w:noProof/>
                <w:webHidden/>
              </w:rPr>
              <w:fldChar w:fldCharType="begin"/>
            </w:r>
            <w:r>
              <w:rPr>
                <w:noProof/>
                <w:webHidden/>
              </w:rPr>
              <w:instrText xml:space="preserve"> PAGEREF _Toc223214794 \h </w:instrText>
            </w:r>
            <w:r>
              <w:rPr>
                <w:noProof/>
                <w:webHidden/>
              </w:rPr>
            </w:r>
            <w:r>
              <w:rPr>
                <w:noProof/>
                <w:webHidden/>
              </w:rPr>
              <w:fldChar w:fldCharType="separate"/>
            </w:r>
            <w:r>
              <w:rPr>
                <w:noProof/>
                <w:webHidden/>
              </w:rPr>
              <w:t>34</w:t>
            </w:r>
            <w:r>
              <w:rPr>
                <w:noProof/>
                <w:webHidden/>
              </w:rPr>
              <w:fldChar w:fldCharType="end"/>
            </w:r>
          </w:hyperlink>
        </w:p>
        <w:p w14:paraId="6DA9A28E" w14:textId="60E9FCF7" w:rsidR="00B931FC" w:rsidRDefault="00B931FC">
          <w:pPr>
            <w:pStyle w:val="TDC3"/>
            <w:tabs>
              <w:tab w:val="right" w:leader="dot" w:pos="8493"/>
            </w:tabs>
            <w:rPr>
              <w:rFonts w:asciiTheme="minorHAnsi" w:eastAsiaTheme="minorEastAsia" w:hAnsiTheme="minorHAnsi"/>
              <w:noProof/>
              <w:lang w:eastAsia="es-AR"/>
            </w:rPr>
          </w:pPr>
          <w:hyperlink w:anchor="_Toc223214795" w:history="1">
            <w:r w:rsidRPr="007774AB">
              <w:rPr>
                <w:rStyle w:val="Hipervnculo"/>
                <w:rFonts w:cs="Times New Roman"/>
                <w:noProof/>
              </w:rPr>
              <w:t>5.3.2 Estimación de los parámetros del modelo GARCH(1,1)</w:t>
            </w:r>
            <w:r>
              <w:rPr>
                <w:noProof/>
                <w:webHidden/>
              </w:rPr>
              <w:tab/>
            </w:r>
            <w:r>
              <w:rPr>
                <w:noProof/>
                <w:webHidden/>
              </w:rPr>
              <w:fldChar w:fldCharType="begin"/>
            </w:r>
            <w:r>
              <w:rPr>
                <w:noProof/>
                <w:webHidden/>
              </w:rPr>
              <w:instrText xml:space="preserve"> PAGEREF _Toc223214795 \h </w:instrText>
            </w:r>
            <w:r>
              <w:rPr>
                <w:noProof/>
                <w:webHidden/>
              </w:rPr>
            </w:r>
            <w:r>
              <w:rPr>
                <w:noProof/>
                <w:webHidden/>
              </w:rPr>
              <w:fldChar w:fldCharType="separate"/>
            </w:r>
            <w:r>
              <w:rPr>
                <w:noProof/>
                <w:webHidden/>
              </w:rPr>
              <w:t>35</w:t>
            </w:r>
            <w:r>
              <w:rPr>
                <w:noProof/>
                <w:webHidden/>
              </w:rPr>
              <w:fldChar w:fldCharType="end"/>
            </w:r>
          </w:hyperlink>
        </w:p>
        <w:p w14:paraId="1FCE1474" w14:textId="40071E3C" w:rsidR="00B931FC" w:rsidRDefault="00B931FC">
          <w:pPr>
            <w:pStyle w:val="TDC2"/>
            <w:tabs>
              <w:tab w:val="right" w:leader="dot" w:pos="8493"/>
            </w:tabs>
            <w:rPr>
              <w:rFonts w:asciiTheme="minorHAnsi" w:eastAsiaTheme="minorEastAsia" w:hAnsiTheme="minorHAnsi"/>
              <w:noProof/>
              <w:lang w:eastAsia="es-AR"/>
            </w:rPr>
          </w:pPr>
          <w:hyperlink w:anchor="_Toc223214796" w:history="1">
            <w:r w:rsidRPr="007774AB">
              <w:rPr>
                <w:rStyle w:val="Hipervnculo"/>
                <w:rFonts w:cs="Times New Roman"/>
                <w:noProof/>
              </w:rPr>
              <w:t>5.4 Medidas de riesgo extremo: Value at Risk y Expected Shortfall</w:t>
            </w:r>
            <w:r>
              <w:rPr>
                <w:noProof/>
                <w:webHidden/>
              </w:rPr>
              <w:tab/>
            </w:r>
            <w:r>
              <w:rPr>
                <w:noProof/>
                <w:webHidden/>
              </w:rPr>
              <w:fldChar w:fldCharType="begin"/>
            </w:r>
            <w:r>
              <w:rPr>
                <w:noProof/>
                <w:webHidden/>
              </w:rPr>
              <w:instrText xml:space="preserve"> PAGEREF _Toc223214796 \h </w:instrText>
            </w:r>
            <w:r>
              <w:rPr>
                <w:noProof/>
                <w:webHidden/>
              </w:rPr>
            </w:r>
            <w:r>
              <w:rPr>
                <w:noProof/>
                <w:webHidden/>
              </w:rPr>
              <w:fldChar w:fldCharType="separate"/>
            </w:r>
            <w:r>
              <w:rPr>
                <w:noProof/>
                <w:webHidden/>
              </w:rPr>
              <w:t>37</w:t>
            </w:r>
            <w:r>
              <w:rPr>
                <w:noProof/>
                <w:webHidden/>
              </w:rPr>
              <w:fldChar w:fldCharType="end"/>
            </w:r>
          </w:hyperlink>
        </w:p>
        <w:p w14:paraId="3FF376B0" w14:textId="17BB1366" w:rsidR="00B931FC" w:rsidRDefault="00B931FC">
          <w:pPr>
            <w:pStyle w:val="TDC2"/>
            <w:tabs>
              <w:tab w:val="right" w:leader="dot" w:pos="8493"/>
            </w:tabs>
            <w:rPr>
              <w:rFonts w:asciiTheme="minorHAnsi" w:eastAsiaTheme="minorEastAsia" w:hAnsiTheme="minorHAnsi"/>
              <w:noProof/>
              <w:lang w:eastAsia="es-AR"/>
            </w:rPr>
          </w:pPr>
          <w:hyperlink w:anchor="_Toc223214797" w:history="1">
            <w:r w:rsidRPr="007774AB">
              <w:rPr>
                <w:rStyle w:val="Hipervnculo"/>
                <w:rFonts w:cs="Times New Roman"/>
                <w:noProof/>
              </w:rPr>
              <w:t>5.5 Resultados de Value at Risk y Expected Shortfall y comparación entre estrategias</w:t>
            </w:r>
            <w:r>
              <w:rPr>
                <w:noProof/>
                <w:webHidden/>
              </w:rPr>
              <w:tab/>
            </w:r>
            <w:r>
              <w:rPr>
                <w:noProof/>
                <w:webHidden/>
              </w:rPr>
              <w:fldChar w:fldCharType="begin"/>
            </w:r>
            <w:r>
              <w:rPr>
                <w:noProof/>
                <w:webHidden/>
              </w:rPr>
              <w:instrText xml:space="preserve"> PAGEREF _Toc223214797 \h </w:instrText>
            </w:r>
            <w:r>
              <w:rPr>
                <w:noProof/>
                <w:webHidden/>
              </w:rPr>
            </w:r>
            <w:r>
              <w:rPr>
                <w:noProof/>
                <w:webHidden/>
              </w:rPr>
              <w:fldChar w:fldCharType="separate"/>
            </w:r>
            <w:r>
              <w:rPr>
                <w:noProof/>
                <w:webHidden/>
              </w:rPr>
              <w:t>38</w:t>
            </w:r>
            <w:r>
              <w:rPr>
                <w:noProof/>
                <w:webHidden/>
              </w:rPr>
              <w:fldChar w:fldCharType="end"/>
            </w:r>
          </w:hyperlink>
        </w:p>
        <w:p w14:paraId="7A1D21E3" w14:textId="0AC7459D" w:rsidR="00B931FC" w:rsidRDefault="00B931FC">
          <w:pPr>
            <w:pStyle w:val="TDC2"/>
            <w:tabs>
              <w:tab w:val="right" w:leader="dot" w:pos="8493"/>
            </w:tabs>
            <w:rPr>
              <w:rFonts w:asciiTheme="minorHAnsi" w:eastAsiaTheme="minorEastAsia" w:hAnsiTheme="minorHAnsi"/>
              <w:noProof/>
              <w:lang w:eastAsia="es-AR"/>
            </w:rPr>
          </w:pPr>
          <w:hyperlink w:anchor="_Toc223214798" w:history="1">
            <w:r w:rsidRPr="007774AB">
              <w:rPr>
                <w:rStyle w:val="Hipervnculo"/>
                <w:rFonts w:cs="Times New Roman"/>
                <w:noProof/>
              </w:rPr>
              <w:t>5.6 Síntesis del capítulo</w:t>
            </w:r>
            <w:r>
              <w:rPr>
                <w:noProof/>
                <w:webHidden/>
              </w:rPr>
              <w:tab/>
            </w:r>
            <w:r>
              <w:rPr>
                <w:noProof/>
                <w:webHidden/>
              </w:rPr>
              <w:fldChar w:fldCharType="begin"/>
            </w:r>
            <w:r>
              <w:rPr>
                <w:noProof/>
                <w:webHidden/>
              </w:rPr>
              <w:instrText xml:space="preserve"> PAGEREF _Toc223214798 \h </w:instrText>
            </w:r>
            <w:r>
              <w:rPr>
                <w:noProof/>
                <w:webHidden/>
              </w:rPr>
            </w:r>
            <w:r>
              <w:rPr>
                <w:noProof/>
                <w:webHidden/>
              </w:rPr>
              <w:fldChar w:fldCharType="separate"/>
            </w:r>
            <w:r>
              <w:rPr>
                <w:noProof/>
                <w:webHidden/>
              </w:rPr>
              <w:t>39</w:t>
            </w:r>
            <w:r>
              <w:rPr>
                <w:noProof/>
                <w:webHidden/>
              </w:rPr>
              <w:fldChar w:fldCharType="end"/>
            </w:r>
          </w:hyperlink>
        </w:p>
        <w:p w14:paraId="4AAA0D81" w14:textId="658B466F" w:rsidR="00B931FC" w:rsidRDefault="00B931FC">
          <w:pPr>
            <w:pStyle w:val="TDC1"/>
            <w:tabs>
              <w:tab w:val="right" w:leader="dot" w:pos="8493"/>
            </w:tabs>
            <w:rPr>
              <w:rFonts w:asciiTheme="minorHAnsi" w:eastAsiaTheme="minorEastAsia" w:hAnsiTheme="minorHAnsi"/>
              <w:noProof/>
              <w:lang w:eastAsia="es-AR"/>
            </w:rPr>
          </w:pPr>
          <w:hyperlink w:anchor="_Toc223214799" w:history="1">
            <w:r w:rsidRPr="007774AB">
              <w:rPr>
                <w:rStyle w:val="Hipervnculo"/>
                <w:rFonts w:cs="Times New Roman"/>
                <w:noProof/>
              </w:rPr>
              <w:t>Bibliografía</w:t>
            </w:r>
            <w:r>
              <w:rPr>
                <w:noProof/>
                <w:webHidden/>
              </w:rPr>
              <w:tab/>
            </w:r>
            <w:r>
              <w:rPr>
                <w:noProof/>
                <w:webHidden/>
              </w:rPr>
              <w:fldChar w:fldCharType="begin"/>
            </w:r>
            <w:r>
              <w:rPr>
                <w:noProof/>
                <w:webHidden/>
              </w:rPr>
              <w:instrText xml:space="preserve"> PAGEREF _Toc223214799 \h </w:instrText>
            </w:r>
            <w:r>
              <w:rPr>
                <w:noProof/>
                <w:webHidden/>
              </w:rPr>
            </w:r>
            <w:r>
              <w:rPr>
                <w:noProof/>
                <w:webHidden/>
              </w:rPr>
              <w:fldChar w:fldCharType="separate"/>
            </w:r>
            <w:r>
              <w:rPr>
                <w:noProof/>
                <w:webHidden/>
              </w:rPr>
              <w:t>39</w:t>
            </w:r>
            <w:r>
              <w:rPr>
                <w:noProof/>
                <w:webHidden/>
              </w:rPr>
              <w:fldChar w:fldCharType="end"/>
            </w:r>
          </w:hyperlink>
        </w:p>
        <w:p w14:paraId="78D4FA6E" w14:textId="20832D88" w:rsidR="00B931FC" w:rsidRDefault="00B931FC">
          <w:pPr>
            <w:pStyle w:val="TDC1"/>
            <w:tabs>
              <w:tab w:val="right" w:leader="dot" w:pos="8493"/>
            </w:tabs>
            <w:rPr>
              <w:rFonts w:asciiTheme="minorHAnsi" w:eastAsiaTheme="minorEastAsia" w:hAnsiTheme="minorHAnsi"/>
              <w:noProof/>
              <w:lang w:eastAsia="es-AR"/>
            </w:rPr>
          </w:pPr>
          <w:hyperlink w:anchor="_Toc223214800" w:history="1">
            <w:r w:rsidRPr="007774AB">
              <w:rPr>
                <w:rStyle w:val="Hipervnculo"/>
                <w:noProof/>
              </w:rPr>
              <w:t>ANEXO A</w:t>
            </w:r>
            <w:r>
              <w:rPr>
                <w:noProof/>
                <w:webHidden/>
              </w:rPr>
              <w:tab/>
            </w:r>
            <w:r>
              <w:rPr>
                <w:noProof/>
                <w:webHidden/>
              </w:rPr>
              <w:fldChar w:fldCharType="begin"/>
            </w:r>
            <w:r>
              <w:rPr>
                <w:noProof/>
                <w:webHidden/>
              </w:rPr>
              <w:instrText xml:space="preserve"> PAGEREF _Toc223214800 \h </w:instrText>
            </w:r>
            <w:r>
              <w:rPr>
                <w:noProof/>
                <w:webHidden/>
              </w:rPr>
            </w:r>
            <w:r>
              <w:rPr>
                <w:noProof/>
                <w:webHidden/>
              </w:rPr>
              <w:fldChar w:fldCharType="separate"/>
            </w:r>
            <w:r>
              <w:rPr>
                <w:noProof/>
                <w:webHidden/>
              </w:rPr>
              <w:t>41</w:t>
            </w:r>
            <w:r>
              <w:rPr>
                <w:noProof/>
                <w:webHidden/>
              </w:rPr>
              <w:fldChar w:fldCharType="end"/>
            </w:r>
          </w:hyperlink>
        </w:p>
        <w:p w14:paraId="1D9855BC" w14:textId="511D4BE0" w:rsidR="00B931FC" w:rsidRDefault="00B931FC">
          <w:pPr>
            <w:pStyle w:val="TDC1"/>
            <w:tabs>
              <w:tab w:val="right" w:leader="dot" w:pos="8493"/>
            </w:tabs>
            <w:rPr>
              <w:rFonts w:asciiTheme="minorHAnsi" w:eastAsiaTheme="minorEastAsia" w:hAnsiTheme="minorHAnsi"/>
              <w:noProof/>
              <w:lang w:eastAsia="es-AR"/>
            </w:rPr>
          </w:pPr>
          <w:hyperlink w:anchor="_Toc223214801" w:history="1">
            <w:r w:rsidRPr="007774AB">
              <w:rPr>
                <w:rStyle w:val="Hipervnculo"/>
                <w:noProof/>
              </w:rPr>
              <w:t>Discusión, limitaciones y conclusiones</w:t>
            </w:r>
            <w:r>
              <w:rPr>
                <w:noProof/>
                <w:webHidden/>
              </w:rPr>
              <w:tab/>
            </w:r>
            <w:r>
              <w:rPr>
                <w:noProof/>
                <w:webHidden/>
              </w:rPr>
              <w:fldChar w:fldCharType="begin"/>
            </w:r>
            <w:r>
              <w:rPr>
                <w:noProof/>
                <w:webHidden/>
              </w:rPr>
              <w:instrText xml:space="preserve"> PAGEREF _Toc223214801 \h </w:instrText>
            </w:r>
            <w:r>
              <w:rPr>
                <w:noProof/>
                <w:webHidden/>
              </w:rPr>
            </w:r>
            <w:r>
              <w:rPr>
                <w:noProof/>
                <w:webHidden/>
              </w:rPr>
              <w:fldChar w:fldCharType="separate"/>
            </w:r>
            <w:r>
              <w:rPr>
                <w:noProof/>
                <w:webHidden/>
              </w:rPr>
              <w:t>41</w:t>
            </w:r>
            <w:r>
              <w:rPr>
                <w:noProof/>
                <w:webHidden/>
              </w:rPr>
              <w:fldChar w:fldCharType="end"/>
            </w:r>
          </w:hyperlink>
        </w:p>
        <w:p w14:paraId="781DC5DD" w14:textId="27746C26" w:rsidR="00B931FC" w:rsidRDefault="00B931FC">
          <w:pPr>
            <w:pStyle w:val="TDC2"/>
            <w:tabs>
              <w:tab w:val="right" w:leader="dot" w:pos="8493"/>
            </w:tabs>
            <w:rPr>
              <w:rFonts w:asciiTheme="minorHAnsi" w:eastAsiaTheme="minorEastAsia" w:hAnsiTheme="minorHAnsi"/>
              <w:noProof/>
              <w:lang w:eastAsia="es-AR"/>
            </w:rPr>
          </w:pPr>
          <w:hyperlink w:anchor="_Toc223214802" w:history="1">
            <w:r w:rsidRPr="007774AB">
              <w:rPr>
                <w:rStyle w:val="Hipervnculo"/>
                <w:rFonts w:cs="Times New Roman"/>
                <w:noProof/>
              </w:rPr>
              <w:t>A.1 Discusión integrada de los resultados</w:t>
            </w:r>
            <w:r>
              <w:rPr>
                <w:noProof/>
                <w:webHidden/>
              </w:rPr>
              <w:tab/>
            </w:r>
            <w:r>
              <w:rPr>
                <w:noProof/>
                <w:webHidden/>
              </w:rPr>
              <w:fldChar w:fldCharType="begin"/>
            </w:r>
            <w:r>
              <w:rPr>
                <w:noProof/>
                <w:webHidden/>
              </w:rPr>
              <w:instrText xml:space="preserve"> PAGEREF _Toc223214802 \h </w:instrText>
            </w:r>
            <w:r>
              <w:rPr>
                <w:noProof/>
                <w:webHidden/>
              </w:rPr>
            </w:r>
            <w:r>
              <w:rPr>
                <w:noProof/>
                <w:webHidden/>
              </w:rPr>
              <w:fldChar w:fldCharType="separate"/>
            </w:r>
            <w:r>
              <w:rPr>
                <w:noProof/>
                <w:webHidden/>
              </w:rPr>
              <w:t>41</w:t>
            </w:r>
            <w:r>
              <w:rPr>
                <w:noProof/>
                <w:webHidden/>
              </w:rPr>
              <w:fldChar w:fldCharType="end"/>
            </w:r>
          </w:hyperlink>
        </w:p>
        <w:p w14:paraId="293CB4CF" w14:textId="32B7617A" w:rsidR="00B931FC" w:rsidRDefault="00B931FC">
          <w:pPr>
            <w:pStyle w:val="TDC2"/>
            <w:tabs>
              <w:tab w:val="right" w:leader="dot" w:pos="8493"/>
            </w:tabs>
            <w:rPr>
              <w:rFonts w:asciiTheme="minorHAnsi" w:eastAsiaTheme="minorEastAsia" w:hAnsiTheme="minorHAnsi"/>
              <w:noProof/>
              <w:lang w:eastAsia="es-AR"/>
            </w:rPr>
          </w:pPr>
          <w:hyperlink w:anchor="_Toc223214803" w:history="1">
            <w:r w:rsidRPr="007774AB">
              <w:rPr>
                <w:rStyle w:val="Hipervnculo"/>
                <w:rFonts w:cs="Times New Roman"/>
                <w:noProof/>
              </w:rPr>
              <w:t>A.2 Limitaciones del trabajo</w:t>
            </w:r>
            <w:r>
              <w:rPr>
                <w:noProof/>
                <w:webHidden/>
              </w:rPr>
              <w:tab/>
            </w:r>
            <w:r>
              <w:rPr>
                <w:noProof/>
                <w:webHidden/>
              </w:rPr>
              <w:fldChar w:fldCharType="begin"/>
            </w:r>
            <w:r>
              <w:rPr>
                <w:noProof/>
                <w:webHidden/>
              </w:rPr>
              <w:instrText xml:space="preserve"> PAGEREF _Toc223214803 \h </w:instrText>
            </w:r>
            <w:r>
              <w:rPr>
                <w:noProof/>
                <w:webHidden/>
              </w:rPr>
            </w:r>
            <w:r>
              <w:rPr>
                <w:noProof/>
                <w:webHidden/>
              </w:rPr>
              <w:fldChar w:fldCharType="separate"/>
            </w:r>
            <w:r>
              <w:rPr>
                <w:noProof/>
                <w:webHidden/>
              </w:rPr>
              <w:t>42</w:t>
            </w:r>
            <w:r>
              <w:rPr>
                <w:noProof/>
                <w:webHidden/>
              </w:rPr>
              <w:fldChar w:fldCharType="end"/>
            </w:r>
          </w:hyperlink>
        </w:p>
        <w:p w14:paraId="18F1370D" w14:textId="2817B8CB" w:rsidR="00B931FC" w:rsidRDefault="00B931FC">
          <w:pPr>
            <w:pStyle w:val="TDC2"/>
            <w:tabs>
              <w:tab w:val="right" w:leader="dot" w:pos="8493"/>
            </w:tabs>
            <w:rPr>
              <w:rFonts w:asciiTheme="minorHAnsi" w:eastAsiaTheme="minorEastAsia" w:hAnsiTheme="minorHAnsi"/>
              <w:noProof/>
              <w:lang w:eastAsia="es-AR"/>
            </w:rPr>
          </w:pPr>
          <w:hyperlink w:anchor="_Toc223214804" w:history="1">
            <w:r w:rsidRPr="007774AB">
              <w:rPr>
                <w:rStyle w:val="Hipervnculo"/>
                <w:rFonts w:cs="Times New Roman"/>
                <w:noProof/>
              </w:rPr>
              <w:t>A.3 Conclusiones finales e implicancias actuariales</w:t>
            </w:r>
            <w:r>
              <w:rPr>
                <w:noProof/>
                <w:webHidden/>
              </w:rPr>
              <w:tab/>
            </w:r>
            <w:r>
              <w:rPr>
                <w:noProof/>
                <w:webHidden/>
              </w:rPr>
              <w:fldChar w:fldCharType="begin"/>
            </w:r>
            <w:r>
              <w:rPr>
                <w:noProof/>
                <w:webHidden/>
              </w:rPr>
              <w:instrText xml:space="preserve"> PAGEREF _Toc223214804 \h </w:instrText>
            </w:r>
            <w:r>
              <w:rPr>
                <w:noProof/>
                <w:webHidden/>
              </w:rPr>
            </w:r>
            <w:r>
              <w:rPr>
                <w:noProof/>
                <w:webHidden/>
              </w:rPr>
              <w:fldChar w:fldCharType="separate"/>
            </w:r>
            <w:r>
              <w:rPr>
                <w:noProof/>
                <w:webHidden/>
              </w:rPr>
              <w:t>43</w:t>
            </w:r>
            <w:r>
              <w:rPr>
                <w:noProof/>
                <w:webHidden/>
              </w:rPr>
              <w:fldChar w:fldCharType="end"/>
            </w:r>
          </w:hyperlink>
        </w:p>
        <w:p w14:paraId="78D9BCFE" w14:textId="27CB009F" w:rsidR="00B931FC" w:rsidRDefault="00B931FC">
          <w:pPr>
            <w:pStyle w:val="TDC1"/>
            <w:tabs>
              <w:tab w:val="right" w:leader="dot" w:pos="8493"/>
            </w:tabs>
            <w:rPr>
              <w:rFonts w:asciiTheme="minorHAnsi" w:eastAsiaTheme="minorEastAsia" w:hAnsiTheme="minorHAnsi"/>
              <w:noProof/>
              <w:lang w:eastAsia="es-AR"/>
            </w:rPr>
          </w:pPr>
          <w:hyperlink w:anchor="_Toc223214805" w:history="1">
            <w:r w:rsidRPr="007774AB">
              <w:rPr>
                <w:rStyle w:val="Hipervnculo"/>
                <w:rFonts w:cs="Times New Roman"/>
                <w:noProof/>
              </w:rPr>
              <w:t>ANEXO B</w:t>
            </w:r>
            <w:r>
              <w:rPr>
                <w:noProof/>
                <w:webHidden/>
              </w:rPr>
              <w:tab/>
            </w:r>
            <w:r>
              <w:rPr>
                <w:noProof/>
                <w:webHidden/>
              </w:rPr>
              <w:fldChar w:fldCharType="begin"/>
            </w:r>
            <w:r>
              <w:rPr>
                <w:noProof/>
                <w:webHidden/>
              </w:rPr>
              <w:instrText xml:space="preserve"> PAGEREF _Toc223214805 \h </w:instrText>
            </w:r>
            <w:r>
              <w:rPr>
                <w:noProof/>
                <w:webHidden/>
              </w:rPr>
            </w:r>
            <w:r>
              <w:rPr>
                <w:noProof/>
                <w:webHidden/>
              </w:rPr>
              <w:fldChar w:fldCharType="separate"/>
            </w:r>
            <w:r>
              <w:rPr>
                <w:noProof/>
                <w:webHidden/>
              </w:rPr>
              <w:t>44</w:t>
            </w:r>
            <w:r>
              <w:rPr>
                <w:noProof/>
                <w:webHidden/>
              </w:rPr>
              <w:fldChar w:fldCharType="end"/>
            </w:r>
          </w:hyperlink>
        </w:p>
        <w:p w14:paraId="54346338" w14:textId="0140BB68" w:rsidR="00B931FC" w:rsidRDefault="00B931FC">
          <w:pPr>
            <w:pStyle w:val="TDC1"/>
            <w:tabs>
              <w:tab w:val="right" w:leader="dot" w:pos="8493"/>
            </w:tabs>
            <w:rPr>
              <w:rFonts w:asciiTheme="minorHAnsi" w:eastAsiaTheme="minorEastAsia" w:hAnsiTheme="minorHAnsi"/>
              <w:noProof/>
              <w:lang w:eastAsia="es-AR"/>
            </w:rPr>
          </w:pPr>
          <w:hyperlink w:anchor="_Toc223214806" w:history="1">
            <w:r w:rsidRPr="007774AB">
              <w:rPr>
                <w:rStyle w:val="Hipervnculo"/>
                <w:rFonts w:cs="Times New Roman"/>
                <w:noProof/>
              </w:rPr>
              <w:t>Métricas de desempeño y riesgo complementarias</w:t>
            </w:r>
            <w:r>
              <w:rPr>
                <w:noProof/>
                <w:webHidden/>
              </w:rPr>
              <w:tab/>
            </w:r>
            <w:r>
              <w:rPr>
                <w:noProof/>
                <w:webHidden/>
              </w:rPr>
              <w:fldChar w:fldCharType="begin"/>
            </w:r>
            <w:r>
              <w:rPr>
                <w:noProof/>
                <w:webHidden/>
              </w:rPr>
              <w:instrText xml:space="preserve"> PAGEREF _Toc223214806 \h </w:instrText>
            </w:r>
            <w:r>
              <w:rPr>
                <w:noProof/>
                <w:webHidden/>
              </w:rPr>
            </w:r>
            <w:r>
              <w:rPr>
                <w:noProof/>
                <w:webHidden/>
              </w:rPr>
              <w:fldChar w:fldCharType="separate"/>
            </w:r>
            <w:r>
              <w:rPr>
                <w:noProof/>
                <w:webHidden/>
              </w:rPr>
              <w:t>44</w:t>
            </w:r>
            <w:r>
              <w:rPr>
                <w:noProof/>
                <w:webHidden/>
              </w:rPr>
              <w:fldChar w:fldCharType="end"/>
            </w:r>
          </w:hyperlink>
        </w:p>
        <w:p w14:paraId="78CF3A6D" w14:textId="6F12B04E" w:rsidR="00B931FC" w:rsidRDefault="00B931FC">
          <w:pPr>
            <w:pStyle w:val="TDC2"/>
            <w:tabs>
              <w:tab w:val="right" w:leader="dot" w:pos="8493"/>
            </w:tabs>
            <w:rPr>
              <w:rFonts w:asciiTheme="minorHAnsi" w:eastAsiaTheme="minorEastAsia" w:hAnsiTheme="minorHAnsi"/>
              <w:noProof/>
              <w:lang w:eastAsia="es-AR"/>
            </w:rPr>
          </w:pPr>
          <w:hyperlink w:anchor="_Toc223214807" w:history="1">
            <w:r w:rsidRPr="007774AB">
              <w:rPr>
                <w:rStyle w:val="Hipervnculo"/>
                <w:rFonts w:cs="Times New Roman"/>
                <w:noProof/>
              </w:rPr>
              <w:t>B.1 Objetivo del anexo</w:t>
            </w:r>
            <w:r>
              <w:rPr>
                <w:noProof/>
                <w:webHidden/>
              </w:rPr>
              <w:tab/>
            </w:r>
            <w:r>
              <w:rPr>
                <w:noProof/>
                <w:webHidden/>
              </w:rPr>
              <w:fldChar w:fldCharType="begin"/>
            </w:r>
            <w:r>
              <w:rPr>
                <w:noProof/>
                <w:webHidden/>
              </w:rPr>
              <w:instrText xml:space="preserve"> PAGEREF _Toc223214807 \h </w:instrText>
            </w:r>
            <w:r>
              <w:rPr>
                <w:noProof/>
                <w:webHidden/>
              </w:rPr>
            </w:r>
            <w:r>
              <w:rPr>
                <w:noProof/>
                <w:webHidden/>
              </w:rPr>
              <w:fldChar w:fldCharType="separate"/>
            </w:r>
            <w:r>
              <w:rPr>
                <w:noProof/>
                <w:webHidden/>
              </w:rPr>
              <w:t>44</w:t>
            </w:r>
            <w:r>
              <w:rPr>
                <w:noProof/>
                <w:webHidden/>
              </w:rPr>
              <w:fldChar w:fldCharType="end"/>
            </w:r>
          </w:hyperlink>
        </w:p>
        <w:p w14:paraId="410154B2" w14:textId="6F472ACE" w:rsidR="00B931FC" w:rsidRDefault="00B931FC">
          <w:pPr>
            <w:pStyle w:val="TDC2"/>
            <w:tabs>
              <w:tab w:val="right" w:leader="dot" w:pos="8493"/>
            </w:tabs>
            <w:rPr>
              <w:rFonts w:asciiTheme="minorHAnsi" w:eastAsiaTheme="minorEastAsia" w:hAnsiTheme="minorHAnsi"/>
              <w:noProof/>
              <w:lang w:eastAsia="es-AR"/>
            </w:rPr>
          </w:pPr>
          <w:hyperlink w:anchor="_Toc223214808" w:history="1">
            <w:r w:rsidRPr="007774AB">
              <w:rPr>
                <w:rStyle w:val="Hipervnculo"/>
                <w:rFonts w:cs="Times New Roman"/>
                <w:noProof/>
              </w:rPr>
              <w:t>B.2 Métricas de desempeño ajustadas por autocorrelación</w:t>
            </w:r>
            <w:r>
              <w:rPr>
                <w:noProof/>
                <w:webHidden/>
              </w:rPr>
              <w:tab/>
            </w:r>
            <w:r>
              <w:rPr>
                <w:noProof/>
                <w:webHidden/>
              </w:rPr>
              <w:fldChar w:fldCharType="begin"/>
            </w:r>
            <w:r>
              <w:rPr>
                <w:noProof/>
                <w:webHidden/>
              </w:rPr>
              <w:instrText xml:space="preserve"> PAGEREF _Toc223214808 \h </w:instrText>
            </w:r>
            <w:r>
              <w:rPr>
                <w:noProof/>
                <w:webHidden/>
              </w:rPr>
            </w:r>
            <w:r>
              <w:rPr>
                <w:noProof/>
                <w:webHidden/>
              </w:rPr>
              <w:fldChar w:fldCharType="separate"/>
            </w:r>
            <w:r>
              <w:rPr>
                <w:noProof/>
                <w:webHidden/>
              </w:rPr>
              <w:t>45</w:t>
            </w:r>
            <w:r>
              <w:rPr>
                <w:noProof/>
                <w:webHidden/>
              </w:rPr>
              <w:fldChar w:fldCharType="end"/>
            </w:r>
          </w:hyperlink>
        </w:p>
        <w:p w14:paraId="6B1AF61F" w14:textId="3C142D24" w:rsidR="00B931FC" w:rsidRDefault="00B931FC">
          <w:pPr>
            <w:pStyle w:val="TDC2"/>
            <w:tabs>
              <w:tab w:val="right" w:leader="dot" w:pos="8493"/>
            </w:tabs>
            <w:rPr>
              <w:rFonts w:asciiTheme="minorHAnsi" w:eastAsiaTheme="minorEastAsia" w:hAnsiTheme="minorHAnsi"/>
              <w:noProof/>
              <w:lang w:eastAsia="es-AR"/>
            </w:rPr>
          </w:pPr>
          <w:hyperlink w:anchor="_Toc223214809" w:history="1">
            <w:r w:rsidRPr="007774AB">
              <w:rPr>
                <w:rStyle w:val="Hipervnculo"/>
                <w:rFonts w:cs="Times New Roman"/>
                <w:noProof/>
              </w:rPr>
              <w:t>B.3 Medidas históricas de riesgo extremo: VaR y Expected Shortfall</w:t>
            </w:r>
            <w:r>
              <w:rPr>
                <w:noProof/>
                <w:webHidden/>
              </w:rPr>
              <w:tab/>
            </w:r>
            <w:r>
              <w:rPr>
                <w:noProof/>
                <w:webHidden/>
              </w:rPr>
              <w:fldChar w:fldCharType="begin"/>
            </w:r>
            <w:r>
              <w:rPr>
                <w:noProof/>
                <w:webHidden/>
              </w:rPr>
              <w:instrText xml:space="preserve"> PAGEREF _Toc223214809 \h </w:instrText>
            </w:r>
            <w:r>
              <w:rPr>
                <w:noProof/>
                <w:webHidden/>
              </w:rPr>
            </w:r>
            <w:r>
              <w:rPr>
                <w:noProof/>
                <w:webHidden/>
              </w:rPr>
              <w:fldChar w:fldCharType="separate"/>
            </w:r>
            <w:r>
              <w:rPr>
                <w:noProof/>
                <w:webHidden/>
              </w:rPr>
              <w:t>46</w:t>
            </w:r>
            <w:r>
              <w:rPr>
                <w:noProof/>
                <w:webHidden/>
              </w:rPr>
              <w:fldChar w:fldCharType="end"/>
            </w:r>
          </w:hyperlink>
        </w:p>
        <w:p w14:paraId="0460EBB7" w14:textId="4A34829F" w:rsidR="00B931FC" w:rsidRDefault="00B931FC">
          <w:pPr>
            <w:pStyle w:val="TDC2"/>
            <w:tabs>
              <w:tab w:val="right" w:leader="dot" w:pos="8493"/>
            </w:tabs>
            <w:rPr>
              <w:rFonts w:asciiTheme="minorHAnsi" w:eastAsiaTheme="minorEastAsia" w:hAnsiTheme="minorHAnsi"/>
              <w:noProof/>
              <w:lang w:eastAsia="es-AR"/>
            </w:rPr>
          </w:pPr>
          <w:hyperlink w:anchor="_Toc223214810" w:history="1">
            <w:r w:rsidRPr="007774AB">
              <w:rPr>
                <w:rStyle w:val="Hipervnculo"/>
                <w:rFonts w:cs="Times New Roman"/>
                <w:noProof/>
                <w:lang w:val="en-US"/>
              </w:rPr>
              <w:t>B.4 Backtesting del Value at Risk histórico</w:t>
            </w:r>
            <w:r>
              <w:rPr>
                <w:noProof/>
                <w:webHidden/>
              </w:rPr>
              <w:tab/>
            </w:r>
            <w:r>
              <w:rPr>
                <w:noProof/>
                <w:webHidden/>
              </w:rPr>
              <w:fldChar w:fldCharType="begin"/>
            </w:r>
            <w:r>
              <w:rPr>
                <w:noProof/>
                <w:webHidden/>
              </w:rPr>
              <w:instrText xml:space="preserve"> PAGEREF _Toc223214810 \h </w:instrText>
            </w:r>
            <w:r>
              <w:rPr>
                <w:noProof/>
                <w:webHidden/>
              </w:rPr>
            </w:r>
            <w:r>
              <w:rPr>
                <w:noProof/>
                <w:webHidden/>
              </w:rPr>
              <w:fldChar w:fldCharType="separate"/>
            </w:r>
            <w:r>
              <w:rPr>
                <w:noProof/>
                <w:webHidden/>
              </w:rPr>
              <w:t>46</w:t>
            </w:r>
            <w:r>
              <w:rPr>
                <w:noProof/>
                <w:webHidden/>
              </w:rPr>
              <w:fldChar w:fldCharType="end"/>
            </w:r>
          </w:hyperlink>
        </w:p>
        <w:p w14:paraId="153F870D" w14:textId="6D3F1D4A" w:rsidR="00B931FC" w:rsidRDefault="00B931FC">
          <w:pPr>
            <w:pStyle w:val="TDC2"/>
            <w:tabs>
              <w:tab w:val="right" w:leader="dot" w:pos="8493"/>
            </w:tabs>
            <w:rPr>
              <w:rFonts w:asciiTheme="minorHAnsi" w:eastAsiaTheme="minorEastAsia" w:hAnsiTheme="minorHAnsi"/>
              <w:noProof/>
              <w:lang w:eastAsia="es-AR"/>
            </w:rPr>
          </w:pPr>
          <w:hyperlink w:anchor="_Toc223214811" w:history="1">
            <w:r w:rsidRPr="007774AB">
              <w:rPr>
                <w:rStyle w:val="Hipervnculo"/>
                <w:rFonts w:cs="Times New Roman"/>
                <w:noProof/>
              </w:rPr>
              <w:t>B.5 Observación final</w:t>
            </w:r>
            <w:r>
              <w:rPr>
                <w:noProof/>
                <w:webHidden/>
              </w:rPr>
              <w:tab/>
            </w:r>
            <w:r>
              <w:rPr>
                <w:noProof/>
                <w:webHidden/>
              </w:rPr>
              <w:fldChar w:fldCharType="begin"/>
            </w:r>
            <w:r>
              <w:rPr>
                <w:noProof/>
                <w:webHidden/>
              </w:rPr>
              <w:instrText xml:space="preserve"> PAGEREF _Toc223214811 \h </w:instrText>
            </w:r>
            <w:r>
              <w:rPr>
                <w:noProof/>
                <w:webHidden/>
              </w:rPr>
            </w:r>
            <w:r>
              <w:rPr>
                <w:noProof/>
                <w:webHidden/>
              </w:rPr>
              <w:fldChar w:fldCharType="separate"/>
            </w:r>
            <w:r>
              <w:rPr>
                <w:noProof/>
                <w:webHidden/>
              </w:rPr>
              <w:t>47</w:t>
            </w:r>
            <w:r>
              <w:rPr>
                <w:noProof/>
                <w:webHidden/>
              </w:rPr>
              <w:fldChar w:fldCharType="end"/>
            </w:r>
          </w:hyperlink>
        </w:p>
        <w:p w14:paraId="412CC0B5" w14:textId="05685DD1" w:rsidR="00B931FC" w:rsidRDefault="00B931FC">
          <w:pPr>
            <w:pStyle w:val="TDC1"/>
            <w:tabs>
              <w:tab w:val="right" w:leader="dot" w:pos="8493"/>
            </w:tabs>
            <w:rPr>
              <w:rFonts w:asciiTheme="minorHAnsi" w:eastAsiaTheme="minorEastAsia" w:hAnsiTheme="minorHAnsi"/>
              <w:noProof/>
              <w:lang w:eastAsia="es-AR"/>
            </w:rPr>
          </w:pPr>
          <w:hyperlink w:anchor="_Toc223214812" w:history="1">
            <w:r w:rsidRPr="007774AB">
              <w:rPr>
                <w:rStyle w:val="Hipervnculo"/>
                <w:rFonts w:cs="Times New Roman"/>
                <w:noProof/>
              </w:rPr>
              <w:t>ANEXO C</w:t>
            </w:r>
            <w:r>
              <w:rPr>
                <w:noProof/>
                <w:webHidden/>
              </w:rPr>
              <w:tab/>
            </w:r>
            <w:r>
              <w:rPr>
                <w:noProof/>
                <w:webHidden/>
              </w:rPr>
              <w:fldChar w:fldCharType="begin"/>
            </w:r>
            <w:r>
              <w:rPr>
                <w:noProof/>
                <w:webHidden/>
              </w:rPr>
              <w:instrText xml:space="preserve"> PAGEREF _Toc223214812 \h </w:instrText>
            </w:r>
            <w:r>
              <w:rPr>
                <w:noProof/>
                <w:webHidden/>
              </w:rPr>
            </w:r>
            <w:r>
              <w:rPr>
                <w:noProof/>
                <w:webHidden/>
              </w:rPr>
              <w:fldChar w:fldCharType="separate"/>
            </w:r>
            <w:r>
              <w:rPr>
                <w:noProof/>
                <w:webHidden/>
              </w:rPr>
              <w:t>47</w:t>
            </w:r>
            <w:r>
              <w:rPr>
                <w:noProof/>
                <w:webHidden/>
              </w:rPr>
              <w:fldChar w:fldCharType="end"/>
            </w:r>
          </w:hyperlink>
        </w:p>
        <w:p w14:paraId="6CE9C86D" w14:textId="305B43A3" w:rsidR="00B931FC" w:rsidRDefault="00B931FC">
          <w:pPr>
            <w:pStyle w:val="TDC1"/>
            <w:tabs>
              <w:tab w:val="right" w:leader="dot" w:pos="8493"/>
            </w:tabs>
            <w:rPr>
              <w:rFonts w:asciiTheme="minorHAnsi" w:eastAsiaTheme="minorEastAsia" w:hAnsiTheme="minorHAnsi"/>
              <w:noProof/>
              <w:lang w:eastAsia="es-AR"/>
            </w:rPr>
          </w:pPr>
          <w:hyperlink w:anchor="_Toc223214813" w:history="1">
            <w:r w:rsidRPr="007774AB">
              <w:rPr>
                <w:rStyle w:val="Hipervnculo"/>
                <w:noProof/>
              </w:rPr>
              <w:t>Optimización de portafolios</w:t>
            </w:r>
            <w:r>
              <w:rPr>
                <w:noProof/>
                <w:webHidden/>
              </w:rPr>
              <w:tab/>
            </w:r>
            <w:r>
              <w:rPr>
                <w:noProof/>
                <w:webHidden/>
              </w:rPr>
              <w:fldChar w:fldCharType="begin"/>
            </w:r>
            <w:r>
              <w:rPr>
                <w:noProof/>
                <w:webHidden/>
              </w:rPr>
              <w:instrText xml:space="preserve"> PAGEREF _Toc223214813 \h </w:instrText>
            </w:r>
            <w:r>
              <w:rPr>
                <w:noProof/>
                <w:webHidden/>
              </w:rPr>
            </w:r>
            <w:r>
              <w:rPr>
                <w:noProof/>
                <w:webHidden/>
              </w:rPr>
              <w:fldChar w:fldCharType="separate"/>
            </w:r>
            <w:r>
              <w:rPr>
                <w:noProof/>
                <w:webHidden/>
              </w:rPr>
              <w:t>47</w:t>
            </w:r>
            <w:r>
              <w:rPr>
                <w:noProof/>
                <w:webHidden/>
              </w:rPr>
              <w:fldChar w:fldCharType="end"/>
            </w:r>
          </w:hyperlink>
        </w:p>
        <w:p w14:paraId="5FBAF448" w14:textId="51DB57F1" w:rsidR="00B931FC" w:rsidRDefault="00B931FC">
          <w:pPr>
            <w:pStyle w:val="TDC2"/>
            <w:tabs>
              <w:tab w:val="right" w:leader="dot" w:pos="8493"/>
            </w:tabs>
            <w:rPr>
              <w:rFonts w:asciiTheme="minorHAnsi" w:eastAsiaTheme="minorEastAsia" w:hAnsiTheme="minorHAnsi"/>
              <w:noProof/>
              <w:lang w:eastAsia="es-AR"/>
            </w:rPr>
          </w:pPr>
          <w:hyperlink w:anchor="_Toc223214814" w:history="1">
            <w:r w:rsidRPr="007774AB">
              <w:rPr>
                <w:rStyle w:val="Hipervnculo"/>
                <w:rFonts w:cs="Times New Roman"/>
                <w:noProof/>
              </w:rPr>
              <w:t>C.1 Fundamentos de la teoría de media–varianza</w:t>
            </w:r>
            <w:r>
              <w:rPr>
                <w:noProof/>
                <w:webHidden/>
              </w:rPr>
              <w:tab/>
            </w:r>
            <w:r>
              <w:rPr>
                <w:noProof/>
                <w:webHidden/>
              </w:rPr>
              <w:fldChar w:fldCharType="begin"/>
            </w:r>
            <w:r>
              <w:rPr>
                <w:noProof/>
                <w:webHidden/>
              </w:rPr>
              <w:instrText xml:space="preserve"> PAGEREF _Toc223214814 \h </w:instrText>
            </w:r>
            <w:r>
              <w:rPr>
                <w:noProof/>
                <w:webHidden/>
              </w:rPr>
            </w:r>
            <w:r>
              <w:rPr>
                <w:noProof/>
                <w:webHidden/>
              </w:rPr>
              <w:fldChar w:fldCharType="separate"/>
            </w:r>
            <w:r>
              <w:rPr>
                <w:noProof/>
                <w:webHidden/>
              </w:rPr>
              <w:t>48</w:t>
            </w:r>
            <w:r>
              <w:rPr>
                <w:noProof/>
                <w:webHidden/>
              </w:rPr>
              <w:fldChar w:fldCharType="end"/>
            </w:r>
          </w:hyperlink>
        </w:p>
        <w:p w14:paraId="223A6392" w14:textId="6118546F" w:rsidR="00B931FC" w:rsidRDefault="00B931FC">
          <w:pPr>
            <w:pStyle w:val="TDC2"/>
            <w:tabs>
              <w:tab w:val="right" w:leader="dot" w:pos="8493"/>
            </w:tabs>
            <w:rPr>
              <w:rFonts w:asciiTheme="minorHAnsi" w:eastAsiaTheme="minorEastAsia" w:hAnsiTheme="minorHAnsi"/>
              <w:noProof/>
              <w:lang w:eastAsia="es-AR"/>
            </w:rPr>
          </w:pPr>
          <w:hyperlink w:anchor="_Toc223214815" w:history="1">
            <w:r w:rsidRPr="007774AB">
              <w:rPr>
                <w:rStyle w:val="Hipervnculo"/>
                <w:rFonts w:cs="Times New Roman"/>
                <w:noProof/>
              </w:rPr>
              <w:t>C.2 Insumos empíricos y procedimiento</w:t>
            </w:r>
            <w:r>
              <w:rPr>
                <w:noProof/>
                <w:webHidden/>
              </w:rPr>
              <w:tab/>
            </w:r>
            <w:r>
              <w:rPr>
                <w:noProof/>
                <w:webHidden/>
              </w:rPr>
              <w:fldChar w:fldCharType="begin"/>
            </w:r>
            <w:r>
              <w:rPr>
                <w:noProof/>
                <w:webHidden/>
              </w:rPr>
              <w:instrText xml:space="preserve"> PAGEREF _Toc223214815 \h </w:instrText>
            </w:r>
            <w:r>
              <w:rPr>
                <w:noProof/>
                <w:webHidden/>
              </w:rPr>
            </w:r>
            <w:r>
              <w:rPr>
                <w:noProof/>
                <w:webHidden/>
              </w:rPr>
              <w:fldChar w:fldCharType="separate"/>
            </w:r>
            <w:r>
              <w:rPr>
                <w:noProof/>
                <w:webHidden/>
              </w:rPr>
              <w:t>49</w:t>
            </w:r>
            <w:r>
              <w:rPr>
                <w:noProof/>
                <w:webHidden/>
              </w:rPr>
              <w:fldChar w:fldCharType="end"/>
            </w:r>
          </w:hyperlink>
        </w:p>
        <w:p w14:paraId="350AA3B8" w14:textId="35E15F51" w:rsidR="00B931FC" w:rsidRDefault="00B931FC">
          <w:pPr>
            <w:pStyle w:val="TDC2"/>
            <w:tabs>
              <w:tab w:val="right" w:leader="dot" w:pos="8493"/>
            </w:tabs>
            <w:rPr>
              <w:rFonts w:asciiTheme="minorHAnsi" w:eastAsiaTheme="minorEastAsia" w:hAnsiTheme="minorHAnsi"/>
              <w:noProof/>
              <w:lang w:eastAsia="es-AR"/>
            </w:rPr>
          </w:pPr>
          <w:hyperlink w:anchor="_Toc223214816" w:history="1">
            <w:r w:rsidRPr="007774AB">
              <w:rPr>
                <w:rStyle w:val="Hipervnculo"/>
                <w:rFonts w:cs="Times New Roman"/>
                <w:noProof/>
              </w:rPr>
              <w:t>C.3 Portafolios de referencia</w:t>
            </w:r>
            <w:r>
              <w:rPr>
                <w:noProof/>
                <w:webHidden/>
              </w:rPr>
              <w:tab/>
            </w:r>
            <w:r>
              <w:rPr>
                <w:noProof/>
                <w:webHidden/>
              </w:rPr>
              <w:fldChar w:fldCharType="begin"/>
            </w:r>
            <w:r>
              <w:rPr>
                <w:noProof/>
                <w:webHidden/>
              </w:rPr>
              <w:instrText xml:space="preserve"> PAGEREF _Toc223214816 \h </w:instrText>
            </w:r>
            <w:r>
              <w:rPr>
                <w:noProof/>
                <w:webHidden/>
              </w:rPr>
            </w:r>
            <w:r>
              <w:rPr>
                <w:noProof/>
                <w:webHidden/>
              </w:rPr>
              <w:fldChar w:fldCharType="separate"/>
            </w:r>
            <w:r>
              <w:rPr>
                <w:noProof/>
                <w:webHidden/>
              </w:rPr>
              <w:t>50</w:t>
            </w:r>
            <w:r>
              <w:rPr>
                <w:noProof/>
                <w:webHidden/>
              </w:rPr>
              <w:fldChar w:fldCharType="end"/>
            </w:r>
          </w:hyperlink>
        </w:p>
        <w:p w14:paraId="74378EDA" w14:textId="374EAABA" w:rsidR="00B931FC" w:rsidRDefault="00B931FC">
          <w:pPr>
            <w:pStyle w:val="TDC2"/>
            <w:tabs>
              <w:tab w:val="right" w:leader="dot" w:pos="8493"/>
            </w:tabs>
            <w:rPr>
              <w:rFonts w:asciiTheme="minorHAnsi" w:eastAsiaTheme="minorEastAsia" w:hAnsiTheme="minorHAnsi"/>
              <w:noProof/>
              <w:lang w:eastAsia="es-AR"/>
            </w:rPr>
          </w:pPr>
          <w:hyperlink w:anchor="_Toc223214817" w:history="1">
            <w:r w:rsidRPr="007774AB">
              <w:rPr>
                <w:rStyle w:val="Hipervnculo"/>
                <w:rFonts w:cs="Times New Roman"/>
                <w:noProof/>
              </w:rPr>
              <w:t>C.4 Frontera eficiente y visualización empírica</w:t>
            </w:r>
            <w:r>
              <w:rPr>
                <w:noProof/>
                <w:webHidden/>
              </w:rPr>
              <w:tab/>
            </w:r>
            <w:r>
              <w:rPr>
                <w:noProof/>
                <w:webHidden/>
              </w:rPr>
              <w:fldChar w:fldCharType="begin"/>
            </w:r>
            <w:r>
              <w:rPr>
                <w:noProof/>
                <w:webHidden/>
              </w:rPr>
              <w:instrText xml:space="preserve"> PAGEREF _Toc223214817 \h </w:instrText>
            </w:r>
            <w:r>
              <w:rPr>
                <w:noProof/>
                <w:webHidden/>
              </w:rPr>
            </w:r>
            <w:r>
              <w:rPr>
                <w:noProof/>
                <w:webHidden/>
              </w:rPr>
              <w:fldChar w:fldCharType="separate"/>
            </w:r>
            <w:r>
              <w:rPr>
                <w:noProof/>
                <w:webHidden/>
              </w:rPr>
              <w:t>50</w:t>
            </w:r>
            <w:r>
              <w:rPr>
                <w:noProof/>
                <w:webHidden/>
              </w:rPr>
              <w:fldChar w:fldCharType="end"/>
            </w:r>
          </w:hyperlink>
        </w:p>
        <w:p w14:paraId="12702634" w14:textId="57C91DAA" w:rsidR="00B931FC" w:rsidRDefault="00B931FC">
          <w:pPr>
            <w:pStyle w:val="TDC2"/>
            <w:tabs>
              <w:tab w:val="right" w:leader="dot" w:pos="8493"/>
            </w:tabs>
            <w:rPr>
              <w:rFonts w:asciiTheme="minorHAnsi" w:eastAsiaTheme="minorEastAsia" w:hAnsiTheme="minorHAnsi"/>
              <w:noProof/>
              <w:lang w:eastAsia="es-AR"/>
            </w:rPr>
          </w:pPr>
          <w:hyperlink w:anchor="_Toc223214818" w:history="1">
            <w:r w:rsidRPr="007774AB">
              <w:rPr>
                <w:rStyle w:val="Hipervnculo"/>
                <w:rFonts w:cs="Times New Roman"/>
                <w:noProof/>
              </w:rPr>
              <w:t>C.5 Estadísticas completas de los portafolios optimizados</w:t>
            </w:r>
            <w:r>
              <w:rPr>
                <w:noProof/>
                <w:webHidden/>
              </w:rPr>
              <w:tab/>
            </w:r>
            <w:r>
              <w:rPr>
                <w:noProof/>
                <w:webHidden/>
              </w:rPr>
              <w:fldChar w:fldCharType="begin"/>
            </w:r>
            <w:r>
              <w:rPr>
                <w:noProof/>
                <w:webHidden/>
              </w:rPr>
              <w:instrText xml:space="preserve"> PAGEREF _Toc223214818 \h </w:instrText>
            </w:r>
            <w:r>
              <w:rPr>
                <w:noProof/>
                <w:webHidden/>
              </w:rPr>
            </w:r>
            <w:r>
              <w:rPr>
                <w:noProof/>
                <w:webHidden/>
              </w:rPr>
              <w:fldChar w:fldCharType="separate"/>
            </w:r>
            <w:r>
              <w:rPr>
                <w:noProof/>
                <w:webHidden/>
              </w:rPr>
              <w:t>52</w:t>
            </w:r>
            <w:r>
              <w:rPr>
                <w:noProof/>
                <w:webHidden/>
              </w:rPr>
              <w:fldChar w:fldCharType="end"/>
            </w:r>
          </w:hyperlink>
        </w:p>
        <w:p w14:paraId="737646AB" w14:textId="34451926" w:rsidR="00B931FC" w:rsidRDefault="00B931FC">
          <w:pPr>
            <w:pStyle w:val="TDC2"/>
            <w:tabs>
              <w:tab w:val="right" w:leader="dot" w:pos="8493"/>
            </w:tabs>
            <w:rPr>
              <w:rFonts w:asciiTheme="minorHAnsi" w:eastAsiaTheme="minorEastAsia" w:hAnsiTheme="minorHAnsi"/>
              <w:noProof/>
              <w:lang w:eastAsia="es-AR"/>
            </w:rPr>
          </w:pPr>
          <w:hyperlink w:anchor="_Toc223214819" w:history="1">
            <w:r w:rsidRPr="007774AB">
              <w:rPr>
                <w:rStyle w:val="Hipervnculo"/>
                <w:rFonts w:cs="Times New Roman"/>
                <w:noProof/>
              </w:rPr>
              <w:t>C.6 Pesos óptimos de los portafolios</w:t>
            </w:r>
            <w:r>
              <w:rPr>
                <w:noProof/>
                <w:webHidden/>
              </w:rPr>
              <w:tab/>
            </w:r>
            <w:r>
              <w:rPr>
                <w:noProof/>
                <w:webHidden/>
              </w:rPr>
              <w:fldChar w:fldCharType="begin"/>
            </w:r>
            <w:r>
              <w:rPr>
                <w:noProof/>
                <w:webHidden/>
              </w:rPr>
              <w:instrText xml:space="preserve"> PAGEREF _Toc223214819 \h </w:instrText>
            </w:r>
            <w:r>
              <w:rPr>
                <w:noProof/>
                <w:webHidden/>
              </w:rPr>
            </w:r>
            <w:r>
              <w:rPr>
                <w:noProof/>
                <w:webHidden/>
              </w:rPr>
              <w:fldChar w:fldCharType="separate"/>
            </w:r>
            <w:r>
              <w:rPr>
                <w:noProof/>
                <w:webHidden/>
              </w:rPr>
              <w:t>52</w:t>
            </w:r>
            <w:r>
              <w:rPr>
                <w:noProof/>
                <w:webHidden/>
              </w:rPr>
              <w:fldChar w:fldCharType="end"/>
            </w:r>
          </w:hyperlink>
        </w:p>
        <w:p w14:paraId="1B820DA7" w14:textId="65EEEEF9" w:rsidR="00B931FC" w:rsidRDefault="00B931FC">
          <w:pPr>
            <w:pStyle w:val="TDC2"/>
            <w:tabs>
              <w:tab w:val="right" w:leader="dot" w:pos="8493"/>
            </w:tabs>
            <w:rPr>
              <w:rFonts w:asciiTheme="minorHAnsi" w:eastAsiaTheme="minorEastAsia" w:hAnsiTheme="minorHAnsi"/>
              <w:noProof/>
              <w:lang w:eastAsia="es-AR"/>
            </w:rPr>
          </w:pPr>
          <w:hyperlink w:anchor="_Toc223214820" w:history="1">
            <w:r w:rsidRPr="007774AB">
              <w:rPr>
                <w:rStyle w:val="Hipervnculo"/>
                <w:rFonts w:cs="Times New Roman"/>
                <w:noProof/>
              </w:rPr>
              <w:t>C.7 Matriz de covarianza con shrinkage</w:t>
            </w:r>
            <w:r>
              <w:rPr>
                <w:noProof/>
                <w:webHidden/>
              </w:rPr>
              <w:tab/>
            </w:r>
            <w:r>
              <w:rPr>
                <w:noProof/>
                <w:webHidden/>
              </w:rPr>
              <w:fldChar w:fldCharType="begin"/>
            </w:r>
            <w:r>
              <w:rPr>
                <w:noProof/>
                <w:webHidden/>
              </w:rPr>
              <w:instrText xml:space="preserve"> PAGEREF _Toc223214820 \h </w:instrText>
            </w:r>
            <w:r>
              <w:rPr>
                <w:noProof/>
                <w:webHidden/>
              </w:rPr>
            </w:r>
            <w:r>
              <w:rPr>
                <w:noProof/>
                <w:webHidden/>
              </w:rPr>
              <w:fldChar w:fldCharType="separate"/>
            </w:r>
            <w:r>
              <w:rPr>
                <w:noProof/>
                <w:webHidden/>
              </w:rPr>
              <w:t>53</w:t>
            </w:r>
            <w:r>
              <w:rPr>
                <w:noProof/>
                <w:webHidden/>
              </w:rPr>
              <w:fldChar w:fldCharType="end"/>
            </w:r>
          </w:hyperlink>
        </w:p>
        <w:p w14:paraId="67527923" w14:textId="735A218C" w:rsidR="00B931FC" w:rsidRDefault="00B931FC">
          <w:pPr>
            <w:pStyle w:val="TDC2"/>
            <w:tabs>
              <w:tab w:val="right" w:leader="dot" w:pos="8493"/>
            </w:tabs>
            <w:rPr>
              <w:rFonts w:asciiTheme="minorHAnsi" w:eastAsiaTheme="minorEastAsia" w:hAnsiTheme="minorHAnsi"/>
              <w:noProof/>
              <w:lang w:eastAsia="es-AR"/>
            </w:rPr>
          </w:pPr>
          <w:hyperlink w:anchor="_Toc223214821" w:history="1">
            <w:r w:rsidRPr="007774AB">
              <w:rPr>
                <w:rStyle w:val="Hipervnculo"/>
                <w:rFonts w:cs="Times New Roman"/>
                <w:noProof/>
              </w:rPr>
              <w:t>C.8 Matriz de correlaciones</w:t>
            </w:r>
            <w:r>
              <w:rPr>
                <w:noProof/>
                <w:webHidden/>
              </w:rPr>
              <w:tab/>
            </w:r>
            <w:r>
              <w:rPr>
                <w:noProof/>
                <w:webHidden/>
              </w:rPr>
              <w:fldChar w:fldCharType="begin"/>
            </w:r>
            <w:r>
              <w:rPr>
                <w:noProof/>
                <w:webHidden/>
              </w:rPr>
              <w:instrText xml:space="preserve"> PAGEREF _Toc223214821 \h </w:instrText>
            </w:r>
            <w:r>
              <w:rPr>
                <w:noProof/>
                <w:webHidden/>
              </w:rPr>
            </w:r>
            <w:r>
              <w:rPr>
                <w:noProof/>
                <w:webHidden/>
              </w:rPr>
              <w:fldChar w:fldCharType="separate"/>
            </w:r>
            <w:r>
              <w:rPr>
                <w:noProof/>
                <w:webHidden/>
              </w:rPr>
              <w:t>54</w:t>
            </w:r>
            <w:r>
              <w:rPr>
                <w:noProof/>
                <w:webHidden/>
              </w:rPr>
              <w:fldChar w:fldCharType="end"/>
            </w:r>
          </w:hyperlink>
        </w:p>
        <w:p w14:paraId="61FE19C4" w14:textId="3CE70E44" w:rsidR="00B931FC" w:rsidRDefault="00B931FC">
          <w:pPr>
            <w:pStyle w:val="TDC2"/>
            <w:tabs>
              <w:tab w:val="right" w:leader="dot" w:pos="8493"/>
            </w:tabs>
            <w:rPr>
              <w:rFonts w:asciiTheme="minorHAnsi" w:eastAsiaTheme="minorEastAsia" w:hAnsiTheme="minorHAnsi"/>
              <w:noProof/>
              <w:lang w:eastAsia="es-AR"/>
            </w:rPr>
          </w:pPr>
          <w:hyperlink w:anchor="_Toc223214822" w:history="1">
            <w:r w:rsidRPr="007774AB">
              <w:rPr>
                <w:rStyle w:val="Hipervnculo"/>
                <w:rFonts w:cs="Times New Roman"/>
                <w:noProof/>
              </w:rPr>
              <w:t>C.9 Observación final</w:t>
            </w:r>
            <w:r>
              <w:rPr>
                <w:noProof/>
                <w:webHidden/>
              </w:rPr>
              <w:tab/>
            </w:r>
            <w:r>
              <w:rPr>
                <w:noProof/>
                <w:webHidden/>
              </w:rPr>
              <w:fldChar w:fldCharType="begin"/>
            </w:r>
            <w:r>
              <w:rPr>
                <w:noProof/>
                <w:webHidden/>
              </w:rPr>
              <w:instrText xml:space="preserve"> PAGEREF _Toc223214822 \h </w:instrText>
            </w:r>
            <w:r>
              <w:rPr>
                <w:noProof/>
                <w:webHidden/>
              </w:rPr>
            </w:r>
            <w:r>
              <w:rPr>
                <w:noProof/>
                <w:webHidden/>
              </w:rPr>
              <w:fldChar w:fldCharType="separate"/>
            </w:r>
            <w:r>
              <w:rPr>
                <w:noProof/>
                <w:webHidden/>
              </w:rPr>
              <w:t>54</w:t>
            </w:r>
            <w:r>
              <w:rPr>
                <w:noProof/>
                <w:webHidden/>
              </w:rPr>
              <w:fldChar w:fldCharType="end"/>
            </w:r>
          </w:hyperlink>
        </w:p>
        <w:p w14:paraId="6C2F5D2D" w14:textId="37491FD5" w:rsidR="00B931FC" w:rsidRDefault="00B931FC">
          <w:pPr>
            <w:pStyle w:val="TDC1"/>
            <w:tabs>
              <w:tab w:val="right" w:leader="dot" w:pos="8493"/>
            </w:tabs>
            <w:rPr>
              <w:rFonts w:asciiTheme="minorHAnsi" w:eastAsiaTheme="minorEastAsia" w:hAnsiTheme="minorHAnsi"/>
              <w:noProof/>
              <w:lang w:eastAsia="es-AR"/>
            </w:rPr>
          </w:pPr>
          <w:hyperlink w:anchor="_Toc223214823" w:history="1">
            <w:r w:rsidRPr="007774AB">
              <w:rPr>
                <w:rStyle w:val="Hipervnculo"/>
                <w:rFonts w:cs="Times New Roman"/>
                <w:noProof/>
              </w:rPr>
              <w:t>ANEXO D</w:t>
            </w:r>
            <w:r>
              <w:rPr>
                <w:noProof/>
                <w:webHidden/>
              </w:rPr>
              <w:tab/>
            </w:r>
            <w:r>
              <w:rPr>
                <w:noProof/>
                <w:webHidden/>
              </w:rPr>
              <w:fldChar w:fldCharType="begin"/>
            </w:r>
            <w:r>
              <w:rPr>
                <w:noProof/>
                <w:webHidden/>
              </w:rPr>
              <w:instrText xml:space="preserve"> PAGEREF _Toc223214823 \h </w:instrText>
            </w:r>
            <w:r>
              <w:rPr>
                <w:noProof/>
                <w:webHidden/>
              </w:rPr>
            </w:r>
            <w:r>
              <w:rPr>
                <w:noProof/>
                <w:webHidden/>
              </w:rPr>
              <w:fldChar w:fldCharType="separate"/>
            </w:r>
            <w:r>
              <w:rPr>
                <w:noProof/>
                <w:webHidden/>
              </w:rPr>
              <w:t>55</w:t>
            </w:r>
            <w:r>
              <w:rPr>
                <w:noProof/>
                <w:webHidden/>
              </w:rPr>
              <w:fldChar w:fldCharType="end"/>
            </w:r>
          </w:hyperlink>
        </w:p>
        <w:p w14:paraId="7016738B" w14:textId="234DD041" w:rsidR="00B931FC" w:rsidRDefault="00B931FC">
          <w:pPr>
            <w:pStyle w:val="TDC1"/>
            <w:tabs>
              <w:tab w:val="right" w:leader="dot" w:pos="8493"/>
            </w:tabs>
            <w:rPr>
              <w:rFonts w:asciiTheme="minorHAnsi" w:eastAsiaTheme="minorEastAsia" w:hAnsiTheme="minorHAnsi"/>
              <w:noProof/>
              <w:lang w:eastAsia="es-AR"/>
            </w:rPr>
          </w:pPr>
          <w:hyperlink w:anchor="_Toc223214824" w:history="1">
            <w:r w:rsidRPr="007774AB">
              <w:rPr>
                <w:rStyle w:val="Hipervnculo"/>
                <w:rFonts w:cs="Times New Roman"/>
                <w:noProof/>
              </w:rPr>
              <w:t>Implementación computacional y reproducibilidad</w:t>
            </w:r>
            <w:r>
              <w:rPr>
                <w:noProof/>
                <w:webHidden/>
              </w:rPr>
              <w:tab/>
            </w:r>
            <w:r>
              <w:rPr>
                <w:noProof/>
                <w:webHidden/>
              </w:rPr>
              <w:fldChar w:fldCharType="begin"/>
            </w:r>
            <w:r>
              <w:rPr>
                <w:noProof/>
                <w:webHidden/>
              </w:rPr>
              <w:instrText xml:space="preserve"> PAGEREF _Toc223214824 \h </w:instrText>
            </w:r>
            <w:r>
              <w:rPr>
                <w:noProof/>
                <w:webHidden/>
              </w:rPr>
            </w:r>
            <w:r>
              <w:rPr>
                <w:noProof/>
                <w:webHidden/>
              </w:rPr>
              <w:fldChar w:fldCharType="separate"/>
            </w:r>
            <w:r>
              <w:rPr>
                <w:noProof/>
                <w:webHidden/>
              </w:rPr>
              <w:t>55</w:t>
            </w:r>
            <w:r>
              <w:rPr>
                <w:noProof/>
                <w:webHidden/>
              </w:rPr>
              <w:fldChar w:fldCharType="end"/>
            </w:r>
          </w:hyperlink>
        </w:p>
        <w:p w14:paraId="285B806D" w14:textId="226BF81B" w:rsidR="00B931FC" w:rsidRDefault="00B931FC">
          <w:pPr>
            <w:pStyle w:val="TDC2"/>
            <w:tabs>
              <w:tab w:val="right" w:leader="dot" w:pos="8493"/>
            </w:tabs>
            <w:rPr>
              <w:rFonts w:asciiTheme="minorHAnsi" w:eastAsiaTheme="minorEastAsia" w:hAnsiTheme="minorHAnsi"/>
              <w:noProof/>
              <w:lang w:eastAsia="es-AR"/>
            </w:rPr>
          </w:pPr>
          <w:hyperlink w:anchor="_Toc223214825" w:history="1">
            <w:r w:rsidRPr="007774AB">
              <w:rPr>
                <w:rStyle w:val="Hipervnculo"/>
                <w:rFonts w:cs="Times New Roman"/>
                <w:noProof/>
              </w:rPr>
              <w:t>D.1 Objetivo del anexo</w:t>
            </w:r>
            <w:r>
              <w:rPr>
                <w:noProof/>
                <w:webHidden/>
              </w:rPr>
              <w:tab/>
            </w:r>
            <w:r>
              <w:rPr>
                <w:noProof/>
                <w:webHidden/>
              </w:rPr>
              <w:fldChar w:fldCharType="begin"/>
            </w:r>
            <w:r>
              <w:rPr>
                <w:noProof/>
                <w:webHidden/>
              </w:rPr>
              <w:instrText xml:space="preserve"> PAGEREF _Toc223214825 \h </w:instrText>
            </w:r>
            <w:r>
              <w:rPr>
                <w:noProof/>
                <w:webHidden/>
              </w:rPr>
            </w:r>
            <w:r>
              <w:rPr>
                <w:noProof/>
                <w:webHidden/>
              </w:rPr>
              <w:fldChar w:fldCharType="separate"/>
            </w:r>
            <w:r>
              <w:rPr>
                <w:noProof/>
                <w:webHidden/>
              </w:rPr>
              <w:t>55</w:t>
            </w:r>
            <w:r>
              <w:rPr>
                <w:noProof/>
                <w:webHidden/>
              </w:rPr>
              <w:fldChar w:fldCharType="end"/>
            </w:r>
          </w:hyperlink>
        </w:p>
        <w:p w14:paraId="595AA2D9" w14:textId="34B7B6E9" w:rsidR="00B931FC" w:rsidRDefault="00B931FC">
          <w:pPr>
            <w:pStyle w:val="TDC2"/>
            <w:tabs>
              <w:tab w:val="right" w:leader="dot" w:pos="8493"/>
            </w:tabs>
            <w:rPr>
              <w:rFonts w:asciiTheme="minorHAnsi" w:eastAsiaTheme="minorEastAsia" w:hAnsiTheme="minorHAnsi"/>
              <w:noProof/>
              <w:lang w:eastAsia="es-AR"/>
            </w:rPr>
          </w:pPr>
          <w:hyperlink w:anchor="_Toc223214826" w:history="1">
            <w:r w:rsidRPr="007774AB">
              <w:rPr>
                <w:rStyle w:val="Hipervnculo"/>
                <w:rFonts w:cs="Times New Roman"/>
                <w:noProof/>
              </w:rPr>
              <w:t>D.2 Entorno de trabajo y reproducibilidad</w:t>
            </w:r>
            <w:r>
              <w:rPr>
                <w:noProof/>
                <w:webHidden/>
              </w:rPr>
              <w:tab/>
            </w:r>
            <w:r>
              <w:rPr>
                <w:noProof/>
                <w:webHidden/>
              </w:rPr>
              <w:fldChar w:fldCharType="begin"/>
            </w:r>
            <w:r>
              <w:rPr>
                <w:noProof/>
                <w:webHidden/>
              </w:rPr>
              <w:instrText xml:space="preserve"> PAGEREF _Toc223214826 \h </w:instrText>
            </w:r>
            <w:r>
              <w:rPr>
                <w:noProof/>
                <w:webHidden/>
              </w:rPr>
            </w:r>
            <w:r>
              <w:rPr>
                <w:noProof/>
                <w:webHidden/>
              </w:rPr>
              <w:fldChar w:fldCharType="separate"/>
            </w:r>
            <w:r>
              <w:rPr>
                <w:noProof/>
                <w:webHidden/>
              </w:rPr>
              <w:t>55</w:t>
            </w:r>
            <w:r>
              <w:rPr>
                <w:noProof/>
                <w:webHidden/>
              </w:rPr>
              <w:fldChar w:fldCharType="end"/>
            </w:r>
          </w:hyperlink>
        </w:p>
        <w:p w14:paraId="05264317" w14:textId="6347340B" w:rsidR="00B931FC" w:rsidRDefault="00B931FC">
          <w:pPr>
            <w:pStyle w:val="TDC2"/>
            <w:tabs>
              <w:tab w:val="right" w:leader="dot" w:pos="8493"/>
            </w:tabs>
            <w:rPr>
              <w:rFonts w:asciiTheme="minorHAnsi" w:eastAsiaTheme="minorEastAsia" w:hAnsiTheme="minorHAnsi"/>
              <w:noProof/>
              <w:lang w:eastAsia="es-AR"/>
            </w:rPr>
          </w:pPr>
          <w:hyperlink w:anchor="_Toc223214827" w:history="1">
            <w:r w:rsidRPr="007774AB">
              <w:rPr>
                <w:rStyle w:val="Hipervnculo"/>
                <w:rFonts w:cs="Times New Roman"/>
                <w:noProof/>
              </w:rPr>
              <w:t>D.3 Construcción del dataset</w:t>
            </w:r>
            <w:r>
              <w:rPr>
                <w:noProof/>
                <w:webHidden/>
              </w:rPr>
              <w:tab/>
            </w:r>
            <w:r>
              <w:rPr>
                <w:noProof/>
                <w:webHidden/>
              </w:rPr>
              <w:fldChar w:fldCharType="begin"/>
            </w:r>
            <w:r>
              <w:rPr>
                <w:noProof/>
                <w:webHidden/>
              </w:rPr>
              <w:instrText xml:space="preserve"> PAGEREF _Toc223214827 \h </w:instrText>
            </w:r>
            <w:r>
              <w:rPr>
                <w:noProof/>
                <w:webHidden/>
              </w:rPr>
            </w:r>
            <w:r>
              <w:rPr>
                <w:noProof/>
                <w:webHidden/>
              </w:rPr>
              <w:fldChar w:fldCharType="separate"/>
            </w:r>
            <w:r>
              <w:rPr>
                <w:noProof/>
                <w:webHidden/>
              </w:rPr>
              <w:t>56</w:t>
            </w:r>
            <w:r>
              <w:rPr>
                <w:noProof/>
                <w:webHidden/>
              </w:rPr>
              <w:fldChar w:fldCharType="end"/>
            </w:r>
          </w:hyperlink>
        </w:p>
        <w:p w14:paraId="27E87E2F" w14:textId="693D3BE4" w:rsidR="00B931FC" w:rsidRDefault="00B931FC">
          <w:pPr>
            <w:pStyle w:val="TDC2"/>
            <w:tabs>
              <w:tab w:val="right" w:leader="dot" w:pos="8493"/>
            </w:tabs>
            <w:rPr>
              <w:rFonts w:asciiTheme="minorHAnsi" w:eastAsiaTheme="minorEastAsia" w:hAnsiTheme="minorHAnsi"/>
              <w:noProof/>
              <w:lang w:eastAsia="es-AR"/>
            </w:rPr>
          </w:pPr>
          <w:hyperlink w:anchor="_Toc223214828" w:history="1">
            <w:r w:rsidRPr="007774AB">
              <w:rPr>
                <w:rStyle w:val="Hipervnculo"/>
                <w:rFonts w:cs="Times New Roman"/>
                <w:noProof/>
              </w:rPr>
              <w:t>D.4 Implementación del backtest de estrategias</w:t>
            </w:r>
            <w:r>
              <w:rPr>
                <w:noProof/>
                <w:webHidden/>
              </w:rPr>
              <w:tab/>
            </w:r>
            <w:r>
              <w:rPr>
                <w:noProof/>
                <w:webHidden/>
              </w:rPr>
              <w:fldChar w:fldCharType="begin"/>
            </w:r>
            <w:r>
              <w:rPr>
                <w:noProof/>
                <w:webHidden/>
              </w:rPr>
              <w:instrText xml:space="preserve"> PAGEREF _Toc223214828 \h </w:instrText>
            </w:r>
            <w:r>
              <w:rPr>
                <w:noProof/>
                <w:webHidden/>
              </w:rPr>
            </w:r>
            <w:r>
              <w:rPr>
                <w:noProof/>
                <w:webHidden/>
              </w:rPr>
              <w:fldChar w:fldCharType="separate"/>
            </w:r>
            <w:r>
              <w:rPr>
                <w:noProof/>
                <w:webHidden/>
              </w:rPr>
              <w:t>56</w:t>
            </w:r>
            <w:r>
              <w:rPr>
                <w:noProof/>
                <w:webHidden/>
              </w:rPr>
              <w:fldChar w:fldCharType="end"/>
            </w:r>
          </w:hyperlink>
        </w:p>
        <w:p w14:paraId="1D3D86BA" w14:textId="541E4EA2" w:rsidR="00B931FC" w:rsidRDefault="00B931FC">
          <w:pPr>
            <w:pStyle w:val="TDC2"/>
            <w:tabs>
              <w:tab w:val="right" w:leader="dot" w:pos="8493"/>
            </w:tabs>
            <w:rPr>
              <w:rFonts w:asciiTheme="minorHAnsi" w:eastAsiaTheme="minorEastAsia" w:hAnsiTheme="minorHAnsi"/>
              <w:noProof/>
              <w:lang w:eastAsia="es-AR"/>
            </w:rPr>
          </w:pPr>
          <w:hyperlink w:anchor="_Toc223214829" w:history="1">
            <w:r w:rsidRPr="007774AB">
              <w:rPr>
                <w:rStyle w:val="Hipervnculo"/>
                <w:rFonts w:cs="Times New Roman"/>
                <w:noProof/>
              </w:rPr>
              <w:t>D.5 Métricas de desempeño y escalas</w:t>
            </w:r>
            <w:r>
              <w:rPr>
                <w:noProof/>
                <w:webHidden/>
              </w:rPr>
              <w:tab/>
            </w:r>
            <w:r>
              <w:rPr>
                <w:noProof/>
                <w:webHidden/>
              </w:rPr>
              <w:fldChar w:fldCharType="begin"/>
            </w:r>
            <w:r>
              <w:rPr>
                <w:noProof/>
                <w:webHidden/>
              </w:rPr>
              <w:instrText xml:space="preserve"> PAGEREF _Toc223214829 \h </w:instrText>
            </w:r>
            <w:r>
              <w:rPr>
                <w:noProof/>
                <w:webHidden/>
              </w:rPr>
            </w:r>
            <w:r>
              <w:rPr>
                <w:noProof/>
                <w:webHidden/>
              </w:rPr>
              <w:fldChar w:fldCharType="separate"/>
            </w:r>
            <w:r>
              <w:rPr>
                <w:noProof/>
                <w:webHidden/>
              </w:rPr>
              <w:t>57</w:t>
            </w:r>
            <w:r>
              <w:rPr>
                <w:noProof/>
                <w:webHidden/>
              </w:rPr>
              <w:fldChar w:fldCharType="end"/>
            </w:r>
          </w:hyperlink>
        </w:p>
        <w:p w14:paraId="5C664325" w14:textId="1797380B" w:rsidR="00B931FC" w:rsidRDefault="00B931FC">
          <w:pPr>
            <w:pStyle w:val="TDC2"/>
            <w:tabs>
              <w:tab w:val="right" w:leader="dot" w:pos="8493"/>
            </w:tabs>
            <w:rPr>
              <w:rFonts w:asciiTheme="minorHAnsi" w:eastAsiaTheme="minorEastAsia" w:hAnsiTheme="minorHAnsi"/>
              <w:noProof/>
              <w:lang w:eastAsia="es-AR"/>
            </w:rPr>
          </w:pPr>
          <w:hyperlink w:anchor="_Toc223214830" w:history="1">
            <w:r w:rsidRPr="007774AB">
              <w:rPr>
                <w:rStyle w:val="Hipervnculo"/>
                <w:rFonts w:cs="Times New Roman"/>
                <w:noProof/>
              </w:rPr>
              <w:t>D.6 Modelos econométricos y análisis de riesgo</w:t>
            </w:r>
            <w:r>
              <w:rPr>
                <w:noProof/>
                <w:webHidden/>
              </w:rPr>
              <w:tab/>
            </w:r>
            <w:r>
              <w:rPr>
                <w:noProof/>
                <w:webHidden/>
              </w:rPr>
              <w:fldChar w:fldCharType="begin"/>
            </w:r>
            <w:r>
              <w:rPr>
                <w:noProof/>
                <w:webHidden/>
              </w:rPr>
              <w:instrText xml:space="preserve"> PAGEREF _Toc223214830 \h </w:instrText>
            </w:r>
            <w:r>
              <w:rPr>
                <w:noProof/>
                <w:webHidden/>
              </w:rPr>
            </w:r>
            <w:r>
              <w:rPr>
                <w:noProof/>
                <w:webHidden/>
              </w:rPr>
              <w:fldChar w:fldCharType="separate"/>
            </w:r>
            <w:r>
              <w:rPr>
                <w:noProof/>
                <w:webHidden/>
              </w:rPr>
              <w:t>57</w:t>
            </w:r>
            <w:r>
              <w:rPr>
                <w:noProof/>
                <w:webHidden/>
              </w:rPr>
              <w:fldChar w:fldCharType="end"/>
            </w:r>
          </w:hyperlink>
        </w:p>
        <w:p w14:paraId="5A2AB769" w14:textId="06AED1D1" w:rsidR="00B931FC" w:rsidRDefault="00B931FC">
          <w:pPr>
            <w:pStyle w:val="TDC2"/>
            <w:tabs>
              <w:tab w:val="right" w:leader="dot" w:pos="8493"/>
            </w:tabs>
            <w:rPr>
              <w:rFonts w:asciiTheme="minorHAnsi" w:eastAsiaTheme="minorEastAsia" w:hAnsiTheme="minorHAnsi"/>
              <w:noProof/>
              <w:lang w:eastAsia="es-AR"/>
            </w:rPr>
          </w:pPr>
          <w:hyperlink w:anchor="_Toc223214831" w:history="1">
            <w:r w:rsidRPr="007774AB">
              <w:rPr>
                <w:rStyle w:val="Hipervnculo"/>
                <w:rFonts w:cs="Times New Roman"/>
                <w:noProof/>
              </w:rPr>
              <w:t>D.7 Organización del código y trazabilidad</w:t>
            </w:r>
            <w:r>
              <w:rPr>
                <w:noProof/>
                <w:webHidden/>
              </w:rPr>
              <w:tab/>
            </w:r>
            <w:r>
              <w:rPr>
                <w:noProof/>
                <w:webHidden/>
              </w:rPr>
              <w:fldChar w:fldCharType="begin"/>
            </w:r>
            <w:r>
              <w:rPr>
                <w:noProof/>
                <w:webHidden/>
              </w:rPr>
              <w:instrText xml:space="preserve"> PAGEREF _Toc223214831 \h </w:instrText>
            </w:r>
            <w:r>
              <w:rPr>
                <w:noProof/>
                <w:webHidden/>
              </w:rPr>
            </w:r>
            <w:r>
              <w:rPr>
                <w:noProof/>
                <w:webHidden/>
              </w:rPr>
              <w:fldChar w:fldCharType="separate"/>
            </w:r>
            <w:r>
              <w:rPr>
                <w:noProof/>
                <w:webHidden/>
              </w:rPr>
              <w:t>58</w:t>
            </w:r>
            <w:r>
              <w:rPr>
                <w:noProof/>
                <w:webHidden/>
              </w:rPr>
              <w:fldChar w:fldCharType="end"/>
            </w:r>
          </w:hyperlink>
        </w:p>
        <w:p w14:paraId="33CB103C" w14:textId="41FCA45D" w:rsidR="00B931FC" w:rsidRDefault="00B931FC">
          <w:pPr>
            <w:pStyle w:val="TDC2"/>
            <w:tabs>
              <w:tab w:val="right" w:leader="dot" w:pos="8493"/>
            </w:tabs>
            <w:rPr>
              <w:rFonts w:asciiTheme="minorHAnsi" w:eastAsiaTheme="minorEastAsia" w:hAnsiTheme="minorHAnsi"/>
              <w:noProof/>
              <w:lang w:eastAsia="es-AR"/>
            </w:rPr>
          </w:pPr>
          <w:hyperlink w:anchor="_Toc223214832" w:history="1">
            <w:r w:rsidRPr="007774AB">
              <w:rPr>
                <w:rStyle w:val="Hipervnculo"/>
                <w:rFonts w:cs="Times New Roman"/>
                <w:noProof/>
              </w:rPr>
              <w:t>D.8 Observación final</w:t>
            </w:r>
            <w:r>
              <w:rPr>
                <w:noProof/>
                <w:webHidden/>
              </w:rPr>
              <w:tab/>
            </w:r>
            <w:r>
              <w:rPr>
                <w:noProof/>
                <w:webHidden/>
              </w:rPr>
              <w:fldChar w:fldCharType="begin"/>
            </w:r>
            <w:r>
              <w:rPr>
                <w:noProof/>
                <w:webHidden/>
              </w:rPr>
              <w:instrText xml:space="preserve"> PAGEREF _Toc223214832 \h </w:instrText>
            </w:r>
            <w:r>
              <w:rPr>
                <w:noProof/>
                <w:webHidden/>
              </w:rPr>
            </w:r>
            <w:r>
              <w:rPr>
                <w:noProof/>
                <w:webHidden/>
              </w:rPr>
              <w:fldChar w:fldCharType="separate"/>
            </w:r>
            <w:r>
              <w:rPr>
                <w:noProof/>
                <w:webHidden/>
              </w:rPr>
              <w:t>58</w:t>
            </w:r>
            <w:r>
              <w:rPr>
                <w:noProof/>
                <w:webHidden/>
              </w:rPr>
              <w:fldChar w:fldCharType="end"/>
            </w:r>
          </w:hyperlink>
        </w:p>
        <w:p w14:paraId="072AF80F" w14:textId="103AA684" w:rsidR="00DF16BE" w:rsidRPr="009706C8" w:rsidRDefault="00DF16BE" w:rsidP="00DD7D49">
          <w:pPr>
            <w:rPr>
              <w:rFonts w:cs="Times New Roman"/>
            </w:rPr>
          </w:pPr>
          <w:r w:rsidRPr="009706C8">
            <w:rPr>
              <w:rFonts w:cs="Times New Roman"/>
              <w:b/>
              <w:bCs/>
              <w:lang w:val="es-ES"/>
            </w:rPr>
            <w:fldChar w:fldCharType="end"/>
          </w:r>
        </w:p>
      </w:sdtContent>
    </w:sdt>
    <w:p w14:paraId="167B1BB6" w14:textId="77777777" w:rsidR="00D472A0" w:rsidRDefault="00D472A0" w:rsidP="00A766FE">
      <w:pPr>
        <w:pStyle w:val="Ttulo1"/>
        <w:rPr>
          <w:rFonts w:cs="Times New Roman"/>
        </w:rPr>
      </w:pPr>
      <w:bookmarkStart w:id="1" w:name="_Toc223214746"/>
      <w:r w:rsidRPr="00C75DB5">
        <w:lastRenderedPageBreak/>
        <w:t xml:space="preserve">Capítulo </w:t>
      </w:r>
      <w:r w:rsidR="00A766FE" w:rsidRPr="009706C8">
        <w:rPr>
          <w:rFonts w:cs="Times New Roman"/>
        </w:rPr>
        <w:t>1</w:t>
      </w:r>
      <w:bookmarkEnd w:id="1"/>
      <w:r w:rsidR="00894435" w:rsidRPr="009706C8">
        <w:rPr>
          <w:rFonts w:cs="Times New Roman"/>
        </w:rPr>
        <w:t xml:space="preserve"> </w:t>
      </w:r>
    </w:p>
    <w:p w14:paraId="0BE2DACE" w14:textId="77777777" w:rsidR="00894435" w:rsidRPr="009706C8" w:rsidRDefault="00894435" w:rsidP="00A766FE">
      <w:pPr>
        <w:pStyle w:val="Ttulo1"/>
        <w:rPr>
          <w:rFonts w:cs="Times New Roman"/>
        </w:rPr>
      </w:pPr>
      <w:bookmarkStart w:id="2" w:name="_Toc223214747"/>
      <w:r w:rsidRPr="009706C8">
        <w:rPr>
          <w:rFonts w:cs="Times New Roman"/>
        </w:rPr>
        <w:t>Introducción</w:t>
      </w:r>
      <w:bookmarkEnd w:id="2"/>
    </w:p>
    <w:p w14:paraId="18F0C178" w14:textId="77777777" w:rsidR="00894435" w:rsidRPr="00642EEA" w:rsidRDefault="00894435" w:rsidP="00642EEA">
      <w:pPr>
        <w:pStyle w:val="FirstParagraph"/>
        <w:spacing w:line="360" w:lineRule="auto"/>
        <w:rPr>
          <w:rFonts w:cs="Times New Roman"/>
          <w:lang w:val="es-AR"/>
        </w:rPr>
      </w:pPr>
      <w:r w:rsidRPr="009706C8">
        <w:rPr>
          <w:rFonts w:cs="Times New Roman"/>
          <w:lang w:val="es-AR"/>
        </w:rPr>
        <w:t xml:space="preserve">El presente trabajo analiza el desempeño y el perfil de riesgo de </w:t>
      </w:r>
      <w:r w:rsidRPr="009706C8">
        <w:rPr>
          <w:rFonts w:cs="Times New Roman"/>
          <w:b/>
          <w:bCs/>
          <w:lang w:val="es-AR"/>
        </w:rPr>
        <w:t>estrategias de inversión basadas en momentum cross-sectional aplicadas a ETFs sectoriales del mercado estadounidense</w:t>
      </w:r>
      <w:r w:rsidRPr="009706C8">
        <w:rPr>
          <w:rFonts w:cs="Times New Roman"/>
          <w:lang w:val="es-AR"/>
        </w:rPr>
        <w:t>. El estudio se inscribe dentro de la literatura de finanzas empíricas que examina la existencia de anomalías de mercado y su compatibilidad con la Hipótesis de los Mercados Eficientes.</w:t>
      </w:r>
    </w:p>
    <w:p w14:paraId="550A07D7" w14:textId="77777777" w:rsidR="00894435" w:rsidRPr="009706C8" w:rsidRDefault="00894435" w:rsidP="00903260">
      <w:pPr>
        <w:pStyle w:val="Ttulo2"/>
        <w:rPr>
          <w:rFonts w:cs="Times New Roman"/>
        </w:rPr>
      </w:pPr>
      <w:bookmarkStart w:id="3" w:name="_Toc223214748"/>
      <w:bookmarkStart w:id="4" w:name="motivación-y-contexto-del-estudio"/>
      <w:r w:rsidRPr="009706C8">
        <w:rPr>
          <w:rFonts w:cs="Times New Roman"/>
        </w:rPr>
        <w:t>1.1 Motivación y contexto del estudio</w:t>
      </w:r>
      <w:bookmarkEnd w:id="3"/>
    </w:p>
    <w:p w14:paraId="7CDBA974"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La Hipótesis de los Mercados Eficientes (HME) constituye uno de los pilares fundamentales de la teoría financiera moderna. En su forma débil, sostiene que los precios de los activos incorporan toda la información contenida en los precios pasados, imposibilitando la obtención sistemática de retornos extraordinarios mediante el análisis histórico.</w:t>
      </w:r>
    </w:p>
    <w:p w14:paraId="1200CBFE" w14:textId="77777777" w:rsidR="00894435" w:rsidRPr="00642EEA" w:rsidRDefault="00894435" w:rsidP="00642EEA">
      <w:pPr>
        <w:pStyle w:val="Textoindependiente"/>
        <w:spacing w:line="360" w:lineRule="auto"/>
        <w:rPr>
          <w:rFonts w:cs="Times New Roman"/>
          <w:lang w:val="es-AR"/>
        </w:rPr>
      </w:pPr>
      <w:r w:rsidRPr="009706C8">
        <w:rPr>
          <w:rFonts w:cs="Times New Roman"/>
          <w:lang w:val="es-AR"/>
        </w:rPr>
        <w:t>No obstante, una extensa evidencia empírica ha documentado patrones persistentes en los retornos financieros que parecen contradecir esta hipótesis. Entre ellos, el efecto momentum ocupa un lugar central, al mostrar que activos con buen desempeño relativo en el pasado tienden a continuar rindiendo bien en el corto y mediano plazo.</w:t>
      </w:r>
    </w:p>
    <w:p w14:paraId="439E84B3" w14:textId="77777777" w:rsidR="00894435" w:rsidRPr="009706C8" w:rsidRDefault="00894435" w:rsidP="00903260">
      <w:pPr>
        <w:pStyle w:val="Ttulo2"/>
        <w:rPr>
          <w:rFonts w:cs="Times New Roman"/>
        </w:rPr>
      </w:pPr>
      <w:bookmarkStart w:id="5" w:name="_Toc223214749"/>
      <w:bookmarkStart w:id="6" w:name="planteo-del-problema-de-investigación"/>
      <w:bookmarkEnd w:id="4"/>
      <w:r w:rsidRPr="009706C8">
        <w:rPr>
          <w:rFonts w:cs="Times New Roman"/>
        </w:rPr>
        <w:t>1.2 Planteo del problema de investigación</w:t>
      </w:r>
      <w:bookmarkEnd w:id="5"/>
    </w:p>
    <w:p w14:paraId="33558E0F"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Si bien el efecto momentum ha sido ampliamente estudiado a nivel de acciones individuales, su análisis a nivel agregado, particularmente en términos sectoriales, ha recibido relativamente menor atención. La creciente disponibilidad de ETFs sectoriales permite implementar estrategias de rotación sectorial de manera operativa y transparente.</w:t>
      </w:r>
    </w:p>
    <w:p w14:paraId="7437B6C7" w14:textId="57E0D678" w:rsidR="0015676F" w:rsidRDefault="00894435" w:rsidP="00642EEA">
      <w:pPr>
        <w:pStyle w:val="Textoindependiente"/>
        <w:spacing w:line="360" w:lineRule="auto"/>
        <w:rPr>
          <w:rFonts w:cs="Times New Roman"/>
          <w:b/>
          <w:bCs/>
          <w:lang w:val="es-AR"/>
        </w:rPr>
      </w:pPr>
      <w:r w:rsidRPr="009706C8">
        <w:rPr>
          <w:rFonts w:cs="Times New Roman"/>
          <w:lang w:val="es-AR"/>
        </w:rPr>
        <w:t xml:space="preserve">En este contexto, surge el interrogante central de este trabajo: </w:t>
      </w:r>
      <w:r w:rsidR="0015676F" w:rsidRPr="0015676F">
        <w:rPr>
          <w:rFonts w:cs="Times New Roman"/>
          <w:b/>
          <w:bCs/>
          <w:lang w:val="es-AR"/>
        </w:rPr>
        <w:t>¿es posible identificar patrones empíricos consistentes con momentum sectorial en ETFs, y cómo se comportan estas estrategias en términos conjuntos de re</w:t>
      </w:r>
      <w:r w:rsidR="00F01B40">
        <w:rPr>
          <w:rFonts w:cs="Times New Roman"/>
          <w:b/>
          <w:bCs/>
          <w:lang w:val="es-AR"/>
        </w:rPr>
        <w:t>torno</w:t>
      </w:r>
      <w:r w:rsidR="0015676F" w:rsidRPr="0015676F">
        <w:rPr>
          <w:rFonts w:cs="Times New Roman"/>
          <w:b/>
          <w:bCs/>
          <w:lang w:val="es-AR"/>
        </w:rPr>
        <w:t xml:space="preserve"> y riesgo frente al mercado agregado?</w:t>
      </w:r>
    </w:p>
    <w:p w14:paraId="186BEEA0" w14:textId="2DAEC6D2" w:rsidR="00894435" w:rsidRPr="00642EEA" w:rsidRDefault="005460EA" w:rsidP="00642EEA">
      <w:pPr>
        <w:pStyle w:val="Textoindependiente"/>
        <w:spacing w:line="360" w:lineRule="auto"/>
        <w:rPr>
          <w:rFonts w:cs="Times New Roman"/>
          <w:b/>
          <w:bCs/>
          <w:lang w:val="es-AR"/>
        </w:rPr>
      </w:pPr>
      <w:r w:rsidRPr="009706C8">
        <w:rPr>
          <w:rFonts w:cs="Times New Roman"/>
          <w:b/>
          <w:bCs/>
          <w:lang w:val="es-AR"/>
        </w:rPr>
        <w:t>El presente trabajo no presupone la existencia de retornos anormales persistentes, sino que evalúa empíricamente el comportamiento conjunto de retorno y riesgo de estrategias de momentum sectorial</w:t>
      </w:r>
      <w:r w:rsidR="00AF64F7">
        <w:rPr>
          <w:rFonts w:cs="Times New Roman"/>
          <w:b/>
          <w:bCs/>
          <w:lang w:val="es-AR"/>
        </w:rPr>
        <w:t>.</w:t>
      </w:r>
    </w:p>
    <w:p w14:paraId="58088C10" w14:textId="77777777" w:rsidR="00894435" w:rsidRPr="009706C8" w:rsidRDefault="00894435" w:rsidP="00903260">
      <w:pPr>
        <w:pStyle w:val="Ttulo2"/>
        <w:rPr>
          <w:rFonts w:cs="Times New Roman"/>
        </w:rPr>
      </w:pPr>
      <w:bookmarkStart w:id="7" w:name="_Toc223214750"/>
      <w:bookmarkStart w:id="8" w:name="objetivos-de-la-investigación"/>
      <w:bookmarkEnd w:id="6"/>
      <w:r w:rsidRPr="009706C8">
        <w:rPr>
          <w:rFonts w:cs="Times New Roman"/>
        </w:rPr>
        <w:lastRenderedPageBreak/>
        <w:t>1.3 Objetivos de la investigación</w:t>
      </w:r>
      <w:bookmarkEnd w:id="7"/>
    </w:p>
    <w:p w14:paraId="5AF224F1"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El objetivo general del presente estudio es evaluar el desempeño financiero y el perfil de riesgo de estrategias de momentum sectorial aplicadas a ETFs del mercado estadounidense.</w:t>
      </w:r>
    </w:p>
    <w:p w14:paraId="1680174E" w14:textId="77777777" w:rsidR="00894435" w:rsidRPr="009706C8" w:rsidRDefault="00894435" w:rsidP="00FD4623">
      <w:pPr>
        <w:pStyle w:val="Textoindependiente"/>
        <w:spacing w:line="360" w:lineRule="auto"/>
        <w:rPr>
          <w:rFonts w:cs="Times New Roman"/>
          <w:lang w:val="es-AR"/>
        </w:rPr>
      </w:pPr>
      <w:r w:rsidRPr="009706C8">
        <w:rPr>
          <w:rFonts w:cs="Times New Roman"/>
          <w:lang w:val="es-AR"/>
        </w:rPr>
        <w:t>De manera complementaria, se plantean los siguientes objetivos específicos:</w:t>
      </w:r>
    </w:p>
    <w:p w14:paraId="4B0AD870" w14:textId="1EEB034D" w:rsidR="00894435" w:rsidRPr="009706C8" w:rsidRDefault="00894435" w:rsidP="00FD4623">
      <w:pPr>
        <w:pStyle w:val="Compact"/>
        <w:numPr>
          <w:ilvl w:val="0"/>
          <w:numId w:val="1"/>
        </w:numPr>
        <w:spacing w:line="360" w:lineRule="auto"/>
        <w:rPr>
          <w:rFonts w:cs="Times New Roman"/>
          <w:lang w:val="es-AR"/>
        </w:rPr>
      </w:pPr>
      <w:r w:rsidRPr="009706C8">
        <w:rPr>
          <w:rFonts w:cs="Times New Roman"/>
          <w:lang w:val="es-AR"/>
        </w:rPr>
        <w:t xml:space="preserve">Analizar </w:t>
      </w:r>
      <w:r w:rsidR="00F01B40">
        <w:rPr>
          <w:rFonts w:cs="Times New Roman"/>
          <w:lang w:val="es-AR"/>
        </w:rPr>
        <w:t>los retornos</w:t>
      </w:r>
      <w:r w:rsidRPr="009706C8">
        <w:rPr>
          <w:rFonts w:cs="Times New Roman"/>
          <w:lang w:val="es-AR"/>
        </w:rPr>
        <w:t xml:space="preserve"> y el riesgo de estrategias de momentum sectorial bajo distintos horizontes de formación.</w:t>
      </w:r>
    </w:p>
    <w:p w14:paraId="7A1E1700" w14:textId="77777777" w:rsidR="00894435" w:rsidRPr="009706C8" w:rsidRDefault="00894435" w:rsidP="00FD4623">
      <w:pPr>
        <w:pStyle w:val="Compact"/>
        <w:numPr>
          <w:ilvl w:val="0"/>
          <w:numId w:val="1"/>
        </w:numPr>
        <w:spacing w:line="360" w:lineRule="auto"/>
        <w:rPr>
          <w:rFonts w:cs="Times New Roman"/>
          <w:lang w:val="es-AR"/>
        </w:rPr>
      </w:pPr>
      <w:r w:rsidRPr="009706C8">
        <w:rPr>
          <w:rFonts w:cs="Times New Roman"/>
          <w:lang w:val="es-AR"/>
        </w:rPr>
        <w:t>Comparar el desempeño de dichas estrategias con un benchmark de mercado.</w:t>
      </w:r>
    </w:p>
    <w:p w14:paraId="6F6564CA" w14:textId="43EFCF16" w:rsidR="00AD0ABF" w:rsidRDefault="00370BD6" w:rsidP="00642EEA">
      <w:pPr>
        <w:pStyle w:val="Compact"/>
        <w:numPr>
          <w:ilvl w:val="0"/>
          <w:numId w:val="1"/>
        </w:numPr>
        <w:spacing w:line="360" w:lineRule="auto"/>
        <w:rPr>
          <w:rFonts w:cs="Times New Roman"/>
          <w:lang w:val="es-AR"/>
        </w:rPr>
      </w:pPr>
      <w:r w:rsidRPr="00370BD6">
        <w:rPr>
          <w:rFonts w:cs="Times New Roman"/>
          <w:lang w:val="es-AR"/>
        </w:rPr>
        <w:t>Evaluar el desempeño relativo de las estrategias mediante el modelo CAPM, utilizando el factor de mercado como referencia de riesgo sistemático.</w:t>
      </w:r>
    </w:p>
    <w:p w14:paraId="53C25EA7" w14:textId="77777777" w:rsidR="00894435" w:rsidRPr="00642EEA" w:rsidRDefault="00894435" w:rsidP="00642EEA">
      <w:pPr>
        <w:pStyle w:val="Compact"/>
        <w:numPr>
          <w:ilvl w:val="0"/>
          <w:numId w:val="1"/>
        </w:numPr>
        <w:spacing w:line="360" w:lineRule="auto"/>
        <w:rPr>
          <w:rFonts w:cs="Times New Roman"/>
          <w:lang w:val="es-AR"/>
        </w:rPr>
      </w:pPr>
      <w:r w:rsidRPr="009706C8">
        <w:rPr>
          <w:rFonts w:cs="Times New Roman"/>
          <w:lang w:val="es-AR"/>
        </w:rPr>
        <w:t>Analizar la dinámica del riesgo y la volatilidad asociada a las estrategias.</w:t>
      </w:r>
    </w:p>
    <w:p w14:paraId="62B60754" w14:textId="77777777" w:rsidR="00894435" w:rsidRPr="009706C8" w:rsidRDefault="00894435" w:rsidP="00903260">
      <w:pPr>
        <w:pStyle w:val="Ttulo2"/>
        <w:rPr>
          <w:rFonts w:cs="Times New Roman"/>
        </w:rPr>
      </w:pPr>
      <w:bookmarkStart w:id="9" w:name="_Toc223214751"/>
      <w:bookmarkStart w:id="10" w:name="hipótesis-de-trabajo"/>
      <w:bookmarkEnd w:id="8"/>
      <w:r w:rsidRPr="009706C8">
        <w:rPr>
          <w:rFonts w:cs="Times New Roman"/>
        </w:rPr>
        <w:t>1.4 Hipótesis de trabajo</w:t>
      </w:r>
      <w:bookmarkEnd w:id="9"/>
    </w:p>
    <w:p w14:paraId="7C441979"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A partir de los objetivos planteados, el trabajo se estructura en torno a las siguientes hipótesis:</w:t>
      </w:r>
    </w:p>
    <w:p w14:paraId="5B922FBD" w14:textId="093F80EC" w:rsidR="00894435" w:rsidRPr="009706C8" w:rsidRDefault="00894435" w:rsidP="00FD4623">
      <w:pPr>
        <w:pStyle w:val="Compact"/>
        <w:numPr>
          <w:ilvl w:val="0"/>
          <w:numId w:val="1"/>
        </w:numPr>
        <w:spacing w:line="360" w:lineRule="auto"/>
        <w:rPr>
          <w:rFonts w:cs="Times New Roman"/>
          <w:lang w:val="es-AR"/>
        </w:rPr>
      </w:pPr>
      <w:r w:rsidRPr="009706C8">
        <w:rPr>
          <w:rFonts w:cs="Times New Roman"/>
          <w:b/>
          <w:bCs/>
          <w:lang w:val="es-AR"/>
        </w:rPr>
        <w:t>H1:</w:t>
      </w:r>
      <w:r w:rsidRPr="009706C8">
        <w:rPr>
          <w:rFonts w:cs="Times New Roman"/>
          <w:lang w:val="es-AR"/>
        </w:rPr>
        <w:t xml:space="preserve"> </w:t>
      </w:r>
      <w:r w:rsidR="007B09F8" w:rsidRPr="007B09F8">
        <w:rPr>
          <w:rFonts w:cs="Times New Roman"/>
          <w:lang w:val="es-AR"/>
        </w:rPr>
        <w:t>Los ETFs sectoriales con mayor retorno acumulado relativo en ventanas de formación de 3, 6 y 12 meses presentan retornos promedio subsecuentes estadísticamente superiores a los del conjunto del mercado en el período siguiente.</w:t>
      </w:r>
    </w:p>
    <w:p w14:paraId="77685353" w14:textId="63C01345" w:rsidR="00792EEE" w:rsidRPr="00B02F47" w:rsidRDefault="00894435" w:rsidP="007B09F8">
      <w:pPr>
        <w:pStyle w:val="Compact"/>
        <w:numPr>
          <w:ilvl w:val="0"/>
          <w:numId w:val="1"/>
        </w:numPr>
        <w:spacing w:line="360" w:lineRule="auto"/>
        <w:rPr>
          <w:lang w:val="es-AR"/>
        </w:rPr>
      </w:pPr>
      <w:r w:rsidRPr="007B09F8">
        <w:rPr>
          <w:rFonts w:cs="Times New Roman"/>
          <w:b/>
          <w:bCs/>
          <w:lang w:val="es-AR"/>
        </w:rPr>
        <w:t>H2:</w:t>
      </w:r>
      <w:r w:rsidRPr="007B09F8">
        <w:rPr>
          <w:rFonts w:cs="Times New Roman"/>
          <w:lang w:val="es-AR"/>
        </w:rPr>
        <w:t xml:space="preserve"> </w:t>
      </w:r>
      <w:r w:rsidR="007B09F8" w:rsidRPr="007B09F8">
        <w:rPr>
          <w:rFonts w:cs="Times New Roman"/>
          <w:lang w:val="es-AR"/>
        </w:rPr>
        <w:t>Las estrategias de momentum sectorial presentan métricas de desempeño ajustado por riesgo (ratio de Sharpe y alfa CAPM) significativamente diferentes de las del benchmark de mercado (SPY).</w:t>
      </w:r>
      <w:r w:rsidR="007B09F8" w:rsidRPr="007B09F8">
        <w:rPr>
          <w:rFonts w:cs="Times New Roman"/>
          <w:b/>
          <w:lang w:val="es-AR"/>
        </w:rPr>
        <w:t xml:space="preserve"> </w:t>
      </w:r>
    </w:p>
    <w:p w14:paraId="2E439124" w14:textId="77777777" w:rsidR="006444D9" w:rsidRPr="006444D9" w:rsidRDefault="00894435" w:rsidP="006444D9">
      <w:pPr>
        <w:pStyle w:val="Compact"/>
        <w:numPr>
          <w:ilvl w:val="0"/>
          <w:numId w:val="1"/>
        </w:numPr>
        <w:spacing w:line="360" w:lineRule="auto"/>
        <w:rPr>
          <w:lang w:val="es-AR"/>
        </w:rPr>
      </w:pPr>
      <w:r w:rsidRPr="009706C8">
        <w:rPr>
          <w:rFonts w:cs="Times New Roman"/>
          <w:b/>
          <w:bCs/>
          <w:lang w:val="es-AR"/>
        </w:rPr>
        <w:t>H3:</w:t>
      </w:r>
      <w:r w:rsidRPr="009706C8">
        <w:rPr>
          <w:rFonts w:cs="Times New Roman"/>
          <w:lang w:val="es-AR"/>
        </w:rPr>
        <w:t xml:space="preserve"> </w:t>
      </w:r>
      <w:r w:rsidR="006444D9" w:rsidRPr="006444D9">
        <w:rPr>
          <w:lang w:val="es-AR"/>
        </w:rPr>
        <w:t>La dinámica del riesgo de las estrategias de momentum sectorial, medida mediante volatilidad condicional GARCH(1,1) y métricas de riesgo extremo (VaR y ES), difiere significativamente de la observada para el mercado agregado.</w:t>
      </w:r>
    </w:p>
    <w:p w14:paraId="78518CB6" w14:textId="7123D31D" w:rsidR="00894435" w:rsidRPr="00642EEA" w:rsidRDefault="00894435" w:rsidP="006444D9">
      <w:pPr>
        <w:pStyle w:val="Compact"/>
        <w:spacing w:line="360" w:lineRule="auto"/>
        <w:ind w:left="720"/>
        <w:rPr>
          <w:rFonts w:cs="Times New Roman"/>
          <w:lang w:val="es-AR"/>
        </w:rPr>
      </w:pPr>
    </w:p>
    <w:p w14:paraId="137BB5CC" w14:textId="77777777" w:rsidR="00894435" w:rsidRPr="009706C8" w:rsidRDefault="00894435" w:rsidP="00903260">
      <w:pPr>
        <w:pStyle w:val="Ttulo2"/>
        <w:rPr>
          <w:rFonts w:cs="Times New Roman"/>
        </w:rPr>
      </w:pPr>
      <w:bookmarkStart w:id="11" w:name="_Toc223214752"/>
      <w:bookmarkStart w:id="12" w:name="alcance-supuestos-y-delimitaciones"/>
      <w:bookmarkEnd w:id="10"/>
      <w:r w:rsidRPr="009706C8">
        <w:rPr>
          <w:rFonts w:cs="Times New Roman"/>
        </w:rPr>
        <w:t>1.5 Alcance, supuestos y delimitaciones</w:t>
      </w:r>
      <w:bookmarkEnd w:id="11"/>
    </w:p>
    <w:p w14:paraId="5AFD3196" w14:textId="3BD14436" w:rsidR="006C1615" w:rsidRPr="006C1615" w:rsidRDefault="006C1615" w:rsidP="006C1615">
      <w:pPr>
        <w:pStyle w:val="FirstParagraph"/>
        <w:spacing w:line="360" w:lineRule="auto"/>
        <w:rPr>
          <w:rFonts w:cs="Times New Roman"/>
          <w:lang w:val="es-AR"/>
        </w:rPr>
      </w:pPr>
      <w:bookmarkStart w:id="13" w:name="organización-del-trabajo"/>
      <w:bookmarkEnd w:id="12"/>
      <w:r w:rsidRPr="006C1615">
        <w:rPr>
          <w:rFonts w:cs="Times New Roman"/>
          <w:lang w:val="es-AR"/>
        </w:rPr>
        <w:t xml:space="preserve">El análisis se circunscribe al mercado estadounidense, utilizando ETFs sectoriales representativos del índice S&amp;P 500 y datos históricos de precios ajustados por dividendos y splits. El período de datos descargado se extiende desde enero de 2000 hasta diciembre de 2025. No obstante, el período efectivo de análisis de las estrategias comprende desde enero de 2005 hasta diciembre de 2025, intervalo en el cual todas las estrategias y el </w:t>
      </w:r>
      <w:r w:rsidRPr="006C1615">
        <w:rPr>
          <w:rFonts w:cs="Times New Roman"/>
          <w:lang w:val="es-AR"/>
        </w:rPr>
        <w:lastRenderedPageBreak/>
        <w:t>benchmark presentan información simultáneamente disponible y suficiente para la construcción de las señales de momentum bajo las distintas ventanas de formación consideradas.</w:t>
      </w:r>
    </w:p>
    <w:p w14:paraId="3E642C7F" w14:textId="77777777" w:rsidR="006C1615" w:rsidRPr="006C1615" w:rsidRDefault="006C1615" w:rsidP="006C1615">
      <w:pPr>
        <w:pStyle w:val="FirstParagraph"/>
        <w:spacing w:line="360" w:lineRule="auto"/>
        <w:rPr>
          <w:rFonts w:cs="Times New Roman"/>
          <w:lang w:val="es-AR"/>
        </w:rPr>
      </w:pPr>
      <w:r w:rsidRPr="006C1615">
        <w:rPr>
          <w:rFonts w:cs="Times New Roman"/>
          <w:lang w:val="es-AR"/>
        </w:rPr>
        <w:t>La elección de este horizonte temporal responde a criterios de disponibilidad homogénea de datos, consistencia metodológica y comparabilidad entre estrategias. En particular, el inicio del período efectivo en 2005 garantiza la existencia de información histórica suficiente para la construcción de señales de momentum de hasta 12 meses, evitando sesgos derivados de observaciones incompletas.</w:t>
      </w:r>
    </w:p>
    <w:p w14:paraId="240BD849" w14:textId="77777777" w:rsidR="006C1615" w:rsidRPr="006C1615" w:rsidRDefault="006C1615" w:rsidP="006C1615">
      <w:pPr>
        <w:pStyle w:val="FirstParagraph"/>
        <w:spacing w:line="360" w:lineRule="auto"/>
        <w:rPr>
          <w:rFonts w:cs="Times New Roman"/>
          <w:lang w:val="es-AR"/>
        </w:rPr>
      </w:pPr>
      <w:r w:rsidRPr="006C1615">
        <w:rPr>
          <w:rFonts w:cs="Times New Roman"/>
          <w:lang w:val="es-AR"/>
        </w:rPr>
        <w:t>Asimismo, el trabajo adopta una serie de supuestos metodológicos orientados a aislar el efecto del momentum sectorial y facilitar la interpretación de los resultados. Si bien la implementación empírica de las estrategias incorpora costos de transacción proporcionales al turnover del portafolio, se omiten restricciones operativas más complejas, tales como límites de liquidez, impactos de mercado, restricciones regulatorias o estructuras de costos no lineales. Esta simplificación tiene por objetivo concentrar el análisis en la dinámica conjunta de retorno y riesgo de las estrategias, bajo un esquema homogéneo de fricciones.</w:t>
      </w:r>
    </w:p>
    <w:p w14:paraId="75751B51" w14:textId="51CE01B6" w:rsidR="006C1615" w:rsidRPr="006C1615" w:rsidRDefault="006C1615" w:rsidP="006C1615">
      <w:pPr>
        <w:pStyle w:val="FirstParagraph"/>
        <w:spacing w:line="360" w:lineRule="auto"/>
        <w:rPr>
          <w:rFonts w:cs="Times New Roman"/>
          <w:lang w:val="es-AR"/>
        </w:rPr>
      </w:pPr>
      <w:r w:rsidRPr="006C1615">
        <w:rPr>
          <w:rFonts w:cs="Times New Roman"/>
          <w:lang w:val="es-AR"/>
        </w:rPr>
        <w:t xml:space="preserve">Adicionalmente, el ejercicio de optimización de portafolios desarrollado en </w:t>
      </w:r>
      <w:r w:rsidR="00981649">
        <w:rPr>
          <w:rFonts w:cs="Times New Roman"/>
          <w:lang w:val="es-AR"/>
        </w:rPr>
        <w:t xml:space="preserve">el </w:t>
      </w:r>
      <w:r w:rsidR="00981649" w:rsidRPr="00981649">
        <w:rPr>
          <w:rFonts w:cs="Times New Roman"/>
          <w:b/>
          <w:bCs/>
          <w:lang w:val="es-AR"/>
        </w:rPr>
        <w:t>Anexo C</w:t>
      </w:r>
      <w:r w:rsidRPr="006C1615">
        <w:rPr>
          <w:rFonts w:cs="Times New Roman"/>
          <w:lang w:val="es-AR"/>
        </w:rPr>
        <w:t xml:space="preserve"> </w:t>
      </w:r>
      <w:r w:rsidR="002C49D9" w:rsidRPr="006C1615">
        <w:rPr>
          <w:rFonts w:cs="Times New Roman"/>
          <w:lang w:val="es-AR"/>
        </w:rPr>
        <w:t>posterior</w:t>
      </w:r>
      <w:r w:rsidRPr="006C1615">
        <w:rPr>
          <w:rFonts w:cs="Times New Roman"/>
          <w:lang w:val="es-AR"/>
        </w:rPr>
        <w:t xml:space="preserve"> se realiza con fines ilustrativos y bajo un enfoque in-sample, utilizando parámetros estimados a partir de los datos históricos observados. En consecuencia, los portafolios obtenidos deben interpretarse como combinaciones teóricas dentro del marco de media–varianza y no como recomendaciones directas de inversión.</w:t>
      </w:r>
    </w:p>
    <w:p w14:paraId="28A5F879" w14:textId="77777777" w:rsidR="006C1615" w:rsidRPr="006C1615" w:rsidRDefault="006C1615" w:rsidP="006C1615">
      <w:pPr>
        <w:pStyle w:val="FirstParagraph"/>
        <w:spacing w:line="360" w:lineRule="auto"/>
        <w:rPr>
          <w:rFonts w:cs="Times New Roman"/>
          <w:lang w:val="es-AR"/>
        </w:rPr>
      </w:pPr>
      <w:r w:rsidRPr="006C1615">
        <w:rPr>
          <w:rFonts w:cs="Times New Roman"/>
          <w:lang w:val="es-AR"/>
        </w:rPr>
        <w:t>En conjunto, estas delimitaciones permiten encuadrar el alcance del estudio, garantizando transparencia en los supuestos adoptados y coherencia entre la evidencia empírica presentada y las conclusiones derivadas del análisis.</w:t>
      </w:r>
    </w:p>
    <w:p w14:paraId="69DC94AD" w14:textId="06F16B5E" w:rsidR="00894435" w:rsidRPr="009706C8" w:rsidRDefault="00894435" w:rsidP="00903260">
      <w:pPr>
        <w:pStyle w:val="Ttulo2"/>
        <w:rPr>
          <w:rFonts w:cs="Times New Roman"/>
        </w:rPr>
      </w:pPr>
      <w:bookmarkStart w:id="14" w:name="_Toc223214753"/>
      <w:r w:rsidRPr="009706C8">
        <w:rPr>
          <w:rFonts w:cs="Times New Roman"/>
        </w:rPr>
        <w:t>1.6 Organización del trabajo</w:t>
      </w:r>
      <w:bookmarkEnd w:id="14"/>
    </w:p>
    <w:p w14:paraId="4E409C5F" w14:textId="40860B67" w:rsidR="00A040C6" w:rsidRPr="00A040C6" w:rsidRDefault="00894435" w:rsidP="00191FCA">
      <w:pPr>
        <w:pStyle w:val="FirstParagraph"/>
        <w:spacing w:line="360" w:lineRule="auto"/>
        <w:rPr>
          <w:lang w:val="es-AR"/>
        </w:rPr>
      </w:pPr>
      <w:r w:rsidRPr="009706C8">
        <w:rPr>
          <w:rFonts w:cs="Times New Roman"/>
          <w:lang w:val="es-AR"/>
        </w:rPr>
        <w:t>El trabajo se organiza de la siguiente manera. En el Capítulo 2 se presenta el marco teórico y los principales antecedentes empíricos. El Capítulo 3 describe los datos y la metodología de construcción de las estrategias. En el Capítulo 4 se evalúa el desempeño empírico y se analizan los resultados mediante modelos de factores. El Capítulo 5 profundiza el análisis del riesgo</w:t>
      </w:r>
      <w:r w:rsidR="00A040C6" w:rsidRPr="00A040C6">
        <w:rPr>
          <w:rFonts w:cs="Times New Roman"/>
          <w:lang w:val="es-AR"/>
        </w:rPr>
        <w:t>, mientras que los anexos recogen detalles técnicos complementarios.</w:t>
      </w:r>
    </w:p>
    <w:p w14:paraId="1FBBB517" w14:textId="77777777" w:rsidR="00D472A0" w:rsidRDefault="00D472A0" w:rsidP="0076472A">
      <w:pPr>
        <w:pStyle w:val="Ttulo1"/>
      </w:pPr>
      <w:bookmarkStart w:id="15" w:name="_Toc223214754"/>
      <w:bookmarkStart w:id="16" w:name="X113cc96df879be3ad5280743ea2e0a30aff7023"/>
      <w:bookmarkEnd w:id="0"/>
      <w:bookmarkEnd w:id="13"/>
      <w:r w:rsidRPr="00C75DB5">
        <w:lastRenderedPageBreak/>
        <w:t xml:space="preserve">Capítulo </w:t>
      </w:r>
      <w:r w:rsidR="00A766FE" w:rsidRPr="0076472A">
        <w:t>2</w:t>
      </w:r>
      <w:bookmarkEnd w:id="15"/>
    </w:p>
    <w:p w14:paraId="7F1EFF41" w14:textId="77777777" w:rsidR="00894435" w:rsidRPr="0076472A" w:rsidRDefault="00894435" w:rsidP="0076472A">
      <w:pPr>
        <w:pStyle w:val="Ttulo1"/>
      </w:pPr>
      <w:bookmarkStart w:id="17" w:name="_Toc223214755"/>
      <w:r w:rsidRPr="0076472A">
        <w:t>Marco Teórico y Antecedentes Empíricos</w:t>
      </w:r>
      <w:bookmarkEnd w:id="17"/>
    </w:p>
    <w:p w14:paraId="633360E4" w14:textId="77777777" w:rsidR="00894435" w:rsidRPr="00642EEA" w:rsidRDefault="00894435" w:rsidP="00642EEA">
      <w:pPr>
        <w:pStyle w:val="FirstParagraph"/>
        <w:spacing w:line="360" w:lineRule="auto"/>
        <w:rPr>
          <w:rFonts w:cs="Times New Roman"/>
          <w:lang w:val="es-AR"/>
        </w:rPr>
      </w:pPr>
      <w:r w:rsidRPr="009706C8">
        <w:rPr>
          <w:rFonts w:cs="Times New Roman"/>
          <w:lang w:val="es-AR"/>
        </w:rPr>
        <w:t xml:space="preserve">Este capítulo presenta el </w:t>
      </w:r>
      <w:r w:rsidRPr="009706C8">
        <w:rPr>
          <w:rFonts w:cs="Times New Roman"/>
          <w:b/>
          <w:bCs/>
          <w:lang w:val="es-AR"/>
        </w:rPr>
        <w:t>marco teórico</w:t>
      </w:r>
      <w:r w:rsidRPr="009706C8">
        <w:rPr>
          <w:rFonts w:cs="Times New Roman"/>
          <w:lang w:val="es-AR"/>
        </w:rPr>
        <w:t xml:space="preserve"> y la </w:t>
      </w:r>
      <w:r w:rsidRPr="009706C8">
        <w:rPr>
          <w:rFonts w:cs="Times New Roman"/>
          <w:b/>
          <w:bCs/>
          <w:lang w:val="es-AR"/>
        </w:rPr>
        <w:t>revisión de antecedentes empíricos</w:t>
      </w:r>
      <w:r w:rsidRPr="009706C8">
        <w:rPr>
          <w:rFonts w:cs="Times New Roman"/>
          <w:lang w:val="es-AR"/>
        </w:rPr>
        <w:t xml:space="preserve"> que sustentan el análisis desarrollado en los capítulos posteriores. Su objetivo es contextualizar el estudio dentro de la teoría financiera moderna, justificar el enfoque metodológico adoptado y vincular los resultados empíricos con la literatura existente.</w:t>
      </w:r>
    </w:p>
    <w:p w14:paraId="4518E378" w14:textId="77777777" w:rsidR="00894435" w:rsidRPr="009706C8" w:rsidRDefault="00894435" w:rsidP="008F2A7B">
      <w:pPr>
        <w:pStyle w:val="Ttulo2"/>
        <w:rPr>
          <w:rFonts w:cs="Times New Roman"/>
        </w:rPr>
      </w:pPr>
      <w:bookmarkStart w:id="18" w:name="_Toc223214756"/>
      <w:bookmarkStart w:id="19" w:name="hipótesis-de-los-mercados-eficientes"/>
      <w:r w:rsidRPr="009706C8">
        <w:rPr>
          <w:rFonts w:cs="Times New Roman"/>
        </w:rPr>
        <w:t>2.1 Hipótesis de los Mercados Eficientes</w:t>
      </w:r>
      <w:bookmarkEnd w:id="18"/>
    </w:p>
    <w:p w14:paraId="66DB47DC"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La Hipótesis de los Mercados Eficientes (HME), formulada originalmente por Fama (1970), sostiene que los precios de los activos financieros reflejan plenamente toda la información disponible, lo que impide la obtención sistemática de retornos anormales ajustados por riesgo.</w:t>
      </w:r>
    </w:p>
    <w:p w14:paraId="0560B7E4" w14:textId="77777777" w:rsidR="00894435" w:rsidRDefault="00894435" w:rsidP="00642EEA">
      <w:pPr>
        <w:pStyle w:val="Textoindependiente"/>
        <w:spacing w:line="360" w:lineRule="auto"/>
        <w:rPr>
          <w:rFonts w:cs="Times New Roman"/>
          <w:lang w:val="es-AR"/>
        </w:rPr>
      </w:pPr>
      <w:r w:rsidRPr="009706C8">
        <w:rPr>
          <w:rFonts w:cs="Times New Roman"/>
          <w:lang w:val="es-AR"/>
        </w:rPr>
        <w:t>En su forma débil, la HME postula que la información contenida en los precios pasados ya se encuentra incorporada en los precios actuales, por lo que el análisis técnico o basado en retornos históricos no debería generar ventajas persistentes.</w:t>
      </w:r>
    </w:p>
    <w:p w14:paraId="6A7B47B2" w14:textId="6D1B3717" w:rsidR="00465E2A" w:rsidRPr="00642EEA" w:rsidRDefault="00465E2A" w:rsidP="00642EEA">
      <w:pPr>
        <w:pStyle w:val="Textoindependiente"/>
        <w:spacing w:line="360" w:lineRule="auto"/>
        <w:rPr>
          <w:rFonts w:cs="Times New Roman"/>
          <w:lang w:val="es-AR"/>
        </w:rPr>
      </w:pPr>
      <w:r w:rsidRPr="00465E2A">
        <w:rPr>
          <w:rFonts w:cs="Times New Roman"/>
          <w:lang w:val="es-AR"/>
        </w:rPr>
        <w:t>En el contexto de este trabajo, la Hipótesis de los Mercados Eficientes constituye el marco teórico de referencia frente al cual se evalúa la evidencia empírica sobre estrategias de momentum sectorial. La posible existencia de re</w:t>
      </w:r>
      <w:r w:rsidR="00F01B40">
        <w:rPr>
          <w:rFonts w:cs="Times New Roman"/>
          <w:lang w:val="es-AR"/>
        </w:rPr>
        <w:t>tornos</w:t>
      </w:r>
      <w:r w:rsidRPr="00465E2A">
        <w:rPr>
          <w:rFonts w:cs="Times New Roman"/>
          <w:lang w:val="es-AR"/>
        </w:rPr>
        <w:t xml:space="preserve"> diferenciales o patrones persistentes en los retornos no se interpreta como una refutación directa de la HME, sino como una evaluación empírica de su validez bajo restricciones realistas, tales como fricciones de mercado, heterogeneidad en el comportamiento de los agentes y dinámicas temporales del riesgo. En este sentido, el análisis desarrollado no presupone ineficiencias sistemáticas, sino que examina de manera conjunta el comportamiento del retorno y del riesgo de estrategias de momentum en un marco empírico concreto.</w:t>
      </w:r>
    </w:p>
    <w:p w14:paraId="167A5567" w14:textId="77777777" w:rsidR="00894435" w:rsidRPr="009706C8" w:rsidRDefault="00894435" w:rsidP="008F2A7B">
      <w:pPr>
        <w:pStyle w:val="Ttulo2"/>
        <w:rPr>
          <w:rFonts w:cs="Times New Roman"/>
        </w:rPr>
      </w:pPr>
      <w:bookmarkStart w:id="20" w:name="_Toc223214757"/>
      <w:bookmarkStart w:id="21" w:name="anomalías-financieras"/>
      <w:bookmarkEnd w:id="19"/>
      <w:r w:rsidRPr="009706C8">
        <w:rPr>
          <w:rFonts w:cs="Times New Roman"/>
        </w:rPr>
        <w:t>2.2 Anomalías financieras</w:t>
      </w:r>
      <w:bookmarkEnd w:id="20"/>
    </w:p>
    <w:p w14:paraId="6E2B0CCF"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La evidencia empírica acumulada desde la década de 1980 ha documentado la existencia de diversas anomalías financieras que parecen contradecir la HME. Estas anomalías incluyen, entre otras, efectos de tamaño, valor, estacionalidades y patrones de reversión y persistencia en los retornos.</w:t>
      </w:r>
    </w:p>
    <w:p w14:paraId="04974A7A" w14:textId="77777777" w:rsidR="007B6CDC" w:rsidRPr="009706C8" w:rsidRDefault="007B6CDC" w:rsidP="00FD4623">
      <w:pPr>
        <w:pStyle w:val="Textoindependiente"/>
        <w:spacing w:line="360" w:lineRule="auto"/>
        <w:rPr>
          <w:rFonts w:cs="Times New Roman"/>
          <w:lang w:val="es-AR"/>
        </w:rPr>
      </w:pPr>
      <w:r w:rsidRPr="007B6CDC">
        <w:rPr>
          <w:rFonts w:cs="Times New Roman"/>
          <w:lang w:val="es-AR"/>
        </w:rPr>
        <w:lastRenderedPageBreak/>
        <w:t>Dentro del conjunto de anomalías documentadas, el efecto momentum ocupa un lugar central en la literatura empírica, al evidenciar que activos con buen desempeño relativo en el pasado tienden a continuar rindiendo favorablemente en horizontes de corto y mediano plazo. Este patrón ha sido documentado tanto a nivel de acciones individuales como en carteras agregadas, y ha motivado extensos debates teóricos que incluyen explicaciones basadas en fricciones de mercado, límites al arbitraje y sesgos conductuales de los agentes. En este contexto, el análisis del momentum a nivel sectorial permite evaluar si estos patrones persisten en un marco más agregado y operativo, como el de estrategias implementables mediante ETFs.</w:t>
      </w:r>
    </w:p>
    <w:p w14:paraId="3B10E5BD" w14:textId="77777777" w:rsidR="00894435" w:rsidRPr="009706C8" w:rsidRDefault="00894435" w:rsidP="008F2A7B">
      <w:pPr>
        <w:pStyle w:val="Ttulo2"/>
        <w:rPr>
          <w:rFonts w:cs="Times New Roman"/>
        </w:rPr>
      </w:pPr>
      <w:bookmarkStart w:id="22" w:name="_Toc223214758"/>
      <w:bookmarkStart w:id="23" w:name="el-efecto-momentum"/>
      <w:bookmarkEnd w:id="21"/>
      <w:r w:rsidRPr="009706C8">
        <w:rPr>
          <w:rFonts w:cs="Times New Roman"/>
        </w:rPr>
        <w:t>2.3 El efecto momentum</w:t>
      </w:r>
      <w:bookmarkEnd w:id="22"/>
    </w:p>
    <w:p w14:paraId="124A5F13"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El efecto momentum se refiere a la tendencia de los activos que han tenido un buen desempeño relativo en el pasado reciente a continuar rindiendo bien en el corto y mediano plazo, y viceversa para aquellos con bajo desempeño.</w:t>
      </w:r>
    </w:p>
    <w:p w14:paraId="4A2E2675" w14:textId="77777777" w:rsidR="00894435" w:rsidRDefault="00894435" w:rsidP="00642EEA">
      <w:pPr>
        <w:pStyle w:val="Textoindependiente"/>
        <w:spacing w:line="360" w:lineRule="auto"/>
        <w:rPr>
          <w:rFonts w:cs="Times New Roman"/>
          <w:lang w:val="es-AR"/>
        </w:rPr>
      </w:pPr>
      <w:r w:rsidRPr="009706C8">
        <w:rPr>
          <w:rFonts w:cs="Times New Roman"/>
          <w:lang w:val="es-AR"/>
        </w:rPr>
        <w:t>Los trabajos seminales de Jegadeesh y Titman (1993, 2001) documentan empíricamente este fenómeno para acciones individuales, mostrando que estrategias basadas en retornos pasados generan retornos anormales persistentes.</w:t>
      </w:r>
    </w:p>
    <w:p w14:paraId="67862613" w14:textId="77777777" w:rsidR="00DC2503" w:rsidRPr="00642EEA" w:rsidRDefault="00DC2503" w:rsidP="00642EEA">
      <w:pPr>
        <w:pStyle w:val="Textoindependiente"/>
        <w:spacing w:line="360" w:lineRule="auto"/>
        <w:rPr>
          <w:rFonts w:cs="Times New Roman"/>
          <w:lang w:val="es-AR"/>
        </w:rPr>
      </w:pPr>
      <w:r w:rsidRPr="00DC2503">
        <w:rPr>
          <w:rFonts w:cs="Times New Roman"/>
          <w:lang w:val="es-AR"/>
        </w:rPr>
        <w:t>Si bien la evidencia original se centra en acciones individuales, la intuición subyacente del efecto momentum es extensible a niveles de agregación superiores, como sectores o industrias, donde la persistencia en el desempeño relativo puede reflejar dinámicas macroeconómicas, flujos de capital y procesos de difusión de información.</w:t>
      </w:r>
    </w:p>
    <w:p w14:paraId="206FA35C" w14:textId="77777777" w:rsidR="00894435" w:rsidRPr="009706C8" w:rsidRDefault="00894435" w:rsidP="008F2A7B">
      <w:pPr>
        <w:pStyle w:val="Ttulo2"/>
        <w:rPr>
          <w:rFonts w:cs="Times New Roman"/>
        </w:rPr>
      </w:pPr>
      <w:bookmarkStart w:id="24" w:name="_Toc223214759"/>
      <w:bookmarkStart w:id="25" w:name="X30907c61d40e81939b1df21ed8b2126e79f1320"/>
      <w:bookmarkEnd w:id="23"/>
      <w:r w:rsidRPr="009706C8">
        <w:rPr>
          <w:rFonts w:cs="Times New Roman"/>
        </w:rPr>
        <w:t>2.4 Momentum cross-sectional y momentum sectorial</w:t>
      </w:r>
      <w:bookmarkEnd w:id="24"/>
    </w:p>
    <w:p w14:paraId="75DACEF2"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El momentum cross-sectional se diferencia del momentum temporal en que se basa en comparaciones relativas entre activos en un mismo período, en lugar de analizar la evolución histórica individual de cada activo.</w:t>
      </w:r>
    </w:p>
    <w:p w14:paraId="6642018A" w14:textId="77777777" w:rsidR="00352701" w:rsidRPr="00642EEA" w:rsidRDefault="00352701" w:rsidP="00642EEA">
      <w:pPr>
        <w:pStyle w:val="Textoindependiente"/>
        <w:spacing w:line="360" w:lineRule="auto"/>
        <w:rPr>
          <w:rFonts w:cs="Times New Roman"/>
          <w:lang w:val="es-AR"/>
        </w:rPr>
      </w:pPr>
      <w:r w:rsidRPr="00352701">
        <w:rPr>
          <w:rFonts w:cs="Times New Roman"/>
          <w:lang w:val="es-AR"/>
        </w:rPr>
        <w:t>Moskowitz y Grinblatt (1999) extienden el análisis del momentum al nivel de industrias y sectores, encontrando evidencia de persistencia en el desempeño relativo sectorial. Este enfoque resulta particularmente relevante en contextos donde la asignación de activos se implementa mediante instrumentos diversificados, como ETFs sectoriales, que permiten capturar de manera operativa dichas dinámicas de rotación sin recurrir a selección individual de activos.</w:t>
      </w:r>
    </w:p>
    <w:p w14:paraId="0D41ED11" w14:textId="77777777" w:rsidR="00894435" w:rsidRPr="009706C8" w:rsidRDefault="00894435" w:rsidP="008F2A7B">
      <w:pPr>
        <w:pStyle w:val="Ttulo2"/>
        <w:rPr>
          <w:rFonts w:cs="Times New Roman"/>
        </w:rPr>
      </w:pPr>
      <w:bookmarkStart w:id="26" w:name="_Toc223214760"/>
      <w:bookmarkStart w:id="27" w:name="explicaciones-teóricas-del-momentum"/>
      <w:bookmarkEnd w:id="25"/>
      <w:r w:rsidRPr="009706C8">
        <w:rPr>
          <w:rFonts w:cs="Times New Roman"/>
        </w:rPr>
        <w:lastRenderedPageBreak/>
        <w:t>2.5 Explicaciones teóricas del momentum</w:t>
      </w:r>
      <w:bookmarkEnd w:id="26"/>
    </w:p>
    <w:p w14:paraId="3530682A"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Las explicaciones del efecto momentum pueden agruparse en dos grandes enfoques. Por un lado, las explicaciones basadas en riesgo sugieren que el momentum compensa a los inversores por asumir ciertos riesgos sistemáticos no capturados por modelos tradicionales.</w:t>
      </w:r>
    </w:p>
    <w:p w14:paraId="5CC6125C" w14:textId="0EDEA793" w:rsidR="00792EEE" w:rsidRPr="007E47EB" w:rsidRDefault="007E47EB" w:rsidP="007E47EB">
      <w:pPr>
        <w:spacing w:line="360" w:lineRule="auto"/>
        <w:rPr>
          <w:rFonts w:cs="Times New Roman"/>
          <w:kern w:val="0"/>
          <w14:ligatures w14:val="none"/>
        </w:rPr>
      </w:pPr>
      <w:r w:rsidRPr="007E47EB">
        <w:rPr>
          <w:rFonts w:cs="Times New Roman"/>
          <w:kern w:val="0"/>
          <w14:ligatures w14:val="none"/>
        </w:rPr>
        <w:t xml:space="preserve">Por otro lado, las explicaciones conductuales enfatizan la presencia de sesgos cognitivos que afectan la forma en que los inversores procesan la información. En particular, Daniel, Hirshleifer y Subrahmanyam (1998) desarrollan un modelo basado en sobreconfianza y sesgo de autoatribución (self-attribution bias), mediante el cual los agentes sobre-reaccionan gradualmente a señales privadas, generando dinámicas persistentes en los precios. De manera complementaria, Hong y Stein (1999) proponen un modelo de difusión gradual de la información, en el cual distintos tipos de agentes incorporan información con diferentes velocidades, dando lugar a subreacciones iniciales y ajustes progresivos en los precios. Ambos enfoques proporcionan fundamentos microeconómicos formales para la persistencia observada en los retornos, sin necesidad de apelar exclusivamente a compensaciones por riesgo sistemático. </w:t>
      </w:r>
    </w:p>
    <w:p w14:paraId="35BB48D6" w14:textId="77777777" w:rsidR="00EB19A0" w:rsidRPr="00642EEA" w:rsidRDefault="00EB19A0" w:rsidP="00642EEA">
      <w:pPr>
        <w:pStyle w:val="Textoindependiente"/>
        <w:spacing w:line="360" w:lineRule="auto"/>
        <w:rPr>
          <w:rFonts w:cs="Times New Roman"/>
          <w:lang w:val="es-AR"/>
        </w:rPr>
      </w:pPr>
      <w:r w:rsidRPr="00EB19A0">
        <w:rPr>
          <w:rFonts w:cs="Times New Roman"/>
          <w:lang w:val="es-AR"/>
        </w:rPr>
        <w:t>En la práctica empírica, ambos enfoques no son mutuamente excluyentes, y la evidencia disponible no permite una identificación concluyente de un único mecanismo explicativo. En este sentido, el análisis empírico de este trabajo se centra en caracterizar el comportamiento conjunto de retorno y riesgo de las estrategias de momentum sectorial, sin imponer a priori una interpretación causal específica sobre el origen del efecto observado.</w:t>
      </w:r>
    </w:p>
    <w:p w14:paraId="6CE6056B" w14:textId="77777777" w:rsidR="00894435" w:rsidRPr="009706C8" w:rsidRDefault="00894435" w:rsidP="008F2A7B">
      <w:pPr>
        <w:pStyle w:val="Ttulo2"/>
        <w:rPr>
          <w:rFonts w:cs="Times New Roman"/>
        </w:rPr>
      </w:pPr>
      <w:bookmarkStart w:id="28" w:name="_Toc223214761"/>
      <w:bookmarkStart w:id="29" w:name="X867e662a99f1b95d571adc429a241580f6adda5"/>
      <w:bookmarkEnd w:id="27"/>
      <w:r w:rsidRPr="009706C8">
        <w:rPr>
          <w:rFonts w:cs="Times New Roman"/>
        </w:rPr>
        <w:t>2.6 ETFs como instrumentos para estrategias de momentum</w:t>
      </w:r>
      <w:bookmarkEnd w:id="28"/>
    </w:p>
    <w:p w14:paraId="4F6AC53E"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Los Exchange Traded Funds (ETFs) constituyen vehículos de inversión que replican el desempeño de índices o carteras de activos, ofreciendo liquidez, transparencia y bajos costos relativos.</w:t>
      </w:r>
    </w:p>
    <w:p w14:paraId="4E1DC09A" w14:textId="77777777" w:rsidR="00894435" w:rsidRPr="00642EEA" w:rsidRDefault="00894435" w:rsidP="00642EEA">
      <w:pPr>
        <w:pStyle w:val="Textoindependiente"/>
        <w:spacing w:line="360" w:lineRule="auto"/>
        <w:rPr>
          <w:rFonts w:cs="Times New Roman"/>
          <w:lang w:val="es-AR"/>
        </w:rPr>
      </w:pPr>
      <w:r w:rsidRPr="009706C8">
        <w:rPr>
          <w:rFonts w:cs="Times New Roman"/>
          <w:lang w:val="es-AR"/>
        </w:rPr>
        <w:t>El uso de ETFs sectoriales permite implementar estrategias de momentum a nivel agregado, evitando problemas de microestructura presentes en acciones individuales, aunque introduce consideraciones adicionales como tracking error y comisiones implícitas.</w:t>
      </w:r>
    </w:p>
    <w:p w14:paraId="6672AF0E" w14:textId="77777777" w:rsidR="00894435" w:rsidRPr="009706C8" w:rsidRDefault="00894435" w:rsidP="008F2A7B">
      <w:pPr>
        <w:pStyle w:val="Ttulo2"/>
        <w:rPr>
          <w:rFonts w:cs="Times New Roman"/>
        </w:rPr>
      </w:pPr>
      <w:bookmarkStart w:id="30" w:name="_Toc223214762"/>
      <w:bookmarkStart w:id="31" w:name="relación-con-los-modelos-de-factores"/>
      <w:bookmarkEnd w:id="29"/>
      <w:r w:rsidRPr="009706C8">
        <w:rPr>
          <w:rFonts w:cs="Times New Roman"/>
        </w:rPr>
        <w:lastRenderedPageBreak/>
        <w:t>2.7 Relación con los modelos de factores</w:t>
      </w:r>
      <w:bookmarkEnd w:id="30"/>
    </w:p>
    <w:p w14:paraId="58B2A77E" w14:textId="77777777" w:rsidR="00894435" w:rsidRPr="009706C8" w:rsidRDefault="00894435" w:rsidP="00FD4623">
      <w:pPr>
        <w:pStyle w:val="FirstParagraph"/>
        <w:spacing w:line="360" w:lineRule="auto"/>
        <w:rPr>
          <w:rFonts w:cs="Times New Roman"/>
          <w:lang w:val="es-AR"/>
        </w:rPr>
      </w:pPr>
      <w:r w:rsidRPr="009706C8">
        <w:rPr>
          <w:rFonts w:cs="Times New Roman"/>
          <w:lang w:val="es-AR"/>
        </w:rPr>
        <w:t>El análisis del momentum se vincula estrechamente con los modelos de factores utilizados para explicar los retornos de los activos. En particular, Carhart (1997) incorpora el factor momentum como una extensión del modelo de Fama y French.</w:t>
      </w:r>
    </w:p>
    <w:p w14:paraId="58D06CD5" w14:textId="77777777" w:rsidR="00894435" w:rsidRDefault="00894435" w:rsidP="00FD4623">
      <w:pPr>
        <w:pStyle w:val="Textoindependiente"/>
        <w:spacing w:line="360" w:lineRule="auto"/>
        <w:rPr>
          <w:rFonts w:cs="Times New Roman"/>
          <w:lang w:val="es-AR"/>
        </w:rPr>
      </w:pPr>
      <w:r w:rsidRPr="009706C8">
        <w:rPr>
          <w:rFonts w:cs="Times New Roman"/>
          <w:lang w:val="es-AR"/>
        </w:rPr>
        <w:t>Esta relación justifica el uso de modelos de factores en la evaluación del desempeño de las estrategias analizadas.</w:t>
      </w:r>
    </w:p>
    <w:p w14:paraId="4E2E5C11" w14:textId="28CC03EC" w:rsidR="00792EEE" w:rsidRPr="00C2154C" w:rsidRDefault="00C2154C" w:rsidP="00C2154C">
      <w:pPr>
        <w:pStyle w:val="Textoindependiente"/>
        <w:spacing w:line="360" w:lineRule="auto"/>
        <w:rPr>
          <w:rFonts w:cs="Times New Roman"/>
          <w:lang w:val="es-AR"/>
        </w:rPr>
      </w:pPr>
      <w:r w:rsidRPr="00C2154C">
        <w:rPr>
          <w:rFonts w:cs="Times New Roman"/>
          <w:lang w:val="es-AR"/>
        </w:rPr>
        <w:t>Si bien el modelo de Carhart (1997) constituye el marco estándar para el análisis multifactorial del momentum, el presente trabajo adopta deliberadamente un enfoque parsimonioso basado en el CAPM. Esta decisión responde no solo a criterios de simplicidad y coherencia empírica, sino también a una consideración metodológica adicional: dado que la estrategia analizada se construye precisamente sobre una señal de momentum, la inclusión explícita del factor UMD en la evaluación podría generar una potencial tautología al contrastar una estrategia de momentum contra un factor de momentum. En este sentido, el uso del CAPM permite aislar la exposición al riesgo sistemático del mercado sin incorporar un factor directamente relacionado con la regla de construcción de la estrategia, evitando así una superposición conceptual en la interpretación de los resultados.</w:t>
      </w:r>
    </w:p>
    <w:p w14:paraId="638EE57F" w14:textId="77777777" w:rsidR="00C75DB5" w:rsidRPr="00C75DB5" w:rsidRDefault="00C75DB5" w:rsidP="00C75DB5">
      <w:pPr>
        <w:pStyle w:val="Ttulo1"/>
      </w:pPr>
      <w:bookmarkStart w:id="32" w:name="_Toc223214763"/>
      <w:bookmarkStart w:id="33" w:name="X4d13f1e65d3a1bd7760eb85a0e3486b4a74ffa0"/>
      <w:bookmarkStart w:id="34" w:name="capítulo-3"/>
      <w:bookmarkEnd w:id="16"/>
      <w:bookmarkEnd w:id="31"/>
      <w:r w:rsidRPr="00C75DB5">
        <w:t>Capítulo 3</w:t>
      </w:r>
      <w:bookmarkEnd w:id="32"/>
    </w:p>
    <w:p w14:paraId="7C07137F" w14:textId="77777777" w:rsidR="00C75DB5" w:rsidRDefault="00C75DB5" w:rsidP="00C75DB5">
      <w:pPr>
        <w:pStyle w:val="Ttulo1"/>
      </w:pPr>
      <w:bookmarkStart w:id="35" w:name="_Toc223214764"/>
      <w:r w:rsidRPr="00C75DB5">
        <w:t>Datos y metodología de construcción de las estrategias</w:t>
      </w:r>
      <w:bookmarkEnd w:id="35"/>
    </w:p>
    <w:p w14:paraId="3683F196" w14:textId="77777777" w:rsidR="00894435" w:rsidRPr="00642EEA" w:rsidRDefault="00894435" w:rsidP="00642EEA">
      <w:pPr>
        <w:pStyle w:val="FirstParagraph"/>
        <w:spacing w:line="360" w:lineRule="auto"/>
        <w:rPr>
          <w:rFonts w:cs="Times New Roman"/>
          <w:lang w:val="es-AR"/>
        </w:rPr>
      </w:pPr>
      <w:r w:rsidRPr="00743667">
        <w:rPr>
          <w:rFonts w:cs="Times New Roman"/>
          <w:lang w:val="es-AR"/>
        </w:rPr>
        <w:t xml:space="preserve">Este capítulo describe el universo de análisis, las fuentes de información utilizadas, el proceso de construcción del </w:t>
      </w:r>
      <w:r w:rsidR="008A35D2">
        <w:rPr>
          <w:rFonts w:cs="Times New Roman"/>
          <w:lang w:val="es-AR"/>
        </w:rPr>
        <w:t>conjunto de dato</w:t>
      </w:r>
      <w:r w:rsidR="00CC1DFE">
        <w:rPr>
          <w:rFonts w:cs="Times New Roman"/>
          <w:lang w:val="es-AR"/>
        </w:rPr>
        <w:t>s</w:t>
      </w:r>
      <w:r w:rsidRPr="00743667">
        <w:rPr>
          <w:rFonts w:cs="Times New Roman"/>
          <w:lang w:val="es-AR"/>
        </w:rPr>
        <w:t xml:space="preserve"> y la metodología empleada para definir e implementar las estrategias de inversión basadas en </w:t>
      </w:r>
      <w:r w:rsidRPr="00061038">
        <w:rPr>
          <w:rFonts w:cs="Times New Roman"/>
          <w:b/>
          <w:bCs/>
          <w:i/>
          <w:iCs/>
          <w:lang w:val="es-AR"/>
        </w:rPr>
        <w:t>momentum cross-sectional</w:t>
      </w:r>
      <w:r w:rsidRPr="00743667">
        <w:rPr>
          <w:rFonts w:cs="Times New Roman"/>
          <w:b/>
          <w:bCs/>
          <w:lang w:val="es-AR"/>
        </w:rPr>
        <w:t xml:space="preserve"> sectorial</w:t>
      </w:r>
      <w:r w:rsidRPr="00743667">
        <w:rPr>
          <w:rFonts w:cs="Times New Roman"/>
          <w:lang w:val="es-AR"/>
        </w:rPr>
        <w:t xml:space="preserve">. El objetivo principal es garantizar la </w:t>
      </w:r>
      <w:r w:rsidRPr="00743667">
        <w:rPr>
          <w:rFonts w:cs="Times New Roman"/>
          <w:b/>
          <w:bCs/>
          <w:lang w:val="es-AR"/>
        </w:rPr>
        <w:t>transparencia, reproducibilidad y coherencia metodológica</w:t>
      </w:r>
      <w:r w:rsidRPr="00743667">
        <w:rPr>
          <w:rFonts w:cs="Times New Roman"/>
          <w:lang w:val="es-AR"/>
        </w:rPr>
        <w:t xml:space="preserve"> de los resultados empíricos presentados en los capítulos posteriores.</w:t>
      </w:r>
    </w:p>
    <w:p w14:paraId="7ED7EA78" w14:textId="77777777" w:rsidR="00894435" w:rsidRPr="009706C8" w:rsidRDefault="00894435">
      <w:pPr>
        <w:pStyle w:val="Ttulo2"/>
        <w:rPr>
          <w:rFonts w:cs="Times New Roman"/>
        </w:rPr>
      </w:pPr>
      <w:bookmarkStart w:id="36" w:name="_Toc223214765"/>
      <w:bookmarkStart w:id="37" w:name="universo-de-análisis"/>
      <w:bookmarkEnd w:id="33"/>
      <w:r w:rsidRPr="009706C8">
        <w:rPr>
          <w:rFonts w:cs="Times New Roman"/>
        </w:rPr>
        <w:t>3.1 Universo de análisis</w:t>
      </w:r>
      <w:bookmarkEnd w:id="36"/>
    </w:p>
    <w:p w14:paraId="3C4AFBC6" w14:textId="77777777" w:rsidR="00894435" w:rsidRDefault="00894435" w:rsidP="00743667">
      <w:pPr>
        <w:pStyle w:val="FirstParagraph"/>
        <w:spacing w:line="360" w:lineRule="auto"/>
        <w:rPr>
          <w:rFonts w:cs="Times New Roman"/>
          <w:lang w:val="es-AR"/>
        </w:rPr>
      </w:pPr>
      <w:r w:rsidRPr="00743667">
        <w:rPr>
          <w:rFonts w:cs="Times New Roman"/>
          <w:lang w:val="es-AR"/>
        </w:rPr>
        <w:t xml:space="preserve">El universo de inversión considerado está compuesto por Exchange Traded Funds (ETFs) sectoriales del mercado estadounidense, específicamente los nueve ETFs sectoriales SPDR que </w:t>
      </w:r>
      <w:r w:rsidR="00CC1DFE" w:rsidRPr="00CC1DFE">
        <w:rPr>
          <w:rFonts w:cs="Times New Roman"/>
          <w:lang w:val="es-AR"/>
        </w:rPr>
        <w:t>representan los principales sectores económicos del índice S&amp;P 500</w:t>
      </w:r>
      <w:r w:rsidRPr="00743667">
        <w:rPr>
          <w:rFonts w:cs="Times New Roman"/>
          <w:lang w:val="es-AR"/>
        </w:rPr>
        <w:t xml:space="preserve">: </w:t>
      </w:r>
      <w:r w:rsidRPr="00743667">
        <w:rPr>
          <w:rFonts w:cs="Times New Roman"/>
          <w:lang w:val="es-AR"/>
        </w:rPr>
        <w:lastRenderedPageBreak/>
        <w:t>Tecnología (XLK), Financiero (XLF), Salud (XLV), Consumo Discrecional (XLY), Consumo Básico (XLP), Energía (XLE), Industriales (XLI), Materiales (XLB) y Utilities (XLU)</w:t>
      </w:r>
      <w:r w:rsidR="00706D18">
        <w:rPr>
          <w:rFonts w:cs="Times New Roman"/>
          <w:lang w:val="es-AR"/>
        </w:rPr>
        <w:t xml:space="preserve"> </w:t>
      </w:r>
      <w:r w:rsidR="00706D18" w:rsidRPr="00706D18">
        <w:rPr>
          <w:rFonts w:cs="Times New Roman"/>
          <w:lang w:val="es-AR"/>
        </w:rPr>
        <w:t>(en adelante, ETFs sectoriales)</w:t>
      </w:r>
      <w:r w:rsidRPr="00743667">
        <w:rPr>
          <w:rFonts w:cs="Times New Roman"/>
          <w:lang w:val="es-AR"/>
        </w:rPr>
        <w:t>. Como benchmark de mercado se utiliza el ETF SPDR S&amp;P 500 (SPY).</w:t>
      </w:r>
    </w:p>
    <w:p w14:paraId="3C399F50" w14:textId="77777777" w:rsidR="00EC3F73" w:rsidRDefault="00EC3F73" w:rsidP="00642EEA">
      <w:pPr>
        <w:pStyle w:val="Textoindependiente"/>
        <w:spacing w:line="360" w:lineRule="auto"/>
        <w:rPr>
          <w:lang w:val="es-AR"/>
        </w:rPr>
      </w:pPr>
      <w:r w:rsidRPr="00EC3F73">
        <w:rPr>
          <w:lang w:val="es-AR"/>
        </w:rPr>
        <w:t>Se excluye del universo el ETF sectorial XLRE (Real Estate), creado en octubre de 2015 a partir de la escisión del sector financiero (XLF), dado que su historia de precios no cubre el período completo de análisis. Los nueve ETFs sectoriales seleccionados fueron lanzados en diciembre de 1998, garantizando la disponibilidad de datos consistentes desde enero de 2000 y permitiendo una comparación homogénea a lo largo de todo el horizonte temporal considerado.</w:t>
      </w:r>
    </w:p>
    <w:p w14:paraId="3FDC4300" w14:textId="134AEB82" w:rsidR="00894435" w:rsidRPr="00642EEA" w:rsidRDefault="00894435" w:rsidP="00642EEA">
      <w:pPr>
        <w:pStyle w:val="Textoindependiente"/>
        <w:spacing w:line="360" w:lineRule="auto"/>
        <w:rPr>
          <w:rFonts w:cs="Times New Roman"/>
          <w:lang w:val="es-AR"/>
        </w:rPr>
      </w:pPr>
      <w:r w:rsidRPr="00743667">
        <w:rPr>
          <w:rFonts w:cs="Times New Roman"/>
          <w:lang w:val="es-AR"/>
        </w:rPr>
        <w:t xml:space="preserve">La elección de este universo responde a criterios de </w:t>
      </w:r>
      <w:r w:rsidRPr="00743667">
        <w:rPr>
          <w:rFonts w:cs="Times New Roman"/>
          <w:b/>
          <w:bCs/>
          <w:lang w:val="es-AR"/>
        </w:rPr>
        <w:t>representatividad sectorial, liquidez, profundidad de mercado y disponibilidad histórica de datos</w:t>
      </w:r>
      <w:r w:rsidRPr="00743667">
        <w:rPr>
          <w:rFonts w:cs="Times New Roman"/>
          <w:lang w:val="es-AR"/>
        </w:rPr>
        <w:t>, permitiendo la implementación de estrategias de rotación sectorial con un grado razonable de realismo operativo y evitando problemas asociados a activos ilíquidos o con histories incompletas.</w:t>
      </w:r>
    </w:p>
    <w:p w14:paraId="00031B1D" w14:textId="77777777" w:rsidR="00894435" w:rsidRPr="009706C8" w:rsidRDefault="00894435">
      <w:pPr>
        <w:pStyle w:val="Ttulo2"/>
        <w:rPr>
          <w:rFonts w:cs="Times New Roman"/>
        </w:rPr>
      </w:pPr>
      <w:bookmarkStart w:id="38" w:name="_Toc223214766"/>
      <w:bookmarkStart w:id="39" w:name="fuentes-de-datos"/>
      <w:bookmarkEnd w:id="37"/>
      <w:r w:rsidRPr="009706C8">
        <w:rPr>
          <w:rFonts w:cs="Times New Roman"/>
        </w:rPr>
        <w:t>3.2 Fuentes de datos</w:t>
      </w:r>
      <w:bookmarkEnd w:id="38"/>
    </w:p>
    <w:p w14:paraId="1233DF49" w14:textId="77777777" w:rsidR="00180F18" w:rsidRDefault="00180F18" w:rsidP="00743667">
      <w:pPr>
        <w:pStyle w:val="Textoindependiente"/>
        <w:spacing w:line="360" w:lineRule="auto"/>
        <w:rPr>
          <w:rFonts w:cs="Times New Roman"/>
          <w:lang w:val="es-AR"/>
        </w:rPr>
      </w:pPr>
      <w:r w:rsidRPr="00180F18">
        <w:rPr>
          <w:rFonts w:cs="Times New Roman"/>
          <w:lang w:val="es-AR"/>
        </w:rPr>
        <w:t xml:space="preserve">Las series de precios se obtienen a partir de la base de datos pública provista por Yahoo Finance, accedida mediante la librería yfinance del lenguaje Python. Se utilizan precios de cierre ajustados por dividendos y </w:t>
      </w:r>
      <w:r w:rsidRPr="00180F18">
        <w:rPr>
          <w:rFonts w:cs="Times New Roman"/>
          <w:i/>
          <w:iCs/>
          <w:lang w:val="es-AR"/>
        </w:rPr>
        <w:t>splits</w:t>
      </w:r>
      <w:r w:rsidRPr="00180F18">
        <w:rPr>
          <w:rFonts w:cs="Times New Roman"/>
          <w:lang w:val="es-AR"/>
        </w:rPr>
        <w:t>, con el objetivo de capturar el retorno total de cada ETF y garantizar la comparabilidad intertemporal de las series.</w:t>
      </w:r>
    </w:p>
    <w:p w14:paraId="64386998" w14:textId="70DFAE35" w:rsidR="008E4E76" w:rsidRDefault="008E4E76" w:rsidP="00743667">
      <w:pPr>
        <w:pStyle w:val="Textoindependiente"/>
        <w:spacing w:line="360" w:lineRule="auto"/>
        <w:rPr>
          <w:rFonts w:cs="Times New Roman"/>
          <w:lang w:val="es-AR"/>
        </w:rPr>
      </w:pPr>
      <w:r w:rsidRPr="008E4E76">
        <w:rPr>
          <w:rFonts w:cs="Times New Roman"/>
          <w:lang w:val="es-AR"/>
        </w:rPr>
        <w:t>Si bien Yahoo Finance constituye una fuente de datos ampliamente utilizada en investigación aplicada y análisis financiero, debe señalarse que los precios ajustados pueden estar sujetos a recalculaciones retroactivas y que la base no garantiza un registro estrictamente point-in-time. No obstante, estas limitaciones se consideran aceptables en el presente contexto, dado que el análisis se realiza sobre ETFs sectoriales altamente líquidos, con frecuencia mensual y horizontes de formación de mediano plazo, donde eventuales revisiones históricas tienen un impacto marginal sobre las conclusiones agregadas.</w:t>
      </w:r>
    </w:p>
    <w:p w14:paraId="4F1C472D" w14:textId="00B8C343" w:rsidR="00024813" w:rsidRDefault="00024813" w:rsidP="00743667">
      <w:pPr>
        <w:pStyle w:val="Textoindependiente"/>
        <w:spacing w:line="360" w:lineRule="auto"/>
        <w:rPr>
          <w:rFonts w:cs="Times New Roman"/>
          <w:lang w:val="es-AR"/>
        </w:rPr>
      </w:pPr>
      <w:r w:rsidRPr="00024813">
        <w:rPr>
          <w:rFonts w:cs="Times New Roman"/>
          <w:lang w:val="es-AR"/>
        </w:rPr>
        <w:t xml:space="preserve">El período de datos descargado se extiende desde enero de 2000 hasta diciembre de 2025. El inicio del análisis efectivo en enero de 2005 responde a la necesidad de contar con información histórica suficiente para la construcción de señales de momentum con </w:t>
      </w:r>
      <w:r w:rsidRPr="00024813">
        <w:rPr>
          <w:rFonts w:cs="Times New Roman"/>
          <w:lang w:val="es-AR"/>
        </w:rPr>
        <w:lastRenderedPageBreak/>
        <w:t>ventanas de formación de hasta 12 meses, garantizando consistencia en la estimación de retornos subsecuentes.</w:t>
      </w:r>
    </w:p>
    <w:p w14:paraId="19D40E79" w14:textId="77777777" w:rsidR="00894435" w:rsidRPr="009706C8" w:rsidRDefault="00894435">
      <w:pPr>
        <w:pStyle w:val="Ttulo2"/>
        <w:rPr>
          <w:rFonts w:cs="Times New Roman"/>
        </w:rPr>
      </w:pPr>
      <w:bookmarkStart w:id="40" w:name="_Toc223214767"/>
      <w:bookmarkStart w:id="41" w:name="tratamiento-y-limpieza-de-los-datos"/>
      <w:bookmarkEnd w:id="39"/>
      <w:r w:rsidRPr="009706C8">
        <w:rPr>
          <w:rFonts w:cs="Times New Roman"/>
        </w:rPr>
        <w:t>3.3 Tratamiento y limpieza de los datos</w:t>
      </w:r>
      <w:bookmarkEnd w:id="40"/>
    </w:p>
    <w:p w14:paraId="773BE5E3" w14:textId="77777777" w:rsidR="00894435" w:rsidRPr="00642EEA" w:rsidRDefault="00F325BB" w:rsidP="00642EEA">
      <w:pPr>
        <w:pStyle w:val="FirstParagraph"/>
        <w:spacing w:line="360" w:lineRule="auto"/>
        <w:rPr>
          <w:rFonts w:cs="Times New Roman"/>
          <w:lang w:val="es-AR"/>
        </w:rPr>
      </w:pPr>
      <w:r w:rsidRPr="00F325BB">
        <w:rPr>
          <w:rFonts w:cs="Times New Roman"/>
          <w:lang w:val="es-AR"/>
        </w:rPr>
        <w:t>Los precios diarios descargados se ordenan cronológicamente y, en presencia de valores faltantes asociados a días no hábiles o suspensiones temporales de cotización, se adopta un criterio de imputación conservador consistente en mantener el último precio observado disponible. Este procedimiento no introduce información futura ni altera los retornos efectivos, y se limita a garantizar la continuidad temporal de las series de precios.</w:t>
      </w:r>
      <w:r>
        <w:rPr>
          <w:rFonts w:cs="Times New Roman"/>
          <w:lang w:val="es-AR"/>
        </w:rPr>
        <w:t xml:space="preserve"> </w:t>
      </w:r>
      <w:r w:rsidR="003A45C2" w:rsidRPr="003A45C2">
        <w:rPr>
          <w:rFonts w:cs="Times New Roman"/>
          <w:lang w:val="es-AR"/>
        </w:rPr>
        <w:t>Posteriormente, se eliminan las observaciones iniciales incompletas correspondientes a los períodos necesarios para la formación de las señales de momentum, en los cuales las estrategias aún no se encuentran plenamente operativas.</w:t>
      </w:r>
    </w:p>
    <w:p w14:paraId="4FEF1C91" w14:textId="77777777" w:rsidR="00F325BB" w:rsidRPr="00F325BB" w:rsidRDefault="00F325BB" w:rsidP="00F325BB">
      <w:pPr>
        <w:pStyle w:val="FirstParagraph"/>
        <w:spacing w:line="360" w:lineRule="auto"/>
        <w:rPr>
          <w:rFonts w:cs="Times New Roman"/>
          <w:lang w:val="es-AR"/>
        </w:rPr>
      </w:pPr>
      <w:r w:rsidRPr="00F325BB">
        <w:rPr>
          <w:rFonts w:cs="Times New Roman"/>
          <w:lang w:val="es-AR"/>
        </w:rPr>
        <w:t>A partir de las series diarias depuradas, se construyen series de precios a frecuencia mensual utilizando el último valor observado de cada mes. Este enfoque es consistente con la práctica habitual en la literatura empírica sobre momentum y permite reducir el impacto del ruido de alta frecuencia, alineando el horizonte temporal de los datos con la frecuencia de rebalanceo de las estrategias y con el enfoque de inversión de mediano plazo adoptado.</w:t>
      </w:r>
    </w:p>
    <w:p w14:paraId="2327BE1F" w14:textId="77777777" w:rsidR="00894435" w:rsidRPr="009706C8" w:rsidRDefault="00894435">
      <w:pPr>
        <w:pStyle w:val="Ttulo2"/>
        <w:rPr>
          <w:rFonts w:cs="Times New Roman"/>
        </w:rPr>
      </w:pPr>
      <w:bookmarkStart w:id="42" w:name="_Toc223214768"/>
      <w:bookmarkStart w:id="43" w:name="construcción-de-los-retornos"/>
      <w:bookmarkEnd w:id="41"/>
      <w:r w:rsidRPr="009706C8">
        <w:rPr>
          <w:rFonts w:cs="Times New Roman"/>
        </w:rPr>
        <w:t>3.4 Construcción de los retornos</w:t>
      </w:r>
      <w:bookmarkEnd w:id="42"/>
    </w:p>
    <w:p w14:paraId="36DAEC04" w14:textId="7FAEF2BB" w:rsidR="00792EEE" w:rsidRPr="00544AEE" w:rsidRDefault="000735FB" w:rsidP="00544AEE">
      <w:pPr>
        <w:pStyle w:val="FirstParagraph"/>
        <w:spacing w:line="360" w:lineRule="auto"/>
        <w:rPr>
          <w:rFonts w:cs="Times New Roman"/>
          <w:lang w:val="es-AR"/>
        </w:rPr>
      </w:pPr>
      <w:r w:rsidRPr="000735FB">
        <w:rPr>
          <w:rFonts w:cs="Times New Roman"/>
          <w:lang w:val="es-AR"/>
        </w:rPr>
        <w:t xml:space="preserve">Los retornos mensuales se calculan como variaciones porcentuales simples entre precios mensuales consecutivos. Formalmente, el retorno del activo </w:t>
      </w:r>
      <m:oMath>
        <m:r>
          <w:rPr>
            <w:rFonts w:ascii="Cambria Math" w:hAnsi="Cambria Math" w:cs="Times New Roman"/>
            <w:lang w:val="es-AR"/>
          </w:rPr>
          <m:t>i</m:t>
        </m:r>
      </m:oMath>
      <w:r w:rsidR="000C24A7">
        <w:rPr>
          <w:rFonts w:eastAsiaTheme="minorEastAsia" w:cs="Times New Roman"/>
          <w:iCs/>
          <w:lang w:val="es-AR"/>
        </w:rPr>
        <w:t xml:space="preserve"> </w:t>
      </w:r>
      <w:r w:rsidRPr="000735FB">
        <w:rPr>
          <w:rFonts w:cs="Times New Roman"/>
          <w:lang w:val="es-AR"/>
        </w:rPr>
        <w:t xml:space="preserve">en el período </w:t>
      </w:r>
      <m:oMath>
        <m:r>
          <w:rPr>
            <w:rFonts w:ascii="Cambria Math" w:hAnsi="Cambria Math" w:cs="Times New Roman"/>
            <w:lang w:val="es-AR"/>
          </w:rPr>
          <m:t>t</m:t>
        </m:r>
      </m:oMath>
      <w:r w:rsidR="000C24A7">
        <w:rPr>
          <w:rFonts w:eastAsiaTheme="minorEastAsia" w:cs="Times New Roman"/>
          <w:iCs/>
          <w:lang w:val="es-AR"/>
        </w:rPr>
        <w:t xml:space="preserve"> </w:t>
      </w:r>
      <w:r w:rsidRPr="000735FB">
        <w:rPr>
          <w:rFonts w:cs="Times New Roman"/>
          <w:lang w:val="es-AR"/>
        </w:rPr>
        <w:t>se define como:</w:t>
      </w:r>
    </w:p>
    <w:p w14:paraId="079D17B2" w14:textId="77777777" w:rsidR="000735FB" w:rsidRPr="000735FB" w:rsidRDefault="00000000" w:rsidP="000735FB">
      <w:pPr>
        <w:pStyle w:val="FirstParagraph"/>
        <w:spacing w:line="360" w:lineRule="auto"/>
        <w:rPr>
          <w:rFonts w:cs="Times New Roman"/>
          <w:lang w:val="es-AR"/>
        </w:rPr>
      </w:pPr>
      <m:oMathPara>
        <m:oMath>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i</m:t>
              </m:r>
              <m:r>
                <m:rPr>
                  <m:sty m:val="p"/>
                </m:rPr>
                <w:rPr>
                  <w:rFonts w:ascii="Cambria Math" w:hAnsi="Cambria Math" w:cs="Times New Roman"/>
                  <w:lang w:val="es-AR"/>
                </w:rPr>
                <m:t>,</m:t>
              </m:r>
              <m:r>
                <w:rPr>
                  <w:rFonts w:ascii="Cambria Math" w:hAnsi="Cambria Math" w:cs="Times New Roman"/>
                  <w:lang w:val="es-AR"/>
                </w:rPr>
                <m:t>t</m:t>
              </m:r>
            </m:sub>
          </m:sSub>
          <m:r>
            <m:rPr>
              <m:sty m:val="p"/>
            </m:rPr>
            <w:rPr>
              <w:rFonts w:ascii="Cambria Math" w:hAnsi="Cambria Math" w:cs="Times New Roman"/>
              <w:lang w:val="es-AR"/>
            </w:rPr>
            <m:t>=</m:t>
          </m:r>
          <m:f>
            <m:fPr>
              <m:ctrlPr>
                <w:rPr>
                  <w:rFonts w:ascii="Cambria Math" w:hAnsi="Cambria Math" w:cs="Times New Roman"/>
                  <w:lang w:val="es-AR"/>
                </w:rPr>
              </m:ctrlPr>
            </m:fPr>
            <m:num>
              <m:sSub>
                <m:sSubPr>
                  <m:ctrlPr>
                    <w:rPr>
                      <w:rFonts w:ascii="Cambria Math" w:hAnsi="Cambria Math" w:cs="Times New Roman"/>
                      <w:lang w:val="es-AR"/>
                    </w:rPr>
                  </m:ctrlPr>
                </m:sSubPr>
                <m:e>
                  <m:r>
                    <w:rPr>
                      <w:rFonts w:ascii="Cambria Math" w:hAnsi="Cambria Math" w:cs="Times New Roman"/>
                      <w:lang w:val="es-AR"/>
                    </w:rPr>
                    <m:t>P</m:t>
                  </m:r>
                </m:e>
                <m:sub>
                  <m:r>
                    <w:rPr>
                      <w:rFonts w:ascii="Cambria Math" w:hAnsi="Cambria Math" w:cs="Times New Roman"/>
                      <w:lang w:val="es-AR"/>
                    </w:rPr>
                    <m:t>i</m:t>
                  </m:r>
                  <m:r>
                    <m:rPr>
                      <m:sty m:val="p"/>
                    </m:rPr>
                    <w:rPr>
                      <w:rFonts w:ascii="Cambria Math" w:hAnsi="Cambria Math" w:cs="Times New Roman"/>
                      <w:lang w:val="es-AR"/>
                    </w:rPr>
                    <m:t>,</m:t>
                  </m:r>
                  <m:r>
                    <w:rPr>
                      <w:rFonts w:ascii="Cambria Math" w:hAnsi="Cambria Math" w:cs="Times New Roman"/>
                      <w:lang w:val="es-AR"/>
                    </w:rPr>
                    <m:t>t</m:t>
                  </m:r>
                </m:sub>
              </m:sSub>
              <m:r>
                <m:rPr>
                  <m:sty m:val="p"/>
                </m:rPr>
                <w:rPr>
                  <w:rFonts w:ascii="Cambria Math" w:hAnsi="Cambria Math" w:cs="Times New Roman"/>
                  <w:lang w:val="es-AR"/>
                </w:rPr>
                <m:t>-</m:t>
              </m:r>
              <m:sSub>
                <m:sSubPr>
                  <m:ctrlPr>
                    <w:rPr>
                      <w:rFonts w:ascii="Cambria Math" w:hAnsi="Cambria Math" w:cs="Times New Roman"/>
                      <w:lang w:val="es-AR"/>
                    </w:rPr>
                  </m:ctrlPr>
                </m:sSubPr>
                <m:e>
                  <m:r>
                    <w:rPr>
                      <w:rFonts w:ascii="Cambria Math" w:hAnsi="Cambria Math" w:cs="Times New Roman"/>
                      <w:lang w:val="es-AR"/>
                    </w:rPr>
                    <m:t>P</m:t>
                  </m:r>
                </m:e>
                <m:sub>
                  <m:r>
                    <w:rPr>
                      <w:rFonts w:ascii="Cambria Math" w:hAnsi="Cambria Math" w:cs="Times New Roman"/>
                      <w:lang w:val="es-AR"/>
                    </w:rPr>
                    <m:t>i</m:t>
                  </m:r>
                  <m:r>
                    <m:rPr>
                      <m:sty m:val="p"/>
                    </m:rPr>
                    <w:rPr>
                      <w:rFonts w:ascii="Cambria Math" w:hAnsi="Cambria Math" w:cs="Times New Roman"/>
                      <w:lang w:val="es-AR"/>
                    </w:rPr>
                    <m:t>,</m:t>
                  </m:r>
                  <m:r>
                    <w:rPr>
                      <w:rFonts w:ascii="Cambria Math" w:hAnsi="Cambria Math" w:cs="Times New Roman"/>
                      <w:lang w:val="es-AR"/>
                    </w:rPr>
                    <m:t>t</m:t>
                  </m:r>
                  <m:r>
                    <m:rPr>
                      <m:sty m:val="p"/>
                    </m:rPr>
                    <w:rPr>
                      <w:rFonts w:ascii="Cambria Math" w:hAnsi="Cambria Math" w:cs="Times New Roman"/>
                      <w:lang w:val="es-AR"/>
                    </w:rPr>
                    <m:t>-1</m:t>
                  </m:r>
                </m:sub>
              </m:sSub>
            </m:num>
            <m:den>
              <m:sSub>
                <m:sSubPr>
                  <m:ctrlPr>
                    <w:rPr>
                      <w:rFonts w:ascii="Cambria Math" w:hAnsi="Cambria Math" w:cs="Times New Roman"/>
                      <w:lang w:val="es-AR"/>
                    </w:rPr>
                  </m:ctrlPr>
                </m:sSubPr>
                <m:e>
                  <m:r>
                    <w:rPr>
                      <w:rFonts w:ascii="Cambria Math" w:hAnsi="Cambria Math" w:cs="Times New Roman"/>
                      <w:lang w:val="es-AR"/>
                    </w:rPr>
                    <m:t>P</m:t>
                  </m:r>
                </m:e>
                <m:sub>
                  <m:r>
                    <w:rPr>
                      <w:rFonts w:ascii="Cambria Math" w:hAnsi="Cambria Math" w:cs="Times New Roman"/>
                      <w:lang w:val="es-AR"/>
                    </w:rPr>
                    <m:t>i</m:t>
                  </m:r>
                  <m:r>
                    <m:rPr>
                      <m:sty m:val="p"/>
                    </m:rPr>
                    <w:rPr>
                      <w:rFonts w:ascii="Cambria Math" w:hAnsi="Cambria Math" w:cs="Times New Roman"/>
                      <w:lang w:val="es-AR"/>
                    </w:rPr>
                    <m:t>,</m:t>
                  </m:r>
                  <m:r>
                    <w:rPr>
                      <w:rFonts w:ascii="Cambria Math" w:hAnsi="Cambria Math" w:cs="Times New Roman"/>
                      <w:lang w:val="es-AR"/>
                    </w:rPr>
                    <m:t>t</m:t>
                  </m:r>
                  <m:r>
                    <m:rPr>
                      <m:sty m:val="p"/>
                    </m:rPr>
                    <w:rPr>
                      <w:rFonts w:ascii="Cambria Math" w:hAnsi="Cambria Math" w:cs="Times New Roman"/>
                      <w:lang w:val="es-AR"/>
                    </w:rPr>
                    <m:t>-1</m:t>
                  </m:r>
                </m:sub>
              </m:sSub>
            </m:den>
          </m:f>
        </m:oMath>
      </m:oMathPara>
    </w:p>
    <w:p w14:paraId="30A2AAA8" w14:textId="77777777" w:rsidR="000735FB" w:rsidRPr="000735FB" w:rsidRDefault="000735FB" w:rsidP="000735FB">
      <w:pPr>
        <w:pStyle w:val="FirstParagraph"/>
        <w:spacing w:line="360" w:lineRule="auto"/>
        <w:rPr>
          <w:rFonts w:cs="Times New Roman"/>
          <w:lang w:val="es-AR"/>
        </w:rPr>
      </w:pPr>
      <w:r w:rsidRPr="000735FB">
        <w:rPr>
          <w:rFonts w:cs="Times New Roman"/>
          <w:lang w:val="es-AR"/>
        </w:rPr>
        <w:t xml:space="preserve">donde </w:t>
      </w:r>
      <m:oMath>
        <m:sSub>
          <m:sSubPr>
            <m:ctrlPr>
              <w:rPr>
                <w:rFonts w:ascii="Cambria Math" w:hAnsi="Cambria Math" w:cs="Times New Roman"/>
                <w:lang w:val="es-AR"/>
              </w:rPr>
            </m:ctrlPr>
          </m:sSubPr>
          <m:e>
            <m:r>
              <w:rPr>
                <w:rFonts w:ascii="Cambria Math" w:hAnsi="Cambria Math" w:cs="Times New Roman"/>
                <w:lang w:val="es-AR"/>
              </w:rPr>
              <m:t>P</m:t>
            </m:r>
          </m:e>
          <m:sub>
            <m:r>
              <w:rPr>
                <w:rFonts w:ascii="Cambria Math" w:hAnsi="Cambria Math" w:cs="Times New Roman"/>
                <w:lang w:val="es-AR"/>
              </w:rPr>
              <m:t>i</m:t>
            </m:r>
            <m:r>
              <m:rPr>
                <m:sty m:val="p"/>
              </m:rPr>
              <w:rPr>
                <w:rFonts w:ascii="Cambria Math" w:hAnsi="Cambria Math" w:cs="Times New Roman"/>
                <w:lang w:val="es-AR"/>
              </w:rPr>
              <m:t>,</m:t>
            </m:r>
            <m:r>
              <w:rPr>
                <w:rFonts w:ascii="Cambria Math" w:hAnsi="Cambria Math" w:cs="Times New Roman"/>
                <w:lang w:val="es-AR"/>
              </w:rPr>
              <m:t>t</m:t>
            </m:r>
          </m:sub>
        </m:sSub>
      </m:oMath>
      <w:r w:rsidRPr="000735FB">
        <w:rPr>
          <w:rFonts w:cs="Times New Roman"/>
          <w:lang w:val="es-AR"/>
        </w:rPr>
        <w:t xml:space="preserve"> representa el precio ajustado del activo </w:t>
      </w:r>
      <m:oMath>
        <m:r>
          <w:rPr>
            <w:rFonts w:ascii="Cambria Math" w:hAnsi="Cambria Math" w:cs="Times New Roman"/>
            <w:lang w:val="es-AR"/>
          </w:rPr>
          <m:t>i</m:t>
        </m:r>
      </m:oMath>
      <w:r w:rsidR="000C24A7">
        <w:rPr>
          <w:rFonts w:eastAsiaTheme="minorEastAsia" w:cs="Times New Roman"/>
          <w:iCs/>
          <w:lang w:val="es-AR"/>
        </w:rPr>
        <w:t xml:space="preserve"> </w:t>
      </w:r>
      <w:r w:rsidRPr="000735FB">
        <w:rPr>
          <w:rFonts w:cs="Times New Roman"/>
          <w:lang w:val="es-AR"/>
        </w:rPr>
        <w:t xml:space="preserve">al cierre del período </w:t>
      </w:r>
      <m:oMath>
        <m:r>
          <w:rPr>
            <w:rFonts w:ascii="Cambria Math" w:hAnsi="Cambria Math" w:cs="Times New Roman"/>
            <w:lang w:val="es-AR"/>
          </w:rPr>
          <m:t>t</m:t>
        </m:r>
      </m:oMath>
      <w:r w:rsidRPr="000735FB">
        <w:rPr>
          <w:rFonts w:cs="Times New Roman"/>
          <w:lang w:val="es-AR"/>
        </w:rPr>
        <w:t>.</w:t>
      </w:r>
    </w:p>
    <w:p w14:paraId="6B79C233" w14:textId="77777777" w:rsidR="00894435" w:rsidRPr="00D022B3" w:rsidRDefault="000735FB" w:rsidP="00D022B3">
      <w:pPr>
        <w:pStyle w:val="FirstParagraph"/>
        <w:spacing w:line="360" w:lineRule="auto"/>
        <w:rPr>
          <w:rFonts w:cs="Times New Roman"/>
          <w:lang w:val="es-AR"/>
        </w:rPr>
      </w:pPr>
      <w:r w:rsidRPr="000735FB">
        <w:rPr>
          <w:rFonts w:cs="Times New Roman"/>
          <w:lang w:val="es-AR"/>
        </w:rPr>
        <w:t>La utilización de retornos simples resulta adecuada para el horizonte temporal considerado y facilita la interpretación económica de las estrategias, especialmente en el contexto de portafolios equiponderados y del análisis de desempeño acumulado.</w:t>
      </w:r>
    </w:p>
    <w:p w14:paraId="391C1032" w14:textId="77777777" w:rsidR="00894435" w:rsidRPr="009706C8" w:rsidRDefault="00894435">
      <w:pPr>
        <w:pStyle w:val="Ttulo2"/>
        <w:rPr>
          <w:rFonts w:cs="Times New Roman"/>
        </w:rPr>
      </w:pPr>
      <w:bookmarkStart w:id="44" w:name="_Toc223214769"/>
      <w:bookmarkStart w:id="45" w:name="X47de776e0cf0bbeaeb07f0338288edeb67bb38d"/>
      <w:bookmarkEnd w:id="43"/>
      <w:r w:rsidRPr="009706C8">
        <w:rPr>
          <w:rFonts w:cs="Times New Roman"/>
        </w:rPr>
        <w:t>3.5 Consideraciones metodológicas sobre los retornos financieros</w:t>
      </w:r>
      <w:bookmarkEnd w:id="44"/>
    </w:p>
    <w:p w14:paraId="04A616C6" w14:textId="77777777" w:rsidR="001B65E5" w:rsidRPr="001B65E5" w:rsidRDefault="001B65E5" w:rsidP="001B65E5">
      <w:pPr>
        <w:spacing w:line="360" w:lineRule="auto"/>
        <w:rPr>
          <w:rFonts w:cs="Times New Roman"/>
        </w:rPr>
      </w:pPr>
      <w:r w:rsidRPr="001B65E5">
        <w:rPr>
          <w:rFonts w:cs="Times New Roman"/>
        </w:rPr>
        <w:t xml:space="preserve">Desde un punto de vista estadístico, los retornos financieros presentan propiedades que los diferencian sustancialmente de las series de precios. En particular, mientras que los </w:t>
      </w:r>
      <w:r w:rsidRPr="001B65E5">
        <w:rPr>
          <w:rFonts w:cs="Times New Roman"/>
        </w:rPr>
        <w:lastRenderedPageBreak/>
        <w:t>precios suelen exhibir tendencias y comportamientos no estacionarios, los retornos tienden a oscilar alrededor de una media aproximadamente constante, lo que los convierte en un insumo adecuado para el análisis econométrico y la modelización del riesgo.</w:t>
      </w:r>
    </w:p>
    <w:p w14:paraId="72C45DC7" w14:textId="77777777" w:rsidR="001B65E5" w:rsidRPr="001B65E5" w:rsidRDefault="001B65E5" w:rsidP="001B65E5">
      <w:pPr>
        <w:spacing w:line="360" w:lineRule="auto"/>
        <w:rPr>
          <w:rFonts w:cs="Times New Roman"/>
        </w:rPr>
      </w:pPr>
      <w:r w:rsidRPr="001B65E5">
        <w:rPr>
          <w:rFonts w:cs="Times New Roman"/>
        </w:rPr>
        <w:t xml:space="preserve">A nivel empírico, las series de retornos financieros suelen mostrar un comportamiento compatible con procesos de </w:t>
      </w:r>
      <w:r w:rsidRPr="001B65E5">
        <w:rPr>
          <w:rFonts w:cs="Times New Roman"/>
          <w:b/>
          <w:bCs/>
        </w:rPr>
        <w:t>ruido blanco en media</w:t>
      </w:r>
      <w:r w:rsidRPr="001B65E5">
        <w:rPr>
          <w:rFonts w:cs="Times New Roman"/>
        </w:rPr>
        <w:t xml:space="preserve">, caracterizados por baja autocorrelación lineal. No obstante, presentan de manera recurrente </w:t>
      </w:r>
      <w:r w:rsidRPr="001B65E5">
        <w:rPr>
          <w:rFonts w:cs="Times New Roman"/>
          <w:b/>
          <w:bCs/>
        </w:rPr>
        <w:t>heterocedasticidad condicional</w:t>
      </w:r>
      <w:r w:rsidRPr="001B65E5">
        <w:rPr>
          <w:rFonts w:cs="Times New Roman"/>
        </w:rPr>
        <w:t>, así como colas más pesadas que las correspondientes a una distribución normal, rasgos ampliamente documentados en la literatura financiera.</w:t>
      </w:r>
    </w:p>
    <w:p w14:paraId="724E8FCE" w14:textId="77777777" w:rsidR="001B65E5" w:rsidRDefault="001B65E5" w:rsidP="001B65E5">
      <w:pPr>
        <w:spacing w:line="360" w:lineRule="auto"/>
        <w:rPr>
          <w:rFonts w:cs="Times New Roman"/>
        </w:rPr>
      </w:pPr>
      <w:r w:rsidRPr="001B65E5">
        <w:rPr>
          <w:rFonts w:cs="Times New Roman"/>
        </w:rPr>
        <w:t>Al considerar retornos agregados a una frecuencia mensual, estas desviaciones respecto de la normalidad tienden a atenuarse parcialmente, dando lugar a distribuciones más cercanas a la normalidad, sin que ello implique asumir normalidad estricta.</w:t>
      </w:r>
    </w:p>
    <w:p w14:paraId="04A6E737" w14:textId="2B06D2B3" w:rsidR="00894435" w:rsidRPr="009706C8" w:rsidRDefault="00014F8F" w:rsidP="00014F8F">
      <w:pPr>
        <w:spacing w:line="360" w:lineRule="auto"/>
        <w:rPr>
          <w:rFonts w:cs="Times New Roman"/>
        </w:rPr>
      </w:pPr>
      <w:r w:rsidRPr="00014F8F">
        <w:rPr>
          <w:rFonts w:cs="Times New Roman"/>
        </w:rPr>
        <w:t>En este trabajo no se impone ninguna hipótesis fuerte de normalidad sobre los retornos. La selección de las herramientas econométricas y de las métricas de desempeño empleadas en los capítulos posteriores se realiza teniendo en cuenta estas características estilizadas. En particular, la evidencia de heterocedasticidad condicional y la presencia de colas más pesadas que las de una distribución normal fundamentan la utilización de modelos GARCH con innovaciones t-Student en el Capítulo 5, donde se modela explícitamente la dinámica de la volatilidad y el riesgo extremo de las estrategias analizadas.</w:t>
      </w:r>
    </w:p>
    <w:p w14:paraId="1200D6EA" w14:textId="77777777" w:rsidR="00894435" w:rsidRPr="009706C8" w:rsidRDefault="00894435">
      <w:pPr>
        <w:pStyle w:val="Ttulo2"/>
        <w:rPr>
          <w:rFonts w:cs="Times New Roman"/>
        </w:rPr>
      </w:pPr>
      <w:bookmarkStart w:id="46" w:name="_Toc223214770"/>
      <w:bookmarkStart w:id="47" w:name="definición-de-la-señal-de-momentum"/>
      <w:bookmarkEnd w:id="45"/>
      <w:r w:rsidRPr="009706C8">
        <w:rPr>
          <w:rFonts w:cs="Times New Roman"/>
        </w:rPr>
        <w:t>3.6 Definición de la señal de momentum</w:t>
      </w:r>
      <w:bookmarkEnd w:id="46"/>
    </w:p>
    <w:p w14:paraId="45418FBF" w14:textId="77777777" w:rsidR="00BA06DC" w:rsidRPr="00743667" w:rsidRDefault="00BA06DC" w:rsidP="00743667">
      <w:pPr>
        <w:spacing w:line="360" w:lineRule="auto"/>
        <w:rPr>
          <w:rFonts w:cs="Times New Roman"/>
        </w:rPr>
      </w:pPr>
      <w:r w:rsidRPr="00743667">
        <w:rPr>
          <w:rFonts w:cs="Times New Roman"/>
        </w:rPr>
        <w:t xml:space="preserve">La señal de </w:t>
      </w:r>
      <w:r w:rsidRPr="00C23DE6">
        <w:rPr>
          <w:rFonts w:cs="Times New Roman"/>
          <w:i/>
          <w:iCs/>
        </w:rPr>
        <w:t>momentum</w:t>
      </w:r>
      <w:r w:rsidRPr="00743667">
        <w:rPr>
          <w:rFonts w:cs="Times New Roman"/>
        </w:rPr>
        <w:t xml:space="preserve"> se construye a partir del desempeño histórico relativo de cada sector, medido mediante el </w:t>
      </w:r>
      <w:r w:rsidRPr="00743667">
        <w:rPr>
          <w:rFonts w:cs="Times New Roman"/>
          <w:b/>
          <w:bCs/>
        </w:rPr>
        <w:t>retorno acumulado compuesto</w:t>
      </w:r>
      <w:r w:rsidRPr="00743667">
        <w:rPr>
          <w:rFonts w:cs="Times New Roman"/>
        </w:rPr>
        <w:t xml:space="preserve"> en una ventana temporal de formación determinada, </w:t>
      </w:r>
      <w:r w:rsidR="006A74EF" w:rsidRPr="006A74EF">
        <w:rPr>
          <w:rFonts w:cs="Times New Roman"/>
        </w:rPr>
        <w:t xml:space="preserve">excluyendo el mes contemporáneo </w:t>
      </w:r>
      <m:oMath>
        <m:r>
          <w:rPr>
            <w:rFonts w:ascii="Cambria Math" w:hAnsi="Cambria Math" w:cs="Times New Roman"/>
          </w:rPr>
          <m:t>t</m:t>
        </m:r>
      </m:oMath>
      <w:r w:rsidRPr="00743667">
        <w:rPr>
          <w:rFonts w:cs="Times New Roman"/>
        </w:rPr>
        <w:t xml:space="preserve">. En particular, se consideran ventanas de formación de 3, 6 y 12 meses, siguiendo la práctica habitual en la literatura empírica sobre </w:t>
      </w:r>
      <w:r w:rsidRPr="00C23DE6">
        <w:rPr>
          <w:rFonts w:cs="Times New Roman"/>
          <w:i/>
          <w:iCs/>
        </w:rPr>
        <w:t>momentum</w:t>
      </w:r>
      <w:r w:rsidRPr="00743667">
        <w:rPr>
          <w:rFonts w:cs="Times New Roman"/>
        </w:rPr>
        <w:t>.</w:t>
      </w:r>
    </w:p>
    <w:p w14:paraId="7F3469D3" w14:textId="77777777" w:rsidR="00BA06DC" w:rsidRPr="00743667" w:rsidRDefault="00BA06DC" w:rsidP="00743667">
      <w:pPr>
        <w:spacing w:line="360" w:lineRule="auto"/>
        <w:rPr>
          <w:rFonts w:cs="Times New Roman"/>
        </w:rPr>
      </w:pPr>
      <w:r w:rsidRPr="00743667">
        <w:rPr>
          <w:rFonts w:cs="Times New Roman"/>
        </w:rPr>
        <w:t xml:space="preserve">Formalmente, para cada sector </w:t>
      </w:r>
      <m:oMath>
        <m:r>
          <w:rPr>
            <w:rFonts w:ascii="Cambria Math" w:hAnsi="Cambria Math" w:cs="Times New Roman"/>
          </w:rPr>
          <m:t>i</m:t>
        </m:r>
      </m:oMath>
      <w:r w:rsidR="00C23DE6">
        <w:rPr>
          <w:rFonts w:eastAsiaTheme="minorEastAsia" w:cs="Times New Roman"/>
        </w:rPr>
        <w:t xml:space="preserve"> </w:t>
      </w:r>
      <w:r w:rsidRPr="00743667">
        <w:rPr>
          <w:rFonts w:cs="Times New Roman"/>
        </w:rPr>
        <w:t xml:space="preserve">y en cada período </w:t>
      </w:r>
      <m:oMath>
        <m:r>
          <w:rPr>
            <w:rFonts w:ascii="Cambria Math" w:hAnsi="Cambria Math" w:cs="Times New Roman"/>
          </w:rPr>
          <m:t>t</m:t>
        </m:r>
      </m:oMath>
      <w:r w:rsidRPr="00743667">
        <w:rPr>
          <w:rFonts w:cs="Times New Roman"/>
        </w:rPr>
        <w:t xml:space="preserve">, la señal de </w:t>
      </w:r>
      <w:r w:rsidRPr="00C23DE6">
        <w:rPr>
          <w:rFonts w:cs="Times New Roman"/>
          <w:i/>
          <w:iCs/>
        </w:rPr>
        <w:t>momentum</w:t>
      </w:r>
      <w:r w:rsidRPr="00743667">
        <w:rPr>
          <w:rFonts w:cs="Times New Roman"/>
        </w:rPr>
        <w:t xml:space="preserve"> se define como:</w:t>
      </w:r>
    </w:p>
    <w:p w14:paraId="18CCC2E2" w14:textId="77777777" w:rsidR="00BA06DC" w:rsidRPr="00743667" w:rsidRDefault="00000000" w:rsidP="00743667">
      <w:pPr>
        <w:spacing w:line="360" w:lineRule="auto"/>
        <w:rPr>
          <w:rFonts w:cs="Times New Roman"/>
        </w:rPr>
      </w:pPr>
      <m:oMathPara>
        <m:oMath>
          <m:sSubSup>
            <m:sSubSupPr>
              <m:ctrlPr>
                <w:rPr>
                  <w:rFonts w:ascii="Cambria Math" w:hAnsi="Cambria Math" w:cs="Times New Roman"/>
                </w:rPr>
              </m:ctrlPr>
            </m:sSubSupPr>
            <m:e>
              <m:r>
                <m:rPr>
                  <m:nor/>
                </m:rPr>
                <w:rPr>
                  <w:rFonts w:cs="Times New Roman"/>
                </w:rPr>
                <m:t>Momentum</m:t>
              </m:r>
            </m:e>
            <m:sub>
              <m:r>
                <w:rPr>
                  <w:rFonts w:ascii="Cambria Math" w:hAnsi="Cambria Math" w:cs="Times New Roman"/>
                </w:rPr>
                <m:t>i,t</m:t>
              </m:r>
            </m:sub>
            <m:sup>
              <m:d>
                <m:dPr>
                  <m:ctrlPr>
                    <w:rPr>
                      <w:rFonts w:ascii="Cambria Math" w:hAnsi="Cambria Math" w:cs="Times New Roman"/>
                    </w:rPr>
                  </m:ctrlPr>
                </m:dPr>
                <m:e>
                  <m:r>
                    <w:rPr>
                      <w:rFonts w:ascii="Cambria Math" w:hAnsi="Cambria Math" w:cs="Times New Roman"/>
                    </w:rPr>
                    <m:t>L</m:t>
                  </m:r>
                </m:e>
              </m:d>
            </m:sup>
          </m:sSubSup>
          <m:r>
            <m:rPr>
              <m:nor/>
            </m:rPr>
            <w:rPr>
              <w:rFonts w:cs="Times New Roman"/>
            </w:rPr>
            <m:t>  </m:t>
          </m:r>
          <m:r>
            <w:rPr>
              <w:rFonts w:ascii="Cambria Math" w:hAnsi="Cambria Math" w:cs="Times New Roman"/>
            </w:rPr>
            <m:t>=</m:t>
          </m:r>
          <m:r>
            <m:rPr>
              <m:nor/>
            </m:rPr>
            <w:rPr>
              <w:rFonts w:cs="Times New Roman"/>
            </w:rPr>
            <m:t>  </m:t>
          </m:r>
          <m:nary>
            <m:naryPr>
              <m:chr m:val="∏"/>
              <m:limLoc m:val="undOvr"/>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L</m:t>
              </m:r>
            </m:sup>
            <m:e>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i,t-k</m:t>
                      </m:r>
                    </m:sub>
                  </m:sSub>
                </m:e>
              </m:d>
            </m:e>
          </m:nary>
          <m:r>
            <w:rPr>
              <w:rFonts w:ascii="Cambria Math" w:hAnsi="Cambria Math" w:cs="Times New Roman"/>
            </w:rPr>
            <m:t>-1</m:t>
          </m:r>
        </m:oMath>
      </m:oMathPara>
    </w:p>
    <w:p w14:paraId="025D1C11" w14:textId="77777777" w:rsidR="00BA06DC" w:rsidRPr="00743667" w:rsidRDefault="00BA06DC" w:rsidP="00743667">
      <w:pPr>
        <w:spacing w:line="360" w:lineRule="auto"/>
        <w:rPr>
          <w:rFonts w:cs="Times New Roman"/>
        </w:rPr>
      </w:pPr>
      <w:r w:rsidRPr="00743667">
        <w:rPr>
          <w:rFonts w:cs="Times New Roman"/>
        </w:rPr>
        <w:t xml:space="preserve">donde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i,t</m:t>
            </m:r>
          </m:sub>
        </m:sSub>
      </m:oMath>
      <w:r w:rsidR="00C23DE6">
        <w:rPr>
          <w:rFonts w:eastAsiaTheme="minorEastAsia" w:cs="Times New Roman"/>
        </w:rPr>
        <w:t xml:space="preserve"> </w:t>
      </w:r>
      <w:r w:rsidRPr="00743667">
        <w:rPr>
          <w:rFonts w:cs="Times New Roman"/>
        </w:rPr>
        <w:t xml:space="preserve">denota el retorno simple del sector </w:t>
      </w:r>
      <m:oMath>
        <m:r>
          <w:rPr>
            <w:rFonts w:ascii="Cambria Math" w:hAnsi="Cambria Math" w:cs="Times New Roman"/>
          </w:rPr>
          <m:t>i</m:t>
        </m:r>
      </m:oMath>
      <w:r w:rsidR="00C23DE6">
        <w:rPr>
          <w:rFonts w:eastAsiaTheme="minorEastAsia" w:cs="Times New Roman"/>
        </w:rPr>
        <w:t xml:space="preserve"> </w:t>
      </w:r>
      <w:r w:rsidRPr="00743667">
        <w:rPr>
          <w:rFonts w:cs="Times New Roman"/>
        </w:rPr>
        <w:t xml:space="preserve">en el período </w:t>
      </w:r>
      <m:oMath>
        <m:r>
          <w:rPr>
            <w:rFonts w:ascii="Cambria Math" w:hAnsi="Cambria Math" w:cs="Times New Roman"/>
          </w:rPr>
          <m:t>t</m:t>
        </m:r>
      </m:oMath>
      <w:r w:rsidRPr="00743667">
        <w:rPr>
          <w:rFonts w:cs="Times New Roman"/>
        </w:rPr>
        <w:t xml:space="preserve">, y </w:t>
      </w:r>
      <m:oMath>
        <m:r>
          <w:rPr>
            <w:rFonts w:ascii="Cambria Math" w:hAnsi="Cambria Math" w:cs="Times New Roman"/>
          </w:rPr>
          <m:t>L</m:t>
        </m:r>
      </m:oMath>
      <w:r w:rsidR="00C23DE6">
        <w:rPr>
          <w:rFonts w:eastAsiaTheme="minorEastAsia" w:cs="Times New Roman"/>
        </w:rPr>
        <w:t xml:space="preserve"> </w:t>
      </w:r>
      <w:r w:rsidRPr="00743667">
        <w:rPr>
          <w:rFonts w:cs="Times New Roman"/>
        </w:rPr>
        <w:t>representa la longitud de la ventana de formación en meses.</w:t>
      </w:r>
    </w:p>
    <w:p w14:paraId="490A61FC" w14:textId="77777777" w:rsidR="00894435" w:rsidRPr="009706C8" w:rsidRDefault="00063434" w:rsidP="00D022B3">
      <w:pPr>
        <w:spacing w:line="360" w:lineRule="auto"/>
        <w:rPr>
          <w:rFonts w:cs="Times New Roman"/>
        </w:rPr>
      </w:pPr>
      <w:r w:rsidRPr="00743667">
        <w:rPr>
          <w:rFonts w:cs="Times New Roman"/>
        </w:rPr>
        <w:t xml:space="preserve">La señal de momentum se construye utilizando exclusivamente información disponible hasta el cierre del mes t − 1, de modo que las decisiones de asignación en el período t no </w:t>
      </w:r>
      <w:r w:rsidRPr="00743667">
        <w:rPr>
          <w:rFonts w:cs="Times New Roman"/>
        </w:rPr>
        <w:lastRenderedPageBreak/>
        <w:t>incorporan información contemporánea ni futura. Este rezago temporal garantiza la ausencia de sesgos de anticipación (look-ahead bias) y resulta consistente con la frecuencia mensual de rebalanceo y con el uso de ETFs sectoriales como unidades de inversión.</w:t>
      </w:r>
    </w:p>
    <w:p w14:paraId="2E5DE807" w14:textId="77777777" w:rsidR="00894435" w:rsidRPr="009706C8" w:rsidRDefault="00894435">
      <w:pPr>
        <w:pStyle w:val="Ttulo2"/>
        <w:rPr>
          <w:rFonts w:cs="Times New Roman"/>
        </w:rPr>
      </w:pPr>
      <w:bookmarkStart w:id="48" w:name="_Toc223214771"/>
      <w:bookmarkStart w:id="49" w:name="X81a0eb4c97fee2e26c6b2f55bef79b8f3766da4"/>
      <w:bookmarkEnd w:id="47"/>
      <w:r w:rsidRPr="009706C8">
        <w:rPr>
          <w:rFonts w:cs="Times New Roman"/>
        </w:rPr>
        <w:t>3.7 Procedimiento de ranking y selección sectorial</w:t>
      </w:r>
      <w:bookmarkEnd w:id="48"/>
    </w:p>
    <w:p w14:paraId="639B191A" w14:textId="77777777" w:rsidR="00466802" w:rsidRPr="00466802" w:rsidRDefault="00466802" w:rsidP="00466802">
      <w:pPr>
        <w:spacing w:line="360" w:lineRule="auto"/>
        <w:rPr>
          <w:rFonts w:cs="Times New Roman"/>
          <w:kern w:val="0"/>
          <w14:ligatures w14:val="none"/>
        </w:rPr>
      </w:pPr>
      <w:r w:rsidRPr="00466802">
        <w:rPr>
          <w:rFonts w:cs="Times New Roman"/>
          <w:kern w:val="0"/>
          <w14:ligatures w14:val="none"/>
        </w:rPr>
        <w:t xml:space="preserve">En cada período de rebalanceo, los sectores se ordenan de forma descendente según el valor de la señal de </w:t>
      </w:r>
      <w:r w:rsidRPr="00466802">
        <w:rPr>
          <w:rFonts w:cs="Times New Roman"/>
          <w:i/>
          <w:iCs/>
          <w:kern w:val="0"/>
          <w14:ligatures w14:val="none"/>
        </w:rPr>
        <w:t>momentum</w:t>
      </w:r>
      <w:r w:rsidRPr="00466802">
        <w:rPr>
          <w:rFonts w:cs="Times New Roman"/>
          <w:kern w:val="0"/>
          <w14:ligatures w14:val="none"/>
        </w:rPr>
        <w:t xml:space="preserve"> calculada. Este ranking </w:t>
      </w:r>
      <w:r w:rsidRPr="00466802">
        <w:rPr>
          <w:rFonts w:cs="Times New Roman"/>
          <w:i/>
          <w:iCs/>
          <w:kern w:val="0"/>
          <w14:ligatures w14:val="none"/>
        </w:rPr>
        <w:t>cross-sectional</w:t>
      </w:r>
      <w:r w:rsidRPr="00466802">
        <w:rPr>
          <w:rFonts w:cs="Times New Roman"/>
          <w:kern w:val="0"/>
          <w14:ligatures w14:val="none"/>
        </w:rPr>
        <w:t xml:space="preserve"> permite identificar los sectores con mejor desempeño relativo en el pasado reciente.</w:t>
      </w:r>
    </w:p>
    <w:p w14:paraId="501EDC00" w14:textId="77777777" w:rsidR="00894435" w:rsidRPr="00D022B3" w:rsidRDefault="00466802" w:rsidP="00D022B3">
      <w:pPr>
        <w:spacing w:line="360" w:lineRule="auto"/>
        <w:rPr>
          <w:rFonts w:cs="Times New Roman"/>
          <w:kern w:val="0"/>
          <w14:ligatures w14:val="none"/>
        </w:rPr>
      </w:pPr>
      <w:r w:rsidRPr="00466802">
        <w:rPr>
          <w:rFonts w:cs="Times New Roman"/>
          <w:kern w:val="0"/>
          <w14:ligatures w14:val="none"/>
        </w:rPr>
        <w:t xml:space="preserve">A partir de este ordenamiento, se selecciona un subconjunto de sectores ganadores, definidos como aquellos que pertenecen al percentil superior del ranking. En la implementación empírica se adopta un criterio discreto y parsimonioso, invirtiendo en el </w:t>
      </w:r>
      <w:r w:rsidRPr="00466802">
        <w:rPr>
          <w:rFonts w:cs="Times New Roman"/>
          <w:b/>
          <w:bCs/>
          <w:kern w:val="0"/>
          <w14:ligatures w14:val="none"/>
        </w:rPr>
        <w:t>tercio superior</w:t>
      </w:r>
      <w:r w:rsidRPr="00466802">
        <w:rPr>
          <w:rFonts w:cs="Times New Roman"/>
          <w:kern w:val="0"/>
          <w14:ligatures w14:val="none"/>
        </w:rPr>
        <w:t xml:space="preserve"> de los sectores con mayor </w:t>
      </w:r>
      <w:r w:rsidRPr="00466802">
        <w:rPr>
          <w:rFonts w:cs="Times New Roman"/>
          <w:i/>
          <w:iCs/>
          <w:kern w:val="0"/>
          <w14:ligatures w14:val="none"/>
        </w:rPr>
        <w:t>momentum</w:t>
      </w:r>
      <w:r w:rsidRPr="00466802">
        <w:rPr>
          <w:rFonts w:cs="Times New Roman"/>
          <w:kern w:val="0"/>
          <w14:ligatures w14:val="none"/>
        </w:rPr>
        <w:t xml:space="preserve">. Dado el universo considerado de nueve ETFs sectoriales, este criterio implica la selección de los </w:t>
      </w:r>
      <w:r w:rsidRPr="00466802">
        <w:rPr>
          <w:rFonts w:cs="Times New Roman"/>
          <w:b/>
          <w:bCs/>
          <w:kern w:val="0"/>
          <w14:ligatures w14:val="none"/>
        </w:rPr>
        <w:t>tres sectores mejor posicionados</w:t>
      </w:r>
      <w:r w:rsidRPr="00466802">
        <w:rPr>
          <w:rFonts w:cs="Times New Roman"/>
          <w:kern w:val="0"/>
          <w14:ligatures w14:val="none"/>
        </w:rPr>
        <w:t xml:space="preserve"> en cada fecha de rebalanceo.</w:t>
      </w:r>
    </w:p>
    <w:p w14:paraId="4AEAD8DF" w14:textId="77777777" w:rsidR="00894435" w:rsidRPr="009706C8" w:rsidRDefault="00894435">
      <w:pPr>
        <w:pStyle w:val="Ttulo2"/>
        <w:rPr>
          <w:rFonts w:cs="Times New Roman"/>
        </w:rPr>
      </w:pPr>
      <w:bookmarkStart w:id="50" w:name="_Toc223214772"/>
      <w:bookmarkStart w:id="51" w:name="Xea061794219acb57d064fdf1dfb900d5079311f"/>
      <w:bookmarkEnd w:id="49"/>
      <w:r w:rsidRPr="009706C8">
        <w:rPr>
          <w:rFonts w:cs="Times New Roman"/>
        </w:rPr>
        <w:t>3.8 Construcción de los portafolios Long-Only</w:t>
      </w:r>
      <w:bookmarkEnd w:id="50"/>
    </w:p>
    <w:p w14:paraId="2E8EB9EE" w14:textId="77777777" w:rsidR="009E4B3D" w:rsidRDefault="009E4B3D" w:rsidP="009E4B3D">
      <w:pPr>
        <w:spacing w:line="360" w:lineRule="auto"/>
        <w:rPr>
          <w:rFonts w:cs="Times New Roman"/>
          <w:kern w:val="0"/>
          <w14:ligatures w14:val="none"/>
        </w:rPr>
      </w:pPr>
      <w:r w:rsidRPr="009E4B3D">
        <w:rPr>
          <w:rFonts w:cs="Times New Roman"/>
          <w:kern w:val="0"/>
          <w14:ligatures w14:val="none"/>
        </w:rPr>
        <w:t xml:space="preserve">Sobre la base del ranking sectorial, se construyen estrategias </w:t>
      </w:r>
      <w:r w:rsidRPr="009E4B3D">
        <w:rPr>
          <w:rFonts w:cs="Times New Roman"/>
          <w:i/>
          <w:iCs/>
          <w:kern w:val="0"/>
          <w14:ligatures w14:val="none"/>
        </w:rPr>
        <w:t>Long-Only</w:t>
      </w:r>
      <w:r w:rsidRPr="009E4B3D">
        <w:rPr>
          <w:rFonts w:cs="Times New Roman"/>
          <w:kern w:val="0"/>
          <w14:ligatures w14:val="none"/>
        </w:rPr>
        <w:t xml:space="preserve">, que invierten exclusivamente en los sectores clasificados como ganadores. Los portafolios se construyen bajo un esquema de </w:t>
      </w:r>
      <w:r w:rsidRPr="009E4B3D">
        <w:rPr>
          <w:rFonts w:cs="Times New Roman"/>
          <w:b/>
          <w:bCs/>
          <w:kern w:val="0"/>
          <w14:ligatures w14:val="none"/>
        </w:rPr>
        <w:t>ponderación equiponderada</w:t>
      </w:r>
      <w:r w:rsidRPr="009E4B3D">
        <w:rPr>
          <w:rFonts w:cs="Times New Roman"/>
          <w:kern w:val="0"/>
          <w14:ligatures w14:val="none"/>
        </w:rPr>
        <w:t>, asignando el mismo peso a cada sector seleccionado en cada período de rebalanceo.</w:t>
      </w:r>
    </w:p>
    <w:p w14:paraId="568A18E4" w14:textId="5D3ECD11" w:rsidR="000D4C10" w:rsidRPr="009E4B3D" w:rsidRDefault="000D4C10" w:rsidP="009E4B3D">
      <w:pPr>
        <w:spacing w:line="360" w:lineRule="auto"/>
        <w:rPr>
          <w:rFonts w:cs="Times New Roman"/>
          <w:kern w:val="0"/>
          <w14:ligatures w14:val="none"/>
        </w:rPr>
      </w:pPr>
      <w:r w:rsidRPr="000D4C10">
        <w:rPr>
          <w:rFonts w:cs="Times New Roman"/>
          <w:kern w:val="0"/>
          <w14:ligatures w14:val="none"/>
        </w:rPr>
        <w:t xml:space="preserve">La elección de la equiponderación responde a criterios de </w:t>
      </w:r>
      <w:r w:rsidRPr="00E51CF3">
        <w:rPr>
          <w:rFonts w:cs="Times New Roman"/>
          <w:b/>
          <w:bCs/>
          <w:kern w:val="0"/>
          <w14:ligatures w14:val="none"/>
        </w:rPr>
        <w:t>parsimonia, robustez y neutralidad operativa</w:t>
      </w:r>
      <w:r w:rsidRPr="000D4C10">
        <w:rPr>
          <w:rFonts w:cs="Times New Roman"/>
          <w:kern w:val="0"/>
          <w14:ligatures w14:val="none"/>
        </w:rPr>
        <w:t>, evitando supuestos adicionales vinculados a la estimación de retornos esperados o matrices de covarianza. Este enfoque resulta consistente con la lógica de rotación sectorial adoptada y permite aislar el efecto de la señal de momentum sobre el desempeño de las estrategias. Asimismo, la literatura empírica ha documentado que portafolios equiponderados (1/N) pueden superar, fuera de muestra, a portafolios optimizados sujetos a error de estimación en los parámetros, particularmente en contextos de muestras finitas (DeMiguel, Garlappi y Uppal, 2009). En este sentido, la adopción de ponderaciones iguales constituye una decisión metodológica consistente con evidencia académica consolidada.</w:t>
      </w:r>
    </w:p>
    <w:p w14:paraId="218F03F4" w14:textId="77777777" w:rsidR="00894435" w:rsidRPr="009706C8" w:rsidRDefault="00894435">
      <w:pPr>
        <w:pStyle w:val="Ttulo2"/>
        <w:rPr>
          <w:rFonts w:cs="Times New Roman"/>
        </w:rPr>
      </w:pPr>
      <w:bookmarkStart w:id="52" w:name="_Toc223214773"/>
      <w:bookmarkStart w:id="53" w:name="Xfb6ba36779e7a8e18ff8c133577b610dff116f6"/>
      <w:bookmarkEnd w:id="51"/>
      <w:r w:rsidRPr="009706C8">
        <w:rPr>
          <w:rFonts w:cs="Times New Roman"/>
        </w:rPr>
        <w:lastRenderedPageBreak/>
        <w:t>3.9 Reglas de rebalanceo y supuestos operativos</w:t>
      </w:r>
      <w:bookmarkEnd w:id="52"/>
    </w:p>
    <w:p w14:paraId="0697634A" w14:textId="77777777" w:rsidR="00894435" w:rsidRPr="00743667" w:rsidRDefault="00894435" w:rsidP="00743667">
      <w:pPr>
        <w:pStyle w:val="FirstParagraph"/>
        <w:spacing w:line="360" w:lineRule="auto"/>
        <w:rPr>
          <w:rFonts w:cs="Times New Roman"/>
          <w:lang w:val="es-AR"/>
        </w:rPr>
      </w:pPr>
      <w:r w:rsidRPr="00743667">
        <w:rPr>
          <w:rFonts w:cs="Times New Roman"/>
          <w:lang w:val="es-AR"/>
        </w:rPr>
        <w:t xml:space="preserve">Los portafolios se rebalancean con frecuencia mensual, coincidiendo con la actualización de la señal de </w:t>
      </w:r>
      <w:r w:rsidRPr="00C77DDD">
        <w:rPr>
          <w:rFonts w:cs="Times New Roman"/>
          <w:i/>
          <w:iCs/>
          <w:lang w:val="es-AR"/>
        </w:rPr>
        <w:t>momentum</w:t>
      </w:r>
      <w:r w:rsidRPr="00743667">
        <w:rPr>
          <w:rFonts w:cs="Times New Roman"/>
          <w:lang w:val="es-AR"/>
        </w:rPr>
        <w:t>. En cada fecha de rebalanceo se recalcula el ranking sectorial y se ajustan las posiciones del portafolio en función de la nueva clasificación.</w:t>
      </w:r>
    </w:p>
    <w:p w14:paraId="78C8B178" w14:textId="77777777" w:rsidR="006D17BC" w:rsidRDefault="006D17BC" w:rsidP="00743667">
      <w:pPr>
        <w:spacing w:line="360" w:lineRule="auto"/>
        <w:rPr>
          <w:rFonts w:cs="Times New Roman"/>
          <w:kern w:val="0"/>
          <w14:ligatures w14:val="none"/>
        </w:rPr>
      </w:pPr>
      <w:r w:rsidRPr="006D17BC">
        <w:rPr>
          <w:rFonts w:cs="Times New Roman"/>
          <w:kern w:val="0"/>
          <w14:ligatures w14:val="none"/>
        </w:rPr>
        <w:t>Cuando resulta necesario expresar retornos en exceso para el cálculo de métricas de desempeño agregadas, se utiliza como referencia una proxy de la tasa libre de riesgo basada en Treasury Bills de corto plazo</w:t>
      </w:r>
      <w:r w:rsidR="00B13A9B">
        <w:rPr>
          <w:rFonts w:cs="Times New Roman"/>
          <w:kern w:val="0"/>
          <w14:ligatures w14:val="none"/>
        </w:rPr>
        <w:t xml:space="preserve"> </w:t>
      </w:r>
      <w:r w:rsidR="00B13A9B" w:rsidRPr="00B13A9B">
        <w:rPr>
          <w:rFonts w:cs="Times New Roman"/>
          <w:kern w:val="0"/>
          <w14:ligatures w14:val="none"/>
        </w:rPr>
        <w:t>del mercado estadounidense</w:t>
      </w:r>
      <w:r w:rsidRPr="006D17BC">
        <w:rPr>
          <w:rFonts w:cs="Times New Roman"/>
          <w:kern w:val="0"/>
          <w14:ligatures w14:val="none"/>
        </w:rPr>
        <w:t>, en línea con la práctica habitual en estudios empíricos aplicados.</w:t>
      </w:r>
    </w:p>
    <w:p w14:paraId="464D5383" w14:textId="77777777" w:rsidR="006D17BC" w:rsidRDefault="00A84207" w:rsidP="00743667">
      <w:pPr>
        <w:spacing w:line="360" w:lineRule="auto"/>
        <w:rPr>
          <w:rFonts w:cs="Times New Roman"/>
          <w:kern w:val="0"/>
          <w14:ligatures w14:val="none"/>
        </w:rPr>
      </w:pPr>
      <w:r w:rsidRPr="00743667">
        <w:rPr>
          <w:rFonts w:cs="Times New Roman"/>
          <w:kern w:val="0"/>
          <w14:ligatures w14:val="none"/>
        </w:rPr>
        <w:t xml:space="preserve">La implementación de las estrategias incorpora costos de transacción proporcionales al turnover del portafolio, modelados como un costo fijo expresado en basis points por unidad de capital rotado. El turnover se define como la mitad de la suma de los cambios absolutos en los pesos de los activos entre períodos consecutivos, bajo una convención one-way. </w:t>
      </w:r>
    </w:p>
    <w:p w14:paraId="1F899971" w14:textId="14C9D4AE" w:rsidR="006D17BC" w:rsidRDefault="00A84207" w:rsidP="00743667">
      <w:pPr>
        <w:spacing w:line="360" w:lineRule="auto"/>
        <w:rPr>
          <w:rFonts w:cs="Times New Roman"/>
          <w:kern w:val="0"/>
          <w14:ligatures w14:val="none"/>
        </w:rPr>
      </w:pPr>
      <w:r w:rsidRPr="00743667">
        <w:rPr>
          <w:rFonts w:cs="Times New Roman"/>
          <w:kern w:val="0"/>
          <w14:ligatures w14:val="none"/>
        </w:rPr>
        <w:t xml:space="preserve">En la implementación empírica se adopta un costo de transacción constante de 10 basis points (0,10%) </w:t>
      </w:r>
      <w:r w:rsidR="00BA1106" w:rsidRPr="00BA1106">
        <w:rPr>
          <w:rFonts w:cs="Times New Roman"/>
          <w:kern w:val="0"/>
          <w14:ligatures w14:val="none"/>
        </w:rPr>
        <w:t>por operación completa (</w:t>
      </w:r>
      <w:r w:rsidR="00BA1106" w:rsidRPr="00BA1106">
        <w:rPr>
          <w:rFonts w:cs="Times New Roman"/>
          <w:i/>
          <w:iCs/>
          <w:kern w:val="0"/>
          <w14:ligatures w14:val="none"/>
        </w:rPr>
        <w:t>round-trip</w:t>
      </w:r>
      <w:r w:rsidR="00BA1106" w:rsidRPr="00BA1106">
        <w:rPr>
          <w:rFonts w:cs="Times New Roman"/>
          <w:kern w:val="0"/>
          <w14:ligatures w14:val="none"/>
        </w:rPr>
        <w:t>)</w:t>
      </w:r>
      <w:r w:rsidRPr="00743667">
        <w:rPr>
          <w:rFonts w:cs="Times New Roman"/>
          <w:kern w:val="0"/>
          <w14:ligatures w14:val="none"/>
        </w:rPr>
        <w:t xml:space="preserve">, equivalente a 5 basis points por compra y 5 basis points por venta, aplicado de manera simétrica en cada fecha de rebalanceo. Este supuesto es consistente con la práctica habitual en la literatura empírica y representa una aproximación conservadora de los costos implícitos asociados a la operatoria con ETFs líquidos del mercado estadounidense, manteniéndose constante a lo largo del período analizado. </w:t>
      </w:r>
      <w:r w:rsidR="002A5147" w:rsidRPr="00743667">
        <w:rPr>
          <w:rFonts w:cs="Times New Roman"/>
          <w:kern w:val="0"/>
          <w14:ligatures w14:val="none"/>
        </w:rPr>
        <w:t xml:space="preserve"> </w:t>
      </w:r>
      <w:r w:rsidR="00AE46E6" w:rsidRPr="00AE46E6">
        <w:rPr>
          <w:rFonts w:cs="Times New Roman"/>
          <w:kern w:val="0"/>
          <w14:ligatures w14:val="none"/>
        </w:rPr>
        <w:t>No se desarrolla en este trabajo un análisis formal de sensibilidad respecto de la magnitud del costo asumido, lo cual constituye una simplificación metodológica que podría afectar la rentabilidad neta de estrategias con elevada rotación.</w:t>
      </w:r>
    </w:p>
    <w:p w14:paraId="7CD03726" w14:textId="77777777" w:rsidR="00A84207" w:rsidRPr="00743667" w:rsidRDefault="002A5147" w:rsidP="00743667">
      <w:pPr>
        <w:spacing w:line="360" w:lineRule="auto"/>
        <w:rPr>
          <w:rFonts w:cs="Times New Roman"/>
          <w:kern w:val="0"/>
          <w14:ligatures w14:val="none"/>
        </w:rPr>
      </w:pPr>
      <w:r w:rsidRPr="00743667">
        <w:rPr>
          <w:rFonts w:cs="Times New Roman"/>
          <w:kern w:val="0"/>
          <w14:ligatures w14:val="none"/>
        </w:rPr>
        <w:t>Se asume que el portafolio inicial se constituye sin costos de transacción, de modo que los costos se asocian exclusivamente a los rebalanceos posteriores. Dado que el objetivo del análisis es la comparación relativa entre estrategias bajo un esquema homogéneo de fricciones, esta convención no afecta las conclusiones empíricas.</w:t>
      </w:r>
    </w:p>
    <w:p w14:paraId="77A7BF7D" w14:textId="77777777" w:rsidR="00894435" w:rsidRPr="00743667" w:rsidRDefault="00A84207" w:rsidP="00743667">
      <w:pPr>
        <w:spacing w:line="360" w:lineRule="auto"/>
        <w:rPr>
          <w:rFonts w:cs="Times New Roman"/>
        </w:rPr>
      </w:pPr>
      <w:r w:rsidRPr="00743667">
        <w:rPr>
          <w:rFonts w:cs="Times New Roman"/>
          <w:kern w:val="0"/>
          <w14:ligatures w14:val="none"/>
        </w:rPr>
        <w:t>Este enfoque permite capturar de manera parsimoniosa las fricciones operativas básicas asociadas a la implementación de estrategias de rotación sectorial.</w:t>
      </w:r>
    </w:p>
    <w:p w14:paraId="796A1817" w14:textId="77777777" w:rsidR="00894435" w:rsidRPr="009706C8" w:rsidRDefault="00894435">
      <w:pPr>
        <w:pStyle w:val="Ttulo2"/>
        <w:rPr>
          <w:rFonts w:cs="Times New Roman"/>
        </w:rPr>
      </w:pPr>
      <w:bookmarkStart w:id="54" w:name="_Toc223214774"/>
      <w:bookmarkStart w:id="55" w:name="síntesis-metodológica"/>
      <w:bookmarkEnd w:id="53"/>
      <w:r w:rsidRPr="009706C8">
        <w:rPr>
          <w:rFonts w:cs="Times New Roman"/>
        </w:rPr>
        <w:t>3.10 Síntesis metodológica</w:t>
      </w:r>
      <w:bookmarkEnd w:id="54"/>
    </w:p>
    <w:p w14:paraId="762B29F5" w14:textId="77777777" w:rsidR="00185355" w:rsidRPr="00185355" w:rsidRDefault="00185355" w:rsidP="00185355">
      <w:pPr>
        <w:spacing w:line="360" w:lineRule="auto"/>
        <w:rPr>
          <w:rFonts w:cs="Times New Roman"/>
          <w:kern w:val="0"/>
          <w14:ligatures w14:val="none"/>
        </w:rPr>
      </w:pPr>
      <w:bookmarkStart w:id="56" w:name="X8e2a42539365b9edb35701ec729f52fe83c1e39"/>
      <w:bookmarkStart w:id="57" w:name="capítulo-4"/>
      <w:bookmarkEnd w:id="34"/>
      <w:bookmarkEnd w:id="55"/>
      <w:r w:rsidRPr="00185355">
        <w:rPr>
          <w:rFonts w:cs="Times New Roman"/>
          <w:kern w:val="0"/>
          <w14:ligatures w14:val="none"/>
        </w:rPr>
        <w:t xml:space="preserve">En este capítulo se definieron el universo de análisis, las fuentes de datos y la metodología empleada para construir e implementar las estrategias de momentum sectorial Long-Only. </w:t>
      </w:r>
      <w:r w:rsidRPr="00185355">
        <w:rPr>
          <w:rFonts w:cs="Times New Roman"/>
          <w:kern w:val="0"/>
          <w14:ligatures w14:val="none"/>
        </w:rPr>
        <w:lastRenderedPageBreak/>
        <w:t>A partir de esta base metodológica, el capítulo siguiente presenta la evaluación empírica del desempeño de las estrategias, incluyendo métricas de rentabilidad y riesgo, así como modelos de factores utilizados para su análisis.</w:t>
      </w:r>
    </w:p>
    <w:p w14:paraId="70F582BA" w14:textId="77777777" w:rsidR="009A2169" w:rsidRDefault="009A2169" w:rsidP="009A2169">
      <w:pPr>
        <w:pStyle w:val="Ttulo1"/>
      </w:pPr>
      <w:bookmarkStart w:id="58" w:name="_Toc223214775"/>
      <w:r w:rsidRPr="009A2169">
        <w:t>Capítulo 4</w:t>
      </w:r>
      <w:bookmarkEnd w:id="58"/>
    </w:p>
    <w:p w14:paraId="15A51AF9" w14:textId="77777777" w:rsidR="009A2169" w:rsidRPr="009A2169" w:rsidRDefault="009A2169" w:rsidP="009A2169">
      <w:pPr>
        <w:pStyle w:val="Ttulo1"/>
      </w:pPr>
      <w:bookmarkStart w:id="59" w:name="_Toc223214776"/>
      <w:r w:rsidRPr="009A2169">
        <w:t>Evaluación empírica del desempeño y modelos de factores</w:t>
      </w:r>
      <w:bookmarkEnd w:id="59"/>
    </w:p>
    <w:p w14:paraId="7A08909B" w14:textId="0F719BAB" w:rsidR="00894435" w:rsidRPr="00743667" w:rsidRDefault="00894435" w:rsidP="00743667">
      <w:pPr>
        <w:pStyle w:val="FirstParagraph"/>
        <w:spacing w:line="360" w:lineRule="auto"/>
        <w:rPr>
          <w:rFonts w:cs="Times New Roman"/>
          <w:lang w:val="es-AR"/>
        </w:rPr>
      </w:pPr>
      <w:r w:rsidRPr="00743667">
        <w:rPr>
          <w:rFonts w:cs="Times New Roman"/>
          <w:lang w:val="es-AR"/>
        </w:rPr>
        <w:t xml:space="preserve">Este capítulo presenta la evaluación empírica del desempeño de las estrategias de momentum sectorial Long-Only definidas en el Capítulo 3. El análisis se estructura siguiendo la práctica estándar de la literatura empírica en finanzas, </w:t>
      </w:r>
      <w:r w:rsidR="00B7677C" w:rsidRPr="00B7677C">
        <w:rPr>
          <w:rFonts w:cs="Times New Roman"/>
          <w:lang w:val="es-AR"/>
        </w:rPr>
        <w:t>combinando métricas de rentabilidad, medidas de riesgo y un análisis de desempeño basado en el modelo de factores más parsimonioso, el CAPM</w:t>
      </w:r>
      <w:r w:rsidR="00B7677C">
        <w:rPr>
          <w:rFonts w:cs="Times New Roman"/>
          <w:lang w:val="es-AR"/>
        </w:rPr>
        <w:t>,</w:t>
      </w:r>
      <w:r w:rsidRPr="00743667">
        <w:rPr>
          <w:rFonts w:cs="Times New Roman"/>
          <w:lang w:val="es-AR"/>
        </w:rPr>
        <w:t xml:space="preserve"> con el objetivo de evaluar si las estrategias presentan un comportamiento diferencial respecto del benchmark de mercado</w:t>
      </w:r>
      <w:r w:rsidR="00BC243A">
        <w:rPr>
          <w:rFonts w:cs="Times New Roman"/>
          <w:lang w:val="es-AR"/>
        </w:rPr>
        <w:t xml:space="preserve"> (SPY)</w:t>
      </w:r>
      <w:r w:rsidRPr="00743667">
        <w:rPr>
          <w:rFonts w:cs="Times New Roman"/>
          <w:lang w:val="es-AR"/>
        </w:rPr>
        <w:t>.</w:t>
      </w:r>
    </w:p>
    <w:p w14:paraId="35A07575" w14:textId="77777777" w:rsidR="00894435" w:rsidRPr="009706C8" w:rsidRDefault="00894435" w:rsidP="00E91523">
      <w:pPr>
        <w:pStyle w:val="Textoindependiente"/>
        <w:spacing w:line="360" w:lineRule="auto"/>
        <w:rPr>
          <w:rFonts w:cs="Times New Roman"/>
          <w:lang w:val="es-AR"/>
        </w:rPr>
      </w:pPr>
      <w:r w:rsidRPr="00743667">
        <w:rPr>
          <w:rFonts w:cs="Times New Roman"/>
          <w:lang w:val="es-AR"/>
        </w:rPr>
        <w:t>En línea con trabajos clásicos y contemporáneos sobre momentum y asset pricing, el capítulo se organiza de manera progresiva: primero se analiza el desempeño agregado, luego el perfil de riesgo, y finalmente se evalúa la significancia del desempeño mediante modelos de factores.</w:t>
      </w:r>
      <w:bookmarkStart w:id="60" w:name="rentabilidad-de-las-estrategias"/>
      <w:bookmarkEnd w:id="56"/>
    </w:p>
    <w:p w14:paraId="67C6D9C0" w14:textId="7E767601" w:rsidR="00894435" w:rsidRPr="009706C8" w:rsidRDefault="00894435">
      <w:pPr>
        <w:pStyle w:val="Ttulo2"/>
        <w:rPr>
          <w:rFonts w:cs="Times New Roman"/>
        </w:rPr>
      </w:pPr>
      <w:bookmarkStart w:id="61" w:name="_Toc223214777"/>
      <w:r w:rsidRPr="009706C8">
        <w:rPr>
          <w:rFonts w:cs="Times New Roman"/>
        </w:rPr>
        <w:t xml:space="preserve">4.1 </w:t>
      </w:r>
      <w:r w:rsidR="00F01B40">
        <w:rPr>
          <w:rFonts w:cs="Times New Roman"/>
        </w:rPr>
        <w:t>Desempeño</w:t>
      </w:r>
      <w:r w:rsidRPr="009706C8">
        <w:rPr>
          <w:rFonts w:cs="Times New Roman"/>
        </w:rPr>
        <w:t xml:space="preserve"> de las estrategias</w:t>
      </w:r>
      <w:bookmarkEnd w:id="61"/>
    </w:p>
    <w:p w14:paraId="529C8932" w14:textId="77777777" w:rsidR="002C5A11" w:rsidRDefault="002C5A11" w:rsidP="00743667">
      <w:pPr>
        <w:pStyle w:val="Textoindependiente"/>
        <w:spacing w:line="360" w:lineRule="auto"/>
        <w:rPr>
          <w:rFonts w:cs="Times New Roman"/>
          <w:lang w:val="es-AR"/>
        </w:rPr>
      </w:pPr>
      <w:r w:rsidRPr="002C5A11">
        <w:rPr>
          <w:rFonts w:cs="Times New Roman"/>
          <w:lang w:val="es-AR"/>
        </w:rPr>
        <w:t>En esta sección se analiza la rentabilidad de las estrategias de momentum sectorial Long-Only, comparándolas con el desempeño del benchmark de mercado, con el objetivo de evaluar su comportamiento relativo en términos de retorno y riesgo a lo largo del período analizado. La evaluación se realiza utilizando retornos mensuales netos de costos de transacción, calculados de manera consistente con la metodología definida en el Capítulo 3, lo que garantiza la comparabilidad de los resultados obtenidos.</w:t>
      </w:r>
    </w:p>
    <w:p w14:paraId="5A4812F6" w14:textId="20101914" w:rsidR="002C5A11" w:rsidRDefault="002C5A11" w:rsidP="00743667">
      <w:pPr>
        <w:pStyle w:val="Textoindependiente"/>
        <w:spacing w:line="360" w:lineRule="auto"/>
        <w:rPr>
          <w:rFonts w:cs="Times New Roman"/>
          <w:lang w:val="es-AR"/>
        </w:rPr>
      </w:pPr>
      <w:r w:rsidRPr="002C5A11">
        <w:rPr>
          <w:rFonts w:cs="Times New Roman"/>
          <w:lang w:val="es-AR"/>
        </w:rPr>
        <w:t>Como benchmark de mercado se utiliza una estrategia pasiva de buy-and-hold sobre el índice S&amp;P 500, representada por el ETF SPY. Dicha estrategia se mantiene sin rebalanceos activos ni reglas de selección dinámicas, y cumple el rol de proxy del re</w:t>
      </w:r>
      <w:r w:rsidR="00F01B40">
        <w:rPr>
          <w:rFonts w:cs="Times New Roman"/>
          <w:lang w:val="es-AR"/>
        </w:rPr>
        <w:t>torno</w:t>
      </w:r>
      <w:r w:rsidRPr="002C5A11">
        <w:rPr>
          <w:rFonts w:cs="Times New Roman"/>
          <w:lang w:val="es-AR"/>
        </w:rPr>
        <w:t xml:space="preserve"> agregado del mercado accionario estadounidense. Tanto el benchmark como las estrategias de momentum se evalúan bajo los mismos criterios de medición de retornos, frecuencia temporal y supuestos de costos, de modo que las diferencias observadas en el desempeño puedan atribuirse a las reglas de construcción de cada estrategia.</w:t>
      </w:r>
    </w:p>
    <w:p w14:paraId="1A0C525E" w14:textId="77777777" w:rsidR="00894435" w:rsidRPr="00743667" w:rsidRDefault="00894435" w:rsidP="00743667">
      <w:pPr>
        <w:pStyle w:val="Textoindependiente"/>
        <w:spacing w:line="360" w:lineRule="auto"/>
        <w:rPr>
          <w:rFonts w:cs="Times New Roman"/>
          <w:lang w:val="es-AR"/>
        </w:rPr>
      </w:pPr>
      <w:r w:rsidRPr="00743667">
        <w:rPr>
          <w:rFonts w:cs="Times New Roman"/>
          <w:lang w:val="es-AR"/>
        </w:rPr>
        <w:lastRenderedPageBreak/>
        <w:t xml:space="preserve">La evaluación del desempeño se basa en un conjunto de métricas estándar en la literatura de finanzas empíricas, que permiten analizar de manera conjunta la </w:t>
      </w:r>
      <w:r w:rsidRPr="00743667">
        <w:rPr>
          <w:rFonts w:cs="Times New Roman"/>
          <w:b/>
          <w:bCs/>
          <w:lang w:val="es-AR"/>
        </w:rPr>
        <w:t>rentabilidad</w:t>
      </w:r>
      <w:r w:rsidRPr="00743667">
        <w:rPr>
          <w:rFonts w:cs="Times New Roman"/>
          <w:lang w:val="es-AR"/>
        </w:rPr>
        <w:t xml:space="preserve"> y el </w:t>
      </w:r>
      <w:r w:rsidRPr="00743667">
        <w:rPr>
          <w:rFonts w:cs="Times New Roman"/>
          <w:b/>
          <w:bCs/>
          <w:lang w:val="es-AR"/>
        </w:rPr>
        <w:t>riesgo</w:t>
      </w:r>
      <w:r w:rsidRPr="00743667">
        <w:rPr>
          <w:rFonts w:cs="Times New Roman"/>
          <w:lang w:val="es-AR"/>
        </w:rPr>
        <w:t xml:space="preserve"> de cada estrategia. En particular, se consideran las siguientes medidas:</w:t>
      </w:r>
    </w:p>
    <w:p w14:paraId="65C0A24F" w14:textId="77777777" w:rsidR="00894435" w:rsidRPr="00743667" w:rsidRDefault="00894435" w:rsidP="00743667">
      <w:pPr>
        <w:pStyle w:val="Textoindependiente"/>
        <w:numPr>
          <w:ilvl w:val="0"/>
          <w:numId w:val="2"/>
        </w:numPr>
        <w:spacing w:line="360" w:lineRule="auto"/>
        <w:rPr>
          <w:rFonts w:cs="Times New Roman"/>
          <w:lang w:val="es-AR"/>
        </w:rPr>
      </w:pPr>
      <w:r w:rsidRPr="00743667">
        <w:rPr>
          <w:rFonts w:cs="Times New Roman"/>
          <w:b/>
          <w:bCs/>
          <w:lang w:val="es-AR"/>
        </w:rPr>
        <w:t>Retorno mensual promedio</w:t>
      </w:r>
      <w:r w:rsidRPr="00743667">
        <w:rPr>
          <w:rFonts w:cs="Times New Roman"/>
          <w:lang w:val="es-AR"/>
        </w:rPr>
        <w:t>, que resume el comportamiento medio de los retornos a la frecuencia de rebalanceo de las estrategias.</w:t>
      </w:r>
    </w:p>
    <w:p w14:paraId="2A1F9973" w14:textId="77777777" w:rsidR="00894435" w:rsidRPr="00743667" w:rsidRDefault="00000000" w:rsidP="00002703">
      <w:pPr>
        <w:pStyle w:val="Textoindependiente"/>
        <w:spacing w:line="360" w:lineRule="auto"/>
        <w:ind w:left="720"/>
        <w:jc w:val="right"/>
        <w:rPr>
          <w:rFonts w:cs="Times New Roman"/>
          <w:lang w:val="es-AR"/>
        </w:rPr>
      </w:pPr>
      <m:oMath>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lang w:val="es-AR"/>
          </w:rPr>
          <m:t>=</m:t>
        </m:r>
        <m:f>
          <m:fPr>
            <m:ctrlPr>
              <w:rPr>
                <w:rFonts w:ascii="Cambria Math" w:hAnsi="Cambria Math" w:cs="Times New Roman"/>
              </w:rPr>
            </m:ctrlPr>
          </m:fPr>
          <m:num>
            <m:r>
              <w:rPr>
                <w:rFonts w:ascii="Cambria Math" w:hAnsi="Cambria Math" w:cs="Times New Roman"/>
                <w:lang w:val="es-AR"/>
              </w:rPr>
              <m:t>1</m:t>
            </m:r>
          </m:num>
          <m:den>
            <m:r>
              <w:rPr>
                <w:rFonts w:ascii="Cambria Math" w:hAnsi="Cambria Math" w:cs="Times New Roman"/>
              </w:rPr>
              <m:t>T</m:t>
            </m:r>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lang w:val="es-AR"/>
              </w:rPr>
              <m:t>=</m:t>
            </m:r>
            <m:r>
              <w:rPr>
                <w:rFonts w:ascii="Cambria Math" w:hAnsi="Cambria Math" w:cs="Times New Roman"/>
                <w:lang w:val="es-AR"/>
              </w:rPr>
              <m: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e>
        </m:nary>
      </m:oMath>
      <w:r w:rsidR="00894435" w:rsidRPr="00743667">
        <w:rPr>
          <w:rFonts w:eastAsiaTheme="minorEastAsia" w:cs="Times New Roman"/>
          <w:lang w:val="es-AR"/>
        </w:rPr>
        <w:t xml:space="preserve">                                          </w:t>
      </w:r>
      <w:r w:rsidR="00894435" w:rsidRPr="00743667">
        <w:rPr>
          <w:rFonts w:eastAsiaTheme="minorEastAsia" w:cs="Times New Roman"/>
          <w:b/>
          <w:bCs/>
          <w:lang w:val="es-AR"/>
        </w:rPr>
        <w:t>Ecuación (4.1.1)</w:t>
      </w:r>
    </w:p>
    <w:p w14:paraId="194EA812" w14:textId="77777777" w:rsidR="00894435" w:rsidRPr="00743667" w:rsidRDefault="00894435" w:rsidP="00743667">
      <w:pPr>
        <w:pStyle w:val="Textoindependiente"/>
        <w:numPr>
          <w:ilvl w:val="0"/>
          <w:numId w:val="2"/>
        </w:numPr>
        <w:spacing w:line="360" w:lineRule="auto"/>
        <w:rPr>
          <w:rFonts w:cs="Times New Roman"/>
          <w:lang w:val="es-AR"/>
        </w:rPr>
      </w:pPr>
      <w:r w:rsidRPr="00743667">
        <w:rPr>
          <w:rFonts w:cs="Times New Roman"/>
          <w:b/>
          <w:bCs/>
          <w:lang w:val="es-AR"/>
        </w:rPr>
        <w:t>Crecimiento anual compuesto (CAGR)</w:t>
      </w:r>
      <w:r w:rsidRPr="00743667">
        <w:rPr>
          <w:rFonts w:cs="Times New Roman"/>
          <w:lang w:val="es-AR"/>
        </w:rPr>
        <w:t>, que mide el crecimiento efectivo de una inversión a lo largo del período analizado.</w:t>
      </w:r>
    </w:p>
    <w:p w14:paraId="79928577" w14:textId="77777777" w:rsidR="00894435" w:rsidRPr="00743667" w:rsidRDefault="00894435" w:rsidP="00002703">
      <w:pPr>
        <w:pStyle w:val="Textoindependiente"/>
        <w:spacing w:line="360" w:lineRule="auto"/>
        <w:ind w:left="360"/>
        <w:jc w:val="right"/>
        <w:rPr>
          <w:rFonts w:cs="Times New Roman"/>
          <w:lang w:val="es-AR"/>
        </w:rPr>
      </w:pPr>
      <m:oMath>
        <m:r>
          <w:rPr>
            <w:rFonts w:ascii="Cambria Math" w:hAnsi="Cambria Math" w:cs="Times New Roman"/>
            <w:lang w:val="es-AR"/>
          </w:rPr>
          <m:t xml:space="preserve">CAGR = </m:t>
        </m:r>
        <m:sSup>
          <m:sSupPr>
            <m:ctrlPr>
              <w:rPr>
                <w:rFonts w:ascii="Cambria Math" w:hAnsi="Cambria Math" w:cs="Times New Roman"/>
                <w:i/>
                <w:lang w:val="es-AR"/>
              </w:rPr>
            </m:ctrlPr>
          </m:sSupPr>
          <m:e>
            <m:d>
              <m:dPr>
                <m:ctrlPr>
                  <w:rPr>
                    <w:rFonts w:ascii="Cambria Math" w:hAnsi="Cambria Math" w:cs="Times New Roman"/>
                    <w:i/>
                    <w:lang w:val="es-AR"/>
                  </w:rPr>
                </m:ctrlPr>
              </m:dPr>
              <m:e>
                <m:f>
                  <m:fPr>
                    <m:ctrlPr>
                      <w:rPr>
                        <w:rFonts w:ascii="Cambria Math" w:hAnsi="Cambria Math" w:cs="Times New Roman"/>
                        <w:i/>
                        <w:lang w:val="es-AR"/>
                      </w:rPr>
                    </m:ctrlPr>
                  </m:fPr>
                  <m:num>
                    <m:sSub>
                      <m:sSubPr>
                        <m:ctrlPr>
                          <w:rPr>
                            <w:rFonts w:ascii="Cambria Math" w:hAnsi="Cambria Math" w:cs="Times New Roman"/>
                            <w:i/>
                            <w:lang w:val="es-AR"/>
                          </w:rPr>
                        </m:ctrlPr>
                      </m:sSubPr>
                      <m:e>
                        <m:r>
                          <w:rPr>
                            <w:rFonts w:ascii="Cambria Math" w:hAnsi="Cambria Math" w:cs="Times New Roman"/>
                            <w:lang w:val="es-AR"/>
                          </w:rPr>
                          <m:t>V</m:t>
                        </m:r>
                      </m:e>
                      <m:sub>
                        <m:r>
                          <w:rPr>
                            <w:rFonts w:ascii="Cambria Math" w:hAnsi="Cambria Math" w:cs="Times New Roman"/>
                            <w:lang w:val="es-AR"/>
                          </w:rPr>
                          <m:t>T</m:t>
                        </m:r>
                      </m:sub>
                    </m:sSub>
                  </m:num>
                  <m:den>
                    <m:sSub>
                      <m:sSubPr>
                        <m:ctrlPr>
                          <w:rPr>
                            <w:rFonts w:ascii="Cambria Math" w:hAnsi="Cambria Math" w:cs="Times New Roman"/>
                            <w:i/>
                            <w:lang w:val="es-AR"/>
                          </w:rPr>
                        </m:ctrlPr>
                      </m:sSubPr>
                      <m:e>
                        <m:r>
                          <w:rPr>
                            <w:rFonts w:ascii="Cambria Math" w:hAnsi="Cambria Math" w:cs="Times New Roman"/>
                            <w:lang w:val="es-AR"/>
                          </w:rPr>
                          <m:t>V</m:t>
                        </m:r>
                      </m:e>
                      <m:sub>
                        <m:r>
                          <w:rPr>
                            <w:rFonts w:ascii="Cambria Math" w:hAnsi="Cambria Math" w:cs="Times New Roman"/>
                            <w:lang w:val="es-AR"/>
                          </w:rPr>
                          <m:t>0</m:t>
                        </m:r>
                      </m:sub>
                    </m:sSub>
                  </m:den>
                </m:f>
              </m:e>
            </m:d>
          </m:e>
          <m:sup>
            <m:f>
              <m:fPr>
                <m:ctrlPr>
                  <w:rPr>
                    <w:rFonts w:ascii="Cambria Math" w:hAnsi="Cambria Math" w:cs="Times New Roman"/>
                    <w:i/>
                    <w:lang w:val="es-AR"/>
                  </w:rPr>
                </m:ctrlPr>
              </m:fPr>
              <m:num>
                <m:r>
                  <w:rPr>
                    <w:rFonts w:ascii="Cambria Math" w:hAnsi="Cambria Math" w:cs="Times New Roman"/>
                    <w:lang w:val="es-AR"/>
                  </w:rPr>
                  <m:t>1</m:t>
                </m:r>
              </m:num>
              <m:den>
                <m:r>
                  <w:rPr>
                    <w:rFonts w:ascii="Cambria Math" w:hAnsi="Cambria Math" w:cs="Times New Roman"/>
                    <w:lang w:val="es-AR"/>
                  </w:rPr>
                  <m:t>T</m:t>
                </m:r>
              </m:den>
            </m:f>
          </m:sup>
        </m:sSup>
        <m:r>
          <w:rPr>
            <w:rFonts w:ascii="Cambria Math" w:hAnsi="Cambria Math" w:cs="Times New Roman"/>
            <w:lang w:val="es-AR"/>
          </w:rPr>
          <m:t>- 1</m:t>
        </m:r>
      </m:oMath>
      <w:r w:rsidRPr="00743667">
        <w:rPr>
          <w:rFonts w:eastAsiaTheme="minorEastAsia" w:cs="Times New Roman"/>
          <w:lang w:val="es-AR"/>
        </w:rPr>
        <w:t xml:space="preserve">                                </w:t>
      </w:r>
      <w:r w:rsidRPr="00743667">
        <w:rPr>
          <w:rFonts w:eastAsiaTheme="minorEastAsia" w:cs="Times New Roman"/>
          <w:b/>
          <w:bCs/>
          <w:lang w:val="es-AR"/>
        </w:rPr>
        <w:t>Ecuación (4.1.2)</w:t>
      </w:r>
    </w:p>
    <w:p w14:paraId="051718A6" w14:textId="77777777" w:rsidR="00894435" w:rsidRPr="00743667" w:rsidRDefault="00894435" w:rsidP="00743667">
      <w:pPr>
        <w:pStyle w:val="Textoindependiente"/>
        <w:spacing w:line="360" w:lineRule="auto"/>
        <w:ind w:left="720"/>
        <w:rPr>
          <w:rFonts w:cs="Times New Roman"/>
          <w:lang w:val="es-AR"/>
        </w:rPr>
      </w:pPr>
      <w:r w:rsidRPr="00743667">
        <w:rPr>
          <w:rFonts w:cs="Times New Roman"/>
          <w:lang w:val="es-AR"/>
        </w:rPr>
        <w:t xml:space="preserve">donde </w:t>
      </w:r>
      <m:oMath>
        <m:d>
          <m:dPr>
            <m:ctrlPr>
              <w:rPr>
                <w:rFonts w:ascii="Cambria Math" w:hAnsi="Cambria Math" w:cs="Times New Roman"/>
                <w:i/>
                <w:lang w:val="es-AR"/>
              </w:rPr>
            </m:ctrlPr>
          </m:dPr>
          <m:e>
            <m:r>
              <w:rPr>
                <w:rFonts w:ascii="Cambria Math" w:hAnsi="Cambria Math" w:cs="Times New Roman"/>
                <w:lang w:val="es-AR"/>
              </w:rPr>
              <m:t xml:space="preserve"> </m:t>
            </m:r>
            <m:sSub>
              <m:sSubPr>
                <m:ctrlPr>
                  <w:rPr>
                    <w:rFonts w:ascii="Cambria Math" w:hAnsi="Cambria Math" w:cs="Times New Roman"/>
                    <w:i/>
                    <w:lang w:val="es-AR"/>
                  </w:rPr>
                </m:ctrlPr>
              </m:sSubPr>
              <m:e>
                <m:r>
                  <w:rPr>
                    <w:rFonts w:ascii="Cambria Math" w:hAnsi="Cambria Math" w:cs="Times New Roman"/>
                    <w:lang w:val="es-AR"/>
                  </w:rPr>
                  <m:t>V</m:t>
                </m:r>
              </m:e>
              <m:sub>
                <m:r>
                  <w:rPr>
                    <w:rFonts w:ascii="Cambria Math" w:hAnsi="Cambria Math" w:cs="Times New Roman"/>
                    <w:lang w:val="es-AR"/>
                  </w:rPr>
                  <m:t>0</m:t>
                </m:r>
              </m:sub>
            </m:sSub>
          </m:e>
        </m:d>
      </m:oMath>
      <w:r w:rsidR="001A4127">
        <w:rPr>
          <w:rFonts w:eastAsiaTheme="minorEastAsia" w:cs="Times New Roman"/>
          <w:lang w:val="es-AR"/>
        </w:rPr>
        <w:t xml:space="preserve"> </w:t>
      </w:r>
      <w:r w:rsidRPr="00743667">
        <w:rPr>
          <w:rFonts w:cs="Times New Roman"/>
          <w:lang w:val="es-AR"/>
        </w:rPr>
        <w:t xml:space="preserve">representa el valor inicial de la inversión, </w:t>
      </w:r>
      <m:oMath>
        <m:d>
          <m:dPr>
            <m:ctrlPr>
              <w:rPr>
                <w:rFonts w:ascii="Cambria Math" w:hAnsi="Cambria Math" w:cs="Times New Roman"/>
                <w:i/>
                <w:lang w:val="es-AR"/>
              </w:rPr>
            </m:ctrlPr>
          </m:dPr>
          <m:e>
            <m:r>
              <w:rPr>
                <w:rFonts w:ascii="Cambria Math" w:hAnsi="Cambria Math" w:cs="Times New Roman"/>
                <w:lang w:val="es-AR"/>
              </w:rPr>
              <m:t xml:space="preserve"> </m:t>
            </m:r>
            <m:sSub>
              <m:sSubPr>
                <m:ctrlPr>
                  <w:rPr>
                    <w:rFonts w:ascii="Cambria Math" w:hAnsi="Cambria Math" w:cs="Times New Roman"/>
                    <w:i/>
                    <w:lang w:val="es-AR"/>
                  </w:rPr>
                </m:ctrlPr>
              </m:sSubPr>
              <m:e>
                <m:r>
                  <w:rPr>
                    <w:rFonts w:ascii="Cambria Math" w:hAnsi="Cambria Math" w:cs="Times New Roman"/>
                    <w:lang w:val="es-AR"/>
                  </w:rPr>
                  <m:t>V</m:t>
                </m:r>
              </m:e>
              <m:sub>
                <m:r>
                  <w:rPr>
                    <w:rFonts w:ascii="Cambria Math" w:hAnsi="Cambria Math" w:cs="Times New Roman"/>
                    <w:lang w:val="es-AR"/>
                  </w:rPr>
                  <m:t>T</m:t>
                </m:r>
              </m:sub>
            </m:sSub>
          </m:e>
        </m:d>
      </m:oMath>
      <w:r w:rsidRPr="00743667">
        <w:rPr>
          <w:rFonts w:cs="Times New Roman"/>
          <w:lang w:val="es-AR"/>
        </w:rPr>
        <w:t xml:space="preserve"> el valor final y </w:t>
      </w:r>
      <m:oMath>
        <m:d>
          <m:dPr>
            <m:ctrlPr>
              <w:rPr>
                <w:rFonts w:ascii="Cambria Math" w:hAnsi="Cambria Math" w:cs="Times New Roman"/>
                <w:i/>
                <w:lang w:val="es-AR"/>
              </w:rPr>
            </m:ctrlPr>
          </m:dPr>
          <m:e>
            <m:r>
              <w:rPr>
                <w:rFonts w:ascii="Cambria Math" w:hAnsi="Cambria Math" w:cs="Times New Roman"/>
                <w:lang w:val="es-AR"/>
              </w:rPr>
              <m:t xml:space="preserve"> T </m:t>
            </m:r>
          </m:e>
        </m:d>
      </m:oMath>
      <w:r w:rsidRPr="00743667">
        <w:rPr>
          <w:rFonts w:cs="Times New Roman"/>
          <w:lang w:val="es-AR"/>
        </w:rPr>
        <w:t xml:space="preserve"> la duración del período expresada en años.</w:t>
      </w:r>
    </w:p>
    <w:p w14:paraId="621959DD" w14:textId="77777777" w:rsidR="00894435" w:rsidRPr="00743667" w:rsidRDefault="00894435" w:rsidP="00743667">
      <w:pPr>
        <w:pStyle w:val="Textoindependiente"/>
        <w:numPr>
          <w:ilvl w:val="0"/>
          <w:numId w:val="2"/>
        </w:numPr>
        <w:spacing w:line="360" w:lineRule="auto"/>
        <w:rPr>
          <w:rFonts w:cs="Times New Roman"/>
          <w:lang w:val="es-AR"/>
        </w:rPr>
      </w:pPr>
      <w:r w:rsidRPr="00743667">
        <w:rPr>
          <w:rFonts w:cs="Times New Roman"/>
          <w:b/>
          <w:bCs/>
          <w:lang w:val="es-AR"/>
        </w:rPr>
        <w:t>Volatilidad anualizada</w:t>
      </w:r>
      <w:r w:rsidRPr="00743667">
        <w:rPr>
          <w:rFonts w:cs="Times New Roman"/>
          <w:lang w:val="es-AR"/>
        </w:rPr>
        <w:t>, calculada a partir de la desviación estándar de los retornos mensuales, como medida de riesgo total.</w:t>
      </w:r>
    </w:p>
    <w:p w14:paraId="01997105" w14:textId="77777777" w:rsidR="00894435" w:rsidRPr="00743667" w:rsidRDefault="00000000" w:rsidP="00002703">
      <w:pPr>
        <w:pStyle w:val="Textoindependiente"/>
        <w:spacing w:line="360" w:lineRule="auto"/>
        <w:ind w:left="360"/>
        <w:jc w:val="right"/>
        <w:rPr>
          <w:rFonts w:cs="Times New Roman"/>
          <w:lang w:val="es-AR"/>
        </w:rPr>
      </w:p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anual</m:t>
            </m:r>
          </m:sub>
        </m:sSub>
        <m:r>
          <m:rPr>
            <m:sty m:val="p"/>
          </m:rPr>
          <w:rPr>
            <w:rFonts w:ascii="Cambria Math" w:hAnsi="Cambria Math" w:cs="Times New Roman"/>
            <w:lang w:val="es-AR"/>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mensual</m:t>
            </m:r>
          </m:sub>
        </m:sSub>
        <m:r>
          <m:rPr>
            <m:sty m:val="p"/>
          </m:rPr>
          <w:rPr>
            <w:rFonts w:ascii="Cambria Math" w:hAnsi="Cambria Math" w:cs="Times New Roman"/>
            <w:lang w:val="es-AR"/>
          </w:rPr>
          <m:t>⋅</m:t>
        </m:r>
        <m:rad>
          <m:radPr>
            <m:degHide m:val="1"/>
            <m:ctrlPr>
              <w:rPr>
                <w:rFonts w:ascii="Cambria Math" w:hAnsi="Cambria Math" w:cs="Times New Roman"/>
              </w:rPr>
            </m:ctrlPr>
          </m:radPr>
          <m:deg/>
          <m:e>
            <m:r>
              <w:rPr>
                <w:rFonts w:ascii="Cambria Math" w:hAnsi="Cambria Math" w:cs="Times New Roman"/>
                <w:lang w:val="es-AR"/>
              </w:rPr>
              <m:t>12</m:t>
            </m:r>
          </m:e>
        </m:rad>
      </m:oMath>
      <w:r w:rsidR="00894435" w:rsidRPr="00743667">
        <w:rPr>
          <w:rFonts w:eastAsiaTheme="minorEastAsia" w:cs="Times New Roman"/>
          <w:lang w:val="es-AR"/>
        </w:rPr>
        <w:t xml:space="preserve">                             </w:t>
      </w:r>
      <w:r w:rsidR="00894435" w:rsidRPr="00743667">
        <w:rPr>
          <w:rFonts w:eastAsiaTheme="minorEastAsia" w:cs="Times New Roman"/>
          <w:b/>
          <w:bCs/>
          <w:lang w:val="es-AR"/>
        </w:rPr>
        <w:t>Ecuación (4.1.3)</w:t>
      </w:r>
    </w:p>
    <w:p w14:paraId="76917859" w14:textId="77777777" w:rsidR="00894435" w:rsidRPr="00743667" w:rsidRDefault="00894435" w:rsidP="00743667">
      <w:pPr>
        <w:pStyle w:val="FirstParagraph"/>
        <w:spacing w:line="360" w:lineRule="auto"/>
        <w:ind w:left="720"/>
        <w:rPr>
          <w:rFonts w:cs="Times New Roman"/>
          <w:lang w:val="es-AR"/>
        </w:rPr>
      </w:pPr>
      <w:r w:rsidRPr="00743667">
        <w:rPr>
          <w:rFonts w:cs="Times New Roman"/>
          <w:lang w:val="es-AR"/>
        </w:rPr>
        <w:t xml:space="preserve">donde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mensual</m:t>
            </m:r>
          </m:sub>
        </m:sSub>
      </m:oMath>
      <w:r w:rsidRPr="00743667">
        <w:rPr>
          <w:rFonts w:cs="Times New Roman"/>
          <w:lang w:val="es-AR"/>
        </w:rPr>
        <w:t xml:space="preserve"> es la desviación estándar de los retornos mensuales del portafolio</w:t>
      </w:r>
      <w:r w:rsidR="0038137F">
        <w:rPr>
          <w:rFonts w:cs="Times New Roman"/>
          <w:lang w:val="es-AR"/>
        </w:rPr>
        <w:t>,</w:t>
      </w:r>
      <w:r w:rsidR="0038137F" w:rsidRPr="0038137F">
        <w:rPr>
          <w:kern w:val="2"/>
          <w:lang w:val="es-AR"/>
          <w14:ligatures w14:val="standardContextual"/>
        </w:rPr>
        <w:t xml:space="preserve"> </w:t>
      </w:r>
      <w:r w:rsidR="0038137F" w:rsidRPr="0038137F">
        <w:rPr>
          <w:rFonts w:cs="Times New Roman"/>
          <w:lang w:val="es-AR"/>
        </w:rPr>
        <w:t>calculada sobre la serie de retornos mensuales netos de costos de transacción.</w:t>
      </w:r>
    </w:p>
    <w:p w14:paraId="45C2DCA1" w14:textId="77777777" w:rsidR="00894435" w:rsidRPr="00743667" w:rsidRDefault="00894435" w:rsidP="00743667">
      <w:pPr>
        <w:pStyle w:val="Textoindependiente"/>
        <w:spacing w:line="360" w:lineRule="auto"/>
        <w:ind w:left="720"/>
        <w:rPr>
          <w:rFonts w:cs="Times New Roman"/>
          <w:lang w:val="es-AR"/>
        </w:rPr>
      </w:pPr>
    </w:p>
    <w:p w14:paraId="5F96D9E3" w14:textId="77777777" w:rsidR="00894435" w:rsidRPr="00743667" w:rsidRDefault="00894435" w:rsidP="00743667">
      <w:pPr>
        <w:pStyle w:val="Textoindependiente"/>
        <w:numPr>
          <w:ilvl w:val="0"/>
          <w:numId w:val="2"/>
        </w:numPr>
        <w:spacing w:line="360" w:lineRule="auto"/>
        <w:rPr>
          <w:rFonts w:cs="Times New Roman"/>
          <w:lang w:val="es-AR"/>
        </w:rPr>
      </w:pPr>
      <w:r w:rsidRPr="00743667">
        <w:rPr>
          <w:rFonts w:cs="Times New Roman"/>
          <w:b/>
          <w:bCs/>
          <w:lang w:val="es-AR"/>
        </w:rPr>
        <w:t>Ratio de Sharpe</w:t>
      </w:r>
      <w:r w:rsidRPr="00743667">
        <w:rPr>
          <w:rFonts w:cs="Times New Roman"/>
          <w:lang w:val="es-AR"/>
        </w:rPr>
        <w:t>, que evalúa el retorno ajustado por riesgo,</w:t>
      </w:r>
      <w:r w:rsidR="008553BC">
        <w:rPr>
          <w:rFonts w:cs="Times New Roman"/>
          <w:lang w:val="es-AR"/>
        </w:rPr>
        <w:t xml:space="preserve"> definido como:</w:t>
      </w:r>
    </w:p>
    <w:p w14:paraId="3931CBA8" w14:textId="02FAC3E2" w:rsidR="00894435" w:rsidRPr="00743667" w:rsidRDefault="00894435" w:rsidP="00002703">
      <w:pPr>
        <w:pStyle w:val="Textoindependiente"/>
        <w:spacing w:line="360" w:lineRule="auto"/>
        <w:ind w:left="360"/>
        <w:jc w:val="right"/>
        <w:rPr>
          <w:rFonts w:cs="Times New Roman"/>
          <w:lang w:val="es-AR"/>
        </w:rPr>
      </w:pPr>
      <m:oMath>
        <m:r>
          <w:rPr>
            <w:rFonts w:ascii="Cambria Math" w:hAnsi="Cambria Math" w:cs="Times New Roman"/>
          </w:rPr>
          <m:t>SR</m:t>
        </m:r>
        <m:r>
          <m:rPr>
            <m:sty m:val="p"/>
          </m:rPr>
          <w:rPr>
            <w:rFonts w:ascii="Cambria Math" w:hAnsi="Cambria Math" w:cs="Times New Roman"/>
            <w:lang w:val="es-AR"/>
          </w:rPr>
          <m:t>=</m:t>
        </m:r>
        <m:f>
          <m:fPr>
            <m:ctrlPr>
              <w:rPr>
                <w:rFonts w:ascii="Cambria Math" w:hAnsi="Cambria Math" w:cs="Times New Roman"/>
              </w:rPr>
            </m:ctrlPr>
          </m:fPr>
          <m:num>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m:rPr>
                    <m:sty m:val="p"/>
                  </m:rPr>
                  <w:rPr>
                    <w:rFonts w:ascii="Cambria Math" w:hAnsi="Cambria Math" w:cs="Times New Roman"/>
                    <w:lang w:val="es-AR"/>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e>
            </m:d>
          </m:num>
          <m:den>
            <m:r>
              <w:rPr>
                <w:rFonts w:ascii="Cambria Math" w:hAnsi="Cambria Math" w:cs="Times New Roman"/>
                <w:lang w:val="es-AR"/>
              </w:rPr>
              <m:t>σ(</m:t>
            </m:r>
            <m:sSub>
              <m:sSubPr>
                <m:ctrlPr>
                  <w:rPr>
                    <w:rFonts w:ascii="Cambria Math" w:hAnsi="Cambria Math" w:cs="Times New Roman"/>
                    <w:i/>
                    <w:lang w:val="es-AR"/>
                  </w:rPr>
                </m:ctrlPr>
              </m:sSubPr>
              <m:e>
                <m:r>
                  <w:rPr>
                    <w:rFonts w:ascii="Cambria Math" w:hAnsi="Cambria Math" w:cs="Times New Roman"/>
                    <w:lang w:val="es-AR"/>
                  </w:rPr>
                  <m:t>R</m:t>
                </m:r>
              </m:e>
              <m:sub>
                <m:r>
                  <w:rPr>
                    <w:rFonts w:ascii="Cambria Math" w:hAnsi="Cambria Math" w:cs="Times New Roman"/>
                    <w:lang w:val="es-AR"/>
                  </w:rPr>
                  <m:t>p</m:t>
                </m:r>
              </m:sub>
            </m:sSub>
            <m:r>
              <w:rPr>
                <w:rFonts w:ascii="Cambria Math" w:hAnsi="Cambria Math" w:cs="Times New Roman"/>
                <w:lang w:val="es-AR"/>
              </w:rPr>
              <m:t>-</m:t>
            </m:r>
            <m:sSub>
              <m:sSubPr>
                <m:ctrlPr>
                  <w:rPr>
                    <w:rFonts w:ascii="Cambria Math" w:hAnsi="Cambria Math" w:cs="Times New Roman"/>
                    <w:i/>
                    <w:lang w:val="es-AR"/>
                  </w:rPr>
                </m:ctrlPr>
              </m:sSubPr>
              <m:e>
                <m:r>
                  <w:rPr>
                    <w:rFonts w:ascii="Cambria Math" w:hAnsi="Cambria Math" w:cs="Times New Roman"/>
                    <w:lang w:val="es-AR"/>
                  </w:rPr>
                  <m:t>R</m:t>
                </m:r>
              </m:e>
              <m:sub>
                <m:r>
                  <w:rPr>
                    <w:rFonts w:ascii="Cambria Math" w:hAnsi="Cambria Math" w:cs="Times New Roman"/>
                    <w:lang w:val="es-AR"/>
                  </w:rPr>
                  <m:t>f</m:t>
                </m:r>
              </m:sub>
            </m:sSub>
            <m:r>
              <w:rPr>
                <w:rFonts w:ascii="Cambria Math" w:hAnsi="Cambria Math" w:cs="Times New Roman"/>
                <w:lang w:val="es-AR"/>
              </w:rPr>
              <m:t>)</m:t>
            </m:r>
          </m:den>
        </m:f>
      </m:oMath>
      <w:r w:rsidRPr="00743667">
        <w:rPr>
          <w:rFonts w:eastAsiaTheme="minorEastAsia" w:cs="Times New Roman"/>
          <w:b/>
          <w:bCs/>
          <w:lang w:val="es-AR"/>
        </w:rPr>
        <w:t xml:space="preserve">                                  Ecuación (4.1.</w:t>
      </w:r>
      <w:r w:rsidR="002F7719" w:rsidRPr="00743667">
        <w:rPr>
          <w:rFonts w:eastAsiaTheme="minorEastAsia" w:cs="Times New Roman"/>
          <w:b/>
          <w:bCs/>
          <w:lang w:val="es-AR"/>
        </w:rPr>
        <w:t>4</w:t>
      </w:r>
      <w:r w:rsidRPr="00743667">
        <w:rPr>
          <w:rFonts w:eastAsiaTheme="minorEastAsia" w:cs="Times New Roman"/>
          <w:b/>
          <w:bCs/>
          <w:lang w:val="es-AR"/>
        </w:rPr>
        <w:t>)</w:t>
      </w:r>
    </w:p>
    <w:p w14:paraId="465EBEFA" w14:textId="4812C472" w:rsidR="006856A6" w:rsidRDefault="00B02F47" w:rsidP="00743667">
      <w:pPr>
        <w:pStyle w:val="Textoindependiente"/>
        <w:spacing w:line="360" w:lineRule="auto"/>
        <w:ind w:left="720"/>
        <w:rPr>
          <w:rFonts w:cs="Times New Roman"/>
          <w:lang w:val="es-AR"/>
        </w:rPr>
      </w:pPr>
      <w:r w:rsidRPr="00B02F47">
        <w:rPr>
          <w:rFonts w:cs="Times New Roman"/>
          <w:lang w:val="es-AR"/>
        </w:rPr>
        <w:t xml:space="preserve">donde </w:t>
      </w:r>
      <m:oMath>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p</m:t>
            </m:r>
          </m:sub>
        </m:sSub>
      </m:oMath>
      <w:r w:rsidRPr="00B02F47">
        <w:rPr>
          <w:rFonts w:cs="Times New Roman"/>
          <w:lang w:val="es-AR"/>
        </w:rPr>
        <w:t xml:space="preserve">representa el retorno del portafolio, </w:t>
      </w:r>
      <m:oMath>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f</m:t>
            </m:r>
          </m:sub>
        </m:sSub>
      </m:oMath>
      <w:r w:rsidRPr="00B02F47">
        <w:rPr>
          <w:rFonts w:cs="Times New Roman"/>
          <w:lang w:val="es-AR"/>
        </w:rPr>
        <w:t xml:space="preserve">la tasa libre de riesgo y </w:t>
      </w:r>
      <m:oMath>
        <m:r>
          <w:rPr>
            <w:rFonts w:ascii="Cambria Math" w:hAnsi="Cambria Math" w:cs="Times New Roman"/>
            <w:lang w:val="es-AR"/>
          </w:rPr>
          <m:t>σ(</m:t>
        </m:r>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p</m:t>
            </m:r>
          </m:sub>
        </m:sSub>
        <m:r>
          <w:rPr>
            <w:rFonts w:ascii="Cambria Math" w:hAnsi="Cambria Math" w:cs="Times New Roman"/>
            <w:lang w:val="es-AR"/>
          </w:rPr>
          <m:t>-</m:t>
        </m:r>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f</m:t>
            </m:r>
          </m:sub>
        </m:sSub>
        <m:r>
          <w:rPr>
            <w:rFonts w:ascii="Cambria Math" w:hAnsi="Cambria Math" w:cs="Times New Roman"/>
            <w:lang w:val="es-AR"/>
          </w:rPr>
          <m:t>)</m:t>
        </m:r>
      </m:oMath>
      <w:r w:rsidRPr="00B02F47">
        <w:rPr>
          <w:rFonts w:cs="Times New Roman"/>
          <w:lang w:val="es-AR"/>
        </w:rPr>
        <w:t>la desviación estándar de los retornos en exceso del portafolio</w:t>
      </w:r>
      <w:r w:rsidR="006856A6" w:rsidRPr="006856A6">
        <w:rPr>
          <w:rFonts w:cs="Times New Roman"/>
          <w:lang w:val="es-AR"/>
        </w:rPr>
        <w:t xml:space="preserve">. </w:t>
      </w:r>
    </w:p>
    <w:p w14:paraId="1FC6E4F1" w14:textId="77777777" w:rsidR="001F6066" w:rsidRPr="001F6066" w:rsidRDefault="001F6066" w:rsidP="001F6066">
      <w:pPr>
        <w:pStyle w:val="Textoindependiente"/>
        <w:spacing w:line="360" w:lineRule="auto"/>
        <w:ind w:left="720"/>
        <w:rPr>
          <w:rFonts w:cs="Times New Roman"/>
          <w:lang w:val="es-AR"/>
        </w:rPr>
      </w:pPr>
      <w:r w:rsidRPr="001F6066">
        <w:rPr>
          <w:rFonts w:cs="Times New Roman"/>
          <w:lang w:val="es-AR"/>
        </w:rPr>
        <w:t>En este trabajo, la tasa libre de riesgo se aproxima mediante el rendimiento anualizado del Treasury Bill a 3 meses (índice IRX). Dado que dicha tasa se expresa en términos anuales y en porcentaje, se convierte a frecuencia mensual mediante capitalización geométrica, según la expresión:</w:t>
      </w:r>
    </w:p>
    <w:p w14:paraId="2C49C625" w14:textId="7C8E7B96" w:rsidR="001F6066" w:rsidRPr="001F6066" w:rsidRDefault="00000000" w:rsidP="001F6066">
      <w:pPr>
        <w:pStyle w:val="Textoindependiente"/>
        <w:spacing w:line="360" w:lineRule="auto"/>
        <w:ind w:left="720"/>
        <w:rPr>
          <w:rFonts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m:t>
              </m:r>
            </m:sub>
          </m:sSub>
          <m:r>
            <w:rPr>
              <w:rFonts w:ascii="Cambria Math" w:hAnsi="Cambria Math" w:cs="Times New Roman"/>
            </w:rPr>
            <m:t>=</m:t>
          </m:r>
          <m:sSup>
            <m:sSupPr>
              <m:ctrlPr>
                <w:rPr>
                  <w:rFonts w:ascii="Cambria Math" w:hAnsi="Cambria Math" w:cs="Times New Roman"/>
                </w:rPr>
              </m:ctrlPr>
            </m:sSupPr>
            <m:e>
              <m:d>
                <m:dPr>
                  <m:sepChr m:val="+"/>
                  <m:ctrlPr>
                    <w:rPr>
                      <w:rFonts w:ascii="Cambria Math" w:hAnsi="Cambria Math" w:cs="Times New Roman"/>
                    </w:rPr>
                  </m:ctrlPr>
                </m:dPr>
                <m:e>
                  <m:r>
                    <w:rPr>
                      <w:rFonts w:ascii="Cambria Math" w:hAnsi="Cambria Math" w:cs="Times New Roman"/>
                    </w:rPr>
                    <m:t>1</m:t>
                  </m:r>
                </m:e>
                <m:e>
                  <m:f>
                    <m:fPr>
                      <m:ctrlPr>
                        <w:rPr>
                          <w:rFonts w:ascii="Cambria Math" w:hAnsi="Cambria Math" w:cs="Times New Roman"/>
                        </w:rPr>
                      </m:ctrlPr>
                    </m:fPr>
                    <m:num>
                      <m:r>
                        <w:rPr>
                          <w:rFonts w:ascii="Cambria Math" w:hAnsi="Cambria Math" w:cs="Times New Roman"/>
                        </w:rPr>
                        <m:t>IR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num>
                    <m:den>
                      <m:r>
                        <w:rPr>
                          <w:rFonts w:ascii="Cambria Math" w:hAnsi="Cambria Math" w:cs="Times New Roman"/>
                        </w:rPr>
                        <m:t>100</m:t>
                      </m:r>
                    </m:den>
                  </m:f>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12</m:t>
              </m:r>
            </m:sup>
          </m:sSup>
          <m:r>
            <w:rPr>
              <w:rFonts w:ascii="Cambria Math" w:hAnsi="Cambria Math" w:cs="Times New Roman"/>
            </w:rPr>
            <m:t>-1,</m:t>
          </m:r>
          <m:r>
            <m:rPr>
              <m:sty m:val="p"/>
            </m:rPr>
            <w:rPr>
              <w:rFonts w:cs="Times New Roman"/>
            </w:rPr>
            <w:br/>
          </m:r>
        </m:oMath>
      </m:oMathPara>
    </w:p>
    <w:p w14:paraId="3E57CBDE" w14:textId="01282B0C" w:rsidR="001F6066" w:rsidRDefault="001F6066" w:rsidP="001F6066">
      <w:pPr>
        <w:pStyle w:val="Textoindependiente"/>
        <w:spacing w:line="360" w:lineRule="auto"/>
        <w:ind w:left="720"/>
        <w:rPr>
          <w:rFonts w:cs="Times New Roman"/>
          <w:lang w:val="es-AR"/>
        </w:rPr>
      </w:pPr>
      <w:r w:rsidRPr="001F6066">
        <w:rPr>
          <w:rFonts w:cs="Times New Roman"/>
          <w:lang w:val="es-AR"/>
        </w:rPr>
        <w:t>garantizando consistencia temporal con los retornos mensuales del portafolio utilizados en el cálculo del ratio de Sharpe y en las regresiones de CAPM.</w:t>
      </w:r>
    </w:p>
    <w:p w14:paraId="1BFD7E4E" w14:textId="77777777" w:rsidR="00894435" w:rsidRPr="00743667" w:rsidRDefault="00894435" w:rsidP="00743667">
      <w:pPr>
        <w:pStyle w:val="Textoindependiente"/>
        <w:numPr>
          <w:ilvl w:val="0"/>
          <w:numId w:val="2"/>
        </w:numPr>
        <w:spacing w:line="360" w:lineRule="auto"/>
        <w:rPr>
          <w:rFonts w:cs="Times New Roman"/>
          <w:lang w:val="es-AR"/>
        </w:rPr>
      </w:pPr>
      <w:r w:rsidRPr="00743667">
        <w:rPr>
          <w:rFonts w:cs="Times New Roman"/>
          <w:b/>
          <w:bCs/>
          <w:lang w:val="es-AR"/>
        </w:rPr>
        <w:t>Máximo Drawdown</w:t>
      </w:r>
      <w:r w:rsidRPr="00743667">
        <w:rPr>
          <w:rFonts w:cs="Times New Roman"/>
          <w:lang w:val="es-AR"/>
        </w:rPr>
        <w:t>, definido como la mayor caída pico</w:t>
      </w:r>
      <w:r w:rsidR="00336DDE">
        <w:rPr>
          <w:rFonts w:cs="Times New Roman"/>
          <w:lang w:val="es-AR"/>
        </w:rPr>
        <w:t>-valle</w:t>
      </w:r>
      <w:r w:rsidRPr="00743667">
        <w:rPr>
          <w:rFonts w:cs="Times New Roman"/>
          <w:lang w:val="es-AR"/>
        </w:rPr>
        <w:t xml:space="preserve"> observada en la curva de capital construida a partir de retornos mensuales netos.</w:t>
      </w:r>
    </w:p>
    <w:p w14:paraId="66E32CCF" w14:textId="77777777" w:rsidR="00894435" w:rsidRPr="00743667" w:rsidRDefault="00894435" w:rsidP="00F45693">
      <w:pPr>
        <w:pStyle w:val="Textoindependiente"/>
        <w:spacing w:line="360" w:lineRule="auto"/>
        <w:ind w:left="720"/>
        <w:jc w:val="right"/>
        <w:rPr>
          <w:rFonts w:cs="Times New Roman"/>
          <w:lang w:val="es-AR"/>
        </w:rPr>
      </w:p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lang w:val="es-AR"/>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num>
          <m:den>
            <m:limLow>
              <m:limLowPr>
                <m:ctrlPr>
                  <w:rPr>
                    <w:rFonts w:ascii="Cambria Math" w:hAnsi="Cambria Math" w:cs="Times New Roman"/>
                  </w:rPr>
                </m:ctrlPr>
              </m:limLowPr>
              <m:e>
                <m:r>
                  <m:rPr>
                    <m:sty m:val="p"/>
                  </m:rPr>
                  <w:rPr>
                    <w:rFonts w:ascii="Cambria Math" w:hAnsi="Cambria Math" w:cs="Times New Roman"/>
                    <w:lang w:val="es-AR"/>
                  </w:rPr>
                  <m:t>max</m:t>
                </m:r>
              </m:e>
              <m:lim>
                <m:r>
                  <w:rPr>
                    <w:rFonts w:ascii="Cambria Math" w:hAnsi="Cambria Math" w:cs="Times New Roman"/>
                  </w:rPr>
                  <m:t>s</m:t>
                </m:r>
                <m:r>
                  <m:rPr>
                    <m:sty m:val="p"/>
                  </m:rPr>
                  <w:rPr>
                    <w:rFonts w:ascii="Cambria Math" w:hAnsi="Cambria Math" w:cs="Times New Roman"/>
                    <w:lang w:val="es-AR"/>
                  </w:rPr>
                  <m:t>≤</m:t>
                </m:r>
                <m:r>
                  <w:rPr>
                    <w:rFonts w:ascii="Cambria Math" w:hAnsi="Cambria Math" w:cs="Times New Roman"/>
                  </w:rPr>
                  <m:t>t</m:t>
                </m:r>
              </m:lim>
            </m:limLow>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m:t>
                </m:r>
              </m:sub>
            </m:sSub>
          </m:den>
        </m:f>
        <m:r>
          <m:rPr>
            <m:sty m:val="p"/>
          </m:rPr>
          <w:rPr>
            <w:rFonts w:ascii="Cambria Math" w:hAnsi="Cambria Math" w:cs="Times New Roman"/>
            <w:lang w:val="es-AR"/>
          </w:rPr>
          <m:t>-</m:t>
        </m:r>
        <m:r>
          <w:rPr>
            <w:rFonts w:ascii="Cambria Math" w:hAnsi="Cambria Math" w:cs="Times New Roman"/>
            <w:lang w:val="es-AR"/>
          </w:rPr>
          <m:t>1</m:t>
        </m:r>
      </m:oMath>
      <w:r w:rsidRPr="00743667">
        <w:rPr>
          <w:rFonts w:eastAsiaTheme="minorEastAsia" w:cs="Times New Roman"/>
          <w:b/>
          <w:bCs/>
          <w:lang w:val="es-AR"/>
        </w:rPr>
        <w:t xml:space="preserve">                                Ecuación (4.1.</w:t>
      </w:r>
      <w:r w:rsidR="009960A7" w:rsidRPr="00743667">
        <w:rPr>
          <w:rFonts w:eastAsiaTheme="minorEastAsia" w:cs="Times New Roman"/>
          <w:b/>
          <w:bCs/>
          <w:lang w:val="es-AR"/>
        </w:rPr>
        <w:t>5</w:t>
      </w:r>
      <w:r w:rsidRPr="00743667">
        <w:rPr>
          <w:rFonts w:eastAsiaTheme="minorEastAsia" w:cs="Times New Roman"/>
          <w:b/>
          <w:bCs/>
          <w:lang w:val="es-AR"/>
        </w:rPr>
        <w:t>)</w:t>
      </w:r>
    </w:p>
    <w:p w14:paraId="343ADD10" w14:textId="77777777" w:rsidR="00894435" w:rsidRPr="00336DDE" w:rsidRDefault="00336DDE" w:rsidP="00336DDE">
      <w:pPr>
        <w:pStyle w:val="Textoindependiente"/>
        <w:spacing w:line="360" w:lineRule="auto"/>
        <w:ind w:left="720"/>
        <w:rPr>
          <w:rFonts w:cs="Times New Roman"/>
          <w:lang w:val="es-AR"/>
        </w:rPr>
      </w:pPr>
      <w:r w:rsidRPr="00336DDE">
        <w:rPr>
          <w:rFonts w:cs="Times New Roman"/>
          <w:lang w:val="es-AR"/>
        </w:rPr>
        <w:t xml:space="preserve">donde </w:t>
      </w:r>
      <m:oMath>
        <m:sSub>
          <m:sSubPr>
            <m:ctrlPr>
              <w:rPr>
                <w:rFonts w:ascii="Cambria Math" w:hAnsi="Cambria Math" w:cs="Times New Roman"/>
                <w:lang w:val="es-AR"/>
              </w:rPr>
            </m:ctrlPr>
          </m:sSubPr>
          <m:e>
            <m:r>
              <w:rPr>
                <w:rFonts w:ascii="Cambria Math" w:hAnsi="Cambria Math" w:cs="Times New Roman"/>
                <w:lang w:val="es-AR"/>
              </w:rPr>
              <m:t>V</m:t>
            </m:r>
          </m:e>
          <m:sub>
            <m:r>
              <w:rPr>
                <w:rFonts w:ascii="Cambria Math" w:hAnsi="Cambria Math" w:cs="Times New Roman"/>
                <w:lang w:val="es-AR"/>
              </w:rPr>
              <m:t>t</m:t>
            </m:r>
          </m:sub>
        </m:sSub>
      </m:oMath>
      <w:r w:rsidR="00620D6C">
        <w:rPr>
          <w:rFonts w:eastAsiaTheme="minorEastAsia" w:cs="Times New Roman"/>
          <w:lang w:val="es-AR"/>
        </w:rPr>
        <w:t xml:space="preserve"> </w:t>
      </w:r>
      <w:r w:rsidRPr="00336DDE">
        <w:rPr>
          <w:rFonts w:cs="Times New Roman"/>
          <w:lang w:val="es-AR"/>
        </w:rPr>
        <w:t xml:space="preserve">representa el valor de la curva de capital en el período </w:t>
      </w:r>
      <m:oMath>
        <m:r>
          <w:rPr>
            <w:rFonts w:ascii="Cambria Math" w:hAnsi="Cambria Math" w:cs="Times New Roman"/>
            <w:lang w:val="es-AR"/>
          </w:rPr>
          <m:t>t</m:t>
        </m:r>
      </m:oMath>
      <w:r w:rsidRPr="00336DDE">
        <w:rPr>
          <w:rFonts w:cs="Times New Roman"/>
          <w:lang w:val="es-AR"/>
        </w:rPr>
        <w:t xml:space="preserve">. El máximo drawdown corresponde al mínimo valor observado de </w:t>
      </w:r>
      <m:oMath>
        <m:r>
          <w:rPr>
            <w:rFonts w:ascii="Cambria Math" w:hAnsi="Cambria Math" w:cs="Times New Roman"/>
            <w:lang w:val="es-AR"/>
          </w:rPr>
          <m:t>D</m:t>
        </m:r>
        <m:sSub>
          <m:sSubPr>
            <m:ctrlPr>
              <w:rPr>
                <w:rFonts w:ascii="Cambria Math" w:hAnsi="Cambria Math" w:cs="Times New Roman"/>
                <w:lang w:val="es-AR"/>
              </w:rPr>
            </m:ctrlPr>
          </m:sSubPr>
          <m:e>
            <m:r>
              <w:rPr>
                <w:rFonts w:ascii="Cambria Math" w:hAnsi="Cambria Math" w:cs="Times New Roman"/>
                <w:lang w:val="es-AR"/>
              </w:rPr>
              <m:t>D</m:t>
            </m:r>
          </m:e>
          <m:sub>
            <m:r>
              <w:rPr>
                <w:rFonts w:ascii="Cambria Math" w:hAnsi="Cambria Math" w:cs="Times New Roman"/>
                <w:lang w:val="es-AR"/>
              </w:rPr>
              <m:t>t</m:t>
            </m:r>
          </m:sub>
        </m:sSub>
      </m:oMath>
      <w:r w:rsidR="00620D6C">
        <w:rPr>
          <w:rFonts w:eastAsiaTheme="minorEastAsia" w:cs="Times New Roman"/>
          <w:lang w:val="es-AR"/>
        </w:rPr>
        <w:t xml:space="preserve"> </w:t>
      </w:r>
      <w:r w:rsidRPr="00336DDE">
        <w:rPr>
          <w:rFonts w:cs="Times New Roman"/>
          <w:lang w:val="es-AR"/>
        </w:rPr>
        <w:t>a lo largo del período analizado. Esta métrica captura pérdidas históricas pico–valle y constituye una medida ex post del riesgo del portafolio.</w:t>
      </w:r>
    </w:p>
    <w:p w14:paraId="513F7CD0" w14:textId="77777777" w:rsidR="00894435" w:rsidRPr="00743667" w:rsidRDefault="00894435" w:rsidP="00743667">
      <w:pPr>
        <w:pStyle w:val="Textoindependiente"/>
        <w:spacing w:line="360" w:lineRule="auto"/>
        <w:rPr>
          <w:rFonts w:cs="Times New Roman"/>
          <w:lang w:val="es-AR"/>
        </w:rPr>
      </w:pPr>
      <w:r w:rsidRPr="00743667">
        <w:rPr>
          <w:rFonts w:cs="Times New Roman"/>
          <w:lang w:val="es-AR"/>
        </w:rPr>
        <w:t>Estas métricas permiten evaluar no solo el nivel de rentabilidad alcanzado por cada estrategia, sino también la variabilidad de los retornos y la magnitud de las pérdidas potenciales, proporcionando una visión integral del desempeño.</w:t>
      </w:r>
    </w:p>
    <w:p w14:paraId="0BA414C7" w14:textId="77777777" w:rsidR="008F4FB6" w:rsidRDefault="008F4FB6" w:rsidP="00743667">
      <w:pPr>
        <w:pStyle w:val="Textoindependiente"/>
        <w:spacing w:line="360" w:lineRule="auto"/>
        <w:rPr>
          <w:rFonts w:cs="Times New Roman"/>
          <w:lang w:val="es-AR"/>
        </w:rPr>
      </w:pPr>
      <w:r w:rsidRPr="008F4FB6">
        <w:rPr>
          <w:rFonts w:cs="Times New Roman"/>
          <w:lang w:val="es-AR"/>
        </w:rPr>
        <w:t xml:space="preserve">La </w:t>
      </w:r>
      <w:r w:rsidRPr="008F4FB6">
        <w:rPr>
          <w:rFonts w:cs="Times New Roman"/>
          <w:b/>
          <w:bCs/>
          <w:lang w:val="es-AR"/>
        </w:rPr>
        <w:t>Tabla 4.1</w:t>
      </w:r>
      <w:r w:rsidRPr="008F4FB6">
        <w:rPr>
          <w:rFonts w:cs="Times New Roman"/>
          <w:lang w:val="es-AR"/>
        </w:rPr>
        <w:t xml:space="preserve"> resume las métricas de desempeño para el benchmark y las distintas estrategias de momentum sectorial consideradas. La muestra efectiva utilizada para la comparación se extiende desde </w:t>
      </w:r>
      <w:r w:rsidR="006520ED">
        <w:rPr>
          <w:rFonts w:cs="Times New Roman"/>
          <w:lang w:val="es-AR"/>
        </w:rPr>
        <w:t>enero</w:t>
      </w:r>
      <w:r w:rsidRPr="008F4FB6">
        <w:rPr>
          <w:rFonts w:cs="Times New Roman"/>
          <w:lang w:val="es-AR"/>
        </w:rPr>
        <w:t xml:space="preserve"> de 200</w:t>
      </w:r>
      <w:r w:rsidR="006520ED">
        <w:rPr>
          <w:rFonts w:cs="Times New Roman"/>
          <w:lang w:val="es-AR"/>
        </w:rPr>
        <w:t>5</w:t>
      </w:r>
      <w:r w:rsidRPr="008F4FB6">
        <w:rPr>
          <w:rFonts w:cs="Times New Roman"/>
          <w:lang w:val="es-AR"/>
        </w:rPr>
        <w:t xml:space="preserve"> hasta diciembre de 2025, período en el cual todas las estrategias y el benchmark presentan observaciones mensuales simultáneamente disponibles.</w:t>
      </w:r>
    </w:p>
    <w:p w14:paraId="30BDC845" w14:textId="04DDF26A" w:rsidR="00894435" w:rsidRPr="00743667" w:rsidRDefault="00894435" w:rsidP="00743667">
      <w:pPr>
        <w:pStyle w:val="Textoindependiente"/>
        <w:spacing w:line="360" w:lineRule="auto"/>
        <w:rPr>
          <w:rFonts w:cs="Times New Roman"/>
          <w:b/>
          <w:bCs/>
          <w:i/>
          <w:iCs/>
          <w:lang w:val="es-AR"/>
        </w:rPr>
      </w:pPr>
      <w:r w:rsidRPr="00743667">
        <w:rPr>
          <w:rFonts w:cs="Times New Roman"/>
          <w:b/>
          <w:bCs/>
          <w:i/>
          <w:iCs/>
          <w:lang w:val="es-AR"/>
        </w:rPr>
        <w:t xml:space="preserve">Tabla 4.1. </w:t>
      </w:r>
      <w:r w:rsidR="00F01B40">
        <w:rPr>
          <w:rFonts w:cs="Times New Roman"/>
          <w:b/>
          <w:bCs/>
          <w:i/>
          <w:iCs/>
          <w:lang w:val="es-AR"/>
        </w:rPr>
        <w:t>Desempeño</w:t>
      </w:r>
      <w:r w:rsidRPr="00743667">
        <w:rPr>
          <w:rFonts w:cs="Times New Roman"/>
          <w:b/>
          <w:bCs/>
          <w:i/>
          <w:iCs/>
          <w:lang w:val="es-AR"/>
        </w:rPr>
        <w:t xml:space="preserve"> de las estrategias Long-Only y benchmark</w:t>
      </w:r>
    </w:p>
    <w:tbl>
      <w:tblPr>
        <w:tblW w:w="8880" w:type="dxa"/>
        <w:jc w:val="right"/>
        <w:tblCellMar>
          <w:left w:w="70" w:type="dxa"/>
          <w:right w:w="70" w:type="dxa"/>
        </w:tblCellMar>
        <w:tblLook w:val="04A0" w:firstRow="1" w:lastRow="0" w:firstColumn="1" w:lastColumn="0" w:noHBand="0" w:noVBand="1"/>
      </w:tblPr>
      <w:tblGrid>
        <w:gridCol w:w="1480"/>
        <w:gridCol w:w="1480"/>
        <w:gridCol w:w="1480"/>
        <w:gridCol w:w="1480"/>
        <w:gridCol w:w="1480"/>
        <w:gridCol w:w="1480"/>
      </w:tblGrid>
      <w:tr w:rsidR="00F34F76" w:rsidRPr="00F34F76" w14:paraId="06F92AAE" w14:textId="77777777" w:rsidTr="00F34F76">
        <w:trPr>
          <w:trHeight w:val="600"/>
          <w:jc w:val="right"/>
        </w:trPr>
        <w:tc>
          <w:tcPr>
            <w:tcW w:w="1480" w:type="dxa"/>
            <w:tcBorders>
              <w:top w:val="nil"/>
              <w:left w:val="nil"/>
              <w:bottom w:val="nil"/>
              <w:right w:val="nil"/>
            </w:tcBorders>
            <w:vAlign w:val="bottom"/>
            <w:hideMark/>
          </w:tcPr>
          <w:p w14:paraId="7BB8DED2" w14:textId="77777777" w:rsidR="00F34F76" w:rsidRPr="00F34F76" w:rsidRDefault="00F34F76" w:rsidP="00F34F76">
            <w:pPr>
              <w:spacing w:line="240" w:lineRule="auto"/>
              <w:jc w:val="left"/>
              <w:rPr>
                <w:rFonts w:eastAsia="Times New Roman" w:cs="Times New Roman"/>
                <w:kern w:val="0"/>
                <w:lang w:eastAsia="es-AR"/>
                <w14:ligatures w14:val="none"/>
              </w:rPr>
            </w:pPr>
          </w:p>
        </w:tc>
        <w:tc>
          <w:tcPr>
            <w:tcW w:w="1480" w:type="dxa"/>
            <w:tcBorders>
              <w:top w:val="single" w:sz="4" w:space="0" w:color="auto"/>
              <w:left w:val="single" w:sz="4" w:space="0" w:color="auto"/>
              <w:bottom w:val="single" w:sz="4" w:space="0" w:color="auto"/>
              <w:right w:val="single" w:sz="4" w:space="0" w:color="auto"/>
            </w:tcBorders>
            <w:hideMark/>
          </w:tcPr>
          <w:p w14:paraId="7E4923BC"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Retorno mensual promedio (%)</w:t>
            </w:r>
          </w:p>
        </w:tc>
        <w:tc>
          <w:tcPr>
            <w:tcW w:w="1480" w:type="dxa"/>
            <w:tcBorders>
              <w:top w:val="single" w:sz="4" w:space="0" w:color="auto"/>
              <w:left w:val="nil"/>
              <w:bottom w:val="single" w:sz="4" w:space="0" w:color="auto"/>
              <w:right w:val="single" w:sz="4" w:space="0" w:color="auto"/>
            </w:tcBorders>
            <w:hideMark/>
          </w:tcPr>
          <w:p w14:paraId="56ECD077"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CAGR (%)</w:t>
            </w:r>
          </w:p>
        </w:tc>
        <w:tc>
          <w:tcPr>
            <w:tcW w:w="1480" w:type="dxa"/>
            <w:tcBorders>
              <w:top w:val="single" w:sz="4" w:space="0" w:color="auto"/>
              <w:left w:val="nil"/>
              <w:bottom w:val="single" w:sz="4" w:space="0" w:color="auto"/>
              <w:right w:val="single" w:sz="4" w:space="0" w:color="auto"/>
            </w:tcBorders>
            <w:hideMark/>
          </w:tcPr>
          <w:p w14:paraId="56065818"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Volatilidad anual (%)</w:t>
            </w:r>
          </w:p>
        </w:tc>
        <w:tc>
          <w:tcPr>
            <w:tcW w:w="1480" w:type="dxa"/>
            <w:tcBorders>
              <w:top w:val="single" w:sz="4" w:space="0" w:color="auto"/>
              <w:left w:val="nil"/>
              <w:bottom w:val="single" w:sz="4" w:space="0" w:color="auto"/>
              <w:right w:val="single" w:sz="4" w:space="0" w:color="auto"/>
            </w:tcBorders>
            <w:hideMark/>
          </w:tcPr>
          <w:p w14:paraId="4C6E7C04"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Sharpe Ratio (Rf=^IRX)</w:t>
            </w:r>
          </w:p>
        </w:tc>
        <w:tc>
          <w:tcPr>
            <w:tcW w:w="1480" w:type="dxa"/>
            <w:tcBorders>
              <w:top w:val="single" w:sz="4" w:space="0" w:color="auto"/>
              <w:left w:val="nil"/>
              <w:bottom w:val="single" w:sz="4" w:space="0" w:color="auto"/>
              <w:right w:val="single" w:sz="4" w:space="0" w:color="auto"/>
            </w:tcBorders>
            <w:hideMark/>
          </w:tcPr>
          <w:p w14:paraId="4598837D"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Max Drawdown (%)</w:t>
            </w:r>
          </w:p>
        </w:tc>
      </w:tr>
      <w:tr w:rsidR="00F34F76" w:rsidRPr="00F34F76" w14:paraId="0C0BAF7A" w14:textId="77777777" w:rsidTr="00F34F76">
        <w:trPr>
          <w:trHeight w:val="300"/>
          <w:jc w:val="right"/>
        </w:trPr>
        <w:tc>
          <w:tcPr>
            <w:tcW w:w="1480" w:type="dxa"/>
            <w:tcBorders>
              <w:top w:val="single" w:sz="4" w:space="0" w:color="auto"/>
              <w:left w:val="single" w:sz="4" w:space="0" w:color="auto"/>
              <w:bottom w:val="single" w:sz="4" w:space="0" w:color="auto"/>
              <w:right w:val="single" w:sz="4" w:space="0" w:color="auto"/>
            </w:tcBorders>
            <w:hideMark/>
          </w:tcPr>
          <w:p w14:paraId="1FE707A4"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SPY</w:t>
            </w:r>
          </w:p>
        </w:tc>
        <w:tc>
          <w:tcPr>
            <w:tcW w:w="1480" w:type="dxa"/>
            <w:tcBorders>
              <w:top w:val="nil"/>
              <w:left w:val="nil"/>
              <w:bottom w:val="single" w:sz="4" w:space="0" w:color="auto"/>
              <w:right w:val="single" w:sz="4" w:space="0" w:color="auto"/>
            </w:tcBorders>
            <w:vAlign w:val="bottom"/>
            <w:hideMark/>
          </w:tcPr>
          <w:p w14:paraId="7D1CDB6B"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0,9361</w:t>
            </w:r>
          </w:p>
        </w:tc>
        <w:tc>
          <w:tcPr>
            <w:tcW w:w="1480" w:type="dxa"/>
            <w:tcBorders>
              <w:top w:val="nil"/>
              <w:left w:val="nil"/>
              <w:bottom w:val="single" w:sz="4" w:space="0" w:color="auto"/>
              <w:right w:val="single" w:sz="4" w:space="0" w:color="auto"/>
            </w:tcBorders>
            <w:vAlign w:val="bottom"/>
            <w:hideMark/>
          </w:tcPr>
          <w:p w14:paraId="571A8497"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10,6134</w:t>
            </w:r>
          </w:p>
        </w:tc>
        <w:tc>
          <w:tcPr>
            <w:tcW w:w="1480" w:type="dxa"/>
            <w:tcBorders>
              <w:top w:val="nil"/>
              <w:left w:val="nil"/>
              <w:bottom w:val="single" w:sz="4" w:space="0" w:color="auto"/>
              <w:right w:val="single" w:sz="4" w:space="0" w:color="auto"/>
            </w:tcBorders>
            <w:vAlign w:val="bottom"/>
            <w:hideMark/>
          </w:tcPr>
          <w:p w14:paraId="2F5D8446"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14,8081</w:t>
            </w:r>
          </w:p>
        </w:tc>
        <w:tc>
          <w:tcPr>
            <w:tcW w:w="1480" w:type="dxa"/>
            <w:tcBorders>
              <w:top w:val="nil"/>
              <w:left w:val="nil"/>
              <w:bottom w:val="single" w:sz="4" w:space="0" w:color="auto"/>
              <w:right w:val="single" w:sz="4" w:space="0" w:color="auto"/>
            </w:tcBorders>
            <w:vAlign w:val="bottom"/>
            <w:hideMark/>
          </w:tcPr>
          <w:p w14:paraId="31A84F17"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0,6462</w:t>
            </w:r>
          </w:p>
        </w:tc>
        <w:tc>
          <w:tcPr>
            <w:tcW w:w="1480" w:type="dxa"/>
            <w:tcBorders>
              <w:top w:val="nil"/>
              <w:left w:val="nil"/>
              <w:bottom w:val="single" w:sz="4" w:space="0" w:color="auto"/>
              <w:right w:val="single" w:sz="4" w:space="0" w:color="auto"/>
            </w:tcBorders>
            <w:vAlign w:val="bottom"/>
            <w:hideMark/>
          </w:tcPr>
          <w:p w14:paraId="20EF0125"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-50,7848</w:t>
            </w:r>
          </w:p>
        </w:tc>
      </w:tr>
      <w:tr w:rsidR="00F34F76" w:rsidRPr="00F34F76" w14:paraId="0B7CC9C4" w14:textId="77777777" w:rsidTr="00F34F76">
        <w:trPr>
          <w:trHeight w:val="300"/>
          <w:jc w:val="right"/>
        </w:trPr>
        <w:tc>
          <w:tcPr>
            <w:tcW w:w="1480" w:type="dxa"/>
            <w:tcBorders>
              <w:top w:val="nil"/>
              <w:left w:val="single" w:sz="4" w:space="0" w:color="auto"/>
              <w:bottom w:val="single" w:sz="4" w:space="0" w:color="auto"/>
              <w:right w:val="single" w:sz="4" w:space="0" w:color="auto"/>
            </w:tcBorders>
            <w:hideMark/>
          </w:tcPr>
          <w:p w14:paraId="3757964A"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LO_3</w:t>
            </w:r>
          </w:p>
        </w:tc>
        <w:tc>
          <w:tcPr>
            <w:tcW w:w="1480" w:type="dxa"/>
            <w:tcBorders>
              <w:top w:val="nil"/>
              <w:left w:val="nil"/>
              <w:bottom w:val="single" w:sz="4" w:space="0" w:color="auto"/>
              <w:right w:val="single" w:sz="4" w:space="0" w:color="auto"/>
            </w:tcBorders>
            <w:vAlign w:val="bottom"/>
            <w:hideMark/>
          </w:tcPr>
          <w:p w14:paraId="362D6CD9"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0,9227</w:t>
            </w:r>
          </w:p>
        </w:tc>
        <w:tc>
          <w:tcPr>
            <w:tcW w:w="1480" w:type="dxa"/>
            <w:tcBorders>
              <w:top w:val="nil"/>
              <w:left w:val="nil"/>
              <w:bottom w:val="single" w:sz="4" w:space="0" w:color="auto"/>
              <w:right w:val="single" w:sz="4" w:space="0" w:color="auto"/>
            </w:tcBorders>
            <w:vAlign w:val="bottom"/>
            <w:hideMark/>
          </w:tcPr>
          <w:p w14:paraId="07B5A41E"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10,4195</w:t>
            </w:r>
          </w:p>
        </w:tc>
        <w:tc>
          <w:tcPr>
            <w:tcW w:w="1480" w:type="dxa"/>
            <w:tcBorders>
              <w:top w:val="nil"/>
              <w:left w:val="nil"/>
              <w:bottom w:val="single" w:sz="4" w:space="0" w:color="auto"/>
              <w:right w:val="single" w:sz="4" w:space="0" w:color="auto"/>
            </w:tcBorders>
            <w:vAlign w:val="bottom"/>
            <w:hideMark/>
          </w:tcPr>
          <w:p w14:paraId="5E65B9DC"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14,9355</w:t>
            </w:r>
          </w:p>
        </w:tc>
        <w:tc>
          <w:tcPr>
            <w:tcW w:w="1480" w:type="dxa"/>
            <w:tcBorders>
              <w:top w:val="nil"/>
              <w:left w:val="nil"/>
              <w:bottom w:val="single" w:sz="4" w:space="0" w:color="auto"/>
              <w:right w:val="single" w:sz="4" w:space="0" w:color="auto"/>
            </w:tcBorders>
            <w:vAlign w:val="bottom"/>
            <w:hideMark/>
          </w:tcPr>
          <w:p w14:paraId="7F981824" w14:textId="701E50E2"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0,629</w:t>
            </w:r>
            <w:r w:rsidR="00FD075D">
              <w:rPr>
                <w:rFonts w:ascii="Calibri" w:eastAsia="Times New Roman" w:hAnsi="Calibri" w:cs="Calibri"/>
                <w:color w:val="000000"/>
                <w:kern w:val="0"/>
                <w:sz w:val="22"/>
                <w:szCs w:val="22"/>
                <w:lang w:eastAsia="es-AR"/>
                <w14:ligatures w14:val="none"/>
              </w:rPr>
              <w:t>6</w:t>
            </w:r>
          </w:p>
        </w:tc>
        <w:tc>
          <w:tcPr>
            <w:tcW w:w="1480" w:type="dxa"/>
            <w:tcBorders>
              <w:top w:val="nil"/>
              <w:left w:val="nil"/>
              <w:bottom w:val="single" w:sz="4" w:space="0" w:color="auto"/>
              <w:right w:val="single" w:sz="4" w:space="0" w:color="auto"/>
            </w:tcBorders>
            <w:vAlign w:val="bottom"/>
            <w:hideMark/>
          </w:tcPr>
          <w:p w14:paraId="08E31A83"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-45,1563</w:t>
            </w:r>
          </w:p>
        </w:tc>
      </w:tr>
      <w:tr w:rsidR="00F34F76" w:rsidRPr="00F34F76" w14:paraId="1C4F121C" w14:textId="77777777" w:rsidTr="00F34F76">
        <w:trPr>
          <w:trHeight w:val="300"/>
          <w:jc w:val="right"/>
        </w:trPr>
        <w:tc>
          <w:tcPr>
            <w:tcW w:w="1480" w:type="dxa"/>
            <w:tcBorders>
              <w:top w:val="nil"/>
              <w:left w:val="single" w:sz="4" w:space="0" w:color="auto"/>
              <w:bottom w:val="single" w:sz="4" w:space="0" w:color="auto"/>
              <w:right w:val="single" w:sz="4" w:space="0" w:color="auto"/>
            </w:tcBorders>
            <w:hideMark/>
          </w:tcPr>
          <w:p w14:paraId="4D552431"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LO_6</w:t>
            </w:r>
          </w:p>
        </w:tc>
        <w:tc>
          <w:tcPr>
            <w:tcW w:w="1480" w:type="dxa"/>
            <w:tcBorders>
              <w:top w:val="nil"/>
              <w:left w:val="nil"/>
              <w:bottom w:val="single" w:sz="4" w:space="0" w:color="auto"/>
              <w:right w:val="single" w:sz="4" w:space="0" w:color="auto"/>
            </w:tcBorders>
            <w:vAlign w:val="bottom"/>
            <w:hideMark/>
          </w:tcPr>
          <w:p w14:paraId="565A4A49"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0,8039</w:t>
            </w:r>
          </w:p>
        </w:tc>
        <w:tc>
          <w:tcPr>
            <w:tcW w:w="1480" w:type="dxa"/>
            <w:tcBorders>
              <w:top w:val="nil"/>
              <w:left w:val="nil"/>
              <w:bottom w:val="single" w:sz="4" w:space="0" w:color="auto"/>
              <w:right w:val="single" w:sz="4" w:space="0" w:color="auto"/>
            </w:tcBorders>
            <w:vAlign w:val="bottom"/>
            <w:hideMark/>
          </w:tcPr>
          <w:p w14:paraId="60E0AE3B"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8,9575</w:t>
            </w:r>
          </w:p>
        </w:tc>
        <w:tc>
          <w:tcPr>
            <w:tcW w:w="1480" w:type="dxa"/>
            <w:tcBorders>
              <w:top w:val="nil"/>
              <w:left w:val="nil"/>
              <w:bottom w:val="single" w:sz="4" w:space="0" w:color="auto"/>
              <w:right w:val="single" w:sz="4" w:space="0" w:color="auto"/>
            </w:tcBorders>
            <w:vAlign w:val="bottom"/>
            <w:hideMark/>
          </w:tcPr>
          <w:p w14:paraId="2688F3DD"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14,3849</w:t>
            </w:r>
          </w:p>
        </w:tc>
        <w:tc>
          <w:tcPr>
            <w:tcW w:w="1480" w:type="dxa"/>
            <w:tcBorders>
              <w:top w:val="nil"/>
              <w:left w:val="nil"/>
              <w:bottom w:val="single" w:sz="4" w:space="0" w:color="auto"/>
              <w:right w:val="single" w:sz="4" w:space="0" w:color="auto"/>
            </w:tcBorders>
            <w:vAlign w:val="bottom"/>
            <w:hideMark/>
          </w:tcPr>
          <w:p w14:paraId="6F00245F" w14:textId="08B67AAC"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0,554</w:t>
            </w:r>
            <w:r w:rsidR="00FD075D">
              <w:rPr>
                <w:rFonts w:ascii="Calibri" w:eastAsia="Times New Roman" w:hAnsi="Calibri" w:cs="Calibri"/>
                <w:color w:val="000000"/>
                <w:kern w:val="0"/>
                <w:sz w:val="22"/>
                <w:szCs w:val="22"/>
                <w:lang w:eastAsia="es-AR"/>
                <w14:ligatures w14:val="none"/>
              </w:rPr>
              <w:t>4</w:t>
            </w:r>
          </w:p>
        </w:tc>
        <w:tc>
          <w:tcPr>
            <w:tcW w:w="1480" w:type="dxa"/>
            <w:tcBorders>
              <w:top w:val="nil"/>
              <w:left w:val="nil"/>
              <w:bottom w:val="single" w:sz="4" w:space="0" w:color="auto"/>
              <w:right w:val="single" w:sz="4" w:space="0" w:color="auto"/>
            </w:tcBorders>
            <w:vAlign w:val="bottom"/>
            <w:hideMark/>
          </w:tcPr>
          <w:p w14:paraId="73804E77"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-44,4650</w:t>
            </w:r>
          </w:p>
        </w:tc>
      </w:tr>
      <w:tr w:rsidR="00F34F76" w:rsidRPr="00F34F76" w14:paraId="7D04BEDB" w14:textId="77777777" w:rsidTr="00F34F76">
        <w:trPr>
          <w:trHeight w:val="300"/>
          <w:jc w:val="right"/>
        </w:trPr>
        <w:tc>
          <w:tcPr>
            <w:tcW w:w="1480" w:type="dxa"/>
            <w:tcBorders>
              <w:top w:val="nil"/>
              <w:left w:val="single" w:sz="4" w:space="0" w:color="auto"/>
              <w:bottom w:val="single" w:sz="4" w:space="0" w:color="auto"/>
              <w:right w:val="single" w:sz="4" w:space="0" w:color="auto"/>
            </w:tcBorders>
            <w:hideMark/>
          </w:tcPr>
          <w:p w14:paraId="20767EC9" w14:textId="77777777" w:rsidR="00F34F76" w:rsidRPr="00F34F76" w:rsidRDefault="00F34F76" w:rsidP="00F34F76">
            <w:pPr>
              <w:spacing w:line="240" w:lineRule="auto"/>
              <w:jc w:val="center"/>
              <w:rPr>
                <w:rFonts w:ascii="Calibri" w:eastAsia="Times New Roman" w:hAnsi="Calibri" w:cs="Calibri"/>
                <w:b/>
                <w:bCs/>
                <w:kern w:val="0"/>
                <w:sz w:val="22"/>
                <w:szCs w:val="22"/>
                <w:lang w:eastAsia="es-AR"/>
                <w14:ligatures w14:val="none"/>
              </w:rPr>
            </w:pPr>
            <w:r w:rsidRPr="00F34F76">
              <w:rPr>
                <w:rFonts w:ascii="Calibri" w:eastAsia="Times New Roman" w:hAnsi="Calibri" w:cs="Calibri"/>
                <w:b/>
                <w:bCs/>
                <w:kern w:val="0"/>
                <w:sz w:val="22"/>
                <w:szCs w:val="22"/>
                <w:lang w:eastAsia="es-AR"/>
                <w14:ligatures w14:val="none"/>
              </w:rPr>
              <w:t>LO_12</w:t>
            </w:r>
          </w:p>
        </w:tc>
        <w:tc>
          <w:tcPr>
            <w:tcW w:w="1480" w:type="dxa"/>
            <w:tcBorders>
              <w:top w:val="nil"/>
              <w:left w:val="nil"/>
              <w:bottom w:val="single" w:sz="4" w:space="0" w:color="auto"/>
              <w:right w:val="single" w:sz="4" w:space="0" w:color="auto"/>
            </w:tcBorders>
            <w:vAlign w:val="bottom"/>
            <w:hideMark/>
          </w:tcPr>
          <w:p w14:paraId="7CEAAAD9"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0,8655</w:t>
            </w:r>
          </w:p>
        </w:tc>
        <w:tc>
          <w:tcPr>
            <w:tcW w:w="1480" w:type="dxa"/>
            <w:tcBorders>
              <w:top w:val="nil"/>
              <w:left w:val="nil"/>
              <w:bottom w:val="single" w:sz="4" w:space="0" w:color="auto"/>
              <w:right w:val="single" w:sz="4" w:space="0" w:color="auto"/>
            </w:tcBorders>
            <w:vAlign w:val="bottom"/>
            <w:hideMark/>
          </w:tcPr>
          <w:p w14:paraId="51A9521F"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9,7508</w:t>
            </w:r>
          </w:p>
        </w:tc>
        <w:tc>
          <w:tcPr>
            <w:tcW w:w="1480" w:type="dxa"/>
            <w:tcBorders>
              <w:top w:val="nil"/>
              <w:left w:val="nil"/>
              <w:bottom w:val="single" w:sz="4" w:space="0" w:color="auto"/>
              <w:right w:val="single" w:sz="4" w:space="0" w:color="auto"/>
            </w:tcBorders>
            <w:vAlign w:val="bottom"/>
            <w:hideMark/>
          </w:tcPr>
          <w:p w14:paraId="67C062E0"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14,4445</w:t>
            </w:r>
          </w:p>
        </w:tc>
        <w:tc>
          <w:tcPr>
            <w:tcW w:w="1480" w:type="dxa"/>
            <w:tcBorders>
              <w:top w:val="nil"/>
              <w:left w:val="nil"/>
              <w:bottom w:val="single" w:sz="4" w:space="0" w:color="auto"/>
              <w:right w:val="single" w:sz="4" w:space="0" w:color="auto"/>
            </w:tcBorders>
            <w:vAlign w:val="bottom"/>
            <w:hideMark/>
          </w:tcPr>
          <w:p w14:paraId="5A9E0FA1" w14:textId="454DF8F5"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0,603</w:t>
            </w:r>
            <w:r w:rsidR="00FD075D">
              <w:rPr>
                <w:rFonts w:ascii="Calibri" w:eastAsia="Times New Roman" w:hAnsi="Calibri" w:cs="Calibri"/>
                <w:color w:val="000000"/>
                <w:kern w:val="0"/>
                <w:sz w:val="22"/>
                <w:szCs w:val="22"/>
                <w:lang w:eastAsia="es-AR"/>
                <w14:ligatures w14:val="none"/>
              </w:rPr>
              <w:t>3</w:t>
            </w:r>
          </w:p>
        </w:tc>
        <w:tc>
          <w:tcPr>
            <w:tcW w:w="1480" w:type="dxa"/>
            <w:tcBorders>
              <w:top w:val="nil"/>
              <w:left w:val="nil"/>
              <w:bottom w:val="single" w:sz="4" w:space="0" w:color="auto"/>
              <w:right w:val="single" w:sz="4" w:space="0" w:color="auto"/>
            </w:tcBorders>
            <w:vAlign w:val="bottom"/>
            <w:hideMark/>
          </w:tcPr>
          <w:p w14:paraId="7CCA6EAC" w14:textId="77777777" w:rsidR="00F34F76" w:rsidRPr="00F34F76" w:rsidRDefault="00F34F76" w:rsidP="00F34F76">
            <w:pPr>
              <w:spacing w:line="240" w:lineRule="auto"/>
              <w:jc w:val="center"/>
              <w:rPr>
                <w:rFonts w:ascii="Calibri" w:eastAsia="Times New Roman" w:hAnsi="Calibri" w:cs="Calibri"/>
                <w:color w:val="000000"/>
                <w:kern w:val="0"/>
                <w:sz w:val="22"/>
                <w:szCs w:val="22"/>
                <w:lang w:eastAsia="es-AR"/>
                <w14:ligatures w14:val="none"/>
              </w:rPr>
            </w:pPr>
            <w:r w:rsidRPr="00F34F76">
              <w:rPr>
                <w:rFonts w:ascii="Calibri" w:eastAsia="Times New Roman" w:hAnsi="Calibri" w:cs="Calibri"/>
                <w:color w:val="000000"/>
                <w:kern w:val="0"/>
                <w:sz w:val="22"/>
                <w:szCs w:val="22"/>
                <w:lang w:eastAsia="es-AR"/>
                <w14:ligatures w14:val="none"/>
              </w:rPr>
              <w:t>-39,0663</w:t>
            </w:r>
          </w:p>
        </w:tc>
      </w:tr>
    </w:tbl>
    <w:p w14:paraId="3A1AD9DC" w14:textId="77777777" w:rsidR="00894435" w:rsidRPr="00743667" w:rsidRDefault="00894435" w:rsidP="00F34F76">
      <w:pPr>
        <w:spacing w:line="360" w:lineRule="auto"/>
        <w:jc w:val="center"/>
        <w:rPr>
          <w:rFonts w:cs="Times New Roman"/>
          <w:b/>
          <w:bCs/>
          <w:i/>
          <w:iCs/>
        </w:rPr>
      </w:pPr>
    </w:p>
    <w:p w14:paraId="3324A1F7" w14:textId="2D090EF5" w:rsidR="00B01B01" w:rsidRPr="00B01B01" w:rsidRDefault="00B01B01" w:rsidP="008512FD">
      <w:pPr>
        <w:spacing w:line="360" w:lineRule="auto"/>
      </w:pPr>
      <w:bookmarkStart w:id="62" w:name="evolución-temporal-y-curvas-de-capital"/>
      <w:bookmarkEnd w:id="60"/>
      <w:r w:rsidRPr="00E235B7">
        <w:rPr>
          <w:i/>
          <w:iCs/>
        </w:rPr>
        <w:t>Notas:</w:t>
      </w:r>
      <w:r w:rsidRPr="00B01B01">
        <w:t xml:space="preserve"> Retornos mensuales netos de costos de transacción, calculados a frecuencia mensual (fin de mes). El retorno mensual promedio y la volatilidad anual se expresan en porcentaje. El ratio de Sharpe se calcula utilizando como tasa libre de riesgo el </w:t>
      </w:r>
      <w:r w:rsidRPr="00B01B01">
        <w:lastRenderedPageBreak/>
        <w:t>rendimiento del Treasury Bill a 3 meses (índice ^IRX), convertido a frecuencia mensual</w:t>
      </w:r>
      <w:r w:rsidR="00B02F47">
        <w:t xml:space="preserve">, </w:t>
      </w:r>
      <w:r w:rsidR="00B02F47" w:rsidRPr="00B02F47">
        <w:t xml:space="preserve">y empleando en el denominador la desviación estándar de los retornos en exceso </w:t>
      </w:r>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p</m:t>
                </m:r>
              </m:sub>
            </m:sSub>
          </m:e>
          <m:e>
            <m:sSub>
              <m:sSubPr>
                <m:ctrlPr>
                  <w:rPr>
                    <w:rFonts w:ascii="Cambria Math" w:hAnsi="Cambria Math"/>
                  </w:rPr>
                </m:ctrlPr>
              </m:sSubPr>
              <m:e>
                <m:r>
                  <w:rPr>
                    <w:rFonts w:ascii="Cambria Math" w:hAnsi="Cambria Math"/>
                  </w:rPr>
                  <m:t>R</m:t>
                </m:r>
              </m:e>
              <m:sub>
                <m:r>
                  <w:rPr>
                    <w:rFonts w:ascii="Cambria Math" w:hAnsi="Cambria Math"/>
                  </w:rPr>
                  <m:t>f</m:t>
                </m:r>
              </m:sub>
            </m:sSub>
          </m:e>
        </m:d>
      </m:oMath>
      <w:r w:rsidR="00B02F47" w:rsidRPr="00B02F47">
        <w:t xml:space="preserve">, anualizada por </w:t>
      </w:r>
      <m:oMath>
        <m:rad>
          <m:radPr>
            <m:degHide m:val="1"/>
            <m:ctrlPr>
              <w:rPr>
                <w:rFonts w:ascii="Cambria Math" w:hAnsi="Cambria Math"/>
              </w:rPr>
            </m:ctrlPr>
          </m:radPr>
          <m:deg/>
          <m:e>
            <m:r>
              <w:rPr>
                <w:rFonts w:ascii="Cambria Math" w:hAnsi="Cambria Math"/>
              </w:rPr>
              <m:t>12</m:t>
            </m:r>
          </m:e>
        </m:rad>
      </m:oMath>
      <w:r w:rsidR="00B02F47" w:rsidRPr="00B02F47">
        <w:t>.</w:t>
      </w:r>
      <w:r w:rsidRPr="00B01B01">
        <w:t xml:space="preserve"> El máximo drawdown corresponde a la mayor caída pico–valle observada sobre la curva de capital construida a partir de retornos mensuales netos.</w:t>
      </w:r>
    </w:p>
    <w:p w14:paraId="1F6660CA" w14:textId="77777777" w:rsidR="00894435" w:rsidRPr="009706C8" w:rsidRDefault="00894435">
      <w:pPr>
        <w:pStyle w:val="Ttulo2"/>
        <w:rPr>
          <w:rFonts w:cs="Times New Roman"/>
        </w:rPr>
      </w:pPr>
      <w:bookmarkStart w:id="63" w:name="_Toc223214778"/>
      <w:r w:rsidRPr="009706C8">
        <w:rPr>
          <w:rFonts w:cs="Times New Roman"/>
        </w:rPr>
        <w:t>4.2 Evolución temporal y curvas de capital</w:t>
      </w:r>
      <w:bookmarkEnd w:id="63"/>
    </w:p>
    <w:p w14:paraId="359BF9FA" w14:textId="77777777" w:rsidR="00FC0265" w:rsidRPr="00FC0265" w:rsidRDefault="00FC0265" w:rsidP="00FC0265">
      <w:pPr>
        <w:pStyle w:val="Textoindependiente"/>
        <w:spacing w:line="360" w:lineRule="auto"/>
        <w:rPr>
          <w:rFonts w:cs="Times New Roman"/>
          <w:lang w:val="es-AR"/>
        </w:rPr>
      </w:pPr>
      <w:r w:rsidRPr="00FC0265">
        <w:rPr>
          <w:rFonts w:cs="Times New Roman"/>
          <w:lang w:val="es-AR"/>
        </w:rPr>
        <w:t>Para complementar el análisis de rentabilidad promedio, se examina la evolución temporal del valor acumulado de las estrategias a través de curvas de capital. Este enfoque permite visualizar la dinámica del desempeño a lo largo del tiempo, identificar períodos de sobre y subdesempeño relativo frente al benchmark y evaluar la persistencia de los resultados obtenidos.</w:t>
      </w:r>
    </w:p>
    <w:p w14:paraId="3BD1C86F" w14:textId="77777777" w:rsidR="00FC0265" w:rsidRPr="00FC0265" w:rsidRDefault="00FC0265" w:rsidP="00FC0265">
      <w:pPr>
        <w:pStyle w:val="Textoindependiente"/>
        <w:spacing w:line="360" w:lineRule="auto"/>
        <w:rPr>
          <w:rFonts w:cs="Times New Roman"/>
          <w:lang w:val="es-AR"/>
        </w:rPr>
      </w:pPr>
      <w:r w:rsidRPr="00FC0265">
        <w:rPr>
          <w:rFonts w:cs="Times New Roman"/>
          <w:lang w:val="es-AR"/>
        </w:rPr>
        <w:t>Las curvas de capital se construyen a partir de una inversión inicial unitaria, fijando una base común igual a 1 tanto para cada estrategia como para el benchmark, lo que facilita una comparación directa y homogénea entre las distintas alternativas de inversión consideradas.</w:t>
      </w:r>
    </w:p>
    <w:p w14:paraId="7A031147" w14:textId="77777777" w:rsidR="00894435" w:rsidRPr="00743667" w:rsidRDefault="00894435" w:rsidP="00743667">
      <w:pPr>
        <w:pStyle w:val="Textoindependiente"/>
        <w:spacing w:line="360" w:lineRule="auto"/>
        <w:rPr>
          <w:rFonts w:cs="Times New Roman"/>
          <w:lang w:val="es-AR"/>
        </w:rPr>
      </w:pPr>
      <w:r w:rsidRPr="00743667">
        <w:rPr>
          <w:rFonts w:cs="Times New Roman"/>
          <w:b/>
          <w:bCs/>
          <w:lang w:val="es-AR"/>
        </w:rPr>
        <w:t xml:space="preserve">Figura 4.1. Curvas de capital: estrategias Momentum Sectorial Long-Only y benchmark </w:t>
      </w:r>
    </w:p>
    <w:p w14:paraId="62BAD185" w14:textId="77777777" w:rsidR="00894435" w:rsidRPr="0071089C" w:rsidRDefault="0071089C" w:rsidP="0071089C">
      <w:pPr>
        <w:pStyle w:val="Textoindependiente"/>
        <w:spacing w:line="360" w:lineRule="auto"/>
        <w:jc w:val="left"/>
        <w:rPr>
          <w:rFonts w:cs="Times New Roman"/>
        </w:rPr>
      </w:pPr>
      <w:r w:rsidRPr="0071089C">
        <w:rPr>
          <w:rFonts w:cs="Times New Roman"/>
          <w:noProof/>
        </w:rPr>
        <w:drawing>
          <wp:inline distT="0" distB="0" distL="0" distR="0" wp14:anchorId="6305C11B" wp14:editId="1A1DFC18">
            <wp:extent cx="5788325" cy="3157268"/>
            <wp:effectExtent l="0" t="0" r="3175" b="5080"/>
            <wp:docPr id="65178258"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8258" name="Imagen 2" descr="Gráfico, Gráfico de línea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0436" cy="3158420"/>
                    </a:xfrm>
                    <a:prstGeom prst="rect">
                      <a:avLst/>
                    </a:prstGeom>
                    <a:noFill/>
                    <a:ln>
                      <a:noFill/>
                    </a:ln>
                  </pic:spPr>
                </pic:pic>
              </a:graphicData>
            </a:graphic>
          </wp:inline>
        </w:drawing>
      </w:r>
    </w:p>
    <w:p w14:paraId="3404B78E" w14:textId="77777777" w:rsidR="00894435" w:rsidRPr="00743667" w:rsidRDefault="00894435" w:rsidP="00743667">
      <w:pPr>
        <w:pStyle w:val="Textoindependiente"/>
        <w:spacing w:line="360" w:lineRule="auto"/>
        <w:rPr>
          <w:rFonts w:cs="Times New Roman"/>
          <w:lang w:val="es-AR"/>
        </w:rPr>
      </w:pPr>
    </w:p>
    <w:p w14:paraId="34028D11" w14:textId="77777777" w:rsidR="00894435" w:rsidRPr="00E91523" w:rsidRDefault="00894435" w:rsidP="00E91523">
      <w:pPr>
        <w:pStyle w:val="Textoindependiente"/>
        <w:spacing w:line="360" w:lineRule="auto"/>
        <w:rPr>
          <w:rFonts w:cs="Times New Roman"/>
          <w:lang w:val="es-AR"/>
        </w:rPr>
      </w:pPr>
      <w:r w:rsidRPr="00E235B7">
        <w:rPr>
          <w:rFonts w:cs="Times New Roman"/>
          <w:i/>
          <w:iCs/>
          <w:lang w:val="es-AR"/>
        </w:rPr>
        <w:lastRenderedPageBreak/>
        <w:t>Nota:</w:t>
      </w:r>
      <w:r w:rsidRPr="00FC0265">
        <w:rPr>
          <w:rFonts w:cs="Times New Roman"/>
          <w:lang w:val="es-AR"/>
        </w:rPr>
        <w:t xml:space="preserve"> </w:t>
      </w:r>
      <w:r w:rsidR="00E235B7" w:rsidRPr="00E235B7">
        <w:rPr>
          <w:rFonts w:cs="Times New Roman"/>
          <w:lang w:val="es-AR"/>
        </w:rPr>
        <w:t xml:space="preserve">La figura muestra la evolución del valor acumulado de una inversión inicial unitaria (base = 1), construida a partir de retornos mensuales netos de costos de transacción, calculados a fin de mes. El benchmark corresponde a una estrategia buy-and-hold sobre el ETF SPY. La muestra efectiva se extiende desde </w:t>
      </w:r>
      <w:r w:rsidR="006520ED">
        <w:rPr>
          <w:rFonts w:cs="Times New Roman"/>
          <w:lang w:val="es-AR"/>
        </w:rPr>
        <w:t>enero</w:t>
      </w:r>
      <w:r w:rsidR="00E235B7" w:rsidRPr="00E235B7">
        <w:rPr>
          <w:rFonts w:cs="Times New Roman"/>
          <w:lang w:val="es-AR"/>
        </w:rPr>
        <w:t xml:space="preserve"> de 200</w:t>
      </w:r>
      <w:r w:rsidR="006520ED">
        <w:rPr>
          <w:rFonts w:cs="Times New Roman"/>
          <w:lang w:val="es-AR"/>
        </w:rPr>
        <w:t>5</w:t>
      </w:r>
      <w:r w:rsidR="00E235B7" w:rsidRPr="00E235B7">
        <w:rPr>
          <w:rFonts w:cs="Times New Roman"/>
          <w:lang w:val="es-AR"/>
        </w:rPr>
        <w:t xml:space="preserve"> hasta diciembre de 2025, período en el cual todas las estrategias y el benchmark presentan observaciones mensuales simultáneamente disponibles.</w:t>
      </w:r>
    </w:p>
    <w:p w14:paraId="60EA8DC8" w14:textId="77777777" w:rsidR="00894435" w:rsidRPr="009706C8" w:rsidRDefault="00894435">
      <w:pPr>
        <w:pStyle w:val="Ttulo2"/>
        <w:rPr>
          <w:rFonts w:cs="Times New Roman"/>
        </w:rPr>
      </w:pPr>
      <w:bookmarkStart w:id="64" w:name="_Toc223214779"/>
      <w:bookmarkStart w:id="65" w:name="medidas-de-riesgo-y-drawdowns"/>
      <w:bookmarkEnd w:id="62"/>
      <w:r w:rsidRPr="009706C8">
        <w:rPr>
          <w:rFonts w:cs="Times New Roman"/>
        </w:rPr>
        <w:t>4.3 Medidas de riesgo y drawdowns</w:t>
      </w:r>
      <w:bookmarkEnd w:id="64"/>
    </w:p>
    <w:p w14:paraId="214E0BDF" w14:textId="77777777" w:rsidR="00C84244" w:rsidRPr="00C84244" w:rsidRDefault="00C84244" w:rsidP="00C84244">
      <w:pPr>
        <w:pStyle w:val="Textoindependiente"/>
        <w:spacing w:line="360" w:lineRule="auto"/>
        <w:rPr>
          <w:rFonts w:cs="Times New Roman"/>
          <w:lang w:val="es-AR"/>
        </w:rPr>
      </w:pPr>
      <w:r w:rsidRPr="00C84244">
        <w:rPr>
          <w:rFonts w:cs="Times New Roman"/>
          <w:lang w:val="es-AR"/>
        </w:rPr>
        <w:t>El análisis del desempeño se complementa con la evaluación del riesgo asociado a cada estrategia. En particular, se consideran la volatilidad anualizada de los retornos y el drawdown máximo, métricas ampliamente utilizadas en la literatura de finanzas empíricas para caracterizar la magnitud y severidad de las pérdidas potenciales.</w:t>
      </w:r>
    </w:p>
    <w:p w14:paraId="4A2A3829" w14:textId="77777777" w:rsidR="00C84244" w:rsidRPr="00C84244" w:rsidRDefault="00C84244" w:rsidP="00C84244">
      <w:pPr>
        <w:pStyle w:val="Textoindependiente"/>
        <w:spacing w:line="360" w:lineRule="auto"/>
        <w:rPr>
          <w:rFonts w:cs="Times New Roman"/>
          <w:lang w:val="es-AR"/>
        </w:rPr>
      </w:pPr>
      <w:r w:rsidRPr="00C84244">
        <w:rPr>
          <w:rFonts w:cs="Times New Roman"/>
          <w:lang w:val="es-AR"/>
        </w:rPr>
        <w:t>La volatilidad anualizada permite capturar el riesgo total asociado a la variabilidad de los retornos, mientras que el drawdown máximo mide la mayor pérdida acumulada experimentada desde un pico previo de la curva de capital. Esta última constituye una medida especialmente relevante desde la perspectiva de un inversor, ya que resume episodios de pérdidas extremas y su impacto sobre el valor del portafolio.</w:t>
      </w:r>
    </w:p>
    <w:p w14:paraId="50B9680B" w14:textId="77777777" w:rsidR="00C84244" w:rsidRPr="00C84244" w:rsidRDefault="00C84244" w:rsidP="00C84244">
      <w:pPr>
        <w:pStyle w:val="Textoindependiente"/>
        <w:spacing w:line="360" w:lineRule="auto"/>
        <w:rPr>
          <w:rFonts w:cs="Times New Roman"/>
          <w:lang w:val="es-AR"/>
        </w:rPr>
      </w:pPr>
      <w:r w:rsidRPr="00C84244">
        <w:rPr>
          <w:rFonts w:cs="Times New Roman"/>
          <w:lang w:val="es-AR"/>
        </w:rPr>
        <w:t>A partir de los resultados reportados en la Tabla 4.1, se observan diferencias relevantes en el perfil de riesgo de las estrategias analizadas. En particular, el benchmark de mercado presenta el drawdown máximo más profundo del conjunto considerado, reflejando su exposición plena y permanente al riesgo accionario agregado, sin mecanismos de rotación sectorial que atenúen las caídas en períodos adversos.</w:t>
      </w:r>
    </w:p>
    <w:p w14:paraId="73D93E17" w14:textId="77777777" w:rsidR="00C84244" w:rsidRPr="00C84244" w:rsidRDefault="00C84244" w:rsidP="00C84244">
      <w:pPr>
        <w:pStyle w:val="Textoindependiente"/>
        <w:spacing w:line="360" w:lineRule="auto"/>
        <w:rPr>
          <w:rFonts w:cs="Times New Roman"/>
          <w:lang w:val="es-AR"/>
        </w:rPr>
      </w:pPr>
      <w:r w:rsidRPr="00C84244">
        <w:rPr>
          <w:rFonts w:cs="Times New Roman"/>
          <w:lang w:val="es-AR"/>
        </w:rPr>
        <w:t>En términos de volatilidad anualizada, las diferencias entre estrategias son acotadas. La estrategia LO_3 exhibe una volatilidad ligeramente superior a la del benchmark, mientras que las estrategias LO_6 y LO_12 presentan niveles levemente inferiores. En cambio, las diferencias son más claras en términos de drawdowns máximos: todas las estrategias de momentum muestran caídas pico–valle menos profundas que el benchmark, destacándose LO_12 como la estrategia con menor drawdown máximo del conjunto analizado. Esto sugiere un perfil de pérdidas históricas más acotado, aunque acompañado de una menor rentabilidad acumulada.</w:t>
      </w:r>
    </w:p>
    <w:p w14:paraId="702FFF39" w14:textId="77777777" w:rsidR="00894435" w:rsidRPr="00743667" w:rsidRDefault="00C84244" w:rsidP="00743667">
      <w:pPr>
        <w:pStyle w:val="Textoindependiente"/>
        <w:spacing w:line="360" w:lineRule="auto"/>
        <w:rPr>
          <w:rFonts w:cs="Times New Roman"/>
          <w:lang w:val="es-AR"/>
        </w:rPr>
      </w:pPr>
      <w:r w:rsidRPr="00C84244">
        <w:rPr>
          <w:rFonts w:cs="Times New Roman"/>
          <w:lang w:val="es-AR"/>
        </w:rPr>
        <w:t xml:space="preserve">En conjunto, estos resultados evidencian un trade-off entre rentabilidad y riesgo. Las estrategias basadas en ventanas de formación más largas tienden a mostrar un </w:t>
      </w:r>
      <w:r w:rsidRPr="00C84244">
        <w:rPr>
          <w:rFonts w:cs="Times New Roman"/>
          <w:lang w:val="es-AR"/>
        </w:rPr>
        <w:lastRenderedPageBreak/>
        <w:t>comportamiento relativamente más defensivo durante episodios adversos, mientras que las estrategias de horizonte más corto exhiben un perfil más sensible a cambios de régimen, lo que puede reflejarse en una mayor variabilidad relativa del desempeño sin necesariamente reducir el riesgo total medido por volatilidad.</w:t>
      </w:r>
    </w:p>
    <w:p w14:paraId="7C5F2C1C" w14:textId="77777777" w:rsidR="00894435" w:rsidRPr="009706C8" w:rsidRDefault="00894435">
      <w:pPr>
        <w:pStyle w:val="Ttulo2"/>
        <w:rPr>
          <w:rFonts w:cs="Times New Roman"/>
        </w:rPr>
      </w:pPr>
      <w:bookmarkStart w:id="66" w:name="_Toc223214780"/>
      <w:bookmarkStart w:id="67" w:name="ratios-ajustados-por-riesgo"/>
      <w:bookmarkEnd w:id="65"/>
      <w:r w:rsidRPr="009706C8">
        <w:rPr>
          <w:rFonts w:cs="Times New Roman"/>
        </w:rPr>
        <w:t>4.4 Ratios ajustados por riesgo</w:t>
      </w:r>
      <w:bookmarkEnd w:id="66"/>
    </w:p>
    <w:p w14:paraId="6A2C187E" w14:textId="77777777" w:rsidR="00CC1A64" w:rsidRPr="00CC1A64" w:rsidRDefault="00CC1A64" w:rsidP="00CC1A64">
      <w:pPr>
        <w:pStyle w:val="Textoindependiente"/>
        <w:spacing w:line="360" w:lineRule="auto"/>
        <w:rPr>
          <w:rFonts w:cs="Times New Roman"/>
          <w:lang w:val="es-AR"/>
        </w:rPr>
      </w:pPr>
      <w:r w:rsidRPr="00CC1A64">
        <w:rPr>
          <w:rFonts w:cs="Times New Roman"/>
          <w:lang w:val="es-AR"/>
        </w:rPr>
        <w:t>Para evaluar el desempeño de las estrategias en términos relativos al riesgo asumido, se calculan ratios ajustados por riesgo, en particular el ratio de Sharpe. Este indicador permite sintetizar la relación entre retorno esperado y volatilidad, facilitando la comparación entre estrategias con distintos niveles de riesgo total.</w:t>
      </w:r>
    </w:p>
    <w:p w14:paraId="0213EE0D" w14:textId="77777777" w:rsidR="00CC1A64" w:rsidRPr="00CC1A64" w:rsidRDefault="00CC1A64" w:rsidP="00CC1A64">
      <w:pPr>
        <w:pStyle w:val="Textoindependiente"/>
        <w:spacing w:line="360" w:lineRule="auto"/>
        <w:rPr>
          <w:rFonts w:cs="Times New Roman"/>
          <w:lang w:val="es-AR"/>
        </w:rPr>
      </w:pPr>
      <w:r w:rsidRPr="00CC1A64">
        <w:rPr>
          <w:rFonts w:cs="Times New Roman"/>
          <w:lang w:val="es-AR"/>
        </w:rPr>
        <w:t>Los valores reportados en la Tabla 4.1 muestran que el benchmark de mercado presenta el mayor ratio de Sharpe del conjunto analizado, lo que indica que, en el período considerado, el mercado accionario estadounidense ofreció la mejor relación riesgo–retorno entre las alternativas evaluadas. Entre las estrategias de momentum sectorial, la estrategia LO_3 exhibe el ratio de Sharpe más elevado, ubicándose en un nivel cercano al del benchmark, mientras que las estrategias LO_6 y LO_12 presentan valores inferiores.</w:t>
      </w:r>
    </w:p>
    <w:p w14:paraId="04E57389" w14:textId="17029A96" w:rsidR="00894435" w:rsidRDefault="00CC1A64" w:rsidP="00743667">
      <w:pPr>
        <w:pStyle w:val="Textoindependiente"/>
        <w:spacing w:line="360" w:lineRule="auto"/>
        <w:rPr>
          <w:rFonts w:cs="Times New Roman"/>
          <w:lang w:val="es-AR"/>
        </w:rPr>
      </w:pPr>
      <w:r w:rsidRPr="00CC1A64">
        <w:rPr>
          <w:rFonts w:cs="Times New Roman"/>
          <w:lang w:val="es-AR"/>
        </w:rPr>
        <w:t>Este resultado sugiere que la estrategia de momentum sectorial de corto plazo logra mejorar la eficiencia riesgo–retorno en relación con otras variantes de momentum consideradas, aunque sin alcanzar un desempeño ajustado por riesgo superior al del mercado. Las diferencias observadas en los ratios de Sharpe son, no obstante, moderadas, lo que refuerza la necesidad de interpretar esta métrica en conjunto con otras medidas de riesgo y desempeño, tales como los drawdowns máximos y la evolución temporal de las curvas de capital..</w:t>
      </w:r>
    </w:p>
    <w:p w14:paraId="71E3CEE8" w14:textId="0A0E5A96" w:rsidR="00F05B95" w:rsidRPr="00743667" w:rsidRDefault="00F05B95" w:rsidP="00743667">
      <w:pPr>
        <w:pStyle w:val="Textoindependiente"/>
        <w:spacing w:line="360" w:lineRule="auto"/>
        <w:rPr>
          <w:rFonts w:cs="Times New Roman"/>
          <w:lang w:val="es-AR"/>
        </w:rPr>
      </w:pPr>
      <w:r w:rsidRPr="00F05B95">
        <w:rPr>
          <w:rFonts w:cs="Times New Roman"/>
          <w:lang w:val="es-AR"/>
        </w:rPr>
        <w:t>Cabe señalar que el ratio de Sharpe se reporta en este trabajo como estadístico descriptivo y comparativo, sin realizar pruebas formales de significancia para diferencias entre ratios (como las propuestas por Jobson y Korkie, 1981, o Ledoit y Wolf, 2008). Esta decisión responde al enfoque aplicado del análisis y a que la evaluación inferencial del desempeño relativo se realiza principalmente mediante el modelo CAPM estimado con errores estándar robustos. En consecuencia, las comparaciones de ratios de Sharpe deben interpretarse en términos descriptivos y no como contrastes estadísticos formales.</w:t>
      </w:r>
      <w:r w:rsidR="009B1462">
        <w:rPr>
          <w:rFonts w:cs="Times New Roman"/>
          <w:lang w:val="es-AR"/>
        </w:rPr>
        <w:t xml:space="preserve"> </w:t>
      </w:r>
      <w:r w:rsidR="009B1462" w:rsidRPr="009B1462">
        <w:rPr>
          <w:rFonts w:cs="Times New Roman"/>
          <w:lang w:val="es-AR"/>
        </w:rPr>
        <w:t>Un análisis complementario con corrección por autocorrelación, siguiendo a Lo (2002), se presenta en el Anexo B.</w:t>
      </w:r>
    </w:p>
    <w:p w14:paraId="6FDF1DB8" w14:textId="77777777" w:rsidR="00894435" w:rsidRPr="009706C8" w:rsidRDefault="00894435">
      <w:pPr>
        <w:pStyle w:val="Ttulo2"/>
        <w:rPr>
          <w:rFonts w:cs="Times New Roman"/>
        </w:rPr>
      </w:pPr>
      <w:bookmarkStart w:id="68" w:name="_Toc223214781"/>
      <w:bookmarkStart w:id="69" w:name="comparación-con-el-benchmark-de-mercado"/>
      <w:bookmarkEnd w:id="67"/>
      <w:r w:rsidRPr="009706C8">
        <w:rPr>
          <w:rFonts w:cs="Times New Roman"/>
        </w:rPr>
        <w:lastRenderedPageBreak/>
        <w:t>4.5 Comparación con el benchmark de mercado</w:t>
      </w:r>
      <w:bookmarkEnd w:id="68"/>
    </w:p>
    <w:p w14:paraId="5D841A65" w14:textId="77777777" w:rsidR="00CC1A64" w:rsidRPr="00CC1A64" w:rsidRDefault="00CC1A64" w:rsidP="00CC1A64">
      <w:pPr>
        <w:spacing w:line="360" w:lineRule="auto"/>
        <w:rPr>
          <w:rFonts w:cs="Times New Roman"/>
          <w:kern w:val="0"/>
          <w14:ligatures w14:val="none"/>
        </w:rPr>
      </w:pPr>
      <w:bookmarkStart w:id="70" w:name="discusión-de-los-resultados"/>
      <w:bookmarkEnd w:id="69"/>
      <w:r w:rsidRPr="00CC1A64">
        <w:rPr>
          <w:rFonts w:cs="Times New Roman"/>
          <w:kern w:val="0"/>
          <w14:ligatures w14:val="none"/>
        </w:rPr>
        <w:t>La comparación con el benchmark de mercado (SPY) constituye un elemento central del análisis empírico, dado que permite evaluar si las estrategias de momentum sectorial logran modificar el perfil riesgo–retorno respecto del mercado accionario agregado. Más allá de la rentabilidad absoluta, resulta relevante analizar si estas estrategias ofrecen una combinación diferente de retornos y riesgo en relación con una inversión pasiva representativa del mercado.</w:t>
      </w:r>
    </w:p>
    <w:p w14:paraId="2FF58CF4" w14:textId="77777777" w:rsidR="00CC1A64" w:rsidRPr="00CC1A64" w:rsidRDefault="00CC1A64" w:rsidP="00CC1A64">
      <w:pPr>
        <w:spacing w:line="360" w:lineRule="auto"/>
        <w:rPr>
          <w:rFonts w:cs="Times New Roman"/>
          <w:kern w:val="0"/>
          <w14:ligatures w14:val="none"/>
        </w:rPr>
      </w:pPr>
      <w:r w:rsidRPr="00CC1A64">
        <w:rPr>
          <w:rFonts w:cs="Times New Roman"/>
          <w:kern w:val="0"/>
          <w14:ligatures w14:val="none"/>
        </w:rPr>
        <w:t>A partir de los resultados presentados en las secciones anteriores, se observa que las estrategias de momentum sectorial exhiben comportamientos heterogéneos en comparación con el benchmark. En términos de rentabilidad acumulada, la estrategia LO_3 presenta un desempeño cercano al de la estrategia pasiva de buy-and-hold sobre el S&amp;P 500, mientras que las estrategias LO_6 y LO_12 muestran niveles de rentabilidad acumulada inferiores en el período analizado.</w:t>
      </w:r>
    </w:p>
    <w:p w14:paraId="7A2D3492" w14:textId="77777777" w:rsidR="00CC1A64" w:rsidRPr="00CC1A64" w:rsidRDefault="00CC1A64" w:rsidP="00CC1A64">
      <w:pPr>
        <w:spacing w:line="360" w:lineRule="auto"/>
        <w:rPr>
          <w:rFonts w:cs="Times New Roman"/>
          <w:kern w:val="0"/>
          <w14:ligatures w14:val="none"/>
        </w:rPr>
      </w:pPr>
      <w:r w:rsidRPr="00CC1A64">
        <w:rPr>
          <w:rFonts w:cs="Times New Roman"/>
          <w:kern w:val="0"/>
          <w14:ligatures w14:val="none"/>
        </w:rPr>
        <w:t>Sin embargo, al incorporar simultáneamente las métricas de riesgo, emergen diferencias relevantes en el perfil de desempeño. En particular, las estrategias de momentum con horizontes de formación más largos presentan niveles de volatilidad y drawdowns máximos inferiores a los del benchmark, lo que sugiere una reducción del riesgo histórico asumido por el inversor, aunque a costa de una menor rentabilidad acumulada. Este comportamiento es consistente con un perfil relativamente más defensivo de las estrategias de momentum de largo plazo.</w:t>
      </w:r>
    </w:p>
    <w:p w14:paraId="3346AD44" w14:textId="77777777" w:rsidR="00CC1A64" w:rsidRPr="00CC1A64" w:rsidRDefault="00CC1A64" w:rsidP="00CC1A64">
      <w:pPr>
        <w:spacing w:line="360" w:lineRule="auto"/>
        <w:rPr>
          <w:rFonts w:cs="Times New Roman"/>
          <w:kern w:val="0"/>
          <w14:ligatures w14:val="none"/>
        </w:rPr>
      </w:pPr>
      <w:r w:rsidRPr="00CC1A64">
        <w:rPr>
          <w:rFonts w:cs="Times New Roman"/>
          <w:kern w:val="0"/>
          <w14:ligatures w14:val="none"/>
        </w:rPr>
        <w:t>Desde la perspectiva de los ratios ajustados por riesgo, la evidencia indica que el benchmark de mercado presenta el mayor ratio de Sharpe del conjunto considerado. No obstante, entre las estrategias de momentum sectorial, la estrategia LO_3 exhibe el mejor desempeño ajustado por riesgo, ubicándose en un nivel cercano al del benchmark, mientras que las restantes estrategias no muestran mejoras sustanciales bajo este criterio. Las diferencias observadas son moderadas, lo que sugiere que el momentum sectorial no constituye una fuente de rendimiento extraordinario independiente del mercado.</w:t>
      </w:r>
    </w:p>
    <w:p w14:paraId="3971D6A8" w14:textId="77777777" w:rsidR="00894435" w:rsidRPr="00E91523" w:rsidRDefault="00CC1A64" w:rsidP="00E91523">
      <w:pPr>
        <w:spacing w:line="360" w:lineRule="auto"/>
        <w:rPr>
          <w:rFonts w:cs="Times New Roman"/>
          <w:kern w:val="0"/>
          <w14:ligatures w14:val="none"/>
        </w:rPr>
      </w:pPr>
      <w:r w:rsidRPr="00CC1A64">
        <w:rPr>
          <w:rFonts w:cs="Times New Roman"/>
          <w:kern w:val="0"/>
          <w14:ligatures w14:val="none"/>
        </w:rPr>
        <w:t>En conjunto, la comparación con el benchmark permite concluir que las estrategias de momentum sectorial analizadas no dominan al mercado en términos de rentabilidad ajustada por riesgo, pero sí ofrecen alternativas de inversión con distintos compromisos entre retorno y riesgo. En particular, estas estrategias permiten modificar el perfil de riesgo del portafolio, reduciendo la severidad de las pérdidas históricas en determinados casos, lo que motiva un análisis más profundo del desempeño ajustado por factores desarrollado en la sección siguiente.</w:t>
      </w:r>
    </w:p>
    <w:p w14:paraId="5F44B369" w14:textId="77777777" w:rsidR="00894435" w:rsidRPr="009706C8" w:rsidRDefault="00894435" w:rsidP="00F37F12">
      <w:pPr>
        <w:pStyle w:val="Ttulo2"/>
        <w:rPr>
          <w:rFonts w:cs="Times New Roman"/>
        </w:rPr>
      </w:pPr>
      <w:bookmarkStart w:id="71" w:name="_Toc223214782"/>
      <w:r w:rsidRPr="009706C8">
        <w:rPr>
          <w:rFonts w:cs="Times New Roman"/>
        </w:rPr>
        <w:lastRenderedPageBreak/>
        <w:t>4.6 Evaluación del desempeño mediante el modelo CAPM</w:t>
      </w:r>
      <w:bookmarkEnd w:id="71"/>
    </w:p>
    <w:p w14:paraId="69A3AED0" w14:textId="77777777" w:rsidR="00346F7A" w:rsidRPr="00346F7A" w:rsidRDefault="00346F7A" w:rsidP="008B2B6D">
      <w:pPr>
        <w:spacing w:line="360" w:lineRule="auto"/>
      </w:pPr>
      <w:r w:rsidRPr="00346F7A">
        <w:t>Antes de evaluar empíricamente la existencia de desempeño anormal en las estrategias de momentum sectorial, resulta necesario analizar en qué medida su comportamiento puede explicarse por la exposición al riesgo sistemático del mercado. Con este objetivo, se emplea el Capital Asset Pricing Model (CAPM), que constituye el modelo de referencia más parsimonioso dentro de la literatura de asset pricing y permite descomponer el retorno de una estrategia en un componente asociado al mercado y un componente residual.</w:t>
      </w:r>
    </w:p>
    <w:p w14:paraId="47766270" w14:textId="77777777" w:rsidR="00346F7A" w:rsidRPr="00346F7A" w:rsidRDefault="00346F7A" w:rsidP="008B2B6D">
      <w:pPr>
        <w:spacing w:line="360" w:lineRule="auto"/>
      </w:pPr>
      <w:r w:rsidRPr="00346F7A">
        <w:t>El uso del CAPM en este contexto no persigue la validación del modelo como representación completa del proceso generador de retornos, sino su utilización como una herramienta descriptiva e interpretativa del desempeño observado. En particular, el modelo permite evaluar si las diferencias de rentabilidad identificadas en las secciones previas pueden atribuirse a variaciones en la exposición al riesgo de mercado o si persiste evidencia de retornos no explicados por dicho factor.</w:t>
      </w:r>
    </w:p>
    <w:p w14:paraId="23AB4CB7" w14:textId="77777777" w:rsidR="00346F7A" w:rsidRPr="00346F7A" w:rsidRDefault="00346F7A" w:rsidP="008B2B6D">
      <w:pPr>
        <w:spacing w:line="360" w:lineRule="auto"/>
      </w:pPr>
      <w:r w:rsidRPr="00346F7A">
        <w:t>Este análisis se presenta como una extensión natural de la comparación con el benchmark desarrollada anteriormente y constituye un paso previo a la evaluación del desempeño ajustado por factores adicionales, manteniendo la coherencia con el enfoque empírico adoptado en el resto del capítulo.</w:t>
      </w:r>
    </w:p>
    <w:p w14:paraId="7DAABCC7" w14:textId="77777777" w:rsidR="00894435" w:rsidRPr="009706C8" w:rsidRDefault="00894435" w:rsidP="003967F8">
      <w:pPr>
        <w:pStyle w:val="Ttulo3"/>
        <w:rPr>
          <w:rFonts w:cs="Times New Roman"/>
        </w:rPr>
      </w:pPr>
      <w:bookmarkStart w:id="72" w:name="_Toc223214783"/>
      <w:r w:rsidRPr="009706C8">
        <w:rPr>
          <w:rFonts w:cs="Times New Roman"/>
        </w:rPr>
        <w:t>4.6.1 Especificación del modelo</w:t>
      </w:r>
      <w:bookmarkEnd w:id="72"/>
    </w:p>
    <w:p w14:paraId="1A191641" w14:textId="77777777" w:rsidR="00894435" w:rsidRPr="008B2B6D" w:rsidRDefault="00894435" w:rsidP="008B2B6D">
      <w:pPr>
        <w:spacing w:line="360" w:lineRule="auto"/>
        <w:rPr>
          <w:rFonts w:cs="Times New Roman"/>
        </w:rPr>
      </w:pPr>
      <w:r w:rsidRPr="008B2B6D">
        <w:rPr>
          <w:rFonts w:cs="Times New Roman"/>
        </w:rPr>
        <w:t xml:space="preserve">La formulación empírica del CAPM se expresa en términos de retornos en exceso de la tasa libre de riesgo. Sea </w:t>
      </w:r>
      <m:oMath>
        <m:r>
          <w:rPr>
            <w:rFonts w:ascii="Cambria Math" w:hAnsi="Cambria Math" w:cs="Times New Roman"/>
          </w:rPr>
          <m:t xml:space="preserve">Rp,t </m:t>
        </m:r>
      </m:oMath>
      <w:r w:rsidRPr="008B2B6D">
        <w:rPr>
          <w:rFonts w:cs="Times New Roman"/>
        </w:rPr>
        <w:t xml:space="preserve">el retorno mensual neto de costos de la estrategia p en el período t, </w:t>
      </w:r>
      <m:oMath>
        <m:r>
          <w:rPr>
            <w:rFonts w:ascii="Cambria Math" w:hAnsi="Cambria Math" w:cs="Times New Roman"/>
          </w:rPr>
          <m:t>Rm,t</m:t>
        </m:r>
      </m:oMath>
      <w:r w:rsidRPr="008B2B6D">
        <w:rPr>
          <w:rFonts w:cs="Times New Roman"/>
        </w:rPr>
        <w:t xml:space="preserve"> el retorno del mercado y </w:t>
      </w:r>
      <m:oMath>
        <m:r>
          <w:rPr>
            <w:rFonts w:ascii="Cambria Math" w:hAnsi="Cambria Math" w:cs="Times New Roman"/>
          </w:rPr>
          <m:t>Rf,t</m:t>
        </m:r>
      </m:oMath>
      <w:r w:rsidRPr="008B2B6D">
        <w:rPr>
          <w:rFonts w:cs="Times New Roman"/>
        </w:rPr>
        <w:t xml:space="preserve"> la tasa libre de riesgo correspondiente al mismo período. </w:t>
      </w:r>
      <w:r w:rsidR="00714281" w:rsidRPr="008B2B6D">
        <w:rPr>
          <w:rFonts w:cs="Times New Roman"/>
        </w:rPr>
        <w:t>El modelo se especifica mediante la siguiente regresión lineal</w:t>
      </w:r>
      <w:r w:rsidRPr="008B2B6D">
        <w:rPr>
          <w:rFonts w:cs="Times New Roman"/>
        </w:rPr>
        <w:t>:</w:t>
      </w:r>
    </w:p>
    <w:p w14:paraId="4F778E1C" w14:textId="77777777" w:rsidR="00894435" w:rsidRPr="008B2B6D" w:rsidRDefault="00894435" w:rsidP="008B2B6D">
      <w:pPr>
        <w:spacing w:line="360" w:lineRule="auto"/>
        <w:rPr>
          <w:rFonts w:cs="Times New Roman"/>
        </w:rPr>
      </w:pPr>
      <m:oMathPara>
        <m:oMath>
          <m:r>
            <w:rPr>
              <w:rFonts w:ascii="Cambria Math" w:hAnsi="Cambria Math" w:cs="Times New Roman"/>
            </w:rPr>
            <m:t>Rp,t - Rf,t = αp + βp (Rm,t - Rf,t) + εp,t</m:t>
          </m:r>
        </m:oMath>
      </m:oMathPara>
    </w:p>
    <w:p w14:paraId="3893A17D" w14:textId="77777777" w:rsidR="008B2B6D" w:rsidRPr="008B2B6D" w:rsidRDefault="008B2B6D" w:rsidP="008B2B6D">
      <w:pPr>
        <w:spacing w:line="360" w:lineRule="auto"/>
        <w:rPr>
          <w:rFonts w:cs="Times New Roman"/>
        </w:rPr>
      </w:pPr>
      <w:r w:rsidRPr="008B2B6D">
        <w:rPr>
          <w:rFonts w:cs="Times New Roman"/>
        </w:rPr>
        <w:t xml:space="preserve">donde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oMath>
      <w:r w:rsidR="0023530A">
        <w:rPr>
          <w:rFonts w:eastAsiaTheme="minorEastAsia" w:cs="Times New Roman"/>
        </w:rPr>
        <w:t xml:space="preserve"> </w:t>
      </w:r>
      <w:r w:rsidRPr="008B2B6D">
        <w:rPr>
          <w:rFonts w:cs="Times New Roman"/>
        </w:rPr>
        <w:t xml:space="preserve">representa el intercepto o alfa de Jensen,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oMath>
      <w:r w:rsidRPr="008B2B6D">
        <w:rPr>
          <w:rFonts w:cs="Times New Roman"/>
        </w:rPr>
        <w:t xml:space="preserve"> mide la sensibilidad del retorno de la estrategia frente a variaciones en el retorno del mercado, y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p,t</m:t>
            </m:r>
          </m:sub>
        </m:sSub>
      </m:oMath>
      <w:r w:rsidRPr="008B2B6D">
        <w:rPr>
          <w:rFonts w:cs="Times New Roman"/>
        </w:rPr>
        <w:t xml:space="preserve"> es un término de error con media cero.</w:t>
      </w:r>
    </w:p>
    <w:p w14:paraId="12A6FFAC" w14:textId="780E3D36" w:rsidR="008B2B6D" w:rsidRPr="008B2B6D" w:rsidRDefault="008B2B6D" w:rsidP="008B2B6D">
      <w:pPr>
        <w:spacing w:line="360" w:lineRule="auto"/>
        <w:rPr>
          <w:rFonts w:cs="Times New Roman"/>
        </w:rPr>
      </w:pPr>
      <w:r w:rsidRPr="008B2B6D">
        <w:rPr>
          <w:rFonts w:cs="Times New Roman"/>
        </w:rPr>
        <w:t xml:space="preserve">En la implementación empírica del modelo CAPM, el retorno del mercado y la tasa libre de riesgo se obtienen a partir del conjunto estándar de factores de Fama y French, utilizando el factor de mercado </w:t>
      </w:r>
      <m:oMath>
        <m:r>
          <w:rPr>
            <w:rFonts w:ascii="Cambria Math" w:hAnsi="Cambria Math" w:cs="Times New Roman"/>
          </w:rPr>
          <m:t>Mkt-RF</m:t>
        </m:r>
      </m:oMath>
      <w:r w:rsidR="00AD21A3">
        <w:rPr>
          <w:rFonts w:eastAsiaTheme="minorEastAsia" w:cs="Times New Roman"/>
        </w:rPr>
        <w:t xml:space="preserve"> </w:t>
      </w:r>
      <w:r w:rsidRPr="008B2B6D">
        <w:rPr>
          <w:rFonts w:cs="Times New Roman"/>
        </w:rPr>
        <w:t xml:space="preserve">y la serie </w:t>
      </w:r>
      <m:oMath>
        <m:r>
          <w:rPr>
            <w:rFonts w:ascii="Cambria Math" w:hAnsi="Cambria Math" w:cs="Times New Roman"/>
          </w:rPr>
          <m:t>RF</m:t>
        </m:r>
      </m:oMath>
      <w:r w:rsidRPr="008B2B6D">
        <w:rPr>
          <w:rFonts w:cs="Times New Roman"/>
        </w:rPr>
        <w:t>, ambos disponibles a frecuencia mensual</w:t>
      </w:r>
      <w:r w:rsidR="00245DB3">
        <w:rPr>
          <w:rFonts w:cs="Times New Roman"/>
        </w:rPr>
        <w:t xml:space="preserve"> y</w:t>
      </w:r>
      <w:r w:rsidRPr="008B2B6D">
        <w:rPr>
          <w:rFonts w:cs="Times New Roman"/>
        </w:rPr>
        <w:t xml:space="preserve"> </w:t>
      </w:r>
      <w:r w:rsidR="00245DB3" w:rsidRPr="00245DB3">
        <w:rPr>
          <w:rFonts w:cs="Times New Roman"/>
        </w:rPr>
        <w:t xml:space="preserve">se expresan en escala decimal (los datos originales en % mensual se convierten </w:t>
      </w:r>
      <w:r w:rsidR="00245DB3" w:rsidRPr="00245DB3">
        <w:rPr>
          <w:rFonts w:cs="Times New Roman"/>
        </w:rPr>
        <w:lastRenderedPageBreak/>
        <w:t>dividiendo por 100), consistente con los retornos de las estrategias</w:t>
      </w:r>
      <w:r w:rsidR="00E10CD5">
        <w:rPr>
          <w:rStyle w:val="Refdenotaalpie"/>
          <w:rFonts w:cs="Times New Roman"/>
        </w:rPr>
        <w:footnoteReference w:id="1"/>
      </w:r>
      <w:r w:rsidR="00245DB3" w:rsidRPr="00245DB3">
        <w:rPr>
          <w:rFonts w:cs="Times New Roman"/>
        </w:rPr>
        <w:t>.</w:t>
      </w:r>
      <w:r w:rsidR="00245DB3">
        <w:rPr>
          <w:rFonts w:cs="Times New Roman"/>
        </w:rPr>
        <w:t xml:space="preserve"> </w:t>
      </w:r>
      <w:r w:rsidRPr="008B2B6D">
        <w:rPr>
          <w:rFonts w:cs="Times New Roman"/>
        </w:rPr>
        <w:t>Esta elección garantiza la coherencia entre la especificación del modelo y la práctica empírica habitual en estudios de desempeño ajustado por riesgo.</w:t>
      </w:r>
    </w:p>
    <w:p w14:paraId="5D048C3D" w14:textId="77777777" w:rsidR="008B2B6D" w:rsidRPr="008B2B6D" w:rsidRDefault="008B2B6D" w:rsidP="008B2B6D">
      <w:pPr>
        <w:spacing w:line="360" w:lineRule="auto"/>
        <w:rPr>
          <w:rFonts w:cs="Times New Roman"/>
        </w:rPr>
      </w:pPr>
      <w:r w:rsidRPr="008B2B6D">
        <w:rPr>
          <w:rFonts w:cs="Times New Roman"/>
        </w:rPr>
        <w:t>Cabe destacar que el uso de la tasa libre de riesgo proveniente del modelo factorial se circunscribe exclusivamente al análisis econométrico basado en el CAPM y no afecta las métricas descriptivas de desempeño presentadas en secciones anteriores, donde se emplea una proxy operativa de tasa libre de riesgo basada en Treasury Bills para el cálculo de ratios como el Sharpe. Esta distinción responde a criterios de coherencia econométrica y no altera las conclusiones empíricas del trabajo.</w:t>
      </w:r>
    </w:p>
    <w:p w14:paraId="1284E491" w14:textId="77777777" w:rsidR="00894435" w:rsidRPr="009706C8" w:rsidRDefault="00894435" w:rsidP="003967F8">
      <w:pPr>
        <w:pStyle w:val="Ttulo3"/>
        <w:rPr>
          <w:rFonts w:cs="Times New Roman"/>
        </w:rPr>
      </w:pPr>
      <w:bookmarkStart w:id="73" w:name="_Toc223214784"/>
      <w:r w:rsidRPr="009706C8">
        <w:rPr>
          <w:rFonts w:cs="Times New Roman"/>
        </w:rPr>
        <w:t>4.6.2 Construcción de los retornos en exceso</w:t>
      </w:r>
      <w:bookmarkEnd w:id="73"/>
    </w:p>
    <w:p w14:paraId="0F415171" w14:textId="77777777" w:rsidR="001715F3" w:rsidRPr="001715F3" w:rsidRDefault="001715F3" w:rsidP="001715F3">
      <w:pPr>
        <w:spacing w:line="360" w:lineRule="auto"/>
      </w:pPr>
      <w:r w:rsidRPr="001715F3">
        <w:t>Los retornos de las estrategias utilizados en la estimación del modelo CAPM corresponden a retornos mensuales netos de costos de transacción, obtenidos a partir del backtest auditado desarrollado en las secciones previas del capítulo. De este modo, la serie de retornos empleada en el análisis econométrico es consistente con la utilizada en la evaluación descriptiva del desempeño.</w:t>
      </w:r>
    </w:p>
    <w:p w14:paraId="57DE0975" w14:textId="77777777" w:rsidR="001715F3" w:rsidRPr="001715F3" w:rsidRDefault="001715F3" w:rsidP="001715F3">
      <w:pPr>
        <w:spacing w:line="360" w:lineRule="auto"/>
      </w:pPr>
      <w:r w:rsidRPr="001715F3">
        <w:t>A fin de garantizar coherencia metodológica con la especificación del modelo, los retornos de las estrategias y del mercado se expresan en términos de retornos en exceso de la tasa libre de riesgo. En particular, la tasa libre de riesgo se considera variable en el tiempo y se obtiene del conjunto estándar de factores de Fama y French, encontrándose alineada temporalmente y en frecuencia mensual con los retornos de las estrategias y del mercado.</w:t>
      </w:r>
    </w:p>
    <w:p w14:paraId="1916E7BB" w14:textId="4F8F1310" w:rsidR="001715F3" w:rsidRPr="001715F3" w:rsidRDefault="001715F3" w:rsidP="00953EF4">
      <w:pPr>
        <w:spacing w:line="360" w:lineRule="auto"/>
      </w:pPr>
      <w:r w:rsidRPr="001715F3">
        <w:t>En consecuencia, tanto el retorno de cada estrategia como el retorno del mercado se expresan en exceso de la tasa libre de riesgo correspondiente al mismo período, evitando inconsistencias derivadas del uso de una tasa fija o de una tasa definida a una frecuencia distinta. Esta construcción asegura que la estimación del CAPM se realice bajo una estructura de datos homogénea y consistente con la práctica empírica habitual en la literatura de asset pricing.</w:t>
      </w:r>
    </w:p>
    <w:p w14:paraId="1EC4A0D1" w14:textId="77777777" w:rsidR="00894435" w:rsidRPr="009706C8" w:rsidRDefault="00894435" w:rsidP="003967F8">
      <w:pPr>
        <w:pStyle w:val="Ttulo3"/>
        <w:rPr>
          <w:rFonts w:cs="Times New Roman"/>
        </w:rPr>
      </w:pPr>
      <w:bookmarkStart w:id="74" w:name="_Toc223214785"/>
      <w:r w:rsidRPr="009706C8">
        <w:rPr>
          <w:rFonts w:cs="Times New Roman"/>
        </w:rPr>
        <w:t>4.6.3 Metodología de estimación e inferencia</w:t>
      </w:r>
      <w:bookmarkEnd w:id="74"/>
    </w:p>
    <w:p w14:paraId="785A2805" w14:textId="77777777" w:rsidR="00F205F0" w:rsidRPr="00F205F0" w:rsidRDefault="00F205F0" w:rsidP="00F205F0">
      <w:pPr>
        <w:spacing w:line="360" w:lineRule="auto"/>
      </w:pPr>
      <w:r w:rsidRPr="00F205F0">
        <w:t xml:space="preserve">Los parámetros del modelo CAPM se estiman mediante el método de </w:t>
      </w:r>
      <w:r w:rsidRPr="00F205F0">
        <w:rPr>
          <w:b/>
          <w:bCs/>
        </w:rPr>
        <w:t>Mínimos Cuadrados Ordinarios (OLS)</w:t>
      </w:r>
      <w:r w:rsidRPr="00F205F0">
        <w:t xml:space="preserve">, utilizando la totalidad de las observaciones mensuales disponibles para cada estrategia. Esta metodología permite obtener estimaciones </w:t>
      </w:r>
      <w:r w:rsidRPr="00F205F0">
        <w:lastRenderedPageBreak/>
        <w:t>puntuales del intercepto (alfa) y del coeficiente de sensibilidad al mercado (beta), bajo la especificación lineal planteada en la sección anterior.</w:t>
      </w:r>
    </w:p>
    <w:p w14:paraId="35BE4D90" w14:textId="77777777" w:rsidR="00F205F0" w:rsidRDefault="00F205F0" w:rsidP="00F205F0">
      <w:pPr>
        <w:spacing w:line="360" w:lineRule="auto"/>
      </w:pPr>
      <w:r w:rsidRPr="00F205F0">
        <w:t xml:space="preserve">No obstante, dado que los retornos financieros suelen presentar </w:t>
      </w:r>
      <w:r w:rsidRPr="00F205F0">
        <w:rPr>
          <w:b/>
          <w:bCs/>
        </w:rPr>
        <w:t>heterocedasticidad condicional y autocorrelación serial</w:t>
      </w:r>
      <w:r w:rsidRPr="00F205F0">
        <w:t xml:space="preserve">, la inferencia estadística se realiza empleando </w:t>
      </w:r>
      <w:r w:rsidRPr="00F205F0">
        <w:rPr>
          <w:b/>
          <w:bCs/>
        </w:rPr>
        <w:t>errores estándar robustos HAC (Heteroskedasticity and Autocorrelation Consistent)</w:t>
      </w:r>
      <w:r w:rsidRPr="00F205F0">
        <w:t xml:space="preserve">, de acuerdo con la corrección propuesta por </w:t>
      </w:r>
      <w:r w:rsidRPr="00F205F0">
        <w:rPr>
          <w:b/>
          <w:bCs/>
        </w:rPr>
        <w:t>Newey y West</w:t>
      </w:r>
      <w:r w:rsidRPr="00F205F0">
        <w:t>. Este enfoque permite obtener estadísticos t consistentes aun cuando no se cumplan los supuestos clásicos de homocedasticidad e independencia serial de los residuos, sin alterar las estimaciones puntuales de los coeficientes.</w:t>
      </w:r>
    </w:p>
    <w:p w14:paraId="5143EA53" w14:textId="7F098722" w:rsidR="006C0592" w:rsidRPr="00F205F0" w:rsidRDefault="006C0592" w:rsidP="00F205F0">
      <w:pPr>
        <w:spacing w:line="360" w:lineRule="auto"/>
      </w:pPr>
      <w:r w:rsidRPr="006C0592">
        <w:t xml:space="preserve">Dado que el análisis se realiza sobre datos de </w:t>
      </w:r>
      <w:r w:rsidRPr="006C0592">
        <w:rPr>
          <w:b/>
          <w:bCs/>
        </w:rPr>
        <w:t>frecuencia mensual</w:t>
      </w:r>
      <w:r w:rsidRPr="006C0592">
        <w:t xml:space="preserve">, se adopta una ventana de </w:t>
      </w:r>
      <w:r w:rsidRPr="006C0592">
        <w:rPr>
          <w:b/>
          <w:bCs/>
        </w:rPr>
        <w:t>tres rezagos</w:t>
      </w:r>
      <w:r w:rsidRPr="006C0592">
        <w:t xml:space="preserve"> para la estimación de la matriz de varianzas y covarianzas robusta. Esta elección busca capturar posibles patrones de autocorrelación de corto plazo consistentes con la dinámica mensual de los retornos, manteniendo un equilibrio entre robustez y parsimonia en muestras de tamaño moderado.</w:t>
      </w:r>
    </w:p>
    <w:p w14:paraId="059D2499" w14:textId="77777777" w:rsidR="00F205F0" w:rsidRPr="00F205F0" w:rsidRDefault="00F205F0" w:rsidP="00F205F0">
      <w:pPr>
        <w:spacing w:line="360" w:lineRule="auto"/>
      </w:pPr>
      <w:r w:rsidRPr="00F205F0">
        <w:t xml:space="preserve">El parámetro </w:t>
      </w:r>
      <m:oMath>
        <m:sSub>
          <m:sSubPr>
            <m:ctrlPr>
              <w:rPr>
                <w:rFonts w:ascii="Cambria Math" w:hAnsi="Cambria Math"/>
              </w:rPr>
            </m:ctrlPr>
          </m:sSubPr>
          <m:e>
            <m:r>
              <w:rPr>
                <w:rFonts w:ascii="Cambria Math" w:hAnsi="Cambria Math"/>
              </w:rPr>
              <m:t>α</m:t>
            </m:r>
          </m:e>
          <m:sub>
            <m:r>
              <w:rPr>
                <w:rFonts w:ascii="Cambria Math" w:hAnsi="Cambria Math"/>
              </w:rPr>
              <m:t>p</m:t>
            </m:r>
          </m:sub>
        </m:sSub>
      </m:oMath>
      <w:r w:rsidRPr="00F205F0">
        <w:t xml:space="preserve">, estimado a frecuencia mensual, se interpreta como el </w:t>
      </w:r>
      <w:r w:rsidRPr="00F205F0">
        <w:rPr>
          <w:b/>
          <w:bCs/>
        </w:rPr>
        <w:t>retorno promedio en exceso no explicado por el factor de mercado</w:t>
      </w:r>
      <w:r w:rsidRPr="00F205F0">
        <w:t>, una vez controlada la exposición sistemática al mismo. A efectos de facilitar su interpretación económica, dicho parámetro se expresa también en términos anuales mediante capitalización compuesta:</w:t>
      </w:r>
    </w:p>
    <w:p w14:paraId="7891AF49" w14:textId="77777777" w:rsidR="00F205F0" w:rsidRPr="00F205F0" w:rsidRDefault="00000000" w:rsidP="00F205F0">
      <w:pPr>
        <w:spacing w:line="360" w:lineRule="auto"/>
      </w:pPr>
      <m:oMathPara>
        <m:oMath>
          <m:sSub>
            <m:sSubPr>
              <m:ctrlPr>
                <w:rPr>
                  <w:rFonts w:ascii="Cambria Math" w:hAnsi="Cambria Math"/>
                </w:rPr>
              </m:ctrlPr>
            </m:sSubPr>
            <m:e>
              <m:r>
                <w:rPr>
                  <w:rFonts w:ascii="Cambria Math" w:hAnsi="Cambria Math"/>
                </w:rPr>
                <m:t>α</m:t>
              </m:r>
            </m:e>
            <m:sub>
              <m:r>
                <w:rPr>
                  <w:rFonts w:ascii="Cambria Math" w:hAnsi="Cambria Math"/>
                </w:rPr>
                <m:t>anual</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mensual</m:t>
              </m:r>
            </m:sub>
          </m:sSub>
          <m:sSup>
            <m:sSupPr>
              <m:ctrlPr>
                <w:rPr>
                  <w:rFonts w:ascii="Cambria Math" w:hAnsi="Cambria Math"/>
                </w:rPr>
              </m:ctrlPr>
            </m:sSupPr>
            <m:e>
              <m:r>
                <w:rPr>
                  <w:rFonts w:ascii="Cambria Math" w:hAnsi="Cambria Math"/>
                </w:rPr>
                <m:t>)</m:t>
              </m:r>
            </m:e>
            <m:sup>
              <m:r>
                <w:rPr>
                  <w:rFonts w:ascii="Cambria Math" w:hAnsi="Cambria Math"/>
                </w:rPr>
                <m:t>12</m:t>
              </m:r>
            </m:sup>
          </m:sSup>
          <m:r>
            <w:rPr>
              <w:rFonts w:ascii="Cambria Math" w:hAnsi="Cambria Math"/>
            </w:rPr>
            <m:t>-1</m:t>
          </m:r>
          <m:r>
            <m:rPr>
              <m:sty m:val="p"/>
            </m:rPr>
            <w:br/>
          </m:r>
        </m:oMath>
      </m:oMathPara>
    </w:p>
    <w:p w14:paraId="07FE7C15" w14:textId="77777777" w:rsidR="007263A4" w:rsidRPr="007263A4" w:rsidRDefault="00F205F0" w:rsidP="007263A4">
      <w:pPr>
        <w:spacing w:line="360" w:lineRule="auto"/>
      </w:pPr>
      <w:r w:rsidRPr="00F205F0">
        <w:t xml:space="preserve">La especificación adoptada asume </w:t>
      </w:r>
      <w:r w:rsidRPr="00F205F0">
        <w:rPr>
          <w:b/>
          <w:bCs/>
        </w:rPr>
        <w:t>parámetros constantes en el tiempo</w:t>
      </w:r>
      <w:r w:rsidRPr="00F205F0">
        <w:t>, en coherencia con el carácter estático del modelo CAPM y con el objetivo descriptivo del análisis. En este contexto, el alfa estimado representa un único intercepto promedio para todo el período analizado, capturando el componente del desempeño de la estrategia que no es atribuible a su exposición sistemática al riesgo de mercado.</w:t>
      </w:r>
    </w:p>
    <w:p w14:paraId="48EAEF25" w14:textId="77777777" w:rsidR="00894435" w:rsidRPr="009706C8" w:rsidRDefault="00894435" w:rsidP="003967F8">
      <w:pPr>
        <w:pStyle w:val="Ttulo3"/>
        <w:rPr>
          <w:rFonts w:cs="Times New Roman"/>
        </w:rPr>
      </w:pPr>
      <w:bookmarkStart w:id="75" w:name="_Toc223214786"/>
      <w:r w:rsidRPr="009706C8">
        <w:rPr>
          <w:rFonts w:cs="Times New Roman"/>
        </w:rPr>
        <w:t>4.6.4 Resultados empíricos</w:t>
      </w:r>
      <w:bookmarkEnd w:id="75"/>
    </w:p>
    <w:p w14:paraId="77E53D26" w14:textId="77777777" w:rsidR="00894435" w:rsidRDefault="00894435" w:rsidP="00291FF2">
      <w:pPr>
        <w:spacing w:line="360" w:lineRule="auto"/>
        <w:rPr>
          <w:rFonts w:cs="Times New Roman"/>
        </w:rPr>
      </w:pPr>
      <w:r w:rsidRPr="00291FF2">
        <w:rPr>
          <w:rFonts w:cs="Times New Roman"/>
        </w:rPr>
        <w:t xml:space="preserve">La </w:t>
      </w:r>
      <w:r w:rsidRPr="00FC0709">
        <w:rPr>
          <w:rFonts w:cs="Times New Roman"/>
          <w:b/>
          <w:bCs/>
        </w:rPr>
        <w:t>Tabla 4.6</w:t>
      </w:r>
      <w:r w:rsidRPr="00291FF2">
        <w:rPr>
          <w:rFonts w:cs="Times New Roman"/>
        </w:rPr>
        <w:t xml:space="preserve"> presenta los resultados de la estimación del CAPM para el índice de mercado y para las distintas estrategias Long-Only basadas en momentum sectorial. Se reportan el alfa mensual y anualizado, los estadísticos t asociados, el coeficiente beta y el coeficiente de determinación R2. Todas las estimaciones se realizaron sobre una muestra de 2</w:t>
      </w:r>
      <w:r w:rsidR="00717D16" w:rsidRPr="00291FF2">
        <w:rPr>
          <w:rFonts w:cs="Times New Roman"/>
        </w:rPr>
        <w:t>51</w:t>
      </w:r>
      <w:r w:rsidRPr="00291FF2">
        <w:rPr>
          <w:rFonts w:cs="Times New Roman"/>
        </w:rPr>
        <w:t xml:space="preserve"> observaciones mensuales y utilizando errores estándar robustos HAC con una ventana de rezagos igual a tres.</w:t>
      </w:r>
    </w:p>
    <w:p w14:paraId="121DC7BB" w14:textId="77777777" w:rsidR="00D43307" w:rsidRPr="00291FF2" w:rsidRDefault="00D43307" w:rsidP="00291FF2">
      <w:pPr>
        <w:spacing w:line="360" w:lineRule="auto"/>
        <w:rPr>
          <w:rFonts w:cs="Times New Roman"/>
        </w:rPr>
      </w:pPr>
    </w:p>
    <w:tbl>
      <w:tblPr>
        <w:tblW w:w="8860" w:type="dxa"/>
        <w:jc w:val="center"/>
        <w:tblCellMar>
          <w:left w:w="70" w:type="dxa"/>
          <w:right w:w="70" w:type="dxa"/>
        </w:tblCellMar>
        <w:tblLook w:val="04A0" w:firstRow="1" w:lastRow="0" w:firstColumn="1" w:lastColumn="0" w:noHBand="0" w:noVBand="1"/>
      </w:tblPr>
      <w:tblGrid>
        <w:gridCol w:w="1053"/>
        <w:gridCol w:w="1558"/>
        <w:gridCol w:w="1310"/>
        <w:gridCol w:w="1310"/>
        <w:gridCol w:w="1310"/>
        <w:gridCol w:w="1310"/>
        <w:gridCol w:w="1310"/>
      </w:tblGrid>
      <w:tr w:rsidR="00115DA1" w:rsidRPr="00115DA1" w14:paraId="306302B9" w14:textId="77777777" w:rsidTr="00115DA1">
        <w:trPr>
          <w:trHeight w:val="300"/>
          <w:jc w:val="center"/>
        </w:trPr>
        <w:tc>
          <w:tcPr>
            <w:tcW w:w="1020" w:type="dxa"/>
            <w:tcBorders>
              <w:top w:val="single" w:sz="4" w:space="0" w:color="auto"/>
              <w:left w:val="single" w:sz="4" w:space="0" w:color="auto"/>
              <w:bottom w:val="single" w:sz="4" w:space="0" w:color="auto"/>
              <w:right w:val="single" w:sz="4" w:space="0" w:color="auto"/>
            </w:tcBorders>
            <w:noWrap/>
            <w:hideMark/>
          </w:tcPr>
          <w:p w14:paraId="3067CB6C"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lastRenderedPageBreak/>
              <w:t>Estrategia</w:t>
            </w:r>
          </w:p>
        </w:tc>
        <w:tc>
          <w:tcPr>
            <w:tcW w:w="1540" w:type="dxa"/>
            <w:tcBorders>
              <w:top w:val="single" w:sz="4" w:space="0" w:color="auto"/>
              <w:left w:val="nil"/>
              <w:bottom w:val="single" w:sz="4" w:space="0" w:color="auto"/>
              <w:right w:val="single" w:sz="4" w:space="0" w:color="auto"/>
            </w:tcBorders>
            <w:noWrap/>
            <w:hideMark/>
          </w:tcPr>
          <w:p w14:paraId="18F3C860"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Alpha_mensual</w:t>
            </w:r>
          </w:p>
        </w:tc>
        <w:tc>
          <w:tcPr>
            <w:tcW w:w="1260" w:type="dxa"/>
            <w:tcBorders>
              <w:top w:val="single" w:sz="4" w:space="0" w:color="auto"/>
              <w:left w:val="nil"/>
              <w:bottom w:val="single" w:sz="4" w:space="0" w:color="auto"/>
              <w:right w:val="single" w:sz="4" w:space="0" w:color="auto"/>
            </w:tcBorders>
            <w:noWrap/>
            <w:hideMark/>
          </w:tcPr>
          <w:p w14:paraId="5B5AD20E"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Alpha_anual</w:t>
            </w:r>
          </w:p>
        </w:tc>
        <w:tc>
          <w:tcPr>
            <w:tcW w:w="1260" w:type="dxa"/>
            <w:tcBorders>
              <w:top w:val="single" w:sz="4" w:space="0" w:color="auto"/>
              <w:left w:val="nil"/>
              <w:bottom w:val="single" w:sz="4" w:space="0" w:color="auto"/>
              <w:right w:val="single" w:sz="4" w:space="0" w:color="auto"/>
            </w:tcBorders>
            <w:noWrap/>
            <w:hideMark/>
          </w:tcPr>
          <w:p w14:paraId="4639525B"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t(Alpha)</w:t>
            </w:r>
          </w:p>
        </w:tc>
        <w:tc>
          <w:tcPr>
            <w:tcW w:w="1260" w:type="dxa"/>
            <w:tcBorders>
              <w:top w:val="single" w:sz="4" w:space="0" w:color="auto"/>
              <w:left w:val="nil"/>
              <w:bottom w:val="single" w:sz="4" w:space="0" w:color="auto"/>
              <w:right w:val="single" w:sz="4" w:space="0" w:color="auto"/>
            </w:tcBorders>
            <w:noWrap/>
            <w:hideMark/>
          </w:tcPr>
          <w:p w14:paraId="20193CC9"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Beta</w:t>
            </w:r>
          </w:p>
        </w:tc>
        <w:tc>
          <w:tcPr>
            <w:tcW w:w="1260" w:type="dxa"/>
            <w:tcBorders>
              <w:top w:val="single" w:sz="4" w:space="0" w:color="auto"/>
              <w:left w:val="nil"/>
              <w:bottom w:val="single" w:sz="4" w:space="0" w:color="auto"/>
              <w:right w:val="single" w:sz="4" w:space="0" w:color="auto"/>
            </w:tcBorders>
            <w:noWrap/>
            <w:hideMark/>
          </w:tcPr>
          <w:p w14:paraId="033DA8B1"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t(Beta)</w:t>
            </w:r>
          </w:p>
        </w:tc>
        <w:tc>
          <w:tcPr>
            <w:tcW w:w="1260" w:type="dxa"/>
            <w:tcBorders>
              <w:top w:val="single" w:sz="4" w:space="0" w:color="auto"/>
              <w:left w:val="nil"/>
              <w:bottom w:val="single" w:sz="4" w:space="0" w:color="auto"/>
              <w:right w:val="single" w:sz="4" w:space="0" w:color="auto"/>
            </w:tcBorders>
            <w:noWrap/>
            <w:hideMark/>
          </w:tcPr>
          <w:p w14:paraId="6F7D2E38" w14:textId="77777777" w:rsidR="00115DA1" w:rsidRPr="00115DA1" w:rsidRDefault="00115DA1" w:rsidP="00115DA1">
            <w:pPr>
              <w:spacing w:line="240" w:lineRule="auto"/>
              <w:jc w:val="center"/>
              <w:rPr>
                <w:rFonts w:ascii="Calibri" w:eastAsia="Times New Roman" w:hAnsi="Calibri" w:cs="Calibri"/>
                <w:b/>
                <w:bCs/>
                <w:color w:val="000000"/>
                <w:kern w:val="0"/>
                <w:sz w:val="22"/>
                <w:szCs w:val="22"/>
                <w:lang w:eastAsia="es-AR"/>
                <w14:ligatures w14:val="none"/>
              </w:rPr>
            </w:pPr>
            <w:r w:rsidRPr="00115DA1">
              <w:rPr>
                <w:rFonts w:ascii="Calibri" w:eastAsia="Times New Roman" w:hAnsi="Calibri" w:cs="Calibri"/>
                <w:b/>
                <w:bCs/>
                <w:color w:val="000000"/>
                <w:kern w:val="0"/>
                <w:sz w:val="22"/>
                <w:szCs w:val="22"/>
                <w:lang w:eastAsia="es-AR"/>
                <w14:ligatures w14:val="none"/>
              </w:rPr>
              <w:t>R2</w:t>
            </w:r>
          </w:p>
        </w:tc>
      </w:tr>
      <w:tr w:rsidR="00115DA1" w:rsidRPr="00115DA1" w14:paraId="581DEC0B" w14:textId="77777777" w:rsidTr="00115DA1">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616C3EA8" w14:textId="77777777" w:rsidR="00115DA1" w:rsidRPr="00115DA1" w:rsidRDefault="00115DA1" w:rsidP="00115DA1">
            <w:pPr>
              <w:spacing w:line="240" w:lineRule="auto"/>
              <w:jc w:val="lef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SPY</w:t>
            </w:r>
          </w:p>
        </w:tc>
        <w:tc>
          <w:tcPr>
            <w:tcW w:w="1540" w:type="dxa"/>
            <w:tcBorders>
              <w:top w:val="nil"/>
              <w:left w:val="nil"/>
              <w:bottom w:val="single" w:sz="4" w:space="0" w:color="auto"/>
              <w:right w:val="single" w:sz="4" w:space="0" w:color="auto"/>
            </w:tcBorders>
            <w:noWrap/>
            <w:vAlign w:val="bottom"/>
            <w:hideMark/>
          </w:tcPr>
          <w:p w14:paraId="10ACAFDD"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8,37534E-05</w:t>
            </w:r>
          </w:p>
        </w:tc>
        <w:tc>
          <w:tcPr>
            <w:tcW w:w="1260" w:type="dxa"/>
            <w:tcBorders>
              <w:top w:val="nil"/>
              <w:left w:val="nil"/>
              <w:bottom w:val="single" w:sz="4" w:space="0" w:color="auto"/>
              <w:right w:val="single" w:sz="4" w:space="0" w:color="auto"/>
            </w:tcBorders>
            <w:noWrap/>
            <w:vAlign w:val="bottom"/>
            <w:hideMark/>
          </w:tcPr>
          <w:p w14:paraId="4BE37C4A"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0,001005503</w:t>
            </w:r>
          </w:p>
        </w:tc>
        <w:tc>
          <w:tcPr>
            <w:tcW w:w="1260" w:type="dxa"/>
            <w:tcBorders>
              <w:top w:val="nil"/>
              <w:left w:val="nil"/>
              <w:bottom w:val="single" w:sz="4" w:space="0" w:color="auto"/>
              <w:right w:val="single" w:sz="4" w:space="0" w:color="auto"/>
            </w:tcBorders>
            <w:noWrap/>
            <w:vAlign w:val="bottom"/>
            <w:hideMark/>
          </w:tcPr>
          <w:p w14:paraId="7123F5E7"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0,30551331</w:t>
            </w:r>
          </w:p>
        </w:tc>
        <w:tc>
          <w:tcPr>
            <w:tcW w:w="1260" w:type="dxa"/>
            <w:tcBorders>
              <w:top w:val="nil"/>
              <w:left w:val="nil"/>
              <w:bottom w:val="single" w:sz="4" w:space="0" w:color="auto"/>
              <w:right w:val="single" w:sz="4" w:space="0" w:color="auto"/>
            </w:tcBorders>
            <w:noWrap/>
            <w:vAlign w:val="bottom"/>
            <w:hideMark/>
          </w:tcPr>
          <w:p w14:paraId="0B9D82A7"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0,962993196</w:t>
            </w:r>
          </w:p>
        </w:tc>
        <w:tc>
          <w:tcPr>
            <w:tcW w:w="1260" w:type="dxa"/>
            <w:tcBorders>
              <w:top w:val="nil"/>
              <w:left w:val="nil"/>
              <w:bottom w:val="single" w:sz="4" w:space="0" w:color="auto"/>
              <w:right w:val="single" w:sz="4" w:space="0" w:color="auto"/>
            </w:tcBorders>
            <w:noWrap/>
            <w:vAlign w:val="bottom"/>
            <w:hideMark/>
          </w:tcPr>
          <w:p w14:paraId="34A9EB27"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153,0541626</w:t>
            </w:r>
          </w:p>
        </w:tc>
        <w:tc>
          <w:tcPr>
            <w:tcW w:w="1260" w:type="dxa"/>
            <w:tcBorders>
              <w:top w:val="nil"/>
              <w:left w:val="nil"/>
              <w:bottom w:val="single" w:sz="4" w:space="0" w:color="auto"/>
              <w:right w:val="single" w:sz="4" w:space="0" w:color="auto"/>
            </w:tcBorders>
            <w:noWrap/>
            <w:vAlign w:val="bottom"/>
            <w:hideMark/>
          </w:tcPr>
          <w:p w14:paraId="75AF10A1"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0,99019779</w:t>
            </w:r>
          </w:p>
        </w:tc>
      </w:tr>
      <w:tr w:rsidR="00115DA1" w:rsidRPr="00115DA1" w14:paraId="23B13871" w14:textId="77777777" w:rsidTr="00115DA1">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EF55012" w14:textId="77777777" w:rsidR="00115DA1" w:rsidRPr="00115DA1" w:rsidRDefault="00115DA1" w:rsidP="00115DA1">
            <w:pPr>
              <w:spacing w:line="240" w:lineRule="auto"/>
              <w:jc w:val="lef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LO_3</w:t>
            </w:r>
          </w:p>
        </w:tc>
        <w:tc>
          <w:tcPr>
            <w:tcW w:w="1540" w:type="dxa"/>
            <w:tcBorders>
              <w:top w:val="nil"/>
              <w:left w:val="nil"/>
              <w:bottom w:val="single" w:sz="4" w:space="0" w:color="auto"/>
              <w:right w:val="single" w:sz="4" w:space="0" w:color="auto"/>
            </w:tcBorders>
            <w:noWrap/>
            <w:vAlign w:val="bottom"/>
            <w:hideMark/>
          </w:tcPr>
          <w:p w14:paraId="740D6F7E"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0,000986456</w:t>
            </w:r>
          </w:p>
        </w:tc>
        <w:tc>
          <w:tcPr>
            <w:tcW w:w="1260" w:type="dxa"/>
            <w:tcBorders>
              <w:top w:val="nil"/>
              <w:left w:val="nil"/>
              <w:bottom w:val="single" w:sz="4" w:space="0" w:color="auto"/>
              <w:right w:val="single" w:sz="4" w:space="0" w:color="auto"/>
            </w:tcBorders>
            <w:noWrap/>
            <w:vAlign w:val="bottom"/>
            <w:hideMark/>
          </w:tcPr>
          <w:p w14:paraId="427B3460"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0,011901911</w:t>
            </w:r>
          </w:p>
        </w:tc>
        <w:tc>
          <w:tcPr>
            <w:tcW w:w="1260" w:type="dxa"/>
            <w:tcBorders>
              <w:top w:val="nil"/>
              <w:left w:val="nil"/>
              <w:bottom w:val="single" w:sz="4" w:space="0" w:color="auto"/>
              <w:right w:val="single" w:sz="4" w:space="0" w:color="auto"/>
            </w:tcBorders>
            <w:noWrap/>
            <w:vAlign w:val="bottom"/>
            <w:hideMark/>
          </w:tcPr>
          <w:p w14:paraId="0B952D9B"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0,791485613</w:t>
            </w:r>
          </w:p>
        </w:tc>
        <w:tc>
          <w:tcPr>
            <w:tcW w:w="1260" w:type="dxa"/>
            <w:tcBorders>
              <w:top w:val="nil"/>
              <w:left w:val="nil"/>
              <w:bottom w:val="single" w:sz="4" w:space="0" w:color="auto"/>
              <w:right w:val="single" w:sz="4" w:space="0" w:color="auto"/>
            </w:tcBorders>
            <w:noWrap/>
            <w:vAlign w:val="bottom"/>
            <w:hideMark/>
          </w:tcPr>
          <w:p w14:paraId="750347E8"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0,846822999</w:t>
            </w:r>
          </w:p>
        </w:tc>
        <w:tc>
          <w:tcPr>
            <w:tcW w:w="1260" w:type="dxa"/>
            <w:tcBorders>
              <w:top w:val="nil"/>
              <w:left w:val="nil"/>
              <w:bottom w:val="single" w:sz="4" w:space="0" w:color="auto"/>
              <w:right w:val="single" w:sz="4" w:space="0" w:color="auto"/>
            </w:tcBorders>
            <w:noWrap/>
            <w:vAlign w:val="bottom"/>
            <w:hideMark/>
          </w:tcPr>
          <w:p w14:paraId="19EA7CC1"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26,99347611</w:t>
            </w:r>
          </w:p>
        </w:tc>
        <w:tc>
          <w:tcPr>
            <w:tcW w:w="1260" w:type="dxa"/>
            <w:tcBorders>
              <w:top w:val="nil"/>
              <w:left w:val="nil"/>
              <w:bottom w:val="single" w:sz="4" w:space="0" w:color="auto"/>
              <w:right w:val="single" w:sz="4" w:space="0" w:color="auto"/>
            </w:tcBorders>
            <w:noWrap/>
            <w:vAlign w:val="bottom"/>
            <w:hideMark/>
          </w:tcPr>
          <w:p w14:paraId="53C0BA20"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0,753136957</w:t>
            </w:r>
          </w:p>
        </w:tc>
      </w:tr>
      <w:tr w:rsidR="00115DA1" w:rsidRPr="00115DA1" w14:paraId="4E9DE091" w14:textId="77777777" w:rsidTr="00115DA1">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60CF0038" w14:textId="77777777" w:rsidR="00115DA1" w:rsidRPr="00115DA1" w:rsidRDefault="00115DA1" w:rsidP="00115DA1">
            <w:pPr>
              <w:spacing w:line="240" w:lineRule="auto"/>
              <w:jc w:val="lef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LO_6</w:t>
            </w:r>
          </w:p>
        </w:tc>
        <w:tc>
          <w:tcPr>
            <w:tcW w:w="1540" w:type="dxa"/>
            <w:tcBorders>
              <w:top w:val="nil"/>
              <w:left w:val="nil"/>
              <w:bottom w:val="single" w:sz="4" w:space="0" w:color="auto"/>
              <w:right w:val="single" w:sz="4" w:space="0" w:color="auto"/>
            </w:tcBorders>
            <w:noWrap/>
            <w:vAlign w:val="bottom"/>
            <w:hideMark/>
          </w:tcPr>
          <w:p w14:paraId="004854E4"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-1,19733E-05</w:t>
            </w:r>
          </w:p>
        </w:tc>
        <w:tc>
          <w:tcPr>
            <w:tcW w:w="1260" w:type="dxa"/>
            <w:tcBorders>
              <w:top w:val="nil"/>
              <w:left w:val="nil"/>
              <w:bottom w:val="single" w:sz="4" w:space="0" w:color="auto"/>
              <w:right w:val="single" w:sz="4" w:space="0" w:color="auto"/>
            </w:tcBorders>
            <w:noWrap/>
            <w:vAlign w:val="bottom"/>
            <w:hideMark/>
          </w:tcPr>
          <w:p w14:paraId="71ED5B8F"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-0,00014367</w:t>
            </w:r>
          </w:p>
        </w:tc>
        <w:tc>
          <w:tcPr>
            <w:tcW w:w="1260" w:type="dxa"/>
            <w:tcBorders>
              <w:top w:val="nil"/>
              <w:left w:val="nil"/>
              <w:bottom w:val="single" w:sz="4" w:space="0" w:color="auto"/>
              <w:right w:val="single" w:sz="4" w:space="0" w:color="auto"/>
            </w:tcBorders>
            <w:noWrap/>
            <w:vAlign w:val="bottom"/>
            <w:hideMark/>
          </w:tcPr>
          <w:p w14:paraId="39DE67A6"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-0,00939218</w:t>
            </w:r>
          </w:p>
        </w:tc>
        <w:tc>
          <w:tcPr>
            <w:tcW w:w="1260" w:type="dxa"/>
            <w:tcBorders>
              <w:top w:val="nil"/>
              <w:left w:val="nil"/>
              <w:bottom w:val="single" w:sz="4" w:space="0" w:color="auto"/>
              <w:right w:val="single" w:sz="4" w:space="0" w:color="auto"/>
            </w:tcBorders>
            <w:noWrap/>
            <w:vAlign w:val="bottom"/>
            <w:hideMark/>
          </w:tcPr>
          <w:p w14:paraId="243B2658"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0,815669855</w:t>
            </w:r>
          </w:p>
        </w:tc>
        <w:tc>
          <w:tcPr>
            <w:tcW w:w="1260" w:type="dxa"/>
            <w:tcBorders>
              <w:top w:val="nil"/>
              <w:left w:val="nil"/>
              <w:bottom w:val="single" w:sz="4" w:space="0" w:color="auto"/>
              <w:right w:val="single" w:sz="4" w:space="0" w:color="auto"/>
            </w:tcBorders>
            <w:noWrap/>
            <w:vAlign w:val="bottom"/>
            <w:hideMark/>
          </w:tcPr>
          <w:p w14:paraId="0C3ACC0C"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23,2626057</w:t>
            </w:r>
          </w:p>
        </w:tc>
        <w:tc>
          <w:tcPr>
            <w:tcW w:w="1260" w:type="dxa"/>
            <w:tcBorders>
              <w:top w:val="nil"/>
              <w:left w:val="nil"/>
              <w:bottom w:val="single" w:sz="4" w:space="0" w:color="auto"/>
              <w:right w:val="single" w:sz="4" w:space="0" w:color="auto"/>
            </w:tcBorders>
            <w:noWrap/>
            <w:vAlign w:val="bottom"/>
            <w:hideMark/>
          </w:tcPr>
          <w:p w14:paraId="46B2A62D"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0,751571862</w:t>
            </w:r>
          </w:p>
        </w:tc>
      </w:tr>
      <w:tr w:rsidR="00115DA1" w:rsidRPr="00115DA1" w14:paraId="418DE406" w14:textId="77777777" w:rsidTr="00115DA1">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19BCFAD0" w14:textId="77777777" w:rsidR="00115DA1" w:rsidRPr="00115DA1" w:rsidRDefault="00115DA1" w:rsidP="00115DA1">
            <w:pPr>
              <w:spacing w:line="240" w:lineRule="auto"/>
              <w:jc w:val="lef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LO_12</w:t>
            </w:r>
          </w:p>
        </w:tc>
        <w:tc>
          <w:tcPr>
            <w:tcW w:w="1540" w:type="dxa"/>
            <w:tcBorders>
              <w:top w:val="nil"/>
              <w:left w:val="nil"/>
              <w:bottom w:val="single" w:sz="4" w:space="0" w:color="auto"/>
              <w:right w:val="single" w:sz="4" w:space="0" w:color="auto"/>
            </w:tcBorders>
            <w:noWrap/>
            <w:vAlign w:val="bottom"/>
            <w:hideMark/>
          </w:tcPr>
          <w:p w14:paraId="01EEB2C4"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0,000763456</w:t>
            </w:r>
          </w:p>
        </w:tc>
        <w:tc>
          <w:tcPr>
            <w:tcW w:w="1260" w:type="dxa"/>
            <w:tcBorders>
              <w:top w:val="nil"/>
              <w:left w:val="nil"/>
              <w:bottom w:val="single" w:sz="4" w:space="0" w:color="auto"/>
              <w:right w:val="single" w:sz="4" w:space="0" w:color="auto"/>
            </w:tcBorders>
            <w:noWrap/>
            <w:vAlign w:val="bottom"/>
            <w:hideMark/>
          </w:tcPr>
          <w:p w14:paraId="3D4CBB55"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0,009200036</w:t>
            </w:r>
          </w:p>
        </w:tc>
        <w:tc>
          <w:tcPr>
            <w:tcW w:w="1260" w:type="dxa"/>
            <w:tcBorders>
              <w:top w:val="nil"/>
              <w:left w:val="nil"/>
              <w:bottom w:val="single" w:sz="4" w:space="0" w:color="auto"/>
              <w:right w:val="single" w:sz="4" w:space="0" w:color="auto"/>
            </w:tcBorders>
            <w:noWrap/>
            <w:vAlign w:val="bottom"/>
            <w:hideMark/>
          </w:tcPr>
          <w:p w14:paraId="43BB7337"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0,575972526</w:t>
            </w:r>
          </w:p>
        </w:tc>
        <w:tc>
          <w:tcPr>
            <w:tcW w:w="1260" w:type="dxa"/>
            <w:tcBorders>
              <w:top w:val="nil"/>
              <w:left w:val="nil"/>
              <w:bottom w:val="single" w:sz="4" w:space="0" w:color="auto"/>
              <w:right w:val="single" w:sz="4" w:space="0" w:color="auto"/>
            </w:tcBorders>
            <w:noWrap/>
            <w:vAlign w:val="bottom"/>
            <w:hideMark/>
          </w:tcPr>
          <w:p w14:paraId="093FCC77"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0,80430432</w:t>
            </w:r>
          </w:p>
        </w:tc>
        <w:tc>
          <w:tcPr>
            <w:tcW w:w="1260" w:type="dxa"/>
            <w:tcBorders>
              <w:top w:val="nil"/>
              <w:left w:val="nil"/>
              <w:bottom w:val="single" w:sz="4" w:space="0" w:color="auto"/>
              <w:right w:val="single" w:sz="4" w:space="0" w:color="auto"/>
            </w:tcBorders>
            <w:noWrap/>
            <w:vAlign w:val="bottom"/>
            <w:hideMark/>
          </w:tcPr>
          <w:p w14:paraId="6F93AFA5"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22,25211298</w:t>
            </w:r>
          </w:p>
        </w:tc>
        <w:tc>
          <w:tcPr>
            <w:tcW w:w="1260" w:type="dxa"/>
            <w:tcBorders>
              <w:top w:val="nil"/>
              <w:left w:val="nil"/>
              <w:bottom w:val="single" w:sz="4" w:space="0" w:color="auto"/>
              <w:right w:val="single" w:sz="4" w:space="0" w:color="auto"/>
            </w:tcBorders>
            <w:noWrap/>
            <w:vAlign w:val="bottom"/>
            <w:hideMark/>
          </w:tcPr>
          <w:p w14:paraId="0FC6328C" w14:textId="77777777" w:rsidR="00115DA1" w:rsidRPr="00115DA1" w:rsidRDefault="00115DA1" w:rsidP="00115DA1">
            <w:pPr>
              <w:spacing w:line="240" w:lineRule="auto"/>
              <w:jc w:val="right"/>
              <w:rPr>
                <w:rFonts w:ascii="Calibri" w:eastAsia="Times New Roman" w:hAnsi="Calibri" w:cs="Calibri"/>
                <w:color w:val="000000"/>
                <w:kern w:val="0"/>
                <w:sz w:val="22"/>
                <w:szCs w:val="22"/>
                <w:lang w:eastAsia="es-AR"/>
                <w14:ligatures w14:val="none"/>
              </w:rPr>
            </w:pPr>
            <w:r w:rsidRPr="00115DA1">
              <w:rPr>
                <w:rFonts w:ascii="Calibri" w:eastAsia="Times New Roman" w:hAnsi="Calibri" w:cs="Calibri"/>
                <w:color w:val="000000"/>
                <w:kern w:val="0"/>
                <w:sz w:val="22"/>
                <w:szCs w:val="22"/>
                <w:lang w:eastAsia="es-AR"/>
                <w14:ligatures w14:val="none"/>
              </w:rPr>
              <w:t>0,725969006</w:t>
            </w:r>
          </w:p>
        </w:tc>
      </w:tr>
    </w:tbl>
    <w:p w14:paraId="7B7198BC" w14:textId="77777777" w:rsidR="00B80D3C" w:rsidRPr="00291FF2" w:rsidRDefault="00B80D3C" w:rsidP="002657B7">
      <w:pPr>
        <w:rPr>
          <w:rFonts w:cs="Times New Roman"/>
        </w:rPr>
      </w:pPr>
    </w:p>
    <w:p w14:paraId="4FFD6D57" w14:textId="77777777" w:rsidR="00B80D3C" w:rsidRPr="00291FF2" w:rsidRDefault="00B80D3C" w:rsidP="00291FF2">
      <w:pPr>
        <w:spacing w:line="360" w:lineRule="auto"/>
        <w:rPr>
          <w:rFonts w:cs="Times New Roman"/>
        </w:rPr>
      </w:pPr>
    </w:p>
    <w:p w14:paraId="485884FC" w14:textId="77777777" w:rsidR="008048E0" w:rsidRDefault="008048E0" w:rsidP="00291FF2">
      <w:pPr>
        <w:spacing w:line="360" w:lineRule="auto"/>
        <w:rPr>
          <w:rFonts w:cs="Times New Roman"/>
        </w:rPr>
      </w:pPr>
      <w:r w:rsidRPr="008048E0">
        <w:rPr>
          <w:rFonts w:cs="Times New Roman"/>
        </w:rPr>
        <w:t>Los resultados muestran que las estrategias analizadas presentan coeficientes beta estadísticamente significativos y sistemáticamente inferiores a la unidad, lo que indica una exposición relevante pero moderada al riesgo sistemático del mercado. Este comportamiento resulta consistente con el carácter sectorial y con las métricas de riesgo previamente analizadas, tales como la volatilidad y los drawdowns máximos observados.</w:t>
      </w:r>
    </w:p>
    <w:p w14:paraId="06F2A459" w14:textId="77777777" w:rsidR="008048E0" w:rsidRDefault="008048E0" w:rsidP="00291FF2">
      <w:pPr>
        <w:spacing w:line="360" w:lineRule="auto"/>
        <w:rPr>
          <w:rFonts w:cs="Times New Roman"/>
        </w:rPr>
      </w:pPr>
      <w:r w:rsidRPr="008048E0">
        <w:rPr>
          <w:rFonts w:cs="Times New Roman"/>
        </w:rPr>
        <w:t>En cuanto al parámetro alfa, si bien los valores estimados resultan en su mayoría positivos, ninguno de ellos es estadísticamente significativo bajo inferencia robusta. Esto sugiere que, una vez controlada la exposición al riesgo de mercado y a la tasa libre de riesgo, no existe evidencia concluyente de retornos anormales persistentes generados por las estrategias de momentum sectorial analizadas.</w:t>
      </w:r>
    </w:p>
    <w:p w14:paraId="259793EB" w14:textId="77777777" w:rsidR="00894435" w:rsidRPr="009706C8" w:rsidRDefault="00894435" w:rsidP="00E91523">
      <w:pPr>
        <w:spacing w:line="360" w:lineRule="auto"/>
        <w:rPr>
          <w:rFonts w:cs="Times New Roman"/>
        </w:rPr>
      </w:pPr>
      <w:r w:rsidRPr="00291FF2">
        <w:rPr>
          <w:rFonts w:cs="Times New Roman"/>
        </w:rPr>
        <w:t>El coeficiente de determinación se ubica en niveles moderados, indicando que el factor mercado explica una proporción sustancial, aunque no total, de la variabilidad de los retornos en exceso de las estrategias. Este resultado es coherente con la naturaleza sectorial y dinámica de las mismas.</w:t>
      </w:r>
    </w:p>
    <w:p w14:paraId="431270F1" w14:textId="77777777" w:rsidR="00894435" w:rsidRPr="009706C8" w:rsidRDefault="00894435" w:rsidP="003967F8">
      <w:pPr>
        <w:pStyle w:val="Ttulo3"/>
        <w:rPr>
          <w:rFonts w:cs="Times New Roman"/>
        </w:rPr>
      </w:pPr>
      <w:bookmarkStart w:id="76" w:name="_Toc223214787"/>
      <w:r w:rsidRPr="009706C8">
        <w:rPr>
          <w:rFonts w:cs="Times New Roman"/>
        </w:rPr>
        <w:t>4.6.5 Evidencia gráfica</w:t>
      </w:r>
      <w:bookmarkEnd w:id="76"/>
    </w:p>
    <w:p w14:paraId="3583ADD6" w14:textId="77777777" w:rsidR="005903EA" w:rsidRDefault="005903EA" w:rsidP="00FC0709">
      <w:pPr>
        <w:spacing w:line="360" w:lineRule="auto"/>
        <w:rPr>
          <w:rFonts w:cs="Times New Roman"/>
        </w:rPr>
      </w:pPr>
      <w:r w:rsidRPr="005903EA">
        <w:rPr>
          <w:rFonts w:cs="Times New Roman"/>
        </w:rPr>
        <w:t xml:space="preserve">A modo ilustrativo, la </w:t>
      </w:r>
      <w:r w:rsidRPr="005903EA">
        <w:rPr>
          <w:rFonts w:cs="Times New Roman"/>
          <w:b/>
          <w:bCs/>
        </w:rPr>
        <w:t>Figura 4.6</w:t>
      </w:r>
      <w:r w:rsidRPr="005903EA">
        <w:rPr>
          <w:rFonts w:cs="Times New Roman"/>
        </w:rPr>
        <w:t xml:space="preserve"> presenta el diagrama de dispersión entre los retornos mensuales en exceso de la estrategia </w:t>
      </w:r>
      <w:r w:rsidRPr="005903EA">
        <w:rPr>
          <w:rFonts w:cs="Times New Roman"/>
          <w:b/>
          <w:bCs/>
        </w:rPr>
        <w:t>LO_3</w:t>
      </w:r>
      <w:r w:rsidRPr="005903EA">
        <w:rPr>
          <w:rFonts w:cs="Times New Roman"/>
        </w:rPr>
        <w:t xml:space="preserve"> y los retornos en exceso del mercado, junto con la recta de regresión estimada a partir del modelo CAPM.</w:t>
      </w:r>
    </w:p>
    <w:p w14:paraId="17B0ADE1" w14:textId="77777777" w:rsidR="00030632" w:rsidRPr="00FC0709" w:rsidRDefault="00030632" w:rsidP="00FC0709">
      <w:pPr>
        <w:spacing w:line="360" w:lineRule="auto"/>
        <w:rPr>
          <w:rFonts w:cs="Times New Roman"/>
          <w:b/>
          <w:bCs/>
        </w:rPr>
      </w:pPr>
      <w:r w:rsidRPr="00030632">
        <w:rPr>
          <w:rFonts w:cs="Times New Roman"/>
          <w:b/>
          <w:bCs/>
        </w:rPr>
        <w:t>Figura 4.6. Diagrama de dispersión CAPM: retornos en exceso de la estrategia LO_3 y del mercado</w:t>
      </w:r>
    </w:p>
    <w:p w14:paraId="700B60FC" w14:textId="77777777" w:rsidR="0006150E" w:rsidRPr="0006150E" w:rsidRDefault="0006150E" w:rsidP="0006150E">
      <w:pPr>
        <w:spacing w:line="360" w:lineRule="auto"/>
        <w:rPr>
          <w:rFonts w:cs="Times New Roman"/>
        </w:rPr>
      </w:pPr>
      <w:r w:rsidRPr="0006150E">
        <w:rPr>
          <w:rFonts w:cs="Times New Roman"/>
          <w:noProof/>
        </w:rPr>
        <w:lastRenderedPageBreak/>
        <w:drawing>
          <wp:inline distT="0" distB="0" distL="0" distR="0" wp14:anchorId="21C3032D" wp14:editId="290DAFF5">
            <wp:extent cx="5399405" cy="4068445"/>
            <wp:effectExtent l="0" t="0" r="0" b="8255"/>
            <wp:docPr id="747761879" name="Imagen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1879" name="Imagen 4" descr="Gráfico, Gráfico de dispers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9405" cy="4068445"/>
                    </a:xfrm>
                    <a:prstGeom prst="rect">
                      <a:avLst/>
                    </a:prstGeom>
                    <a:noFill/>
                    <a:ln>
                      <a:noFill/>
                    </a:ln>
                  </pic:spPr>
                </pic:pic>
              </a:graphicData>
            </a:graphic>
          </wp:inline>
        </w:drawing>
      </w:r>
    </w:p>
    <w:p w14:paraId="7F9491FD" w14:textId="77777777" w:rsidR="00894435" w:rsidRPr="00743667" w:rsidRDefault="00894435" w:rsidP="00743667">
      <w:pPr>
        <w:spacing w:line="360" w:lineRule="auto"/>
        <w:rPr>
          <w:rFonts w:cs="Times New Roman"/>
        </w:rPr>
      </w:pPr>
    </w:p>
    <w:p w14:paraId="01B18D3A" w14:textId="77777777" w:rsidR="00184624" w:rsidRDefault="00184624" w:rsidP="00FC0709">
      <w:pPr>
        <w:spacing w:line="360" w:lineRule="auto"/>
      </w:pPr>
      <w:r w:rsidRPr="00184624">
        <w:rPr>
          <w:rFonts w:cs="Times New Roman"/>
          <w:b/>
          <w:bCs/>
          <w:i/>
          <w:iCs/>
        </w:rPr>
        <w:t>Nota:</w:t>
      </w:r>
      <w:r w:rsidRPr="00184624">
        <w:rPr>
          <w:rFonts w:cs="Times New Roman"/>
        </w:rPr>
        <w:t xml:space="preserve"> </w:t>
      </w:r>
      <w:r w:rsidR="00C42BAF" w:rsidRPr="00C42BAF">
        <w:rPr>
          <w:rFonts w:cs="Times New Roman"/>
        </w:rPr>
        <w:t xml:space="preserve">La figura muestra el diagrama de dispersión entre los retornos mensuales en exceso de la estrategia LO_3 y los retornos mensuales en exceso del mercado (Mkt − RF), junto con la recta de regresión CAPM estimada. La muestra efectiva se extiende desde </w:t>
      </w:r>
      <w:r w:rsidR="00FF3571">
        <w:rPr>
          <w:rFonts w:cs="Times New Roman"/>
          <w:b/>
          <w:bCs/>
        </w:rPr>
        <w:t>enero</w:t>
      </w:r>
      <w:r w:rsidR="00C42BAF" w:rsidRPr="00C42BAF">
        <w:rPr>
          <w:rFonts w:cs="Times New Roman"/>
          <w:b/>
          <w:bCs/>
        </w:rPr>
        <w:t xml:space="preserve"> de 200</w:t>
      </w:r>
      <w:r w:rsidR="00FF3571">
        <w:rPr>
          <w:rFonts w:cs="Times New Roman"/>
          <w:b/>
          <w:bCs/>
        </w:rPr>
        <w:t>5</w:t>
      </w:r>
      <w:r w:rsidR="00C42BAF" w:rsidRPr="00C42BAF">
        <w:rPr>
          <w:rFonts w:cs="Times New Roman"/>
          <w:b/>
          <w:bCs/>
        </w:rPr>
        <w:t xml:space="preserve"> hasta diciembre de 2025</w:t>
      </w:r>
      <w:r w:rsidR="00C42BAF" w:rsidRPr="00C42BAF">
        <w:rPr>
          <w:rFonts w:cs="Times New Roman"/>
        </w:rPr>
        <w:t>, período en el cual se dispone de observaciones mensuales simultáneamente para la estrategia y los factores de mercado.</w:t>
      </w:r>
    </w:p>
    <w:p w14:paraId="1383965B" w14:textId="77777777" w:rsidR="00727A42" w:rsidRPr="00727A42" w:rsidRDefault="00727A42" w:rsidP="00727A42">
      <w:pPr>
        <w:spacing w:line="360" w:lineRule="auto"/>
      </w:pPr>
      <w:r w:rsidRPr="00727A42">
        <w:t>La relación lineal positiva observada confirma visualmente la magnitud del coeficiente beta reportado en la Tabla 4.6, evidenciando una exposición relevante y estable al riesgo sistemático del mercado. Asimismo, la cercanía del intercepto estimado a cero resulta consistente con la ausencia de un alfa estadísticamente significativo bajo inferencia robusta, en línea con los resultados empíricos previamente reportados.</w:t>
      </w:r>
    </w:p>
    <w:p w14:paraId="3A2BE1F3" w14:textId="77777777" w:rsidR="00727A42" w:rsidRPr="00727A42" w:rsidRDefault="00727A42" w:rsidP="00727A42">
      <w:pPr>
        <w:spacing w:line="360" w:lineRule="auto"/>
      </w:pPr>
      <w:r w:rsidRPr="00727A42">
        <w:t>Las restantes estrategias presentan patrones cualitativamente similares, por lo que no se incluyen gráficos.</w:t>
      </w:r>
    </w:p>
    <w:p w14:paraId="4087FD4C" w14:textId="77777777" w:rsidR="00727A42" w:rsidRPr="00727A42" w:rsidRDefault="00727A42" w:rsidP="00727A42">
      <w:pPr>
        <w:spacing w:line="360" w:lineRule="auto"/>
      </w:pPr>
      <w:r w:rsidRPr="00727A42">
        <w:t xml:space="preserve">Si bien la literatura identifica al modelo de </w:t>
      </w:r>
      <w:r w:rsidRPr="00727A42">
        <w:rPr>
          <w:b/>
          <w:bCs/>
        </w:rPr>
        <w:t>Carhart (1997)</w:t>
      </w:r>
      <w:r w:rsidRPr="00727A42">
        <w:t xml:space="preserve"> como una extensión natural para el análisis de estrategias de momentum, el presente trabajo adopta deliberadamente un enfoque parsimonioso basado en el CAPM. El objetivo de este análisis no es descomponer exhaustivamente las fuentes factoriales del retorno, sino examinar el </w:t>
      </w:r>
      <w:r w:rsidRPr="00727A42">
        <w:lastRenderedPageBreak/>
        <w:t>comportamiento de las estrategias de momentum sectorial en relación con el riesgo de mercado agregado, representado por el benchmark SPY.</w:t>
      </w:r>
    </w:p>
    <w:p w14:paraId="5CCB7B01" w14:textId="09AFD001" w:rsidR="00727A42" w:rsidRPr="00727A42" w:rsidRDefault="00727A42" w:rsidP="00953EF4">
      <w:pPr>
        <w:spacing w:line="360" w:lineRule="auto"/>
      </w:pPr>
      <w:r w:rsidRPr="00727A42">
        <w:t>En este sentido, el CAPM resulta adecuado para caracterizar la exposición sistemática al riesgo de mercado y analizar el perfil riesgo–retorno de las estrategias consideradas. La implementación de modelos multifactoriales, incluyendo factores adicionales como momentum, se reconoce como una extensión natural del presente estudio, aunque excede el alcance de esta tesis de grado.</w:t>
      </w:r>
    </w:p>
    <w:p w14:paraId="053AB6D9" w14:textId="77777777" w:rsidR="00894435" w:rsidRPr="009706C8" w:rsidRDefault="00894435">
      <w:pPr>
        <w:pStyle w:val="Ttulo2"/>
        <w:rPr>
          <w:rFonts w:cs="Times New Roman"/>
        </w:rPr>
      </w:pPr>
      <w:bookmarkStart w:id="77" w:name="_Toc223214788"/>
      <w:r w:rsidRPr="009706C8">
        <w:rPr>
          <w:rFonts w:cs="Times New Roman"/>
        </w:rPr>
        <w:t>4.7 Discusión de los resultados</w:t>
      </w:r>
      <w:bookmarkStart w:id="78" w:name="síntesis-del-capítulo"/>
      <w:bookmarkEnd w:id="70"/>
      <w:bookmarkEnd w:id="77"/>
    </w:p>
    <w:p w14:paraId="3885625F" w14:textId="77777777" w:rsidR="001769AC" w:rsidRPr="001769AC" w:rsidRDefault="001769AC" w:rsidP="001769AC">
      <w:pPr>
        <w:spacing w:line="360" w:lineRule="auto"/>
      </w:pPr>
      <w:r w:rsidRPr="001769AC">
        <w:t xml:space="preserve">Los resultados del análisis empírico permiten evaluar de manera integral el desempeño de las estrategias de </w:t>
      </w:r>
      <w:r w:rsidRPr="001769AC">
        <w:rPr>
          <w:i/>
          <w:iCs/>
        </w:rPr>
        <w:t>momentum</w:t>
      </w:r>
      <w:r w:rsidRPr="001769AC">
        <w:t xml:space="preserve"> sectorial Long-Only en comparación con el </w:t>
      </w:r>
      <w:r w:rsidRPr="001769AC">
        <w:rPr>
          <w:i/>
          <w:iCs/>
        </w:rPr>
        <w:t>benchmark</w:t>
      </w:r>
      <w:r w:rsidRPr="001769AC">
        <w:t xml:space="preserve"> de mercado, considerando simultáneamente métricas de rentabilidad, riesgo y modelos de factores.</w:t>
      </w:r>
    </w:p>
    <w:p w14:paraId="701BB18C" w14:textId="77777777" w:rsidR="001769AC" w:rsidRPr="001769AC" w:rsidRDefault="001769AC" w:rsidP="001769AC">
      <w:pPr>
        <w:spacing w:line="360" w:lineRule="auto"/>
      </w:pPr>
      <w:r w:rsidRPr="001769AC">
        <w:t xml:space="preserve">En términos de rentabilidad absoluta, las estrategias de </w:t>
      </w:r>
      <w:r w:rsidRPr="001769AC">
        <w:rPr>
          <w:i/>
          <w:iCs/>
        </w:rPr>
        <w:t>momentum</w:t>
      </w:r>
      <w:r w:rsidRPr="001769AC">
        <w:t xml:space="preserve"> no exhiben una dominancia clara y sistemática sobre el </w:t>
      </w:r>
      <w:r w:rsidRPr="001769AC">
        <w:rPr>
          <w:i/>
          <w:iCs/>
        </w:rPr>
        <w:t>benchmark</w:t>
      </w:r>
      <w:r w:rsidRPr="001769AC">
        <w:t xml:space="preserve">. Si bien la estrategia LO_3 alcanza niveles de rentabilidad acumulada comparables al SPY, las estrategias con horizontes de formación más largos (LO_6 y LO_12) presentan retornos acumulados inferiores a lo largo del período analizado. Este resultado sugiere que el </w:t>
      </w:r>
      <w:r w:rsidRPr="001769AC">
        <w:rPr>
          <w:i/>
          <w:iCs/>
        </w:rPr>
        <w:t>momentum</w:t>
      </w:r>
      <w:r w:rsidRPr="001769AC">
        <w:t xml:space="preserve"> sectorial no garantiza una mejora sostenida de la rentabilidad en términos absolutos frente a una estrategia pasiva de mercado.</w:t>
      </w:r>
    </w:p>
    <w:p w14:paraId="71773C4C" w14:textId="77777777" w:rsidR="001769AC" w:rsidRPr="001769AC" w:rsidRDefault="001769AC" w:rsidP="001769AC">
      <w:pPr>
        <w:spacing w:line="360" w:lineRule="auto"/>
      </w:pPr>
      <w:r w:rsidRPr="001769AC">
        <w:t xml:space="preserve">Desde la perspectiva del riesgo, se observan diferencias más marcadas. Las estrategias de </w:t>
      </w:r>
      <w:r w:rsidRPr="001769AC">
        <w:rPr>
          <w:i/>
          <w:iCs/>
        </w:rPr>
        <w:t>momentum</w:t>
      </w:r>
      <w:r w:rsidRPr="001769AC">
        <w:t xml:space="preserve"> sectorial presentan, en general, niveles de volatilidad anualizada levemente inferiores al </w:t>
      </w:r>
      <w:r w:rsidRPr="001769AC">
        <w:rPr>
          <w:i/>
          <w:iCs/>
        </w:rPr>
        <w:t>benchmark</w:t>
      </w:r>
      <w:r w:rsidRPr="001769AC">
        <w:t xml:space="preserve">, junto con </w:t>
      </w:r>
      <w:r w:rsidRPr="001769AC">
        <w:rPr>
          <w:i/>
          <w:iCs/>
        </w:rPr>
        <w:t>drawdowns</w:t>
      </w:r>
      <w:r w:rsidRPr="001769AC">
        <w:t xml:space="preserve"> máximos menos profundos, especialmente en el caso de la estrategia LO_12. Esto indica que las estrategias con ventanas de formación más largas tienden a exhibir perfiles de pérdidas históricas más acotados, a costa de una menor rentabilidad esperada, reflejando un claro </w:t>
      </w:r>
      <w:r w:rsidRPr="001769AC">
        <w:rPr>
          <w:i/>
          <w:iCs/>
        </w:rPr>
        <w:t>trade-off</w:t>
      </w:r>
      <w:r w:rsidRPr="001769AC">
        <w:t xml:space="preserve"> entre riesgo y retorno.</w:t>
      </w:r>
    </w:p>
    <w:p w14:paraId="065113F1" w14:textId="77777777" w:rsidR="001769AC" w:rsidRPr="001769AC" w:rsidRDefault="001769AC" w:rsidP="001769AC">
      <w:pPr>
        <w:spacing w:line="360" w:lineRule="auto"/>
      </w:pPr>
      <w:r w:rsidRPr="001769AC">
        <w:t xml:space="preserve">El análisis de ratios ajustados por riesgo refuerza esta interpretación. Los valores del ratio de Sharpe muestran diferencias moderadas entre estrategias y </w:t>
      </w:r>
      <w:r w:rsidRPr="001769AC">
        <w:rPr>
          <w:i/>
          <w:iCs/>
        </w:rPr>
        <w:t>benchmark</w:t>
      </w:r>
      <w:r w:rsidRPr="001769AC">
        <w:t xml:space="preserve">, sin evidencia concluyente de una mejora sustancial en la eficiencia riesgo–retorno de las estrategias de </w:t>
      </w:r>
      <w:r w:rsidRPr="001769AC">
        <w:rPr>
          <w:i/>
          <w:iCs/>
        </w:rPr>
        <w:t>momentum</w:t>
      </w:r>
      <w:r w:rsidRPr="001769AC">
        <w:t xml:space="preserve">. En particular, si bien algunas estrategias presentan ratios cercanos al del </w:t>
      </w:r>
      <w:r w:rsidRPr="001769AC">
        <w:rPr>
          <w:i/>
          <w:iCs/>
        </w:rPr>
        <w:t>benchmark</w:t>
      </w:r>
      <w:r w:rsidRPr="001769AC">
        <w:t>, las diferencias no son suficientemente amplias como para sostener una superioridad robusta desde el punto de vista estadístico o económico.</w:t>
      </w:r>
    </w:p>
    <w:p w14:paraId="6F76C06A" w14:textId="77777777" w:rsidR="001769AC" w:rsidRPr="001769AC" w:rsidRDefault="001769AC" w:rsidP="001769AC">
      <w:pPr>
        <w:spacing w:line="360" w:lineRule="auto"/>
      </w:pPr>
      <w:r w:rsidRPr="001769AC">
        <w:lastRenderedPageBreak/>
        <w:t xml:space="preserve">El análisis factorial basado en el CAPM aporta evidencia adicional. Los coeficientes beta estimados para las estrategias de </w:t>
      </w:r>
      <w:r w:rsidRPr="001769AC">
        <w:rPr>
          <w:i/>
          <w:iCs/>
        </w:rPr>
        <w:t>momentum</w:t>
      </w:r>
      <w:r w:rsidRPr="001769AC">
        <w:t xml:space="preserve"> resultan significativamente positivos y sistemáticamente inferiores a la unidad, lo que indica una exposición relevante pero moderada al riesgo sistemático del mercado. Este perfil es consistente con la reducción observada en volatilidad y </w:t>
      </w:r>
      <w:r w:rsidRPr="001769AC">
        <w:rPr>
          <w:i/>
          <w:iCs/>
        </w:rPr>
        <w:t>drawdowns</w:t>
      </w:r>
      <w:r w:rsidRPr="001769AC">
        <w:t xml:space="preserve"> respecto del </w:t>
      </w:r>
      <w:r w:rsidRPr="001769AC">
        <w:rPr>
          <w:i/>
          <w:iCs/>
        </w:rPr>
        <w:t>benchmark</w:t>
      </w:r>
      <w:r w:rsidRPr="001769AC">
        <w:t>. Por el contrario, los coeficientes alfa estimados no resultan estadísticamente significativos bajo inferencia robusta, lo que sugiere que, una vez controlada la exposición al mercado y a la tasa libre de riesgo, no existe evidencia concluyente de generación de retornos anormales persistentes.</w:t>
      </w:r>
    </w:p>
    <w:p w14:paraId="39C0A7BB" w14:textId="77777777" w:rsidR="001769AC" w:rsidRDefault="001769AC" w:rsidP="001769AC">
      <w:pPr>
        <w:spacing w:line="360" w:lineRule="auto"/>
      </w:pPr>
      <w:r w:rsidRPr="001769AC">
        <w:t xml:space="preserve">En conjunto, estos resultados indican que el </w:t>
      </w:r>
      <w:r w:rsidRPr="001769AC">
        <w:rPr>
          <w:i/>
          <w:iCs/>
        </w:rPr>
        <w:t>momentum</w:t>
      </w:r>
      <w:r w:rsidRPr="001769AC">
        <w:t xml:space="preserve"> sectorial Long-Only opera principalmente como un mecanismo de reasignación del riesgo dentro del mercado accionario, más que como una fuente independiente de alfa. Su principal contribución se manifiesta en la modificación del perfil riesgo–retorno del portafolio, reduciendo la severidad de las pérdidas en períodos adversos, en lugar de generar retornos extraordinarios sistemáticos.</w:t>
      </w:r>
    </w:p>
    <w:p w14:paraId="53966A85" w14:textId="26522B32" w:rsidR="00894435" w:rsidRPr="00FD6921" w:rsidRDefault="00D05442" w:rsidP="00FD6921">
      <w:pPr>
        <w:spacing w:line="360" w:lineRule="auto"/>
      </w:pPr>
      <w:r w:rsidRPr="00D05442">
        <w:t>Cabe señalar que los resultados descriptos se mantienen de manera consistente a través de las tres ventanas de formación consideradas (3, 6 y 12 meses), lo que sugiere que las conclusiones no dependen críticamente de un horizonte temporal específico. Asimismo, el período analizado (2005–2025) abarca regímenes de mercado sustancialmente distintos —incluyendo la crisis financiera global de 2008–2009, el shock asociado a la pandemia de COVID-19 en 2020 y el posterior proceso de recuperación y normalización monetaria—. La estabilidad cualitativa de los hallazgos en este contexto heterogéneo refuerza la robustez temporal de las conclusiones alcanzadas.</w:t>
      </w:r>
      <w:r w:rsidR="00894435" w:rsidRPr="009706C8">
        <w:rPr>
          <w:rFonts w:cs="Times New Roman"/>
        </w:rPr>
        <w:t>4.8 Síntesis del capítulo</w:t>
      </w:r>
    </w:p>
    <w:p w14:paraId="4C815D69" w14:textId="77777777" w:rsidR="00CD35E5" w:rsidRPr="00CD35E5" w:rsidRDefault="00CD35E5" w:rsidP="00CD35E5">
      <w:pPr>
        <w:spacing w:line="360" w:lineRule="auto"/>
      </w:pPr>
      <w:bookmarkStart w:id="79" w:name="Xedd36600b0dab507206d5384939c5163c88507e"/>
      <w:bookmarkEnd w:id="57"/>
      <w:bookmarkEnd w:id="78"/>
      <w:r w:rsidRPr="00CD35E5">
        <w:t xml:space="preserve">En este capítulo se evaluó el desempeño empírico de las estrategias de </w:t>
      </w:r>
      <w:r w:rsidRPr="00CD35E5">
        <w:rPr>
          <w:i/>
          <w:iCs/>
        </w:rPr>
        <w:t>momentum</w:t>
      </w:r>
      <w:r w:rsidRPr="00CD35E5">
        <w:t xml:space="preserve"> sectorial Long-Only desde una perspectiva integral, combinando métricas de rentabilidad, medidas de riesgo y modelos de factores.</w:t>
      </w:r>
    </w:p>
    <w:p w14:paraId="19E970F8" w14:textId="77777777" w:rsidR="00CD35E5" w:rsidRPr="00CD35E5" w:rsidRDefault="00CD35E5" w:rsidP="00CD35E5">
      <w:pPr>
        <w:spacing w:line="360" w:lineRule="auto"/>
      </w:pPr>
      <w:r w:rsidRPr="00CD35E5">
        <w:t xml:space="preserve">El análisis de desempeño agregado mostró que las estrategias de </w:t>
      </w:r>
      <w:r w:rsidRPr="00CD35E5">
        <w:rPr>
          <w:i/>
          <w:iCs/>
        </w:rPr>
        <w:t>momentum</w:t>
      </w:r>
      <w:r w:rsidRPr="00CD35E5">
        <w:t xml:space="preserve"> no dominan sistemáticamente al </w:t>
      </w:r>
      <w:r w:rsidRPr="00CD35E5">
        <w:rPr>
          <w:i/>
          <w:iCs/>
        </w:rPr>
        <w:t>benchmark</w:t>
      </w:r>
      <w:r w:rsidRPr="00CD35E5">
        <w:t xml:space="preserve"> de mercado en términos de rentabilidad absoluta, aunque en ciertos casos logran resultados comparables. Sin embargo, al incorporar métricas de riesgo, se observa que estas estrategias presentan perfiles de volatilidad y </w:t>
      </w:r>
      <w:r w:rsidRPr="00CD35E5">
        <w:rPr>
          <w:i/>
          <w:iCs/>
        </w:rPr>
        <w:t>drawdowns</w:t>
      </w:r>
      <w:r w:rsidRPr="00CD35E5">
        <w:t xml:space="preserve"> más moderados, especialmente para horizontes de formación más largos, evidenciando un compromiso entre menor riesgo histórico y menor rentabilidad esperada.</w:t>
      </w:r>
    </w:p>
    <w:p w14:paraId="2B9F9C2F" w14:textId="77777777" w:rsidR="00CD35E5" w:rsidRPr="00CD35E5" w:rsidRDefault="00CD35E5" w:rsidP="00CD35E5">
      <w:pPr>
        <w:spacing w:line="360" w:lineRule="auto"/>
      </w:pPr>
      <w:r w:rsidRPr="00CD35E5">
        <w:t xml:space="preserve">La evaluación mediante ratios ajustados por riesgo sugiere que las mejoras en eficiencia riesgo–retorno son, en el mejor de los casos, moderadas y no concluyentes. En este </w:t>
      </w:r>
      <w:r w:rsidRPr="00CD35E5">
        <w:lastRenderedPageBreak/>
        <w:t>sentido, el análisis factorial basado en el CAPM permitió descomponer el desempeño observado, mostrando que la mayor parte de los retornos puede explicarse por la exposición al riesgo sistemático del mercado, con betas significativamente inferiores a la unidad y ausencia de alfas estadísticamente significativos.</w:t>
      </w:r>
    </w:p>
    <w:p w14:paraId="2537727F" w14:textId="77777777" w:rsidR="00CD35E5" w:rsidRPr="00CD35E5" w:rsidRDefault="00CD35E5" w:rsidP="00CD35E5">
      <w:pPr>
        <w:spacing w:line="360" w:lineRule="auto"/>
      </w:pPr>
      <w:r w:rsidRPr="00CD35E5">
        <w:t xml:space="preserve">En conjunto, la evidencia empírica indica que las estrategias de </w:t>
      </w:r>
      <w:r w:rsidRPr="00CD35E5">
        <w:rPr>
          <w:i/>
          <w:iCs/>
        </w:rPr>
        <w:t>momentum</w:t>
      </w:r>
      <w:r w:rsidRPr="00CD35E5">
        <w:t xml:space="preserve"> sectorial analizadas no generan retornos anormales persistentes una vez controlada la exposición al mercado, pero sí permiten alterar el perfil riesgo–retorno del portafolio, actuando como herramientas de rotación sectorial con características defensivas relativas.</w:t>
      </w:r>
    </w:p>
    <w:p w14:paraId="5B30272F" w14:textId="77777777" w:rsidR="00CD35E5" w:rsidRPr="00CD35E5" w:rsidRDefault="00CD35E5" w:rsidP="00B90564">
      <w:pPr>
        <w:spacing w:line="360" w:lineRule="auto"/>
      </w:pPr>
      <w:r w:rsidRPr="00CD35E5">
        <w:t>Este marco empírico sienta las bases para el análisis del riesgo dinámico y de la volatilidad condicional que se desarrolla en el capítulo siguiente, profundizando en la caracterización temporal del riesgo asociado a las estrategias consideradas.</w:t>
      </w:r>
    </w:p>
    <w:p w14:paraId="615C26FD" w14:textId="77777777" w:rsidR="00D472A0" w:rsidRDefault="00894435">
      <w:pPr>
        <w:pStyle w:val="Ttulo1"/>
        <w:rPr>
          <w:rFonts w:cs="Times New Roman"/>
        </w:rPr>
      </w:pPr>
      <w:bookmarkStart w:id="80" w:name="_Toc223214789"/>
      <w:r w:rsidRPr="009706C8">
        <w:rPr>
          <w:rFonts w:cs="Times New Roman"/>
        </w:rPr>
        <w:t>Capítulo 5</w:t>
      </w:r>
      <w:bookmarkEnd w:id="80"/>
      <w:r w:rsidRPr="009706C8">
        <w:rPr>
          <w:rFonts w:cs="Times New Roman"/>
        </w:rPr>
        <w:t xml:space="preserve"> </w:t>
      </w:r>
    </w:p>
    <w:p w14:paraId="2750ADD9" w14:textId="77777777" w:rsidR="00894435" w:rsidRPr="009706C8" w:rsidRDefault="00894435">
      <w:pPr>
        <w:pStyle w:val="Ttulo1"/>
        <w:rPr>
          <w:rFonts w:cs="Times New Roman"/>
        </w:rPr>
      </w:pPr>
      <w:bookmarkStart w:id="81" w:name="_Toc223214790"/>
      <w:r w:rsidRPr="009706C8">
        <w:rPr>
          <w:rFonts w:cs="Times New Roman"/>
        </w:rPr>
        <w:t xml:space="preserve">Análisis del </w:t>
      </w:r>
      <w:r w:rsidR="00D472A0">
        <w:rPr>
          <w:rFonts w:cs="Times New Roman"/>
        </w:rPr>
        <w:t>r</w:t>
      </w:r>
      <w:r w:rsidRPr="009706C8">
        <w:rPr>
          <w:rFonts w:cs="Times New Roman"/>
        </w:rPr>
        <w:t xml:space="preserve">iesgo y </w:t>
      </w:r>
      <w:r w:rsidR="00D472A0">
        <w:rPr>
          <w:rFonts w:cs="Times New Roman"/>
        </w:rPr>
        <w:t>d</w:t>
      </w:r>
      <w:r w:rsidRPr="009706C8">
        <w:rPr>
          <w:rFonts w:cs="Times New Roman"/>
        </w:rPr>
        <w:t xml:space="preserve">inámica de la </w:t>
      </w:r>
      <w:r w:rsidR="00D472A0">
        <w:rPr>
          <w:rFonts w:cs="Times New Roman"/>
        </w:rPr>
        <w:t>v</w:t>
      </w:r>
      <w:r w:rsidRPr="009706C8">
        <w:rPr>
          <w:rFonts w:cs="Times New Roman"/>
        </w:rPr>
        <w:t>olatilidad</w:t>
      </w:r>
      <w:bookmarkEnd w:id="81"/>
    </w:p>
    <w:p w14:paraId="5D2A33EC" w14:textId="77777777" w:rsidR="00FF48C8" w:rsidRPr="00FF48C8" w:rsidRDefault="00FF48C8" w:rsidP="00FF48C8">
      <w:pPr>
        <w:spacing w:line="360" w:lineRule="auto"/>
      </w:pPr>
      <w:bookmarkStart w:id="82" w:name="introducción"/>
      <w:r w:rsidRPr="00FF48C8">
        <w:t xml:space="preserve">Este capítulo profundiza el análisis del riesgo </w:t>
      </w:r>
      <w:r w:rsidRPr="00FF48C8">
        <w:rPr>
          <w:b/>
          <w:bCs/>
        </w:rPr>
        <w:t>condicional y dinámico</w:t>
      </w:r>
      <w:r w:rsidRPr="00FF48C8">
        <w:t xml:space="preserve"> asociado a las estrategias de momentum sectorial, complementando la evaluación de desempeño presentada en el capítulo anterior. A diferencia del análisis centrado en rentabilidad promedio y medidas estáticas de riesgo, aquí se adopta una perspectiva dinámica del riesgo, incorporando explícitamente la evolución temporal de la volatilidad y la ocurrencia de eventos extremos.</w:t>
      </w:r>
    </w:p>
    <w:p w14:paraId="02A79064" w14:textId="462161C0" w:rsidR="00FF48C8" w:rsidRPr="00FF48C8" w:rsidRDefault="00FF48C8" w:rsidP="00953EF4">
      <w:pPr>
        <w:spacing w:line="360" w:lineRule="auto"/>
      </w:pPr>
      <w:r w:rsidRPr="00FF48C8">
        <w:t>El objetivo principal es evaluar si las estrategias analizadas presentan patrones diferenciados de riesgo condicional y de riesgo en las colas de la distribución, aspectos particularmente relevantes para la gestión activa de portafolios y la toma de decisiones de asignación de activos. En este sentido, el capítulo se enfoca en la modelización de la heterocedasticidad condicional y en la estimación de medidas de riesgo extremo, tales como el Value at Risk y el Expected Shortfall condicionales.</w:t>
      </w:r>
    </w:p>
    <w:p w14:paraId="715B07D2" w14:textId="77777777" w:rsidR="00894435" w:rsidRPr="009706C8" w:rsidRDefault="00894435" w:rsidP="00706DEB">
      <w:pPr>
        <w:pStyle w:val="Ttulo2"/>
        <w:rPr>
          <w:rFonts w:cs="Times New Roman"/>
        </w:rPr>
      </w:pPr>
      <w:bookmarkStart w:id="83" w:name="_Toc223214791"/>
      <w:r w:rsidRPr="009706C8">
        <w:rPr>
          <w:rFonts w:cs="Times New Roman"/>
        </w:rPr>
        <w:t>5.</w:t>
      </w:r>
      <w:r w:rsidR="009A2169">
        <w:rPr>
          <w:rFonts w:cs="Times New Roman"/>
        </w:rPr>
        <w:t>1</w:t>
      </w:r>
      <w:r w:rsidRPr="009706C8">
        <w:rPr>
          <w:rFonts w:cs="Times New Roman"/>
        </w:rPr>
        <w:t xml:space="preserve"> Riesgo, volatilidad y heterocedasticidad condicional</w:t>
      </w:r>
      <w:bookmarkEnd w:id="83"/>
    </w:p>
    <w:p w14:paraId="4C47E5AC" w14:textId="77777777" w:rsidR="002B7944" w:rsidRDefault="002B7944" w:rsidP="008E40A5">
      <w:pPr>
        <w:spacing w:line="360" w:lineRule="auto"/>
        <w:rPr>
          <w:rFonts w:cs="Times New Roman"/>
        </w:rPr>
      </w:pPr>
      <w:r w:rsidRPr="002B7944">
        <w:rPr>
          <w:rFonts w:cs="Times New Roman"/>
        </w:rPr>
        <w:t xml:space="preserve">En el análisis financiero tradicional, el riesgo suele asociarse a la variabilidad de los retornos alrededor de su valor esperado. No obstante, la evidencia empírica muestra que dicha variabilidad no permanece constante en el tiempo. Por el contrario, los retornos financieros presentan períodos de relativa estabilidad alternados con episodios de elevada </w:t>
      </w:r>
      <w:r w:rsidRPr="002B7944">
        <w:rPr>
          <w:rFonts w:cs="Times New Roman"/>
        </w:rPr>
        <w:lastRenderedPageBreak/>
        <w:t>turbulencia, fenómeno que se manifiesta con especial intensidad durante crisis financieras o eventos macroeconómicos adversos.</w:t>
      </w:r>
    </w:p>
    <w:p w14:paraId="7D42D4EB" w14:textId="77777777" w:rsidR="002B7944" w:rsidRDefault="002B7944" w:rsidP="008E40A5">
      <w:pPr>
        <w:spacing w:line="360" w:lineRule="auto"/>
        <w:rPr>
          <w:rFonts w:cs="Times New Roman"/>
        </w:rPr>
      </w:pPr>
      <w:r w:rsidRPr="002B7944">
        <w:rPr>
          <w:rFonts w:cs="Times New Roman"/>
        </w:rPr>
        <w:t xml:space="preserve">Esta característica se conoce como </w:t>
      </w:r>
      <w:r w:rsidRPr="002B7944">
        <w:rPr>
          <w:rFonts w:cs="Times New Roman"/>
          <w:b/>
          <w:bCs/>
        </w:rPr>
        <w:t>heterocedasticidad condicional</w:t>
      </w:r>
      <w:r w:rsidRPr="002B7944">
        <w:rPr>
          <w:rFonts w:cs="Times New Roman"/>
        </w:rPr>
        <w:t xml:space="preserve"> y describe el hecho de que la </w:t>
      </w:r>
      <w:r w:rsidRPr="002B7944">
        <w:rPr>
          <w:rFonts w:cs="Times New Roman"/>
          <w:b/>
          <w:bCs/>
        </w:rPr>
        <w:t>varianza condicional</w:t>
      </w:r>
      <w:r w:rsidRPr="002B7944">
        <w:rPr>
          <w:rFonts w:cs="Times New Roman"/>
        </w:rPr>
        <w:t xml:space="preserve"> de los retornos en un período determinado depende de la información disponible en períodos anteriores. En términos prácticos, implica que la magnitud del riesgo actual está condicionada por el comportamiento reciente del mercado.</w:t>
      </w:r>
    </w:p>
    <w:p w14:paraId="07EF289F" w14:textId="77777777" w:rsidR="002B7944" w:rsidRDefault="002B7944" w:rsidP="00A422E0">
      <w:pPr>
        <w:spacing w:line="360" w:lineRule="auto"/>
        <w:rPr>
          <w:rFonts w:cs="Times New Roman"/>
        </w:rPr>
      </w:pPr>
      <w:r w:rsidRPr="002B7944">
        <w:rPr>
          <w:rFonts w:cs="Times New Roman"/>
        </w:rPr>
        <w:t xml:space="preserve">Una consecuencia directa de este comportamiento es el denominado </w:t>
      </w:r>
      <w:r w:rsidRPr="002B7944">
        <w:rPr>
          <w:rFonts w:cs="Times New Roman"/>
          <w:i/>
          <w:iCs/>
        </w:rPr>
        <w:t>clustering</w:t>
      </w:r>
      <w:r w:rsidRPr="002B7944">
        <w:rPr>
          <w:rFonts w:cs="Times New Roman"/>
        </w:rPr>
        <w:t xml:space="preserve"> de volatilidad, según el cual grandes variaciones en los retornos tienden a agruparse temporalmente, del mismo modo que períodos de baja volatilidad suelen persistir. </w:t>
      </w:r>
      <w:r w:rsidRPr="002B7944">
        <w:rPr>
          <w:rFonts w:cs="Times New Roman"/>
          <w:b/>
          <w:bCs/>
        </w:rPr>
        <w:t>Este patrón puede observarse en la Figura 5.1</w:t>
      </w:r>
      <w:r w:rsidRPr="002B7944">
        <w:rPr>
          <w:rFonts w:cs="Times New Roman"/>
        </w:rPr>
        <w:t>, donde episodios de retornos de gran magnitud coinciden con niveles elevados y persistentes de volatilidad condicional.</w:t>
      </w:r>
    </w:p>
    <w:p w14:paraId="7CF608F1" w14:textId="77777777" w:rsidR="00A422E0" w:rsidRPr="00A422E0" w:rsidRDefault="00894435" w:rsidP="00A422E0">
      <w:pPr>
        <w:spacing w:line="360" w:lineRule="auto"/>
        <w:rPr>
          <w:i/>
          <w:iCs/>
        </w:rPr>
      </w:pPr>
      <w:r w:rsidRPr="008E40A5">
        <w:rPr>
          <w:rFonts w:cs="Times New Roman"/>
          <w:b/>
          <w:bCs/>
        </w:rPr>
        <w:t>Figura 5.</w:t>
      </w:r>
      <w:r w:rsidR="009A2169">
        <w:rPr>
          <w:rFonts w:cs="Times New Roman"/>
          <w:b/>
          <w:bCs/>
        </w:rPr>
        <w:t>1</w:t>
      </w:r>
      <w:r w:rsidRPr="008E40A5">
        <w:rPr>
          <w:rFonts w:cs="Times New Roman"/>
          <w:b/>
          <w:bCs/>
        </w:rPr>
        <w:t xml:space="preserve"> – Retornos mensuales y evidencia de clustering de volatilidad</w:t>
      </w:r>
      <w:r w:rsidRPr="008E40A5">
        <w:rPr>
          <w:rFonts w:cs="Times New Roman"/>
        </w:rPr>
        <w:br/>
      </w:r>
      <w:r w:rsidR="00A422E0" w:rsidRPr="00A422E0">
        <w:rPr>
          <w:i/>
          <w:iCs/>
          <w:noProof/>
        </w:rPr>
        <w:drawing>
          <wp:inline distT="0" distB="0" distL="0" distR="0" wp14:anchorId="5DFBF380" wp14:editId="66F3AD3E">
            <wp:extent cx="5399405" cy="3422650"/>
            <wp:effectExtent l="0" t="0" r="0" b="6350"/>
            <wp:docPr id="842923734" name="Imagen 6"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23734" name="Imagen 6" descr="Interfaz de usuario gráfica, Gráfic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9405" cy="3422650"/>
                    </a:xfrm>
                    <a:prstGeom prst="rect">
                      <a:avLst/>
                    </a:prstGeom>
                    <a:noFill/>
                    <a:ln>
                      <a:noFill/>
                    </a:ln>
                  </pic:spPr>
                </pic:pic>
              </a:graphicData>
            </a:graphic>
          </wp:inline>
        </w:drawing>
      </w:r>
    </w:p>
    <w:p w14:paraId="05C1F3B3" w14:textId="77777777" w:rsidR="00894435" w:rsidRPr="008E40A5" w:rsidRDefault="00894435" w:rsidP="008E40A5">
      <w:pPr>
        <w:spacing w:line="360" w:lineRule="auto"/>
        <w:rPr>
          <w:rFonts w:cs="Times New Roman"/>
          <w:i/>
          <w:iCs/>
        </w:rPr>
      </w:pPr>
    </w:p>
    <w:p w14:paraId="7CAECE19" w14:textId="77777777" w:rsidR="00F834A5" w:rsidRDefault="00D90D6F" w:rsidP="003D606A">
      <w:pPr>
        <w:spacing w:line="360" w:lineRule="auto"/>
        <w:rPr>
          <w:rFonts w:cs="Times New Roman"/>
        </w:rPr>
      </w:pPr>
      <w:r w:rsidRPr="00D90D6F">
        <w:rPr>
          <w:rFonts w:cs="Times New Roman"/>
        </w:rPr>
        <w:t xml:space="preserve">Este comportamiento invalida el supuesto de varianza constante implícito en modelos clásicos y vuelve inadecuado el uso de medidas de riesgo estáticas cuando el objetivo es evaluar el riesgo de manera dinámica. En este contexto, resulta necesario emplear modelos que permitan capturar explícitamente la dependencia temporal de la volatilidad y su reacción ante shocks pasados. La </w:t>
      </w:r>
      <w:r w:rsidRPr="00A53171">
        <w:rPr>
          <w:rFonts w:cs="Times New Roman"/>
          <w:b/>
          <w:bCs/>
        </w:rPr>
        <w:t>volatilidad condicional</w:t>
      </w:r>
      <w:r w:rsidRPr="00D90D6F">
        <w:rPr>
          <w:rFonts w:cs="Times New Roman"/>
        </w:rPr>
        <w:t xml:space="preserve">, entendida como la </w:t>
      </w:r>
      <w:r w:rsidRPr="00D90D6F">
        <w:rPr>
          <w:rFonts w:cs="Times New Roman"/>
        </w:rPr>
        <w:lastRenderedPageBreak/>
        <w:t>varianza esperada de los retornos dado el conjunto de información disponible, se convierte así en una herramienta central para el análisis del riesgo financiero.</w:t>
      </w:r>
    </w:p>
    <w:p w14:paraId="59259E80" w14:textId="77777777" w:rsidR="00894435" w:rsidRPr="009706C8" w:rsidRDefault="00894435" w:rsidP="00B65AC2">
      <w:pPr>
        <w:pStyle w:val="Ttulo2"/>
        <w:rPr>
          <w:rFonts w:cs="Times New Roman"/>
        </w:rPr>
      </w:pPr>
      <w:bookmarkStart w:id="84" w:name="_Toc223214792"/>
      <w:bookmarkStart w:id="85" w:name="estimación-y-resultados-del-modelo-garch"/>
      <w:bookmarkEnd w:id="82"/>
      <w:r w:rsidRPr="009706C8">
        <w:rPr>
          <w:rFonts w:cs="Times New Roman"/>
        </w:rPr>
        <w:t>5.</w:t>
      </w:r>
      <w:r w:rsidR="009A2169">
        <w:rPr>
          <w:rFonts w:cs="Times New Roman"/>
        </w:rPr>
        <w:t>2</w:t>
      </w:r>
      <w:r w:rsidRPr="009706C8">
        <w:rPr>
          <w:rFonts w:cs="Times New Roman"/>
        </w:rPr>
        <w:t xml:space="preserve"> Modelización de la volatilidad mediante modelos GARCH</w:t>
      </w:r>
      <w:bookmarkEnd w:id="84"/>
    </w:p>
    <w:p w14:paraId="133E7370" w14:textId="77777777" w:rsidR="004A1E2A" w:rsidRDefault="004A1E2A" w:rsidP="008E40A5">
      <w:pPr>
        <w:spacing w:line="360" w:lineRule="auto"/>
        <w:rPr>
          <w:rFonts w:cs="Times New Roman"/>
          <w:b/>
          <w:bCs/>
        </w:rPr>
      </w:pPr>
      <w:r w:rsidRPr="004A1E2A">
        <w:rPr>
          <w:rFonts w:cs="Times New Roman"/>
        </w:rPr>
        <w:t>Con el objetivo de modelar formalmente la dinámica temporal de la volatilidad de los retornos, se recurre a los modelos de tipo GARCH (</w:t>
      </w:r>
      <w:r w:rsidRPr="004A1E2A">
        <w:rPr>
          <w:rFonts w:cs="Times New Roman"/>
          <w:i/>
          <w:iCs/>
        </w:rPr>
        <w:t>Generalized Autoregressive Conditional Heteroskedasticity</w:t>
      </w:r>
      <w:r w:rsidRPr="004A1E2A">
        <w:rPr>
          <w:rFonts w:cs="Times New Roman"/>
        </w:rPr>
        <w:t xml:space="preserve">), ampliamente utilizados en la literatura financiera para capturar dos regularidades empíricas fundamentales: la heterocedasticidad condicional y el </w:t>
      </w:r>
      <w:r w:rsidRPr="004A1E2A">
        <w:rPr>
          <w:rFonts w:cs="Times New Roman"/>
          <w:i/>
          <w:iCs/>
        </w:rPr>
        <w:t>clustering</w:t>
      </w:r>
      <w:r w:rsidRPr="004A1E2A">
        <w:rPr>
          <w:rFonts w:cs="Times New Roman"/>
        </w:rPr>
        <w:t xml:space="preserve"> de volatilidad. </w:t>
      </w:r>
      <w:r w:rsidRPr="002F599A">
        <w:rPr>
          <w:rFonts w:cs="Times New Roman"/>
        </w:rPr>
        <w:t>En línea con la evidencia empírica discutida previamente, el énfasis se coloca en la dinámica de la varianza condicional, asumiendo una media condicional nula para los retornos.</w:t>
      </w:r>
    </w:p>
    <w:p w14:paraId="5DDF487B" w14:textId="77777777" w:rsidR="00894435" w:rsidRPr="008E40A5" w:rsidRDefault="00894435" w:rsidP="008E40A5">
      <w:pPr>
        <w:spacing w:line="360" w:lineRule="auto"/>
        <w:rPr>
          <w:rFonts w:cs="Times New Roman"/>
        </w:rPr>
      </w:pPr>
      <w:r w:rsidRPr="008E40A5">
        <w:rPr>
          <w:rFonts w:cs="Times New Roman"/>
        </w:rPr>
        <w:t>En los mercados financieros, la volatilidad no se comporta como un parámetro constante, sino que exhibe períodos prolongados de alta y baja variabilidad. Este comportamiento implica que la varianza condicional de los retornos depende de la información pasada, particularmente de los shocks recientes y del nivel previo de volatilidad. Los modelos GARCH permiten formalizar esta intuición, modelando la varianza como un proceso dinámico que evoluciona en el tiempo.</w:t>
      </w:r>
    </w:p>
    <w:p w14:paraId="59EC8ABF" w14:textId="77777777" w:rsidR="00894435" w:rsidRPr="008E40A5" w:rsidRDefault="00894435" w:rsidP="008E40A5">
      <w:pPr>
        <w:spacing w:line="360" w:lineRule="auto"/>
        <w:rPr>
          <w:rFonts w:cs="Times New Roman"/>
        </w:rPr>
      </w:pPr>
      <w:r w:rsidRPr="008E40A5">
        <w:rPr>
          <w:rFonts w:cs="Times New Roman"/>
        </w:rPr>
        <w:t>En este trabajo se adopta la especificación GARCH(1,1), dada por:</w:t>
      </w:r>
    </w:p>
    <w:p w14:paraId="55CA99D1" w14:textId="77777777" w:rsidR="00894435" w:rsidRPr="00B02F47" w:rsidRDefault="00000000" w:rsidP="009D2EF2">
      <w:pPr>
        <w:spacing w:line="360" w:lineRule="auto"/>
        <w:jc w:val="right"/>
        <w:rPr>
          <w:rFonts w:cs="Times New Roman"/>
          <w:b/>
          <w:bCs/>
        </w:rPr>
      </w:pP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 ω + α·</m:t>
        </m:r>
        <m:sSubSup>
          <m:sSubSupPr>
            <m:ctrlPr>
              <w:rPr>
                <w:rFonts w:ascii="Cambria Math" w:hAnsi="Cambria Math" w:cs="Times New Roman"/>
                <w:i/>
              </w:rPr>
            </m:ctrlPr>
          </m:sSubSupPr>
          <m:e>
            <m:r>
              <w:rPr>
                <w:rFonts w:ascii="Cambria Math" w:hAnsi="Cambria Math" w:cs="Times New Roman"/>
              </w:rPr>
              <m:t>ε</m:t>
            </m:r>
          </m:e>
          <m:sub>
            <m:d>
              <m:dPr>
                <m:begChr m:val="{"/>
                <m:endChr m:val="}"/>
                <m:ctrlPr>
                  <w:rPr>
                    <w:rFonts w:ascii="Cambria Math" w:hAnsi="Cambria Math" w:cs="Times New Roman"/>
                    <w:i/>
                  </w:rPr>
                </m:ctrlPr>
              </m:dPr>
              <m:e>
                <m:r>
                  <w:rPr>
                    <w:rFonts w:ascii="Cambria Math" w:hAnsi="Cambria Math" w:cs="Times New Roman"/>
                  </w:rPr>
                  <m:t>t-1</m:t>
                </m:r>
              </m:e>
            </m:d>
          </m:sub>
          <m:sup>
            <m:r>
              <w:rPr>
                <w:rFonts w:ascii="Cambria Math" w:hAnsi="Cambria Math" w:cs="Times New Roman"/>
              </w:rPr>
              <m:t>2</m:t>
            </m:r>
          </m:sup>
        </m:sSubSup>
        <m:r>
          <w:rPr>
            <w:rFonts w:ascii="Cambria Math" w:hAnsi="Cambria Math" w:cs="Times New Roman"/>
          </w:rPr>
          <m:t>+ β·</m:t>
        </m:r>
        <m:sSubSup>
          <m:sSubSupPr>
            <m:ctrlPr>
              <w:rPr>
                <w:rFonts w:ascii="Cambria Math" w:hAnsi="Cambria Math" w:cs="Times New Roman"/>
                <w:i/>
              </w:rPr>
            </m:ctrlPr>
          </m:sSubSup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t-1</m:t>
                </m:r>
              </m:e>
            </m:d>
          </m:sub>
          <m:sup>
            <m:r>
              <w:rPr>
                <w:rFonts w:ascii="Cambria Math" w:hAnsi="Cambria Math" w:cs="Times New Roman"/>
              </w:rPr>
              <m:t>2</m:t>
            </m:r>
          </m:sup>
        </m:sSubSup>
      </m:oMath>
      <w:r w:rsidR="009D2EF2" w:rsidRPr="00B02F47">
        <w:rPr>
          <w:rFonts w:cs="Times New Roman"/>
        </w:rPr>
        <w:t xml:space="preserve">    </w:t>
      </w:r>
      <w:r w:rsidR="008D2020" w:rsidRPr="00B02F47">
        <w:rPr>
          <w:rFonts w:cs="Times New Roman"/>
        </w:rPr>
        <w:t xml:space="preserve">             </w:t>
      </w:r>
      <w:r w:rsidR="00894435" w:rsidRPr="00B02F47">
        <w:rPr>
          <w:rFonts w:cs="Times New Roman"/>
          <w:b/>
          <w:bCs/>
        </w:rPr>
        <w:t xml:space="preserve">Ecuación </w:t>
      </w:r>
      <w:r w:rsidR="009D2EF2" w:rsidRPr="00B02F47">
        <w:rPr>
          <w:rFonts w:cs="Times New Roman"/>
          <w:b/>
          <w:bCs/>
        </w:rPr>
        <w:t>(</w:t>
      </w:r>
      <w:r w:rsidR="00894435" w:rsidRPr="00B02F47">
        <w:rPr>
          <w:rFonts w:cs="Times New Roman"/>
          <w:b/>
          <w:bCs/>
        </w:rPr>
        <w:t>5.1</w:t>
      </w:r>
      <w:r w:rsidR="009D2EF2" w:rsidRPr="00B02F47">
        <w:rPr>
          <w:rFonts w:cs="Times New Roman"/>
          <w:b/>
          <w:bCs/>
        </w:rPr>
        <w:t>)</w:t>
      </w:r>
    </w:p>
    <w:p w14:paraId="587BC52F" w14:textId="77777777" w:rsidR="00ED0107" w:rsidRPr="00ED0107" w:rsidRDefault="00ED0107" w:rsidP="00ED0107">
      <w:pPr>
        <w:spacing w:line="360" w:lineRule="auto"/>
        <w:rPr>
          <w:rFonts w:cs="Times New Roman"/>
        </w:rPr>
      </w:pPr>
      <w:r w:rsidRPr="00ED0107">
        <w:rPr>
          <w:rFonts w:cs="Times New Roman"/>
        </w:rPr>
        <w:t xml:space="preserve">donde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oMath>
      <w:r>
        <w:rPr>
          <w:rFonts w:eastAsiaTheme="minorEastAsia" w:cs="Times New Roman"/>
        </w:rPr>
        <w:t xml:space="preserve"> </w:t>
      </w:r>
      <w:r w:rsidRPr="00ED0107">
        <w:rPr>
          <w:rFonts w:cs="Times New Roman"/>
        </w:rPr>
        <w:t xml:space="preserve">representa el shock innovacional del retorno en el período </w:t>
      </w:r>
      <m:oMath>
        <m:r>
          <w:rPr>
            <w:rFonts w:ascii="Cambria Math" w:hAnsi="Cambria Math" w:cs="Times New Roman"/>
          </w:rPr>
          <m:t>t</m:t>
        </m:r>
      </m:oMath>
      <w:r w:rsidRPr="00ED0107">
        <w:rPr>
          <w:rFonts w:cs="Times New Roman"/>
        </w:rPr>
        <w:t>, definido como la desviación del retorno respecto de su media condicional.</w:t>
      </w:r>
    </w:p>
    <w:p w14:paraId="1F48893F" w14:textId="77777777" w:rsidR="00894435" w:rsidRPr="008E40A5" w:rsidRDefault="00894435" w:rsidP="008E40A5">
      <w:pPr>
        <w:spacing w:line="360" w:lineRule="auto"/>
        <w:rPr>
          <w:rFonts w:cs="Times New Roman"/>
        </w:rPr>
      </w:pPr>
      <w:r w:rsidRPr="008E40A5">
        <w:rPr>
          <w:rFonts w:cs="Times New Roman"/>
        </w:rPr>
        <w:t>Desde una interpretación económica:</w:t>
      </w:r>
    </w:p>
    <w:p w14:paraId="3CC60250" w14:textId="77777777" w:rsidR="00894435" w:rsidRPr="008E40A5" w:rsidRDefault="00894435" w:rsidP="008E40A5">
      <w:pPr>
        <w:numPr>
          <w:ilvl w:val="0"/>
          <w:numId w:val="3"/>
        </w:numPr>
        <w:spacing w:after="200" w:line="360" w:lineRule="auto"/>
        <w:rPr>
          <w:rFonts w:cs="Times New Roman"/>
        </w:rPr>
      </w:pPr>
      <w:r w:rsidRPr="008E40A5">
        <w:rPr>
          <w:rFonts w:cs="Times New Roman"/>
        </w:rPr>
        <w:t xml:space="preserve">ω </w:t>
      </w:r>
      <w:r w:rsidR="002F599A" w:rsidRPr="002F599A">
        <w:rPr>
          <w:rFonts w:cs="Times New Roman"/>
        </w:rPr>
        <w:t>representa el componente base de la varianza condicional.</w:t>
      </w:r>
    </w:p>
    <w:p w14:paraId="13539B65" w14:textId="77777777" w:rsidR="00894435" w:rsidRPr="008E40A5" w:rsidRDefault="00894435" w:rsidP="008E40A5">
      <w:pPr>
        <w:numPr>
          <w:ilvl w:val="0"/>
          <w:numId w:val="3"/>
        </w:numPr>
        <w:spacing w:after="200" w:line="360" w:lineRule="auto"/>
        <w:rPr>
          <w:rFonts w:cs="Times New Roman"/>
        </w:rPr>
      </w:pPr>
      <w:r w:rsidRPr="008E40A5">
        <w:rPr>
          <w:rFonts w:cs="Times New Roman"/>
        </w:rPr>
        <w:t>α mide la sensibilidad de la volatilidad ante shocks recientes en los retornos.</w:t>
      </w:r>
    </w:p>
    <w:p w14:paraId="097D2D7D" w14:textId="77777777" w:rsidR="00894435" w:rsidRPr="008E40A5" w:rsidRDefault="00894435" w:rsidP="008E40A5">
      <w:pPr>
        <w:numPr>
          <w:ilvl w:val="0"/>
          <w:numId w:val="3"/>
        </w:numPr>
        <w:spacing w:after="200" w:line="360" w:lineRule="auto"/>
        <w:rPr>
          <w:rFonts w:cs="Times New Roman"/>
        </w:rPr>
      </w:pPr>
      <w:r w:rsidRPr="008E40A5">
        <w:rPr>
          <w:rFonts w:cs="Times New Roman"/>
        </w:rPr>
        <w:t>β captura la persistencia de la volatilidad, es decir, la velocidad con la cual los efectos de dichos shocks se disipan en el tiempo.</w:t>
      </w:r>
    </w:p>
    <w:p w14:paraId="2246C5F1" w14:textId="77777777" w:rsidR="00894435" w:rsidRDefault="00894435" w:rsidP="008E40A5">
      <w:pPr>
        <w:spacing w:line="360" w:lineRule="auto"/>
        <w:rPr>
          <w:rFonts w:cs="Times New Roman"/>
        </w:rPr>
      </w:pPr>
      <w:r w:rsidRPr="008E40A5">
        <w:rPr>
          <w:rFonts w:cs="Times New Roman"/>
        </w:rPr>
        <w:t xml:space="preserve">La suma α + β constituye un indicador clave de persistencia: </w:t>
      </w:r>
      <w:r w:rsidR="002F599A" w:rsidRPr="002F599A">
        <w:rPr>
          <w:rFonts w:cs="Times New Roman"/>
        </w:rPr>
        <w:t>Bajo supuestos estándar,</w:t>
      </w:r>
      <w:r w:rsidR="002F599A">
        <w:rPr>
          <w:rFonts w:cs="Times New Roman"/>
        </w:rPr>
        <w:t xml:space="preserve"> </w:t>
      </w:r>
      <w:r w:rsidRPr="008E40A5">
        <w:rPr>
          <w:rFonts w:cs="Times New Roman"/>
        </w:rPr>
        <w:t>valores elevados y cercanos a la unidad implican que los episodios de alta volatilidad tienden a prolongarse en el tiempo. Para garantizar la estacionariedad del proceso y la existencia de una varianza incondicional finita, se requiere que α + β &lt; 1.</w:t>
      </w:r>
    </w:p>
    <w:p w14:paraId="249A1658" w14:textId="06637B4F" w:rsidR="00FE4C1C" w:rsidRPr="008E40A5" w:rsidRDefault="00FE4C1C" w:rsidP="008E40A5">
      <w:pPr>
        <w:spacing w:line="360" w:lineRule="auto"/>
        <w:rPr>
          <w:rFonts w:cs="Times New Roman"/>
        </w:rPr>
      </w:pPr>
      <w:r w:rsidRPr="00FE4C1C">
        <w:rPr>
          <w:rFonts w:cs="Times New Roman"/>
        </w:rPr>
        <w:t xml:space="preserve">Cabe señalar que la especificación GARCH(1,1) adoptada es simétrica, en el sentido de que la varianza condicional responde de igual manera a shocks positivos y negativos de igual magnitud. Modelos alternativos, como EGARCH (Nelson, 1991) o GJR-GARCH </w:t>
      </w:r>
      <w:r w:rsidRPr="00FE4C1C">
        <w:rPr>
          <w:rFonts w:cs="Times New Roman"/>
        </w:rPr>
        <w:lastRenderedPageBreak/>
        <w:t>(Glosten, Jagannathan y Runkle, 1993), permiten capturar posibles efectos de asimetría o leverage en la dinámica de la volatilidad. No obstante, dado el carácter descriptivo del análisis y la frecuencia mensual de los datos, la especificación simétrica se considera adecuada para los fines del presente estudio, dejando la modelización asimétrica como posible extensión futura.</w:t>
      </w:r>
    </w:p>
    <w:p w14:paraId="5F3053F2" w14:textId="77777777" w:rsidR="00894435" w:rsidRPr="009706C8" w:rsidRDefault="00894435" w:rsidP="00790670">
      <w:pPr>
        <w:pStyle w:val="Ttulo2"/>
        <w:rPr>
          <w:rFonts w:cs="Times New Roman"/>
        </w:rPr>
      </w:pPr>
      <w:bookmarkStart w:id="86" w:name="_Toc223214793"/>
      <w:r w:rsidRPr="009706C8">
        <w:rPr>
          <w:rFonts w:cs="Times New Roman"/>
        </w:rPr>
        <w:t>5.</w:t>
      </w:r>
      <w:r w:rsidR="009A2169">
        <w:rPr>
          <w:rFonts w:cs="Times New Roman"/>
        </w:rPr>
        <w:t>3</w:t>
      </w:r>
      <w:r w:rsidRPr="009706C8">
        <w:rPr>
          <w:rFonts w:cs="Times New Roman"/>
        </w:rPr>
        <w:t xml:space="preserve"> Estimación y resultados del modelo GARCH</w:t>
      </w:r>
      <w:bookmarkEnd w:id="86"/>
    </w:p>
    <w:p w14:paraId="5C1155C3" w14:textId="77777777" w:rsidR="00E85DF5" w:rsidRDefault="00894435" w:rsidP="00E85DF5">
      <w:pPr>
        <w:spacing w:line="360" w:lineRule="auto"/>
        <w:rPr>
          <w:rFonts w:cs="Times New Roman"/>
        </w:rPr>
      </w:pPr>
      <w:r w:rsidRPr="008E40A5">
        <w:rPr>
          <w:rFonts w:cs="Times New Roman"/>
        </w:rPr>
        <w:t xml:space="preserve">Esta sección presenta la estimación empírica del modelo GARCH(1,1) aplicado a las series de retornos mensuales de las estrategias de </w:t>
      </w:r>
      <w:r w:rsidRPr="008E40A5">
        <w:rPr>
          <w:rFonts w:cs="Times New Roman"/>
          <w:i/>
          <w:iCs/>
        </w:rPr>
        <w:t>momentum</w:t>
      </w:r>
      <w:r w:rsidRPr="008E40A5">
        <w:rPr>
          <w:rFonts w:cs="Times New Roman"/>
        </w:rPr>
        <w:t xml:space="preserve"> sectorial Long-Only</w:t>
      </w:r>
      <w:r w:rsidR="00E73AD7">
        <w:rPr>
          <w:rFonts w:cs="Times New Roman"/>
        </w:rPr>
        <w:t>,</w:t>
      </w:r>
      <w:r w:rsidRPr="008E40A5">
        <w:rPr>
          <w:rFonts w:cs="Times New Roman"/>
        </w:rPr>
        <w:t xml:space="preserve"> </w:t>
      </w:r>
      <w:r w:rsidR="00F84418" w:rsidRPr="00F84418">
        <w:rPr>
          <w:rFonts w:cs="Times New Roman"/>
        </w:rPr>
        <w:t>incluyendo el índice representativo del mercado accionario</w:t>
      </w:r>
      <w:r w:rsidRPr="008E40A5">
        <w:rPr>
          <w:rFonts w:cs="Times New Roman"/>
        </w:rPr>
        <w:t>. El objetivo es caracterizar la dinámica de la volatilidad condicional y evaluar su persistencia, así como establecer una base coherente para la medición de riesgo extremo desarrollada en las secciones posteriores.</w:t>
      </w:r>
    </w:p>
    <w:p w14:paraId="2013F46E" w14:textId="77777777" w:rsidR="00894435" w:rsidRPr="009706C8" w:rsidRDefault="00894435" w:rsidP="00B54924">
      <w:pPr>
        <w:pStyle w:val="Ttulo3"/>
      </w:pPr>
      <w:bookmarkStart w:id="87" w:name="_Toc223214794"/>
      <w:r w:rsidRPr="009706C8">
        <w:t>5.</w:t>
      </w:r>
      <w:r w:rsidR="009A2169">
        <w:t>3</w:t>
      </w:r>
      <w:r w:rsidRPr="009706C8">
        <w:t>.1 Selección de la distribución de las innovaciones</w:t>
      </w:r>
      <w:bookmarkEnd w:id="87"/>
    </w:p>
    <w:p w14:paraId="3894EA97" w14:textId="77777777" w:rsidR="00FF7AF9" w:rsidRPr="00FF7AF9" w:rsidRDefault="00FF7AF9" w:rsidP="00FF7AF9">
      <w:pPr>
        <w:spacing w:line="360" w:lineRule="auto"/>
        <w:rPr>
          <w:rFonts w:cs="Times New Roman"/>
        </w:rPr>
      </w:pPr>
      <w:r w:rsidRPr="00FF7AF9">
        <w:rPr>
          <w:rFonts w:cs="Times New Roman"/>
        </w:rPr>
        <w:t>La estimación del modelo GARCH se realiza mediante máxima verosimilitud bajo dos especificaciones alternativas para la distribución de las innovaciones: Normal y t-Student. La inclusión de la distribución t-Student responde a la evidencia empírica ampliamente documentada en la literatura financiera, que señala la presencia de colas pesadas y curtosis excesiva en los retornos financieros, fenómenos que no son adecuadamente capturados bajo el supuesto de normalidad.</w:t>
      </w:r>
    </w:p>
    <w:p w14:paraId="43F87966" w14:textId="77777777" w:rsidR="00FF7AF9" w:rsidRPr="00FF7AF9" w:rsidRDefault="00FF7AF9" w:rsidP="00FF7AF9">
      <w:pPr>
        <w:spacing w:line="360" w:lineRule="auto"/>
        <w:rPr>
          <w:rFonts w:cs="Times New Roman"/>
        </w:rPr>
      </w:pPr>
      <w:r w:rsidRPr="00FF7AF9">
        <w:rPr>
          <w:rFonts w:cs="Times New Roman"/>
        </w:rPr>
        <w:t>La comparación entre ambas especificaciones se lleva a cabo utilizando el logaritmo de la verosimilitud (</w:t>
      </w:r>
      <w:r w:rsidRPr="00FF7AF9">
        <w:rPr>
          <w:rFonts w:cs="Times New Roman"/>
          <w:i/>
          <w:iCs/>
        </w:rPr>
        <w:t>log-likelihood</w:t>
      </w:r>
      <w:r w:rsidRPr="00FF7AF9">
        <w:rPr>
          <w:rFonts w:cs="Times New Roman"/>
        </w:rPr>
        <w:t xml:space="preserve">) y los criterios de información de Akaike (AIC) y Bayesiano (BIC). Mientras que el </w:t>
      </w:r>
      <w:r w:rsidRPr="00FF7AF9">
        <w:rPr>
          <w:rFonts w:cs="Times New Roman"/>
          <w:i/>
          <w:iCs/>
        </w:rPr>
        <w:t>log-likelihood</w:t>
      </w:r>
      <w:r w:rsidRPr="00FF7AF9">
        <w:rPr>
          <w:rFonts w:cs="Times New Roman"/>
        </w:rPr>
        <w:t xml:space="preserve"> mide el grado de ajuste del modelo a los datos observados, los criterios AIC y BIC incorporan penalizaciones por complejidad con el objetivo de evitar el sobreajuste; valores menores de estos indicadores reflejan un mejor compromiso entre calidad de ajuste y parsimonia.</w:t>
      </w:r>
    </w:p>
    <w:p w14:paraId="2E561007" w14:textId="77777777" w:rsidR="00FF7AF9" w:rsidRPr="00FF7AF9" w:rsidRDefault="00FF7AF9" w:rsidP="00FF7AF9">
      <w:pPr>
        <w:spacing w:line="360" w:lineRule="auto"/>
        <w:rPr>
          <w:rFonts w:cs="Times New Roman"/>
        </w:rPr>
      </w:pPr>
      <w:r w:rsidRPr="00FF7AF9">
        <w:rPr>
          <w:rFonts w:cs="Times New Roman"/>
        </w:rPr>
        <w:t xml:space="preserve">La </w:t>
      </w:r>
      <w:r w:rsidRPr="00FF7AF9">
        <w:rPr>
          <w:rFonts w:cs="Times New Roman"/>
          <w:b/>
          <w:bCs/>
        </w:rPr>
        <w:t>Tabla 5.1</w:t>
      </w:r>
      <w:r w:rsidRPr="00FF7AF9">
        <w:rPr>
          <w:rFonts w:cs="Times New Roman"/>
        </w:rPr>
        <w:t xml:space="preserve"> presenta los resultados de dicha comparación para las estrategias analizadas.</w:t>
      </w:r>
    </w:p>
    <w:p w14:paraId="36B1AB71" w14:textId="77777777" w:rsidR="00894435" w:rsidRPr="002A66BF" w:rsidRDefault="00894435" w:rsidP="008E40A5">
      <w:pPr>
        <w:spacing w:line="360" w:lineRule="auto"/>
        <w:rPr>
          <w:rFonts w:cs="Times New Roman"/>
          <w:b/>
          <w:bCs/>
        </w:rPr>
      </w:pPr>
      <w:r w:rsidRPr="002A66BF">
        <w:rPr>
          <w:rFonts w:cs="Times New Roman"/>
          <w:b/>
          <w:bCs/>
        </w:rPr>
        <w:t>Tabla 5.1 – Comparación de distribuciones: log-likelihood, AIC y BIC para Normal vs. t-Student</w:t>
      </w:r>
    </w:p>
    <w:p w14:paraId="590AF227" w14:textId="77777777" w:rsidR="00894435" w:rsidRPr="008E40A5" w:rsidRDefault="00894435" w:rsidP="008E40A5">
      <w:pPr>
        <w:spacing w:line="360" w:lineRule="auto"/>
        <w:rPr>
          <w:rFonts w:cs="Times New Roman"/>
        </w:rPr>
      </w:pPr>
    </w:p>
    <w:tbl>
      <w:tblPr>
        <w:tblW w:w="4800" w:type="dxa"/>
        <w:jc w:val="center"/>
        <w:tblCellMar>
          <w:left w:w="70" w:type="dxa"/>
          <w:right w:w="70" w:type="dxa"/>
        </w:tblCellMar>
        <w:tblLook w:val="04A0" w:firstRow="1" w:lastRow="0" w:firstColumn="1" w:lastColumn="0" w:noHBand="0" w:noVBand="1"/>
      </w:tblPr>
      <w:tblGrid>
        <w:gridCol w:w="960"/>
        <w:gridCol w:w="960"/>
        <w:gridCol w:w="976"/>
        <w:gridCol w:w="976"/>
        <w:gridCol w:w="1053"/>
      </w:tblGrid>
      <w:tr w:rsidR="000A4E21" w:rsidRPr="000A4E21" w14:paraId="41DBC2AC" w14:textId="77777777" w:rsidTr="000A4E21">
        <w:trPr>
          <w:trHeight w:val="300"/>
          <w:jc w:val="center"/>
        </w:trPr>
        <w:tc>
          <w:tcPr>
            <w:tcW w:w="960" w:type="dxa"/>
            <w:tcBorders>
              <w:top w:val="single" w:sz="4" w:space="0" w:color="auto"/>
              <w:left w:val="single" w:sz="4" w:space="0" w:color="auto"/>
              <w:bottom w:val="single" w:sz="4" w:space="0" w:color="auto"/>
              <w:right w:val="single" w:sz="4" w:space="0" w:color="auto"/>
            </w:tcBorders>
            <w:noWrap/>
            <w:hideMark/>
          </w:tcPr>
          <w:p w14:paraId="13F8B5C9" w14:textId="77777777" w:rsidR="000A4E21" w:rsidRPr="000A4E21" w:rsidRDefault="000A4E21" w:rsidP="000A4E21">
            <w:pPr>
              <w:spacing w:line="240" w:lineRule="auto"/>
              <w:jc w:val="center"/>
              <w:rPr>
                <w:rFonts w:ascii="Calibri" w:eastAsia="Times New Roman" w:hAnsi="Calibri" w:cs="Calibri"/>
                <w:b/>
                <w:bCs/>
                <w:color w:val="000000"/>
                <w:kern w:val="0"/>
                <w:sz w:val="22"/>
                <w:szCs w:val="22"/>
                <w:lang w:eastAsia="es-AR"/>
                <w14:ligatures w14:val="none"/>
              </w:rPr>
            </w:pPr>
            <w:r w:rsidRPr="000A4E21">
              <w:rPr>
                <w:rFonts w:ascii="Calibri" w:eastAsia="Times New Roman" w:hAnsi="Calibri" w:cs="Calibri"/>
                <w:b/>
                <w:bCs/>
                <w:color w:val="000000"/>
                <w:kern w:val="0"/>
                <w:sz w:val="22"/>
                <w:szCs w:val="22"/>
                <w:lang w:eastAsia="es-AR"/>
                <w14:ligatures w14:val="none"/>
              </w:rPr>
              <w:t>dist</w:t>
            </w:r>
          </w:p>
        </w:tc>
        <w:tc>
          <w:tcPr>
            <w:tcW w:w="960" w:type="dxa"/>
            <w:tcBorders>
              <w:top w:val="single" w:sz="4" w:space="0" w:color="auto"/>
              <w:left w:val="nil"/>
              <w:bottom w:val="single" w:sz="4" w:space="0" w:color="auto"/>
              <w:right w:val="single" w:sz="4" w:space="0" w:color="auto"/>
            </w:tcBorders>
            <w:noWrap/>
            <w:hideMark/>
          </w:tcPr>
          <w:p w14:paraId="47629DE9" w14:textId="77777777" w:rsidR="000A4E21" w:rsidRPr="000A4E21" w:rsidRDefault="000A4E21" w:rsidP="000A4E21">
            <w:pPr>
              <w:spacing w:line="240" w:lineRule="auto"/>
              <w:jc w:val="center"/>
              <w:rPr>
                <w:rFonts w:ascii="Calibri" w:eastAsia="Times New Roman" w:hAnsi="Calibri" w:cs="Calibri"/>
                <w:b/>
                <w:bCs/>
                <w:color w:val="000000"/>
                <w:kern w:val="0"/>
                <w:sz w:val="22"/>
                <w:szCs w:val="22"/>
                <w:lang w:eastAsia="es-AR"/>
                <w14:ligatures w14:val="none"/>
              </w:rPr>
            </w:pPr>
            <w:r w:rsidRPr="000A4E21">
              <w:rPr>
                <w:rFonts w:ascii="Calibri" w:eastAsia="Times New Roman" w:hAnsi="Calibri" w:cs="Calibri"/>
                <w:b/>
                <w:bCs/>
                <w:color w:val="000000"/>
                <w:kern w:val="0"/>
                <w:sz w:val="22"/>
                <w:szCs w:val="22"/>
                <w:lang w:eastAsia="es-AR"/>
                <w14:ligatures w14:val="none"/>
              </w:rPr>
              <w:t>loglik</w:t>
            </w:r>
          </w:p>
        </w:tc>
        <w:tc>
          <w:tcPr>
            <w:tcW w:w="960" w:type="dxa"/>
            <w:tcBorders>
              <w:top w:val="single" w:sz="4" w:space="0" w:color="auto"/>
              <w:left w:val="nil"/>
              <w:bottom w:val="single" w:sz="4" w:space="0" w:color="auto"/>
              <w:right w:val="single" w:sz="4" w:space="0" w:color="auto"/>
            </w:tcBorders>
            <w:noWrap/>
            <w:hideMark/>
          </w:tcPr>
          <w:p w14:paraId="2D50CED5" w14:textId="77777777" w:rsidR="000A4E21" w:rsidRPr="000A4E21" w:rsidRDefault="000A4E21" w:rsidP="000A4E21">
            <w:pPr>
              <w:spacing w:line="240" w:lineRule="auto"/>
              <w:jc w:val="center"/>
              <w:rPr>
                <w:rFonts w:ascii="Calibri" w:eastAsia="Times New Roman" w:hAnsi="Calibri" w:cs="Calibri"/>
                <w:b/>
                <w:bCs/>
                <w:color w:val="000000"/>
                <w:kern w:val="0"/>
                <w:sz w:val="22"/>
                <w:szCs w:val="22"/>
                <w:lang w:eastAsia="es-AR"/>
                <w14:ligatures w14:val="none"/>
              </w:rPr>
            </w:pPr>
            <w:r w:rsidRPr="000A4E21">
              <w:rPr>
                <w:rFonts w:ascii="Calibri" w:eastAsia="Times New Roman" w:hAnsi="Calibri" w:cs="Calibri"/>
                <w:b/>
                <w:bCs/>
                <w:color w:val="000000"/>
                <w:kern w:val="0"/>
                <w:sz w:val="22"/>
                <w:szCs w:val="22"/>
                <w:lang w:eastAsia="es-AR"/>
                <w14:ligatures w14:val="none"/>
              </w:rPr>
              <w:t>aic</w:t>
            </w:r>
          </w:p>
        </w:tc>
        <w:tc>
          <w:tcPr>
            <w:tcW w:w="960" w:type="dxa"/>
            <w:tcBorders>
              <w:top w:val="single" w:sz="4" w:space="0" w:color="auto"/>
              <w:left w:val="nil"/>
              <w:bottom w:val="single" w:sz="4" w:space="0" w:color="auto"/>
              <w:right w:val="single" w:sz="4" w:space="0" w:color="auto"/>
            </w:tcBorders>
            <w:noWrap/>
            <w:hideMark/>
          </w:tcPr>
          <w:p w14:paraId="101B9D65" w14:textId="77777777" w:rsidR="000A4E21" w:rsidRPr="000A4E21" w:rsidRDefault="000A4E21" w:rsidP="000A4E21">
            <w:pPr>
              <w:spacing w:line="240" w:lineRule="auto"/>
              <w:jc w:val="center"/>
              <w:rPr>
                <w:rFonts w:ascii="Calibri" w:eastAsia="Times New Roman" w:hAnsi="Calibri" w:cs="Calibri"/>
                <w:b/>
                <w:bCs/>
                <w:color w:val="000000"/>
                <w:kern w:val="0"/>
                <w:sz w:val="22"/>
                <w:szCs w:val="22"/>
                <w:lang w:eastAsia="es-AR"/>
                <w14:ligatures w14:val="none"/>
              </w:rPr>
            </w:pPr>
            <w:r w:rsidRPr="000A4E21">
              <w:rPr>
                <w:rFonts w:ascii="Calibri" w:eastAsia="Times New Roman" w:hAnsi="Calibri" w:cs="Calibri"/>
                <w:b/>
                <w:bCs/>
                <w:color w:val="000000"/>
                <w:kern w:val="0"/>
                <w:sz w:val="22"/>
                <w:szCs w:val="22"/>
                <w:lang w:eastAsia="es-AR"/>
                <w14:ligatures w14:val="none"/>
              </w:rPr>
              <w:t>bic</w:t>
            </w:r>
          </w:p>
        </w:tc>
        <w:tc>
          <w:tcPr>
            <w:tcW w:w="960" w:type="dxa"/>
            <w:tcBorders>
              <w:top w:val="single" w:sz="4" w:space="0" w:color="auto"/>
              <w:left w:val="nil"/>
              <w:bottom w:val="single" w:sz="4" w:space="0" w:color="auto"/>
              <w:right w:val="single" w:sz="4" w:space="0" w:color="auto"/>
            </w:tcBorders>
            <w:noWrap/>
            <w:hideMark/>
          </w:tcPr>
          <w:p w14:paraId="0E71E145" w14:textId="77777777" w:rsidR="000A4E21" w:rsidRPr="000A4E21" w:rsidRDefault="000A4E21" w:rsidP="000A4E21">
            <w:pPr>
              <w:spacing w:line="240" w:lineRule="auto"/>
              <w:jc w:val="center"/>
              <w:rPr>
                <w:rFonts w:ascii="Calibri" w:eastAsia="Times New Roman" w:hAnsi="Calibri" w:cs="Calibri"/>
                <w:b/>
                <w:bCs/>
                <w:color w:val="000000"/>
                <w:kern w:val="0"/>
                <w:sz w:val="22"/>
                <w:szCs w:val="22"/>
                <w:lang w:eastAsia="es-AR"/>
                <w14:ligatures w14:val="none"/>
              </w:rPr>
            </w:pPr>
            <w:r w:rsidRPr="000A4E21">
              <w:rPr>
                <w:rFonts w:ascii="Calibri" w:eastAsia="Times New Roman" w:hAnsi="Calibri" w:cs="Calibri"/>
                <w:b/>
                <w:bCs/>
                <w:color w:val="000000"/>
                <w:kern w:val="0"/>
                <w:sz w:val="22"/>
                <w:szCs w:val="22"/>
                <w:lang w:eastAsia="es-AR"/>
                <w14:ligatures w14:val="none"/>
              </w:rPr>
              <w:t>Estrategia</w:t>
            </w:r>
          </w:p>
        </w:tc>
      </w:tr>
      <w:tr w:rsidR="000A4E21" w:rsidRPr="000A4E21" w14:paraId="5B626A85"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6C81993"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normal</w:t>
            </w:r>
          </w:p>
        </w:tc>
        <w:tc>
          <w:tcPr>
            <w:tcW w:w="960" w:type="dxa"/>
            <w:tcBorders>
              <w:top w:val="nil"/>
              <w:left w:val="nil"/>
              <w:bottom w:val="single" w:sz="4" w:space="0" w:color="auto"/>
              <w:right w:val="single" w:sz="4" w:space="0" w:color="auto"/>
            </w:tcBorders>
            <w:noWrap/>
            <w:vAlign w:val="bottom"/>
            <w:hideMark/>
          </w:tcPr>
          <w:p w14:paraId="6589F51E"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-711,41</w:t>
            </w:r>
          </w:p>
        </w:tc>
        <w:tc>
          <w:tcPr>
            <w:tcW w:w="960" w:type="dxa"/>
            <w:tcBorders>
              <w:top w:val="nil"/>
              <w:left w:val="nil"/>
              <w:bottom w:val="single" w:sz="4" w:space="0" w:color="auto"/>
              <w:right w:val="single" w:sz="4" w:space="0" w:color="auto"/>
            </w:tcBorders>
            <w:noWrap/>
            <w:vAlign w:val="bottom"/>
            <w:hideMark/>
          </w:tcPr>
          <w:p w14:paraId="788D5C22"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1428,82</w:t>
            </w:r>
          </w:p>
        </w:tc>
        <w:tc>
          <w:tcPr>
            <w:tcW w:w="960" w:type="dxa"/>
            <w:tcBorders>
              <w:top w:val="nil"/>
              <w:left w:val="nil"/>
              <w:bottom w:val="single" w:sz="4" w:space="0" w:color="auto"/>
              <w:right w:val="single" w:sz="4" w:space="0" w:color="auto"/>
            </w:tcBorders>
            <w:noWrap/>
            <w:vAlign w:val="bottom"/>
            <w:hideMark/>
          </w:tcPr>
          <w:p w14:paraId="62147531"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1439,409</w:t>
            </w:r>
          </w:p>
        </w:tc>
        <w:tc>
          <w:tcPr>
            <w:tcW w:w="960" w:type="dxa"/>
            <w:tcBorders>
              <w:top w:val="nil"/>
              <w:left w:val="nil"/>
              <w:bottom w:val="single" w:sz="4" w:space="0" w:color="auto"/>
              <w:right w:val="single" w:sz="4" w:space="0" w:color="auto"/>
            </w:tcBorders>
            <w:noWrap/>
            <w:vAlign w:val="bottom"/>
            <w:hideMark/>
          </w:tcPr>
          <w:p w14:paraId="45E0C7EB"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SPY</w:t>
            </w:r>
          </w:p>
        </w:tc>
      </w:tr>
      <w:tr w:rsidR="000A4E21" w:rsidRPr="000A4E21" w14:paraId="47E906D6"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699D5C96"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t</w:t>
            </w:r>
          </w:p>
        </w:tc>
        <w:tc>
          <w:tcPr>
            <w:tcW w:w="960" w:type="dxa"/>
            <w:tcBorders>
              <w:top w:val="nil"/>
              <w:left w:val="nil"/>
              <w:bottom w:val="single" w:sz="4" w:space="0" w:color="auto"/>
              <w:right w:val="single" w:sz="4" w:space="0" w:color="auto"/>
            </w:tcBorders>
            <w:noWrap/>
            <w:vAlign w:val="bottom"/>
            <w:hideMark/>
          </w:tcPr>
          <w:p w14:paraId="54F5D263"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-711,463</w:t>
            </w:r>
          </w:p>
        </w:tc>
        <w:tc>
          <w:tcPr>
            <w:tcW w:w="960" w:type="dxa"/>
            <w:tcBorders>
              <w:top w:val="nil"/>
              <w:left w:val="nil"/>
              <w:bottom w:val="single" w:sz="4" w:space="0" w:color="auto"/>
              <w:right w:val="single" w:sz="4" w:space="0" w:color="auto"/>
            </w:tcBorders>
            <w:noWrap/>
            <w:vAlign w:val="bottom"/>
            <w:hideMark/>
          </w:tcPr>
          <w:p w14:paraId="75950F61"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1430,926</w:t>
            </w:r>
          </w:p>
        </w:tc>
        <w:tc>
          <w:tcPr>
            <w:tcW w:w="960" w:type="dxa"/>
            <w:tcBorders>
              <w:top w:val="nil"/>
              <w:left w:val="nil"/>
              <w:bottom w:val="single" w:sz="4" w:space="0" w:color="auto"/>
              <w:right w:val="single" w:sz="4" w:space="0" w:color="auto"/>
            </w:tcBorders>
            <w:noWrap/>
            <w:vAlign w:val="bottom"/>
            <w:hideMark/>
          </w:tcPr>
          <w:p w14:paraId="727C0042"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1445,044</w:t>
            </w:r>
          </w:p>
        </w:tc>
        <w:tc>
          <w:tcPr>
            <w:tcW w:w="960" w:type="dxa"/>
            <w:tcBorders>
              <w:top w:val="nil"/>
              <w:left w:val="nil"/>
              <w:bottom w:val="single" w:sz="4" w:space="0" w:color="auto"/>
              <w:right w:val="single" w:sz="4" w:space="0" w:color="auto"/>
            </w:tcBorders>
            <w:noWrap/>
            <w:vAlign w:val="bottom"/>
            <w:hideMark/>
          </w:tcPr>
          <w:p w14:paraId="1A22E648"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SPY</w:t>
            </w:r>
          </w:p>
        </w:tc>
      </w:tr>
      <w:tr w:rsidR="000A4E21" w:rsidRPr="000A4E21" w14:paraId="6902C12E"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1B81FCD"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normal</w:t>
            </w:r>
          </w:p>
        </w:tc>
        <w:tc>
          <w:tcPr>
            <w:tcW w:w="960" w:type="dxa"/>
            <w:tcBorders>
              <w:top w:val="nil"/>
              <w:left w:val="nil"/>
              <w:bottom w:val="single" w:sz="4" w:space="0" w:color="auto"/>
              <w:right w:val="single" w:sz="4" w:space="0" w:color="auto"/>
            </w:tcBorders>
            <w:noWrap/>
            <w:vAlign w:val="bottom"/>
            <w:hideMark/>
          </w:tcPr>
          <w:p w14:paraId="1FA8D012"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-721,187</w:t>
            </w:r>
          </w:p>
        </w:tc>
        <w:tc>
          <w:tcPr>
            <w:tcW w:w="960" w:type="dxa"/>
            <w:tcBorders>
              <w:top w:val="nil"/>
              <w:left w:val="nil"/>
              <w:bottom w:val="single" w:sz="4" w:space="0" w:color="auto"/>
              <w:right w:val="single" w:sz="4" w:space="0" w:color="auto"/>
            </w:tcBorders>
            <w:noWrap/>
            <w:vAlign w:val="bottom"/>
            <w:hideMark/>
          </w:tcPr>
          <w:p w14:paraId="2A42F8CA"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1448,373</w:t>
            </w:r>
          </w:p>
        </w:tc>
        <w:tc>
          <w:tcPr>
            <w:tcW w:w="960" w:type="dxa"/>
            <w:tcBorders>
              <w:top w:val="nil"/>
              <w:left w:val="nil"/>
              <w:bottom w:val="single" w:sz="4" w:space="0" w:color="auto"/>
              <w:right w:val="single" w:sz="4" w:space="0" w:color="auto"/>
            </w:tcBorders>
            <w:noWrap/>
            <w:vAlign w:val="bottom"/>
            <w:hideMark/>
          </w:tcPr>
          <w:p w14:paraId="664F2457"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1458,962</w:t>
            </w:r>
          </w:p>
        </w:tc>
        <w:tc>
          <w:tcPr>
            <w:tcW w:w="960" w:type="dxa"/>
            <w:tcBorders>
              <w:top w:val="nil"/>
              <w:left w:val="nil"/>
              <w:bottom w:val="single" w:sz="4" w:space="0" w:color="auto"/>
              <w:right w:val="single" w:sz="4" w:space="0" w:color="auto"/>
            </w:tcBorders>
            <w:noWrap/>
            <w:vAlign w:val="bottom"/>
            <w:hideMark/>
          </w:tcPr>
          <w:p w14:paraId="0531F7F9"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LO_3</w:t>
            </w:r>
          </w:p>
        </w:tc>
      </w:tr>
      <w:tr w:rsidR="000A4E21" w:rsidRPr="000A4E21" w14:paraId="3AD6422A"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9B9E49E"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t</w:t>
            </w:r>
          </w:p>
        </w:tc>
        <w:tc>
          <w:tcPr>
            <w:tcW w:w="960" w:type="dxa"/>
            <w:tcBorders>
              <w:top w:val="nil"/>
              <w:left w:val="nil"/>
              <w:bottom w:val="single" w:sz="4" w:space="0" w:color="auto"/>
              <w:right w:val="single" w:sz="4" w:space="0" w:color="auto"/>
            </w:tcBorders>
            <w:noWrap/>
            <w:vAlign w:val="bottom"/>
            <w:hideMark/>
          </w:tcPr>
          <w:p w14:paraId="5B84523F"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-720,744</w:t>
            </w:r>
          </w:p>
        </w:tc>
        <w:tc>
          <w:tcPr>
            <w:tcW w:w="960" w:type="dxa"/>
            <w:tcBorders>
              <w:top w:val="nil"/>
              <w:left w:val="nil"/>
              <w:bottom w:val="single" w:sz="4" w:space="0" w:color="auto"/>
              <w:right w:val="single" w:sz="4" w:space="0" w:color="auto"/>
            </w:tcBorders>
            <w:noWrap/>
            <w:vAlign w:val="bottom"/>
            <w:hideMark/>
          </w:tcPr>
          <w:p w14:paraId="7E541459"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1449,487</w:t>
            </w:r>
          </w:p>
        </w:tc>
        <w:tc>
          <w:tcPr>
            <w:tcW w:w="960" w:type="dxa"/>
            <w:tcBorders>
              <w:top w:val="nil"/>
              <w:left w:val="nil"/>
              <w:bottom w:val="single" w:sz="4" w:space="0" w:color="auto"/>
              <w:right w:val="single" w:sz="4" w:space="0" w:color="auto"/>
            </w:tcBorders>
            <w:noWrap/>
            <w:vAlign w:val="bottom"/>
            <w:hideMark/>
          </w:tcPr>
          <w:p w14:paraId="7A9D95E3"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1463,605</w:t>
            </w:r>
          </w:p>
        </w:tc>
        <w:tc>
          <w:tcPr>
            <w:tcW w:w="960" w:type="dxa"/>
            <w:tcBorders>
              <w:top w:val="nil"/>
              <w:left w:val="nil"/>
              <w:bottom w:val="single" w:sz="4" w:space="0" w:color="auto"/>
              <w:right w:val="single" w:sz="4" w:space="0" w:color="auto"/>
            </w:tcBorders>
            <w:noWrap/>
            <w:vAlign w:val="bottom"/>
            <w:hideMark/>
          </w:tcPr>
          <w:p w14:paraId="0A8C138A"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LO_3</w:t>
            </w:r>
          </w:p>
        </w:tc>
      </w:tr>
      <w:tr w:rsidR="000A4E21" w:rsidRPr="000A4E21" w14:paraId="35D53211"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8B52577"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lastRenderedPageBreak/>
              <w:t>normal</w:t>
            </w:r>
          </w:p>
        </w:tc>
        <w:tc>
          <w:tcPr>
            <w:tcW w:w="960" w:type="dxa"/>
            <w:tcBorders>
              <w:top w:val="nil"/>
              <w:left w:val="nil"/>
              <w:bottom w:val="single" w:sz="4" w:space="0" w:color="auto"/>
              <w:right w:val="single" w:sz="4" w:space="0" w:color="auto"/>
            </w:tcBorders>
            <w:noWrap/>
            <w:vAlign w:val="bottom"/>
            <w:hideMark/>
          </w:tcPr>
          <w:p w14:paraId="686B28C2"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-711,383</w:t>
            </w:r>
          </w:p>
        </w:tc>
        <w:tc>
          <w:tcPr>
            <w:tcW w:w="960" w:type="dxa"/>
            <w:tcBorders>
              <w:top w:val="nil"/>
              <w:left w:val="nil"/>
              <w:bottom w:val="single" w:sz="4" w:space="0" w:color="auto"/>
              <w:right w:val="single" w:sz="4" w:space="0" w:color="auto"/>
            </w:tcBorders>
            <w:noWrap/>
            <w:vAlign w:val="bottom"/>
            <w:hideMark/>
          </w:tcPr>
          <w:p w14:paraId="72079535"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1428,767</w:t>
            </w:r>
          </w:p>
        </w:tc>
        <w:tc>
          <w:tcPr>
            <w:tcW w:w="960" w:type="dxa"/>
            <w:tcBorders>
              <w:top w:val="nil"/>
              <w:left w:val="nil"/>
              <w:bottom w:val="single" w:sz="4" w:space="0" w:color="auto"/>
              <w:right w:val="single" w:sz="4" w:space="0" w:color="auto"/>
            </w:tcBorders>
            <w:noWrap/>
            <w:vAlign w:val="bottom"/>
            <w:hideMark/>
          </w:tcPr>
          <w:p w14:paraId="27F40053"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1439,355</w:t>
            </w:r>
          </w:p>
        </w:tc>
        <w:tc>
          <w:tcPr>
            <w:tcW w:w="960" w:type="dxa"/>
            <w:tcBorders>
              <w:top w:val="nil"/>
              <w:left w:val="nil"/>
              <w:bottom w:val="single" w:sz="4" w:space="0" w:color="auto"/>
              <w:right w:val="single" w:sz="4" w:space="0" w:color="auto"/>
            </w:tcBorders>
            <w:noWrap/>
            <w:vAlign w:val="bottom"/>
            <w:hideMark/>
          </w:tcPr>
          <w:p w14:paraId="56BD438C"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LO_6</w:t>
            </w:r>
          </w:p>
        </w:tc>
      </w:tr>
      <w:tr w:rsidR="000A4E21" w:rsidRPr="000A4E21" w14:paraId="570889DB"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EEE98B5"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t</w:t>
            </w:r>
          </w:p>
        </w:tc>
        <w:tc>
          <w:tcPr>
            <w:tcW w:w="960" w:type="dxa"/>
            <w:tcBorders>
              <w:top w:val="nil"/>
              <w:left w:val="nil"/>
              <w:bottom w:val="single" w:sz="4" w:space="0" w:color="auto"/>
              <w:right w:val="single" w:sz="4" w:space="0" w:color="auto"/>
            </w:tcBorders>
            <w:noWrap/>
            <w:vAlign w:val="bottom"/>
            <w:hideMark/>
          </w:tcPr>
          <w:p w14:paraId="32652C20"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-711,423</w:t>
            </w:r>
          </w:p>
        </w:tc>
        <w:tc>
          <w:tcPr>
            <w:tcW w:w="960" w:type="dxa"/>
            <w:tcBorders>
              <w:top w:val="nil"/>
              <w:left w:val="nil"/>
              <w:bottom w:val="single" w:sz="4" w:space="0" w:color="auto"/>
              <w:right w:val="single" w:sz="4" w:space="0" w:color="auto"/>
            </w:tcBorders>
            <w:noWrap/>
            <w:vAlign w:val="bottom"/>
            <w:hideMark/>
          </w:tcPr>
          <w:p w14:paraId="6E5A8F54"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1430,847</w:t>
            </w:r>
          </w:p>
        </w:tc>
        <w:tc>
          <w:tcPr>
            <w:tcW w:w="960" w:type="dxa"/>
            <w:tcBorders>
              <w:top w:val="nil"/>
              <w:left w:val="nil"/>
              <w:bottom w:val="single" w:sz="4" w:space="0" w:color="auto"/>
              <w:right w:val="single" w:sz="4" w:space="0" w:color="auto"/>
            </w:tcBorders>
            <w:noWrap/>
            <w:vAlign w:val="bottom"/>
            <w:hideMark/>
          </w:tcPr>
          <w:p w14:paraId="23398334"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1444,965</w:t>
            </w:r>
          </w:p>
        </w:tc>
        <w:tc>
          <w:tcPr>
            <w:tcW w:w="960" w:type="dxa"/>
            <w:tcBorders>
              <w:top w:val="nil"/>
              <w:left w:val="nil"/>
              <w:bottom w:val="single" w:sz="4" w:space="0" w:color="auto"/>
              <w:right w:val="single" w:sz="4" w:space="0" w:color="auto"/>
            </w:tcBorders>
            <w:noWrap/>
            <w:vAlign w:val="bottom"/>
            <w:hideMark/>
          </w:tcPr>
          <w:p w14:paraId="706B14C4"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LO_6</w:t>
            </w:r>
          </w:p>
        </w:tc>
      </w:tr>
      <w:tr w:rsidR="000A4E21" w:rsidRPr="000A4E21" w14:paraId="1A38AEF4"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D9D6AB3"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normal</w:t>
            </w:r>
          </w:p>
        </w:tc>
        <w:tc>
          <w:tcPr>
            <w:tcW w:w="960" w:type="dxa"/>
            <w:tcBorders>
              <w:top w:val="nil"/>
              <w:left w:val="nil"/>
              <w:bottom w:val="single" w:sz="4" w:space="0" w:color="auto"/>
              <w:right w:val="single" w:sz="4" w:space="0" w:color="auto"/>
            </w:tcBorders>
            <w:noWrap/>
            <w:vAlign w:val="bottom"/>
            <w:hideMark/>
          </w:tcPr>
          <w:p w14:paraId="1B13548F"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-713,25</w:t>
            </w:r>
          </w:p>
        </w:tc>
        <w:tc>
          <w:tcPr>
            <w:tcW w:w="960" w:type="dxa"/>
            <w:tcBorders>
              <w:top w:val="nil"/>
              <w:left w:val="nil"/>
              <w:bottom w:val="single" w:sz="4" w:space="0" w:color="auto"/>
              <w:right w:val="single" w:sz="4" w:space="0" w:color="auto"/>
            </w:tcBorders>
            <w:noWrap/>
            <w:vAlign w:val="bottom"/>
            <w:hideMark/>
          </w:tcPr>
          <w:p w14:paraId="4F9FAB6B"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1432,499</w:t>
            </w:r>
          </w:p>
        </w:tc>
        <w:tc>
          <w:tcPr>
            <w:tcW w:w="960" w:type="dxa"/>
            <w:tcBorders>
              <w:top w:val="nil"/>
              <w:left w:val="nil"/>
              <w:bottom w:val="single" w:sz="4" w:space="0" w:color="auto"/>
              <w:right w:val="single" w:sz="4" w:space="0" w:color="auto"/>
            </w:tcBorders>
            <w:noWrap/>
            <w:vAlign w:val="bottom"/>
            <w:hideMark/>
          </w:tcPr>
          <w:p w14:paraId="3B800DED"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1443,087</w:t>
            </w:r>
          </w:p>
        </w:tc>
        <w:tc>
          <w:tcPr>
            <w:tcW w:w="960" w:type="dxa"/>
            <w:tcBorders>
              <w:top w:val="nil"/>
              <w:left w:val="nil"/>
              <w:bottom w:val="single" w:sz="4" w:space="0" w:color="auto"/>
              <w:right w:val="single" w:sz="4" w:space="0" w:color="auto"/>
            </w:tcBorders>
            <w:noWrap/>
            <w:vAlign w:val="bottom"/>
            <w:hideMark/>
          </w:tcPr>
          <w:p w14:paraId="3AA2FFB6"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LO_12</w:t>
            </w:r>
          </w:p>
        </w:tc>
      </w:tr>
      <w:tr w:rsidR="000A4E21" w:rsidRPr="000A4E21" w14:paraId="0069B8EF" w14:textId="77777777" w:rsidTr="000A4E21">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0B9C8536"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t</w:t>
            </w:r>
          </w:p>
        </w:tc>
        <w:tc>
          <w:tcPr>
            <w:tcW w:w="960" w:type="dxa"/>
            <w:tcBorders>
              <w:top w:val="nil"/>
              <w:left w:val="nil"/>
              <w:bottom w:val="single" w:sz="4" w:space="0" w:color="auto"/>
              <w:right w:val="single" w:sz="4" w:space="0" w:color="auto"/>
            </w:tcBorders>
            <w:noWrap/>
            <w:vAlign w:val="bottom"/>
            <w:hideMark/>
          </w:tcPr>
          <w:p w14:paraId="0EAF0F6F"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-713,237</w:t>
            </w:r>
          </w:p>
        </w:tc>
        <w:tc>
          <w:tcPr>
            <w:tcW w:w="960" w:type="dxa"/>
            <w:tcBorders>
              <w:top w:val="nil"/>
              <w:left w:val="nil"/>
              <w:bottom w:val="single" w:sz="4" w:space="0" w:color="auto"/>
              <w:right w:val="single" w:sz="4" w:space="0" w:color="auto"/>
            </w:tcBorders>
            <w:noWrap/>
            <w:vAlign w:val="bottom"/>
            <w:hideMark/>
          </w:tcPr>
          <w:p w14:paraId="6CEFCC3F"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1434,474</w:t>
            </w:r>
          </w:p>
        </w:tc>
        <w:tc>
          <w:tcPr>
            <w:tcW w:w="960" w:type="dxa"/>
            <w:tcBorders>
              <w:top w:val="nil"/>
              <w:left w:val="nil"/>
              <w:bottom w:val="single" w:sz="4" w:space="0" w:color="auto"/>
              <w:right w:val="single" w:sz="4" w:space="0" w:color="auto"/>
            </w:tcBorders>
            <w:noWrap/>
            <w:vAlign w:val="bottom"/>
            <w:hideMark/>
          </w:tcPr>
          <w:p w14:paraId="467B6C32"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1448,592</w:t>
            </w:r>
          </w:p>
        </w:tc>
        <w:tc>
          <w:tcPr>
            <w:tcW w:w="960" w:type="dxa"/>
            <w:tcBorders>
              <w:top w:val="nil"/>
              <w:left w:val="nil"/>
              <w:bottom w:val="single" w:sz="4" w:space="0" w:color="auto"/>
              <w:right w:val="single" w:sz="4" w:space="0" w:color="auto"/>
            </w:tcBorders>
            <w:noWrap/>
            <w:vAlign w:val="bottom"/>
            <w:hideMark/>
          </w:tcPr>
          <w:p w14:paraId="07F295CE" w14:textId="77777777" w:rsidR="000A4E21" w:rsidRPr="000A4E21" w:rsidRDefault="000A4E21" w:rsidP="000A4E21">
            <w:pPr>
              <w:spacing w:line="240" w:lineRule="auto"/>
              <w:jc w:val="center"/>
              <w:rPr>
                <w:rFonts w:ascii="Calibri" w:eastAsia="Times New Roman" w:hAnsi="Calibri" w:cs="Calibri"/>
                <w:color w:val="000000"/>
                <w:kern w:val="0"/>
                <w:sz w:val="22"/>
                <w:szCs w:val="22"/>
                <w:lang w:eastAsia="es-AR"/>
                <w14:ligatures w14:val="none"/>
              </w:rPr>
            </w:pPr>
            <w:r w:rsidRPr="000A4E21">
              <w:rPr>
                <w:rFonts w:ascii="Calibri" w:eastAsia="Times New Roman" w:hAnsi="Calibri" w:cs="Calibri"/>
                <w:color w:val="000000"/>
                <w:kern w:val="0"/>
                <w:sz w:val="22"/>
                <w:szCs w:val="22"/>
                <w:lang w:eastAsia="es-AR"/>
                <w14:ligatures w14:val="none"/>
              </w:rPr>
              <w:t>LO_12</w:t>
            </w:r>
          </w:p>
        </w:tc>
      </w:tr>
    </w:tbl>
    <w:p w14:paraId="72E86C08" w14:textId="77777777" w:rsidR="00894435" w:rsidRPr="008E40A5" w:rsidRDefault="00894435" w:rsidP="008E40A5">
      <w:pPr>
        <w:spacing w:line="360" w:lineRule="auto"/>
        <w:rPr>
          <w:rFonts w:cs="Times New Roman"/>
        </w:rPr>
      </w:pPr>
    </w:p>
    <w:p w14:paraId="59856C7C" w14:textId="77777777" w:rsidR="00894435" w:rsidRPr="008E40A5" w:rsidRDefault="00894435" w:rsidP="008E40A5">
      <w:pPr>
        <w:spacing w:line="360" w:lineRule="auto"/>
        <w:rPr>
          <w:rFonts w:cs="Times New Roman"/>
        </w:rPr>
      </w:pPr>
      <w:r w:rsidRPr="008E40A5">
        <w:rPr>
          <w:rFonts w:cs="Times New Roman"/>
        </w:rPr>
        <w:t>En este sentido, los criterios de información se utilizan como herramienta diagnóstica y no como regla mecánica de selección, privilegiándose una especificación coherente con el objetivo del análisis de riesgo extremo</w:t>
      </w:r>
    </w:p>
    <w:p w14:paraId="6E9FC9C1" w14:textId="77777777" w:rsidR="00256477" w:rsidRDefault="00256477" w:rsidP="00E85DF5">
      <w:pPr>
        <w:spacing w:line="360" w:lineRule="auto"/>
        <w:rPr>
          <w:rFonts w:cs="Times New Roman"/>
        </w:rPr>
      </w:pPr>
      <w:r w:rsidRPr="00256477">
        <w:rPr>
          <w:rFonts w:cs="Times New Roman"/>
        </w:rPr>
        <w:t>Del análisis de la Tabla 5.1 se observa que las diferencias entre ambas especificaciones son, en general, moderadas. En todos los casos considerados, la distribución Normal presenta valores ligeramente inferiores de AIC y BIC, lo que indica un mejor ajuste según dichos criterios de información. No obstante, las diferencias observadas son reducidas y no resultan concluyentes en términos de selección puramente estadística, lo que sugiere que ambos supuestos ofrecen un nivel comparable de ajuste medio a los datos observados.</w:t>
      </w:r>
    </w:p>
    <w:p w14:paraId="4851AE6F" w14:textId="04086086" w:rsidR="00BC7535" w:rsidRDefault="00BC7535" w:rsidP="00E85DF5">
      <w:pPr>
        <w:spacing w:line="360" w:lineRule="auto"/>
        <w:rPr>
          <w:rFonts w:cs="Times New Roman"/>
        </w:rPr>
      </w:pPr>
      <w:r w:rsidRPr="00BC7535">
        <w:rPr>
          <w:rFonts w:cs="Times New Roman"/>
        </w:rPr>
        <w:t>En este contexto, y dado que el objetivo central del capítulo es la modelización del riesgo extremo y del comportamiento en las colas de la distribución, se adopta la especificación con innovaciones t-Student para la estimación del modelo GARCH. Si bien los criterios de información favorecen marginalmente a la distribución Normal en términos de ajuste promedio, dichos indicadores penalizan la complejidad de manera uniforme y no distinguen entre calidad de ajuste en el centro y en las colas de la distribución. Para el análisis de riesgo extremo, la capacidad de capturar colas más pesadas resulta prioritaria frente a pequeñas diferencias en ajuste medio, lo que justifica la elección de la distribución t-Student como especificación base.</w:t>
      </w:r>
    </w:p>
    <w:p w14:paraId="08BCBD52" w14:textId="77777777" w:rsidR="00894435" w:rsidRDefault="00894435" w:rsidP="00903260">
      <w:pPr>
        <w:pStyle w:val="Ttulo3"/>
        <w:rPr>
          <w:rFonts w:cs="Times New Roman"/>
        </w:rPr>
      </w:pPr>
      <w:bookmarkStart w:id="88" w:name="_Toc223214795"/>
      <w:r w:rsidRPr="009706C8">
        <w:rPr>
          <w:rFonts w:cs="Times New Roman"/>
        </w:rPr>
        <w:t>5.</w:t>
      </w:r>
      <w:r w:rsidR="009A2169">
        <w:rPr>
          <w:rFonts w:cs="Times New Roman"/>
        </w:rPr>
        <w:t>3</w:t>
      </w:r>
      <w:r w:rsidRPr="009706C8">
        <w:rPr>
          <w:rFonts w:cs="Times New Roman"/>
        </w:rPr>
        <w:t>.2 Estimación de los parámetros del modelo GARCH(1,1)</w:t>
      </w:r>
      <w:bookmarkEnd w:id="88"/>
    </w:p>
    <w:p w14:paraId="4BB7ADE8" w14:textId="77777777" w:rsidR="00894435" w:rsidRPr="008E40A5" w:rsidRDefault="00E9056C" w:rsidP="008E40A5">
      <w:pPr>
        <w:spacing w:line="360" w:lineRule="auto"/>
        <w:rPr>
          <w:rFonts w:cs="Times New Roman"/>
        </w:rPr>
      </w:pPr>
      <w:r w:rsidRPr="00E9056C">
        <w:rPr>
          <w:rFonts w:cs="Times New Roman"/>
        </w:rPr>
        <w:t>Una vez adoptada la distribución t-Student para las innovaciones, en función de los objetivos del análisis de riesgo extremo, se procede a la estimación</w:t>
      </w:r>
      <w:r>
        <w:rPr>
          <w:rFonts w:cs="Times New Roman"/>
        </w:rPr>
        <w:t xml:space="preserve"> </w:t>
      </w:r>
      <w:r w:rsidR="00894435" w:rsidRPr="008E40A5">
        <w:rPr>
          <w:rFonts w:cs="Times New Roman"/>
        </w:rPr>
        <w:t>de los parámetros del modelo GARCH(1,1). La ecuación de varianza condicional incluye un término constante (ω), un componente asociado a los shocks recientes (α) y un componente autorregresivo que captura la persistencia de la volatilidad (β). Adicionalmente, bajo la especificación t-Student, se estima el parámetro de grados de libertad (ν), que gobierna el espesor de las colas de la distribución.</w:t>
      </w:r>
    </w:p>
    <w:p w14:paraId="6097832F" w14:textId="77777777" w:rsidR="00894435" w:rsidRPr="006C0E51" w:rsidRDefault="00894435" w:rsidP="008E40A5">
      <w:pPr>
        <w:spacing w:line="360" w:lineRule="auto"/>
        <w:rPr>
          <w:rFonts w:cs="Times New Roman"/>
          <w:b/>
          <w:bCs/>
        </w:rPr>
      </w:pPr>
      <w:r w:rsidRPr="006C0E51">
        <w:rPr>
          <w:rFonts w:cs="Times New Roman"/>
          <w:b/>
          <w:bCs/>
        </w:rPr>
        <w:t>Tabla 5.2 – Estimación de parámetros del modelo GARCH(1,1): ω, α, β y ν, junto con estadísticos t</w:t>
      </w:r>
    </w:p>
    <w:p w14:paraId="2F907D1D" w14:textId="77777777" w:rsidR="00894435" w:rsidRPr="008E40A5" w:rsidRDefault="00894435" w:rsidP="008E40A5">
      <w:pPr>
        <w:spacing w:line="360" w:lineRule="auto"/>
        <w:rPr>
          <w:rFonts w:cs="Times New Roman"/>
        </w:rPr>
      </w:pPr>
    </w:p>
    <w:tbl>
      <w:tblPr>
        <w:tblW w:w="4700" w:type="dxa"/>
        <w:jc w:val="center"/>
        <w:tblCellMar>
          <w:left w:w="70" w:type="dxa"/>
          <w:right w:w="70" w:type="dxa"/>
        </w:tblCellMar>
        <w:tblLook w:val="04A0" w:firstRow="1" w:lastRow="0" w:firstColumn="1" w:lastColumn="0" w:noHBand="0" w:noVBand="1"/>
      </w:tblPr>
      <w:tblGrid>
        <w:gridCol w:w="1053"/>
        <w:gridCol w:w="1115"/>
        <w:gridCol w:w="1320"/>
        <w:gridCol w:w="1280"/>
      </w:tblGrid>
      <w:tr w:rsidR="008E6A35" w:rsidRPr="008E6A35" w14:paraId="2A8EB338" w14:textId="77777777" w:rsidTr="008E6A35">
        <w:trPr>
          <w:trHeight w:val="300"/>
          <w:jc w:val="center"/>
        </w:trPr>
        <w:tc>
          <w:tcPr>
            <w:tcW w:w="1020" w:type="dxa"/>
            <w:tcBorders>
              <w:top w:val="single" w:sz="4" w:space="0" w:color="auto"/>
              <w:left w:val="single" w:sz="4" w:space="0" w:color="auto"/>
              <w:bottom w:val="single" w:sz="4" w:space="0" w:color="auto"/>
              <w:right w:val="single" w:sz="4" w:space="0" w:color="auto"/>
            </w:tcBorders>
            <w:noWrap/>
            <w:hideMark/>
          </w:tcPr>
          <w:p w14:paraId="551C8F9C" w14:textId="77777777" w:rsidR="008E6A35" w:rsidRPr="008E6A35" w:rsidRDefault="008E6A35" w:rsidP="008E6A35">
            <w:pPr>
              <w:spacing w:line="240" w:lineRule="auto"/>
              <w:jc w:val="center"/>
              <w:rPr>
                <w:rFonts w:ascii="Calibri" w:eastAsia="Times New Roman" w:hAnsi="Calibri" w:cs="Calibri"/>
                <w:b/>
                <w:bCs/>
                <w:color w:val="000000"/>
                <w:kern w:val="0"/>
                <w:sz w:val="22"/>
                <w:szCs w:val="22"/>
                <w:lang w:eastAsia="es-AR"/>
                <w14:ligatures w14:val="none"/>
              </w:rPr>
            </w:pPr>
            <w:r w:rsidRPr="008E6A35">
              <w:rPr>
                <w:rFonts w:ascii="Calibri" w:eastAsia="Times New Roman" w:hAnsi="Calibri" w:cs="Calibri"/>
                <w:b/>
                <w:bCs/>
                <w:color w:val="000000"/>
                <w:kern w:val="0"/>
                <w:sz w:val="22"/>
                <w:szCs w:val="22"/>
                <w:lang w:eastAsia="es-AR"/>
                <w14:ligatures w14:val="none"/>
              </w:rPr>
              <w:lastRenderedPageBreak/>
              <w:t>Estrategia</w:t>
            </w:r>
          </w:p>
        </w:tc>
        <w:tc>
          <w:tcPr>
            <w:tcW w:w="1080" w:type="dxa"/>
            <w:tcBorders>
              <w:top w:val="single" w:sz="4" w:space="0" w:color="auto"/>
              <w:left w:val="nil"/>
              <w:bottom w:val="single" w:sz="4" w:space="0" w:color="auto"/>
              <w:right w:val="single" w:sz="4" w:space="0" w:color="auto"/>
            </w:tcBorders>
            <w:noWrap/>
            <w:hideMark/>
          </w:tcPr>
          <w:p w14:paraId="43BE37DA" w14:textId="77777777" w:rsidR="008E6A35" w:rsidRPr="008E6A35" w:rsidRDefault="008E6A35" w:rsidP="008E6A35">
            <w:pPr>
              <w:spacing w:line="240" w:lineRule="auto"/>
              <w:jc w:val="center"/>
              <w:rPr>
                <w:rFonts w:ascii="Calibri" w:eastAsia="Times New Roman" w:hAnsi="Calibri" w:cs="Calibri"/>
                <w:b/>
                <w:bCs/>
                <w:color w:val="000000"/>
                <w:kern w:val="0"/>
                <w:sz w:val="22"/>
                <w:szCs w:val="22"/>
                <w:lang w:eastAsia="es-AR"/>
                <w14:ligatures w14:val="none"/>
              </w:rPr>
            </w:pPr>
            <w:r w:rsidRPr="008E6A35">
              <w:rPr>
                <w:rFonts w:ascii="Calibri" w:eastAsia="Times New Roman" w:hAnsi="Calibri" w:cs="Calibri"/>
                <w:b/>
                <w:bCs/>
                <w:color w:val="000000"/>
                <w:kern w:val="0"/>
                <w:sz w:val="22"/>
                <w:szCs w:val="22"/>
                <w:lang w:eastAsia="es-AR"/>
                <w14:ligatures w14:val="none"/>
              </w:rPr>
              <w:t>Parametro</w:t>
            </w:r>
          </w:p>
        </w:tc>
        <w:tc>
          <w:tcPr>
            <w:tcW w:w="1320" w:type="dxa"/>
            <w:tcBorders>
              <w:top w:val="single" w:sz="4" w:space="0" w:color="auto"/>
              <w:left w:val="nil"/>
              <w:bottom w:val="single" w:sz="4" w:space="0" w:color="auto"/>
              <w:right w:val="single" w:sz="4" w:space="0" w:color="auto"/>
            </w:tcBorders>
            <w:noWrap/>
            <w:hideMark/>
          </w:tcPr>
          <w:p w14:paraId="73717A69" w14:textId="77777777" w:rsidR="008E6A35" w:rsidRPr="008E6A35" w:rsidRDefault="008E6A35" w:rsidP="008E6A35">
            <w:pPr>
              <w:spacing w:line="240" w:lineRule="auto"/>
              <w:jc w:val="center"/>
              <w:rPr>
                <w:rFonts w:ascii="Calibri" w:eastAsia="Times New Roman" w:hAnsi="Calibri" w:cs="Calibri"/>
                <w:b/>
                <w:bCs/>
                <w:color w:val="000000"/>
                <w:kern w:val="0"/>
                <w:sz w:val="22"/>
                <w:szCs w:val="22"/>
                <w:lang w:eastAsia="es-AR"/>
                <w14:ligatures w14:val="none"/>
              </w:rPr>
            </w:pPr>
            <w:r w:rsidRPr="008E6A35">
              <w:rPr>
                <w:rFonts w:ascii="Calibri" w:eastAsia="Times New Roman" w:hAnsi="Calibri" w:cs="Calibri"/>
                <w:b/>
                <w:bCs/>
                <w:color w:val="000000"/>
                <w:kern w:val="0"/>
                <w:sz w:val="22"/>
                <w:szCs w:val="22"/>
                <w:lang w:eastAsia="es-AR"/>
                <w14:ligatures w14:val="none"/>
              </w:rPr>
              <w:t>Estimacion</w:t>
            </w:r>
          </w:p>
        </w:tc>
        <w:tc>
          <w:tcPr>
            <w:tcW w:w="1280" w:type="dxa"/>
            <w:tcBorders>
              <w:top w:val="single" w:sz="4" w:space="0" w:color="auto"/>
              <w:left w:val="nil"/>
              <w:bottom w:val="single" w:sz="4" w:space="0" w:color="auto"/>
              <w:right w:val="single" w:sz="4" w:space="0" w:color="auto"/>
            </w:tcBorders>
            <w:noWrap/>
            <w:hideMark/>
          </w:tcPr>
          <w:p w14:paraId="637214A4" w14:textId="77777777" w:rsidR="008E6A35" w:rsidRPr="008E6A35" w:rsidRDefault="008E6A35" w:rsidP="008E6A35">
            <w:pPr>
              <w:spacing w:line="240" w:lineRule="auto"/>
              <w:jc w:val="center"/>
              <w:rPr>
                <w:rFonts w:ascii="Calibri" w:eastAsia="Times New Roman" w:hAnsi="Calibri" w:cs="Calibri"/>
                <w:b/>
                <w:bCs/>
                <w:color w:val="000000"/>
                <w:kern w:val="0"/>
                <w:sz w:val="22"/>
                <w:szCs w:val="22"/>
                <w:lang w:eastAsia="es-AR"/>
                <w14:ligatures w14:val="none"/>
              </w:rPr>
            </w:pPr>
            <w:r w:rsidRPr="008E6A35">
              <w:rPr>
                <w:rFonts w:ascii="Calibri" w:eastAsia="Times New Roman" w:hAnsi="Calibri" w:cs="Calibri"/>
                <w:b/>
                <w:bCs/>
                <w:color w:val="000000"/>
                <w:kern w:val="0"/>
                <w:sz w:val="22"/>
                <w:szCs w:val="22"/>
                <w:lang w:eastAsia="es-AR"/>
                <w14:ligatures w14:val="none"/>
              </w:rPr>
              <w:t>tstat</w:t>
            </w:r>
          </w:p>
        </w:tc>
      </w:tr>
      <w:tr w:rsidR="008E6A35" w:rsidRPr="008E6A35" w14:paraId="19110ED2"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3F7E2471"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SPY</w:t>
            </w:r>
          </w:p>
        </w:tc>
        <w:tc>
          <w:tcPr>
            <w:tcW w:w="1080" w:type="dxa"/>
            <w:tcBorders>
              <w:top w:val="nil"/>
              <w:left w:val="nil"/>
              <w:bottom w:val="single" w:sz="4" w:space="0" w:color="auto"/>
              <w:right w:val="single" w:sz="4" w:space="0" w:color="auto"/>
            </w:tcBorders>
            <w:noWrap/>
            <w:vAlign w:val="bottom"/>
            <w:hideMark/>
          </w:tcPr>
          <w:p w14:paraId="6548C642"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omega</w:t>
            </w:r>
          </w:p>
        </w:tc>
        <w:tc>
          <w:tcPr>
            <w:tcW w:w="1320" w:type="dxa"/>
            <w:tcBorders>
              <w:top w:val="nil"/>
              <w:left w:val="nil"/>
              <w:bottom w:val="single" w:sz="4" w:space="0" w:color="auto"/>
              <w:right w:val="single" w:sz="4" w:space="0" w:color="auto"/>
            </w:tcBorders>
            <w:noWrap/>
            <w:vAlign w:val="bottom"/>
            <w:hideMark/>
          </w:tcPr>
          <w:p w14:paraId="33EACF8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1,32107</w:t>
            </w:r>
          </w:p>
        </w:tc>
        <w:tc>
          <w:tcPr>
            <w:tcW w:w="1280" w:type="dxa"/>
            <w:tcBorders>
              <w:top w:val="nil"/>
              <w:left w:val="nil"/>
              <w:bottom w:val="single" w:sz="4" w:space="0" w:color="auto"/>
              <w:right w:val="single" w:sz="4" w:space="0" w:color="auto"/>
            </w:tcBorders>
            <w:noWrap/>
            <w:vAlign w:val="bottom"/>
            <w:hideMark/>
          </w:tcPr>
          <w:p w14:paraId="522964E9"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1,14937</w:t>
            </w:r>
          </w:p>
        </w:tc>
      </w:tr>
      <w:tr w:rsidR="008E6A35" w:rsidRPr="008E6A35" w14:paraId="44EAF8DF"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3E724F67"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SPY</w:t>
            </w:r>
          </w:p>
        </w:tc>
        <w:tc>
          <w:tcPr>
            <w:tcW w:w="1080" w:type="dxa"/>
            <w:tcBorders>
              <w:top w:val="nil"/>
              <w:left w:val="nil"/>
              <w:bottom w:val="single" w:sz="4" w:space="0" w:color="auto"/>
              <w:right w:val="single" w:sz="4" w:space="0" w:color="auto"/>
            </w:tcBorders>
            <w:noWrap/>
            <w:vAlign w:val="bottom"/>
            <w:hideMark/>
          </w:tcPr>
          <w:p w14:paraId="425CF656"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alpha[1]</w:t>
            </w:r>
          </w:p>
        </w:tc>
        <w:tc>
          <w:tcPr>
            <w:tcW w:w="1320" w:type="dxa"/>
            <w:tcBorders>
              <w:top w:val="nil"/>
              <w:left w:val="nil"/>
              <w:bottom w:val="single" w:sz="4" w:space="0" w:color="auto"/>
              <w:right w:val="single" w:sz="4" w:space="0" w:color="auto"/>
            </w:tcBorders>
            <w:noWrap/>
            <w:vAlign w:val="bottom"/>
            <w:hideMark/>
          </w:tcPr>
          <w:p w14:paraId="03632BD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0,19875</w:t>
            </w:r>
          </w:p>
        </w:tc>
        <w:tc>
          <w:tcPr>
            <w:tcW w:w="1280" w:type="dxa"/>
            <w:tcBorders>
              <w:top w:val="nil"/>
              <w:left w:val="nil"/>
              <w:bottom w:val="single" w:sz="4" w:space="0" w:color="auto"/>
              <w:right w:val="single" w:sz="4" w:space="0" w:color="auto"/>
            </w:tcBorders>
            <w:noWrap/>
            <w:vAlign w:val="bottom"/>
            <w:hideMark/>
          </w:tcPr>
          <w:p w14:paraId="0E96A956"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2,01809</w:t>
            </w:r>
          </w:p>
        </w:tc>
      </w:tr>
      <w:tr w:rsidR="008E6A35" w:rsidRPr="008E6A35" w14:paraId="4BA9EFA5"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55A586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SPY</w:t>
            </w:r>
          </w:p>
        </w:tc>
        <w:tc>
          <w:tcPr>
            <w:tcW w:w="1080" w:type="dxa"/>
            <w:tcBorders>
              <w:top w:val="nil"/>
              <w:left w:val="nil"/>
              <w:bottom w:val="single" w:sz="4" w:space="0" w:color="auto"/>
              <w:right w:val="single" w:sz="4" w:space="0" w:color="auto"/>
            </w:tcBorders>
            <w:noWrap/>
            <w:vAlign w:val="bottom"/>
            <w:hideMark/>
          </w:tcPr>
          <w:p w14:paraId="75FF507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beta[1]</w:t>
            </w:r>
          </w:p>
        </w:tc>
        <w:tc>
          <w:tcPr>
            <w:tcW w:w="1320" w:type="dxa"/>
            <w:tcBorders>
              <w:top w:val="nil"/>
              <w:left w:val="nil"/>
              <w:bottom w:val="single" w:sz="4" w:space="0" w:color="auto"/>
              <w:right w:val="single" w:sz="4" w:space="0" w:color="auto"/>
            </w:tcBorders>
            <w:noWrap/>
            <w:vAlign w:val="bottom"/>
            <w:hideMark/>
          </w:tcPr>
          <w:p w14:paraId="5EBFFE7D"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0,73982</w:t>
            </w:r>
          </w:p>
        </w:tc>
        <w:tc>
          <w:tcPr>
            <w:tcW w:w="1280" w:type="dxa"/>
            <w:tcBorders>
              <w:top w:val="nil"/>
              <w:left w:val="nil"/>
              <w:bottom w:val="single" w:sz="4" w:space="0" w:color="auto"/>
              <w:right w:val="single" w:sz="4" w:space="0" w:color="auto"/>
            </w:tcBorders>
            <w:noWrap/>
            <w:vAlign w:val="bottom"/>
            <w:hideMark/>
          </w:tcPr>
          <w:p w14:paraId="0692E00C"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5,43469</w:t>
            </w:r>
          </w:p>
        </w:tc>
      </w:tr>
      <w:tr w:rsidR="008E6A35" w:rsidRPr="008E6A35" w14:paraId="4FBE7B61"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515B6B20"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SPY</w:t>
            </w:r>
          </w:p>
        </w:tc>
        <w:tc>
          <w:tcPr>
            <w:tcW w:w="1080" w:type="dxa"/>
            <w:tcBorders>
              <w:top w:val="nil"/>
              <w:left w:val="nil"/>
              <w:bottom w:val="single" w:sz="4" w:space="0" w:color="auto"/>
              <w:right w:val="single" w:sz="4" w:space="0" w:color="auto"/>
            </w:tcBorders>
            <w:noWrap/>
            <w:vAlign w:val="bottom"/>
            <w:hideMark/>
          </w:tcPr>
          <w:p w14:paraId="3B2990D4" w14:textId="77777777" w:rsidR="008E6A35" w:rsidRPr="008E6A35" w:rsidRDefault="00BB40D9" w:rsidP="008E6A35">
            <w:pPr>
              <w:spacing w:line="240" w:lineRule="auto"/>
              <w:jc w:val="center"/>
              <w:rPr>
                <w:rFonts w:ascii="Calibri" w:eastAsia="Times New Roman" w:hAnsi="Calibri" w:cs="Calibri"/>
                <w:color w:val="000000"/>
                <w:kern w:val="0"/>
                <w:sz w:val="22"/>
                <w:szCs w:val="22"/>
                <w:lang w:eastAsia="es-AR"/>
                <w14:ligatures w14:val="none"/>
              </w:rPr>
            </w:pPr>
            <w:r w:rsidRPr="008E40A5">
              <w:rPr>
                <w:rFonts w:cs="Times New Roman"/>
              </w:rPr>
              <w:t>ν</w:t>
            </w:r>
          </w:p>
        </w:tc>
        <w:tc>
          <w:tcPr>
            <w:tcW w:w="1320" w:type="dxa"/>
            <w:tcBorders>
              <w:top w:val="nil"/>
              <w:left w:val="nil"/>
              <w:bottom w:val="single" w:sz="4" w:space="0" w:color="auto"/>
              <w:right w:val="single" w:sz="4" w:space="0" w:color="auto"/>
            </w:tcBorders>
            <w:noWrap/>
            <w:vAlign w:val="bottom"/>
            <w:hideMark/>
          </w:tcPr>
          <w:p w14:paraId="44A5E590"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179,17035</w:t>
            </w:r>
          </w:p>
        </w:tc>
        <w:tc>
          <w:tcPr>
            <w:tcW w:w="1280" w:type="dxa"/>
            <w:tcBorders>
              <w:top w:val="nil"/>
              <w:left w:val="nil"/>
              <w:bottom w:val="single" w:sz="4" w:space="0" w:color="auto"/>
              <w:right w:val="single" w:sz="4" w:space="0" w:color="auto"/>
            </w:tcBorders>
            <w:noWrap/>
            <w:vAlign w:val="bottom"/>
            <w:hideMark/>
          </w:tcPr>
          <w:p w14:paraId="2B64A945"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1,80002</w:t>
            </w:r>
          </w:p>
        </w:tc>
      </w:tr>
      <w:tr w:rsidR="008E6A35" w:rsidRPr="008E6A35" w14:paraId="552A97E8"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599024BC"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LO_3</w:t>
            </w:r>
          </w:p>
        </w:tc>
        <w:tc>
          <w:tcPr>
            <w:tcW w:w="1080" w:type="dxa"/>
            <w:tcBorders>
              <w:top w:val="nil"/>
              <w:left w:val="nil"/>
              <w:bottom w:val="single" w:sz="4" w:space="0" w:color="auto"/>
              <w:right w:val="single" w:sz="4" w:space="0" w:color="auto"/>
            </w:tcBorders>
            <w:noWrap/>
            <w:vAlign w:val="bottom"/>
            <w:hideMark/>
          </w:tcPr>
          <w:p w14:paraId="09DE1ABD"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omega</w:t>
            </w:r>
          </w:p>
        </w:tc>
        <w:tc>
          <w:tcPr>
            <w:tcW w:w="1320" w:type="dxa"/>
            <w:tcBorders>
              <w:top w:val="nil"/>
              <w:left w:val="nil"/>
              <w:bottom w:val="single" w:sz="4" w:space="0" w:color="auto"/>
              <w:right w:val="single" w:sz="4" w:space="0" w:color="auto"/>
            </w:tcBorders>
            <w:noWrap/>
            <w:vAlign w:val="bottom"/>
            <w:hideMark/>
          </w:tcPr>
          <w:p w14:paraId="28B4815B"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0,98506</w:t>
            </w:r>
          </w:p>
        </w:tc>
        <w:tc>
          <w:tcPr>
            <w:tcW w:w="1280" w:type="dxa"/>
            <w:tcBorders>
              <w:top w:val="nil"/>
              <w:left w:val="nil"/>
              <w:bottom w:val="single" w:sz="4" w:space="0" w:color="auto"/>
              <w:right w:val="single" w:sz="4" w:space="0" w:color="auto"/>
            </w:tcBorders>
            <w:noWrap/>
            <w:vAlign w:val="bottom"/>
            <w:hideMark/>
          </w:tcPr>
          <w:p w14:paraId="2FD3387B"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1,52310</w:t>
            </w:r>
          </w:p>
        </w:tc>
      </w:tr>
      <w:tr w:rsidR="008E6A35" w:rsidRPr="008E6A35" w14:paraId="1ED8EAD2"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5E127539"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LO_3</w:t>
            </w:r>
          </w:p>
        </w:tc>
        <w:tc>
          <w:tcPr>
            <w:tcW w:w="1080" w:type="dxa"/>
            <w:tcBorders>
              <w:top w:val="nil"/>
              <w:left w:val="nil"/>
              <w:bottom w:val="single" w:sz="4" w:space="0" w:color="auto"/>
              <w:right w:val="single" w:sz="4" w:space="0" w:color="auto"/>
            </w:tcBorders>
            <w:noWrap/>
            <w:vAlign w:val="bottom"/>
            <w:hideMark/>
          </w:tcPr>
          <w:p w14:paraId="0527F2AA"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alpha[1]</w:t>
            </w:r>
          </w:p>
        </w:tc>
        <w:tc>
          <w:tcPr>
            <w:tcW w:w="1320" w:type="dxa"/>
            <w:tcBorders>
              <w:top w:val="nil"/>
              <w:left w:val="nil"/>
              <w:bottom w:val="single" w:sz="4" w:space="0" w:color="auto"/>
              <w:right w:val="single" w:sz="4" w:space="0" w:color="auto"/>
            </w:tcBorders>
            <w:noWrap/>
            <w:vAlign w:val="bottom"/>
            <w:hideMark/>
          </w:tcPr>
          <w:p w14:paraId="689506E6"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0,09449</w:t>
            </w:r>
          </w:p>
        </w:tc>
        <w:tc>
          <w:tcPr>
            <w:tcW w:w="1280" w:type="dxa"/>
            <w:tcBorders>
              <w:top w:val="nil"/>
              <w:left w:val="nil"/>
              <w:bottom w:val="single" w:sz="4" w:space="0" w:color="auto"/>
              <w:right w:val="single" w:sz="4" w:space="0" w:color="auto"/>
            </w:tcBorders>
            <w:noWrap/>
            <w:vAlign w:val="bottom"/>
            <w:hideMark/>
          </w:tcPr>
          <w:p w14:paraId="383686AA"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2,30904</w:t>
            </w:r>
          </w:p>
        </w:tc>
      </w:tr>
      <w:tr w:rsidR="008E6A35" w:rsidRPr="008E6A35" w14:paraId="4272B042"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2B54393"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LO_3</w:t>
            </w:r>
          </w:p>
        </w:tc>
        <w:tc>
          <w:tcPr>
            <w:tcW w:w="1080" w:type="dxa"/>
            <w:tcBorders>
              <w:top w:val="nil"/>
              <w:left w:val="nil"/>
              <w:bottom w:val="single" w:sz="4" w:space="0" w:color="auto"/>
              <w:right w:val="single" w:sz="4" w:space="0" w:color="auto"/>
            </w:tcBorders>
            <w:noWrap/>
            <w:vAlign w:val="bottom"/>
            <w:hideMark/>
          </w:tcPr>
          <w:p w14:paraId="7EEE043D"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beta[1]</w:t>
            </w:r>
          </w:p>
        </w:tc>
        <w:tc>
          <w:tcPr>
            <w:tcW w:w="1320" w:type="dxa"/>
            <w:tcBorders>
              <w:top w:val="nil"/>
              <w:left w:val="nil"/>
              <w:bottom w:val="single" w:sz="4" w:space="0" w:color="auto"/>
              <w:right w:val="single" w:sz="4" w:space="0" w:color="auto"/>
            </w:tcBorders>
            <w:noWrap/>
            <w:vAlign w:val="bottom"/>
            <w:hideMark/>
          </w:tcPr>
          <w:p w14:paraId="0C258DF4"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0,85574</w:t>
            </w:r>
          </w:p>
        </w:tc>
        <w:tc>
          <w:tcPr>
            <w:tcW w:w="1280" w:type="dxa"/>
            <w:tcBorders>
              <w:top w:val="nil"/>
              <w:left w:val="nil"/>
              <w:bottom w:val="single" w:sz="4" w:space="0" w:color="auto"/>
              <w:right w:val="single" w:sz="4" w:space="0" w:color="auto"/>
            </w:tcBorders>
            <w:noWrap/>
            <w:vAlign w:val="bottom"/>
            <w:hideMark/>
          </w:tcPr>
          <w:p w14:paraId="17C38284"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15,14969</w:t>
            </w:r>
          </w:p>
        </w:tc>
      </w:tr>
      <w:tr w:rsidR="008E6A35" w:rsidRPr="008E6A35" w14:paraId="5A018B2A"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44E0B78E"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LO_3</w:t>
            </w:r>
          </w:p>
        </w:tc>
        <w:tc>
          <w:tcPr>
            <w:tcW w:w="1080" w:type="dxa"/>
            <w:tcBorders>
              <w:top w:val="nil"/>
              <w:left w:val="nil"/>
              <w:bottom w:val="single" w:sz="4" w:space="0" w:color="auto"/>
              <w:right w:val="single" w:sz="4" w:space="0" w:color="auto"/>
            </w:tcBorders>
            <w:noWrap/>
            <w:vAlign w:val="bottom"/>
            <w:hideMark/>
          </w:tcPr>
          <w:p w14:paraId="7BEEABC8" w14:textId="77777777" w:rsidR="008E6A35" w:rsidRPr="008E6A35" w:rsidRDefault="00BB40D9" w:rsidP="008E6A35">
            <w:pPr>
              <w:spacing w:line="240" w:lineRule="auto"/>
              <w:jc w:val="center"/>
              <w:rPr>
                <w:rFonts w:ascii="Calibri" w:eastAsia="Times New Roman" w:hAnsi="Calibri" w:cs="Calibri"/>
                <w:color w:val="000000"/>
                <w:kern w:val="0"/>
                <w:sz w:val="22"/>
                <w:szCs w:val="22"/>
                <w:lang w:eastAsia="es-AR"/>
                <w14:ligatures w14:val="none"/>
              </w:rPr>
            </w:pPr>
            <w:r w:rsidRPr="008E40A5">
              <w:rPr>
                <w:rFonts w:cs="Times New Roman"/>
              </w:rPr>
              <w:t>ν</w:t>
            </w:r>
          </w:p>
        </w:tc>
        <w:tc>
          <w:tcPr>
            <w:tcW w:w="1320" w:type="dxa"/>
            <w:tcBorders>
              <w:top w:val="nil"/>
              <w:left w:val="nil"/>
              <w:bottom w:val="single" w:sz="4" w:space="0" w:color="auto"/>
              <w:right w:val="single" w:sz="4" w:space="0" w:color="auto"/>
            </w:tcBorders>
            <w:noWrap/>
            <w:vAlign w:val="bottom"/>
            <w:hideMark/>
          </w:tcPr>
          <w:p w14:paraId="0E4118C3"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19,19329</w:t>
            </w:r>
          </w:p>
        </w:tc>
        <w:tc>
          <w:tcPr>
            <w:tcW w:w="1280" w:type="dxa"/>
            <w:tcBorders>
              <w:top w:val="nil"/>
              <w:left w:val="nil"/>
              <w:bottom w:val="single" w:sz="4" w:space="0" w:color="auto"/>
              <w:right w:val="single" w:sz="4" w:space="0" w:color="auto"/>
            </w:tcBorders>
            <w:noWrap/>
            <w:vAlign w:val="bottom"/>
            <w:hideMark/>
          </w:tcPr>
          <w:p w14:paraId="725FA31D"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1,03397</w:t>
            </w:r>
          </w:p>
        </w:tc>
      </w:tr>
      <w:tr w:rsidR="008E6A35" w:rsidRPr="008E6A35" w14:paraId="52B6906C"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844BF60"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LO_6</w:t>
            </w:r>
          </w:p>
        </w:tc>
        <w:tc>
          <w:tcPr>
            <w:tcW w:w="1080" w:type="dxa"/>
            <w:tcBorders>
              <w:top w:val="nil"/>
              <w:left w:val="nil"/>
              <w:bottom w:val="single" w:sz="4" w:space="0" w:color="auto"/>
              <w:right w:val="single" w:sz="4" w:space="0" w:color="auto"/>
            </w:tcBorders>
            <w:noWrap/>
            <w:vAlign w:val="bottom"/>
            <w:hideMark/>
          </w:tcPr>
          <w:p w14:paraId="506E75AE"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omega</w:t>
            </w:r>
          </w:p>
        </w:tc>
        <w:tc>
          <w:tcPr>
            <w:tcW w:w="1320" w:type="dxa"/>
            <w:tcBorders>
              <w:top w:val="nil"/>
              <w:left w:val="nil"/>
              <w:bottom w:val="single" w:sz="4" w:space="0" w:color="auto"/>
              <w:right w:val="single" w:sz="4" w:space="0" w:color="auto"/>
            </w:tcBorders>
            <w:noWrap/>
            <w:vAlign w:val="bottom"/>
            <w:hideMark/>
          </w:tcPr>
          <w:p w14:paraId="38A569B4"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1,14255</w:t>
            </w:r>
          </w:p>
        </w:tc>
        <w:tc>
          <w:tcPr>
            <w:tcW w:w="1280" w:type="dxa"/>
            <w:tcBorders>
              <w:top w:val="nil"/>
              <w:left w:val="nil"/>
              <w:bottom w:val="single" w:sz="4" w:space="0" w:color="auto"/>
              <w:right w:val="single" w:sz="4" w:space="0" w:color="auto"/>
            </w:tcBorders>
            <w:noWrap/>
            <w:vAlign w:val="bottom"/>
            <w:hideMark/>
          </w:tcPr>
          <w:p w14:paraId="3CD501E5"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1,73991</w:t>
            </w:r>
          </w:p>
        </w:tc>
      </w:tr>
      <w:tr w:rsidR="008E6A35" w:rsidRPr="008E6A35" w14:paraId="266B0A02"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40CF5E18"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LO_6</w:t>
            </w:r>
          </w:p>
        </w:tc>
        <w:tc>
          <w:tcPr>
            <w:tcW w:w="1080" w:type="dxa"/>
            <w:tcBorders>
              <w:top w:val="nil"/>
              <w:left w:val="nil"/>
              <w:bottom w:val="single" w:sz="4" w:space="0" w:color="auto"/>
              <w:right w:val="single" w:sz="4" w:space="0" w:color="auto"/>
            </w:tcBorders>
            <w:noWrap/>
            <w:vAlign w:val="bottom"/>
            <w:hideMark/>
          </w:tcPr>
          <w:p w14:paraId="6E5996E8"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alpha[1]</w:t>
            </w:r>
          </w:p>
        </w:tc>
        <w:tc>
          <w:tcPr>
            <w:tcW w:w="1320" w:type="dxa"/>
            <w:tcBorders>
              <w:top w:val="nil"/>
              <w:left w:val="nil"/>
              <w:bottom w:val="single" w:sz="4" w:space="0" w:color="auto"/>
              <w:right w:val="single" w:sz="4" w:space="0" w:color="auto"/>
            </w:tcBorders>
            <w:noWrap/>
            <w:vAlign w:val="bottom"/>
            <w:hideMark/>
          </w:tcPr>
          <w:p w14:paraId="7DFF3A76"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0,11819</w:t>
            </w:r>
          </w:p>
        </w:tc>
        <w:tc>
          <w:tcPr>
            <w:tcW w:w="1280" w:type="dxa"/>
            <w:tcBorders>
              <w:top w:val="nil"/>
              <w:left w:val="nil"/>
              <w:bottom w:val="single" w:sz="4" w:space="0" w:color="auto"/>
              <w:right w:val="single" w:sz="4" w:space="0" w:color="auto"/>
            </w:tcBorders>
            <w:noWrap/>
            <w:vAlign w:val="bottom"/>
            <w:hideMark/>
          </w:tcPr>
          <w:p w14:paraId="4372CE8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2,60895</w:t>
            </w:r>
          </w:p>
        </w:tc>
      </w:tr>
      <w:tr w:rsidR="008E6A35" w:rsidRPr="008E6A35" w14:paraId="66844B9A"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736BC232"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LO_6</w:t>
            </w:r>
          </w:p>
        </w:tc>
        <w:tc>
          <w:tcPr>
            <w:tcW w:w="1080" w:type="dxa"/>
            <w:tcBorders>
              <w:top w:val="nil"/>
              <w:left w:val="nil"/>
              <w:bottom w:val="single" w:sz="4" w:space="0" w:color="auto"/>
              <w:right w:val="single" w:sz="4" w:space="0" w:color="auto"/>
            </w:tcBorders>
            <w:noWrap/>
            <w:vAlign w:val="bottom"/>
            <w:hideMark/>
          </w:tcPr>
          <w:p w14:paraId="0805DF58"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beta[1]</w:t>
            </w:r>
          </w:p>
        </w:tc>
        <w:tc>
          <w:tcPr>
            <w:tcW w:w="1320" w:type="dxa"/>
            <w:tcBorders>
              <w:top w:val="nil"/>
              <w:left w:val="nil"/>
              <w:bottom w:val="single" w:sz="4" w:space="0" w:color="auto"/>
              <w:right w:val="single" w:sz="4" w:space="0" w:color="auto"/>
            </w:tcBorders>
            <w:noWrap/>
            <w:vAlign w:val="bottom"/>
            <w:hideMark/>
          </w:tcPr>
          <w:p w14:paraId="6455EB17"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0,81846</w:t>
            </w:r>
          </w:p>
        </w:tc>
        <w:tc>
          <w:tcPr>
            <w:tcW w:w="1280" w:type="dxa"/>
            <w:tcBorders>
              <w:top w:val="nil"/>
              <w:left w:val="nil"/>
              <w:bottom w:val="single" w:sz="4" w:space="0" w:color="auto"/>
              <w:right w:val="single" w:sz="4" w:space="0" w:color="auto"/>
            </w:tcBorders>
            <w:noWrap/>
            <w:vAlign w:val="bottom"/>
            <w:hideMark/>
          </w:tcPr>
          <w:p w14:paraId="4F28AD11"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13,76158</w:t>
            </w:r>
          </w:p>
        </w:tc>
      </w:tr>
      <w:tr w:rsidR="008E6A35" w:rsidRPr="008E6A35" w14:paraId="2E2E6DD4"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7C553865"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LO_6</w:t>
            </w:r>
          </w:p>
        </w:tc>
        <w:tc>
          <w:tcPr>
            <w:tcW w:w="1080" w:type="dxa"/>
            <w:tcBorders>
              <w:top w:val="nil"/>
              <w:left w:val="nil"/>
              <w:bottom w:val="single" w:sz="4" w:space="0" w:color="auto"/>
              <w:right w:val="single" w:sz="4" w:space="0" w:color="auto"/>
            </w:tcBorders>
            <w:noWrap/>
            <w:vAlign w:val="bottom"/>
            <w:hideMark/>
          </w:tcPr>
          <w:p w14:paraId="6C6178A5" w14:textId="77777777" w:rsidR="008E6A35" w:rsidRPr="008E6A35" w:rsidRDefault="00BB40D9" w:rsidP="008E6A35">
            <w:pPr>
              <w:spacing w:line="240" w:lineRule="auto"/>
              <w:jc w:val="center"/>
              <w:rPr>
                <w:rFonts w:ascii="Calibri" w:eastAsia="Times New Roman" w:hAnsi="Calibri" w:cs="Calibri"/>
                <w:color w:val="000000"/>
                <w:kern w:val="0"/>
                <w:sz w:val="22"/>
                <w:szCs w:val="22"/>
                <w:lang w:eastAsia="es-AR"/>
                <w14:ligatures w14:val="none"/>
              </w:rPr>
            </w:pPr>
            <w:r w:rsidRPr="008E40A5">
              <w:rPr>
                <w:rFonts w:cs="Times New Roman"/>
              </w:rPr>
              <w:t>ν</w:t>
            </w:r>
          </w:p>
        </w:tc>
        <w:tc>
          <w:tcPr>
            <w:tcW w:w="1320" w:type="dxa"/>
            <w:tcBorders>
              <w:top w:val="nil"/>
              <w:left w:val="nil"/>
              <w:bottom w:val="single" w:sz="4" w:space="0" w:color="auto"/>
              <w:right w:val="single" w:sz="4" w:space="0" w:color="auto"/>
            </w:tcBorders>
            <w:noWrap/>
            <w:vAlign w:val="bottom"/>
            <w:hideMark/>
          </w:tcPr>
          <w:p w14:paraId="725E38D1"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270,87588</w:t>
            </w:r>
          </w:p>
        </w:tc>
        <w:tc>
          <w:tcPr>
            <w:tcW w:w="1280" w:type="dxa"/>
            <w:tcBorders>
              <w:top w:val="nil"/>
              <w:left w:val="nil"/>
              <w:bottom w:val="single" w:sz="4" w:space="0" w:color="auto"/>
              <w:right w:val="single" w:sz="4" w:space="0" w:color="auto"/>
            </w:tcBorders>
            <w:noWrap/>
            <w:vAlign w:val="bottom"/>
            <w:hideMark/>
          </w:tcPr>
          <w:p w14:paraId="23B692E7"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2,10217</w:t>
            </w:r>
          </w:p>
        </w:tc>
      </w:tr>
      <w:tr w:rsidR="008E6A35" w:rsidRPr="008E6A35" w14:paraId="7F54C83B"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4638238D"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LO_12</w:t>
            </w:r>
          </w:p>
        </w:tc>
        <w:tc>
          <w:tcPr>
            <w:tcW w:w="1080" w:type="dxa"/>
            <w:tcBorders>
              <w:top w:val="nil"/>
              <w:left w:val="nil"/>
              <w:bottom w:val="single" w:sz="4" w:space="0" w:color="auto"/>
              <w:right w:val="single" w:sz="4" w:space="0" w:color="auto"/>
            </w:tcBorders>
            <w:noWrap/>
            <w:vAlign w:val="bottom"/>
            <w:hideMark/>
          </w:tcPr>
          <w:p w14:paraId="72B8A146"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omega</w:t>
            </w:r>
          </w:p>
        </w:tc>
        <w:tc>
          <w:tcPr>
            <w:tcW w:w="1320" w:type="dxa"/>
            <w:tcBorders>
              <w:top w:val="nil"/>
              <w:left w:val="nil"/>
              <w:bottom w:val="single" w:sz="4" w:space="0" w:color="auto"/>
              <w:right w:val="single" w:sz="4" w:space="0" w:color="auto"/>
            </w:tcBorders>
            <w:noWrap/>
            <w:vAlign w:val="bottom"/>
            <w:hideMark/>
          </w:tcPr>
          <w:p w14:paraId="300FFE74"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1,19745</w:t>
            </w:r>
          </w:p>
        </w:tc>
        <w:tc>
          <w:tcPr>
            <w:tcW w:w="1280" w:type="dxa"/>
            <w:tcBorders>
              <w:top w:val="nil"/>
              <w:left w:val="nil"/>
              <w:bottom w:val="single" w:sz="4" w:space="0" w:color="auto"/>
              <w:right w:val="single" w:sz="4" w:space="0" w:color="auto"/>
            </w:tcBorders>
            <w:noWrap/>
            <w:vAlign w:val="bottom"/>
            <w:hideMark/>
          </w:tcPr>
          <w:p w14:paraId="70A18413"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1,12505</w:t>
            </w:r>
          </w:p>
        </w:tc>
      </w:tr>
      <w:tr w:rsidR="008E6A35" w:rsidRPr="008E6A35" w14:paraId="65B7F6C8"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72927F09"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LO_12</w:t>
            </w:r>
          </w:p>
        </w:tc>
        <w:tc>
          <w:tcPr>
            <w:tcW w:w="1080" w:type="dxa"/>
            <w:tcBorders>
              <w:top w:val="nil"/>
              <w:left w:val="nil"/>
              <w:bottom w:val="single" w:sz="4" w:space="0" w:color="auto"/>
              <w:right w:val="single" w:sz="4" w:space="0" w:color="auto"/>
            </w:tcBorders>
            <w:noWrap/>
            <w:vAlign w:val="bottom"/>
            <w:hideMark/>
          </w:tcPr>
          <w:p w14:paraId="792062FE"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alpha[1]</w:t>
            </w:r>
          </w:p>
        </w:tc>
        <w:tc>
          <w:tcPr>
            <w:tcW w:w="1320" w:type="dxa"/>
            <w:tcBorders>
              <w:top w:val="nil"/>
              <w:left w:val="nil"/>
              <w:bottom w:val="single" w:sz="4" w:space="0" w:color="auto"/>
              <w:right w:val="single" w:sz="4" w:space="0" w:color="auto"/>
            </w:tcBorders>
            <w:noWrap/>
            <w:vAlign w:val="bottom"/>
            <w:hideMark/>
          </w:tcPr>
          <w:p w14:paraId="6A82ABAC"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0,12054</w:t>
            </w:r>
          </w:p>
        </w:tc>
        <w:tc>
          <w:tcPr>
            <w:tcW w:w="1280" w:type="dxa"/>
            <w:tcBorders>
              <w:top w:val="nil"/>
              <w:left w:val="nil"/>
              <w:bottom w:val="single" w:sz="4" w:space="0" w:color="auto"/>
              <w:right w:val="single" w:sz="4" w:space="0" w:color="auto"/>
            </w:tcBorders>
            <w:noWrap/>
            <w:vAlign w:val="bottom"/>
            <w:hideMark/>
          </w:tcPr>
          <w:p w14:paraId="3200DA00"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2,07140</w:t>
            </w:r>
          </w:p>
        </w:tc>
      </w:tr>
      <w:tr w:rsidR="008E6A35" w:rsidRPr="008E6A35" w14:paraId="5C535E56"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5D834D1E"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LO_12</w:t>
            </w:r>
          </w:p>
        </w:tc>
        <w:tc>
          <w:tcPr>
            <w:tcW w:w="1080" w:type="dxa"/>
            <w:tcBorders>
              <w:top w:val="nil"/>
              <w:left w:val="nil"/>
              <w:bottom w:val="single" w:sz="4" w:space="0" w:color="auto"/>
              <w:right w:val="single" w:sz="4" w:space="0" w:color="auto"/>
            </w:tcBorders>
            <w:noWrap/>
            <w:vAlign w:val="bottom"/>
            <w:hideMark/>
          </w:tcPr>
          <w:p w14:paraId="11325869"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beta[1]</w:t>
            </w:r>
          </w:p>
        </w:tc>
        <w:tc>
          <w:tcPr>
            <w:tcW w:w="1320" w:type="dxa"/>
            <w:tcBorders>
              <w:top w:val="nil"/>
              <w:left w:val="nil"/>
              <w:bottom w:val="single" w:sz="4" w:space="0" w:color="auto"/>
              <w:right w:val="single" w:sz="4" w:space="0" w:color="auto"/>
            </w:tcBorders>
            <w:noWrap/>
            <w:vAlign w:val="bottom"/>
            <w:hideMark/>
          </w:tcPr>
          <w:p w14:paraId="537665D2"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0,81318</w:t>
            </w:r>
          </w:p>
        </w:tc>
        <w:tc>
          <w:tcPr>
            <w:tcW w:w="1280" w:type="dxa"/>
            <w:tcBorders>
              <w:top w:val="nil"/>
              <w:left w:val="nil"/>
              <w:bottom w:val="single" w:sz="4" w:space="0" w:color="auto"/>
              <w:right w:val="single" w:sz="4" w:space="0" w:color="auto"/>
            </w:tcBorders>
            <w:noWrap/>
            <w:vAlign w:val="bottom"/>
            <w:hideMark/>
          </w:tcPr>
          <w:p w14:paraId="002D138B"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7,87464</w:t>
            </w:r>
          </w:p>
        </w:tc>
      </w:tr>
      <w:tr w:rsidR="008E6A35" w:rsidRPr="008E6A35" w14:paraId="72EA6EF7" w14:textId="77777777" w:rsidTr="008E6A35">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556F4D8"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LO_12</w:t>
            </w:r>
          </w:p>
        </w:tc>
        <w:tc>
          <w:tcPr>
            <w:tcW w:w="1080" w:type="dxa"/>
            <w:tcBorders>
              <w:top w:val="nil"/>
              <w:left w:val="nil"/>
              <w:bottom w:val="single" w:sz="4" w:space="0" w:color="auto"/>
              <w:right w:val="single" w:sz="4" w:space="0" w:color="auto"/>
            </w:tcBorders>
            <w:noWrap/>
            <w:vAlign w:val="bottom"/>
            <w:hideMark/>
          </w:tcPr>
          <w:p w14:paraId="73FBBE09" w14:textId="77777777" w:rsidR="008E6A35" w:rsidRPr="008E6A35" w:rsidRDefault="00BB40D9" w:rsidP="008E6A35">
            <w:pPr>
              <w:spacing w:line="240" w:lineRule="auto"/>
              <w:jc w:val="center"/>
              <w:rPr>
                <w:rFonts w:ascii="Calibri" w:eastAsia="Times New Roman" w:hAnsi="Calibri" w:cs="Calibri"/>
                <w:color w:val="000000"/>
                <w:kern w:val="0"/>
                <w:sz w:val="22"/>
                <w:szCs w:val="22"/>
                <w:lang w:eastAsia="es-AR"/>
                <w14:ligatures w14:val="none"/>
              </w:rPr>
            </w:pPr>
            <w:r w:rsidRPr="008E40A5">
              <w:rPr>
                <w:rFonts w:cs="Times New Roman"/>
              </w:rPr>
              <w:t>ν</w:t>
            </w:r>
          </w:p>
        </w:tc>
        <w:tc>
          <w:tcPr>
            <w:tcW w:w="1320" w:type="dxa"/>
            <w:tcBorders>
              <w:top w:val="nil"/>
              <w:left w:val="nil"/>
              <w:bottom w:val="single" w:sz="4" w:space="0" w:color="auto"/>
              <w:right w:val="single" w:sz="4" w:space="0" w:color="auto"/>
            </w:tcBorders>
            <w:noWrap/>
            <w:vAlign w:val="bottom"/>
            <w:hideMark/>
          </w:tcPr>
          <w:p w14:paraId="1BB6489F"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89,60936</w:t>
            </w:r>
          </w:p>
        </w:tc>
        <w:tc>
          <w:tcPr>
            <w:tcW w:w="1280" w:type="dxa"/>
            <w:tcBorders>
              <w:top w:val="nil"/>
              <w:left w:val="nil"/>
              <w:bottom w:val="single" w:sz="4" w:space="0" w:color="auto"/>
              <w:right w:val="single" w:sz="4" w:space="0" w:color="auto"/>
            </w:tcBorders>
            <w:noWrap/>
            <w:vAlign w:val="bottom"/>
            <w:hideMark/>
          </w:tcPr>
          <w:p w14:paraId="3B0CBE39" w14:textId="77777777" w:rsidR="008E6A35" w:rsidRPr="008E6A35" w:rsidRDefault="008E6A35" w:rsidP="008E6A35">
            <w:pPr>
              <w:spacing w:line="240" w:lineRule="auto"/>
              <w:jc w:val="center"/>
              <w:rPr>
                <w:rFonts w:ascii="Calibri" w:eastAsia="Times New Roman" w:hAnsi="Calibri" w:cs="Calibri"/>
                <w:color w:val="000000"/>
                <w:kern w:val="0"/>
                <w:sz w:val="22"/>
                <w:szCs w:val="22"/>
                <w:lang w:eastAsia="es-AR"/>
                <w14:ligatures w14:val="none"/>
              </w:rPr>
            </w:pPr>
            <w:r w:rsidRPr="008E6A35">
              <w:rPr>
                <w:rFonts w:ascii="Calibri" w:eastAsia="Times New Roman" w:hAnsi="Calibri" w:cs="Calibri"/>
                <w:color w:val="000000"/>
                <w:kern w:val="0"/>
                <w:sz w:val="22"/>
                <w:szCs w:val="22"/>
                <w:lang w:eastAsia="es-AR"/>
                <w14:ligatures w14:val="none"/>
              </w:rPr>
              <w:t>0,21814</w:t>
            </w:r>
          </w:p>
        </w:tc>
      </w:tr>
    </w:tbl>
    <w:p w14:paraId="4539F86B" w14:textId="6D1592BE" w:rsidR="008A62DD" w:rsidRPr="008A62DD" w:rsidRDefault="008A62DD" w:rsidP="008A62DD">
      <w:pPr>
        <w:spacing w:line="360" w:lineRule="auto"/>
      </w:pPr>
      <w:bookmarkStart w:id="89" w:name="Xde6fc93dc0d8d82ec03edb1690062761703fa4a"/>
      <w:bookmarkEnd w:id="85"/>
      <w:r w:rsidRPr="008A62DD">
        <w:t>Los parámetros estimados evidencian una elevada persistencia de la volatilidad en todas las estrategias consideradas, reflejada en valores de la suma α + β elevados y cercanos</w:t>
      </w:r>
      <w:r w:rsidR="0001020D">
        <w:t xml:space="preserve"> a 1</w:t>
      </w:r>
      <w:r w:rsidRPr="008A62DD">
        <w:t xml:space="preserve">, aunque estrictamente inferiores, a la unidad. Este resultado indica que los shocks de volatilidad tienden a disiparse lentamente en el tiempo, sin comprometer la estacionariedad del proceso, dando lugar a episodios prolongados de riesgo elevado, en línea con el fenómeno de </w:t>
      </w:r>
      <w:r w:rsidRPr="008A62DD">
        <w:rPr>
          <w:i/>
          <w:iCs/>
        </w:rPr>
        <w:t>volatility clustering</w:t>
      </w:r>
      <w:r w:rsidRPr="008A62DD">
        <w:t xml:space="preserve"> documentado extensamente en la literatura financiera.</w:t>
      </w:r>
    </w:p>
    <w:p w14:paraId="5BFC0C2B" w14:textId="77777777" w:rsidR="004B0109" w:rsidRPr="004B0109" w:rsidRDefault="004B0109" w:rsidP="004B0109">
      <w:pPr>
        <w:spacing w:line="360" w:lineRule="auto"/>
      </w:pPr>
      <w:r w:rsidRPr="004B0109">
        <w:t xml:space="preserve">Asimismo, los valores estimados de los grados de libertad </w:t>
      </w:r>
      <m:oMath>
        <m:r>
          <w:rPr>
            <w:rFonts w:ascii="Cambria Math" w:hAnsi="Cambria Math"/>
          </w:rPr>
          <m:t>ν</m:t>
        </m:r>
      </m:oMath>
      <w:r w:rsidR="00F8686E">
        <w:rPr>
          <w:rFonts w:eastAsiaTheme="minorEastAsia"/>
        </w:rPr>
        <w:t xml:space="preserve"> </w:t>
      </w:r>
      <w:r w:rsidRPr="004B0109">
        <w:t xml:space="preserve">evidencian una </w:t>
      </w:r>
      <w:r w:rsidRPr="004B0109">
        <w:rPr>
          <w:b/>
          <w:bCs/>
        </w:rPr>
        <w:t>heterogeneidad significativa en la curtosis de los retornos</w:t>
      </w:r>
      <w:r w:rsidRPr="004B0109">
        <w:t xml:space="preserve"> entre estrategias. En algunos casos, como el benchmark de mercado y las estrategias con horizontes de formación más largos, los valores elevados de </w:t>
      </w:r>
      <m:oMath>
        <m:r>
          <w:rPr>
            <w:rFonts w:ascii="Cambria Math" w:hAnsi="Cambria Math"/>
          </w:rPr>
          <m:t>ν</m:t>
        </m:r>
      </m:oMath>
      <w:r w:rsidRPr="004B0109">
        <w:t xml:space="preserve">indican una dinámica cercana al supuesto Normal. En contraste, para estrategias con horizontes más cortos se observan valores de </w:t>
      </w:r>
      <m:oMath>
        <m:r>
          <w:rPr>
            <w:rFonts w:ascii="Cambria Math" w:hAnsi="Cambria Math"/>
          </w:rPr>
          <m:t>ν</m:t>
        </m:r>
      </m:oMath>
      <w:r w:rsidRPr="004B0109">
        <w:t xml:space="preserve">sustancialmente menores, consistentes con la presencia de </w:t>
      </w:r>
      <w:r w:rsidRPr="004B0109">
        <w:rPr>
          <w:b/>
          <w:bCs/>
        </w:rPr>
        <w:t>colas más pesadas y mayor probabilidad de eventos extremos</w:t>
      </w:r>
      <w:r w:rsidRPr="004B0109">
        <w:t>.</w:t>
      </w:r>
    </w:p>
    <w:p w14:paraId="6F6BABA7" w14:textId="77777777" w:rsidR="004B0109" w:rsidRPr="004B0109" w:rsidRDefault="004B0109" w:rsidP="004B0109">
      <w:pPr>
        <w:spacing w:line="360" w:lineRule="auto"/>
      </w:pPr>
      <w:r w:rsidRPr="004B0109">
        <w:t xml:space="preserve">Esta heterogeneidad justifica el uso de la distribución t-Student como una especificación flexible que </w:t>
      </w:r>
      <w:r w:rsidRPr="004B0109">
        <w:rPr>
          <w:b/>
          <w:bCs/>
        </w:rPr>
        <w:t>anida el caso Normal como situación límite</w:t>
      </w:r>
      <w:r w:rsidRPr="004B0109">
        <w:t>, permitiendo capturar distintos grados de curtosis sin imponer una estructura restrictiva común a todas las estrategias. En este sentido, la especificación adoptada resulta adecuada tanto para la modelización de la volatilidad condicional como para la estimación de medidas dinámicas de riesgo extremo.</w:t>
      </w:r>
    </w:p>
    <w:p w14:paraId="10A5244D" w14:textId="77777777" w:rsidR="008A62DD" w:rsidRPr="008A62DD" w:rsidRDefault="008A62DD" w:rsidP="008A62DD">
      <w:pPr>
        <w:spacing w:line="360" w:lineRule="auto"/>
      </w:pPr>
      <w:r w:rsidRPr="008A62DD">
        <w:t xml:space="preserve">En conjunto, estos resultados validan el uso del modelo GARCH(1,1) como una herramienta adecuada para capturar la dinámica temporal de la volatilidad de las </w:t>
      </w:r>
      <w:r w:rsidRPr="008A62DD">
        <w:lastRenderedPageBreak/>
        <w:t>estrategias analizadas y constituyen el insumo fundamental para la estimación de medidas dinámicas de riesgo, como el Value at Risk y el Expected Shortfall, desarrolladas en las secciones siguientes.</w:t>
      </w:r>
    </w:p>
    <w:p w14:paraId="2A6E508D" w14:textId="77777777" w:rsidR="00894435" w:rsidRPr="009706C8" w:rsidRDefault="00894435" w:rsidP="00E85DF5">
      <w:pPr>
        <w:pStyle w:val="Ttulo2"/>
        <w:rPr>
          <w:rFonts w:cs="Times New Roman"/>
        </w:rPr>
      </w:pPr>
      <w:bookmarkStart w:id="90" w:name="_Toc223214796"/>
      <w:r w:rsidRPr="009706C8">
        <w:rPr>
          <w:rFonts w:cs="Times New Roman"/>
        </w:rPr>
        <w:t>5.</w:t>
      </w:r>
      <w:r w:rsidR="009A2169">
        <w:rPr>
          <w:rFonts w:cs="Times New Roman"/>
        </w:rPr>
        <w:t>4</w:t>
      </w:r>
      <w:r w:rsidRPr="009706C8">
        <w:rPr>
          <w:rFonts w:cs="Times New Roman"/>
        </w:rPr>
        <w:t xml:space="preserve"> Medidas de riesgo extremo: Value at Risk y Expected Shortfall</w:t>
      </w:r>
      <w:bookmarkEnd w:id="90"/>
    </w:p>
    <w:p w14:paraId="6514FC00" w14:textId="77777777" w:rsidR="007B1FD2" w:rsidRPr="007B1FD2" w:rsidRDefault="007B1FD2" w:rsidP="007B1FD2">
      <w:pPr>
        <w:spacing w:line="360" w:lineRule="auto"/>
        <w:rPr>
          <w:rFonts w:cs="Times New Roman"/>
        </w:rPr>
      </w:pPr>
      <w:r w:rsidRPr="007B1FD2">
        <w:rPr>
          <w:rFonts w:cs="Times New Roman"/>
        </w:rPr>
        <w:t>Además del análisis de la volatilidad condicional, se evalúa el riesgo asociado a eventos extremos mediante las medidas de Value at Risk (VaR) y Expected Shortfall (ES).</w:t>
      </w:r>
    </w:p>
    <w:p w14:paraId="7114707A" w14:textId="77777777" w:rsidR="007B1FD2" w:rsidRPr="007B1FD2" w:rsidRDefault="007B1FD2" w:rsidP="007B1FD2">
      <w:pPr>
        <w:spacing w:line="360" w:lineRule="auto"/>
        <w:rPr>
          <w:rFonts w:cs="Times New Roman"/>
        </w:rPr>
      </w:pPr>
      <w:r w:rsidRPr="007B1FD2">
        <w:rPr>
          <w:rFonts w:cs="Times New Roman"/>
        </w:rPr>
        <w:t xml:space="preserve">El Value at Risk al nivel de confianza </w:t>
      </w:r>
      <m:oMath>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α</m:t>
            </m:r>
          </m:e>
        </m:d>
      </m:oMath>
      <w:r w:rsidR="006F0015">
        <w:rPr>
          <w:rFonts w:eastAsiaTheme="minorEastAsia" w:cs="Times New Roman"/>
        </w:rPr>
        <w:t xml:space="preserve"> </w:t>
      </w:r>
      <w:r w:rsidRPr="007B1FD2">
        <w:rPr>
          <w:rFonts w:cs="Times New Roman"/>
        </w:rPr>
        <w:t xml:space="preserve">representa la pérdida máxima esperada que no será superada con probabilidad </w:t>
      </w:r>
      <m:oMath>
        <m:d>
          <m:dPr>
            <m:sep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α</m:t>
            </m:r>
          </m:e>
        </m:d>
      </m:oMath>
      <w:r w:rsidR="006F0015">
        <w:rPr>
          <w:rFonts w:eastAsiaTheme="minorEastAsia" w:cs="Times New Roman"/>
        </w:rPr>
        <w:t xml:space="preserve"> </w:t>
      </w:r>
      <w:r w:rsidRPr="007B1FD2">
        <w:rPr>
          <w:rFonts w:cs="Times New Roman"/>
        </w:rPr>
        <w:t>en un horizonte temporal dado. En el contexto de modelos de volatilidad condicional, el VaR dinámico se define a partir de la distribución condicional de los retornos como:</w:t>
      </w:r>
    </w:p>
    <w:p w14:paraId="077FFA29" w14:textId="77777777" w:rsidR="007B1FD2" w:rsidRPr="007B1FD2" w:rsidRDefault="007B1FD2" w:rsidP="001816B7">
      <w:pPr>
        <w:spacing w:line="360" w:lineRule="auto"/>
        <w:jc w:val="right"/>
        <w:rPr>
          <w:rFonts w:cs="Times New Roman"/>
        </w:rPr>
      </w:pPr>
      <m:oMath>
        <m:r>
          <w:rPr>
            <w:rFonts w:ascii="Cambria Math" w:hAnsi="Cambria Math" w:cs="Times New Roman"/>
          </w:rPr>
          <m:t>Va</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r>
          <m:rPr>
            <m:nor/>
          </m:rPr>
          <w:rPr>
            <w:rFonts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sub>
        </m:sSub>
      </m:oMath>
      <w:r w:rsidR="001816B7">
        <w:rPr>
          <w:rFonts w:eastAsiaTheme="minorEastAsia" w:cs="Times New Roman"/>
        </w:rPr>
        <w:t xml:space="preserve">                     </w:t>
      </w:r>
      <w:r w:rsidR="001816B7" w:rsidRPr="001816B7">
        <w:rPr>
          <w:rFonts w:cs="Times New Roman"/>
          <w:b/>
          <w:bCs/>
        </w:rPr>
        <w:t xml:space="preserve"> </w:t>
      </w:r>
      <w:r w:rsidR="001816B7" w:rsidRPr="009D2EF2">
        <w:rPr>
          <w:rFonts w:cs="Times New Roman"/>
          <w:b/>
          <w:bCs/>
        </w:rPr>
        <w:t>Ecuación</w:t>
      </w:r>
      <w:r w:rsidR="001816B7">
        <w:rPr>
          <w:rFonts w:cs="Times New Roman"/>
          <w:b/>
          <w:bCs/>
        </w:rPr>
        <w:t xml:space="preserve"> (</w:t>
      </w:r>
      <w:r w:rsidR="001816B7" w:rsidRPr="009D2EF2">
        <w:rPr>
          <w:rFonts w:cs="Times New Roman"/>
          <w:b/>
          <w:bCs/>
        </w:rPr>
        <w:t>5.</w:t>
      </w:r>
      <w:r w:rsidR="001816B7">
        <w:rPr>
          <w:rFonts w:cs="Times New Roman"/>
          <w:b/>
          <w:bCs/>
        </w:rPr>
        <w:t>2)</w:t>
      </w:r>
      <w:r w:rsidRPr="007B1FD2">
        <w:rPr>
          <w:rFonts w:cs="Times New Roman"/>
        </w:rPr>
        <w:br/>
      </w:r>
    </w:p>
    <w:p w14:paraId="53ACAD97" w14:textId="77777777" w:rsidR="000E18E6" w:rsidRDefault="007B1FD2" w:rsidP="007B1FD2">
      <w:pPr>
        <w:spacing w:line="360" w:lineRule="auto"/>
        <w:rPr>
          <w:rFonts w:cs="Times New Roman"/>
        </w:rPr>
      </w:pPr>
      <w:r w:rsidRPr="007B1FD2">
        <w:rPr>
          <w:rFonts w:cs="Times New Roman"/>
        </w:rPr>
        <w:t xml:space="preserve">donde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oMath>
      <w:r w:rsidR="00B47B19">
        <w:rPr>
          <w:rFonts w:eastAsiaTheme="minorEastAsia" w:cs="Times New Roman"/>
        </w:rPr>
        <w:t xml:space="preserve"> </w:t>
      </w:r>
      <w:r w:rsidRPr="007B1FD2">
        <w:rPr>
          <w:rFonts w:cs="Times New Roman"/>
        </w:rPr>
        <w:t xml:space="preserve">es la media condicional (asumida nula en la especificación adoptada),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oMath>
      <w:r w:rsidR="0041767C">
        <w:rPr>
          <w:rFonts w:eastAsiaTheme="minorEastAsia" w:cs="Times New Roman"/>
        </w:rPr>
        <w:t xml:space="preserve"> </w:t>
      </w:r>
      <w:r w:rsidRPr="007B1FD2">
        <w:rPr>
          <w:rFonts w:cs="Times New Roman"/>
        </w:rPr>
        <w:t xml:space="preserve">corresponde a la volatilidad condicional estimada mediante el modelo GARCH(1,1), y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sub>
        </m:sSub>
      </m:oMath>
      <w:r w:rsidR="0041767C">
        <w:rPr>
          <w:rFonts w:eastAsiaTheme="minorEastAsia" w:cs="Times New Roman"/>
        </w:rPr>
        <w:t xml:space="preserve"> </w:t>
      </w:r>
      <w:r w:rsidRPr="007B1FD2">
        <w:rPr>
          <w:rFonts w:cs="Times New Roman"/>
        </w:rPr>
        <w:t xml:space="preserve">representa el cuantil </w:t>
      </w:r>
      <m:oMath>
        <m:r>
          <w:rPr>
            <w:rFonts w:ascii="Cambria Math" w:hAnsi="Cambria Math" w:cs="Times New Roman"/>
          </w:rPr>
          <m:t>α</m:t>
        </m:r>
      </m:oMath>
      <w:r w:rsidR="000E18E6">
        <w:rPr>
          <w:rFonts w:eastAsiaTheme="minorEastAsia" w:cs="Times New Roman"/>
        </w:rPr>
        <w:t xml:space="preserve"> </w:t>
      </w:r>
      <w:r w:rsidRPr="007B1FD2">
        <w:rPr>
          <w:rFonts w:cs="Times New Roman"/>
        </w:rPr>
        <w:t>de la distribución t-Student utilizada para modelar las innovaciones estandarizadas.</w:t>
      </w:r>
    </w:p>
    <w:p w14:paraId="228C6AA0" w14:textId="77777777" w:rsidR="007B1FD2" w:rsidRPr="007B1FD2" w:rsidRDefault="007B1FD2" w:rsidP="007B1FD2">
      <w:pPr>
        <w:spacing w:line="360" w:lineRule="auto"/>
        <w:rPr>
          <w:rFonts w:cs="Times New Roman"/>
        </w:rPr>
      </w:pPr>
      <w:r w:rsidRPr="007B1FD2">
        <w:rPr>
          <w:rFonts w:cs="Times New Roman"/>
          <w:b/>
          <w:bCs/>
        </w:rPr>
        <w:t xml:space="preserve">Dado que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sub>
        </m:sSub>
        <m:r>
          <w:rPr>
            <w:rFonts w:ascii="Cambria Math" w:hAnsi="Cambria Math" w:cs="Times New Roman"/>
          </w:rPr>
          <m:t>&lt;0</m:t>
        </m:r>
      </m:oMath>
      <w:r w:rsidRPr="007B1FD2">
        <w:rPr>
          <w:rFonts w:cs="Times New Roman"/>
          <w:b/>
          <w:bCs/>
        </w:rPr>
        <w:t>, el VaR se expresa inicialmente en términos de retornos; en la presentación de resultados se reporta como una pérdida positiva, tomando el valor absoluto de la expresión anterior.</w:t>
      </w:r>
    </w:p>
    <w:p w14:paraId="7FE33DC2" w14:textId="77777777" w:rsidR="007B1FD2" w:rsidRDefault="007B1FD2" w:rsidP="007B1FD2">
      <w:pPr>
        <w:spacing w:line="360" w:lineRule="auto"/>
        <w:rPr>
          <w:rFonts w:cs="Times New Roman"/>
        </w:rPr>
      </w:pPr>
      <w:r w:rsidRPr="007B1FD2">
        <w:rPr>
          <w:rFonts w:cs="Times New Roman"/>
        </w:rPr>
        <w:t xml:space="preserve">Dado que la volatilidad condicional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oMath>
      <w:r w:rsidR="00E67DA6">
        <w:rPr>
          <w:rFonts w:eastAsiaTheme="minorEastAsia" w:cs="Times New Roman"/>
        </w:rPr>
        <w:t xml:space="preserve"> </w:t>
      </w:r>
      <w:r w:rsidRPr="007B1FD2">
        <w:rPr>
          <w:rFonts w:cs="Times New Roman"/>
        </w:rPr>
        <w:t>varía en el tiempo, el VaR constituye una medida dinámica, capaz de adaptarse al régimen de riesgo vigente en cada período.</w:t>
      </w:r>
    </w:p>
    <w:p w14:paraId="4BC5402D" w14:textId="77777777" w:rsidR="003F00BE" w:rsidRPr="007B1FD2" w:rsidRDefault="003F00BE" w:rsidP="007B1FD2">
      <w:pPr>
        <w:spacing w:line="360" w:lineRule="auto"/>
        <w:rPr>
          <w:rFonts w:cs="Times New Roman"/>
        </w:rPr>
      </w:pPr>
      <w:r w:rsidRPr="003F00BE">
        <w:rPr>
          <w:rFonts w:cs="Times New Roman"/>
        </w:rPr>
        <w:t xml:space="preserve">Bajo la especificación adoptada, las innovaciones se modelan mediante una distribución t-Student estandarizada a varianza unitaria, de modo que los cuantiles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sub>
        </m:sSub>
      </m:oMath>
      <w:r w:rsidRPr="003F00BE">
        <w:rPr>
          <w:rFonts w:cs="Times New Roman"/>
        </w:rPr>
        <w:t>y las medidas de cola se calculan de forma coherente con la volatilidad condicional estimada.</w:t>
      </w:r>
    </w:p>
    <w:p w14:paraId="693BCC32" w14:textId="77777777" w:rsidR="007B1FD2" w:rsidRPr="007B1FD2" w:rsidRDefault="007B1FD2" w:rsidP="007B1FD2">
      <w:pPr>
        <w:spacing w:line="360" w:lineRule="auto"/>
        <w:rPr>
          <w:rFonts w:cs="Times New Roman"/>
        </w:rPr>
      </w:pPr>
      <w:r w:rsidRPr="007B1FD2">
        <w:rPr>
          <w:rFonts w:cs="Times New Roman"/>
        </w:rPr>
        <w:t>El Expected Shortfall (ES) complementa al VaR al capturar la severidad promedio de las pérdidas que exceden dicho umbral. Formalmente, el ES se define como la pérdida esperada condicional a que el retorno se ubique por debajo del cuantil asociado al VaR. A diferencia del VaR, el ES incorpora información sobre la cola completa de la distribución, lo que lo convierte en una medida coherente de riesgo y particularmente adecuada en presencia de colas pesadas.</w:t>
      </w:r>
    </w:p>
    <w:p w14:paraId="36158FCD" w14:textId="77777777" w:rsidR="007B1FD2" w:rsidRPr="007B1FD2" w:rsidRDefault="007B1FD2" w:rsidP="007B1FD2">
      <w:pPr>
        <w:spacing w:line="360" w:lineRule="auto"/>
        <w:rPr>
          <w:rFonts w:cs="Times New Roman"/>
        </w:rPr>
      </w:pPr>
      <w:r w:rsidRPr="007B1FD2">
        <w:rPr>
          <w:rFonts w:cs="Times New Roman"/>
        </w:rPr>
        <w:t xml:space="preserve">En este trabajo, ambas medidas se calculan de forma condicional y dinámica, utilizando la volatilidad estimada por el modelo GARCH(1,1) con innovaciones t-Student. Este </w:t>
      </w:r>
      <w:r w:rsidRPr="007B1FD2">
        <w:rPr>
          <w:rFonts w:cs="Times New Roman"/>
        </w:rPr>
        <w:lastRenderedPageBreak/>
        <w:t>enfoque permite capturar adecuadamente el riesgo de eventos extremos y evita la subestimación del riesgo de cola asociada al supuesto de normalidad.</w:t>
      </w:r>
    </w:p>
    <w:p w14:paraId="051BD419" w14:textId="5818AFE9" w:rsidR="007B1FD2" w:rsidRPr="009706C8" w:rsidRDefault="007B1FD2" w:rsidP="00E85DF5">
      <w:pPr>
        <w:spacing w:line="360" w:lineRule="auto"/>
        <w:rPr>
          <w:rFonts w:cs="Times New Roman"/>
        </w:rPr>
      </w:pPr>
      <w:r w:rsidRPr="007B1FD2">
        <w:rPr>
          <w:rFonts w:cs="Times New Roman"/>
        </w:rPr>
        <w:t>El nivel de confianza adoptado es del 95%</w:t>
      </w:r>
      <w:r w:rsidR="00905AA4">
        <w:rPr>
          <w:rFonts w:cs="Times New Roman"/>
        </w:rPr>
        <w:t xml:space="preserve"> </w:t>
      </w:r>
      <w:r w:rsidRPr="007B1FD2">
        <w:rPr>
          <w:rFonts w:cs="Times New Roman"/>
        </w:rPr>
        <w:t>con frecuencia mensual. Los valores reportados en las secciones siguientes se expresan como pérdidas positivas y corresponden al promedio temporal de los VaR y ES mensuales estimados a lo largo del período de análisis.</w:t>
      </w:r>
    </w:p>
    <w:p w14:paraId="17A482D9" w14:textId="77777777" w:rsidR="00894435" w:rsidRPr="009706C8" w:rsidRDefault="00894435" w:rsidP="00FD48AE">
      <w:pPr>
        <w:pStyle w:val="Ttulo2"/>
        <w:rPr>
          <w:rFonts w:cs="Times New Roman"/>
        </w:rPr>
      </w:pPr>
      <w:bookmarkStart w:id="91" w:name="_Toc223214797"/>
      <w:bookmarkStart w:id="92" w:name="X02d7bd877a13514d972fd6fb169c07910df2e70"/>
      <w:bookmarkEnd w:id="89"/>
      <w:r w:rsidRPr="009706C8">
        <w:rPr>
          <w:rFonts w:cs="Times New Roman"/>
        </w:rPr>
        <w:t>5.</w:t>
      </w:r>
      <w:r w:rsidR="009A2169">
        <w:rPr>
          <w:rFonts w:cs="Times New Roman"/>
        </w:rPr>
        <w:t>5</w:t>
      </w:r>
      <w:r w:rsidRPr="009706C8">
        <w:rPr>
          <w:rFonts w:cs="Times New Roman"/>
        </w:rPr>
        <w:t xml:space="preserve"> Resultados de Value at Risk y Expected Shortfall y comparación entre estrategias</w:t>
      </w:r>
      <w:bookmarkEnd w:id="91"/>
    </w:p>
    <w:p w14:paraId="1D3C886A" w14:textId="77777777" w:rsidR="00894435" w:rsidRPr="007610D0" w:rsidRDefault="00894435" w:rsidP="007610D0">
      <w:pPr>
        <w:spacing w:line="360" w:lineRule="auto"/>
        <w:rPr>
          <w:rFonts w:cs="Times New Roman"/>
        </w:rPr>
      </w:pPr>
      <w:r w:rsidRPr="007610D0">
        <w:rPr>
          <w:rFonts w:cs="Times New Roman"/>
        </w:rPr>
        <w:t xml:space="preserve">La </w:t>
      </w:r>
      <w:r w:rsidRPr="007610D0">
        <w:rPr>
          <w:rFonts w:cs="Times New Roman"/>
          <w:b/>
          <w:bCs/>
        </w:rPr>
        <w:t>Tabla 5.3</w:t>
      </w:r>
      <w:r w:rsidRPr="007610D0">
        <w:rPr>
          <w:rFonts w:cs="Times New Roman"/>
        </w:rPr>
        <w:t xml:space="preserve"> presenta los valores promedio del </w:t>
      </w:r>
      <w:r w:rsidRPr="007610D0">
        <w:rPr>
          <w:rFonts w:cs="Times New Roman"/>
          <w:b/>
          <w:bCs/>
        </w:rPr>
        <w:t>Value at Risk (VaR)</w:t>
      </w:r>
      <w:r w:rsidRPr="007610D0">
        <w:rPr>
          <w:rFonts w:cs="Times New Roman"/>
        </w:rPr>
        <w:t xml:space="preserve"> y del </w:t>
      </w:r>
      <w:r w:rsidRPr="007610D0">
        <w:rPr>
          <w:rFonts w:cs="Times New Roman"/>
          <w:b/>
          <w:bCs/>
        </w:rPr>
        <w:t>Expected Shortfall (ES)</w:t>
      </w:r>
      <w:r w:rsidRPr="007610D0">
        <w:rPr>
          <w:rFonts w:cs="Times New Roman"/>
        </w:rPr>
        <w:t xml:space="preserve"> condicionales al 95%, estimados mediante el modelo GARCH(1,1) con innovaciones t-Student, para el benchmark de mercado y las distintas estrategias de </w:t>
      </w:r>
      <w:r w:rsidRPr="007610D0">
        <w:rPr>
          <w:rFonts w:cs="Times New Roman"/>
          <w:i/>
          <w:iCs/>
        </w:rPr>
        <w:t>momentum</w:t>
      </w:r>
      <w:r w:rsidRPr="007610D0">
        <w:rPr>
          <w:rFonts w:cs="Times New Roman"/>
        </w:rPr>
        <w:t xml:space="preserve"> sectorial Long-Only. Los valores reportados corresponden al promedio temporal de las medidas de riesgo condicional estimadas mes a mes a lo largo del período de análisis.</w:t>
      </w:r>
    </w:p>
    <w:p w14:paraId="364A0C39" w14:textId="77777777" w:rsidR="00894435" w:rsidRPr="007610D0" w:rsidRDefault="00894435" w:rsidP="007610D0">
      <w:pPr>
        <w:spacing w:line="360" w:lineRule="auto"/>
        <w:rPr>
          <w:rFonts w:cs="Times New Roman"/>
          <w:i/>
          <w:iCs/>
        </w:rPr>
      </w:pPr>
      <w:r w:rsidRPr="007610D0">
        <w:rPr>
          <w:rFonts w:cs="Times New Roman"/>
          <w:b/>
          <w:bCs/>
        </w:rPr>
        <w:t>Tabla 5.3 – VaR y ES condicionales al 95% (promedios mensuales)</w:t>
      </w:r>
      <w:r w:rsidRPr="007610D0">
        <w:rPr>
          <w:rFonts w:cs="Times New Roman"/>
        </w:rPr>
        <w:br/>
      </w:r>
    </w:p>
    <w:tbl>
      <w:tblPr>
        <w:tblW w:w="5880" w:type="dxa"/>
        <w:jc w:val="center"/>
        <w:tblCellMar>
          <w:left w:w="70" w:type="dxa"/>
          <w:right w:w="70" w:type="dxa"/>
        </w:tblCellMar>
        <w:tblLook w:val="04A0" w:firstRow="1" w:lastRow="0" w:firstColumn="1" w:lastColumn="0" w:noHBand="0" w:noVBand="1"/>
      </w:tblPr>
      <w:tblGrid>
        <w:gridCol w:w="1053"/>
        <w:gridCol w:w="1206"/>
        <w:gridCol w:w="1207"/>
        <w:gridCol w:w="1207"/>
        <w:gridCol w:w="1207"/>
      </w:tblGrid>
      <w:tr w:rsidR="00CB6E14" w:rsidRPr="00CB6E14" w14:paraId="34BC3334" w14:textId="77777777" w:rsidTr="00CB6E14">
        <w:trPr>
          <w:trHeight w:val="900"/>
          <w:jc w:val="center"/>
        </w:trPr>
        <w:tc>
          <w:tcPr>
            <w:tcW w:w="1000" w:type="dxa"/>
            <w:tcBorders>
              <w:top w:val="single" w:sz="4" w:space="0" w:color="auto"/>
              <w:left w:val="single" w:sz="4" w:space="0" w:color="auto"/>
              <w:bottom w:val="single" w:sz="4" w:space="0" w:color="auto"/>
              <w:right w:val="single" w:sz="4" w:space="0" w:color="auto"/>
            </w:tcBorders>
            <w:vAlign w:val="center"/>
            <w:hideMark/>
          </w:tcPr>
          <w:p w14:paraId="51C3A5A5" w14:textId="77777777" w:rsidR="00CB6E14" w:rsidRPr="00CB6E14" w:rsidRDefault="00CB6E14" w:rsidP="00CB6E14">
            <w:pPr>
              <w:spacing w:line="240" w:lineRule="auto"/>
              <w:jc w:val="center"/>
              <w:rPr>
                <w:rFonts w:ascii="Calibri" w:eastAsia="Times New Roman" w:hAnsi="Calibri" w:cs="Calibri"/>
                <w:b/>
                <w:bCs/>
                <w:color w:val="000000"/>
                <w:kern w:val="0"/>
                <w:sz w:val="22"/>
                <w:szCs w:val="22"/>
                <w:lang w:eastAsia="es-AR"/>
                <w14:ligatures w14:val="none"/>
              </w:rPr>
            </w:pPr>
            <w:r w:rsidRPr="00CB6E14">
              <w:rPr>
                <w:rFonts w:ascii="Calibri" w:eastAsia="Times New Roman" w:hAnsi="Calibri" w:cs="Calibri"/>
                <w:b/>
                <w:bCs/>
                <w:color w:val="000000"/>
                <w:kern w:val="0"/>
                <w:sz w:val="22"/>
                <w:szCs w:val="22"/>
                <w:lang w:eastAsia="es-AR"/>
                <w14:ligatures w14:val="none"/>
              </w:rPr>
              <w:t>Estrategia</w:t>
            </w:r>
          </w:p>
        </w:tc>
        <w:tc>
          <w:tcPr>
            <w:tcW w:w="1220" w:type="dxa"/>
            <w:tcBorders>
              <w:top w:val="single" w:sz="4" w:space="0" w:color="auto"/>
              <w:left w:val="nil"/>
              <w:bottom w:val="single" w:sz="4" w:space="0" w:color="auto"/>
              <w:right w:val="single" w:sz="4" w:space="0" w:color="auto"/>
            </w:tcBorders>
            <w:vAlign w:val="center"/>
            <w:hideMark/>
          </w:tcPr>
          <w:p w14:paraId="59B69AF5" w14:textId="77777777" w:rsidR="00CB6E14" w:rsidRPr="00CB6E14" w:rsidRDefault="00CB6E14" w:rsidP="00CB6E14">
            <w:pPr>
              <w:spacing w:line="240" w:lineRule="auto"/>
              <w:jc w:val="center"/>
              <w:rPr>
                <w:rFonts w:ascii="Calibri" w:eastAsia="Times New Roman" w:hAnsi="Calibri" w:cs="Calibri"/>
                <w:b/>
                <w:bCs/>
                <w:color w:val="000000"/>
                <w:kern w:val="0"/>
                <w:sz w:val="22"/>
                <w:szCs w:val="22"/>
                <w:lang w:eastAsia="es-AR"/>
                <w14:ligatures w14:val="none"/>
              </w:rPr>
            </w:pPr>
            <w:r w:rsidRPr="00CB6E14">
              <w:rPr>
                <w:rFonts w:ascii="Calibri" w:eastAsia="Times New Roman" w:hAnsi="Calibri" w:cs="Calibri"/>
                <w:b/>
                <w:bCs/>
                <w:color w:val="000000"/>
                <w:kern w:val="0"/>
                <w:sz w:val="22"/>
                <w:szCs w:val="22"/>
                <w:lang w:eastAsia="es-AR"/>
                <w14:ligatures w14:val="none"/>
              </w:rPr>
              <w:t>Media sigma mensual</w:t>
            </w:r>
          </w:p>
        </w:tc>
        <w:tc>
          <w:tcPr>
            <w:tcW w:w="1220" w:type="dxa"/>
            <w:tcBorders>
              <w:top w:val="single" w:sz="4" w:space="0" w:color="auto"/>
              <w:left w:val="nil"/>
              <w:bottom w:val="single" w:sz="4" w:space="0" w:color="auto"/>
              <w:right w:val="single" w:sz="4" w:space="0" w:color="auto"/>
            </w:tcBorders>
            <w:vAlign w:val="center"/>
            <w:hideMark/>
          </w:tcPr>
          <w:p w14:paraId="4D63980C" w14:textId="77777777" w:rsidR="00CB6E14" w:rsidRPr="00CB6E14" w:rsidRDefault="00CB6E14" w:rsidP="00CB6E14">
            <w:pPr>
              <w:spacing w:line="240" w:lineRule="auto"/>
              <w:jc w:val="center"/>
              <w:rPr>
                <w:rFonts w:ascii="Calibri" w:eastAsia="Times New Roman" w:hAnsi="Calibri" w:cs="Calibri"/>
                <w:b/>
                <w:bCs/>
                <w:color w:val="000000"/>
                <w:kern w:val="0"/>
                <w:sz w:val="22"/>
                <w:szCs w:val="22"/>
                <w:lang w:eastAsia="es-AR"/>
                <w14:ligatures w14:val="none"/>
              </w:rPr>
            </w:pPr>
            <w:r w:rsidRPr="00CB6E14">
              <w:rPr>
                <w:rFonts w:ascii="Calibri" w:eastAsia="Times New Roman" w:hAnsi="Calibri" w:cs="Calibri"/>
                <w:b/>
                <w:bCs/>
                <w:color w:val="000000"/>
                <w:kern w:val="0"/>
                <w:sz w:val="22"/>
                <w:szCs w:val="22"/>
                <w:lang w:eastAsia="es-AR"/>
                <w14:ligatures w14:val="none"/>
              </w:rPr>
              <w:t>Media sigma anualizada</w:t>
            </w:r>
          </w:p>
        </w:tc>
        <w:tc>
          <w:tcPr>
            <w:tcW w:w="1220" w:type="dxa"/>
            <w:tcBorders>
              <w:top w:val="single" w:sz="4" w:space="0" w:color="auto"/>
              <w:left w:val="nil"/>
              <w:bottom w:val="single" w:sz="4" w:space="0" w:color="auto"/>
              <w:right w:val="single" w:sz="4" w:space="0" w:color="auto"/>
            </w:tcBorders>
            <w:vAlign w:val="center"/>
            <w:hideMark/>
          </w:tcPr>
          <w:p w14:paraId="00CCE58C" w14:textId="77777777" w:rsidR="00CB6E14" w:rsidRPr="00CB6E14" w:rsidRDefault="00CB6E14" w:rsidP="00CB6E14">
            <w:pPr>
              <w:spacing w:line="240" w:lineRule="auto"/>
              <w:jc w:val="center"/>
              <w:rPr>
                <w:rFonts w:ascii="Calibri" w:eastAsia="Times New Roman" w:hAnsi="Calibri" w:cs="Calibri"/>
                <w:b/>
                <w:bCs/>
                <w:color w:val="000000"/>
                <w:kern w:val="0"/>
                <w:sz w:val="22"/>
                <w:szCs w:val="22"/>
                <w:lang w:eastAsia="es-AR"/>
                <w14:ligatures w14:val="none"/>
              </w:rPr>
            </w:pPr>
            <w:r w:rsidRPr="00CB6E14">
              <w:rPr>
                <w:rFonts w:ascii="Calibri" w:eastAsia="Times New Roman" w:hAnsi="Calibri" w:cs="Calibri"/>
                <w:b/>
                <w:bCs/>
                <w:color w:val="000000"/>
                <w:kern w:val="0"/>
                <w:sz w:val="22"/>
                <w:szCs w:val="22"/>
                <w:lang w:eastAsia="es-AR"/>
                <w14:ligatures w14:val="none"/>
              </w:rPr>
              <w:t>VaR 95% (pérdida) - promedio</w:t>
            </w:r>
          </w:p>
        </w:tc>
        <w:tc>
          <w:tcPr>
            <w:tcW w:w="1220" w:type="dxa"/>
            <w:tcBorders>
              <w:top w:val="single" w:sz="4" w:space="0" w:color="auto"/>
              <w:left w:val="nil"/>
              <w:bottom w:val="single" w:sz="4" w:space="0" w:color="auto"/>
              <w:right w:val="single" w:sz="4" w:space="0" w:color="auto"/>
            </w:tcBorders>
            <w:vAlign w:val="center"/>
            <w:hideMark/>
          </w:tcPr>
          <w:p w14:paraId="4F8ECF86" w14:textId="77777777" w:rsidR="00CB6E14" w:rsidRPr="00CB6E14" w:rsidRDefault="00CB6E14" w:rsidP="00CB6E14">
            <w:pPr>
              <w:spacing w:line="240" w:lineRule="auto"/>
              <w:jc w:val="center"/>
              <w:rPr>
                <w:rFonts w:ascii="Calibri" w:eastAsia="Times New Roman" w:hAnsi="Calibri" w:cs="Calibri"/>
                <w:b/>
                <w:bCs/>
                <w:color w:val="000000"/>
                <w:kern w:val="0"/>
                <w:sz w:val="22"/>
                <w:szCs w:val="22"/>
                <w:lang w:eastAsia="es-AR"/>
                <w14:ligatures w14:val="none"/>
              </w:rPr>
            </w:pPr>
            <w:r w:rsidRPr="00CB6E14">
              <w:rPr>
                <w:rFonts w:ascii="Calibri" w:eastAsia="Times New Roman" w:hAnsi="Calibri" w:cs="Calibri"/>
                <w:b/>
                <w:bCs/>
                <w:color w:val="000000"/>
                <w:kern w:val="0"/>
                <w:sz w:val="22"/>
                <w:szCs w:val="22"/>
                <w:lang w:eastAsia="es-AR"/>
                <w14:ligatures w14:val="none"/>
              </w:rPr>
              <w:t>ES 95% (pérdida) - promedio</w:t>
            </w:r>
          </w:p>
        </w:tc>
      </w:tr>
      <w:tr w:rsidR="00CB6E14" w:rsidRPr="00CB6E14" w14:paraId="4FC67F5F" w14:textId="77777777" w:rsidTr="00CB6E14">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330529EF"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SPY</w:t>
            </w:r>
          </w:p>
        </w:tc>
        <w:tc>
          <w:tcPr>
            <w:tcW w:w="1220" w:type="dxa"/>
            <w:tcBorders>
              <w:top w:val="nil"/>
              <w:left w:val="nil"/>
              <w:bottom w:val="single" w:sz="4" w:space="0" w:color="auto"/>
              <w:right w:val="single" w:sz="4" w:space="0" w:color="auto"/>
            </w:tcBorders>
            <w:vAlign w:val="center"/>
            <w:hideMark/>
          </w:tcPr>
          <w:p w14:paraId="682679B5"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0,04246726</w:t>
            </w:r>
          </w:p>
        </w:tc>
        <w:tc>
          <w:tcPr>
            <w:tcW w:w="1220" w:type="dxa"/>
            <w:tcBorders>
              <w:top w:val="nil"/>
              <w:left w:val="nil"/>
              <w:bottom w:val="single" w:sz="4" w:space="0" w:color="auto"/>
              <w:right w:val="single" w:sz="4" w:space="0" w:color="auto"/>
            </w:tcBorders>
            <w:vAlign w:val="center"/>
            <w:hideMark/>
          </w:tcPr>
          <w:p w14:paraId="27180453"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0,14711089</w:t>
            </w:r>
          </w:p>
        </w:tc>
        <w:tc>
          <w:tcPr>
            <w:tcW w:w="1220" w:type="dxa"/>
            <w:tcBorders>
              <w:top w:val="nil"/>
              <w:left w:val="nil"/>
              <w:bottom w:val="single" w:sz="4" w:space="0" w:color="auto"/>
              <w:right w:val="single" w:sz="4" w:space="0" w:color="auto"/>
            </w:tcBorders>
            <w:vAlign w:val="center"/>
            <w:hideMark/>
          </w:tcPr>
          <w:p w14:paraId="5F6AA962"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0,06982248</w:t>
            </w:r>
          </w:p>
        </w:tc>
        <w:tc>
          <w:tcPr>
            <w:tcW w:w="1220" w:type="dxa"/>
            <w:tcBorders>
              <w:top w:val="nil"/>
              <w:left w:val="nil"/>
              <w:bottom w:val="single" w:sz="4" w:space="0" w:color="auto"/>
              <w:right w:val="single" w:sz="4" w:space="0" w:color="auto"/>
            </w:tcBorders>
            <w:vAlign w:val="center"/>
            <w:hideMark/>
          </w:tcPr>
          <w:p w14:paraId="19F10E83"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0,08780689</w:t>
            </w:r>
          </w:p>
        </w:tc>
      </w:tr>
      <w:tr w:rsidR="00CB6E14" w:rsidRPr="00CB6E14" w14:paraId="24037682" w14:textId="77777777" w:rsidTr="00CB6E14">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0D1139CE"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LO_3</w:t>
            </w:r>
          </w:p>
        </w:tc>
        <w:tc>
          <w:tcPr>
            <w:tcW w:w="1220" w:type="dxa"/>
            <w:tcBorders>
              <w:top w:val="nil"/>
              <w:left w:val="nil"/>
              <w:bottom w:val="single" w:sz="4" w:space="0" w:color="auto"/>
              <w:right w:val="single" w:sz="4" w:space="0" w:color="auto"/>
            </w:tcBorders>
            <w:vAlign w:val="center"/>
            <w:hideMark/>
          </w:tcPr>
          <w:p w14:paraId="68E34297"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0,04323124</w:t>
            </w:r>
          </w:p>
        </w:tc>
        <w:tc>
          <w:tcPr>
            <w:tcW w:w="1220" w:type="dxa"/>
            <w:tcBorders>
              <w:top w:val="nil"/>
              <w:left w:val="nil"/>
              <w:bottom w:val="single" w:sz="4" w:space="0" w:color="auto"/>
              <w:right w:val="single" w:sz="4" w:space="0" w:color="auto"/>
            </w:tcBorders>
            <w:vAlign w:val="center"/>
            <w:hideMark/>
          </w:tcPr>
          <w:p w14:paraId="717E81E1"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0,14975741</w:t>
            </w:r>
          </w:p>
        </w:tc>
        <w:tc>
          <w:tcPr>
            <w:tcW w:w="1220" w:type="dxa"/>
            <w:tcBorders>
              <w:top w:val="nil"/>
              <w:left w:val="nil"/>
              <w:bottom w:val="single" w:sz="4" w:space="0" w:color="auto"/>
              <w:right w:val="single" w:sz="4" w:space="0" w:color="auto"/>
            </w:tcBorders>
            <w:vAlign w:val="center"/>
            <w:hideMark/>
          </w:tcPr>
          <w:p w14:paraId="1D498B94"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0,07071426</w:t>
            </w:r>
          </w:p>
        </w:tc>
        <w:tc>
          <w:tcPr>
            <w:tcW w:w="1220" w:type="dxa"/>
            <w:tcBorders>
              <w:top w:val="nil"/>
              <w:left w:val="nil"/>
              <w:bottom w:val="single" w:sz="4" w:space="0" w:color="auto"/>
              <w:right w:val="single" w:sz="4" w:space="0" w:color="auto"/>
            </w:tcBorders>
            <w:vAlign w:val="center"/>
            <w:hideMark/>
          </w:tcPr>
          <w:p w14:paraId="297C638A"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0,09120682</w:t>
            </w:r>
          </w:p>
        </w:tc>
      </w:tr>
      <w:tr w:rsidR="00CB6E14" w:rsidRPr="00CB6E14" w14:paraId="1688ED1C" w14:textId="77777777" w:rsidTr="00CB6E14">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33E616BE"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LO_6</w:t>
            </w:r>
          </w:p>
        </w:tc>
        <w:tc>
          <w:tcPr>
            <w:tcW w:w="1220" w:type="dxa"/>
            <w:tcBorders>
              <w:top w:val="nil"/>
              <w:left w:val="nil"/>
              <w:bottom w:val="single" w:sz="4" w:space="0" w:color="auto"/>
              <w:right w:val="single" w:sz="4" w:space="0" w:color="auto"/>
            </w:tcBorders>
            <w:vAlign w:val="center"/>
            <w:hideMark/>
          </w:tcPr>
          <w:p w14:paraId="1D0355BC"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0,04152506</w:t>
            </w:r>
          </w:p>
        </w:tc>
        <w:tc>
          <w:tcPr>
            <w:tcW w:w="1220" w:type="dxa"/>
            <w:tcBorders>
              <w:top w:val="nil"/>
              <w:left w:val="nil"/>
              <w:bottom w:val="single" w:sz="4" w:space="0" w:color="auto"/>
              <w:right w:val="single" w:sz="4" w:space="0" w:color="auto"/>
            </w:tcBorders>
            <w:vAlign w:val="center"/>
            <w:hideMark/>
          </w:tcPr>
          <w:p w14:paraId="23FCD78E"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0,14384704</w:t>
            </w:r>
          </w:p>
        </w:tc>
        <w:tc>
          <w:tcPr>
            <w:tcW w:w="1220" w:type="dxa"/>
            <w:tcBorders>
              <w:top w:val="nil"/>
              <w:left w:val="nil"/>
              <w:bottom w:val="single" w:sz="4" w:space="0" w:color="auto"/>
              <w:right w:val="single" w:sz="4" w:space="0" w:color="auto"/>
            </w:tcBorders>
            <w:vAlign w:val="center"/>
            <w:hideMark/>
          </w:tcPr>
          <w:p w14:paraId="35E6164A"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0,06828356</w:t>
            </w:r>
          </w:p>
        </w:tc>
        <w:tc>
          <w:tcPr>
            <w:tcW w:w="1220" w:type="dxa"/>
            <w:tcBorders>
              <w:top w:val="nil"/>
              <w:left w:val="nil"/>
              <w:bottom w:val="single" w:sz="4" w:space="0" w:color="auto"/>
              <w:right w:val="single" w:sz="4" w:space="0" w:color="auto"/>
            </w:tcBorders>
            <w:vAlign w:val="center"/>
            <w:hideMark/>
          </w:tcPr>
          <w:p w14:paraId="56F1D518"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0,0857894</w:t>
            </w:r>
          </w:p>
        </w:tc>
      </w:tr>
      <w:tr w:rsidR="00CB6E14" w:rsidRPr="00CB6E14" w14:paraId="5B02D5E1" w14:textId="77777777" w:rsidTr="00CB6E14">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1DFD1A86"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LO_12</w:t>
            </w:r>
          </w:p>
        </w:tc>
        <w:tc>
          <w:tcPr>
            <w:tcW w:w="1220" w:type="dxa"/>
            <w:tcBorders>
              <w:top w:val="nil"/>
              <w:left w:val="nil"/>
              <w:bottom w:val="single" w:sz="4" w:space="0" w:color="auto"/>
              <w:right w:val="single" w:sz="4" w:space="0" w:color="auto"/>
            </w:tcBorders>
            <w:vAlign w:val="center"/>
            <w:hideMark/>
          </w:tcPr>
          <w:p w14:paraId="11EF47DF"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0,04171672</w:t>
            </w:r>
          </w:p>
        </w:tc>
        <w:tc>
          <w:tcPr>
            <w:tcW w:w="1220" w:type="dxa"/>
            <w:tcBorders>
              <w:top w:val="nil"/>
              <w:left w:val="nil"/>
              <w:bottom w:val="single" w:sz="4" w:space="0" w:color="auto"/>
              <w:right w:val="single" w:sz="4" w:space="0" w:color="auto"/>
            </w:tcBorders>
            <w:vAlign w:val="center"/>
            <w:hideMark/>
          </w:tcPr>
          <w:p w14:paraId="23A4EA8A"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0,14451095</w:t>
            </w:r>
          </w:p>
        </w:tc>
        <w:tc>
          <w:tcPr>
            <w:tcW w:w="1220" w:type="dxa"/>
            <w:tcBorders>
              <w:top w:val="nil"/>
              <w:left w:val="nil"/>
              <w:bottom w:val="single" w:sz="4" w:space="0" w:color="auto"/>
              <w:right w:val="single" w:sz="4" w:space="0" w:color="auto"/>
            </w:tcBorders>
            <w:vAlign w:val="center"/>
            <w:hideMark/>
          </w:tcPr>
          <w:p w14:paraId="08C67046"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0,0685566</w:t>
            </w:r>
          </w:p>
        </w:tc>
        <w:tc>
          <w:tcPr>
            <w:tcW w:w="1220" w:type="dxa"/>
            <w:tcBorders>
              <w:top w:val="nil"/>
              <w:left w:val="nil"/>
              <w:bottom w:val="single" w:sz="4" w:space="0" w:color="auto"/>
              <w:right w:val="single" w:sz="4" w:space="0" w:color="auto"/>
            </w:tcBorders>
            <w:vAlign w:val="center"/>
            <w:hideMark/>
          </w:tcPr>
          <w:p w14:paraId="3FCDF37D" w14:textId="77777777" w:rsidR="00CB6E14" w:rsidRPr="00CB6E14" w:rsidRDefault="00CB6E14" w:rsidP="00CB6E14">
            <w:pPr>
              <w:spacing w:line="240" w:lineRule="auto"/>
              <w:jc w:val="center"/>
              <w:rPr>
                <w:rFonts w:ascii="Calibri" w:eastAsia="Times New Roman" w:hAnsi="Calibri" w:cs="Calibri"/>
                <w:color w:val="000000"/>
                <w:kern w:val="0"/>
                <w:sz w:val="22"/>
                <w:szCs w:val="22"/>
                <w:lang w:eastAsia="es-AR"/>
                <w14:ligatures w14:val="none"/>
              </w:rPr>
            </w:pPr>
            <w:r w:rsidRPr="00CB6E14">
              <w:rPr>
                <w:rFonts w:ascii="Calibri" w:eastAsia="Times New Roman" w:hAnsi="Calibri" w:cs="Calibri"/>
                <w:color w:val="000000"/>
                <w:kern w:val="0"/>
                <w:sz w:val="22"/>
                <w:szCs w:val="22"/>
                <w:lang w:eastAsia="es-AR"/>
                <w14:ligatures w14:val="none"/>
              </w:rPr>
              <w:t>0,08646168</w:t>
            </w:r>
          </w:p>
        </w:tc>
      </w:tr>
    </w:tbl>
    <w:p w14:paraId="5E0D926A" w14:textId="77777777" w:rsidR="00894435" w:rsidRPr="007610D0" w:rsidRDefault="00894435" w:rsidP="007610D0">
      <w:pPr>
        <w:spacing w:line="360" w:lineRule="auto"/>
        <w:rPr>
          <w:rFonts w:cs="Times New Roman"/>
        </w:rPr>
      </w:pPr>
    </w:p>
    <w:p w14:paraId="49B6E79D" w14:textId="77777777" w:rsidR="000C0F95" w:rsidRDefault="000C0F95" w:rsidP="007610D0">
      <w:pPr>
        <w:spacing w:line="360" w:lineRule="auto"/>
        <w:rPr>
          <w:rFonts w:cs="Times New Roman"/>
        </w:rPr>
      </w:pPr>
      <w:r w:rsidRPr="000C0F95">
        <w:rPr>
          <w:rFonts w:cs="Times New Roman"/>
        </w:rPr>
        <w:t xml:space="preserve">Los resultados permiten comparar el perfil de riesgo extremo entre estrategias a partir de medidas dinámicas de VaR y ES estimadas mes a mes mediante el modelo GARCH(1,1). Con el objetivo de sintetizar dicha información y facilitar la comparación relativa, la </w:t>
      </w:r>
      <w:r w:rsidRPr="00646ABF">
        <w:rPr>
          <w:rFonts w:cs="Times New Roman"/>
          <w:b/>
          <w:bCs/>
        </w:rPr>
        <w:t xml:space="preserve">Tabla 5.3 </w:t>
      </w:r>
      <w:r w:rsidRPr="000C0F95">
        <w:rPr>
          <w:rFonts w:cs="Times New Roman"/>
        </w:rPr>
        <w:t>reporta el promedio temporal de estas medidas a lo largo del período de análisis. En este sentido, los valores presentados no representan niveles de riesgo constantes, sino un resumen del comportamiento típico del riesgo extremo condicional bajo distintos horizontes de formación.</w:t>
      </w:r>
    </w:p>
    <w:p w14:paraId="08E05C96" w14:textId="77777777" w:rsidR="000C0F95" w:rsidRDefault="000C0F95" w:rsidP="007610D0">
      <w:pPr>
        <w:spacing w:line="360" w:lineRule="auto"/>
        <w:rPr>
          <w:rFonts w:cs="Times New Roman"/>
        </w:rPr>
      </w:pPr>
      <w:r w:rsidRPr="000C0F95">
        <w:rPr>
          <w:rFonts w:cs="Times New Roman"/>
        </w:rPr>
        <w:t xml:space="preserve">En particular, la estrategia LO_3 presenta valores promedio de VaR y ES levemente superiores en comparación con las demás estrategias consideradas, en línea con la mayor volatilidad condicional estimada previamente. Por su parte, las estrategias con horizontes </w:t>
      </w:r>
      <w:r w:rsidRPr="000C0F95">
        <w:rPr>
          <w:rFonts w:cs="Times New Roman"/>
        </w:rPr>
        <w:lastRenderedPageBreak/>
        <w:t>de formación más largos exhiben perfiles de riesgo extremo promedio relativamente más contenidos, lo que sugiere una mayor estabilidad en la dinámica de la volatilidad.</w:t>
      </w:r>
    </w:p>
    <w:p w14:paraId="224CA536" w14:textId="77777777" w:rsidR="00E50683" w:rsidRDefault="00E50683" w:rsidP="00E85DF5">
      <w:pPr>
        <w:spacing w:line="360" w:lineRule="auto"/>
        <w:rPr>
          <w:rFonts w:cs="Times New Roman"/>
        </w:rPr>
      </w:pPr>
      <w:r w:rsidRPr="00E50683">
        <w:rPr>
          <w:rFonts w:cs="Times New Roman"/>
        </w:rPr>
        <w:t xml:space="preserve">Dada la frecuencia mensual de los datos y el objetivo del análisis, </w:t>
      </w:r>
      <w:r w:rsidR="006078E1" w:rsidRPr="006078E1">
        <w:rPr>
          <w:rFonts w:cs="Times New Roman"/>
        </w:rPr>
        <w:t>No se realiza backtesting formal para el VaR condicional; sin embargo, se incluye en el Anexo B una verificación complementaria (Kupiec) para el VaR histórico rolling como referencia descriptiva.</w:t>
      </w:r>
      <w:r w:rsidRPr="00E50683">
        <w:rPr>
          <w:rFonts w:cs="Times New Roman"/>
        </w:rPr>
        <w:t>. En este trabajo, el énfasis se coloca en la comparación relativa del riesgo extremo entre estrategias, para lo cual las métricas reportadas de VaR y Expected Shortfall resultan informativas y metodológicamente adecuadas.</w:t>
      </w:r>
    </w:p>
    <w:p w14:paraId="716ABD5D" w14:textId="79E68710" w:rsidR="000C0F95" w:rsidRDefault="000C0F95" w:rsidP="00E85DF5">
      <w:pPr>
        <w:spacing w:line="360" w:lineRule="auto"/>
        <w:rPr>
          <w:rFonts w:cs="Times New Roman"/>
        </w:rPr>
      </w:pPr>
      <w:r w:rsidRPr="000C0F95">
        <w:rPr>
          <w:rFonts w:cs="Times New Roman"/>
        </w:rPr>
        <w:t xml:space="preserve">En conjunto, los resultados sugieren que las estrategias de momentum sectorial no presentan diferencias sustanciales en términos de riesgo extremo promedio respecto del benchmark de mercado, aunque sí exhiben heterogeneidad en función del horizonte de formación. Estas diferencias resultan relevantes desde una perspectiva de gestión de riesgo, aun cuando no impliquen mejoras sistemáticas en términos de </w:t>
      </w:r>
      <w:r w:rsidR="00641621">
        <w:rPr>
          <w:rFonts w:cs="Times New Roman"/>
        </w:rPr>
        <w:t>desempeño</w:t>
      </w:r>
      <w:r w:rsidRPr="000C0F95">
        <w:rPr>
          <w:rFonts w:cs="Times New Roman"/>
        </w:rPr>
        <w:t xml:space="preserve"> ajustados por riesgo.</w:t>
      </w:r>
    </w:p>
    <w:p w14:paraId="26EF9432" w14:textId="0BDEBF82" w:rsidR="00894435" w:rsidRPr="009706C8" w:rsidRDefault="00894435">
      <w:pPr>
        <w:pStyle w:val="Ttulo2"/>
        <w:rPr>
          <w:rFonts w:cs="Times New Roman"/>
        </w:rPr>
      </w:pPr>
      <w:bookmarkStart w:id="93" w:name="_Toc223214798"/>
      <w:bookmarkStart w:id="94" w:name="Xc440332cd51f678941cd84fc8cb6239763aa76e"/>
      <w:bookmarkEnd w:id="92"/>
      <w:r w:rsidRPr="009706C8">
        <w:rPr>
          <w:rFonts w:cs="Times New Roman"/>
        </w:rPr>
        <w:t>5.</w:t>
      </w:r>
      <w:r w:rsidR="009A2169">
        <w:rPr>
          <w:rFonts w:cs="Times New Roman"/>
        </w:rPr>
        <w:t>6</w:t>
      </w:r>
      <w:r w:rsidRPr="009706C8">
        <w:rPr>
          <w:rFonts w:cs="Times New Roman"/>
        </w:rPr>
        <w:t xml:space="preserve"> Síntesis del capítulo</w:t>
      </w:r>
      <w:bookmarkEnd w:id="93"/>
    </w:p>
    <w:bookmarkEnd w:id="79"/>
    <w:bookmarkEnd w:id="94"/>
    <w:p w14:paraId="5014FBEF" w14:textId="77777777" w:rsidR="00981581" w:rsidRPr="00981581" w:rsidRDefault="00981581" w:rsidP="00981581">
      <w:pPr>
        <w:pStyle w:val="Textoindependiente"/>
        <w:spacing w:line="360" w:lineRule="auto"/>
        <w:rPr>
          <w:rFonts w:cs="Times New Roman"/>
          <w:lang w:val="es-AR"/>
        </w:rPr>
      </w:pPr>
      <w:r w:rsidRPr="00981581">
        <w:rPr>
          <w:rFonts w:cs="Times New Roman"/>
          <w:lang w:val="es-AR"/>
        </w:rPr>
        <w:t xml:space="preserve">En este capítulo se analizó el riesgo de las estrategias de </w:t>
      </w:r>
      <w:r w:rsidRPr="00981581">
        <w:rPr>
          <w:rFonts w:cs="Times New Roman"/>
          <w:i/>
          <w:iCs/>
          <w:lang w:val="es-AR"/>
        </w:rPr>
        <w:t>momentum</w:t>
      </w:r>
      <w:r w:rsidRPr="00981581">
        <w:rPr>
          <w:rFonts w:cs="Times New Roman"/>
          <w:lang w:val="es-AR"/>
        </w:rPr>
        <w:t xml:space="preserve"> sectorial desde una perspectiva dinámica, incorporando la modelización de la volatilidad condicional mediante modelos GARCH y la medición del riesgo extremo a través de las métricas de Value at Risk y Expected Shortfall condicionales.</w:t>
      </w:r>
    </w:p>
    <w:p w14:paraId="5011DB63" w14:textId="77777777" w:rsidR="00981581" w:rsidRDefault="00981581" w:rsidP="00981581">
      <w:pPr>
        <w:pStyle w:val="Textoindependiente"/>
        <w:spacing w:line="360" w:lineRule="auto"/>
        <w:rPr>
          <w:rFonts w:cs="Times New Roman"/>
          <w:lang w:val="es-AR"/>
        </w:rPr>
      </w:pPr>
      <w:r w:rsidRPr="00981581">
        <w:rPr>
          <w:rFonts w:cs="Times New Roman"/>
          <w:lang w:val="es-AR"/>
        </w:rPr>
        <w:t>Los resultados obtenidos evidencian una elevada persistencia en la volatilidad y una dinámica temporal del riesgo coherente con la presencia de episodios de mayor incertidumbre, reflejados en el comportamiento de la volatilidad condicional y en la evolución de las medidas de riesgo extremo. En este sentido, el uso conjunto de volatilidad condicional, VaR y ES permite caracterizar de forma más completa el perfil de pérdidas potenciales de las estrategias analizadas, superando las limitaciones de enfoques basados exclusivamente en medidas estáticas de riesgo.</w:t>
      </w:r>
    </w:p>
    <w:p w14:paraId="11F456CF" w14:textId="77777777" w:rsidR="0029754F" w:rsidRPr="009706C8" w:rsidRDefault="0029754F" w:rsidP="0029754F">
      <w:pPr>
        <w:pStyle w:val="Ttulo1"/>
        <w:rPr>
          <w:rFonts w:cs="Times New Roman"/>
        </w:rPr>
      </w:pPr>
      <w:bookmarkStart w:id="95" w:name="_Toc223214799"/>
      <w:r w:rsidRPr="009706C8">
        <w:rPr>
          <w:rFonts w:cs="Times New Roman"/>
        </w:rPr>
        <w:t>Bibliografía</w:t>
      </w:r>
      <w:bookmarkEnd w:id="95"/>
    </w:p>
    <w:p w14:paraId="65B2FD26" w14:textId="34F15205" w:rsidR="0029754F" w:rsidRPr="009706C8" w:rsidRDefault="0029754F" w:rsidP="0029754F">
      <w:pPr>
        <w:pStyle w:val="FirstParagraph"/>
        <w:rPr>
          <w:rFonts w:cs="Times New Roman"/>
          <w:lang w:val="es-AR"/>
        </w:rPr>
      </w:pPr>
      <w:r w:rsidRPr="009706C8">
        <w:rPr>
          <w:rFonts w:cs="Times New Roman"/>
          <w:lang w:val="es-AR"/>
        </w:rPr>
        <w:t>A continuación se presenta la bibliografía utilizada en el desarrollo del presente trabajo, compuesta exclusivamente por libros y artículos académicos publicados en revistas especializadas y editoriales reconocidas.</w:t>
      </w:r>
    </w:p>
    <w:p w14:paraId="1EA67C58" w14:textId="77777777" w:rsidR="0029754F" w:rsidRPr="009706C8" w:rsidRDefault="0029754F" w:rsidP="0029754F">
      <w:pPr>
        <w:rPr>
          <w:rFonts w:cs="Times New Roman"/>
        </w:rPr>
      </w:pPr>
    </w:p>
    <w:p w14:paraId="73FD0A57" w14:textId="77777777" w:rsidR="0029754F" w:rsidRPr="009706C8" w:rsidRDefault="0029754F" w:rsidP="0029754F">
      <w:pPr>
        <w:pStyle w:val="FirstParagraph"/>
        <w:rPr>
          <w:rFonts w:cs="Times New Roman"/>
        </w:rPr>
      </w:pPr>
      <w:r w:rsidRPr="009706C8">
        <w:rPr>
          <w:rFonts w:cs="Times New Roman"/>
        </w:rPr>
        <w:lastRenderedPageBreak/>
        <w:t xml:space="preserve">Black, F. (1972). Capital market equilibrium with restricted borrowing. </w:t>
      </w:r>
      <w:r w:rsidRPr="009706C8">
        <w:rPr>
          <w:rFonts w:cs="Times New Roman"/>
          <w:i/>
          <w:iCs/>
        </w:rPr>
        <w:t>Journal of Business</w:t>
      </w:r>
      <w:r w:rsidRPr="009706C8">
        <w:rPr>
          <w:rFonts w:cs="Times New Roman"/>
        </w:rPr>
        <w:t>, 45(3), 444–455.</w:t>
      </w:r>
    </w:p>
    <w:p w14:paraId="4D82ABA8" w14:textId="77777777" w:rsidR="0029754F" w:rsidRPr="009706C8" w:rsidRDefault="0029754F" w:rsidP="0029754F">
      <w:pPr>
        <w:pStyle w:val="Textoindependiente"/>
        <w:rPr>
          <w:rFonts w:cs="Times New Roman"/>
        </w:rPr>
      </w:pPr>
      <w:r w:rsidRPr="009706C8">
        <w:rPr>
          <w:rFonts w:cs="Times New Roman"/>
        </w:rPr>
        <w:t xml:space="preserve">Bollerslev, T. (1986). Generalized autoregressive conditional heteroskedasticity. </w:t>
      </w:r>
      <w:r w:rsidRPr="009706C8">
        <w:rPr>
          <w:rFonts w:cs="Times New Roman"/>
          <w:i/>
          <w:iCs/>
        </w:rPr>
        <w:t>Journal of Econometrics</w:t>
      </w:r>
      <w:r w:rsidRPr="009706C8">
        <w:rPr>
          <w:rFonts w:cs="Times New Roman"/>
        </w:rPr>
        <w:t>, 31(3), 307–327.</w:t>
      </w:r>
    </w:p>
    <w:p w14:paraId="29003635" w14:textId="77777777" w:rsidR="0029754F" w:rsidRPr="009706C8" w:rsidRDefault="0029754F" w:rsidP="0029754F">
      <w:pPr>
        <w:pStyle w:val="Textoindependiente"/>
        <w:rPr>
          <w:rFonts w:cs="Times New Roman"/>
        </w:rPr>
      </w:pPr>
      <w:r w:rsidRPr="009706C8">
        <w:rPr>
          <w:rFonts w:cs="Times New Roman"/>
        </w:rPr>
        <w:t xml:space="preserve">Campbell, J. Y., Lo, A. W., &amp; MacKinlay, A. C. (1997). </w:t>
      </w:r>
      <w:r w:rsidRPr="009706C8">
        <w:rPr>
          <w:rFonts w:cs="Times New Roman"/>
          <w:i/>
          <w:iCs/>
        </w:rPr>
        <w:t>The econometrics of financial markets</w:t>
      </w:r>
      <w:r w:rsidRPr="009706C8">
        <w:rPr>
          <w:rFonts w:cs="Times New Roman"/>
        </w:rPr>
        <w:t>. Princeton University Press.</w:t>
      </w:r>
    </w:p>
    <w:p w14:paraId="082C517F" w14:textId="77777777" w:rsidR="0029754F" w:rsidRPr="009706C8" w:rsidRDefault="0029754F" w:rsidP="0029754F">
      <w:pPr>
        <w:pStyle w:val="Textoindependiente"/>
        <w:rPr>
          <w:rFonts w:cs="Times New Roman"/>
        </w:rPr>
      </w:pPr>
      <w:r w:rsidRPr="009706C8">
        <w:rPr>
          <w:rFonts w:cs="Times New Roman"/>
        </w:rPr>
        <w:t xml:space="preserve">Carhart, M. M. (1997). On persistence in mutual fund performance. </w:t>
      </w:r>
      <w:r w:rsidRPr="009706C8">
        <w:rPr>
          <w:rFonts w:cs="Times New Roman"/>
          <w:i/>
          <w:iCs/>
        </w:rPr>
        <w:t>Journal of Finance</w:t>
      </w:r>
      <w:r w:rsidRPr="009706C8">
        <w:rPr>
          <w:rFonts w:cs="Times New Roman"/>
        </w:rPr>
        <w:t>, 52(1), 57–82.</w:t>
      </w:r>
    </w:p>
    <w:p w14:paraId="273F1821" w14:textId="77777777" w:rsidR="0029754F" w:rsidRPr="009706C8" w:rsidRDefault="0029754F" w:rsidP="0029754F">
      <w:pPr>
        <w:pStyle w:val="Textoindependiente"/>
        <w:rPr>
          <w:rFonts w:cs="Times New Roman"/>
        </w:rPr>
      </w:pPr>
      <w:r w:rsidRPr="009706C8">
        <w:rPr>
          <w:rFonts w:cs="Times New Roman"/>
        </w:rPr>
        <w:t xml:space="preserve">Engle, R. F. (1982). Autoregressive conditional heteroskedasticity with estimates of the variance of United Kingdom inflation. </w:t>
      </w:r>
      <w:r w:rsidRPr="009706C8">
        <w:rPr>
          <w:rFonts w:cs="Times New Roman"/>
          <w:i/>
          <w:iCs/>
        </w:rPr>
        <w:t>Econometrica</w:t>
      </w:r>
      <w:r w:rsidRPr="009706C8">
        <w:rPr>
          <w:rFonts w:cs="Times New Roman"/>
        </w:rPr>
        <w:t>, 50(4), 987–1007.</w:t>
      </w:r>
    </w:p>
    <w:p w14:paraId="3A8D7D29" w14:textId="77777777" w:rsidR="0029754F" w:rsidRPr="009706C8" w:rsidRDefault="0029754F" w:rsidP="0029754F">
      <w:pPr>
        <w:pStyle w:val="Textoindependiente"/>
        <w:rPr>
          <w:rFonts w:cs="Times New Roman"/>
        </w:rPr>
      </w:pPr>
      <w:r w:rsidRPr="009706C8">
        <w:rPr>
          <w:rFonts w:cs="Times New Roman"/>
        </w:rPr>
        <w:t xml:space="preserve">Fama, E. F. (1970). Efficient capital markets: A review of theory and empirical work. </w:t>
      </w:r>
      <w:r w:rsidRPr="009706C8">
        <w:rPr>
          <w:rFonts w:cs="Times New Roman"/>
          <w:i/>
          <w:iCs/>
        </w:rPr>
        <w:t>Journal of Finance</w:t>
      </w:r>
      <w:r w:rsidRPr="009706C8">
        <w:rPr>
          <w:rFonts w:cs="Times New Roman"/>
        </w:rPr>
        <w:t>, 25(2), 383–417.</w:t>
      </w:r>
    </w:p>
    <w:p w14:paraId="61075932" w14:textId="77777777" w:rsidR="0029754F" w:rsidRPr="009706C8" w:rsidRDefault="0029754F" w:rsidP="0029754F">
      <w:pPr>
        <w:pStyle w:val="Textoindependiente"/>
        <w:rPr>
          <w:rFonts w:cs="Times New Roman"/>
        </w:rPr>
      </w:pPr>
      <w:r w:rsidRPr="009706C8">
        <w:rPr>
          <w:rFonts w:cs="Times New Roman"/>
        </w:rPr>
        <w:t xml:space="preserve">Fama, E. F., &amp; French, K. R. (1993). Common risk factors in the returns on stocks and bonds. </w:t>
      </w:r>
      <w:r w:rsidRPr="009706C8">
        <w:rPr>
          <w:rFonts w:cs="Times New Roman"/>
          <w:i/>
          <w:iCs/>
        </w:rPr>
        <w:t>Journal of Financial Economics</w:t>
      </w:r>
      <w:r w:rsidRPr="009706C8">
        <w:rPr>
          <w:rFonts w:cs="Times New Roman"/>
        </w:rPr>
        <w:t>, 33(1), 3–56.</w:t>
      </w:r>
    </w:p>
    <w:p w14:paraId="71F5C20E" w14:textId="77777777" w:rsidR="0029754F" w:rsidRPr="009706C8" w:rsidRDefault="0029754F" w:rsidP="0029754F">
      <w:pPr>
        <w:pStyle w:val="Textoindependiente"/>
        <w:rPr>
          <w:rFonts w:cs="Times New Roman"/>
        </w:rPr>
      </w:pPr>
      <w:r w:rsidRPr="009706C8">
        <w:rPr>
          <w:rFonts w:cs="Times New Roman"/>
        </w:rPr>
        <w:t xml:space="preserve">Fama, E. F., &amp; French, K. R. (2012). Size, value, and momentum in international stock returns. </w:t>
      </w:r>
      <w:r w:rsidRPr="009706C8">
        <w:rPr>
          <w:rFonts w:cs="Times New Roman"/>
          <w:i/>
          <w:iCs/>
        </w:rPr>
        <w:t>Journal of Financial Economics</w:t>
      </w:r>
      <w:r w:rsidRPr="009706C8">
        <w:rPr>
          <w:rFonts w:cs="Times New Roman"/>
        </w:rPr>
        <w:t>, 105(3), 457–472.</w:t>
      </w:r>
    </w:p>
    <w:p w14:paraId="7C228CB1" w14:textId="77777777" w:rsidR="0029754F" w:rsidRPr="009706C8" w:rsidRDefault="0029754F" w:rsidP="0029754F">
      <w:pPr>
        <w:pStyle w:val="Textoindependiente"/>
        <w:rPr>
          <w:rFonts w:cs="Times New Roman"/>
        </w:rPr>
      </w:pPr>
      <w:r w:rsidRPr="009706C8">
        <w:rPr>
          <w:rFonts w:cs="Times New Roman"/>
        </w:rPr>
        <w:t xml:space="preserve">Jegadeesh, N., &amp; Titman, S. (1993). Returns to buying winners and selling losers: Implications for stock market efficiency. </w:t>
      </w:r>
      <w:r w:rsidRPr="009706C8">
        <w:rPr>
          <w:rFonts w:cs="Times New Roman"/>
          <w:i/>
          <w:iCs/>
        </w:rPr>
        <w:t>Journal of Finance</w:t>
      </w:r>
      <w:r w:rsidRPr="009706C8">
        <w:rPr>
          <w:rFonts w:cs="Times New Roman"/>
        </w:rPr>
        <w:t>, 48(1), 65–91.</w:t>
      </w:r>
    </w:p>
    <w:p w14:paraId="547C5B02" w14:textId="77777777" w:rsidR="0029754F" w:rsidRPr="009706C8" w:rsidRDefault="0029754F" w:rsidP="0029754F">
      <w:pPr>
        <w:pStyle w:val="Textoindependiente"/>
        <w:rPr>
          <w:rFonts w:cs="Times New Roman"/>
        </w:rPr>
      </w:pPr>
      <w:r w:rsidRPr="009706C8">
        <w:rPr>
          <w:rFonts w:cs="Times New Roman"/>
        </w:rPr>
        <w:t xml:space="preserve">Jegadeesh, N., &amp; Titman, S. (2001). Profitability of momentum strategies: An evaluation of alternative explanations. </w:t>
      </w:r>
      <w:r w:rsidRPr="009706C8">
        <w:rPr>
          <w:rFonts w:cs="Times New Roman"/>
          <w:i/>
          <w:iCs/>
        </w:rPr>
        <w:t>Journal of Finance</w:t>
      </w:r>
      <w:r w:rsidRPr="009706C8">
        <w:rPr>
          <w:rFonts w:cs="Times New Roman"/>
        </w:rPr>
        <w:t>, 56(2), 699–720.</w:t>
      </w:r>
    </w:p>
    <w:p w14:paraId="41BC4D8B" w14:textId="77777777" w:rsidR="0029754F" w:rsidRPr="009706C8" w:rsidRDefault="0029754F" w:rsidP="0029754F">
      <w:pPr>
        <w:pStyle w:val="Textoindependiente"/>
        <w:rPr>
          <w:rFonts w:cs="Times New Roman"/>
        </w:rPr>
      </w:pPr>
      <w:r w:rsidRPr="009706C8">
        <w:rPr>
          <w:rFonts w:cs="Times New Roman"/>
        </w:rPr>
        <w:t xml:space="preserve">Lo, A. W. (2002). The statistics of Sharpe ratios. </w:t>
      </w:r>
      <w:r w:rsidRPr="009706C8">
        <w:rPr>
          <w:rFonts w:cs="Times New Roman"/>
          <w:i/>
          <w:iCs/>
        </w:rPr>
        <w:t>Financial Analysts Journal</w:t>
      </w:r>
      <w:r w:rsidRPr="009706C8">
        <w:rPr>
          <w:rFonts w:cs="Times New Roman"/>
        </w:rPr>
        <w:t>, 58(4), 36–52.</w:t>
      </w:r>
    </w:p>
    <w:p w14:paraId="6FF7A3F6" w14:textId="77777777" w:rsidR="0029754F" w:rsidRPr="009706C8" w:rsidRDefault="0029754F" w:rsidP="0029754F">
      <w:pPr>
        <w:pStyle w:val="Textoindependiente"/>
        <w:rPr>
          <w:rFonts w:cs="Times New Roman"/>
        </w:rPr>
      </w:pPr>
      <w:r w:rsidRPr="009706C8">
        <w:rPr>
          <w:rFonts w:cs="Times New Roman"/>
        </w:rPr>
        <w:t xml:space="preserve">Markowitz, H. (1952). Portfolio selection. </w:t>
      </w:r>
      <w:r w:rsidRPr="009706C8">
        <w:rPr>
          <w:rFonts w:cs="Times New Roman"/>
          <w:i/>
          <w:iCs/>
        </w:rPr>
        <w:t>Journal of Finance</w:t>
      </w:r>
      <w:r w:rsidRPr="009706C8">
        <w:rPr>
          <w:rFonts w:cs="Times New Roman"/>
        </w:rPr>
        <w:t>, 7(1), 77–91.</w:t>
      </w:r>
    </w:p>
    <w:p w14:paraId="0A5A05BD" w14:textId="77777777" w:rsidR="0029754F" w:rsidRPr="009706C8" w:rsidRDefault="0029754F" w:rsidP="0029754F">
      <w:pPr>
        <w:pStyle w:val="Textoindependiente"/>
        <w:rPr>
          <w:rFonts w:cs="Times New Roman"/>
        </w:rPr>
      </w:pPr>
      <w:r w:rsidRPr="009706C8">
        <w:rPr>
          <w:rFonts w:cs="Times New Roman"/>
        </w:rPr>
        <w:t xml:space="preserve">Moskowitz, T. J., &amp; Grinblatt, M. (1999). Do industries explain momentum? </w:t>
      </w:r>
      <w:r w:rsidRPr="009706C8">
        <w:rPr>
          <w:rFonts w:cs="Times New Roman"/>
          <w:i/>
          <w:iCs/>
        </w:rPr>
        <w:t>Journal of Finance</w:t>
      </w:r>
      <w:r w:rsidRPr="009706C8">
        <w:rPr>
          <w:rFonts w:cs="Times New Roman"/>
        </w:rPr>
        <w:t>, 54(4), 1249–1290.</w:t>
      </w:r>
    </w:p>
    <w:p w14:paraId="3A9AD065" w14:textId="77777777" w:rsidR="0029754F" w:rsidRPr="009706C8" w:rsidRDefault="0029754F" w:rsidP="0029754F">
      <w:pPr>
        <w:pStyle w:val="Textoindependiente"/>
        <w:rPr>
          <w:rFonts w:cs="Times New Roman"/>
        </w:rPr>
      </w:pPr>
      <w:r w:rsidRPr="009706C8">
        <w:rPr>
          <w:rFonts w:cs="Times New Roman"/>
        </w:rPr>
        <w:t xml:space="preserve">Newey, W. K., &amp; West, K. D. (1987). A simple, positive semi-definite, heteroskedasticity and autocorrelation consistent covariance matrix. </w:t>
      </w:r>
      <w:r w:rsidRPr="009706C8">
        <w:rPr>
          <w:rFonts w:cs="Times New Roman"/>
          <w:i/>
          <w:iCs/>
        </w:rPr>
        <w:t>Econometrica</w:t>
      </w:r>
      <w:r w:rsidRPr="009706C8">
        <w:rPr>
          <w:rFonts w:cs="Times New Roman"/>
        </w:rPr>
        <w:t>, 55(3), 703–708.</w:t>
      </w:r>
    </w:p>
    <w:p w14:paraId="60397706" w14:textId="77777777" w:rsidR="0029754F" w:rsidRPr="009706C8" w:rsidRDefault="0029754F" w:rsidP="0029754F">
      <w:pPr>
        <w:pStyle w:val="Textoindependiente"/>
        <w:rPr>
          <w:rFonts w:cs="Times New Roman"/>
        </w:rPr>
      </w:pPr>
      <w:r w:rsidRPr="009706C8">
        <w:rPr>
          <w:rFonts w:cs="Times New Roman"/>
        </w:rPr>
        <w:t xml:space="preserve">Rockafellar, R. T., &amp; Uryasev, S. (2000). Optimization of conditional value-at-risk. </w:t>
      </w:r>
      <w:r w:rsidRPr="009706C8">
        <w:rPr>
          <w:rFonts w:cs="Times New Roman"/>
          <w:i/>
          <w:iCs/>
        </w:rPr>
        <w:t>Journal of Risk</w:t>
      </w:r>
      <w:r w:rsidRPr="009706C8">
        <w:rPr>
          <w:rFonts w:cs="Times New Roman"/>
        </w:rPr>
        <w:t>, 2(3), 21–41.</w:t>
      </w:r>
    </w:p>
    <w:p w14:paraId="17981433" w14:textId="77777777" w:rsidR="0029754F" w:rsidRPr="00B02F47" w:rsidRDefault="0029754F" w:rsidP="0029754F">
      <w:pPr>
        <w:pStyle w:val="Textoindependiente"/>
        <w:rPr>
          <w:rFonts w:cs="Times New Roman"/>
        </w:rPr>
      </w:pPr>
      <w:r w:rsidRPr="009706C8">
        <w:rPr>
          <w:rFonts w:cs="Times New Roman"/>
        </w:rPr>
        <w:t xml:space="preserve">Tsay, R. S. (2010). </w:t>
      </w:r>
      <w:r w:rsidRPr="009706C8">
        <w:rPr>
          <w:rFonts w:cs="Times New Roman"/>
          <w:i/>
          <w:iCs/>
        </w:rPr>
        <w:t>Analysis of financial time series</w:t>
      </w:r>
      <w:r w:rsidRPr="009706C8">
        <w:rPr>
          <w:rFonts w:cs="Times New Roman"/>
        </w:rPr>
        <w:t xml:space="preserve"> (3rd ed.). </w:t>
      </w:r>
      <w:r w:rsidRPr="00B02F47">
        <w:rPr>
          <w:rFonts w:cs="Times New Roman"/>
        </w:rPr>
        <w:t>Wiley.</w:t>
      </w:r>
    </w:p>
    <w:p w14:paraId="404B9509" w14:textId="77777777" w:rsidR="0029754F" w:rsidRPr="009B57F3" w:rsidRDefault="0029754F" w:rsidP="0029754F">
      <w:pPr>
        <w:pStyle w:val="Textoindependiente"/>
        <w:rPr>
          <w:rFonts w:cs="Times New Roman"/>
        </w:rPr>
      </w:pPr>
      <w:r w:rsidRPr="009B57F3">
        <w:rPr>
          <w:rFonts w:cs="Times New Roman"/>
        </w:rPr>
        <w:t>Jobson, J. D., &amp; Korkie, B. (1981).</w:t>
      </w:r>
      <w:r>
        <w:rPr>
          <w:rFonts w:cs="Times New Roman"/>
        </w:rPr>
        <w:t xml:space="preserve"> </w:t>
      </w:r>
      <w:r w:rsidRPr="009B57F3">
        <w:rPr>
          <w:rFonts w:cs="Times New Roman"/>
        </w:rPr>
        <w:t>Performance hypothesis testing with the Sharpe and Treynor measures.</w:t>
      </w:r>
      <w:r>
        <w:rPr>
          <w:rFonts w:cs="Times New Roman"/>
        </w:rPr>
        <w:t xml:space="preserve">  </w:t>
      </w:r>
      <w:r w:rsidRPr="009B57F3">
        <w:rPr>
          <w:rFonts w:cs="Times New Roman"/>
          <w:i/>
          <w:iCs/>
        </w:rPr>
        <w:t>Journal of Finance</w:t>
      </w:r>
      <w:r w:rsidRPr="009B57F3">
        <w:rPr>
          <w:rFonts w:cs="Times New Roman"/>
        </w:rPr>
        <w:t>, 36(4), 889–908.</w:t>
      </w:r>
    </w:p>
    <w:p w14:paraId="2EA15010" w14:textId="77777777" w:rsidR="0029754F" w:rsidRDefault="0029754F" w:rsidP="0029754F">
      <w:pPr>
        <w:pStyle w:val="Textoindependiente"/>
        <w:rPr>
          <w:rFonts w:cs="Times New Roman"/>
        </w:rPr>
      </w:pPr>
      <w:r w:rsidRPr="009B57F3">
        <w:rPr>
          <w:rFonts w:cs="Times New Roman"/>
        </w:rPr>
        <w:t>Ledoit, O., &amp; Wolf, M. (2008).</w:t>
      </w:r>
      <w:r>
        <w:rPr>
          <w:rFonts w:cs="Times New Roman"/>
        </w:rPr>
        <w:t xml:space="preserve"> </w:t>
      </w:r>
      <w:r w:rsidRPr="009B57F3">
        <w:rPr>
          <w:rFonts w:cs="Times New Roman"/>
        </w:rPr>
        <w:t>Robust performance hypothesis testing with the Sharpe ratio.</w:t>
      </w:r>
      <w:r>
        <w:rPr>
          <w:rFonts w:cs="Times New Roman"/>
        </w:rPr>
        <w:t xml:space="preserve"> </w:t>
      </w:r>
      <w:r w:rsidRPr="009B57F3">
        <w:rPr>
          <w:rFonts w:cs="Times New Roman"/>
          <w:i/>
          <w:iCs/>
        </w:rPr>
        <w:t>Journal of Empirical Finance</w:t>
      </w:r>
      <w:r w:rsidRPr="009B57F3">
        <w:rPr>
          <w:rFonts w:cs="Times New Roman"/>
        </w:rPr>
        <w:t>, 15(5), 850–859.</w:t>
      </w:r>
    </w:p>
    <w:p w14:paraId="7D894ED3" w14:textId="77777777" w:rsidR="0029754F" w:rsidRPr="004B5032" w:rsidRDefault="0029754F" w:rsidP="0029754F">
      <w:pPr>
        <w:pStyle w:val="Textoindependiente"/>
        <w:rPr>
          <w:rFonts w:cs="Times New Roman"/>
        </w:rPr>
      </w:pPr>
      <w:r w:rsidRPr="004B5032">
        <w:rPr>
          <w:rFonts w:cs="Times New Roman"/>
        </w:rPr>
        <w:t xml:space="preserve">Asness, C. S., Moskowitz, T. J., &amp; Pedersen, L. H. (2013). Value and momentum everywhere. </w:t>
      </w:r>
      <w:r w:rsidRPr="004B5032">
        <w:rPr>
          <w:rFonts w:cs="Times New Roman"/>
          <w:i/>
          <w:iCs/>
        </w:rPr>
        <w:t>Journal of Finance</w:t>
      </w:r>
      <w:r w:rsidRPr="004B5032">
        <w:rPr>
          <w:rFonts w:cs="Times New Roman"/>
        </w:rPr>
        <w:t>, 68(3), 929–985.</w:t>
      </w:r>
    </w:p>
    <w:p w14:paraId="17A1ECC4" w14:textId="77777777" w:rsidR="0029754F" w:rsidRPr="004B5032" w:rsidRDefault="0029754F" w:rsidP="0029754F">
      <w:pPr>
        <w:pStyle w:val="Textoindependiente"/>
        <w:rPr>
          <w:rFonts w:cs="Times New Roman"/>
        </w:rPr>
      </w:pPr>
      <w:r w:rsidRPr="004B5032">
        <w:rPr>
          <w:rFonts w:cs="Times New Roman"/>
          <w:lang w:val="es-AR"/>
        </w:rPr>
        <w:lastRenderedPageBreak/>
        <w:t xml:space="preserve">DeMiguel, V., Garlappi, L., &amp; Uppal, R. (2009). </w:t>
      </w:r>
      <w:r w:rsidRPr="004B5032">
        <w:rPr>
          <w:rFonts w:cs="Times New Roman"/>
        </w:rPr>
        <w:t xml:space="preserve">Optimal versus naive diversification: How inefficient is the 1/N portfolio strategy? </w:t>
      </w:r>
      <w:r w:rsidRPr="004B5032">
        <w:rPr>
          <w:rFonts w:cs="Times New Roman"/>
          <w:i/>
          <w:iCs/>
        </w:rPr>
        <w:t>Review of Financial Studies</w:t>
      </w:r>
      <w:r w:rsidRPr="004B5032">
        <w:rPr>
          <w:rFonts w:cs="Times New Roman"/>
        </w:rPr>
        <w:t>, 22(5), 1915–1953.</w:t>
      </w:r>
    </w:p>
    <w:p w14:paraId="3A04D546" w14:textId="77777777" w:rsidR="0029754F" w:rsidRPr="004B5032" w:rsidRDefault="0029754F" w:rsidP="0029754F">
      <w:pPr>
        <w:pStyle w:val="Textoindependiente"/>
        <w:rPr>
          <w:rFonts w:cs="Times New Roman"/>
        </w:rPr>
      </w:pPr>
      <w:r w:rsidRPr="004B5032">
        <w:rPr>
          <w:rFonts w:cs="Times New Roman"/>
        </w:rPr>
        <w:t xml:space="preserve">Ledoit, O., &amp; Wolf, M. (2004). A well-conditioned estimator for large-dimensional covariance matrices. </w:t>
      </w:r>
      <w:r w:rsidRPr="004B5032">
        <w:rPr>
          <w:rFonts w:cs="Times New Roman"/>
          <w:i/>
          <w:iCs/>
        </w:rPr>
        <w:t>Journal of Multivariate Analysis</w:t>
      </w:r>
      <w:r w:rsidRPr="004B5032">
        <w:rPr>
          <w:rFonts w:cs="Times New Roman"/>
        </w:rPr>
        <w:t>, 88(2), 365–411.</w:t>
      </w:r>
    </w:p>
    <w:p w14:paraId="6676AF80" w14:textId="77777777" w:rsidR="0029754F" w:rsidRPr="004B5032" w:rsidRDefault="0029754F" w:rsidP="0029754F">
      <w:pPr>
        <w:pStyle w:val="Textoindependiente"/>
        <w:rPr>
          <w:rFonts w:cs="Times New Roman"/>
        </w:rPr>
      </w:pPr>
      <w:r w:rsidRPr="004B5032">
        <w:rPr>
          <w:rFonts w:cs="Times New Roman"/>
        </w:rPr>
        <w:t xml:space="preserve">Nelson, D. B. (1991). Conditional heteroskedasticity in asset returns: A new approach. </w:t>
      </w:r>
      <w:r w:rsidRPr="004B5032">
        <w:rPr>
          <w:rFonts w:cs="Times New Roman"/>
          <w:i/>
          <w:iCs/>
        </w:rPr>
        <w:t>Econometrica</w:t>
      </w:r>
      <w:r w:rsidRPr="004B5032">
        <w:rPr>
          <w:rFonts w:cs="Times New Roman"/>
        </w:rPr>
        <w:t>, 59(2), 347–370.</w:t>
      </w:r>
    </w:p>
    <w:p w14:paraId="7237AFDE" w14:textId="77777777" w:rsidR="0029754F" w:rsidRPr="004B5032" w:rsidRDefault="0029754F" w:rsidP="0029754F">
      <w:pPr>
        <w:pStyle w:val="Textoindependiente"/>
        <w:rPr>
          <w:rFonts w:cs="Times New Roman"/>
          <w:lang w:val="es-AR"/>
        </w:rPr>
      </w:pPr>
      <w:r w:rsidRPr="004B5032">
        <w:rPr>
          <w:rFonts w:cs="Times New Roman"/>
        </w:rPr>
        <w:t xml:space="preserve">Glosten, L. R., Jagannathan, R., &amp; Runkle, D. E. (1993). On the relation between the expected value and the volatility of the nominal excess return on stocks. </w:t>
      </w:r>
      <w:r w:rsidRPr="004B5032">
        <w:rPr>
          <w:rFonts w:cs="Times New Roman"/>
          <w:i/>
          <w:iCs/>
          <w:lang w:val="es-AR"/>
        </w:rPr>
        <w:t>Journal of Finance</w:t>
      </w:r>
      <w:r w:rsidRPr="004B5032">
        <w:rPr>
          <w:rFonts w:cs="Times New Roman"/>
          <w:lang w:val="es-AR"/>
        </w:rPr>
        <w:t>, 48(5), 1779–1801.</w:t>
      </w:r>
    </w:p>
    <w:p w14:paraId="7EF973E4" w14:textId="0964540C" w:rsidR="00BA5BBE" w:rsidRPr="00BA5BBE" w:rsidRDefault="007C0F7C" w:rsidP="00BA5BBE">
      <w:pPr>
        <w:pStyle w:val="Ttulo1"/>
      </w:pPr>
      <w:bookmarkStart w:id="96" w:name="_Toc223214800"/>
      <w:bookmarkStart w:id="97" w:name="discusión-integrada-de-los-resultados"/>
      <w:bookmarkStart w:id="98" w:name="discusión-limitaciones-y-conclusiones"/>
      <w:r>
        <w:t>ANEXO A</w:t>
      </w:r>
      <w:bookmarkEnd w:id="96"/>
    </w:p>
    <w:p w14:paraId="42DFF22E" w14:textId="77777777" w:rsidR="00BA5BBE" w:rsidRDefault="00BA5BBE" w:rsidP="00BA5BBE">
      <w:pPr>
        <w:pStyle w:val="Ttulo1"/>
        <w:rPr>
          <w:rFonts w:cs="Times New Roman"/>
        </w:rPr>
      </w:pPr>
      <w:bookmarkStart w:id="99" w:name="_Toc223214801"/>
      <w:r w:rsidRPr="00BA5BBE">
        <w:t>Discusión, limitaciones y conclusiones</w:t>
      </w:r>
      <w:bookmarkEnd w:id="99"/>
    </w:p>
    <w:p w14:paraId="245AAE65" w14:textId="339C3FD9" w:rsidR="00894435" w:rsidRPr="009706C8" w:rsidRDefault="007C0F7C">
      <w:pPr>
        <w:pStyle w:val="Ttulo2"/>
        <w:rPr>
          <w:rFonts w:cs="Times New Roman"/>
        </w:rPr>
      </w:pPr>
      <w:bookmarkStart w:id="100" w:name="_Toc223214802"/>
      <w:r>
        <w:rPr>
          <w:rFonts w:cs="Times New Roman"/>
        </w:rPr>
        <w:t>A</w:t>
      </w:r>
      <w:r w:rsidR="00894435" w:rsidRPr="009706C8">
        <w:rPr>
          <w:rFonts w:cs="Times New Roman"/>
        </w:rPr>
        <w:t>.1 Discusión integrada de los resultados</w:t>
      </w:r>
      <w:bookmarkEnd w:id="100"/>
    </w:p>
    <w:p w14:paraId="45E130CF" w14:textId="71319C12" w:rsidR="00660017" w:rsidRPr="00660017" w:rsidRDefault="00660017" w:rsidP="00660017">
      <w:pPr>
        <w:pStyle w:val="Textoindependiente"/>
        <w:spacing w:line="360" w:lineRule="auto"/>
        <w:rPr>
          <w:rFonts w:cs="Times New Roman"/>
          <w:lang w:val="es-AR"/>
        </w:rPr>
      </w:pPr>
      <w:r w:rsidRPr="00660017">
        <w:rPr>
          <w:rFonts w:cs="Times New Roman"/>
          <w:lang w:val="es-AR"/>
        </w:rPr>
        <w:t xml:space="preserve">El presente trabajo analizó de manera integral el desempeño, el perfil de riesgo y las implicancias de asignación de activos de estrategias de </w:t>
      </w:r>
      <w:r w:rsidRPr="00660017">
        <w:rPr>
          <w:rFonts w:cs="Times New Roman"/>
          <w:i/>
          <w:iCs/>
          <w:lang w:val="es-AR"/>
        </w:rPr>
        <w:t>momentum</w:t>
      </w:r>
      <w:r w:rsidRPr="00660017">
        <w:rPr>
          <w:rFonts w:cs="Times New Roman"/>
          <w:lang w:val="es-AR"/>
        </w:rPr>
        <w:t xml:space="preserve"> sectorial aplicadas al mercado accionario estadounidense, combinando métricas tradicionales de performance, modelos de factores, análisis dinámico del riesgo</w:t>
      </w:r>
      <w:r w:rsidR="00622BC3">
        <w:rPr>
          <w:rFonts w:cs="Times New Roman"/>
          <w:lang w:val="es-AR"/>
        </w:rPr>
        <w:t>.</w:t>
      </w:r>
    </w:p>
    <w:p w14:paraId="6B1A400D" w14:textId="77777777" w:rsidR="00660017" w:rsidRPr="00660017" w:rsidRDefault="00660017" w:rsidP="00660017">
      <w:pPr>
        <w:pStyle w:val="Textoindependiente"/>
        <w:spacing w:line="360" w:lineRule="auto"/>
        <w:rPr>
          <w:rFonts w:cs="Times New Roman"/>
          <w:lang w:val="es-AR"/>
        </w:rPr>
      </w:pPr>
      <w:r w:rsidRPr="00660017">
        <w:rPr>
          <w:rFonts w:cs="Times New Roman"/>
          <w:lang w:val="es-AR"/>
        </w:rPr>
        <w:t xml:space="preserve">Desde la perspectiva del desempeño, los resultados empíricos muestran que las estrategias de </w:t>
      </w:r>
      <w:r w:rsidRPr="00660017">
        <w:rPr>
          <w:rFonts w:cs="Times New Roman"/>
          <w:i/>
          <w:iCs/>
          <w:lang w:val="es-AR"/>
        </w:rPr>
        <w:t>momentum</w:t>
      </w:r>
      <w:r w:rsidRPr="00660017">
        <w:rPr>
          <w:rFonts w:cs="Times New Roman"/>
          <w:lang w:val="es-AR"/>
        </w:rPr>
        <w:t xml:space="preserve"> sectorial no dominan de forma sistemática al benchmark de mercado en términos de rentabilidad ajustada por riesgo. Si bien algunas especificaciones, particularmente aquellas con horizontes de formación más cortos, exhiben retornos promedio comparables al mercado, dichas ganancias no resultan persistentes ni estadísticamente significativas una vez controlada la exposición al riesgo sistemático. Este hallazgo es consistente con la evidencia previa que sugiere que el </w:t>
      </w:r>
      <w:r w:rsidRPr="00660017">
        <w:rPr>
          <w:rFonts w:cs="Times New Roman"/>
          <w:i/>
          <w:iCs/>
          <w:lang w:val="es-AR"/>
        </w:rPr>
        <w:t>momentum</w:t>
      </w:r>
      <w:r w:rsidRPr="00660017">
        <w:rPr>
          <w:rFonts w:cs="Times New Roman"/>
          <w:lang w:val="es-AR"/>
        </w:rPr>
        <w:t xml:space="preserve"> sectorial opera más como un mecanismo de reasignación del riesgo que como una fuente independiente de alfa.</w:t>
      </w:r>
    </w:p>
    <w:p w14:paraId="5D4A43BE" w14:textId="41E14B75" w:rsidR="00660017" w:rsidRPr="00660017" w:rsidRDefault="00660017" w:rsidP="00660017">
      <w:pPr>
        <w:pStyle w:val="Textoindependiente"/>
        <w:spacing w:line="360" w:lineRule="auto"/>
        <w:rPr>
          <w:rFonts w:cs="Times New Roman"/>
          <w:lang w:val="es-AR"/>
        </w:rPr>
      </w:pPr>
      <w:r w:rsidRPr="00660017">
        <w:rPr>
          <w:rFonts w:cs="Times New Roman"/>
          <w:lang w:val="es-AR"/>
        </w:rPr>
        <w:t xml:space="preserve">El análisis del riesgo aporta una dimensión clave a esta interpretación. La modelización de la volatilidad condicional mediante modelos GARCH revela una elevada persistencia del riesgo y la presencia de episodios prolongados de alta incertidumbre, rasgos comunes a todas las estrategias consideradas. Asimismo, las medidas dinámicas de riesgo extremo, como el Value at Risk y el Expected Shortfall condicionales, muestran que las diferencias entre estrategias son moderadas en promedio, aunque relevantes en términos de </w:t>
      </w:r>
      <w:r w:rsidRPr="00660017">
        <w:rPr>
          <w:rFonts w:cs="Times New Roman"/>
          <w:lang w:val="es-AR"/>
        </w:rPr>
        <w:lastRenderedPageBreak/>
        <w:t>estabilidad y severidad de pérdidas bajo distintos horizontes de formación. En particular, las estrategias con ventanas de formación más largas tienden a exhibir perfiles de riesgo extremo más contenidos, a costa de una menor rentabilidad esperada.</w:t>
      </w:r>
    </w:p>
    <w:p w14:paraId="0515ADFD" w14:textId="77777777" w:rsidR="00660017" w:rsidRPr="00660017" w:rsidRDefault="00660017" w:rsidP="00660017">
      <w:pPr>
        <w:pStyle w:val="Textoindependiente"/>
        <w:spacing w:line="360" w:lineRule="auto"/>
        <w:rPr>
          <w:rFonts w:cs="Times New Roman"/>
          <w:lang w:val="es-AR"/>
        </w:rPr>
      </w:pPr>
      <w:r w:rsidRPr="00660017">
        <w:rPr>
          <w:rFonts w:cs="Times New Roman"/>
          <w:lang w:val="es-AR"/>
        </w:rPr>
        <w:t xml:space="preserve">En conjunto, la evidencia empírica indica que las estrategias de </w:t>
      </w:r>
      <w:r w:rsidRPr="00660017">
        <w:rPr>
          <w:rFonts w:cs="Times New Roman"/>
          <w:i/>
          <w:iCs/>
          <w:lang w:val="es-AR"/>
        </w:rPr>
        <w:t>momentum</w:t>
      </w:r>
      <w:r w:rsidRPr="00660017">
        <w:rPr>
          <w:rFonts w:cs="Times New Roman"/>
          <w:lang w:val="es-AR"/>
        </w:rPr>
        <w:t xml:space="preserve"> sectorial Long-Only no constituyen una fuente robusta de retornos anormales persistentes, pero sí permiten modificar el perfil de riesgo del portafolio, especialmente en términos de drawdowns y riesgo extremo. Estos resultados refuerzan la necesidad de interpretar las estrategias de </w:t>
      </w:r>
      <w:r w:rsidRPr="00660017">
        <w:rPr>
          <w:rFonts w:cs="Times New Roman"/>
          <w:i/>
          <w:iCs/>
          <w:lang w:val="es-AR"/>
        </w:rPr>
        <w:t>momentum</w:t>
      </w:r>
      <w:r w:rsidRPr="00660017">
        <w:rPr>
          <w:rFonts w:cs="Times New Roman"/>
          <w:lang w:val="es-AR"/>
        </w:rPr>
        <w:t xml:space="preserve"> desde una óptica de gestión del riesgo y diversificación dinámica, más que como mecanismos sistemáticos de generación de alfa.</w:t>
      </w:r>
    </w:p>
    <w:p w14:paraId="2BC06DD8" w14:textId="77777777" w:rsidR="00660017" w:rsidRPr="00E85DF5" w:rsidRDefault="00660017" w:rsidP="00E85DF5">
      <w:pPr>
        <w:pStyle w:val="Textoindependiente"/>
        <w:spacing w:line="360" w:lineRule="auto"/>
        <w:rPr>
          <w:rFonts w:cs="Times New Roman"/>
          <w:lang w:val="es-AR"/>
        </w:rPr>
      </w:pPr>
    </w:p>
    <w:p w14:paraId="1042D462" w14:textId="14E65644" w:rsidR="00894435" w:rsidRPr="009706C8" w:rsidRDefault="007C0F7C">
      <w:pPr>
        <w:pStyle w:val="Ttulo2"/>
        <w:rPr>
          <w:rFonts w:cs="Times New Roman"/>
        </w:rPr>
      </w:pPr>
      <w:bookmarkStart w:id="101" w:name="_Toc223214803"/>
      <w:bookmarkStart w:id="102" w:name="limitaciones-del-trabajo"/>
      <w:bookmarkEnd w:id="97"/>
      <w:r>
        <w:rPr>
          <w:rFonts w:cs="Times New Roman"/>
        </w:rPr>
        <w:t>A</w:t>
      </w:r>
      <w:r w:rsidR="00894435" w:rsidRPr="009706C8">
        <w:rPr>
          <w:rFonts w:cs="Times New Roman"/>
        </w:rPr>
        <w:t>.2 Limitaciones del trabajo</w:t>
      </w:r>
      <w:bookmarkEnd w:id="101"/>
    </w:p>
    <w:p w14:paraId="6EDA7011" w14:textId="77777777" w:rsidR="00FA2B7E" w:rsidRPr="00FA2B7E" w:rsidRDefault="00FA2B7E" w:rsidP="00FA2B7E">
      <w:pPr>
        <w:pStyle w:val="Textoindependiente"/>
        <w:spacing w:line="360" w:lineRule="auto"/>
        <w:rPr>
          <w:rFonts w:cs="Times New Roman"/>
          <w:lang w:val="es-AR"/>
        </w:rPr>
      </w:pPr>
      <w:r w:rsidRPr="00FA2B7E">
        <w:rPr>
          <w:rFonts w:cs="Times New Roman"/>
          <w:lang w:val="es-AR"/>
        </w:rPr>
        <w:t>Como todo estudio empírico aplicado, el presente trabajo presenta una serie de limitaciones que deben ser explicitadas para una correcta interpretación de los resultados obtenidos.</w:t>
      </w:r>
    </w:p>
    <w:p w14:paraId="4D0A2C6B" w14:textId="77777777" w:rsidR="00FA2B7E" w:rsidRPr="00FA2B7E" w:rsidRDefault="00FA2B7E" w:rsidP="00FA2B7E">
      <w:pPr>
        <w:pStyle w:val="Textoindependiente"/>
        <w:spacing w:line="360" w:lineRule="auto"/>
        <w:rPr>
          <w:rFonts w:cs="Times New Roman"/>
          <w:lang w:val="es-AR"/>
        </w:rPr>
      </w:pPr>
      <w:r w:rsidRPr="00FA2B7E">
        <w:rPr>
          <w:rFonts w:cs="Times New Roman"/>
          <w:lang w:val="es-AR"/>
        </w:rPr>
        <w:t xml:space="preserve">En primer lugar, todos los análisis se desarrollan bajo un enfoque estrictamente </w:t>
      </w:r>
      <w:r w:rsidRPr="00FA2B7E">
        <w:rPr>
          <w:rFonts w:cs="Times New Roman"/>
          <w:i/>
          <w:iCs/>
          <w:lang w:val="es-AR"/>
        </w:rPr>
        <w:t>in-sample</w:t>
      </w:r>
      <w:r w:rsidRPr="00FA2B7E">
        <w:rPr>
          <w:rFonts w:cs="Times New Roman"/>
          <w:lang w:val="es-AR"/>
        </w:rPr>
        <w:t>, utilizando la muestra completa de retornos históricos disponibles. En consecuencia, los resultados no deben interpretarse como estimaciones predictivas ni como evidencia de desempeño futuro, sino como una caracterización empírica de los comportamientos observados durante el período analizado.</w:t>
      </w:r>
    </w:p>
    <w:p w14:paraId="1A56E29C" w14:textId="77777777" w:rsidR="00FA2B7E" w:rsidRDefault="00FA2B7E" w:rsidP="00FA2B7E">
      <w:pPr>
        <w:pStyle w:val="Textoindependiente"/>
        <w:spacing w:line="360" w:lineRule="auto"/>
        <w:rPr>
          <w:rFonts w:cs="Times New Roman"/>
          <w:lang w:val="es-AR"/>
        </w:rPr>
      </w:pPr>
      <w:r w:rsidRPr="00FA2B7E">
        <w:rPr>
          <w:rFonts w:cs="Times New Roman"/>
          <w:lang w:val="es-AR"/>
        </w:rPr>
        <w:t xml:space="preserve">En segundo término, el universo de activos considerado se limita a un conjunto específico de estrategias de </w:t>
      </w:r>
      <w:r w:rsidRPr="00FA2B7E">
        <w:rPr>
          <w:rFonts w:cs="Times New Roman"/>
          <w:i/>
          <w:iCs/>
          <w:lang w:val="es-AR"/>
        </w:rPr>
        <w:t>momentum</w:t>
      </w:r>
      <w:r w:rsidRPr="00FA2B7E">
        <w:rPr>
          <w:rFonts w:cs="Times New Roman"/>
          <w:lang w:val="es-AR"/>
        </w:rPr>
        <w:t xml:space="preserve"> sectorial y a un único </w:t>
      </w:r>
      <w:r w:rsidRPr="00FA2B7E">
        <w:rPr>
          <w:rFonts w:cs="Times New Roman"/>
          <w:i/>
          <w:iCs/>
          <w:lang w:val="es-AR"/>
        </w:rPr>
        <w:t>benchmark</w:t>
      </w:r>
      <w:r w:rsidRPr="00FA2B7E">
        <w:rPr>
          <w:rFonts w:cs="Times New Roman"/>
          <w:lang w:val="es-AR"/>
        </w:rPr>
        <w:t xml:space="preserve"> de mercado. Si bien esta elección permite un análisis focalizado y coherente con los objetivos del trabajo, restringe la posibilidad de generalizar los resultados a otros mercados, clases de activos o estrategias alternativas.</w:t>
      </w:r>
    </w:p>
    <w:p w14:paraId="492BCDC1" w14:textId="4919051F" w:rsidR="00A01C4A" w:rsidRPr="00FA2B7E" w:rsidRDefault="00A01C4A" w:rsidP="00FA2B7E">
      <w:pPr>
        <w:pStyle w:val="Textoindependiente"/>
        <w:spacing w:line="360" w:lineRule="auto"/>
        <w:rPr>
          <w:rFonts w:cs="Times New Roman"/>
          <w:lang w:val="es-AR"/>
        </w:rPr>
      </w:pPr>
      <w:r w:rsidRPr="00A01C4A">
        <w:rPr>
          <w:rFonts w:cs="Times New Roman"/>
          <w:lang w:val="es-AR"/>
        </w:rPr>
        <w:t>En tercer término, y como se señaló en la Sección 3.2, la utilización de Yahoo Finance como fuente primaria de datos implica limitaciones asociadas a la naturaleza no point-in-time de los precios ajustados y a la ausencia de un mecanismo institucional formal de control de calidad de datos. Si bien esta fuente resulta adecuada para el análisis de ETFs líquidos a frecuencia mensual, constituye una restricción metodológica inherente al diseño empírico adoptado.</w:t>
      </w:r>
    </w:p>
    <w:p w14:paraId="448D4A16" w14:textId="5F41634F" w:rsidR="00FA2B7E" w:rsidRPr="00FA2B7E" w:rsidRDefault="00FA2B7E" w:rsidP="00FA2B7E">
      <w:pPr>
        <w:pStyle w:val="Textoindependiente"/>
        <w:spacing w:line="360" w:lineRule="auto"/>
        <w:rPr>
          <w:rFonts w:cs="Times New Roman"/>
          <w:lang w:val="es-AR"/>
        </w:rPr>
      </w:pPr>
      <w:r w:rsidRPr="00FA2B7E">
        <w:rPr>
          <w:rFonts w:cs="Times New Roman"/>
          <w:lang w:val="es-AR"/>
        </w:rPr>
        <w:lastRenderedPageBreak/>
        <w:t>Desde el punto de vista metodológico, el análisis de riesgo se apoya en modelos paramétricos parsimoniosos, como el CAPM y modelos GARCH univariados. Si bien estos enfoques capturan regularidades relevantes de los retornos financieros, no incorporan todas las posibles fuentes de riesgo sistémico ni dependencias dinámicas de orden superior, tales como efectos multivariados complejos o cambios estructurales en la dinámica de los mercados.</w:t>
      </w:r>
    </w:p>
    <w:p w14:paraId="7B600FB2" w14:textId="77777777" w:rsidR="00FA2B7E" w:rsidRPr="00E85DF5" w:rsidRDefault="00FA2B7E" w:rsidP="00E85DF5">
      <w:pPr>
        <w:pStyle w:val="Textoindependiente"/>
        <w:spacing w:line="360" w:lineRule="auto"/>
        <w:rPr>
          <w:rFonts w:cs="Times New Roman"/>
          <w:lang w:val="es-AR"/>
        </w:rPr>
      </w:pPr>
      <w:r w:rsidRPr="00FA2B7E">
        <w:rPr>
          <w:rFonts w:cs="Times New Roman"/>
          <w:lang w:val="es-AR"/>
        </w:rPr>
        <w:t xml:space="preserve">Finalmente, si bien se incorporan costos de transacción proporcionales al </w:t>
      </w:r>
      <w:r w:rsidRPr="00FA2B7E">
        <w:rPr>
          <w:rFonts w:cs="Times New Roman"/>
          <w:i/>
          <w:iCs/>
          <w:lang w:val="es-AR"/>
        </w:rPr>
        <w:t>turnover</w:t>
      </w:r>
      <w:r w:rsidRPr="00FA2B7E">
        <w:rPr>
          <w:rFonts w:cs="Times New Roman"/>
          <w:lang w:val="es-AR"/>
        </w:rPr>
        <w:t>, estos se modelan de manera simplificada y constante en el tiempo, lo que no permite capturar variaciones asociadas a condiciones de liquidez, spreads bid–ask o impactos de mercado, que podrían resultar relevantes en aplicaciones operativas.</w:t>
      </w:r>
    </w:p>
    <w:p w14:paraId="55CF62B5" w14:textId="7B62B00C" w:rsidR="00894435" w:rsidRPr="009706C8" w:rsidRDefault="007C0F7C">
      <w:pPr>
        <w:pStyle w:val="Ttulo2"/>
        <w:rPr>
          <w:rFonts w:cs="Times New Roman"/>
        </w:rPr>
      </w:pPr>
      <w:bookmarkStart w:id="103" w:name="_Toc223214804"/>
      <w:bookmarkStart w:id="104" w:name="Xf81ade57d0d95264e60a2ad544ccbd09b9ae8a2"/>
      <w:bookmarkEnd w:id="102"/>
      <w:r>
        <w:rPr>
          <w:rFonts w:cs="Times New Roman"/>
        </w:rPr>
        <w:t>A</w:t>
      </w:r>
      <w:r w:rsidR="00894435" w:rsidRPr="009706C8">
        <w:rPr>
          <w:rFonts w:cs="Times New Roman"/>
        </w:rPr>
        <w:t>.3 Conclusiones finales e implicancias actuariales</w:t>
      </w:r>
      <w:bookmarkEnd w:id="103"/>
    </w:p>
    <w:bookmarkEnd w:id="98"/>
    <w:bookmarkEnd w:id="104"/>
    <w:p w14:paraId="100A8FED" w14:textId="77777777" w:rsidR="009405D8" w:rsidRPr="009405D8" w:rsidRDefault="009405D8" w:rsidP="009405D8">
      <w:pPr>
        <w:pStyle w:val="Textoindependiente"/>
        <w:spacing w:line="360" w:lineRule="auto"/>
        <w:rPr>
          <w:rFonts w:cs="Times New Roman"/>
          <w:lang w:val="es-AR"/>
        </w:rPr>
      </w:pPr>
      <w:r w:rsidRPr="009405D8">
        <w:rPr>
          <w:rFonts w:cs="Times New Roman"/>
          <w:lang w:val="es-AR"/>
        </w:rPr>
        <w:t xml:space="preserve">A partir de la evidencia empírica presentada, el presente trabajo concluye que las estrategias de </w:t>
      </w:r>
      <w:r w:rsidRPr="009405D8">
        <w:rPr>
          <w:rFonts w:cs="Times New Roman"/>
          <w:i/>
          <w:iCs/>
          <w:lang w:val="es-AR"/>
        </w:rPr>
        <w:t>momentum</w:t>
      </w:r>
      <w:r w:rsidRPr="009405D8">
        <w:rPr>
          <w:rFonts w:cs="Times New Roman"/>
          <w:lang w:val="es-AR"/>
        </w:rPr>
        <w:t xml:space="preserve"> sectorial aplicadas al mercado accionario estadounidense pueden ofrecer oportunidades de diversificación y mejoras puntuales en términos de desempeño ajustado por riesgo. No obstante, dichas ventajas no resultan sistemáticas ni persistentes, y se encuentran acompañadas por una exposición significativa a riesgos dinámicos y a eventos extremos.</w:t>
      </w:r>
    </w:p>
    <w:p w14:paraId="0040263B" w14:textId="77777777" w:rsidR="009405D8" w:rsidRDefault="009405D8" w:rsidP="009405D8">
      <w:pPr>
        <w:pStyle w:val="Textoindependiente"/>
        <w:spacing w:line="360" w:lineRule="auto"/>
        <w:rPr>
          <w:rFonts w:cs="Times New Roman"/>
          <w:lang w:val="es-AR"/>
        </w:rPr>
      </w:pPr>
      <w:r w:rsidRPr="009405D8">
        <w:rPr>
          <w:rFonts w:cs="Times New Roman"/>
          <w:lang w:val="es-AR"/>
        </w:rPr>
        <w:t xml:space="preserve">Desde una perspectiva actuarial, estos resultados adquieren particular relevancia en el marco de procesos de </w:t>
      </w:r>
      <w:r w:rsidRPr="009405D8">
        <w:rPr>
          <w:rFonts w:cs="Times New Roman"/>
          <w:i/>
          <w:iCs/>
          <w:lang w:val="es-AR"/>
        </w:rPr>
        <w:t>Asset–Liability Management</w:t>
      </w:r>
      <w:r w:rsidRPr="009405D8">
        <w:rPr>
          <w:rFonts w:cs="Times New Roman"/>
          <w:lang w:val="es-AR"/>
        </w:rPr>
        <w:t xml:space="preserve"> y de asignación estratégica de activos, donde la estabilidad del perfil de riesgo y la mitigación de pérdidas severas suelen primar sobre la maximización de retornos esperados. En este sentido, el análisis dinámico de la volatilidad y del riesgo extremo realizado en este trabajo aporta información complementaria a las métricas tradicionales de desempeño, permitiendo una evaluación más completa del comportamiento de las estrategias bajo distintos regímenes de mercado.</w:t>
      </w:r>
    </w:p>
    <w:p w14:paraId="0CB08306" w14:textId="3AA71748" w:rsidR="009828BF" w:rsidRPr="009405D8" w:rsidRDefault="009828BF" w:rsidP="009405D8">
      <w:pPr>
        <w:pStyle w:val="Textoindependiente"/>
        <w:spacing w:line="360" w:lineRule="auto"/>
        <w:rPr>
          <w:rFonts w:cs="Times New Roman"/>
          <w:lang w:val="es-AR"/>
        </w:rPr>
      </w:pPr>
      <w:r w:rsidRPr="009828BF">
        <w:rPr>
          <w:rFonts w:cs="Times New Roman"/>
          <w:lang w:val="es-AR"/>
        </w:rPr>
        <w:t xml:space="preserve">En particular, desde el punto de vista actuarial, la adecuada modelización de la volatilidad condicional y del riesgo de cola resulta relevante para la estimación prudencial de reservas técnicas y para la determinación de requerimientos de capital basados en riesgo. La presencia de heterocedasticidad y colas pesadas documentada en este trabajo sugiere que supuestos de normalidad constante podrían subestimar pérdidas extremas, afectando la medición del capital económico y la solvencia bajo marcos regulatorios basados en riesgo. En este sentido, los resultados obtenidos refuerzan la importancia de incorporar </w:t>
      </w:r>
      <w:r w:rsidRPr="009828BF">
        <w:rPr>
          <w:rFonts w:cs="Times New Roman"/>
          <w:lang w:val="es-AR"/>
        </w:rPr>
        <w:lastRenderedPageBreak/>
        <w:t>herramientas dinámicas de medición del riesgo en procesos de Asset–Liability Management y en la gestión integral del capital.</w:t>
      </w:r>
    </w:p>
    <w:p w14:paraId="348FCB19" w14:textId="3B7F94E4" w:rsidR="009405D8" w:rsidRPr="009405D8" w:rsidRDefault="009405D8" w:rsidP="009405D8">
      <w:pPr>
        <w:pStyle w:val="Textoindependiente"/>
        <w:spacing w:line="360" w:lineRule="auto"/>
        <w:rPr>
          <w:rFonts w:cs="Times New Roman"/>
          <w:lang w:val="es-AR"/>
        </w:rPr>
      </w:pPr>
      <w:r w:rsidRPr="009405D8">
        <w:rPr>
          <w:rFonts w:cs="Times New Roman"/>
          <w:lang w:val="es-AR"/>
        </w:rPr>
        <w:t>En conjunto, la integración del análisis de desempeño</w:t>
      </w:r>
      <w:r w:rsidR="00427240">
        <w:rPr>
          <w:rFonts w:cs="Times New Roman"/>
          <w:lang w:val="es-AR"/>
        </w:rPr>
        <w:t xml:space="preserve"> y</w:t>
      </w:r>
      <w:r w:rsidRPr="009405D8">
        <w:rPr>
          <w:rFonts w:cs="Times New Roman"/>
          <w:lang w:val="es-AR"/>
        </w:rPr>
        <w:t xml:space="preserve"> la modelización del riesgo dinámico permite ofrecer una visión articulada del comportamiento de las estrategias de </w:t>
      </w:r>
      <w:r w:rsidRPr="009405D8">
        <w:rPr>
          <w:rFonts w:cs="Times New Roman"/>
          <w:i/>
          <w:iCs/>
          <w:lang w:val="es-AR"/>
        </w:rPr>
        <w:t>momentum</w:t>
      </w:r>
      <w:r w:rsidRPr="009405D8">
        <w:rPr>
          <w:rFonts w:cs="Times New Roman"/>
          <w:lang w:val="es-AR"/>
        </w:rPr>
        <w:t xml:space="preserve"> sectorial, contribuyendo a una comprensión más profunda de sus implicancias desde el punto de vista de la gestión integral del riesgo. Los resultados obtenidos aportan evidencia empírica relevante para la práctica actuarial y sientan las bases para futuras investigaciones en contextos donde la evaluación conjunta de retorno, riesgo y asignación de activos resulta prioritaria.</w:t>
      </w:r>
    </w:p>
    <w:p w14:paraId="38D82139" w14:textId="77777777" w:rsidR="00CA70E9" w:rsidRDefault="009E5222" w:rsidP="00654A59">
      <w:pPr>
        <w:pStyle w:val="Ttulo1"/>
        <w:rPr>
          <w:rFonts w:cs="Times New Roman"/>
        </w:rPr>
      </w:pPr>
      <w:bookmarkStart w:id="105" w:name="_Toc223214805"/>
      <w:bookmarkStart w:id="106" w:name="X7e42aae5250af09d03c1286eae3399decfd5aa6"/>
      <w:r w:rsidRPr="009706C8">
        <w:rPr>
          <w:rFonts w:cs="Times New Roman"/>
        </w:rPr>
        <w:t>ANEXO B</w:t>
      </w:r>
      <w:bookmarkEnd w:id="105"/>
    </w:p>
    <w:p w14:paraId="567F5BB3" w14:textId="77777777" w:rsidR="009E5222" w:rsidRPr="009706C8" w:rsidRDefault="009E5222" w:rsidP="00654A59">
      <w:pPr>
        <w:pStyle w:val="Ttulo1"/>
        <w:rPr>
          <w:rFonts w:cs="Times New Roman"/>
        </w:rPr>
      </w:pPr>
      <w:bookmarkStart w:id="107" w:name="_Toc223214806"/>
      <w:r w:rsidRPr="009706C8">
        <w:rPr>
          <w:rFonts w:cs="Times New Roman"/>
        </w:rPr>
        <w:t>Métricas de desempeño y riesgo complementarias</w:t>
      </w:r>
      <w:bookmarkEnd w:id="107"/>
    </w:p>
    <w:p w14:paraId="6EEDD39E" w14:textId="77777777" w:rsidR="009E5222" w:rsidRPr="009706C8" w:rsidRDefault="009E5222" w:rsidP="00F14042">
      <w:pPr>
        <w:pStyle w:val="Ttulo2"/>
        <w:rPr>
          <w:rFonts w:cs="Times New Roman"/>
        </w:rPr>
      </w:pPr>
      <w:bookmarkStart w:id="108" w:name="_Toc223214807"/>
      <w:bookmarkStart w:id="109" w:name="b.1-objetivo-del-anexo"/>
      <w:r w:rsidRPr="009706C8">
        <w:rPr>
          <w:rFonts w:cs="Times New Roman"/>
        </w:rPr>
        <w:t>B.1 Objetivo del anexo</w:t>
      </w:r>
      <w:bookmarkEnd w:id="108"/>
    </w:p>
    <w:p w14:paraId="34DC3C53" w14:textId="77777777" w:rsidR="006218FB" w:rsidRPr="006218FB" w:rsidRDefault="006218FB" w:rsidP="006218FB">
      <w:pPr>
        <w:pStyle w:val="Textoindependiente"/>
        <w:spacing w:line="360" w:lineRule="auto"/>
        <w:rPr>
          <w:rFonts w:cs="Times New Roman"/>
          <w:lang w:val="es-AR"/>
        </w:rPr>
      </w:pPr>
      <w:r w:rsidRPr="006218FB">
        <w:rPr>
          <w:rFonts w:cs="Times New Roman"/>
          <w:lang w:val="es-AR"/>
        </w:rPr>
        <w:t>El presente anexo tiene por objetivo presentar métricas adicionales de desempeño y riesgo que complementan el análisis desarrollado en el cuerpo principal de la tesis. Estas métricas no resultan necesarias para la validación de las hipótesis ni para la interpretación de los resultados centrales, pero aportan respaldo técnico adicional y permiten contrastar los resultados principales bajo enfoques alternativos y descriptivos.</w:t>
      </w:r>
    </w:p>
    <w:p w14:paraId="00031399" w14:textId="77777777" w:rsidR="006218FB" w:rsidRPr="006218FB" w:rsidRDefault="006218FB" w:rsidP="006218FB">
      <w:pPr>
        <w:pStyle w:val="Textoindependiente"/>
        <w:spacing w:line="360" w:lineRule="auto"/>
        <w:rPr>
          <w:rFonts w:cs="Times New Roman"/>
          <w:lang w:val="es-AR"/>
        </w:rPr>
      </w:pPr>
      <w:r w:rsidRPr="006218FB">
        <w:rPr>
          <w:rFonts w:cs="Times New Roman"/>
          <w:lang w:val="es-AR"/>
        </w:rPr>
        <w:t>En particular, este anexo reúne indicadores de desempeño ajustados por autocorrelación y medidas de riesgo extremo calculadas bajo un enfoque histórico no paramétrico, así como un ejercicio complementario de validación del Value at Risk. El cuerpo principal del trabajo es autosuficiente sin la consulta de este anexo.</w:t>
      </w:r>
    </w:p>
    <w:p w14:paraId="35321ACE" w14:textId="77777777" w:rsidR="006218FB" w:rsidRPr="006C66BF" w:rsidRDefault="006218FB" w:rsidP="0008582D">
      <w:pPr>
        <w:pStyle w:val="Textoindependiente"/>
        <w:spacing w:line="360" w:lineRule="auto"/>
        <w:rPr>
          <w:rFonts w:cs="Times New Roman"/>
          <w:lang w:val="es-AR"/>
        </w:rPr>
      </w:pPr>
      <w:r w:rsidRPr="006218FB">
        <w:rPr>
          <w:rFonts w:cs="Times New Roman"/>
          <w:lang w:val="es-AR"/>
        </w:rPr>
        <w:t>Dado el carácter complementario de los análisis aquí presentados, los resultados del Anexo B se interpretan con fines descriptivos y de respaldo técnico, y no se utilizan como criterio principal de validación ni de selección de modelos. Su inclusión permite contrastar los resultados del cuerpo principal bajo supuestos alternativos, sin modificar las conclusiones centrales del análisis empírico desarrollado en la tesis.</w:t>
      </w:r>
    </w:p>
    <w:p w14:paraId="5E3B20E5" w14:textId="77777777" w:rsidR="009E5222" w:rsidRPr="009706C8" w:rsidRDefault="009E5222" w:rsidP="00F14042">
      <w:pPr>
        <w:pStyle w:val="Ttulo2"/>
        <w:rPr>
          <w:rFonts w:cs="Times New Roman"/>
        </w:rPr>
      </w:pPr>
      <w:bookmarkStart w:id="110" w:name="_Toc223214808"/>
      <w:bookmarkStart w:id="111" w:name="Xdf2bd2a50864dbd17f65ea9720200c13fa4beb3"/>
      <w:bookmarkEnd w:id="109"/>
      <w:r w:rsidRPr="009706C8">
        <w:rPr>
          <w:rFonts w:cs="Times New Roman"/>
        </w:rPr>
        <w:t>B.2 Métricas de desempeño ajustadas por autocorrelación</w:t>
      </w:r>
      <w:bookmarkEnd w:id="110"/>
    </w:p>
    <w:p w14:paraId="1D69E166" w14:textId="77777777" w:rsidR="00EF040E" w:rsidRPr="00EF040E" w:rsidRDefault="00EF040E" w:rsidP="00EF040E">
      <w:pPr>
        <w:pStyle w:val="Textoindependiente"/>
        <w:spacing w:line="360" w:lineRule="auto"/>
        <w:rPr>
          <w:rFonts w:cs="Times New Roman"/>
          <w:lang w:val="es-AR"/>
        </w:rPr>
      </w:pPr>
      <w:r w:rsidRPr="00EF040E">
        <w:rPr>
          <w:rFonts w:cs="Times New Roman"/>
          <w:lang w:val="es-AR"/>
        </w:rPr>
        <w:t xml:space="preserve">El ratio de Sharpe reportado en el Capítulo 4 constituye una medida estándar de desempeño ajustado por riesgo. No obstante, dicho indicador asume independencia serial </w:t>
      </w:r>
      <w:r w:rsidRPr="00EF040E">
        <w:rPr>
          <w:rFonts w:cs="Times New Roman"/>
          <w:lang w:val="es-AR"/>
        </w:rPr>
        <w:lastRenderedPageBreak/>
        <w:t>de los retornos, supuesto que puede no cumplirse estrictamente en estrategias con rebalanceo periódico, como las estrategias de momentum sectorial analizadas en este trabajo.</w:t>
      </w:r>
    </w:p>
    <w:p w14:paraId="01F8CCF1" w14:textId="77777777" w:rsidR="00EF040E" w:rsidRPr="00EF040E" w:rsidRDefault="00EF040E" w:rsidP="00EF040E">
      <w:pPr>
        <w:pStyle w:val="Textoindependiente"/>
        <w:spacing w:line="360" w:lineRule="auto"/>
        <w:rPr>
          <w:rFonts w:cs="Times New Roman"/>
          <w:lang w:val="es-AR"/>
        </w:rPr>
      </w:pPr>
      <w:r w:rsidRPr="00EF040E">
        <w:rPr>
          <w:rFonts w:cs="Times New Roman"/>
          <w:lang w:val="es-AR"/>
        </w:rPr>
        <w:t>Con el fin de complementar dicho análisis, se calcula el ratio de Sharpe ajustado por autocorrelación según la corrección propuesta por Lo (2002). Esta medida ajusta la volatilidad efectiva incorporando la estructura de autocorrelación de los retornos, proporcionando una estimación más adecuada del desempeño ajustado por riesgo cuando la hipótesis de independencia serial no se cumple estrictamente.</w:t>
      </w:r>
    </w:p>
    <w:p w14:paraId="40DAE695" w14:textId="77777777" w:rsidR="006C66BF" w:rsidRDefault="006C66BF" w:rsidP="00C56046">
      <w:pPr>
        <w:pStyle w:val="Textoindependiente"/>
        <w:spacing w:line="360" w:lineRule="auto"/>
        <w:rPr>
          <w:rFonts w:cs="Times New Roman"/>
          <w:lang w:val="es-AR"/>
        </w:rPr>
      </w:pPr>
      <w:r w:rsidRPr="006C66BF">
        <w:rPr>
          <w:rFonts w:cs="Times New Roman"/>
          <w:lang w:val="es-AR"/>
        </w:rPr>
        <w:t>En las estrategias consideradas, el ajuste por autocorrelación da lugar a valores del indicador que difieren del Sharpe estándar, reflejando la presencia de dependencia temporal en los retornos mensuales. En los resultados empíricos obtenidos, el Sharpe ajustado resulta superior al no ajustado, lo que sugiere que la corrección por autocorrelación es relevante para una evaluación más precisa del desempeño ajustado por riesgo en este contexto.</w:t>
      </w:r>
    </w:p>
    <w:p w14:paraId="28CCC257" w14:textId="77777777" w:rsidR="009E5222" w:rsidRDefault="009E5222" w:rsidP="00C56046">
      <w:pPr>
        <w:pStyle w:val="Textoindependiente"/>
        <w:spacing w:line="360" w:lineRule="auto"/>
        <w:rPr>
          <w:rFonts w:cs="Times New Roman"/>
          <w:b/>
          <w:bCs/>
          <w:lang w:val="es-AR"/>
        </w:rPr>
      </w:pPr>
      <w:r w:rsidRPr="007610D0">
        <w:rPr>
          <w:rFonts w:cs="Times New Roman"/>
          <w:b/>
          <w:bCs/>
          <w:lang w:val="es-AR"/>
        </w:rPr>
        <w:t>TABLA B.1 – Ratio de Sharpe ajustado por autocorrelación (Lo, 2002)</w:t>
      </w:r>
    </w:p>
    <w:tbl>
      <w:tblPr>
        <w:tblW w:w="2930" w:type="dxa"/>
        <w:jc w:val="center"/>
        <w:tblCellMar>
          <w:left w:w="70" w:type="dxa"/>
          <w:right w:w="70" w:type="dxa"/>
        </w:tblCellMar>
        <w:tblLook w:val="04A0" w:firstRow="1" w:lastRow="0" w:firstColumn="1" w:lastColumn="0" w:noHBand="0" w:noVBand="1"/>
      </w:tblPr>
      <w:tblGrid>
        <w:gridCol w:w="1053"/>
        <w:gridCol w:w="778"/>
        <w:gridCol w:w="1099"/>
      </w:tblGrid>
      <w:tr w:rsidR="00D24475" w:rsidRPr="00D24475" w14:paraId="32063CC8" w14:textId="77777777" w:rsidTr="00017DD4">
        <w:trPr>
          <w:trHeight w:val="300"/>
          <w:jc w:val="center"/>
        </w:trPr>
        <w:tc>
          <w:tcPr>
            <w:tcW w:w="1053" w:type="dxa"/>
            <w:tcBorders>
              <w:top w:val="single" w:sz="4" w:space="0" w:color="auto"/>
              <w:left w:val="single" w:sz="4" w:space="0" w:color="auto"/>
              <w:bottom w:val="single" w:sz="4" w:space="0" w:color="auto"/>
              <w:right w:val="single" w:sz="4" w:space="0" w:color="auto"/>
            </w:tcBorders>
            <w:noWrap/>
            <w:hideMark/>
          </w:tcPr>
          <w:p w14:paraId="524856C6" w14:textId="77777777" w:rsidR="00D24475" w:rsidRPr="00D24475" w:rsidRDefault="00D24475" w:rsidP="00D24475">
            <w:pPr>
              <w:spacing w:line="240" w:lineRule="auto"/>
              <w:jc w:val="center"/>
              <w:rPr>
                <w:rFonts w:ascii="Calibri" w:eastAsia="Times New Roman" w:hAnsi="Calibri" w:cs="Calibri"/>
                <w:b/>
                <w:bCs/>
                <w:color w:val="000000"/>
                <w:kern w:val="0"/>
                <w:sz w:val="22"/>
                <w:szCs w:val="22"/>
                <w:lang w:eastAsia="es-AR"/>
                <w14:ligatures w14:val="none"/>
              </w:rPr>
            </w:pPr>
            <w:r w:rsidRPr="00D24475">
              <w:rPr>
                <w:rFonts w:ascii="Calibri" w:eastAsia="Times New Roman" w:hAnsi="Calibri" w:cs="Calibri"/>
                <w:b/>
                <w:bCs/>
                <w:color w:val="000000"/>
                <w:kern w:val="0"/>
                <w:sz w:val="22"/>
                <w:szCs w:val="22"/>
                <w:lang w:eastAsia="es-AR"/>
                <w14:ligatures w14:val="none"/>
              </w:rPr>
              <w:t>Estrategia</w:t>
            </w:r>
          </w:p>
        </w:tc>
        <w:tc>
          <w:tcPr>
            <w:tcW w:w="778" w:type="dxa"/>
            <w:tcBorders>
              <w:top w:val="single" w:sz="4" w:space="0" w:color="auto"/>
              <w:left w:val="nil"/>
              <w:bottom w:val="single" w:sz="4" w:space="0" w:color="auto"/>
              <w:right w:val="single" w:sz="4" w:space="0" w:color="auto"/>
            </w:tcBorders>
            <w:noWrap/>
            <w:hideMark/>
          </w:tcPr>
          <w:p w14:paraId="3C35DB99" w14:textId="77777777" w:rsidR="00D24475" w:rsidRPr="00D24475" w:rsidRDefault="00D24475" w:rsidP="00D24475">
            <w:pPr>
              <w:spacing w:line="240" w:lineRule="auto"/>
              <w:jc w:val="center"/>
              <w:rPr>
                <w:rFonts w:ascii="Calibri" w:eastAsia="Times New Roman" w:hAnsi="Calibri" w:cs="Calibri"/>
                <w:b/>
                <w:bCs/>
                <w:color w:val="000000"/>
                <w:kern w:val="0"/>
                <w:sz w:val="22"/>
                <w:szCs w:val="22"/>
                <w:lang w:eastAsia="es-AR"/>
                <w14:ligatures w14:val="none"/>
              </w:rPr>
            </w:pPr>
            <w:r w:rsidRPr="00D24475">
              <w:rPr>
                <w:rFonts w:ascii="Calibri" w:eastAsia="Times New Roman" w:hAnsi="Calibri" w:cs="Calibri"/>
                <w:b/>
                <w:bCs/>
                <w:color w:val="000000"/>
                <w:kern w:val="0"/>
                <w:sz w:val="22"/>
                <w:szCs w:val="22"/>
                <w:lang w:eastAsia="es-AR"/>
                <w14:ligatures w14:val="none"/>
              </w:rPr>
              <w:t>Sharpe</w:t>
            </w:r>
          </w:p>
        </w:tc>
        <w:tc>
          <w:tcPr>
            <w:tcW w:w="1099" w:type="dxa"/>
            <w:tcBorders>
              <w:top w:val="single" w:sz="4" w:space="0" w:color="auto"/>
              <w:left w:val="nil"/>
              <w:bottom w:val="single" w:sz="4" w:space="0" w:color="auto"/>
              <w:right w:val="single" w:sz="4" w:space="0" w:color="auto"/>
            </w:tcBorders>
            <w:noWrap/>
            <w:hideMark/>
          </w:tcPr>
          <w:p w14:paraId="7936451C" w14:textId="77777777" w:rsidR="00D24475" w:rsidRPr="00D24475" w:rsidRDefault="00D24475" w:rsidP="00D24475">
            <w:pPr>
              <w:spacing w:line="240" w:lineRule="auto"/>
              <w:jc w:val="center"/>
              <w:rPr>
                <w:rFonts w:ascii="Calibri" w:eastAsia="Times New Roman" w:hAnsi="Calibri" w:cs="Calibri"/>
                <w:b/>
                <w:bCs/>
                <w:color w:val="000000"/>
                <w:kern w:val="0"/>
                <w:sz w:val="22"/>
                <w:szCs w:val="22"/>
                <w:lang w:eastAsia="es-AR"/>
                <w14:ligatures w14:val="none"/>
              </w:rPr>
            </w:pPr>
            <w:r w:rsidRPr="00D24475">
              <w:rPr>
                <w:rFonts w:ascii="Calibri" w:eastAsia="Times New Roman" w:hAnsi="Calibri" w:cs="Calibri"/>
                <w:b/>
                <w:bCs/>
                <w:color w:val="000000"/>
                <w:kern w:val="0"/>
                <w:sz w:val="22"/>
                <w:szCs w:val="22"/>
                <w:lang w:eastAsia="es-AR"/>
                <w14:ligatures w14:val="none"/>
              </w:rPr>
              <w:t>Sharpe_Lo</w:t>
            </w:r>
          </w:p>
        </w:tc>
      </w:tr>
      <w:tr w:rsidR="00D24475" w:rsidRPr="00D24475" w14:paraId="548F37E1" w14:textId="77777777" w:rsidTr="00017DD4">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34569701" w14:textId="77777777" w:rsidR="00D24475" w:rsidRPr="00D24475" w:rsidRDefault="00D24475" w:rsidP="00D24475">
            <w:pPr>
              <w:spacing w:line="240" w:lineRule="auto"/>
              <w:jc w:val="lef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SPY</w:t>
            </w:r>
          </w:p>
        </w:tc>
        <w:tc>
          <w:tcPr>
            <w:tcW w:w="778" w:type="dxa"/>
            <w:tcBorders>
              <w:top w:val="nil"/>
              <w:left w:val="nil"/>
              <w:bottom w:val="single" w:sz="4" w:space="0" w:color="auto"/>
              <w:right w:val="single" w:sz="4" w:space="0" w:color="auto"/>
            </w:tcBorders>
            <w:noWrap/>
            <w:vAlign w:val="bottom"/>
            <w:hideMark/>
          </w:tcPr>
          <w:p w14:paraId="78EBCCBD"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0,7586</w:t>
            </w:r>
          </w:p>
        </w:tc>
        <w:tc>
          <w:tcPr>
            <w:tcW w:w="1099" w:type="dxa"/>
            <w:tcBorders>
              <w:top w:val="nil"/>
              <w:left w:val="nil"/>
              <w:bottom w:val="single" w:sz="4" w:space="0" w:color="auto"/>
              <w:right w:val="single" w:sz="4" w:space="0" w:color="auto"/>
            </w:tcBorders>
            <w:noWrap/>
            <w:vAlign w:val="bottom"/>
            <w:hideMark/>
          </w:tcPr>
          <w:p w14:paraId="091A6487"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0,7883</w:t>
            </w:r>
          </w:p>
        </w:tc>
      </w:tr>
      <w:tr w:rsidR="00D24475" w:rsidRPr="00D24475" w14:paraId="2AF5A9E2" w14:textId="77777777" w:rsidTr="00017DD4">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155F8C5B" w14:textId="77777777" w:rsidR="00D24475" w:rsidRPr="00D24475" w:rsidRDefault="00D24475" w:rsidP="00D24475">
            <w:pPr>
              <w:spacing w:line="240" w:lineRule="auto"/>
              <w:jc w:val="lef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LO_3</w:t>
            </w:r>
          </w:p>
        </w:tc>
        <w:tc>
          <w:tcPr>
            <w:tcW w:w="778" w:type="dxa"/>
            <w:tcBorders>
              <w:top w:val="nil"/>
              <w:left w:val="nil"/>
              <w:bottom w:val="single" w:sz="4" w:space="0" w:color="auto"/>
              <w:right w:val="single" w:sz="4" w:space="0" w:color="auto"/>
            </w:tcBorders>
            <w:noWrap/>
            <w:vAlign w:val="bottom"/>
            <w:hideMark/>
          </w:tcPr>
          <w:p w14:paraId="0D983BD4"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0,7414</w:t>
            </w:r>
          </w:p>
        </w:tc>
        <w:tc>
          <w:tcPr>
            <w:tcW w:w="1099" w:type="dxa"/>
            <w:tcBorders>
              <w:top w:val="nil"/>
              <w:left w:val="nil"/>
              <w:bottom w:val="single" w:sz="4" w:space="0" w:color="auto"/>
              <w:right w:val="single" w:sz="4" w:space="0" w:color="auto"/>
            </w:tcBorders>
            <w:noWrap/>
            <w:vAlign w:val="bottom"/>
            <w:hideMark/>
          </w:tcPr>
          <w:p w14:paraId="243BF368"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0,9039</w:t>
            </w:r>
          </w:p>
        </w:tc>
      </w:tr>
      <w:tr w:rsidR="00D24475" w:rsidRPr="00D24475" w14:paraId="33F95AC7" w14:textId="77777777" w:rsidTr="00017DD4">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2D83196C" w14:textId="77777777" w:rsidR="00D24475" w:rsidRPr="00D24475" w:rsidRDefault="00D24475" w:rsidP="00D24475">
            <w:pPr>
              <w:spacing w:line="240" w:lineRule="auto"/>
              <w:jc w:val="lef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LO_6</w:t>
            </w:r>
          </w:p>
        </w:tc>
        <w:tc>
          <w:tcPr>
            <w:tcW w:w="778" w:type="dxa"/>
            <w:tcBorders>
              <w:top w:val="nil"/>
              <w:left w:val="nil"/>
              <w:bottom w:val="single" w:sz="4" w:space="0" w:color="auto"/>
              <w:right w:val="single" w:sz="4" w:space="0" w:color="auto"/>
            </w:tcBorders>
            <w:noWrap/>
            <w:vAlign w:val="bottom"/>
            <w:hideMark/>
          </w:tcPr>
          <w:p w14:paraId="1973014E"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0,6706</w:t>
            </w:r>
          </w:p>
        </w:tc>
        <w:tc>
          <w:tcPr>
            <w:tcW w:w="1099" w:type="dxa"/>
            <w:tcBorders>
              <w:top w:val="nil"/>
              <w:left w:val="nil"/>
              <w:bottom w:val="single" w:sz="4" w:space="0" w:color="auto"/>
              <w:right w:val="single" w:sz="4" w:space="0" w:color="auto"/>
            </w:tcBorders>
            <w:noWrap/>
            <w:vAlign w:val="bottom"/>
            <w:hideMark/>
          </w:tcPr>
          <w:p w14:paraId="6C05C23C"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0,7697</w:t>
            </w:r>
          </w:p>
        </w:tc>
      </w:tr>
      <w:tr w:rsidR="00D24475" w:rsidRPr="00D24475" w14:paraId="588B8B61" w14:textId="77777777" w:rsidTr="00017DD4">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001C5C30" w14:textId="77777777" w:rsidR="00D24475" w:rsidRPr="00D24475" w:rsidRDefault="00D24475" w:rsidP="00D24475">
            <w:pPr>
              <w:spacing w:line="240" w:lineRule="auto"/>
              <w:jc w:val="lef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LO_12</w:t>
            </w:r>
          </w:p>
        </w:tc>
        <w:tc>
          <w:tcPr>
            <w:tcW w:w="778" w:type="dxa"/>
            <w:tcBorders>
              <w:top w:val="nil"/>
              <w:left w:val="nil"/>
              <w:bottom w:val="single" w:sz="4" w:space="0" w:color="auto"/>
              <w:right w:val="single" w:sz="4" w:space="0" w:color="auto"/>
            </w:tcBorders>
            <w:noWrap/>
            <w:vAlign w:val="bottom"/>
            <w:hideMark/>
          </w:tcPr>
          <w:p w14:paraId="5B095362"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0,7190</w:t>
            </w:r>
          </w:p>
        </w:tc>
        <w:tc>
          <w:tcPr>
            <w:tcW w:w="1099" w:type="dxa"/>
            <w:tcBorders>
              <w:top w:val="nil"/>
              <w:left w:val="nil"/>
              <w:bottom w:val="single" w:sz="4" w:space="0" w:color="auto"/>
              <w:right w:val="single" w:sz="4" w:space="0" w:color="auto"/>
            </w:tcBorders>
            <w:noWrap/>
            <w:vAlign w:val="bottom"/>
            <w:hideMark/>
          </w:tcPr>
          <w:p w14:paraId="0FD0CE6B" w14:textId="77777777" w:rsidR="00D24475" w:rsidRPr="00D24475" w:rsidRDefault="00D24475" w:rsidP="00D24475">
            <w:pPr>
              <w:spacing w:line="240" w:lineRule="auto"/>
              <w:jc w:val="right"/>
              <w:rPr>
                <w:rFonts w:ascii="Calibri" w:eastAsia="Times New Roman" w:hAnsi="Calibri" w:cs="Calibri"/>
                <w:color w:val="000000"/>
                <w:kern w:val="0"/>
                <w:sz w:val="22"/>
                <w:szCs w:val="22"/>
                <w:lang w:eastAsia="es-AR"/>
                <w14:ligatures w14:val="none"/>
              </w:rPr>
            </w:pPr>
            <w:r w:rsidRPr="00D24475">
              <w:rPr>
                <w:rFonts w:ascii="Calibri" w:eastAsia="Times New Roman" w:hAnsi="Calibri" w:cs="Calibri"/>
                <w:color w:val="000000"/>
                <w:kern w:val="0"/>
                <w:sz w:val="22"/>
                <w:szCs w:val="22"/>
                <w:lang w:eastAsia="es-AR"/>
                <w14:ligatures w14:val="none"/>
              </w:rPr>
              <w:t>0,8661</w:t>
            </w:r>
          </w:p>
        </w:tc>
      </w:tr>
    </w:tbl>
    <w:p w14:paraId="7C6EDE07" w14:textId="22C036A7" w:rsidR="00E55B0C" w:rsidRPr="00952394" w:rsidRDefault="00017DD4" w:rsidP="00952394">
      <w:pPr>
        <w:pStyle w:val="Textoindependiente"/>
        <w:rPr>
          <w:rFonts w:cs="Times New Roman"/>
          <w:lang w:val="es-AR"/>
        </w:rPr>
      </w:pPr>
      <w:r w:rsidRPr="00017DD4">
        <w:rPr>
          <w:rFonts w:cs="Times New Roman"/>
          <w:b/>
          <w:bCs/>
          <w:lang w:val="es-AR"/>
        </w:rPr>
        <w:t>Nota:</w:t>
      </w:r>
      <w:r w:rsidRPr="00017DD4">
        <w:rPr>
          <w:rFonts w:cs="Times New Roman"/>
          <w:lang w:val="es-AR"/>
        </w:rPr>
        <w:t xml:space="preserve"> </w:t>
      </w:r>
      <w:r w:rsidRPr="00017DD4">
        <w:rPr>
          <w:rFonts w:cs="Times New Roman"/>
          <w:i/>
          <w:iCs/>
          <w:lang w:val="es-AR"/>
        </w:rPr>
        <w:t xml:space="preserve">En este anexo, el Sharpe estándar y el Sharpe ajustado por Lo (2002) se computan utilizando retornos mensuales y asumiendo una tasa libre de riesgo constante (aproximada como 0 a esta frecuencia), dado que el objetivo del ajuste es capturar el impacto de la autocorrelación sobre la volatilidad efectiva. En el Capítulo 4, en cambio, el Sharpe se calcula con </w:t>
      </w:r>
      <m:oMath>
        <m:sSub>
          <m:sSubPr>
            <m:ctrlPr>
              <w:rPr>
                <w:rFonts w:ascii="Cambria Math" w:hAnsi="Cambria Math" w:cs="Times New Roman"/>
                <w:lang w:val="es-AR"/>
              </w:rPr>
            </m:ctrlPr>
          </m:sSubPr>
          <m:e>
            <m:r>
              <w:rPr>
                <w:rFonts w:ascii="Cambria Math" w:hAnsi="Cambria Math" w:cs="Times New Roman"/>
                <w:lang w:val="es-AR"/>
              </w:rPr>
              <m:t>R</m:t>
            </m:r>
          </m:e>
          <m:sub>
            <m:r>
              <w:rPr>
                <w:rFonts w:ascii="Cambria Math" w:hAnsi="Cambria Math" w:cs="Times New Roman"/>
                <w:lang w:val="es-AR"/>
              </w:rPr>
              <m:t>f</m:t>
            </m:r>
          </m:sub>
        </m:sSub>
      </m:oMath>
      <w:r w:rsidRPr="00017DD4">
        <w:rPr>
          <w:rFonts w:cs="Times New Roman"/>
          <w:i/>
          <w:iCs/>
          <w:lang w:val="es-AR"/>
        </w:rPr>
        <w:t>mensual proxy del Treasury Bill a 3 meses (</w:t>
      </w:r>
      <w:r>
        <w:rPr>
          <w:rFonts w:cs="Times New Roman"/>
          <w:i/>
          <w:iCs/>
          <w:lang w:val="es-AR"/>
        </w:rPr>
        <w:t>I</w:t>
      </w:r>
      <m:oMath>
        <m:r>
          <w:rPr>
            <w:rFonts w:ascii="Cambria Math" w:hAnsi="Cambria Math" w:cs="Times New Roman"/>
            <w:lang w:val="es-AR"/>
          </w:rPr>
          <m:t>RX</m:t>
        </m:r>
      </m:oMath>
      <w:r w:rsidRPr="00017DD4">
        <w:rPr>
          <w:rFonts w:cs="Times New Roman"/>
          <w:i/>
          <w:iCs/>
          <w:lang w:val="es-AR"/>
        </w:rPr>
        <w:t>).</w:t>
      </w:r>
    </w:p>
    <w:p w14:paraId="4448B1EC" w14:textId="77777777" w:rsidR="0024291C" w:rsidRPr="00EF040E" w:rsidRDefault="0024291C" w:rsidP="00EF040E">
      <w:pPr>
        <w:spacing w:line="360" w:lineRule="auto"/>
      </w:pPr>
      <w:bookmarkStart w:id="112" w:name="Xbb92f6fe4b929548d65a53abd7c5c48fe02d778"/>
      <w:bookmarkEnd w:id="111"/>
      <w:r w:rsidRPr="0024291C">
        <w:t>La corrección por autocorrelación permite contrastar la sensibilidad del ratio de Sharpe estándar a supuestos alternativos sobre la estructura temporal de los retornos, reforzando la consistencia de los resultados sin introducir nuevos criterios principales de evaluación.</w:t>
      </w:r>
    </w:p>
    <w:p w14:paraId="33DE7C7B" w14:textId="77777777" w:rsidR="009E5222" w:rsidRPr="009706C8" w:rsidRDefault="009E5222" w:rsidP="00F14042">
      <w:pPr>
        <w:pStyle w:val="Ttulo2"/>
        <w:rPr>
          <w:rFonts w:cs="Times New Roman"/>
        </w:rPr>
      </w:pPr>
      <w:bookmarkStart w:id="113" w:name="_Toc223214809"/>
      <w:r w:rsidRPr="009706C8">
        <w:rPr>
          <w:rFonts w:cs="Times New Roman"/>
        </w:rPr>
        <w:t>B.3 Medidas históricas de riesgo extremo: VaR y Expected Shortfall</w:t>
      </w:r>
      <w:bookmarkEnd w:id="113"/>
    </w:p>
    <w:p w14:paraId="795A5B0A" w14:textId="77777777" w:rsidR="00E678CF" w:rsidRPr="00E678CF" w:rsidRDefault="00E678CF" w:rsidP="00E678CF">
      <w:pPr>
        <w:pStyle w:val="Textoindependiente"/>
        <w:spacing w:line="360" w:lineRule="auto"/>
        <w:rPr>
          <w:rFonts w:cs="Times New Roman"/>
          <w:lang w:val="es-AR"/>
        </w:rPr>
      </w:pPr>
      <w:r w:rsidRPr="00E678CF">
        <w:rPr>
          <w:rFonts w:cs="Times New Roman"/>
          <w:lang w:val="es-AR"/>
        </w:rPr>
        <w:t xml:space="preserve">Como complemento al análisis de riesgo dinámico desarrollado en el Capítulo 5, en este anexo se presentan medidas </w:t>
      </w:r>
      <w:r w:rsidRPr="00E678CF">
        <w:rPr>
          <w:rFonts w:cs="Times New Roman"/>
          <w:b/>
          <w:bCs/>
          <w:lang w:val="es-AR"/>
        </w:rPr>
        <w:t>históricas</w:t>
      </w:r>
      <w:r w:rsidRPr="00E678CF">
        <w:rPr>
          <w:rFonts w:cs="Times New Roman"/>
          <w:lang w:val="es-AR"/>
        </w:rPr>
        <w:t xml:space="preserve"> de riesgo extremo calculadas a partir de la distribución empírica de los retornos mensuales. En particular, se reportan el </w:t>
      </w:r>
      <w:r w:rsidRPr="00E678CF">
        <w:rPr>
          <w:rFonts w:cs="Times New Roman"/>
          <w:b/>
          <w:bCs/>
          <w:lang w:val="es-AR"/>
        </w:rPr>
        <w:t>Value at Risk (VaR)</w:t>
      </w:r>
      <w:r w:rsidRPr="00E678CF">
        <w:rPr>
          <w:rFonts w:cs="Times New Roman"/>
          <w:lang w:val="es-AR"/>
        </w:rPr>
        <w:t xml:space="preserve"> y el </w:t>
      </w:r>
      <w:r w:rsidRPr="00E678CF">
        <w:rPr>
          <w:rFonts w:cs="Times New Roman"/>
          <w:b/>
          <w:bCs/>
          <w:lang w:val="es-AR"/>
        </w:rPr>
        <w:t>Expected Shortfall (ES)</w:t>
      </w:r>
      <w:r w:rsidRPr="00E678CF">
        <w:rPr>
          <w:rFonts w:cs="Times New Roman"/>
          <w:lang w:val="es-AR"/>
        </w:rPr>
        <w:t xml:space="preserve"> históricos al nivel de confianza del 95%.</w:t>
      </w:r>
    </w:p>
    <w:p w14:paraId="1A637F1A" w14:textId="77777777" w:rsidR="00E678CF" w:rsidRPr="00E678CF" w:rsidRDefault="00E678CF" w:rsidP="00E678CF">
      <w:pPr>
        <w:pStyle w:val="Textoindependiente"/>
        <w:spacing w:line="360" w:lineRule="auto"/>
        <w:rPr>
          <w:rFonts w:cs="Times New Roman"/>
          <w:lang w:val="es-AR"/>
        </w:rPr>
      </w:pPr>
      <w:r w:rsidRPr="00E678CF">
        <w:rPr>
          <w:rFonts w:cs="Times New Roman"/>
          <w:lang w:val="es-AR"/>
        </w:rPr>
        <w:lastRenderedPageBreak/>
        <w:t xml:space="preserve">A diferencia del enfoque paramétrico condicional basado en modelos GARCH, estas medidas se estiman bajo un enfoque </w:t>
      </w:r>
      <w:r w:rsidRPr="00E678CF">
        <w:rPr>
          <w:rFonts w:cs="Times New Roman"/>
          <w:b/>
          <w:bCs/>
          <w:lang w:val="es-AR"/>
        </w:rPr>
        <w:t>no paramétrico y ex post</w:t>
      </w:r>
      <w:r w:rsidRPr="00E678CF">
        <w:rPr>
          <w:rFonts w:cs="Times New Roman"/>
          <w:lang w:val="es-AR"/>
        </w:rPr>
        <w:t>, sin imponer supuestos específicos sobre la distribución de los retornos ni sobre la dinámica temporal de la volatilidad. Su objetivo es proporcionar una referencia descriptiva adicional y facilitar la comparación entre estrategias bajo un criterio homogéneo.</w:t>
      </w:r>
    </w:p>
    <w:p w14:paraId="760FD4A5" w14:textId="77777777" w:rsidR="00E678CF" w:rsidRPr="0008582D" w:rsidRDefault="00E678CF" w:rsidP="0008582D">
      <w:pPr>
        <w:pStyle w:val="Textoindependiente"/>
        <w:spacing w:line="360" w:lineRule="auto"/>
        <w:rPr>
          <w:rFonts w:cs="Times New Roman"/>
          <w:lang w:val="es-AR"/>
        </w:rPr>
      </w:pPr>
      <w:r w:rsidRPr="00E678CF">
        <w:rPr>
          <w:rFonts w:cs="Times New Roman"/>
          <w:lang w:val="es-AR"/>
        </w:rPr>
        <w:t xml:space="preserve">Los valores se expresan como </w:t>
      </w:r>
      <w:r w:rsidRPr="00E678CF">
        <w:rPr>
          <w:rFonts w:cs="Times New Roman"/>
          <w:b/>
          <w:bCs/>
          <w:lang w:val="es-AR"/>
        </w:rPr>
        <w:t>pérdidas</w:t>
      </w:r>
      <w:r w:rsidRPr="00E678CF">
        <w:rPr>
          <w:rFonts w:cs="Times New Roman"/>
          <w:lang w:val="es-AR"/>
        </w:rPr>
        <w:t xml:space="preserve"> y corresponden a cuantiles (VaR) y promedios de cola (ES) de la distribución histórica de retornos mensuales netos de costos.</w:t>
      </w:r>
    </w:p>
    <w:p w14:paraId="585DB3BA" w14:textId="77777777" w:rsidR="009E5222" w:rsidRDefault="009E5222" w:rsidP="00952394">
      <w:pPr>
        <w:pStyle w:val="Textoindependiente"/>
        <w:rPr>
          <w:rFonts w:cs="Times New Roman"/>
          <w:b/>
          <w:bCs/>
          <w:lang w:val="es-AR"/>
        </w:rPr>
      </w:pPr>
      <w:r w:rsidRPr="007610D0">
        <w:rPr>
          <w:rFonts w:cs="Times New Roman"/>
          <w:b/>
          <w:bCs/>
          <w:lang w:val="es-AR"/>
        </w:rPr>
        <w:t>TABLA B.2 – VaR histórico (95%) y Expected Shortfall histórico (95%)</w:t>
      </w:r>
    </w:p>
    <w:tbl>
      <w:tblPr>
        <w:tblW w:w="2840" w:type="dxa"/>
        <w:jc w:val="center"/>
        <w:tblCellMar>
          <w:left w:w="70" w:type="dxa"/>
          <w:right w:w="70" w:type="dxa"/>
        </w:tblCellMar>
        <w:tblLook w:val="04A0" w:firstRow="1" w:lastRow="0" w:firstColumn="1" w:lastColumn="0" w:noHBand="0" w:noVBand="1"/>
      </w:tblPr>
      <w:tblGrid>
        <w:gridCol w:w="1053"/>
        <w:gridCol w:w="836"/>
        <w:gridCol w:w="1060"/>
      </w:tblGrid>
      <w:tr w:rsidR="007233BB" w:rsidRPr="007233BB" w14:paraId="32287D9E" w14:textId="77777777" w:rsidTr="007233BB">
        <w:trPr>
          <w:trHeight w:val="300"/>
          <w:jc w:val="center"/>
        </w:trPr>
        <w:tc>
          <w:tcPr>
            <w:tcW w:w="1020" w:type="dxa"/>
            <w:tcBorders>
              <w:top w:val="single" w:sz="4" w:space="0" w:color="auto"/>
              <w:left w:val="single" w:sz="4" w:space="0" w:color="auto"/>
              <w:bottom w:val="single" w:sz="4" w:space="0" w:color="auto"/>
              <w:right w:val="single" w:sz="4" w:space="0" w:color="auto"/>
            </w:tcBorders>
            <w:noWrap/>
            <w:hideMark/>
          </w:tcPr>
          <w:p w14:paraId="1DC4D518" w14:textId="77777777" w:rsidR="007233BB" w:rsidRPr="007233BB" w:rsidRDefault="007233BB" w:rsidP="007233BB">
            <w:pPr>
              <w:spacing w:line="240" w:lineRule="auto"/>
              <w:jc w:val="center"/>
              <w:rPr>
                <w:rFonts w:ascii="Calibri" w:eastAsia="Times New Roman" w:hAnsi="Calibri" w:cs="Calibri"/>
                <w:b/>
                <w:bCs/>
                <w:color w:val="000000"/>
                <w:kern w:val="0"/>
                <w:sz w:val="22"/>
                <w:szCs w:val="22"/>
                <w:lang w:eastAsia="es-AR"/>
                <w14:ligatures w14:val="none"/>
              </w:rPr>
            </w:pPr>
            <w:r w:rsidRPr="007233BB">
              <w:rPr>
                <w:rFonts w:ascii="Calibri" w:eastAsia="Times New Roman" w:hAnsi="Calibri" w:cs="Calibri"/>
                <w:b/>
                <w:bCs/>
                <w:color w:val="000000"/>
                <w:kern w:val="0"/>
                <w:sz w:val="22"/>
                <w:szCs w:val="22"/>
                <w:lang w:eastAsia="es-AR"/>
                <w14:ligatures w14:val="none"/>
              </w:rPr>
              <w:t>Estrategia</w:t>
            </w:r>
          </w:p>
        </w:tc>
        <w:tc>
          <w:tcPr>
            <w:tcW w:w="760" w:type="dxa"/>
            <w:tcBorders>
              <w:top w:val="single" w:sz="4" w:space="0" w:color="auto"/>
              <w:left w:val="nil"/>
              <w:bottom w:val="single" w:sz="4" w:space="0" w:color="auto"/>
              <w:right w:val="single" w:sz="4" w:space="0" w:color="auto"/>
            </w:tcBorders>
            <w:noWrap/>
            <w:hideMark/>
          </w:tcPr>
          <w:p w14:paraId="232FAA20" w14:textId="77777777" w:rsidR="007233BB" w:rsidRPr="007233BB" w:rsidRDefault="007233BB" w:rsidP="007233BB">
            <w:pPr>
              <w:spacing w:line="240" w:lineRule="auto"/>
              <w:jc w:val="center"/>
              <w:rPr>
                <w:rFonts w:ascii="Calibri" w:eastAsia="Times New Roman" w:hAnsi="Calibri" w:cs="Calibri"/>
                <w:b/>
                <w:bCs/>
                <w:color w:val="000000"/>
                <w:kern w:val="0"/>
                <w:sz w:val="22"/>
                <w:szCs w:val="22"/>
                <w:lang w:eastAsia="es-AR"/>
                <w14:ligatures w14:val="none"/>
              </w:rPr>
            </w:pPr>
            <w:r w:rsidRPr="007233BB">
              <w:rPr>
                <w:rFonts w:ascii="Calibri" w:eastAsia="Times New Roman" w:hAnsi="Calibri" w:cs="Calibri"/>
                <w:b/>
                <w:bCs/>
                <w:color w:val="000000"/>
                <w:kern w:val="0"/>
                <w:sz w:val="22"/>
                <w:szCs w:val="22"/>
                <w:lang w:eastAsia="es-AR"/>
                <w14:ligatures w14:val="none"/>
              </w:rPr>
              <w:t>VaR_95</w:t>
            </w:r>
          </w:p>
        </w:tc>
        <w:tc>
          <w:tcPr>
            <w:tcW w:w="1060" w:type="dxa"/>
            <w:tcBorders>
              <w:top w:val="single" w:sz="4" w:space="0" w:color="auto"/>
              <w:left w:val="nil"/>
              <w:bottom w:val="single" w:sz="4" w:space="0" w:color="auto"/>
              <w:right w:val="single" w:sz="4" w:space="0" w:color="auto"/>
            </w:tcBorders>
            <w:noWrap/>
            <w:hideMark/>
          </w:tcPr>
          <w:p w14:paraId="769E4E23" w14:textId="77777777" w:rsidR="007233BB" w:rsidRPr="007233BB" w:rsidRDefault="007233BB" w:rsidP="007233BB">
            <w:pPr>
              <w:spacing w:line="240" w:lineRule="auto"/>
              <w:jc w:val="center"/>
              <w:rPr>
                <w:rFonts w:ascii="Calibri" w:eastAsia="Times New Roman" w:hAnsi="Calibri" w:cs="Calibri"/>
                <w:b/>
                <w:bCs/>
                <w:color w:val="000000"/>
                <w:kern w:val="0"/>
                <w:sz w:val="22"/>
                <w:szCs w:val="22"/>
                <w:lang w:eastAsia="es-AR"/>
                <w14:ligatures w14:val="none"/>
              </w:rPr>
            </w:pPr>
            <w:r w:rsidRPr="007233BB">
              <w:rPr>
                <w:rFonts w:ascii="Calibri" w:eastAsia="Times New Roman" w:hAnsi="Calibri" w:cs="Calibri"/>
                <w:b/>
                <w:bCs/>
                <w:color w:val="000000"/>
                <w:kern w:val="0"/>
                <w:sz w:val="22"/>
                <w:szCs w:val="22"/>
                <w:lang w:eastAsia="es-AR"/>
                <w14:ligatures w14:val="none"/>
              </w:rPr>
              <w:t>ES_95</w:t>
            </w:r>
          </w:p>
        </w:tc>
      </w:tr>
      <w:tr w:rsidR="007233BB" w:rsidRPr="007233BB" w14:paraId="74DACBCB" w14:textId="77777777" w:rsidTr="007233BB">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5667D543" w14:textId="77777777" w:rsidR="007233BB" w:rsidRPr="007233BB" w:rsidRDefault="007233BB" w:rsidP="007233BB">
            <w:pPr>
              <w:spacing w:line="240" w:lineRule="auto"/>
              <w:jc w:val="lef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SPY</w:t>
            </w:r>
          </w:p>
        </w:tc>
        <w:tc>
          <w:tcPr>
            <w:tcW w:w="760" w:type="dxa"/>
            <w:tcBorders>
              <w:top w:val="nil"/>
              <w:left w:val="nil"/>
              <w:bottom w:val="single" w:sz="4" w:space="0" w:color="auto"/>
              <w:right w:val="single" w:sz="4" w:space="0" w:color="auto"/>
            </w:tcBorders>
            <w:noWrap/>
            <w:vAlign w:val="bottom"/>
            <w:hideMark/>
          </w:tcPr>
          <w:p w14:paraId="686D5463"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-0,0695</w:t>
            </w:r>
          </w:p>
        </w:tc>
        <w:tc>
          <w:tcPr>
            <w:tcW w:w="1060" w:type="dxa"/>
            <w:tcBorders>
              <w:top w:val="nil"/>
              <w:left w:val="nil"/>
              <w:bottom w:val="single" w:sz="4" w:space="0" w:color="auto"/>
              <w:right w:val="single" w:sz="4" w:space="0" w:color="auto"/>
            </w:tcBorders>
            <w:noWrap/>
            <w:vAlign w:val="bottom"/>
            <w:hideMark/>
          </w:tcPr>
          <w:p w14:paraId="454B4D21"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-0,0951</w:t>
            </w:r>
          </w:p>
        </w:tc>
      </w:tr>
      <w:tr w:rsidR="007233BB" w:rsidRPr="007233BB" w14:paraId="4754F2FC" w14:textId="77777777" w:rsidTr="007233BB">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08C91EAA" w14:textId="77777777" w:rsidR="007233BB" w:rsidRPr="007233BB" w:rsidRDefault="007233BB" w:rsidP="007233BB">
            <w:pPr>
              <w:spacing w:line="240" w:lineRule="auto"/>
              <w:jc w:val="lef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LO_3</w:t>
            </w:r>
          </w:p>
        </w:tc>
        <w:tc>
          <w:tcPr>
            <w:tcW w:w="760" w:type="dxa"/>
            <w:tcBorders>
              <w:top w:val="nil"/>
              <w:left w:val="nil"/>
              <w:bottom w:val="single" w:sz="4" w:space="0" w:color="auto"/>
              <w:right w:val="single" w:sz="4" w:space="0" w:color="auto"/>
            </w:tcBorders>
            <w:noWrap/>
            <w:vAlign w:val="bottom"/>
            <w:hideMark/>
          </w:tcPr>
          <w:p w14:paraId="26AA133C"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-0,0744</w:t>
            </w:r>
          </w:p>
        </w:tc>
        <w:tc>
          <w:tcPr>
            <w:tcW w:w="1060" w:type="dxa"/>
            <w:tcBorders>
              <w:top w:val="nil"/>
              <w:left w:val="nil"/>
              <w:bottom w:val="single" w:sz="4" w:space="0" w:color="auto"/>
              <w:right w:val="single" w:sz="4" w:space="0" w:color="auto"/>
            </w:tcBorders>
            <w:noWrap/>
            <w:vAlign w:val="bottom"/>
            <w:hideMark/>
          </w:tcPr>
          <w:p w14:paraId="65B0B677"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-0,0954</w:t>
            </w:r>
          </w:p>
        </w:tc>
      </w:tr>
      <w:tr w:rsidR="007233BB" w:rsidRPr="007233BB" w14:paraId="703BA91A" w14:textId="77777777" w:rsidTr="007233BB">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20FA7BC6" w14:textId="77777777" w:rsidR="007233BB" w:rsidRPr="007233BB" w:rsidRDefault="007233BB" w:rsidP="007233BB">
            <w:pPr>
              <w:spacing w:line="240" w:lineRule="auto"/>
              <w:jc w:val="lef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LO_6</w:t>
            </w:r>
          </w:p>
        </w:tc>
        <w:tc>
          <w:tcPr>
            <w:tcW w:w="760" w:type="dxa"/>
            <w:tcBorders>
              <w:top w:val="nil"/>
              <w:left w:val="nil"/>
              <w:bottom w:val="single" w:sz="4" w:space="0" w:color="auto"/>
              <w:right w:val="single" w:sz="4" w:space="0" w:color="auto"/>
            </w:tcBorders>
            <w:noWrap/>
            <w:vAlign w:val="bottom"/>
            <w:hideMark/>
          </w:tcPr>
          <w:p w14:paraId="446B26AF"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-0,0746</w:t>
            </w:r>
          </w:p>
        </w:tc>
        <w:tc>
          <w:tcPr>
            <w:tcW w:w="1060" w:type="dxa"/>
            <w:tcBorders>
              <w:top w:val="nil"/>
              <w:left w:val="nil"/>
              <w:bottom w:val="single" w:sz="4" w:space="0" w:color="auto"/>
              <w:right w:val="single" w:sz="4" w:space="0" w:color="auto"/>
            </w:tcBorders>
            <w:noWrap/>
            <w:vAlign w:val="bottom"/>
            <w:hideMark/>
          </w:tcPr>
          <w:p w14:paraId="5DB7D38D"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-0,0892</w:t>
            </w:r>
          </w:p>
        </w:tc>
      </w:tr>
      <w:tr w:rsidR="007233BB" w:rsidRPr="007233BB" w14:paraId="78472271" w14:textId="77777777" w:rsidTr="007233BB">
        <w:trPr>
          <w:trHeight w:val="300"/>
          <w:jc w:val="center"/>
        </w:trPr>
        <w:tc>
          <w:tcPr>
            <w:tcW w:w="1020" w:type="dxa"/>
            <w:tcBorders>
              <w:top w:val="nil"/>
              <w:left w:val="single" w:sz="4" w:space="0" w:color="auto"/>
              <w:bottom w:val="single" w:sz="4" w:space="0" w:color="auto"/>
              <w:right w:val="single" w:sz="4" w:space="0" w:color="auto"/>
            </w:tcBorders>
            <w:noWrap/>
            <w:vAlign w:val="bottom"/>
            <w:hideMark/>
          </w:tcPr>
          <w:p w14:paraId="3BD34554" w14:textId="77777777" w:rsidR="007233BB" w:rsidRPr="007233BB" w:rsidRDefault="007233BB" w:rsidP="007233BB">
            <w:pPr>
              <w:spacing w:line="240" w:lineRule="auto"/>
              <w:jc w:val="lef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LO_12</w:t>
            </w:r>
          </w:p>
        </w:tc>
        <w:tc>
          <w:tcPr>
            <w:tcW w:w="760" w:type="dxa"/>
            <w:tcBorders>
              <w:top w:val="nil"/>
              <w:left w:val="nil"/>
              <w:bottom w:val="single" w:sz="4" w:space="0" w:color="auto"/>
              <w:right w:val="single" w:sz="4" w:space="0" w:color="auto"/>
            </w:tcBorders>
            <w:noWrap/>
            <w:vAlign w:val="bottom"/>
            <w:hideMark/>
          </w:tcPr>
          <w:p w14:paraId="33177D29"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-0,0770</w:t>
            </w:r>
          </w:p>
        </w:tc>
        <w:tc>
          <w:tcPr>
            <w:tcW w:w="1060" w:type="dxa"/>
            <w:tcBorders>
              <w:top w:val="nil"/>
              <w:left w:val="nil"/>
              <w:bottom w:val="single" w:sz="4" w:space="0" w:color="auto"/>
              <w:right w:val="single" w:sz="4" w:space="0" w:color="auto"/>
            </w:tcBorders>
            <w:noWrap/>
            <w:vAlign w:val="bottom"/>
            <w:hideMark/>
          </w:tcPr>
          <w:p w14:paraId="272958F9" w14:textId="77777777" w:rsidR="007233BB" w:rsidRPr="007233BB" w:rsidRDefault="007233BB" w:rsidP="007233BB">
            <w:pPr>
              <w:spacing w:line="240" w:lineRule="auto"/>
              <w:jc w:val="right"/>
              <w:rPr>
                <w:rFonts w:ascii="Calibri" w:eastAsia="Times New Roman" w:hAnsi="Calibri" w:cs="Calibri"/>
                <w:color w:val="000000"/>
                <w:kern w:val="0"/>
                <w:sz w:val="22"/>
                <w:szCs w:val="22"/>
                <w:lang w:eastAsia="es-AR"/>
                <w14:ligatures w14:val="none"/>
              </w:rPr>
            </w:pPr>
            <w:r w:rsidRPr="007233BB">
              <w:rPr>
                <w:rFonts w:ascii="Calibri" w:eastAsia="Times New Roman" w:hAnsi="Calibri" w:cs="Calibri"/>
                <w:color w:val="000000"/>
                <w:kern w:val="0"/>
                <w:sz w:val="22"/>
                <w:szCs w:val="22"/>
                <w:lang w:eastAsia="es-AR"/>
                <w14:ligatures w14:val="none"/>
              </w:rPr>
              <w:t>-0,0915</w:t>
            </w:r>
          </w:p>
        </w:tc>
      </w:tr>
    </w:tbl>
    <w:p w14:paraId="5C014F05" w14:textId="77777777" w:rsidR="007233BB" w:rsidRPr="00952394" w:rsidRDefault="007233BB" w:rsidP="00952394">
      <w:pPr>
        <w:pStyle w:val="Textoindependiente"/>
        <w:rPr>
          <w:rFonts w:cs="Times New Roman"/>
          <w:lang w:val="es-AR"/>
        </w:rPr>
      </w:pPr>
    </w:p>
    <w:p w14:paraId="39416A54" w14:textId="77777777" w:rsidR="006C66BF" w:rsidRPr="006C66BF" w:rsidRDefault="006C66BF" w:rsidP="006C66BF">
      <w:pPr>
        <w:spacing w:line="360" w:lineRule="auto"/>
      </w:pPr>
      <w:bookmarkStart w:id="114" w:name="Xaaf1e0df017875e4d23d9b25e2695ceb17cfac6"/>
      <w:bookmarkEnd w:id="112"/>
      <w:r w:rsidRPr="006C66BF">
        <w:t>Los resultados indican que las estrategias de momentum sectorial presentan niveles de riesgo extremo histórico, medidos a través de VaR y ES no paramétricos, comparables a los del benchmark de mercado, con diferencias moderadas entre horizontes de formación.</w:t>
      </w:r>
    </w:p>
    <w:p w14:paraId="1D98E77E" w14:textId="77777777" w:rsidR="009E5222" w:rsidRPr="009706C8" w:rsidRDefault="009E5222" w:rsidP="00F14042">
      <w:pPr>
        <w:pStyle w:val="Ttulo2"/>
        <w:rPr>
          <w:rFonts w:cs="Times New Roman"/>
          <w:lang w:val="en-US"/>
        </w:rPr>
      </w:pPr>
      <w:bookmarkStart w:id="115" w:name="_Toc223214810"/>
      <w:r w:rsidRPr="009706C8">
        <w:rPr>
          <w:rFonts w:cs="Times New Roman"/>
          <w:lang w:val="en-US"/>
        </w:rPr>
        <w:t>B.4 Backtesting del Value at Risk histórico</w:t>
      </w:r>
      <w:bookmarkEnd w:id="115"/>
    </w:p>
    <w:p w14:paraId="0DF5917C" w14:textId="77777777" w:rsidR="009E5222" w:rsidRPr="0008582D" w:rsidRDefault="009E5222" w:rsidP="0008582D">
      <w:pPr>
        <w:pStyle w:val="FirstParagraph"/>
        <w:spacing w:line="360" w:lineRule="auto"/>
        <w:rPr>
          <w:rFonts w:cs="Times New Roman"/>
          <w:lang w:val="es-AR"/>
        </w:rPr>
      </w:pPr>
      <w:r w:rsidRPr="0008582D">
        <w:rPr>
          <w:rFonts w:cs="Times New Roman"/>
          <w:lang w:val="es-AR"/>
        </w:rPr>
        <w:t>Con el objeto de complementar el análisis descriptivo del riesgo extremo, se presenta un ejercicio de backtesting del VaR histórico mediante el test de proporción de fallas propuesto por Kupiec. Este test evalúa si la frecuencia observada de violaciones del VaR es consistente con el nivel de confianza teórico asumido.</w:t>
      </w:r>
    </w:p>
    <w:p w14:paraId="20DB0B2E" w14:textId="77777777" w:rsidR="009E5222" w:rsidRPr="0008582D" w:rsidRDefault="009E5222" w:rsidP="0008582D">
      <w:pPr>
        <w:pStyle w:val="Textoindependiente"/>
        <w:spacing w:line="360" w:lineRule="auto"/>
        <w:rPr>
          <w:rFonts w:cs="Times New Roman"/>
          <w:lang w:val="es-AR"/>
        </w:rPr>
      </w:pPr>
      <w:r w:rsidRPr="0008582D">
        <w:rPr>
          <w:rFonts w:cs="Times New Roman"/>
          <w:lang w:val="es-AR"/>
        </w:rPr>
        <w:t>El ejercicio se implementa utilizando una ventana móvil sobre los retornos mensuales y se reportan, para cada estrategia, el número total de observaciones, la cantidad de violaciones observadas, el estadístico de razón de verosimilitud y su correspondiente valor p.</w:t>
      </w:r>
    </w:p>
    <w:p w14:paraId="0E48A1FB" w14:textId="77777777" w:rsidR="009E5222" w:rsidRDefault="009E5222" w:rsidP="00952394">
      <w:pPr>
        <w:pStyle w:val="Textoindependiente"/>
        <w:rPr>
          <w:rFonts w:cs="Times New Roman"/>
          <w:b/>
          <w:bCs/>
          <w:lang w:val="es-AR"/>
        </w:rPr>
      </w:pPr>
      <w:r w:rsidRPr="007610D0">
        <w:rPr>
          <w:rFonts w:cs="Times New Roman"/>
          <w:b/>
          <w:bCs/>
          <w:lang w:val="es-AR"/>
        </w:rPr>
        <w:t>TABLA B.3 – Backtesting del VaR histórico: Test de Kupiec</w:t>
      </w:r>
    </w:p>
    <w:tbl>
      <w:tblPr>
        <w:tblW w:w="4974" w:type="dxa"/>
        <w:jc w:val="center"/>
        <w:tblCellMar>
          <w:left w:w="70" w:type="dxa"/>
          <w:right w:w="70" w:type="dxa"/>
        </w:tblCellMar>
        <w:tblLook w:val="04A0" w:firstRow="1" w:lastRow="0" w:firstColumn="1" w:lastColumn="0" w:noHBand="0" w:noVBand="1"/>
      </w:tblPr>
      <w:tblGrid>
        <w:gridCol w:w="1053"/>
        <w:gridCol w:w="475"/>
        <w:gridCol w:w="1186"/>
        <w:gridCol w:w="753"/>
        <w:gridCol w:w="753"/>
        <w:gridCol w:w="754"/>
      </w:tblGrid>
      <w:tr w:rsidR="006728AE" w:rsidRPr="006728AE" w14:paraId="6D5DA945" w14:textId="77777777" w:rsidTr="00A966CB">
        <w:trPr>
          <w:trHeight w:val="300"/>
          <w:jc w:val="center"/>
        </w:trPr>
        <w:tc>
          <w:tcPr>
            <w:tcW w:w="1053" w:type="dxa"/>
            <w:tcBorders>
              <w:top w:val="single" w:sz="4" w:space="0" w:color="auto"/>
              <w:left w:val="single" w:sz="4" w:space="0" w:color="auto"/>
              <w:bottom w:val="single" w:sz="4" w:space="0" w:color="auto"/>
              <w:right w:val="single" w:sz="4" w:space="0" w:color="auto"/>
            </w:tcBorders>
            <w:noWrap/>
            <w:hideMark/>
          </w:tcPr>
          <w:p w14:paraId="137ACB7D"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Estrategia</w:t>
            </w:r>
          </w:p>
        </w:tc>
        <w:tc>
          <w:tcPr>
            <w:tcW w:w="475" w:type="dxa"/>
            <w:tcBorders>
              <w:top w:val="single" w:sz="4" w:space="0" w:color="auto"/>
              <w:left w:val="nil"/>
              <w:bottom w:val="single" w:sz="4" w:space="0" w:color="auto"/>
              <w:right w:val="single" w:sz="4" w:space="0" w:color="auto"/>
            </w:tcBorders>
            <w:noWrap/>
            <w:hideMark/>
          </w:tcPr>
          <w:p w14:paraId="68DD41D1"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N</w:t>
            </w:r>
          </w:p>
        </w:tc>
        <w:tc>
          <w:tcPr>
            <w:tcW w:w="1186" w:type="dxa"/>
            <w:tcBorders>
              <w:top w:val="single" w:sz="4" w:space="0" w:color="auto"/>
              <w:left w:val="nil"/>
              <w:bottom w:val="single" w:sz="4" w:space="0" w:color="auto"/>
              <w:right w:val="single" w:sz="4" w:space="0" w:color="auto"/>
            </w:tcBorders>
            <w:noWrap/>
            <w:hideMark/>
          </w:tcPr>
          <w:p w14:paraId="0B32CCBD"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Violaciones</w:t>
            </w:r>
          </w:p>
        </w:tc>
        <w:tc>
          <w:tcPr>
            <w:tcW w:w="753" w:type="dxa"/>
            <w:tcBorders>
              <w:top w:val="single" w:sz="4" w:space="0" w:color="auto"/>
              <w:left w:val="nil"/>
              <w:bottom w:val="single" w:sz="4" w:space="0" w:color="auto"/>
              <w:right w:val="single" w:sz="4" w:space="0" w:color="auto"/>
            </w:tcBorders>
            <w:noWrap/>
            <w:hideMark/>
          </w:tcPr>
          <w:p w14:paraId="36E53206"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p_hat</w:t>
            </w:r>
          </w:p>
        </w:tc>
        <w:tc>
          <w:tcPr>
            <w:tcW w:w="753" w:type="dxa"/>
            <w:tcBorders>
              <w:top w:val="single" w:sz="4" w:space="0" w:color="auto"/>
              <w:left w:val="nil"/>
              <w:bottom w:val="single" w:sz="4" w:space="0" w:color="auto"/>
              <w:right w:val="single" w:sz="4" w:space="0" w:color="auto"/>
            </w:tcBorders>
            <w:noWrap/>
            <w:hideMark/>
          </w:tcPr>
          <w:p w14:paraId="11BCCEF9"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LR</w:t>
            </w:r>
          </w:p>
        </w:tc>
        <w:tc>
          <w:tcPr>
            <w:tcW w:w="754" w:type="dxa"/>
            <w:tcBorders>
              <w:top w:val="single" w:sz="4" w:space="0" w:color="auto"/>
              <w:left w:val="nil"/>
              <w:bottom w:val="single" w:sz="4" w:space="0" w:color="auto"/>
              <w:right w:val="single" w:sz="4" w:space="0" w:color="auto"/>
            </w:tcBorders>
            <w:noWrap/>
            <w:hideMark/>
          </w:tcPr>
          <w:p w14:paraId="135CE22E" w14:textId="77777777" w:rsidR="006728AE" w:rsidRPr="006728AE" w:rsidRDefault="006728AE" w:rsidP="006728AE">
            <w:pPr>
              <w:spacing w:line="240" w:lineRule="auto"/>
              <w:jc w:val="center"/>
              <w:rPr>
                <w:rFonts w:ascii="Calibri" w:eastAsia="Times New Roman" w:hAnsi="Calibri" w:cs="Calibri"/>
                <w:b/>
                <w:bCs/>
                <w:color w:val="000000"/>
                <w:kern w:val="0"/>
                <w:sz w:val="22"/>
                <w:szCs w:val="22"/>
                <w:lang w:eastAsia="es-AR"/>
                <w14:ligatures w14:val="none"/>
              </w:rPr>
            </w:pPr>
            <w:r w:rsidRPr="006728AE">
              <w:rPr>
                <w:rFonts w:ascii="Calibri" w:eastAsia="Times New Roman" w:hAnsi="Calibri" w:cs="Calibri"/>
                <w:b/>
                <w:bCs/>
                <w:color w:val="000000"/>
                <w:kern w:val="0"/>
                <w:sz w:val="22"/>
                <w:szCs w:val="22"/>
                <w:lang w:eastAsia="es-AR"/>
                <w14:ligatures w14:val="none"/>
              </w:rPr>
              <w:t>pvalue</w:t>
            </w:r>
          </w:p>
        </w:tc>
      </w:tr>
      <w:tr w:rsidR="006728AE" w:rsidRPr="006728AE" w14:paraId="4EC8C480" w14:textId="77777777" w:rsidTr="00A966CB">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3D339C80"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SPY</w:t>
            </w:r>
          </w:p>
        </w:tc>
        <w:tc>
          <w:tcPr>
            <w:tcW w:w="475" w:type="dxa"/>
            <w:tcBorders>
              <w:top w:val="nil"/>
              <w:left w:val="nil"/>
              <w:bottom w:val="single" w:sz="4" w:space="0" w:color="auto"/>
              <w:right w:val="single" w:sz="4" w:space="0" w:color="auto"/>
            </w:tcBorders>
            <w:noWrap/>
            <w:vAlign w:val="bottom"/>
            <w:hideMark/>
          </w:tcPr>
          <w:p w14:paraId="0007ABA7"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193</w:t>
            </w:r>
          </w:p>
        </w:tc>
        <w:tc>
          <w:tcPr>
            <w:tcW w:w="1186" w:type="dxa"/>
            <w:tcBorders>
              <w:top w:val="nil"/>
              <w:left w:val="nil"/>
              <w:bottom w:val="single" w:sz="4" w:space="0" w:color="auto"/>
              <w:right w:val="single" w:sz="4" w:space="0" w:color="auto"/>
            </w:tcBorders>
            <w:noWrap/>
            <w:vAlign w:val="bottom"/>
            <w:hideMark/>
          </w:tcPr>
          <w:p w14:paraId="4150CE48"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9</w:t>
            </w:r>
          </w:p>
        </w:tc>
        <w:tc>
          <w:tcPr>
            <w:tcW w:w="753" w:type="dxa"/>
            <w:tcBorders>
              <w:top w:val="nil"/>
              <w:left w:val="nil"/>
              <w:bottom w:val="single" w:sz="4" w:space="0" w:color="auto"/>
              <w:right w:val="single" w:sz="4" w:space="0" w:color="auto"/>
            </w:tcBorders>
            <w:noWrap/>
            <w:vAlign w:val="bottom"/>
            <w:hideMark/>
          </w:tcPr>
          <w:p w14:paraId="540664DE"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0,0466</w:t>
            </w:r>
          </w:p>
        </w:tc>
        <w:tc>
          <w:tcPr>
            <w:tcW w:w="753" w:type="dxa"/>
            <w:tcBorders>
              <w:top w:val="nil"/>
              <w:left w:val="nil"/>
              <w:bottom w:val="single" w:sz="4" w:space="0" w:color="auto"/>
              <w:right w:val="single" w:sz="4" w:space="0" w:color="auto"/>
            </w:tcBorders>
            <w:noWrap/>
            <w:vAlign w:val="bottom"/>
            <w:hideMark/>
          </w:tcPr>
          <w:p w14:paraId="14586F6B"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0,0471</w:t>
            </w:r>
          </w:p>
        </w:tc>
        <w:tc>
          <w:tcPr>
            <w:tcW w:w="754" w:type="dxa"/>
            <w:tcBorders>
              <w:top w:val="nil"/>
              <w:left w:val="nil"/>
              <w:bottom w:val="single" w:sz="4" w:space="0" w:color="auto"/>
              <w:right w:val="single" w:sz="4" w:space="0" w:color="auto"/>
            </w:tcBorders>
            <w:noWrap/>
            <w:vAlign w:val="bottom"/>
            <w:hideMark/>
          </w:tcPr>
          <w:p w14:paraId="1FB71C63"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0,8282</w:t>
            </w:r>
          </w:p>
        </w:tc>
      </w:tr>
      <w:tr w:rsidR="006728AE" w:rsidRPr="006728AE" w14:paraId="0133B439" w14:textId="77777777" w:rsidTr="00A966CB">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072747BB"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LO_3</w:t>
            </w:r>
          </w:p>
        </w:tc>
        <w:tc>
          <w:tcPr>
            <w:tcW w:w="475" w:type="dxa"/>
            <w:tcBorders>
              <w:top w:val="nil"/>
              <w:left w:val="nil"/>
              <w:bottom w:val="single" w:sz="4" w:space="0" w:color="auto"/>
              <w:right w:val="single" w:sz="4" w:space="0" w:color="auto"/>
            </w:tcBorders>
            <w:noWrap/>
            <w:vAlign w:val="bottom"/>
            <w:hideMark/>
          </w:tcPr>
          <w:p w14:paraId="08F793A0"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193</w:t>
            </w:r>
          </w:p>
        </w:tc>
        <w:tc>
          <w:tcPr>
            <w:tcW w:w="1186" w:type="dxa"/>
            <w:tcBorders>
              <w:top w:val="nil"/>
              <w:left w:val="nil"/>
              <w:bottom w:val="single" w:sz="4" w:space="0" w:color="auto"/>
              <w:right w:val="single" w:sz="4" w:space="0" w:color="auto"/>
            </w:tcBorders>
            <w:noWrap/>
            <w:vAlign w:val="bottom"/>
            <w:hideMark/>
          </w:tcPr>
          <w:p w14:paraId="1CE70791"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9</w:t>
            </w:r>
          </w:p>
        </w:tc>
        <w:tc>
          <w:tcPr>
            <w:tcW w:w="753" w:type="dxa"/>
            <w:tcBorders>
              <w:top w:val="nil"/>
              <w:left w:val="nil"/>
              <w:bottom w:val="single" w:sz="4" w:space="0" w:color="auto"/>
              <w:right w:val="single" w:sz="4" w:space="0" w:color="auto"/>
            </w:tcBorders>
            <w:noWrap/>
            <w:vAlign w:val="bottom"/>
            <w:hideMark/>
          </w:tcPr>
          <w:p w14:paraId="661A001E"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0,0466</w:t>
            </w:r>
          </w:p>
        </w:tc>
        <w:tc>
          <w:tcPr>
            <w:tcW w:w="753" w:type="dxa"/>
            <w:tcBorders>
              <w:top w:val="nil"/>
              <w:left w:val="nil"/>
              <w:bottom w:val="single" w:sz="4" w:space="0" w:color="auto"/>
              <w:right w:val="single" w:sz="4" w:space="0" w:color="auto"/>
            </w:tcBorders>
            <w:noWrap/>
            <w:vAlign w:val="bottom"/>
            <w:hideMark/>
          </w:tcPr>
          <w:p w14:paraId="0E8372D1"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0,0471</w:t>
            </w:r>
          </w:p>
        </w:tc>
        <w:tc>
          <w:tcPr>
            <w:tcW w:w="754" w:type="dxa"/>
            <w:tcBorders>
              <w:top w:val="nil"/>
              <w:left w:val="nil"/>
              <w:bottom w:val="single" w:sz="4" w:space="0" w:color="auto"/>
              <w:right w:val="single" w:sz="4" w:space="0" w:color="auto"/>
            </w:tcBorders>
            <w:noWrap/>
            <w:vAlign w:val="bottom"/>
            <w:hideMark/>
          </w:tcPr>
          <w:p w14:paraId="63D86F53"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0,8282</w:t>
            </w:r>
          </w:p>
        </w:tc>
      </w:tr>
      <w:tr w:rsidR="006728AE" w:rsidRPr="006728AE" w14:paraId="1571F430" w14:textId="77777777" w:rsidTr="00A966CB">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3795A5DB"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LO_6</w:t>
            </w:r>
          </w:p>
        </w:tc>
        <w:tc>
          <w:tcPr>
            <w:tcW w:w="475" w:type="dxa"/>
            <w:tcBorders>
              <w:top w:val="nil"/>
              <w:left w:val="nil"/>
              <w:bottom w:val="single" w:sz="4" w:space="0" w:color="auto"/>
              <w:right w:val="single" w:sz="4" w:space="0" w:color="auto"/>
            </w:tcBorders>
            <w:noWrap/>
            <w:vAlign w:val="bottom"/>
            <w:hideMark/>
          </w:tcPr>
          <w:p w14:paraId="0308906A"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193</w:t>
            </w:r>
          </w:p>
        </w:tc>
        <w:tc>
          <w:tcPr>
            <w:tcW w:w="1186" w:type="dxa"/>
            <w:tcBorders>
              <w:top w:val="nil"/>
              <w:left w:val="nil"/>
              <w:bottom w:val="single" w:sz="4" w:space="0" w:color="auto"/>
              <w:right w:val="single" w:sz="4" w:space="0" w:color="auto"/>
            </w:tcBorders>
            <w:noWrap/>
            <w:vAlign w:val="bottom"/>
            <w:hideMark/>
          </w:tcPr>
          <w:p w14:paraId="7A98E6E1"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8</w:t>
            </w:r>
          </w:p>
        </w:tc>
        <w:tc>
          <w:tcPr>
            <w:tcW w:w="753" w:type="dxa"/>
            <w:tcBorders>
              <w:top w:val="nil"/>
              <w:left w:val="nil"/>
              <w:bottom w:val="single" w:sz="4" w:space="0" w:color="auto"/>
              <w:right w:val="single" w:sz="4" w:space="0" w:color="auto"/>
            </w:tcBorders>
            <w:noWrap/>
            <w:vAlign w:val="bottom"/>
            <w:hideMark/>
          </w:tcPr>
          <w:p w14:paraId="56DE44AB"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0,0415</w:t>
            </w:r>
          </w:p>
        </w:tc>
        <w:tc>
          <w:tcPr>
            <w:tcW w:w="753" w:type="dxa"/>
            <w:tcBorders>
              <w:top w:val="nil"/>
              <w:left w:val="nil"/>
              <w:bottom w:val="single" w:sz="4" w:space="0" w:color="auto"/>
              <w:right w:val="single" w:sz="4" w:space="0" w:color="auto"/>
            </w:tcBorders>
            <w:noWrap/>
            <w:vAlign w:val="bottom"/>
            <w:hideMark/>
          </w:tcPr>
          <w:p w14:paraId="27FD3980"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0,3145</w:t>
            </w:r>
          </w:p>
        </w:tc>
        <w:tc>
          <w:tcPr>
            <w:tcW w:w="754" w:type="dxa"/>
            <w:tcBorders>
              <w:top w:val="nil"/>
              <w:left w:val="nil"/>
              <w:bottom w:val="single" w:sz="4" w:space="0" w:color="auto"/>
              <w:right w:val="single" w:sz="4" w:space="0" w:color="auto"/>
            </w:tcBorders>
            <w:noWrap/>
            <w:vAlign w:val="bottom"/>
            <w:hideMark/>
          </w:tcPr>
          <w:p w14:paraId="3893B420"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0,5749</w:t>
            </w:r>
          </w:p>
        </w:tc>
      </w:tr>
      <w:tr w:rsidR="006728AE" w:rsidRPr="006728AE" w14:paraId="5252D701" w14:textId="77777777" w:rsidTr="00A966CB">
        <w:trPr>
          <w:trHeight w:val="300"/>
          <w:jc w:val="center"/>
        </w:trPr>
        <w:tc>
          <w:tcPr>
            <w:tcW w:w="1053" w:type="dxa"/>
            <w:tcBorders>
              <w:top w:val="nil"/>
              <w:left w:val="single" w:sz="4" w:space="0" w:color="auto"/>
              <w:bottom w:val="single" w:sz="4" w:space="0" w:color="auto"/>
              <w:right w:val="single" w:sz="4" w:space="0" w:color="auto"/>
            </w:tcBorders>
            <w:noWrap/>
            <w:vAlign w:val="bottom"/>
            <w:hideMark/>
          </w:tcPr>
          <w:p w14:paraId="4FB190A1"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LO_12</w:t>
            </w:r>
          </w:p>
        </w:tc>
        <w:tc>
          <w:tcPr>
            <w:tcW w:w="475" w:type="dxa"/>
            <w:tcBorders>
              <w:top w:val="nil"/>
              <w:left w:val="nil"/>
              <w:bottom w:val="single" w:sz="4" w:space="0" w:color="auto"/>
              <w:right w:val="single" w:sz="4" w:space="0" w:color="auto"/>
            </w:tcBorders>
            <w:noWrap/>
            <w:vAlign w:val="bottom"/>
            <w:hideMark/>
          </w:tcPr>
          <w:p w14:paraId="6A065D5B"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193</w:t>
            </w:r>
          </w:p>
        </w:tc>
        <w:tc>
          <w:tcPr>
            <w:tcW w:w="1186" w:type="dxa"/>
            <w:tcBorders>
              <w:top w:val="nil"/>
              <w:left w:val="nil"/>
              <w:bottom w:val="single" w:sz="4" w:space="0" w:color="auto"/>
              <w:right w:val="single" w:sz="4" w:space="0" w:color="auto"/>
            </w:tcBorders>
            <w:noWrap/>
            <w:vAlign w:val="bottom"/>
            <w:hideMark/>
          </w:tcPr>
          <w:p w14:paraId="11386958"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5</w:t>
            </w:r>
          </w:p>
        </w:tc>
        <w:tc>
          <w:tcPr>
            <w:tcW w:w="753" w:type="dxa"/>
            <w:tcBorders>
              <w:top w:val="nil"/>
              <w:left w:val="nil"/>
              <w:bottom w:val="single" w:sz="4" w:space="0" w:color="auto"/>
              <w:right w:val="single" w:sz="4" w:space="0" w:color="auto"/>
            </w:tcBorders>
            <w:noWrap/>
            <w:vAlign w:val="bottom"/>
            <w:hideMark/>
          </w:tcPr>
          <w:p w14:paraId="3C2DFD0E"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0,0259</w:t>
            </w:r>
          </w:p>
        </w:tc>
        <w:tc>
          <w:tcPr>
            <w:tcW w:w="753" w:type="dxa"/>
            <w:tcBorders>
              <w:top w:val="nil"/>
              <w:left w:val="nil"/>
              <w:bottom w:val="single" w:sz="4" w:space="0" w:color="auto"/>
              <w:right w:val="single" w:sz="4" w:space="0" w:color="auto"/>
            </w:tcBorders>
            <w:noWrap/>
            <w:vAlign w:val="bottom"/>
            <w:hideMark/>
          </w:tcPr>
          <w:p w14:paraId="4B51E2BE"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2,8417</w:t>
            </w:r>
          </w:p>
        </w:tc>
        <w:tc>
          <w:tcPr>
            <w:tcW w:w="754" w:type="dxa"/>
            <w:tcBorders>
              <w:top w:val="nil"/>
              <w:left w:val="nil"/>
              <w:bottom w:val="single" w:sz="4" w:space="0" w:color="auto"/>
              <w:right w:val="single" w:sz="4" w:space="0" w:color="auto"/>
            </w:tcBorders>
            <w:noWrap/>
            <w:vAlign w:val="bottom"/>
            <w:hideMark/>
          </w:tcPr>
          <w:p w14:paraId="1F747901" w14:textId="77777777" w:rsidR="006728AE" w:rsidRPr="006728AE" w:rsidRDefault="006728AE" w:rsidP="006728AE">
            <w:pPr>
              <w:spacing w:line="240" w:lineRule="auto"/>
              <w:jc w:val="center"/>
              <w:rPr>
                <w:rFonts w:ascii="Calibri" w:eastAsia="Times New Roman" w:hAnsi="Calibri" w:cs="Calibri"/>
                <w:color w:val="000000"/>
                <w:kern w:val="0"/>
                <w:sz w:val="22"/>
                <w:szCs w:val="22"/>
                <w:lang w:eastAsia="es-AR"/>
                <w14:ligatures w14:val="none"/>
              </w:rPr>
            </w:pPr>
            <w:r w:rsidRPr="006728AE">
              <w:rPr>
                <w:rFonts w:ascii="Calibri" w:eastAsia="Times New Roman" w:hAnsi="Calibri" w:cs="Calibri"/>
                <w:color w:val="000000"/>
                <w:kern w:val="0"/>
                <w:sz w:val="22"/>
                <w:szCs w:val="22"/>
                <w:lang w:eastAsia="es-AR"/>
                <w14:ligatures w14:val="none"/>
              </w:rPr>
              <w:t>0,0918</w:t>
            </w:r>
          </w:p>
        </w:tc>
      </w:tr>
    </w:tbl>
    <w:p w14:paraId="4F0F31AE" w14:textId="77777777" w:rsidR="006728AE" w:rsidRDefault="00A966CB" w:rsidP="00A966CB">
      <w:pPr>
        <w:pStyle w:val="Textoindependiente"/>
        <w:spacing w:line="360" w:lineRule="auto"/>
        <w:rPr>
          <w:rFonts w:cs="Times New Roman"/>
          <w:lang w:val="es-AR"/>
        </w:rPr>
      </w:pPr>
      <w:r w:rsidRPr="00A966CB">
        <w:rPr>
          <w:rFonts w:cs="Times New Roman"/>
          <w:lang w:val="es-AR"/>
        </w:rPr>
        <w:lastRenderedPageBreak/>
        <w:t xml:space="preserve">Los resultados del test de Kupiec indican que, para la mayoría de las estrategias analizadas, la frecuencia observada de violaciones del VaR histórico no difiere significativamente de la frecuencia teórica asociada al nivel de confianza del 95%, tal como lo reflejan los valores </w:t>
      </w:r>
      <w:r w:rsidRPr="00A966CB">
        <w:rPr>
          <w:rFonts w:cs="Times New Roman"/>
          <w:i/>
          <w:iCs/>
          <w:lang w:val="es-AR"/>
        </w:rPr>
        <w:t>p</w:t>
      </w:r>
      <w:r w:rsidRPr="00A966CB">
        <w:rPr>
          <w:rFonts w:cs="Times New Roman"/>
          <w:lang w:val="es-AR"/>
        </w:rPr>
        <w:t xml:space="preserve"> obtenidos. En algunos casos, la evidencia es menos concluyente, lo cual resulta esperable dado el tamaño muestral y la frecuencia mensual de los datos. En este sentido, los resultados se interpretan como un respaldo descriptivo adicional del VaR histórico, sin implicar una validación formal del modelo ni un criterio de comparación principal entre estrategias.</w:t>
      </w:r>
    </w:p>
    <w:p w14:paraId="14F1C4C5" w14:textId="77777777" w:rsidR="00295038" w:rsidRPr="00952394" w:rsidRDefault="00295038" w:rsidP="00A966CB">
      <w:pPr>
        <w:pStyle w:val="Textoindependiente"/>
        <w:spacing w:line="360" w:lineRule="auto"/>
        <w:rPr>
          <w:rFonts w:cs="Times New Roman"/>
          <w:lang w:val="es-AR"/>
        </w:rPr>
      </w:pPr>
      <w:r w:rsidRPr="00295038">
        <w:rPr>
          <w:rFonts w:cs="Times New Roman"/>
          <w:lang w:val="es-AR"/>
        </w:rPr>
        <w:t xml:space="preserve">En este Anexo, el VaR y el ES se reportan como cuantiles/promedios de cola de </w:t>
      </w:r>
      <w:r w:rsidRPr="00295038">
        <w:rPr>
          <w:rFonts w:cs="Times New Roman"/>
          <w:b/>
          <w:bCs/>
          <w:lang w:val="es-AR"/>
        </w:rPr>
        <w:t>retornos</w:t>
      </w:r>
      <w:r w:rsidRPr="00295038">
        <w:rPr>
          <w:rFonts w:cs="Times New Roman"/>
          <w:lang w:val="es-AR"/>
        </w:rPr>
        <w:t xml:space="preserve"> (por lo que se presentan con signo negativo); en el Capítulo 5 se expresan como </w:t>
      </w:r>
      <w:r w:rsidRPr="00295038">
        <w:rPr>
          <w:rFonts w:cs="Times New Roman"/>
          <w:b/>
          <w:bCs/>
          <w:lang w:val="es-AR"/>
        </w:rPr>
        <w:t>pérdidas positivas</w:t>
      </w:r>
      <w:r w:rsidRPr="00295038">
        <w:rPr>
          <w:rFonts w:cs="Times New Roman"/>
          <w:lang w:val="es-AR"/>
        </w:rPr>
        <w:t xml:space="preserve"> mediante cambio de signo para facilitar la lectura.</w:t>
      </w:r>
    </w:p>
    <w:p w14:paraId="1A1663E7" w14:textId="77777777" w:rsidR="009E5222" w:rsidRPr="009706C8" w:rsidRDefault="009E5222" w:rsidP="00F14042">
      <w:pPr>
        <w:pStyle w:val="Ttulo2"/>
        <w:rPr>
          <w:rFonts w:cs="Times New Roman"/>
        </w:rPr>
      </w:pPr>
      <w:bookmarkStart w:id="116" w:name="_Toc223214811"/>
      <w:bookmarkStart w:id="117" w:name="b.5-observación-final"/>
      <w:bookmarkEnd w:id="114"/>
      <w:r w:rsidRPr="009706C8">
        <w:rPr>
          <w:rFonts w:cs="Times New Roman"/>
        </w:rPr>
        <w:t>B.5 Observación final</w:t>
      </w:r>
      <w:bookmarkEnd w:id="116"/>
    </w:p>
    <w:p w14:paraId="68036072" w14:textId="77777777" w:rsidR="008E11DF" w:rsidRPr="008E11DF" w:rsidRDefault="008E11DF" w:rsidP="008E11DF">
      <w:pPr>
        <w:pStyle w:val="Textoindependiente"/>
        <w:spacing w:line="360" w:lineRule="auto"/>
        <w:rPr>
          <w:lang w:val="es-AR"/>
        </w:rPr>
      </w:pPr>
      <w:r w:rsidRPr="008E11DF">
        <w:rPr>
          <w:rFonts w:cs="Times New Roman"/>
          <w:lang w:val="es-AR"/>
        </w:rPr>
        <w:t>En síntesis, las métricas presentadas en este anexo permiten enriquecer la caracterización del desempeño y del riesgo de las estrategias de momentum sectorial desde una perspectiva complementaria y descriptiva. Los resultados aquí reportados no modifican las conclusiones obtenidas en el cuerpo principal del trabajo, sino que aportan evidencia adicional consistente con los patrones empíricos previamente documentados.</w:t>
      </w:r>
    </w:p>
    <w:p w14:paraId="22C6A96E" w14:textId="4A4F0EC6" w:rsidR="008B5815" w:rsidRPr="008B5815" w:rsidRDefault="009E5222" w:rsidP="008B5815">
      <w:pPr>
        <w:pStyle w:val="Ttulo1"/>
        <w:rPr>
          <w:rFonts w:cs="Times New Roman"/>
        </w:rPr>
      </w:pPr>
      <w:bookmarkStart w:id="118" w:name="_Toc223214812"/>
      <w:bookmarkStart w:id="119" w:name="X7ea257d7662eff810bdda296b54176d73edfc5c"/>
      <w:bookmarkEnd w:id="106"/>
      <w:bookmarkEnd w:id="117"/>
      <w:r w:rsidRPr="009706C8">
        <w:rPr>
          <w:rFonts w:cs="Times New Roman"/>
        </w:rPr>
        <w:t xml:space="preserve">ANEXO </w:t>
      </w:r>
      <w:r w:rsidR="008B5815">
        <w:rPr>
          <w:rFonts w:cs="Times New Roman"/>
        </w:rPr>
        <w:t>C</w:t>
      </w:r>
      <w:bookmarkEnd w:id="118"/>
    </w:p>
    <w:p w14:paraId="3A5EA3CD" w14:textId="77777777" w:rsidR="008B5815" w:rsidRPr="009A2169" w:rsidRDefault="008B5815" w:rsidP="008B5815">
      <w:pPr>
        <w:pStyle w:val="Ttulo1"/>
      </w:pPr>
      <w:bookmarkStart w:id="120" w:name="_Toc223214813"/>
      <w:r w:rsidRPr="009A2169">
        <w:t>Optimización de portafolios</w:t>
      </w:r>
      <w:bookmarkEnd w:id="120"/>
    </w:p>
    <w:p w14:paraId="5BBEBAD9" w14:textId="77E5DF13" w:rsidR="008B5815" w:rsidRPr="00FF2B64" w:rsidRDefault="008B5815" w:rsidP="008B5815">
      <w:pPr>
        <w:spacing w:line="360" w:lineRule="auto"/>
        <w:rPr>
          <w:rFonts w:cs="Times New Roman"/>
        </w:rPr>
      </w:pPr>
      <w:r w:rsidRPr="00FF2B64">
        <w:rPr>
          <w:rFonts w:cs="Times New Roman"/>
        </w:rPr>
        <w:t xml:space="preserve">El presente </w:t>
      </w:r>
      <w:r w:rsidR="00D91757">
        <w:rPr>
          <w:rFonts w:cs="Times New Roman"/>
        </w:rPr>
        <w:t>anexo</w:t>
      </w:r>
      <w:r w:rsidRPr="00FF2B64">
        <w:rPr>
          <w:rFonts w:cs="Times New Roman"/>
        </w:rPr>
        <w:t xml:space="preserve"> desarrolla un ejercicio de optimización de portafolios basado en el enfoque clásico de media–varianza propuesto por Markowitz (1952), aplicado a las estrategias de </w:t>
      </w:r>
      <w:r w:rsidRPr="00FF2B64">
        <w:rPr>
          <w:rFonts w:cs="Times New Roman"/>
          <w:i/>
          <w:iCs/>
        </w:rPr>
        <w:t>momentum</w:t>
      </w:r>
      <w:r w:rsidRPr="00FF2B64">
        <w:rPr>
          <w:rFonts w:cs="Times New Roman"/>
        </w:rPr>
        <w:t xml:space="preserve"> sectorial analizadas en los capítulos anteriores. El objetivo de este ejercicio no es derivar recomendaciones de inversión, sino utilizar la optimización como una herramienta analítica e ilustrativa que permita examinar cómo las características de retorno y riesgo previamente documentadas se reflejan en combinaciones teóricas de portafolio.</w:t>
      </w:r>
    </w:p>
    <w:p w14:paraId="3F130CB2" w14:textId="1F6CC4C1" w:rsidR="008B5815" w:rsidRPr="00FF2B64" w:rsidRDefault="008B5815" w:rsidP="008B5815">
      <w:pPr>
        <w:spacing w:line="360" w:lineRule="auto"/>
        <w:rPr>
          <w:rFonts w:cs="Times New Roman"/>
        </w:rPr>
      </w:pPr>
      <w:r w:rsidRPr="00FF2B64">
        <w:rPr>
          <w:rFonts w:cs="Times New Roman"/>
        </w:rPr>
        <w:t xml:space="preserve">En particular, este </w:t>
      </w:r>
      <w:r w:rsidR="00D70C9C">
        <w:rPr>
          <w:rFonts w:cs="Times New Roman"/>
        </w:rPr>
        <w:t>anexo</w:t>
      </w:r>
      <w:r w:rsidRPr="00FF2B64">
        <w:rPr>
          <w:rFonts w:cs="Times New Roman"/>
        </w:rPr>
        <w:t xml:space="preserve"> debe interpretarse como un complemento del análisis empírico desarrollado en los Capítulos 4 y 5. Mientras que dichos capítulos se centran en la evaluación del desempeño individual de las estrategias y en la modelización dinámica del riesgo, la optimización media–varianza permite analizar de manera sintética la </w:t>
      </w:r>
      <w:r w:rsidRPr="00FF2B64">
        <w:rPr>
          <w:rFonts w:cs="Times New Roman"/>
        </w:rPr>
        <w:lastRenderedPageBreak/>
        <w:t>interacción conjunta entre retornos esperados, volatilidad y correlaciones, dentro de un marco ampliamente utilizado en la literatura financiera.</w:t>
      </w:r>
    </w:p>
    <w:p w14:paraId="58DAD7CA" w14:textId="77777777" w:rsidR="008B5815" w:rsidRDefault="008B5815" w:rsidP="008B5815">
      <w:pPr>
        <w:spacing w:line="360" w:lineRule="auto"/>
        <w:rPr>
          <w:rFonts w:cs="Times New Roman"/>
        </w:rPr>
      </w:pPr>
      <w:r w:rsidRPr="00FF2B64">
        <w:rPr>
          <w:rFonts w:cs="Times New Roman"/>
        </w:rPr>
        <w:t xml:space="preserve">Cabe destacar que, si bien en el Capítulo 5 se documenta la presencia de heterocedasticidad condicional y colas pesadas en los retornos, el ejercicio de optimización se formula deliberadamente dentro del marco clásico de media–varianza y se implementa de forma </w:t>
      </w:r>
      <w:r w:rsidRPr="00FF2B64">
        <w:rPr>
          <w:rFonts w:cs="Times New Roman"/>
          <w:i/>
          <w:iCs/>
        </w:rPr>
        <w:t>in-sample</w:t>
      </w:r>
      <w:r w:rsidRPr="00FF2B64">
        <w:rPr>
          <w:rFonts w:cs="Times New Roman"/>
        </w:rPr>
        <w:t>, utilizando los retornos históricos observados a lo largo del período de análisis para estimar los parámetros del modelo. Asimismo, la optimización se realiza sin imponer restricciones adicionales sobre los pesos. En este sentido, los portafolios obtenidos deben interpretarse como combinaciones teóricas e ilustrativas entre las estrategias consideradas, y no como carteras directamente implementables. Esta elección metodológica permite contrastar un enfoque tradicional de asignación de activos con la evidencia empírica previamente obtenida, facilitando una lectura crítica de los resultados sin introducir supuestos adicionales de carácter operativo.</w:t>
      </w:r>
    </w:p>
    <w:p w14:paraId="5E953307" w14:textId="77777777" w:rsidR="008B5815" w:rsidRPr="00FF2B64" w:rsidRDefault="008B5815" w:rsidP="008B5815">
      <w:pPr>
        <w:spacing w:line="360" w:lineRule="auto"/>
        <w:rPr>
          <w:rFonts w:cs="Times New Roman"/>
        </w:rPr>
      </w:pPr>
      <w:r w:rsidRPr="00922BD0">
        <w:rPr>
          <w:rFonts w:cs="Times New Roman"/>
        </w:rPr>
        <w:t>En particular, la elevada correlación observada entre las estrategias de momentum sectorial —derivada de su exposición común al mercado y a factores sectoriales agregados— limita los beneficios potenciales de diversificación, lo que se traduce en una frontera eficiente relativamente comprimida en términos de mejora riesgo–retorno.</w:t>
      </w:r>
    </w:p>
    <w:p w14:paraId="1CD37ACC" w14:textId="6F839497" w:rsidR="008B5815" w:rsidRPr="009706C8" w:rsidRDefault="008B5815" w:rsidP="008B5815">
      <w:pPr>
        <w:pStyle w:val="Ttulo2"/>
        <w:rPr>
          <w:rFonts w:cs="Times New Roman"/>
        </w:rPr>
      </w:pPr>
      <w:bookmarkStart w:id="121" w:name="_Toc223214814"/>
      <w:r>
        <w:rPr>
          <w:rFonts w:cs="Times New Roman"/>
        </w:rPr>
        <w:t>C</w:t>
      </w:r>
      <w:r w:rsidRPr="009706C8">
        <w:rPr>
          <w:rFonts w:cs="Times New Roman"/>
        </w:rPr>
        <w:t>.</w:t>
      </w:r>
      <w:r>
        <w:rPr>
          <w:rFonts w:cs="Times New Roman"/>
        </w:rPr>
        <w:t>1</w:t>
      </w:r>
      <w:r w:rsidRPr="009706C8">
        <w:rPr>
          <w:rFonts w:cs="Times New Roman"/>
        </w:rPr>
        <w:t xml:space="preserve"> Fundamentos de la teoría de media–varianza</w:t>
      </w:r>
      <w:bookmarkEnd w:id="121"/>
    </w:p>
    <w:p w14:paraId="781AA31F" w14:textId="77777777" w:rsidR="008B5815" w:rsidRDefault="008B5815" w:rsidP="008B5815">
      <w:pPr>
        <w:spacing w:line="360" w:lineRule="auto"/>
        <w:rPr>
          <w:rFonts w:cs="Times New Roman"/>
        </w:rPr>
      </w:pPr>
      <w:r w:rsidRPr="00EE4DD7">
        <w:rPr>
          <w:rFonts w:cs="Times New Roman"/>
        </w:rPr>
        <w:t>El marco teórico de la optimización de portafolios se basa en el trabajo seminal de Markowitz (1952), que propone seleccionar combinaciones de activos a partir del compromiso entre retorno esperado y riesgo, medido a través de la varianza del portafolio. En este enfoque, la asignación óptima surge de considerar simultáneamente los retornos esperados individuales y la estructura de covarianzas entre los activos.</w:t>
      </w:r>
    </w:p>
    <w:p w14:paraId="30F0D340" w14:textId="77777777" w:rsidR="008B5815" w:rsidRPr="007610D0" w:rsidRDefault="008B5815" w:rsidP="008B5815">
      <w:pPr>
        <w:spacing w:line="360" w:lineRule="auto"/>
        <w:rPr>
          <w:rFonts w:eastAsiaTheme="minorEastAsia" w:cs="Times New Roman"/>
        </w:rPr>
      </w:pPr>
      <w:r w:rsidRPr="007610D0">
        <w:rPr>
          <w:rFonts w:cs="Times New Roman"/>
        </w:rPr>
        <w:t xml:space="preserve">Sea un vector de retornos esperados </w:t>
      </w:r>
      <m:oMath>
        <m:r>
          <w:rPr>
            <w:rFonts w:ascii="Cambria Math" w:hAnsi="Cambria Math" w:cs="Times New Roman"/>
          </w:rPr>
          <m:t>μ∈</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oMath>
      <w:r w:rsidRPr="007610D0">
        <w:rPr>
          <w:rFonts w:cs="Times New Roman"/>
        </w:rPr>
        <w:t xml:space="preserve">y una matriz de covarianzas </w:t>
      </w:r>
      <m:oMath>
        <m:r>
          <m:rPr>
            <m:sty m:val="p"/>
          </m:rPr>
          <w:rPr>
            <w:rFonts w:ascii="Cambria Math" w:hAnsi="Cambria Math" w:cs="Times New Roman"/>
          </w:rPr>
          <m:t>Σ</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N×N</m:t>
            </m:r>
          </m:sup>
        </m:sSup>
      </m:oMath>
      <w:r w:rsidRPr="007610D0">
        <w:rPr>
          <w:rFonts w:cs="Times New Roman"/>
        </w:rPr>
        <w:t xml:space="preserve">. Para un vector de ponderaciones </w:t>
      </w:r>
      <m:oMath>
        <m:r>
          <w:rPr>
            <w:rFonts w:ascii="Cambria Math" w:hAnsi="Cambria Math" w:cs="Times New Roman"/>
          </w:rPr>
          <m:t>w∈</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oMath>
      <w:r w:rsidRPr="007610D0">
        <w:rPr>
          <w:rFonts w:cs="Times New Roman"/>
        </w:rPr>
        <w:t>, que describe la asignación de capital entre los activos, el retorno esperado y la varianza del portafolio se definen respectivamente como:</w:t>
      </w:r>
    </w:p>
    <w:p w14:paraId="21E502D0" w14:textId="77777777" w:rsidR="008B5815" w:rsidRPr="007610D0" w:rsidRDefault="008B5815" w:rsidP="008B5815">
      <w:pPr>
        <w:spacing w:line="360" w:lineRule="auto"/>
        <w:rPr>
          <w:rFonts w:cs="Times New Roman"/>
        </w:rPr>
      </w:pPr>
      <m:oMathPara>
        <m:oMath>
          <m:r>
            <w:rPr>
              <w:rFonts w:ascii="Cambria Math" w:hAnsi="Cambria Math" w:cs="Times New Roman"/>
            </w:rPr>
            <m:t>E</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μ</m:t>
          </m:r>
          <m:r>
            <m:rPr>
              <m:sty m:val="p"/>
            </m:rPr>
            <w:rPr>
              <w:rFonts w:ascii="Cambria Math" w:hAnsi="Cambria Math" w:cs="Times New Roman"/>
            </w:rPr>
            <w:br/>
          </m:r>
        </m:oMath>
      </m:oMathPara>
    </w:p>
    <w:p w14:paraId="69A9A0C1" w14:textId="77777777" w:rsidR="008B5815" w:rsidRPr="007610D0" w:rsidRDefault="008B5815" w:rsidP="008B5815">
      <w:pPr>
        <w:spacing w:line="360" w:lineRule="auto"/>
        <w:rPr>
          <w:rFonts w:cs="Times New Roman"/>
        </w:rPr>
      </w:pPr>
      <m:oMathPara>
        <m:oMath>
          <m:r>
            <w:rPr>
              <w:rFonts w:ascii="Cambria Math" w:hAnsi="Cambria Math" w:cs="Times New Roman"/>
            </w:rPr>
            <m:t>Var</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e>
          </m:d>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 xml:space="preserve">T </m:t>
              </m:r>
            </m:sup>
          </m:sSup>
          <m:r>
            <m:rPr>
              <m:sty m:val="p"/>
            </m:rPr>
            <w:rPr>
              <w:rFonts w:ascii="Cambria Math" w:hAnsi="Cambria Math" w:cs="Times New Roman"/>
            </w:rPr>
            <m:t>Σ</m:t>
          </m:r>
          <m:r>
            <w:rPr>
              <w:rFonts w:ascii="Cambria Math" w:hAnsi="Cambria Math" w:cs="Times New Roman"/>
            </w:rPr>
            <m:t>w</m:t>
          </m:r>
        </m:oMath>
      </m:oMathPara>
    </w:p>
    <w:p w14:paraId="2B88F8FC" w14:textId="77777777" w:rsidR="008B5815" w:rsidRPr="007610D0" w:rsidRDefault="008B5815" w:rsidP="008B5815">
      <w:pPr>
        <w:spacing w:line="360" w:lineRule="auto"/>
        <w:rPr>
          <w:rFonts w:cs="Times New Roman"/>
        </w:rPr>
      </w:pPr>
      <w:r w:rsidRPr="00EE4DD7">
        <w:rPr>
          <w:rFonts w:cs="Times New Roman"/>
        </w:rPr>
        <w:t xml:space="preserve">Sobre esta base, el enfoque de media–varianza da lugar a distintos problemas de optimización equivalentes. En particular, es posible formular el problema de mínima varianza global, que consiste en minimizar la varianza del portafolio sujeto a la restricción de que las ponderaciones sumen la unidad, así como el problema de maximización del </w:t>
      </w:r>
      <w:r w:rsidRPr="00EE4DD7">
        <w:rPr>
          <w:rFonts w:cs="Times New Roman"/>
        </w:rPr>
        <w:lastRenderedPageBreak/>
        <w:t>retorno esperado para un nivel dado de riesgo o, de manera equivalente, la maximización del ratio de Sharpe.</w:t>
      </w:r>
    </w:p>
    <w:p w14:paraId="40C4B277" w14:textId="5EF86817" w:rsidR="008B5815" w:rsidRPr="009706C8" w:rsidRDefault="008B5815" w:rsidP="008B5815">
      <w:pPr>
        <w:pStyle w:val="Ttulo2"/>
        <w:rPr>
          <w:rFonts w:cs="Times New Roman"/>
        </w:rPr>
      </w:pPr>
      <w:bookmarkStart w:id="122" w:name="_Toc223214815"/>
      <w:r>
        <w:rPr>
          <w:rFonts w:cs="Times New Roman"/>
        </w:rPr>
        <w:t>C</w:t>
      </w:r>
      <w:r w:rsidRPr="009706C8">
        <w:rPr>
          <w:rFonts w:cs="Times New Roman"/>
        </w:rPr>
        <w:t>.</w:t>
      </w:r>
      <w:r>
        <w:rPr>
          <w:rFonts w:cs="Times New Roman"/>
        </w:rPr>
        <w:t>2</w:t>
      </w:r>
      <w:r w:rsidRPr="009706C8">
        <w:rPr>
          <w:rFonts w:cs="Times New Roman"/>
        </w:rPr>
        <w:t xml:space="preserve"> Insumos empíricos y procedimiento</w:t>
      </w:r>
      <w:bookmarkEnd w:id="122"/>
    </w:p>
    <w:p w14:paraId="54FF4DAE" w14:textId="77777777" w:rsidR="008B5815" w:rsidRPr="00537AFD" w:rsidRDefault="008B5815" w:rsidP="008B5815">
      <w:pPr>
        <w:spacing w:line="360" w:lineRule="auto"/>
        <w:rPr>
          <w:rFonts w:cs="Times New Roman"/>
        </w:rPr>
      </w:pPr>
      <w:r w:rsidRPr="00537AFD">
        <w:rPr>
          <w:rFonts w:cs="Times New Roman"/>
        </w:rPr>
        <w:t xml:space="preserve">Los insumos necesarios para la optimización se obtienen a partir de las series históricas de retornos mensuales netos de costos de transacción de las estrategias sectoriales de </w:t>
      </w:r>
      <w:r w:rsidRPr="00537AFD">
        <w:rPr>
          <w:rFonts w:cs="Times New Roman"/>
          <w:i/>
          <w:iCs/>
        </w:rPr>
        <w:t>momentum</w:t>
      </w:r>
      <w:r w:rsidRPr="00537AFD">
        <w:rPr>
          <w:rFonts w:cs="Times New Roman"/>
        </w:rPr>
        <w:t xml:space="preserve"> analizadas en los capítulos anteriores, así como del </w:t>
      </w:r>
      <w:r w:rsidRPr="00537AFD">
        <w:rPr>
          <w:rFonts w:cs="Times New Roman"/>
          <w:i/>
          <w:iCs/>
        </w:rPr>
        <w:t>benchmark</w:t>
      </w:r>
      <w:r w:rsidRPr="00537AFD">
        <w:rPr>
          <w:rFonts w:cs="Times New Roman"/>
        </w:rPr>
        <w:t xml:space="preserve"> de mercado SPY, utilizado como referencia del desempeño agregado del mercado. En el ejercicio de optimización, estas series de retornos se consideran como activos dentro del problema de asignación de portafolio.</w:t>
      </w:r>
    </w:p>
    <w:p w14:paraId="6153ECDE" w14:textId="77777777" w:rsidR="008B5815" w:rsidRPr="003E3A5C" w:rsidRDefault="008B5815" w:rsidP="008B5815">
      <w:pPr>
        <w:spacing w:line="360" w:lineRule="auto"/>
        <w:rPr>
          <w:rFonts w:cs="Times New Roman"/>
        </w:rPr>
      </w:pPr>
      <w:r w:rsidRPr="003E3A5C">
        <w:rPr>
          <w:rFonts w:cs="Times New Roman"/>
        </w:rPr>
        <w:t>Los retornos esperados se estiman mediante promedios históricos muestrales, mientras que la matriz de covarianzas se calcula a partir de las covarianzas muestrales correspondientes. Ambos insumos se anualizan con el objetivo de mantener consistencia temporal entre las medidas de retorno y riesgo empleadas en la optimización.</w:t>
      </w:r>
    </w:p>
    <w:p w14:paraId="6BB2E6A0" w14:textId="77777777" w:rsidR="008B5815" w:rsidRPr="003E3A5C" w:rsidRDefault="008B5815" w:rsidP="008B5815">
      <w:pPr>
        <w:spacing w:line="360" w:lineRule="auto"/>
        <w:rPr>
          <w:rFonts w:cs="Times New Roman"/>
        </w:rPr>
      </w:pPr>
      <w:r w:rsidRPr="003E3A5C">
        <w:rPr>
          <w:rFonts w:cs="Times New Roman"/>
        </w:rPr>
        <w:t xml:space="preserve">La matriz de covarianzas resultante se utiliza de manera consistente en la construcción de los portafolios óptimos y de la frontera eficiente. </w:t>
      </w:r>
      <w:r w:rsidRPr="00EC6C3E">
        <w:rPr>
          <w:rFonts w:cs="Times New Roman"/>
        </w:rPr>
        <w:t>Con el objetivo de mitigar posibles problemas de error de estimación y mejorar la estabilidad numérica de la matriz de covarianzas muestral, se implementa una regularización tipo shrinkage hacia una estructura diagonal, utilizando un parámetro λ = 0.1. Los detalles técnicos de esta implementación se presentan en el Anexo C.</w:t>
      </w:r>
    </w:p>
    <w:p w14:paraId="49466A22" w14:textId="77777777" w:rsidR="008B5815" w:rsidRPr="00537AFD" w:rsidRDefault="008B5815" w:rsidP="008B5815">
      <w:pPr>
        <w:spacing w:line="360" w:lineRule="auto"/>
        <w:rPr>
          <w:rFonts w:cs="Times New Roman"/>
        </w:rPr>
      </w:pPr>
      <w:r w:rsidRPr="003E3A5C">
        <w:rPr>
          <w:rFonts w:cs="Times New Roman"/>
        </w:rPr>
        <w:t xml:space="preserve">La optimización se implementa utilizando la muestra completa de datos disponibles, lo que implica que el ejercicio es estrictamente </w:t>
      </w:r>
      <w:r w:rsidRPr="003E3A5C">
        <w:rPr>
          <w:rFonts w:cs="Times New Roman"/>
          <w:i/>
          <w:iCs/>
        </w:rPr>
        <w:t>in-sample</w:t>
      </w:r>
      <w:r w:rsidRPr="003E3A5C">
        <w:rPr>
          <w:rFonts w:cs="Times New Roman"/>
        </w:rPr>
        <w:t>, es decir, basado en información histórica observada a lo largo del período de análisis. En consecuencia, los resultados obtenidos deben interpretarse como un análisis agregado sobre la muestra y no como estimaciones predictivas ni como reglas de asignación de activos directamente implementables. Asimismo, los pesos obtenidos se normalizan de modo de satisfacer exactamente la restricción presupuestaria de suma unitaria.</w:t>
      </w:r>
    </w:p>
    <w:p w14:paraId="2D62644F" w14:textId="6A2AA78C" w:rsidR="008B5815" w:rsidRPr="009706C8" w:rsidRDefault="008B5815" w:rsidP="008B5815">
      <w:pPr>
        <w:pStyle w:val="Ttulo2"/>
        <w:rPr>
          <w:rFonts w:cs="Times New Roman"/>
        </w:rPr>
      </w:pPr>
      <w:bookmarkStart w:id="123" w:name="_Toc223214816"/>
      <w:r>
        <w:rPr>
          <w:rFonts w:cs="Times New Roman"/>
        </w:rPr>
        <w:t>C</w:t>
      </w:r>
      <w:r w:rsidRPr="009706C8">
        <w:rPr>
          <w:rFonts w:cs="Times New Roman"/>
        </w:rPr>
        <w:t>.</w:t>
      </w:r>
      <w:r>
        <w:rPr>
          <w:rFonts w:cs="Times New Roman"/>
        </w:rPr>
        <w:t>3</w:t>
      </w:r>
      <w:r w:rsidRPr="009706C8">
        <w:rPr>
          <w:rFonts w:cs="Times New Roman"/>
        </w:rPr>
        <w:t xml:space="preserve"> Portafolios de referencia</w:t>
      </w:r>
      <w:bookmarkEnd w:id="123"/>
    </w:p>
    <w:p w14:paraId="32AEE8E4" w14:textId="77777777" w:rsidR="008B5815" w:rsidRPr="007610D0" w:rsidRDefault="008B5815" w:rsidP="008B5815">
      <w:pPr>
        <w:spacing w:line="360" w:lineRule="auto"/>
        <w:rPr>
          <w:rFonts w:cs="Times New Roman"/>
        </w:rPr>
      </w:pPr>
      <w:r w:rsidRPr="007610D0">
        <w:rPr>
          <w:rFonts w:cs="Times New Roman"/>
        </w:rPr>
        <w:t xml:space="preserve">A partir de los insumos estimados, se construyen dos portafolios teóricos de referencia. En primer lugar, se considera el portafolio de mínima varianza, que minimiza la varianza total del portafolio sin imponer un objetivo explícito de retorno esperado. En segundo lugar, se construye el portafolio tangente, o de máxima razón de Sharpe, el cual maximiza la relación entre retorno esperado y volatilidad </w:t>
      </w:r>
      <w:r w:rsidRPr="007610D0">
        <w:rPr>
          <w:rFonts w:cs="Times New Roman"/>
          <w:b/>
          <w:bCs/>
        </w:rPr>
        <w:t>en el marco del modelo media–varianza</w:t>
      </w:r>
      <w:r w:rsidRPr="007610D0">
        <w:rPr>
          <w:rFonts w:cs="Times New Roman"/>
        </w:rPr>
        <w:t>.</w:t>
      </w:r>
    </w:p>
    <w:p w14:paraId="7B294386" w14:textId="77777777" w:rsidR="008B5815" w:rsidRPr="007610D0" w:rsidRDefault="008B5815" w:rsidP="008B5815">
      <w:pPr>
        <w:spacing w:line="360" w:lineRule="auto"/>
        <w:rPr>
          <w:rFonts w:cs="Times New Roman"/>
        </w:rPr>
      </w:pPr>
      <w:r w:rsidRPr="007610D0">
        <w:rPr>
          <w:rFonts w:cs="Times New Roman"/>
        </w:rPr>
        <w:lastRenderedPageBreak/>
        <w:t>Estos portafolios no se interpretan como estrategias directamente implementables, sino como puntos de comparación que permiten evaluar, dentro de un marco clásico de asignación de activos, el rol de cada estrategia individual cuando se las considera como parte de combinaciones teóricas de portafolio.</w:t>
      </w:r>
    </w:p>
    <w:p w14:paraId="79105D91" w14:textId="77777777" w:rsidR="008B5815" w:rsidRPr="009706C8" w:rsidRDefault="008B5815" w:rsidP="008B5815">
      <w:pPr>
        <w:spacing w:line="360" w:lineRule="auto"/>
        <w:rPr>
          <w:rFonts w:cs="Times New Roman"/>
        </w:rPr>
      </w:pPr>
      <w:r w:rsidRPr="00631775">
        <w:rPr>
          <w:rFonts w:cs="Times New Roman"/>
        </w:rPr>
        <w:t>En particular, el portafolio tangente puede implicar ponderaciones extremas o negativas, consecuencia directa de la ausencia de restricciones adicionales sobre los pesos en el problema de optimización. Por este motivo, su interpretación debe limitarse al plano teórico, como referencia analítica dentro del enfoque clásico de media–varianza.</w:t>
      </w:r>
    </w:p>
    <w:p w14:paraId="03E2877B" w14:textId="63648F38" w:rsidR="008B5815" w:rsidRPr="009706C8" w:rsidRDefault="008B5815" w:rsidP="008B5815">
      <w:pPr>
        <w:pStyle w:val="Ttulo2"/>
        <w:rPr>
          <w:rFonts w:cs="Times New Roman"/>
        </w:rPr>
      </w:pPr>
      <w:bookmarkStart w:id="124" w:name="_Toc223214817"/>
      <w:r>
        <w:rPr>
          <w:rFonts w:cs="Times New Roman"/>
        </w:rPr>
        <w:t>C</w:t>
      </w:r>
      <w:r w:rsidRPr="009706C8">
        <w:rPr>
          <w:rFonts w:cs="Times New Roman"/>
        </w:rPr>
        <w:t>.</w:t>
      </w:r>
      <w:r>
        <w:rPr>
          <w:rFonts w:cs="Times New Roman"/>
        </w:rPr>
        <w:t>4</w:t>
      </w:r>
      <w:r w:rsidRPr="009706C8">
        <w:rPr>
          <w:rFonts w:cs="Times New Roman"/>
        </w:rPr>
        <w:t xml:space="preserve"> Frontera eficiente y visualización empírica</w:t>
      </w:r>
      <w:bookmarkEnd w:id="124"/>
    </w:p>
    <w:p w14:paraId="24741A48" w14:textId="77777777" w:rsidR="008B5815" w:rsidRDefault="008B5815" w:rsidP="008B5815">
      <w:pPr>
        <w:spacing w:line="360" w:lineRule="auto"/>
        <w:rPr>
          <w:rFonts w:cs="Times New Roman"/>
        </w:rPr>
      </w:pPr>
      <w:r w:rsidRPr="00744713">
        <w:rPr>
          <w:rFonts w:cs="Times New Roman"/>
        </w:rPr>
        <w:t>La frontera eficiente constituye una representación geométrica del conjunto de combinaciones de activos que, bajo el enfoque clásico de media–varianza, ofrecen el mayor retorno esperado para cada nivel de riesgo medido por la volatilidad. En el contexto de este trabajo, su estimación se realiza a partir de los momentos muestrales de los retornos y cumple un rol estrictamente ilustrativo, permitiendo visualizar de manera sintética el espacio retorno–riesgo asociado a las estrategias analizadas.</w:t>
      </w:r>
    </w:p>
    <w:p w14:paraId="1520F029" w14:textId="72B96B09" w:rsidR="008B5815" w:rsidRDefault="008B5815" w:rsidP="008B5815">
      <w:pPr>
        <w:spacing w:line="360" w:lineRule="auto"/>
        <w:rPr>
          <w:rFonts w:cs="Times New Roman"/>
          <w:b/>
          <w:bCs/>
        </w:rPr>
      </w:pPr>
      <w:r w:rsidRPr="001B1652">
        <w:rPr>
          <w:rFonts w:cs="Times New Roman"/>
          <w:b/>
          <w:bCs/>
        </w:rPr>
        <w:t xml:space="preserve">Figura </w:t>
      </w:r>
      <w:r>
        <w:rPr>
          <w:rFonts w:cs="Times New Roman"/>
          <w:b/>
          <w:bCs/>
        </w:rPr>
        <w:t>C</w:t>
      </w:r>
      <w:r w:rsidRPr="001B1652">
        <w:rPr>
          <w:rFonts w:cs="Times New Roman"/>
          <w:b/>
          <w:bCs/>
        </w:rPr>
        <w:t>.1 – Frontera eficiente media–varianza (in-sample) y posicionamiento del benchmark y estrategias de momentum sectorial</w:t>
      </w:r>
    </w:p>
    <w:p w14:paraId="2BAA0A9F" w14:textId="77777777" w:rsidR="008B5815" w:rsidRPr="00CE3409" w:rsidRDefault="008B5815" w:rsidP="008B5815">
      <w:pPr>
        <w:spacing w:line="360" w:lineRule="auto"/>
        <w:rPr>
          <w:rFonts w:cs="Times New Roman"/>
          <w:b/>
          <w:bCs/>
        </w:rPr>
      </w:pPr>
      <w:r w:rsidRPr="00CE3409">
        <w:rPr>
          <w:rFonts w:cs="Times New Roman"/>
          <w:b/>
          <w:bCs/>
          <w:noProof/>
        </w:rPr>
        <w:drawing>
          <wp:inline distT="0" distB="0" distL="0" distR="0" wp14:anchorId="280BA531" wp14:editId="61CD04F7">
            <wp:extent cx="5399405" cy="3684905"/>
            <wp:effectExtent l="0" t="0" r="0" b="0"/>
            <wp:docPr id="761065309" name="Imagen 10"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5309" name="Imagen 10" descr="Gráfico, Gráfico de dispers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9405" cy="3684905"/>
                    </a:xfrm>
                    <a:prstGeom prst="rect">
                      <a:avLst/>
                    </a:prstGeom>
                    <a:noFill/>
                    <a:ln>
                      <a:noFill/>
                    </a:ln>
                  </pic:spPr>
                </pic:pic>
              </a:graphicData>
            </a:graphic>
          </wp:inline>
        </w:drawing>
      </w:r>
    </w:p>
    <w:p w14:paraId="3566324E" w14:textId="77777777" w:rsidR="008B5815" w:rsidRPr="007610D0" w:rsidRDefault="008B5815" w:rsidP="008B5815">
      <w:pPr>
        <w:spacing w:line="360" w:lineRule="auto"/>
        <w:rPr>
          <w:rFonts w:cs="Times New Roman"/>
          <w:b/>
          <w:bCs/>
        </w:rPr>
      </w:pPr>
    </w:p>
    <w:p w14:paraId="2CA4AB2F" w14:textId="5ADD85C6" w:rsidR="008B5815" w:rsidRPr="00744713" w:rsidRDefault="008B5815" w:rsidP="008B5815">
      <w:pPr>
        <w:spacing w:line="360" w:lineRule="auto"/>
        <w:rPr>
          <w:rFonts w:cs="Times New Roman"/>
        </w:rPr>
      </w:pPr>
      <w:r w:rsidRPr="00744713">
        <w:rPr>
          <w:rFonts w:cs="Times New Roman"/>
        </w:rPr>
        <w:lastRenderedPageBreak/>
        <w:t xml:space="preserve">La </w:t>
      </w:r>
      <w:r w:rsidRPr="00744713">
        <w:rPr>
          <w:rFonts w:cs="Times New Roman"/>
          <w:b/>
          <w:bCs/>
        </w:rPr>
        <w:t xml:space="preserve">Figura </w:t>
      </w:r>
      <w:r>
        <w:rPr>
          <w:rFonts w:cs="Times New Roman"/>
          <w:b/>
          <w:bCs/>
        </w:rPr>
        <w:t>C</w:t>
      </w:r>
      <w:r w:rsidRPr="00744713">
        <w:rPr>
          <w:rFonts w:cs="Times New Roman"/>
          <w:b/>
          <w:bCs/>
        </w:rPr>
        <w:t xml:space="preserve">.1 </w:t>
      </w:r>
      <w:r w:rsidRPr="00744713">
        <w:rPr>
          <w:rFonts w:cs="Times New Roman"/>
        </w:rPr>
        <w:t xml:space="preserve">presenta la frontera eficiente estimada </w:t>
      </w:r>
      <w:r w:rsidRPr="00744713">
        <w:rPr>
          <w:rFonts w:cs="Times New Roman"/>
          <w:i/>
          <w:iCs/>
        </w:rPr>
        <w:t>in-sample</w:t>
      </w:r>
      <w:r w:rsidRPr="00744713">
        <w:rPr>
          <w:rFonts w:cs="Times New Roman"/>
        </w:rPr>
        <w:t xml:space="preserve">, junto con el posicionamiento de las estrategias individuales de </w:t>
      </w:r>
      <w:r w:rsidRPr="00744713">
        <w:rPr>
          <w:rFonts w:cs="Times New Roman"/>
          <w:i/>
          <w:iCs/>
        </w:rPr>
        <w:t>momentum</w:t>
      </w:r>
      <w:r w:rsidRPr="00744713">
        <w:rPr>
          <w:rFonts w:cs="Times New Roman"/>
        </w:rPr>
        <w:t xml:space="preserve"> sectorial y del </w:t>
      </w:r>
      <w:r w:rsidRPr="00744713">
        <w:rPr>
          <w:rFonts w:cs="Times New Roman"/>
          <w:i/>
          <w:iCs/>
        </w:rPr>
        <w:t>benchmark</w:t>
      </w:r>
      <w:r w:rsidRPr="00744713">
        <w:rPr>
          <w:rFonts w:cs="Times New Roman"/>
        </w:rPr>
        <w:t xml:space="preserve"> de mercado SPY en el plano de retorno esperado y volatilidad anualizada. Los puntos correspondientes a cada estrategia representan sus características individuales de retorno y riesgo, mientras que la frontera refleja combinaciones teóricas entre ellas bajo el supuesto de media–varianza.</w:t>
      </w:r>
    </w:p>
    <w:p w14:paraId="4448038A" w14:textId="77777777" w:rsidR="008B5815" w:rsidRPr="00744713" w:rsidRDefault="008B5815" w:rsidP="008B5815">
      <w:pPr>
        <w:spacing w:line="360" w:lineRule="auto"/>
        <w:rPr>
          <w:rFonts w:cs="Times New Roman"/>
        </w:rPr>
      </w:pPr>
      <w:r w:rsidRPr="00744713">
        <w:rPr>
          <w:rFonts w:cs="Times New Roman"/>
        </w:rPr>
        <w:t>Asimismo, se incluye el portafolio tangente, que maximiza el ratio de Sharpe dentro de este marco teórico. Dado que la optimización se realiza sin imponer restricciones adicionales sobre los pesos y utilizando información histórica completa, el portafolio tangente puede presentar ponderaciones extremas o contraintuitivas desde un punto de vista operativo, por lo que su interpretación debe limitarse al plano analítico.</w:t>
      </w:r>
    </w:p>
    <w:p w14:paraId="19BC9A54" w14:textId="77777777" w:rsidR="008B5815" w:rsidRPr="009706C8" w:rsidRDefault="008B5815" w:rsidP="008B5815">
      <w:pPr>
        <w:spacing w:line="360" w:lineRule="auto"/>
        <w:rPr>
          <w:rFonts w:cs="Times New Roman"/>
        </w:rPr>
      </w:pPr>
      <w:r w:rsidRPr="00744713">
        <w:rPr>
          <w:rFonts w:cs="Times New Roman"/>
        </w:rPr>
        <w:t>Dado el carácter del ejercicio y la elevada correlación existente entre las estrategias consideradas, la frontera eficiente estimada no debe interpretarse como un conjunto de carteras dominantes desde un punto de vista económico ni como una guía normativa para la asignación óptima de activos. Su principal aporte reside en ilustrar las limitaciones del enfoque media–varianza en presencia de dinámicas de riesgo más complejas, como la heterocedasticidad condicional y la variación temporal de la volatilidad documentadas en los capítulos anteriores.</w:t>
      </w:r>
    </w:p>
    <w:p w14:paraId="6C751BB0" w14:textId="4C4EA779" w:rsidR="009E5222" w:rsidRPr="009706C8" w:rsidRDefault="009E5222" w:rsidP="00F14042">
      <w:pPr>
        <w:pStyle w:val="Ttulo2"/>
        <w:rPr>
          <w:rFonts w:cs="Times New Roman"/>
        </w:rPr>
      </w:pPr>
      <w:bookmarkStart w:id="125" w:name="_Toc223214818"/>
      <w:bookmarkStart w:id="126" w:name="Xfaf80f2414bb7597a0f58c4f18502d0ad1321af"/>
      <w:r w:rsidRPr="009706C8">
        <w:rPr>
          <w:rFonts w:cs="Times New Roman"/>
        </w:rPr>
        <w:t>C.</w:t>
      </w:r>
      <w:r w:rsidR="008B5815">
        <w:rPr>
          <w:rFonts w:cs="Times New Roman"/>
        </w:rPr>
        <w:t>5</w:t>
      </w:r>
      <w:r w:rsidRPr="009706C8">
        <w:rPr>
          <w:rFonts w:cs="Times New Roman"/>
        </w:rPr>
        <w:t xml:space="preserve"> Estadísticas completas de los portafolios optimizados</w:t>
      </w:r>
      <w:bookmarkEnd w:id="125"/>
    </w:p>
    <w:p w14:paraId="63B41D01" w14:textId="097F1718" w:rsidR="00DE35D1" w:rsidRPr="00DE35D1" w:rsidRDefault="00DE35D1" w:rsidP="00DE35D1">
      <w:pPr>
        <w:pStyle w:val="Textoindependiente"/>
        <w:spacing w:line="360" w:lineRule="auto"/>
        <w:rPr>
          <w:lang w:val="es-AR"/>
        </w:rPr>
      </w:pPr>
      <w:r w:rsidRPr="00DE35D1">
        <w:rPr>
          <w:rFonts w:cs="Times New Roman"/>
          <w:lang w:val="es-AR"/>
        </w:rPr>
        <w:t>En esta sección se presentan las estadísticas completas asociadas a los portafolios obtenidos a partir del ejercicio de optimización media–varianza, incluyendo medidas de retorno esperado, volatilidad y ratio de Sharpe clásic</w:t>
      </w:r>
      <w:r w:rsidR="00713A5B">
        <w:rPr>
          <w:rFonts w:cs="Times New Roman"/>
          <w:lang w:val="es-AR"/>
        </w:rPr>
        <w:t>o</w:t>
      </w:r>
      <w:r w:rsidRPr="00DE35D1">
        <w:rPr>
          <w:rFonts w:cs="Times New Roman"/>
          <w:lang w:val="es-AR"/>
        </w:rPr>
        <w:t>.</w:t>
      </w:r>
    </w:p>
    <w:p w14:paraId="0FC9A920" w14:textId="77777777" w:rsidR="009E5222" w:rsidRDefault="009E5222" w:rsidP="007610D0">
      <w:pPr>
        <w:pStyle w:val="Textoindependiente"/>
        <w:rPr>
          <w:rFonts w:cs="Times New Roman"/>
          <w:b/>
          <w:bCs/>
          <w:lang w:val="es-AR"/>
        </w:rPr>
      </w:pPr>
      <w:r w:rsidRPr="007610D0">
        <w:rPr>
          <w:rFonts w:cs="Times New Roman"/>
          <w:b/>
          <w:bCs/>
          <w:lang w:val="es-AR"/>
        </w:rPr>
        <w:t xml:space="preserve">TABLA C.1 – Estadísticas completas de los portafolios optimizados </w:t>
      </w:r>
    </w:p>
    <w:tbl>
      <w:tblPr>
        <w:tblW w:w="4940" w:type="dxa"/>
        <w:jc w:val="center"/>
        <w:tblCellMar>
          <w:left w:w="70" w:type="dxa"/>
          <w:right w:w="70" w:type="dxa"/>
        </w:tblCellMar>
        <w:tblLook w:val="04A0" w:firstRow="1" w:lastRow="0" w:firstColumn="1" w:lastColumn="0" w:noHBand="0" w:noVBand="1"/>
      </w:tblPr>
      <w:tblGrid>
        <w:gridCol w:w="990"/>
        <w:gridCol w:w="1310"/>
        <w:gridCol w:w="1310"/>
        <w:gridCol w:w="1464"/>
      </w:tblGrid>
      <w:tr w:rsidR="00074BD4" w:rsidRPr="00074BD4" w14:paraId="6B358049" w14:textId="77777777" w:rsidTr="00074BD4">
        <w:trPr>
          <w:trHeight w:val="300"/>
          <w:jc w:val="center"/>
        </w:trPr>
        <w:tc>
          <w:tcPr>
            <w:tcW w:w="980" w:type="dxa"/>
            <w:tcBorders>
              <w:top w:val="single" w:sz="4" w:space="0" w:color="auto"/>
              <w:left w:val="single" w:sz="4" w:space="0" w:color="auto"/>
              <w:bottom w:val="single" w:sz="4" w:space="0" w:color="auto"/>
              <w:right w:val="single" w:sz="4" w:space="0" w:color="auto"/>
            </w:tcBorders>
            <w:noWrap/>
            <w:hideMark/>
          </w:tcPr>
          <w:p w14:paraId="4669EA78" w14:textId="77777777" w:rsidR="00074BD4" w:rsidRPr="00074BD4" w:rsidRDefault="00074BD4" w:rsidP="00074BD4">
            <w:pPr>
              <w:spacing w:line="240" w:lineRule="auto"/>
              <w:jc w:val="center"/>
              <w:rPr>
                <w:rFonts w:ascii="Calibri" w:eastAsia="Times New Roman" w:hAnsi="Calibri" w:cs="Calibri"/>
                <w:b/>
                <w:bCs/>
                <w:color w:val="000000"/>
                <w:kern w:val="0"/>
                <w:sz w:val="22"/>
                <w:szCs w:val="22"/>
                <w:lang w:eastAsia="es-AR"/>
                <w14:ligatures w14:val="none"/>
              </w:rPr>
            </w:pPr>
            <w:r w:rsidRPr="00074BD4">
              <w:rPr>
                <w:rFonts w:ascii="Calibri" w:eastAsia="Times New Roman" w:hAnsi="Calibri" w:cs="Calibri"/>
                <w:b/>
                <w:bCs/>
                <w:color w:val="000000"/>
                <w:kern w:val="0"/>
                <w:sz w:val="22"/>
                <w:szCs w:val="22"/>
                <w:lang w:eastAsia="es-AR"/>
                <w14:ligatures w14:val="none"/>
              </w:rPr>
              <w:t>Portfolio</w:t>
            </w:r>
          </w:p>
        </w:tc>
        <w:tc>
          <w:tcPr>
            <w:tcW w:w="1260" w:type="dxa"/>
            <w:tcBorders>
              <w:top w:val="single" w:sz="4" w:space="0" w:color="auto"/>
              <w:left w:val="nil"/>
              <w:bottom w:val="single" w:sz="4" w:space="0" w:color="auto"/>
              <w:right w:val="single" w:sz="4" w:space="0" w:color="auto"/>
            </w:tcBorders>
            <w:noWrap/>
            <w:hideMark/>
          </w:tcPr>
          <w:p w14:paraId="6854E01F" w14:textId="77777777" w:rsidR="00074BD4" w:rsidRPr="00074BD4" w:rsidRDefault="00074BD4" w:rsidP="00074BD4">
            <w:pPr>
              <w:spacing w:line="240" w:lineRule="auto"/>
              <w:jc w:val="center"/>
              <w:rPr>
                <w:rFonts w:ascii="Calibri" w:eastAsia="Times New Roman" w:hAnsi="Calibri" w:cs="Calibri"/>
                <w:b/>
                <w:bCs/>
                <w:color w:val="000000"/>
                <w:kern w:val="0"/>
                <w:sz w:val="22"/>
                <w:szCs w:val="22"/>
                <w:lang w:eastAsia="es-AR"/>
                <w14:ligatures w14:val="none"/>
              </w:rPr>
            </w:pPr>
            <w:r w:rsidRPr="00074BD4">
              <w:rPr>
                <w:rFonts w:ascii="Calibri" w:eastAsia="Times New Roman" w:hAnsi="Calibri" w:cs="Calibri"/>
                <w:b/>
                <w:bCs/>
                <w:color w:val="000000"/>
                <w:kern w:val="0"/>
                <w:sz w:val="22"/>
                <w:szCs w:val="22"/>
                <w:lang w:eastAsia="es-AR"/>
                <w14:ligatures w14:val="none"/>
              </w:rPr>
              <w:t>Return</w:t>
            </w:r>
          </w:p>
        </w:tc>
        <w:tc>
          <w:tcPr>
            <w:tcW w:w="1260" w:type="dxa"/>
            <w:tcBorders>
              <w:top w:val="single" w:sz="4" w:space="0" w:color="auto"/>
              <w:left w:val="nil"/>
              <w:bottom w:val="single" w:sz="4" w:space="0" w:color="auto"/>
              <w:right w:val="single" w:sz="4" w:space="0" w:color="auto"/>
            </w:tcBorders>
            <w:noWrap/>
            <w:hideMark/>
          </w:tcPr>
          <w:p w14:paraId="1B26FFFF" w14:textId="77777777" w:rsidR="00074BD4" w:rsidRPr="00074BD4" w:rsidRDefault="00074BD4" w:rsidP="00074BD4">
            <w:pPr>
              <w:spacing w:line="240" w:lineRule="auto"/>
              <w:jc w:val="center"/>
              <w:rPr>
                <w:rFonts w:ascii="Calibri" w:eastAsia="Times New Roman" w:hAnsi="Calibri" w:cs="Calibri"/>
                <w:b/>
                <w:bCs/>
                <w:color w:val="000000"/>
                <w:kern w:val="0"/>
                <w:sz w:val="22"/>
                <w:szCs w:val="22"/>
                <w:lang w:eastAsia="es-AR"/>
                <w14:ligatures w14:val="none"/>
              </w:rPr>
            </w:pPr>
            <w:r w:rsidRPr="00074BD4">
              <w:rPr>
                <w:rFonts w:ascii="Calibri" w:eastAsia="Times New Roman" w:hAnsi="Calibri" w:cs="Calibri"/>
                <w:b/>
                <w:bCs/>
                <w:color w:val="000000"/>
                <w:kern w:val="0"/>
                <w:sz w:val="22"/>
                <w:szCs w:val="22"/>
                <w:lang w:eastAsia="es-AR"/>
                <w14:ligatures w14:val="none"/>
              </w:rPr>
              <w:t>Volatility</w:t>
            </w:r>
          </w:p>
        </w:tc>
        <w:tc>
          <w:tcPr>
            <w:tcW w:w="1440" w:type="dxa"/>
            <w:tcBorders>
              <w:top w:val="single" w:sz="4" w:space="0" w:color="auto"/>
              <w:left w:val="nil"/>
              <w:bottom w:val="single" w:sz="4" w:space="0" w:color="auto"/>
              <w:right w:val="single" w:sz="4" w:space="0" w:color="auto"/>
            </w:tcBorders>
            <w:noWrap/>
            <w:hideMark/>
          </w:tcPr>
          <w:p w14:paraId="4237A158" w14:textId="77777777" w:rsidR="00074BD4" w:rsidRPr="00074BD4" w:rsidRDefault="00074BD4" w:rsidP="00074BD4">
            <w:pPr>
              <w:spacing w:line="240" w:lineRule="auto"/>
              <w:jc w:val="center"/>
              <w:rPr>
                <w:rFonts w:ascii="Calibri" w:eastAsia="Times New Roman" w:hAnsi="Calibri" w:cs="Calibri"/>
                <w:b/>
                <w:bCs/>
                <w:color w:val="000000"/>
                <w:kern w:val="0"/>
                <w:sz w:val="22"/>
                <w:szCs w:val="22"/>
                <w:lang w:eastAsia="es-AR"/>
                <w14:ligatures w14:val="none"/>
              </w:rPr>
            </w:pPr>
            <w:r w:rsidRPr="00074BD4">
              <w:rPr>
                <w:rFonts w:ascii="Calibri" w:eastAsia="Times New Roman" w:hAnsi="Calibri" w:cs="Calibri"/>
                <w:b/>
                <w:bCs/>
                <w:color w:val="000000"/>
                <w:kern w:val="0"/>
                <w:sz w:val="22"/>
                <w:szCs w:val="22"/>
                <w:lang w:eastAsia="es-AR"/>
                <w14:ligatures w14:val="none"/>
              </w:rPr>
              <w:t>Sharpe_classic</w:t>
            </w:r>
          </w:p>
        </w:tc>
      </w:tr>
      <w:tr w:rsidR="00074BD4" w:rsidRPr="00074BD4" w14:paraId="736DC405" w14:textId="77777777" w:rsidTr="00074BD4">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7E87701E" w14:textId="77777777" w:rsidR="00074BD4" w:rsidRPr="00074BD4" w:rsidRDefault="00074BD4" w:rsidP="00074BD4">
            <w:pPr>
              <w:spacing w:line="240" w:lineRule="auto"/>
              <w:jc w:val="lef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MinVar</w:t>
            </w:r>
          </w:p>
        </w:tc>
        <w:tc>
          <w:tcPr>
            <w:tcW w:w="1260" w:type="dxa"/>
            <w:tcBorders>
              <w:top w:val="nil"/>
              <w:left w:val="nil"/>
              <w:bottom w:val="single" w:sz="4" w:space="0" w:color="auto"/>
              <w:right w:val="single" w:sz="4" w:space="0" w:color="auto"/>
            </w:tcBorders>
            <w:noWrap/>
            <w:vAlign w:val="bottom"/>
            <w:hideMark/>
          </w:tcPr>
          <w:p w14:paraId="2CE53BFD"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0,10519566</w:t>
            </w:r>
          </w:p>
        </w:tc>
        <w:tc>
          <w:tcPr>
            <w:tcW w:w="1260" w:type="dxa"/>
            <w:tcBorders>
              <w:top w:val="nil"/>
              <w:left w:val="nil"/>
              <w:bottom w:val="single" w:sz="4" w:space="0" w:color="auto"/>
              <w:right w:val="single" w:sz="4" w:space="0" w:color="auto"/>
            </w:tcBorders>
            <w:noWrap/>
            <w:vAlign w:val="bottom"/>
            <w:hideMark/>
          </w:tcPr>
          <w:p w14:paraId="713B33F2"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0,133901977</w:t>
            </w:r>
          </w:p>
        </w:tc>
        <w:tc>
          <w:tcPr>
            <w:tcW w:w="1440" w:type="dxa"/>
            <w:tcBorders>
              <w:top w:val="nil"/>
              <w:left w:val="nil"/>
              <w:bottom w:val="single" w:sz="4" w:space="0" w:color="auto"/>
              <w:right w:val="single" w:sz="4" w:space="0" w:color="auto"/>
            </w:tcBorders>
            <w:noWrap/>
            <w:vAlign w:val="bottom"/>
            <w:hideMark/>
          </w:tcPr>
          <w:p w14:paraId="0744BF5B"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0,78561693</w:t>
            </w:r>
          </w:p>
        </w:tc>
      </w:tr>
      <w:tr w:rsidR="00074BD4" w:rsidRPr="00074BD4" w14:paraId="50D48C38" w14:textId="77777777" w:rsidTr="00074BD4">
        <w:trPr>
          <w:trHeight w:val="300"/>
          <w:jc w:val="center"/>
        </w:trPr>
        <w:tc>
          <w:tcPr>
            <w:tcW w:w="980" w:type="dxa"/>
            <w:tcBorders>
              <w:top w:val="nil"/>
              <w:left w:val="single" w:sz="4" w:space="0" w:color="auto"/>
              <w:bottom w:val="single" w:sz="4" w:space="0" w:color="auto"/>
              <w:right w:val="single" w:sz="4" w:space="0" w:color="auto"/>
            </w:tcBorders>
            <w:noWrap/>
            <w:vAlign w:val="bottom"/>
            <w:hideMark/>
          </w:tcPr>
          <w:p w14:paraId="5505FC56" w14:textId="77777777" w:rsidR="00074BD4" w:rsidRPr="00074BD4" w:rsidRDefault="00074BD4" w:rsidP="00074BD4">
            <w:pPr>
              <w:spacing w:line="240" w:lineRule="auto"/>
              <w:jc w:val="lef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Tangency</w:t>
            </w:r>
          </w:p>
        </w:tc>
        <w:tc>
          <w:tcPr>
            <w:tcW w:w="1260" w:type="dxa"/>
            <w:tcBorders>
              <w:top w:val="nil"/>
              <w:left w:val="nil"/>
              <w:bottom w:val="single" w:sz="4" w:space="0" w:color="auto"/>
              <w:right w:val="single" w:sz="4" w:space="0" w:color="auto"/>
            </w:tcBorders>
            <w:noWrap/>
            <w:vAlign w:val="bottom"/>
            <w:hideMark/>
          </w:tcPr>
          <w:p w14:paraId="61AE4748"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0,111198847</w:t>
            </w:r>
          </w:p>
        </w:tc>
        <w:tc>
          <w:tcPr>
            <w:tcW w:w="1260" w:type="dxa"/>
            <w:tcBorders>
              <w:top w:val="nil"/>
              <w:left w:val="nil"/>
              <w:bottom w:val="single" w:sz="4" w:space="0" w:color="auto"/>
              <w:right w:val="single" w:sz="4" w:space="0" w:color="auto"/>
            </w:tcBorders>
            <w:noWrap/>
            <w:vAlign w:val="bottom"/>
            <w:hideMark/>
          </w:tcPr>
          <w:p w14:paraId="75F17F67"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0,137669654</w:t>
            </w:r>
          </w:p>
        </w:tc>
        <w:tc>
          <w:tcPr>
            <w:tcW w:w="1440" w:type="dxa"/>
            <w:tcBorders>
              <w:top w:val="nil"/>
              <w:left w:val="nil"/>
              <w:bottom w:val="single" w:sz="4" w:space="0" w:color="auto"/>
              <w:right w:val="single" w:sz="4" w:space="0" w:color="auto"/>
            </w:tcBorders>
            <w:noWrap/>
            <w:vAlign w:val="bottom"/>
            <w:hideMark/>
          </w:tcPr>
          <w:p w14:paraId="4CB181FC" w14:textId="77777777" w:rsidR="00074BD4" w:rsidRPr="00074BD4" w:rsidRDefault="00074BD4" w:rsidP="00074BD4">
            <w:pPr>
              <w:spacing w:line="240" w:lineRule="auto"/>
              <w:jc w:val="right"/>
              <w:rPr>
                <w:rFonts w:ascii="Calibri" w:eastAsia="Times New Roman" w:hAnsi="Calibri" w:cs="Calibri"/>
                <w:color w:val="000000"/>
                <w:kern w:val="0"/>
                <w:sz w:val="22"/>
                <w:szCs w:val="22"/>
                <w:lang w:eastAsia="es-AR"/>
                <w14:ligatures w14:val="none"/>
              </w:rPr>
            </w:pPr>
            <w:r w:rsidRPr="00074BD4">
              <w:rPr>
                <w:rFonts w:ascii="Calibri" w:eastAsia="Times New Roman" w:hAnsi="Calibri" w:cs="Calibri"/>
                <w:color w:val="000000"/>
                <w:kern w:val="0"/>
                <w:sz w:val="22"/>
                <w:szCs w:val="22"/>
                <w:lang w:eastAsia="es-AR"/>
                <w14:ligatures w14:val="none"/>
              </w:rPr>
              <w:t>0,807722281</w:t>
            </w:r>
          </w:p>
        </w:tc>
      </w:tr>
    </w:tbl>
    <w:p w14:paraId="05141ADC" w14:textId="77777777" w:rsidR="00074BD4" w:rsidRPr="007610D0" w:rsidRDefault="00074BD4" w:rsidP="007610D0">
      <w:pPr>
        <w:pStyle w:val="Textoindependiente"/>
        <w:rPr>
          <w:rFonts w:cs="Times New Roman"/>
          <w:lang w:val="es-AR"/>
        </w:rPr>
      </w:pPr>
    </w:p>
    <w:p w14:paraId="6F572D94" w14:textId="3AF6D790" w:rsidR="00AA4812" w:rsidRPr="0008582D" w:rsidRDefault="00AA4812" w:rsidP="0008582D">
      <w:pPr>
        <w:pStyle w:val="Textoindependiente"/>
        <w:spacing w:line="360" w:lineRule="auto"/>
        <w:rPr>
          <w:rFonts w:cs="Times New Roman"/>
          <w:lang w:val="es-AR"/>
        </w:rPr>
      </w:pPr>
      <w:r w:rsidRPr="00AA4812">
        <w:rPr>
          <w:rFonts w:cs="Times New Roman"/>
          <w:i/>
          <w:iCs/>
          <w:lang w:val="es-AR"/>
        </w:rPr>
        <w:t xml:space="preserve">Comentario técnico: </w:t>
      </w:r>
      <w:r w:rsidR="00A01012" w:rsidRPr="00A01012">
        <w:rPr>
          <w:rFonts w:cs="Times New Roman"/>
          <w:lang w:val="es-AR"/>
        </w:rPr>
        <w:t>La tabla reporta las métricas resultantes para cada portafolio optimizado. Estos valores son consistentes con las características de retorno y riesgo de los portafolios de mínima varianza y tangente y permiten documentar cuantitativamente los resultados del ejercicio de optimización.</w:t>
      </w:r>
    </w:p>
    <w:p w14:paraId="7E7C87CA" w14:textId="2BD784D7" w:rsidR="009E5222" w:rsidRPr="009706C8" w:rsidRDefault="009E5222" w:rsidP="00F14042">
      <w:pPr>
        <w:pStyle w:val="Ttulo2"/>
        <w:rPr>
          <w:rFonts w:cs="Times New Roman"/>
        </w:rPr>
      </w:pPr>
      <w:bookmarkStart w:id="127" w:name="_Toc223214819"/>
      <w:bookmarkStart w:id="128" w:name="c.3-pesos-óptimos-de-los-portafolios"/>
      <w:bookmarkEnd w:id="126"/>
      <w:r w:rsidRPr="009706C8">
        <w:rPr>
          <w:rFonts w:cs="Times New Roman"/>
        </w:rPr>
        <w:lastRenderedPageBreak/>
        <w:t>C.</w:t>
      </w:r>
      <w:r w:rsidR="008B5815">
        <w:rPr>
          <w:rFonts w:cs="Times New Roman"/>
        </w:rPr>
        <w:t>6</w:t>
      </w:r>
      <w:r w:rsidRPr="009706C8">
        <w:rPr>
          <w:rFonts w:cs="Times New Roman"/>
        </w:rPr>
        <w:t xml:space="preserve"> Pesos óptimos de los portafolios</w:t>
      </w:r>
      <w:bookmarkEnd w:id="127"/>
    </w:p>
    <w:p w14:paraId="0A72487F" w14:textId="77777777" w:rsidR="00E162AB" w:rsidRPr="00E162AB" w:rsidRDefault="00E162AB" w:rsidP="00E162AB">
      <w:pPr>
        <w:pStyle w:val="Textoindependiente"/>
        <w:spacing w:line="360" w:lineRule="auto"/>
        <w:rPr>
          <w:rFonts w:cs="Times New Roman"/>
          <w:lang w:val="es-AR"/>
        </w:rPr>
      </w:pPr>
      <w:r w:rsidRPr="00E162AB">
        <w:rPr>
          <w:rFonts w:cs="Times New Roman"/>
          <w:lang w:val="es-AR"/>
        </w:rPr>
        <w:t>A continuación, se detallan los vectores de pesos asociados a los portafolios obtenidos mediante el procedimiento de optimización media–varianza, expresados como proporciones del capital total asignado a cada activo o estrategia considerada.</w:t>
      </w:r>
    </w:p>
    <w:p w14:paraId="5D53EA34" w14:textId="77777777" w:rsidR="00E162AB" w:rsidRPr="00E162AB" w:rsidRDefault="00E162AB" w:rsidP="002E2BE4">
      <w:pPr>
        <w:pStyle w:val="Textoindependiente"/>
        <w:spacing w:line="360" w:lineRule="auto"/>
        <w:rPr>
          <w:lang w:val="es-AR"/>
        </w:rPr>
      </w:pPr>
      <w:r w:rsidRPr="00E162AB">
        <w:rPr>
          <w:rFonts w:cs="Times New Roman"/>
          <w:lang w:val="es-AR"/>
        </w:rPr>
        <w:t xml:space="preserve">La </w:t>
      </w:r>
      <w:r w:rsidRPr="00E162AB">
        <w:rPr>
          <w:rFonts w:cs="Times New Roman"/>
          <w:b/>
          <w:bCs/>
          <w:lang w:val="es-AR"/>
        </w:rPr>
        <w:t>Tabla C.2</w:t>
      </w:r>
      <w:r w:rsidRPr="00E162AB">
        <w:rPr>
          <w:rFonts w:cs="Times New Roman"/>
          <w:lang w:val="es-AR"/>
        </w:rPr>
        <w:t xml:space="preserve"> presenta los pesos correspondientes al portafolio de mínima varianza y al portafolio tangente. En el caso del portafolio de mínima varianza, las ponderaciones resultan no negativas, mientras que el portafolio tangente, al maximizar la razón de Sharpe sin imponer restricciones adicionales sobre los pesos, puede dar lugar a posiciones cortas en algun</w:t>
      </w:r>
      <w:r w:rsidR="00265C71">
        <w:rPr>
          <w:rFonts w:cs="Times New Roman"/>
          <w:lang w:val="es-AR"/>
        </w:rPr>
        <w:t>as estrategias</w:t>
      </w:r>
      <w:r w:rsidRPr="00E162AB">
        <w:rPr>
          <w:rFonts w:cs="Times New Roman"/>
          <w:lang w:val="es-AR"/>
        </w:rPr>
        <w:t>.</w:t>
      </w:r>
    </w:p>
    <w:p w14:paraId="774CC453" w14:textId="77777777" w:rsidR="009E5222" w:rsidRDefault="009E5222" w:rsidP="007610D0">
      <w:pPr>
        <w:pStyle w:val="Textoindependiente"/>
        <w:rPr>
          <w:rFonts w:cs="Times New Roman"/>
          <w:b/>
          <w:bCs/>
          <w:lang w:val="es-AR"/>
        </w:rPr>
      </w:pPr>
      <w:r w:rsidRPr="007610D0">
        <w:rPr>
          <w:rFonts w:cs="Times New Roman"/>
          <w:b/>
          <w:bCs/>
          <w:lang w:val="es-AR"/>
        </w:rPr>
        <w:t xml:space="preserve">TABLA C.2 – Pesos óptimos de los portafolios </w:t>
      </w:r>
    </w:p>
    <w:tbl>
      <w:tblPr>
        <w:tblW w:w="2880" w:type="dxa"/>
        <w:jc w:val="center"/>
        <w:tblCellMar>
          <w:left w:w="70" w:type="dxa"/>
          <w:right w:w="70" w:type="dxa"/>
        </w:tblCellMar>
        <w:tblLook w:val="04A0" w:firstRow="1" w:lastRow="0" w:firstColumn="1" w:lastColumn="0" w:noHBand="0" w:noVBand="1"/>
      </w:tblPr>
      <w:tblGrid>
        <w:gridCol w:w="960"/>
        <w:gridCol w:w="960"/>
        <w:gridCol w:w="1005"/>
      </w:tblGrid>
      <w:tr w:rsidR="0016422B" w:rsidRPr="0016422B" w14:paraId="42506303" w14:textId="77777777" w:rsidTr="0016422B">
        <w:trPr>
          <w:trHeight w:val="300"/>
          <w:jc w:val="center"/>
        </w:trPr>
        <w:tc>
          <w:tcPr>
            <w:tcW w:w="960" w:type="dxa"/>
            <w:tcBorders>
              <w:top w:val="nil"/>
              <w:left w:val="nil"/>
              <w:bottom w:val="nil"/>
              <w:right w:val="nil"/>
            </w:tcBorders>
            <w:noWrap/>
            <w:vAlign w:val="bottom"/>
            <w:hideMark/>
          </w:tcPr>
          <w:p w14:paraId="57149285" w14:textId="77777777" w:rsidR="0016422B" w:rsidRPr="0016422B" w:rsidRDefault="0016422B" w:rsidP="0016422B">
            <w:pPr>
              <w:spacing w:line="240" w:lineRule="auto"/>
              <w:jc w:val="left"/>
              <w:rPr>
                <w:rFonts w:eastAsia="Times New Roman" w:cs="Times New Roman"/>
                <w:kern w:val="0"/>
                <w:lang w:eastAsia="es-AR"/>
                <w14:ligatures w14:val="none"/>
              </w:rPr>
            </w:pPr>
          </w:p>
        </w:tc>
        <w:tc>
          <w:tcPr>
            <w:tcW w:w="960" w:type="dxa"/>
            <w:tcBorders>
              <w:top w:val="single" w:sz="4" w:space="0" w:color="auto"/>
              <w:left w:val="single" w:sz="4" w:space="0" w:color="auto"/>
              <w:bottom w:val="single" w:sz="4" w:space="0" w:color="auto"/>
              <w:right w:val="single" w:sz="4" w:space="0" w:color="auto"/>
            </w:tcBorders>
            <w:noWrap/>
            <w:hideMark/>
          </w:tcPr>
          <w:p w14:paraId="4B45E796"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MinVar</w:t>
            </w:r>
          </w:p>
        </w:tc>
        <w:tc>
          <w:tcPr>
            <w:tcW w:w="960" w:type="dxa"/>
            <w:tcBorders>
              <w:top w:val="single" w:sz="4" w:space="0" w:color="auto"/>
              <w:left w:val="nil"/>
              <w:bottom w:val="single" w:sz="4" w:space="0" w:color="auto"/>
              <w:right w:val="single" w:sz="4" w:space="0" w:color="auto"/>
            </w:tcBorders>
            <w:noWrap/>
            <w:hideMark/>
          </w:tcPr>
          <w:p w14:paraId="53D23537"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Tangency</w:t>
            </w:r>
          </w:p>
        </w:tc>
      </w:tr>
      <w:tr w:rsidR="0016422B" w:rsidRPr="0016422B" w14:paraId="505BBA53" w14:textId="77777777" w:rsidTr="0016422B">
        <w:trPr>
          <w:trHeight w:val="300"/>
          <w:jc w:val="center"/>
        </w:trPr>
        <w:tc>
          <w:tcPr>
            <w:tcW w:w="960" w:type="dxa"/>
            <w:tcBorders>
              <w:top w:val="single" w:sz="4" w:space="0" w:color="auto"/>
              <w:left w:val="single" w:sz="4" w:space="0" w:color="auto"/>
              <w:bottom w:val="single" w:sz="4" w:space="0" w:color="auto"/>
              <w:right w:val="single" w:sz="4" w:space="0" w:color="auto"/>
            </w:tcBorders>
            <w:noWrap/>
            <w:hideMark/>
          </w:tcPr>
          <w:p w14:paraId="20F33060"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SPY</w:t>
            </w:r>
          </w:p>
        </w:tc>
        <w:tc>
          <w:tcPr>
            <w:tcW w:w="960" w:type="dxa"/>
            <w:tcBorders>
              <w:top w:val="nil"/>
              <w:left w:val="nil"/>
              <w:bottom w:val="single" w:sz="4" w:space="0" w:color="auto"/>
              <w:right w:val="single" w:sz="4" w:space="0" w:color="auto"/>
            </w:tcBorders>
            <w:noWrap/>
            <w:vAlign w:val="bottom"/>
            <w:hideMark/>
          </w:tcPr>
          <w:p w14:paraId="2C9394E3"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0,2312</w:t>
            </w:r>
          </w:p>
        </w:tc>
        <w:tc>
          <w:tcPr>
            <w:tcW w:w="960" w:type="dxa"/>
            <w:tcBorders>
              <w:top w:val="nil"/>
              <w:left w:val="nil"/>
              <w:bottom w:val="single" w:sz="4" w:space="0" w:color="auto"/>
              <w:right w:val="single" w:sz="4" w:space="0" w:color="auto"/>
            </w:tcBorders>
            <w:noWrap/>
            <w:vAlign w:val="bottom"/>
            <w:hideMark/>
          </w:tcPr>
          <w:p w14:paraId="34C3A347"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0,4370</w:t>
            </w:r>
          </w:p>
        </w:tc>
      </w:tr>
      <w:tr w:rsidR="0016422B" w:rsidRPr="0016422B" w14:paraId="2DDFE500" w14:textId="77777777" w:rsidTr="0016422B">
        <w:trPr>
          <w:trHeight w:val="300"/>
          <w:jc w:val="center"/>
        </w:trPr>
        <w:tc>
          <w:tcPr>
            <w:tcW w:w="960" w:type="dxa"/>
            <w:tcBorders>
              <w:top w:val="nil"/>
              <w:left w:val="single" w:sz="4" w:space="0" w:color="auto"/>
              <w:bottom w:val="single" w:sz="4" w:space="0" w:color="auto"/>
              <w:right w:val="single" w:sz="4" w:space="0" w:color="auto"/>
            </w:tcBorders>
            <w:noWrap/>
            <w:hideMark/>
          </w:tcPr>
          <w:p w14:paraId="6A07F2B1"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LO_3</w:t>
            </w:r>
          </w:p>
        </w:tc>
        <w:tc>
          <w:tcPr>
            <w:tcW w:w="960" w:type="dxa"/>
            <w:tcBorders>
              <w:top w:val="nil"/>
              <w:left w:val="nil"/>
              <w:bottom w:val="single" w:sz="4" w:space="0" w:color="auto"/>
              <w:right w:val="single" w:sz="4" w:space="0" w:color="auto"/>
            </w:tcBorders>
            <w:noWrap/>
            <w:vAlign w:val="bottom"/>
            <w:hideMark/>
          </w:tcPr>
          <w:p w14:paraId="4DF669C2"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0,1921</w:t>
            </w:r>
          </w:p>
        </w:tc>
        <w:tc>
          <w:tcPr>
            <w:tcW w:w="960" w:type="dxa"/>
            <w:tcBorders>
              <w:top w:val="nil"/>
              <w:left w:val="nil"/>
              <w:bottom w:val="single" w:sz="4" w:space="0" w:color="auto"/>
              <w:right w:val="single" w:sz="4" w:space="0" w:color="auto"/>
            </w:tcBorders>
            <w:noWrap/>
            <w:vAlign w:val="bottom"/>
            <w:hideMark/>
          </w:tcPr>
          <w:p w14:paraId="0144222E"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0,3833</w:t>
            </w:r>
          </w:p>
        </w:tc>
      </w:tr>
      <w:tr w:rsidR="0016422B" w:rsidRPr="0016422B" w14:paraId="1D3ED0A9" w14:textId="77777777" w:rsidTr="0016422B">
        <w:trPr>
          <w:trHeight w:val="300"/>
          <w:jc w:val="center"/>
        </w:trPr>
        <w:tc>
          <w:tcPr>
            <w:tcW w:w="960" w:type="dxa"/>
            <w:tcBorders>
              <w:top w:val="nil"/>
              <w:left w:val="single" w:sz="4" w:space="0" w:color="auto"/>
              <w:bottom w:val="single" w:sz="4" w:space="0" w:color="auto"/>
              <w:right w:val="single" w:sz="4" w:space="0" w:color="auto"/>
            </w:tcBorders>
            <w:noWrap/>
            <w:hideMark/>
          </w:tcPr>
          <w:p w14:paraId="016103E0"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LO_6</w:t>
            </w:r>
          </w:p>
        </w:tc>
        <w:tc>
          <w:tcPr>
            <w:tcW w:w="960" w:type="dxa"/>
            <w:tcBorders>
              <w:top w:val="nil"/>
              <w:left w:val="nil"/>
              <w:bottom w:val="single" w:sz="4" w:space="0" w:color="auto"/>
              <w:right w:val="single" w:sz="4" w:space="0" w:color="auto"/>
            </w:tcBorders>
            <w:noWrap/>
            <w:vAlign w:val="bottom"/>
            <w:hideMark/>
          </w:tcPr>
          <w:p w14:paraId="01DE634F"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0,2629</w:t>
            </w:r>
          </w:p>
        </w:tc>
        <w:tc>
          <w:tcPr>
            <w:tcW w:w="960" w:type="dxa"/>
            <w:tcBorders>
              <w:top w:val="nil"/>
              <w:left w:val="nil"/>
              <w:bottom w:val="single" w:sz="4" w:space="0" w:color="auto"/>
              <w:right w:val="single" w:sz="4" w:space="0" w:color="auto"/>
            </w:tcBorders>
            <w:noWrap/>
            <w:vAlign w:val="bottom"/>
            <w:hideMark/>
          </w:tcPr>
          <w:p w14:paraId="4B948F00"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-0,1358</w:t>
            </w:r>
          </w:p>
        </w:tc>
      </w:tr>
      <w:tr w:rsidR="0016422B" w:rsidRPr="0016422B" w14:paraId="50EAC4CB" w14:textId="77777777" w:rsidTr="0016422B">
        <w:trPr>
          <w:trHeight w:val="300"/>
          <w:jc w:val="center"/>
        </w:trPr>
        <w:tc>
          <w:tcPr>
            <w:tcW w:w="960" w:type="dxa"/>
            <w:tcBorders>
              <w:top w:val="nil"/>
              <w:left w:val="single" w:sz="4" w:space="0" w:color="auto"/>
              <w:bottom w:val="single" w:sz="4" w:space="0" w:color="auto"/>
              <w:right w:val="single" w:sz="4" w:space="0" w:color="auto"/>
            </w:tcBorders>
            <w:noWrap/>
            <w:hideMark/>
          </w:tcPr>
          <w:p w14:paraId="0DD7A82F" w14:textId="77777777" w:rsidR="0016422B" w:rsidRPr="0016422B" w:rsidRDefault="0016422B" w:rsidP="0016422B">
            <w:pPr>
              <w:spacing w:line="240" w:lineRule="auto"/>
              <w:jc w:val="center"/>
              <w:rPr>
                <w:rFonts w:ascii="Calibri" w:eastAsia="Times New Roman" w:hAnsi="Calibri" w:cs="Calibri"/>
                <w:b/>
                <w:bCs/>
                <w:color w:val="000000"/>
                <w:kern w:val="0"/>
                <w:sz w:val="22"/>
                <w:szCs w:val="22"/>
                <w:lang w:eastAsia="es-AR"/>
                <w14:ligatures w14:val="none"/>
              </w:rPr>
            </w:pPr>
            <w:r w:rsidRPr="0016422B">
              <w:rPr>
                <w:rFonts w:ascii="Calibri" w:eastAsia="Times New Roman" w:hAnsi="Calibri" w:cs="Calibri"/>
                <w:b/>
                <w:bCs/>
                <w:color w:val="000000"/>
                <w:kern w:val="0"/>
                <w:sz w:val="22"/>
                <w:szCs w:val="22"/>
                <w:lang w:eastAsia="es-AR"/>
                <w14:ligatures w14:val="none"/>
              </w:rPr>
              <w:t>LO_12</w:t>
            </w:r>
          </w:p>
        </w:tc>
        <w:tc>
          <w:tcPr>
            <w:tcW w:w="960" w:type="dxa"/>
            <w:tcBorders>
              <w:top w:val="nil"/>
              <w:left w:val="nil"/>
              <w:bottom w:val="single" w:sz="4" w:space="0" w:color="auto"/>
              <w:right w:val="single" w:sz="4" w:space="0" w:color="auto"/>
            </w:tcBorders>
            <w:noWrap/>
            <w:vAlign w:val="bottom"/>
            <w:hideMark/>
          </w:tcPr>
          <w:p w14:paraId="255BBCD0"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0,3138</w:t>
            </w:r>
          </w:p>
        </w:tc>
        <w:tc>
          <w:tcPr>
            <w:tcW w:w="960" w:type="dxa"/>
            <w:tcBorders>
              <w:top w:val="nil"/>
              <w:left w:val="nil"/>
              <w:bottom w:val="single" w:sz="4" w:space="0" w:color="auto"/>
              <w:right w:val="single" w:sz="4" w:space="0" w:color="auto"/>
            </w:tcBorders>
            <w:noWrap/>
            <w:vAlign w:val="bottom"/>
            <w:hideMark/>
          </w:tcPr>
          <w:p w14:paraId="4B6731B5" w14:textId="77777777" w:rsidR="0016422B" w:rsidRPr="0016422B" w:rsidRDefault="0016422B" w:rsidP="0016422B">
            <w:pPr>
              <w:spacing w:line="240" w:lineRule="auto"/>
              <w:jc w:val="center"/>
              <w:rPr>
                <w:rFonts w:ascii="Calibri" w:eastAsia="Times New Roman" w:hAnsi="Calibri" w:cs="Calibri"/>
                <w:color w:val="000000"/>
                <w:kern w:val="0"/>
                <w:sz w:val="22"/>
                <w:szCs w:val="22"/>
                <w:lang w:eastAsia="es-AR"/>
                <w14:ligatures w14:val="none"/>
              </w:rPr>
            </w:pPr>
            <w:r w:rsidRPr="0016422B">
              <w:rPr>
                <w:rFonts w:ascii="Calibri" w:eastAsia="Times New Roman" w:hAnsi="Calibri" w:cs="Calibri"/>
                <w:color w:val="000000"/>
                <w:kern w:val="0"/>
                <w:sz w:val="22"/>
                <w:szCs w:val="22"/>
                <w:lang w:eastAsia="es-AR"/>
                <w14:ligatures w14:val="none"/>
              </w:rPr>
              <w:t>0,3154</w:t>
            </w:r>
          </w:p>
        </w:tc>
      </w:tr>
    </w:tbl>
    <w:p w14:paraId="598C89FE" w14:textId="77777777" w:rsidR="009E5222" w:rsidRPr="0008582D" w:rsidRDefault="009E5222" w:rsidP="0008582D">
      <w:pPr>
        <w:pStyle w:val="Textoindependiente"/>
        <w:spacing w:line="360" w:lineRule="auto"/>
        <w:rPr>
          <w:rFonts w:cs="Times New Roman"/>
          <w:lang w:val="es-AR"/>
        </w:rPr>
      </w:pPr>
      <w:r w:rsidRPr="0008582D">
        <w:rPr>
          <w:rFonts w:cs="Times New Roman"/>
          <w:i/>
          <w:iCs/>
          <w:lang w:val="es-AR"/>
        </w:rPr>
        <w:t>Comentario técnico:</w:t>
      </w:r>
      <w:r w:rsidRPr="0008582D">
        <w:rPr>
          <w:rFonts w:cs="Times New Roman"/>
          <w:lang w:val="es-AR"/>
        </w:rPr>
        <w:t xml:space="preserve"> </w:t>
      </w:r>
      <w:r w:rsidR="00265C71" w:rsidRPr="00265C71">
        <w:rPr>
          <w:rFonts w:cs="Times New Roman"/>
          <w:lang w:val="es-AR"/>
        </w:rPr>
        <w:t>los pesos reportados reflejan la solución numérica del problema de optimización planteado en el cuerpo del trabajo, bajo los supuestos y restricciones allí definidos. En todos los casos, la suma de los pesos es igual a la unidad.</w:t>
      </w:r>
    </w:p>
    <w:p w14:paraId="7F96C4D7" w14:textId="2B4E99CD" w:rsidR="009E5222" w:rsidRPr="009706C8" w:rsidRDefault="009E5222" w:rsidP="00F14042">
      <w:pPr>
        <w:pStyle w:val="Ttulo2"/>
        <w:rPr>
          <w:rFonts w:cs="Times New Roman"/>
        </w:rPr>
      </w:pPr>
      <w:bookmarkStart w:id="129" w:name="_Toc223214820"/>
      <w:bookmarkStart w:id="130" w:name="c.4-matriz-de-covarianza-con-shrinkage"/>
      <w:bookmarkEnd w:id="128"/>
      <w:r w:rsidRPr="009706C8">
        <w:rPr>
          <w:rFonts w:cs="Times New Roman"/>
        </w:rPr>
        <w:t>C.</w:t>
      </w:r>
      <w:r w:rsidR="008B5815">
        <w:rPr>
          <w:rFonts w:cs="Times New Roman"/>
        </w:rPr>
        <w:t>7</w:t>
      </w:r>
      <w:r w:rsidRPr="009706C8">
        <w:rPr>
          <w:rFonts w:cs="Times New Roman"/>
        </w:rPr>
        <w:t xml:space="preserve"> Matriz de covarianza con shrinkage</w:t>
      </w:r>
      <w:bookmarkEnd w:id="129"/>
    </w:p>
    <w:p w14:paraId="560A57B4" w14:textId="77777777" w:rsidR="009E5222" w:rsidRDefault="009E5222" w:rsidP="0008582D">
      <w:pPr>
        <w:pStyle w:val="FirstParagraph"/>
        <w:spacing w:line="360" w:lineRule="auto"/>
        <w:rPr>
          <w:rFonts w:cs="Times New Roman"/>
          <w:lang w:val="es-AR"/>
        </w:rPr>
      </w:pPr>
      <w:r w:rsidRPr="0008582D">
        <w:rPr>
          <w:rFonts w:cs="Times New Roman"/>
          <w:lang w:val="es-AR"/>
        </w:rPr>
        <w:t>En esta sección se presenta la matriz de covarianza de retornos utilizada como insumo del ejercicio de optimización, estimada mediante un procedimiento de shrinkage con el objetivo de mejorar su estabilidad numérica.</w:t>
      </w:r>
    </w:p>
    <w:p w14:paraId="71E958A3" w14:textId="49845379" w:rsidR="006A03EF" w:rsidRPr="006A03EF" w:rsidRDefault="006A03EF" w:rsidP="006A03EF">
      <w:pPr>
        <w:pStyle w:val="Textoindependiente"/>
        <w:spacing w:line="360" w:lineRule="auto"/>
        <w:rPr>
          <w:lang w:val="es-AR"/>
        </w:rPr>
      </w:pPr>
      <w:r w:rsidRPr="006A03EF">
        <w:rPr>
          <w:lang w:val="es-AR"/>
        </w:rPr>
        <w:t xml:space="preserve">La estimación se realiza mediante un esquema de shrinkage lineal de la matriz de covarianzas muestral hacia una matriz objetivo diagonal </w:t>
      </w:r>
      <m:oMath>
        <m:r>
          <w:rPr>
            <w:rFonts w:ascii="Cambria Math" w:hAnsi="Cambria Math"/>
          </w:rPr>
          <m:t>F</m:t>
        </m:r>
      </m:oMath>
      <w:r w:rsidRPr="006A03EF">
        <w:rPr>
          <w:lang w:val="es-AR"/>
        </w:rPr>
        <w:t>, siguiendo el enfoque general propuesto en la literatura de regularización de matrices de covarianza (Ledoit &amp; Wolf, 2004). Formalmente, la matriz utilizada en la optimización se define como:</w:t>
      </w:r>
    </w:p>
    <w:p w14:paraId="1FFA4F3E" w14:textId="600D4B17" w:rsidR="006A03EF" w:rsidRPr="006A03EF" w:rsidRDefault="00000000" w:rsidP="006A03EF">
      <w:pPr>
        <w:pStyle w:val="Textoindependiente"/>
        <w:spacing w:line="360" w:lineRule="auto"/>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shrunk</m:t>
              </m:r>
            </m:sub>
          </m:sSub>
          <m:r>
            <w:rPr>
              <w:rFonts w:ascii="Cambria Math" w:hAnsi="Cambria Math"/>
            </w:rPr>
            <m:t>=(1-λ)</m:t>
          </m:r>
          <m:r>
            <m:rPr>
              <m:sty m:val="p"/>
            </m:rPr>
            <w:rPr>
              <w:rFonts w:ascii="Cambria Math" w:hAnsi="Cambria Math"/>
            </w:rPr>
            <m:t>Σ</m:t>
          </m:r>
          <m:r>
            <w:rPr>
              <w:rFonts w:ascii="Cambria Math" w:hAnsi="Cambria Math"/>
            </w:rPr>
            <m:t>+λF,</m:t>
          </m:r>
          <m:r>
            <m:rPr>
              <m:sty m:val="p"/>
            </m:rPr>
            <w:br/>
          </m:r>
        </m:oMath>
      </m:oMathPara>
    </w:p>
    <w:p w14:paraId="60BEB1E6" w14:textId="45F689B8" w:rsidR="006A03EF" w:rsidRPr="006A03EF" w:rsidRDefault="006A03EF" w:rsidP="006A03EF">
      <w:pPr>
        <w:pStyle w:val="Textoindependiente"/>
        <w:spacing w:line="360" w:lineRule="auto"/>
        <w:rPr>
          <w:lang w:val="es-AR"/>
        </w:rPr>
      </w:pPr>
      <w:r w:rsidRPr="006A03EF">
        <w:rPr>
          <w:lang w:val="es-AR"/>
        </w:rPr>
        <w:t xml:space="preserve">donde </w:t>
      </w:r>
      <m:oMath>
        <m:r>
          <w:rPr>
            <w:rFonts w:ascii="Cambria Math" w:hAnsi="Cambria Math"/>
          </w:rPr>
          <m:t>λ</m:t>
        </m:r>
        <m:r>
          <w:rPr>
            <w:rFonts w:ascii="Cambria Math" w:hAnsi="Cambria Math"/>
            <w:lang w:val="es-AR"/>
          </w:rPr>
          <m:t>∈[0,1]</m:t>
        </m:r>
      </m:oMath>
      <w:r w:rsidRPr="006A03EF">
        <w:rPr>
          <w:lang w:val="es-AR"/>
        </w:rPr>
        <w:t xml:space="preserve">representa el parámetro de contracción y </w:t>
      </w:r>
      <m:oMath>
        <m:r>
          <w:rPr>
            <w:rFonts w:ascii="Cambria Math" w:hAnsi="Cambria Math"/>
          </w:rPr>
          <m:t>F</m:t>
        </m:r>
      </m:oMath>
      <w:r w:rsidRPr="006A03EF">
        <w:rPr>
          <w:lang w:val="es-AR"/>
        </w:rPr>
        <w:t xml:space="preserve">corresponde a una matriz diagonal que preserva las varianzas individuales pero elimina las covarianzas muestrales. En este trabajo se adopta un valor conservador </w:t>
      </w:r>
      <m:oMath>
        <m:r>
          <w:rPr>
            <w:rFonts w:ascii="Cambria Math" w:hAnsi="Cambria Math"/>
          </w:rPr>
          <m:t>λ</m:t>
        </m:r>
        <m:r>
          <w:rPr>
            <w:rFonts w:ascii="Cambria Math" w:hAnsi="Cambria Math"/>
            <w:lang w:val="es-AR"/>
          </w:rPr>
          <m:t>=</m:t>
        </m:r>
        <m:r>
          <m:rPr>
            <m:sty m:val="p"/>
          </m:rPr>
          <w:rPr>
            <w:rFonts w:ascii="Cambria Math" w:hAnsi="Cambria Math"/>
            <w:lang w:val="es-AR"/>
          </w:rPr>
          <m:t>0,1</m:t>
        </m:r>
      </m:oMath>
      <w:r w:rsidRPr="006A03EF">
        <w:rPr>
          <w:lang w:val="es-AR"/>
        </w:rPr>
        <w:t xml:space="preserve">, con el objetivo de atenuar errores </w:t>
      </w:r>
      <w:r w:rsidRPr="006A03EF">
        <w:rPr>
          <w:lang w:val="es-AR"/>
        </w:rPr>
        <w:lastRenderedPageBreak/>
        <w:t>de estimación sin alterar sustancialmente la estructura empírica de dependencias observadas. Este procedimiento contribuye a mejorar la estabilidad numérica de la matriz y a reducir la sensibilidad de los pesos óptimos a pequeñas perturbaciones en los datos.</w:t>
      </w:r>
    </w:p>
    <w:p w14:paraId="7A4729F7" w14:textId="77777777" w:rsidR="009E5222" w:rsidRDefault="009E5222" w:rsidP="007610D0">
      <w:pPr>
        <w:pStyle w:val="Textoindependiente"/>
        <w:rPr>
          <w:rFonts w:cs="Times New Roman"/>
          <w:b/>
          <w:bCs/>
          <w:lang w:val="es-AR"/>
        </w:rPr>
      </w:pPr>
      <w:r w:rsidRPr="007610D0">
        <w:rPr>
          <w:rFonts w:cs="Times New Roman"/>
          <w:b/>
          <w:bCs/>
          <w:lang w:val="es-AR"/>
        </w:rPr>
        <w:t xml:space="preserve">TABLA C.3 – Matriz de covarianza shrinked </w:t>
      </w:r>
    </w:p>
    <w:tbl>
      <w:tblPr>
        <w:tblW w:w="4800" w:type="dxa"/>
        <w:jc w:val="center"/>
        <w:tblCellMar>
          <w:left w:w="70" w:type="dxa"/>
          <w:right w:w="70" w:type="dxa"/>
        </w:tblCellMar>
        <w:tblLook w:val="04A0" w:firstRow="1" w:lastRow="0" w:firstColumn="1" w:lastColumn="0" w:noHBand="0" w:noVBand="1"/>
      </w:tblPr>
      <w:tblGrid>
        <w:gridCol w:w="960"/>
        <w:gridCol w:w="960"/>
        <w:gridCol w:w="960"/>
        <w:gridCol w:w="960"/>
        <w:gridCol w:w="960"/>
      </w:tblGrid>
      <w:tr w:rsidR="003D6A18" w:rsidRPr="003D6A18" w14:paraId="69488739" w14:textId="77777777" w:rsidTr="003D6A18">
        <w:trPr>
          <w:trHeight w:val="300"/>
          <w:jc w:val="center"/>
        </w:trPr>
        <w:tc>
          <w:tcPr>
            <w:tcW w:w="960" w:type="dxa"/>
            <w:tcBorders>
              <w:top w:val="nil"/>
              <w:left w:val="nil"/>
              <w:bottom w:val="nil"/>
              <w:right w:val="nil"/>
            </w:tcBorders>
            <w:noWrap/>
            <w:vAlign w:val="bottom"/>
            <w:hideMark/>
          </w:tcPr>
          <w:p w14:paraId="1721E963" w14:textId="77777777" w:rsidR="003D6A18" w:rsidRPr="003D6A18" w:rsidRDefault="003D6A18" w:rsidP="003D6A18">
            <w:pPr>
              <w:spacing w:line="240" w:lineRule="auto"/>
              <w:jc w:val="left"/>
              <w:rPr>
                <w:rFonts w:eastAsia="Times New Roman" w:cs="Times New Roman"/>
                <w:kern w:val="0"/>
                <w:lang w:eastAsia="es-AR"/>
                <w14:ligatures w14:val="none"/>
              </w:rPr>
            </w:pPr>
          </w:p>
        </w:tc>
        <w:tc>
          <w:tcPr>
            <w:tcW w:w="960" w:type="dxa"/>
            <w:tcBorders>
              <w:top w:val="single" w:sz="4" w:space="0" w:color="auto"/>
              <w:left w:val="single" w:sz="4" w:space="0" w:color="auto"/>
              <w:bottom w:val="single" w:sz="4" w:space="0" w:color="auto"/>
              <w:right w:val="single" w:sz="4" w:space="0" w:color="auto"/>
            </w:tcBorders>
            <w:noWrap/>
            <w:hideMark/>
          </w:tcPr>
          <w:p w14:paraId="0B0329CC"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SPY</w:t>
            </w:r>
          </w:p>
        </w:tc>
        <w:tc>
          <w:tcPr>
            <w:tcW w:w="960" w:type="dxa"/>
            <w:tcBorders>
              <w:top w:val="single" w:sz="4" w:space="0" w:color="auto"/>
              <w:left w:val="nil"/>
              <w:bottom w:val="single" w:sz="4" w:space="0" w:color="auto"/>
              <w:right w:val="single" w:sz="4" w:space="0" w:color="auto"/>
            </w:tcBorders>
            <w:noWrap/>
            <w:hideMark/>
          </w:tcPr>
          <w:p w14:paraId="13673EBE"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LO_3</w:t>
            </w:r>
          </w:p>
        </w:tc>
        <w:tc>
          <w:tcPr>
            <w:tcW w:w="960" w:type="dxa"/>
            <w:tcBorders>
              <w:top w:val="single" w:sz="4" w:space="0" w:color="auto"/>
              <w:left w:val="nil"/>
              <w:bottom w:val="single" w:sz="4" w:space="0" w:color="auto"/>
              <w:right w:val="single" w:sz="4" w:space="0" w:color="auto"/>
            </w:tcBorders>
            <w:noWrap/>
            <w:hideMark/>
          </w:tcPr>
          <w:p w14:paraId="7ADECB5F"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LO_6</w:t>
            </w:r>
          </w:p>
        </w:tc>
        <w:tc>
          <w:tcPr>
            <w:tcW w:w="960" w:type="dxa"/>
            <w:tcBorders>
              <w:top w:val="single" w:sz="4" w:space="0" w:color="auto"/>
              <w:left w:val="nil"/>
              <w:bottom w:val="single" w:sz="4" w:space="0" w:color="auto"/>
              <w:right w:val="single" w:sz="4" w:space="0" w:color="auto"/>
            </w:tcBorders>
            <w:noWrap/>
            <w:hideMark/>
          </w:tcPr>
          <w:p w14:paraId="502CFF3C"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LO_12</w:t>
            </w:r>
          </w:p>
        </w:tc>
      </w:tr>
      <w:tr w:rsidR="003D6A18" w:rsidRPr="003D6A18" w14:paraId="37D88C1D" w14:textId="77777777" w:rsidTr="003D6A18">
        <w:trPr>
          <w:trHeight w:val="300"/>
          <w:jc w:val="center"/>
        </w:trPr>
        <w:tc>
          <w:tcPr>
            <w:tcW w:w="960" w:type="dxa"/>
            <w:tcBorders>
              <w:top w:val="single" w:sz="4" w:space="0" w:color="auto"/>
              <w:left w:val="single" w:sz="4" w:space="0" w:color="auto"/>
              <w:bottom w:val="single" w:sz="4" w:space="0" w:color="auto"/>
              <w:right w:val="single" w:sz="4" w:space="0" w:color="auto"/>
            </w:tcBorders>
            <w:noWrap/>
            <w:hideMark/>
          </w:tcPr>
          <w:p w14:paraId="1E787B2A"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SPY</w:t>
            </w:r>
          </w:p>
        </w:tc>
        <w:tc>
          <w:tcPr>
            <w:tcW w:w="960" w:type="dxa"/>
            <w:tcBorders>
              <w:top w:val="nil"/>
              <w:left w:val="nil"/>
              <w:bottom w:val="single" w:sz="4" w:space="0" w:color="auto"/>
              <w:right w:val="single" w:sz="4" w:space="0" w:color="auto"/>
            </w:tcBorders>
            <w:noWrap/>
            <w:vAlign w:val="bottom"/>
            <w:hideMark/>
          </w:tcPr>
          <w:p w14:paraId="0F19AB7D"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0,0219</w:t>
            </w:r>
          </w:p>
        </w:tc>
        <w:tc>
          <w:tcPr>
            <w:tcW w:w="960" w:type="dxa"/>
            <w:tcBorders>
              <w:top w:val="nil"/>
              <w:left w:val="nil"/>
              <w:bottom w:val="single" w:sz="4" w:space="0" w:color="auto"/>
              <w:right w:val="single" w:sz="4" w:space="0" w:color="auto"/>
            </w:tcBorders>
            <w:noWrap/>
            <w:vAlign w:val="bottom"/>
            <w:hideMark/>
          </w:tcPr>
          <w:p w14:paraId="66D49AD9"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0,0173</w:t>
            </w:r>
          </w:p>
        </w:tc>
        <w:tc>
          <w:tcPr>
            <w:tcW w:w="960" w:type="dxa"/>
            <w:tcBorders>
              <w:top w:val="nil"/>
              <w:left w:val="nil"/>
              <w:bottom w:val="single" w:sz="4" w:space="0" w:color="auto"/>
              <w:right w:val="single" w:sz="4" w:space="0" w:color="auto"/>
            </w:tcBorders>
            <w:noWrap/>
            <w:vAlign w:val="bottom"/>
            <w:hideMark/>
          </w:tcPr>
          <w:p w14:paraId="054558C4"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0,0166</w:t>
            </w:r>
          </w:p>
        </w:tc>
        <w:tc>
          <w:tcPr>
            <w:tcW w:w="960" w:type="dxa"/>
            <w:tcBorders>
              <w:top w:val="nil"/>
              <w:left w:val="nil"/>
              <w:bottom w:val="single" w:sz="4" w:space="0" w:color="auto"/>
              <w:right w:val="single" w:sz="4" w:space="0" w:color="auto"/>
            </w:tcBorders>
            <w:noWrap/>
            <w:vAlign w:val="bottom"/>
            <w:hideMark/>
          </w:tcPr>
          <w:p w14:paraId="506B1A30"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0,0165</w:t>
            </w:r>
          </w:p>
        </w:tc>
      </w:tr>
      <w:tr w:rsidR="003D6A18" w:rsidRPr="003D6A18" w14:paraId="61B092C3" w14:textId="77777777" w:rsidTr="003D6A18">
        <w:trPr>
          <w:trHeight w:val="300"/>
          <w:jc w:val="center"/>
        </w:trPr>
        <w:tc>
          <w:tcPr>
            <w:tcW w:w="960" w:type="dxa"/>
            <w:tcBorders>
              <w:top w:val="nil"/>
              <w:left w:val="single" w:sz="4" w:space="0" w:color="auto"/>
              <w:bottom w:val="single" w:sz="4" w:space="0" w:color="auto"/>
              <w:right w:val="single" w:sz="4" w:space="0" w:color="auto"/>
            </w:tcBorders>
            <w:noWrap/>
            <w:hideMark/>
          </w:tcPr>
          <w:p w14:paraId="098404DD"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LO_3</w:t>
            </w:r>
          </w:p>
        </w:tc>
        <w:tc>
          <w:tcPr>
            <w:tcW w:w="960" w:type="dxa"/>
            <w:tcBorders>
              <w:top w:val="nil"/>
              <w:left w:val="nil"/>
              <w:bottom w:val="single" w:sz="4" w:space="0" w:color="auto"/>
              <w:right w:val="single" w:sz="4" w:space="0" w:color="auto"/>
            </w:tcBorders>
            <w:noWrap/>
            <w:vAlign w:val="bottom"/>
            <w:hideMark/>
          </w:tcPr>
          <w:p w14:paraId="28BB3AF9"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0,0173</w:t>
            </w:r>
          </w:p>
        </w:tc>
        <w:tc>
          <w:tcPr>
            <w:tcW w:w="960" w:type="dxa"/>
            <w:tcBorders>
              <w:top w:val="nil"/>
              <w:left w:val="nil"/>
              <w:bottom w:val="single" w:sz="4" w:space="0" w:color="auto"/>
              <w:right w:val="single" w:sz="4" w:space="0" w:color="auto"/>
            </w:tcBorders>
            <w:noWrap/>
            <w:vAlign w:val="bottom"/>
            <w:hideMark/>
          </w:tcPr>
          <w:p w14:paraId="31D22E23"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0,0223</w:t>
            </w:r>
          </w:p>
        </w:tc>
        <w:tc>
          <w:tcPr>
            <w:tcW w:w="960" w:type="dxa"/>
            <w:tcBorders>
              <w:top w:val="nil"/>
              <w:left w:val="nil"/>
              <w:bottom w:val="single" w:sz="4" w:space="0" w:color="auto"/>
              <w:right w:val="single" w:sz="4" w:space="0" w:color="auto"/>
            </w:tcBorders>
            <w:noWrap/>
            <w:vAlign w:val="bottom"/>
            <w:hideMark/>
          </w:tcPr>
          <w:p w14:paraId="6740B9B9"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0,0173</w:t>
            </w:r>
          </w:p>
        </w:tc>
        <w:tc>
          <w:tcPr>
            <w:tcW w:w="960" w:type="dxa"/>
            <w:tcBorders>
              <w:top w:val="nil"/>
              <w:left w:val="nil"/>
              <w:bottom w:val="single" w:sz="4" w:space="0" w:color="auto"/>
              <w:right w:val="single" w:sz="4" w:space="0" w:color="auto"/>
            </w:tcBorders>
            <w:noWrap/>
            <w:vAlign w:val="bottom"/>
            <w:hideMark/>
          </w:tcPr>
          <w:p w14:paraId="3921D336"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0,0162</w:t>
            </w:r>
          </w:p>
        </w:tc>
      </w:tr>
      <w:tr w:rsidR="003D6A18" w:rsidRPr="003D6A18" w14:paraId="1890EFEF" w14:textId="77777777" w:rsidTr="003D6A18">
        <w:trPr>
          <w:trHeight w:val="300"/>
          <w:jc w:val="center"/>
        </w:trPr>
        <w:tc>
          <w:tcPr>
            <w:tcW w:w="960" w:type="dxa"/>
            <w:tcBorders>
              <w:top w:val="nil"/>
              <w:left w:val="single" w:sz="4" w:space="0" w:color="auto"/>
              <w:bottom w:val="single" w:sz="4" w:space="0" w:color="auto"/>
              <w:right w:val="single" w:sz="4" w:space="0" w:color="auto"/>
            </w:tcBorders>
            <w:noWrap/>
            <w:hideMark/>
          </w:tcPr>
          <w:p w14:paraId="4DFB1C01"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LO_6</w:t>
            </w:r>
          </w:p>
        </w:tc>
        <w:tc>
          <w:tcPr>
            <w:tcW w:w="960" w:type="dxa"/>
            <w:tcBorders>
              <w:top w:val="nil"/>
              <w:left w:val="nil"/>
              <w:bottom w:val="single" w:sz="4" w:space="0" w:color="auto"/>
              <w:right w:val="single" w:sz="4" w:space="0" w:color="auto"/>
            </w:tcBorders>
            <w:noWrap/>
            <w:vAlign w:val="bottom"/>
            <w:hideMark/>
          </w:tcPr>
          <w:p w14:paraId="356E320C"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0,0166</w:t>
            </w:r>
          </w:p>
        </w:tc>
        <w:tc>
          <w:tcPr>
            <w:tcW w:w="960" w:type="dxa"/>
            <w:tcBorders>
              <w:top w:val="nil"/>
              <w:left w:val="nil"/>
              <w:bottom w:val="single" w:sz="4" w:space="0" w:color="auto"/>
              <w:right w:val="single" w:sz="4" w:space="0" w:color="auto"/>
            </w:tcBorders>
            <w:noWrap/>
            <w:vAlign w:val="bottom"/>
            <w:hideMark/>
          </w:tcPr>
          <w:p w14:paraId="5F82CE79"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0,0173</w:t>
            </w:r>
          </w:p>
        </w:tc>
        <w:tc>
          <w:tcPr>
            <w:tcW w:w="960" w:type="dxa"/>
            <w:tcBorders>
              <w:top w:val="nil"/>
              <w:left w:val="nil"/>
              <w:bottom w:val="single" w:sz="4" w:space="0" w:color="auto"/>
              <w:right w:val="single" w:sz="4" w:space="0" w:color="auto"/>
            </w:tcBorders>
            <w:noWrap/>
            <w:vAlign w:val="bottom"/>
            <w:hideMark/>
          </w:tcPr>
          <w:p w14:paraId="3837E92D"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0,0207</w:t>
            </w:r>
          </w:p>
        </w:tc>
        <w:tc>
          <w:tcPr>
            <w:tcW w:w="960" w:type="dxa"/>
            <w:tcBorders>
              <w:top w:val="nil"/>
              <w:left w:val="nil"/>
              <w:bottom w:val="single" w:sz="4" w:space="0" w:color="auto"/>
              <w:right w:val="single" w:sz="4" w:space="0" w:color="auto"/>
            </w:tcBorders>
            <w:noWrap/>
            <w:vAlign w:val="bottom"/>
            <w:hideMark/>
          </w:tcPr>
          <w:p w14:paraId="53F9286E"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0,0169</w:t>
            </w:r>
          </w:p>
        </w:tc>
      </w:tr>
      <w:tr w:rsidR="003D6A18" w:rsidRPr="003D6A18" w14:paraId="374DE6A5" w14:textId="77777777" w:rsidTr="003D6A18">
        <w:trPr>
          <w:trHeight w:val="300"/>
          <w:jc w:val="center"/>
        </w:trPr>
        <w:tc>
          <w:tcPr>
            <w:tcW w:w="960" w:type="dxa"/>
            <w:tcBorders>
              <w:top w:val="nil"/>
              <w:left w:val="single" w:sz="4" w:space="0" w:color="auto"/>
              <w:bottom w:val="single" w:sz="4" w:space="0" w:color="auto"/>
              <w:right w:val="single" w:sz="4" w:space="0" w:color="auto"/>
            </w:tcBorders>
            <w:noWrap/>
            <w:hideMark/>
          </w:tcPr>
          <w:p w14:paraId="0B5173DA" w14:textId="77777777" w:rsidR="003D6A18" w:rsidRPr="003D6A18" w:rsidRDefault="003D6A18" w:rsidP="003D6A18">
            <w:pPr>
              <w:spacing w:line="240" w:lineRule="auto"/>
              <w:jc w:val="center"/>
              <w:rPr>
                <w:rFonts w:ascii="Calibri" w:eastAsia="Times New Roman" w:hAnsi="Calibri" w:cs="Calibri"/>
                <w:b/>
                <w:bCs/>
                <w:color w:val="000000"/>
                <w:kern w:val="0"/>
                <w:sz w:val="22"/>
                <w:szCs w:val="22"/>
                <w:lang w:eastAsia="es-AR"/>
                <w14:ligatures w14:val="none"/>
              </w:rPr>
            </w:pPr>
            <w:r w:rsidRPr="003D6A18">
              <w:rPr>
                <w:rFonts w:ascii="Calibri" w:eastAsia="Times New Roman" w:hAnsi="Calibri" w:cs="Calibri"/>
                <w:b/>
                <w:bCs/>
                <w:color w:val="000000"/>
                <w:kern w:val="0"/>
                <w:sz w:val="22"/>
                <w:szCs w:val="22"/>
                <w:lang w:eastAsia="es-AR"/>
                <w14:ligatures w14:val="none"/>
              </w:rPr>
              <w:t>LO_12</w:t>
            </w:r>
          </w:p>
        </w:tc>
        <w:tc>
          <w:tcPr>
            <w:tcW w:w="960" w:type="dxa"/>
            <w:tcBorders>
              <w:top w:val="nil"/>
              <w:left w:val="nil"/>
              <w:bottom w:val="single" w:sz="4" w:space="0" w:color="auto"/>
              <w:right w:val="single" w:sz="4" w:space="0" w:color="auto"/>
            </w:tcBorders>
            <w:noWrap/>
            <w:vAlign w:val="bottom"/>
            <w:hideMark/>
          </w:tcPr>
          <w:p w14:paraId="4ED6255F"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0,0165</w:t>
            </w:r>
          </w:p>
        </w:tc>
        <w:tc>
          <w:tcPr>
            <w:tcW w:w="960" w:type="dxa"/>
            <w:tcBorders>
              <w:top w:val="nil"/>
              <w:left w:val="nil"/>
              <w:bottom w:val="single" w:sz="4" w:space="0" w:color="auto"/>
              <w:right w:val="single" w:sz="4" w:space="0" w:color="auto"/>
            </w:tcBorders>
            <w:noWrap/>
            <w:vAlign w:val="bottom"/>
            <w:hideMark/>
          </w:tcPr>
          <w:p w14:paraId="086489AD"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0,0162</w:t>
            </w:r>
          </w:p>
        </w:tc>
        <w:tc>
          <w:tcPr>
            <w:tcW w:w="960" w:type="dxa"/>
            <w:tcBorders>
              <w:top w:val="nil"/>
              <w:left w:val="nil"/>
              <w:bottom w:val="single" w:sz="4" w:space="0" w:color="auto"/>
              <w:right w:val="single" w:sz="4" w:space="0" w:color="auto"/>
            </w:tcBorders>
            <w:noWrap/>
            <w:vAlign w:val="bottom"/>
            <w:hideMark/>
          </w:tcPr>
          <w:p w14:paraId="1402755C"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0,0169</w:t>
            </w:r>
          </w:p>
        </w:tc>
        <w:tc>
          <w:tcPr>
            <w:tcW w:w="960" w:type="dxa"/>
            <w:tcBorders>
              <w:top w:val="nil"/>
              <w:left w:val="nil"/>
              <w:bottom w:val="single" w:sz="4" w:space="0" w:color="auto"/>
              <w:right w:val="single" w:sz="4" w:space="0" w:color="auto"/>
            </w:tcBorders>
            <w:noWrap/>
            <w:vAlign w:val="bottom"/>
            <w:hideMark/>
          </w:tcPr>
          <w:p w14:paraId="3D5D1726" w14:textId="77777777" w:rsidR="003D6A18" w:rsidRPr="003D6A18" w:rsidRDefault="003D6A18" w:rsidP="003D6A18">
            <w:pPr>
              <w:spacing w:line="240" w:lineRule="auto"/>
              <w:jc w:val="center"/>
              <w:rPr>
                <w:rFonts w:ascii="Calibri" w:eastAsia="Times New Roman" w:hAnsi="Calibri" w:cs="Calibri"/>
                <w:color w:val="000000"/>
                <w:kern w:val="0"/>
                <w:sz w:val="22"/>
                <w:szCs w:val="22"/>
                <w:lang w:eastAsia="es-AR"/>
                <w14:ligatures w14:val="none"/>
              </w:rPr>
            </w:pPr>
            <w:r w:rsidRPr="003D6A18">
              <w:rPr>
                <w:rFonts w:ascii="Calibri" w:eastAsia="Times New Roman" w:hAnsi="Calibri" w:cs="Calibri"/>
                <w:color w:val="000000"/>
                <w:kern w:val="0"/>
                <w:sz w:val="22"/>
                <w:szCs w:val="22"/>
                <w:lang w:eastAsia="es-AR"/>
                <w14:ligatures w14:val="none"/>
              </w:rPr>
              <w:t>0,0209</w:t>
            </w:r>
          </w:p>
        </w:tc>
      </w:tr>
    </w:tbl>
    <w:p w14:paraId="4296199D" w14:textId="483F5AAF" w:rsidR="009E5222" w:rsidRPr="0008582D" w:rsidRDefault="009E5222" w:rsidP="0008582D">
      <w:pPr>
        <w:pStyle w:val="Textoindependiente"/>
        <w:spacing w:line="360" w:lineRule="auto"/>
        <w:rPr>
          <w:rFonts w:cs="Times New Roman"/>
          <w:lang w:val="es-AR"/>
        </w:rPr>
      </w:pPr>
      <w:r w:rsidRPr="0008582D">
        <w:rPr>
          <w:rFonts w:cs="Times New Roman"/>
          <w:i/>
          <w:iCs/>
          <w:lang w:val="es-AR"/>
        </w:rPr>
        <w:t>Comentario técnico:</w:t>
      </w:r>
      <w:r w:rsidRPr="0008582D">
        <w:rPr>
          <w:rFonts w:cs="Times New Roman"/>
          <w:lang w:val="es-AR"/>
        </w:rPr>
        <w:t xml:space="preserve"> la matriz reportada constituye el insumo central del problema de optimización. Su inclusión en este anexo permite verificar la estructura de dependencias utilizada en el cálculo de la frontera eficiente</w:t>
      </w:r>
      <w:r w:rsidR="00D82FB7">
        <w:rPr>
          <w:rFonts w:cs="Times New Roman"/>
          <w:lang w:val="es-AR"/>
        </w:rPr>
        <w:t>.</w:t>
      </w:r>
    </w:p>
    <w:p w14:paraId="1361756D" w14:textId="1D8C5909" w:rsidR="009E5222" w:rsidRPr="009706C8" w:rsidRDefault="009E5222" w:rsidP="00F14042">
      <w:pPr>
        <w:pStyle w:val="Ttulo2"/>
        <w:rPr>
          <w:rFonts w:cs="Times New Roman"/>
        </w:rPr>
      </w:pPr>
      <w:bookmarkStart w:id="131" w:name="_Toc223214821"/>
      <w:bookmarkStart w:id="132" w:name="c.5-matriz-de-correlaciones"/>
      <w:bookmarkEnd w:id="130"/>
      <w:r w:rsidRPr="009706C8">
        <w:rPr>
          <w:rFonts w:cs="Times New Roman"/>
        </w:rPr>
        <w:t>C.</w:t>
      </w:r>
      <w:r w:rsidR="008B5815">
        <w:rPr>
          <w:rFonts w:cs="Times New Roman"/>
        </w:rPr>
        <w:t>8</w:t>
      </w:r>
      <w:r w:rsidRPr="009706C8">
        <w:rPr>
          <w:rFonts w:cs="Times New Roman"/>
        </w:rPr>
        <w:t xml:space="preserve"> Matriz de correlaciones</w:t>
      </w:r>
      <w:bookmarkEnd w:id="131"/>
    </w:p>
    <w:p w14:paraId="1CE2A4D3" w14:textId="77777777" w:rsidR="009E5222" w:rsidRPr="0008582D" w:rsidRDefault="009E5222" w:rsidP="0008582D">
      <w:pPr>
        <w:pStyle w:val="FirstParagraph"/>
        <w:spacing w:line="360" w:lineRule="auto"/>
        <w:rPr>
          <w:rFonts w:cs="Times New Roman"/>
          <w:lang w:val="es-AR"/>
        </w:rPr>
      </w:pPr>
      <w:r w:rsidRPr="0008582D">
        <w:rPr>
          <w:rFonts w:cs="Times New Roman"/>
          <w:lang w:val="es-AR"/>
        </w:rPr>
        <w:t>De manera complementaria, se presenta la matriz de correlaciones asociada a los retornos considerados en el ejercicio de optimización.</w:t>
      </w:r>
    </w:p>
    <w:p w14:paraId="3DD9FE68" w14:textId="77777777" w:rsidR="009E5222" w:rsidRDefault="009E5222" w:rsidP="007610D0">
      <w:pPr>
        <w:pStyle w:val="Textoindependiente"/>
        <w:rPr>
          <w:rFonts w:cs="Times New Roman"/>
          <w:b/>
          <w:bCs/>
          <w:lang w:val="es-AR"/>
        </w:rPr>
      </w:pPr>
      <w:r w:rsidRPr="007610D0">
        <w:rPr>
          <w:rFonts w:cs="Times New Roman"/>
          <w:b/>
          <w:bCs/>
          <w:lang w:val="es-AR"/>
        </w:rPr>
        <w:t xml:space="preserve">TABLA C.4 – Matriz de correlaciones </w:t>
      </w:r>
    </w:p>
    <w:tbl>
      <w:tblPr>
        <w:tblW w:w="4800" w:type="dxa"/>
        <w:jc w:val="center"/>
        <w:tblCellMar>
          <w:left w:w="70" w:type="dxa"/>
          <w:right w:w="70" w:type="dxa"/>
        </w:tblCellMar>
        <w:tblLook w:val="04A0" w:firstRow="1" w:lastRow="0" w:firstColumn="1" w:lastColumn="0" w:noHBand="0" w:noVBand="1"/>
      </w:tblPr>
      <w:tblGrid>
        <w:gridCol w:w="960"/>
        <w:gridCol w:w="976"/>
        <w:gridCol w:w="976"/>
        <w:gridCol w:w="976"/>
        <w:gridCol w:w="976"/>
      </w:tblGrid>
      <w:tr w:rsidR="00BA7C19" w:rsidRPr="00BA7C19" w14:paraId="65C9D3B7" w14:textId="77777777" w:rsidTr="00BA7C19">
        <w:trPr>
          <w:trHeight w:val="300"/>
          <w:jc w:val="center"/>
        </w:trPr>
        <w:tc>
          <w:tcPr>
            <w:tcW w:w="960" w:type="dxa"/>
            <w:tcBorders>
              <w:top w:val="nil"/>
              <w:left w:val="nil"/>
              <w:bottom w:val="nil"/>
              <w:right w:val="nil"/>
            </w:tcBorders>
            <w:noWrap/>
            <w:vAlign w:val="bottom"/>
            <w:hideMark/>
          </w:tcPr>
          <w:p w14:paraId="6F01A7C2" w14:textId="77777777" w:rsidR="00BA7C19" w:rsidRPr="00BA7C19" w:rsidRDefault="00BA7C19" w:rsidP="00BA7C19">
            <w:pPr>
              <w:spacing w:line="240" w:lineRule="auto"/>
              <w:jc w:val="left"/>
              <w:rPr>
                <w:rFonts w:eastAsia="Times New Roman" w:cs="Times New Roman"/>
                <w:kern w:val="0"/>
                <w:lang w:eastAsia="es-AR"/>
                <w14:ligatures w14:val="none"/>
              </w:rPr>
            </w:pPr>
          </w:p>
        </w:tc>
        <w:tc>
          <w:tcPr>
            <w:tcW w:w="960" w:type="dxa"/>
            <w:tcBorders>
              <w:top w:val="single" w:sz="4" w:space="0" w:color="auto"/>
              <w:left w:val="single" w:sz="4" w:space="0" w:color="auto"/>
              <w:bottom w:val="single" w:sz="4" w:space="0" w:color="auto"/>
              <w:right w:val="single" w:sz="4" w:space="0" w:color="auto"/>
            </w:tcBorders>
            <w:noWrap/>
            <w:hideMark/>
          </w:tcPr>
          <w:p w14:paraId="2D8D9E5C"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SPY</w:t>
            </w:r>
          </w:p>
        </w:tc>
        <w:tc>
          <w:tcPr>
            <w:tcW w:w="960" w:type="dxa"/>
            <w:tcBorders>
              <w:top w:val="single" w:sz="4" w:space="0" w:color="auto"/>
              <w:left w:val="nil"/>
              <w:bottom w:val="single" w:sz="4" w:space="0" w:color="auto"/>
              <w:right w:val="single" w:sz="4" w:space="0" w:color="auto"/>
            </w:tcBorders>
            <w:noWrap/>
            <w:hideMark/>
          </w:tcPr>
          <w:p w14:paraId="2D010404"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LO_3</w:t>
            </w:r>
          </w:p>
        </w:tc>
        <w:tc>
          <w:tcPr>
            <w:tcW w:w="960" w:type="dxa"/>
            <w:tcBorders>
              <w:top w:val="single" w:sz="4" w:space="0" w:color="auto"/>
              <w:left w:val="nil"/>
              <w:bottom w:val="single" w:sz="4" w:space="0" w:color="auto"/>
              <w:right w:val="single" w:sz="4" w:space="0" w:color="auto"/>
            </w:tcBorders>
            <w:noWrap/>
            <w:hideMark/>
          </w:tcPr>
          <w:p w14:paraId="1B03EA11"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LO_6</w:t>
            </w:r>
          </w:p>
        </w:tc>
        <w:tc>
          <w:tcPr>
            <w:tcW w:w="960" w:type="dxa"/>
            <w:tcBorders>
              <w:top w:val="single" w:sz="4" w:space="0" w:color="auto"/>
              <w:left w:val="nil"/>
              <w:bottom w:val="single" w:sz="4" w:space="0" w:color="auto"/>
              <w:right w:val="single" w:sz="4" w:space="0" w:color="auto"/>
            </w:tcBorders>
            <w:noWrap/>
            <w:hideMark/>
          </w:tcPr>
          <w:p w14:paraId="00375523"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LO_12</w:t>
            </w:r>
          </w:p>
        </w:tc>
      </w:tr>
      <w:tr w:rsidR="00BA7C19" w:rsidRPr="00BA7C19" w14:paraId="32CDFFB4" w14:textId="77777777" w:rsidTr="00BA7C19">
        <w:trPr>
          <w:trHeight w:val="300"/>
          <w:jc w:val="center"/>
        </w:trPr>
        <w:tc>
          <w:tcPr>
            <w:tcW w:w="960" w:type="dxa"/>
            <w:tcBorders>
              <w:top w:val="single" w:sz="4" w:space="0" w:color="auto"/>
              <w:left w:val="single" w:sz="4" w:space="0" w:color="auto"/>
              <w:bottom w:val="single" w:sz="4" w:space="0" w:color="auto"/>
              <w:right w:val="single" w:sz="4" w:space="0" w:color="auto"/>
            </w:tcBorders>
            <w:noWrap/>
            <w:hideMark/>
          </w:tcPr>
          <w:p w14:paraId="0ACBEF93"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SPY</w:t>
            </w:r>
          </w:p>
        </w:tc>
        <w:tc>
          <w:tcPr>
            <w:tcW w:w="960" w:type="dxa"/>
            <w:tcBorders>
              <w:top w:val="nil"/>
              <w:left w:val="nil"/>
              <w:bottom w:val="single" w:sz="4" w:space="0" w:color="auto"/>
              <w:right w:val="single" w:sz="4" w:space="0" w:color="auto"/>
            </w:tcBorders>
            <w:noWrap/>
            <w:vAlign w:val="bottom"/>
            <w:hideMark/>
          </w:tcPr>
          <w:p w14:paraId="4CB27EF8"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1</w:t>
            </w:r>
          </w:p>
        </w:tc>
        <w:tc>
          <w:tcPr>
            <w:tcW w:w="960" w:type="dxa"/>
            <w:tcBorders>
              <w:top w:val="nil"/>
              <w:left w:val="nil"/>
              <w:bottom w:val="single" w:sz="4" w:space="0" w:color="auto"/>
              <w:right w:val="single" w:sz="4" w:space="0" w:color="auto"/>
            </w:tcBorders>
            <w:noWrap/>
            <w:vAlign w:val="bottom"/>
            <w:hideMark/>
          </w:tcPr>
          <w:p w14:paraId="76BDBC25"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0,781434</w:t>
            </w:r>
          </w:p>
        </w:tc>
        <w:tc>
          <w:tcPr>
            <w:tcW w:w="960" w:type="dxa"/>
            <w:tcBorders>
              <w:top w:val="nil"/>
              <w:left w:val="nil"/>
              <w:bottom w:val="single" w:sz="4" w:space="0" w:color="auto"/>
              <w:right w:val="single" w:sz="4" w:space="0" w:color="auto"/>
            </w:tcBorders>
            <w:noWrap/>
            <w:vAlign w:val="bottom"/>
            <w:hideMark/>
          </w:tcPr>
          <w:p w14:paraId="67E7BF4A"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0,780504</w:t>
            </w:r>
          </w:p>
        </w:tc>
        <w:tc>
          <w:tcPr>
            <w:tcW w:w="960" w:type="dxa"/>
            <w:tcBorders>
              <w:top w:val="nil"/>
              <w:left w:val="nil"/>
              <w:bottom w:val="single" w:sz="4" w:space="0" w:color="auto"/>
              <w:right w:val="single" w:sz="4" w:space="0" w:color="auto"/>
            </w:tcBorders>
            <w:noWrap/>
            <w:vAlign w:val="bottom"/>
            <w:hideMark/>
          </w:tcPr>
          <w:p w14:paraId="40A270CB"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0,770101</w:t>
            </w:r>
          </w:p>
        </w:tc>
      </w:tr>
      <w:tr w:rsidR="00BA7C19" w:rsidRPr="00BA7C19" w14:paraId="005EF87E" w14:textId="77777777" w:rsidTr="00BA7C19">
        <w:trPr>
          <w:trHeight w:val="300"/>
          <w:jc w:val="center"/>
        </w:trPr>
        <w:tc>
          <w:tcPr>
            <w:tcW w:w="960" w:type="dxa"/>
            <w:tcBorders>
              <w:top w:val="nil"/>
              <w:left w:val="single" w:sz="4" w:space="0" w:color="auto"/>
              <w:bottom w:val="single" w:sz="4" w:space="0" w:color="auto"/>
              <w:right w:val="single" w:sz="4" w:space="0" w:color="auto"/>
            </w:tcBorders>
            <w:noWrap/>
            <w:hideMark/>
          </w:tcPr>
          <w:p w14:paraId="23D75BB5"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LO_3</w:t>
            </w:r>
          </w:p>
        </w:tc>
        <w:tc>
          <w:tcPr>
            <w:tcW w:w="960" w:type="dxa"/>
            <w:tcBorders>
              <w:top w:val="nil"/>
              <w:left w:val="nil"/>
              <w:bottom w:val="single" w:sz="4" w:space="0" w:color="auto"/>
              <w:right w:val="single" w:sz="4" w:space="0" w:color="auto"/>
            </w:tcBorders>
            <w:noWrap/>
            <w:vAlign w:val="bottom"/>
            <w:hideMark/>
          </w:tcPr>
          <w:p w14:paraId="17E5F4E4"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0,781434</w:t>
            </w:r>
          </w:p>
        </w:tc>
        <w:tc>
          <w:tcPr>
            <w:tcW w:w="960" w:type="dxa"/>
            <w:tcBorders>
              <w:top w:val="nil"/>
              <w:left w:val="nil"/>
              <w:bottom w:val="single" w:sz="4" w:space="0" w:color="auto"/>
              <w:right w:val="single" w:sz="4" w:space="0" w:color="auto"/>
            </w:tcBorders>
            <w:noWrap/>
            <w:vAlign w:val="bottom"/>
            <w:hideMark/>
          </w:tcPr>
          <w:p w14:paraId="6BF082E7"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1</w:t>
            </w:r>
          </w:p>
        </w:tc>
        <w:tc>
          <w:tcPr>
            <w:tcW w:w="960" w:type="dxa"/>
            <w:tcBorders>
              <w:top w:val="nil"/>
              <w:left w:val="nil"/>
              <w:bottom w:val="single" w:sz="4" w:space="0" w:color="auto"/>
              <w:right w:val="single" w:sz="4" w:space="0" w:color="auto"/>
            </w:tcBorders>
            <w:noWrap/>
            <w:vAlign w:val="bottom"/>
            <w:hideMark/>
          </w:tcPr>
          <w:p w14:paraId="04DABAFA"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0,806369</w:t>
            </w:r>
          </w:p>
        </w:tc>
        <w:tc>
          <w:tcPr>
            <w:tcW w:w="960" w:type="dxa"/>
            <w:tcBorders>
              <w:top w:val="nil"/>
              <w:left w:val="nil"/>
              <w:bottom w:val="single" w:sz="4" w:space="0" w:color="auto"/>
              <w:right w:val="single" w:sz="4" w:space="0" w:color="auto"/>
            </w:tcBorders>
            <w:noWrap/>
            <w:vAlign w:val="bottom"/>
            <w:hideMark/>
          </w:tcPr>
          <w:p w14:paraId="5643C164"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0,752505</w:t>
            </w:r>
          </w:p>
        </w:tc>
      </w:tr>
      <w:tr w:rsidR="00BA7C19" w:rsidRPr="00BA7C19" w14:paraId="1000296C" w14:textId="77777777" w:rsidTr="00BA7C19">
        <w:trPr>
          <w:trHeight w:val="300"/>
          <w:jc w:val="center"/>
        </w:trPr>
        <w:tc>
          <w:tcPr>
            <w:tcW w:w="960" w:type="dxa"/>
            <w:tcBorders>
              <w:top w:val="nil"/>
              <w:left w:val="single" w:sz="4" w:space="0" w:color="auto"/>
              <w:bottom w:val="single" w:sz="4" w:space="0" w:color="auto"/>
              <w:right w:val="single" w:sz="4" w:space="0" w:color="auto"/>
            </w:tcBorders>
            <w:noWrap/>
            <w:hideMark/>
          </w:tcPr>
          <w:p w14:paraId="566FA11C"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LO_6</w:t>
            </w:r>
          </w:p>
        </w:tc>
        <w:tc>
          <w:tcPr>
            <w:tcW w:w="960" w:type="dxa"/>
            <w:tcBorders>
              <w:top w:val="nil"/>
              <w:left w:val="nil"/>
              <w:bottom w:val="single" w:sz="4" w:space="0" w:color="auto"/>
              <w:right w:val="single" w:sz="4" w:space="0" w:color="auto"/>
            </w:tcBorders>
            <w:noWrap/>
            <w:vAlign w:val="bottom"/>
            <w:hideMark/>
          </w:tcPr>
          <w:p w14:paraId="138496E1"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0,780504</w:t>
            </w:r>
          </w:p>
        </w:tc>
        <w:tc>
          <w:tcPr>
            <w:tcW w:w="960" w:type="dxa"/>
            <w:tcBorders>
              <w:top w:val="nil"/>
              <w:left w:val="nil"/>
              <w:bottom w:val="single" w:sz="4" w:space="0" w:color="auto"/>
              <w:right w:val="single" w:sz="4" w:space="0" w:color="auto"/>
            </w:tcBorders>
            <w:noWrap/>
            <w:vAlign w:val="bottom"/>
            <w:hideMark/>
          </w:tcPr>
          <w:p w14:paraId="609CE039"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0,806369</w:t>
            </w:r>
          </w:p>
        </w:tc>
        <w:tc>
          <w:tcPr>
            <w:tcW w:w="960" w:type="dxa"/>
            <w:tcBorders>
              <w:top w:val="nil"/>
              <w:left w:val="nil"/>
              <w:bottom w:val="single" w:sz="4" w:space="0" w:color="auto"/>
              <w:right w:val="single" w:sz="4" w:space="0" w:color="auto"/>
            </w:tcBorders>
            <w:noWrap/>
            <w:vAlign w:val="bottom"/>
            <w:hideMark/>
          </w:tcPr>
          <w:p w14:paraId="7D52C42B"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1</w:t>
            </w:r>
          </w:p>
        </w:tc>
        <w:tc>
          <w:tcPr>
            <w:tcW w:w="960" w:type="dxa"/>
            <w:tcBorders>
              <w:top w:val="nil"/>
              <w:left w:val="nil"/>
              <w:bottom w:val="single" w:sz="4" w:space="0" w:color="auto"/>
              <w:right w:val="single" w:sz="4" w:space="0" w:color="auto"/>
            </w:tcBorders>
            <w:noWrap/>
            <w:vAlign w:val="bottom"/>
            <w:hideMark/>
          </w:tcPr>
          <w:p w14:paraId="6B3CA12D"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0,8156</w:t>
            </w:r>
          </w:p>
        </w:tc>
      </w:tr>
      <w:tr w:rsidR="00BA7C19" w:rsidRPr="00BA7C19" w14:paraId="2AB77ED7" w14:textId="77777777" w:rsidTr="00BA7C19">
        <w:trPr>
          <w:trHeight w:val="300"/>
          <w:jc w:val="center"/>
        </w:trPr>
        <w:tc>
          <w:tcPr>
            <w:tcW w:w="960" w:type="dxa"/>
            <w:tcBorders>
              <w:top w:val="nil"/>
              <w:left w:val="single" w:sz="4" w:space="0" w:color="auto"/>
              <w:bottom w:val="single" w:sz="4" w:space="0" w:color="auto"/>
              <w:right w:val="single" w:sz="4" w:space="0" w:color="auto"/>
            </w:tcBorders>
            <w:noWrap/>
            <w:hideMark/>
          </w:tcPr>
          <w:p w14:paraId="7141C143" w14:textId="77777777" w:rsidR="00BA7C19" w:rsidRPr="00BA7C19" w:rsidRDefault="00BA7C19" w:rsidP="00BA7C19">
            <w:pPr>
              <w:spacing w:line="240" w:lineRule="auto"/>
              <w:jc w:val="center"/>
              <w:rPr>
                <w:rFonts w:ascii="Calibri" w:eastAsia="Times New Roman" w:hAnsi="Calibri" w:cs="Calibri"/>
                <w:b/>
                <w:bCs/>
                <w:color w:val="000000"/>
                <w:kern w:val="0"/>
                <w:sz w:val="22"/>
                <w:szCs w:val="22"/>
                <w:lang w:eastAsia="es-AR"/>
                <w14:ligatures w14:val="none"/>
              </w:rPr>
            </w:pPr>
            <w:r w:rsidRPr="00BA7C19">
              <w:rPr>
                <w:rFonts w:ascii="Calibri" w:eastAsia="Times New Roman" w:hAnsi="Calibri" w:cs="Calibri"/>
                <w:b/>
                <w:bCs/>
                <w:color w:val="000000"/>
                <w:kern w:val="0"/>
                <w:sz w:val="22"/>
                <w:szCs w:val="22"/>
                <w:lang w:eastAsia="es-AR"/>
                <w14:ligatures w14:val="none"/>
              </w:rPr>
              <w:t>LO_12</w:t>
            </w:r>
          </w:p>
        </w:tc>
        <w:tc>
          <w:tcPr>
            <w:tcW w:w="960" w:type="dxa"/>
            <w:tcBorders>
              <w:top w:val="nil"/>
              <w:left w:val="nil"/>
              <w:bottom w:val="single" w:sz="4" w:space="0" w:color="auto"/>
              <w:right w:val="single" w:sz="4" w:space="0" w:color="auto"/>
            </w:tcBorders>
            <w:noWrap/>
            <w:vAlign w:val="bottom"/>
            <w:hideMark/>
          </w:tcPr>
          <w:p w14:paraId="02A02DEA"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0,770101</w:t>
            </w:r>
          </w:p>
        </w:tc>
        <w:tc>
          <w:tcPr>
            <w:tcW w:w="960" w:type="dxa"/>
            <w:tcBorders>
              <w:top w:val="nil"/>
              <w:left w:val="nil"/>
              <w:bottom w:val="single" w:sz="4" w:space="0" w:color="auto"/>
              <w:right w:val="single" w:sz="4" w:space="0" w:color="auto"/>
            </w:tcBorders>
            <w:noWrap/>
            <w:vAlign w:val="bottom"/>
            <w:hideMark/>
          </w:tcPr>
          <w:p w14:paraId="560E262D"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0,752505</w:t>
            </w:r>
          </w:p>
        </w:tc>
        <w:tc>
          <w:tcPr>
            <w:tcW w:w="960" w:type="dxa"/>
            <w:tcBorders>
              <w:top w:val="nil"/>
              <w:left w:val="nil"/>
              <w:bottom w:val="single" w:sz="4" w:space="0" w:color="auto"/>
              <w:right w:val="single" w:sz="4" w:space="0" w:color="auto"/>
            </w:tcBorders>
            <w:noWrap/>
            <w:vAlign w:val="bottom"/>
            <w:hideMark/>
          </w:tcPr>
          <w:p w14:paraId="77DB60B7"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0,8156</w:t>
            </w:r>
          </w:p>
        </w:tc>
        <w:tc>
          <w:tcPr>
            <w:tcW w:w="960" w:type="dxa"/>
            <w:tcBorders>
              <w:top w:val="nil"/>
              <w:left w:val="nil"/>
              <w:bottom w:val="single" w:sz="4" w:space="0" w:color="auto"/>
              <w:right w:val="single" w:sz="4" w:space="0" w:color="auto"/>
            </w:tcBorders>
            <w:noWrap/>
            <w:vAlign w:val="bottom"/>
            <w:hideMark/>
          </w:tcPr>
          <w:p w14:paraId="361A518E" w14:textId="77777777" w:rsidR="00BA7C19" w:rsidRPr="00BA7C19" w:rsidRDefault="00BA7C19" w:rsidP="00BA7C19">
            <w:pPr>
              <w:spacing w:line="240" w:lineRule="auto"/>
              <w:jc w:val="right"/>
              <w:rPr>
                <w:rFonts w:ascii="Calibri" w:eastAsia="Times New Roman" w:hAnsi="Calibri" w:cs="Calibri"/>
                <w:color w:val="000000"/>
                <w:kern w:val="0"/>
                <w:sz w:val="22"/>
                <w:szCs w:val="22"/>
                <w:lang w:eastAsia="es-AR"/>
                <w14:ligatures w14:val="none"/>
              </w:rPr>
            </w:pPr>
            <w:r w:rsidRPr="00BA7C19">
              <w:rPr>
                <w:rFonts w:ascii="Calibri" w:eastAsia="Times New Roman" w:hAnsi="Calibri" w:cs="Calibri"/>
                <w:color w:val="000000"/>
                <w:kern w:val="0"/>
                <w:sz w:val="22"/>
                <w:szCs w:val="22"/>
                <w:lang w:eastAsia="es-AR"/>
                <w14:ligatures w14:val="none"/>
              </w:rPr>
              <w:t>1</w:t>
            </w:r>
          </w:p>
        </w:tc>
      </w:tr>
    </w:tbl>
    <w:p w14:paraId="5C89D82B" w14:textId="7031F0F7" w:rsidR="00DD4F39" w:rsidRPr="0008582D" w:rsidRDefault="009E5222" w:rsidP="0008582D">
      <w:pPr>
        <w:pStyle w:val="Textoindependiente"/>
        <w:spacing w:line="360" w:lineRule="auto"/>
        <w:rPr>
          <w:rFonts w:cs="Times New Roman"/>
          <w:lang w:val="es-AR"/>
        </w:rPr>
      </w:pPr>
      <w:r w:rsidRPr="0008582D">
        <w:rPr>
          <w:rFonts w:cs="Times New Roman"/>
          <w:i/>
          <w:iCs/>
          <w:lang w:val="es-AR"/>
        </w:rPr>
        <w:t>Comentario técnico:</w:t>
      </w:r>
      <w:r w:rsidRPr="0008582D">
        <w:rPr>
          <w:rFonts w:cs="Times New Roman"/>
          <w:lang w:val="es-AR"/>
        </w:rPr>
        <w:t xml:space="preserve"> </w:t>
      </w:r>
      <w:r w:rsidR="00DD4F39">
        <w:rPr>
          <w:rFonts w:cs="Times New Roman"/>
          <w:lang w:val="es-AR"/>
        </w:rPr>
        <w:t>l</w:t>
      </w:r>
      <w:r w:rsidR="00DD4F39" w:rsidRPr="00DD4F39">
        <w:rPr>
          <w:rFonts w:cs="Times New Roman"/>
          <w:lang w:val="es-AR"/>
        </w:rPr>
        <w:t>a matriz de correlaciones permite visualizar el alto grado de dependencia lineal entre las estrategias consideradas y el benchmark de mercado. Estos niveles elevados de correlación explican la forma y la pendiente de la frontera eficiente estimada, así como la limitada diversificación efectiva alcanzable bajo el enfoque media–varianza. Su inclusión complementa la matriz de covarianza presentada en la sección anterior y refuerza la interpretación cautelosa del ejercicio de optimización</w:t>
      </w:r>
      <w:r w:rsidR="00BD1A5C">
        <w:rPr>
          <w:rFonts w:cs="Times New Roman"/>
          <w:lang w:val="es-AR"/>
        </w:rPr>
        <w:t>.</w:t>
      </w:r>
    </w:p>
    <w:p w14:paraId="2CD4C0BE" w14:textId="795C4E9A" w:rsidR="008B5815" w:rsidRPr="009706C8" w:rsidRDefault="009E5222" w:rsidP="008B5815">
      <w:pPr>
        <w:pStyle w:val="Ttulo2"/>
        <w:rPr>
          <w:rFonts w:cs="Times New Roman"/>
        </w:rPr>
      </w:pPr>
      <w:bookmarkStart w:id="133" w:name="_Toc223214822"/>
      <w:bookmarkStart w:id="134" w:name="c.6-observación-final"/>
      <w:bookmarkEnd w:id="132"/>
      <w:r w:rsidRPr="009706C8">
        <w:rPr>
          <w:rFonts w:cs="Times New Roman"/>
        </w:rPr>
        <w:t>C.</w:t>
      </w:r>
      <w:r w:rsidR="008B5815">
        <w:rPr>
          <w:rFonts w:cs="Times New Roman"/>
        </w:rPr>
        <w:t>9</w:t>
      </w:r>
      <w:r w:rsidRPr="009706C8">
        <w:rPr>
          <w:rFonts w:cs="Times New Roman"/>
        </w:rPr>
        <w:t xml:space="preserve"> Observación final</w:t>
      </w:r>
      <w:bookmarkEnd w:id="133"/>
    </w:p>
    <w:p w14:paraId="37ECD3EF" w14:textId="77777777" w:rsidR="00D73F09" w:rsidRPr="00D73F09" w:rsidRDefault="00D73F09" w:rsidP="00D73F09">
      <w:pPr>
        <w:spacing w:line="360" w:lineRule="auto"/>
        <w:rPr>
          <w:rFonts w:cs="Times New Roman"/>
        </w:rPr>
      </w:pPr>
      <w:r w:rsidRPr="00D73F09">
        <w:rPr>
          <w:rFonts w:cs="Times New Roman"/>
        </w:rPr>
        <w:t xml:space="preserve">La visualización de la frontera eficiente sugiere que la combinación teórica de las estrategias de </w:t>
      </w:r>
      <w:r w:rsidRPr="00D73F09">
        <w:rPr>
          <w:rFonts w:cs="Times New Roman"/>
          <w:i/>
          <w:iCs/>
        </w:rPr>
        <w:t>momentum</w:t>
      </w:r>
      <w:r w:rsidRPr="00D73F09">
        <w:rPr>
          <w:rFonts w:cs="Times New Roman"/>
        </w:rPr>
        <w:t xml:space="preserve"> sectorial y del </w:t>
      </w:r>
      <w:r w:rsidRPr="00D73F09">
        <w:rPr>
          <w:rFonts w:cs="Times New Roman"/>
          <w:i/>
          <w:iCs/>
        </w:rPr>
        <w:t>benchmark</w:t>
      </w:r>
      <w:r w:rsidRPr="00D73F09">
        <w:rPr>
          <w:rFonts w:cs="Times New Roman"/>
        </w:rPr>
        <w:t xml:space="preserve"> de mercado puede generar perfiles retorno–riesgo relativamente más favorables que los observados en algunas estrategias individuales, dentro del marco clásico de media–varianza. No obstante, estas mejoras resultan acotadas y altamente dependientes de los parámetros estimados, lo que pone de </w:t>
      </w:r>
      <w:r w:rsidRPr="00D73F09">
        <w:rPr>
          <w:rFonts w:cs="Times New Roman"/>
        </w:rPr>
        <w:lastRenderedPageBreak/>
        <w:t>manifiesto la sensibilidad inherente del enfoque a la estimación de retornos esperados y covarianzas.</w:t>
      </w:r>
    </w:p>
    <w:p w14:paraId="138B5291" w14:textId="77777777" w:rsidR="00D73F09" w:rsidRPr="00D73F09" w:rsidRDefault="00D73F09" w:rsidP="00D73F09">
      <w:pPr>
        <w:spacing w:line="360" w:lineRule="auto"/>
        <w:rPr>
          <w:rFonts w:cs="Times New Roman"/>
        </w:rPr>
      </w:pPr>
      <w:r w:rsidRPr="00D73F09">
        <w:rPr>
          <w:rFonts w:cs="Times New Roman"/>
        </w:rPr>
        <w:t>Este comportamiento es consistente con la literatura empírica sobre optimización de portafolios y refuerza la necesidad de interpretar los resultados con cautela, especialmente en contextos aplicados. En particular, la evidencia de heterocedasticidad condicional y colas pesadas documentada en el Capítulo 5 sugiere que decisiones de asignación basadas exclusivamente en primeros y segundos momentos pueden resultar frágiles frente a cambios en el régimen de riesgo.</w:t>
      </w:r>
    </w:p>
    <w:p w14:paraId="62EB36E0" w14:textId="77777777" w:rsidR="00D73F09" w:rsidRPr="00D73F09" w:rsidRDefault="00D73F09" w:rsidP="00D73F09">
      <w:pPr>
        <w:spacing w:line="360" w:lineRule="auto"/>
        <w:rPr>
          <w:rFonts w:cs="Times New Roman"/>
        </w:rPr>
      </w:pPr>
      <w:r w:rsidRPr="00D73F09">
        <w:rPr>
          <w:rFonts w:cs="Times New Roman"/>
        </w:rPr>
        <w:t>En conjunto, el ejercicio de optimización presentado en este anexo complementa el análisis empírico previo desde una perspectiva clásica de asignación de activos, permitiendo integrar de manera sintética las dimensiones de retorno, volatilidad y correlación analizadas en los capítulos principales.</w:t>
      </w:r>
    </w:p>
    <w:p w14:paraId="33EE73F0" w14:textId="5029C111" w:rsidR="000E256B" w:rsidRDefault="00D73F09" w:rsidP="00D73F09">
      <w:pPr>
        <w:spacing w:line="360" w:lineRule="auto"/>
        <w:rPr>
          <w:rFonts w:cs="Times New Roman"/>
        </w:rPr>
      </w:pPr>
      <w:r w:rsidRPr="00D73F09">
        <w:rPr>
          <w:rFonts w:cs="Times New Roman"/>
        </w:rPr>
        <w:t xml:space="preserve">Los resultados aquí documentados deben interpretarse como ilustrativos y condicionados al carácter </w:t>
      </w:r>
      <w:r w:rsidRPr="00D73F09">
        <w:rPr>
          <w:rFonts w:cs="Times New Roman"/>
          <w:i/>
          <w:iCs/>
        </w:rPr>
        <w:t>in-sample</w:t>
      </w:r>
      <w:r w:rsidRPr="00D73F09">
        <w:rPr>
          <w:rFonts w:cs="Times New Roman"/>
        </w:rPr>
        <w:t xml:space="preserve"> del ejercicio.</w:t>
      </w:r>
    </w:p>
    <w:p w14:paraId="5EF79095" w14:textId="6F3CD496" w:rsidR="007C0F7C" w:rsidRDefault="007C0F7C" w:rsidP="007C0F7C">
      <w:pPr>
        <w:pStyle w:val="Ttulo1"/>
        <w:rPr>
          <w:rFonts w:cs="Times New Roman"/>
        </w:rPr>
      </w:pPr>
      <w:bookmarkStart w:id="135" w:name="_Toc223214823"/>
      <w:bookmarkStart w:id="136" w:name="X06725a14aaaa3a6a20ce5c6e2441c46e35e55fd"/>
      <w:r w:rsidRPr="009706C8">
        <w:rPr>
          <w:rFonts w:cs="Times New Roman"/>
        </w:rPr>
        <w:t xml:space="preserve">ANEXO </w:t>
      </w:r>
      <w:r>
        <w:rPr>
          <w:rFonts w:cs="Times New Roman"/>
        </w:rPr>
        <w:t>D</w:t>
      </w:r>
      <w:bookmarkEnd w:id="135"/>
    </w:p>
    <w:p w14:paraId="5A7294E5" w14:textId="77777777" w:rsidR="007C0F7C" w:rsidRPr="009706C8" w:rsidRDefault="007C0F7C" w:rsidP="007C0F7C">
      <w:pPr>
        <w:pStyle w:val="Ttulo1"/>
        <w:rPr>
          <w:rFonts w:cs="Times New Roman"/>
        </w:rPr>
      </w:pPr>
      <w:bookmarkStart w:id="137" w:name="_Toc223214824"/>
      <w:r w:rsidRPr="009706C8">
        <w:rPr>
          <w:rFonts w:cs="Times New Roman"/>
        </w:rPr>
        <w:t>Implementación computacional y reproducibilidad</w:t>
      </w:r>
      <w:bookmarkEnd w:id="137"/>
    </w:p>
    <w:p w14:paraId="78C6FD30" w14:textId="21EC9859" w:rsidR="007C0F7C" w:rsidRPr="009706C8" w:rsidRDefault="007C0F7C" w:rsidP="007C0F7C">
      <w:pPr>
        <w:pStyle w:val="Ttulo2"/>
        <w:rPr>
          <w:rFonts w:cs="Times New Roman"/>
        </w:rPr>
      </w:pPr>
      <w:bookmarkStart w:id="138" w:name="_Toc223214825"/>
      <w:bookmarkStart w:id="139" w:name="a.1-objetivo-del-anexo"/>
      <w:r>
        <w:rPr>
          <w:rFonts w:cs="Times New Roman"/>
        </w:rPr>
        <w:t>D</w:t>
      </w:r>
      <w:r w:rsidRPr="009706C8">
        <w:rPr>
          <w:rFonts w:cs="Times New Roman"/>
        </w:rPr>
        <w:t>.1 Objetivo del anexo</w:t>
      </w:r>
      <w:bookmarkEnd w:id="138"/>
    </w:p>
    <w:p w14:paraId="04EC1F24"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El presente anexo tiene por objetivo documentar de manera sintética y transparente los principales aspectos de la implementación computacional del análisis empírico desarrollado en el cuerpo principal de la tesis. Su finalidad es garantizar la reproducibilidad de los resultados presentados, así como clarificar las decisiones técnicas adoptadas durante el procesamiento de los datos y la ejecución de los modelos, sin introducir nuevos resultados ni interpretaciones económicas.</w:t>
      </w:r>
    </w:p>
    <w:p w14:paraId="71734F90" w14:textId="77777777" w:rsidR="007C0F7C" w:rsidRPr="0008582D" w:rsidRDefault="007C0F7C" w:rsidP="007C0F7C">
      <w:pPr>
        <w:pStyle w:val="Textoindependiente"/>
        <w:spacing w:line="360" w:lineRule="auto"/>
        <w:rPr>
          <w:rFonts w:cs="Times New Roman"/>
          <w:lang w:val="es-AR"/>
        </w:rPr>
      </w:pPr>
      <w:r w:rsidRPr="0008582D">
        <w:rPr>
          <w:rFonts w:cs="Times New Roman"/>
          <w:lang w:val="es-AR"/>
        </w:rPr>
        <w:t>En línea con las pautas metodológicas establecidas en el trabajo, este anexo cumple un rol estrictamente complementario: el cuerpo de la tesis es autosuficiente para la comprensión de los resultados y conclusiones, mientras que los detalles de implementación aquí expuestos permiten respaldar y auditar el proceso seguido.</w:t>
      </w:r>
    </w:p>
    <w:p w14:paraId="6FC03CF3" w14:textId="0A67F78D" w:rsidR="007C0F7C" w:rsidRPr="009706C8" w:rsidRDefault="007C0F7C" w:rsidP="007C0F7C">
      <w:pPr>
        <w:pStyle w:val="Ttulo2"/>
        <w:rPr>
          <w:rFonts w:cs="Times New Roman"/>
        </w:rPr>
      </w:pPr>
      <w:bookmarkStart w:id="140" w:name="_Toc223214826"/>
      <w:bookmarkStart w:id="141" w:name="Xc7a2b347dfbc3aafd1da10377795ea048a5d75e"/>
      <w:bookmarkEnd w:id="139"/>
      <w:r>
        <w:rPr>
          <w:rFonts w:cs="Times New Roman"/>
        </w:rPr>
        <w:t>D</w:t>
      </w:r>
      <w:r w:rsidRPr="009706C8">
        <w:rPr>
          <w:rFonts w:cs="Times New Roman"/>
        </w:rPr>
        <w:t>.2 Entorno de trabajo y reproducibilidad</w:t>
      </w:r>
      <w:bookmarkEnd w:id="140"/>
    </w:p>
    <w:p w14:paraId="3CEF1703"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 xml:space="preserve">La totalidad del análisis empírico fue implementada utilizando el lenguaje de programación </w:t>
      </w:r>
      <w:r w:rsidRPr="0008582D">
        <w:rPr>
          <w:rFonts w:cs="Times New Roman"/>
          <w:b/>
          <w:bCs/>
          <w:lang w:val="es-AR"/>
        </w:rPr>
        <w:t>Python</w:t>
      </w:r>
      <w:r w:rsidRPr="0008582D">
        <w:rPr>
          <w:rFonts w:cs="Times New Roman"/>
          <w:lang w:val="es-AR"/>
        </w:rPr>
        <w:t xml:space="preserve">, empleando librerías estándar ampliamente difundidas en la </w:t>
      </w:r>
      <w:r w:rsidRPr="0008582D">
        <w:rPr>
          <w:rFonts w:cs="Times New Roman"/>
          <w:lang w:val="es-AR"/>
        </w:rPr>
        <w:lastRenderedPageBreak/>
        <w:t>literatura académica y profesional en finanzas cuantitativas y econometría. El uso de herramientas abiertas y reproducibles permite que los resultados puedan ser replicados por terceros bajo condiciones equivalentes.</w:t>
      </w:r>
    </w:p>
    <w:p w14:paraId="3B5294BF" w14:textId="77777777" w:rsidR="007C0F7C" w:rsidRPr="0008582D" w:rsidRDefault="007C0F7C" w:rsidP="007C0F7C">
      <w:pPr>
        <w:pStyle w:val="Textoindependiente"/>
        <w:spacing w:line="360" w:lineRule="auto"/>
        <w:rPr>
          <w:rFonts w:cs="Times New Roman"/>
          <w:lang w:val="es-AR"/>
        </w:rPr>
      </w:pPr>
      <w:r w:rsidRPr="0008582D">
        <w:rPr>
          <w:rFonts w:cs="Times New Roman"/>
          <w:lang w:val="es-AR"/>
        </w:rPr>
        <w:t>El flujo de trabajo se organiza de forma modular, separando claramente:</w:t>
      </w:r>
    </w:p>
    <w:p w14:paraId="6A21483D"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la descarga y construcción del dataset,</w:t>
      </w:r>
    </w:p>
    <w:p w14:paraId="19DD38BC"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la implementación del backtest de las estrategias,</w:t>
      </w:r>
    </w:p>
    <w:p w14:paraId="56D63F57"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el cálculo de métricas de desempeño,</w:t>
      </w:r>
    </w:p>
    <w:p w14:paraId="7448CB89"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la estimación de modelos econométricos,</w:t>
      </w:r>
    </w:p>
    <w:p w14:paraId="27B54C4B"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y los ejercicios complementarios de riesgo y optimización.</w:t>
      </w:r>
    </w:p>
    <w:p w14:paraId="713CA718"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Esta separación modular reduce el riesgo de errores, facilita la verificación cruzada entre texto y código, y asegura la coherencia metodológica a lo largo de todo el análisis.</w:t>
      </w:r>
    </w:p>
    <w:p w14:paraId="3EE3395B" w14:textId="348ED90D" w:rsidR="007C0F7C" w:rsidRPr="009706C8" w:rsidRDefault="007C0F7C" w:rsidP="007C0F7C">
      <w:pPr>
        <w:pStyle w:val="Ttulo2"/>
        <w:rPr>
          <w:rFonts w:cs="Times New Roman"/>
        </w:rPr>
      </w:pPr>
      <w:bookmarkStart w:id="142" w:name="_Toc223214827"/>
      <w:bookmarkStart w:id="143" w:name="a.3-construcción-del-dataset"/>
      <w:bookmarkEnd w:id="141"/>
      <w:r>
        <w:rPr>
          <w:rFonts w:cs="Times New Roman"/>
        </w:rPr>
        <w:t>D</w:t>
      </w:r>
      <w:r w:rsidRPr="009706C8">
        <w:rPr>
          <w:rFonts w:cs="Times New Roman"/>
        </w:rPr>
        <w:t>.3 Construcción del dataset</w:t>
      </w:r>
      <w:bookmarkEnd w:id="142"/>
    </w:p>
    <w:p w14:paraId="2E1C38CB"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Las series de precios utilizadas en el análisis se descargan a frecuencia diaria y se transforman posteriormente a frecuencia mensual, utilizando el precio de cierre correspondiente al último día hábil de cada mes. Este procedimiento es consistente con la frecuencia de rebalanceo de las estrategias analizadas y con la práctica habitual en la literatura empírica sobre momentum.</w:t>
      </w:r>
    </w:p>
    <w:p w14:paraId="0BBB8A55" w14:textId="77777777" w:rsidR="007C0F7C" w:rsidRPr="0008582D" w:rsidRDefault="007C0F7C" w:rsidP="007C0F7C">
      <w:pPr>
        <w:pStyle w:val="Textoindependiente"/>
        <w:spacing w:line="360" w:lineRule="auto"/>
        <w:rPr>
          <w:rFonts w:cs="Times New Roman"/>
          <w:lang w:val="es-AR"/>
        </w:rPr>
      </w:pPr>
      <w:r w:rsidRPr="0008582D">
        <w:rPr>
          <w:rFonts w:cs="Times New Roman"/>
          <w:lang w:val="es-AR"/>
        </w:rPr>
        <w:t>Durante el proceso de construcción del dataset se adoptan las siguientes convenciones técnicas:</w:t>
      </w:r>
    </w:p>
    <w:p w14:paraId="34B69667"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utilización de precios ajustados por dividendos y splits;</w:t>
      </w:r>
    </w:p>
    <w:p w14:paraId="5BB4B7BF"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ordenamiento cronológico de las observaciones;</w:t>
      </w:r>
    </w:p>
    <w:p w14:paraId="3EF9FB6B"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imputación hacia adelante (</w:t>
      </w:r>
      <w:r w:rsidRPr="0008582D">
        <w:rPr>
          <w:rFonts w:cs="Times New Roman"/>
          <w:i/>
          <w:iCs/>
          <w:lang w:val="es-AR"/>
        </w:rPr>
        <w:t>forward fill</w:t>
      </w:r>
      <w:r w:rsidRPr="0008582D">
        <w:rPr>
          <w:rFonts w:cs="Times New Roman"/>
          <w:lang w:val="es-AR"/>
        </w:rPr>
        <w:t>) de valores faltantes puntuales;</w:t>
      </w:r>
    </w:p>
    <w:p w14:paraId="172F1A54"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eliminación de observaciones iniciales incompletas;</w:t>
      </w:r>
    </w:p>
    <w:p w14:paraId="0511D5EC"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verificación explícita de que el último mes de la muestra se encuentra completo.</w:t>
      </w:r>
    </w:p>
    <w:p w14:paraId="18486434"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A partir de los precios mensuales se calculan retornos simples mensuales, expresados en escala decimal, que constituyen el insumo básico para el resto de los análisis desarrollados en la tesis.</w:t>
      </w:r>
    </w:p>
    <w:p w14:paraId="2C38CB79" w14:textId="40732227" w:rsidR="007C0F7C" w:rsidRPr="009706C8" w:rsidRDefault="007C0F7C" w:rsidP="007C0F7C">
      <w:pPr>
        <w:pStyle w:val="Ttulo2"/>
        <w:rPr>
          <w:rFonts w:cs="Times New Roman"/>
        </w:rPr>
      </w:pPr>
      <w:bookmarkStart w:id="144" w:name="_Toc223214828"/>
      <w:bookmarkStart w:id="145" w:name="X647348626ac8b6c764ca5f00137a0e312a821c6"/>
      <w:bookmarkEnd w:id="143"/>
      <w:r>
        <w:rPr>
          <w:rFonts w:cs="Times New Roman"/>
        </w:rPr>
        <w:lastRenderedPageBreak/>
        <w:t>D</w:t>
      </w:r>
      <w:r w:rsidRPr="009706C8">
        <w:rPr>
          <w:rFonts w:cs="Times New Roman"/>
        </w:rPr>
        <w:t>.4 Implementación del backtest de estrategias</w:t>
      </w:r>
      <w:bookmarkEnd w:id="144"/>
    </w:p>
    <w:p w14:paraId="19E2BDB9" w14:textId="77777777" w:rsidR="007C0F7C" w:rsidRPr="0008582D" w:rsidRDefault="007C0F7C" w:rsidP="007C0F7C">
      <w:pPr>
        <w:pStyle w:val="FirstParagraph"/>
        <w:spacing w:line="360" w:lineRule="auto"/>
        <w:rPr>
          <w:rFonts w:cs="Times New Roman"/>
        </w:rPr>
      </w:pPr>
      <w:r w:rsidRPr="0008582D">
        <w:rPr>
          <w:rFonts w:cs="Times New Roman"/>
          <w:lang w:val="es-AR"/>
        </w:rPr>
        <w:t xml:space="preserve">Las estrategias de momentum sectorial Long-Only se implementan mediante un procedimiento de backtesting que respeta estrictamente la secuencia temporal de la información disponible. </w:t>
      </w:r>
      <w:r w:rsidRPr="0008582D">
        <w:rPr>
          <w:rFonts w:cs="Times New Roman"/>
        </w:rPr>
        <w:t>En particular:</w:t>
      </w:r>
    </w:p>
    <w:p w14:paraId="2A9510BD"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 xml:space="preserve">la señal de momentum se calcula utilizando exclusivamente información disponible hasta el cierre del mes </w:t>
      </w:r>
      <w:r w:rsidRPr="0008582D">
        <w:rPr>
          <w:rFonts w:cs="Times New Roman"/>
          <w:i/>
          <w:iCs/>
          <w:lang w:val="es-AR"/>
        </w:rPr>
        <w:t>t−1</w:t>
      </w:r>
      <w:r w:rsidRPr="0008582D">
        <w:rPr>
          <w:rFonts w:cs="Times New Roman"/>
          <w:lang w:val="es-AR"/>
        </w:rPr>
        <w:t>;</w:t>
      </w:r>
    </w:p>
    <w:p w14:paraId="33AFF4C8"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 xml:space="preserve">las decisiones de asignación correspondientes al período </w:t>
      </w:r>
      <w:r w:rsidRPr="0008582D">
        <w:rPr>
          <w:rFonts w:cs="Times New Roman"/>
          <w:i/>
          <w:iCs/>
          <w:lang w:val="es-AR"/>
        </w:rPr>
        <w:t>t</w:t>
      </w:r>
      <w:r w:rsidRPr="0008582D">
        <w:rPr>
          <w:rFonts w:cs="Times New Roman"/>
          <w:lang w:val="es-AR"/>
        </w:rPr>
        <w:t xml:space="preserve"> no incorporan información contemporánea ni futura;</w:t>
      </w:r>
    </w:p>
    <w:p w14:paraId="004E797F"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el rebalanceo del portafolio se realiza con frecuencia mensual;</w:t>
      </w:r>
    </w:p>
    <w:p w14:paraId="5D97B2A2"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 xml:space="preserve">se modela explícitamente el </w:t>
      </w:r>
      <w:r w:rsidRPr="0008582D">
        <w:rPr>
          <w:rFonts w:cs="Times New Roman"/>
          <w:i/>
          <w:iCs/>
          <w:lang w:val="es-AR"/>
        </w:rPr>
        <w:t>drift</w:t>
      </w:r>
      <w:r w:rsidRPr="0008582D">
        <w:rPr>
          <w:rFonts w:cs="Times New Roman"/>
          <w:lang w:val="es-AR"/>
        </w:rPr>
        <w:t xml:space="preserve"> de los pesos entre períodos consecutivos;</w:t>
      </w:r>
    </w:p>
    <w:p w14:paraId="1FACE538"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 xml:space="preserve">el turnover se calcula bajo una convención </w:t>
      </w:r>
      <w:r w:rsidRPr="0008582D">
        <w:rPr>
          <w:rFonts w:cs="Times New Roman"/>
          <w:i/>
          <w:iCs/>
          <w:lang w:val="es-AR"/>
        </w:rPr>
        <w:t>one-way</w:t>
      </w:r>
      <w:r w:rsidRPr="0008582D">
        <w:rPr>
          <w:rFonts w:cs="Times New Roman"/>
          <w:lang w:val="es-AR"/>
        </w:rPr>
        <w:t>, como la mitad de la suma de los cambios absolutos en los pesos del portafolio.</w:t>
      </w:r>
    </w:p>
    <w:p w14:paraId="46E25A94"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Los costos de transacción se incorporan de manera proporcional al turnover calculado en cada fecha de rebalanceo, utilizando un costo constante expresado en basis points por unidad de capital rotado. Por convención, el portafolio inicial se constituye sin costos, asociándose los costos exclusivamente a los rebalanceos posteriores.</w:t>
      </w:r>
    </w:p>
    <w:p w14:paraId="74B9B34F" w14:textId="2F0E628C" w:rsidR="007C0F7C" w:rsidRPr="009706C8" w:rsidRDefault="007C0F7C" w:rsidP="007C0F7C">
      <w:pPr>
        <w:pStyle w:val="Ttulo2"/>
        <w:rPr>
          <w:rFonts w:cs="Times New Roman"/>
        </w:rPr>
      </w:pPr>
      <w:bookmarkStart w:id="146" w:name="_Toc223214829"/>
      <w:bookmarkStart w:id="147" w:name="a.5-métricas-de-desempeño-y-escalas"/>
      <w:bookmarkEnd w:id="145"/>
      <w:r>
        <w:rPr>
          <w:rFonts w:cs="Times New Roman"/>
        </w:rPr>
        <w:t>D</w:t>
      </w:r>
      <w:r w:rsidRPr="009706C8">
        <w:rPr>
          <w:rFonts w:cs="Times New Roman"/>
        </w:rPr>
        <w:t>.5 Métricas de desempeño y escalas</w:t>
      </w:r>
      <w:bookmarkEnd w:id="146"/>
    </w:p>
    <w:p w14:paraId="1320CBD9"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Las métricas de desempeño reportadas en el cuerpo principal de la tesis se calculan de manera consistente a partir de los retornos mensuales netos de costos. En todos los casos se explicita la escala temporal y la metodología de annualización empleada.</w:t>
      </w:r>
    </w:p>
    <w:p w14:paraId="6C38F7E8" w14:textId="77777777" w:rsidR="007C0F7C" w:rsidRPr="0008582D" w:rsidRDefault="007C0F7C" w:rsidP="007C0F7C">
      <w:pPr>
        <w:pStyle w:val="Textoindependiente"/>
        <w:spacing w:line="360" w:lineRule="auto"/>
        <w:rPr>
          <w:rFonts w:cs="Times New Roman"/>
        </w:rPr>
      </w:pPr>
      <w:r w:rsidRPr="0008582D">
        <w:rPr>
          <w:rFonts w:cs="Times New Roman"/>
        </w:rPr>
        <w:t>En particular:</w:t>
      </w:r>
    </w:p>
    <w:p w14:paraId="608B6256"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los retornos acumulados se construyen mediante capitalización compuesta;</w:t>
      </w:r>
    </w:p>
    <w:p w14:paraId="5E485C2D" w14:textId="77777777" w:rsidR="007C0F7C" w:rsidRPr="0008582D" w:rsidRDefault="007C0F7C" w:rsidP="007C0F7C">
      <w:pPr>
        <w:pStyle w:val="Compact"/>
        <w:numPr>
          <w:ilvl w:val="0"/>
          <w:numId w:val="1"/>
        </w:numPr>
        <w:spacing w:line="360" w:lineRule="auto"/>
        <w:rPr>
          <w:rFonts w:cs="Times New Roman"/>
          <w:lang w:val="es-AR"/>
        </w:rPr>
      </w:pPr>
      <w:r w:rsidRPr="000A4036">
        <w:rPr>
          <w:rFonts w:cs="Times New Roman"/>
          <w:lang w:val="es-AR"/>
        </w:rPr>
        <w:t>la volatilidad se anualiza multiplicando la desviación estándar de los retornos mensuales por el factor √12</w:t>
      </w:r>
      <w:r w:rsidRPr="0008582D">
        <w:rPr>
          <w:rFonts w:cs="Times New Roman"/>
          <w:lang w:val="es-AR"/>
        </w:rPr>
        <w:t>;</w:t>
      </w:r>
    </w:p>
    <w:p w14:paraId="19050982" w14:textId="77777777" w:rsidR="007C0F7C" w:rsidRPr="0008582D" w:rsidRDefault="007C0F7C" w:rsidP="007C0F7C">
      <w:pPr>
        <w:pStyle w:val="Compact"/>
        <w:numPr>
          <w:ilvl w:val="0"/>
          <w:numId w:val="1"/>
        </w:numPr>
        <w:spacing w:line="360" w:lineRule="auto"/>
        <w:rPr>
          <w:rFonts w:cs="Times New Roman"/>
          <w:lang w:val="es-AR"/>
        </w:rPr>
      </w:pPr>
      <w:r w:rsidRPr="000E6258">
        <w:rPr>
          <w:rFonts w:cs="Times New Roman"/>
          <w:lang w:val="es-AR"/>
        </w:rPr>
        <w:t>los ratios ajustados por riesgo utilizan una tasa libre de riesgo previamente convertida a la misma frecuencia temporal que los retornos, manteniendo consistencia de escala en su posterior anualización</w:t>
      </w:r>
      <w:r w:rsidRPr="0008582D">
        <w:rPr>
          <w:rFonts w:cs="Times New Roman"/>
          <w:lang w:val="es-AR"/>
        </w:rPr>
        <w:t>;</w:t>
      </w:r>
    </w:p>
    <w:p w14:paraId="714A8DED" w14:textId="77777777" w:rsidR="007C0F7C" w:rsidRPr="0008582D" w:rsidRDefault="007C0F7C" w:rsidP="007C0F7C">
      <w:pPr>
        <w:pStyle w:val="Compact"/>
        <w:numPr>
          <w:ilvl w:val="0"/>
          <w:numId w:val="1"/>
        </w:numPr>
        <w:spacing w:line="360" w:lineRule="auto"/>
        <w:rPr>
          <w:rFonts w:cs="Times New Roman"/>
          <w:lang w:val="es-AR"/>
        </w:rPr>
      </w:pPr>
      <w:r w:rsidRPr="0008582D">
        <w:rPr>
          <w:rFonts w:cs="Times New Roman"/>
          <w:lang w:val="es-AR"/>
        </w:rPr>
        <w:t>se evita explícitamente la doble annualización o la mezcla de escalas temporales.</w:t>
      </w:r>
    </w:p>
    <w:p w14:paraId="5433A4CC"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lastRenderedPageBreak/>
        <w:t>Las métricas de riesgo y desempeño adicionales, no incluidas en el cuerpo principal por razones de parsimonia, se presentan de manera detallada en los anexos correspondientes.</w:t>
      </w:r>
    </w:p>
    <w:p w14:paraId="5C460EEF" w14:textId="29274ADE" w:rsidR="007C0F7C" w:rsidRPr="009706C8" w:rsidRDefault="007C0F7C" w:rsidP="007C0F7C">
      <w:pPr>
        <w:pStyle w:val="Ttulo2"/>
        <w:rPr>
          <w:rFonts w:cs="Times New Roman"/>
        </w:rPr>
      </w:pPr>
      <w:bookmarkStart w:id="148" w:name="_Toc223214830"/>
      <w:bookmarkStart w:id="149" w:name="X22255aada1bba07b01c9d9ce5574e2315e1e6a9"/>
      <w:bookmarkEnd w:id="147"/>
      <w:r>
        <w:rPr>
          <w:rFonts w:cs="Times New Roman"/>
        </w:rPr>
        <w:t>D</w:t>
      </w:r>
      <w:r w:rsidRPr="009706C8">
        <w:rPr>
          <w:rFonts w:cs="Times New Roman"/>
        </w:rPr>
        <w:t>.6 Modelos econométricos y análisis de riesgo</w:t>
      </w:r>
      <w:bookmarkEnd w:id="148"/>
    </w:p>
    <w:p w14:paraId="06B7C516" w14:textId="77777777" w:rsidR="007C0F7C" w:rsidRPr="0008582D" w:rsidRDefault="007C0F7C" w:rsidP="007C0F7C">
      <w:pPr>
        <w:pStyle w:val="FirstParagraph"/>
        <w:spacing w:line="360" w:lineRule="auto"/>
        <w:rPr>
          <w:rFonts w:cs="Times New Roman"/>
          <w:lang w:val="es-AR"/>
        </w:rPr>
      </w:pPr>
      <w:r w:rsidRPr="0008582D">
        <w:rPr>
          <w:rFonts w:cs="Times New Roman"/>
          <w:lang w:val="es-AR"/>
        </w:rPr>
        <w:t>La estimación de modelos econométricos y de riesgo se realiza sobre series de retornos mensuales netos, respetando las convenciones de escala y alineación temporal definidas en los capítulos metodológicos.</w:t>
      </w:r>
    </w:p>
    <w:p w14:paraId="5310A3CC" w14:textId="77777777" w:rsidR="007C0F7C" w:rsidRDefault="007C0F7C" w:rsidP="007C0F7C">
      <w:pPr>
        <w:pStyle w:val="Textoindependiente"/>
        <w:spacing w:line="360" w:lineRule="auto"/>
        <w:rPr>
          <w:rFonts w:cs="Times New Roman"/>
          <w:lang w:val="es-AR"/>
        </w:rPr>
      </w:pPr>
      <w:r w:rsidRPr="00DA784B">
        <w:rPr>
          <w:rFonts w:cs="Times New Roman"/>
          <w:lang w:val="es-AR"/>
        </w:rPr>
        <w:t>En el caso de los modelos de factores, las regresiones se especifican en términos de retornos en exceso de la tasa libre de riesgo y se estiman mediante mínimos cuadrados ordinarios, utilizando errores estándar robustos a heterocedasticidad y autocorrelación.</w:t>
      </w:r>
    </w:p>
    <w:p w14:paraId="4068BBE6" w14:textId="77777777" w:rsidR="007C0F7C" w:rsidRPr="0008582D" w:rsidRDefault="007C0F7C" w:rsidP="007C0F7C">
      <w:pPr>
        <w:pStyle w:val="Textoindependiente"/>
        <w:spacing w:line="360" w:lineRule="auto"/>
        <w:rPr>
          <w:rFonts w:cs="Times New Roman"/>
          <w:lang w:val="es-AR"/>
        </w:rPr>
      </w:pPr>
      <w:r w:rsidRPr="0008582D">
        <w:rPr>
          <w:rFonts w:cs="Times New Roman"/>
          <w:lang w:val="es-AR"/>
        </w:rPr>
        <w:t xml:space="preserve">Para el análisis del riesgo dinámico, los modelos de volatilidad condicional se ajustan bajo especificaciones parsimoniosas, con </w:t>
      </w:r>
      <w:r w:rsidRPr="00F71AA8">
        <w:rPr>
          <w:rFonts w:cs="Times New Roman"/>
          <w:lang w:val="es-AR"/>
        </w:rPr>
        <w:t>especial atención a la correcta interpretación de los parámetros estimados y a la definición del signo y la escala de las medidas de riesgo extremo, las cuales se reportan como pérdidas positivas, de acuerdo con la práctica habitual en gestión de riesgos.</w:t>
      </w:r>
    </w:p>
    <w:p w14:paraId="0CFD4AE3" w14:textId="577413C0" w:rsidR="007C0F7C" w:rsidRPr="009706C8" w:rsidRDefault="007C0F7C" w:rsidP="007C0F7C">
      <w:pPr>
        <w:pStyle w:val="Ttulo2"/>
        <w:rPr>
          <w:rFonts w:cs="Times New Roman"/>
        </w:rPr>
      </w:pPr>
      <w:bookmarkStart w:id="150" w:name="_Toc223214831"/>
      <w:bookmarkStart w:id="151" w:name="Xd65e02dd1eb85efd36d538f60bd25f08d2f7d47"/>
      <w:bookmarkEnd w:id="149"/>
      <w:r>
        <w:rPr>
          <w:rFonts w:cs="Times New Roman"/>
        </w:rPr>
        <w:t>D</w:t>
      </w:r>
      <w:r w:rsidRPr="009706C8">
        <w:rPr>
          <w:rFonts w:cs="Times New Roman"/>
        </w:rPr>
        <w:t>.7 Organización del código y trazabilidad</w:t>
      </w:r>
      <w:bookmarkEnd w:id="150"/>
    </w:p>
    <w:p w14:paraId="6C2EA241" w14:textId="77777777" w:rsidR="007C0F7C" w:rsidRDefault="007C0F7C" w:rsidP="007C0F7C">
      <w:pPr>
        <w:pStyle w:val="Textoindependiente"/>
        <w:spacing w:line="360" w:lineRule="auto"/>
        <w:rPr>
          <w:rFonts w:cs="Times New Roman"/>
          <w:lang w:val="es-AR"/>
        </w:rPr>
      </w:pPr>
      <w:r w:rsidRPr="0064118E">
        <w:rPr>
          <w:rFonts w:cs="Times New Roman"/>
          <w:lang w:val="es-AR"/>
        </w:rPr>
        <w:t>El código fuente del análisis se encuentra organizado en módulos independientes, cada uno responsable de una etapa específica del proceso empírico. Esta estructura facilita la trazabilidad de los resultados presentados en la tesis y permite identificar de manera unívoca el origen computacional de cada tabla y figura reportada.</w:t>
      </w:r>
    </w:p>
    <w:p w14:paraId="541395DE" w14:textId="77777777" w:rsidR="007C0F7C" w:rsidRPr="0008582D" w:rsidRDefault="007C0F7C" w:rsidP="007C0F7C">
      <w:pPr>
        <w:pStyle w:val="Textoindependiente"/>
        <w:spacing w:line="360" w:lineRule="auto"/>
        <w:rPr>
          <w:rFonts w:cs="Times New Roman"/>
          <w:lang w:val="es-AR"/>
        </w:rPr>
      </w:pPr>
      <w:r w:rsidRPr="0008582D">
        <w:rPr>
          <w:rFonts w:cs="Times New Roman"/>
          <w:lang w:val="es-AR"/>
        </w:rPr>
        <w:t>Asimismo, los outputs intermedios y finales se almacenan en archivos estructurados, lo que permite su posterior utilización en la elaboración de tablas, gráficos y anexos, sin necesidad de reejecutar todo el pipeline de análisis.</w:t>
      </w:r>
    </w:p>
    <w:p w14:paraId="0E69420A" w14:textId="30A4396A" w:rsidR="007C0F7C" w:rsidRPr="009706C8" w:rsidRDefault="007C0F7C" w:rsidP="007C0F7C">
      <w:pPr>
        <w:pStyle w:val="Ttulo2"/>
        <w:rPr>
          <w:rFonts w:cs="Times New Roman"/>
        </w:rPr>
      </w:pPr>
      <w:bookmarkStart w:id="152" w:name="_Toc223214832"/>
      <w:bookmarkStart w:id="153" w:name="a.8-observación-final"/>
      <w:bookmarkEnd w:id="151"/>
      <w:r>
        <w:rPr>
          <w:rFonts w:cs="Times New Roman"/>
        </w:rPr>
        <w:t>D</w:t>
      </w:r>
      <w:r w:rsidRPr="009706C8">
        <w:rPr>
          <w:rFonts w:cs="Times New Roman"/>
        </w:rPr>
        <w:t>.8 Observación final</w:t>
      </w:r>
      <w:bookmarkEnd w:id="152"/>
    </w:p>
    <w:p w14:paraId="77172BAF" w14:textId="77777777" w:rsidR="007C0F7C" w:rsidRPr="004A33CC" w:rsidRDefault="007C0F7C" w:rsidP="007C0F7C">
      <w:pPr>
        <w:pStyle w:val="Textoindependiente"/>
        <w:spacing w:line="360" w:lineRule="auto"/>
        <w:rPr>
          <w:rFonts w:cs="Times New Roman"/>
          <w:lang w:val="es-AR"/>
        </w:rPr>
      </w:pPr>
      <w:r w:rsidRPr="004A33CC">
        <w:rPr>
          <w:rFonts w:cs="Times New Roman"/>
          <w:lang w:val="es-AR"/>
        </w:rPr>
        <w:t>En síntesis, la implementación computacional del trabajo ha sido diseñada con el objetivo de maximizar la coherencia metodológica, la reproducibilidad y la transparencia del análisis empírico. El presente anexo cumple un rol estrictamente complementario al cuerpo principal de la tesis, proporcionando el respaldo técnico necesario para la verificación y replicación de los resultados, sin afectar la autonomía ni la claridad del desarrollo conceptual y empírico.</w:t>
      </w:r>
    </w:p>
    <w:bookmarkEnd w:id="119"/>
    <w:bookmarkEnd w:id="134"/>
    <w:bookmarkEnd w:id="136"/>
    <w:bookmarkEnd w:id="153"/>
    <w:p w14:paraId="5DE27F60" w14:textId="77777777" w:rsidR="000E256B" w:rsidRPr="000E256B" w:rsidRDefault="000E256B" w:rsidP="000E256B">
      <w:pPr>
        <w:pStyle w:val="Textoindependiente"/>
        <w:rPr>
          <w:lang w:val="es-AR"/>
        </w:rPr>
      </w:pPr>
    </w:p>
    <w:sectPr w:rsidR="000E256B" w:rsidRPr="000E256B" w:rsidSect="009706C8">
      <w:footerReference w:type="default" r:id="rId13"/>
      <w:pgSz w:w="11906" w:h="16838" w:code="9"/>
      <w:pgMar w:top="1418"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495F" w14:textId="77777777" w:rsidR="00AB4ED3" w:rsidRDefault="00AB4ED3" w:rsidP="0025361E">
      <w:pPr>
        <w:spacing w:line="240" w:lineRule="auto"/>
      </w:pPr>
      <w:r>
        <w:separator/>
      </w:r>
    </w:p>
  </w:endnote>
  <w:endnote w:type="continuationSeparator" w:id="0">
    <w:p w14:paraId="5781F463" w14:textId="77777777" w:rsidR="00AB4ED3" w:rsidRDefault="00AB4ED3" w:rsidP="002536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88568"/>
      <w:docPartObj>
        <w:docPartGallery w:val="Page Numbers (Bottom of Page)"/>
        <w:docPartUnique/>
      </w:docPartObj>
    </w:sdtPr>
    <w:sdtContent>
      <w:p w14:paraId="153A7769" w14:textId="77777777" w:rsidR="000C66A0" w:rsidRDefault="000C66A0">
        <w:pPr>
          <w:pStyle w:val="Piedepgina"/>
          <w:jc w:val="center"/>
        </w:pPr>
        <w:r>
          <w:fldChar w:fldCharType="begin"/>
        </w:r>
        <w:r>
          <w:instrText>PAGE   \* MERGEFORMAT</w:instrText>
        </w:r>
        <w:r>
          <w:fldChar w:fldCharType="separate"/>
        </w:r>
        <w:r>
          <w:rPr>
            <w:lang w:val="es-ES"/>
          </w:rPr>
          <w:t>2</w:t>
        </w:r>
        <w:r>
          <w:fldChar w:fldCharType="end"/>
        </w:r>
      </w:p>
    </w:sdtContent>
  </w:sdt>
  <w:p w14:paraId="7F03C1D8" w14:textId="77777777" w:rsidR="000C66A0" w:rsidRDefault="000C6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70E0" w14:textId="77777777" w:rsidR="00AB4ED3" w:rsidRDefault="00AB4ED3" w:rsidP="0025361E">
      <w:pPr>
        <w:spacing w:line="240" w:lineRule="auto"/>
      </w:pPr>
      <w:r>
        <w:separator/>
      </w:r>
    </w:p>
  </w:footnote>
  <w:footnote w:type="continuationSeparator" w:id="0">
    <w:p w14:paraId="2ECFE8F1" w14:textId="77777777" w:rsidR="00AB4ED3" w:rsidRDefault="00AB4ED3" w:rsidP="0025361E">
      <w:pPr>
        <w:spacing w:line="240" w:lineRule="auto"/>
      </w:pPr>
      <w:r>
        <w:continuationSeparator/>
      </w:r>
    </w:p>
  </w:footnote>
  <w:footnote w:id="1">
    <w:p w14:paraId="554F2F6F" w14:textId="39A0D99E" w:rsidR="00E10CD5" w:rsidRDefault="00E10CD5">
      <w:pPr>
        <w:pStyle w:val="Textonotapie"/>
      </w:pPr>
      <w:r>
        <w:rPr>
          <w:rStyle w:val="Refdenotaalpie"/>
        </w:rPr>
        <w:footnoteRef/>
      </w:r>
      <w:r>
        <w:t xml:space="preserve"> </w:t>
      </w:r>
      <w:r w:rsidRPr="00E10CD5">
        <w:t>Por ejemplo, un valor de 1.5 reportado en la base de Fama-French corresponde a un retorno mensual de 1.5%, que se transforma en 0.015 en escala decimal.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6C4EE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53314867"/>
    <w:multiLevelType w:val="multilevel"/>
    <w:tmpl w:val="AF3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9D427C"/>
    <w:multiLevelType w:val="multilevel"/>
    <w:tmpl w:val="7D4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919359">
    <w:abstractNumId w:val="0"/>
  </w:num>
  <w:num w:numId="2" w16cid:durableId="901133143">
    <w:abstractNumId w:val="2"/>
  </w:num>
  <w:num w:numId="3" w16cid:durableId="151657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19"/>
    <w:rsid w:val="00000EDB"/>
    <w:rsid w:val="00002703"/>
    <w:rsid w:val="0000466C"/>
    <w:rsid w:val="0001020D"/>
    <w:rsid w:val="00014F8F"/>
    <w:rsid w:val="00017DD4"/>
    <w:rsid w:val="00020F5D"/>
    <w:rsid w:val="00023195"/>
    <w:rsid w:val="00024813"/>
    <w:rsid w:val="000251C3"/>
    <w:rsid w:val="00030632"/>
    <w:rsid w:val="00033D1C"/>
    <w:rsid w:val="00036DDF"/>
    <w:rsid w:val="00055103"/>
    <w:rsid w:val="000562CD"/>
    <w:rsid w:val="00056768"/>
    <w:rsid w:val="00060202"/>
    <w:rsid w:val="00061038"/>
    <w:rsid w:val="0006150E"/>
    <w:rsid w:val="00063434"/>
    <w:rsid w:val="00071255"/>
    <w:rsid w:val="000735FB"/>
    <w:rsid w:val="00074BD4"/>
    <w:rsid w:val="00081A3A"/>
    <w:rsid w:val="00081FB3"/>
    <w:rsid w:val="0008582D"/>
    <w:rsid w:val="000867EF"/>
    <w:rsid w:val="000A4036"/>
    <w:rsid w:val="000A4BBE"/>
    <w:rsid w:val="000A4E21"/>
    <w:rsid w:val="000C0F95"/>
    <w:rsid w:val="000C12D9"/>
    <w:rsid w:val="000C24A7"/>
    <w:rsid w:val="000C66A0"/>
    <w:rsid w:val="000D4C10"/>
    <w:rsid w:val="000E18E6"/>
    <w:rsid w:val="000E256B"/>
    <w:rsid w:val="000E3422"/>
    <w:rsid w:val="000E5E59"/>
    <w:rsid w:val="000E6258"/>
    <w:rsid w:val="000F2FAA"/>
    <w:rsid w:val="00115DA1"/>
    <w:rsid w:val="001337D2"/>
    <w:rsid w:val="00151049"/>
    <w:rsid w:val="0015676F"/>
    <w:rsid w:val="0016422B"/>
    <w:rsid w:val="00166738"/>
    <w:rsid w:val="001715F3"/>
    <w:rsid w:val="001756C9"/>
    <w:rsid w:val="001769AC"/>
    <w:rsid w:val="00180549"/>
    <w:rsid w:val="00180F18"/>
    <w:rsid w:val="001816B7"/>
    <w:rsid w:val="0018309B"/>
    <w:rsid w:val="00184624"/>
    <w:rsid w:val="00185355"/>
    <w:rsid w:val="00191FCA"/>
    <w:rsid w:val="0019768B"/>
    <w:rsid w:val="001A4127"/>
    <w:rsid w:val="001A7084"/>
    <w:rsid w:val="001B1652"/>
    <w:rsid w:val="001B65E5"/>
    <w:rsid w:val="001C5A5E"/>
    <w:rsid w:val="001D6406"/>
    <w:rsid w:val="001E34D0"/>
    <w:rsid w:val="001E5DB7"/>
    <w:rsid w:val="001F02E1"/>
    <w:rsid w:val="001F6066"/>
    <w:rsid w:val="002004F2"/>
    <w:rsid w:val="00201E5D"/>
    <w:rsid w:val="00204D4B"/>
    <w:rsid w:val="00205280"/>
    <w:rsid w:val="00215686"/>
    <w:rsid w:val="00215BA7"/>
    <w:rsid w:val="00226909"/>
    <w:rsid w:val="00234EEC"/>
    <w:rsid w:val="0023530A"/>
    <w:rsid w:val="00235813"/>
    <w:rsid w:val="0024291C"/>
    <w:rsid w:val="002429EA"/>
    <w:rsid w:val="00245DB3"/>
    <w:rsid w:val="00251BB5"/>
    <w:rsid w:val="0025361E"/>
    <w:rsid w:val="00256477"/>
    <w:rsid w:val="00265C71"/>
    <w:rsid w:val="00275C50"/>
    <w:rsid w:val="00281219"/>
    <w:rsid w:val="00291FF2"/>
    <w:rsid w:val="00295038"/>
    <w:rsid w:val="0029754F"/>
    <w:rsid w:val="002A5147"/>
    <w:rsid w:val="002A66BF"/>
    <w:rsid w:val="002B7944"/>
    <w:rsid w:val="002C3494"/>
    <w:rsid w:val="002C49D9"/>
    <w:rsid w:val="002C5A11"/>
    <w:rsid w:val="002D735C"/>
    <w:rsid w:val="002E1ECE"/>
    <w:rsid w:val="002E2BE4"/>
    <w:rsid w:val="002E2FF4"/>
    <w:rsid w:val="002E69D9"/>
    <w:rsid w:val="002F0EF2"/>
    <w:rsid w:val="002F547D"/>
    <w:rsid w:val="002F599A"/>
    <w:rsid w:val="002F7719"/>
    <w:rsid w:val="00304A34"/>
    <w:rsid w:val="00310DCE"/>
    <w:rsid w:val="00334CD5"/>
    <w:rsid w:val="00336DDE"/>
    <w:rsid w:val="003426E9"/>
    <w:rsid w:val="00343ED8"/>
    <w:rsid w:val="00346F7A"/>
    <w:rsid w:val="00352701"/>
    <w:rsid w:val="00355DB8"/>
    <w:rsid w:val="00370BD6"/>
    <w:rsid w:val="00375E4F"/>
    <w:rsid w:val="0038137F"/>
    <w:rsid w:val="00390604"/>
    <w:rsid w:val="003967F8"/>
    <w:rsid w:val="00397ACB"/>
    <w:rsid w:val="003A45C2"/>
    <w:rsid w:val="003C3BA4"/>
    <w:rsid w:val="003C6F12"/>
    <w:rsid w:val="003C78CA"/>
    <w:rsid w:val="003D1895"/>
    <w:rsid w:val="003D606A"/>
    <w:rsid w:val="003D6A00"/>
    <w:rsid w:val="003D6A18"/>
    <w:rsid w:val="003E3A5C"/>
    <w:rsid w:val="003E6250"/>
    <w:rsid w:val="003F00BE"/>
    <w:rsid w:val="003F5354"/>
    <w:rsid w:val="003F720D"/>
    <w:rsid w:val="0041767C"/>
    <w:rsid w:val="00427240"/>
    <w:rsid w:val="00446AFC"/>
    <w:rsid w:val="00447CB1"/>
    <w:rsid w:val="0045506A"/>
    <w:rsid w:val="00465E2A"/>
    <w:rsid w:val="00466802"/>
    <w:rsid w:val="004A1B47"/>
    <w:rsid w:val="004A1E2A"/>
    <w:rsid w:val="004A33CC"/>
    <w:rsid w:val="004A7F5B"/>
    <w:rsid w:val="004B0109"/>
    <w:rsid w:val="004B1E97"/>
    <w:rsid w:val="004B5032"/>
    <w:rsid w:val="004C1996"/>
    <w:rsid w:val="004C2673"/>
    <w:rsid w:val="004C32A9"/>
    <w:rsid w:val="004C60E2"/>
    <w:rsid w:val="004D7F84"/>
    <w:rsid w:val="004E317A"/>
    <w:rsid w:val="004F44CB"/>
    <w:rsid w:val="005118EE"/>
    <w:rsid w:val="0052710A"/>
    <w:rsid w:val="00537AFD"/>
    <w:rsid w:val="00544AEE"/>
    <w:rsid w:val="005460EA"/>
    <w:rsid w:val="005571FC"/>
    <w:rsid w:val="0057519C"/>
    <w:rsid w:val="0057630E"/>
    <w:rsid w:val="00586403"/>
    <w:rsid w:val="005903EA"/>
    <w:rsid w:val="0059532C"/>
    <w:rsid w:val="005A006F"/>
    <w:rsid w:val="005A598E"/>
    <w:rsid w:val="005E67F5"/>
    <w:rsid w:val="005F3B9F"/>
    <w:rsid w:val="005F4513"/>
    <w:rsid w:val="006078E1"/>
    <w:rsid w:val="00607FE7"/>
    <w:rsid w:val="00615E65"/>
    <w:rsid w:val="00620D6C"/>
    <w:rsid w:val="006218FB"/>
    <w:rsid w:val="00622BC3"/>
    <w:rsid w:val="006240AF"/>
    <w:rsid w:val="00631775"/>
    <w:rsid w:val="0064118E"/>
    <w:rsid w:val="00641621"/>
    <w:rsid w:val="00642EEA"/>
    <w:rsid w:val="006444D9"/>
    <w:rsid w:val="00646ABF"/>
    <w:rsid w:val="006520ED"/>
    <w:rsid w:val="006532C2"/>
    <w:rsid w:val="00653CDA"/>
    <w:rsid w:val="00654A59"/>
    <w:rsid w:val="00660017"/>
    <w:rsid w:val="006614CD"/>
    <w:rsid w:val="006679EB"/>
    <w:rsid w:val="006728AE"/>
    <w:rsid w:val="00685654"/>
    <w:rsid w:val="006856A6"/>
    <w:rsid w:val="0068581E"/>
    <w:rsid w:val="006877BF"/>
    <w:rsid w:val="00692A17"/>
    <w:rsid w:val="00695422"/>
    <w:rsid w:val="006A03EF"/>
    <w:rsid w:val="006A14B7"/>
    <w:rsid w:val="006A74EF"/>
    <w:rsid w:val="006B3858"/>
    <w:rsid w:val="006B48CC"/>
    <w:rsid w:val="006C0592"/>
    <w:rsid w:val="006C0E51"/>
    <w:rsid w:val="006C1615"/>
    <w:rsid w:val="006C66BF"/>
    <w:rsid w:val="006D17BC"/>
    <w:rsid w:val="006D6F2C"/>
    <w:rsid w:val="006E646D"/>
    <w:rsid w:val="006F0015"/>
    <w:rsid w:val="006F376C"/>
    <w:rsid w:val="006F5195"/>
    <w:rsid w:val="00706D18"/>
    <w:rsid w:val="0071089C"/>
    <w:rsid w:val="00713A5B"/>
    <w:rsid w:val="00714281"/>
    <w:rsid w:val="00716F2E"/>
    <w:rsid w:val="00717D16"/>
    <w:rsid w:val="007233BB"/>
    <w:rsid w:val="00725871"/>
    <w:rsid w:val="007263A4"/>
    <w:rsid w:val="007272AD"/>
    <w:rsid w:val="00727A42"/>
    <w:rsid w:val="007348DF"/>
    <w:rsid w:val="00742C54"/>
    <w:rsid w:val="00743667"/>
    <w:rsid w:val="00744713"/>
    <w:rsid w:val="00751B7A"/>
    <w:rsid w:val="0075483F"/>
    <w:rsid w:val="007610D0"/>
    <w:rsid w:val="0076472A"/>
    <w:rsid w:val="007678D7"/>
    <w:rsid w:val="00792EEE"/>
    <w:rsid w:val="007963AC"/>
    <w:rsid w:val="007A0D4D"/>
    <w:rsid w:val="007A4D28"/>
    <w:rsid w:val="007A6D0F"/>
    <w:rsid w:val="007B00F0"/>
    <w:rsid w:val="007B09F8"/>
    <w:rsid w:val="007B1FD2"/>
    <w:rsid w:val="007B6CDC"/>
    <w:rsid w:val="007C0F7C"/>
    <w:rsid w:val="007D7AA5"/>
    <w:rsid w:val="007E47EB"/>
    <w:rsid w:val="007F63D5"/>
    <w:rsid w:val="008048E0"/>
    <w:rsid w:val="00805840"/>
    <w:rsid w:val="0080584D"/>
    <w:rsid w:val="008113FF"/>
    <w:rsid w:val="00814E5E"/>
    <w:rsid w:val="00816353"/>
    <w:rsid w:val="00830ADD"/>
    <w:rsid w:val="00841FFA"/>
    <w:rsid w:val="008448CA"/>
    <w:rsid w:val="00847555"/>
    <w:rsid w:val="008512FD"/>
    <w:rsid w:val="00852C1C"/>
    <w:rsid w:val="008553BC"/>
    <w:rsid w:val="00857411"/>
    <w:rsid w:val="008629CD"/>
    <w:rsid w:val="00880FCC"/>
    <w:rsid w:val="00893D56"/>
    <w:rsid w:val="00894435"/>
    <w:rsid w:val="00897F1B"/>
    <w:rsid w:val="008A3513"/>
    <w:rsid w:val="008A35D2"/>
    <w:rsid w:val="008A62DD"/>
    <w:rsid w:val="008B1135"/>
    <w:rsid w:val="008B2B6D"/>
    <w:rsid w:val="008B3EE8"/>
    <w:rsid w:val="008B5815"/>
    <w:rsid w:val="008C4E68"/>
    <w:rsid w:val="008D2020"/>
    <w:rsid w:val="008E11DF"/>
    <w:rsid w:val="008E40A5"/>
    <w:rsid w:val="008E4E76"/>
    <w:rsid w:val="008E6A35"/>
    <w:rsid w:val="008F2A7B"/>
    <w:rsid w:val="008F2A7E"/>
    <w:rsid w:val="008F2D6E"/>
    <w:rsid w:val="008F4FB6"/>
    <w:rsid w:val="008F5A98"/>
    <w:rsid w:val="00903260"/>
    <w:rsid w:val="00905AA4"/>
    <w:rsid w:val="00922BD0"/>
    <w:rsid w:val="009243AF"/>
    <w:rsid w:val="00930DF9"/>
    <w:rsid w:val="00932C16"/>
    <w:rsid w:val="00936C9B"/>
    <w:rsid w:val="009405D8"/>
    <w:rsid w:val="00952394"/>
    <w:rsid w:val="00953EF4"/>
    <w:rsid w:val="0097015C"/>
    <w:rsid w:val="009706C8"/>
    <w:rsid w:val="009807CC"/>
    <w:rsid w:val="00981581"/>
    <w:rsid w:val="00981649"/>
    <w:rsid w:val="009828BF"/>
    <w:rsid w:val="009854A8"/>
    <w:rsid w:val="009866FB"/>
    <w:rsid w:val="009914C1"/>
    <w:rsid w:val="00994E3B"/>
    <w:rsid w:val="00994EF6"/>
    <w:rsid w:val="009960A7"/>
    <w:rsid w:val="009A2169"/>
    <w:rsid w:val="009A7E40"/>
    <w:rsid w:val="009A7F97"/>
    <w:rsid w:val="009B1462"/>
    <w:rsid w:val="009B30B8"/>
    <w:rsid w:val="009B57F3"/>
    <w:rsid w:val="009C1C71"/>
    <w:rsid w:val="009C5322"/>
    <w:rsid w:val="009D1DBC"/>
    <w:rsid w:val="009D2EF2"/>
    <w:rsid w:val="009D3E3A"/>
    <w:rsid w:val="009D4962"/>
    <w:rsid w:val="009D6792"/>
    <w:rsid w:val="009D7233"/>
    <w:rsid w:val="009E3E3E"/>
    <w:rsid w:val="009E4B3D"/>
    <w:rsid w:val="009E5222"/>
    <w:rsid w:val="00A01012"/>
    <w:rsid w:val="00A01C4A"/>
    <w:rsid w:val="00A040C6"/>
    <w:rsid w:val="00A16CF8"/>
    <w:rsid w:val="00A33EC5"/>
    <w:rsid w:val="00A417D5"/>
    <w:rsid w:val="00A422E0"/>
    <w:rsid w:val="00A53171"/>
    <w:rsid w:val="00A543EF"/>
    <w:rsid w:val="00A5441C"/>
    <w:rsid w:val="00A55F0C"/>
    <w:rsid w:val="00A60178"/>
    <w:rsid w:val="00A73D67"/>
    <w:rsid w:val="00A766FE"/>
    <w:rsid w:val="00A84207"/>
    <w:rsid w:val="00A84A85"/>
    <w:rsid w:val="00A966CB"/>
    <w:rsid w:val="00AA4812"/>
    <w:rsid w:val="00AA5E0E"/>
    <w:rsid w:val="00AB0B16"/>
    <w:rsid w:val="00AB4ED3"/>
    <w:rsid w:val="00AD04F5"/>
    <w:rsid w:val="00AD0ABF"/>
    <w:rsid w:val="00AD21A3"/>
    <w:rsid w:val="00AE46E6"/>
    <w:rsid w:val="00AE709A"/>
    <w:rsid w:val="00AF64F7"/>
    <w:rsid w:val="00B00E07"/>
    <w:rsid w:val="00B01B01"/>
    <w:rsid w:val="00B022F9"/>
    <w:rsid w:val="00B02F47"/>
    <w:rsid w:val="00B0412D"/>
    <w:rsid w:val="00B13A9B"/>
    <w:rsid w:val="00B21627"/>
    <w:rsid w:val="00B26915"/>
    <w:rsid w:val="00B334E5"/>
    <w:rsid w:val="00B47B19"/>
    <w:rsid w:val="00B502E9"/>
    <w:rsid w:val="00B545F4"/>
    <w:rsid w:val="00B54924"/>
    <w:rsid w:val="00B65690"/>
    <w:rsid w:val="00B7350D"/>
    <w:rsid w:val="00B74BE9"/>
    <w:rsid w:val="00B7677C"/>
    <w:rsid w:val="00B80D3C"/>
    <w:rsid w:val="00B86145"/>
    <w:rsid w:val="00B90564"/>
    <w:rsid w:val="00B931FC"/>
    <w:rsid w:val="00B9739E"/>
    <w:rsid w:val="00BA0639"/>
    <w:rsid w:val="00BA06DC"/>
    <w:rsid w:val="00BA1106"/>
    <w:rsid w:val="00BA5BBE"/>
    <w:rsid w:val="00BA7C19"/>
    <w:rsid w:val="00BB40D9"/>
    <w:rsid w:val="00BC243A"/>
    <w:rsid w:val="00BC56D7"/>
    <w:rsid w:val="00BC5B42"/>
    <w:rsid w:val="00BC7535"/>
    <w:rsid w:val="00BD1A5C"/>
    <w:rsid w:val="00BD3438"/>
    <w:rsid w:val="00BD58DF"/>
    <w:rsid w:val="00BE7145"/>
    <w:rsid w:val="00BF362F"/>
    <w:rsid w:val="00BF3934"/>
    <w:rsid w:val="00C028DC"/>
    <w:rsid w:val="00C040C7"/>
    <w:rsid w:val="00C2154C"/>
    <w:rsid w:val="00C23DE6"/>
    <w:rsid w:val="00C42BAF"/>
    <w:rsid w:val="00C56046"/>
    <w:rsid w:val="00C64B14"/>
    <w:rsid w:val="00C75DB5"/>
    <w:rsid w:val="00C77DDD"/>
    <w:rsid w:val="00C77E28"/>
    <w:rsid w:val="00C84244"/>
    <w:rsid w:val="00C975B6"/>
    <w:rsid w:val="00CA09BE"/>
    <w:rsid w:val="00CA1FE2"/>
    <w:rsid w:val="00CA2372"/>
    <w:rsid w:val="00CA70E9"/>
    <w:rsid w:val="00CB6E14"/>
    <w:rsid w:val="00CC1234"/>
    <w:rsid w:val="00CC1A64"/>
    <w:rsid w:val="00CC1DFE"/>
    <w:rsid w:val="00CD35E5"/>
    <w:rsid w:val="00CE3409"/>
    <w:rsid w:val="00CE39A6"/>
    <w:rsid w:val="00CF2DAA"/>
    <w:rsid w:val="00CF5C81"/>
    <w:rsid w:val="00D02119"/>
    <w:rsid w:val="00D022B3"/>
    <w:rsid w:val="00D04DCD"/>
    <w:rsid w:val="00D05442"/>
    <w:rsid w:val="00D10BC7"/>
    <w:rsid w:val="00D10D22"/>
    <w:rsid w:val="00D148EA"/>
    <w:rsid w:val="00D17A4A"/>
    <w:rsid w:val="00D230C7"/>
    <w:rsid w:val="00D24475"/>
    <w:rsid w:val="00D34D5C"/>
    <w:rsid w:val="00D41D8B"/>
    <w:rsid w:val="00D41F92"/>
    <w:rsid w:val="00D43307"/>
    <w:rsid w:val="00D43933"/>
    <w:rsid w:val="00D46041"/>
    <w:rsid w:val="00D472A0"/>
    <w:rsid w:val="00D547F2"/>
    <w:rsid w:val="00D70C9C"/>
    <w:rsid w:val="00D73F09"/>
    <w:rsid w:val="00D82FB7"/>
    <w:rsid w:val="00D87783"/>
    <w:rsid w:val="00D90D6F"/>
    <w:rsid w:val="00D91757"/>
    <w:rsid w:val="00DA784B"/>
    <w:rsid w:val="00DB49B7"/>
    <w:rsid w:val="00DC2503"/>
    <w:rsid w:val="00DD4F39"/>
    <w:rsid w:val="00DD7D49"/>
    <w:rsid w:val="00DE2A34"/>
    <w:rsid w:val="00DE35D1"/>
    <w:rsid w:val="00DE3727"/>
    <w:rsid w:val="00DE59C0"/>
    <w:rsid w:val="00DF16BE"/>
    <w:rsid w:val="00E03A95"/>
    <w:rsid w:val="00E10CD5"/>
    <w:rsid w:val="00E162AB"/>
    <w:rsid w:val="00E235B7"/>
    <w:rsid w:val="00E43495"/>
    <w:rsid w:val="00E50683"/>
    <w:rsid w:val="00E51CF3"/>
    <w:rsid w:val="00E55B0C"/>
    <w:rsid w:val="00E6157A"/>
    <w:rsid w:val="00E64E65"/>
    <w:rsid w:val="00E678CF"/>
    <w:rsid w:val="00E67DA6"/>
    <w:rsid w:val="00E73AD7"/>
    <w:rsid w:val="00E85DF5"/>
    <w:rsid w:val="00E9056C"/>
    <w:rsid w:val="00E91523"/>
    <w:rsid w:val="00EA6B5B"/>
    <w:rsid w:val="00EA7ACD"/>
    <w:rsid w:val="00EB19A0"/>
    <w:rsid w:val="00EB51FF"/>
    <w:rsid w:val="00EC1255"/>
    <w:rsid w:val="00EC3F73"/>
    <w:rsid w:val="00EC6C3E"/>
    <w:rsid w:val="00ED0107"/>
    <w:rsid w:val="00ED45AC"/>
    <w:rsid w:val="00EE22FF"/>
    <w:rsid w:val="00EE4DD7"/>
    <w:rsid w:val="00EE4FE6"/>
    <w:rsid w:val="00EF040E"/>
    <w:rsid w:val="00EF18FE"/>
    <w:rsid w:val="00F01B40"/>
    <w:rsid w:val="00F05B95"/>
    <w:rsid w:val="00F10C46"/>
    <w:rsid w:val="00F14042"/>
    <w:rsid w:val="00F205F0"/>
    <w:rsid w:val="00F2127D"/>
    <w:rsid w:val="00F325BB"/>
    <w:rsid w:val="00F34F76"/>
    <w:rsid w:val="00F37F12"/>
    <w:rsid w:val="00F45693"/>
    <w:rsid w:val="00F47B8C"/>
    <w:rsid w:val="00F50121"/>
    <w:rsid w:val="00F526F1"/>
    <w:rsid w:val="00F65D5E"/>
    <w:rsid w:val="00F71AA8"/>
    <w:rsid w:val="00F7428B"/>
    <w:rsid w:val="00F815ED"/>
    <w:rsid w:val="00F834A5"/>
    <w:rsid w:val="00F84418"/>
    <w:rsid w:val="00F8686E"/>
    <w:rsid w:val="00FA2B7E"/>
    <w:rsid w:val="00FA51F6"/>
    <w:rsid w:val="00FC0265"/>
    <w:rsid w:val="00FC0709"/>
    <w:rsid w:val="00FD075D"/>
    <w:rsid w:val="00FD4623"/>
    <w:rsid w:val="00FD6921"/>
    <w:rsid w:val="00FD6E7B"/>
    <w:rsid w:val="00FE4C1C"/>
    <w:rsid w:val="00FF0F90"/>
    <w:rsid w:val="00FF2B64"/>
    <w:rsid w:val="00FF3571"/>
    <w:rsid w:val="00FF42D9"/>
    <w:rsid w:val="00FF48C8"/>
    <w:rsid w:val="00FF7A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5FE5"/>
  <w15:chartTrackingRefBased/>
  <w15:docId w15:val="{B309EBC4-FDC2-4521-AB41-8E01A5FF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2"/>
    <w:pPr>
      <w:spacing w:after="0"/>
      <w:jc w:val="both"/>
    </w:pPr>
    <w:rPr>
      <w:rFonts w:ascii="Times New Roman" w:hAnsi="Times New Roman"/>
    </w:rPr>
  </w:style>
  <w:style w:type="paragraph" w:styleId="Ttulo1">
    <w:name w:val="heading 1"/>
    <w:basedOn w:val="Normal"/>
    <w:next w:val="Normal"/>
    <w:link w:val="Ttulo1Car"/>
    <w:uiPriority w:val="9"/>
    <w:qFormat/>
    <w:rsid w:val="001F02E1"/>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1F02E1"/>
    <w:pPr>
      <w:keepNext/>
      <w:keepLines/>
      <w:spacing w:before="160" w:after="80"/>
      <w:outlineLvl w:val="1"/>
    </w:pPr>
    <w:rPr>
      <w:rFonts w:eastAsiaTheme="majorEastAsia" w:cstheme="majorBidi"/>
      <w:b/>
      <w:color w:val="000000" w:themeColor="text1"/>
      <w:sz w:val="28"/>
      <w:szCs w:val="32"/>
    </w:rPr>
  </w:style>
  <w:style w:type="paragraph" w:styleId="Ttulo3">
    <w:name w:val="heading 3"/>
    <w:basedOn w:val="Normal"/>
    <w:next w:val="Normal"/>
    <w:link w:val="Ttulo3Car"/>
    <w:uiPriority w:val="9"/>
    <w:unhideWhenUsed/>
    <w:qFormat/>
    <w:rsid w:val="00E91523"/>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D02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1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1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1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1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02E1"/>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1F02E1"/>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rsid w:val="00E91523"/>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semiHidden/>
    <w:rsid w:val="00D02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119"/>
    <w:rPr>
      <w:rFonts w:eastAsiaTheme="majorEastAsia" w:cstheme="majorBidi"/>
      <w:color w:val="272727" w:themeColor="text1" w:themeTint="D8"/>
    </w:rPr>
  </w:style>
  <w:style w:type="paragraph" w:styleId="Ttulo">
    <w:name w:val="Title"/>
    <w:basedOn w:val="Normal"/>
    <w:next w:val="Normal"/>
    <w:link w:val="TtuloCar"/>
    <w:uiPriority w:val="10"/>
    <w:qFormat/>
    <w:rsid w:val="00D02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119"/>
    <w:pPr>
      <w:spacing w:before="160"/>
      <w:jc w:val="center"/>
    </w:pPr>
    <w:rPr>
      <w:i/>
      <w:iCs/>
      <w:color w:val="404040" w:themeColor="text1" w:themeTint="BF"/>
    </w:rPr>
  </w:style>
  <w:style w:type="character" w:customStyle="1" w:styleId="CitaCar">
    <w:name w:val="Cita Car"/>
    <w:basedOn w:val="Fuentedeprrafopredeter"/>
    <w:link w:val="Cita"/>
    <w:uiPriority w:val="29"/>
    <w:rsid w:val="00D02119"/>
    <w:rPr>
      <w:i/>
      <w:iCs/>
      <w:color w:val="404040" w:themeColor="text1" w:themeTint="BF"/>
    </w:rPr>
  </w:style>
  <w:style w:type="paragraph" w:styleId="Prrafodelista">
    <w:name w:val="List Paragraph"/>
    <w:basedOn w:val="Normal"/>
    <w:uiPriority w:val="34"/>
    <w:qFormat/>
    <w:rsid w:val="00D02119"/>
    <w:pPr>
      <w:ind w:left="720"/>
      <w:contextualSpacing/>
    </w:pPr>
  </w:style>
  <w:style w:type="character" w:styleId="nfasisintenso">
    <w:name w:val="Intense Emphasis"/>
    <w:basedOn w:val="Fuentedeprrafopredeter"/>
    <w:uiPriority w:val="21"/>
    <w:qFormat/>
    <w:rsid w:val="00D02119"/>
    <w:rPr>
      <w:i/>
      <w:iCs/>
      <w:color w:val="0F4761" w:themeColor="accent1" w:themeShade="BF"/>
    </w:rPr>
  </w:style>
  <w:style w:type="paragraph" w:styleId="Citadestacada">
    <w:name w:val="Intense Quote"/>
    <w:basedOn w:val="Normal"/>
    <w:next w:val="Normal"/>
    <w:link w:val="CitadestacadaCar"/>
    <w:uiPriority w:val="30"/>
    <w:qFormat/>
    <w:rsid w:val="00D02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119"/>
    <w:rPr>
      <w:i/>
      <w:iCs/>
      <w:color w:val="0F4761" w:themeColor="accent1" w:themeShade="BF"/>
    </w:rPr>
  </w:style>
  <w:style w:type="character" w:styleId="Referenciaintensa">
    <w:name w:val="Intense Reference"/>
    <w:basedOn w:val="Fuentedeprrafopredeter"/>
    <w:uiPriority w:val="32"/>
    <w:qFormat/>
    <w:rsid w:val="00D02119"/>
    <w:rPr>
      <w:b/>
      <w:bCs/>
      <w:smallCaps/>
      <w:color w:val="0F4761" w:themeColor="accent1" w:themeShade="BF"/>
      <w:spacing w:val="5"/>
    </w:rPr>
  </w:style>
  <w:style w:type="paragraph" w:styleId="Textoindependiente">
    <w:name w:val="Body Text"/>
    <w:basedOn w:val="Normal"/>
    <w:link w:val="TextoindependienteCar"/>
    <w:qFormat/>
    <w:rsid w:val="00894435"/>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894435"/>
    <w:rPr>
      <w:kern w:val="0"/>
      <w:lang w:val="en-US"/>
      <w14:ligatures w14:val="none"/>
    </w:rPr>
  </w:style>
  <w:style w:type="paragraph" w:customStyle="1" w:styleId="FirstParagraph">
    <w:name w:val="First Paragraph"/>
    <w:basedOn w:val="Textoindependiente"/>
    <w:next w:val="Textoindependiente"/>
    <w:qFormat/>
    <w:rsid w:val="00894435"/>
  </w:style>
  <w:style w:type="paragraph" w:customStyle="1" w:styleId="Compact">
    <w:name w:val="Compact"/>
    <w:basedOn w:val="Textoindependiente"/>
    <w:qFormat/>
    <w:rsid w:val="00894435"/>
    <w:pPr>
      <w:spacing w:before="36" w:after="36"/>
    </w:pPr>
  </w:style>
  <w:style w:type="character" w:customStyle="1" w:styleId="VerbatimChar">
    <w:name w:val="Verbatim Char"/>
    <w:basedOn w:val="Fuentedeprrafopredeter"/>
    <w:link w:val="SourceCode"/>
    <w:rsid w:val="00894435"/>
    <w:rPr>
      <w:rFonts w:ascii="Consolas" w:hAnsi="Consolas"/>
      <w:sz w:val="22"/>
    </w:rPr>
  </w:style>
  <w:style w:type="paragraph" w:customStyle="1" w:styleId="SourceCode">
    <w:name w:val="Source Code"/>
    <w:basedOn w:val="Normal"/>
    <w:link w:val="VerbatimChar"/>
    <w:rsid w:val="00894435"/>
    <w:pPr>
      <w:wordWrap w:val="0"/>
      <w:spacing w:after="200" w:line="240" w:lineRule="auto"/>
    </w:pPr>
    <w:rPr>
      <w:rFonts w:ascii="Consolas" w:hAnsi="Consolas"/>
      <w:sz w:val="22"/>
    </w:rPr>
  </w:style>
  <w:style w:type="paragraph" w:styleId="TtuloTDC">
    <w:name w:val="TOC Heading"/>
    <w:basedOn w:val="Ttulo1"/>
    <w:next w:val="Normal"/>
    <w:uiPriority w:val="39"/>
    <w:unhideWhenUsed/>
    <w:qFormat/>
    <w:rsid w:val="00DF16BE"/>
    <w:pPr>
      <w:spacing w:before="240" w:after="0" w:line="259" w:lineRule="auto"/>
      <w:outlineLvl w:val="9"/>
    </w:pPr>
    <w:rPr>
      <w:kern w:val="0"/>
      <w:szCs w:val="32"/>
      <w:lang w:eastAsia="es-AR"/>
      <w14:ligatures w14:val="none"/>
    </w:rPr>
  </w:style>
  <w:style w:type="paragraph" w:styleId="TDC1">
    <w:name w:val="toc 1"/>
    <w:basedOn w:val="Normal"/>
    <w:next w:val="Normal"/>
    <w:autoRedefine/>
    <w:uiPriority w:val="39"/>
    <w:unhideWhenUsed/>
    <w:rsid w:val="00DF16BE"/>
    <w:pPr>
      <w:spacing w:after="100"/>
    </w:pPr>
  </w:style>
  <w:style w:type="paragraph" w:styleId="TDC2">
    <w:name w:val="toc 2"/>
    <w:basedOn w:val="Normal"/>
    <w:next w:val="Normal"/>
    <w:autoRedefine/>
    <w:uiPriority w:val="39"/>
    <w:unhideWhenUsed/>
    <w:rsid w:val="00DF16BE"/>
    <w:pPr>
      <w:spacing w:after="100"/>
      <w:ind w:left="240"/>
    </w:pPr>
  </w:style>
  <w:style w:type="paragraph" w:styleId="TDC3">
    <w:name w:val="toc 3"/>
    <w:basedOn w:val="Normal"/>
    <w:next w:val="Normal"/>
    <w:autoRedefine/>
    <w:uiPriority w:val="39"/>
    <w:unhideWhenUsed/>
    <w:rsid w:val="00DF16BE"/>
    <w:pPr>
      <w:spacing w:after="100"/>
      <w:ind w:left="480"/>
    </w:pPr>
  </w:style>
  <w:style w:type="character" w:styleId="Hipervnculo">
    <w:name w:val="Hyperlink"/>
    <w:basedOn w:val="Fuentedeprrafopredeter"/>
    <w:uiPriority w:val="99"/>
    <w:unhideWhenUsed/>
    <w:rsid w:val="00DF16BE"/>
    <w:rPr>
      <w:color w:val="467886" w:themeColor="hyperlink"/>
      <w:u w:val="single"/>
    </w:rPr>
  </w:style>
  <w:style w:type="paragraph" w:styleId="Encabezado">
    <w:name w:val="header"/>
    <w:basedOn w:val="Normal"/>
    <w:link w:val="EncabezadoCar"/>
    <w:uiPriority w:val="99"/>
    <w:unhideWhenUsed/>
    <w:rsid w:val="0025361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5361E"/>
  </w:style>
  <w:style w:type="paragraph" w:styleId="Piedepgina">
    <w:name w:val="footer"/>
    <w:basedOn w:val="Normal"/>
    <w:link w:val="PiedepginaCar"/>
    <w:uiPriority w:val="99"/>
    <w:unhideWhenUsed/>
    <w:rsid w:val="0025361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5361E"/>
  </w:style>
  <w:style w:type="paragraph" w:styleId="NormalWeb">
    <w:name w:val="Normal (Web)"/>
    <w:basedOn w:val="Normal"/>
    <w:uiPriority w:val="99"/>
    <w:semiHidden/>
    <w:unhideWhenUsed/>
    <w:rsid w:val="00A422E0"/>
    <w:rPr>
      <w:rFonts w:cs="Times New Roman"/>
    </w:rPr>
  </w:style>
  <w:style w:type="paragraph" w:styleId="TDC4">
    <w:name w:val="toc 4"/>
    <w:basedOn w:val="Normal"/>
    <w:next w:val="Normal"/>
    <w:autoRedefine/>
    <w:uiPriority w:val="39"/>
    <w:unhideWhenUsed/>
    <w:rsid w:val="008512FD"/>
    <w:pPr>
      <w:spacing w:after="100"/>
      <w:ind w:left="720"/>
      <w:jc w:val="left"/>
    </w:pPr>
    <w:rPr>
      <w:rFonts w:asciiTheme="minorHAnsi" w:eastAsiaTheme="minorEastAsia" w:hAnsiTheme="minorHAnsi"/>
      <w:lang w:eastAsia="es-AR"/>
    </w:rPr>
  </w:style>
  <w:style w:type="paragraph" w:styleId="TDC5">
    <w:name w:val="toc 5"/>
    <w:basedOn w:val="Normal"/>
    <w:next w:val="Normal"/>
    <w:autoRedefine/>
    <w:uiPriority w:val="39"/>
    <w:unhideWhenUsed/>
    <w:rsid w:val="008512FD"/>
    <w:pPr>
      <w:spacing w:after="100"/>
      <w:ind w:left="960"/>
      <w:jc w:val="left"/>
    </w:pPr>
    <w:rPr>
      <w:rFonts w:asciiTheme="minorHAnsi" w:eastAsiaTheme="minorEastAsia" w:hAnsiTheme="minorHAnsi"/>
      <w:lang w:eastAsia="es-AR"/>
    </w:rPr>
  </w:style>
  <w:style w:type="paragraph" w:styleId="TDC6">
    <w:name w:val="toc 6"/>
    <w:basedOn w:val="Normal"/>
    <w:next w:val="Normal"/>
    <w:autoRedefine/>
    <w:uiPriority w:val="39"/>
    <w:unhideWhenUsed/>
    <w:rsid w:val="008512FD"/>
    <w:pPr>
      <w:spacing w:after="100"/>
      <w:ind w:left="1200"/>
      <w:jc w:val="left"/>
    </w:pPr>
    <w:rPr>
      <w:rFonts w:asciiTheme="minorHAnsi" w:eastAsiaTheme="minorEastAsia" w:hAnsiTheme="minorHAnsi"/>
      <w:lang w:eastAsia="es-AR"/>
    </w:rPr>
  </w:style>
  <w:style w:type="paragraph" w:styleId="TDC7">
    <w:name w:val="toc 7"/>
    <w:basedOn w:val="Normal"/>
    <w:next w:val="Normal"/>
    <w:autoRedefine/>
    <w:uiPriority w:val="39"/>
    <w:unhideWhenUsed/>
    <w:rsid w:val="008512FD"/>
    <w:pPr>
      <w:spacing w:after="100"/>
      <w:ind w:left="1440"/>
      <w:jc w:val="left"/>
    </w:pPr>
    <w:rPr>
      <w:rFonts w:asciiTheme="minorHAnsi" w:eastAsiaTheme="minorEastAsia" w:hAnsiTheme="minorHAnsi"/>
      <w:lang w:eastAsia="es-AR"/>
    </w:rPr>
  </w:style>
  <w:style w:type="paragraph" w:styleId="TDC8">
    <w:name w:val="toc 8"/>
    <w:basedOn w:val="Normal"/>
    <w:next w:val="Normal"/>
    <w:autoRedefine/>
    <w:uiPriority w:val="39"/>
    <w:unhideWhenUsed/>
    <w:rsid w:val="008512FD"/>
    <w:pPr>
      <w:spacing w:after="100"/>
      <w:ind w:left="1680"/>
      <w:jc w:val="left"/>
    </w:pPr>
    <w:rPr>
      <w:rFonts w:asciiTheme="minorHAnsi" w:eastAsiaTheme="minorEastAsia" w:hAnsiTheme="minorHAnsi"/>
      <w:lang w:eastAsia="es-AR"/>
    </w:rPr>
  </w:style>
  <w:style w:type="paragraph" w:styleId="TDC9">
    <w:name w:val="toc 9"/>
    <w:basedOn w:val="Normal"/>
    <w:next w:val="Normal"/>
    <w:autoRedefine/>
    <w:uiPriority w:val="39"/>
    <w:unhideWhenUsed/>
    <w:rsid w:val="008512FD"/>
    <w:pPr>
      <w:spacing w:after="100"/>
      <w:ind w:left="1920"/>
      <w:jc w:val="left"/>
    </w:pPr>
    <w:rPr>
      <w:rFonts w:asciiTheme="minorHAnsi" w:eastAsiaTheme="minorEastAsia" w:hAnsiTheme="minorHAnsi"/>
      <w:lang w:eastAsia="es-AR"/>
    </w:rPr>
  </w:style>
  <w:style w:type="character" w:styleId="Mencinsinresolver">
    <w:name w:val="Unresolved Mention"/>
    <w:basedOn w:val="Fuentedeprrafopredeter"/>
    <w:uiPriority w:val="99"/>
    <w:semiHidden/>
    <w:unhideWhenUsed/>
    <w:rsid w:val="008512FD"/>
    <w:rPr>
      <w:color w:val="605E5C"/>
      <w:shd w:val="clear" w:color="auto" w:fill="E1DFDD"/>
    </w:rPr>
  </w:style>
  <w:style w:type="paragraph" w:styleId="Textonotaalfinal">
    <w:name w:val="endnote text"/>
    <w:basedOn w:val="Normal"/>
    <w:link w:val="TextonotaalfinalCar"/>
    <w:uiPriority w:val="99"/>
    <w:semiHidden/>
    <w:unhideWhenUsed/>
    <w:rsid w:val="00E10CD5"/>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E10CD5"/>
    <w:rPr>
      <w:rFonts w:ascii="Times New Roman" w:hAnsi="Times New Roman"/>
      <w:sz w:val="20"/>
      <w:szCs w:val="20"/>
    </w:rPr>
  </w:style>
  <w:style w:type="character" w:styleId="Refdenotaalfinal">
    <w:name w:val="endnote reference"/>
    <w:basedOn w:val="Fuentedeprrafopredeter"/>
    <w:uiPriority w:val="99"/>
    <w:semiHidden/>
    <w:unhideWhenUsed/>
    <w:rsid w:val="00E10CD5"/>
    <w:rPr>
      <w:vertAlign w:val="superscript"/>
    </w:rPr>
  </w:style>
  <w:style w:type="paragraph" w:styleId="Textonotapie">
    <w:name w:val="footnote text"/>
    <w:basedOn w:val="Normal"/>
    <w:link w:val="TextonotapieCar"/>
    <w:uiPriority w:val="99"/>
    <w:semiHidden/>
    <w:unhideWhenUsed/>
    <w:rsid w:val="00E10CD5"/>
    <w:pPr>
      <w:spacing w:line="240" w:lineRule="auto"/>
    </w:pPr>
    <w:rPr>
      <w:sz w:val="20"/>
      <w:szCs w:val="20"/>
    </w:rPr>
  </w:style>
  <w:style w:type="character" w:customStyle="1" w:styleId="TextonotapieCar">
    <w:name w:val="Texto nota pie Car"/>
    <w:basedOn w:val="Fuentedeprrafopredeter"/>
    <w:link w:val="Textonotapie"/>
    <w:uiPriority w:val="99"/>
    <w:semiHidden/>
    <w:rsid w:val="00E10CD5"/>
    <w:rPr>
      <w:rFonts w:ascii="Times New Roman" w:hAnsi="Times New Roman"/>
      <w:sz w:val="20"/>
      <w:szCs w:val="20"/>
    </w:rPr>
  </w:style>
  <w:style w:type="character" w:styleId="Refdenotaalpie">
    <w:name w:val="footnote reference"/>
    <w:basedOn w:val="Fuentedeprrafopredeter"/>
    <w:uiPriority w:val="99"/>
    <w:semiHidden/>
    <w:unhideWhenUsed/>
    <w:rsid w:val="00E10CD5"/>
    <w:rPr>
      <w:vertAlign w:val="superscript"/>
    </w:rPr>
  </w:style>
  <w:style w:type="character" w:styleId="Textodelmarcadordeposicin">
    <w:name w:val="Placeholder Text"/>
    <w:basedOn w:val="Fuentedeprrafopredeter"/>
    <w:uiPriority w:val="99"/>
    <w:semiHidden/>
    <w:rsid w:val="006A03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3F212-8B8C-4D26-9C88-1389D7BF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16880</TotalTime>
  <Pages>57</Pages>
  <Words>18901</Words>
  <Characters>103959</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Leiva</dc:creator>
  <cp:keywords/>
  <dc:description/>
  <cp:lastModifiedBy>Matias Leiva</cp:lastModifiedBy>
  <cp:revision>779</cp:revision>
  <dcterms:created xsi:type="dcterms:W3CDTF">2026-01-07T15:55:00Z</dcterms:created>
  <dcterms:modified xsi:type="dcterms:W3CDTF">2026-03-12T13:44:00Z</dcterms:modified>
</cp:coreProperties>
</file>