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E5BFF"/>
          <w:sz w:val="44"/>
        </w:rPr>
        <w:t>TradePilot AI</w:t>
      </w:r>
    </w:p>
    <w:p>
      <w:pPr>
        <w:jc w:val="center"/>
      </w:pPr>
      <w:r>
        <w:rPr>
          <w:color w:val="1A2333"/>
          <w:sz w:val="30"/>
        </w:rPr>
        <w:t>贸易数据分析报告</w:t>
      </w:r>
    </w:p>
    <w:p>
      <w:pPr>
        <w:jc w:val="center"/>
      </w:pPr>
      <w:r>
        <w:rPr>
          <w:color w:val="64748B"/>
          <w:sz w:val="20"/>
        </w:rPr>
        <w:t>{{ meta_line }}</w:t>
      </w:r>
    </w:p>
    <w:p/>
    <w:p/>
    <w:p>
      <w:r>
        <w:rPr>
          <w:color w:val="94A3B8"/>
          <w:sz w:val="16"/>
        </w:rPr>
        <w:t>数据来源：UN Comtrade 公共 API ｜ 贸易数据为官方汇总，AI 分析由大模型生成，仅供参考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36" w:lineRule="auto"/>
    </w:pPr>
    <w:rPr>
      <w:rFonts w:ascii="微软雅黑" w:hAnsi="微软雅黑" w:eastAsia="微软雅黑"/>
      <w:color w:val="2A2A2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2E5BF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1A2333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