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5BFF"/>
          <w:sz w:val="44"/>
        </w:rPr>
        <w:t>TradePilot AI</w:t>
      </w:r>
    </w:p>
    <w:p>
      <w:pPr>
        <w:jc w:val="center"/>
      </w:pPr>
      <w:r>
        <w:rPr>
          <w:color w:val="1A2333"/>
          <w:sz w:val="30"/>
        </w:rPr>
        <w:t>贸易数据分析报告</w:t>
      </w:r>
    </w:p>
    <w:p>
      <w:pPr>
        <w:jc w:val="center"/>
      </w:pPr>
      <w:r>
        <w:rPr>
          <w:color w:val="64748B"/>
          <w:sz w:val="20"/>
        </w:rPr>
        <w:t>{{ meta_line }}</w:t>
      </w:r>
    </w:p>
    <w:p/>
    <w:p>
      <w:pPr>
        <w:pStyle w:val="Heading1"/>
      </w:pPr>
      <w:r>
        <w:t>一、出口趋势</w:t>
      </w:r>
    </w:p>
    <w:p>
      <w:r>
        <w:t>{{ trend_image }}</w:t>
      </w:r>
    </w:p>
    <w:p>
      <w:pPr>
        <w:pStyle w:val="Heading1"/>
      </w:pPr>
      <w:r>
        <w:t>二、数据总览</w:t>
      </w:r>
    </w:p>
    <w:p>
      <w:r>
        <w:t>{{ overview_table }}</w:t>
      </w:r>
    </w:p>
    <w:p>
      <w:pPr>
        <w:pStyle w:val="Heading1"/>
      </w:pPr>
      <w:r>
        <w:t>三、原始数据（UN Comtrade）</w:t>
      </w:r>
    </w:p>
    <w:p>
      <w:r>
        <w:t>{{ data_table }}</w:t>
      </w:r>
    </w:p>
    <w:p>
      <w:pPr>
        <w:pStyle w:val="Heading1"/>
      </w:pPr>
      <w:r>
        <w:t>四、AI 市场分析</w:t>
      </w:r>
    </w:p>
    <w:p>
      <w:r>
        <w:t>{{ analysis_text }}</w:t>
      </w:r>
    </w:p>
    <w:p/>
    <w:p>
      <w:r>
        <w:rPr>
          <w:color w:val="94A3B8"/>
          <w:sz w:val="16"/>
        </w:rPr>
        <w:t>数据来源：UN Comtrade 公共 API ｜ 贸易数据为官方汇总，AI 分析由大模型生成，仅供参考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微软雅黑" w:hAnsi="微软雅黑" w:eastAsia="微软雅黑"/>
      <w:color w:val="2A2A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2E5BF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2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