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72D7E" w14:textId="77777777" w:rsidR="003E7367" w:rsidRDefault="003E7367" w:rsidP="003E7367">
      <w:pPr>
        <w:rPr>
          <w:rFonts w:hint="eastAsia"/>
        </w:rPr>
      </w:pPr>
      <w:r>
        <w:rPr>
          <w:rFonts w:hint="eastAsia"/>
        </w:rPr>
        <w:t>恒达科技品牌印刷物料设计规范V2.1</w:t>
      </w:r>
    </w:p>
    <w:p w14:paraId="4D69070D" w14:textId="77777777" w:rsidR="003E7367" w:rsidRDefault="003E7367" w:rsidP="003E7367">
      <w:pPr>
        <w:rPr>
          <w:rFonts w:hint="eastAsia"/>
        </w:rPr>
      </w:pPr>
      <w:r>
        <w:rPr>
          <w:rFonts w:hint="eastAsia"/>
        </w:rPr>
        <w:t>内容：</w:t>
      </w:r>
    </w:p>
    <w:p w14:paraId="2A21B619" w14:textId="5140541D" w:rsidR="00734B62" w:rsidRDefault="003E7367" w:rsidP="003E7367">
      <w:pPr>
        <w:rPr>
          <w:rFonts w:hint="eastAsia"/>
        </w:rPr>
      </w:pPr>
      <w:r>
        <w:rPr>
          <w:rFonts w:hint="eastAsia"/>
        </w:rPr>
        <w:t>本规范明确了恒达科技在打印广告、宣传册、展架等印刷物料中的品牌视觉标准，包括LOGO使用规范、色彩体系、字体选择与版面布局要求。所有对外印刷品需严格遵循此规范，确保品牌形象统一与专业。</w:t>
      </w:r>
    </w:p>
    <w:sectPr w:rsidR="00734B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7367"/>
    <w:rsid w:val="003E7367"/>
    <w:rsid w:val="006867C4"/>
    <w:rsid w:val="00734B62"/>
    <w:rsid w:val="00A3538B"/>
    <w:rsid w:val="00CC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A6AF2"/>
  <w15:chartTrackingRefBased/>
  <w15:docId w15:val="{BB82CE7F-E958-4C8F-9CEF-7C5070E5D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73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7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73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73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73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736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736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736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736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73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7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7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73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736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E73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73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73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73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73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7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73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7367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7367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3E7367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3E73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73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7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73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7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琳绞 缪</dc:creator>
  <cp:keywords/>
  <dc:description/>
  <cp:lastModifiedBy>琳绞 缪</cp:lastModifiedBy>
  <cp:revision>1</cp:revision>
  <dcterms:created xsi:type="dcterms:W3CDTF">2025-11-20T06:58:00Z</dcterms:created>
  <dcterms:modified xsi:type="dcterms:W3CDTF">2025-11-20T06:58:00Z</dcterms:modified>
</cp:coreProperties>
</file>