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color w:val="e03e2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color w:val="e03e2d"/>
          <w:sz w:val="28"/>
          <w:szCs w:val="28"/>
        </w:rPr>
        <w:drawing>
          <wp:inline distB="114300" distT="114300" distL="114300" distR="114300">
            <wp:extent cx="3098486" cy="102901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486" cy="1029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color w:val="e03e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color w:val="e03e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i w:val="1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40"/>
          <w:szCs w:val="40"/>
          <w:rtl w:val="0"/>
        </w:rPr>
        <w:t xml:space="preserve">Trabajo Final: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i w:val="1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40"/>
          <w:szCs w:val="40"/>
          <w:rtl w:val="0"/>
        </w:rPr>
        <w:t xml:space="preserve">“Datos masivos y minería de datos”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color w:val="e03e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color w:val="e03e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color w:val="e03e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left="10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David Diaz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left="10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10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Cristian Hinojosa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10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Pablo Chaparro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Marzo 2023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Pregunta 1.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Explique con sus palabras cuáles son las principales diferencias y similitudes entre: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single"/>
          <w:shd w:fill="auto" w:val="clear"/>
          <w:vertAlign w:val="baseline"/>
          <w:rtl w:val="0"/>
        </w:rPr>
        <w:t xml:space="preserve">Una base de datos transaccional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Una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base de datos (BD)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transaccional guarda datos estructurados,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organizados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en tablas, filas y columnas, el princi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pal objetivo es asegurar la transacción dentro de una base relacional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Un ejemplo típico de este tipo de BDs es el registro de ventas de una empresa donde cada fila corresponde a una venta y que guarda todos los datos de la transacción en columnas distintas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single"/>
          <w:shd w:fill="auto" w:val="clear"/>
          <w:vertAlign w:val="baseline"/>
          <w:rtl w:val="0"/>
        </w:rPr>
        <w:t xml:space="preserve">Un Data Warehouse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Un Data Warehouse es una BD orientada a la lectura, tiene una estructura OLAP, es capaz de realizar procesamiento de datos y entrega información útil para el análisis.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Un ejemplo común de data warehouse es la generación de campañas de venta donde a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través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del procesamiento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y análisis de la información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se perfilan ciertos productos para un segmento determinado de clientes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single"/>
          <w:shd w:fill="auto" w:val="clear"/>
          <w:vertAlign w:val="baseline"/>
          <w:rtl w:val="0"/>
        </w:rPr>
        <w:t xml:space="preserve">Un Data Lake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Un Data Lake es un tipo de BD que tiene la capacidad de guardar (solo guardar) datos estructurados y no estructurados en grandes cantidades, de forma distribuida y a escala, sin aplicar algún tipo de transformación ni gobernanza,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además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, no asegura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las propiedades ACID sobre la informaci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ón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Un ejemplo claro de un Data Lake puede ser una red social que debe almacenar fotos, videos, comentarios (no editables), audios,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single"/>
          <w:shd w:fill="auto" w:val="clear"/>
          <w:vertAlign w:val="baseline"/>
          <w:rtl w:val="0"/>
        </w:rPr>
        <w:t xml:space="preserve">Un Lake House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Un Lake House es un sistema que combina las características de un Data Lake con los Data Warehouse, garantizando todas las propiedades ACID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gobernanza de los datos, este tipo de BDs también permite actualizar y eliminar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Los ejemplos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interesantes sobre el uso de Lake House están en el ámbito de la IA y ML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Tabla resumen sobre la comparación de las bases de datos:</w:t>
      </w:r>
    </w:p>
    <w:tbl>
      <w:tblPr>
        <w:tblStyle w:val="Table1"/>
        <w:tblW w:w="9600.0" w:type="dxa"/>
        <w:jc w:val="left"/>
        <w:tblInd w:w="75.0" w:type="dxa"/>
        <w:tblLayout w:type="fixed"/>
        <w:tblLook w:val="0400"/>
      </w:tblPr>
      <w:tblGrid>
        <w:gridCol w:w="3720"/>
        <w:gridCol w:w="1725"/>
        <w:gridCol w:w="1755"/>
        <w:gridCol w:w="1125"/>
        <w:gridCol w:w="1275"/>
        <w:tblGridChange w:id="0">
          <w:tblGrid>
            <w:gridCol w:w="3720"/>
            <w:gridCol w:w="1725"/>
            <w:gridCol w:w="1755"/>
            <w:gridCol w:w="1125"/>
            <w:gridCol w:w="12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BD transaccional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Ware House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Lake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4472c4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Lake House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Almacenar grandes </w:t>
            </w:r>
            <w:r w:rsidDel="00000000" w:rsidR="00000000" w:rsidRPr="00000000">
              <w:rPr>
                <w:rtl w:val="0"/>
              </w:rPr>
              <w:t xml:space="preserve">volúmenes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datos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Guardar datos estructurados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Guardar datos NO estructurados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Actualizar Datos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Eliminar Datos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Transformación de datos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8ea9db" w:space="0" w:sz="4" w:val="single"/>
              <w:left w:color="8ea9db" w:space="0" w:sz="4" w:val="single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Utilización de datos en </w:t>
            </w:r>
            <w:r w:rsidDel="00000000" w:rsidR="00000000" w:rsidRPr="00000000">
              <w:rPr>
                <w:rtl w:val="0"/>
              </w:rPr>
              <w:t xml:space="preserve">tiempo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real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8ea9db" w:space="0" w:sz="4" w:val="single"/>
              <w:right w:color="8ea9db" w:space="0" w:sz="4" w:val="single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Pregunta 2.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Explique con sus palabras cuales son los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drivers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 o causas que hacen necesario la utilización de “clústers de computadoras”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Uno de los principales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drivers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que hacen necesario la utilización de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Cluster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de computadoras es la necesidad de resolver tareas que requier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n mucha memoria, mucho poder de cómputo o procesar grandes cantidades de datos, los computadores normales por lo general tienen capacidades limitadas de cómputo y eso se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traduce en procesamiento secuencial generalmente. Por otro lado, al tener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muchas computadoras conectadas entre sí y gestionadas por algún tipo de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estas pueden ejecutar tareas masivas de forma distribuida o de forma paralela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Refiérase especialmente al uso de HPC (clústers intensivos en cómputo) vs al uso de clústers para Big Data (tipo Hadoop o Spark)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Los HPC son por lo general grandes computadores con mucha capacidad de cómputo, miles de CPU y miles de GPU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trabajando en equipo,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siendo capaces de procesar millones de operaciones (Tflop).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Los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HPC está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orientados a ejecutar tareas que requieren mucho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cómputo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con poca cantidad de datos. En cambio, Big Data, en oportunidades no requiere mucho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cómputo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, si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bien, necesita procesar grandes cantidades de datos y es aquí donde se producen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las principales diferencias ya que el componente tecnol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ógico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de ambas BDs llamado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JOB Schedulers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es distinto dependiendo que se quiera ejecutar, por lo general HPC utiliza Slurm y Big Data (Hadoop para este ejemplo) utiliza Yarn, ambas son opensource y corren sobre Linux, HPC soporta todos los lenguajes de programación y Yarn solo JAVA y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En resumen, HPC cuenta con más características que Big Data pero tienen orientaciones muy distintas, el primero hacia el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cómputo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y el segundo hacia los datos.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Proponga un ejemplo o caso de uso para cada uno de ellos.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Un ejemplo de HPC es la simulación del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curso de una tormenta incluyendo los posibles daños de esta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, donde a partir de pocos datos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el HPC puede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generar miles de simulaciones y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por consiguiente como resultado tener mucha información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, en este caso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se necesita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mucho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cómputo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para generar todas las simulaciones.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En cambio en el caso de Big Data un ejemplo podría ser el análisis de calidad de una fruta a partir de fotografías tomadas por drones a cada fruta en un campo de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muchas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hectáreas. El proceso de análisis de cada foto es simple, por lo que el consumo de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cómputo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vertAlign w:val="baseline"/>
          <w:rtl w:val="0"/>
        </w:rPr>
        <w:t xml:space="preserve"> es bajo sin embargo por la gran cantidad de datos a procesar (millones de frutos) es necesario procesar con tecnología orientada al Big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Pregunta 3. Ejercicio EDA con Spark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Utilizando Apache Spark (en Colab, o DataBricks, o local, …), las librerías de SparkSQL y el dataset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SII_roles_avaluo_table.zip Links to an external site.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Escriba 3 nuevas consultas (queries) a la data: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Debe usar a lo menos un Left Join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Left join de tabla de propiedades no agrícolas con tabla de propiedades construidas, se obtiene a través del join la cantidad de materiales diferentes utilizados.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5612400" cy="24003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Debe usar a lo menos un GroupBy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Creación de tabla intermedia con la cantidad de materiales usados en la construcción por comuna y rol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5612400" cy="2895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Debe usar un a lo menos Where con dos condiciones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Propiedades en algarrobo de más de 5000 m2 de superficie total y con avalúo fiscal menor a 10 millones.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5612400" cy="2641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Debe ordenar sus resultados de manera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descendente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right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Todas las consultas quedaron ordenadas de manera descendente.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Pregunta 4. Opción A. Ejercicio Clustering Bancario (K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74747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Means)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1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El ejercicio fue desarrollado en el ambiente Colab utilizando librerías de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SparkML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 y el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créditos_bancarios.xls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747474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74747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A) qué tipo de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preprocesamiento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 fue necesario realizarle a los datos, o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si no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 fue necesario, el por qué.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both"/>
        <w:rPr>
          <w:rFonts w:ascii="Helvetica Neue" w:cs="Helvetica Neue" w:eastAsia="Helvetica Neue" w:hAnsi="Helvetica Neue"/>
          <w:color w:val="747474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47474"/>
          <w:sz w:val="24"/>
          <w:szCs w:val="24"/>
          <w:rtl w:val="0"/>
        </w:rPr>
        <w:t xml:space="preserve">Carga de datos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: lo primero fue cargar el archivo .xlsx dentro de un archivo .rar y subirlo a Dropbox, de esta manera se logra trabajar de manera más automatizada sin necesidad de estar cargando el archivo cada vez que se corre el programa a través de google drive u otro sistema que requiera validación.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both"/>
        <w:rPr>
          <w:rFonts w:ascii="Helvetica Neue" w:cs="Helvetica Neue" w:eastAsia="Helvetica Neue" w:hAnsi="Helvetica Neue"/>
          <w:color w:val="747474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47474"/>
          <w:sz w:val="24"/>
          <w:szCs w:val="24"/>
          <w:rtl w:val="0"/>
        </w:rPr>
        <w:t xml:space="preserve">Análisis exploratorio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: De la base de datos “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SouthGermanCredit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” se identifican los tipos de variables que existen, considerando de antemano que solo se pueden elegir 5 variables: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Como se observa en la siguiente tabla sólo 3 variables son numéricas (amount, age, duration) y el resto es categórica de acuerdo a la descripción que incluye el archivo excel.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Los tipos de variables son muy relevantes para realizar el clustering usando k-means dado que para que tenga sentido hacerlo todas las variables deben ser numéricas y para los casos de variables categóricas se deben transformar a dummies.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Por lo anterior se determina utilizar las 3 variables numéricas y elegir 2 adicionales en función de la campaña objetivo en la cual se van a utilizar los clusters.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Como nos interesa enfocarnos en aquellos casos que sean de bajo riesgo se incorpora la columna categórica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747474"/>
          <w:sz w:val="24"/>
          <w:szCs w:val="24"/>
          <w:rtl w:val="0"/>
        </w:rPr>
        <w:t xml:space="preserve">“credit_risk”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y adicionalmente se incorpora la variable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747474"/>
          <w:sz w:val="24"/>
          <w:szCs w:val="24"/>
          <w:rtl w:val="0"/>
        </w:rPr>
        <w:t xml:space="preserve">“personal_status_sex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” para diferenciar futuras campañas por sexo.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2242667" cy="384821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667" cy="3848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both"/>
        <w:rPr>
          <w:rFonts w:ascii="Helvetica Neue" w:cs="Helvetica Neue" w:eastAsia="Helvetica Neue" w:hAnsi="Helvetica Neue"/>
          <w:color w:val="747474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47474"/>
          <w:sz w:val="24"/>
          <w:szCs w:val="24"/>
          <w:rtl w:val="0"/>
        </w:rPr>
        <w:t xml:space="preserve">Categóricas a Dummies: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 La variable “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747474"/>
          <w:sz w:val="24"/>
          <w:szCs w:val="24"/>
          <w:rtl w:val="0"/>
        </w:rPr>
        <w:t xml:space="preserve">credit_risk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” no fue necesaria cambiarla ya que viene en formato 1 y 0, en cambio la variable “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747474"/>
          <w:sz w:val="24"/>
          <w:szCs w:val="24"/>
          <w:rtl w:val="0"/>
        </w:rPr>
        <w:t xml:space="preserve">personal_status_sex”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se le da tratamiento para agrupar en solo 2 categorías (0: Hombres y 1:Mujer) 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Se crea la variable sexo, a partir de las categorias de “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747474"/>
          <w:sz w:val="24"/>
          <w:szCs w:val="24"/>
          <w:rtl w:val="0"/>
        </w:rPr>
        <w:t xml:space="preserve">personal_status_sex”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1976438" cy="1248848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24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both"/>
        <w:rPr>
          <w:rFonts w:ascii="Helvetica Neue" w:cs="Helvetica Neue" w:eastAsia="Helvetica Neue" w:hAnsi="Helvetica Neue"/>
          <w:color w:val="747474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47474"/>
          <w:sz w:val="24"/>
          <w:szCs w:val="24"/>
          <w:rtl w:val="0"/>
        </w:rPr>
        <w:t xml:space="preserve">Transformación Cox-Box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: Las variables amount y duration resultaron ser asimétricas por lo tanto se procede a normalizar la data aplicando logaritmo natural.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right="0" w:firstLine="72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right="0" w:firstLine="72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Gráfica “duration” con datos originales y normalizados: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right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2724150" cy="1754537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5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2691757" cy="171461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757" cy="171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80" w:before="180" w:line="240" w:lineRule="auto"/>
        <w:ind w:firstLine="72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Gráfica “amount” con datos originales y normalizados: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right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2732563" cy="177719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563" cy="1777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2719388" cy="176830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768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right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both"/>
        <w:rPr>
          <w:rFonts w:ascii="Helvetica Neue" w:cs="Helvetica Neue" w:eastAsia="Helvetica Neue" w:hAnsi="Helvetica Neue"/>
          <w:color w:val="747474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47474"/>
          <w:sz w:val="24"/>
          <w:szCs w:val="24"/>
          <w:rtl w:val="0"/>
        </w:rPr>
        <w:t xml:space="preserve">Normalización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: Por último las 5 variables seleccionadas son normalizadas en escala 0-1 para que todas tengan el mismo peso dentro del algoritmo esto es necesario.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right="0"/>
        <w:jc w:val="both"/>
        <w:rPr>
          <w:rFonts w:ascii="Helvetica Neue" w:cs="Helvetica Neue" w:eastAsia="Helvetica Neue" w:hAnsi="Helvetica Neue"/>
          <w:i w:val="1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B) Cómo se determinó el número óptimo de clusters a utilizar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Se aplica el método de silueta, en donde, e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l valor de la silueta es una medida de cuán similar es un objeto a su propio cúmulo (cohesión) en comparación con otros cúmulos (separación), es decir a mayor valor de un conjunto de clusters simulados, mejor será la segmentación.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2668087" cy="1247212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087" cy="124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2814162" cy="197424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162" cy="1974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Como se observa en la gráfica el mayor valor fue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747474"/>
          <w:sz w:val="24"/>
          <w:szCs w:val="24"/>
          <w:rtl w:val="0"/>
        </w:rPr>
        <w:t xml:space="preserve">0.78 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con una cantidad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747474"/>
          <w:sz w:val="24"/>
          <w:szCs w:val="24"/>
          <w:rtl w:val="0"/>
        </w:rPr>
        <w:t xml:space="preserve">5 clusters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, lo cual nos indica que es la mejor cantidad de grupos que se pueden obtener con estos datos.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C) La estadística descriptiva de los segmentos encontrados y qué nombre “comercial” le pondría al segmento dadas dichas características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Lo primero que observamos es la cantidad de clientes que se tienen por cada segmento, es habitual que que al realizar segmentación con k-medias se esperen grupo homogéneos en cantidad, pero en este caso como estamos en presencia de variables dummies es posible que esto no se cumpla.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center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1200150" cy="12668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Al verificar los centroides o promedios de cada segmento se observa que los grupos [0,1,2] corresponden a los Hombres, y los grupos [3, 4] a mujeres.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Por otra parte sólo hay 2 grupos sin riesgo (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747474"/>
          <w:sz w:val="24"/>
          <w:szCs w:val="24"/>
          <w:rtl w:val="0"/>
        </w:rPr>
        <w:t xml:space="preserve">credit_risk</w:t>
      </w: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=1) que son el grupo 1 y el grupo 3, que serán aquellos a los cuales se van a enfocar las acciones de negocios.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5612400" cy="1155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D) Acciones de negocios que podrían ser relevantes a sugerir para los segmentos encontrados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Las acciones de negocio irán enfocadas en 2 segmentos o grupos objetivos, que son los hombres sin riesgo y mujeres sin riesgo cada grupo tiene sus propias características que se verán a continuación: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both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hanging="360"/>
        <w:jc w:val="left"/>
        <w:rPr>
          <w:rFonts w:ascii="Helvetica Neue" w:cs="Helvetica Neue" w:eastAsia="Helvetica Neue" w:hAnsi="Helvetica Neue"/>
          <w:color w:val="747474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El primer grupo de acción es el de Hombres sin riesgo,  en donde solo se considerarán aquellos casos que estén en el 50% más poblado de la muestra, es decir, entre el percentil 25 y 75.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2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Se consideran en la edad de entre 30 y 44 años, para créditos con una duración entre 12 y 24 meses con montos entre 1518 DM y 3989 DM.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5612400" cy="1663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hd w:fill="ffffff" w:val="clear"/>
        <w:spacing w:after="180" w:before="180" w:line="240" w:lineRule="auto"/>
        <w:ind w:left="720" w:hanging="360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El segundo grupo de acción es el de Mujeres sin riesgo,  en donde solo se considerarán aquellos casos que estén en el 50% más poblado de la muestra, es decir, entre el percentil 25 y 75. </w:t>
      </w:r>
    </w:p>
    <w:p w:rsidR="00000000" w:rsidDel="00000000" w:rsidP="00000000" w:rsidRDefault="00000000" w:rsidRPr="00000000" w14:paraId="000000B2">
      <w:pPr>
        <w:shd w:fill="ffffff" w:val="clear"/>
        <w:spacing w:after="180" w:before="180" w:line="240" w:lineRule="auto"/>
        <w:ind w:left="720" w:firstLine="0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  <w:rtl w:val="0"/>
        </w:rPr>
        <w:t xml:space="preserve">Se consideran en la edad de entre 25 y 40 años, para créditos con una duración entre 12 y 24 meses con montos entre 1228 DM y 3025 DM.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74747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747474"/>
          <w:sz w:val="24"/>
          <w:szCs w:val="24"/>
        </w:rPr>
        <w:drawing>
          <wp:inline distB="114300" distT="114300" distL="114300" distR="114300">
            <wp:extent cx="5612400" cy="1727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74747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Condiciones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03e2d"/>
          <w:sz w:val="24"/>
          <w:szCs w:val="24"/>
          <w:u w:val="none"/>
          <w:shd w:fill="auto" w:val="clear"/>
          <w:vertAlign w:val="baseline"/>
          <w:rtl w:val="0"/>
        </w:rPr>
        <w:t xml:space="preserve">Puede ser realizado de manera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03e2d"/>
          <w:sz w:val="24"/>
          <w:szCs w:val="24"/>
          <w:u w:val="none"/>
          <w:shd w:fill="auto" w:val="clear"/>
          <w:vertAlign w:val="baseline"/>
          <w:rtl w:val="0"/>
        </w:rPr>
        <w:t xml:space="preserve">individual o en parejas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Debe entregar todos sus códigos (link a colab o notebook .ipynb)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Los códigos deben venir explicados y documentados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Puede hacer los supuestos que estime convenientes, pero éstos deben estar documentados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47474"/>
          <w:sz w:val="24"/>
          <w:szCs w:val="24"/>
          <w:u w:val="none"/>
          <w:shd w:fill="auto" w:val="clear"/>
          <w:vertAlign w:val="baseline"/>
          <w:rtl w:val="0"/>
        </w:rPr>
        <w:t xml:space="preserve">Se debe entregar vía Canvas del curso hasta antes de la fecha que sea estipulada por el Profesor.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1417.3228346456694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878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18780D"/>
    <w:rPr>
      <w:b w:val="1"/>
      <w:b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18780D"/>
    <w:rPr>
      <w:color w:val="0000ff"/>
      <w:u w:val="single"/>
    </w:rPr>
  </w:style>
  <w:style w:type="character" w:styleId="externallinkicon" w:customStyle="1">
    <w:name w:val="external_link_icon"/>
    <w:basedOn w:val="Fuentedeprrafopredeter"/>
    <w:rsid w:val="0018780D"/>
  </w:style>
  <w:style w:type="character" w:styleId="screenreader-only" w:customStyle="1">
    <w:name w:val="screenreader-only"/>
    <w:basedOn w:val="Fuentedeprrafopredeter"/>
    <w:rsid w:val="0018780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22" Type="http://schemas.openxmlformats.org/officeDocument/2006/relationships/image" Target="media/image2.png"/><Relationship Id="rId10" Type="http://schemas.openxmlformats.org/officeDocument/2006/relationships/image" Target="media/image14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yperlink" Target="https://www.dropbox.com/s/ianxkffu14dp0ru/SII_roles_avaluo_table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BGXXBv8wIa8I9xtzdAZShVyk3w==">AMUW2mXLnov7yga2d0R0wOhYfP/SWVTFBuEgS96HqK0Ne6txiwiRUH3QJhsZgdJkpILTKtdGPJ33JiPW97+HhLD7ErQgnofskHH3RpaSl6uOvysXx9SWsSI=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2023-02-07T19:17:00Z</dcterms:created>
  <dc:creator>Pablo Chaparro</dc:creator>
</cp:coreProperties>
</file>