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Landry Industries Business Plan</w:t>
      </w:r>
    </w:p>
    <w:p>
      <w:pPr>
        <w:pStyle w:val="Heading1"/>
      </w:pPr>
      <w:r>
        <w:t>Executive Summary</w:t>
      </w:r>
    </w:p>
    <w:p>
      <w:r>
        <w:t>Overview of the venture and its market opportunity.</w:t>
      </w:r>
    </w:p>
    <w:p>
      <w:pPr>
        <w:pStyle w:val="Heading1"/>
      </w:pPr>
      <w:r>
        <w:t>Market Analysis</w:t>
      </w:r>
    </w:p>
    <w:p>
      <w:r>
        <w:t>Assessment of sustainable materials and AI markets.</w:t>
      </w:r>
    </w:p>
    <w:p>
      <w:pPr>
        <w:pStyle w:val="Heading1"/>
      </w:pPr>
      <w:r>
        <w:t>Technology</w:t>
      </w:r>
    </w:p>
    <w:p>
      <w:r>
        <w:t>Core innovations and intellectual property.</w:t>
      </w:r>
    </w:p>
    <w:p>
      <w:pPr>
        <w:pStyle w:val="Heading1"/>
      </w:pPr>
      <w:r>
        <w:t>Business Model</w:t>
      </w:r>
    </w:p>
    <w:p>
      <w:r>
        <w:t>Revenue streams including licensing and manufacturing.</w:t>
      </w:r>
    </w:p>
    <w:p>
      <w:pPr>
        <w:pStyle w:val="Heading1"/>
      </w:pPr>
      <w:r>
        <w:t>Go To Market</w:t>
      </w:r>
    </w:p>
    <w:p>
      <w:r>
        <w:t>Partnerships and commercialization strategy.</w:t>
      </w:r>
    </w:p>
    <w:p>
      <w:pPr>
        <w:pStyle w:val="Heading1"/>
      </w:pPr>
      <w:r>
        <w:t>Financial Projections</w:t>
      </w:r>
    </w:p>
    <w:p>
      <w:r>
        <w:t>Projected growth and capital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