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Partnership Memorandum of Understanding</w:t>
      </w:r>
    </w:p>
    <w:p>
      <w:r>
        <w:t>This document outlines collaboration between research institutions and Landry Industries.</w:t>
      </w:r>
    </w:p>
    <w:p>
      <w:pPr>
        <w:pStyle w:val="Heading1"/>
      </w:pPr>
      <w:r>
        <w:t>Scope</w:t>
      </w:r>
    </w:p>
    <w:p>
      <w:r>
        <w:t>Joint research, technology development, and knowledge exchange.</w:t>
      </w:r>
    </w:p>
    <w:p>
      <w:pPr>
        <w:pStyle w:val="Heading1"/>
      </w:pPr>
      <w:r>
        <w:t>Responsibilities</w:t>
      </w:r>
    </w:p>
    <w:p>
      <w:r>
        <w:t>Partners provide expertise, facilities, and collaborative research support.</w:t>
      </w:r>
    </w:p>
    <w:p>
      <w:pPr>
        <w:pStyle w:val="Heading1"/>
      </w:pPr>
      <w:r>
        <w:t>Intellectual Property</w:t>
      </w:r>
    </w:p>
    <w:p>
      <w:r>
        <w:t>IP ownership and licensing agreements defined jointly.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