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nsolas" w:hAnsi="Consolas"/>
          <w:b/>
          <w:color w:val="1F6E8C"/>
          <w:sz w:val="17"/>
        </w:rPr>
        <w:t>MANUAL DE USUARIO</w:t>
      </w:r>
    </w:p>
    <w:p>
      <w:pPr>
        <w:spacing w:before="80" w:after="80"/>
      </w:pPr>
      <w:r>
        <w:rPr>
          <w:rFonts w:ascii="Cambria" w:hAnsi="Cambria"/>
          <w:b/>
          <w:color w:val="1B2430"/>
          <w:sz w:val="52"/>
        </w:rPr>
        <w:t>Diagnóstico de calidad de red</w:t>
      </w:r>
    </w:p>
    <w:p>
      <w:pPr>
        <w:spacing w:after="200"/>
      </w:pPr>
      <w:r>
        <w:rPr>
          <w:rFonts w:ascii="Segoe UI" w:hAnsi="Segoe UI"/>
          <w:color w:val="55606B"/>
          <w:sz w:val="24"/>
        </w:rPr>
        <w:t>Manual de usuario del sistema de priorización de sitios. Escrito para el equipo de operaciones de red, no para programadores.</w:t>
      </w:r>
    </w:p>
    <w:p>
      <w:pPr>
        <w:spacing w:after="200"/>
      </w:pPr>
      <w:r>
        <w:rPr>
          <w:rFonts w:ascii="Consolas" w:hAnsi="Consolas"/>
          <w:color w:val="55606B"/>
          <w:sz w:val="17"/>
        </w:rPr>
        <w:t xml:space="preserve">Repositorio: </w:t>
      </w:r>
      <w:r>
        <w:rPr>
          <w:rFonts w:ascii="Consolas" w:hAnsi="Consolas"/>
          <w:b/>
          <w:color w:val="1B2430"/>
          <w:sz w:val="17"/>
        </w:rPr>
        <w:t xml:space="preserve">diagnostico-calidad-red    </w:t>
      </w:r>
      <w:r>
        <w:rPr>
          <w:rFonts w:ascii="Consolas" w:hAnsi="Consolas"/>
          <w:color w:val="55606B"/>
          <w:sz w:val="17"/>
        </w:rPr>
        <w:t xml:space="preserve">Cadencia: </w:t>
      </w:r>
      <w:r>
        <w:rPr>
          <w:rFonts w:ascii="Consolas" w:hAnsi="Consolas"/>
          <w:b/>
          <w:color w:val="1B2430"/>
          <w:sz w:val="17"/>
        </w:rPr>
        <w:t xml:space="preserve">mensual    </w:t>
      </w:r>
      <w:r>
        <w:rPr>
          <w:rFonts w:ascii="Consolas" w:hAnsi="Consolas"/>
          <w:color w:val="55606B"/>
          <w:sz w:val="17"/>
        </w:rPr>
        <w:t xml:space="preserve">Audiencia: </w:t>
      </w:r>
      <w:r>
        <w:rPr>
          <w:rFonts w:ascii="Consolas" w:hAnsi="Consolas"/>
          <w:b/>
          <w:color w:val="1B2430"/>
          <w:sz w:val="17"/>
        </w:rPr>
        <w:t xml:space="preserve">analista / responsable de operaciones    </w:t>
      </w:r>
    </w:p>
    <w:p>
      <w:pPr>
        <w:spacing w:before="80" w:after="240"/>
        <w:ind w:left="170"/>
        <w:shd w:val="clear" w:fill="EEF2F4"/>
        <w:pBdr>
          <w:left w:val="single" w:sz="24" w:space="8" w:color="1F6E8C"/>
        </w:pBdr>
      </w:pPr>
      <w:r>
        <w:rPr>
          <w:rFonts w:ascii="Consolas" w:hAnsi="Consolas"/>
          <w:b/>
          <w:color w:val="1F6E8C"/>
          <w:sz w:val="16"/>
        </w:rPr>
        <w:t>NOTA DE ALCANCE</w:t>
        <w:br/>
      </w:r>
      <w:r>
        <w:rPr>
          <w:rFonts w:ascii="Segoe UI" w:hAnsi="Segoe UI"/>
          <w:color w:val="1B2430"/>
          <w:sz w:val="20"/>
        </w:rPr>
        <w:t>La guía pide que esta sección ocupe alrededor de una página en la memoria final. Este documento es la vista de trabajo completa; al compilar el documento final conviene resumir el texto y dejar capturas y tablas como contenido principal.</w:t>
      </w:r>
    </w:p>
    <w:p>
      <w:pPr>
        <w:spacing w:before="80" w:after="240"/>
        <w:ind w:left="170"/>
        <w:shd w:val="clear" w:fill="EEF2F4"/>
        <w:pBdr>
          <w:left w:val="single" w:sz="24" w:space="8" w:color="1F6E8C"/>
        </w:pBdr>
      </w:pPr>
      <w:r>
        <w:rPr>
          <w:rFonts w:ascii="Consolas" w:hAnsi="Consolas"/>
          <w:b/>
          <w:color w:val="1F6E8C"/>
          <w:sz w:val="16"/>
        </w:rPr>
        <w:t>SOBRE EL REPOSITORIO</w:t>
        <w:br/>
      </w:r>
      <w:r>
        <w:rPr>
          <w:rFonts w:ascii="Segoe UI" w:hAnsi="Segoe UI"/>
          <w:color w:val="1B2430"/>
          <w:sz w:val="20"/>
        </w:rPr>
        <w:t>Este manual describe diagnostico-calidad-red (el entregable de código), no el repositorio de trabajo usado para producir las entregas. Los comandos son idénticos en ambos.</w:t>
      </w:r>
    </w:p>
    <w:p>
      <w:pPr>
        <w:spacing w:before="400" w:after="120"/>
      </w:pPr>
      <w:r>
        <w:rPr>
          <w:rFonts w:ascii="Consolas" w:hAnsi="Consolas"/>
          <w:b/>
          <w:color w:val="1F6E8C"/>
          <w:sz w:val="20"/>
        </w:rPr>
        <w:t xml:space="preserve">1  </w:t>
      </w:r>
      <w:r>
        <w:rPr>
          <w:rFonts w:ascii="Cambria" w:hAnsi="Cambria"/>
          <w:b/>
          <w:color w:val="1B2430"/>
          <w:sz w:val="32"/>
        </w:rPr>
        <w:t>Para quién es este manual</w:t>
      </w:r>
    </w:p>
    <w:p>
      <w:pPr>
        <w:spacing w:after="160"/>
      </w:pPr>
      <w:r>
        <w:rPr>
          <w:rFonts w:ascii="Segoe UI" w:hAnsi="Segoe UI"/>
          <w:color w:val="1B2430"/>
          <w:sz w:val="21"/>
        </w:rPr>
        <w:t>Este manual está escrito para la persona que va a usar el resultado del sistema día a día: un analista o responsable de operaciones de red, no un programador. No hace falta saber programar ni entender de modelos estadísticos para seguir estos pasos ni para leer el resultado. Donde aparece un término técnico inevitable, se explica en palabras simples la primera vez que se usa (ver también el glosario, sección 9).</w:t>
      </w:r>
    </w:p>
    <w:p>
      <w:pPr>
        <w:spacing w:before="400" w:after="120"/>
      </w:pPr>
      <w:r>
        <w:rPr>
          <w:rFonts w:ascii="Consolas" w:hAnsi="Consolas"/>
          <w:b/>
          <w:color w:val="1F6E8C"/>
          <w:sz w:val="20"/>
        </w:rPr>
        <w:t xml:space="preserve">2  </w:t>
      </w:r>
      <w:r>
        <w:rPr>
          <w:rFonts w:ascii="Cambria" w:hAnsi="Cambria"/>
          <w:b/>
          <w:color w:val="1B2430"/>
          <w:sz w:val="32"/>
        </w:rPr>
        <w:t>Qué hace el sistema, en una frase</w:t>
      </w:r>
    </w:p>
    <w:p>
      <w:pPr>
        <w:spacing w:after="160"/>
      </w:pPr>
      <w:r>
        <w:rPr>
          <w:rFonts w:ascii="Segoe UI" w:hAnsi="Segoe UI"/>
          <w:color w:val="1B2430"/>
          <w:sz w:val="21"/>
        </w:rPr>
        <w:t>El sistema revisa el historial de reclamos y los indicadores de calidad de la red, mes a mes, y entrega una lista ordenada de los sitios con mayor probabilidad de generar un reclamo próximamente, junto con el motivo probable y una recomendación de qué hacer con cada uno.</w:t>
      </w:r>
    </w:p>
    <w:p>
      <w:pPr>
        <w:spacing w:after="160"/>
      </w:pPr>
      <w:r>
        <w:rPr>
          <w:rFonts w:ascii="Segoe UI" w:hAnsi="Segoe UI"/>
          <w:color w:val="1B2430"/>
          <w:sz w:val="21"/>
        </w:rPr>
        <w:t>Es una herramienta de apoyo a la decisión, no reemplaza el criterio del equipo de red. El resultado ayuda a priorizar dónde mirar primero, no da una verdad absoluta.</w:t>
      </w:r>
    </w:p>
    <w:p>
      <w:pPr>
        <w:spacing w:before="400" w:after="120"/>
      </w:pPr>
      <w:r>
        <w:rPr>
          <w:rFonts w:ascii="Consolas" w:hAnsi="Consolas"/>
          <w:b/>
          <w:color w:val="1F6E8C"/>
          <w:sz w:val="20"/>
        </w:rPr>
        <w:t xml:space="preserve">3  </w:t>
      </w:r>
      <w:r>
        <w:rPr>
          <w:rFonts w:ascii="Cambria" w:hAnsi="Cambria"/>
          <w:b/>
          <w:color w:val="1B2430"/>
          <w:sz w:val="32"/>
        </w:rPr>
        <w:t>Prerrequisitos técnicos</w:t>
      </w:r>
    </w:p>
    <w:p>
      <w:pPr>
        <w:spacing w:after="160"/>
      </w:pPr>
      <w:r>
        <w:rPr>
          <w:rFonts w:ascii="Segoe UI" w:hAnsi="Segoe UI"/>
          <w:color w:val="1B2430"/>
          <w:sz w:val="21"/>
        </w:rPr>
        <w:t>Esta parte la resuelve una sola vez la persona de TI o de datos que deja el ambiente listo. El usuario final no necesita repetirla cada vez.</w:t>
      </w:r>
    </w:p>
    <w:p>
      <w:pPr>
        <w:spacing w:before="240" w:after="80"/>
      </w:pPr>
      <w:r>
        <w:rPr>
          <w:rFonts w:ascii="Segoe UI" w:hAnsi="Segoe UI"/>
          <w:b/>
          <w:color w:val="1B2430"/>
          <w:sz w:val="23"/>
        </w:rPr>
        <w:t>Software necesario</w:t>
      </w:r>
    </w:p>
    <w:tbl>
      <w:tblPr>
        <w:tblStyle w:val="TableGrid"/>
        <w:tblW w:type="auto" w:w="0"/>
        <w:jc w:val="center"/>
        <w:tblLook w:firstColumn="1" w:firstRow="1" w:lastColumn="0" w:lastRow="0" w:noHBand="0" w:noVBand="1" w:val="04A0"/>
      </w:tblPr>
      <w:tblGrid>
        <w:gridCol w:w="4816"/>
        <w:gridCol w:w="4816"/>
      </w:tblGrid>
      <w:tr>
        <w:tc>
          <w:tcPr>
            <w:tcW w:type="dxa" w:w="2304"/>
            <w:shd w:val="clear" w:fill="E4EEF2"/>
          </w:tcPr>
          <w:p>
            <w:r>
              <w:rPr>
                <w:rFonts w:ascii="Consolas" w:hAnsi="Consolas"/>
                <w:b/>
                <w:color w:val="155569"/>
                <w:sz w:val="16"/>
              </w:rPr>
              <w:t>Requisito</w:t>
            </w:r>
          </w:p>
        </w:tc>
        <w:tc>
          <w:tcPr>
            <w:tcW w:type="dxa" w:w="6624"/>
            <w:shd w:val="clear" w:fill="E4EEF2"/>
          </w:tcPr>
          <w:p>
            <w:r>
              <w:rPr>
                <w:rFonts w:ascii="Consolas" w:hAnsi="Consolas"/>
                <w:b/>
                <w:color w:val="155569"/>
                <w:sz w:val="16"/>
              </w:rPr>
              <w:t>Detalle</w:t>
            </w:r>
          </w:p>
        </w:tc>
      </w:tr>
      <w:tr>
        <w:tc>
          <w:tcPr>
            <w:tcW w:type="dxa" w:w="2304"/>
          </w:tcPr>
          <w:p>
            <w:r>
              <w:rPr>
                <w:rFonts w:ascii="Segoe UI" w:hAnsi="Segoe UI"/>
                <w:color w:val="1B2430"/>
                <w:sz w:val="19"/>
              </w:rPr>
              <w:t>Python</w:t>
            </w:r>
          </w:p>
        </w:tc>
        <w:tc>
          <w:tcPr>
            <w:tcW w:type="dxa" w:w="6624"/>
          </w:tcPr>
          <w:p>
            <w:r>
              <w:rPr>
                <w:rFonts w:ascii="Segoe UI" w:hAnsi="Segoe UI"/>
                <w:color w:val="1B2430"/>
                <w:sz w:val="19"/>
              </w:rPr>
              <w:t>Versión 3.11 o superior</w:t>
            </w:r>
          </w:p>
        </w:tc>
      </w:tr>
      <w:tr>
        <w:tc>
          <w:tcPr>
            <w:tcW w:type="dxa" w:w="2304"/>
          </w:tcPr>
          <w:p>
            <w:r>
              <w:rPr>
                <w:rFonts w:ascii="Segoe UI" w:hAnsi="Segoe UI"/>
                <w:color w:val="1B2430"/>
                <w:sz w:val="19"/>
              </w:rPr>
              <w:t>Gestor de paquetes</w:t>
            </w:r>
          </w:p>
        </w:tc>
        <w:tc>
          <w:tcPr>
            <w:tcW w:type="dxa" w:w="6624"/>
          </w:tcPr>
          <w:p>
            <w:r>
              <w:rPr>
                <w:rFonts w:ascii="Consolas" w:hAnsi="Consolas"/>
                <w:color w:val="155569"/>
                <w:sz w:val="18"/>
              </w:rPr>
              <w:t>uv</w:t>
            </w:r>
            <w:r>
              <w:rPr>
                <w:rFonts w:ascii="Segoe UI" w:hAnsi="Segoe UI"/>
                <w:color w:val="1B2430"/>
                <w:sz w:val="19"/>
              </w:rPr>
              <w:t xml:space="preserve"> (recomendado) o </w:t>
            </w:r>
            <w:r>
              <w:rPr>
                <w:rFonts w:ascii="Consolas" w:hAnsi="Consolas"/>
                <w:color w:val="155569"/>
                <w:sz w:val="18"/>
              </w:rPr>
              <w:t>pip</w:t>
            </w:r>
          </w:p>
        </w:tc>
      </w:tr>
      <w:tr>
        <w:tc>
          <w:tcPr>
            <w:tcW w:type="dxa" w:w="2304"/>
          </w:tcPr>
          <w:p>
            <w:r>
              <w:rPr>
                <w:rFonts w:ascii="Segoe UI" w:hAnsi="Segoe UI"/>
                <w:color w:val="1B2430"/>
                <w:sz w:val="19"/>
              </w:rPr>
              <w:t>Librerías de Python</w:t>
            </w:r>
          </w:p>
        </w:tc>
        <w:tc>
          <w:tcPr>
            <w:tcW w:type="dxa" w:w="6624"/>
          </w:tcPr>
          <w:p>
            <w:r>
              <w:rPr>
                <w:rFonts w:ascii="Segoe UI" w:hAnsi="Segoe UI"/>
                <w:color w:val="1B2430"/>
                <w:sz w:val="19"/>
              </w:rPr>
              <w:t xml:space="preserve">pandas, numpy, scikit-learn, xgboost, optuna, shap, matplotlib, seaborn, openpyxl, pyarrow. Se instalan solas al correr </w:t>
            </w:r>
            <w:r>
              <w:rPr>
                <w:rFonts w:ascii="Consolas" w:hAnsi="Consolas"/>
                <w:color w:val="155569"/>
                <w:sz w:val="18"/>
              </w:rPr>
              <w:t>uv sync</w:t>
            </w:r>
            <w:r>
              <w:rPr>
                <w:rFonts w:ascii="Segoe UI" w:hAnsi="Segoe UI"/>
                <w:color w:val="1B2430"/>
                <w:sz w:val="19"/>
              </w:rPr>
              <w:t>, no una por una.</w:t>
            </w:r>
          </w:p>
        </w:tc>
      </w:tr>
      <w:tr>
        <w:tc>
          <w:tcPr>
            <w:tcW w:type="dxa" w:w="2304"/>
          </w:tcPr>
          <w:p>
            <w:r>
              <w:rPr>
                <w:rFonts w:ascii="Segoe UI" w:hAnsi="Segoe UI"/>
                <w:color w:val="1B2430"/>
                <w:sz w:val="19"/>
              </w:rPr>
              <w:t>Acceso a los datos</w:t>
            </w:r>
          </w:p>
        </w:tc>
        <w:tc>
          <w:tcPr>
            <w:tcW w:type="dxa" w:w="6624"/>
          </w:tcPr>
          <w:p>
            <w:r>
              <w:rPr>
                <w:rFonts w:ascii="Segoe UI" w:hAnsi="Segoe UI"/>
                <w:color w:val="1B2430"/>
                <w:sz w:val="19"/>
              </w:rPr>
              <w:t xml:space="preserve">Archivos crudos del cliente en </w:t>
            </w:r>
            <w:r>
              <w:rPr>
                <w:rFonts w:ascii="Consolas" w:hAnsi="Consolas"/>
                <w:color w:val="155569"/>
                <w:sz w:val="18"/>
              </w:rPr>
              <w:t>db_files/</w:t>
            </w:r>
            <w:r>
              <w:rPr>
                <w:rFonts w:ascii="Segoe UI" w:hAnsi="Segoe UI"/>
                <w:color w:val="1B2430"/>
                <w:sz w:val="19"/>
              </w:rPr>
              <w:t>, o credenciales MySQL si se usa esa fuente</w:t>
            </w:r>
          </w:p>
        </w:tc>
      </w:tr>
    </w:tbl>
    <w:p>
      <w:pPr>
        <w:spacing w:after="80"/>
      </w:pPr>
    </w:p>
    <w:p>
      <w:pPr>
        <w:spacing w:before="240" w:after="80"/>
      </w:pPr>
      <w:r>
        <w:rPr>
          <w:rFonts w:ascii="Segoe UI" w:hAnsi="Segoe UI"/>
          <w:b/>
          <w:color w:val="1B2430"/>
          <w:sz w:val="23"/>
        </w:rPr>
        <w:t>Estructura de carpetas que espera el sistema</w:t>
      </w:r>
    </w:p>
    <w:p>
      <w:pPr>
        <w:shd w:val="clear" w:fill="F5F7F8"/>
        <w:pBdr>
          <w:left w:val="single" w:sz="10" w:space="8" w:color="D7DCE1"/>
        </w:pBdr>
        <w:spacing w:after="200"/>
      </w:pPr>
      <w:r>
        <w:rPr>
          <w:rFonts w:ascii="Consolas" w:hAnsi="Consolas"/>
          <w:b/>
          <w:color w:val="155569"/>
          <w:sz w:val="18"/>
        </w:rPr>
        <w:t>diagnostico-calidad-red/</w:t>
        <w:br/>
      </w:r>
      <w:r>
        <w:rPr>
          <w:rFonts w:ascii="Consolas" w:hAnsi="Consolas"/>
          <w:color w:val="1B2430"/>
          <w:sz w:val="18"/>
        </w:rPr>
        <w:t xml:space="preserve">  src/               código del pipeline (construcción de datos, scoring)</w:t>
        <w:br/>
      </w:r>
      <w:r>
        <w:rPr>
          <w:rFonts w:ascii="Consolas" w:hAnsi="Consolas"/>
          <w:color w:val="1B2430"/>
          <w:sz w:val="18"/>
        </w:rPr>
        <w:t xml:space="preserve">  dashboard/         tablero interactivo (app.py)</w:t>
        <w:br/>
      </w:r>
      <w:r>
        <w:rPr>
          <w:rFonts w:ascii="Consolas" w:hAnsi="Consolas"/>
          <w:color w:val="1B2430"/>
          <w:sz w:val="18"/>
        </w:rPr>
        <w:t xml:space="preserve">  scripts/           utilidades, incluye la anonimización (sección 4)</w:t>
        <w:br/>
      </w:r>
      <w:r>
        <w:rPr>
          <w:rFonts w:ascii="Consolas" w:hAnsi="Consolas"/>
          <w:color w:val="1B2430"/>
          <w:sz w:val="18"/>
        </w:rPr>
        <w:t xml:space="preserve">  notebooks/         notebooks de análisis y exploración</w:t>
        <w:br/>
      </w:r>
      <w:r>
        <w:rPr>
          <w:rFonts w:ascii="Consolas" w:hAnsi="Consolas"/>
          <w:color w:val="1B2430"/>
          <w:sz w:val="18"/>
        </w:rPr>
        <w:t xml:space="preserve">  db_files/          entrada: archivos crudos del cliente</w:t>
        <w:br/>
      </w:r>
      <w:r>
        <w:rPr>
          <w:rFonts w:ascii="Consolas" w:hAnsi="Consolas"/>
          <w:color w:val="1B2430"/>
          <w:sz w:val="18"/>
        </w:rPr>
        <w:t xml:space="preserve">  output/            salida: resultados generados</w:t>
        <w:br/>
      </w:r>
      <w:r>
        <w:rPr>
          <w:rFonts w:ascii="Consolas" w:hAnsi="Consolas"/>
          <w:color w:val="1B2430"/>
          <w:sz w:val="18"/>
        </w:rPr>
        <w:t xml:space="preserve">    modeling_dataset_monthly.parquet</w:t>
        <w:br/>
      </w:r>
      <w:r>
        <w:rPr>
          <w:rFonts w:ascii="Consolas" w:hAnsi="Consolas"/>
          <w:color w:val="1B2430"/>
          <w:sz w:val="18"/>
        </w:rPr>
        <w:t xml:space="preserve">    mensual-pronopro/</w:t>
        <w:br/>
      </w:r>
      <w:r>
        <w:rPr>
          <w:rFonts w:ascii="Consolas" w:hAnsi="Consolas"/>
          <w:color w:val="1B2430"/>
          <w:sz w:val="18"/>
        </w:rPr>
        <w:t xml:space="preserve">      ranking_sitios.csv</w:t>
        <w:br/>
      </w:r>
      <w:r>
        <w:rPr>
          <w:rFonts w:ascii="Consolas" w:hAnsi="Consolas"/>
          <w:color w:val="1B2430"/>
          <w:sz w:val="18"/>
        </w:rPr>
        <w:t xml:space="preserve">      ranking_sitios.parquet</w:t>
        <w:br/>
      </w:r>
      <w:r>
        <w:rPr>
          <w:rFonts w:ascii="Consolas" w:hAnsi="Consolas"/>
          <w:color w:val="1B2430"/>
          <w:sz w:val="18"/>
        </w:rPr>
        <w:t xml:space="preserve">      figures/</w:t>
      </w:r>
    </w:p>
    <w:p>
      <w:pPr>
        <w:spacing w:after="160"/>
      </w:pPr>
      <w:r>
        <w:rPr>
          <w:rFonts w:ascii="Segoe UI" w:hAnsi="Segoe UI"/>
          <w:color w:val="55606B"/>
          <w:sz w:val="19"/>
        </w:rPr>
        <w:t>db_files/ y output/ no viajan con el código en el repositorio (datos del cliente y resultados derivados): se crean localmente al ejecutar los pasos de este manual.</w:t>
      </w:r>
    </w:p>
    <w:p>
      <w:pPr>
        <w:spacing w:before="80" w:after="40"/>
        <w:jc w:val="center"/>
      </w:pPr>
      <w:r>
        <w:drawing>
          <wp:inline xmlns:a="http://schemas.openxmlformats.org/drawingml/2006/main" xmlns:pic="http://schemas.openxmlformats.org/drawingml/2006/picture">
            <wp:extent cx="5303520" cy="2583416"/>
            <wp:docPr id="1" name="Picture 1"/>
            <wp:cNvGraphicFramePr>
              <a:graphicFrameLocks noChangeAspect="1"/>
            </wp:cNvGraphicFramePr>
            <a:graphic>
              <a:graphicData uri="http://schemas.openxmlformats.org/drawingml/2006/picture">
                <pic:pic>
                  <pic:nvPicPr>
                    <pic:cNvPr id="0" name="01_estructura_carpetas.png"/>
                    <pic:cNvPicPr/>
                  </pic:nvPicPr>
                  <pic:blipFill>
                    <a:blip r:embed="rId9"/>
                    <a:stretch>
                      <a:fillRect/>
                    </a:stretch>
                  </pic:blipFill>
                  <pic:spPr>
                    <a:xfrm>
                      <a:off x="0" y="0"/>
                      <a:ext cx="5303520" cy="2583416"/>
                    </a:xfrm>
                    <a:prstGeom prst="rect"/>
                  </pic:spPr>
                </pic:pic>
              </a:graphicData>
            </a:graphic>
          </wp:inline>
        </w:drawing>
      </w:r>
    </w:p>
    <w:p>
      <w:pPr>
        <w:spacing w:after="280"/>
        <w:jc w:val="center"/>
      </w:pPr>
      <w:r>
        <w:rPr>
          <w:rFonts w:ascii="Segoe UI" w:hAnsi="Segoe UI"/>
          <w:i/>
          <w:color w:val="55606B"/>
          <w:sz w:val="18"/>
        </w:rPr>
        <w:t>Estructura de carpetas del proyecto</w:t>
      </w:r>
    </w:p>
    <w:p>
      <w:pPr>
        <w:spacing w:before="400" w:after="120"/>
      </w:pPr>
      <w:r>
        <w:rPr>
          <w:rFonts w:ascii="Consolas" w:hAnsi="Consolas"/>
          <w:b/>
          <w:color w:val="1F6E8C"/>
          <w:sz w:val="20"/>
        </w:rPr>
        <w:t xml:space="preserve">4  </w:t>
      </w:r>
      <w:r>
        <w:rPr>
          <w:rFonts w:ascii="Cambria" w:hAnsi="Cambria"/>
          <w:b/>
          <w:color w:val="1B2430"/>
          <w:sz w:val="32"/>
        </w:rPr>
        <w:t>Antes de empezar: los datos deben anonimizarse</w:t>
      </w:r>
    </w:p>
    <w:p>
      <w:pPr>
        <w:spacing w:after="160"/>
      </w:pPr>
      <w:r>
        <w:rPr>
          <w:rFonts w:ascii="Segoe UI" w:hAnsi="Segoe UI"/>
          <w:color w:val="1B2430"/>
          <w:sz w:val="21"/>
        </w:rPr>
        <w:t>Los archivos que entrega el cliente contienen datos personales (nombres, cédulas, teléfonos, correos) que aparecen tanto en columnas específicas como escritos dentro de la descripción libre de cada ticket. Este paso es obligatorio y se hace una sola vez por cada entrega de datos nueva del cliente, no cada vez que se genera un ranking.</w:t>
      </w:r>
    </w:p>
    <w:p>
      <w:pPr>
        <w:spacing w:before="240" w:after="80"/>
      </w:pPr>
      <w:r>
        <w:rPr>
          <w:rFonts w:ascii="Segoe UI" w:hAnsi="Segoe UI"/>
          <w:b/>
          <w:color w:val="1B2430"/>
          <w:sz w:val="23"/>
        </w:rPr>
        <w:t>Paso 0. Anonimizar los datos crudos</w:t>
      </w:r>
    </w:p>
    <w:p>
      <w:pPr>
        <w:spacing w:before="80" w:after="200"/>
        <w:ind w:left="170"/>
        <w:shd w:val="clear" w:fill="101820"/>
        <w:pBdr>
          <w:left w:val="single" w:sz="24" w:space="8" w:color="1F6E8C"/>
        </w:pBdr>
      </w:pPr>
      <w:r>
        <w:rPr>
          <w:rFonts w:ascii="Consolas" w:hAnsi="Consolas"/>
          <w:color w:val="6FB4CF"/>
          <w:sz w:val="20"/>
        </w:rPr>
        <w:t xml:space="preserve">$ </w:t>
      </w:r>
      <w:r>
        <w:rPr>
          <w:rFonts w:ascii="Consolas" w:hAnsi="Consolas"/>
          <w:color w:val="D8E2E8"/>
          <w:sz w:val="20"/>
        </w:rPr>
        <w:t>python scripts/cleanup-data.py</w:t>
      </w:r>
    </w:p>
    <w:p>
      <w:pPr>
        <w:spacing w:after="160"/>
      </w:pPr>
      <w:r>
        <w:rPr>
          <w:rFonts w:ascii="Segoe UI" w:hAnsi="Segoe UI"/>
          <w:color w:val="1B2430"/>
          <w:sz w:val="21"/>
        </w:rPr>
        <w:t>Lee db_files/claims.xlsx tal como lo entrega el cliente y genera una copia limpia en output/claims_clean.csv, reemplazando nombres, cédulas, teléfonos y correos por códigos. Los códigos son consistentes: la misma persona recibe el mismo código en todos sus reclamos, así el análisis no pierde la capacidad de relacionar información, solo la identidad real de la persona.</w:t>
      </w:r>
    </w:p>
    <w:p>
      <w:pPr>
        <w:spacing w:before="80" w:after="240"/>
        <w:ind w:left="170"/>
        <w:shd w:val="clear" w:fill="F5E9D8"/>
        <w:pBdr>
          <w:left w:val="single" w:sz="24" w:space="8" w:color="B4711E"/>
        </w:pBdr>
      </w:pPr>
      <w:r>
        <w:rPr>
          <w:rFonts w:ascii="Consolas" w:hAnsi="Consolas"/>
          <w:b/>
          <w:color w:val="B4711E"/>
          <w:sz w:val="16"/>
        </w:rPr>
        <w:t>LIMITACIÓN CONOCIDA</w:t>
        <w:br/>
      </w:r>
      <w:r>
        <w:rPr>
          <w:rFonts w:ascii="Segoe UI" w:hAnsi="Segoe UI"/>
          <w:color w:val="1B2430"/>
          <w:sz w:val="20"/>
        </w:rPr>
        <w:t>Este paso automático cubre los casos más comunes, pero cuando el texto libre del ticket menciona a alguien de forma poco habitual o con errores de tipeo, puede no detectarlo. Por eso el cliente hizo una revisión manual adicional. Es un punto de mejora a futuro (Próximos pasos), no un fallo del sistema.</w:t>
      </w:r>
    </w:p>
    <w:p>
      <w:pPr>
        <w:spacing w:before="80" w:after="40"/>
        <w:jc w:val="center"/>
      </w:pPr>
      <w:r>
        <w:drawing>
          <wp:inline xmlns:a="http://schemas.openxmlformats.org/drawingml/2006/main" xmlns:pic="http://schemas.openxmlformats.org/drawingml/2006/picture">
            <wp:extent cx="5486400" cy="2036702"/>
            <wp:docPr id="2" name="Picture 2"/>
            <wp:cNvGraphicFramePr>
              <a:graphicFrameLocks noChangeAspect="1"/>
            </wp:cNvGraphicFramePr>
            <a:graphic>
              <a:graphicData uri="http://schemas.openxmlformats.org/drawingml/2006/picture">
                <pic:pic>
                  <pic:nvPicPr>
                    <pic:cNvPr id="0" name="02_anonimizacion_terminal.png"/>
                    <pic:cNvPicPr/>
                  </pic:nvPicPr>
                  <pic:blipFill>
                    <a:blip r:embed="rId10"/>
                    <a:stretch>
                      <a:fillRect/>
                    </a:stretch>
                  </pic:blipFill>
                  <pic:spPr>
                    <a:xfrm>
                      <a:off x="0" y="0"/>
                      <a:ext cx="5486400" cy="2036702"/>
                    </a:xfrm>
                    <a:prstGeom prst="rect"/>
                  </pic:spPr>
                </pic:pic>
              </a:graphicData>
            </a:graphic>
          </wp:inline>
        </w:drawing>
      </w:r>
    </w:p>
    <w:p>
      <w:pPr>
        <w:spacing w:after="280"/>
        <w:jc w:val="center"/>
      </w:pPr>
      <w:r>
        <w:rPr>
          <w:rFonts w:ascii="Segoe UI" w:hAnsi="Segoe UI"/>
          <w:i/>
          <w:color w:val="55606B"/>
          <w:sz w:val="18"/>
        </w:rPr>
        <w:t>Corrida de demostración con datos sintéticos (el archivo real del cliente no se distribuye en el repositorio); el comando y el formato de salida son los reales.</w:t>
      </w:r>
    </w:p>
    <w:p>
      <w:pPr>
        <w:spacing w:before="400" w:after="120"/>
      </w:pPr>
      <w:r>
        <w:rPr>
          <w:rFonts w:ascii="Consolas" w:hAnsi="Consolas"/>
          <w:b/>
          <w:color w:val="1F6E8C"/>
          <w:sz w:val="20"/>
        </w:rPr>
        <w:t xml:space="preserve">5  </w:t>
      </w:r>
      <w:r>
        <w:rPr>
          <w:rFonts w:ascii="Cambria" w:hAnsi="Cambria"/>
          <w:b/>
          <w:color w:val="1B2430"/>
          <w:sz w:val="32"/>
        </w:rPr>
        <w:t>Caso de uso típico: generar el ranking mensual</w:t>
      </w:r>
    </w:p>
    <w:p>
      <w:pPr>
        <w:spacing w:after="160"/>
      </w:pPr>
      <w:r>
        <w:rPr>
          <w:rFonts w:ascii="Segoe UI" w:hAnsi="Segoe UI"/>
          <w:color w:val="1B2430"/>
          <w:sz w:val="21"/>
        </w:rPr>
        <w:t>Con los datos ya anonimizados, generar el ranking de sitios toma dos pasos.</w:t>
      </w:r>
    </w:p>
    <w:p>
      <w:pPr>
        <w:spacing w:before="240" w:after="80"/>
      </w:pPr>
      <w:r>
        <w:rPr>
          <w:rFonts w:ascii="Segoe UI" w:hAnsi="Segoe UI"/>
          <w:b/>
          <w:color w:val="1B2430"/>
          <w:sz w:val="23"/>
        </w:rPr>
        <w:t>Paso 1. Construir el dataset del mes</w:t>
      </w:r>
    </w:p>
    <w:p>
      <w:pPr>
        <w:spacing w:before="80" w:after="200"/>
        <w:ind w:left="170"/>
        <w:shd w:val="clear" w:fill="101820"/>
        <w:pBdr>
          <w:left w:val="single" w:sz="24" w:space="8" w:color="1F6E8C"/>
        </w:pBdr>
      </w:pPr>
      <w:r>
        <w:rPr>
          <w:rFonts w:ascii="Consolas" w:hAnsi="Consolas"/>
          <w:color w:val="6FB4CF"/>
          <w:sz w:val="20"/>
        </w:rPr>
        <w:t xml:space="preserve">$ </w:t>
      </w:r>
      <w:r>
        <w:rPr>
          <w:rFonts w:ascii="Consolas" w:hAnsi="Consolas"/>
          <w:color w:val="D8E2E8"/>
          <w:sz w:val="20"/>
        </w:rPr>
        <w:t>python src/build_modeling_dataset.py --grain monthly --source files</w:t>
      </w:r>
    </w:p>
    <w:p>
      <w:pPr>
        <w:spacing w:after="160"/>
      </w:pPr>
      <w:r>
        <w:rPr>
          <w:rFonts w:ascii="Segoe UI" w:hAnsi="Segoe UI"/>
          <w:color w:val="1B2430"/>
          <w:sz w:val="21"/>
        </w:rPr>
        <w:t>Junta reclamos, ubicación de sitios e indicadores de red en una sola tabla, un registro por sitio y por mes. Guarda el resultado en output/modeling_dataset_monthly.parquet. Toma pocos minutos.</w:t>
      </w:r>
    </w:p>
    <w:p>
      <w:pPr>
        <w:spacing w:before="240" w:after="80"/>
      </w:pPr>
      <w:r>
        <w:rPr>
          <w:rFonts w:ascii="Segoe UI" w:hAnsi="Segoe UI"/>
          <w:b/>
          <w:color w:val="1B2430"/>
          <w:sz w:val="23"/>
        </w:rPr>
        <w:t>Paso 2. Generar el ranking de sitios en riesgo</w:t>
      </w:r>
    </w:p>
    <w:p>
      <w:pPr>
        <w:spacing w:before="80" w:after="200"/>
        <w:ind w:left="170"/>
        <w:shd w:val="clear" w:fill="101820"/>
        <w:pBdr>
          <w:left w:val="single" w:sz="24" w:space="8" w:color="1F6E8C"/>
        </w:pBdr>
      </w:pPr>
      <w:r>
        <w:rPr>
          <w:rFonts w:ascii="Consolas" w:hAnsi="Consolas"/>
          <w:color w:val="6FB4CF"/>
          <w:sz w:val="20"/>
        </w:rPr>
        <w:t xml:space="preserve">$ </w:t>
      </w:r>
      <w:r>
        <w:rPr>
          <w:rFonts w:ascii="Consolas" w:hAnsi="Consolas"/>
          <w:color w:val="D8E2E8"/>
          <w:sz w:val="20"/>
        </w:rPr>
        <w:t>python src/score_sites.py</w:t>
      </w:r>
    </w:p>
    <w:p>
      <w:pPr>
        <w:spacing w:after="160"/>
      </w:pPr>
      <w:r>
        <w:rPr>
          <w:rFonts w:ascii="Segoe UI" w:hAnsi="Segoe UI"/>
          <w:color w:val="1B2430"/>
          <w:sz w:val="21"/>
        </w:rPr>
        <w:t>Entrena el modelo con la información más reciente y calcula, para cada sitio, qué tan probable es que genere un reclamo. El resultado queda en dos archivos con la misma información: ranking_sitios.csv (para Excel/Sheets) y ranking_sitios.parquet (formato técnico).</w:t>
      </w:r>
    </w:p>
    <w:p>
      <w:pPr>
        <w:spacing w:before="80" w:after="40"/>
        <w:jc w:val="center"/>
      </w:pPr>
      <w:r>
        <w:drawing>
          <wp:inline xmlns:a="http://schemas.openxmlformats.org/drawingml/2006/main" xmlns:pic="http://schemas.openxmlformats.org/drawingml/2006/picture">
            <wp:extent cx="5906087" cy="2096713"/>
            <wp:docPr id="3" name="Picture 3"/>
            <wp:cNvGraphicFramePr>
              <a:graphicFrameLocks noChangeAspect="1"/>
            </wp:cNvGraphicFramePr>
            <a:graphic>
              <a:graphicData uri="http://schemas.openxmlformats.org/drawingml/2006/picture">
                <pic:pic>
                  <pic:nvPicPr>
                    <pic:cNvPr id="0" name="03_score_sites_terminal.png"/>
                    <pic:cNvPicPr/>
                  </pic:nvPicPr>
                  <pic:blipFill>
                    <a:blip r:embed="rId11"/>
                    <a:stretch>
                      <a:fillRect/>
                    </a:stretch>
                  </pic:blipFill>
                  <pic:spPr>
                    <a:xfrm>
                      <a:off x="0" y="0"/>
                      <a:ext cx="5906087" cy="2096713"/>
                    </a:xfrm>
                    <a:prstGeom prst="rect"/>
                  </pic:spPr>
                </pic:pic>
              </a:graphicData>
            </a:graphic>
          </wp:inline>
        </w:drawing>
      </w:r>
    </w:p>
    <w:p>
      <w:pPr>
        <w:spacing w:after="280"/>
        <w:jc w:val="center"/>
      </w:pPr>
      <w:r>
        <w:rPr>
          <w:rFonts w:ascii="Segoe UI" w:hAnsi="Segoe UI"/>
          <w:i/>
          <w:color w:val="55606B"/>
          <w:sz w:val="18"/>
        </w:rPr>
        <w:t>Salida real de score_sites.py: resumen de los 10 sitios de mayor riesgo</w:t>
      </w:r>
    </w:p>
    <w:p>
      <w:pPr>
        <w:spacing w:before="80" w:after="40"/>
        <w:jc w:val="center"/>
      </w:pPr>
      <w:r>
        <w:drawing>
          <wp:inline xmlns:a="http://schemas.openxmlformats.org/drawingml/2006/main" xmlns:pic="http://schemas.openxmlformats.org/drawingml/2006/picture">
            <wp:extent cx="5669280" cy="3337801"/>
            <wp:docPr id="4" name="Picture 4"/>
            <wp:cNvGraphicFramePr>
              <a:graphicFrameLocks noChangeAspect="1"/>
            </wp:cNvGraphicFramePr>
            <a:graphic>
              <a:graphicData uri="http://schemas.openxmlformats.org/drawingml/2006/picture">
                <pic:pic>
                  <pic:nvPicPr>
                    <pic:cNvPr id="0" name="04_ranking_csv.png"/>
                    <pic:cNvPicPr/>
                  </pic:nvPicPr>
                  <pic:blipFill>
                    <a:blip r:embed="rId12"/>
                    <a:stretch>
                      <a:fillRect/>
                    </a:stretch>
                  </pic:blipFill>
                  <pic:spPr>
                    <a:xfrm>
                      <a:off x="0" y="0"/>
                      <a:ext cx="5669280" cy="3337801"/>
                    </a:xfrm>
                    <a:prstGeom prst="rect"/>
                  </pic:spPr>
                </pic:pic>
              </a:graphicData>
            </a:graphic>
          </wp:inline>
        </w:drawing>
      </w:r>
    </w:p>
    <w:p>
      <w:pPr>
        <w:spacing w:after="280"/>
        <w:jc w:val="center"/>
      </w:pPr>
      <w:r>
        <w:rPr>
          <w:rFonts w:ascii="Segoe UI" w:hAnsi="Segoe UI"/>
          <w:i/>
          <w:color w:val="55606B"/>
          <w:sz w:val="18"/>
        </w:rPr>
        <w:t>Columnas principales de ranking_sitios.csv, datos reales de la corrida más reciente</w:t>
      </w:r>
    </w:p>
    <w:p>
      <w:pPr>
        <w:spacing w:before="80" w:after="240"/>
        <w:ind w:left="170"/>
        <w:shd w:val="clear" w:fill="EEF2F4"/>
        <w:pBdr>
          <w:left w:val="single" w:sz="24" w:space="8" w:color="1F6E8C"/>
        </w:pBdr>
      </w:pPr>
      <w:r>
        <w:rPr>
          <w:rFonts w:ascii="Consolas" w:hAnsi="Consolas"/>
          <w:b/>
          <w:color w:val="1F6E8C"/>
          <w:sz w:val="16"/>
        </w:rPr>
        <w:t>CADENCIA DE USO</w:t>
        <w:br/>
      </w:r>
      <w:r>
        <w:rPr>
          <w:rFonts w:ascii="Segoe UI" w:hAnsi="Segoe UI"/>
          <w:color w:val="1B2430"/>
          <w:sz w:val="20"/>
        </w:rPr>
        <w:t>El sistema está pensado para correrse una vez al mes, después de que cierra el mes de datos. No hace falta correrlo con más frecuencia porque el histórico de reclamos que usa se actualiza a ese ritmo.</w:t>
      </w:r>
    </w:p>
    <w:p>
      <w:pPr>
        <w:spacing w:before="400" w:after="120"/>
      </w:pPr>
      <w:r>
        <w:rPr>
          <w:rFonts w:ascii="Consolas" w:hAnsi="Consolas"/>
          <w:b/>
          <w:color w:val="1F6E8C"/>
          <w:sz w:val="20"/>
        </w:rPr>
        <w:t xml:space="preserve">6  </w:t>
      </w:r>
      <w:r>
        <w:rPr>
          <w:rFonts w:ascii="Cambria" w:hAnsi="Cambria"/>
          <w:b/>
          <w:color w:val="1B2430"/>
          <w:sz w:val="32"/>
        </w:rPr>
        <w:t>Cómo leer ranking_sitios.csv</w:t>
      </w:r>
    </w:p>
    <w:p>
      <w:pPr>
        <w:spacing w:after="160"/>
      </w:pPr>
      <w:r>
        <w:rPr>
          <w:rFonts w:ascii="Segoe UI" w:hAnsi="Segoe UI"/>
          <w:color w:val="1B2430"/>
          <w:sz w:val="21"/>
        </w:rPr>
        <w:t>El archivo trae un registro por cada sitio, ordenado del mayor riesgo al menor.</w:t>
      </w:r>
    </w:p>
    <w:p>
      <w:pPr>
        <w:spacing w:after="120"/>
      </w:pPr>
      <w:r>
        <w:rPr>
          <w:rFonts w:ascii="Consolas" w:hAnsi="Consolas"/>
          <w:b/>
          <w:color w:val="155569"/>
          <w:sz w:val="19"/>
        </w:rPr>
        <w:t xml:space="preserve">prioridad_sitio: </w:t>
      </w:r>
      <w:r>
        <w:rPr>
          <w:rFonts w:ascii="Consolas" w:hAnsi="Consolas"/>
          <w:b/>
          <w:color w:val="A3392E"/>
          <w:sz w:val="17"/>
        </w:rPr>
        <w:t xml:space="preserve"> ALTA </w:t>
      </w:r>
      <w:r>
        <w:rPr>
          <w:rFonts w:ascii="Consolas" w:hAnsi="Consolas"/>
          <w:b/>
          <w:color w:val="B4711E"/>
          <w:sz w:val="17"/>
        </w:rPr>
        <w:t xml:space="preserve"> MEDIA </w:t>
      </w:r>
      <w:r>
        <w:rPr>
          <w:rFonts w:ascii="Consolas" w:hAnsi="Consolas"/>
          <w:b/>
          <w:color w:val="2F7A45"/>
          <w:sz w:val="17"/>
        </w:rPr>
        <w:t xml:space="preserve"> BAJA </w:t>
      </w:r>
    </w:p>
    <w:tbl>
      <w:tblPr>
        <w:tblStyle w:val="TableGrid"/>
        <w:tblW w:type="auto" w:w="0"/>
        <w:jc w:val="center"/>
        <w:tblLook w:firstColumn="1" w:firstRow="1" w:lastColumn="0" w:lastRow="0" w:noHBand="0" w:noVBand="1" w:val="04A0"/>
      </w:tblPr>
      <w:tblGrid>
        <w:gridCol w:w="4816"/>
        <w:gridCol w:w="4816"/>
      </w:tblGrid>
      <w:tr>
        <w:tc>
          <w:tcPr>
            <w:tcW w:type="dxa" w:w="2448"/>
            <w:shd w:val="clear" w:fill="E4EEF2"/>
          </w:tcPr>
          <w:p>
            <w:r>
              <w:rPr>
                <w:rFonts w:ascii="Consolas" w:hAnsi="Consolas"/>
                <w:b/>
                <w:color w:val="155569"/>
                <w:sz w:val="16"/>
              </w:rPr>
              <w:t>Columna</w:t>
            </w:r>
          </w:p>
        </w:tc>
        <w:tc>
          <w:tcPr>
            <w:tcW w:type="dxa" w:w="6480"/>
            <w:shd w:val="clear" w:fill="E4EEF2"/>
          </w:tcPr>
          <w:p>
            <w:r>
              <w:rPr>
                <w:rFonts w:ascii="Consolas" w:hAnsi="Consolas"/>
                <w:b/>
                <w:color w:val="155569"/>
                <w:sz w:val="16"/>
              </w:rPr>
              <w:t>Qué significa</w:t>
            </w:r>
          </w:p>
        </w:tc>
      </w:tr>
      <w:tr>
        <w:tc>
          <w:tcPr>
            <w:tcW w:type="dxa" w:w="2448"/>
          </w:tcPr>
          <w:p>
            <w:r>
              <w:rPr>
                <w:rFonts w:ascii="Consolas" w:hAnsi="Consolas"/>
                <w:color w:val="155569"/>
                <w:sz w:val="18"/>
              </w:rPr>
              <w:t>site_id</w:t>
            </w:r>
          </w:p>
        </w:tc>
        <w:tc>
          <w:tcPr>
            <w:tcW w:type="dxa" w:w="6480"/>
          </w:tcPr>
          <w:p>
            <w:r>
              <w:rPr>
                <w:rFonts w:ascii="Segoe UI" w:hAnsi="Segoe UI"/>
                <w:color w:val="1B2430"/>
                <w:sz w:val="19"/>
              </w:rPr>
              <w:t>Identificador del sitio (antena o estación de red)</w:t>
            </w:r>
          </w:p>
        </w:tc>
      </w:tr>
      <w:tr>
        <w:tc>
          <w:tcPr>
            <w:tcW w:type="dxa" w:w="2448"/>
          </w:tcPr>
          <w:p>
            <w:r>
              <w:rPr>
                <w:rFonts w:ascii="Consolas" w:hAnsi="Consolas"/>
                <w:color w:val="155569"/>
                <w:sz w:val="18"/>
              </w:rPr>
              <w:t>score_riesgo</w:t>
            </w:r>
          </w:p>
        </w:tc>
        <w:tc>
          <w:tcPr>
            <w:tcW w:type="dxa" w:w="6480"/>
          </w:tcPr>
          <w:p>
            <w:r>
              <w:rPr>
                <w:rFonts w:ascii="Segoe UI" w:hAnsi="Segoe UI"/>
                <w:color w:val="1B2430"/>
                <w:sz w:val="19"/>
              </w:rPr>
              <w:t>Probabilidad relativa de reclamo, escala 0 a 1. Mientras más alto, mayor prioridad</w:t>
            </w:r>
          </w:p>
        </w:tc>
      </w:tr>
      <w:tr>
        <w:tc>
          <w:tcPr>
            <w:tcW w:type="dxa" w:w="2448"/>
          </w:tcPr>
          <w:p>
            <w:r>
              <w:rPr>
                <w:rFonts w:ascii="Consolas" w:hAnsi="Consolas"/>
                <w:color w:val="155569"/>
                <w:sz w:val="18"/>
              </w:rPr>
              <w:t>kpis_driver</w:t>
            </w:r>
          </w:p>
        </w:tc>
        <w:tc>
          <w:tcPr>
            <w:tcW w:type="dxa" w:w="6480"/>
          </w:tcPr>
          <w:p>
            <w:r>
              <w:rPr>
                <w:rFonts w:ascii="Segoe UI" w:hAnsi="Segoe UI"/>
                <w:color w:val="1B2430"/>
                <w:sz w:val="19"/>
              </w:rPr>
              <w:t>Los dos indicadores de red que más empujan el resultado</w:t>
            </w:r>
          </w:p>
        </w:tc>
      </w:tr>
      <w:tr>
        <w:tc>
          <w:tcPr>
            <w:tcW w:type="dxa" w:w="2448"/>
          </w:tcPr>
          <w:p>
            <w:r>
              <w:rPr>
                <w:rFonts w:ascii="Consolas" w:hAnsi="Consolas"/>
                <w:color w:val="155569"/>
                <w:sz w:val="18"/>
              </w:rPr>
              <w:t>umbral_incumplido</w:t>
            </w:r>
          </w:p>
        </w:tc>
        <w:tc>
          <w:tcPr>
            <w:tcW w:type="dxa" w:w="6480"/>
          </w:tcPr>
          <w:p>
            <w:r>
              <w:rPr>
                <w:rFonts w:ascii="Segoe UI" w:hAnsi="Segoe UI"/>
                <w:color w:val="1B2430"/>
                <w:sz w:val="19"/>
              </w:rPr>
              <w:t>Qué reglas de negocio conocidas incumple el sitio</w:t>
            </w:r>
          </w:p>
        </w:tc>
      </w:tr>
      <w:tr>
        <w:tc>
          <w:tcPr>
            <w:tcW w:type="dxa" w:w="2448"/>
          </w:tcPr>
          <w:p>
            <w:r>
              <w:rPr>
                <w:rFonts w:ascii="Consolas" w:hAnsi="Consolas"/>
                <w:color w:val="155569"/>
                <w:sz w:val="18"/>
              </w:rPr>
              <w:t>accion_recomendada</w:t>
            </w:r>
          </w:p>
        </w:tc>
        <w:tc>
          <w:tcPr>
            <w:tcW w:type="dxa" w:w="6480"/>
          </w:tcPr>
          <w:p>
            <w:r>
              <w:rPr>
                <w:rFonts w:ascii="Segoe UI" w:hAnsi="Segoe UI"/>
                <w:color w:val="1B2430"/>
                <w:sz w:val="19"/>
              </w:rPr>
              <w:t>Inversión tecnológica / Mantenimiento programado / Monitoreo</w:t>
            </w:r>
          </w:p>
        </w:tc>
      </w:tr>
      <w:tr>
        <w:tc>
          <w:tcPr>
            <w:tcW w:type="dxa" w:w="2448"/>
          </w:tcPr>
          <w:p>
            <w:r>
              <w:rPr>
                <w:rFonts w:ascii="Consolas" w:hAnsi="Consolas"/>
                <w:color w:val="155569"/>
                <w:sz w:val="18"/>
              </w:rPr>
              <w:t>cluster</w:t>
            </w:r>
            <w:r>
              <w:rPr>
                <w:rFonts w:ascii="Segoe UI" w:hAnsi="Segoe UI"/>
                <w:color w:val="1B2430"/>
                <w:sz w:val="19"/>
              </w:rPr>
              <w:t xml:space="preserve"> / </w:t>
            </w:r>
            <w:r>
              <w:rPr>
                <w:rFonts w:ascii="Consolas" w:hAnsi="Consolas"/>
                <w:color w:val="155569"/>
                <w:sz w:val="18"/>
              </w:rPr>
              <w:t>perfil</w:t>
            </w:r>
          </w:p>
        </w:tc>
        <w:tc>
          <w:tcPr>
            <w:tcW w:type="dxa" w:w="6480"/>
          </w:tcPr>
          <w:p>
            <w:r>
              <w:rPr>
                <w:rFonts w:ascii="Segoe UI" w:hAnsi="Segoe UI"/>
                <w:color w:val="1B2430"/>
                <w:sz w:val="19"/>
              </w:rPr>
              <w:t>Grupo de sitios con características parecidas, con etiqueta descriptiva</w:t>
            </w:r>
          </w:p>
        </w:tc>
      </w:tr>
      <w:tr>
        <w:tc>
          <w:tcPr>
            <w:tcW w:type="dxa" w:w="2448"/>
          </w:tcPr>
          <w:p>
            <w:r>
              <w:rPr>
                <w:rFonts w:ascii="Consolas" w:hAnsi="Consolas"/>
                <w:color w:val="155569"/>
                <w:sz w:val="18"/>
              </w:rPr>
              <w:t>meses_en_riesgo</w:t>
            </w:r>
          </w:p>
        </w:tc>
        <w:tc>
          <w:tcPr>
            <w:tcW w:type="dxa" w:w="6480"/>
          </w:tcPr>
          <w:p>
            <w:r>
              <w:rPr>
                <w:rFonts w:ascii="Segoe UI" w:hAnsi="Segoe UI"/>
                <w:color w:val="1B2430"/>
                <w:sz w:val="19"/>
              </w:rPr>
              <w:t>Cuántos meses del historial este sitio ya generó reclamo</w:t>
            </w:r>
          </w:p>
        </w:tc>
      </w:tr>
    </w:tbl>
    <w:p>
      <w:pPr>
        <w:spacing w:after="80"/>
      </w:pPr>
    </w:p>
    <w:p>
      <w:pPr>
        <w:spacing w:before="80" w:after="240"/>
        <w:ind w:left="170"/>
        <w:shd w:val="clear" w:fill="EEF2F4"/>
        <w:pBdr>
          <w:left w:val="single" w:sz="24" w:space="8" w:color="1F6E8C"/>
        </w:pBdr>
      </w:pPr>
      <w:r>
        <w:rPr>
          <w:rFonts w:ascii="Consolas" w:hAnsi="Consolas"/>
          <w:b/>
          <w:color w:val="1F6E8C"/>
          <w:sz w:val="16"/>
        </w:rPr>
        <w:t>IMPORTANTE</w:t>
        <w:br/>
      </w:r>
      <w:r>
        <w:rPr>
          <w:rFonts w:ascii="Segoe UI" w:hAnsi="Segoe UI"/>
          <w:color w:val="1B2430"/>
          <w:sz w:val="20"/>
        </w:rPr>
        <w:t>score_riesgo es una probabilidad relativa para comparar sitios entre sí, no un porcentaje de certeza absoluta. Un sitio con score 0.65 no significa 65% de certeza de que va a fallar: significa que está entre los sitios con más señales de riesgo comparado con el resto.</w:t>
      </w:r>
    </w:p>
    <w:p>
      <w:pPr>
        <w:spacing w:before="400" w:after="120"/>
      </w:pPr>
      <w:r>
        <w:rPr>
          <w:rFonts w:ascii="Consolas" w:hAnsi="Consolas"/>
          <w:b/>
          <w:color w:val="1F6E8C"/>
          <w:sz w:val="20"/>
        </w:rPr>
        <w:t xml:space="preserve">7  </w:t>
      </w:r>
      <w:r>
        <w:rPr>
          <w:rFonts w:ascii="Cambria" w:hAnsi="Cambria"/>
          <w:b/>
          <w:color w:val="1B2430"/>
          <w:sz w:val="32"/>
        </w:rPr>
        <w:t>Cómo interpretar los gráficos de apoyo</w:t>
      </w:r>
    </w:p>
    <w:p>
      <w:pPr>
        <w:spacing w:after="160"/>
      </w:pPr>
      <w:r>
        <w:rPr>
          <w:rFonts w:ascii="Segoe UI" w:hAnsi="Segoe UI"/>
          <w:color w:val="1B2430"/>
          <w:sz w:val="21"/>
        </w:rPr>
        <w:t>Estos gráficos los genera el notebook de análisis, no el script de uso diario, y sirven para entender el porqué detrás del ranking. Quedan guardados en output/mensual-pronopro/figures/.</w:t>
      </w:r>
    </w:p>
    <w:p>
      <w:pPr>
        <w:spacing w:before="240" w:after="80"/>
      </w:pPr>
      <w:r>
        <w:rPr>
          <w:rFonts w:ascii="Segoe UI" w:hAnsi="Segoe UI"/>
          <w:b/>
          <w:color w:val="1B2430"/>
          <w:sz w:val="23"/>
        </w:rPr>
        <w:t>Importancia de cada indicador</w:t>
      </w:r>
    </w:p>
    <w:p>
      <w:pPr>
        <w:spacing w:before="80" w:after="40"/>
        <w:jc w:val="center"/>
      </w:pPr>
      <w:r>
        <w:drawing>
          <wp:inline xmlns:a="http://schemas.openxmlformats.org/drawingml/2006/main" xmlns:pic="http://schemas.openxmlformats.org/drawingml/2006/picture">
            <wp:extent cx="5303520" cy="2806532"/>
            <wp:docPr id="5" name="Picture 5"/>
            <wp:cNvGraphicFramePr>
              <a:graphicFrameLocks noChangeAspect="1"/>
            </wp:cNvGraphicFramePr>
            <a:graphic>
              <a:graphicData uri="http://schemas.openxmlformats.org/drawingml/2006/picture">
                <pic:pic>
                  <pic:nvPicPr>
                    <pic:cNvPr id="0" name="05_shap_global_bar.png"/>
                    <pic:cNvPicPr/>
                  </pic:nvPicPr>
                  <pic:blipFill>
                    <a:blip r:embed="rId13"/>
                    <a:stretch>
                      <a:fillRect/>
                    </a:stretch>
                  </pic:blipFill>
                  <pic:spPr>
                    <a:xfrm>
                      <a:off x="0" y="0"/>
                      <a:ext cx="5303520" cy="2806532"/>
                    </a:xfrm>
                    <a:prstGeom prst="rect"/>
                  </pic:spPr>
                </pic:pic>
              </a:graphicData>
            </a:graphic>
          </wp:inline>
        </w:drawing>
      </w:r>
    </w:p>
    <w:p>
      <w:pPr>
        <w:spacing w:after="280"/>
        <w:jc w:val="center"/>
      </w:pPr>
      <w:r>
        <w:rPr>
          <w:rFonts w:ascii="Segoe UI" w:hAnsi="Segoe UI"/>
          <w:i/>
          <w:color w:val="55606B"/>
          <w:sz w:val="18"/>
        </w:rPr>
        <w:t>Peso promedio de cada indicador en la decisión del modelo</w:t>
      </w:r>
    </w:p>
    <w:p>
      <w:pPr>
        <w:spacing w:before="240" w:after="80"/>
      </w:pPr>
      <w:r>
        <w:rPr>
          <w:rFonts w:ascii="Segoe UI" w:hAnsi="Segoe UI"/>
          <w:b/>
          <w:color w:val="1B2430"/>
          <w:sz w:val="23"/>
        </w:rPr>
        <w:t>Dirección del efecto</w:t>
      </w:r>
    </w:p>
    <w:p>
      <w:pPr>
        <w:spacing w:before="80" w:after="40"/>
        <w:jc w:val="center"/>
      </w:pPr>
      <w:r>
        <w:drawing>
          <wp:inline xmlns:a="http://schemas.openxmlformats.org/drawingml/2006/main" xmlns:pic="http://schemas.openxmlformats.org/drawingml/2006/picture">
            <wp:extent cx="5303520" cy="2554950"/>
            <wp:docPr id="6" name="Picture 6"/>
            <wp:cNvGraphicFramePr>
              <a:graphicFrameLocks noChangeAspect="1"/>
            </wp:cNvGraphicFramePr>
            <a:graphic>
              <a:graphicData uri="http://schemas.openxmlformats.org/drawingml/2006/picture">
                <pic:pic>
                  <pic:nvPicPr>
                    <pic:cNvPr id="0" name="06_shap_beeswarm.png"/>
                    <pic:cNvPicPr/>
                  </pic:nvPicPr>
                  <pic:blipFill>
                    <a:blip r:embed="rId14"/>
                    <a:stretch>
                      <a:fillRect/>
                    </a:stretch>
                  </pic:blipFill>
                  <pic:spPr>
                    <a:xfrm>
                      <a:off x="0" y="0"/>
                      <a:ext cx="5303520" cy="2554950"/>
                    </a:xfrm>
                    <a:prstGeom prst="rect"/>
                  </pic:spPr>
                </pic:pic>
              </a:graphicData>
            </a:graphic>
          </wp:inline>
        </w:drawing>
      </w:r>
    </w:p>
    <w:p>
      <w:pPr>
        <w:spacing w:after="280"/>
        <w:jc w:val="center"/>
      </w:pPr>
      <w:r>
        <w:rPr>
          <w:rFonts w:ascii="Segoe UI" w:hAnsi="Segoe UI"/>
          <w:i/>
          <w:color w:val="55606B"/>
          <w:sz w:val="18"/>
        </w:rPr>
        <w:t>Si valores altos o bajos de cada indicador empujan el riesgo hacia arriba o abajo</w:t>
      </w:r>
    </w:p>
    <w:p>
      <w:pPr>
        <w:spacing w:before="240" w:after="80"/>
      </w:pPr>
      <w:r>
        <w:rPr>
          <w:rFonts w:ascii="Segoe UI" w:hAnsi="Segoe UI"/>
          <w:b/>
          <w:color w:val="1B2430"/>
          <w:sz w:val="23"/>
        </w:rPr>
        <w:t>Grupos de sitios</w:t>
      </w:r>
    </w:p>
    <w:p>
      <w:pPr>
        <w:spacing w:before="80" w:after="40"/>
        <w:jc w:val="center"/>
      </w:pPr>
      <w:r>
        <w:drawing>
          <wp:inline xmlns:a="http://schemas.openxmlformats.org/drawingml/2006/main" xmlns:pic="http://schemas.openxmlformats.org/drawingml/2006/picture">
            <wp:extent cx="5303520" cy="4730948"/>
            <wp:docPr id="7" name="Picture 7"/>
            <wp:cNvGraphicFramePr>
              <a:graphicFrameLocks noChangeAspect="1"/>
            </wp:cNvGraphicFramePr>
            <a:graphic>
              <a:graphicData uri="http://schemas.openxmlformats.org/drawingml/2006/picture">
                <pic:pic>
                  <pic:nvPicPr>
                    <pic:cNvPr id="0" name="07_cluster_sitios.png"/>
                    <pic:cNvPicPr/>
                  </pic:nvPicPr>
                  <pic:blipFill>
                    <a:blip r:embed="rId15"/>
                    <a:stretch>
                      <a:fillRect/>
                    </a:stretch>
                  </pic:blipFill>
                  <pic:spPr>
                    <a:xfrm>
                      <a:off x="0" y="0"/>
                      <a:ext cx="5303520" cy="4730948"/>
                    </a:xfrm>
                    <a:prstGeom prst="rect"/>
                  </pic:spPr>
                </pic:pic>
              </a:graphicData>
            </a:graphic>
          </wp:inline>
        </w:drawing>
      </w:r>
    </w:p>
    <w:p>
      <w:pPr>
        <w:spacing w:after="280"/>
        <w:jc w:val="center"/>
      </w:pPr>
      <w:r>
        <w:rPr>
          <w:rFonts w:ascii="Segoe UI" w:hAnsi="Segoe UI"/>
          <w:i/>
          <w:color w:val="55606B"/>
          <w:sz w:val="18"/>
        </w:rPr>
        <w:t>Sitios agrupados por perfil de comportamiento similar</w:t>
      </w:r>
    </w:p>
    <w:p>
      <w:pPr>
        <w:spacing w:before="240" w:after="80"/>
      </w:pPr>
      <w:r>
        <w:rPr>
          <w:rFonts w:ascii="Segoe UI" w:hAnsi="Segoe UI"/>
          <w:b/>
          <w:color w:val="1B2430"/>
          <w:sz w:val="23"/>
        </w:rPr>
        <w:t>Tasa de reclamo por umbral de indicador</w:t>
      </w:r>
    </w:p>
    <w:p>
      <w:pPr>
        <w:spacing w:before="80" w:after="40"/>
        <w:jc w:val="center"/>
      </w:pPr>
      <w:r>
        <w:drawing>
          <wp:inline xmlns:a="http://schemas.openxmlformats.org/drawingml/2006/main" xmlns:pic="http://schemas.openxmlformats.org/drawingml/2006/picture">
            <wp:extent cx="2377440" cy="2476335"/>
            <wp:docPr id="8" name="Picture 8"/>
            <wp:cNvGraphicFramePr>
              <a:graphicFrameLocks noChangeAspect="1"/>
            </wp:cNvGraphicFramePr>
            <a:graphic>
              <a:graphicData uri="http://schemas.openxmlformats.org/drawingml/2006/picture">
                <pic:pic>
                  <pic:nvPicPr>
                    <pic:cNvPr id="0" name="08a_eda_ava_bucket.png"/>
                    <pic:cNvPicPr/>
                  </pic:nvPicPr>
                  <pic:blipFill>
                    <a:blip r:embed="rId16"/>
                    <a:stretch>
                      <a:fillRect/>
                    </a:stretch>
                  </pic:blipFill>
                  <pic:spPr>
                    <a:xfrm>
                      <a:off x="0" y="0"/>
                      <a:ext cx="2377440" cy="2476335"/>
                    </a:xfrm>
                    <a:prstGeom prst="rect"/>
                  </pic:spPr>
                </pic:pic>
              </a:graphicData>
            </a:graphic>
          </wp:inline>
        </w:drawing>
      </w:r>
    </w:p>
    <w:p>
      <w:pPr>
        <w:spacing w:after="280"/>
        <w:jc w:val="center"/>
      </w:pPr>
      <w:r>
        <w:rPr>
          <w:rFonts w:ascii="Segoe UI" w:hAnsi="Segoe UI"/>
          <w:i/>
          <w:color w:val="55606B"/>
          <w:sz w:val="18"/>
        </w:rPr>
        <w:t>Disponibilidad (AVA_4G)</w:t>
      </w:r>
    </w:p>
    <w:p>
      <w:pPr>
        <w:spacing w:before="80" w:after="40"/>
        <w:jc w:val="center"/>
      </w:pPr>
      <w:r>
        <w:drawing>
          <wp:inline xmlns:a="http://schemas.openxmlformats.org/drawingml/2006/main" xmlns:pic="http://schemas.openxmlformats.org/drawingml/2006/picture">
            <wp:extent cx="2377440" cy="2464036"/>
            <wp:docPr id="9" name="Picture 9"/>
            <wp:cNvGraphicFramePr>
              <a:graphicFrameLocks noChangeAspect="1"/>
            </wp:cNvGraphicFramePr>
            <a:graphic>
              <a:graphicData uri="http://schemas.openxmlformats.org/drawingml/2006/picture">
                <pic:pic>
                  <pic:nvPicPr>
                    <pic:cNvPr id="0" name="08b_eda_dc_bucket.png"/>
                    <pic:cNvPicPr/>
                  </pic:nvPicPr>
                  <pic:blipFill>
                    <a:blip r:embed="rId17"/>
                    <a:stretch>
                      <a:fillRect/>
                    </a:stretch>
                  </pic:blipFill>
                  <pic:spPr>
                    <a:xfrm>
                      <a:off x="0" y="0"/>
                      <a:ext cx="2377440" cy="2464036"/>
                    </a:xfrm>
                    <a:prstGeom prst="rect"/>
                  </pic:spPr>
                </pic:pic>
              </a:graphicData>
            </a:graphic>
          </wp:inline>
        </w:drawing>
      </w:r>
    </w:p>
    <w:p>
      <w:pPr>
        <w:spacing w:after="280"/>
        <w:jc w:val="center"/>
      </w:pPr>
      <w:r>
        <w:rPr>
          <w:rFonts w:ascii="Segoe UI" w:hAnsi="Segoe UI"/>
          <w:i/>
          <w:color w:val="55606B"/>
          <w:sz w:val="18"/>
        </w:rPr>
        <w:t>Caídas de llamada (DC_V4G)</w:t>
      </w:r>
    </w:p>
    <w:p>
      <w:pPr>
        <w:spacing w:before="80" w:after="40"/>
        <w:jc w:val="center"/>
      </w:pPr>
      <w:r>
        <w:drawing>
          <wp:inline xmlns:a="http://schemas.openxmlformats.org/drawingml/2006/main" xmlns:pic="http://schemas.openxmlformats.org/drawingml/2006/picture">
            <wp:extent cx="2377440" cy="2329072"/>
            <wp:docPr id="10" name="Picture 10"/>
            <wp:cNvGraphicFramePr>
              <a:graphicFrameLocks noChangeAspect="1"/>
            </wp:cNvGraphicFramePr>
            <a:graphic>
              <a:graphicData uri="http://schemas.openxmlformats.org/drawingml/2006/picture">
                <pic:pic>
                  <pic:nvPicPr>
                    <pic:cNvPr id="0" name="08c_eda_thp_bucket.png"/>
                    <pic:cNvPicPr/>
                  </pic:nvPicPr>
                  <pic:blipFill>
                    <a:blip r:embed="rId18"/>
                    <a:stretch>
                      <a:fillRect/>
                    </a:stretch>
                  </pic:blipFill>
                  <pic:spPr>
                    <a:xfrm>
                      <a:off x="0" y="0"/>
                      <a:ext cx="2377440" cy="2329072"/>
                    </a:xfrm>
                    <a:prstGeom prst="rect"/>
                  </pic:spPr>
                </pic:pic>
              </a:graphicData>
            </a:graphic>
          </wp:inline>
        </w:drawing>
      </w:r>
    </w:p>
    <w:p>
      <w:pPr>
        <w:spacing w:after="280"/>
        <w:jc w:val="center"/>
      </w:pPr>
      <w:r>
        <w:rPr>
          <w:rFonts w:ascii="Segoe UI" w:hAnsi="Segoe UI"/>
          <w:i/>
          <w:color w:val="55606B"/>
          <w:sz w:val="18"/>
        </w:rPr>
        <w:t>Velocidad (THROUGHPUT_4G)</w:t>
      </w:r>
    </w:p>
    <w:p>
      <w:pPr>
        <w:spacing w:after="160"/>
      </w:pPr>
      <w:r>
        <w:rPr>
          <w:rFonts w:ascii="Segoe UI" w:hAnsi="Segoe UI"/>
          <w:color w:val="55606B"/>
          <w:sz w:val="19"/>
        </w:rPr>
        <w:t>Comparan, para cada indicador, cuántos reclamos hay por encima o por debajo del umbral de referencia. Es la evidencia detrás de los umbrales de negocio usados en el resto del sistema.</w:t>
      </w:r>
    </w:p>
    <w:p>
      <w:pPr>
        <w:spacing w:before="400" w:after="120"/>
      </w:pPr>
      <w:r>
        <w:rPr>
          <w:rFonts w:ascii="Consolas" w:hAnsi="Consolas"/>
          <w:b/>
          <w:color w:val="1F6E8C"/>
          <w:sz w:val="20"/>
        </w:rPr>
        <w:t xml:space="preserve">8  </w:t>
      </w:r>
      <w:r>
        <w:rPr>
          <w:rFonts w:ascii="Cambria" w:hAnsi="Cambria"/>
          <w:b/>
          <w:color w:val="1B2430"/>
          <w:sz w:val="32"/>
        </w:rPr>
        <w:t>Incidencias habituales</w:t>
      </w:r>
    </w:p>
    <w:tbl>
      <w:tblPr>
        <w:tblStyle w:val="TableGrid"/>
        <w:tblW w:type="auto" w:w="0"/>
        <w:jc w:val="center"/>
        <w:tblLook w:firstColumn="1" w:firstRow="1" w:lastColumn="0" w:lastRow="0" w:noHBand="0" w:noVBand="1" w:val="04A0"/>
      </w:tblPr>
      <w:tblGrid>
        <w:gridCol w:w="3211"/>
        <w:gridCol w:w="3211"/>
        <w:gridCol w:w="3211"/>
      </w:tblGrid>
      <w:tr>
        <w:tc>
          <w:tcPr>
            <w:tcW w:type="dxa" w:w="3024"/>
            <w:shd w:val="clear" w:fill="E4EEF2"/>
          </w:tcPr>
          <w:p>
            <w:r>
              <w:rPr>
                <w:rFonts w:ascii="Consolas" w:hAnsi="Consolas"/>
                <w:b/>
                <w:color w:val="155569"/>
                <w:sz w:val="16"/>
              </w:rPr>
              <w:t>Problema</w:t>
            </w:r>
          </w:p>
        </w:tc>
        <w:tc>
          <w:tcPr>
            <w:tcW w:type="dxa" w:w="3312"/>
            <w:shd w:val="clear" w:fill="E4EEF2"/>
          </w:tcPr>
          <w:p>
            <w:r>
              <w:rPr>
                <w:rFonts w:ascii="Consolas" w:hAnsi="Consolas"/>
                <w:b/>
                <w:color w:val="155569"/>
                <w:sz w:val="16"/>
              </w:rPr>
              <w:t>Causa probable</w:t>
            </w:r>
          </w:p>
        </w:tc>
        <w:tc>
          <w:tcPr>
            <w:tcW w:type="dxa" w:w="2736"/>
            <w:shd w:val="clear" w:fill="E4EEF2"/>
          </w:tcPr>
          <w:p>
            <w:r>
              <w:rPr>
                <w:rFonts w:ascii="Consolas" w:hAnsi="Consolas"/>
                <w:b/>
                <w:color w:val="155569"/>
                <w:sz w:val="16"/>
              </w:rPr>
              <w:t>Qué hacer</w:t>
            </w:r>
          </w:p>
        </w:tc>
      </w:tr>
      <w:tr>
        <w:tc>
          <w:tcPr>
            <w:tcW w:type="dxa" w:w="3024"/>
          </w:tcPr>
          <w:p>
            <w:r>
              <w:rPr>
                <w:rFonts w:ascii="Segoe UI" w:hAnsi="Segoe UI"/>
                <w:color w:val="1B2430"/>
                <w:sz w:val="19"/>
              </w:rPr>
              <w:t>"Parquet no encontrado" al correr score_sites.py</w:t>
            </w:r>
          </w:p>
        </w:tc>
        <w:tc>
          <w:tcPr>
            <w:tcW w:type="dxa" w:w="3312"/>
          </w:tcPr>
          <w:p>
            <w:r>
              <w:rPr>
                <w:rFonts w:ascii="Segoe UI" w:hAnsi="Segoe UI"/>
                <w:color w:val="1B2430"/>
                <w:sz w:val="19"/>
              </w:rPr>
              <w:t>No se corrió el Paso 1 antes</w:t>
            </w:r>
          </w:p>
        </w:tc>
        <w:tc>
          <w:tcPr>
            <w:tcW w:type="dxa" w:w="2736"/>
          </w:tcPr>
          <w:p>
            <w:r>
              <w:rPr>
                <w:rFonts w:ascii="Segoe UI" w:hAnsi="Segoe UI"/>
                <w:color w:val="1B2430"/>
                <w:sz w:val="19"/>
              </w:rPr>
              <w:t>Correr build_modeling_dataset.py primero</w:t>
            </w:r>
          </w:p>
        </w:tc>
      </w:tr>
      <w:tr>
        <w:tc>
          <w:tcPr>
            <w:tcW w:type="dxa" w:w="3024"/>
          </w:tcPr>
          <w:p>
            <w:r>
              <w:rPr>
                <w:rFonts w:ascii="Segoe UI" w:hAnsi="Segoe UI"/>
                <w:color w:val="1B2430"/>
                <w:sz w:val="19"/>
              </w:rPr>
              <w:t>Anonimización dice "Expected file not found"</w:t>
            </w:r>
          </w:p>
        </w:tc>
        <w:tc>
          <w:tcPr>
            <w:tcW w:type="dxa" w:w="3312"/>
          </w:tcPr>
          <w:p>
            <w:r>
              <w:rPr>
                <w:rFonts w:ascii="Segoe UI" w:hAnsi="Segoe UI"/>
                <w:color w:val="1B2430"/>
                <w:sz w:val="19"/>
              </w:rPr>
              <w:t>No existe db_files/claims.xlsx, o tiene otro nombre</w:t>
            </w:r>
          </w:p>
        </w:tc>
        <w:tc>
          <w:tcPr>
            <w:tcW w:type="dxa" w:w="2736"/>
          </w:tcPr>
          <w:p>
            <w:r>
              <w:rPr>
                <w:rFonts w:ascii="Segoe UI" w:hAnsi="Segoe UI"/>
                <w:color w:val="1B2430"/>
                <w:sz w:val="19"/>
              </w:rPr>
              <w:t>Confirmar que el archivo del cliente esté en esa ruta exacta</w:t>
            </w:r>
          </w:p>
        </w:tc>
      </w:tr>
      <w:tr>
        <w:tc>
          <w:tcPr>
            <w:tcW w:type="dxa" w:w="3024"/>
          </w:tcPr>
          <w:p>
            <w:r>
              <w:rPr>
                <w:rFonts w:ascii="Segoe UI" w:hAnsi="Segoe UI"/>
                <w:color w:val="1B2430"/>
                <w:sz w:val="19"/>
              </w:rPr>
              <w:t>El ranking sale con muy pocos sitios o vacío</w:t>
            </w:r>
          </w:p>
        </w:tc>
        <w:tc>
          <w:tcPr>
            <w:tcW w:type="dxa" w:w="3312"/>
          </w:tcPr>
          <w:p>
            <w:r>
              <w:rPr>
                <w:rFonts w:ascii="Segoe UI" w:hAnsi="Segoe UI"/>
                <w:color w:val="1B2430"/>
                <w:sz w:val="19"/>
              </w:rPr>
              <w:t>El dataset tiene menos de un mes completo de historia</w:t>
            </w:r>
          </w:p>
        </w:tc>
        <w:tc>
          <w:tcPr>
            <w:tcW w:type="dxa" w:w="2736"/>
          </w:tcPr>
          <w:p>
            <w:r>
              <w:rPr>
                <w:rFonts w:ascii="Segoe UI" w:hAnsi="Segoe UI"/>
                <w:color w:val="1B2430"/>
                <w:sz w:val="19"/>
              </w:rPr>
              <w:t>Comportamiento esperado: se excluyen automáticamente</w:t>
            </w:r>
          </w:p>
        </w:tc>
      </w:tr>
      <w:tr>
        <w:tc>
          <w:tcPr>
            <w:tcW w:type="dxa" w:w="3024"/>
          </w:tcPr>
          <w:p>
            <w:r>
              <w:rPr>
                <w:rFonts w:ascii="Segoe UI" w:hAnsi="Segoe UI"/>
                <w:color w:val="1B2430"/>
                <w:sz w:val="19"/>
              </w:rPr>
              <w:t>El comando tarda varios minutos</w:t>
            </w:r>
          </w:p>
        </w:tc>
        <w:tc>
          <w:tcPr>
            <w:tcW w:type="dxa" w:w="3312"/>
          </w:tcPr>
          <w:p>
            <w:r>
              <w:rPr>
                <w:rFonts w:ascii="Segoe UI" w:hAnsi="Segoe UI"/>
                <w:color w:val="1B2430"/>
                <w:sz w:val="19"/>
              </w:rPr>
              <w:t>Ajuste automático de parámetros del modelo (Optuna)</w:t>
            </w:r>
          </w:p>
        </w:tc>
        <w:tc>
          <w:tcPr>
            <w:tcW w:type="dxa" w:w="2736"/>
          </w:tcPr>
          <w:p>
            <w:r>
              <w:rPr>
                <w:rFonts w:ascii="Segoe UI" w:hAnsi="Segoe UI"/>
                <w:color w:val="1B2430"/>
                <w:sz w:val="19"/>
              </w:rPr>
              <w:t>Esperado, no interrumpir</w:t>
            </w:r>
          </w:p>
        </w:tc>
      </w:tr>
      <w:tr>
        <w:tc>
          <w:tcPr>
            <w:tcW w:type="dxa" w:w="3024"/>
          </w:tcPr>
          <w:p>
            <w:r>
              <w:rPr>
                <w:rFonts w:ascii="Segoe UI" w:hAnsi="Segoe UI"/>
                <w:color w:val="1B2430"/>
                <w:sz w:val="19"/>
              </w:rPr>
              <w:t>Dudas sobre si un score_riesgo es confiable</w:t>
            </w:r>
          </w:p>
        </w:tc>
        <w:tc>
          <w:tcPr>
            <w:tcW w:type="dxa" w:w="3312"/>
          </w:tcPr>
          <w:p>
            <w:r>
              <w:rPr>
                <w:rFonts w:ascii="Segoe UI" w:hAnsi="Segoe UI"/>
                <w:color w:val="1B2430"/>
                <w:sz w:val="19"/>
              </w:rPr>
              <w:t>Ver limitaciones del modelo</w:t>
            </w:r>
          </w:p>
        </w:tc>
        <w:tc>
          <w:tcPr>
            <w:tcW w:type="dxa" w:w="2736"/>
          </w:tcPr>
          <w:p>
            <w:r>
              <w:rPr>
                <w:rFonts w:ascii="Segoe UI" w:hAnsi="Segoe UI"/>
                <w:color w:val="1B2430"/>
                <w:sz w:val="19"/>
              </w:rPr>
              <w:t>Revisar la sección de limitaciones antes de decidir</w:t>
            </w:r>
          </w:p>
        </w:tc>
      </w:tr>
    </w:tbl>
    <w:p>
      <w:pPr>
        <w:spacing w:after="80"/>
      </w:pPr>
    </w:p>
    <w:p>
      <w:pPr>
        <w:spacing w:before="400" w:after="120"/>
      </w:pPr>
      <w:r>
        <w:rPr>
          <w:rFonts w:ascii="Consolas" w:hAnsi="Consolas"/>
          <w:b/>
          <w:color w:val="1F6E8C"/>
          <w:sz w:val="20"/>
        </w:rPr>
        <w:t xml:space="preserve">9  </w:t>
      </w:r>
      <w:r>
        <w:rPr>
          <w:rFonts w:ascii="Cambria" w:hAnsi="Cambria"/>
          <w:b/>
          <w:color w:val="1B2430"/>
          <w:sz w:val="32"/>
        </w:rPr>
        <w:t>Glosario</w:t>
      </w:r>
    </w:p>
    <w:tbl>
      <w:tblPr>
        <w:tblStyle w:val="TableGrid"/>
        <w:tblW w:type="auto" w:w="0"/>
        <w:jc w:val="center"/>
        <w:tblLook w:firstColumn="1" w:firstRow="1" w:lastColumn="0" w:lastRow="0" w:noHBand="0" w:noVBand="1" w:val="04A0"/>
      </w:tblPr>
      <w:tblGrid>
        <w:gridCol w:w="4816"/>
        <w:gridCol w:w="4816"/>
      </w:tblGrid>
      <w:tr>
        <w:tc>
          <w:tcPr>
            <w:tcW w:type="dxa" w:w="2592"/>
            <w:shd w:val="clear" w:fill="E4EEF2"/>
          </w:tcPr>
          <w:p>
            <w:r>
              <w:rPr>
                <w:rFonts w:ascii="Consolas" w:hAnsi="Consolas"/>
                <w:b/>
                <w:color w:val="155569"/>
                <w:sz w:val="16"/>
              </w:rPr>
              <w:t>Término</w:t>
            </w:r>
          </w:p>
        </w:tc>
        <w:tc>
          <w:tcPr>
            <w:tcW w:type="dxa" w:w="6336"/>
            <w:shd w:val="clear" w:fill="E4EEF2"/>
          </w:tcPr>
          <w:p>
            <w:r>
              <w:rPr>
                <w:rFonts w:ascii="Consolas" w:hAnsi="Consolas"/>
                <w:b/>
                <w:color w:val="155569"/>
                <w:sz w:val="16"/>
              </w:rPr>
              <w:t>Qué significa</w:t>
            </w:r>
          </w:p>
        </w:tc>
      </w:tr>
      <w:tr>
        <w:tc>
          <w:tcPr>
            <w:tcW w:type="dxa" w:w="2592"/>
          </w:tcPr>
          <w:p>
            <w:r>
              <w:rPr>
                <w:rFonts w:ascii="Segoe UI" w:hAnsi="Segoe UI"/>
                <w:color w:val="1B2430"/>
                <w:sz w:val="19"/>
              </w:rPr>
              <w:t>Sitio</w:t>
            </w:r>
          </w:p>
        </w:tc>
        <w:tc>
          <w:tcPr>
            <w:tcW w:type="dxa" w:w="6336"/>
          </w:tcPr>
          <w:p>
            <w:r>
              <w:rPr>
                <w:rFonts w:ascii="Segoe UI" w:hAnsi="Segoe UI"/>
                <w:color w:val="1B2430"/>
                <w:sz w:val="19"/>
              </w:rPr>
              <w:t>Antena o estación de la red móvil</w:t>
            </w:r>
          </w:p>
        </w:tc>
      </w:tr>
      <w:tr>
        <w:tc>
          <w:tcPr>
            <w:tcW w:type="dxa" w:w="2592"/>
          </w:tcPr>
          <w:p>
            <w:r>
              <w:rPr>
                <w:rFonts w:ascii="Segoe UI" w:hAnsi="Segoe UI"/>
                <w:color w:val="1B2430"/>
                <w:sz w:val="19"/>
              </w:rPr>
              <w:t>Reclamo</w:t>
            </w:r>
          </w:p>
        </w:tc>
        <w:tc>
          <w:tcPr>
            <w:tcW w:type="dxa" w:w="6336"/>
          </w:tcPr>
          <w:p>
            <w:r>
              <w:rPr>
                <w:rFonts w:ascii="Segoe UI" w:hAnsi="Segoe UI"/>
                <w:color w:val="1B2430"/>
                <w:sz w:val="19"/>
              </w:rPr>
              <w:t>Queja del cliente registrada en el sistema de atención (ticket)</w:t>
            </w:r>
          </w:p>
        </w:tc>
      </w:tr>
      <w:tr>
        <w:tc>
          <w:tcPr>
            <w:tcW w:type="dxa" w:w="2592"/>
          </w:tcPr>
          <w:p>
            <w:r>
              <w:rPr>
                <w:rFonts w:ascii="Segoe UI" w:hAnsi="Segoe UI"/>
                <w:color w:val="1B2430"/>
                <w:sz w:val="19"/>
              </w:rPr>
              <w:t>KPI / indicador de red</w:t>
            </w:r>
          </w:p>
        </w:tc>
        <w:tc>
          <w:tcPr>
            <w:tcW w:type="dxa" w:w="6336"/>
          </w:tcPr>
          <w:p>
            <w:r>
              <w:rPr>
                <w:rFonts w:ascii="Segoe UI" w:hAnsi="Segoe UI"/>
                <w:color w:val="1B2430"/>
                <w:sz w:val="19"/>
              </w:rPr>
              <w:t>Medida técnica de la calidad de servicio de un sitio, por ejemplo disponibilidad o velocidad</w:t>
            </w:r>
          </w:p>
        </w:tc>
      </w:tr>
      <w:tr>
        <w:tc>
          <w:tcPr>
            <w:tcW w:type="dxa" w:w="2592"/>
          </w:tcPr>
          <w:p>
            <w:r>
              <w:rPr>
                <w:rFonts w:ascii="Segoe UI" w:hAnsi="Segoe UI"/>
                <w:color w:val="1B2430"/>
                <w:sz w:val="19"/>
              </w:rPr>
              <w:t>Disponibilidad (AVA_4G)</w:t>
            </w:r>
          </w:p>
        </w:tc>
        <w:tc>
          <w:tcPr>
            <w:tcW w:type="dxa" w:w="6336"/>
          </w:tcPr>
          <w:p>
            <w:r>
              <w:rPr>
                <w:rFonts w:ascii="Segoe UI" w:hAnsi="Segoe UI"/>
                <w:color w:val="1B2430"/>
                <w:sz w:val="19"/>
              </w:rPr>
              <w:t>Porcentaje de tiempo que el sitio estuvo operativo, sin cortes</w:t>
            </w:r>
          </w:p>
        </w:tc>
      </w:tr>
      <w:tr>
        <w:tc>
          <w:tcPr>
            <w:tcW w:type="dxa" w:w="2592"/>
          </w:tcPr>
          <w:p>
            <w:r>
              <w:rPr>
                <w:rFonts w:ascii="Segoe UI" w:hAnsi="Segoe UI"/>
                <w:color w:val="1B2430"/>
                <w:sz w:val="19"/>
              </w:rPr>
              <w:t>Velocidad (THROUGHPUT_4G)</w:t>
            </w:r>
          </w:p>
        </w:tc>
        <w:tc>
          <w:tcPr>
            <w:tcW w:type="dxa" w:w="6336"/>
          </w:tcPr>
          <w:p>
            <w:r>
              <w:rPr>
                <w:rFonts w:ascii="Segoe UI" w:hAnsi="Segoe UI"/>
                <w:color w:val="1B2430"/>
                <w:sz w:val="19"/>
              </w:rPr>
              <w:t>Velocidad de transferencia de datos que entrega el sitio, medida en Mbps</w:t>
            </w:r>
          </w:p>
        </w:tc>
      </w:tr>
      <w:tr>
        <w:tc>
          <w:tcPr>
            <w:tcW w:type="dxa" w:w="2592"/>
          </w:tcPr>
          <w:p>
            <w:r>
              <w:rPr>
                <w:rFonts w:ascii="Segoe UI" w:hAnsi="Segoe UI"/>
                <w:color w:val="1B2430"/>
                <w:sz w:val="19"/>
              </w:rPr>
              <w:t>Score de riesgo</w:t>
            </w:r>
          </w:p>
        </w:tc>
        <w:tc>
          <w:tcPr>
            <w:tcW w:type="dxa" w:w="6336"/>
          </w:tcPr>
          <w:p>
            <w:r>
              <w:rPr>
                <w:rFonts w:ascii="Segoe UI" w:hAnsi="Segoe UI"/>
                <w:color w:val="1B2430"/>
                <w:sz w:val="19"/>
              </w:rPr>
              <w:t>Número entre 0 y 1 que estima qué tan probable es que un sitio genere un reclamo próximamente</w:t>
            </w:r>
          </w:p>
        </w:tc>
      </w:tr>
      <w:tr>
        <w:tc>
          <w:tcPr>
            <w:tcW w:type="dxa" w:w="2592"/>
          </w:tcPr>
          <w:p>
            <w:r>
              <w:rPr>
                <w:rFonts w:ascii="Segoe UI" w:hAnsi="Segoe UI"/>
                <w:color w:val="1B2430"/>
                <w:sz w:val="19"/>
              </w:rPr>
              <w:t>Driver</w:t>
            </w:r>
          </w:p>
        </w:tc>
        <w:tc>
          <w:tcPr>
            <w:tcW w:type="dxa" w:w="6336"/>
          </w:tcPr>
          <w:p>
            <w:r>
              <w:rPr>
                <w:rFonts w:ascii="Segoe UI" w:hAnsi="Segoe UI"/>
                <w:color w:val="1B2430"/>
                <w:sz w:val="19"/>
              </w:rPr>
              <w:t>El indicador de red que más explica por qué un sitio tiene el score de riesgo que tiene</w:t>
            </w:r>
          </w:p>
        </w:tc>
      </w:tr>
      <w:tr>
        <w:tc>
          <w:tcPr>
            <w:tcW w:type="dxa" w:w="2592"/>
          </w:tcPr>
          <w:p>
            <w:r>
              <w:rPr>
                <w:rFonts w:ascii="Segoe UI" w:hAnsi="Segoe UI"/>
                <w:color w:val="1B2430"/>
                <w:sz w:val="19"/>
              </w:rPr>
              <w:t>Umbral</w:t>
            </w:r>
          </w:p>
        </w:tc>
        <w:tc>
          <w:tcPr>
            <w:tcW w:type="dxa" w:w="6336"/>
          </w:tcPr>
          <w:p>
            <w:r>
              <w:rPr>
                <w:rFonts w:ascii="Segoe UI" w:hAnsi="Segoe UI"/>
                <w:color w:val="1B2430"/>
                <w:sz w:val="19"/>
              </w:rPr>
              <w:t>Valor de referencia de negocio que, al incumplirse, señala un problema</w:t>
            </w:r>
          </w:p>
        </w:tc>
      </w:tr>
      <w:tr>
        <w:tc>
          <w:tcPr>
            <w:tcW w:type="dxa" w:w="2592"/>
          </w:tcPr>
          <w:p>
            <w:r>
              <w:rPr>
                <w:rFonts w:ascii="Segoe UI" w:hAnsi="Segoe UI"/>
                <w:color w:val="1B2430"/>
                <w:sz w:val="19"/>
              </w:rPr>
              <w:t>Cluster / perfil</w:t>
            </w:r>
          </w:p>
        </w:tc>
        <w:tc>
          <w:tcPr>
            <w:tcW w:type="dxa" w:w="6336"/>
          </w:tcPr>
          <w:p>
            <w:r>
              <w:rPr>
                <w:rFonts w:ascii="Segoe UI" w:hAnsi="Segoe UI"/>
                <w:color w:val="1B2430"/>
                <w:sz w:val="19"/>
              </w:rPr>
              <w:t>Grupo de sitios con comportamiento similar, con una etiqueta que describe ese comportamiento</w:t>
            </w:r>
          </w:p>
        </w:tc>
      </w:tr>
      <w:tr>
        <w:tc>
          <w:tcPr>
            <w:tcW w:type="dxa" w:w="2592"/>
          </w:tcPr>
          <w:p>
            <w:r>
              <w:rPr>
                <w:rFonts w:ascii="Segoe UI" w:hAnsi="Segoe UI"/>
                <w:color w:val="1B2430"/>
                <w:sz w:val="19"/>
              </w:rPr>
              <w:t>Ranking</w:t>
            </w:r>
          </w:p>
        </w:tc>
        <w:tc>
          <w:tcPr>
            <w:tcW w:type="dxa" w:w="6336"/>
          </w:tcPr>
          <w:p>
            <w:r>
              <w:rPr>
                <w:rFonts w:ascii="Segoe UI" w:hAnsi="Segoe UI"/>
                <w:color w:val="1B2430"/>
                <w:sz w:val="19"/>
              </w:rPr>
              <w:t>Lista de sitios ordenada de mayor a menor riesgo</w:t>
            </w:r>
          </w:p>
        </w:tc>
      </w:tr>
      <w:tr>
        <w:tc>
          <w:tcPr>
            <w:tcW w:type="dxa" w:w="2592"/>
          </w:tcPr>
          <w:p>
            <w:r>
              <w:rPr>
                <w:rFonts w:ascii="Segoe UI" w:hAnsi="Segoe UI"/>
                <w:color w:val="1B2430"/>
                <w:sz w:val="19"/>
              </w:rPr>
              <w:t>Modelo</w:t>
            </w:r>
          </w:p>
        </w:tc>
        <w:tc>
          <w:tcPr>
            <w:tcW w:type="dxa" w:w="6336"/>
          </w:tcPr>
          <w:p>
            <w:r>
              <w:rPr>
                <w:rFonts w:ascii="Segoe UI" w:hAnsi="Segoe UI"/>
                <w:color w:val="1B2430"/>
                <w:sz w:val="19"/>
              </w:rPr>
              <w:t>Programa que aprende patrones de los datos históricos para estimar el score de riesgo (en este proyecto, XGBoost)</w:t>
            </w:r>
          </w:p>
        </w:tc>
      </w:tr>
      <w:tr>
        <w:tc>
          <w:tcPr>
            <w:tcW w:type="dxa" w:w="2592"/>
          </w:tcPr>
          <w:p>
            <w:r>
              <w:rPr>
                <w:rFonts w:ascii="Segoe UI" w:hAnsi="Segoe UI"/>
                <w:color w:val="1B2430"/>
                <w:sz w:val="19"/>
              </w:rPr>
              <w:t>Anonimización</w:t>
            </w:r>
          </w:p>
        </w:tc>
        <w:tc>
          <w:tcPr>
            <w:tcW w:type="dxa" w:w="6336"/>
          </w:tcPr>
          <w:p>
            <w:r>
              <w:rPr>
                <w:rFonts w:ascii="Segoe UI" w:hAnsi="Segoe UI"/>
                <w:color w:val="1B2430"/>
                <w:sz w:val="19"/>
              </w:rPr>
              <w:t>Proceso de quitar o reemplazar datos personales antes de analizar la información</w:t>
            </w:r>
          </w:p>
        </w:tc>
      </w:tr>
    </w:tbl>
    <w:p>
      <w:pPr>
        <w:spacing w:after="80"/>
      </w:pPr>
    </w:p>
    <w:p>
      <w:pPr>
        <w:spacing w:before="400"/>
      </w:pPr>
      <w:r>
        <w:rPr>
          <w:rFonts w:ascii="Consolas" w:hAnsi="Consolas"/>
          <w:color w:val="8994A0"/>
          <w:sz w:val="16"/>
        </w:rPr>
        <w:t>Manual de usuario · Diagnóstico de calidad de red · TFM Grupo 1</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7" w:lineRule="auto"/>
    </w:pPr>
    <w:rPr>
      <w:rFonts w:ascii="Segoe UI" w:hAnsi="Segoe UI"/>
      <w:color w:val="1B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