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7E88" w14:textId="77777777" w:rsidR="00F74C45" w:rsidRDefault="00F74C45" w:rsidP="00F74C45">
      <w:pPr>
        <w:pStyle w:val="Title"/>
        <w:jc w:val="center"/>
      </w:pPr>
      <w:r>
        <w:t>Legenda k sociometrični klasifikaciji</w:t>
      </w:r>
    </w:p>
    <w:p w14:paraId="00B1E779" w14:textId="1CBA9239" w:rsidR="000E133D" w:rsidRDefault="00F74C45" w:rsidP="00F74C45">
      <w:pPr>
        <w:pStyle w:val="Subtitle"/>
        <w:jc w:val="center"/>
      </w:pPr>
      <w:r>
        <w:t>Sociogram 5.</w:t>
      </w:r>
      <w:r w:rsidR="000820B8">
        <w:t>5</w:t>
      </w:r>
    </w:p>
    <w:p w14:paraId="4409CC0C" w14:textId="77777777" w:rsidR="00145852" w:rsidRDefault="00145852" w:rsidP="00145852">
      <w:pPr>
        <w:pStyle w:val="Heading1"/>
      </w:pPr>
      <w:bookmarkStart w:id="0" w:name="_Toc274063583"/>
      <w:r>
        <w:t>Kazalo</w:t>
      </w:r>
      <w:bookmarkEnd w:id="0"/>
    </w:p>
    <w:p w14:paraId="46E5BFF4" w14:textId="77777777" w:rsidR="00A6037B" w:rsidRDefault="00C30B25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A6037B">
        <w:rPr>
          <w:noProof/>
        </w:rPr>
        <w:t>Kazalo</w:t>
      </w:r>
      <w:r w:rsidR="00A6037B">
        <w:rPr>
          <w:noProof/>
        </w:rPr>
        <w:tab/>
      </w:r>
      <w:r w:rsidR="00A6037B">
        <w:rPr>
          <w:noProof/>
        </w:rPr>
        <w:fldChar w:fldCharType="begin"/>
      </w:r>
      <w:r w:rsidR="00A6037B">
        <w:rPr>
          <w:noProof/>
        </w:rPr>
        <w:instrText xml:space="preserve"> PAGEREF _Toc274063583 \h </w:instrText>
      </w:r>
      <w:r w:rsidR="00A6037B">
        <w:rPr>
          <w:noProof/>
        </w:rPr>
      </w:r>
      <w:r w:rsidR="00A6037B">
        <w:rPr>
          <w:noProof/>
        </w:rPr>
        <w:fldChar w:fldCharType="separate"/>
      </w:r>
      <w:r w:rsidR="00346B1A">
        <w:rPr>
          <w:noProof/>
        </w:rPr>
        <w:t>1</w:t>
      </w:r>
      <w:r w:rsidR="00A6037B">
        <w:rPr>
          <w:noProof/>
        </w:rPr>
        <w:fldChar w:fldCharType="end"/>
      </w:r>
    </w:p>
    <w:p w14:paraId="7701BF8A" w14:textId="77777777" w:rsidR="00A6037B" w:rsidRDefault="00A6037B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rPr>
          <w:noProof/>
        </w:rPr>
        <w:t>Uvod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_Toc274063584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2</w:t>
      </w:r>
      <w:r>
        <w:rPr>
          <w:noProof/>
        </w:rPr>
        <w:fldChar w:fldCharType="end"/>
      </w:r>
    </w:p>
    <w:p w14:paraId="191E116A" w14:textId="77777777" w:rsidR="00A6037B" w:rsidRDefault="00A6037B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rPr>
          <w:noProof/>
        </w:rPr>
        <w:t>Sociometrični indeks posameznika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_Toc274063585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2</w:t>
      </w:r>
      <w:r>
        <w:rPr>
          <w:noProof/>
        </w:rPr>
        <w:fldChar w:fldCharType="end"/>
      </w:r>
    </w:p>
    <w:p w14:paraId="318EC1C9" w14:textId="77777777" w:rsidR="00A6037B" w:rsidRDefault="00A6037B">
      <w:pPr>
        <w:pStyle w:val="TOC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Cs w:val="24"/>
          <w:lang w:val="en-US" w:eastAsia="ja-JP"/>
        </w:rPr>
      </w:pPr>
      <w:r>
        <w:rPr>
          <w:noProof/>
        </w:rPr>
        <w:t>Približne meje za skupine 20-30 posameznikov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_Toc274063586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2</w:t>
      </w:r>
      <w:r>
        <w:rPr>
          <w:noProof/>
        </w:rPr>
        <w:fldChar w:fldCharType="end"/>
      </w:r>
    </w:p>
    <w:p w14:paraId="4CAD114A" w14:textId="77777777" w:rsidR="00A6037B" w:rsidRDefault="00A6037B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rPr>
          <w:noProof/>
        </w:rPr>
        <w:t>Indeks kohezivnosti anketirane skupine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_Toc274063587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2</w:t>
      </w:r>
      <w:r>
        <w:rPr>
          <w:noProof/>
        </w:rPr>
        <w:fldChar w:fldCharType="end"/>
      </w:r>
    </w:p>
    <w:p w14:paraId="267D127C" w14:textId="77777777" w:rsidR="00A6037B" w:rsidRDefault="00A6037B">
      <w:pPr>
        <w:pStyle w:val="TOC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Cs w:val="24"/>
          <w:lang w:val="en-US" w:eastAsia="ja-JP"/>
        </w:rPr>
      </w:pPr>
      <w:r>
        <w:rPr>
          <w:noProof/>
        </w:rPr>
        <w:t>Približne meje za skupine 20-30 posameznikov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_Toc274063588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3</w:t>
      </w:r>
      <w:r>
        <w:rPr>
          <w:noProof/>
        </w:rPr>
        <w:fldChar w:fldCharType="end"/>
      </w:r>
    </w:p>
    <w:p w14:paraId="273AE748" w14:textId="77777777" w:rsidR="00A6037B" w:rsidRDefault="00A6037B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rPr>
          <w:noProof/>
        </w:rPr>
        <w:t>Indeks skupinske integracije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_Toc274063589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3</w:t>
      </w:r>
      <w:r>
        <w:rPr>
          <w:noProof/>
        </w:rPr>
        <w:fldChar w:fldCharType="end"/>
      </w:r>
    </w:p>
    <w:p w14:paraId="19C76C88" w14:textId="77777777" w:rsidR="00A6037B" w:rsidRDefault="00A6037B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rPr>
          <w:noProof/>
        </w:rPr>
        <w:t>Dvodimenzionalna sociometrična klasifikacija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_Toc274063590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3</w:t>
      </w:r>
      <w:r>
        <w:rPr>
          <w:noProof/>
        </w:rPr>
        <w:fldChar w:fldCharType="end"/>
      </w:r>
    </w:p>
    <w:p w14:paraId="129B59CD" w14:textId="77777777" w:rsidR="00A6037B" w:rsidRDefault="00A6037B">
      <w:pPr>
        <w:pStyle w:val="TOC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Cs w:val="24"/>
          <w:lang w:val="en-US" w:eastAsia="ja-JP"/>
        </w:rPr>
      </w:pPr>
      <w:r>
        <w:rPr>
          <w:noProof/>
        </w:rPr>
        <w:t>Socialna preferenčnost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_Toc274063591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3</w:t>
      </w:r>
      <w:r>
        <w:rPr>
          <w:noProof/>
        </w:rPr>
        <w:fldChar w:fldCharType="end"/>
      </w:r>
    </w:p>
    <w:p w14:paraId="6CD0D062" w14:textId="77777777" w:rsidR="00A6037B" w:rsidRDefault="00A6037B">
      <w:pPr>
        <w:pStyle w:val="TOC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Cs w:val="24"/>
          <w:lang w:val="en-US" w:eastAsia="ja-JP"/>
        </w:rPr>
      </w:pPr>
      <w:r>
        <w:rPr>
          <w:noProof/>
        </w:rPr>
        <w:t>Socialni vpliv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_Toc274063592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3</w:t>
      </w:r>
      <w:r>
        <w:rPr>
          <w:noProof/>
        </w:rPr>
        <w:fldChar w:fldCharType="end"/>
      </w:r>
    </w:p>
    <w:p w14:paraId="21D7214F" w14:textId="77777777" w:rsidR="00A6037B" w:rsidRDefault="00A6037B">
      <w:pPr>
        <w:pStyle w:val="TOC2"/>
        <w:tabs>
          <w:tab w:val="right" w:leader="underscore" w:pos="9062"/>
        </w:tabs>
        <w:rPr>
          <w:rFonts w:eastAsiaTheme="minorEastAsia" w:cstheme="minorBidi"/>
          <w:b w:val="0"/>
          <w:bCs w:val="0"/>
          <w:noProof/>
          <w:szCs w:val="24"/>
          <w:lang w:val="en-US" w:eastAsia="ja-JP"/>
        </w:rPr>
      </w:pPr>
      <w:r>
        <w:rPr>
          <w:noProof/>
        </w:rPr>
        <w:t>Klasifikacijski sistem Coiea in Dodga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_Toc274063593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4</w:t>
      </w:r>
      <w:r>
        <w:rPr>
          <w:noProof/>
        </w:rPr>
        <w:fldChar w:fldCharType="end"/>
      </w:r>
    </w:p>
    <w:p w14:paraId="5525A824" w14:textId="77777777" w:rsidR="00A6037B" w:rsidRDefault="00A6037B">
      <w:pPr>
        <w:pStyle w:val="TOC1"/>
        <w:tabs>
          <w:tab w:val="right" w:leader="underscore" w:pos="9062"/>
        </w:tabs>
        <w:rPr>
          <w:rFonts w:eastAsiaTheme="minorEastAsia" w:cstheme="minorBidi"/>
          <w:b w:val="0"/>
          <w:bCs w:val="0"/>
          <w:i w:val="0"/>
          <w:iCs w:val="0"/>
          <w:noProof/>
          <w:lang w:val="en-US" w:eastAsia="ja-JP"/>
        </w:rPr>
      </w:pPr>
      <w:r>
        <w:rPr>
          <w:noProof/>
        </w:rPr>
        <w:t>Viri in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_Toc274063594 \h </w:instrText>
      </w:r>
      <w:r>
        <w:rPr>
          <w:noProof/>
        </w:rPr>
      </w:r>
      <w:r>
        <w:rPr>
          <w:noProof/>
        </w:rPr>
        <w:fldChar w:fldCharType="separate"/>
      </w:r>
      <w:r w:rsidR="00346B1A">
        <w:rPr>
          <w:noProof/>
        </w:rPr>
        <w:t>5</w:t>
      </w:r>
      <w:r>
        <w:rPr>
          <w:noProof/>
        </w:rPr>
        <w:fldChar w:fldCharType="end"/>
      </w:r>
    </w:p>
    <w:p w14:paraId="20B0621E" w14:textId="77777777" w:rsidR="00C30B25" w:rsidRPr="00C30B25" w:rsidRDefault="00C30B25" w:rsidP="00C30B25">
      <w:r>
        <w:fldChar w:fldCharType="end"/>
      </w:r>
    </w:p>
    <w:p w14:paraId="29B0E819" w14:textId="77777777" w:rsidR="00A6037B" w:rsidRDefault="00A6037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274063584"/>
      <w:r>
        <w:br w:type="page"/>
      </w:r>
    </w:p>
    <w:p w14:paraId="02C4E0B3" w14:textId="77777777" w:rsidR="00145852" w:rsidRDefault="00145852" w:rsidP="00145852">
      <w:pPr>
        <w:pStyle w:val="Heading1"/>
      </w:pPr>
      <w:r>
        <w:lastRenderedPageBreak/>
        <w:t>Uvod</w:t>
      </w:r>
      <w:bookmarkEnd w:id="1"/>
    </w:p>
    <w:p w14:paraId="55ECEFCB" w14:textId="716BDA61" w:rsidR="000972C6" w:rsidRDefault="000972C6" w:rsidP="000972C6">
      <w:r>
        <w:t>Sociometrija se v današnjem času vse več uporablja, saj želimo čim</w:t>
      </w:r>
      <w:r w:rsidR="008858EC">
        <w:t xml:space="preserve"> </w:t>
      </w:r>
      <w:r>
        <w:t xml:space="preserve">več vedeti o ljudeh. Še posebej je to pomembno v razrednih skupnostih v osnovnih in srednjih šolah. </w:t>
      </w:r>
      <w:r w:rsidR="00346B1A">
        <w:t>J</w:t>
      </w:r>
      <w:r>
        <w:t xml:space="preserve">e </w:t>
      </w:r>
      <w:r w:rsidR="00346B1A">
        <w:t xml:space="preserve">pa tudi </w:t>
      </w:r>
      <w:r>
        <w:t>nepogreš</w:t>
      </w:r>
      <w:r w:rsidR="00346B1A">
        <w:t>l</w:t>
      </w:r>
      <w:r>
        <w:t xml:space="preserve">jiv pripomoček </w:t>
      </w:r>
      <w:r w:rsidR="00346B1A">
        <w:t xml:space="preserve">trenerjev </w:t>
      </w:r>
      <w:r>
        <w:t>pri vodenju športnih ekip. Pokazatelj tega je kar nekaj obsežnih diplomskih nalog na Fakulteti za šport v Ljubljani.</w:t>
      </w:r>
    </w:p>
    <w:p w14:paraId="7DB8247F" w14:textId="5BD2E9B7" w:rsidR="007F3A95" w:rsidRPr="000972C6" w:rsidRDefault="007F3A95" w:rsidP="000972C6">
      <w:r>
        <w:t>S sociometrijo lahko merimo družabne značilnosti ekipe, povezanost med posamezniki, opredelimo</w:t>
      </w:r>
      <w:r w:rsidR="008858EC">
        <w:t>,</w:t>
      </w:r>
      <w:r>
        <w:t xml:space="preserve"> koliko je nekdo v skupini priljubljen, v kolikšni meri njegovo mnenje v skupini upoštevajo in se z njim družijo ali ne. Na kratko je sociometrija »metoda za merjenje družbenih odnosov v skupini«</w:t>
      </w:r>
      <w:r w:rsidR="008858EC">
        <w:t>.</w:t>
      </w:r>
    </w:p>
    <w:p w14:paraId="1C5D269B" w14:textId="77777777" w:rsidR="00145852" w:rsidRDefault="00145852" w:rsidP="00AA4433">
      <w:pPr>
        <w:pStyle w:val="Heading1"/>
      </w:pPr>
      <w:bookmarkStart w:id="2" w:name="_Toc274063585"/>
      <w:r>
        <w:t>Sociometrični indeks posameznika</w:t>
      </w:r>
      <w:bookmarkEnd w:id="2"/>
    </w:p>
    <w:p w14:paraId="3C9ED58F" w14:textId="44BF7638" w:rsidR="007F3A95" w:rsidRDefault="00346B1A" w:rsidP="00F74C45">
      <w:r>
        <w:t>V</w:t>
      </w:r>
      <w:r w:rsidR="007F3A95">
        <w:t>sak posameznik s svojim obnašanjem in značilnostmi vpliva na skupino in s tem oblikuje celostno podobo skupine. Za določitev tega se je v sociometriji razvil tako imenovani sociometrični status posameznika:</w:t>
      </w:r>
    </w:p>
    <w:p w14:paraId="3473B334" w14:textId="77777777" w:rsidR="00F74C45" w:rsidRDefault="00F74C45" w:rsidP="007F3A95">
      <w:pPr>
        <w:jc w:val="center"/>
      </w:pPr>
      <m:oMathPara>
        <m:oMath>
          <m:r>
            <w:rPr>
              <w:rFonts w:ascii="Cambria Math" w:hAnsi="Cambria Math"/>
            </w:rPr>
            <m:t xml:space="preserve">SSn = 1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izbir - Mizbir</m:t>
              </m:r>
            </m:num>
            <m:den>
              <m:r>
                <w:rPr>
                  <w:rFonts w:ascii="Cambria Math" w:hAnsi="Cambria Math"/>
                </w:rPr>
                <m:t>N - 1</m:t>
              </m:r>
            </m:den>
          </m:f>
        </m:oMath>
      </m:oMathPara>
    </w:p>
    <w:p w14:paraId="55AEAD14" w14:textId="77777777" w:rsidR="007F3A95" w:rsidRDefault="007F3A95" w:rsidP="00F74C45">
      <w:pPr>
        <w:jc w:val="left"/>
      </w:pPr>
      <w:r>
        <w:t xml:space="preserve">M – (povprečno) število izbir (izbire, ki jih je imel posameznik na voljo) </w:t>
      </w:r>
      <w:r w:rsidR="00130DDC">
        <w:br/>
      </w:r>
      <w:r>
        <w:t xml:space="preserve">N – število udeležencev preizkusa </w:t>
      </w:r>
    </w:p>
    <w:p w14:paraId="2932B447" w14:textId="455D0193" w:rsidR="00130DDC" w:rsidRDefault="007F3A95" w:rsidP="00130DDC">
      <w:r>
        <w:t xml:space="preserve">M je v našem primeru 3, saj lahko vsak izbere po 3 člane skupine, vsota izbir pa je prikazana v zavihku </w:t>
      </w:r>
      <w:r w:rsidR="00130DDC">
        <w:t>Anketa v spodnjem delu</w:t>
      </w:r>
      <w:r w:rsidR="008858EC">
        <w:t xml:space="preserve"> okna</w:t>
      </w:r>
      <w:r>
        <w:t>.</w:t>
      </w:r>
    </w:p>
    <w:p w14:paraId="193AE3BC" w14:textId="79AD0F02" w:rsidR="00C30B25" w:rsidRDefault="00C30B25" w:rsidP="00130DDC">
      <w:pPr>
        <w:rPr>
          <w:sz w:val="22"/>
        </w:rPr>
      </w:pPr>
      <w:r>
        <w:t>Sociometrične indekse posameznika si lahko ogledate v zavihku Sociometrična klasifikacija glede na izbran</w:t>
      </w:r>
      <w:r w:rsidR="00346B1A">
        <w:t>o</w:t>
      </w:r>
      <w:r>
        <w:t xml:space="preserve"> skupino dvodimenzionalne sociometrične klasifikacije.</w:t>
      </w:r>
    </w:p>
    <w:p w14:paraId="033F51E8" w14:textId="77777777" w:rsidR="007F3A95" w:rsidRDefault="00130DDC" w:rsidP="00130DDC">
      <w:pPr>
        <w:pStyle w:val="Heading2"/>
      </w:pPr>
      <w:bookmarkStart w:id="3" w:name="_Toc274063586"/>
      <w:r>
        <w:t>Približne meje za skupine 20-30 posameznikov</w:t>
      </w:r>
      <w:bookmarkEnd w:id="3"/>
      <w:r w:rsidR="007F3A95">
        <w:t xml:space="preserve"> </w:t>
      </w:r>
    </w:p>
    <w:p w14:paraId="2F35E402" w14:textId="77777777" w:rsidR="00130DDC" w:rsidRPr="00130DDC" w:rsidRDefault="00130DDC" w:rsidP="00130DDC">
      <w:r>
        <w:t>Za manjše skupine so pokazatelji nekoliko nižji.</w:t>
      </w:r>
    </w:p>
    <w:p w14:paraId="4178F972" w14:textId="77777777" w:rsidR="007F3A95" w:rsidRDefault="007F3A95" w:rsidP="00C30B25">
      <w:pPr>
        <w:ind w:left="1416"/>
        <w:jc w:val="left"/>
      </w:pPr>
      <w:r>
        <w:t>SS &lt; 0,90</w:t>
      </w:r>
      <w:r w:rsidR="00130DDC">
        <w:tab/>
      </w:r>
      <w:r w:rsidR="00130DDC">
        <w:tab/>
      </w:r>
      <w:r>
        <w:t xml:space="preserve">nizek sociometrični status </w:t>
      </w:r>
      <w:r w:rsidR="00130DDC">
        <w:br/>
      </w:r>
      <w:r>
        <w:t>0,90 ≤ SS ≤ 1,19</w:t>
      </w:r>
      <w:r w:rsidR="00130DDC">
        <w:tab/>
      </w:r>
      <w:r>
        <w:t xml:space="preserve">srednji sociometrični status </w:t>
      </w:r>
      <w:r w:rsidR="00130DDC">
        <w:br/>
      </w:r>
      <w:r>
        <w:t>1,19 &lt; SS</w:t>
      </w:r>
      <w:r w:rsidR="00130DDC">
        <w:tab/>
      </w:r>
      <w:r w:rsidR="00130DDC">
        <w:tab/>
      </w:r>
      <w:r>
        <w:t xml:space="preserve">visok sociometrični status </w:t>
      </w:r>
    </w:p>
    <w:p w14:paraId="5906574A" w14:textId="77777777" w:rsidR="00145852" w:rsidRDefault="00145852" w:rsidP="00145852">
      <w:pPr>
        <w:pStyle w:val="Heading1"/>
      </w:pPr>
      <w:bookmarkStart w:id="4" w:name="_Toc274063587"/>
      <w:r>
        <w:t>Indeks kohezivnosti anketirane skupine</w:t>
      </w:r>
      <w:bookmarkEnd w:id="4"/>
    </w:p>
    <w:p w14:paraId="634F99A8" w14:textId="5463F5BE" w:rsidR="007F3A95" w:rsidRDefault="007F3A95" w:rsidP="007F3A95">
      <w:r>
        <w:t xml:space="preserve">Indeks kohezivnosti </w:t>
      </w:r>
      <w:r w:rsidR="00130DDC">
        <w:t>nam približno pove</w:t>
      </w:r>
      <w:r w:rsidR="00432D80">
        <w:t>,</w:t>
      </w:r>
      <w:r w:rsidR="00130DDC">
        <w:t xml:space="preserve"> koliko lahko upoštevam</w:t>
      </w:r>
      <w:r w:rsidR="008858EC">
        <w:t>o meje v ostalih klasifikacijah. Č</w:t>
      </w:r>
      <w:r w:rsidR="00130DDC">
        <w:t>im</w:t>
      </w:r>
      <w:r w:rsidR="00432D80">
        <w:t xml:space="preserve"> </w:t>
      </w:r>
      <w:r w:rsidR="00130DDC">
        <w:t>bolj je skupina povezana, večji ima indeks in tudi rezultati so zaradi tega veliko bolj reprezentativni.</w:t>
      </w:r>
    </w:p>
    <w:p w14:paraId="7FC6B1D2" w14:textId="77777777" w:rsidR="00F74C45" w:rsidRPr="00F74C45" w:rsidRDefault="00F74C45" w:rsidP="007F3A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Ik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ΣΣvzajemnih izbir / 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  <w:vertAlign w:val="subscript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 xml:space="preserve"> vzajemnih izbir</m:t>
              </m:r>
            </m:den>
          </m:f>
        </m:oMath>
      </m:oMathPara>
    </w:p>
    <w:p w14:paraId="04A0C5CC" w14:textId="77777777" w:rsidR="00130DDC" w:rsidRDefault="00000000" w:rsidP="00F74C45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4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  <w:vertAlign w:val="subscript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vzajemnih izbir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Mizbir * 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6D0C401" w14:textId="77777777" w:rsidR="00130DDC" w:rsidRDefault="00130DDC" w:rsidP="00130DDC">
      <w:pPr>
        <w:pStyle w:val="Heading2"/>
      </w:pPr>
      <w:bookmarkStart w:id="5" w:name="_Toc274063588"/>
      <w:r>
        <w:t>Približne meje za skupine 20-30 posameznikov</w:t>
      </w:r>
      <w:bookmarkEnd w:id="5"/>
    </w:p>
    <w:p w14:paraId="03E72DE2" w14:textId="55F6FF13" w:rsidR="00432D80" w:rsidRDefault="00130DDC" w:rsidP="00432D80">
      <w:r>
        <w:t>Ik &lt; 0,40</w:t>
      </w:r>
      <w:r>
        <w:tab/>
      </w:r>
      <w:r>
        <w:tab/>
        <w:t xml:space="preserve">šibka povezanost </w:t>
      </w:r>
      <w:r w:rsidR="00432D80">
        <w:tab/>
      </w:r>
      <w:r>
        <w:br/>
        <w:t>0,40 ≤ Ik ≤ 0,60</w:t>
      </w:r>
      <w:r>
        <w:tab/>
        <w:t xml:space="preserve">srednja povezanost </w:t>
      </w:r>
      <w:r w:rsidR="00432D80">
        <w:tab/>
      </w:r>
      <w:r>
        <w:br/>
        <w:t>0,60 &lt; Ik</w:t>
      </w:r>
      <w:r>
        <w:tab/>
      </w:r>
      <w:r>
        <w:tab/>
        <w:t>visoka povezanost</w:t>
      </w:r>
      <w:r w:rsidR="00432D80" w:rsidRPr="00432D80">
        <w:t xml:space="preserve"> </w:t>
      </w:r>
    </w:p>
    <w:p w14:paraId="589BAC0F" w14:textId="56D7EA94" w:rsidR="00432D80" w:rsidRDefault="00432D80" w:rsidP="00432D80">
      <w:r>
        <w:t>Za manjše skupine so pokazatelji nekoliko nižji.</w:t>
      </w:r>
    </w:p>
    <w:p w14:paraId="31ED31C4" w14:textId="77777777" w:rsidR="00F74C45" w:rsidRDefault="00F74C45" w:rsidP="00F74C45">
      <w:pPr>
        <w:ind w:left="1416"/>
        <w:jc w:val="left"/>
      </w:pPr>
    </w:p>
    <w:p w14:paraId="739AEA3E" w14:textId="77777777" w:rsidR="00F74C45" w:rsidRDefault="00F74C45" w:rsidP="007862BC">
      <w:pPr>
        <w:pStyle w:val="Heading1"/>
      </w:pPr>
      <w:bookmarkStart w:id="6" w:name="_Toc274063589"/>
      <w:r>
        <w:t>Indeks skupinske integracije</w:t>
      </w:r>
      <w:bookmarkEnd w:id="6"/>
    </w:p>
    <w:p w14:paraId="191935A7" w14:textId="77777777" w:rsidR="007862BC" w:rsidRPr="007862BC" w:rsidRDefault="007862BC" w:rsidP="007862BC">
      <w:r>
        <w:t>Indeks skupinske integracije meri, koliko posameznikov v sociogramu ne prejme nobene izbire. Več kot je izoliranih oseb v skupini, manjši je indeks.</w:t>
      </w:r>
    </w:p>
    <w:p w14:paraId="772BF525" w14:textId="77777777" w:rsidR="00F74C45" w:rsidRPr="00130DDC" w:rsidRDefault="00F74C45" w:rsidP="00F74C45">
      <w:pPr>
        <w:jc w:val="left"/>
      </w:pPr>
      <m:oMathPara>
        <m:oMath>
          <m:r>
            <w:rPr>
              <w:rFonts w:ascii="Cambria Math" w:hAnsi="Cambria Math"/>
            </w:rPr>
            <m:t xml:space="preserve">Si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število izoliranih oseb v skupini</m:t>
              </m:r>
            </m:den>
          </m:f>
        </m:oMath>
      </m:oMathPara>
    </w:p>
    <w:p w14:paraId="6C689675" w14:textId="77777777" w:rsidR="00145852" w:rsidRDefault="00145852" w:rsidP="00145852">
      <w:pPr>
        <w:pStyle w:val="Heading1"/>
      </w:pPr>
      <w:bookmarkStart w:id="7" w:name="_Toc274063590"/>
      <w:r>
        <w:t>Dvodimenzionalna sociometrična klasifikacija</w:t>
      </w:r>
      <w:bookmarkEnd w:id="7"/>
    </w:p>
    <w:p w14:paraId="0360F6D3" w14:textId="77777777" w:rsidR="00130DDC" w:rsidRDefault="00130DDC" w:rsidP="00130DDC">
      <w:r>
        <w:t>Pri enodimenzionalnih klasifikacijah ponavadi uporabljamo le en tip izbire – pozitivne ali negativne in s tem anketirance razdelimo na bolj ali manj priljubljene.</w:t>
      </w:r>
    </w:p>
    <w:p w14:paraId="39E9BAEB" w14:textId="77777777" w:rsidR="00130DDC" w:rsidRDefault="00130DDC" w:rsidP="00130DDC">
      <w:r>
        <w:t>Dvodimenzionalni sociometrični klasifikacijski sistem pa je kombinirana metoda pozitivnega in negativnega kriterija. Omogoča razločevanje ank</w:t>
      </w:r>
      <w:r w:rsidR="00C30B25">
        <w:t>etirancev glede na dve dimenziji:</w:t>
      </w:r>
    </w:p>
    <w:p w14:paraId="56B4A109" w14:textId="77777777" w:rsidR="00C30B25" w:rsidRDefault="00C30B25" w:rsidP="00C30B25">
      <w:pPr>
        <w:pStyle w:val="ListParagraph"/>
        <w:numPr>
          <w:ilvl w:val="0"/>
          <w:numId w:val="2"/>
        </w:numPr>
      </w:pPr>
      <w:r>
        <w:t>socialna preferenčnost (</w:t>
      </w:r>
      <w:r w:rsidRPr="00C30B25">
        <w:rPr>
          <w:i/>
        </w:rPr>
        <w:t>social preference</w:t>
      </w:r>
      <w:r>
        <w:t xml:space="preserve">) – je meja socialne všečnosti </w:t>
      </w:r>
    </w:p>
    <w:p w14:paraId="6A92C40A" w14:textId="77777777" w:rsidR="007862BC" w:rsidRDefault="00C30B25" w:rsidP="00C30B25">
      <w:pPr>
        <w:pStyle w:val="ListParagraph"/>
        <w:numPr>
          <w:ilvl w:val="0"/>
          <w:numId w:val="2"/>
        </w:numPr>
      </w:pPr>
      <w:r>
        <w:t>socialni vpliv (</w:t>
      </w:r>
      <w:r w:rsidRPr="00C30B25">
        <w:rPr>
          <w:i/>
        </w:rPr>
        <w:t>social impact</w:t>
      </w:r>
      <w:r>
        <w:t>) – je meja socialne opaznosti</w:t>
      </w:r>
    </w:p>
    <w:p w14:paraId="1B779172" w14:textId="77777777" w:rsidR="00C30B25" w:rsidRDefault="00C30B25" w:rsidP="00C30B25">
      <w:r>
        <w:t>Glede na ti dve dimenziji, razdelimo anketirance na pet skupin:</w:t>
      </w:r>
    </w:p>
    <w:p w14:paraId="551385C6" w14:textId="77777777" w:rsidR="00C30B25" w:rsidRDefault="00C30B25" w:rsidP="00C30B25">
      <w:pPr>
        <w:pStyle w:val="ListParagraph"/>
        <w:numPr>
          <w:ilvl w:val="0"/>
          <w:numId w:val="3"/>
        </w:numPr>
      </w:pPr>
      <w:r>
        <w:t>priljubljeni (</w:t>
      </w:r>
      <w:r w:rsidRPr="00C30B25">
        <w:rPr>
          <w:i/>
        </w:rPr>
        <w:t>popular</w:t>
      </w:r>
      <w:r>
        <w:t>) – z največjim številom + izbir</w:t>
      </w:r>
    </w:p>
    <w:p w14:paraId="68FFE215" w14:textId="77777777" w:rsidR="00C30B25" w:rsidRDefault="00C30B25" w:rsidP="00C30B25">
      <w:pPr>
        <w:pStyle w:val="ListParagraph"/>
        <w:numPr>
          <w:ilvl w:val="0"/>
          <w:numId w:val="3"/>
        </w:numPr>
      </w:pPr>
      <w:r>
        <w:t>zavrnjeni (</w:t>
      </w:r>
      <w:r w:rsidRPr="00C30B25">
        <w:rPr>
          <w:i/>
        </w:rPr>
        <w:t>rejected</w:t>
      </w:r>
      <w:r>
        <w:t>) – z najmanjšim številom – izbir</w:t>
      </w:r>
    </w:p>
    <w:p w14:paraId="3B9121B6" w14:textId="77777777" w:rsidR="00C30B25" w:rsidRDefault="00C30B25" w:rsidP="00C30B25">
      <w:pPr>
        <w:pStyle w:val="ListParagraph"/>
        <w:numPr>
          <w:ilvl w:val="0"/>
          <w:numId w:val="3"/>
        </w:numPr>
      </w:pPr>
      <w:r>
        <w:t>prezrti (</w:t>
      </w:r>
      <w:r w:rsidRPr="00C30B25">
        <w:rPr>
          <w:i/>
        </w:rPr>
        <w:t>neglected</w:t>
      </w:r>
      <w:r>
        <w:t>) – z najmanjšim številom + in – izbir</w:t>
      </w:r>
    </w:p>
    <w:p w14:paraId="49C7140A" w14:textId="77777777" w:rsidR="00C30B25" w:rsidRDefault="00C30B25" w:rsidP="00C30B25">
      <w:pPr>
        <w:pStyle w:val="ListParagraph"/>
        <w:numPr>
          <w:ilvl w:val="0"/>
          <w:numId w:val="3"/>
        </w:numPr>
      </w:pPr>
      <w:r>
        <w:t>kontroverzni (</w:t>
      </w:r>
      <w:r w:rsidRPr="00C30B25">
        <w:rPr>
          <w:i/>
        </w:rPr>
        <w:t>controversial</w:t>
      </w:r>
      <w:r>
        <w:t>) – z največjim številom + in – izbir</w:t>
      </w:r>
    </w:p>
    <w:p w14:paraId="7558A410" w14:textId="77777777" w:rsidR="00C30B25" w:rsidRDefault="00C30B25" w:rsidP="00C30B25">
      <w:pPr>
        <w:pStyle w:val="ListParagraph"/>
        <w:numPr>
          <w:ilvl w:val="0"/>
          <w:numId w:val="3"/>
        </w:numPr>
      </w:pPr>
      <w:r>
        <w:t>povprečni (</w:t>
      </w:r>
      <w:r w:rsidRPr="00C30B25">
        <w:rPr>
          <w:i/>
        </w:rPr>
        <w:t>average</w:t>
      </w:r>
      <w:r>
        <w:t>) – sredina</w:t>
      </w:r>
    </w:p>
    <w:p w14:paraId="649AF13F" w14:textId="77777777" w:rsidR="00C30B25" w:rsidRDefault="00C30B25" w:rsidP="00C30B25">
      <w:r>
        <w:t>Grafični prikaz si lahko v programu Sociogram ogledate v zavihku Sociometrična klasifikacija.</w:t>
      </w:r>
    </w:p>
    <w:p w14:paraId="2725EC68" w14:textId="77777777" w:rsidR="00A6037B" w:rsidRDefault="00A6037B" w:rsidP="00C30B25">
      <w:r>
        <w:t xml:space="preserve">Vrednosti </w:t>
      </w:r>
      <w:r w:rsidRPr="00A6037B">
        <w:rPr>
          <w:i/>
        </w:rPr>
        <w:t>z</w:t>
      </w:r>
      <w:r>
        <w:t xml:space="preserve"> v nadaljevanju predstavljajo standardizirane izbire.</w:t>
      </w:r>
    </w:p>
    <w:p w14:paraId="74EB288C" w14:textId="77777777" w:rsidR="007862BC" w:rsidRDefault="007862BC" w:rsidP="007862BC">
      <w:pPr>
        <w:pStyle w:val="Heading2"/>
      </w:pPr>
      <w:bookmarkStart w:id="8" w:name="_Toc274063591"/>
      <w:r>
        <w:t>Socialna preferenčnost</w:t>
      </w:r>
      <w:bookmarkEnd w:id="8"/>
    </w:p>
    <w:p w14:paraId="7C7F69BC" w14:textId="77777777" w:rsidR="00A6037B" w:rsidRPr="00A6037B" w:rsidRDefault="00A6037B" w:rsidP="00A6037B">
      <m:oMathPara>
        <m:oMath>
          <m:r>
            <w:rPr>
              <w:rFonts w:ascii="Cambria Math" w:hAnsi="Cambria Math"/>
            </w:rPr>
            <m:t xml:space="preserve">socialna preferenčnost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F083A46" w14:textId="77777777" w:rsidR="007862BC" w:rsidRDefault="007862BC" w:rsidP="007862BC">
      <w:pPr>
        <w:pStyle w:val="Heading2"/>
      </w:pPr>
      <w:bookmarkStart w:id="9" w:name="_Toc274063592"/>
      <w:r>
        <w:lastRenderedPageBreak/>
        <w:t>Socialni vpliv</w:t>
      </w:r>
      <w:bookmarkEnd w:id="9"/>
    </w:p>
    <w:p w14:paraId="39B05557" w14:textId="77777777" w:rsidR="00A6037B" w:rsidRPr="00A6037B" w:rsidRDefault="00A6037B" w:rsidP="00A6037B">
      <m:oMathPara>
        <m:oMath>
          <m:r>
            <w:rPr>
              <w:rFonts w:ascii="Cambria Math" w:hAnsi="Cambria Math"/>
            </w:rPr>
            <m:t xml:space="preserve">socialni vpliv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3CC6B024" w14:textId="77777777" w:rsidR="00A6037B" w:rsidRDefault="00A6037B" w:rsidP="00A6037B">
      <w:pPr>
        <w:pStyle w:val="Heading2"/>
      </w:pPr>
      <w:bookmarkStart w:id="10" w:name="_Toc274063593"/>
      <w:r w:rsidRPr="00A6037B">
        <w:t>Klasifikacijski sistem Coiea in Dodga</w:t>
      </w:r>
      <w:bookmarkEnd w:id="10"/>
    </w:p>
    <w:p w14:paraId="2D601E22" w14:textId="77777777" w:rsidR="00A6037B" w:rsidRDefault="00A6037B" w:rsidP="00A6037B">
      <w:r>
        <w:t>Kriteriji za umestitev učencev v sociometrične skupine po Coieu in Dodgeu (1988).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6037B" w14:paraId="6CDEB6E5" w14:textId="77777777" w:rsidTr="00A6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5B70DC03" w14:textId="77777777" w:rsidR="00A6037B" w:rsidRDefault="00A6037B" w:rsidP="00A6037B">
            <w:pPr>
              <w:jc w:val="center"/>
            </w:pPr>
            <w:r>
              <w:t>Sociometrična skupina</w:t>
            </w:r>
          </w:p>
        </w:tc>
        <w:tc>
          <w:tcPr>
            <w:tcW w:w="3096" w:type="dxa"/>
          </w:tcPr>
          <w:p w14:paraId="13B53AE1" w14:textId="77777777" w:rsidR="00A6037B" w:rsidRDefault="00A6037B" w:rsidP="00A60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Socialna preferenčnost</w:t>
            </w:r>
          </w:p>
        </w:tc>
        <w:tc>
          <w:tcPr>
            <w:tcW w:w="3096" w:type="dxa"/>
          </w:tcPr>
          <w:p w14:paraId="2AA090C6" w14:textId="77777777" w:rsidR="00A6037B" w:rsidRDefault="00A6037B" w:rsidP="00A603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Socialni vpliv</w:t>
            </w:r>
          </w:p>
        </w:tc>
      </w:tr>
      <w:tr w:rsidR="00A6037B" w14:paraId="6F154F48" w14:textId="77777777" w:rsidTr="00A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371B6D85" w14:textId="77777777" w:rsidR="00A6037B" w:rsidRDefault="00A6037B" w:rsidP="00A6037B">
            <w:r>
              <w:t>Priljubljeni</w:t>
            </w:r>
          </w:p>
        </w:tc>
        <w:tc>
          <w:tcPr>
            <w:tcW w:w="3096" w:type="dxa"/>
          </w:tcPr>
          <w:p w14:paraId="32456ABF" w14:textId="77777777" w:rsidR="00A6037B" w:rsidRDefault="00A6037B" w:rsidP="00A6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1.0</w:t>
            </w:r>
          </w:p>
        </w:tc>
        <w:tc>
          <w:tcPr>
            <w:tcW w:w="3096" w:type="dxa"/>
          </w:tcPr>
          <w:p w14:paraId="2C1CFCA7" w14:textId="77777777" w:rsidR="00A6037B" w:rsidRDefault="00A6037B" w:rsidP="00A6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Pr="00A6037B">
              <w:rPr>
                <w:vertAlign w:val="subscript"/>
              </w:rPr>
              <w:t>p</w:t>
            </w:r>
            <w:r>
              <w:t xml:space="preserve"> &gt; 0 </w:t>
            </w:r>
            <w:r>
              <w:rPr>
                <w:rFonts w:ascii="MS Gothic" w:eastAsia="MS Gothic" w:hAnsi="MS Gothic" w:hint="eastAsia"/>
              </w:rPr>
              <w:t>∧</w:t>
            </w:r>
            <w:r>
              <w:t xml:space="preserve"> z</w:t>
            </w:r>
            <w:r w:rsidRPr="00A6037B">
              <w:rPr>
                <w:vertAlign w:val="subscript"/>
              </w:rPr>
              <w:t>n</w:t>
            </w:r>
            <w:r>
              <w:t xml:space="preserve"> &lt; 0</w:t>
            </w:r>
          </w:p>
        </w:tc>
      </w:tr>
      <w:tr w:rsidR="00A6037B" w14:paraId="57B218EC" w14:textId="77777777" w:rsidTr="00A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F8F7B56" w14:textId="77777777" w:rsidR="00A6037B" w:rsidRDefault="00A6037B" w:rsidP="00A6037B">
            <w:r>
              <w:t>Zavrnjeni</w:t>
            </w:r>
          </w:p>
        </w:tc>
        <w:tc>
          <w:tcPr>
            <w:tcW w:w="3096" w:type="dxa"/>
          </w:tcPr>
          <w:p w14:paraId="5E7B6795" w14:textId="77777777" w:rsidR="00A6037B" w:rsidRDefault="00A6037B" w:rsidP="00A6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1.0</w:t>
            </w:r>
          </w:p>
        </w:tc>
        <w:tc>
          <w:tcPr>
            <w:tcW w:w="3096" w:type="dxa"/>
          </w:tcPr>
          <w:p w14:paraId="3F41BB10" w14:textId="77777777" w:rsidR="00A6037B" w:rsidRDefault="00A6037B" w:rsidP="00A6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A6037B">
              <w:rPr>
                <w:vertAlign w:val="subscript"/>
              </w:rPr>
              <w:t>p</w:t>
            </w:r>
            <w:r>
              <w:t xml:space="preserve"> &lt; 0 </w:t>
            </w:r>
            <w:r>
              <w:rPr>
                <w:rFonts w:ascii="MS Gothic" w:eastAsia="MS Gothic" w:hAnsi="MS Gothic" w:hint="eastAsia"/>
              </w:rPr>
              <w:t>∧</w:t>
            </w:r>
            <w:r>
              <w:t xml:space="preserve"> z</w:t>
            </w:r>
            <w:r w:rsidRPr="00A6037B">
              <w:rPr>
                <w:vertAlign w:val="subscript"/>
              </w:rPr>
              <w:t>n</w:t>
            </w:r>
            <w:r>
              <w:t xml:space="preserve"> &gt; 0</w:t>
            </w:r>
          </w:p>
        </w:tc>
      </w:tr>
      <w:tr w:rsidR="00A6037B" w14:paraId="37BD9D08" w14:textId="77777777" w:rsidTr="00A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6672F3D8" w14:textId="77777777" w:rsidR="00A6037B" w:rsidRDefault="00A6037B" w:rsidP="00A6037B">
            <w:r>
              <w:t>Prezrti</w:t>
            </w:r>
          </w:p>
        </w:tc>
        <w:tc>
          <w:tcPr>
            <w:tcW w:w="3096" w:type="dxa"/>
          </w:tcPr>
          <w:p w14:paraId="630184B3" w14:textId="77777777" w:rsidR="00A6037B" w:rsidRDefault="00A6037B" w:rsidP="00A6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  <w:r w:rsidRPr="00A6037B">
              <w:rPr>
                <w:vertAlign w:val="subscript"/>
              </w:rPr>
              <w:t>p</w:t>
            </w:r>
            <w:r>
              <w:t xml:space="preserve"> &lt; 0 </w:t>
            </w:r>
            <w:r>
              <w:rPr>
                <w:rFonts w:ascii="MS Gothic" w:eastAsia="MS Gothic" w:hAnsi="MS Gothic" w:hint="eastAsia"/>
              </w:rPr>
              <w:t>∧</w:t>
            </w:r>
            <w:r>
              <w:t xml:space="preserve"> z</w:t>
            </w:r>
            <w:r w:rsidRPr="00A6037B">
              <w:rPr>
                <w:vertAlign w:val="subscript"/>
              </w:rPr>
              <w:t>n</w:t>
            </w:r>
            <w:r>
              <w:t xml:space="preserve"> &lt; 0 </w:t>
            </w:r>
          </w:p>
        </w:tc>
        <w:tc>
          <w:tcPr>
            <w:tcW w:w="3096" w:type="dxa"/>
          </w:tcPr>
          <w:p w14:paraId="4C4CC20F" w14:textId="77777777" w:rsidR="00A6037B" w:rsidRDefault="00A6037B" w:rsidP="00A6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-1.0</w:t>
            </w:r>
          </w:p>
        </w:tc>
      </w:tr>
      <w:tr w:rsidR="00A6037B" w14:paraId="4449C078" w14:textId="77777777" w:rsidTr="00A6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003DFEBF" w14:textId="77777777" w:rsidR="00A6037B" w:rsidRDefault="00A6037B" w:rsidP="00A6037B">
            <w:r>
              <w:t>Kontroverzni</w:t>
            </w:r>
          </w:p>
        </w:tc>
        <w:tc>
          <w:tcPr>
            <w:tcW w:w="3096" w:type="dxa"/>
          </w:tcPr>
          <w:p w14:paraId="656299C2" w14:textId="77777777" w:rsidR="00A6037B" w:rsidRDefault="00A6037B" w:rsidP="00A6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  <w:r w:rsidRPr="00A6037B">
              <w:rPr>
                <w:vertAlign w:val="subscript"/>
              </w:rPr>
              <w:t>p</w:t>
            </w:r>
            <w:r>
              <w:t xml:space="preserve"> &gt; 0 </w:t>
            </w:r>
            <w:r>
              <w:rPr>
                <w:rFonts w:ascii="MS Gothic" w:eastAsia="MS Gothic" w:hAnsi="MS Gothic" w:hint="eastAsia"/>
              </w:rPr>
              <w:t>∧</w:t>
            </w:r>
            <w:r>
              <w:t xml:space="preserve"> z</w:t>
            </w:r>
            <w:r w:rsidRPr="00A6037B">
              <w:rPr>
                <w:vertAlign w:val="subscript"/>
              </w:rPr>
              <w:t>n</w:t>
            </w:r>
            <w:r>
              <w:t xml:space="preserve"> &gt; 0</w:t>
            </w:r>
          </w:p>
        </w:tc>
        <w:tc>
          <w:tcPr>
            <w:tcW w:w="3096" w:type="dxa"/>
          </w:tcPr>
          <w:p w14:paraId="12B1A669" w14:textId="77777777" w:rsidR="00A6037B" w:rsidRDefault="00A6037B" w:rsidP="00A603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1.0</w:t>
            </w:r>
          </w:p>
        </w:tc>
      </w:tr>
      <w:tr w:rsidR="00A6037B" w14:paraId="73130E87" w14:textId="77777777" w:rsidTr="00A6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5C698985" w14:textId="77777777" w:rsidR="00A6037B" w:rsidRDefault="00A6037B" w:rsidP="00A6037B">
            <w:r>
              <w:t>Povprečni</w:t>
            </w:r>
          </w:p>
        </w:tc>
        <w:tc>
          <w:tcPr>
            <w:tcW w:w="3096" w:type="dxa"/>
          </w:tcPr>
          <w:p w14:paraId="57CD898F" w14:textId="77777777" w:rsidR="00A6037B" w:rsidRDefault="00A6037B" w:rsidP="00A6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>
              <w:rPr>
                <w:rFonts w:ascii="Calibri" w:hAnsi="Calibri"/>
              </w:rPr>
              <w:t>≥ z</w:t>
            </w:r>
            <w:r w:rsidRPr="00A6037B">
              <w:rPr>
                <w:rFonts w:ascii="Calibri" w:hAnsi="Calibri"/>
                <w:vertAlign w:val="subscript"/>
              </w:rPr>
              <w:t>p</w:t>
            </w:r>
            <w:r>
              <w:rPr>
                <w:rFonts w:ascii="Calibri" w:hAnsi="Calibri"/>
              </w:rPr>
              <w:t xml:space="preserve"> - z</w:t>
            </w:r>
            <w:r w:rsidRPr="00A6037B">
              <w:rPr>
                <w:rFonts w:ascii="Calibri" w:hAnsi="Calibri"/>
                <w:vertAlign w:val="subscript"/>
              </w:rPr>
              <w:t>n</w:t>
            </w:r>
            <w:r>
              <w:rPr>
                <w:rFonts w:ascii="Calibri" w:hAnsi="Calibri"/>
              </w:rPr>
              <w:t xml:space="preserve"> ≥ -1.0</w:t>
            </w:r>
          </w:p>
        </w:tc>
        <w:tc>
          <w:tcPr>
            <w:tcW w:w="3096" w:type="dxa"/>
          </w:tcPr>
          <w:p w14:paraId="03230F6A" w14:textId="77777777" w:rsidR="00A6037B" w:rsidRDefault="00A6037B" w:rsidP="00A6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1.0 </w:t>
            </w:r>
            <w:r>
              <w:rPr>
                <w:rFonts w:ascii="Calibri" w:hAnsi="Calibri"/>
              </w:rPr>
              <w:t>≥</w:t>
            </w:r>
            <w:r>
              <w:t xml:space="preserve"> z</w:t>
            </w:r>
            <w:r w:rsidRPr="00A6037B">
              <w:rPr>
                <w:vertAlign w:val="subscript"/>
              </w:rPr>
              <w:t>p</w:t>
            </w:r>
            <w:r>
              <w:t xml:space="preserve"> + z</w:t>
            </w:r>
            <w:r w:rsidRPr="00A6037B">
              <w:rPr>
                <w:vertAlign w:val="subscript"/>
              </w:rPr>
              <w:t>n</w:t>
            </w:r>
            <w:r>
              <w:t xml:space="preserve"> </w:t>
            </w:r>
            <w:r>
              <w:rPr>
                <w:rFonts w:ascii="Calibri" w:hAnsi="Calibri"/>
              </w:rPr>
              <w:t>≥</w:t>
            </w:r>
            <w:r>
              <w:t xml:space="preserve"> -1.0</w:t>
            </w:r>
          </w:p>
        </w:tc>
      </w:tr>
    </w:tbl>
    <w:p w14:paraId="3D2133A7" w14:textId="77777777" w:rsidR="00A6037B" w:rsidRPr="00A6037B" w:rsidRDefault="00A6037B" w:rsidP="00A6037B"/>
    <w:p w14:paraId="3DC759B8" w14:textId="77777777" w:rsidR="00A6037B" w:rsidRDefault="00A6037B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3C9CFB2" w14:textId="77777777" w:rsidR="000972C6" w:rsidRDefault="000972C6" w:rsidP="000972C6">
      <w:pPr>
        <w:pStyle w:val="Heading1"/>
      </w:pPr>
      <w:bookmarkStart w:id="11" w:name="_Toc274063594"/>
      <w:r>
        <w:lastRenderedPageBreak/>
        <w:t>Viri in literatura</w:t>
      </w:r>
      <w:bookmarkEnd w:id="11"/>
    </w:p>
    <w:p w14:paraId="1031B011" w14:textId="77777777" w:rsidR="000972C6" w:rsidRDefault="000972C6" w:rsidP="007862BC">
      <w:pPr>
        <w:pStyle w:val="ListParagraph"/>
        <w:numPr>
          <w:ilvl w:val="0"/>
          <w:numId w:val="1"/>
        </w:numPr>
        <w:jc w:val="left"/>
      </w:pPr>
      <w:r>
        <w:t>Sociometrična preizkušnja, dr. Tanja Kajtna, uni. dipl. psih.</w:t>
      </w:r>
    </w:p>
    <w:p w14:paraId="5D3C2BD4" w14:textId="77777777" w:rsidR="000972C6" w:rsidRPr="007862BC" w:rsidRDefault="000972C6" w:rsidP="007862BC">
      <w:pPr>
        <w:pStyle w:val="ListParagraph"/>
        <w:numPr>
          <w:ilvl w:val="0"/>
          <w:numId w:val="1"/>
        </w:numPr>
        <w:jc w:val="left"/>
      </w:pPr>
      <w:r>
        <w:rPr>
          <w:sz w:val="23"/>
          <w:szCs w:val="23"/>
        </w:rPr>
        <w:t>Petrović, K. in Doupona, M. (1996). Sociologija športa. Ljubljana: Fakulteta za šport</w:t>
      </w:r>
    </w:p>
    <w:p w14:paraId="686A51EF" w14:textId="77777777" w:rsidR="007862BC" w:rsidRDefault="007862BC" w:rsidP="007862BC">
      <w:pPr>
        <w:pStyle w:val="ListParagraph"/>
        <w:numPr>
          <w:ilvl w:val="0"/>
          <w:numId w:val="1"/>
        </w:numPr>
        <w:jc w:val="left"/>
      </w:pPr>
      <w:r>
        <w:t>Socialno emocionalni odnosi kot spodbuda za oblikovanje novih znanj (2006). Martina Miklavčič Šumanski, Igor Kolenc in Mirko Markič</w:t>
      </w:r>
    </w:p>
    <w:p w14:paraId="51D62992" w14:textId="77777777" w:rsidR="007862BC" w:rsidRPr="000972C6" w:rsidRDefault="007862BC" w:rsidP="007862BC">
      <w:pPr>
        <w:pStyle w:val="ListParagraph"/>
        <w:numPr>
          <w:ilvl w:val="0"/>
          <w:numId w:val="1"/>
        </w:numPr>
        <w:jc w:val="left"/>
      </w:pPr>
      <w:r w:rsidRPr="007862BC">
        <w:t>Multiple sources of data on social behavior and social status in the school: A cross-age comparison</w:t>
      </w:r>
      <w:r>
        <w:t xml:space="preserve"> </w:t>
      </w:r>
      <w:r w:rsidRPr="007862BC">
        <w:t>(1988).</w:t>
      </w:r>
      <w:r>
        <w:t xml:space="preserve"> Coie J. D. in</w:t>
      </w:r>
      <w:r w:rsidRPr="007862BC">
        <w:t xml:space="preserve"> Dodge, K. A.</w:t>
      </w:r>
    </w:p>
    <w:sectPr w:rsidR="007862BC" w:rsidRPr="000972C6" w:rsidSect="00F74C45">
      <w:headerReference w:type="default" r:id="rId8"/>
      <w:footerReference w:type="default" r:id="rId9"/>
      <w:pgSz w:w="11906" w:h="16838"/>
      <w:pgMar w:top="1182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C9BD" w14:textId="77777777" w:rsidR="00481D28" w:rsidRDefault="00481D28" w:rsidP="00F74C45">
      <w:pPr>
        <w:spacing w:after="0" w:line="240" w:lineRule="auto"/>
      </w:pPr>
      <w:r>
        <w:separator/>
      </w:r>
    </w:p>
  </w:endnote>
  <w:endnote w:type="continuationSeparator" w:id="0">
    <w:p w14:paraId="7AEB1FFE" w14:textId="77777777" w:rsidR="00481D28" w:rsidRDefault="00481D28" w:rsidP="00F7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4860"/>
    </w:tblGrid>
    <w:tr w:rsidR="00A6037B" w:rsidRPr="00F74C45" w14:paraId="0BB003B0" w14:textId="77777777" w:rsidTr="00F74C45">
      <w:tc>
        <w:tcPr>
          <w:tcW w:w="4320" w:type="dxa"/>
          <w:vAlign w:val="bottom"/>
        </w:tcPr>
        <w:p w14:paraId="7539728E" w14:textId="0270176B" w:rsidR="00A6037B" w:rsidRPr="00F74C45" w:rsidRDefault="00A6037B" w:rsidP="00F74C45">
          <w:pPr>
            <w:pStyle w:val="Header"/>
            <w:tabs>
              <w:tab w:val="clear" w:pos="4320"/>
              <w:tab w:val="clear" w:pos="8640"/>
            </w:tabs>
            <w:jc w:val="left"/>
          </w:pPr>
          <w:r>
            <w:rPr>
              <w:color w:val="808080" w:themeColor="background1" w:themeShade="80"/>
            </w:rPr>
            <w:t>Sociogram 5.</w:t>
          </w:r>
          <w:r w:rsidR="000820B8">
            <w:rPr>
              <w:color w:val="808080" w:themeColor="background1" w:themeShade="80"/>
            </w:rPr>
            <w:t>5</w:t>
          </w:r>
        </w:p>
      </w:tc>
      <w:tc>
        <w:tcPr>
          <w:tcW w:w="4860" w:type="dxa"/>
        </w:tcPr>
        <w:p w14:paraId="37EC9F82" w14:textId="77777777" w:rsidR="00A6037B" w:rsidRPr="00F74C45" w:rsidRDefault="00A6037B" w:rsidP="00F74C45">
          <w:pPr>
            <w:pStyle w:val="Header"/>
            <w:tabs>
              <w:tab w:val="clear" w:pos="4320"/>
              <w:tab w:val="clear" w:pos="8640"/>
            </w:tabs>
            <w:jc w:val="right"/>
            <w:rPr>
              <w:color w:val="808080" w:themeColor="background1" w:themeShade="80"/>
            </w:rPr>
          </w:pPr>
          <w:r w:rsidRPr="00F74C45">
            <w:rPr>
              <w:rStyle w:val="PageNumber"/>
              <w:color w:val="808080" w:themeColor="background1" w:themeShade="80"/>
            </w:rPr>
            <w:fldChar w:fldCharType="begin"/>
          </w:r>
          <w:r w:rsidRPr="00F74C45">
            <w:rPr>
              <w:rStyle w:val="PageNumber"/>
              <w:color w:val="808080" w:themeColor="background1" w:themeShade="80"/>
              <w:sz w:val="24"/>
            </w:rPr>
            <w:instrText xml:space="preserve"> PAGE </w:instrText>
          </w:r>
          <w:r w:rsidRPr="00F74C45">
            <w:rPr>
              <w:rStyle w:val="PageNumber"/>
              <w:color w:val="808080" w:themeColor="background1" w:themeShade="80"/>
            </w:rPr>
            <w:fldChar w:fldCharType="separate"/>
          </w:r>
          <w:r w:rsidR="00432D80">
            <w:rPr>
              <w:rStyle w:val="PageNumber"/>
              <w:noProof/>
              <w:color w:val="808080" w:themeColor="background1" w:themeShade="80"/>
              <w:sz w:val="24"/>
            </w:rPr>
            <w:t>4</w:t>
          </w:r>
          <w:r w:rsidRPr="00F74C45">
            <w:rPr>
              <w:rStyle w:val="PageNumber"/>
              <w:color w:val="808080" w:themeColor="background1" w:themeShade="80"/>
            </w:rPr>
            <w:fldChar w:fldCharType="end"/>
          </w:r>
        </w:p>
      </w:tc>
    </w:tr>
  </w:tbl>
  <w:p w14:paraId="7A8A3905" w14:textId="77777777" w:rsidR="00A6037B" w:rsidRDefault="00A6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5DEE" w14:textId="77777777" w:rsidR="00481D28" w:rsidRDefault="00481D28" w:rsidP="00F74C45">
      <w:pPr>
        <w:spacing w:after="0" w:line="240" w:lineRule="auto"/>
      </w:pPr>
      <w:r>
        <w:separator/>
      </w:r>
    </w:p>
  </w:footnote>
  <w:footnote w:type="continuationSeparator" w:id="0">
    <w:p w14:paraId="388DFC89" w14:textId="77777777" w:rsidR="00481D28" w:rsidRDefault="00481D28" w:rsidP="00F7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0"/>
      <w:gridCol w:w="4860"/>
    </w:tblGrid>
    <w:tr w:rsidR="00A6037B" w:rsidRPr="00F74C45" w14:paraId="01282AA9" w14:textId="77777777" w:rsidTr="00F74C45">
      <w:tc>
        <w:tcPr>
          <w:tcW w:w="4320" w:type="dxa"/>
          <w:vAlign w:val="bottom"/>
        </w:tcPr>
        <w:p w14:paraId="5D030882" w14:textId="77777777" w:rsidR="00A6037B" w:rsidRPr="00F74C45" w:rsidRDefault="00A6037B" w:rsidP="00F74C45">
          <w:pPr>
            <w:pStyle w:val="Header"/>
            <w:tabs>
              <w:tab w:val="clear" w:pos="4320"/>
              <w:tab w:val="clear" w:pos="8640"/>
            </w:tabs>
            <w:jc w:val="left"/>
          </w:pPr>
          <w:r w:rsidRPr="00F74C45">
            <w:rPr>
              <w:color w:val="808080" w:themeColor="background1" w:themeShade="80"/>
            </w:rPr>
            <w:t xml:space="preserve">Legenda k sociometrični klasifikaciji </w:t>
          </w:r>
        </w:p>
      </w:tc>
      <w:tc>
        <w:tcPr>
          <w:tcW w:w="4860" w:type="dxa"/>
        </w:tcPr>
        <w:p w14:paraId="586A4D66" w14:textId="77777777" w:rsidR="00A6037B" w:rsidRPr="00F74C45" w:rsidRDefault="00A6037B" w:rsidP="00F74C45">
          <w:pPr>
            <w:pStyle w:val="Header"/>
            <w:tabs>
              <w:tab w:val="clear" w:pos="4320"/>
              <w:tab w:val="clear" w:pos="8640"/>
            </w:tabs>
            <w:jc w:val="right"/>
          </w:pPr>
          <w:r w:rsidRPr="00F74C45">
            <w:rPr>
              <w:noProof/>
              <w:lang w:eastAsia="sl-SI"/>
            </w:rPr>
            <w:drawing>
              <wp:inline distT="0" distB="0" distL="0" distR="0" wp14:anchorId="1C84D715" wp14:editId="2994BDED">
                <wp:extent cx="481424" cy="44793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1424" cy="4479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F93862" w14:textId="77777777" w:rsidR="00A6037B" w:rsidRDefault="00A6037B" w:rsidP="00F74C4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6475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6012D8"/>
    <w:multiLevelType w:val="hybridMultilevel"/>
    <w:tmpl w:val="1DD28C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66279"/>
    <w:multiLevelType w:val="hybridMultilevel"/>
    <w:tmpl w:val="330A6AA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C265B"/>
    <w:multiLevelType w:val="hybridMultilevel"/>
    <w:tmpl w:val="451A61D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138230">
    <w:abstractNumId w:val="3"/>
  </w:num>
  <w:num w:numId="2" w16cid:durableId="1124613587">
    <w:abstractNumId w:val="1"/>
  </w:num>
  <w:num w:numId="3" w16cid:durableId="922103447">
    <w:abstractNumId w:val="2"/>
  </w:num>
  <w:num w:numId="4" w16cid:durableId="626618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3A38"/>
    <w:rsid w:val="000820B8"/>
    <w:rsid w:val="000972C6"/>
    <w:rsid w:val="000E133D"/>
    <w:rsid w:val="00130DDC"/>
    <w:rsid w:val="00145852"/>
    <w:rsid w:val="00146AB6"/>
    <w:rsid w:val="00346B1A"/>
    <w:rsid w:val="00432D80"/>
    <w:rsid w:val="00481D28"/>
    <w:rsid w:val="00503682"/>
    <w:rsid w:val="005C5C41"/>
    <w:rsid w:val="006966F6"/>
    <w:rsid w:val="007862BC"/>
    <w:rsid w:val="007F3A95"/>
    <w:rsid w:val="008858EC"/>
    <w:rsid w:val="00A6037B"/>
    <w:rsid w:val="00A731D2"/>
    <w:rsid w:val="00AA4433"/>
    <w:rsid w:val="00C30B25"/>
    <w:rsid w:val="00DB3A38"/>
    <w:rsid w:val="00F7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E488216"/>
  <w15:docId w15:val="{6097538C-4A1C-9247-9F57-127380EE2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B2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85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DDC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43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43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43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43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43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43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43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8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458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8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72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9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3A9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30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0B25"/>
    <w:pPr>
      <w:spacing w:before="120" w:after="0"/>
    </w:pPr>
    <w:rPr>
      <w:rFonts w:cs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0B25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30B25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30B25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30B25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30B25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30B25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30B25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30B25"/>
    <w:pPr>
      <w:spacing w:after="0"/>
      <w:ind w:left="176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0B25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C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C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4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4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4C4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45"/>
    <w:rPr>
      <w:sz w:val="24"/>
    </w:rPr>
  </w:style>
  <w:style w:type="table" w:styleId="TableGrid">
    <w:name w:val="Table Grid"/>
    <w:basedOn w:val="TableNormal"/>
    <w:uiPriority w:val="59"/>
    <w:rsid w:val="00F74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74C45"/>
  </w:style>
  <w:style w:type="character" w:styleId="SubtleEmphasis">
    <w:name w:val="Subtle Emphasis"/>
    <w:basedOn w:val="DefaultParagraphFont"/>
    <w:uiPriority w:val="19"/>
    <w:qFormat/>
    <w:rsid w:val="00F74C45"/>
    <w:rPr>
      <w:i/>
      <w:iCs/>
      <w:color w:val="808080" w:themeColor="text1" w:themeTint="7F"/>
    </w:rPr>
  </w:style>
  <w:style w:type="character" w:styleId="PlaceholderText">
    <w:name w:val="Placeholder Text"/>
    <w:basedOn w:val="DefaultParagraphFont"/>
    <w:uiPriority w:val="99"/>
    <w:semiHidden/>
    <w:rsid w:val="00F74C45"/>
    <w:rPr>
      <w:color w:val="808080"/>
    </w:rPr>
  </w:style>
  <w:style w:type="table" w:styleId="LightShading-Accent1">
    <w:name w:val="Light Shading Accent 1"/>
    <w:basedOn w:val="TableNormal"/>
    <w:uiPriority w:val="60"/>
    <w:rsid w:val="00A603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AA4433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4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43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43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4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4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16506-8CD8-D840-9B8E-B5317ED3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szitnik</dc:creator>
  <cp:lastModifiedBy>Žitnik, Slavko</cp:lastModifiedBy>
  <cp:revision>6</cp:revision>
  <dcterms:created xsi:type="dcterms:W3CDTF">2014-10-05T21:22:00Z</dcterms:created>
  <dcterms:modified xsi:type="dcterms:W3CDTF">2022-09-24T19:29:00Z</dcterms:modified>
</cp:coreProperties>
</file>