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Authorized Web Security Simulation</w:t>
      </w:r>
    </w:p>
    <w:p>
      <w:pPr>
        <w:pStyle w:val="Subtitle"/>
      </w:pPr>
      <w:r>
        <w:t>Site Cloning, Browser Hooking, and Credential-Harvester Awareness</w:t>
      </w:r>
    </w:p>
    <w:tbl>
      <w:tblPr>
        <w:tblW w:type="dxa" w:w="9360"/>
        <w:jc w:val="left"/>
        <w:tblLayout w:type="fixed"/>
        <w:tblLook w:firstColumn="1" w:firstRow="1" w:lastColumn="0" w:lastRow="0" w:noHBand="0" w:noVBand="1" w:val="04A0"/>
      </w:tblPr>
      <w:tblGrid>
        <w:gridCol w:w="3120"/>
        <w:gridCol w:w="3120"/>
        <w:gridCol w:w="3120"/>
      </w:tblGrid>
      <w:tr>
        <w:tc>
          <w:tcPr>
            <w:tcW w:type="dxa" w:w="3120"/>
            <w:shd w:fill="0F8B8D"/>
            <w:tcMar>
              <w:top w:w="80" w:type="dxa"/>
              <w:start w:w="100" w:type="dxa"/>
              <w:bottom w:w="80" w:type="dxa"/>
              <w:end w:w="100" w:type="dxa"/>
            </w:tcMar>
          </w:tcPr>
          <w:p>
            <w:pPr>
              <w:jc w:val="center"/>
            </w:pPr>
            <w:r>
              <w:rPr>
                <w:rFonts w:ascii="Aptos" w:hAnsi="Aptos"/>
                <w:b/>
                <w:color w:val="FFFFFF"/>
                <w:sz w:val="17"/>
              </w:rPr>
              <w:t>ETHICAL HACKING</w:t>
            </w:r>
          </w:p>
        </w:tc>
        <w:tc>
          <w:tcPr>
            <w:tcW w:type="dxa" w:w="3120"/>
            <w:shd w:fill="102A43"/>
            <w:tcMar>
              <w:top w:w="80" w:type="dxa"/>
              <w:start w:w="100" w:type="dxa"/>
              <w:bottom w:w="80" w:type="dxa"/>
              <w:end w:w="100" w:type="dxa"/>
            </w:tcMar>
          </w:tcPr>
          <w:p>
            <w:pPr>
              <w:jc w:val="center"/>
            </w:pPr>
            <w:r>
              <w:rPr>
                <w:rFonts w:ascii="Aptos" w:hAnsi="Aptos"/>
                <w:b/>
                <w:color w:val="FFFFFF"/>
                <w:sz w:val="17"/>
              </w:rPr>
              <w:t>CONTROLLED LAB</w:t>
            </w:r>
          </w:p>
        </w:tc>
        <w:tc>
          <w:tcPr>
            <w:tcW w:type="dxa" w:w="3120"/>
            <w:shd w:fill="1C9CD6"/>
            <w:tcMar>
              <w:top w:w="80" w:type="dxa"/>
              <w:start w:w="100" w:type="dxa"/>
              <w:bottom w:w="80" w:type="dxa"/>
              <w:end w:w="100" w:type="dxa"/>
            </w:tcMar>
          </w:tcPr>
          <w:p>
            <w:pPr>
              <w:jc w:val="center"/>
            </w:pPr>
            <w:r>
              <w:rPr>
                <w:rFonts w:ascii="Aptos" w:hAnsi="Aptos"/>
                <w:b/>
                <w:color w:val="FFFFFF"/>
                <w:sz w:val="17"/>
              </w:rPr>
              <w:t>EVIDENCE BASED</w:t>
            </w:r>
          </w:p>
        </w:tc>
      </w:tr>
    </w:tbl>
    <w:p>
      <w:pPr>
        <w:spacing w:after="0"/>
      </w:pPr>
    </w:p>
    <w:p>
      <w:pPr>
        <w:spacing w:after="240"/>
      </w:pPr>
      <w:r>
        <w:rPr>
          <w:rFonts w:ascii="Aptos" w:hAnsi="Aptos"/>
          <w:color w:val="102A43"/>
          <w:sz w:val="23"/>
        </w:rPr>
        <w:t>A controlled web-security exercise examining how cloned content, browser-hook frameworks, and credential-harvester workflows can be assembled in an isolated training environment. The report pairs original execution evidence with defensive analysis and safe publication boundaries.</w:t>
      </w:r>
    </w:p>
    <w:p>
      <w:pPr>
        <w:shd w:fill="FFF6DB"/>
        <w:pBdr>
          <w:left w:val="single" w:sz="18" w:space="8" w:color="C58B19"/>
        </w:pBdr>
        <w:spacing w:before="120" w:after="160"/>
        <w:ind w:left="259" w:right="173"/>
      </w:pPr>
      <w:r>
        <w:rPr>
          <w:rFonts w:ascii="Aptos" w:hAnsi="Aptos"/>
          <w:b/>
          <w:color w:val="C58B19"/>
          <w:sz w:val="20"/>
        </w:rPr>
        <w:t xml:space="preserve">Authorization and safety boundary: </w:t>
      </w:r>
      <w:r>
        <w:rPr>
          <w:rFonts w:ascii="Aptos" w:hAnsi="Aptos"/>
          <w:color w:val="102A43"/>
          <w:sz w:val="20"/>
        </w:rPr>
        <w:t>This report documents an instructor-provided, isolated training exercise. No real users, public targets, production systems, or real credentials were used. Commands are presented with placeholders for portfolio safety. Original screenshots are retained as execution evidence and may show transient private lab addresses.</w:t>
      </w:r>
    </w:p>
    <w:tbl>
      <w:tblPr>
        <w:tblW w:type="dxa" w:w="9360"/>
        <w:jc w:val="center"/>
        <w:tblLayout w:type="fixed"/>
        <w:tblLook w:firstColumn="1" w:firstRow="1" w:lastColumn="0" w:lastRow="0" w:noHBand="0" w:noVBand="1" w:val="04A0"/>
      </w:tblPr>
      <w:tblGrid>
        <w:gridCol w:w="2700"/>
        <w:gridCol w:w="6660"/>
      </w:tblGrid>
      <w:tr>
        <w:tc>
          <w:tcPr>
            <w:tcW w:type="dxa" w:w="2700"/>
            <w:shd w:fill="102A43"/>
            <w:tcMar>
              <w:top w:w="100" w:type="dxa"/>
              <w:start w:w="140" w:type="dxa"/>
              <w:bottom w:w="100" w:type="dxa"/>
              <w:end w:w="140" w:type="dxa"/>
            </w:tcMar>
            <w:vAlign w:val="center"/>
          </w:tcPr>
          <w:p>
            <w:r>
              <w:rPr>
                <w:rFonts w:ascii="Aptos" w:hAnsi="Aptos"/>
                <w:b/>
                <w:color w:val="FFFFFF"/>
                <w:sz w:val="17"/>
              </w:rPr>
              <w:t>ASSESSMENT TYPE</w:t>
            </w:r>
          </w:p>
        </w:tc>
        <w:tc>
          <w:tcPr>
            <w:tcW w:type="dxa" w:w="6660"/>
            <w:shd w:fill="EEF4F8"/>
            <w:tcMar>
              <w:top w:w="100" w:type="dxa"/>
              <w:start w:w="140" w:type="dxa"/>
              <w:bottom w:w="100" w:type="dxa"/>
              <w:end w:w="140" w:type="dxa"/>
            </w:tcMar>
            <w:vAlign w:val="center"/>
          </w:tcPr>
          <w:p>
            <w:r>
              <w:rPr>
                <w:rFonts w:ascii="Aptos" w:hAnsi="Aptos"/>
                <w:color w:val="102A43"/>
                <w:sz w:val="19"/>
              </w:rPr>
              <w:t>Authorized training-lab exercise</w:t>
            </w:r>
          </w:p>
        </w:tc>
      </w:tr>
      <w:tr>
        <w:tc>
          <w:tcPr>
            <w:tcW w:type="dxa" w:w="2700"/>
            <w:shd w:fill="102A43"/>
            <w:tcMar>
              <w:top w:w="100" w:type="dxa"/>
              <w:start w:w="140" w:type="dxa"/>
              <w:bottom w:w="100" w:type="dxa"/>
              <w:end w:w="140" w:type="dxa"/>
            </w:tcMar>
            <w:vAlign w:val="center"/>
          </w:tcPr>
          <w:p>
            <w:r>
              <w:rPr>
                <w:rFonts w:ascii="Aptos" w:hAnsi="Aptos"/>
                <w:b/>
                <w:color w:val="FFFFFF"/>
                <w:sz w:val="17"/>
              </w:rPr>
              <w:t>OBJECTIVE</w:t>
            </w:r>
          </w:p>
        </w:tc>
        <w:tc>
          <w:tcPr>
            <w:tcW w:type="dxa" w:w="6660"/>
            <w:shd w:fill="EEF4F8"/>
            <w:tcMar>
              <w:top w:w="100" w:type="dxa"/>
              <w:start w:w="140" w:type="dxa"/>
              <w:bottom w:w="100" w:type="dxa"/>
              <w:end w:w="140" w:type="dxa"/>
            </w:tcMar>
            <w:vAlign w:val="center"/>
          </w:tcPr>
          <w:p>
            <w:r>
              <w:rPr>
                <w:rFonts w:ascii="Aptos" w:hAnsi="Aptos"/>
                <w:color w:val="102A43"/>
                <w:sz w:val="19"/>
              </w:rPr>
              <w:t>Demonstrate the mechanics and risk of deceptive web content without collecting real credentials, targeting an uncontrolled system, or exposing the lab service to the public Internet.</w:t>
            </w:r>
          </w:p>
        </w:tc>
      </w:tr>
      <w:tr>
        <w:tc>
          <w:tcPr>
            <w:tcW w:type="dxa" w:w="2700"/>
            <w:shd w:fill="102A43"/>
            <w:tcMar>
              <w:top w:w="100" w:type="dxa"/>
              <w:start w:w="140" w:type="dxa"/>
              <w:bottom w:w="100" w:type="dxa"/>
              <w:end w:w="140" w:type="dxa"/>
            </w:tcMar>
            <w:vAlign w:val="center"/>
          </w:tcPr>
          <w:p>
            <w:r>
              <w:rPr>
                <w:rFonts w:ascii="Aptos" w:hAnsi="Aptos"/>
                <w:b/>
                <w:color w:val="FFFFFF"/>
                <w:sz w:val="17"/>
              </w:rPr>
              <w:t>ENVIRONMENT</w:t>
            </w:r>
          </w:p>
        </w:tc>
        <w:tc>
          <w:tcPr>
            <w:tcW w:type="dxa" w:w="6660"/>
            <w:shd w:fill="EEF4F8"/>
            <w:tcMar>
              <w:top w:w="100" w:type="dxa"/>
              <w:start w:w="140" w:type="dxa"/>
              <w:bottom w:w="100" w:type="dxa"/>
              <w:end w:w="140" w:type="dxa"/>
            </w:tcMar>
            <w:vAlign w:val="center"/>
          </w:tcPr>
          <w:p>
            <w:r>
              <w:rPr>
                <w:rFonts w:ascii="Aptos" w:hAnsi="Aptos"/>
                <w:color w:val="102A43"/>
                <w:sz w:val="19"/>
              </w:rPr>
              <w:t>Isolated Kali Linux and local Apache training environment; transient lab data only.</w:t>
            </w:r>
          </w:p>
        </w:tc>
      </w:tr>
      <w:tr>
        <w:tc>
          <w:tcPr>
            <w:tcW w:type="dxa" w:w="2700"/>
            <w:shd w:fill="102A43"/>
            <w:tcMar>
              <w:top w:w="100" w:type="dxa"/>
              <w:start w:w="140" w:type="dxa"/>
              <w:bottom w:w="100" w:type="dxa"/>
              <w:end w:w="140" w:type="dxa"/>
            </w:tcMar>
            <w:vAlign w:val="center"/>
          </w:tcPr>
          <w:p>
            <w:r>
              <w:rPr>
                <w:rFonts w:ascii="Aptos" w:hAnsi="Aptos"/>
                <w:b/>
                <w:color w:val="FFFFFF"/>
                <w:sz w:val="17"/>
              </w:rPr>
              <w:t>EVIDENCE</w:t>
            </w:r>
          </w:p>
        </w:tc>
        <w:tc>
          <w:tcPr>
            <w:tcW w:type="dxa" w:w="6660"/>
            <w:shd w:fill="EEF4F8"/>
            <w:tcMar>
              <w:top w:w="100" w:type="dxa"/>
              <w:start w:w="140" w:type="dxa"/>
              <w:bottom w:w="100" w:type="dxa"/>
              <w:end w:w="140" w:type="dxa"/>
            </w:tcMar>
            <w:vAlign w:val="center"/>
          </w:tcPr>
          <w:p>
            <w:r>
              <w:rPr>
                <w:rFonts w:ascii="Aptos" w:hAnsi="Aptos"/>
                <w:color w:val="102A43"/>
                <w:sz w:val="19"/>
              </w:rPr>
              <w:t>38 original screenshots retained unchanged and presented in execution order.</w:t>
            </w:r>
          </w:p>
        </w:tc>
      </w:tr>
    </w:tbl>
    <w:p>
      <w:pPr>
        <w:spacing w:after="0"/>
      </w:pPr>
    </w:p>
    <w:p>
      <w:pPr>
        <w:pStyle w:val="Heading1"/>
      </w:pPr>
      <w:r>
        <w:t>Professional Skills Demonstrated</w:t>
      </w:r>
    </w:p>
    <w:p>
      <w:pPr>
        <w:pStyle w:val="ListBullet"/>
        <w:spacing w:after="80"/>
        <w:ind w:left="504" w:hanging="259"/>
      </w:pPr>
      <w:r>
        <w:t>Apache virtual-host configuration</w:t>
      </w:r>
    </w:p>
    <w:p>
      <w:pPr>
        <w:pStyle w:val="ListBullet"/>
        <w:spacing w:after="80"/>
        <w:ind w:left="504" w:hanging="259"/>
      </w:pPr>
      <w:r>
        <w:t>Controlled site mirroring</w:t>
      </w:r>
    </w:p>
    <w:p>
      <w:pPr>
        <w:pStyle w:val="ListBullet"/>
        <w:spacing w:after="80"/>
        <w:ind w:left="504" w:hanging="259"/>
      </w:pPr>
      <w:r>
        <w:t>Browser-hook framework awareness</w:t>
      </w:r>
    </w:p>
    <w:p>
      <w:pPr>
        <w:pStyle w:val="ListBullet"/>
        <w:spacing w:after="80"/>
        <w:ind w:left="504" w:hanging="259"/>
      </w:pPr>
      <w:r>
        <w:t>Social-engineering risk analysis</w:t>
      </w:r>
    </w:p>
    <w:p>
      <w:pPr>
        <w:pStyle w:val="ListBullet"/>
        <w:spacing w:after="80"/>
        <w:ind w:left="504" w:hanging="259"/>
      </w:pPr>
      <w:r>
        <w:t>Evidence-based technical documentation</w:t>
      </w:r>
    </w:p>
    <w:p>
      <w:pPr>
        <w:pStyle w:val="ListBullet"/>
        <w:spacing w:after="80"/>
        <w:ind w:left="504" w:hanging="259"/>
      </w:pPr>
      <w:r>
        <w:t>Defensive control mapping</w:t>
      </w:r>
    </w:p>
    <w:p>
      <w:r>
        <w:br w:type="page"/>
      </w:r>
    </w:p>
    <w:p>
      <w:pPr>
        <w:pStyle w:val="Heading1"/>
      </w:pPr>
      <w:r>
        <w:t>Assessment Workflow and Evidence</w:t>
      </w:r>
    </w:p>
    <w:p>
      <w:pPr>
        <w:pStyle w:val="Heading2"/>
      </w:pPr>
      <w:r>
        <w:t>1. Establish the Isolated Web Host</w:t>
      </w:r>
    </w:p>
    <w:p>
      <w:r>
        <w:rPr>
          <w:rFonts w:ascii="Aptos" w:hAnsi="Aptos"/>
          <w:b/>
          <w:color w:val="0F8B8D"/>
          <w:sz w:val="21"/>
        </w:rPr>
        <w:t xml:space="preserve">Objective: </w:t>
      </w:r>
      <w:r>
        <w:t>Create a local-only hostname and prepare a clean Apache workspace.</w:t>
      </w:r>
    </w:p>
    <w:p>
      <w:r>
        <w:t>The exercise begins with local name resolution and host preparation. Keeping the destination inside the lab prevents the cloned content from becoming an uncontrolled public service.</w:t>
      </w:r>
    </w:p>
    <w:p>
      <w:pPr>
        <w:pStyle w:val="Heading3"/>
      </w:pPr>
      <w:r>
        <w:t>Lab Commands</w:t>
      </w:r>
    </w:p>
    <w:p>
      <w:pPr>
        <w:pStyle w:val="CommandBlock"/>
        <w:shd w:fill="0B1726"/>
      </w:pPr>
      <w:r>
        <w:t>LAB_HOST=cloned.test</w:t>
      </w:r>
    </w:p>
    <w:p>
      <w:pPr>
        <w:pStyle w:val="CommandBlock"/>
        <w:shd w:fill="0B1726"/>
      </w:pPr>
      <w:r>
        <w:t>sudo nano /etc/hosts</w:t>
      </w:r>
    </w:p>
    <w:p>
      <w:pPr>
        <w:pStyle w:val="CommandBlock"/>
        <w:shd w:fill="0B1726"/>
      </w:pPr>
      <w:r>
        <w:t>sudo apache2ctl configtest</w:t>
      </w:r>
    </w:p>
    <w:p>
      <w:pPr>
        <w:spacing w:before="100" w:after="40"/>
        <w:jc w:val="center"/>
      </w:pPr>
      <w:r>
        <w:drawing>
          <wp:inline xmlns:a="http://schemas.openxmlformats.org/drawingml/2006/main" xmlns:pic="http://schemas.openxmlformats.org/drawingml/2006/picture">
            <wp:extent cx="2880360" cy="1334284"/>
            <wp:docPr id="1" name="Picture 1" descr="Evidence 1: Local host mapping and initial web-server preparation"/>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880360" cy="1334284"/>
                    </a:xfrm>
                    <a:prstGeom prst="rect"/>
                  </pic:spPr>
                </pic:pic>
              </a:graphicData>
            </a:graphic>
          </wp:inline>
        </w:drawing>
      </w:r>
    </w:p>
    <w:p>
      <w:pPr>
        <w:pStyle w:val="Caption"/>
        <w:jc w:val="center"/>
      </w:pPr>
      <w:r>
        <w:t>Evidence 01 - Local host mapping and initial web-server preparation. Original lab screenshot retained unchanged.</w:t>
      </w:r>
    </w:p>
    <w:p>
      <w:pPr>
        <w:spacing w:before="100" w:after="40"/>
        <w:jc w:val="center"/>
      </w:pPr>
      <w:r>
        <w:drawing>
          <wp:inline xmlns:a="http://schemas.openxmlformats.org/drawingml/2006/main" xmlns:pic="http://schemas.openxmlformats.org/drawingml/2006/picture">
            <wp:extent cx="4198620" cy="3093720"/>
            <wp:docPr id="2" name="Picture 2" descr="Evidence 2: Local host mapping and initial web-server preparation"/>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198620" cy="3093720"/>
                    </a:xfrm>
                    <a:prstGeom prst="rect"/>
                  </pic:spPr>
                </pic:pic>
              </a:graphicData>
            </a:graphic>
          </wp:inline>
        </w:drawing>
      </w:r>
    </w:p>
    <w:p>
      <w:pPr>
        <w:pStyle w:val="Caption"/>
        <w:jc w:val="center"/>
      </w:pPr>
      <w:r>
        <w:t>Evidence 02 - Local host mapping and initial web-server preparation. Original lab screenshot retained unchanged.</w:t>
      </w:r>
    </w:p>
    <w:p>
      <w:pPr>
        <w:spacing w:before="100" w:after="40"/>
        <w:jc w:val="center"/>
      </w:pPr>
      <w:r>
        <w:drawing>
          <wp:inline xmlns:a="http://schemas.openxmlformats.org/drawingml/2006/main" xmlns:pic="http://schemas.openxmlformats.org/drawingml/2006/picture">
            <wp:extent cx="4099560" cy="899160"/>
            <wp:docPr id="3" name="Picture 3" descr="Evidence 3: Local host mapping and initial web-server preparation"/>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099560" cy="899160"/>
                    </a:xfrm>
                    <a:prstGeom prst="rect"/>
                  </pic:spPr>
                </pic:pic>
              </a:graphicData>
            </a:graphic>
          </wp:inline>
        </w:drawing>
      </w:r>
    </w:p>
    <w:p>
      <w:pPr>
        <w:pStyle w:val="Caption"/>
        <w:jc w:val="center"/>
      </w:pPr>
      <w:r>
        <w:t>Evidence 03 - Local host mapping and initial web-server preparation.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A controlled namespace and explicit configuration test provide a clear safety boundary before content is served.</w:t>
      </w:r>
    </w:p>
    <w:p>
      <w:pPr>
        <w:pStyle w:val="Heading2"/>
      </w:pPr>
      <w:r>
        <w:t>2. Configure and Validate Apache</w:t>
      </w:r>
    </w:p>
    <w:p>
      <w:r>
        <w:rPr>
          <w:rFonts w:ascii="Aptos" w:hAnsi="Aptos"/>
          <w:b/>
          <w:color w:val="0F8B8D"/>
          <w:sz w:val="21"/>
        </w:rPr>
        <w:t xml:space="preserve">Objective: </w:t>
      </w:r>
      <w:r>
        <w:t>Create a dedicated virtual host, enable it, and verify a harmless test page.</w:t>
      </w:r>
    </w:p>
    <w:p>
      <w:r>
        <w:t>Apache configuration was reviewed before and after the virtual-host change. A simple local page confirmed that the document root and access directives worked before any mirrored content was introduced.</w:t>
      </w:r>
    </w:p>
    <w:p>
      <w:pPr>
        <w:pStyle w:val="Heading3"/>
      </w:pPr>
      <w:r>
        <w:t>Lab Commands</w:t>
      </w:r>
    </w:p>
    <w:p>
      <w:pPr>
        <w:pStyle w:val="CommandBlock"/>
        <w:shd w:fill="0B1726"/>
      </w:pPr>
      <w:r>
        <w:t>sudo a2ensite cloned-test.conf</w:t>
      </w:r>
    </w:p>
    <w:p>
      <w:pPr>
        <w:pStyle w:val="CommandBlock"/>
        <w:shd w:fill="0B1726"/>
      </w:pPr>
      <w:r>
        <w:t>sudo apache2ctl configtest</w:t>
      </w:r>
    </w:p>
    <w:p>
      <w:pPr>
        <w:pStyle w:val="CommandBlock"/>
        <w:shd w:fill="0B1726"/>
      </w:pPr>
      <w:r>
        <w:t>sudo systemctl reload apache2</w:t>
      </w:r>
    </w:p>
    <w:p>
      <w:pPr>
        <w:spacing w:before="100" w:after="40"/>
        <w:jc w:val="center"/>
      </w:pPr>
      <w:r>
        <w:drawing>
          <wp:inline xmlns:a="http://schemas.openxmlformats.org/drawingml/2006/main" xmlns:pic="http://schemas.openxmlformats.org/drawingml/2006/picture">
            <wp:extent cx="3040380" cy="708660"/>
            <wp:docPr id="4" name="Picture 4" descr="Evidence 4: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3040380" cy="708660"/>
                    </a:xfrm>
                    <a:prstGeom prst="rect"/>
                  </pic:spPr>
                </pic:pic>
              </a:graphicData>
            </a:graphic>
          </wp:inline>
        </w:drawing>
      </w:r>
    </w:p>
    <w:p>
      <w:pPr>
        <w:pStyle w:val="Caption"/>
        <w:jc w:val="center"/>
      </w:pPr>
      <w:r>
        <w:t>Evidence 04 - Apache virtual-host configuration and harmless content validation. Original lab screenshot retained unchanged.</w:t>
      </w:r>
    </w:p>
    <w:p>
      <w:pPr>
        <w:spacing w:before="100" w:after="40"/>
        <w:jc w:val="center"/>
      </w:pPr>
      <w:r>
        <w:drawing>
          <wp:inline xmlns:a="http://schemas.openxmlformats.org/drawingml/2006/main" xmlns:pic="http://schemas.openxmlformats.org/drawingml/2006/picture">
            <wp:extent cx="3962399" cy="830580"/>
            <wp:docPr id="5" name="Picture 5" descr="Evidence 5: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3962399" cy="830580"/>
                    </a:xfrm>
                    <a:prstGeom prst="rect"/>
                  </pic:spPr>
                </pic:pic>
              </a:graphicData>
            </a:graphic>
          </wp:inline>
        </w:drawing>
      </w:r>
    </w:p>
    <w:p>
      <w:pPr>
        <w:pStyle w:val="Caption"/>
        <w:jc w:val="center"/>
      </w:pPr>
      <w:r>
        <w:t>Evidence 05 - Apache virtual-host configuration and harmless content validation. Original lab screenshot retained unchanged.</w:t>
      </w:r>
    </w:p>
    <w:p>
      <w:pPr>
        <w:spacing w:before="100" w:after="40"/>
        <w:jc w:val="center"/>
      </w:pPr>
      <w:r>
        <w:drawing>
          <wp:inline xmlns:a="http://schemas.openxmlformats.org/drawingml/2006/main" xmlns:pic="http://schemas.openxmlformats.org/drawingml/2006/picture">
            <wp:extent cx="3291840" cy="1181100"/>
            <wp:docPr id="6" name="Picture 6" descr="Evidence 6: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3291840" cy="1181100"/>
                    </a:xfrm>
                    <a:prstGeom prst="rect"/>
                  </pic:spPr>
                </pic:pic>
              </a:graphicData>
            </a:graphic>
          </wp:inline>
        </w:drawing>
      </w:r>
    </w:p>
    <w:p>
      <w:pPr>
        <w:pStyle w:val="Caption"/>
        <w:jc w:val="center"/>
      </w:pPr>
      <w:r>
        <w:t>Evidence 06 - Apache virtual-host configuration and harmless content validation. Original lab screenshot retained unchanged.</w:t>
      </w:r>
    </w:p>
    <w:p>
      <w:pPr>
        <w:spacing w:before="100" w:after="40"/>
        <w:jc w:val="center"/>
      </w:pPr>
      <w:r>
        <w:drawing>
          <wp:inline xmlns:a="http://schemas.openxmlformats.org/drawingml/2006/main" xmlns:pic="http://schemas.openxmlformats.org/drawingml/2006/picture">
            <wp:extent cx="3162300" cy="967740"/>
            <wp:docPr id="7" name="Picture 7" descr="Evidence 7: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162300" cy="967740"/>
                    </a:xfrm>
                    <a:prstGeom prst="rect"/>
                  </pic:spPr>
                </pic:pic>
              </a:graphicData>
            </a:graphic>
          </wp:inline>
        </w:drawing>
      </w:r>
    </w:p>
    <w:p>
      <w:pPr>
        <w:pStyle w:val="Caption"/>
        <w:jc w:val="center"/>
      </w:pPr>
      <w:r>
        <w:t>Evidence 07 - Apache virtual-host configuration and harmless content validation. Original lab screenshot retained unchanged.</w:t>
      </w:r>
    </w:p>
    <w:p>
      <w:pPr>
        <w:spacing w:before="100" w:after="40"/>
        <w:jc w:val="center"/>
      </w:pPr>
      <w:r>
        <w:drawing>
          <wp:inline xmlns:a="http://schemas.openxmlformats.org/drawingml/2006/main" xmlns:pic="http://schemas.openxmlformats.org/drawingml/2006/picture">
            <wp:extent cx="3124200" cy="1028700"/>
            <wp:docPr id="8" name="Picture 8" descr="Evidence 8: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124200" cy="1028700"/>
                    </a:xfrm>
                    <a:prstGeom prst="rect"/>
                  </pic:spPr>
                </pic:pic>
              </a:graphicData>
            </a:graphic>
          </wp:inline>
        </w:drawing>
      </w:r>
    </w:p>
    <w:p>
      <w:pPr>
        <w:pStyle w:val="Caption"/>
        <w:jc w:val="center"/>
      </w:pPr>
      <w:r>
        <w:t>Evidence 08 - Apache virtual-host configuration and harmless content validation. Original lab screenshot retained unchanged.</w:t>
      </w:r>
    </w:p>
    <w:p>
      <w:pPr>
        <w:spacing w:before="100" w:after="40"/>
        <w:jc w:val="center"/>
      </w:pPr>
      <w:r>
        <w:drawing>
          <wp:inline xmlns:a="http://schemas.openxmlformats.org/drawingml/2006/main" xmlns:pic="http://schemas.openxmlformats.org/drawingml/2006/picture">
            <wp:extent cx="5303520" cy="1242060"/>
            <wp:docPr id="9" name="Picture 9" descr="Evidence 9: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03520" cy="1242060"/>
                    </a:xfrm>
                    <a:prstGeom prst="rect"/>
                  </pic:spPr>
                </pic:pic>
              </a:graphicData>
            </a:graphic>
          </wp:inline>
        </w:drawing>
      </w:r>
    </w:p>
    <w:p>
      <w:pPr>
        <w:pStyle w:val="Caption"/>
        <w:jc w:val="center"/>
      </w:pPr>
      <w:r>
        <w:t>Evidence 09 - Apache virtual-host configuration and harmless content validation. Original lab screenshot retained unchanged.</w:t>
      </w:r>
    </w:p>
    <w:p>
      <w:pPr>
        <w:spacing w:before="100" w:after="40"/>
        <w:jc w:val="center"/>
      </w:pPr>
      <w:r>
        <w:drawing>
          <wp:inline xmlns:a="http://schemas.openxmlformats.org/drawingml/2006/main" xmlns:pic="http://schemas.openxmlformats.org/drawingml/2006/picture">
            <wp:extent cx="3703320" cy="1645919"/>
            <wp:docPr id="10" name="Picture 10" descr="Evidence 10: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3703320" cy="1645919"/>
                    </a:xfrm>
                    <a:prstGeom prst="rect"/>
                  </pic:spPr>
                </pic:pic>
              </a:graphicData>
            </a:graphic>
          </wp:inline>
        </w:drawing>
      </w:r>
    </w:p>
    <w:p>
      <w:pPr>
        <w:pStyle w:val="Caption"/>
        <w:jc w:val="center"/>
      </w:pPr>
      <w:r>
        <w:t>Evidence 10 - Apache virtual-host configuration and harmless content validation. Original lab screenshot retained unchanged.</w:t>
      </w:r>
    </w:p>
    <w:p>
      <w:pPr>
        <w:spacing w:before="100" w:after="40"/>
        <w:jc w:val="center"/>
      </w:pPr>
      <w:r>
        <w:drawing>
          <wp:inline xmlns:a="http://schemas.openxmlformats.org/drawingml/2006/main" xmlns:pic="http://schemas.openxmlformats.org/drawingml/2006/picture">
            <wp:extent cx="2880360" cy="1891834"/>
            <wp:docPr id="11" name="Picture 11" descr="Evidence 11: Apache virtual-host configuration and harmless content validation"/>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2880360" cy="1891834"/>
                    </a:xfrm>
                    <a:prstGeom prst="rect"/>
                  </pic:spPr>
                </pic:pic>
              </a:graphicData>
            </a:graphic>
          </wp:inline>
        </w:drawing>
      </w:r>
    </w:p>
    <w:p>
      <w:pPr>
        <w:pStyle w:val="Caption"/>
        <w:jc w:val="center"/>
      </w:pPr>
      <w:r>
        <w:t>Evidence 11 - Apache virtual-host configuration and harmless content validation.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Staging with a benign page separates infrastructure troubleshooting from later security-tool behavior.</w:t>
      </w:r>
    </w:p>
    <w:p>
      <w:pPr>
        <w:pStyle w:val="Heading2"/>
      </w:pPr>
      <w:r>
        <w:t>3. Mirror Test Content</w:t>
      </w:r>
    </w:p>
    <w:p>
      <w:r>
        <w:rPr>
          <w:rFonts w:ascii="Aptos" w:hAnsi="Aptos"/>
          <w:b/>
          <w:color w:val="0F8B8D"/>
          <w:sz w:val="21"/>
        </w:rPr>
        <w:t xml:space="preserve">Objective: </w:t>
      </w:r>
      <w:r>
        <w:t>Observe how automated mirroring reproduces page assets and rewrites local links.</w:t>
      </w:r>
    </w:p>
    <w:p>
      <w:r>
        <w:t>A training page was mirrored into the local document root. The purpose was to understand why visual similarity alone can make a deceptive page convincing and why trusted branding cannot substitute for origin verification.</w:t>
      </w:r>
    </w:p>
    <w:p>
      <w:pPr>
        <w:pStyle w:val="Heading3"/>
      </w:pPr>
      <w:r>
        <w:t>Lab Commands</w:t>
      </w:r>
    </w:p>
    <w:p>
      <w:pPr>
        <w:pStyle w:val="CommandBlock"/>
        <w:shd w:fill="0B1726"/>
      </w:pPr>
      <w:r>
        <w:t>wget --mirror --convert-links --page-requisites http://lab-target.invalid/</w:t>
      </w:r>
    </w:p>
    <w:p>
      <w:pPr>
        <w:spacing w:before="100" w:after="40"/>
        <w:jc w:val="center"/>
      </w:pPr>
      <w:r>
        <w:drawing>
          <wp:inline xmlns:a="http://schemas.openxmlformats.org/drawingml/2006/main" xmlns:pic="http://schemas.openxmlformats.org/drawingml/2006/picture">
            <wp:extent cx="5715000" cy="933061"/>
            <wp:docPr id="12" name="Picture 12" descr="Evidence 12: Controlled content mirroring and local file inspection"/>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715000" cy="933061"/>
                    </a:xfrm>
                    <a:prstGeom prst="rect"/>
                  </pic:spPr>
                </pic:pic>
              </a:graphicData>
            </a:graphic>
          </wp:inline>
        </w:drawing>
      </w:r>
    </w:p>
    <w:p>
      <w:pPr>
        <w:pStyle w:val="Caption"/>
        <w:jc w:val="center"/>
      </w:pPr>
      <w:r>
        <w:t>Evidence 12 - Controlled content mirroring and local file inspection. Original lab screenshot retained unchanged.</w:t>
      </w:r>
    </w:p>
    <w:p>
      <w:pPr>
        <w:spacing w:before="100" w:after="40"/>
        <w:jc w:val="center"/>
      </w:pPr>
      <w:r>
        <w:drawing>
          <wp:inline xmlns:a="http://schemas.openxmlformats.org/drawingml/2006/main" xmlns:pic="http://schemas.openxmlformats.org/drawingml/2006/picture">
            <wp:extent cx="3977639" cy="1280160"/>
            <wp:docPr id="13" name="Picture 13" descr="Evidence 13: Controlled content mirroring and local file inspection"/>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3977639" cy="1280160"/>
                    </a:xfrm>
                    <a:prstGeom prst="rect"/>
                  </pic:spPr>
                </pic:pic>
              </a:graphicData>
            </a:graphic>
          </wp:inline>
        </w:drawing>
      </w:r>
    </w:p>
    <w:p>
      <w:pPr>
        <w:pStyle w:val="Caption"/>
        <w:jc w:val="center"/>
      </w:pPr>
      <w:r>
        <w:t>Evidence 13 - Controlled content mirroring and local file inspection. Original lab screenshot retained unchanged.</w:t>
      </w:r>
    </w:p>
    <w:p>
      <w:pPr>
        <w:spacing w:before="100" w:after="40"/>
        <w:jc w:val="center"/>
      </w:pPr>
      <w:r>
        <w:drawing>
          <wp:inline xmlns:a="http://schemas.openxmlformats.org/drawingml/2006/main" xmlns:pic="http://schemas.openxmlformats.org/drawingml/2006/picture">
            <wp:extent cx="4572000" cy="1905000"/>
            <wp:docPr id="14" name="Picture 14" descr="Evidence 14: Controlled content mirroring and local file inspection"/>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1905000"/>
                    </a:xfrm>
                    <a:prstGeom prst="rect"/>
                  </pic:spPr>
                </pic:pic>
              </a:graphicData>
            </a:graphic>
          </wp:inline>
        </w:drawing>
      </w:r>
    </w:p>
    <w:p>
      <w:pPr>
        <w:pStyle w:val="Caption"/>
        <w:jc w:val="center"/>
      </w:pPr>
      <w:r>
        <w:t>Evidence 14 - Controlled content mirroring and local file inspection.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The mirror reproduced presentation assets, demonstrating why users must verify the domain, certificate, and expected authentication flow.</w:t>
      </w:r>
    </w:p>
    <w:p>
      <w:pPr>
        <w:pStyle w:val="Heading2"/>
      </w:pPr>
      <w:r>
        <w:t>4. Examine Browser-Hook Behavior</w:t>
      </w:r>
    </w:p>
    <w:p>
      <w:r>
        <w:rPr>
          <w:rFonts w:ascii="Aptos" w:hAnsi="Aptos"/>
          <w:b/>
          <w:color w:val="0F8B8D"/>
          <w:sz w:val="21"/>
        </w:rPr>
        <w:t xml:space="preserve">Objective: </w:t>
      </w:r>
      <w:r>
        <w:t>Review local browser-hook enrollment and API-driven visibility in a closed environment.</w:t>
      </w:r>
    </w:p>
    <w:p>
      <w:r>
        <w:t>The browser-hook framework was operated only against the lab page. The screenshots show local framework state and a REST-oriented workflow; no public browser or real user was enrolled.</w:t>
      </w:r>
    </w:p>
    <w:p>
      <w:pPr>
        <w:pStyle w:val="Heading3"/>
      </w:pPr>
      <w:r>
        <w:t>Lab Commands</w:t>
      </w:r>
    </w:p>
    <w:p>
      <w:pPr>
        <w:pStyle w:val="CommandBlock"/>
        <w:shd w:fill="0B1726"/>
      </w:pPr>
      <w:r>
        <w:t>sudo beef-xss</w:t>
      </w:r>
    </w:p>
    <w:p>
      <w:pPr>
        <w:pStyle w:val="CommandBlock"/>
        <w:shd w:fill="0B1726"/>
      </w:pPr>
      <w:r>
        <w:t># Use only the local lab console and transient lab token</w:t>
      </w:r>
    </w:p>
    <w:p>
      <w:pPr>
        <w:spacing w:before="100" w:after="40"/>
        <w:jc w:val="center"/>
      </w:pPr>
      <w:r>
        <w:drawing>
          <wp:inline xmlns:a="http://schemas.openxmlformats.org/drawingml/2006/main" xmlns:pic="http://schemas.openxmlformats.org/drawingml/2006/picture">
            <wp:extent cx="3870960" cy="1112520"/>
            <wp:docPr id="15" name="Picture 15" descr="Evidence 15: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70960" cy="1112520"/>
                    </a:xfrm>
                    <a:prstGeom prst="rect"/>
                  </pic:spPr>
                </pic:pic>
              </a:graphicData>
            </a:graphic>
          </wp:inline>
        </w:drawing>
      </w:r>
    </w:p>
    <w:p>
      <w:pPr>
        <w:pStyle w:val="Caption"/>
        <w:jc w:val="center"/>
      </w:pPr>
      <w:r>
        <w:t>Evidence 15 -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5715000" cy="1724002"/>
            <wp:docPr id="16" name="Picture 16" descr="Evidence 16: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715000" cy="1724002"/>
                    </a:xfrm>
                    <a:prstGeom prst="rect"/>
                  </pic:spPr>
                </pic:pic>
              </a:graphicData>
            </a:graphic>
          </wp:inline>
        </w:drawing>
      </w:r>
    </w:p>
    <w:p>
      <w:pPr>
        <w:pStyle w:val="Caption"/>
        <w:jc w:val="center"/>
      </w:pPr>
      <w:r>
        <w:t>Evidence 16 -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5715000" cy="663026"/>
            <wp:docPr id="17" name="Picture 17" descr="Evidence 17: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715000" cy="663026"/>
                    </a:xfrm>
                    <a:prstGeom prst="rect"/>
                  </pic:spPr>
                </pic:pic>
              </a:graphicData>
            </a:graphic>
          </wp:inline>
        </w:drawing>
      </w:r>
    </w:p>
    <w:p>
      <w:pPr>
        <w:pStyle w:val="Caption"/>
        <w:jc w:val="center"/>
      </w:pPr>
      <w:r>
        <w:t>Evidence 17 -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5715000" cy="2525232"/>
            <wp:docPr id="18" name="Picture 18" descr="Evidence 18: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715000" cy="2525232"/>
                    </a:xfrm>
                    <a:prstGeom prst="rect"/>
                  </pic:spPr>
                </pic:pic>
              </a:graphicData>
            </a:graphic>
          </wp:inline>
        </w:drawing>
      </w:r>
    </w:p>
    <w:p>
      <w:pPr>
        <w:pStyle w:val="Caption"/>
        <w:jc w:val="center"/>
      </w:pPr>
      <w:r>
        <w:t>Evidence 18 -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5715000" cy="2050284"/>
            <wp:docPr id="19" name="Picture 19" descr="Evidence 19: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715000" cy="2050284"/>
                    </a:xfrm>
                    <a:prstGeom prst="rect"/>
                  </pic:spPr>
                </pic:pic>
              </a:graphicData>
            </a:graphic>
          </wp:inline>
        </w:drawing>
      </w:r>
    </w:p>
    <w:p>
      <w:pPr>
        <w:pStyle w:val="Caption"/>
        <w:jc w:val="center"/>
      </w:pPr>
      <w:r>
        <w:t>Evidence 19 -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5715000" cy="3259964"/>
            <wp:docPr id="20" name="Picture 20" descr="Evidence 20: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715000" cy="3259964"/>
                    </a:xfrm>
                    <a:prstGeom prst="rect"/>
                  </pic:spPr>
                </pic:pic>
              </a:graphicData>
            </a:graphic>
          </wp:inline>
        </w:drawing>
      </w:r>
    </w:p>
    <w:p>
      <w:pPr>
        <w:pStyle w:val="Caption"/>
        <w:jc w:val="center"/>
      </w:pPr>
      <w:r>
        <w:t>Evidence 20 -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3002280" cy="1082039"/>
            <wp:docPr id="21" name="Picture 21" descr="Evidence 21: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002280" cy="1082039"/>
                    </a:xfrm>
                    <a:prstGeom prst="rect"/>
                  </pic:spPr>
                </pic:pic>
              </a:graphicData>
            </a:graphic>
          </wp:inline>
        </w:drawing>
      </w:r>
    </w:p>
    <w:p>
      <w:pPr>
        <w:pStyle w:val="Caption"/>
        <w:jc w:val="center"/>
      </w:pPr>
      <w:r>
        <w:t>Evidence 21 -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5600700" cy="556260"/>
            <wp:docPr id="22" name="Picture 22" descr="Evidence 22: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00700" cy="556260"/>
                    </a:xfrm>
                    <a:prstGeom prst="rect"/>
                  </pic:spPr>
                </pic:pic>
              </a:graphicData>
            </a:graphic>
          </wp:inline>
        </w:drawing>
      </w:r>
    </w:p>
    <w:p>
      <w:pPr>
        <w:pStyle w:val="Caption"/>
        <w:jc w:val="center"/>
      </w:pPr>
      <w:r>
        <w:t>Evidence 22 - Local browser-hook framework and controlled API workflow. Original lab screenshot retained unchanged.</w:t>
      </w:r>
    </w:p>
    <w:p>
      <w:pPr>
        <w:spacing w:before="100" w:after="40"/>
        <w:jc w:val="center"/>
      </w:pPr>
      <w:r>
        <w:drawing>
          <wp:inline xmlns:a="http://schemas.openxmlformats.org/drawingml/2006/main" xmlns:pic="http://schemas.openxmlformats.org/drawingml/2006/picture">
            <wp:extent cx="5715000" cy="1480867"/>
            <wp:docPr id="23" name="Picture 23" descr="Evidence 23: Local browser-hook framework and controlled API workflow"/>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715000" cy="1480867"/>
                    </a:xfrm>
                    <a:prstGeom prst="rect"/>
                  </pic:spPr>
                </pic:pic>
              </a:graphicData>
            </a:graphic>
          </wp:inline>
        </w:drawing>
      </w:r>
    </w:p>
    <w:p>
      <w:pPr>
        <w:pStyle w:val="Caption"/>
        <w:jc w:val="center"/>
      </w:pPr>
      <w:r>
        <w:t>Evidence 23 - Local browser-hook framework and controlled API workflow.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Client-side hooks can expose browser metadata and enable scripted actions, making content-security policy, endpoint protection, and user awareness important layers.</w:t>
      </w:r>
    </w:p>
    <w:p>
      <w:pPr>
        <w:pStyle w:val="Heading2"/>
      </w:pPr>
      <w:r>
        <w:t>5. Simulate a Credential-Harvester Workflow</w:t>
      </w:r>
    </w:p>
    <w:p>
      <w:r>
        <w:rPr>
          <w:rFonts w:ascii="Aptos" w:hAnsi="Aptos"/>
          <w:b/>
          <w:color w:val="0F8B8D"/>
          <w:sz w:val="21"/>
        </w:rPr>
        <w:t xml:space="preserve">Objective: </w:t>
      </w:r>
      <w:r>
        <w:t>Document how a cloned login flow can redirect and record test input without using real credentials.</w:t>
      </w:r>
    </w:p>
    <w:p>
      <w:r>
        <w:t>The final stage uses a local social-engineering toolkit workflow and disposable test values. The report preserves the original evidence while intentionally omitting real targets, credentials, and public deployment instructions.</w:t>
      </w:r>
    </w:p>
    <w:p>
      <w:pPr>
        <w:pStyle w:val="Heading3"/>
      </w:pPr>
      <w:r>
        <w:t>Lab Commands</w:t>
      </w:r>
    </w:p>
    <w:p>
      <w:pPr>
        <w:pStyle w:val="CommandBlock"/>
        <w:shd w:fill="0B1726"/>
      </w:pPr>
      <w:r>
        <w:t>sudo setoolkit</w:t>
      </w:r>
    </w:p>
    <w:p>
      <w:pPr>
        <w:pStyle w:val="CommandBlock"/>
        <w:shd w:fill="0B1726"/>
      </w:pPr>
      <w:r>
        <w:t># Select only the authorized local training workflow</w:t>
      </w:r>
    </w:p>
    <w:p>
      <w:pPr>
        <w:pStyle w:val="CommandBlock"/>
        <w:shd w:fill="0B1726"/>
      </w:pPr>
      <w:r>
        <w:t># Use disposable test data; never enter a real password</w:t>
      </w:r>
    </w:p>
    <w:p>
      <w:pPr>
        <w:spacing w:before="100" w:after="40"/>
        <w:jc w:val="center"/>
      </w:pPr>
      <w:r>
        <w:drawing>
          <wp:inline xmlns:a="http://schemas.openxmlformats.org/drawingml/2006/main" xmlns:pic="http://schemas.openxmlformats.org/drawingml/2006/picture">
            <wp:extent cx="3970020" cy="3535680"/>
            <wp:docPr id="24" name="Picture 24" descr="Evidence 24: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970020" cy="3535680"/>
                    </a:xfrm>
                    <a:prstGeom prst="rect"/>
                  </pic:spPr>
                </pic:pic>
              </a:graphicData>
            </a:graphic>
          </wp:inline>
        </w:drawing>
      </w:r>
    </w:p>
    <w:p>
      <w:pPr>
        <w:pStyle w:val="Caption"/>
        <w:jc w:val="center"/>
      </w:pPr>
      <w:r>
        <w:t>Evidence 24 -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5715000" cy="1892333"/>
            <wp:docPr id="25" name="Picture 25" descr="Evidence 25: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715000" cy="1892333"/>
                    </a:xfrm>
                    <a:prstGeom prst="rect"/>
                  </pic:spPr>
                </pic:pic>
              </a:graphicData>
            </a:graphic>
          </wp:inline>
        </w:drawing>
      </w:r>
    </w:p>
    <w:p>
      <w:pPr>
        <w:pStyle w:val="Caption"/>
        <w:jc w:val="center"/>
      </w:pPr>
      <w:r>
        <w:t>Evidence 25 -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4488180" cy="1752600"/>
            <wp:docPr id="26" name="Picture 26" descr="Evidence 26: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4488180" cy="1752600"/>
                    </a:xfrm>
                    <a:prstGeom prst="rect"/>
                  </pic:spPr>
                </pic:pic>
              </a:graphicData>
            </a:graphic>
          </wp:inline>
        </w:drawing>
      </w:r>
    </w:p>
    <w:p>
      <w:pPr>
        <w:pStyle w:val="Caption"/>
        <w:jc w:val="center"/>
      </w:pPr>
      <w:r>
        <w:t>Evidence 26 -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3368040" cy="510540"/>
            <wp:docPr id="27" name="Picture 27" descr="Evidence 27: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368040" cy="510540"/>
                    </a:xfrm>
                    <a:prstGeom prst="rect"/>
                  </pic:spPr>
                </pic:pic>
              </a:graphicData>
            </a:graphic>
          </wp:inline>
        </w:drawing>
      </w:r>
    </w:p>
    <w:p>
      <w:pPr>
        <w:pStyle w:val="Caption"/>
        <w:jc w:val="center"/>
      </w:pPr>
      <w:r>
        <w:t>Evidence 27 -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3048000" cy="678180"/>
            <wp:docPr id="28" name="Picture 28" descr="Evidence 28: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3048000" cy="678180"/>
                    </a:xfrm>
                    <a:prstGeom prst="rect"/>
                  </pic:spPr>
                </pic:pic>
              </a:graphicData>
            </a:graphic>
          </wp:inline>
        </w:drawing>
      </w:r>
    </w:p>
    <w:p>
      <w:pPr>
        <w:pStyle w:val="Caption"/>
        <w:jc w:val="center"/>
      </w:pPr>
      <w:r>
        <w:t>Evidence 28 -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3642360" cy="708660"/>
            <wp:docPr id="29" name="Picture 29" descr="Evidence 29: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642360" cy="708660"/>
                    </a:xfrm>
                    <a:prstGeom prst="rect"/>
                  </pic:spPr>
                </pic:pic>
              </a:graphicData>
            </a:graphic>
          </wp:inline>
        </w:drawing>
      </w:r>
    </w:p>
    <w:p>
      <w:pPr>
        <w:pStyle w:val="Caption"/>
        <w:jc w:val="center"/>
      </w:pPr>
      <w:r>
        <w:t>Evidence 29 -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5715000" cy="655457"/>
            <wp:docPr id="30" name="Picture 30" descr="Evidence 30: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715000" cy="655457"/>
                    </a:xfrm>
                    <a:prstGeom prst="rect"/>
                  </pic:spPr>
                </pic:pic>
              </a:graphicData>
            </a:graphic>
          </wp:inline>
        </w:drawing>
      </w:r>
    </w:p>
    <w:p>
      <w:pPr>
        <w:pStyle w:val="Caption"/>
        <w:jc w:val="center"/>
      </w:pPr>
      <w:r>
        <w:t>Evidence 30 -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5715000" cy="3476625"/>
            <wp:docPr id="31" name="Picture 31" descr="Evidence 31: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715000" cy="3476625"/>
                    </a:xfrm>
                    <a:prstGeom prst="rect"/>
                  </pic:spPr>
                </pic:pic>
              </a:graphicData>
            </a:graphic>
          </wp:inline>
        </w:drawing>
      </w:r>
    </w:p>
    <w:p>
      <w:pPr>
        <w:pStyle w:val="Caption"/>
        <w:jc w:val="center"/>
      </w:pPr>
      <w:r>
        <w:t>Evidence 31 -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2880360" cy="1773936"/>
            <wp:docPr id="32" name="Picture 32" descr="Evidence 32: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2880360" cy="1773936"/>
                    </a:xfrm>
                    <a:prstGeom prst="rect"/>
                  </pic:spPr>
                </pic:pic>
              </a:graphicData>
            </a:graphic>
          </wp:inline>
        </w:drawing>
      </w:r>
    </w:p>
    <w:p>
      <w:pPr>
        <w:pStyle w:val="Caption"/>
        <w:jc w:val="center"/>
      </w:pPr>
      <w:r>
        <w:t>Evidence 32 -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5608320" cy="1501140"/>
            <wp:docPr id="33" name="Picture 33" descr="Evidence 33: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08320" cy="1501140"/>
                    </a:xfrm>
                    <a:prstGeom prst="rect"/>
                  </pic:spPr>
                </pic:pic>
              </a:graphicData>
            </a:graphic>
          </wp:inline>
        </w:drawing>
      </w:r>
    </w:p>
    <w:p>
      <w:pPr>
        <w:pStyle w:val="Caption"/>
        <w:jc w:val="center"/>
      </w:pPr>
      <w:r>
        <w:t>Evidence 33 -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5356860" cy="1409700"/>
            <wp:docPr id="34" name="Picture 34" descr="Evidence 34: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356860" cy="1409700"/>
                    </a:xfrm>
                    <a:prstGeom prst="rect"/>
                  </pic:spPr>
                </pic:pic>
              </a:graphicData>
            </a:graphic>
          </wp:inline>
        </w:drawing>
      </w:r>
    </w:p>
    <w:p>
      <w:pPr>
        <w:pStyle w:val="Caption"/>
        <w:jc w:val="center"/>
      </w:pPr>
      <w:r>
        <w:t>Evidence 34 -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4823460" cy="1607820"/>
            <wp:docPr id="35" name="Picture 35" descr="Evidence 35: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823460" cy="1607820"/>
                    </a:xfrm>
                    <a:prstGeom prst="rect"/>
                  </pic:spPr>
                </pic:pic>
              </a:graphicData>
            </a:graphic>
          </wp:inline>
        </w:drawing>
      </w:r>
    </w:p>
    <w:p>
      <w:pPr>
        <w:pStyle w:val="Caption"/>
        <w:jc w:val="center"/>
      </w:pPr>
      <w:r>
        <w:t>Evidence 35 -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3848099" cy="1310639"/>
            <wp:docPr id="36" name="Picture 36" descr="Evidence 36: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48099" cy="1310639"/>
                    </a:xfrm>
                    <a:prstGeom prst="rect"/>
                  </pic:spPr>
                </pic:pic>
              </a:graphicData>
            </a:graphic>
          </wp:inline>
        </w:drawing>
      </w:r>
    </w:p>
    <w:p>
      <w:pPr>
        <w:pStyle w:val="Caption"/>
        <w:jc w:val="center"/>
      </w:pPr>
      <w:r>
        <w:t>Evidence 36 -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5715000" cy="3415581"/>
            <wp:docPr id="37" name="Picture 37" descr="Evidence 37: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715000" cy="3415581"/>
                    </a:xfrm>
                    <a:prstGeom prst="rect"/>
                  </pic:spPr>
                </pic:pic>
              </a:graphicData>
            </a:graphic>
          </wp:inline>
        </w:drawing>
      </w:r>
    </w:p>
    <w:p>
      <w:pPr>
        <w:pStyle w:val="Caption"/>
        <w:jc w:val="center"/>
      </w:pPr>
      <w:r>
        <w:t>Evidence 37 - Controlled clone, local redirect, and test-input verification. Original lab screenshot retained unchanged.</w:t>
      </w:r>
    </w:p>
    <w:p>
      <w:pPr>
        <w:spacing w:before="100" w:after="40"/>
        <w:jc w:val="center"/>
      </w:pPr>
      <w:r>
        <w:drawing>
          <wp:inline xmlns:a="http://schemas.openxmlformats.org/drawingml/2006/main" xmlns:pic="http://schemas.openxmlformats.org/drawingml/2006/picture">
            <wp:extent cx="4404360" cy="1623060"/>
            <wp:docPr id="38" name="Picture 38" descr="Evidence 38: Controlled clone, local redirect, and test-input verification"/>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4404360" cy="1623060"/>
                    </a:xfrm>
                    <a:prstGeom prst="rect"/>
                  </pic:spPr>
                </pic:pic>
              </a:graphicData>
            </a:graphic>
          </wp:inline>
        </w:drawing>
      </w:r>
    </w:p>
    <w:p>
      <w:pPr>
        <w:pStyle w:val="Caption"/>
        <w:jc w:val="center"/>
      </w:pPr>
      <w:r>
        <w:t>Evidence 38 - Controlled clone, local redirect, and test-input verification. Original lab screenshot retained unchanged.</w:t>
      </w:r>
    </w:p>
    <w:p>
      <w:pPr>
        <w:shd w:fill="E8F6F5"/>
        <w:pBdr>
          <w:left w:val="single" w:sz="18" w:space="8" w:color="0F8B8D"/>
        </w:pBdr>
        <w:spacing w:before="120" w:after="160"/>
        <w:ind w:left="259" w:right="173"/>
      </w:pPr>
      <w:r>
        <w:rPr>
          <w:rFonts w:ascii="Aptos" w:hAnsi="Aptos"/>
          <w:b/>
          <w:color w:val="0F8B8D"/>
          <w:sz w:val="20"/>
        </w:rPr>
        <w:t xml:space="preserve">Analyst observation: </w:t>
      </w:r>
      <w:r>
        <w:rPr>
          <w:rFonts w:ascii="Aptos" w:hAnsi="Aptos"/>
          <w:color w:val="102A43"/>
          <w:sz w:val="20"/>
        </w:rPr>
        <w:t>The exercise demonstrates the impact of a convincing login clone and reinforces phishing-resistant MFA, password-manager domain matching, and rapid takedown procedures.</w:t>
      </w:r>
    </w:p>
    <w:p>
      <w:r>
        <w:br w:type="page"/>
      </w:r>
    </w:p>
    <w:p>
      <w:pPr>
        <w:pStyle w:val="Heading1"/>
      </w:pPr>
      <w:r>
        <w:t>Findings and Risk</w:t>
      </w:r>
    </w:p>
    <w:tbl>
      <w:tblPr>
        <w:tblW w:type="dxa" w:w="9360"/>
        <w:jc w:val="center"/>
        <w:tblLayout w:type="fixed"/>
        <w:tblLook w:firstColumn="1" w:firstRow="1" w:lastColumn="0" w:lastRow="0" w:noHBand="0" w:noVBand="1" w:val="04A0"/>
      </w:tblPr>
      <w:tblGrid>
        <w:gridCol w:w="1200"/>
        <w:gridCol w:w="2900"/>
        <w:gridCol w:w="5260"/>
      </w:tblGrid>
      <w:tr>
        <w:trPr>
          <w:tblHeader w:val="true"/>
        </w:trPr>
        <w:tc>
          <w:tcPr>
            <w:tcW w:type="dxa" w:w="1200"/>
            <w:shd w:fill="102A43"/>
            <w:tcMar>
              <w:top w:w="100" w:type="dxa"/>
              <w:start w:w="140" w:type="dxa"/>
              <w:bottom w:w="100" w:type="dxa"/>
              <w:end w:w="140" w:type="dxa"/>
            </w:tcMar>
          </w:tcPr>
          <w:p>
            <w:r>
              <w:rPr>
                <w:rFonts w:ascii="Aptos" w:hAnsi="Aptos"/>
                <w:b/>
                <w:color w:val="FFFFFF"/>
                <w:sz w:val="18"/>
              </w:rPr>
              <w:t>Severity</w:t>
            </w:r>
          </w:p>
        </w:tc>
        <w:tc>
          <w:tcPr>
            <w:tcW w:type="dxa" w:w="2900"/>
            <w:shd w:fill="102A43"/>
            <w:tcMar>
              <w:top w:w="100" w:type="dxa"/>
              <w:start w:w="140" w:type="dxa"/>
              <w:bottom w:w="100" w:type="dxa"/>
              <w:end w:w="140" w:type="dxa"/>
            </w:tcMar>
          </w:tcPr>
          <w:p>
            <w:r>
              <w:rPr>
                <w:rFonts w:ascii="Aptos" w:hAnsi="Aptos"/>
                <w:b/>
                <w:color w:val="FFFFFF"/>
                <w:sz w:val="18"/>
              </w:rPr>
              <w:t>Finding</w:t>
            </w:r>
          </w:p>
        </w:tc>
        <w:tc>
          <w:tcPr>
            <w:tcW w:type="dxa" w:w="5260"/>
            <w:shd w:fill="102A43"/>
            <w:tcMar>
              <w:top w:w="100" w:type="dxa"/>
              <w:start w:w="140" w:type="dxa"/>
              <w:bottom w:w="100" w:type="dxa"/>
              <w:end w:w="140" w:type="dxa"/>
            </w:tcMar>
          </w:tcPr>
          <w:p>
            <w:r>
              <w:rPr>
                <w:rFonts w:ascii="Aptos" w:hAnsi="Aptos"/>
                <w:b/>
                <w:color w:val="FFFFFF"/>
                <w:sz w:val="18"/>
              </w:rPr>
              <w:t>Evidence-based impact</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Visual trust can be reproduced</w:t>
            </w:r>
          </w:p>
        </w:tc>
        <w:tc>
          <w:tcPr>
            <w:tcW w:type="dxa" w:w="5260"/>
            <w:tcMar>
              <w:top w:w="100" w:type="dxa"/>
              <w:start w:w="140" w:type="dxa"/>
              <w:bottom w:w="100" w:type="dxa"/>
              <w:end w:w="140" w:type="dxa"/>
            </w:tcMar>
            <w:shd w:fill="FFFFFF"/>
            <w:vAlign w:val="top"/>
          </w:tcPr>
          <w:p>
            <w:r>
              <w:rPr>
                <w:rFonts w:ascii="Aptos" w:hAnsi="Aptos"/>
                <w:color w:val="102A43"/>
                <w:sz w:val="18"/>
              </w:rPr>
              <w:t>A mirrored page can preserve enough branding and layout to mislead a user who does not verify the origin.</w:t>
            </w:r>
          </w:p>
        </w:tc>
      </w:tr>
      <w:tr>
        <w:tc>
          <w:tcPr>
            <w:tcW w:type="dxa" w:w="1200"/>
            <w:tcMar>
              <w:top w:w="100" w:type="dxa"/>
              <w:start w:w="140" w:type="dxa"/>
              <w:bottom w:w="100" w:type="dxa"/>
              <w:end w:w="140" w:type="dxa"/>
            </w:tcMar>
            <w:shd w:fill="FFF6DB"/>
            <w:vAlign w:val="top"/>
          </w:tcPr>
          <w:p>
            <w:r>
              <w:rPr>
                <w:rFonts w:ascii="Aptos" w:hAnsi="Aptos"/>
                <w:b/>
                <w:color w:val="C58B19"/>
                <w:sz w:val="17"/>
              </w:rPr>
              <w:t>HIGH</w:t>
            </w:r>
          </w:p>
        </w:tc>
        <w:tc>
          <w:tcPr>
            <w:tcW w:type="dxa" w:w="2900"/>
            <w:tcMar>
              <w:top w:w="100" w:type="dxa"/>
              <w:start w:w="140" w:type="dxa"/>
              <w:bottom w:w="100" w:type="dxa"/>
              <w:end w:w="140" w:type="dxa"/>
            </w:tcMar>
            <w:shd w:fill="FFFFFF"/>
            <w:vAlign w:val="top"/>
          </w:tcPr>
          <w:p>
            <w:r>
              <w:rPr>
                <w:rFonts w:ascii="Aptos" w:hAnsi="Aptos"/>
                <w:b/>
                <w:color w:val="102A43"/>
                <w:sz w:val="18"/>
              </w:rPr>
              <w:t>Credentials remain the primary objective</w:t>
            </w:r>
          </w:p>
        </w:tc>
        <w:tc>
          <w:tcPr>
            <w:tcW w:type="dxa" w:w="5260"/>
            <w:tcMar>
              <w:top w:w="100" w:type="dxa"/>
              <w:start w:w="140" w:type="dxa"/>
              <w:bottom w:w="100" w:type="dxa"/>
              <w:end w:w="140" w:type="dxa"/>
            </w:tcMar>
            <w:shd w:fill="FFFFFF"/>
            <w:vAlign w:val="top"/>
          </w:tcPr>
          <w:p>
            <w:r>
              <w:rPr>
                <w:rFonts w:ascii="Aptos" w:hAnsi="Aptos"/>
                <w:color w:val="102A43"/>
                <w:sz w:val="18"/>
              </w:rPr>
              <w:t>A deceptive login flow can capture test input unless authentication is phishing resistant.</w:t>
            </w:r>
          </w:p>
        </w:tc>
      </w:tr>
      <w:tr>
        <w:tc>
          <w:tcPr>
            <w:tcW w:type="dxa" w:w="1200"/>
            <w:tcMar>
              <w:top w:w="100" w:type="dxa"/>
              <w:start w:w="140" w:type="dxa"/>
              <w:bottom w:w="100" w:type="dxa"/>
              <w:end w:w="140" w:type="dxa"/>
            </w:tcMar>
            <w:shd w:fill="E8F6F5"/>
            <w:vAlign w:val="top"/>
          </w:tcPr>
          <w:p>
            <w:r>
              <w:rPr>
                <w:rFonts w:ascii="Aptos" w:hAnsi="Aptos"/>
                <w:b/>
                <w:color w:val="0F8B8D"/>
                <w:sz w:val="17"/>
              </w:rPr>
              <w:t>MEDIUM</w:t>
            </w:r>
          </w:p>
        </w:tc>
        <w:tc>
          <w:tcPr>
            <w:tcW w:type="dxa" w:w="2900"/>
            <w:tcMar>
              <w:top w:w="100" w:type="dxa"/>
              <w:start w:w="140" w:type="dxa"/>
              <w:bottom w:w="100" w:type="dxa"/>
              <w:end w:w="140" w:type="dxa"/>
            </w:tcMar>
            <w:shd w:fill="FFFFFF"/>
            <w:vAlign w:val="top"/>
          </w:tcPr>
          <w:p>
            <w:r>
              <w:rPr>
                <w:rFonts w:ascii="Aptos" w:hAnsi="Aptos"/>
                <w:b/>
                <w:color w:val="102A43"/>
                <w:sz w:val="18"/>
              </w:rPr>
              <w:t>Client-side hooks expand exposure</w:t>
            </w:r>
          </w:p>
        </w:tc>
        <w:tc>
          <w:tcPr>
            <w:tcW w:type="dxa" w:w="5260"/>
            <w:tcMar>
              <w:top w:w="100" w:type="dxa"/>
              <w:start w:w="140" w:type="dxa"/>
              <w:bottom w:w="100" w:type="dxa"/>
              <w:end w:w="140" w:type="dxa"/>
            </w:tcMar>
            <w:shd w:fill="FFFFFF"/>
            <w:vAlign w:val="top"/>
          </w:tcPr>
          <w:p>
            <w:r>
              <w:rPr>
                <w:rFonts w:ascii="Aptos" w:hAnsi="Aptos"/>
                <w:color w:val="102A43"/>
                <w:sz w:val="18"/>
              </w:rPr>
              <w:t>A browser hook can expose metadata and permit scripted actions within the browser context.</w:t>
            </w:r>
          </w:p>
        </w:tc>
      </w:tr>
      <w:tr>
        <w:tc>
          <w:tcPr>
            <w:tcW w:type="dxa" w:w="1200"/>
            <w:tcMar>
              <w:top w:w="100" w:type="dxa"/>
              <w:start w:w="140" w:type="dxa"/>
              <w:bottom w:w="100" w:type="dxa"/>
              <w:end w:w="140" w:type="dxa"/>
            </w:tcMar>
            <w:shd w:fill="E8F6F5"/>
            <w:vAlign w:val="top"/>
          </w:tcPr>
          <w:p>
            <w:r>
              <w:rPr>
                <w:rFonts w:ascii="Aptos" w:hAnsi="Aptos"/>
                <w:b/>
                <w:color w:val="0F8B8D"/>
                <w:sz w:val="17"/>
              </w:rPr>
              <w:t>MEDIUM</w:t>
            </w:r>
          </w:p>
        </w:tc>
        <w:tc>
          <w:tcPr>
            <w:tcW w:type="dxa" w:w="2900"/>
            <w:tcMar>
              <w:top w:w="100" w:type="dxa"/>
              <w:start w:w="140" w:type="dxa"/>
              <w:bottom w:w="100" w:type="dxa"/>
              <w:end w:w="140" w:type="dxa"/>
            </w:tcMar>
            <w:shd w:fill="FFFFFF"/>
            <w:vAlign w:val="top"/>
          </w:tcPr>
          <w:p>
            <w:r>
              <w:rPr>
                <w:rFonts w:ascii="Aptos" w:hAnsi="Aptos"/>
                <w:b/>
                <w:color w:val="102A43"/>
                <w:sz w:val="18"/>
              </w:rPr>
              <w:t>Local misconfiguration increases risk</w:t>
            </w:r>
          </w:p>
        </w:tc>
        <w:tc>
          <w:tcPr>
            <w:tcW w:type="dxa" w:w="5260"/>
            <w:tcMar>
              <w:top w:w="100" w:type="dxa"/>
              <w:start w:w="140" w:type="dxa"/>
              <w:bottom w:w="100" w:type="dxa"/>
              <w:end w:w="140" w:type="dxa"/>
            </w:tcMar>
            <w:shd w:fill="FFFFFF"/>
            <w:vAlign w:val="top"/>
          </w:tcPr>
          <w:p>
            <w:r>
              <w:rPr>
                <w:rFonts w:ascii="Aptos" w:hAnsi="Aptos"/>
                <w:color w:val="102A43"/>
                <w:sz w:val="18"/>
              </w:rPr>
              <w:t>An exposed lab service or permissive virtual host could unintentionally make training content reachable outside the intended environment.</w:t>
            </w:r>
          </w:p>
        </w:tc>
      </w:tr>
    </w:tbl>
    <w:p>
      <w:pPr>
        <w:pStyle w:val="Heading1"/>
      </w:pPr>
      <w:r>
        <w:t>Defensive Recommendations</w:t>
      </w:r>
    </w:p>
    <w:p>
      <w:pPr>
        <w:pStyle w:val="ListBullet"/>
        <w:spacing w:after="80"/>
        <w:ind w:left="504" w:hanging="259"/>
      </w:pPr>
      <w:r>
        <w:t>Use phishing-resistant MFA such as passkeys or hardware-backed FIDO2 authentication.</w:t>
      </w:r>
    </w:p>
    <w:p>
      <w:pPr>
        <w:pStyle w:val="ListBullet"/>
        <w:spacing w:after="80"/>
        <w:ind w:left="504" w:hanging="259"/>
      </w:pPr>
      <w:r>
        <w:t>Train users to verify the complete origin and use password-manager domain matching instead of visual branding.</w:t>
      </w:r>
    </w:p>
    <w:p>
      <w:pPr>
        <w:pStyle w:val="ListBullet"/>
        <w:spacing w:after="80"/>
        <w:ind w:left="504" w:hanging="259"/>
      </w:pPr>
      <w:r>
        <w:t>Apply content-security policy, secure cookies, modern browser controls, and endpoint telemetry.</w:t>
      </w:r>
    </w:p>
    <w:p>
      <w:pPr>
        <w:pStyle w:val="ListBullet"/>
        <w:spacing w:after="80"/>
        <w:ind w:left="504" w:hanging="259"/>
      </w:pPr>
      <w:r>
        <w:t>Monitor newly registered lookalike domains, certificate transparency logs, and brand-impersonation reports.</w:t>
      </w:r>
    </w:p>
    <w:p>
      <w:pPr>
        <w:pStyle w:val="ListBullet"/>
        <w:spacing w:after="80"/>
        <w:ind w:left="504" w:hanging="259"/>
      </w:pPr>
      <w:r>
        <w:t>Keep all social-engineering simulations scoped, approved, logged, isolated, and supplied with disposable test identities.</w:t>
      </w:r>
    </w:p>
    <w:p>
      <w:pPr>
        <w:pStyle w:val="ListBullet"/>
        <w:spacing w:after="80"/>
        <w:ind w:left="504" w:hanging="259"/>
      </w:pPr>
      <w:r>
        <w:t>Remove cloned content, captured test values, and framework tokens immediately after the exercise.</w:t>
      </w:r>
    </w:p>
    <w:p>
      <w:pPr>
        <w:pStyle w:val="Heading1"/>
      </w:pPr>
      <w:r>
        <w:t>Reflection and Next Step</w:t>
      </w:r>
    </w:p>
    <w:p>
      <w:r>
        <w:t>The strongest lesson was that a technically simple clone can still create a persuasive user experience. The next step is to document detection telemetry from a controlled exercise, including DNS, proxy, browser, mail, and endpoint signals, without publishing operational tokens or collected credentials.</w:t>
      </w:r>
    </w:p>
    <w:p>
      <w:pPr>
        <w:shd w:fill="EEF4F8"/>
        <w:pBdr>
          <w:left w:val="single" w:sz="18" w:space="8" w:color="1C9CD6"/>
        </w:pBdr>
        <w:spacing w:before="120" w:after="160"/>
        <w:ind w:left="259" w:right="173"/>
      </w:pPr>
      <w:r>
        <w:rPr>
          <w:rFonts w:ascii="Aptos" w:hAnsi="Aptos"/>
          <w:b/>
          <w:color w:val="1C9CD6"/>
          <w:sz w:val="20"/>
        </w:rPr>
        <w:t xml:space="preserve">Evidence note: </w:t>
      </w:r>
      <w:r>
        <w:rPr>
          <w:rFonts w:ascii="Aptos" w:hAnsi="Aptos"/>
          <w:color w:val="102A43"/>
          <w:sz w:val="20"/>
        </w:rPr>
        <w:t>The screenshots are original lab captures retained unchanged. The surrounding narrative has been rewritten for clarity, public safety, and recruiter review. Training-provider names, marks, and course materials remain the property of their respective owners; this portfolio is not an endorsement or affiliation claim.</w:t>
      </w:r>
    </w:p>
    <w:sectPr>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center"/>
      <w:tblLayout w:type="fixed"/>
      <w:tblLook w:firstColumn="1" w:firstRow="1" w:lastColumn="0" w:lastRow="0" w:noHBand="0" w:noVBand="1" w:val="04A0"/>
    </w:tblPr>
    <w:tblGrid>
      <w:gridCol w:w="7200"/>
      <w:gridCol w:w="2160"/>
    </w:tblGrid>
    <w:tr>
      <w:tc>
        <w:tcPr>
          <w:tcW w:type="dxa" w:w="7200"/>
          <w:tcMar>
            <w:top w:w="0" w:type="dxa"/>
            <w:start w:w="0" w:type="dxa"/>
            <w:bottom w:w="0" w:type="dxa"/>
            <w:end w:w="0" w:type="dxa"/>
          </w:tcMar>
        </w:tcPr>
        <w:p>
          <w:pPr>
            <w:jc w:val="left"/>
          </w:pPr>
          <w:r>
            <w:rPr>
              <w:rFonts w:ascii="Aptos" w:hAnsi="Aptos"/>
              <w:color w:val="52667A"/>
              <w:sz w:val="16"/>
            </w:rPr>
            <w:t>Marc Lavoie | Authorized Web Security Simulation</w:t>
          </w:r>
        </w:p>
      </w:tc>
      <w:tc>
        <w:tcPr>
          <w:tcW w:type="dxa" w:w="2160"/>
          <w:tcMar>
            <w:top w:w="0" w:type="dxa"/>
            <w:start w:w="0" w:type="dxa"/>
            <w:bottom w:w="0" w:type="dxa"/>
            <w:end w:w="0" w:type="dxa"/>
          </w:tcMar>
        </w:tcPr>
        <w:p>
          <w:pPr>
            <w:jc w:val="right"/>
          </w:pPr>
          <w:r>
            <w:rPr>
              <w:rFonts w:ascii="Aptos" w:hAnsi="Aptos"/>
              <w:color w:val="52667A"/>
              <w:sz w:val="16"/>
            </w:rPr>
            <w:t xml:space="preserve">Page </w:t>
          </w:r>
          <w: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5" w:color="0F8B8D"/>
      </w:pBdr>
    </w:pPr>
    <w:r>
      <w:rPr>
        <w:rFonts w:ascii="Aptos" w:hAnsi="Aptos"/>
        <w:b/>
        <w:color w:val="0F8B8D"/>
        <w:sz w:val="17"/>
      </w:rPr>
      <w:t>ML  /  AUTHORIZED SECURITY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F8B8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1C9CD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2667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80"/>
    </w:pPr>
    <w:rPr>
      <w:rFonts w:ascii="Aptos" w:hAnsi="Aptos"/>
      <w:b/>
      <w:bCs/>
      <w:i/>
      <w:color w:val="52667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Block">
    <w:name w:val="Command Block"/>
    <w:pPr>
      <w:keepLines/>
      <w:spacing w:before="40" w:after="40"/>
      <w:ind w:left="259" w:right="259"/>
    </w:pPr>
    <w:rPr>
      <w:rFonts w:ascii="Consolas" w:hAnsi="Consolas"/>
      <w:color w:val="D8E8F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Authorized Web Security Simulation</dc:title>
  <dc:subject>Authorized ethical-hacking training lab report</dc:subject>
  <dc:creator/>
  <cp:keywords>ethical hacking, authorized lab, cybersecurity, penetration testing, evidence</cp:keywords>
  <dc:description>generated by python-docx</dc:description>
  <cp:lastModifiedBy/>
  <cp:revision>1</cp:revision>
  <dcterms:created xsi:type="dcterms:W3CDTF">2013-12-23T23:15:00Z</dcterms:created>
  <dcterms:modified xsi:type="dcterms:W3CDTF">2013-12-23T23:15:00Z</dcterms:modified>
  <cp:category/>
</cp:coreProperties>
</file>