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>
          <w:rFonts w:ascii="Inter" w:hAnsi="Inter" w:cs="Inter"/>
          <w:color w:val="02101B"/>
          <w:sz w:val="52"/>
        </w:rPr>
        <w:t xml:space="preserve">Pasha Health </w:t>
      </w:r>
      <w:r>
        <w:rPr>
          <w:rFonts w:ascii="Inter" w:hAnsi="Inter" w:cs="Inter"/>
          <w:color w:val="E20326"/>
          <w:sz w:val="52"/>
        </w:rPr>
        <w:t>× IgniteIQ</w:t>
      </w:r>
    </w:p>
    <w:p>
      <w:pPr>
        <w:pStyle w:val="Heading1"/>
      </w:pPr>
      <w:r>
        <w:rPr>
          <w:rFonts w:ascii="Inter" w:hAnsi="Inter" w:cs="Inter"/>
          <w:color w:val="E20326"/>
          <w:sz w:val="30"/>
        </w:rPr>
        <w:t xml:space="preserve">May 13, 2026 </w:t>
      </w:r>
      <w:r>
        <w:rPr>
          <w:rFonts w:ascii="Inter" w:hAnsi="Inter" w:cs="Inter"/>
          <w:color w:val="666666"/>
          <w:sz w:val="30"/>
        </w:rPr>
        <w:t>| Check-in Call Agenda</w:t>
      </w:r>
    </w:p>
    <w:p>
      <w:r>
        <w:rPr>
          <w:rFonts w:ascii="Inter" w:hAnsi="Inter" w:cs="Inter"/>
          <w:i/>
          <w:color w:val="666666"/>
        </w:rPr>
        <w:t>2:30 PM PT · 30 minutes · Zoom · Matt Lawler (IgniteIQ) · Alina Strelnikov (Pasha Health)</w:t>
      </w:r>
    </w:p>
    <w:p>
      <w:pPr>
        <w:pStyle w:val="Heading1"/>
      </w:pPr>
      <w:r>
        <w:rPr>
          <w:rFonts w:ascii="Inter" w:hAnsi="Inter" w:cs="Inter"/>
          <w:color w:val="666666"/>
        </w:rPr>
        <w:t>Agenda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>Hello + frame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Acknowledge it's been a few weeks since kickoff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Show what's been built behind the scenes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Align on dates for what ships next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>Service page template preview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1155CC"/>
        </w:rPr>
        <w:t xml:space="preserve">Open: </w:t>
      </w:r>
      <w:r>
        <w:rPr>
          <w:rFonts w:ascii="Inter" w:hAnsi="Inter" w:cs="Inter"/>
          <w:color w:val="434343"/>
        </w:rPr>
        <w:t>claude.ai/artifacts/latest/0c87822a-8c31-4a4a-a8f7-1677b5113fc9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Walk through the live mockup of the dementia care page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Confirm: layout, voice, structure, where photos go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E20326"/>
        </w:rPr>
        <w:t xml:space="preserve">Decision needed: </w:t>
      </w:r>
      <w:r>
        <w:rPr>
          <w:rFonts w:ascii="Inter" w:hAnsi="Inter" w:cs="Inter"/>
          <w:color w:val="434343"/>
        </w:rPr>
        <w:t>Template structure for all 22 service pages?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>Project Hub walkthrough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1155CC"/>
        </w:rPr>
        <w:t xml:space="preserve">Open: </w:t>
      </w:r>
      <w:r>
        <w:rPr>
          <w:rFonts w:ascii="Inter" w:hAnsi="Inter" w:cs="Inter"/>
          <w:color w:val="434343"/>
        </w:rPr>
        <w:t>SEO Project Hub spreadsheet — 12-month roadmap, keyword research, page map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Show the 12-month roadmap and keyword research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E20326"/>
        </w:rPr>
        <w:t xml:space="preserve">Highlight: </w:t>
      </w:r>
      <w:r>
        <w:rPr>
          <w:rFonts w:ascii="Inter" w:hAnsi="Inter" w:cs="Inter"/>
          <w:color w:val="434343"/>
        </w:rPr>
        <w:t>22 service pages, 3 comparison pages, 3 persona hubs, Portland/Salem/Eugene location pages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E20326"/>
        </w:rPr>
        <w:t xml:space="preserve">Decision needed: </w:t>
      </w:r>
      <w:r>
        <w:rPr>
          <w:rFonts w:ascii="Inter" w:hAnsi="Inter" w:cs="Inter"/>
          <w:color w:val="434343"/>
        </w:rPr>
        <w:t>Priority order for the first 5 pages we build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>Performance dashboard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1155CC"/>
        </w:rPr>
        <w:t xml:space="preserve">Open: </w:t>
      </w:r>
      <w:r>
        <w:rPr>
          <w:rFonts w:ascii="Inter" w:hAnsi="Inter" w:cs="Inter"/>
          <w:color w:val="434343"/>
        </w:rPr>
        <w:t>Looker Studio dashboard — Search Console + GA4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Show what is being tracked: organic traffic, impressions, keyword rankings, page-level performance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188038"/>
        </w:rPr>
        <w:t xml:space="preserve">Action: </w:t>
      </w:r>
      <w:r>
        <w:rPr>
          <w:rFonts w:ascii="Inter" w:hAnsi="Inter" w:cs="Inter"/>
          <w:color w:val="434343"/>
        </w:rPr>
        <w:t>Send Alina the bookmark today after the call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>Google Ads status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Conversions dropped from ~15/week to 3 last week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Apr 14 had 3 policy issues on ad assets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E20326"/>
        </w:rPr>
        <w:t xml:space="preserve">Question for Pasha: </w:t>
      </w:r>
      <w:r>
        <w:rPr>
          <w:rFonts w:ascii="Inter" w:hAnsi="Inter" w:cs="Inter"/>
          <w:color w:val="434343"/>
        </w:rPr>
        <w:t>Did anyone restart ads after our Feb 17 pause decision?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b/>
          <w:color w:val="E20326"/>
        </w:rPr>
        <w:t xml:space="preserve">Decision needed: </w:t>
      </w:r>
      <w:r>
        <w:rPr>
          <w:rFonts w:ascii="Inter" w:hAnsi="Inter" w:cs="Inter"/>
          <w:color w:val="434343"/>
        </w:rPr>
        <w:t>Keep paused, restart with a fix, or hand off entirely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>Month 3 commitments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Commit to dates for the next 14 days:</w:t>
      </w:r>
    </w:p>
    <w:p>
      <w:pPr>
        <w:ind w:left="1224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Dementia care page live by [date]</w:t>
      </w:r>
    </w:p>
    <w:p>
      <w:pPr>
        <w:ind w:left="1224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Salem location page live by [date]</w:t>
      </w:r>
    </w:p>
    <w:p>
      <w:pPr>
        <w:ind w:left="1224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Month 3 plan emailed for written approval by [date]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>Action items + close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Confirm what each side owes</w:t>
      </w:r>
    </w:p>
    <w:p>
      <w:pPr>
        <w:ind w:left="792" w:hanging="288"/>
      </w:pPr>
      <w:r>
        <w:rPr>
          <w:rFonts w:ascii="Inter" w:hAnsi="Inter" w:cs="Inter"/>
          <w:b/>
          <w:color w:val="E20326"/>
        </w:rPr>
        <w:t xml:space="preserve">– </w:t>
      </w:r>
      <w:r>
        <w:rPr>
          <w:rFonts w:ascii="Inter" w:hAnsi="Inter" w:cs="Inter"/>
          <w:color w:val="434343"/>
        </w:rPr>
        <w:t>Set the next touchpoint</w:t>
      </w:r>
    </w:p>
    <w:p>
      <w:pPr>
        <w:pStyle w:val="Heading1"/>
      </w:pPr>
      <w:r>
        <w:rPr>
          <w:rFonts w:ascii="Inter" w:hAnsi="Inter" w:cs="Inter"/>
          <w:color w:val="666666"/>
        </w:rPr>
        <w:t>Discussion questions to get answered</w:t>
      </w:r>
    </w:p>
    <w:p>
      <w:r>
        <w:rPr>
          <w:rFonts w:ascii="Inter" w:hAnsi="Inter" w:cs="Inter"/>
          <w:i/>
          <w:color w:val="434343"/>
        </w:rPr>
        <w:t>Open questions blocking progress. Try to leave the call with answers to all of them.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Google Ads — </w:t>
      </w:r>
      <w:r>
        <w:rPr>
          <w:rFonts w:ascii="Inter" w:hAnsi="Inter" w:cs="Inter"/>
          <w:color w:val="434343"/>
        </w:rPr>
        <w:t>is the campaign still running? If yes, who restarted it and what's the goal?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Portland service area — </w:t>
      </w:r>
      <w:r>
        <w:rPr>
          <w:rFonts w:ascii="Inter" w:hAnsi="Inter" w:cs="Inter"/>
          <w:color w:val="434343"/>
        </w:rPr>
        <w:t>is it actively serviced today, or aspirational? Affects whether we ship that location page first.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Pricing posture on the website — </w:t>
      </w:r>
      <w:r>
        <w:rPr>
          <w:rFonts w:ascii="Inter" w:hAnsi="Inter" w:cs="Inter"/>
          <w:color w:val="434343"/>
        </w:rPr>
        <w:t>public hourly range, 'starting at $X,' or 'contact us for pricing'?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Payment methods we list — </w:t>
      </w:r>
      <w:r>
        <w:rPr>
          <w:rFonts w:ascii="Inter" w:hAnsi="Inter" w:cs="Inter"/>
          <w:color w:val="434343"/>
        </w:rPr>
        <w:t>confirming we accept private pay, long-term care insurance, VA Aid &amp; Attendance, Oregon Medicaid (APD), Oregon Project Independence. Yes to all?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24-hour and live-in care — </w:t>
      </w:r>
      <w:r>
        <w:rPr>
          <w:rFonts w:ascii="Inter" w:hAnsi="Inter" w:cs="Inter"/>
          <w:color w:val="434343"/>
        </w:rPr>
        <w:t>do we offer both, or one and not the other?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Languages — </w:t>
      </w:r>
      <w:r>
        <w:rPr>
          <w:rFonts w:ascii="Inter" w:hAnsi="Inter" w:cs="Inter"/>
          <w:color w:val="434343"/>
        </w:rPr>
        <w:t>homepage lists English, Russian, Serbian, Spanish, Ukrainian, Somali, Farsi. Are all consistently available across all services, or specific caregivers?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Testimonials — </w:t>
      </w:r>
      <w:r>
        <w:rPr>
          <w:rFonts w:ascii="Inter" w:hAnsi="Inter" w:cs="Inter"/>
          <w:color w:val="434343"/>
        </w:rPr>
        <w:t>can we use 5–10 real reviews with first name and last initial for the new service pages?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Photos — </w:t>
      </w:r>
      <w:r>
        <w:rPr>
          <w:rFonts w:ascii="Inter" w:hAnsi="Inter" w:cs="Inter"/>
          <w:color w:val="434343"/>
        </w:rPr>
        <w:t>does Pasha have a photo library (caregivers + clients with permission) we can pull from?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b/>
          <w:color w:val="02101B"/>
        </w:rPr>
        <w:t xml:space="preserve">Clinical review — </w:t>
      </w:r>
      <w:r>
        <w:rPr>
          <w:rFonts w:ascii="Inter" w:hAnsi="Inter" w:cs="Inter"/>
          <w:color w:val="434343"/>
        </w:rPr>
        <w:t>can Dusica block 30 minutes a week to review medical accuracy on dementia, Alzheimer's, palliative, end-of-life pages?</w:t>
      </w:r>
    </w:p>
    <w:p>
      <w:pPr>
        <w:pStyle w:val="Heading1"/>
      </w:pPr>
      <w:r>
        <w:rPr>
          <w:rFonts w:ascii="Inter" w:hAnsi="Inter" w:cs="Inter"/>
          <w:color w:val="666666"/>
        </w:rPr>
        <w:t>What I'll send to Alina after the call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color w:val="434343"/>
        </w:rPr>
        <w:t>Recap email with action items and confirmed dates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color w:val="434343"/>
        </w:rPr>
        <w:t>Bookmark to the performance dashboard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color w:val="434343"/>
        </w:rPr>
        <w:t>Bookmark to the service page template preview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color w:val="434343"/>
        </w:rPr>
        <w:t>Link to the SEO Project Hub spreadsheet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color w:val="434343"/>
        </w:rPr>
        <w:t>Month 3 plan for written approval (per SOW)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color w:val="434343"/>
        </w:rPr>
        <w:t>Cc Ryan on the recap — he wasn't on the call but he sees the email</w:t>
      </w:r>
    </w:p>
    <w:p>
      <w:pPr>
        <w:pStyle w:val="Heading1"/>
      </w:pPr>
      <w:r>
        <w:rPr>
          <w:rFonts w:ascii="Inter" w:hAnsi="Inter" w:cs="Inter"/>
          <w:color w:val="666666"/>
        </w:rPr>
        <w:t>Internal notes</w:t>
      </w:r>
      <w:r>
        <w:rPr>
          <w:rFonts w:ascii="Inter" w:hAnsi="Inter" w:cs="Inter"/>
          <w:i/>
          <w:color w:val="E20326"/>
        </w:rPr>
        <w:t xml:space="preserve"> (not for the call)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i/>
          <w:color w:val="434343"/>
        </w:rPr>
        <w:t>Don't pitch the local-content upsell yet. Earn it by landing Month 3 first.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i/>
          <w:color w:val="434343"/>
        </w:rPr>
        <w:t>Don't open with 'how are things going' — fills the call with Alina's concerns before showing proof of work.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i/>
          <w:color w:val="434343"/>
        </w:rPr>
        <w:t>Have the dementia care template open in one tab, project hub in another, dashboard in a third before the call starts.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i/>
          <w:color w:val="434343"/>
        </w:rPr>
        <w:t>If Alina pushes on timeline, anchor to: 'IA is done, keyword work is done, dashboard is built. First page ships in 2 weeks.'</w:t>
      </w:r>
    </w:p>
    <w:p>
      <w:pPr>
        <w:ind w:left="360" w:hanging="288"/>
      </w:pPr>
      <w:r>
        <w:rPr>
          <w:rFonts w:ascii="Inter" w:hAnsi="Inter" w:cs="Inter"/>
          <w:b/>
          <w:color w:val="E20326"/>
        </w:rPr>
        <w:t xml:space="preserve">• </w:t>
      </w:r>
      <w:r>
        <w:rPr>
          <w:rFonts w:ascii="Inter" w:hAnsi="Inter" w:cs="Inter"/>
          <w:i/>
          <w:color w:val="434343"/>
        </w:rPr>
        <w:t>Ryan declined — the recap email needs to be addressed to both, not just a reply to Alina.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after="240" w:before="240" w:lineRule="auto"/>
      <w:ind w:left="720" w:hanging="360"/>
      <w:jc w:val="right"/>
      <w:rPr/>
    </w:pPr>
    <w:r w:rsidDel="00000000" w:rsidR="00000000" w:rsidRPr="00000000">
      <w:rPr>
        <w:rFonts w:ascii="Helvetica Neue" w:cs="Helvetica Neue" w:eastAsia="Helvetica Neue" w:hAnsi="Helvetica Neue"/>
        <w:sz w:val="24"/>
        <w:szCs w:val="24"/>
      </w:rPr>
      <w:drawing>
        <wp:inline distB="114300" distT="114300" distL="114300" distR="114300">
          <wp:extent cx="396648" cy="4714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236" r="7236" t="0"/>
                  <a:stretch>
                    <a:fillRect/>
                  </a:stretch>
                </pic:blipFill>
                <pic:spPr>
                  <a:xfrm>
                    <a:off x="0" y="0"/>
                    <a:ext cx="396648" cy="4714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e203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e203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e203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360" w:firstLine="0"/>
    </w:pPr>
    <w:rPr>
      <w:b w:val="1"/>
      <w:bCs w:val="1"/>
      <w:color w:val="6666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360" w:firstLine="0"/>
    </w:pPr>
    <w:rPr>
      <w:b w:val="1"/>
      <w:bCs w:val="1"/>
      <w:color w:val="E203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="240" w:lineRule="auto"/>
    </w:pPr>
    <w:rPr>
      <w:color w:val="02101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40" w:lineRule="auto"/>
    </w:pPr>
    <w:rPr>
      <w:color w:val="E2032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platform.cloudways.com" TargetMode="External"/><Relationship Id="rId7" Type="http://schemas.openxmlformats.org/officeDocument/2006/relationships/hyperlink" Target="https://wordpress-664465-5713646.cloudwaysapps.com/" TargetMode="External"/><Relationship Id="rId8" Type="http://schemas.openxmlformats.org/officeDocument/2006/relationships/hyperlink" Target="https://wordpress-664465-5713646.cloudwaysapps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