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F3C33" w14:textId="4005BE3B" w:rsidR="006F2101" w:rsidRPr="006F2101" w:rsidRDefault="006F2101" w:rsidP="006F2101">
      <w:pPr>
        <w:jc w:val="center"/>
        <w:rPr>
          <w:rFonts w:ascii="Calibri" w:hAnsi="Calibri" w:cs="Calibri"/>
          <w:b/>
          <w:bCs/>
          <w:sz w:val="36"/>
          <w:szCs w:val="36"/>
        </w:rPr>
      </w:pPr>
      <w:r w:rsidRPr="006F2101">
        <w:rPr>
          <w:rFonts w:ascii="Calibri" w:hAnsi="Calibri" w:cs="Calibri"/>
          <w:b/>
          <w:bCs/>
          <w:color w:val="215E99" w:themeColor="text2" w:themeTint="BF"/>
          <w:sz w:val="36"/>
          <w:szCs w:val="36"/>
        </w:rPr>
        <w:t xml:space="preserve">Financial Performance Dashboard </w:t>
      </w:r>
      <w:r w:rsidRPr="006F2101">
        <w:rPr>
          <w:rFonts w:ascii="Calibri" w:hAnsi="Calibri" w:cs="Calibri"/>
          <w:b/>
          <w:bCs/>
          <w:color w:val="215E99" w:themeColor="text2" w:themeTint="BF"/>
          <w:sz w:val="36"/>
          <w:szCs w:val="36"/>
        </w:rPr>
        <w:t>-</w:t>
      </w:r>
      <w:r w:rsidRPr="006F2101">
        <w:rPr>
          <w:rFonts w:ascii="Calibri" w:hAnsi="Calibri" w:cs="Calibri"/>
          <w:b/>
          <w:bCs/>
          <w:color w:val="215E99" w:themeColor="text2" w:themeTint="BF"/>
          <w:sz w:val="36"/>
          <w:szCs w:val="36"/>
        </w:rPr>
        <w:t xml:space="preserve"> Insight Report</w:t>
      </w:r>
    </w:p>
    <w:p w14:paraId="7C6B550A" w14:textId="116358AD" w:rsidR="006F2101" w:rsidRDefault="006F2101" w:rsidP="006F2101">
      <w:pPr>
        <w:rPr>
          <w:rFonts w:ascii="Calibri" w:hAnsi="Calibri" w:cs="Calibri"/>
          <w:b/>
          <w:bCs/>
        </w:rPr>
      </w:pPr>
      <w:r w:rsidRPr="006F2101">
        <w:rPr>
          <w:rFonts w:ascii="Calibri" w:hAnsi="Calibri" w:cs="Calibri"/>
          <w:b/>
          <w:bCs/>
        </w:rPr>
        <w:drawing>
          <wp:inline distT="0" distB="0" distL="0" distR="0" wp14:anchorId="2B4D988D" wp14:editId="6BFAB85C">
            <wp:extent cx="6645910" cy="3761105"/>
            <wp:effectExtent l="152400" t="152400" r="364490" b="353695"/>
            <wp:docPr id="118879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91642" name=""/>
                    <pic:cNvPicPr/>
                  </pic:nvPicPr>
                  <pic:blipFill>
                    <a:blip r:embed="rId5"/>
                    <a:stretch>
                      <a:fillRect/>
                    </a:stretch>
                  </pic:blipFill>
                  <pic:spPr>
                    <a:xfrm>
                      <a:off x="0" y="0"/>
                      <a:ext cx="6645910" cy="3761105"/>
                    </a:xfrm>
                    <a:prstGeom prst="rect">
                      <a:avLst/>
                    </a:prstGeom>
                    <a:ln>
                      <a:noFill/>
                    </a:ln>
                    <a:effectLst>
                      <a:outerShdw blurRad="292100" dist="139700" dir="2700000" algn="tl" rotWithShape="0">
                        <a:srgbClr val="333333">
                          <a:alpha val="65000"/>
                        </a:srgbClr>
                      </a:outerShdw>
                    </a:effectLst>
                  </pic:spPr>
                </pic:pic>
              </a:graphicData>
            </a:graphic>
          </wp:inline>
        </w:drawing>
      </w:r>
    </w:p>
    <w:p w14:paraId="5CF56CFB" w14:textId="457A35B6" w:rsidR="006F2101" w:rsidRPr="006F2101" w:rsidRDefault="006F2101" w:rsidP="006F2101">
      <w:pPr>
        <w:rPr>
          <w:rFonts w:ascii="Calibri" w:hAnsi="Calibri" w:cs="Calibri"/>
          <w:b/>
          <w:bCs/>
        </w:rPr>
      </w:pPr>
      <w:r w:rsidRPr="006F2101">
        <w:rPr>
          <w:rFonts w:ascii="Calibri" w:hAnsi="Calibri" w:cs="Calibri"/>
          <w:b/>
          <w:bCs/>
        </w:rPr>
        <w:t>1. Overview</w:t>
      </w:r>
    </w:p>
    <w:p w14:paraId="3F88702A" w14:textId="44391457" w:rsidR="006F2101" w:rsidRPr="006F2101" w:rsidRDefault="006F2101" w:rsidP="006F2101">
      <w:pPr>
        <w:rPr>
          <w:rFonts w:ascii="Calibri" w:hAnsi="Calibri" w:cs="Calibri"/>
        </w:rPr>
      </w:pPr>
      <w:r w:rsidRPr="006F2101">
        <w:rPr>
          <w:rFonts w:ascii="Calibri" w:hAnsi="Calibri" w:cs="Calibri"/>
        </w:rPr>
        <w:t>The Financial Performance Dashboard provides a consolidated view of the company’s financial health across revenue, profitability, cash flow, and working capital efficiency.</w:t>
      </w:r>
      <w:r w:rsidRPr="006F2101">
        <w:rPr>
          <w:rFonts w:ascii="Calibri" w:hAnsi="Calibri" w:cs="Calibri"/>
        </w:rPr>
        <w:br/>
        <w:t xml:space="preserve">The data has been </w:t>
      </w:r>
      <w:proofErr w:type="spellStart"/>
      <w:r w:rsidRPr="006F2101">
        <w:rPr>
          <w:rFonts w:ascii="Calibri" w:hAnsi="Calibri" w:cs="Calibri"/>
        </w:rPr>
        <w:t>analyzed</w:t>
      </w:r>
      <w:proofErr w:type="spellEnd"/>
      <w:r w:rsidRPr="006F2101">
        <w:rPr>
          <w:rFonts w:ascii="Calibri" w:hAnsi="Calibri" w:cs="Calibri"/>
        </w:rPr>
        <w:t xml:space="preserve"> monthly and segmented by region and product/service, comparing performance against budgets and highlighting key financial trends.</w:t>
      </w:r>
    </w:p>
    <w:p w14:paraId="7043DD1D" w14:textId="77777777" w:rsidR="006F2101" w:rsidRPr="006F2101" w:rsidRDefault="006F2101" w:rsidP="006F2101">
      <w:pPr>
        <w:rPr>
          <w:rFonts w:ascii="Calibri" w:hAnsi="Calibri" w:cs="Calibri"/>
          <w:b/>
          <w:bCs/>
        </w:rPr>
      </w:pPr>
      <w:r w:rsidRPr="006F2101">
        <w:rPr>
          <w:rFonts w:ascii="Calibri" w:hAnsi="Calibri" w:cs="Calibri"/>
          <w:b/>
          <w:bCs/>
        </w:rPr>
        <w:t>2. Key Highlights</w:t>
      </w:r>
    </w:p>
    <w:p w14:paraId="768683EA" w14:textId="77777777" w:rsidR="006F2101" w:rsidRPr="006F2101" w:rsidRDefault="006F2101" w:rsidP="006F2101">
      <w:pPr>
        <w:rPr>
          <w:rFonts w:ascii="Calibri" w:hAnsi="Calibri" w:cs="Calibri"/>
          <w:b/>
          <w:bCs/>
        </w:rPr>
      </w:pPr>
      <w:r w:rsidRPr="006F2101">
        <w:rPr>
          <w:rFonts w:ascii="Calibri" w:hAnsi="Calibri" w:cs="Calibri"/>
          <w:b/>
          <w:bCs/>
        </w:rPr>
        <w:t>Revenue Performance</w:t>
      </w:r>
    </w:p>
    <w:p w14:paraId="217F94E1" w14:textId="77777777" w:rsidR="006F2101" w:rsidRPr="006F2101" w:rsidRDefault="006F2101" w:rsidP="006F2101">
      <w:pPr>
        <w:numPr>
          <w:ilvl w:val="0"/>
          <w:numId w:val="1"/>
        </w:numPr>
        <w:rPr>
          <w:rFonts w:ascii="Calibri" w:hAnsi="Calibri" w:cs="Calibri"/>
        </w:rPr>
      </w:pPr>
      <w:r w:rsidRPr="006F2101">
        <w:rPr>
          <w:rFonts w:ascii="Calibri" w:hAnsi="Calibri" w:cs="Calibri"/>
          <w:b/>
          <w:bCs/>
        </w:rPr>
        <w:t>Total Revenue:</w:t>
      </w:r>
      <w:r w:rsidRPr="006F2101">
        <w:rPr>
          <w:rFonts w:ascii="Calibri" w:hAnsi="Calibri" w:cs="Calibri"/>
        </w:rPr>
        <w:t xml:space="preserve"> 23.6M</w:t>
      </w:r>
    </w:p>
    <w:p w14:paraId="367F52BB" w14:textId="77777777" w:rsidR="006F2101" w:rsidRPr="006F2101" w:rsidRDefault="006F2101" w:rsidP="006F2101">
      <w:pPr>
        <w:numPr>
          <w:ilvl w:val="0"/>
          <w:numId w:val="1"/>
        </w:numPr>
        <w:rPr>
          <w:rFonts w:ascii="Calibri" w:hAnsi="Calibri" w:cs="Calibri"/>
        </w:rPr>
      </w:pPr>
      <w:r w:rsidRPr="006F2101">
        <w:rPr>
          <w:rFonts w:ascii="Calibri" w:hAnsi="Calibri" w:cs="Calibri"/>
          <w:b/>
          <w:bCs/>
        </w:rPr>
        <w:t>Revenue YTD:</w:t>
      </w:r>
      <w:r w:rsidRPr="006F2101">
        <w:rPr>
          <w:rFonts w:ascii="Calibri" w:hAnsi="Calibri" w:cs="Calibri"/>
        </w:rPr>
        <w:t xml:space="preserve"> 11.8M</w:t>
      </w:r>
    </w:p>
    <w:p w14:paraId="4D95A55A" w14:textId="77777777" w:rsidR="006F2101" w:rsidRPr="006F2101" w:rsidRDefault="006F2101" w:rsidP="006F2101">
      <w:pPr>
        <w:numPr>
          <w:ilvl w:val="0"/>
          <w:numId w:val="1"/>
        </w:numPr>
        <w:rPr>
          <w:rFonts w:ascii="Calibri" w:hAnsi="Calibri" w:cs="Calibri"/>
        </w:rPr>
      </w:pPr>
      <w:r w:rsidRPr="006F2101">
        <w:rPr>
          <w:rFonts w:ascii="Calibri" w:hAnsi="Calibri" w:cs="Calibri"/>
          <w:b/>
          <w:bCs/>
        </w:rPr>
        <w:t>Month-over-Month Growth:</w:t>
      </w:r>
      <w:r w:rsidRPr="006F2101">
        <w:rPr>
          <w:rFonts w:ascii="Calibri" w:hAnsi="Calibri" w:cs="Calibri"/>
        </w:rPr>
        <w:t xml:space="preserve"> 4.18%</w:t>
      </w:r>
    </w:p>
    <w:p w14:paraId="5D2D9FC9" w14:textId="703750E1" w:rsidR="006F2101" w:rsidRPr="006F2101" w:rsidRDefault="006F2101" w:rsidP="006F2101">
      <w:pPr>
        <w:rPr>
          <w:rFonts w:ascii="Calibri" w:hAnsi="Calibri" w:cs="Calibri"/>
        </w:rPr>
      </w:pPr>
      <w:r w:rsidRPr="006F2101">
        <w:rPr>
          <w:rFonts w:ascii="Calibri" w:hAnsi="Calibri" w:cs="Calibri"/>
          <w:b/>
          <w:bCs/>
        </w:rPr>
        <w:t>Insight:</w:t>
      </w:r>
      <w:r w:rsidRPr="006F2101">
        <w:rPr>
          <w:rFonts w:ascii="Calibri" w:hAnsi="Calibri" w:cs="Calibri"/>
        </w:rPr>
        <w:br/>
        <w:t>Revenue has shown a steady upward trend with consistent month-over-month growth. The strongest sales were recorded in December, driven primarily by Product C and Service X. However, mid-year months (June</w:t>
      </w:r>
      <w:r>
        <w:rPr>
          <w:rFonts w:ascii="Calibri" w:hAnsi="Calibri" w:cs="Calibri"/>
        </w:rPr>
        <w:t>-</w:t>
      </w:r>
      <w:r w:rsidRPr="006F2101">
        <w:rPr>
          <w:rFonts w:ascii="Calibri" w:hAnsi="Calibri" w:cs="Calibri"/>
        </w:rPr>
        <w:t>August) show a slight dip, indicating a possible seasonal pattern.</w:t>
      </w:r>
    </w:p>
    <w:p w14:paraId="3A57C082" w14:textId="77777777" w:rsidR="006F2101" w:rsidRPr="006F2101" w:rsidRDefault="006F2101" w:rsidP="006F2101">
      <w:pPr>
        <w:rPr>
          <w:rFonts w:ascii="Calibri" w:hAnsi="Calibri" w:cs="Calibri"/>
          <w:b/>
          <w:bCs/>
        </w:rPr>
      </w:pPr>
      <w:r w:rsidRPr="006F2101">
        <w:rPr>
          <w:rFonts w:ascii="Calibri" w:hAnsi="Calibri" w:cs="Calibri"/>
          <w:b/>
          <w:bCs/>
        </w:rPr>
        <w:t>Profitability Analysis</w:t>
      </w:r>
    </w:p>
    <w:p w14:paraId="5380FC0A" w14:textId="77777777" w:rsidR="006F2101" w:rsidRPr="006F2101" w:rsidRDefault="006F2101" w:rsidP="006F2101">
      <w:pPr>
        <w:numPr>
          <w:ilvl w:val="0"/>
          <w:numId w:val="2"/>
        </w:numPr>
        <w:rPr>
          <w:rFonts w:ascii="Calibri" w:hAnsi="Calibri" w:cs="Calibri"/>
        </w:rPr>
      </w:pPr>
      <w:r w:rsidRPr="006F2101">
        <w:rPr>
          <w:rFonts w:ascii="Calibri" w:hAnsi="Calibri" w:cs="Calibri"/>
          <w:b/>
          <w:bCs/>
        </w:rPr>
        <w:t>Gross Margin:</w:t>
      </w:r>
      <w:r w:rsidRPr="006F2101">
        <w:rPr>
          <w:rFonts w:ascii="Calibri" w:hAnsi="Calibri" w:cs="Calibri"/>
        </w:rPr>
        <w:t xml:space="preserve"> 45.55%</w:t>
      </w:r>
    </w:p>
    <w:p w14:paraId="1651EA0C" w14:textId="77777777" w:rsidR="006F2101" w:rsidRPr="006F2101" w:rsidRDefault="006F2101" w:rsidP="006F2101">
      <w:pPr>
        <w:numPr>
          <w:ilvl w:val="0"/>
          <w:numId w:val="2"/>
        </w:numPr>
        <w:rPr>
          <w:rFonts w:ascii="Calibri" w:hAnsi="Calibri" w:cs="Calibri"/>
        </w:rPr>
      </w:pPr>
      <w:r w:rsidRPr="006F2101">
        <w:rPr>
          <w:rFonts w:ascii="Calibri" w:hAnsi="Calibri" w:cs="Calibri"/>
          <w:b/>
          <w:bCs/>
        </w:rPr>
        <w:t>EBITDA Margin:</w:t>
      </w:r>
      <w:r w:rsidRPr="006F2101">
        <w:rPr>
          <w:rFonts w:ascii="Calibri" w:hAnsi="Calibri" w:cs="Calibri"/>
        </w:rPr>
        <w:t xml:space="preserve"> 24.81%</w:t>
      </w:r>
    </w:p>
    <w:p w14:paraId="2B9A4936" w14:textId="1C9A07AD" w:rsidR="006F2101" w:rsidRPr="006F2101" w:rsidRDefault="006F2101" w:rsidP="006F2101">
      <w:pPr>
        <w:rPr>
          <w:rFonts w:ascii="Calibri" w:hAnsi="Calibri" w:cs="Calibri"/>
        </w:rPr>
      </w:pPr>
      <w:r w:rsidRPr="006F2101">
        <w:rPr>
          <w:rFonts w:ascii="Calibri" w:hAnsi="Calibri" w:cs="Calibri"/>
          <w:b/>
          <w:bCs/>
        </w:rPr>
        <w:lastRenderedPageBreak/>
        <w:t>Insight:</w:t>
      </w:r>
      <w:r w:rsidRPr="006F2101">
        <w:rPr>
          <w:rFonts w:ascii="Calibri" w:hAnsi="Calibri" w:cs="Calibri"/>
        </w:rPr>
        <w:br/>
        <w:t>A gross margin above 45% indicates efficient cost management relative to sales. The EBITDA margin suggests that operating expenses are significant, highlighting a need for cost optimization</w:t>
      </w:r>
      <w:r>
        <w:rPr>
          <w:rFonts w:ascii="Calibri" w:hAnsi="Calibri" w:cs="Calibri"/>
        </w:rPr>
        <w:t>-</w:t>
      </w:r>
      <w:r w:rsidRPr="006F2101">
        <w:rPr>
          <w:rFonts w:ascii="Calibri" w:hAnsi="Calibri" w:cs="Calibri"/>
        </w:rPr>
        <w:t>particularly in Service Y, which shows lower margins compared to other offerings.</w:t>
      </w:r>
    </w:p>
    <w:p w14:paraId="58F75B55" w14:textId="77777777" w:rsidR="006F2101" w:rsidRPr="006F2101" w:rsidRDefault="006F2101" w:rsidP="006F2101">
      <w:pPr>
        <w:rPr>
          <w:rFonts w:ascii="Calibri" w:hAnsi="Calibri" w:cs="Calibri"/>
          <w:b/>
          <w:bCs/>
        </w:rPr>
      </w:pPr>
      <w:r w:rsidRPr="006F2101">
        <w:rPr>
          <w:rFonts w:ascii="Calibri" w:hAnsi="Calibri" w:cs="Calibri"/>
          <w:b/>
          <w:bCs/>
        </w:rPr>
        <w:t>Regional Performance</w:t>
      </w:r>
    </w:p>
    <w:p w14:paraId="2477A6FE" w14:textId="77777777" w:rsidR="006F2101" w:rsidRPr="006F2101" w:rsidRDefault="006F2101" w:rsidP="006F2101">
      <w:pPr>
        <w:numPr>
          <w:ilvl w:val="0"/>
          <w:numId w:val="3"/>
        </w:numPr>
        <w:rPr>
          <w:rFonts w:ascii="Calibri" w:hAnsi="Calibri" w:cs="Calibri"/>
        </w:rPr>
      </w:pPr>
      <w:r w:rsidRPr="006F2101">
        <w:rPr>
          <w:rFonts w:ascii="Calibri" w:hAnsi="Calibri" w:cs="Calibri"/>
          <w:b/>
          <w:bCs/>
        </w:rPr>
        <w:t>Top Performing Region:</w:t>
      </w:r>
      <w:r w:rsidRPr="006F2101">
        <w:rPr>
          <w:rFonts w:ascii="Calibri" w:hAnsi="Calibri" w:cs="Calibri"/>
        </w:rPr>
        <w:t xml:space="preserve"> South (25.62%)</w:t>
      </w:r>
    </w:p>
    <w:p w14:paraId="1D4E3352" w14:textId="77777777" w:rsidR="006F2101" w:rsidRPr="006F2101" w:rsidRDefault="006F2101" w:rsidP="006F2101">
      <w:pPr>
        <w:numPr>
          <w:ilvl w:val="0"/>
          <w:numId w:val="3"/>
        </w:numPr>
        <w:rPr>
          <w:rFonts w:ascii="Calibri" w:hAnsi="Calibri" w:cs="Calibri"/>
        </w:rPr>
      </w:pPr>
      <w:r w:rsidRPr="006F2101">
        <w:rPr>
          <w:rFonts w:ascii="Calibri" w:hAnsi="Calibri" w:cs="Calibri"/>
          <w:b/>
          <w:bCs/>
        </w:rPr>
        <w:t>Lowest Performing Region:</w:t>
      </w:r>
      <w:r w:rsidRPr="006F2101">
        <w:rPr>
          <w:rFonts w:ascii="Calibri" w:hAnsi="Calibri" w:cs="Calibri"/>
        </w:rPr>
        <w:t xml:space="preserve"> East (24.59%)</w:t>
      </w:r>
    </w:p>
    <w:p w14:paraId="74B48BA3" w14:textId="57849322" w:rsidR="006F2101" w:rsidRPr="006F2101" w:rsidRDefault="006F2101" w:rsidP="006F2101">
      <w:pPr>
        <w:rPr>
          <w:rFonts w:ascii="Calibri" w:hAnsi="Calibri" w:cs="Calibri"/>
        </w:rPr>
      </w:pPr>
      <w:r w:rsidRPr="006F2101">
        <w:rPr>
          <w:rFonts w:ascii="Calibri" w:hAnsi="Calibri" w:cs="Calibri"/>
          <w:b/>
          <w:bCs/>
        </w:rPr>
        <w:t>Insight:</w:t>
      </w:r>
      <w:r w:rsidRPr="006F2101">
        <w:rPr>
          <w:rFonts w:ascii="Calibri" w:hAnsi="Calibri" w:cs="Calibri"/>
        </w:rPr>
        <w:br/>
        <w:t>Revenue distribution across regions is fairly balanced, with all four contributing nearly equally. The South region leads slightly due to higher sales of Product C and Service X. The East region may benefit from targeted marketing or promotional activities to improve its performance.</w:t>
      </w:r>
    </w:p>
    <w:p w14:paraId="4D5DEF30" w14:textId="77777777" w:rsidR="006F2101" w:rsidRPr="006F2101" w:rsidRDefault="006F2101" w:rsidP="006F2101">
      <w:pPr>
        <w:rPr>
          <w:rFonts w:ascii="Calibri" w:hAnsi="Calibri" w:cs="Calibri"/>
          <w:b/>
          <w:bCs/>
        </w:rPr>
      </w:pPr>
      <w:r w:rsidRPr="006F2101">
        <w:rPr>
          <w:rFonts w:ascii="Calibri" w:hAnsi="Calibri" w:cs="Calibri"/>
          <w:b/>
          <w:bCs/>
        </w:rPr>
        <w:t>Cash Flow Insights</w:t>
      </w:r>
    </w:p>
    <w:p w14:paraId="27ADF1C2" w14:textId="77777777" w:rsidR="006F2101" w:rsidRPr="006F2101" w:rsidRDefault="006F2101" w:rsidP="006F2101">
      <w:pPr>
        <w:numPr>
          <w:ilvl w:val="0"/>
          <w:numId w:val="4"/>
        </w:numPr>
        <w:rPr>
          <w:rFonts w:ascii="Calibri" w:hAnsi="Calibri" w:cs="Calibri"/>
        </w:rPr>
      </w:pPr>
      <w:r w:rsidRPr="006F2101">
        <w:rPr>
          <w:rFonts w:ascii="Calibri" w:hAnsi="Calibri" w:cs="Calibri"/>
          <w:b/>
          <w:bCs/>
        </w:rPr>
        <w:t>Net Cash:</w:t>
      </w:r>
      <w:r w:rsidRPr="006F2101">
        <w:rPr>
          <w:rFonts w:ascii="Calibri" w:hAnsi="Calibri" w:cs="Calibri"/>
        </w:rPr>
        <w:t xml:space="preserve"> 0.69M</w:t>
      </w:r>
    </w:p>
    <w:p w14:paraId="572079D7" w14:textId="77777777" w:rsidR="006F2101" w:rsidRPr="006F2101" w:rsidRDefault="006F2101" w:rsidP="006F2101">
      <w:pPr>
        <w:numPr>
          <w:ilvl w:val="0"/>
          <w:numId w:val="4"/>
        </w:numPr>
        <w:rPr>
          <w:rFonts w:ascii="Calibri" w:hAnsi="Calibri" w:cs="Calibri"/>
        </w:rPr>
      </w:pPr>
      <w:r w:rsidRPr="006F2101">
        <w:rPr>
          <w:rFonts w:ascii="Calibri" w:hAnsi="Calibri" w:cs="Calibri"/>
          <w:b/>
          <w:bCs/>
        </w:rPr>
        <w:t>Consistent monthly increase</w:t>
      </w:r>
      <w:r w:rsidRPr="006F2101">
        <w:rPr>
          <w:rFonts w:ascii="Calibri" w:hAnsi="Calibri" w:cs="Calibri"/>
        </w:rPr>
        <w:t xml:space="preserve"> in net cash flow throughout the year.</w:t>
      </w:r>
    </w:p>
    <w:p w14:paraId="54407FB5" w14:textId="1DB905D8" w:rsidR="006F2101" w:rsidRPr="006F2101" w:rsidRDefault="006F2101" w:rsidP="006F2101">
      <w:pPr>
        <w:rPr>
          <w:rFonts w:ascii="Calibri" w:hAnsi="Calibri" w:cs="Calibri"/>
        </w:rPr>
      </w:pPr>
      <w:r w:rsidRPr="006F2101">
        <w:rPr>
          <w:rFonts w:ascii="Calibri" w:hAnsi="Calibri" w:cs="Calibri"/>
          <w:b/>
          <w:bCs/>
        </w:rPr>
        <w:t>Insight:</w:t>
      </w:r>
      <w:r w:rsidRPr="006F2101">
        <w:rPr>
          <w:rFonts w:ascii="Calibri" w:hAnsi="Calibri" w:cs="Calibri"/>
        </w:rPr>
        <w:br/>
        <w:t>The net cash position shows steady improvement month by month, indicating effective liquidity management. December recorded the highest cumulative net cash, reflecting stronger collections or higher sales. There are no major spikes in outflows, which supports strong financial control.</w:t>
      </w:r>
    </w:p>
    <w:p w14:paraId="4970139A" w14:textId="77777777" w:rsidR="006F2101" w:rsidRPr="006F2101" w:rsidRDefault="006F2101" w:rsidP="006F2101">
      <w:pPr>
        <w:rPr>
          <w:rFonts w:ascii="Calibri" w:hAnsi="Calibri" w:cs="Calibri"/>
          <w:b/>
          <w:bCs/>
        </w:rPr>
      </w:pPr>
      <w:r w:rsidRPr="006F2101">
        <w:rPr>
          <w:rFonts w:ascii="Calibri" w:hAnsi="Calibri" w:cs="Calibri"/>
          <w:b/>
          <w:bCs/>
        </w:rPr>
        <w:t>Working Capital Efficiency</w:t>
      </w:r>
    </w:p>
    <w:p w14:paraId="6BACD468" w14:textId="0C0D9783" w:rsidR="006F2101" w:rsidRPr="006F2101" w:rsidRDefault="006F2101" w:rsidP="006F2101">
      <w:pPr>
        <w:numPr>
          <w:ilvl w:val="0"/>
          <w:numId w:val="5"/>
        </w:numPr>
        <w:rPr>
          <w:rFonts w:ascii="Calibri" w:hAnsi="Calibri" w:cs="Calibri"/>
        </w:rPr>
      </w:pPr>
      <w:r w:rsidRPr="006F2101">
        <w:rPr>
          <w:rFonts w:ascii="Calibri" w:hAnsi="Calibri" w:cs="Calibri"/>
          <w:b/>
          <w:bCs/>
        </w:rPr>
        <w:t>Average Receivables Aging:</w:t>
      </w:r>
      <w:r w:rsidRPr="006F2101">
        <w:rPr>
          <w:rFonts w:ascii="Calibri" w:hAnsi="Calibri" w:cs="Calibri"/>
        </w:rPr>
        <w:t xml:space="preserve"> 28</w:t>
      </w:r>
      <w:r>
        <w:rPr>
          <w:rFonts w:ascii="Calibri" w:hAnsi="Calibri" w:cs="Calibri"/>
        </w:rPr>
        <w:t>-</w:t>
      </w:r>
      <w:r w:rsidRPr="006F2101">
        <w:rPr>
          <w:rFonts w:ascii="Calibri" w:hAnsi="Calibri" w:cs="Calibri"/>
        </w:rPr>
        <w:t>31 days</w:t>
      </w:r>
    </w:p>
    <w:p w14:paraId="605D9556" w14:textId="14035893" w:rsidR="006F2101" w:rsidRPr="006F2101" w:rsidRDefault="006F2101" w:rsidP="006F2101">
      <w:pPr>
        <w:numPr>
          <w:ilvl w:val="0"/>
          <w:numId w:val="5"/>
        </w:numPr>
        <w:rPr>
          <w:rFonts w:ascii="Calibri" w:hAnsi="Calibri" w:cs="Calibri"/>
        </w:rPr>
      </w:pPr>
      <w:r w:rsidRPr="006F2101">
        <w:rPr>
          <w:rFonts w:ascii="Calibri" w:hAnsi="Calibri" w:cs="Calibri"/>
          <w:b/>
          <w:bCs/>
        </w:rPr>
        <w:t>Average Payables Aging:</w:t>
      </w:r>
      <w:r w:rsidRPr="006F2101">
        <w:rPr>
          <w:rFonts w:ascii="Calibri" w:hAnsi="Calibri" w:cs="Calibri"/>
        </w:rPr>
        <w:t xml:space="preserve"> </w:t>
      </w:r>
      <w:r>
        <w:rPr>
          <w:rFonts w:ascii="Calibri" w:hAnsi="Calibri" w:cs="Calibri"/>
        </w:rPr>
        <w:t xml:space="preserve">27-38 </w:t>
      </w:r>
      <w:r w:rsidRPr="006F2101">
        <w:rPr>
          <w:rFonts w:ascii="Calibri" w:hAnsi="Calibri" w:cs="Calibri"/>
        </w:rPr>
        <w:t xml:space="preserve">days </w:t>
      </w:r>
    </w:p>
    <w:p w14:paraId="33FABA62" w14:textId="3EF665B6" w:rsidR="006F2101" w:rsidRPr="006F2101" w:rsidRDefault="006F2101" w:rsidP="006F2101">
      <w:pPr>
        <w:rPr>
          <w:rFonts w:ascii="Calibri" w:hAnsi="Calibri" w:cs="Calibri"/>
        </w:rPr>
      </w:pPr>
      <w:r w:rsidRPr="006F2101">
        <w:rPr>
          <w:rFonts w:ascii="Calibri" w:hAnsi="Calibri" w:cs="Calibri"/>
          <w:b/>
          <w:bCs/>
        </w:rPr>
        <w:t>Insight:</w:t>
      </w:r>
      <w:r w:rsidRPr="006F2101">
        <w:rPr>
          <w:rFonts w:ascii="Calibri" w:hAnsi="Calibri" w:cs="Calibri"/>
        </w:rPr>
        <w:br/>
        <w:t>Receivables are being collected within approximately a 30-day period, aligning with standard credit practices. However, payables aging data seems abnormally high, which could indicate a calculation error or unusually long credit terms. This should be reviewed for accuracy or adjusted to maintain strong supplier relationships.</w:t>
      </w:r>
    </w:p>
    <w:p w14:paraId="34CD1AD8" w14:textId="77777777" w:rsidR="006F2101" w:rsidRPr="006F2101" w:rsidRDefault="006F2101" w:rsidP="006F2101">
      <w:pPr>
        <w:rPr>
          <w:rFonts w:ascii="Calibri" w:hAnsi="Calibri" w:cs="Calibri"/>
          <w:b/>
          <w:bCs/>
        </w:rPr>
      </w:pPr>
      <w:r w:rsidRPr="006F2101">
        <w:rPr>
          <w:rFonts w:ascii="Calibri" w:hAnsi="Calibri" w:cs="Calibri"/>
          <w:b/>
          <w:bCs/>
        </w:rPr>
        <w:t>Budget vs Actual Performance</w:t>
      </w:r>
    </w:p>
    <w:p w14:paraId="75F6729E" w14:textId="5C59E7D0" w:rsidR="006F2101" w:rsidRPr="006F2101" w:rsidRDefault="006F2101" w:rsidP="006F2101">
      <w:pPr>
        <w:rPr>
          <w:rFonts w:ascii="Calibri" w:hAnsi="Calibri" w:cs="Calibri"/>
        </w:rPr>
      </w:pPr>
      <w:r w:rsidRPr="006F2101">
        <w:rPr>
          <w:rFonts w:ascii="Calibri" w:hAnsi="Calibri" w:cs="Calibri"/>
          <w:b/>
          <w:bCs/>
        </w:rPr>
        <w:t>Insight:</w:t>
      </w:r>
      <w:r w:rsidRPr="006F2101">
        <w:rPr>
          <w:rFonts w:ascii="Calibri" w:hAnsi="Calibri" w:cs="Calibri"/>
        </w:rPr>
        <w:br/>
        <w:t>Actual revenue is closely aligned with budgeted targets, with only minor deviations of ±5%. Positive variance was observed in March, May, and December, suggesting stronger performance during these months, possibly driven by seasonal or promotional factors.</w:t>
      </w:r>
    </w:p>
    <w:p w14:paraId="0A980971" w14:textId="77777777" w:rsidR="006F2101" w:rsidRPr="006F2101" w:rsidRDefault="006F2101" w:rsidP="006F2101">
      <w:pPr>
        <w:rPr>
          <w:rFonts w:ascii="Calibri" w:hAnsi="Calibri" w:cs="Calibri"/>
          <w:b/>
          <w:bCs/>
        </w:rPr>
      </w:pPr>
      <w:r w:rsidRPr="006F2101">
        <w:rPr>
          <w:rFonts w:ascii="Calibri" w:hAnsi="Calibri" w:cs="Calibri"/>
          <w:b/>
          <w:bCs/>
        </w:rPr>
        <w:t>3. Overall Financial Health</w:t>
      </w:r>
    </w:p>
    <w:p w14:paraId="05AEF937" w14:textId="77777777" w:rsidR="006F2101" w:rsidRPr="006F2101" w:rsidRDefault="006F2101" w:rsidP="006F2101">
      <w:pPr>
        <w:numPr>
          <w:ilvl w:val="0"/>
          <w:numId w:val="6"/>
        </w:numPr>
        <w:rPr>
          <w:rFonts w:ascii="Calibri" w:hAnsi="Calibri" w:cs="Calibri"/>
        </w:rPr>
      </w:pPr>
      <w:r w:rsidRPr="006F2101">
        <w:rPr>
          <w:rFonts w:ascii="Calibri" w:hAnsi="Calibri" w:cs="Calibri"/>
          <w:b/>
          <w:bCs/>
        </w:rPr>
        <w:t>Profitability:</w:t>
      </w:r>
      <w:r w:rsidRPr="006F2101">
        <w:rPr>
          <w:rFonts w:ascii="Calibri" w:hAnsi="Calibri" w:cs="Calibri"/>
        </w:rPr>
        <w:t xml:space="preserve"> Strong margins reflect good cost control.</w:t>
      </w:r>
    </w:p>
    <w:p w14:paraId="249B5932" w14:textId="77777777" w:rsidR="006F2101" w:rsidRPr="006F2101" w:rsidRDefault="006F2101" w:rsidP="006F2101">
      <w:pPr>
        <w:numPr>
          <w:ilvl w:val="0"/>
          <w:numId w:val="6"/>
        </w:numPr>
        <w:rPr>
          <w:rFonts w:ascii="Calibri" w:hAnsi="Calibri" w:cs="Calibri"/>
        </w:rPr>
      </w:pPr>
      <w:r w:rsidRPr="006F2101">
        <w:rPr>
          <w:rFonts w:ascii="Calibri" w:hAnsi="Calibri" w:cs="Calibri"/>
          <w:b/>
          <w:bCs/>
        </w:rPr>
        <w:t>Liquidity:</w:t>
      </w:r>
      <w:r w:rsidRPr="006F2101">
        <w:rPr>
          <w:rFonts w:ascii="Calibri" w:hAnsi="Calibri" w:cs="Calibri"/>
        </w:rPr>
        <w:t xml:space="preserve"> Positive cash flow sustained through the year.</w:t>
      </w:r>
    </w:p>
    <w:p w14:paraId="76B99F10" w14:textId="77777777" w:rsidR="006F2101" w:rsidRPr="006F2101" w:rsidRDefault="006F2101" w:rsidP="006F2101">
      <w:pPr>
        <w:numPr>
          <w:ilvl w:val="0"/>
          <w:numId w:val="6"/>
        </w:numPr>
        <w:rPr>
          <w:rFonts w:ascii="Calibri" w:hAnsi="Calibri" w:cs="Calibri"/>
        </w:rPr>
      </w:pPr>
      <w:r w:rsidRPr="006F2101">
        <w:rPr>
          <w:rFonts w:ascii="Calibri" w:hAnsi="Calibri" w:cs="Calibri"/>
          <w:b/>
          <w:bCs/>
        </w:rPr>
        <w:t>Growth:</w:t>
      </w:r>
      <w:r w:rsidRPr="006F2101">
        <w:rPr>
          <w:rFonts w:ascii="Calibri" w:hAnsi="Calibri" w:cs="Calibri"/>
        </w:rPr>
        <w:t xml:space="preserve"> Stable revenue increase across months.</w:t>
      </w:r>
    </w:p>
    <w:p w14:paraId="4A182917" w14:textId="77777777" w:rsidR="006F2101" w:rsidRPr="006F2101" w:rsidRDefault="006F2101" w:rsidP="006F2101">
      <w:pPr>
        <w:numPr>
          <w:ilvl w:val="0"/>
          <w:numId w:val="6"/>
        </w:numPr>
        <w:rPr>
          <w:rFonts w:ascii="Calibri" w:hAnsi="Calibri" w:cs="Calibri"/>
        </w:rPr>
      </w:pPr>
      <w:r w:rsidRPr="006F2101">
        <w:rPr>
          <w:rFonts w:ascii="Calibri" w:hAnsi="Calibri" w:cs="Calibri"/>
          <w:b/>
          <w:bCs/>
        </w:rPr>
        <w:t>Areas for Improvement:</w:t>
      </w:r>
      <w:r w:rsidRPr="006F2101">
        <w:rPr>
          <w:rFonts w:ascii="Calibri" w:hAnsi="Calibri" w:cs="Calibri"/>
        </w:rPr>
        <w:t xml:space="preserve"> Operational expense optimization and regional performance balancing.</w:t>
      </w:r>
    </w:p>
    <w:p w14:paraId="75571EE7" w14:textId="66278A33" w:rsidR="006F2101" w:rsidRPr="006F2101" w:rsidRDefault="006F2101" w:rsidP="006F2101">
      <w:pPr>
        <w:numPr>
          <w:ilvl w:val="0"/>
          <w:numId w:val="6"/>
        </w:numPr>
        <w:rPr>
          <w:rFonts w:ascii="Calibri" w:hAnsi="Calibri" w:cs="Calibri"/>
        </w:rPr>
      </w:pPr>
      <w:r w:rsidRPr="006F2101">
        <w:rPr>
          <w:rFonts w:ascii="Calibri" w:hAnsi="Calibri" w:cs="Calibri"/>
          <w:b/>
          <w:bCs/>
        </w:rPr>
        <w:lastRenderedPageBreak/>
        <w:t>Data Review:</w:t>
      </w:r>
      <w:r w:rsidRPr="006F2101">
        <w:rPr>
          <w:rFonts w:ascii="Calibri" w:hAnsi="Calibri" w:cs="Calibri"/>
        </w:rPr>
        <w:t xml:space="preserve"> Payables aging calculation should be validated.</w:t>
      </w:r>
    </w:p>
    <w:p w14:paraId="2A4978E2" w14:textId="77777777" w:rsidR="006F2101" w:rsidRPr="006F2101" w:rsidRDefault="006F2101" w:rsidP="006F2101">
      <w:pPr>
        <w:rPr>
          <w:rFonts w:ascii="Calibri" w:hAnsi="Calibri" w:cs="Calibri"/>
          <w:b/>
          <w:bCs/>
        </w:rPr>
      </w:pPr>
      <w:r w:rsidRPr="006F2101">
        <w:rPr>
          <w:rFonts w:ascii="Calibri" w:hAnsi="Calibri" w:cs="Calibri"/>
          <w:b/>
          <w:bCs/>
        </w:rPr>
        <w:t>4. Recommendations</w:t>
      </w:r>
    </w:p>
    <w:p w14:paraId="5FAF3E68" w14:textId="77777777" w:rsidR="006F2101" w:rsidRPr="006F2101" w:rsidRDefault="006F2101" w:rsidP="006F2101">
      <w:pPr>
        <w:numPr>
          <w:ilvl w:val="0"/>
          <w:numId w:val="7"/>
        </w:numPr>
        <w:rPr>
          <w:rFonts w:ascii="Calibri" w:hAnsi="Calibri" w:cs="Calibri"/>
        </w:rPr>
      </w:pPr>
      <w:r w:rsidRPr="006F2101">
        <w:rPr>
          <w:rFonts w:ascii="Calibri" w:hAnsi="Calibri" w:cs="Calibri"/>
        </w:rPr>
        <w:t>Strengthen cost management to improve EBITDA margins.</w:t>
      </w:r>
    </w:p>
    <w:p w14:paraId="60FA007C" w14:textId="77777777" w:rsidR="006F2101" w:rsidRPr="006F2101" w:rsidRDefault="006F2101" w:rsidP="006F2101">
      <w:pPr>
        <w:numPr>
          <w:ilvl w:val="0"/>
          <w:numId w:val="7"/>
        </w:numPr>
        <w:rPr>
          <w:rFonts w:ascii="Calibri" w:hAnsi="Calibri" w:cs="Calibri"/>
        </w:rPr>
      </w:pPr>
      <w:r w:rsidRPr="006F2101">
        <w:rPr>
          <w:rFonts w:ascii="Calibri" w:hAnsi="Calibri" w:cs="Calibri"/>
        </w:rPr>
        <w:t>Reinvest positive cash flows into high-performing regions or products.</w:t>
      </w:r>
    </w:p>
    <w:p w14:paraId="71F173AE" w14:textId="77777777" w:rsidR="006F2101" w:rsidRPr="006F2101" w:rsidRDefault="006F2101" w:rsidP="006F2101">
      <w:pPr>
        <w:numPr>
          <w:ilvl w:val="0"/>
          <w:numId w:val="7"/>
        </w:numPr>
        <w:rPr>
          <w:rFonts w:ascii="Calibri" w:hAnsi="Calibri" w:cs="Calibri"/>
        </w:rPr>
      </w:pPr>
      <w:r w:rsidRPr="006F2101">
        <w:rPr>
          <w:rFonts w:ascii="Calibri" w:hAnsi="Calibri" w:cs="Calibri"/>
        </w:rPr>
        <w:t>Review payables data to ensure accurate reporting and maintain timely payments.</w:t>
      </w:r>
    </w:p>
    <w:p w14:paraId="56EFC3DC" w14:textId="77777777" w:rsidR="006F2101" w:rsidRPr="006F2101" w:rsidRDefault="006F2101" w:rsidP="006F2101">
      <w:pPr>
        <w:numPr>
          <w:ilvl w:val="0"/>
          <w:numId w:val="7"/>
        </w:numPr>
        <w:rPr>
          <w:rFonts w:ascii="Calibri" w:hAnsi="Calibri" w:cs="Calibri"/>
        </w:rPr>
      </w:pPr>
      <w:r w:rsidRPr="006F2101">
        <w:rPr>
          <w:rFonts w:ascii="Calibri" w:hAnsi="Calibri" w:cs="Calibri"/>
        </w:rPr>
        <w:t>Develop targeted marketing initiatives for underperforming regions (East, West).</w:t>
      </w:r>
    </w:p>
    <w:p w14:paraId="0AB88AC1" w14:textId="3A53B0D3" w:rsidR="006F2101" w:rsidRPr="006F2101" w:rsidRDefault="006F2101" w:rsidP="006F2101">
      <w:pPr>
        <w:numPr>
          <w:ilvl w:val="0"/>
          <w:numId w:val="7"/>
        </w:numPr>
        <w:rPr>
          <w:rFonts w:ascii="Calibri" w:hAnsi="Calibri" w:cs="Calibri"/>
        </w:rPr>
      </w:pPr>
      <w:r w:rsidRPr="006F2101">
        <w:rPr>
          <w:rFonts w:ascii="Calibri" w:hAnsi="Calibri" w:cs="Calibri"/>
        </w:rPr>
        <w:t>Maintain the current receivables cycle to preserve cash flow stability.</w:t>
      </w:r>
    </w:p>
    <w:p w14:paraId="64AFD66B" w14:textId="77777777" w:rsidR="006F2101" w:rsidRPr="006F2101" w:rsidRDefault="006F2101" w:rsidP="006F2101">
      <w:pPr>
        <w:rPr>
          <w:rFonts w:ascii="Calibri" w:hAnsi="Calibri" w:cs="Calibri"/>
          <w:b/>
          <w:bCs/>
        </w:rPr>
      </w:pPr>
      <w:r w:rsidRPr="006F2101">
        <w:rPr>
          <w:rFonts w:ascii="Calibri" w:hAnsi="Calibri" w:cs="Calibri"/>
          <w:b/>
          <w:bCs/>
        </w:rPr>
        <w:t>5. Conclusion</w:t>
      </w:r>
    </w:p>
    <w:p w14:paraId="48C1AB93" w14:textId="77777777" w:rsidR="006F2101" w:rsidRPr="006F2101" w:rsidRDefault="006F2101" w:rsidP="006F2101">
      <w:pPr>
        <w:rPr>
          <w:rFonts w:ascii="Calibri" w:hAnsi="Calibri" w:cs="Calibri"/>
        </w:rPr>
      </w:pPr>
      <w:r w:rsidRPr="006F2101">
        <w:rPr>
          <w:rFonts w:ascii="Calibri" w:hAnsi="Calibri" w:cs="Calibri"/>
        </w:rPr>
        <w:t>The company demonstrates solid financial performance, maintaining profitability, liquidity, and consistent revenue growth. With minor adjustments in cost management and regional strategy, the overall financial position can be further strengthened for long-term stability and growth.</w:t>
      </w:r>
    </w:p>
    <w:p w14:paraId="6AF757E7" w14:textId="77777777" w:rsidR="006F2101" w:rsidRPr="006F2101" w:rsidRDefault="006F2101">
      <w:pPr>
        <w:rPr>
          <w:rFonts w:ascii="Calibri" w:hAnsi="Calibri" w:cs="Calibri"/>
        </w:rPr>
      </w:pPr>
    </w:p>
    <w:sectPr w:rsidR="006F2101" w:rsidRPr="006F2101" w:rsidSect="006F210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7E10"/>
    <w:multiLevelType w:val="multilevel"/>
    <w:tmpl w:val="F926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B5C03"/>
    <w:multiLevelType w:val="multilevel"/>
    <w:tmpl w:val="67E6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9608F2"/>
    <w:multiLevelType w:val="multilevel"/>
    <w:tmpl w:val="BE3E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CD4994"/>
    <w:multiLevelType w:val="multilevel"/>
    <w:tmpl w:val="065AE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806FE8"/>
    <w:multiLevelType w:val="multilevel"/>
    <w:tmpl w:val="B722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773D98"/>
    <w:multiLevelType w:val="multilevel"/>
    <w:tmpl w:val="5008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033B57"/>
    <w:multiLevelType w:val="multilevel"/>
    <w:tmpl w:val="5944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762557">
    <w:abstractNumId w:val="6"/>
  </w:num>
  <w:num w:numId="2" w16cid:durableId="1044254802">
    <w:abstractNumId w:val="4"/>
  </w:num>
  <w:num w:numId="3" w16cid:durableId="1410269732">
    <w:abstractNumId w:val="2"/>
  </w:num>
  <w:num w:numId="4" w16cid:durableId="942878168">
    <w:abstractNumId w:val="5"/>
  </w:num>
  <w:num w:numId="5" w16cid:durableId="1139880613">
    <w:abstractNumId w:val="0"/>
  </w:num>
  <w:num w:numId="6" w16cid:durableId="1087965336">
    <w:abstractNumId w:val="1"/>
  </w:num>
  <w:num w:numId="7" w16cid:durableId="12089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101"/>
    <w:rsid w:val="005F5E60"/>
    <w:rsid w:val="006F21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3901C"/>
  <w15:chartTrackingRefBased/>
  <w15:docId w15:val="{8951B314-8923-41AB-BC50-6B2B819A8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2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2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2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101"/>
    <w:rPr>
      <w:rFonts w:eastAsiaTheme="majorEastAsia" w:cstheme="majorBidi"/>
      <w:color w:val="272727" w:themeColor="text1" w:themeTint="D8"/>
    </w:rPr>
  </w:style>
  <w:style w:type="paragraph" w:styleId="Title">
    <w:name w:val="Title"/>
    <w:basedOn w:val="Normal"/>
    <w:next w:val="Normal"/>
    <w:link w:val="TitleChar"/>
    <w:uiPriority w:val="10"/>
    <w:qFormat/>
    <w:rsid w:val="006F2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101"/>
    <w:pPr>
      <w:spacing w:before="160"/>
      <w:jc w:val="center"/>
    </w:pPr>
    <w:rPr>
      <w:i/>
      <w:iCs/>
      <w:color w:val="404040" w:themeColor="text1" w:themeTint="BF"/>
    </w:rPr>
  </w:style>
  <w:style w:type="character" w:customStyle="1" w:styleId="QuoteChar">
    <w:name w:val="Quote Char"/>
    <w:basedOn w:val="DefaultParagraphFont"/>
    <w:link w:val="Quote"/>
    <w:uiPriority w:val="29"/>
    <w:rsid w:val="006F2101"/>
    <w:rPr>
      <w:i/>
      <w:iCs/>
      <w:color w:val="404040" w:themeColor="text1" w:themeTint="BF"/>
    </w:rPr>
  </w:style>
  <w:style w:type="paragraph" w:styleId="ListParagraph">
    <w:name w:val="List Paragraph"/>
    <w:basedOn w:val="Normal"/>
    <w:uiPriority w:val="34"/>
    <w:qFormat/>
    <w:rsid w:val="006F2101"/>
    <w:pPr>
      <w:ind w:left="720"/>
      <w:contextualSpacing/>
    </w:pPr>
  </w:style>
  <w:style w:type="character" w:styleId="IntenseEmphasis">
    <w:name w:val="Intense Emphasis"/>
    <w:basedOn w:val="DefaultParagraphFont"/>
    <w:uiPriority w:val="21"/>
    <w:qFormat/>
    <w:rsid w:val="006F2101"/>
    <w:rPr>
      <w:i/>
      <w:iCs/>
      <w:color w:val="0F4761" w:themeColor="accent1" w:themeShade="BF"/>
    </w:rPr>
  </w:style>
  <w:style w:type="paragraph" w:styleId="IntenseQuote">
    <w:name w:val="Intense Quote"/>
    <w:basedOn w:val="Normal"/>
    <w:next w:val="Normal"/>
    <w:link w:val="IntenseQuoteChar"/>
    <w:uiPriority w:val="30"/>
    <w:qFormat/>
    <w:rsid w:val="006F2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101"/>
    <w:rPr>
      <w:i/>
      <w:iCs/>
      <w:color w:val="0F4761" w:themeColor="accent1" w:themeShade="BF"/>
    </w:rPr>
  </w:style>
  <w:style w:type="character" w:styleId="IntenseReference">
    <w:name w:val="Intense Reference"/>
    <w:basedOn w:val="DefaultParagraphFont"/>
    <w:uiPriority w:val="32"/>
    <w:qFormat/>
    <w:rsid w:val="006F21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547</Words>
  <Characters>3122</Characters>
  <Application>Microsoft Office Word</Application>
  <DocSecurity>0</DocSecurity>
  <Lines>26</Lines>
  <Paragraphs>7</Paragraphs>
  <ScaleCrop>false</ScaleCrop>
  <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lopita mishra</dc:creator>
  <cp:keywords/>
  <dc:description/>
  <cp:lastModifiedBy>lopita mishra</cp:lastModifiedBy>
  <cp:revision>1</cp:revision>
  <dcterms:created xsi:type="dcterms:W3CDTF">2025-10-16T18:13:00Z</dcterms:created>
  <dcterms:modified xsi:type="dcterms:W3CDTF">2025-10-16T18:22:00Z</dcterms:modified>
</cp:coreProperties>
</file>