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2268" w14:textId="77777777" w:rsidR="00A31FB4" w:rsidRPr="00A31FB4" w:rsidRDefault="00A31FB4" w:rsidP="00A31FB4">
      <w:r w:rsidRPr="00A31FB4">
        <w:t xml:space="preserve">Nous analysons à partir de données collectées sur internet les dynamiques indépendantes et conjointes d’une obligation souveraine française à 10 ans (OAT 10 ans) et d’une obligation d’entreprise émise par EDF, dont la maturité est fixée en 2033. L’objectif principal est ici de comprendre l’impact que peut avoir une obligation sur l’autre, en particulier en raison de la proximité apparente de leurs maturités. Cette analyse permet de mieux saisir les interactions entre les marchés souverains et </w:t>
      </w:r>
      <w:proofErr w:type="spellStart"/>
      <w:r w:rsidRPr="00A31FB4">
        <w:t>corporates</w:t>
      </w:r>
      <w:proofErr w:type="spellEnd"/>
      <w:r w:rsidRPr="00A31FB4">
        <w:t xml:space="preserve"> en France.</w:t>
      </w:r>
    </w:p>
    <w:p w14:paraId="4EEF2F25" w14:textId="3BD61512" w:rsidR="00A31FB4" w:rsidRPr="00A31FB4" w:rsidRDefault="00A31FB4" w:rsidP="00A31FB4">
      <w:r w:rsidRPr="00A31FB4">
        <w:t>Notre hypothèse de départ est que l’OAT 10 ans exerce une influence significative sur l’évolution de l’obligation d’EDF. Cette hypothèse repose sur la nature même d’EDF en tant qu’entreprise profondément ancrée dans le contexte économique, politique et social français. En effet, en tant qu’acteur majeur du secteur énergétique national, EDF est fortement sensible aux conditions macroéconomiques du pays, dont les chocs peuvent se répercuter directement sur sa santé financière et donc sur sa capacité à honorer ses obligations.</w:t>
      </w:r>
      <w:r w:rsidR="00E13AF0">
        <w:t xml:space="preserve"> </w:t>
      </w:r>
      <w:r w:rsidRPr="00A31FB4">
        <w:t xml:space="preserve">Plus précisément, un choc économique négatif sur la France, tel qu’une récession, une crise politique ou sociale majeure, ou une détérioration des perspectives fiscales, </w:t>
      </w:r>
      <w:proofErr w:type="gramStart"/>
      <w:r w:rsidRPr="00A31FB4">
        <w:t>aura</w:t>
      </w:r>
      <w:proofErr w:type="gramEnd"/>
      <w:r w:rsidRPr="00A31FB4">
        <w:t xml:space="preserve"> des conséquences sur la perception du risque associé à la dette souveraine (OAT). Cette perception influencerait par contagion le prix et le rendement des obligations d’entreprises françaises, notamment celles comme EDF qui dépendent largement des politiques publiques, des régulations, et du climat économique français.</w:t>
      </w:r>
    </w:p>
    <w:p w14:paraId="48F084B8" w14:textId="77777777" w:rsidR="00A31FB4" w:rsidRPr="00A31FB4" w:rsidRDefault="00A31FB4" w:rsidP="00A31FB4">
      <w:r w:rsidRPr="00A31FB4">
        <w:t>Par exemple, une dégradation de la note souveraine française ou une montée des taux d’intérêt associés à l’OAT 10 ans augmenterait mécaniquement le coût de financement d’EDF, ce qui pourrait ternir la confiance des investisseurs sur sa capacité à rembourser sa dette. De plus, un choc structurel (énergétique, réglementaire ou social) affectant la France pourrait impacter directement les revenus d’EDF, accroissant ainsi le risque de crédit de ses obligations.</w:t>
      </w:r>
    </w:p>
    <w:p w14:paraId="5C2491C5" w14:textId="59F1B72D" w:rsidR="00E13AF0" w:rsidRPr="00E13AF0" w:rsidRDefault="00A31FB4" w:rsidP="002E303F">
      <w:r w:rsidRPr="00A31FB4">
        <w:t xml:space="preserve">Ainsi, comprendre l’interaction entre l’OAT et l’obligation EDF est essentiel pour évaluer comment les marchés financiers intègrent les dépendances macroéconomiques dans le </w:t>
      </w:r>
      <w:proofErr w:type="spellStart"/>
      <w:r w:rsidRPr="00A31FB4">
        <w:t>pricing</w:t>
      </w:r>
      <w:proofErr w:type="spellEnd"/>
      <w:r w:rsidRPr="00A31FB4">
        <w:t xml:space="preserve"> des actifs d'entreprise dans un contexte français</w:t>
      </w:r>
      <w:r>
        <w:t>.</w:t>
      </w:r>
      <w:r>
        <w:br/>
      </w:r>
      <w:r>
        <w:br/>
      </w:r>
      <w:r w:rsidR="00E13AF0" w:rsidRPr="00E13AF0">
        <w:t xml:space="preserve">Pour réaliser notre analyse, nous mobilisons plusieurs notions fondamentales acquises lors du cours d’Asset Pricing. </w:t>
      </w:r>
      <w:r w:rsidR="00E13AF0">
        <w:t>Premièrement</w:t>
      </w:r>
      <w:r w:rsidR="00E13AF0" w:rsidRPr="00E13AF0">
        <w:t>, nous nous appuyons sur la théorie du mouvement brownien (Wiener process) et la propriété de martingale, qui constituent la base mathématique pour modéliser les dynamiques aléatoires des séries financières de manière indépendante. Ces concepts nous permettent d’appréhender la nature stochastique des obligations étudiées, en considérant que leurs évolutions peuvent être modélisées comme des processus sans tendance prédictible, sous réserve de certaines conditions.</w:t>
      </w:r>
      <w:r w:rsidR="00E13AF0">
        <w:t xml:space="preserve"> </w:t>
      </w:r>
      <w:r w:rsidR="00E13AF0" w:rsidRPr="00E13AF0">
        <w:t>Par ailleurs, dans le cadre de la valorisation relative, nous cherchons à déterminer la valeur juste (</w:t>
      </w:r>
      <w:proofErr w:type="spellStart"/>
      <w:r w:rsidR="00E13AF0" w:rsidRPr="00E13AF0">
        <w:t>fair</w:t>
      </w:r>
      <w:proofErr w:type="spellEnd"/>
      <w:r w:rsidR="00E13AF0" w:rsidRPr="00E13AF0">
        <w:t xml:space="preserve"> value) d’un actif en fonction de l’autre, en nous basant sur les dynamiques observées et les propriétés de la martingale. Bien que certaines notions issues du cours sur la prévisibilité des rendements boursiers ne soient pas directement implémentées dans le code, elles nous ont permis de mieux comprendre les fondamentaux sous-jacents à l’évolution des séries et l’interprétation des résultats.</w:t>
      </w:r>
      <w:r w:rsidR="002E303F">
        <w:t xml:space="preserve"> N</w:t>
      </w:r>
      <w:r w:rsidR="00E13AF0" w:rsidRPr="00E13AF0">
        <w:t xml:space="preserve">ous intégrons également des connaissances sur la structure des taux d’intérêt, en exploitant la distinction entre taux spot et taux </w:t>
      </w:r>
      <w:proofErr w:type="spellStart"/>
      <w:r w:rsidR="00E13AF0" w:rsidRPr="00E13AF0">
        <w:t>forward</w:t>
      </w:r>
      <w:proofErr w:type="spellEnd"/>
      <w:r w:rsidR="00E13AF0" w:rsidRPr="00E13AF0">
        <w:t xml:space="preserve"> ainsi que la construction de la courbe des taux (</w:t>
      </w:r>
      <w:proofErr w:type="spellStart"/>
      <w:r w:rsidR="00E13AF0" w:rsidRPr="00E13AF0">
        <w:t>yield</w:t>
      </w:r>
      <w:proofErr w:type="spellEnd"/>
      <w:r w:rsidR="00E13AF0" w:rsidRPr="00E13AF0">
        <w:t xml:space="preserve"> </w:t>
      </w:r>
      <w:proofErr w:type="spellStart"/>
      <w:r w:rsidR="00E13AF0" w:rsidRPr="00E13AF0">
        <w:t>curve</w:t>
      </w:r>
      <w:proofErr w:type="spellEnd"/>
      <w:r w:rsidR="00E13AF0" w:rsidRPr="00E13AF0">
        <w:t xml:space="preserve">). Pour compléter l’analyse, </w:t>
      </w:r>
      <w:r w:rsidR="002E303F">
        <w:t xml:space="preserve">nous avons utiliser le modèle Cox-Ross-Rubinstein afin de comprendre et d’évaluer le comportement de </w:t>
      </w:r>
      <w:proofErr w:type="gramStart"/>
      <w:r w:rsidR="002E303F">
        <w:t>nos actif</w:t>
      </w:r>
      <w:proofErr w:type="gramEnd"/>
      <w:r w:rsidR="002E303F">
        <w:t xml:space="preserve"> dans </w:t>
      </w:r>
      <w:proofErr w:type="gramStart"/>
      <w:r w:rsidR="002E303F">
        <w:t>le future</w:t>
      </w:r>
      <w:proofErr w:type="gramEnd"/>
      <w:r w:rsidR="00E13AF0" w:rsidRPr="00E13AF0">
        <w:t>. Cette approche nous permet de représenter l’évolution des prix des options et obligations dans un cadre stochastique et no-arbitragiste. Nous avons par ailleurs étendu cette modélisation à une simulation de Monte Carlo, qui nous offre une méthode numérique robuste pour estimer le prix d’un swap spread, élargissant ainsi la portée pratique de notre étude.</w:t>
      </w:r>
    </w:p>
    <w:p w14:paraId="4E205E5C" w14:textId="01F90897" w:rsidR="00A31FB4" w:rsidRPr="00A31FB4" w:rsidRDefault="00A31FB4" w:rsidP="00A31FB4"/>
    <w:p w14:paraId="1FF252E8" w14:textId="216CCA7F" w:rsidR="00D70A08" w:rsidRPr="00A31FB4" w:rsidRDefault="00D70A08" w:rsidP="00A31FB4"/>
    <w:sectPr w:rsidR="00D70A08" w:rsidRPr="00A31F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B1"/>
    <w:rsid w:val="002B7473"/>
    <w:rsid w:val="002E303F"/>
    <w:rsid w:val="004B335E"/>
    <w:rsid w:val="006C749A"/>
    <w:rsid w:val="007722A7"/>
    <w:rsid w:val="007A16B1"/>
    <w:rsid w:val="0085367A"/>
    <w:rsid w:val="00A31FB4"/>
    <w:rsid w:val="00D33EFF"/>
    <w:rsid w:val="00D70A08"/>
    <w:rsid w:val="00E13A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4D7A7"/>
  <w15:chartTrackingRefBased/>
  <w15:docId w15:val="{FE2279F9-666A-44B6-9790-950734D15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A16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A16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A16B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A16B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A16B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A16B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A16B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A16B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A16B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16B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A16B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A16B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A16B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A16B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A16B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A16B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A16B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A16B1"/>
    <w:rPr>
      <w:rFonts w:eastAsiaTheme="majorEastAsia" w:cstheme="majorBidi"/>
      <w:color w:val="272727" w:themeColor="text1" w:themeTint="D8"/>
    </w:rPr>
  </w:style>
  <w:style w:type="paragraph" w:styleId="Titre">
    <w:name w:val="Title"/>
    <w:basedOn w:val="Normal"/>
    <w:next w:val="Normal"/>
    <w:link w:val="TitreCar"/>
    <w:uiPriority w:val="10"/>
    <w:qFormat/>
    <w:rsid w:val="007A1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A16B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A16B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A16B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A16B1"/>
    <w:pPr>
      <w:spacing w:before="160"/>
      <w:jc w:val="center"/>
    </w:pPr>
    <w:rPr>
      <w:i/>
      <w:iCs/>
      <w:color w:val="404040" w:themeColor="text1" w:themeTint="BF"/>
    </w:rPr>
  </w:style>
  <w:style w:type="character" w:customStyle="1" w:styleId="CitationCar">
    <w:name w:val="Citation Car"/>
    <w:basedOn w:val="Policepardfaut"/>
    <w:link w:val="Citation"/>
    <w:uiPriority w:val="29"/>
    <w:rsid w:val="007A16B1"/>
    <w:rPr>
      <w:i/>
      <w:iCs/>
      <w:color w:val="404040" w:themeColor="text1" w:themeTint="BF"/>
    </w:rPr>
  </w:style>
  <w:style w:type="paragraph" w:styleId="Paragraphedeliste">
    <w:name w:val="List Paragraph"/>
    <w:basedOn w:val="Normal"/>
    <w:uiPriority w:val="34"/>
    <w:qFormat/>
    <w:rsid w:val="007A16B1"/>
    <w:pPr>
      <w:ind w:left="720"/>
      <w:contextualSpacing/>
    </w:pPr>
  </w:style>
  <w:style w:type="character" w:styleId="Accentuationintense">
    <w:name w:val="Intense Emphasis"/>
    <w:basedOn w:val="Policepardfaut"/>
    <w:uiPriority w:val="21"/>
    <w:qFormat/>
    <w:rsid w:val="007A16B1"/>
    <w:rPr>
      <w:i/>
      <w:iCs/>
      <w:color w:val="2F5496" w:themeColor="accent1" w:themeShade="BF"/>
    </w:rPr>
  </w:style>
  <w:style w:type="paragraph" w:styleId="Citationintense">
    <w:name w:val="Intense Quote"/>
    <w:basedOn w:val="Normal"/>
    <w:next w:val="Normal"/>
    <w:link w:val="CitationintenseCar"/>
    <w:uiPriority w:val="30"/>
    <w:qFormat/>
    <w:rsid w:val="007A1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A16B1"/>
    <w:rPr>
      <w:i/>
      <w:iCs/>
      <w:color w:val="2F5496" w:themeColor="accent1" w:themeShade="BF"/>
    </w:rPr>
  </w:style>
  <w:style w:type="character" w:styleId="Rfrenceintense">
    <w:name w:val="Intense Reference"/>
    <w:basedOn w:val="Policepardfaut"/>
    <w:uiPriority w:val="32"/>
    <w:qFormat/>
    <w:rsid w:val="007A16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624</Words>
  <Characters>3434</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Marasco</dc:creator>
  <cp:keywords/>
  <dc:description/>
  <cp:lastModifiedBy>Lorenzo Marasco</cp:lastModifiedBy>
  <cp:revision>1</cp:revision>
  <dcterms:created xsi:type="dcterms:W3CDTF">2025-11-01T13:44:00Z</dcterms:created>
  <dcterms:modified xsi:type="dcterms:W3CDTF">2025-11-01T14:58:00Z</dcterms:modified>
</cp:coreProperties>
</file>