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555555"/>
          <w:sz w:val="28"/>
        </w:rPr>
        <w:t>Économétrie des Données de Panel (Master 2)</w:t>
        <w:br/>
      </w:r>
      <w:r>
        <w:rPr>
          <w:b/>
          <w:color w:val="1F4E79"/>
          <w:sz w:val="40"/>
        </w:rPr>
        <w:t>Réplication de Huntington &amp; Liddle (2022)</w:t>
        <w:br/>
      </w:r>
      <w:r>
        <w:rPr>
          <w:i/>
          <w:color w:val="777777"/>
          <w:sz w:val="22"/>
        </w:rPr>
        <w:t>How energy prices shape OECD economic growth: Panel evidence from multiple decades</w:t>
        <w:br/>
      </w:r>
    </w:p>
    <w:p>
      <w:pPr>
        <w:spacing w:before="600" w:after="800"/>
        <w:jc w:val="center"/>
      </w:pPr>
      <w:r>
        <w:t>Étudiant : Lorenzo</w:t>
        <w:br/>
        <w:t>Université : Université Paris 1 Panthéon-Sorbonne</w:t>
        <w:br/>
        <w:t>Date de rendu : Juin 2026</w:t>
        <w:br/>
      </w:r>
    </w:p>
    <w:p>
      <w:r>
        <w:br w:type="page"/>
      </w:r>
    </w:p>
    <w:p>
      <w:pPr>
        <w:spacing w:before="240" w:after="120"/>
      </w:pPr>
      <w:r>
        <w:rPr>
          <w:b/>
          <w:color w:val="1F4E79"/>
          <w:sz w:val="28"/>
        </w:rPr>
        <w:t>1. Référence et Variables Clés</w:t>
      </w:r>
    </w:p>
    <w:p>
      <w:r>
        <w:rPr>
          <w:b/>
        </w:rPr>
        <w:t xml:space="preserve">• Référence APA : </w:t>
      </w:r>
      <w:r>
        <w:t xml:space="preserve">Huntington, H., &amp; Liddle, B. (2022). How energy prices shape OECD economic growth: Panel evidence from multiple decades. </w:t>
      </w:r>
      <w:r>
        <w:rPr>
          <w:i/>
        </w:rPr>
        <w:t>Energy Economics</w:t>
      </w:r>
      <w:r>
        <w:t>, 111, 106082. https://doi.org/10.1016/j.eneco.2022.106082</w:t>
        <w:br/>
      </w:r>
      <w:r>
        <w:rPr>
          <w:b/>
        </w:rPr>
        <w:t xml:space="preserve">• Variable Dépendante (Y) : </w:t>
      </w:r>
      <w:r>
        <w:t>Taux de croissance du PIB réel par habitant (</w:t>
      </w:r>
      <w:r>
        <w:rPr>
          <w:color w:val="C00000"/>
        </w:rPr>
        <w:t>dlrgdpmad</w:t>
      </w:r>
      <w:r>
        <w:t>).</w:t>
        <w:br/>
      </w:r>
      <w:r>
        <w:rPr>
          <w:b/>
        </w:rPr>
        <w:t xml:space="preserve">• Variable Explicative Principale (X) : </w:t>
      </w:r>
      <w:r>
        <w:t>Taux de croissance du prix réel de l'énergie (</w:t>
      </w:r>
      <w:r>
        <w:rPr>
          <w:color w:val="C00000"/>
        </w:rPr>
        <w:t>dlenpr</w:t>
      </w:r>
      <w:r>
        <w:t>).</w:t>
        <w:br/>
      </w:r>
      <w:r>
        <w:rPr>
          <w:b/>
        </w:rPr>
        <w:t xml:space="preserve">• Niveau d'analyse : </w:t>
      </w:r>
      <w:r>
        <w:t>Pays (18 pays de l'OCDE).</w:t>
        <w:br/>
      </w:r>
      <w:r>
        <w:rPr>
          <w:b/>
        </w:rPr>
        <w:t xml:space="preserve">• Source de données : </w:t>
      </w:r>
      <w:r>
        <w:t xml:space="preserve">Maddison Project Database / Penn World Table / EIA (données fournies dans le fichier </w:t>
      </w:r>
      <w:r>
        <w:rPr>
          <w:i/>
        </w:rPr>
        <w:t>growth_EE.xlsx</w:t>
      </w:r>
      <w:r>
        <w:t>).</w:t>
        <w:br/>
      </w:r>
    </w:p>
    <w:p>
      <w:pPr>
        <w:spacing w:before="240" w:after="120"/>
      </w:pPr>
      <w:r>
        <w:rPr>
          <w:b/>
          <w:color w:val="1F4E79"/>
          <w:sz w:val="28"/>
        </w:rPr>
        <w:t>2. Résumé &amp; Introduction</w:t>
      </w:r>
    </w:p>
    <w:p>
      <w:r>
        <w:rPr>
          <w:b/>
        </w:rPr>
        <w:t>Résumé (Abstract — 100 mots) :</w:t>
      </w:r>
    </w:p>
    <w:p>
      <w:pPr>
        <w:ind w:left="576"/>
      </w:pPr>
      <w:r>
        <w:t>Ce travail propose la réplication et l'extension du papier de Huntington &amp; Liddle (2022). À l'aide d'un panel de 18 pays de l'OCDE sur la période 1960-2016, nous analysons les propriétés de stationnarité (tests CIPS) et de dépendance transversale (test CD de Pesaran). Nous estimons l'impact des hausses de prix de l'énergie sur la croissance économique par des estimateurs de panel homogènes (OLS, FE, RE-Mundlak, FD) et hétérogènes (CCEMG, Robust Mean Group avec poids de Huber). Une extension par effets fixes avec interaction temporelle révèle l'effet marginal des prix de l'énergie modulé par l'intensité énergétique initiale des pays.</w:t>
      </w:r>
    </w:p>
    <w:p>
      <w:r>
        <w:rPr>
          <w:b/>
        </w:rPr>
        <w:t>Introduction (Synthèse des apports non documentés dans le papier) :</w:t>
      </w:r>
    </w:p>
    <w:p>
      <w:pPr>
        <w:ind w:left="576"/>
      </w:pPr>
      <w:r>
        <w:t>1. Influence des Outliers et Robustesse : L'utilisation de l'estimateur robuste (Robust Mean Group avec pondération de Huber) modère très significativement l'impact estimé du prix de l'énergie par rapport à l'estimateur CCEMG non pondéré (le coefficient passe de -0.076 à -0.039). Cela met en évidence que l'estimation standard est fortement influencée par des pays aux comportements extrêmes (tels que l'Irlande ou l'Allemagne) ayant subi des chocs macroéconomiques atypiques. Cette sensibilité aux valeurs aberrantes n'est pas discutée en profondeur dans l'article original.</w:t>
      </w:r>
    </w:p>
    <w:p>
      <w:pPr>
        <w:ind w:left="576"/>
      </w:pPr>
      <w:r>
        <w:t>2. Homogénéité des Pentes et Dépendance Transversale : Les diagnostics statistiques du panel révèlent des violations majeures des hypothèses des modèles homogènes classiques. Le test CD de Pesaran rejette massivement l'indépendance transversale (p=0.0), et le test de Pesaran-Yamagata rejette l'homogénéité des pentes avec une statistique Delta-stat extrêmement élevée (16682.99, p=0.0). Ces résultats invalident formellement l'utilisation des modèles Pooled OLS ou Fixed Effects homogènes simples, justifiant l'approche par groupes moyens (Mean Group) de l'article.</w:t>
      </w:r>
    </w:p>
    <w:p>
      <w:pPr>
        <w:ind w:left="576"/>
      </w:pPr>
      <w:r>
        <w:t>3. Résultats de l'Extension : L'extension sous forme de modèle à Effets Fixes temporels avec interaction (Zi * Xit) montre que le coefficient d'intérêt direct du prix de l'énergie (beta1) est négatif et statistiquement significatif à -0.0756 (p=0.021). En revanche, le coefficient de l'interaction avec l'intensité énergétique de départ (beta2) est positif mais statistiquement non significatif (0.0076, p=0.115). Cela suggère qu'à court terme, l'intensité énergétique initiale ne module pas significativement la réponse des pays aux chocs énergétiques au sein d'une structure à effets fixes.</w:t>
      </w:r>
    </w:p>
    <w:p>
      <w:pPr>
        <w:spacing w:before="240" w:after="120"/>
      </w:pPr>
      <w:r>
        <w:rPr>
          <w:b/>
          <w:color w:val="1F4E79"/>
          <w:sz w:val="28"/>
        </w:rPr>
        <w:t>3. Caractéristiques des Données et Non-Cylindrage</w:t>
      </w:r>
    </w:p>
    <w:p>
      <w:r>
        <w:t>Le panel historique complet s'étend de 1960 à 2016 pour N=18 pays. Cependant, le panel n'est pas cylindré au début de la période en raison de données historiques manquantes pour l'Australie (qui commence en 1972) et pour l'Allemagne (qui commence en 1962). De 1972 à 2016 (T=45), le panel est parfaitement cylindré (balanced), comprenant 810 observations. Il n'y a pas d'attrition en fin de période.</w:t>
      </w:r>
    </w:p>
    <w:p>
      <w:r>
        <w:rPr>
          <w:b/>
        </w:rPr>
        <w:t>Observations par Pays (Période 1960-2016) :</w:t>
      </w:r>
    </w:p>
    <w:tbl>
      <w:tblPr>
        <w:tblStyle w:val="LightShading-Accent1"/>
        <w:tblW w:type="auto" w:w="0"/>
        <w:tblLook w:firstColumn="1" w:firstRow="1" w:lastColumn="0" w:lastRow="0" w:noHBand="0" w:noVBand="1" w:val="04A0"/>
      </w:tblPr>
      <w:tblGrid>
        <w:gridCol w:w="3312"/>
        <w:gridCol w:w="3312"/>
        <w:gridCol w:w="3312"/>
      </w:tblGrid>
      <w:tr>
        <w:tc>
          <w:tcPr>
            <w:tcW w:type="dxa" w:w="3312"/>
            <w:shd w:fill="1F4E79"/>
          </w:tcPr>
          <w:p>
            <w:pPr>
              <w:jc w:val="center"/>
            </w:pPr>
            <w:r>
              <w:rPr>
                <w:rFonts w:ascii="Arial" w:hAnsi="Arial"/>
                <w:b/>
                <w:i w:val="0"/>
                <w:color w:val="FFFFFF"/>
                <w:sz w:val="20"/>
              </w:rPr>
              <w:t>Type de Profil</w:t>
            </w:r>
          </w:p>
        </w:tc>
        <w:tc>
          <w:tcPr>
            <w:tcW w:type="dxa" w:w="3312"/>
            <w:shd w:fill="1F4E79"/>
          </w:tcPr>
          <w:p>
            <w:pPr>
              <w:jc w:val="center"/>
            </w:pPr>
            <w:r>
              <w:rPr>
                <w:rFonts w:ascii="Arial" w:hAnsi="Arial"/>
                <w:b/>
                <w:i w:val="0"/>
                <w:color w:val="FFFFFF"/>
                <w:sz w:val="20"/>
              </w:rPr>
              <w:t>Pays</w:t>
            </w:r>
          </w:p>
        </w:tc>
        <w:tc>
          <w:tcPr>
            <w:tcW w:type="dxa" w:w="3312"/>
            <w:shd w:fill="1F4E79"/>
          </w:tcPr>
          <w:p>
            <w:pPr>
              <w:jc w:val="center"/>
            </w:pPr>
            <w:r>
              <w:rPr>
                <w:rFonts w:ascii="Arial" w:hAnsi="Arial"/>
                <w:b/>
                <w:i w:val="0"/>
                <w:color w:val="FFFFFF"/>
                <w:sz w:val="20"/>
              </w:rPr>
              <w:t>Nombre d'Observations (T)</w:t>
            </w:r>
          </w:p>
        </w:tc>
      </w:tr>
      <w:tr>
        <w:tc>
          <w:tcPr>
            <w:tcW w:type="dxa" w:w="3312"/>
            <w:shd w:fill="F2F2F2"/>
          </w:tcPr>
          <w:p>
            <w:pPr>
              <w:jc w:val="left"/>
            </w:pPr>
            <w:r>
              <w:rPr>
                <w:rFonts w:ascii="Arial" w:hAnsi="Arial"/>
                <w:b w:val="0"/>
                <w:i w:val="0"/>
                <w:color w:val="333333"/>
                <w:sz w:val="19"/>
              </w:rPr>
              <w:t>Complet (57 ans)</w:t>
            </w:r>
          </w:p>
        </w:tc>
        <w:tc>
          <w:tcPr>
            <w:tcW w:type="dxa" w:w="3312"/>
            <w:shd w:fill="F2F2F2"/>
          </w:tcPr>
          <w:p>
            <w:pPr>
              <w:jc w:val="left"/>
            </w:pPr>
            <w:r>
              <w:rPr>
                <w:rFonts w:ascii="Arial" w:hAnsi="Arial"/>
                <w:b w:val="0"/>
                <w:i w:val="0"/>
                <w:color w:val="333333"/>
                <w:sz w:val="19"/>
              </w:rPr>
              <w:t>BEL, CAN, CHE, DNK, ESP, FIN, FRA, GBR, IRL, ITA, JPN, NLD, NOR, PRT, SWE, USA</w:t>
            </w:r>
          </w:p>
        </w:tc>
        <w:tc>
          <w:tcPr>
            <w:tcW w:type="dxa" w:w="3312"/>
            <w:shd w:fill="F2F2F2"/>
          </w:tcPr>
          <w:p>
            <w:pPr>
              <w:jc w:val="center"/>
            </w:pPr>
            <w:r>
              <w:rPr>
                <w:rFonts w:ascii="Arial" w:hAnsi="Arial"/>
                <w:b w:val="0"/>
                <w:i w:val="0"/>
                <w:color w:val="333333"/>
                <w:sz w:val="19"/>
              </w:rPr>
              <w:t>57</w:t>
            </w:r>
          </w:p>
        </w:tc>
      </w:tr>
      <w:tr>
        <w:tc>
          <w:tcPr>
            <w:tcW w:type="dxa" w:w="3312"/>
            <w:shd w:fill="FFFFFF"/>
          </w:tcPr>
          <w:p>
            <w:pPr>
              <w:jc w:val="left"/>
            </w:pPr>
            <w:r>
              <w:rPr>
                <w:rFonts w:ascii="Arial" w:hAnsi="Arial"/>
                <w:b w:val="0"/>
                <w:i w:val="0"/>
                <w:color w:val="333333"/>
                <w:sz w:val="19"/>
              </w:rPr>
              <w:t>Incomplet (Allemagne)</w:t>
            </w:r>
          </w:p>
        </w:tc>
        <w:tc>
          <w:tcPr>
            <w:tcW w:type="dxa" w:w="3312"/>
            <w:shd w:fill="FFFFFF"/>
          </w:tcPr>
          <w:p>
            <w:pPr>
              <w:jc w:val="left"/>
            </w:pPr>
            <w:r>
              <w:rPr>
                <w:rFonts w:ascii="Arial" w:hAnsi="Arial"/>
                <w:b w:val="0"/>
                <w:i w:val="0"/>
                <w:color w:val="333333"/>
                <w:sz w:val="19"/>
              </w:rPr>
              <w:t>DEU (commence en 1962)</w:t>
            </w:r>
          </w:p>
        </w:tc>
        <w:tc>
          <w:tcPr>
            <w:tcW w:type="dxa" w:w="3312"/>
            <w:shd w:fill="FFFFFF"/>
          </w:tcPr>
          <w:p>
            <w:pPr>
              <w:jc w:val="center"/>
            </w:pPr>
            <w:r>
              <w:rPr>
                <w:rFonts w:ascii="Arial" w:hAnsi="Arial"/>
                <w:b w:val="0"/>
                <w:i w:val="0"/>
                <w:color w:val="333333"/>
                <w:sz w:val="19"/>
              </w:rPr>
              <w:t>55</w:t>
            </w:r>
          </w:p>
        </w:tc>
      </w:tr>
      <w:tr>
        <w:tc>
          <w:tcPr>
            <w:tcW w:type="dxa" w:w="3312"/>
            <w:shd w:fill="F2F2F2"/>
          </w:tcPr>
          <w:p>
            <w:pPr>
              <w:jc w:val="left"/>
            </w:pPr>
            <w:r>
              <w:rPr>
                <w:rFonts w:ascii="Arial" w:hAnsi="Arial"/>
                <w:b w:val="0"/>
                <w:i w:val="0"/>
                <w:color w:val="333333"/>
                <w:sz w:val="19"/>
              </w:rPr>
              <w:t>Incomplet (Australie)</w:t>
            </w:r>
          </w:p>
        </w:tc>
        <w:tc>
          <w:tcPr>
            <w:tcW w:type="dxa" w:w="3312"/>
            <w:shd w:fill="F2F2F2"/>
          </w:tcPr>
          <w:p>
            <w:pPr>
              <w:jc w:val="left"/>
            </w:pPr>
            <w:r>
              <w:rPr>
                <w:rFonts w:ascii="Arial" w:hAnsi="Arial"/>
                <w:b w:val="0"/>
                <w:i w:val="0"/>
                <w:color w:val="333333"/>
                <w:sz w:val="19"/>
              </w:rPr>
              <w:t>AUS (commence en 1972)</w:t>
            </w:r>
          </w:p>
        </w:tc>
        <w:tc>
          <w:tcPr>
            <w:tcW w:type="dxa" w:w="3312"/>
            <w:shd w:fill="F2F2F2"/>
          </w:tcPr>
          <w:p>
            <w:pPr>
              <w:jc w:val="center"/>
            </w:pPr>
            <w:r>
              <w:rPr>
                <w:rFonts w:ascii="Arial" w:hAnsi="Arial"/>
                <w:b w:val="0"/>
                <w:i w:val="0"/>
                <w:color w:val="333333"/>
                <w:sz w:val="19"/>
              </w:rPr>
              <w:t>45</w:t>
            </w:r>
          </w:p>
        </w:tc>
      </w:tr>
    </w:tbl>
    <w:p>
      <w:pPr>
        <w:spacing w:after="200"/>
      </w:pPr>
    </w:p>
    <w:p>
      <w:pPr>
        <w:spacing w:before="240" w:after="120"/>
      </w:pPr>
      <w:r>
        <w:rPr>
          <w:b/>
          <w:color w:val="1F4E79"/>
          <w:sz w:val="28"/>
        </w:rPr>
        <w:t>4. Décomposition de la Variance (Between / Within)</w:t>
      </w:r>
    </w:p>
    <w:p>
      <w:r>
        <w:t>Afin de classifier les variables selon leur variabilité, nous réalisons une décomposition de la variance sur la période cylindrée (1972-2016).</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shd w:fill="1F4E79"/>
          </w:tcPr>
          <w:p>
            <w:pPr>
              <w:jc w:val="center"/>
            </w:pPr>
            <w:r>
              <w:rPr>
                <w:rFonts w:ascii="Arial" w:hAnsi="Arial"/>
                <w:b/>
                <w:i w:val="0"/>
                <w:color w:val="FFFFFF"/>
                <w:sz w:val="19"/>
              </w:rPr>
              <w:t>Variable</w:t>
            </w:r>
          </w:p>
        </w:tc>
        <w:tc>
          <w:tcPr>
            <w:tcW w:type="dxa" w:w="1656"/>
            <w:shd w:fill="1F4E79"/>
          </w:tcPr>
          <w:p>
            <w:pPr>
              <w:jc w:val="center"/>
            </w:pPr>
            <w:r>
              <w:rPr>
                <w:rFonts w:ascii="Arial" w:hAnsi="Arial"/>
                <w:b/>
                <w:i w:val="0"/>
                <w:color w:val="FFFFFF"/>
                <w:sz w:val="19"/>
              </w:rPr>
              <w:t>Description</w:t>
            </w:r>
          </w:p>
        </w:tc>
        <w:tc>
          <w:tcPr>
            <w:tcW w:type="dxa" w:w="1656"/>
            <w:shd w:fill="1F4E79"/>
          </w:tcPr>
          <w:p>
            <w:pPr>
              <w:jc w:val="center"/>
            </w:pPr>
            <w:r>
              <w:rPr>
                <w:rFonts w:ascii="Arial" w:hAnsi="Arial"/>
                <w:b/>
                <w:i w:val="0"/>
                <w:color w:val="FFFFFF"/>
                <w:sz w:val="19"/>
              </w:rPr>
              <w:t>Variance Totale</w:t>
            </w:r>
          </w:p>
        </w:tc>
        <w:tc>
          <w:tcPr>
            <w:tcW w:type="dxa" w:w="1656"/>
            <w:shd w:fill="1F4E79"/>
          </w:tcPr>
          <w:p>
            <w:pPr>
              <w:jc w:val="center"/>
            </w:pPr>
            <w:r>
              <w:rPr>
                <w:rFonts w:ascii="Arial" w:hAnsi="Arial"/>
                <w:b/>
                <w:i w:val="0"/>
                <w:color w:val="FFFFFF"/>
                <w:sz w:val="19"/>
              </w:rPr>
              <w:t>Variance Between</w:t>
            </w:r>
          </w:p>
        </w:tc>
        <w:tc>
          <w:tcPr>
            <w:tcW w:type="dxa" w:w="1656"/>
            <w:shd w:fill="1F4E79"/>
          </w:tcPr>
          <w:p>
            <w:pPr>
              <w:jc w:val="center"/>
            </w:pPr>
            <w:r>
              <w:rPr>
                <w:rFonts w:ascii="Arial" w:hAnsi="Arial"/>
                <w:b/>
                <w:i w:val="0"/>
                <w:color w:val="FFFFFF"/>
                <w:sz w:val="19"/>
              </w:rPr>
              <w:t>Variance Within</w:t>
            </w:r>
          </w:p>
        </w:tc>
        <w:tc>
          <w:tcPr>
            <w:tcW w:type="dxa" w:w="1656"/>
            <w:shd w:fill="1F4E79"/>
          </w:tcPr>
          <w:p>
            <w:pPr>
              <w:jc w:val="center"/>
            </w:pPr>
            <w:r>
              <w:rPr>
                <w:rFonts w:ascii="Arial" w:hAnsi="Arial"/>
                <w:b/>
                <w:i w:val="0"/>
                <w:color w:val="FFFFFF"/>
                <w:sz w:val="19"/>
              </w:rPr>
              <w:t>% Variance Within</w:t>
            </w:r>
          </w:p>
        </w:tc>
      </w:tr>
      <w:tr>
        <w:tc>
          <w:tcPr>
            <w:tcW w:type="dxa" w:w="1656"/>
            <w:shd w:fill="F2F2F2"/>
          </w:tcPr>
          <w:p>
            <w:pPr>
              <w:jc w:val="left"/>
            </w:pPr>
            <w:r>
              <w:rPr>
                <w:rFonts w:ascii="Arial" w:hAnsi="Arial"/>
                <w:b w:val="0"/>
                <w:i w:val="0"/>
                <w:color w:val="333333"/>
                <w:sz w:val="18"/>
              </w:rPr>
              <w:t>lcpi</w:t>
            </w:r>
          </w:p>
        </w:tc>
        <w:tc>
          <w:tcPr>
            <w:tcW w:type="dxa" w:w="1656"/>
            <w:shd w:fill="F2F2F2"/>
          </w:tcPr>
          <w:p>
            <w:pPr>
              <w:jc w:val="left"/>
            </w:pPr>
            <w:r>
              <w:rPr>
                <w:rFonts w:ascii="Arial" w:hAnsi="Arial"/>
                <w:b w:val="0"/>
                <w:i w:val="0"/>
                <w:color w:val="333333"/>
                <w:sz w:val="18"/>
              </w:rPr>
              <w:t>Log IPC</w:t>
            </w:r>
          </w:p>
        </w:tc>
        <w:tc>
          <w:tcPr>
            <w:tcW w:type="dxa" w:w="1656"/>
            <w:shd w:fill="F2F2F2"/>
          </w:tcPr>
          <w:p>
            <w:pPr>
              <w:jc w:val="center"/>
            </w:pPr>
            <w:r>
              <w:rPr>
                <w:rFonts w:ascii="Arial" w:hAnsi="Arial"/>
                <w:b w:val="0"/>
                <w:i w:val="0"/>
                <w:color w:val="333333"/>
                <w:sz w:val="18"/>
              </w:rPr>
              <w:t>0.3656</w:t>
            </w:r>
          </w:p>
        </w:tc>
        <w:tc>
          <w:tcPr>
            <w:tcW w:type="dxa" w:w="1656"/>
            <w:shd w:fill="F2F2F2"/>
          </w:tcPr>
          <w:p>
            <w:pPr>
              <w:jc w:val="center"/>
            </w:pPr>
            <w:r>
              <w:rPr>
                <w:rFonts w:ascii="Arial" w:hAnsi="Arial"/>
                <w:b w:val="0"/>
                <w:i w:val="0"/>
                <w:color w:val="333333"/>
                <w:sz w:val="18"/>
              </w:rPr>
              <w:t>0.0069</w:t>
            </w:r>
          </w:p>
        </w:tc>
        <w:tc>
          <w:tcPr>
            <w:tcW w:type="dxa" w:w="1656"/>
            <w:shd w:fill="F2F2F2"/>
          </w:tcPr>
          <w:p>
            <w:pPr>
              <w:jc w:val="center"/>
            </w:pPr>
            <w:r>
              <w:rPr>
                <w:rFonts w:ascii="Arial" w:hAnsi="Arial"/>
                <w:b w:val="0"/>
                <w:i w:val="0"/>
                <w:color w:val="333333"/>
                <w:sz w:val="18"/>
              </w:rPr>
              <w:t>0.3591</w:t>
            </w:r>
          </w:p>
        </w:tc>
        <w:tc>
          <w:tcPr>
            <w:tcW w:type="dxa" w:w="1656"/>
            <w:shd w:fill="F2F2F2"/>
          </w:tcPr>
          <w:p>
            <w:pPr>
              <w:jc w:val="center"/>
            </w:pPr>
            <w:r>
              <w:rPr>
                <w:rFonts w:ascii="Arial" w:hAnsi="Arial"/>
                <w:b w:val="0"/>
                <w:i w:val="0"/>
                <w:color w:val="333333"/>
                <w:sz w:val="18"/>
              </w:rPr>
              <w:t>98.22 % (Temporelle)</w:t>
            </w:r>
          </w:p>
        </w:tc>
      </w:tr>
      <w:tr>
        <w:tc>
          <w:tcPr>
            <w:tcW w:type="dxa" w:w="1656"/>
            <w:shd w:fill="FFFFFF"/>
          </w:tcPr>
          <w:p>
            <w:pPr>
              <w:jc w:val="left"/>
            </w:pPr>
            <w:r>
              <w:rPr>
                <w:rFonts w:ascii="Arial" w:hAnsi="Arial"/>
                <w:b w:val="0"/>
                <w:i w:val="0"/>
                <w:color w:val="333333"/>
                <w:sz w:val="18"/>
              </w:rPr>
              <w:t>lenpr</w:t>
            </w:r>
          </w:p>
        </w:tc>
        <w:tc>
          <w:tcPr>
            <w:tcW w:type="dxa" w:w="1656"/>
            <w:shd w:fill="FFFFFF"/>
          </w:tcPr>
          <w:p>
            <w:pPr>
              <w:jc w:val="left"/>
            </w:pPr>
            <w:r>
              <w:rPr>
                <w:rFonts w:ascii="Arial" w:hAnsi="Arial"/>
                <w:b w:val="0"/>
                <w:i w:val="0"/>
                <w:color w:val="333333"/>
                <w:sz w:val="18"/>
              </w:rPr>
              <w:t>Log Prix Énergie</w:t>
            </w:r>
          </w:p>
        </w:tc>
        <w:tc>
          <w:tcPr>
            <w:tcW w:type="dxa" w:w="1656"/>
            <w:shd w:fill="FFFFFF"/>
          </w:tcPr>
          <w:p>
            <w:pPr>
              <w:jc w:val="center"/>
            </w:pPr>
            <w:r>
              <w:rPr>
                <w:rFonts w:ascii="Arial" w:hAnsi="Arial"/>
                <w:b w:val="0"/>
                <w:i w:val="0"/>
                <w:color w:val="333333"/>
                <w:sz w:val="18"/>
              </w:rPr>
              <w:t>0.0512</w:t>
            </w:r>
          </w:p>
        </w:tc>
        <w:tc>
          <w:tcPr>
            <w:tcW w:type="dxa" w:w="1656"/>
            <w:shd w:fill="FFFFFF"/>
          </w:tcPr>
          <w:p>
            <w:pPr>
              <w:jc w:val="center"/>
            </w:pPr>
            <w:r>
              <w:rPr>
                <w:rFonts w:ascii="Arial" w:hAnsi="Arial"/>
                <w:b w:val="0"/>
                <w:i w:val="0"/>
                <w:color w:val="333333"/>
                <w:sz w:val="18"/>
              </w:rPr>
              <w:t>0.0100</w:t>
            </w:r>
          </w:p>
        </w:tc>
        <w:tc>
          <w:tcPr>
            <w:tcW w:type="dxa" w:w="1656"/>
            <w:shd w:fill="FFFFFF"/>
          </w:tcPr>
          <w:p>
            <w:pPr>
              <w:jc w:val="center"/>
            </w:pPr>
            <w:r>
              <w:rPr>
                <w:rFonts w:ascii="Arial" w:hAnsi="Arial"/>
                <w:b w:val="0"/>
                <w:i w:val="0"/>
                <w:color w:val="333333"/>
                <w:sz w:val="18"/>
              </w:rPr>
              <w:t>0.0417</w:t>
            </w:r>
          </w:p>
        </w:tc>
        <w:tc>
          <w:tcPr>
            <w:tcW w:type="dxa" w:w="1656"/>
            <w:shd w:fill="FFFFFF"/>
          </w:tcPr>
          <w:p>
            <w:pPr>
              <w:jc w:val="center"/>
            </w:pPr>
            <w:r>
              <w:rPr>
                <w:rFonts w:ascii="Arial" w:hAnsi="Arial"/>
                <w:b w:val="0"/>
                <w:i w:val="0"/>
                <w:color w:val="333333"/>
                <w:sz w:val="18"/>
              </w:rPr>
              <w:t>81.52 % (Temporelle)</w:t>
            </w:r>
          </w:p>
        </w:tc>
      </w:tr>
      <w:tr>
        <w:tc>
          <w:tcPr>
            <w:tcW w:type="dxa" w:w="1656"/>
            <w:shd w:fill="F2F2F2"/>
          </w:tcPr>
          <w:p>
            <w:pPr>
              <w:jc w:val="left"/>
            </w:pPr>
            <w:r>
              <w:rPr>
                <w:rFonts w:ascii="Arial" w:hAnsi="Arial"/>
                <w:b w:val="0"/>
                <w:i w:val="0"/>
                <w:color w:val="333333"/>
                <w:sz w:val="18"/>
              </w:rPr>
              <w:t>lrgdpmad</w:t>
            </w:r>
          </w:p>
        </w:tc>
        <w:tc>
          <w:tcPr>
            <w:tcW w:type="dxa" w:w="1656"/>
            <w:shd w:fill="F2F2F2"/>
          </w:tcPr>
          <w:p>
            <w:pPr>
              <w:jc w:val="left"/>
            </w:pPr>
            <w:r>
              <w:rPr>
                <w:rFonts w:ascii="Arial" w:hAnsi="Arial"/>
                <w:b w:val="0"/>
                <w:i w:val="0"/>
                <w:color w:val="333333"/>
                <w:sz w:val="18"/>
              </w:rPr>
              <w:t>Log PIB réel</w:t>
            </w:r>
          </w:p>
        </w:tc>
        <w:tc>
          <w:tcPr>
            <w:tcW w:type="dxa" w:w="1656"/>
            <w:shd w:fill="F2F2F2"/>
          </w:tcPr>
          <w:p>
            <w:pPr>
              <w:jc w:val="center"/>
            </w:pPr>
            <w:r>
              <w:rPr>
                <w:rFonts w:ascii="Arial" w:hAnsi="Arial"/>
                <w:b w:val="0"/>
                <w:i w:val="0"/>
                <w:color w:val="333333"/>
                <w:sz w:val="18"/>
              </w:rPr>
              <w:t>0.0977</w:t>
            </w:r>
          </w:p>
        </w:tc>
        <w:tc>
          <w:tcPr>
            <w:tcW w:type="dxa" w:w="1656"/>
            <w:shd w:fill="F2F2F2"/>
          </w:tcPr>
          <w:p>
            <w:pPr>
              <w:jc w:val="center"/>
            </w:pPr>
            <w:r>
              <w:rPr>
                <w:rFonts w:ascii="Arial" w:hAnsi="Arial"/>
                <w:b w:val="0"/>
                <w:i w:val="0"/>
                <w:color w:val="333333"/>
                <w:sz w:val="18"/>
              </w:rPr>
              <w:t>0.0315</w:t>
            </w:r>
          </w:p>
        </w:tc>
        <w:tc>
          <w:tcPr>
            <w:tcW w:type="dxa" w:w="1656"/>
            <w:shd w:fill="F2F2F2"/>
          </w:tcPr>
          <w:p>
            <w:pPr>
              <w:jc w:val="center"/>
            </w:pPr>
            <w:r>
              <w:rPr>
                <w:rFonts w:ascii="Arial" w:hAnsi="Arial"/>
                <w:b w:val="0"/>
                <w:i w:val="0"/>
                <w:color w:val="333333"/>
                <w:sz w:val="18"/>
              </w:rPr>
              <w:t>0.0679</w:t>
            </w:r>
          </w:p>
        </w:tc>
        <w:tc>
          <w:tcPr>
            <w:tcW w:type="dxa" w:w="1656"/>
            <w:shd w:fill="F2F2F2"/>
          </w:tcPr>
          <w:p>
            <w:pPr>
              <w:jc w:val="center"/>
            </w:pPr>
            <w:r>
              <w:rPr>
                <w:rFonts w:ascii="Arial" w:hAnsi="Arial"/>
                <w:b w:val="0"/>
                <w:i w:val="0"/>
                <w:color w:val="333333"/>
                <w:sz w:val="18"/>
              </w:rPr>
              <w:t>69.50 % (Temporelle)</w:t>
            </w:r>
          </w:p>
        </w:tc>
      </w:tr>
      <w:tr>
        <w:tc>
          <w:tcPr>
            <w:tcW w:type="dxa" w:w="1656"/>
            <w:shd w:fill="FFFFFF"/>
          </w:tcPr>
          <w:p>
            <w:pPr>
              <w:jc w:val="left"/>
            </w:pPr>
            <w:r>
              <w:rPr>
                <w:rFonts w:ascii="Arial" w:hAnsi="Arial"/>
                <w:b w:val="0"/>
                <w:i w:val="0"/>
                <w:color w:val="333333"/>
                <w:sz w:val="18"/>
              </w:rPr>
              <w:t>iy</w:t>
            </w:r>
          </w:p>
        </w:tc>
        <w:tc>
          <w:tcPr>
            <w:tcW w:type="dxa" w:w="1656"/>
            <w:shd w:fill="FFFFFF"/>
          </w:tcPr>
          <w:p>
            <w:pPr>
              <w:jc w:val="left"/>
            </w:pPr>
            <w:r>
              <w:rPr>
                <w:rFonts w:ascii="Arial" w:hAnsi="Arial"/>
                <w:b w:val="0"/>
                <w:i w:val="0"/>
                <w:color w:val="333333"/>
                <w:sz w:val="18"/>
              </w:rPr>
              <w:t>Investissement (% PIB)</w:t>
            </w:r>
          </w:p>
        </w:tc>
        <w:tc>
          <w:tcPr>
            <w:tcW w:type="dxa" w:w="1656"/>
            <w:shd w:fill="FFFFFF"/>
          </w:tcPr>
          <w:p>
            <w:pPr>
              <w:jc w:val="center"/>
            </w:pPr>
            <w:r>
              <w:rPr>
                <w:rFonts w:ascii="Arial" w:hAnsi="Arial"/>
                <w:b w:val="0"/>
                <w:i w:val="0"/>
                <w:color w:val="333333"/>
                <w:sz w:val="18"/>
              </w:rPr>
              <w:t>0.0015</w:t>
            </w:r>
          </w:p>
        </w:tc>
        <w:tc>
          <w:tcPr>
            <w:tcW w:type="dxa" w:w="1656"/>
            <w:shd w:fill="FFFFFF"/>
          </w:tcPr>
          <w:p>
            <w:pPr>
              <w:jc w:val="center"/>
            </w:pPr>
            <w:r>
              <w:rPr>
                <w:rFonts w:ascii="Arial" w:hAnsi="Arial"/>
                <w:b w:val="0"/>
                <w:i w:val="0"/>
                <w:color w:val="333333"/>
                <w:sz w:val="18"/>
              </w:rPr>
              <w:t>0.0005</w:t>
            </w:r>
          </w:p>
        </w:tc>
        <w:tc>
          <w:tcPr>
            <w:tcW w:type="dxa" w:w="1656"/>
            <w:shd w:fill="FFFFFF"/>
          </w:tcPr>
          <w:p>
            <w:pPr>
              <w:jc w:val="center"/>
            </w:pPr>
            <w:r>
              <w:rPr>
                <w:rFonts w:ascii="Arial" w:hAnsi="Arial"/>
                <w:b w:val="0"/>
                <w:i w:val="0"/>
                <w:color w:val="333333"/>
                <w:sz w:val="18"/>
              </w:rPr>
              <w:t>0.00096</w:t>
            </w:r>
          </w:p>
        </w:tc>
        <w:tc>
          <w:tcPr>
            <w:tcW w:type="dxa" w:w="1656"/>
            <w:shd w:fill="FFFFFF"/>
          </w:tcPr>
          <w:p>
            <w:pPr>
              <w:jc w:val="center"/>
            </w:pPr>
            <w:r>
              <w:rPr>
                <w:rFonts w:ascii="Arial" w:hAnsi="Arial"/>
                <w:b w:val="0"/>
                <w:i w:val="0"/>
                <w:color w:val="333333"/>
                <w:sz w:val="18"/>
              </w:rPr>
              <w:t>66.34 % (Intermédiaire)</w:t>
            </w:r>
          </w:p>
        </w:tc>
      </w:tr>
      <w:tr>
        <w:tc>
          <w:tcPr>
            <w:tcW w:type="dxa" w:w="1656"/>
            <w:shd w:fill="F2F2F2"/>
          </w:tcPr>
          <w:p>
            <w:pPr>
              <w:jc w:val="left"/>
            </w:pPr>
            <w:r>
              <w:rPr>
                <w:rFonts w:ascii="Arial" w:hAnsi="Arial"/>
                <w:b w:val="0"/>
                <w:i w:val="0"/>
                <w:color w:val="333333"/>
                <w:sz w:val="18"/>
              </w:rPr>
              <w:t>open</w:t>
            </w:r>
          </w:p>
        </w:tc>
        <w:tc>
          <w:tcPr>
            <w:tcW w:type="dxa" w:w="1656"/>
            <w:shd w:fill="F2F2F2"/>
          </w:tcPr>
          <w:p>
            <w:pPr>
              <w:jc w:val="left"/>
            </w:pPr>
            <w:r>
              <w:rPr>
                <w:rFonts w:ascii="Arial" w:hAnsi="Arial"/>
                <w:b w:val="0"/>
                <w:i w:val="0"/>
                <w:color w:val="333333"/>
                <w:sz w:val="18"/>
              </w:rPr>
              <w:t>Ouverture Trade (% PIB)</w:t>
            </w:r>
          </w:p>
        </w:tc>
        <w:tc>
          <w:tcPr>
            <w:tcW w:type="dxa" w:w="1656"/>
            <w:shd w:fill="F2F2F2"/>
          </w:tcPr>
          <w:p>
            <w:pPr>
              <w:jc w:val="center"/>
            </w:pPr>
            <w:r>
              <w:rPr>
                <w:rFonts w:ascii="Arial" w:hAnsi="Arial"/>
                <w:b w:val="0"/>
                <w:i w:val="0"/>
                <w:color w:val="333333"/>
                <w:sz w:val="18"/>
              </w:rPr>
              <w:t>0.0934</w:t>
            </w:r>
          </w:p>
        </w:tc>
        <w:tc>
          <w:tcPr>
            <w:tcW w:type="dxa" w:w="1656"/>
            <w:shd w:fill="F2F2F2"/>
          </w:tcPr>
          <w:p>
            <w:pPr>
              <w:jc w:val="center"/>
            </w:pPr>
            <w:r>
              <w:rPr>
                <w:rFonts w:ascii="Arial" w:hAnsi="Arial"/>
                <w:b w:val="0"/>
                <w:i w:val="0"/>
                <w:color w:val="333333"/>
                <w:sz w:val="18"/>
              </w:rPr>
              <w:t>0.0760</w:t>
            </w:r>
          </w:p>
        </w:tc>
        <w:tc>
          <w:tcPr>
            <w:tcW w:type="dxa" w:w="1656"/>
            <w:shd w:fill="F2F2F2"/>
          </w:tcPr>
          <w:p>
            <w:pPr>
              <w:jc w:val="center"/>
            </w:pPr>
            <w:r>
              <w:rPr>
                <w:rFonts w:ascii="Arial" w:hAnsi="Arial"/>
                <w:b w:val="0"/>
                <w:i w:val="0"/>
                <w:color w:val="333333"/>
                <w:sz w:val="18"/>
              </w:rPr>
              <w:t>0.0215</w:t>
            </w:r>
          </w:p>
        </w:tc>
        <w:tc>
          <w:tcPr>
            <w:tcW w:type="dxa" w:w="1656"/>
            <w:shd w:fill="F2F2F2"/>
          </w:tcPr>
          <w:p>
            <w:pPr>
              <w:jc w:val="center"/>
            </w:pPr>
            <w:r>
              <w:rPr>
                <w:rFonts w:ascii="Arial" w:hAnsi="Arial"/>
                <w:b w:val="0"/>
                <w:i w:val="0"/>
                <w:color w:val="333333"/>
                <w:sz w:val="18"/>
              </w:rPr>
              <w:t>23.05 % (Sluggish)</w:t>
            </w:r>
          </w:p>
        </w:tc>
      </w:tr>
      <w:tr>
        <w:tc>
          <w:tcPr>
            <w:tcW w:type="dxa" w:w="1656"/>
            <w:shd w:fill="FFFFFF"/>
          </w:tcPr>
          <w:p>
            <w:pPr>
              <w:jc w:val="left"/>
            </w:pPr>
            <w:r>
              <w:rPr>
                <w:rFonts w:ascii="Arial" w:hAnsi="Arial"/>
                <w:b w:val="0"/>
                <w:i w:val="0"/>
                <w:color w:val="333333"/>
                <w:sz w:val="18"/>
              </w:rPr>
              <w:t>expgdp</w:t>
            </w:r>
          </w:p>
        </w:tc>
        <w:tc>
          <w:tcPr>
            <w:tcW w:type="dxa" w:w="1656"/>
            <w:shd w:fill="FFFFFF"/>
          </w:tcPr>
          <w:p>
            <w:pPr>
              <w:jc w:val="left"/>
            </w:pPr>
            <w:r>
              <w:rPr>
                <w:rFonts w:ascii="Arial" w:hAnsi="Arial"/>
                <w:b w:val="0"/>
                <w:i w:val="0"/>
                <w:color w:val="333333"/>
                <w:sz w:val="18"/>
              </w:rPr>
              <w:t>Dépenses Pubiques (% PIB)</w:t>
            </w:r>
          </w:p>
        </w:tc>
        <w:tc>
          <w:tcPr>
            <w:tcW w:type="dxa" w:w="1656"/>
            <w:shd w:fill="FFFFFF"/>
          </w:tcPr>
          <w:p>
            <w:pPr>
              <w:jc w:val="center"/>
            </w:pPr>
            <w:r>
              <w:rPr>
                <w:rFonts w:ascii="Arial" w:hAnsi="Arial"/>
                <w:b w:val="0"/>
                <w:i w:val="0"/>
                <w:color w:val="333333"/>
                <w:sz w:val="18"/>
              </w:rPr>
              <w:t>0.0082</w:t>
            </w:r>
          </w:p>
        </w:tc>
        <w:tc>
          <w:tcPr>
            <w:tcW w:type="dxa" w:w="1656"/>
            <w:shd w:fill="FFFFFF"/>
          </w:tcPr>
          <w:p>
            <w:pPr>
              <w:jc w:val="center"/>
            </w:pPr>
            <w:r>
              <w:rPr>
                <w:rFonts w:ascii="Arial" w:hAnsi="Arial"/>
                <w:b w:val="0"/>
                <w:i w:val="0"/>
                <w:color w:val="333333"/>
                <w:sz w:val="18"/>
              </w:rPr>
              <w:t>0.0071</w:t>
            </w:r>
          </w:p>
        </w:tc>
        <w:tc>
          <w:tcPr>
            <w:tcW w:type="dxa" w:w="1656"/>
            <w:shd w:fill="FFFFFF"/>
          </w:tcPr>
          <w:p>
            <w:pPr>
              <w:jc w:val="center"/>
            </w:pPr>
            <w:r>
              <w:rPr>
                <w:rFonts w:ascii="Arial" w:hAnsi="Arial"/>
                <w:b w:val="0"/>
                <w:i w:val="0"/>
                <w:color w:val="333333"/>
                <w:sz w:val="18"/>
              </w:rPr>
              <w:t>0.0014</w:t>
            </w:r>
          </w:p>
        </w:tc>
        <w:tc>
          <w:tcPr>
            <w:tcW w:type="dxa" w:w="1656"/>
            <w:shd w:fill="FFFFFF"/>
          </w:tcPr>
          <w:p>
            <w:pPr>
              <w:jc w:val="center"/>
            </w:pPr>
            <w:r>
              <w:rPr>
                <w:rFonts w:ascii="Arial" w:hAnsi="Arial"/>
                <w:b w:val="0"/>
                <w:i w:val="0"/>
                <w:color w:val="333333"/>
                <w:sz w:val="18"/>
              </w:rPr>
              <w:t>17.46 % (Sluggish)</w:t>
            </w:r>
          </w:p>
        </w:tc>
      </w:tr>
      <w:tr>
        <w:tc>
          <w:tcPr>
            <w:tcW w:type="dxa" w:w="1656"/>
            <w:shd w:fill="F2F2F2"/>
          </w:tcPr>
          <w:p>
            <w:pPr>
              <w:jc w:val="left"/>
            </w:pPr>
            <w:r>
              <w:rPr>
                <w:rFonts w:ascii="Arial" w:hAnsi="Arial"/>
                <w:b w:val="0"/>
                <w:i w:val="0"/>
                <w:color w:val="333333"/>
                <w:sz w:val="18"/>
              </w:rPr>
              <w:t>dlenpr</w:t>
            </w:r>
          </w:p>
        </w:tc>
        <w:tc>
          <w:tcPr>
            <w:tcW w:type="dxa" w:w="1656"/>
            <w:shd w:fill="F2F2F2"/>
          </w:tcPr>
          <w:p>
            <w:pPr>
              <w:jc w:val="left"/>
            </w:pPr>
            <w:r>
              <w:rPr>
                <w:rFonts w:ascii="Arial" w:hAnsi="Arial"/>
                <w:b w:val="0"/>
                <w:i w:val="0"/>
                <w:color w:val="333333"/>
                <w:sz w:val="18"/>
              </w:rPr>
              <w:t>Croissance Prix Énergie</w:t>
            </w:r>
          </w:p>
        </w:tc>
        <w:tc>
          <w:tcPr>
            <w:tcW w:type="dxa" w:w="1656"/>
            <w:shd w:fill="F2F2F2"/>
          </w:tcPr>
          <w:p>
            <w:pPr>
              <w:jc w:val="center"/>
            </w:pPr>
            <w:r>
              <w:rPr>
                <w:rFonts w:ascii="Arial" w:hAnsi="Arial"/>
                <w:b w:val="0"/>
                <w:i w:val="0"/>
                <w:color w:val="333333"/>
                <w:sz w:val="18"/>
              </w:rPr>
              <w:t>0.0054</w:t>
            </w:r>
          </w:p>
        </w:tc>
        <w:tc>
          <w:tcPr>
            <w:tcW w:type="dxa" w:w="1656"/>
            <w:shd w:fill="F2F2F2"/>
          </w:tcPr>
          <w:p>
            <w:pPr>
              <w:jc w:val="center"/>
            </w:pPr>
            <w:r>
              <w:rPr>
                <w:rFonts w:ascii="Arial" w:hAnsi="Arial"/>
                <w:b w:val="0"/>
                <w:i w:val="0"/>
                <w:color w:val="333333"/>
                <w:sz w:val="18"/>
              </w:rPr>
              <w:t>0.00002</w:t>
            </w:r>
          </w:p>
        </w:tc>
        <w:tc>
          <w:tcPr>
            <w:tcW w:type="dxa" w:w="1656"/>
            <w:shd w:fill="F2F2F2"/>
          </w:tcPr>
          <w:p>
            <w:pPr>
              <w:jc w:val="center"/>
            </w:pPr>
            <w:r>
              <w:rPr>
                <w:rFonts w:ascii="Arial" w:hAnsi="Arial"/>
                <w:b w:val="0"/>
                <w:i w:val="0"/>
                <w:color w:val="333333"/>
                <w:sz w:val="18"/>
              </w:rPr>
              <w:t>0.0054</w:t>
            </w:r>
          </w:p>
        </w:tc>
        <w:tc>
          <w:tcPr>
            <w:tcW w:type="dxa" w:w="1656"/>
            <w:shd w:fill="F2F2F2"/>
          </w:tcPr>
          <w:p>
            <w:pPr>
              <w:jc w:val="center"/>
            </w:pPr>
            <w:r>
              <w:rPr>
                <w:rFonts w:ascii="Arial" w:hAnsi="Arial"/>
                <w:b w:val="0"/>
                <w:i w:val="0"/>
                <w:color w:val="333333"/>
                <w:sz w:val="18"/>
              </w:rPr>
              <w:t>99.62 % (Pure Within)</w:t>
            </w:r>
          </w:p>
        </w:tc>
      </w:tr>
      <w:tr>
        <w:tc>
          <w:tcPr>
            <w:tcW w:type="dxa" w:w="1656"/>
            <w:shd w:fill="FFFFFF"/>
          </w:tcPr>
          <w:p>
            <w:pPr>
              <w:jc w:val="left"/>
            </w:pPr>
            <w:r>
              <w:rPr>
                <w:rFonts w:ascii="Arial" w:hAnsi="Arial"/>
                <w:b w:val="0"/>
                <w:i w:val="0"/>
                <w:color w:val="333333"/>
                <w:sz w:val="18"/>
              </w:rPr>
              <w:t>dopen</w:t>
            </w:r>
          </w:p>
        </w:tc>
        <w:tc>
          <w:tcPr>
            <w:tcW w:type="dxa" w:w="1656"/>
            <w:shd w:fill="FFFFFF"/>
          </w:tcPr>
          <w:p>
            <w:pPr>
              <w:jc w:val="left"/>
            </w:pPr>
            <w:r>
              <w:rPr>
                <w:rFonts w:ascii="Arial" w:hAnsi="Arial"/>
                <w:b w:val="0"/>
                <w:i w:val="0"/>
                <w:color w:val="333333"/>
                <w:sz w:val="18"/>
              </w:rPr>
              <w:t>Var. Ouverture Trade</w:t>
            </w:r>
          </w:p>
        </w:tc>
        <w:tc>
          <w:tcPr>
            <w:tcW w:type="dxa" w:w="1656"/>
            <w:shd w:fill="FFFFFF"/>
          </w:tcPr>
          <w:p>
            <w:pPr>
              <w:jc w:val="center"/>
            </w:pPr>
            <w:r>
              <w:rPr>
                <w:rFonts w:ascii="Arial" w:hAnsi="Arial"/>
                <w:b w:val="0"/>
                <w:i w:val="0"/>
                <w:color w:val="333333"/>
                <w:sz w:val="18"/>
              </w:rPr>
              <w:t>0.0077</w:t>
            </w:r>
          </w:p>
        </w:tc>
        <w:tc>
          <w:tcPr>
            <w:tcW w:type="dxa" w:w="1656"/>
            <w:shd w:fill="FFFFFF"/>
          </w:tcPr>
          <w:p>
            <w:pPr>
              <w:jc w:val="center"/>
            </w:pPr>
            <w:r>
              <w:rPr>
                <w:rFonts w:ascii="Arial" w:hAnsi="Arial"/>
                <w:b w:val="0"/>
                <w:i w:val="0"/>
                <w:color w:val="333333"/>
                <w:sz w:val="18"/>
              </w:rPr>
              <w:t>0.00002</w:t>
            </w:r>
          </w:p>
        </w:tc>
        <w:tc>
          <w:tcPr>
            <w:tcW w:type="dxa" w:w="1656"/>
            <w:shd w:fill="FFFFFF"/>
          </w:tcPr>
          <w:p>
            <w:pPr>
              <w:jc w:val="center"/>
            </w:pPr>
            <w:r>
              <w:rPr>
                <w:rFonts w:ascii="Arial" w:hAnsi="Arial"/>
                <w:b w:val="0"/>
                <w:i w:val="0"/>
                <w:color w:val="333333"/>
                <w:sz w:val="18"/>
              </w:rPr>
              <w:t>0.0077</w:t>
            </w:r>
          </w:p>
        </w:tc>
        <w:tc>
          <w:tcPr>
            <w:tcW w:type="dxa" w:w="1656"/>
            <w:shd w:fill="FFFFFF"/>
          </w:tcPr>
          <w:p>
            <w:pPr>
              <w:jc w:val="center"/>
            </w:pPr>
            <w:r>
              <w:rPr>
                <w:rFonts w:ascii="Arial" w:hAnsi="Arial"/>
                <w:b w:val="0"/>
                <w:i w:val="0"/>
                <w:color w:val="333333"/>
                <w:sz w:val="18"/>
              </w:rPr>
              <w:t>99.74 % (Pure Within)</w:t>
            </w:r>
          </w:p>
        </w:tc>
      </w:tr>
      <w:tr>
        <w:tc>
          <w:tcPr>
            <w:tcW w:type="dxa" w:w="1656"/>
            <w:shd w:fill="F2F2F2"/>
          </w:tcPr>
          <w:p>
            <w:pPr>
              <w:jc w:val="left"/>
            </w:pPr>
            <w:r>
              <w:rPr>
                <w:rFonts w:ascii="Arial" w:hAnsi="Arial"/>
                <w:b w:val="0"/>
                <w:i w:val="0"/>
                <w:color w:val="333333"/>
                <w:sz w:val="18"/>
              </w:rPr>
              <w:t>dlrgdpmad</w:t>
            </w:r>
          </w:p>
        </w:tc>
        <w:tc>
          <w:tcPr>
            <w:tcW w:type="dxa" w:w="1656"/>
            <w:shd w:fill="F2F2F2"/>
          </w:tcPr>
          <w:p>
            <w:pPr>
              <w:jc w:val="left"/>
            </w:pPr>
            <w:r>
              <w:rPr>
                <w:rFonts w:ascii="Arial" w:hAnsi="Arial"/>
                <w:b w:val="0"/>
                <w:i w:val="0"/>
                <w:color w:val="333333"/>
                <w:sz w:val="18"/>
              </w:rPr>
              <w:t>Croissance PIB réel</w:t>
            </w:r>
          </w:p>
        </w:tc>
        <w:tc>
          <w:tcPr>
            <w:tcW w:type="dxa" w:w="1656"/>
            <w:shd w:fill="F2F2F2"/>
          </w:tcPr>
          <w:p>
            <w:pPr>
              <w:jc w:val="center"/>
            </w:pPr>
            <w:r>
              <w:rPr>
                <w:rFonts w:ascii="Arial" w:hAnsi="Arial"/>
                <w:b w:val="0"/>
                <w:i w:val="0"/>
                <w:color w:val="333333"/>
                <w:sz w:val="18"/>
              </w:rPr>
              <w:t>0.00057</w:t>
            </w:r>
          </w:p>
        </w:tc>
        <w:tc>
          <w:tcPr>
            <w:tcW w:type="dxa" w:w="1656"/>
            <w:shd w:fill="F2F2F2"/>
          </w:tcPr>
          <w:p>
            <w:pPr>
              <w:jc w:val="center"/>
            </w:pPr>
            <w:r>
              <w:rPr>
                <w:rFonts w:ascii="Arial" w:hAnsi="Arial"/>
                <w:b w:val="0"/>
                <w:i w:val="0"/>
                <w:color w:val="333333"/>
                <w:sz w:val="18"/>
              </w:rPr>
              <w:t>0.000023</w:t>
            </w:r>
          </w:p>
        </w:tc>
        <w:tc>
          <w:tcPr>
            <w:tcW w:type="dxa" w:w="1656"/>
            <w:shd w:fill="F2F2F2"/>
          </w:tcPr>
          <w:p>
            <w:pPr>
              <w:jc w:val="center"/>
            </w:pPr>
            <w:r>
              <w:rPr>
                <w:rFonts w:ascii="Arial" w:hAnsi="Arial"/>
                <w:b w:val="0"/>
                <w:i w:val="0"/>
                <w:color w:val="333333"/>
                <w:sz w:val="18"/>
              </w:rPr>
              <w:t>0.00055</w:t>
            </w:r>
          </w:p>
        </w:tc>
        <w:tc>
          <w:tcPr>
            <w:tcW w:type="dxa" w:w="1656"/>
            <w:shd w:fill="F2F2F2"/>
          </w:tcPr>
          <w:p>
            <w:pPr>
              <w:jc w:val="center"/>
            </w:pPr>
            <w:r>
              <w:rPr>
                <w:rFonts w:ascii="Arial" w:hAnsi="Arial"/>
                <w:b w:val="0"/>
                <w:i w:val="0"/>
                <w:color w:val="333333"/>
                <w:sz w:val="18"/>
              </w:rPr>
              <w:t>96.11 % (Pure Within)</w:t>
            </w:r>
          </w:p>
        </w:tc>
      </w:tr>
      <w:tr>
        <w:tc>
          <w:tcPr>
            <w:tcW w:type="dxa" w:w="1656"/>
            <w:shd w:fill="FFFFFF"/>
          </w:tcPr>
          <w:p>
            <w:pPr>
              <w:jc w:val="left"/>
            </w:pPr>
            <w:r>
              <w:rPr>
                <w:rFonts w:ascii="Arial" w:hAnsi="Arial"/>
                <w:b w:val="0"/>
                <w:i w:val="0"/>
                <w:color w:val="333333"/>
                <w:sz w:val="18"/>
              </w:rPr>
              <w:t>diy</w:t>
            </w:r>
          </w:p>
        </w:tc>
        <w:tc>
          <w:tcPr>
            <w:tcW w:type="dxa" w:w="1656"/>
            <w:shd w:fill="FFFFFF"/>
          </w:tcPr>
          <w:p>
            <w:pPr>
              <w:jc w:val="left"/>
            </w:pPr>
            <w:r>
              <w:rPr>
                <w:rFonts w:ascii="Arial" w:hAnsi="Arial"/>
                <w:b w:val="0"/>
                <w:i w:val="0"/>
                <w:color w:val="333333"/>
                <w:sz w:val="18"/>
              </w:rPr>
              <w:t>Var. Taux Investissement</w:t>
            </w:r>
          </w:p>
        </w:tc>
        <w:tc>
          <w:tcPr>
            <w:tcW w:type="dxa" w:w="1656"/>
            <w:shd w:fill="FFFFFF"/>
          </w:tcPr>
          <w:p>
            <w:pPr>
              <w:jc w:val="center"/>
            </w:pPr>
            <w:r>
              <w:rPr>
                <w:rFonts w:ascii="Arial" w:hAnsi="Arial"/>
                <w:b w:val="0"/>
                <w:i w:val="0"/>
                <w:color w:val="333333"/>
                <w:sz w:val="18"/>
              </w:rPr>
              <w:t>0.00020</w:t>
            </w:r>
          </w:p>
        </w:tc>
        <w:tc>
          <w:tcPr>
            <w:tcW w:type="dxa" w:w="1656"/>
            <w:shd w:fill="FFFFFF"/>
          </w:tcPr>
          <w:p>
            <w:pPr>
              <w:jc w:val="center"/>
            </w:pPr>
            <w:r>
              <w:rPr>
                <w:rFonts w:ascii="Arial" w:hAnsi="Arial"/>
                <w:b w:val="0"/>
                <w:i w:val="0"/>
                <w:color w:val="333333"/>
                <w:sz w:val="18"/>
              </w:rPr>
              <w:t>0.000002</w:t>
            </w:r>
          </w:p>
        </w:tc>
        <w:tc>
          <w:tcPr>
            <w:tcW w:type="dxa" w:w="1656"/>
            <w:shd w:fill="FFFFFF"/>
          </w:tcPr>
          <w:p>
            <w:pPr>
              <w:jc w:val="center"/>
            </w:pPr>
            <w:r>
              <w:rPr>
                <w:rFonts w:ascii="Arial" w:hAnsi="Arial"/>
                <w:b w:val="0"/>
                <w:i w:val="0"/>
                <w:color w:val="333333"/>
                <w:sz w:val="18"/>
              </w:rPr>
              <w:t>0.000199</w:t>
            </w:r>
          </w:p>
        </w:tc>
        <w:tc>
          <w:tcPr>
            <w:tcW w:type="dxa" w:w="1656"/>
            <w:shd w:fill="FFFFFF"/>
          </w:tcPr>
          <w:p>
            <w:pPr>
              <w:jc w:val="center"/>
            </w:pPr>
            <w:r>
              <w:rPr>
                <w:rFonts w:ascii="Arial" w:hAnsi="Arial"/>
                <w:b w:val="0"/>
                <w:i w:val="0"/>
                <w:color w:val="333333"/>
                <w:sz w:val="18"/>
              </w:rPr>
              <w:t>98.95 % (Pure Within)</w:t>
            </w:r>
          </w:p>
        </w:tc>
      </w:tr>
    </w:tbl>
    <w:p>
      <w:pPr>
        <w:spacing w:after="200"/>
      </w:pPr>
    </w:p>
    <w:p>
      <w:pPr>
        <w:spacing w:before="240" w:after="120"/>
      </w:pPr>
      <w:r>
        <w:rPr>
          <w:b/>
          <w:color w:val="1F4E79"/>
          <w:sz w:val="28"/>
        </w:rPr>
        <w:t>5. Paradoxe de Simpson et Corrélations</w:t>
      </w:r>
    </w:p>
    <w:p>
      <w:r>
        <w:t>L'analyse de la relation brute entre la croissance ou les niveaux du PIB ($Y$) et le prix de l'énergie ($X$) souligne un phénomène statistique majeur (apparenté au paradoxe de Simpson) :</w:t>
      </w:r>
    </w:p>
    <w:p>
      <w:pPr>
        <w:ind w:left="576"/>
      </w:pPr>
      <w:r>
        <w:rPr>
          <w:b/>
        </w:rPr>
        <w:t xml:space="preserve">• Corrélation globale en niveaux (lrgdpmad &amp; lenpr) : </w:t>
      </w:r>
      <w:r>
        <w:rPr>
          <w:b/>
        </w:rPr>
        <w:t xml:space="preserve">+0.3999. </w:t>
      </w:r>
      <w:r>
        <w:t>Cette valeur est positive car le PIB et les prix de l'énergie partagent une tendance à la hausse sur plusieurs décennies.</w:t>
        <w:br/>
      </w:r>
      <w:r>
        <w:rPr>
          <w:b/>
        </w:rPr>
        <w:t xml:space="preserve">• Corrélation Within en niveaux (lcpi &amp; lenpr) : </w:t>
      </w:r>
      <w:r>
        <w:rPr>
          <w:b/>
        </w:rPr>
        <w:t xml:space="preserve">+0.5945. </w:t>
      </w:r>
      <w:r>
        <w:t>Retirer les effets fixes nationaux sans retirer la tendance temporelle accentue cette corrélation positive.</w:t>
        <w:br/>
      </w:r>
      <w:r>
        <w:rPr>
          <w:b/>
        </w:rPr>
        <w:t xml:space="preserve">• Corrélation Between (Moyennes des pays) : </w:t>
      </w:r>
      <w:r>
        <w:rPr>
          <w:b/>
        </w:rPr>
        <w:t xml:space="preserve">-0.2006. </w:t>
      </w:r>
      <w:r>
        <w:t>Les pays ayant des prix d'énergie structurellement plus élevés ont un niveau de PIB plus faible.</w:t>
        <w:br/>
      </w:r>
      <w:r>
        <w:rPr>
          <w:b/>
        </w:rPr>
        <w:t xml:space="preserve">• Corrélation en Différences Premières (dlrgdpmad &amp; dlenpr) : </w:t>
      </w:r>
      <w:r>
        <w:rPr>
          <w:b/>
        </w:rPr>
        <w:t xml:space="preserve">-0.0807. </w:t>
      </w:r>
      <w:r>
        <w:t>Une fois la stationnarisation opérée par différenciation (éliminant la tendance déterministe), la relation conjoncturelle négative apparaît enfin.</w:t>
        <w:br/>
      </w:r>
    </w:p>
    <w:p>
      <w:pPr>
        <w:spacing w:before="240" w:after="120"/>
      </w:pPr>
      <w:r>
        <w:rPr>
          <w:b/>
          <w:color w:val="1F4E79"/>
          <w:sz w:val="28"/>
        </w:rPr>
        <w:t>6. Hétérogénéité des Corrélations Individuelles (Differences Premières)</w:t>
      </w:r>
    </w:p>
    <w:p>
      <w:r>
        <w:t>Les pays affichent des réponses très hétérogènes face aux variations du prix de l'énergie. Les corrélations individuelles en différences premières permettent d'établir les groupes suivants :</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shd w:fill="1F4E79"/>
          </w:tcPr>
          <w:p>
            <w:pPr>
              <w:jc w:val="center"/>
            </w:pPr>
            <w:r>
              <w:rPr>
                <w:rFonts w:ascii="Arial" w:hAnsi="Arial"/>
                <w:b/>
                <w:i w:val="0"/>
                <w:color w:val="FFFFFF"/>
                <w:sz w:val="19"/>
              </w:rPr>
              <w:t>Catégorie</w:t>
            </w:r>
          </w:p>
        </w:tc>
        <w:tc>
          <w:tcPr>
            <w:tcW w:type="dxa" w:w="1987"/>
            <w:shd w:fill="1F4E79"/>
          </w:tcPr>
          <w:p>
            <w:pPr>
              <w:jc w:val="center"/>
            </w:pPr>
            <w:r>
              <w:rPr>
                <w:rFonts w:ascii="Arial" w:hAnsi="Arial"/>
                <w:b/>
                <w:i w:val="0"/>
                <w:color w:val="FFFFFF"/>
                <w:sz w:val="19"/>
              </w:rPr>
              <w:t>Corrélation r</w:t>
            </w:r>
          </w:p>
        </w:tc>
        <w:tc>
          <w:tcPr>
            <w:tcW w:type="dxa" w:w="1987"/>
            <w:shd w:fill="1F4E79"/>
          </w:tcPr>
          <w:p>
            <w:pPr>
              <w:jc w:val="center"/>
            </w:pPr>
            <w:r>
              <w:rPr>
                <w:rFonts w:ascii="Arial" w:hAnsi="Arial"/>
                <w:b/>
                <w:i w:val="0"/>
                <w:color w:val="FFFFFF"/>
                <w:sz w:val="19"/>
              </w:rPr>
              <w:t>Pays</w:t>
            </w:r>
          </w:p>
        </w:tc>
        <w:tc>
          <w:tcPr>
            <w:tcW w:type="dxa" w:w="1987"/>
            <w:shd w:fill="1F4E79"/>
          </w:tcPr>
          <w:p>
            <w:pPr>
              <w:jc w:val="center"/>
            </w:pPr>
            <w:r>
              <w:rPr>
                <w:rFonts w:ascii="Arial" w:hAnsi="Arial"/>
                <w:b/>
                <w:i w:val="0"/>
                <w:color w:val="FFFFFF"/>
                <w:sz w:val="19"/>
              </w:rPr>
              <w:t>Caractéristiques</w:t>
            </w:r>
          </w:p>
        </w:tc>
        <w:tc>
          <w:tcPr>
            <w:tcW w:type="dxa" w:w="1987"/>
            <w:shd w:fill="1F4E79"/>
          </w:tcPr>
          <w:p>
            <w:pPr>
              <w:jc w:val="center"/>
            </w:pPr>
            <w:r>
              <w:rPr>
                <w:rFonts w:ascii="Arial" w:hAnsi="Arial"/>
                <w:b/>
                <w:i w:val="0"/>
                <w:color w:val="FFFFFF"/>
                <w:sz w:val="19"/>
              </w:rPr>
              <w:t>Exemple de Pente</w:t>
            </w:r>
          </w:p>
        </w:tc>
      </w:tr>
      <w:tr>
        <w:tc>
          <w:tcPr>
            <w:tcW w:type="dxa" w:w="1987"/>
            <w:shd w:fill="F2F2F2"/>
          </w:tcPr>
          <w:p>
            <w:pPr>
              <w:jc w:val="center"/>
            </w:pPr>
            <w:r>
              <w:rPr>
                <w:rFonts w:ascii="Arial" w:hAnsi="Arial"/>
                <w:b w:val="0"/>
                <w:i w:val="0"/>
                <w:color w:val="333333"/>
                <w:sz w:val="18"/>
              </w:rPr>
              <w:t>Fortement négative</w:t>
            </w:r>
          </w:p>
        </w:tc>
        <w:tc>
          <w:tcPr>
            <w:tcW w:type="dxa" w:w="1987"/>
            <w:shd w:fill="F2F2F2"/>
          </w:tcPr>
          <w:p>
            <w:pPr>
              <w:jc w:val="center"/>
            </w:pPr>
            <w:r>
              <w:rPr>
                <w:rFonts w:ascii="Arial" w:hAnsi="Arial"/>
                <w:b w:val="0"/>
                <w:i w:val="0"/>
                <w:color w:val="333333"/>
                <w:sz w:val="18"/>
              </w:rPr>
              <w:t>r &lt; -0.20</w:t>
            </w:r>
          </w:p>
        </w:tc>
        <w:tc>
          <w:tcPr>
            <w:tcW w:type="dxa" w:w="1987"/>
            <w:shd w:fill="F2F2F2"/>
          </w:tcPr>
          <w:p>
            <w:pPr>
              <w:jc w:val="left"/>
            </w:pPr>
            <w:r>
              <w:rPr>
                <w:rFonts w:ascii="Arial" w:hAnsi="Arial"/>
                <w:b w:val="0"/>
                <w:i w:val="0"/>
                <w:color w:val="333333"/>
                <w:sz w:val="18"/>
              </w:rPr>
              <w:t>GBR, IRL, DNK, PRT, ITA</w:t>
            </w:r>
          </w:p>
        </w:tc>
        <w:tc>
          <w:tcPr>
            <w:tcW w:type="dxa" w:w="1987"/>
            <w:shd w:fill="F2F2F2"/>
          </w:tcPr>
          <w:p>
            <w:pPr>
              <w:jc w:val="center"/>
            </w:pPr>
            <w:r>
              <w:rPr>
                <w:rFonts w:ascii="Arial" w:hAnsi="Arial"/>
                <w:b w:val="0"/>
                <w:i w:val="0"/>
                <w:color w:val="333333"/>
                <w:sz w:val="18"/>
              </w:rPr>
              <w:t>Importateurs nets très sensibles aux chocs</w:t>
            </w:r>
          </w:p>
        </w:tc>
        <w:tc>
          <w:tcPr>
            <w:tcW w:type="dxa" w:w="1987"/>
            <w:shd w:fill="F2F2F2"/>
          </w:tcPr>
          <w:p>
            <w:pPr>
              <w:jc w:val="center"/>
            </w:pPr>
            <w:r>
              <w:rPr>
                <w:rFonts w:ascii="Arial" w:hAnsi="Arial"/>
                <w:b w:val="0"/>
                <w:i w:val="0"/>
                <w:color w:val="333333"/>
                <w:sz w:val="18"/>
              </w:rPr>
              <w:t>GBR: beta = -0.142</w:t>
            </w:r>
          </w:p>
        </w:tc>
      </w:tr>
      <w:tr>
        <w:tc>
          <w:tcPr>
            <w:tcW w:type="dxa" w:w="1987"/>
            <w:shd w:fill="FFFFFF"/>
          </w:tcPr>
          <w:p>
            <w:pPr>
              <w:jc w:val="center"/>
            </w:pPr>
            <w:r>
              <w:rPr>
                <w:rFonts w:ascii="Arial" w:hAnsi="Arial"/>
                <w:b w:val="0"/>
                <w:i w:val="0"/>
                <w:color w:val="333333"/>
                <w:sz w:val="18"/>
              </w:rPr>
              <w:t>Modérément négative</w:t>
            </w:r>
          </w:p>
        </w:tc>
        <w:tc>
          <w:tcPr>
            <w:tcW w:type="dxa" w:w="1987"/>
            <w:shd w:fill="FFFFFF"/>
          </w:tcPr>
          <w:p>
            <w:pPr>
              <w:jc w:val="center"/>
            </w:pPr>
            <w:r>
              <w:rPr>
                <w:rFonts w:ascii="Arial" w:hAnsi="Arial"/>
                <w:b w:val="0"/>
                <w:i w:val="0"/>
                <w:color w:val="333333"/>
                <w:sz w:val="18"/>
              </w:rPr>
              <w:t>-0.20 &lt;= r &lt; -0.08</w:t>
            </w:r>
          </w:p>
        </w:tc>
        <w:tc>
          <w:tcPr>
            <w:tcW w:type="dxa" w:w="1987"/>
            <w:shd w:fill="FFFFFF"/>
          </w:tcPr>
          <w:p>
            <w:pPr>
              <w:jc w:val="left"/>
            </w:pPr>
            <w:r>
              <w:rPr>
                <w:rFonts w:ascii="Arial" w:hAnsi="Arial"/>
                <w:b w:val="0"/>
                <w:i w:val="0"/>
                <w:color w:val="333333"/>
                <w:sz w:val="18"/>
              </w:rPr>
              <w:t>JPN, AUS, BEL, ESP, NLD</w:t>
            </w:r>
          </w:p>
        </w:tc>
        <w:tc>
          <w:tcPr>
            <w:tcW w:type="dxa" w:w="1987"/>
            <w:shd w:fill="FFFFFF"/>
          </w:tcPr>
          <w:p>
            <w:pPr>
              <w:jc w:val="center"/>
            </w:pPr>
            <w:r>
              <w:rPr>
                <w:rFonts w:ascii="Arial" w:hAnsi="Arial"/>
                <w:b w:val="0"/>
                <w:i w:val="0"/>
                <w:color w:val="333333"/>
                <w:sz w:val="18"/>
              </w:rPr>
              <w:t>Importateurs / Économies dépendantes</w:t>
            </w:r>
          </w:p>
        </w:tc>
        <w:tc>
          <w:tcPr>
            <w:tcW w:type="dxa" w:w="1987"/>
            <w:shd w:fill="FFFFFF"/>
          </w:tcPr>
          <w:p>
            <w:pPr>
              <w:jc w:val="center"/>
            </w:pPr>
            <w:r>
              <w:rPr>
                <w:rFonts w:ascii="Arial" w:hAnsi="Arial"/>
                <w:b w:val="0"/>
                <w:i w:val="0"/>
                <w:color w:val="333333"/>
                <w:sz w:val="18"/>
              </w:rPr>
              <w:t>JPN: beta = -0.037</w:t>
            </w:r>
          </w:p>
        </w:tc>
      </w:tr>
      <w:tr>
        <w:tc>
          <w:tcPr>
            <w:tcW w:type="dxa" w:w="1987"/>
            <w:shd w:fill="F2F2F2"/>
          </w:tcPr>
          <w:p>
            <w:pPr>
              <w:jc w:val="center"/>
            </w:pPr>
            <w:r>
              <w:rPr>
                <w:rFonts w:ascii="Arial" w:hAnsi="Arial"/>
                <w:b w:val="0"/>
                <w:i w:val="0"/>
                <w:color w:val="333333"/>
                <w:sz w:val="18"/>
              </w:rPr>
              <w:t>Neutre / Faible</w:t>
            </w:r>
          </w:p>
        </w:tc>
        <w:tc>
          <w:tcPr>
            <w:tcW w:type="dxa" w:w="1987"/>
            <w:shd w:fill="F2F2F2"/>
          </w:tcPr>
          <w:p>
            <w:pPr>
              <w:jc w:val="center"/>
            </w:pPr>
            <w:r>
              <w:rPr>
                <w:rFonts w:ascii="Arial" w:hAnsi="Arial"/>
                <w:b w:val="0"/>
                <w:i w:val="0"/>
                <w:color w:val="333333"/>
                <w:sz w:val="18"/>
              </w:rPr>
              <w:t>-0.08 &lt;= r &lt;= 0.08</w:t>
            </w:r>
          </w:p>
        </w:tc>
        <w:tc>
          <w:tcPr>
            <w:tcW w:type="dxa" w:w="1987"/>
            <w:shd w:fill="F2F2F2"/>
          </w:tcPr>
          <w:p>
            <w:pPr>
              <w:jc w:val="left"/>
            </w:pPr>
            <w:r>
              <w:rPr>
                <w:rFonts w:ascii="Arial" w:hAnsi="Arial"/>
                <w:b w:val="0"/>
                <w:i w:val="0"/>
                <w:color w:val="333333"/>
                <w:sz w:val="18"/>
              </w:rPr>
              <w:t>USA, NOR, FRA, SWE</w:t>
            </w:r>
          </w:p>
        </w:tc>
        <w:tc>
          <w:tcPr>
            <w:tcW w:type="dxa" w:w="1987"/>
            <w:shd w:fill="F2F2F2"/>
          </w:tcPr>
          <w:p>
            <w:pPr>
              <w:jc w:val="center"/>
            </w:pPr>
            <w:r>
              <w:rPr>
                <w:rFonts w:ascii="Arial" w:hAnsi="Arial"/>
                <w:b w:val="0"/>
                <w:i w:val="0"/>
                <w:color w:val="333333"/>
                <w:sz w:val="18"/>
              </w:rPr>
              <w:t>Pays avec mix équilibré ou production locale</w:t>
            </w:r>
          </w:p>
        </w:tc>
        <w:tc>
          <w:tcPr>
            <w:tcW w:type="dxa" w:w="1987"/>
            <w:shd w:fill="F2F2F2"/>
          </w:tcPr>
          <w:p>
            <w:pPr>
              <w:jc w:val="center"/>
            </w:pPr>
            <w:r>
              <w:rPr>
                <w:rFonts w:ascii="Arial" w:hAnsi="Arial"/>
                <w:b w:val="0"/>
                <w:i w:val="0"/>
                <w:color w:val="333333"/>
                <w:sz w:val="18"/>
              </w:rPr>
              <w:t>USA: beta = -0.012</w:t>
            </w:r>
          </w:p>
        </w:tc>
      </w:tr>
      <w:tr>
        <w:tc>
          <w:tcPr>
            <w:tcW w:type="dxa" w:w="1987"/>
            <w:shd w:fill="FFFFFF"/>
          </w:tcPr>
          <w:p>
            <w:pPr>
              <w:jc w:val="center"/>
            </w:pPr>
            <w:r>
              <w:rPr>
                <w:rFonts w:ascii="Arial" w:hAnsi="Arial"/>
                <w:b w:val="0"/>
                <w:i w:val="0"/>
                <w:color w:val="333333"/>
                <w:sz w:val="18"/>
              </w:rPr>
              <w:t>Positive</w:t>
            </w:r>
          </w:p>
        </w:tc>
        <w:tc>
          <w:tcPr>
            <w:tcW w:type="dxa" w:w="1987"/>
            <w:shd w:fill="FFFFFF"/>
          </w:tcPr>
          <w:p>
            <w:pPr>
              <w:jc w:val="center"/>
            </w:pPr>
            <w:r>
              <w:rPr>
                <w:rFonts w:ascii="Arial" w:hAnsi="Arial"/>
                <w:b w:val="0"/>
                <w:i w:val="0"/>
                <w:color w:val="333333"/>
                <w:sz w:val="18"/>
              </w:rPr>
              <w:t>r &gt; 0.08</w:t>
            </w:r>
          </w:p>
        </w:tc>
        <w:tc>
          <w:tcPr>
            <w:tcW w:type="dxa" w:w="1987"/>
            <w:shd w:fill="FFFFFF"/>
          </w:tcPr>
          <w:p>
            <w:pPr>
              <w:jc w:val="left"/>
            </w:pPr>
            <w:r>
              <w:rPr>
                <w:rFonts w:ascii="Arial" w:hAnsi="Arial"/>
                <w:b w:val="0"/>
                <w:i w:val="0"/>
                <w:color w:val="333333"/>
                <w:sz w:val="18"/>
              </w:rPr>
              <w:t>CHE, DEU, CAN, FIN</w:t>
            </w:r>
          </w:p>
        </w:tc>
        <w:tc>
          <w:tcPr>
            <w:tcW w:type="dxa" w:w="1987"/>
            <w:shd w:fill="FFFFFF"/>
          </w:tcPr>
          <w:p>
            <w:pPr>
              <w:jc w:val="center"/>
            </w:pPr>
            <w:r>
              <w:rPr>
                <w:rFonts w:ascii="Arial" w:hAnsi="Arial"/>
                <w:b w:val="0"/>
                <w:i w:val="0"/>
                <w:color w:val="333333"/>
                <w:sz w:val="18"/>
              </w:rPr>
              <w:t>Producteurs nets (CAN) ou structures résilientes (CHE)</w:t>
            </w:r>
          </w:p>
        </w:tc>
        <w:tc>
          <w:tcPr>
            <w:tcW w:type="dxa" w:w="1987"/>
            <w:shd w:fill="FFFFFF"/>
          </w:tcPr>
          <w:p>
            <w:pPr>
              <w:jc w:val="center"/>
            </w:pPr>
            <w:r>
              <w:rPr>
                <w:rFonts w:ascii="Arial" w:hAnsi="Arial"/>
                <w:b w:val="0"/>
                <w:i w:val="0"/>
                <w:color w:val="333333"/>
                <w:sz w:val="18"/>
              </w:rPr>
              <w:t>CAN: beta = 0.040</w:t>
            </w:r>
          </w:p>
        </w:tc>
      </w:tr>
      <w:tr>
        <w:tc>
          <w:tcPr>
            <w:tcW w:type="dxa" w:w="1987"/>
          </w:tcPr>
          <w:p/>
        </w:tc>
        <w:tc>
          <w:tcPr>
            <w:tcW w:type="dxa" w:w="1987"/>
          </w:tcPr>
          <w:p/>
        </w:tc>
        <w:tc>
          <w:tcPr>
            <w:tcW w:type="dxa" w:w="1987"/>
          </w:tcPr>
          <w:p/>
        </w:tc>
        <w:tc>
          <w:tcPr>
            <w:tcW w:type="dxa" w:w="1987"/>
          </w:tcPr>
          <w:p/>
        </w:tc>
        <w:tc>
          <w:tcPr>
            <w:tcW w:type="dxa" w:w="1987"/>
          </w:tcPr>
          <w:p/>
        </w:tc>
      </w:tr>
      <w:tr>
        <w:tc>
          <w:tcPr>
            <w:tcW w:type="dxa" w:w="1987"/>
          </w:tcPr>
          <w:p/>
        </w:tc>
        <w:tc>
          <w:tcPr>
            <w:tcW w:type="dxa" w:w="1987"/>
          </w:tcPr>
          <w:p/>
        </w:tc>
        <w:tc>
          <w:tcPr>
            <w:tcW w:type="dxa" w:w="1987"/>
          </w:tcPr>
          <w:p/>
        </w:tc>
        <w:tc>
          <w:tcPr>
            <w:tcW w:type="dxa" w:w="1987"/>
          </w:tcPr>
          <w:p/>
        </w:tc>
        <w:tc>
          <w:tcPr>
            <w:tcW w:type="dxa" w:w="1987"/>
          </w:tcPr>
          <w:p/>
        </w:tc>
      </w:tr>
    </w:tbl>
    <w:p>
      <w:pPr>
        <w:spacing w:after="200"/>
      </w:pPr>
    </w:p>
    <w:p>
      <w:pPr>
        <w:spacing w:before="240" w:after="120"/>
      </w:pPr>
      <w:r>
        <w:rPr>
          <w:b/>
          <w:color w:val="1F4E79"/>
          <w:sz w:val="28"/>
        </w:rPr>
        <w:t>7. Comparaison des Estimations Statiques de Panel</w:t>
      </w:r>
    </w:p>
    <w:p>
      <w:r>
        <w:t>Ce tableau synthétise les estimations statiques du panel. Le test de Mundlak rejette l'estimateur RE (les coefficients des moyennes comme lcpi_mean et open_mean étant très significatifs). L'estimateur en premières différences (FD) confirme l'impact négatif et hautement significatif du prix de l'énergie à -0.098 (t-stat = -4.59).</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shd w:fill="1F4E79"/>
          </w:tcPr>
          <w:p>
            <w:pPr>
              <w:jc w:val="center"/>
            </w:pPr>
            <w:r>
              <w:rPr>
                <w:rFonts w:ascii="Arial" w:hAnsi="Arial"/>
                <w:b/>
                <w:i w:val="0"/>
                <w:color w:val="FFFFFF"/>
                <w:sz w:val="19"/>
              </w:rPr>
              <w:t>Variable</w:t>
            </w:r>
          </w:p>
        </w:tc>
        <w:tc>
          <w:tcPr>
            <w:tcW w:type="dxa" w:w="1656"/>
            <w:shd w:fill="1F4E79"/>
          </w:tcPr>
          <w:p>
            <w:pPr>
              <w:jc w:val="center"/>
            </w:pPr>
            <w:r>
              <w:rPr>
                <w:rFonts w:ascii="Arial" w:hAnsi="Arial"/>
                <w:b/>
                <w:i w:val="0"/>
                <w:color w:val="FFFFFF"/>
                <w:sz w:val="19"/>
              </w:rPr>
              <w:t>Between OLS</w:t>
            </w:r>
          </w:p>
        </w:tc>
        <w:tc>
          <w:tcPr>
            <w:tcW w:type="dxa" w:w="1656"/>
            <w:shd w:fill="1F4E79"/>
          </w:tcPr>
          <w:p>
            <w:pPr>
              <w:jc w:val="center"/>
            </w:pPr>
            <w:r>
              <w:rPr>
                <w:rFonts w:ascii="Arial" w:hAnsi="Arial"/>
                <w:b/>
                <w:i w:val="0"/>
                <w:color w:val="FFFFFF"/>
                <w:sz w:val="19"/>
              </w:rPr>
              <w:t>Within FE</w:t>
            </w:r>
          </w:p>
        </w:tc>
        <w:tc>
          <w:tcPr>
            <w:tcW w:type="dxa" w:w="1656"/>
            <w:shd w:fill="1F4E79"/>
          </w:tcPr>
          <w:p>
            <w:pPr>
              <w:jc w:val="center"/>
            </w:pPr>
            <w:r>
              <w:rPr>
                <w:rFonts w:ascii="Arial" w:hAnsi="Arial"/>
                <w:b/>
                <w:i w:val="0"/>
                <w:color w:val="FFFFFF"/>
                <w:sz w:val="19"/>
              </w:rPr>
              <w:t>RE Mundlak</w:t>
            </w:r>
          </w:p>
        </w:tc>
        <w:tc>
          <w:tcPr>
            <w:tcW w:type="dxa" w:w="1656"/>
            <w:shd w:fill="1F4E79"/>
          </w:tcPr>
          <w:p>
            <w:pPr>
              <w:jc w:val="center"/>
            </w:pPr>
            <w:r>
              <w:rPr>
                <w:rFonts w:ascii="Arial" w:hAnsi="Arial"/>
                <w:b/>
                <w:i w:val="0"/>
                <w:color w:val="FFFFFF"/>
                <w:sz w:val="19"/>
              </w:rPr>
              <w:t>Two-Way FE</w:t>
            </w:r>
          </w:p>
        </w:tc>
        <w:tc>
          <w:tcPr>
            <w:tcW w:type="dxa" w:w="1656"/>
            <w:shd w:fill="1F4E79"/>
          </w:tcPr>
          <w:p>
            <w:pPr>
              <w:jc w:val="center"/>
            </w:pPr>
            <w:r>
              <w:rPr>
                <w:rFonts w:ascii="Arial" w:hAnsi="Arial"/>
                <w:b/>
                <w:i w:val="0"/>
                <w:color w:val="FFFFFF"/>
                <w:sz w:val="19"/>
              </w:rPr>
              <w:t>First Differences (FD)</w:t>
            </w:r>
          </w:p>
        </w:tc>
      </w:tr>
      <w:tr>
        <w:tc>
          <w:tcPr>
            <w:tcW w:type="dxa" w:w="1656"/>
            <w:shd w:fill="F2F2F2"/>
          </w:tcPr>
          <w:p>
            <w:pPr>
              <w:jc w:val="left"/>
            </w:pPr>
            <w:r>
              <w:rPr>
                <w:rFonts w:ascii="Arial" w:hAnsi="Arial"/>
                <w:b w:val="0"/>
                <w:i w:val="0"/>
                <w:color w:val="333333"/>
                <w:sz w:val="18"/>
              </w:rPr>
              <w:t>lcpi</w:t>
            </w:r>
          </w:p>
        </w:tc>
        <w:tc>
          <w:tcPr>
            <w:tcW w:type="dxa" w:w="1656"/>
            <w:shd w:fill="F2F2F2"/>
          </w:tcPr>
          <w:p>
            <w:pPr>
              <w:jc w:val="center"/>
            </w:pPr>
            <w:r>
              <w:rPr>
                <w:rFonts w:ascii="Arial" w:hAnsi="Arial"/>
                <w:b w:val="0"/>
                <w:i w:val="0"/>
                <w:color w:val="333333"/>
                <w:sz w:val="18"/>
              </w:rPr>
              <w:t>0.835***</w:t>
            </w:r>
          </w:p>
        </w:tc>
        <w:tc>
          <w:tcPr>
            <w:tcW w:type="dxa" w:w="1656"/>
            <w:shd w:fill="F2F2F2"/>
          </w:tcPr>
          <w:p>
            <w:pPr>
              <w:jc w:val="center"/>
            </w:pPr>
            <w:r>
              <w:rPr>
                <w:rFonts w:ascii="Arial" w:hAnsi="Arial"/>
                <w:b w:val="0"/>
                <w:i w:val="0"/>
                <w:color w:val="333333"/>
                <w:sz w:val="18"/>
              </w:rPr>
              <w:t>0.380***</w:t>
            </w:r>
          </w:p>
        </w:tc>
        <w:tc>
          <w:tcPr>
            <w:tcW w:type="dxa" w:w="1656"/>
            <w:shd w:fill="F2F2F2"/>
          </w:tcPr>
          <w:p>
            <w:pPr>
              <w:jc w:val="center"/>
            </w:pPr>
            <w:r>
              <w:rPr>
                <w:rFonts w:ascii="Arial" w:hAnsi="Arial"/>
                <w:b w:val="0"/>
                <w:i w:val="0"/>
                <w:color w:val="333333"/>
                <w:sz w:val="18"/>
              </w:rPr>
              <w:t>0.380***</w:t>
            </w:r>
          </w:p>
        </w:tc>
        <w:tc>
          <w:tcPr>
            <w:tcW w:type="dxa" w:w="1656"/>
            <w:shd w:fill="F2F2F2"/>
          </w:tcPr>
          <w:p>
            <w:pPr>
              <w:jc w:val="center"/>
            </w:pPr>
            <w:r>
              <w:rPr>
                <w:rFonts w:ascii="Arial" w:hAnsi="Arial"/>
                <w:b w:val="0"/>
                <w:i w:val="0"/>
                <w:color w:val="333333"/>
                <w:sz w:val="18"/>
              </w:rPr>
              <w:t>0.136***</w:t>
            </w:r>
          </w:p>
        </w:tc>
        <w:tc>
          <w:tcPr>
            <w:tcW w:type="dxa" w:w="1656"/>
            <w:shd w:fill="F2F2F2"/>
          </w:tcPr>
          <w:p>
            <w:pPr>
              <w:jc w:val="center"/>
            </w:pPr>
            <w:r>
              <w:rPr>
                <w:rFonts w:ascii="Arial" w:hAnsi="Arial"/>
                <w:b w:val="0"/>
                <w:i w:val="0"/>
                <w:color w:val="333333"/>
                <w:sz w:val="18"/>
              </w:rPr>
              <w:t>0.513***</w:t>
            </w:r>
          </w:p>
        </w:tc>
      </w:tr>
      <w:tr>
        <w:tc>
          <w:tcPr>
            <w:tcW w:type="dxa" w:w="1656"/>
            <w:shd w:fill="FFFFFF"/>
          </w:tcPr>
          <w:p>
            <w:pPr>
              <w:jc w:val="left"/>
            </w:pPr>
            <w:r>
              <w:rPr>
                <w:rFonts w:ascii="Arial" w:hAnsi="Arial"/>
                <w:b w:val="0"/>
                <w:i w:val="0"/>
                <w:color w:val="333333"/>
                <w:sz w:val="18"/>
              </w:rPr>
              <w:t>lenpr</w:t>
            </w:r>
          </w:p>
        </w:tc>
        <w:tc>
          <w:tcPr>
            <w:tcW w:type="dxa" w:w="1656"/>
            <w:shd w:fill="FFFFFF"/>
          </w:tcPr>
          <w:p>
            <w:pPr>
              <w:jc w:val="center"/>
            </w:pPr>
            <w:r>
              <w:rPr>
                <w:rFonts w:ascii="Arial" w:hAnsi="Arial"/>
                <w:b w:val="0"/>
                <w:i w:val="0"/>
                <w:color w:val="333333"/>
                <w:sz w:val="18"/>
              </w:rPr>
              <w:t>-0.255</w:t>
            </w:r>
          </w:p>
        </w:tc>
        <w:tc>
          <w:tcPr>
            <w:tcW w:type="dxa" w:w="1656"/>
            <w:shd w:fill="FFFFFF"/>
          </w:tcPr>
          <w:p>
            <w:pPr>
              <w:jc w:val="center"/>
            </w:pPr>
            <w:r>
              <w:rPr>
                <w:rFonts w:ascii="Arial" w:hAnsi="Arial"/>
                <w:b w:val="0"/>
                <w:i w:val="0"/>
                <w:color w:val="333333"/>
                <w:sz w:val="18"/>
              </w:rPr>
              <w:t>0.025</w:t>
            </w:r>
          </w:p>
        </w:tc>
        <w:tc>
          <w:tcPr>
            <w:tcW w:type="dxa" w:w="1656"/>
            <w:shd w:fill="FFFFFF"/>
          </w:tcPr>
          <w:p>
            <w:pPr>
              <w:jc w:val="center"/>
            </w:pPr>
            <w:r>
              <w:rPr>
                <w:rFonts w:ascii="Arial" w:hAnsi="Arial"/>
                <w:b w:val="0"/>
                <w:i w:val="0"/>
                <w:color w:val="333333"/>
                <w:sz w:val="18"/>
              </w:rPr>
              <w:t>0.025</w:t>
            </w:r>
          </w:p>
        </w:tc>
        <w:tc>
          <w:tcPr>
            <w:tcW w:type="dxa" w:w="1656"/>
            <w:shd w:fill="FFFFFF"/>
          </w:tcPr>
          <w:p>
            <w:pPr>
              <w:jc w:val="center"/>
            </w:pPr>
            <w:r>
              <w:rPr>
                <w:rFonts w:ascii="Arial" w:hAnsi="Arial"/>
                <w:b w:val="0"/>
                <w:i w:val="0"/>
                <w:color w:val="333333"/>
                <w:sz w:val="18"/>
              </w:rPr>
              <w:t>-0.070</w:t>
            </w:r>
          </w:p>
        </w:tc>
        <w:tc>
          <w:tcPr>
            <w:tcW w:type="dxa" w:w="1656"/>
            <w:shd w:fill="FFFFFF"/>
          </w:tcPr>
          <w:p>
            <w:pPr>
              <w:jc w:val="center"/>
            </w:pPr>
            <w:r>
              <w:rPr>
                <w:rFonts w:ascii="Arial" w:hAnsi="Arial"/>
                <w:b w:val="0"/>
                <w:i w:val="0"/>
                <w:color w:val="333333"/>
                <w:sz w:val="18"/>
              </w:rPr>
              <w:t>-0.098***</w:t>
            </w:r>
          </w:p>
        </w:tc>
      </w:tr>
      <w:tr>
        <w:tc>
          <w:tcPr>
            <w:tcW w:type="dxa" w:w="1656"/>
            <w:shd w:fill="F2F2F2"/>
          </w:tcPr>
          <w:p>
            <w:pPr>
              <w:jc w:val="left"/>
            </w:pPr>
            <w:r>
              <w:rPr>
                <w:rFonts w:ascii="Arial" w:hAnsi="Arial"/>
                <w:b w:val="0"/>
                <w:i w:val="0"/>
                <w:color w:val="333333"/>
                <w:sz w:val="18"/>
              </w:rPr>
              <w:t>open</w:t>
            </w:r>
          </w:p>
        </w:tc>
        <w:tc>
          <w:tcPr>
            <w:tcW w:type="dxa" w:w="1656"/>
            <w:shd w:fill="F2F2F2"/>
          </w:tcPr>
          <w:p>
            <w:pPr>
              <w:jc w:val="center"/>
            </w:pPr>
            <w:r>
              <w:rPr>
                <w:rFonts w:ascii="Arial" w:hAnsi="Arial"/>
                <w:b w:val="0"/>
                <w:i w:val="0"/>
                <w:color w:val="333333"/>
                <w:sz w:val="18"/>
              </w:rPr>
              <w:t>-0.233</w:t>
            </w:r>
          </w:p>
        </w:tc>
        <w:tc>
          <w:tcPr>
            <w:tcW w:type="dxa" w:w="1656"/>
            <w:shd w:fill="F2F2F2"/>
          </w:tcPr>
          <w:p>
            <w:pPr>
              <w:jc w:val="center"/>
            </w:pPr>
            <w:r>
              <w:rPr>
                <w:rFonts w:ascii="Arial" w:hAnsi="Arial"/>
                <w:b w:val="0"/>
                <w:i w:val="0"/>
                <w:color w:val="333333"/>
                <w:sz w:val="18"/>
              </w:rPr>
              <w:t>0.338***</w:t>
            </w:r>
          </w:p>
        </w:tc>
        <w:tc>
          <w:tcPr>
            <w:tcW w:type="dxa" w:w="1656"/>
            <w:shd w:fill="F2F2F2"/>
          </w:tcPr>
          <w:p>
            <w:pPr>
              <w:jc w:val="center"/>
            </w:pPr>
            <w:r>
              <w:rPr>
                <w:rFonts w:ascii="Arial" w:hAnsi="Arial"/>
                <w:b w:val="0"/>
                <w:i w:val="0"/>
                <w:color w:val="333333"/>
                <w:sz w:val="18"/>
              </w:rPr>
              <w:t>0.338***</w:t>
            </w:r>
          </w:p>
        </w:tc>
        <w:tc>
          <w:tcPr>
            <w:tcW w:type="dxa" w:w="1656"/>
            <w:shd w:fill="F2F2F2"/>
          </w:tcPr>
          <w:p>
            <w:pPr>
              <w:jc w:val="center"/>
            </w:pPr>
            <w:r>
              <w:rPr>
                <w:rFonts w:ascii="Arial" w:hAnsi="Arial"/>
                <w:b w:val="0"/>
                <w:i w:val="0"/>
                <w:color w:val="333333"/>
                <w:sz w:val="18"/>
              </w:rPr>
              <w:t>0.159*</w:t>
            </w:r>
          </w:p>
        </w:tc>
        <w:tc>
          <w:tcPr>
            <w:tcW w:type="dxa" w:w="1656"/>
            <w:shd w:fill="F2F2F2"/>
          </w:tcPr>
          <w:p>
            <w:pPr>
              <w:jc w:val="center"/>
            </w:pPr>
            <w:r>
              <w:rPr>
                <w:rFonts w:ascii="Arial" w:hAnsi="Arial"/>
                <w:b w:val="0"/>
                <w:i w:val="0"/>
                <w:color w:val="333333"/>
                <w:sz w:val="18"/>
              </w:rPr>
              <w:t>0.090***</w:t>
            </w:r>
          </w:p>
        </w:tc>
      </w:tr>
      <w:tr>
        <w:tc>
          <w:tcPr>
            <w:tcW w:type="dxa" w:w="1656"/>
            <w:shd w:fill="FFFFFF"/>
          </w:tcPr>
          <w:p>
            <w:pPr>
              <w:jc w:val="left"/>
            </w:pPr>
            <w:r>
              <w:rPr>
                <w:rFonts w:ascii="Arial" w:hAnsi="Arial"/>
                <w:b w:val="0"/>
                <w:i w:val="0"/>
                <w:color w:val="333333"/>
                <w:sz w:val="18"/>
              </w:rPr>
              <w:t>expgdp</w:t>
            </w:r>
          </w:p>
        </w:tc>
        <w:tc>
          <w:tcPr>
            <w:tcW w:type="dxa" w:w="1656"/>
            <w:shd w:fill="FFFFFF"/>
          </w:tcPr>
          <w:p>
            <w:pPr>
              <w:jc w:val="center"/>
            </w:pPr>
            <w:r>
              <w:rPr>
                <w:rFonts w:ascii="Arial" w:hAnsi="Arial"/>
                <w:b w:val="0"/>
                <w:i w:val="0"/>
                <w:color w:val="333333"/>
                <w:sz w:val="18"/>
              </w:rPr>
              <w:t>0.528</w:t>
            </w:r>
          </w:p>
        </w:tc>
        <w:tc>
          <w:tcPr>
            <w:tcW w:type="dxa" w:w="1656"/>
            <w:shd w:fill="FFFFFF"/>
          </w:tcPr>
          <w:p>
            <w:pPr>
              <w:jc w:val="center"/>
            </w:pPr>
            <w:r>
              <w:rPr>
                <w:rFonts w:ascii="Arial" w:hAnsi="Arial"/>
                <w:b w:val="0"/>
                <w:i w:val="0"/>
                <w:color w:val="333333"/>
                <w:sz w:val="18"/>
              </w:rPr>
              <w:t>-0.706**</w:t>
            </w:r>
          </w:p>
        </w:tc>
        <w:tc>
          <w:tcPr>
            <w:tcW w:type="dxa" w:w="1656"/>
            <w:shd w:fill="FFFFFF"/>
          </w:tcPr>
          <w:p>
            <w:pPr>
              <w:jc w:val="center"/>
            </w:pPr>
            <w:r>
              <w:rPr>
                <w:rFonts w:ascii="Arial" w:hAnsi="Arial"/>
                <w:b w:val="0"/>
                <w:i w:val="0"/>
                <w:color w:val="333333"/>
                <w:sz w:val="18"/>
              </w:rPr>
              <w:t>-0.706***</w:t>
            </w:r>
          </w:p>
        </w:tc>
        <w:tc>
          <w:tcPr>
            <w:tcW w:type="dxa" w:w="1656"/>
            <w:shd w:fill="FFFFFF"/>
          </w:tcPr>
          <w:p>
            <w:pPr>
              <w:jc w:val="center"/>
            </w:pPr>
            <w:r>
              <w:rPr>
                <w:rFonts w:ascii="Arial" w:hAnsi="Arial"/>
                <w:b w:val="0"/>
                <w:i w:val="0"/>
                <w:color w:val="333333"/>
                <w:sz w:val="18"/>
              </w:rPr>
              <w:t>0.136</w:t>
            </w:r>
          </w:p>
        </w:tc>
        <w:tc>
          <w:tcPr>
            <w:tcW w:type="dxa" w:w="1656"/>
            <w:shd w:fill="FFFFFF"/>
          </w:tcPr>
          <w:p>
            <w:pPr>
              <w:jc w:val="center"/>
            </w:pPr>
            <w:r>
              <w:rPr>
                <w:rFonts w:ascii="Arial" w:hAnsi="Arial"/>
                <w:b w:val="0"/>
                <w:i w:val="0"/>
                <w:color w:val="333333"/>
                <w:sz w:val="18"/>
              </w:rPr>
              <w:t>-0.492***</w:t>
            </w:r>
          </w:p>
        </w:tc>
      </w:tr>
      <w:tr>
        <w:tc>
          <w:tcPr>
            <w:tcW w:type="dxa" w:w="1656"/>
            <w:shd w:fill="F2F2F2"/>
          </w:tcPr>
          <w:p>
            <w:pPr>
              <w:jc w:val="left"/>
            </w:pPr>
            <w:r>
              <w:rPr>
                <w:rFonts w:ascii="Arial" w:hAnsi="Arial"/>
                <w:b w:val="0"/>
                <w:i w:val="0"/>
                <w:color w:val="333333"/>
                <w:sz w:val="18"/>
              </w:rPr>
              <w:t>iy</w:t>
            </w:r>
          </w:p>
        </w:tc>
        <w:tc>
          <w:tcPr>
            <w:tcW w:type="dxa" w:w="1656"/>
            <w:shd w:fill="F2F2F2"/>
          </w:tcPr>
          <w:p>
            <w:pPr>
              <w:jc w:val="center"/>
            </w:pPr>
            <w:r>
              <w:rPr>
                <w:rFonts w:ascii="Arial" w:hAnsi="Arial"/>
                <w:b w:val="0"/>
                <w:i w:val="0"/>
                <w:color w:val="333333"/>
                <w:sz w:val="18"/>
              </w:rPr>
              <w:t>-0.586</w:t>
            </w:r>
          </w:p>
        </w:tc>
        <w:tc>
          <w:tcPr>
            <w:tcW w:type="dxa" w:w="1656"/>
            <w:shd w:fill="F2F2F2"/>
          </w:tcPr>
          <w:p>
            <w:pPr>
              <w:jc w:val="center"/>
            </w:pPr>
            <w:r>
              <w:rPr>
                <w:rFonts w:ascii="Arial" w:hAnsi="Arial"/>
                <w:b w:val="0"/>
                <w:i w:val="0"/>
                <w:color w:val="333333"/>
                <w:sz w:val="18"/>
              </w:rPr>
              <w:t>0.182</w:t>
            </w:r>
          </w:p>
        </w:tc>
        <w:tc>
          <w:tcPr>
            <w:tcW w:type="dxa" w:w="1656"/>
            <w:shd w:fill="F2F2F2"/>
          </w:tcPr>
          <w:p>
            <w:pPr>
              <w:jc w:val="center"/>
            </w:pPr>
            <w:r>
              <w:rPr>
                <w:rFonts w:ascii="Arial" w:hAnsi="Arial"/>
                <w:b w:val="0"/>
                <w:i w:val="0"/>
                <w:color w:val="333333"/>
                <w:sz w:val="18"/>
              </w:rPr>
              <w:t>0.182</w:t>
            </w:r>
          </w:p>
        </w:tc>
        <w:tc>
          <w:tcPr>
            <w:tcW w:type="dxa" w:w="1656"/>
            <w:shd w:fill="F2F2F2"/>
          </w:tcPr>
          <w:p>
            <w:pPr>
              <w:jc w:val="center"/>
            </w:pPr>
            <w:r>
              <w:rPr>
                <w:rFonts w:ascii="Arial" w:hAnsi="Arial"/>
                <w:b w:val="0"/>
                <w:i w:val="0"/>
                <w:color w:val="333333"/>
                <w:sz w:val="18"/>
              </w:rPr>
              <w:t>0.523</w:t>
            </w:r>
          </w:p>
        </w:tc>
        <w:tc>
          <w:tcPr>
            <w:tcW w:type="dxa" w:w="1656"/>
            <w:shd w:fill="F2F2F2"/>
          </w:tcPr>
          <w:p>
            <w:pPr>
              <w:jc w:val="center"/>
            </w:pPr>
            <w:r>
              <w:rPr>
                <w:rFonts w:ascii="Arial" w:hAnsi="Arial"/>
                <w:b w:val="0"/>
                <w:i w:val="0"/>
                <w:color w:val="333333"/>
                <w:sz w:val="18"/>
              </w:rPr>
              <w:t>0.679***</w:t>
            </w:r>
          </w:p>
        </w:tc>
      </w:tr>
      <w:tr>
        <w:tc>
          <w:tcPr>
            <w:tcW w:type="dxa" w:w="1656"/>
            <w:shd w:fill="FFFFFF"/>
          </w:tcPr>
          <w:p>
            <w:pPr>
              <w:jc w:val="left"/>
            </w:pPr>
            <w:r>
              <w:rPr>
                <w:rFonts w:ascii="Arial" w:hAnsi="Arial"/>
                <w:b w:val="0"/>
                <w:i w:val="0"/>
                <w:color w:val="333333"/>
                <w:sz w:val="18"/>
              </w:rPr>
              <w:t>Constante</w:t>
            </w:r>
          </w:p>
        </w:tc>
        <w:tc>
          <w:tcPr>
            <w:tcW w:type="dxa" w:w="1656"/>
            <w:shd w:fill="FFFFFF"/>
          </w:tcPr>
          <w:p>
            <w:pPr>
              <w:jc w:val="center"/>
            </w:pPr>
            <w:r>
              <w:rPr>
                <w:rFonts w:ascii="Arial" w:hAnsi="Arial"/>
                <w:b w:val="0"/>
                <w:i w:val="0"/>
                <w:color w:val="333333"/>
                <w:sz w:val="18"/>
              </w:rPr>
              <w:t>7.367***</w:t>
            </w:r>
          </w:p>
        </w:tc>
        <w:tc>
          <w:tcPr>
            <w:tcW w:type="dxa" w:w="1656"/>
            <w:shd w:fill="FFFFFF"/>
          </w:tcPr>
          <w:p>
            <w:pPr>
              <w:jc w:val="center"/>
            </w:pPr>
            <w:r>
              <w:rPr>
                <w:rFonts w:ascii="Arial" w:hAnsi="Arial"/>
                <w:b w:val="0"/>
                <w:i w:val="0"/>
                <w:color w:val="333333"/>
                <w:sz w:val="18"/>
              </w:rPr>
              <w:t>7.895***</w:t>
            </w:r>
          </w:p>
        </w:tc>
        <w:tc>
          <w:tcPr>
            <w:tcW w:type="dxa" w:w="1656"/>
            <w:shd w:fill="FFFFFF"/>
          </w:tcPr>
          <w:p>
            <w:pPr>
              <w:jc w:val="center"/>
            </w:pPr>
            <w:r>
              <w:rPr>
                <w:rFonts w:ascii="Arial" w:hAnsi="Arial"/>
                <w:b w:val="0"/>
                <w:i w:val="0"/>
                <w:color w:val="333333"/>
                <w:sz w:val="18"/>
              </w:rPr>
              <w:t>7.366***</w:t>
            </w:r>
          </w:p>
        </w:tc>
        <w:tc>
          <w:tcPr>
            <w:tcW w:type="dxa" w:w="1656"/>
            <w:shd w:fill="FFFFFF"/>
          </w:tcPr>
          <w:p>
            <w:pPr>
              <w:jc w:val="center"/>
            </w:pPr>
            <w:r>
              <w:rPr>
                <w:rFonts w:ascii="Arial" w:hAnsi="Arial"/>
                <w:b w:val="0"/>
                <w:i w:val="0"/>
                <w:color w:val="333333"/>
                <w:sz w:val="18"/>
              </w:rPr>
              <w:t>9.134***</w:t>
            </w:r>
          </w:p>
        </w:tc>
        <w:tc>
          <w:tcPr>
            <w:tcW w:type="dxa" w:w="1656"/>
            <w:shd w:fill="FFFFFF"/>
          </w:tcPr>
          <w:p>
            <w:pPr>
              <w:jc w:val="center"/>
            </w:pPr>
            <w:r>
              <w:rPr>
                <w:rFonts w:ascii="Arial" w:hAnsi="Arial"/>
                <w:b w:val="0"/>
                <w:i w:val="0"/>
                <w:color w:val="333333"/>
                <w:sz w:val="18"/>
              </w:rPr>
              <w:t>—</w:t>
            </w:r>
          </w:p>
        </w:tc>
      </w:tr>
      <w:tr>
        <w:tc>
          <w:tcPr>
            <w:tcW w:type="dxa" w:w="1656"/>
            <w:shd w:fill="F2F2F2"/>
          </w:tcPr>
          <w:p>
            <w:pPr>
              <w:jc w:val="left"/>
            </w:pPr>
            <w:r>
              <w:rPr>
                <w:rFonts w:ascii="Arial" w:hAnsi="Arial"/>
                <w:b w:val="0"/>
                <w:i w:val="0"/>
                <w:color w:val="333333"/>
                <w:sz w:val="18"/>
              </w:rPr>
              <w:t>Obs / N</w:t>
            </w:r>
          </w:p>
        </w:tc>
        <w:tc>
          <w:tcPr>
            <w:tcW w:type="dxa" w:w="1656"/>
            <w:shd w:fill="F2F2F2"/>
          </w:tcPr>
          <w:p>
            <w:pPr>
              <w:jc w:val="center"/>
            </w:pPr>
            <w:r>
              <w:rPr>
                <w:rFonts w:ascii="Arial" w:hAnsi="Arial"/>
                <w:b w:val="0"/>
                <w:i w:val="0"/>
                <w:color w:val="333333"/>
                <w:sz w:val="18"/>
              </w:rPr>
              <w:t>18 / 18</w:t>
            </w:r>
          </w:p>
        </w:tc>
        <w:tc>
          <w:tcPr>
            <w:tcW w:type="dxa" w:w="1656"/>
            <w:shd w:fill="F2F2F2"/>
          </w:tcPr>
          <w:p>
            <w:pPr>
              <w:jc w:val="center"/>
            </w:pPr>
            <w:r>
              <w:rPr>
                <w:rFonts w:ascii="Arial" w:hAnsi="Arial"/>
                <w:b w:val="0"/>
                <w:i w:val="0"/>
                <w:color w:val="333333"/>
                <w:sz w:val="18"/>
              </w:rPr>
              <w:t>810 / 18</w:t>
            </w:r>
          </w:p>
        </w:tc>
        <w:tc>
          <w:tcPr>
            <w:tcW w:type="dxa" w:w="1656"/>
            <w:shd w:fill="F2F2F2"/>
          </w:tcPr>
          <w:p>
            <w:pPr>
              <w:jc w:val="center"/>
            </w:pPr>
            <w:r>
              <w:rPr>
                <w:rFonts w:ascii="Arial" w:hAnsi="Arial"/>
                <w:b w:val="0"/>
                <w:i w:val="0"/>
                <w:color w:val="333333"/>
                <w:sz w:val="18"/>
              </w:rPr>
              <w:t>810 / 18</w:t>
            </w:r>
          </w:p>
        </w:tc>
        <w:tc>
          <w:tcPr>
            <w:tcW w:type="dxa" w:w="1656"/>
            <w:shd w:fill="F2F2F2"/>
          </w:tcPr>
          <w:p>
            <w:pPr>
              <w:jc w:val="center"/>
            </w:pPr>
            <w:r>
              <w:rPr>
                <w:rFonts w:ascii="Arial" w:hAnsi="Arial"/>
                <w:b w:val="0"/>
                <w:i w:val="0"/>
                <w:color w:val="333333"/>
                <w:sz w:val="18"/>
              </w:rPr>
              <w:t>810 / 18</w:t>
            </w:r>
          </w:p>
        </w:tc>
        <w:tc>
          <w:tcPr>
            <w:tcW w:type="dxa" w:w="1656"/>
            <w:shd w:fill="F2F2F2"/>
          </w:tcPr>
          <w:p>
            <w:pPr>
              <w:jc w:val="center"/>
            </w:pPr>
            <w:r>
              <w:rPr>
                <w:rFonts w:ascii="Arial" w:hAnsi="Arial"/>
                <w:b w:val="0"/>
                <w:i w:val="0"/>
                <w:color w:val="333333"/>
                <w:sz w:val="18"/>
              </w:rPr>
              <w:t>809 / 18</w:t>
            </w:r>
          </w:p>
        </w:tc>
      </w:tr>
    </w:tbl>
    <w:p>
      <w:pPr>
        <w:spacing w:after="200"/>
      </w:pPr>
    </w:p>
    <w:p>
      <w:pPr>
        <w:spacing w:before="240" w:after="120"/>
      </w:pPr>
      <w:r>
        <w:rPr>
          <w:b/>
          <w:color w:val="1F4E79"/>
          <w:sz w:val="28"/>
        </w:rPr>
        <w:t>8. Estimations Dynamiques (Modèle ARDL) et IRF</w:t>
      </w:r>
    </w:p>
    <w:p>
      <w:r>
        <w:t>Dans l'estimation IV en différences premières (utilisant les niveaux Y_{it-2} et X_{it-2} comme instruments), le coefficient autoregressif (b_y) de la croissance du PIB estimé est de 1.0156. Cette valeur étant supérieure à 1, le modèle est non-stationnaire (explosif). Le coefficient de long terme théorique n'est pas défini (divergent).</w:t>
      </w:r>
    </w:p>
    <w:p>
      <w:r>
        <w:rPr>
          <w:b/>
        </w:rPr>
        <w:t>Fonctions de réponse impulsionnelle (IRF) pour un choc unitaire sur dlenpr (prix de l'énergie) :</w:t>
      </w:r>
    </w:p>
    <w:p>
      <w:pPr>
        <w:ind w:left="576"/>
      </w:pPr>
      <w:r>
        <w:rPr>
          <w:b/>
        </w:rPr>
        <w:t xml:space="preserve">• t = 1 (Effet immédiat) : </w:t>
      </w:r>
      <w:r>
        <w:t>-0.0086 (non significatif en IV)</w:t>
        <w:br/>
      </w:r>
      <w:r>
        <w:rPr>
          <w:b/>
        </w:rPr>
        <w:t xml:space="preserve">• t = 2 (Effet cumulé) : </w:t>
      </w:r>
      <w:r>
        <w:t>-0.0222</w:t>
        <w:br/>
      </w:r>
      <w:r>
        <w:rPr>
          <w:b/>
        </w:rPr>
        <w:t xml:space="preserve">• t = 3 (Effet cumulé) : </w:t>
      </w:r>
      <w:r>
        <w:t>-0.0362</w:t>
        <w:br/>
      </w:r>
      <w:r>
        <w:rPr>
          <w:b/>
        </w:rPr>
        <w:t xml:space="preserve">• t = 4 (Effet cumulé) : </w:t>
      </w:r>
      <w:r>
        <w:t>-0.0504</w:t>
        <w:br/>
      </w:r>
    </w:p>
    <w:p>
      <w:r>
        <w:t>Le test de Hausman (statistique = 53.55, p-value = 2.30e-8) confirme l'endogénéité des régresseurs et la nécessité d'instrumenter.</w:t>
      </w:r>
    </w:p>
    <w:p>
      <w:pPr>
        <w:spacing w:before="240" w:after="120"/>
      </w:pPr>
      <w:r>
        <w:rPr>
          <w:b/>
          <w:color w:val="1F4E79"/>
          <w:sz w:val="28"/>
        </w:rPr>
        <w:t>9. Extension : Effets Fixes avec Variable d'Interaction</w:t>
      </w:r>
    </w:p>
    <w:p>
      <w:r>
        <w:t>Pour tester l'hypothèse selon laquelle les pays ayant une intensité énergétique initiale plus forte (Zi = intensity) subissent de manière plus intense les chocs de prix d'énergie (Xit = dlenpr), nous avons estimé un modèle FE avec interaction :</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shd w:fill="1F4E79"/>
          </w:tcPr>
          <w:p>
            <w:pPr>
              <w:jc w:val="center"/>
            </w:pPr>
            <w:r>
              <w:rPr>
                <w:rFonts w:ascii="Arial" w:hAnsi="Arial"/>
                <w:b/>
                <w:i w:val="0"/>
                <w:color w:val="FFFFFF"/>
                <w:sz w:val="19"/>
              </w:rPr>
              <w:t>Régresseur</w:t>
            </w:r>
          </w:p>
        </w:tc>
        <w:tc>
          <w:tcPr>
            <w:tcW w:type="dxa" w:w="1987"/>
            <w:shd w:fill="1F4E79"/>
          </w:tcPr>
          <w:p>
            <w:pPr>
              <w:jc w:val="center"/>
            </w:pPr>
            <w:r>
              <w:rPr>
                <w:rFonts w:ascii="Arial" w:hAnsi="Arial"/>
                <w:b/>
                <w:i w:val="0"/>
                <w:color w:val="FFFFFF"/>
                <w:sz w:val="19"/>
              </w:rPr>
              <w:t>Coefficient</w:t>
            </w:r>
          </w:p>
        </w:tc>
        <w:tc>
          <w:tcPr>
            <w:tcW w:type="dxa" w:w="1987"/>
            <w:shd w:fill="1F4E79"/>
          </w:tcPr>
          <w:p>
            <w:pPr>
              <w:jc w:val="center"/>
            </w:pPr>
            <w:r>
              <w:rPr>
                <w:rFonts w:ascii="Arial" w:hAnsi="Arial"/>
                <w:b/>
                <w:i w:val="0"/>
                <w:color w:val="FFFFFF"/>
                <w:sz w:val="19"/>
              </w:rPr>
              <w:t>Std. Err.</w:t>
            </w:r>
          </w:p>
        </w:tc>
        <w:tc>
          <w:tcPr>
            <w:tcW w:type="dxa" w:w="1987"/>
            <w:shd w:fill="1F4E79"/>
          </w:tcPr>
          <w:p>
            <w:pPr>
              <w:jc w:val="center"/>
            </w:pPr>
            <w:r>
              <w:rPr>
                <w:rFonts w:ascii="Arial" w:hAnsi="Arial"/>
                <w:b/>
                <w:i w:val="0"/>
                <w:color w:val="FFFFFF"/>
                <w:sz w:val="19"/>
              </w:rPr>
              <w:t>t-stat</w:t>
            </w:r>
          </w:p>
        </w:tc>
        <w:tc>
          <w:tcPr>
            <w:tcW w:type="dxa" w:w="1987"/>
            <w:shd w:fill="1F4E79"/>
          </w:tcPr>
          <w:p>
            <w:pPr>
              <w:jc w:val="center"/>
            </w:pPr>
            <w:r>
              <w:rPr>
                <w:rFonts w:ascii="Arial" w:hAnsi="Arial"/>
                <w:b/>
                <w:i w:val="0"/>
                <w:color w:val="FFFFFF"/>
                <w:sz w:val="19"/>
              </w:rPr>
              <w:t>P-value</w:t>
            </w:r>
          </w:p>
        </w:tc>
      </w:tr>
      <w:tr>
        <w:tc>
          <w:tcPr>
            <w:tcW w:type="dxa" w:w="1987"/>
            <w:shd w:fill="F2F2F2"/>
          </w:tcPr>
          <w:p>
            <w:pPr>
              <w:jc w:val="left"/>
            </w:pPr>
            <w:r>
              <w:rPr>
                <w:rFonts w:ascii="Arial" w:hAnsi="Arial"/>
                <w:b w:val="0"/>
                <w:i w:val="0"/>
                <w:color w:val="333333"/>
                <w:sz w:val="18"/>
              </w:rPr>
              <w:t>Intercept</w:t>
            </w:r>
          </w:p>
        </w:tc>
        <w:tc>
          <w:tcPr>
            <w:tcW w:type="dxa" w:w="1987"/>
            <w:shd w:fill="F2F2F2"/>
          </w:tcPr>
          <w:p>
            <w:pPr>
              <w:jc w:val="center"/>
            </w:pPr>
            <w:r>
              <w:rPr>
                <w:rFonts w:ascii="Arial" w:hAnsi="Arial"/>
                <w:b w:val="0"/>
                <w:i w:val="0"/>
                <w:color w:val="333333"/>
                <w:sz w:val="18"/>
              </w:rPr>
              <w:t>0.0182</w:t>
            </w:r>
          </w:p>
        </w:tc>
        <w:tc>
          <w:tcPr>
            <w:tcW w:type="dxa" w:w="1987"/>
            <w:shd w:fill="F2F2F2"/>
          </w:tcPr>
          <w:p>
            <w:pPr>
              <w:jc w:val="center"/>
            </w:pPr>
            <w:r>
              <w:rPr>
                <w:rFonts w:ascii="Arial" w:hAnsi="Arial"/>
                <w:b w:val="0"/>
                <w:i w:val="0"/>
                <w:color w:val="333333"/>
                <w:sz w:val="18"/>
              </w:rPr>
              <w:t>0.0012</w:t>
            </w:r>
          </w:p>
        </w:tc>
        <w:tc>
          <w:tcPr>
            <w:tcW w:type="dxa" w:w="1987"/>
            <w:shd w:fill="F2F2F2"/>
          </w:tcPr>
          <w:p>
            <w:pPr>
              <w:jc w:val="center"/>
            </w:pPr>
            <w:r>
              <w:rPr>
                <w:rFonts w:ascii="Arial" w:hAnsi="Arial"/>
                <w:b w:val="0"/>
                <w:i w:val="0"/>
                <w:color w:val="333333"/>
                <w:sz w:val="18"/>
              </w:rPr>
              <w:t>14.619</w:t>
            </w:r>
          </w:p>
        </w:tc>
        <w:tc>
          <w:tcPr>
            <w:tcW w:type="dxa" w:w="1987"/>
            <w:shd w:fill="F2F2F2"/>
          </w:tcPr>
          <w:p>
            <w:pPr>
              <w:jc w:val="center"/>
            </w:pPr>
            <w:r>
              <w:rPr>
                <w:rFonts w:ascii="Arial" w:hAnsi="Arial"/>
                <w:b w:val="0"/>
                <w:i w:val="0"/>
                <w:color w:val="333333"/>
                <w:sz w:val="18"/>
              </w:rPr>
              <w:t>0.0000</w:t>
            </w:r>
          </w:p>
        </w:tc>
      </w:tr>
      <w:tr>
        <w:tc>
          <w:tcPr>
            <w:tcW w:type="dxa" w:w="1987"/>
            <w:shd w:fill="FFFFFF"/>
          </w:tcPr>
          <w:p>
            <w:pPr>
              <w:jc w:val="left"/>
            </w:pPr>
            <w:r>
              <w:rPr>
                <w:rFonts w:ascii="Arial" w:hAnsi="Arial"/>
                <w:b w:val="0"/>
                <w:i w:val="0"/>
                <w:color w:val="333333"/>
                <w:sz w:val="18"/>
              </w:rPr>
              <w:t>dlenpr (beta1)</w:t>
            </w:r>
          </w:p>
        </w:tc>
        <w:tc>
          <w:tcPr>
            <w:tcW w:type="dxa" w:w="1987"/>
            <w:shd w:fill="FFFFFF"/>
          </w:tcPr>
          <w:p>
            <w:pPr>
              <w:jc w:val="center"/>
            </w:pPr>
            <w:r>
              <w:rPr>
                <w:rFonts w:ascii="Arial" w:hAnsi="Arial"/>
                <w:b w:val="0"/>
                <w:i w:val="0"/>
                <w:color w:val="333333"/>
                <w:sz w:val="18"/>
              </w:rPr>
              <w:t>-0.0756</w:t>
            </w:r>
          </w:p>
        </w:tc>
        <w:tc>
          <w:tcPr>
            <w:tcW w:type="dxa" w:w="1987"/>
            <w:shd w:fill="FFFFFF"/>
          </w:tcPr>
          <w:p>
            <w:pPr>
              <w:jc w:val="center"/>
            </w:pPr>
            <w:r>
              <w:rPr>
                <w:rFonts w:ascii="Arial" w:hAnsi="Arial"/>
                <w:b w:val="0"/>
                <w:i w:val="0"/>
                <w:color w:val="333333"/>
                <w:sz w:val="18"/>
              </w:rPr>
              <w:t>0.0327</w:t>
            </w:r>
          </w:p>
        </w:tc>
        <w:tc>
          <w:tcPr>
            <w:tcW w:type="dxa" w:w="1987"/>
            <w:shd w:fill="FFFFFF"/>
          </w:tcPr>
          <w:p>
            <w:pPr>
              <w:jc w:val="center"/>
            </w:pPr>
            <w:r>
              <w:rPr>
                <w:rFonts w:ascii="Arial" w:hAnsi="Arial"/>
                <w:b w:val="0"/>
                <w:i w:val="0"/>
                <w:color w:val="333333"/>
                <w:sz w:val="18"/>
              </w:rPr>
              <w:t>-2.310</w:t>
            </w:r>
          </w:p>
        </w:tc>
        <w:tc>
          <w:tcPr>
            <w:tcW w:type="dxa" w:w="1987"/>
            <w:shd w:fill="FFFFFF"/>
          </w:tcPr>
          <w:p>
            <w:pPr>
              <w:jc w:val="center"/>
            </w:pPr>
            <w:r>
              <w:rPr>
                <w:rFonts w:ascii="Arial" w:hAnsi="Arial"/>
                <w:b w:val="0"/>
                <w:i w:val="0"/>
                <w:color w:val="333333"/>
                <w:sz w:val="18"/>
              </w:rPr>
              <w:t>0.0211</w:t>
            </w:r>
          </w:p>
        </w:tc>
      </w:tr>
      <w:tr>
        <w:tc>
          <w:tcPr>
            <w:tcW w:type="dxa" w:w="1987"/>
            <w:shd w:fill="F2F2F2"/>
          </w:tcPr>
          <w:p>
            <w:pPr>
              <w:jc w:val="left"/>
            </w:pPr>
            <w:r>
              <w:rPr>
                <w:rFonts w:ascii="Arial" w:hAnsi="Arial"/>
                <w:b w:val="0"/>
                <w:i w:val="0"/>
                <w:color w:val="333333"/>
                <w:sz w:val="18"/>
              </w:rPr>
              <w:t>interaction (beta2)</w:t>
            </w:r>
          </w:p>
        </w:tc>
        <w:tc>
          <w:tcPr>
            <w:tcW w:type="dxa" w:w="1987"/>
            <w:shd w:fill="F2F2F2"/>
          </w:tcPr>
          <w:p>
            <w:pPr>
              <w:jc w:val="center"/>
            </w:pPr>
            <w:r>
              <w:rPr>
                <w:rFonts w:ascii="Arial" w:hAnsi="Arial"/>
                <w:b w:val="0"/>
                <w:i w:val="0"/>
                <w:color w:val="333333"/>
                <w:sz w:val="18"/>
              </w:rPr>
              <w:t>0.0076</w:t>
            </w:r>
          </w:p>
        </w:tc>
        <w:tc>
          <w:tcPr>
            <w:tcW w:type="dxa" w:w="1987"/>
            <w:shd w:fill="F2F2F2"/>
          </w:tcPr>
          <w:p>
            <w:pPr>
              <w:jc w:val="center"/>
            </w:pPr>
            <w:r>
              <w:rPr>
                <w:rFonts w:ascii="Arial" w:hAnsi="Arial"/>
                <w:b w:val="0"/>
                <w:i w:val="0"/>
                <w:color w:val="333333"/>
                <w:sz w:val="18"/>
              </w:rPr>
              <w:t>0.0048</w:t>
            </w:r>
          </w:p>
        </w:tc>
        <w:tc>
          <w:tcPr>
            <w:tcW w:type="dxa" w:w="1987"/>
            <w:shd w:fill="F2F2F2"/>
          </w:tcPr>
          <w:p>
            <w:pPr>
              <w:jc w:val="center"/>
            </w:pPr>
            <w:r>
              <w:rPr>
                <w:rFonts w:ascii="Arial" w:hAnsi="Arial"/>
                <w:b w:val="0"/>
                <w:i w:val="0"/>
                <w:color w:val="333333"/>
                <w:sz w:val="18"/>
              </w:rPr>
              <w:t>1.579</w:t>
            </w:r>
          </w:p>
        </w:tc>
        <w:tc>
          <w:tcPr>
            <w:tcW w:type="dxa" w:w="1987"/>
            <w:shd w:fill="F2F2F2"/>
          </w:tcPr>
          <w:p>
            <w:pPr>
              <w:jc w:val="center"/>
            </w:pPr>
            <w:r>
              <w:rPr>
                <w:rFonts w:ascii="Arial" w:hAnsi="Arial"/>
                <w:b w:val="0"/>
                <w:i w:val="0"/>
                <w:color w:val="333333"/>
                <w:sz w:val="18"/>
              </w:rPr>
              <w:t>0.1148</w:t>
            </w:r>
          </w:p>
        </w:tc>
      </w:tr>
      <w:tr>
        <w:tc>
          <w:tcPr>
            <w:tcW w:type="dxa" w:w="1987"/>
            <w:shd w:fill="FFFFFF"/>
          </w:tcPr>
          <w:p>
            <w:pPr>
              <w:jc w:val="left"/>
            </w:pPr>
            <w:r>
              <w:rPr>
                <w:rFonts w:ascii="Arial" w:hAnsi="Arial"/>
                <w:b w:val="0"/>
                <w:i w:val="0"/>
                <w:color w:val="333333"/>
                <w:sz w:val="18"/>
              </w:rPr>
              <w:t>dlcpi</w:t>
            </w:r>
          </w:p>
        </w:tc>
        <w:tc>
          <w:tcPr>
            <w:tcW w:type="dxa" w:w="1987"/>
            <w:shd w:fill="FFFFFF"/>
          </w:tcPr>
          <w:p>
            <w:pPr>
              <w:jc w:val="center"/>
            </w:pPr>
            <w:r>
              <w:rPr>
                <w:rFonts w:ascii="Arial" w:hAnsi="Arial"/>
                <w:b w:val="0"/>
                <w:i w:val="0"/>
                <w:color w:val="333333"/>
                <w:sz w:val="18"/>
              </w:rPr>
              <w:t>0.0485</w:t>
            </w:r>
          </w:p>
        </w:tc>
        <w:tc>
          <w:tcPr>
            <w:tcW w:type="dxa" w:w="1987"/>
            <w:shd w:fill="FFFFFF"/>
          </w:tcPr>
          <w:p>
            <w:pPr>
              <w:jc w:val="center"/>
            </w:pPr>
            <w:r>
              <w:rPr>
                <w:rFonts w:ascii="Arial" w:hAnsi="Arial"/>
                <w:b w:val="0"/>
                <w:i w:val="0"/>
                <w:color w:val="333333"/>
                <w:sz w:val="18"/>
              </w:rPr>
              <w:t>0.0283</w:t>
            </w:r>
          </w:p>
        </w:tc>
        <w:tc>
          <w:tcPr>
            <w:tcW w:type="dxa" w:w="1987"/>
            <w:shd w:fill="FFFFFF"/>
          </w:tcPr>
          <w:p>
            <w:pPr>
              <w:jc w:val="center"/>
            </w:pPr>
            <w:r>
              <w:rPr>
                <w:rFonts w:ascii="Arial" w:hAnsi="Arial"/>
                <w:b w:val="0"/>
                <w:i w:val="0"/>
                <w:color w:val="333333"/>
                <w:sz w:val="18"/>
              </w:rPr>
              <w:t>1.715</w:t>
            </w:r>
          </w:p>
        </w:tc>
        <w:tc>
          <w:tcPr>
            <w:tcW w:type="dxa" w:w="1987"/>
            <w:shd w:fill="FFFFFF"/>
          </w:tcPr>
          <w:p>
            <w:pPr>
              <w:jc w:val="center"/>
            </w:pPr>
            <w:r>
              <w:rPr>
                <w:rFonts w:ascii="Arial" w:hAnsi="Arial"/>
                <w:b w:val="0"/>
                <w:i w:val="0"/>
                <w:color w:val="333333"/>
                <w:sz w:val="18"/>
              </w:rPr>
              <w:t>0.0868</w:t>
            </w:r>
          </w:p>
        </w:tc>
      </w:tr>
      <w:tr>
        <w:tc>
          <w:tcPr>
            <w:tcW w:type="dxa" w:w="1987"/>
            <w:shd w:fill="F2F2F2"/>
          </w:tcPr>
          <w:p>
            <w:pPr>
              <w:jc w:val="left"/>
            </w:pPr>
            <w:r>
              <w:rPr>
                <w:rFonts w:ascii="Arial" w:hAnsi="Arial"/>
                <w:b w:val="0"/>
                <w:i w:val="0"/>
                <w:color w:val="333333"/>
                <w:sz w:val="18"/>
              </w:rPr>
              <w:t>dopen</w:t>
            </w:r>
          </w:p>
        </w:tc>
        <w:tc>
          <w:tcPr>
            <w:tcW w:type="dxa" w:w="1987"/>
            <w:shd w:fill="F2F2F2"/>
          </w:tcPr>
          <w:p>
            <w:pPr>
              <w:jc w:val="center"/>
            </w:pPr>
            <w:r>
              <w:rPr>
                <w:rFonts w:ascii="Arial" w:hAnsi="Arial"/>
                <w:b w:val="0"/>
                <w:i w:val="0"/>
                <w:color w:val="333333"/>
                <w:sz w:val="18"/>
              </w:rPr>
              <w:t>0.0563</w:t>
            </w:r>
          </w:p>
        </w:tc>
        <w:tc>
          <w:tcPr>
            <w:tcW w:type="dxa" w:w="1987"/>
            <w:shd w:fill="F2F2F2"/>
          </w:tcPr>
          <w:p>
            <w:pPr>
              <w:jc w:val="center"/>
            </w:pPr>
            <w:r>
              <w:rPr>
                <w:rFonts w:ascii="Arial" w:hAnsi="Arial"/>
                <w:b w:val="0"/>
                <w:i w:val="0"/>
                <w:color w:val="333333"/>
                <w:sz w:val="18"/>
              </w:rPr>
              <w:t>0.0224</w:t>
            </w:r>
          </w:p>
        </w:tc>
        <w:tc>
          <w:tcPr>
            <w:tcW w:type="dxa" w:w="1987"/>
            <w:shd w:fill="F2F2F2"/>
          </w:tcPr>
          <w:p>
            <w:pPr>
              <w:jc w:val="center"/>
            </w:pPr>
            <w:r>
              <w:rPr>
                <w:rFonts w:ascii="Arial" w:hAnsi="Arial"/>
                <w:b w:val="0"/>
                <w:i w:val="0"/>
                <w:color w:val="333333"/>
                <w:sz w:val="18"/>
              </w:rPr>
              <w:t>2.514</w:t>
            </w:r>
          </w:p>
        </w:tc>
        <w:tc>
          <w:tcPr>
            <w:tcW w:type="dxa" w:w="1987"/>
            <w:shd w:fill="F2F2F2"/>
          </w:tcPr>
          <w:p>
            <w:pPr>
              <w:jc w:val="center"/>
            </w:pPr>
            <w:r>
              <w:rPr>
                <w:rFonts w:ascii="Arial" w:hAnsi="Arial"/>
                <w:b w:val="0"/>
                <w:i w:val="0"/>
                <w:color w:val="333333"/>
                <w:sz w:val="18"/>
              </w:rPr>
              <w:t>0.0121</w:t>
            </w:r>
          </w:p>
        </w:tc>
      </w:tr>
      <w:tr>
        <w:tc>
          <w:tcPr>
            <w:tcW w:type="dxa" w:w="1987"/>
            <w:shd w:fill="FFFFFF"/>
          </w:tcPr>
          <w:p>
            <w:pPr>
              <w:jc w:val="left"/>
            </w:pPr>
            <w:r>
              <w:rPr>
                <w:rFonts w:ascii="Arial" w:hAnsi="Arial"/>
                <w:b w:val="0"/>
                <w:i w:val="0"/>
                <w:color w:val="333333"/>
                <w:sz w:val="18"/>
              </w:rPr>
              <w:t>dexpgdp</w:t>
            </w:r>
          </w:p>
        </w:tc>
        <w:tc>
          <w:tcPr>
            <w:tcW w:type="dxa" w:w="1987"/>
            <w:shd w:fill="FFFFFF"/>
          </w:tcPr>
          <w:p>
            <w:pPr>
              <w:jc w:val="center"/>
            </w:pPr>
            <w:r>
              <w:rPr>
                <w:rFonts w:ascii="Arial" w:hAnsi="Arial"/>
                <w:b w:val="0"/>
                <w:i w:val="0"/>
                <w:color w:val="333333"/>
                <w:sz w:val="18"/>
              </w:rPr>
              <w:t>-0.1980</w:t>
            </w:r>
          </w:p>
        </w:tc>
        <w:tc>
          <w:tcPr>
            <w:tcW w:type="dxa" w:w="1987"/>
            <w:shd w:fill="FFFFFF"/>
          </w:tcPr>
          <w:p>
            <w:pPr>
              <w:jc w:val="center"/>
            </w:pPr>
            <w:r>
              <w:rPr>
                <w:rFonts w:ascii="Arial" w:hAnsi="Arial"/>
                <w:b w:val="0"/>
                <w:i w:val="0"/>
                <w:color w:val="333333"/>
                <w:sz w:val="18"/>
              </w:rPr>
              <w:t>0.1270</w:t>
            </w:r>
          </w:p>
        </w:tc>
        <w:tc>
          <w:tcPr>
            <w:tcW w:type="dxa" w:w="1987"/>
            <w:shd w:fill="FFFFFF"/>
          </w:tcPr>
          <w:p>
            <w:pPr>
              <w:jc w:val="center"/>
            </w:pPr>
            <w:r>
              <w:rPr>
                <w:rFonts w:ascii="Arial" w:hAnsi="Arial"/>
                <w:b w:val="0"/>
                <w:i w:val="0"/>
                <w:color w:val="333333"/>
                <w:sz w:val="18"/>
              </w:rPr>
              <w:t>-1.559</w:t>
            </w:r>
          </w:p>
        </w:tc>
        <w:tc>
          <w:tcPr>
            <w:tcW w:type="dxa" w:w="1987"/>
            <w:shd w:fill="FFFFFF"/>
          </w:tcPr>
          <w:p>
            <w:pPr>
              <w:jc w:val="center"/>
            </w:pPr>
            <w:r>
              <w:rPr>
                <w:rFonts w:ascii="Arial" w:hAnsi="Arial"/>
                <w:b w:val="0"/>
                <w:i w:val="0"/>
                <w:color w:val="333333"/>
                <w:sz w:val="18"/>
              </w:rPr>
              <w:t>0.1195</w:t>
            </w:r>
          </w:p>
        </w:tc>
      </w:tr>
      <w:tr>
        <w:tc>
          <w:tcPr>
            <w:tcW w:type="dxa" w:w="1987"/>
            <w:shd w:fill="F2F2F2"/>
          </w:tcPr>
          <w:p>
            <w:pPr>
              <w:jc w:val="left"/>
            </w:pPr>
            <w:r>
              <w:rPr>
                <w:rFonts w:ascii="Arial" w:hAnsi="Arial"/>
                <w:b w:val="0"/>
                <w:i w:val="0"/>
                <w:color w:val="333333"/>
                <w:sz w:val="18"/>
              </w:rPr>
              <w:t>diy</w:t>
            </w:r>
          </w:p>
        </w:tc>
        <w:tc>
          <w:tcPr>
            <w:tcW w:type="dxa" w:w="1987"/>
            <w:shd w:fill="F2F2F2"/>
          </w:tcPr>
          <w:p>
            <w:pPr>
              <w:jc w:val="center"/>
            </w:pPr>
            <w:r>
              <w:rPr>
                <w:rFonts w:ascii="Arial" w:hAnsi="Arial"/>
                <w:b w:val="0"/>
                <w:i w:val="0"/>
                <w:color w:val="333333"/>
                <w:sz w:val="18"/>
              </w:rPr>
              <w:t>0.7719</w:t>
            </w:r>
          </w:p>
        </w:tc>
        <w:tc>
          <w:tcPr>
            <w:tcW w:type="dxa" w:w="1987"/>
            <w:shd w:fill="F2F2F2"/>
          </w:tcPr>
          <w:p>
            <w:pPr>
              <w:jc w:val="center"/>
            </w:pPr>
            <w:r>
              <w:rPr>
                <w:rFonts w:ascii="Arial" w:hAnsi="Arial"/>
                <w:b w:val="0"/>
                <w:i w:val="0"/>
                <w:color w:val="333333"/>
                <w:sz w:val="18"/>
              </w:rPr>
              <w:t>0.1222</w:t>
            </w:r>
          </w:p>
        </w:tc>
        <w:tc>
          <w:tcPr>
            <w:tcW w:type="dxa" w:w="1987"/>
            <w:shd w:fill="F2F2F2"/>
          </w:tcPr>
          <w:p>
            <w:pPr>
              <w:jc w:val="center"/>
            </w:pPr>
            <w:r>
              <w:rPr>
                <w:rFonts w:ascii="Arial" w:hAnsi="Arial"/>
                <w:b w:val="0"/>
                <w:i w:val="0"/>
                <w:color w:val="333333"/>
                <w:sz w:val="18"/>
              </w:rPr>
              <w:t>6.319</w:t>
            </w:r>
          </w:p>
        </w:tc>
        <w:tc>
          <w:tcPr>
            <w:tcW w:type="dxa" w:w="1987"/>
            <w:shd w:fill="F2F2F2"/>
          </w:tcPr>
          <w:p>
            <w:pPr>
              <w:jc w:val="center"/>
            </w:pPr>
            <w:r>
              <w:rPr>
                <w:rFonts w:ascii="Arial" w:hAnsi="Arial"/>
                <w:b w:val="0"/>
                <w:i w:val="0"/>
                <w:color w:val="333333"/>
                <w:sz w:val="18"/>
              </w:rPr>
              <w:t>0.0000</w:t>
            </w:r>
          </w:p>
        </w:tc>
      </w:tr>
    </w:tbl>
    <w:p>
      <w:pPr>
        <w:spacing w:after="200"/>
      </w:pPr>
    </w:p>
    <w:p>
      <w:r>
        <w:rPr>
          <w:b/>
        </w:rPr>
        <w:t>Interprétation :</w:t>
      </w:r>
    </w:p>
    <w:p>
      <w:pPr>
        <w:ind w:left="576"/>
      </w:pPr>
      <w:r>
        <w:t>L'effet direct du prix de l'énergie (beta1 = -0.0756) est négatif et statistiquement significatif au seuil de 5 %. Le terme d'interaction (beta2 = 0.0076) est quant à lui positif mais statistiquement non significatif (p = 0.1148). Pour un pays à l'intensité énergétique médiane (Z = 4.656), l'effet marginal de court terme estimé est de -0.0402. Cela indique qu'à court terme, l'intensité énergétique de départ ne module pas significativement l'effet de chocs énergétiques sur la croissance au sein d'une structure à effets fixes.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