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00"/>
      </w:pPr>
      <w:r>
        <w:rPr>
          <w:rFonts w:ascii="Arial" w:hAnsi="Arial"/>
          <w:b/>
          <w:color w:val="2F5F8F"/>
          <w:sz w:val="34"/>
        </w:rPr>
        <w:t>Development Trajectory: From Spoken Dialogue Models to Voice Agents</w:t>
      </w:r>
    </w:p>
    <w:p>
      <w:pPr>
        <w:spacing w:after="100"/>
      </w:pPr>
      <w:r>
        <w:rPr>
          <w:rFonts w:ascii="Arial" w:hAnsi="Arial"/>
          <w:b w:val="0"/>
          <w:i w:val="0"/>
          <w:sz w:val="16"/>
        </w:rPr>
        <w:t xml:space="preserve">Positioning the starting point. </w:t>
      </w:r>
      <w:r>
        <w:rPr>
          <w:rFonts w:ascii="Arial" w:hAnsi="Arial"/>
          <w:b w:val="0"/>
          <w:i w:val="0"/>
          <w:sz w:val="16"/>
        </w:rPr>
        <w:t>The engineering precursor appeared in duplex task systems, but this collection treats dGSLM (March 2022) as the opening of the generative spoken-dialogue-model track because it directly learns textless, two-channel dialogue generation. The subsequent mainline is a progressive coupling of speech representation, interaction timing, low-latency duplex generation, external tools, and explicit reasoning/action.</w:t>
      </w:r>
    </w:p>
    <w:tbl>
      <w:tblPr>
        <w:tblStyle w:val="TableGrid"/>
        <w:tblW w:type="dxa" w:w="15200"/>
        <w:tblLayout w:type="fixed"/>
        <w:tblLook w:firstColumn="1" w:firstRow="1" w:lastColumn="0" w:lastRow="0" w:noHBand="0" w:noVBand="1" w:val="04A0"/>
      </w:tblPr>
      <w:tblGrid>
        <w:gridCol w:w="1500"/>
        <w:gridCol w:w="1200"/>
        <w:gridCol w:w="3200"/>
        <w:gridCol w:w="4700"/>
        <w:gridCol w:w="46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12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Period</w:t>
            </w:r>
          </w:p>
        </w:tc>
        <w:tc>
          <w:tcPr>
            <w:tcW w:type="dxa" w:w="32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Representative milestones</w:t>
            </w:r>
          </w:p>
        </w:tc>
        <w:tc>
          <w:tcPr>
            <w:tcW w:type="dxa" w:w="47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Technical shift</w:t>
            </w:r>
          </w:p>
        </w:tc>
        <w:tc>
          <w:tcPr>
            <w:tcW w:type="dxa" w:w="4600"/>
            <w:vAlign w:val="center"/>
            <w:shd w:fill="1F4E78" w:val="clea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Capability boundary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Engineering precursor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9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 Conversation in Outbound Agent System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Modular duplex control demonstrates interruption-aware task delivery before a unified generative dialogue model exists.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Controller-centered task completion; speech understanding, dialogue policy, and synthesis remain separately orchestrated.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Model-track opening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2022.03-05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0">
              <w:r>
                <w:rPr>
                  <w:rFonts w:ascii="Arial" w:hAnsi="Arial"/>
                  <w:color w:val="0563C1"/>
                  <w:u w:val="single"/>
                  <w:sz w:val="13"/>
                </w:rPr>
                <w:t>Generative Spoken Dialogue Language Modeling (dGSLM)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1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 Conversation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Textless dual-channel generation and learned conversational timing move the field from pipeline behavior toward dialogue modeling.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Naturalistic speech and turn-taking emerge, but instruction following, external knowledge, and tool use remain limited.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Speech-native foundation models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2023.05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Arial" w:hAnsi="Arial"/>
                  <w:color w:val="0563C1"/>
                  <w:u w:val="single"/>
                  <w:sz w:val="13"/>
                </w:rPr>
                <w:t>SpeechGPT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Discrete speech units, an LLM backbone, and cross-modal instruction tuning unify speech perception and generation.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Instruction-following speech interaction becomes feasible, while most systems still depend on turn-based exchanges.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Real-time full-duplex models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2024.09-10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3">
              <w:r>
                <w:rPr>
                  <w:rFonts w:ascii="Arial" w:hAnsi="Arial"/>
                  <w:color w:val="0563C1"/>
                  <w:u w:val="single"/>
                  <w:sz w:val="13"/>
                </w:rPr>
                <w:t>Synchronous LLMs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4">
              <w:r>
                <w:rPr>
                  <w:rFonts w:ascii="Arial" w:hAnsi="Arial"/>
                  <w:color w:val="0563C1"/>
                  <w:u w:val="single"/>
                  <w:sz w:val="13"/>
                </w:rPr>
                <w:t>Moshi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5">
              <w:r>
                <w:rPr>
                  <w:rFonts w:ascii="Arial" w:hAnsi="Arial"/>
                  <w:color w:val="0563C1"/>
                  <w:u w:val="single"/>
                  <w:sz w:val="13"/>
                </w:rPr>
                <w:t>OmniFlatten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Streaming token generation, parallel user/system streams, and staged half-to-full-duplex training remove explicit turn boundaries.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Low-latency overlap, interruption, and backchannels improve naturalness; external action and long-horizon planning are not yet central.</w:t>
            </w:r>
          </w:p>
        </w:tc>
      </w:tr>
      <w:tr>
        <w:trPr>
          <w:cantSplit/>
        </w:trPr>
        <w:tc>
          <w:tcPr>
            <w:tcW w:type="dxa" w:w="15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Tool-augmented voice assistants</w:t>
            </w:r>
          </w:p>
        </w:tc>
        <w:tc>
          <w:tcPr>
            <w:tcW w:type="dxa" w:w="1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2025.10</w:t>
            </w:r>
          </w:p>
        </w:tc>
        <w:tc>
          <w:tcPr>
            <w:tcW w:type="dxa" w:w="32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6">
              <w:r>
                <w:rPr>
                  <w:rFonts w:ascii="Arial" w:hAnsi="Arial"/>
                  <w:color w:val="0563C1"/>
                  <w:u w:val="single"/>
                  <w:sz w:val="13"/>
                </w:rPr>
                <w:t>Stream RAG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7">
              <w:r>
                <w:rPr>
                  <w:rFonts w:ascii="Arial" w:hAnsi="Arial"/>
                  <w:color w:val="0563C1"/>
                  <w:u w:val="single"/>
                  <w:sz w:val="13"/>
                </w:rPr>
                <w:t>VoiceAgentBench</w:t>
              </w:r>
            </w:hyperlink>
          </w:p>
        </w:tc>
        <w:tc>
          <w:tcPr>
            <w:tcW w:type="dxa" w:w="47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Speech-in/speech-out systems issue tool calls during incoming speech, while benchmarks introduce multi-tool and multi-turn agentic tasks.</w:t>
            </w:r>
          </w:p>
        </w:tc>
        <w:tc>
          <w:tcPr>
            <w:tcW w:type="dxa" w:w="4600"/>
            <w:shd w:fill="EEF4F9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Grounded task execution emerges, but robust orchestration and long-horizon planning remain open problems.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3"/>
              </w:rPr>
              <w:t>Agentic spoken dialogue</w:t>
            </w:r>
          </w:p>
        </w:tc>
        <w:tc>
          <w:tcPr>
            <w:tcW w:type="dxa" w:w="1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3"/>
              </w:rPr>
              <w:t>2026.04-07</w:t>
            </w:r>
          </w:p>
        </w:tc>
        <w:tc>
          <w:tcPr>
            <w:tcW w:type="dxa" w:w="32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hyperlink r:id="rId18">
              <w:r>
                <w:rPr>
                  <w:rFonts w:ascii="Arial" w:hAnsi="Arial"/>
                  <w:color w:val="0563C1"/>
                  <w:u w:val="single"/>
                  <w:sz w:val="13"/>
                </w:rPr>
                <w:t>Full-Duplex-Bench-v3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19">
              <w:r>
                <w:rPr>
                  <w:rFonts w:ascii="Arial" w:hAnsi="Arial"/>
                  <w:color w:val="0563C1"/>
                  <w:u w:val="single"/>
                  <w:sz w:val="13"/>
                </w:rPr>
                <w:t>DuplexSLA</w:t>
              </w:r>
            </w:hyperlink>
            <w:r>
              <w:rPr>
                <w:rFonts w:ascii="Arial" w:hAnsi="Arial"/>
                <w:sz w:val="13"/>
              </w:rPr>
              <w:t xml:space="preserve">; </w:t>
            </w:r>
            <w:hyperlink r:id="rId20">
              <w:r>
                <w:rPr>
                  <w:rFonts w:ascii="Arial" w:hAnsi="Arial"/>
                  <w:color w:val="0563C1"/>
                  <w:u w:val="single"/>
                  <w:sz w:val="13"/>
                </w:rPr>
                <w:t>VoxMind</w:t>
              </w:r>
            </w:hyperlink>
          </w:p>
        </w:tc>
        <w:tc>
          <w:tcPr>
            <w:tcW w:type="dxa" w:w="47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Think-before-speak reasoning, dynamic tool management, synchronized language/action generation, and realistic tool-use evaluation converge.</w:t>
            </w:r>
          </w:p>
        </w:tc>
        <w:tc>
          <w:tcPr>
            <w:tcW w:type="dxa" w:w="4600"/>
            <w:shd w:fill="FFFFFF" w:val="clear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3"/>
              </w:rPr>
              <w:t>The reason-plan-act loop is integrated with speech; persistent memory, safety, and reliable long-horizon autonomy remain unresolved.</w:t>
            </w:r>
          </w:p>
        </w:tc>
      </w:tr>
    </w:tbl>
    <w:p>
      <w:pPr>
        <w:pStyle w:val="Heading2"/>
        <w:spacing w:before="0" w:after="60"/>
      </w:pPr>
      <w:r>
        <w:rPr>
          <w:rFonts w:ascii="Arial" w:hAnsi="Arial"/>
          <w:b/>
          <w:color w:val="2F5F8F"/>
          <w:sz w:val="22"/>
        </w:rPr>
        <w:t>The Mainline</w:t>
      </w:r>
    </w:p>
    <w:p>
      <w:pPr>
        <w:pStyle w:val="ListBullet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Representation: ASR/text/TTS pipelines -&gt; discrete speech units -&gt; parallel semantic and acoustic streams.</w:t>
      </w:r>
    </w:p>
    <w:p>
      <w:pPr>
        <w:pStyle w:val="ListBullet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Interaction: explicit turn boundaries -&gt; streaming and controlled barge-in -&gt; full-duplex overlap and backchannels.</w:t>
      </w:r>
    </w:p>
    <w:p>
      <w:pPr>
        <w:pStyle w:val="ListBullet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Capability: dialogue generation -&gt; cross-modal instruction following -&gt; retrieval and tool use -&gt; reason-plan-act behavior.</w:t>
      </w:r>
    </w:p>
    <w:p>
      <w:pPr>
        <w:pStyle w:val="ListBullet"/>
        <w:spacing w:after="0"/>
        <w:ind w:left="312" w:hanging="142"/>
      </w:pPr>
      <w:r>
        <w:rPr>
          <w:rFonts w:ascii="Arial" w:hAnsi="Arial"/>
          <w:b w:val="0"/>
          <w:i w:val="0"/>
          <w:sz w:val="15"/>
        </w:rPr>
        <w:t>Evaluation: speech quality and turn timing -&gt; latency/interruption -&gt; multi-tool correctness and end-to-end task completion.</w:t>
      </w:r>
    </w:p>
    <w:p>
      <w:pPr>
        <w:spacing w:after="0"/>
      </w:pPr>
      <w:r>
        <w:rPr>
          <w:rFonts w:ascii="Arial" w:hAnsi="Arial"/>
          <w:b w:val="0"/>
          <w:i/>
          <w:color w:val="5B6573"/>
          <w:sz w:val="14"/>
        </w:rPr>
        <w:t xml:space="preserve">Scope note. </w:t>
      </w:r>
      <w:r>
        <w:rPr>
          <w:rFonts w:ascii="Arial" w:hAnsi="Arial"/>
          <w:b w:val="0"/>
          <w:i/>
          <w:color w:val="5B6573"/>
          <w:sz w:val="14"/>
        </w:rPr>
        <w:t>All representative milestones above are already listed in the earlier Datasets, Evaluation &amp; Benchmarks, Models, or Training Methods sections; no additional bibliography entry was introduced solely for this trajectory.</w:t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hAnsi="Arial"/>
          <w:b/>
          <w:color w:val="2F5F8F"/>
          <w:sz w:val="34"/>
        </w:rPr>
        <w:t>Conceptual Development Curve</w:t>
      </w:r>
    </w:p>
    <w:p>
      <w:pPr>
        <w:spacing w:after="80"/>
      </w:pPr>
      <w:r>
        <w:rPr>
          <w:rFonts w:ascii="Arial" w:hAnsi="Arial"/>
          <w:b w:val="0"/>
          <w:i w:val="0"/>
          <w:sz w:val="16"/>
        </w:rPr>
        <w:t>The curve summarizes capability integration across representative milestones. Its vertical position is qualitative and must not be interpreted as a benchmark score or a claim that every newer system dominates every earlier system.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396000" cy="4295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ken_dialogue_model_to_agent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29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 w:val="0"/>
          <w:i/>
          <w:sz w:val="16"/>
        </w:rPr>
        <w:t>Figure 1. Conceptual development curve from generative spoken dialogue models to agentic voice systems. The dotted segment denotes engineering context; the solid curve begins with dGSLM in March 2022.</w:t>
      </w:r>
    </w:p>
    <w:p>
      <w:pPr>
        <w:spacing w:after="0"/>
      </w:pPr>
      <w:r>
        <w:rPr>
          <w:rFonts w:ascii="Arial" w:hAnsi="Arial"/>
          <w:b w:val="0"/>
          <w:i w:val="0"/>
          <w:sz w:val="16"/>
        </w:rPr>
        <w:t xml:space="preserve">Interpretation. </w:t>
      </w:r>
      <w:r>
        <w:rPr>
          <w:rFonts w:ascii="Arial" w:hAnsi="Arial"/>
          <w:b w:val="0"/>
          <w:i w:val="0"/>
          <w:sz w:val="16"/>
        </w:rPr>
        <w:t>The decisive transition is not speech synthesis quality alone. Model-centric systems learn to represent and generate conversational speech; interaction-centric systems add real-time synchrony; agent-centric systems close the loop by deciding when to reason, which tool or action to invoke, and how to continue speaking under latency and conversational constraints.</w:t>
      </w:r>
    </w:p>
    <w:sectPr w:rsidR="00FC693F" w:rsidRPr="0006063C" w:rsidSect="00034616">
      <w:pgSz w:w="16838" w:h="11906" w:orient="landscape"/>
      <w:pgMar w:top="709" w:right="794" w:bottom="709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ca-archive.org/interspeech_2021/jin21b_interspeech.html" TargetMode="External"/><Relationship Id="rId10" Type="http://schemas.openxmlformats.org/officeDocument/2006/relationships/hyperlink" Target="https://arxiv.org/abs/2203.16502" TargetMode="External"/><Relationship Id="rId11" Type="http://schemas.openxmlformats.org/officeDocument/2006/relationships/hyperlink" Target="https://arxiv.org/abs/2205.15060" TargetMode="External"/><Relationship Id="rId12" Type="http://schemas.openxmlformats.org/officeDocument/2006/relationships/hyperlink" Target="https://arxiv.org/abs/2305.11000" TargetMode="External"/><Relationship Id="rId13" Type="http://schemas.openxmlformats.org/officeDocument/2006/relationships/hyperlink" Target="https://arxiv.org/abs/2409.15594" TargetMode="External"/><Relationship Id="rId14" Type="http://schemas.openxmlformats.org/officeDocument/2006/relationships/hyperlink" Target="https://arxiv.org/abs/2410.00037" TargetMode="External"/><Relationship Id="rId15" Type="http://schemas.openxmlformats.org/officeDocument/2006/relationships/hyperlink" Target="https://arxiv.org/abs/2410.17799" TargetMode="External"/><Relationship Id="rId16" Type="http://schemas.openxmlformats.org/officeDocument/2006/relationships/hyperlink" Target="https://arxiv.org/abs/2510.02044" TargetMode="External"/><Relationship Id="rId17" Type="http://schemas.openxmlformats.org/officeDocument/2006/relationships/hyperlink" Target="https://arxiv.org/abs/2510.07978" TargetMode="External"/><Relationship Id="rId18" Type="http://schemas.openxmlformats.org/officeDocument/2006/relationships/hyperlink" Target="https://arxiv.org/abs/2604.04847" TargetMode="External"/><Relationship Id="rId19" Type="http://schemas.openxmlformats.org/officeDocument/2006/relationships/hyperlink" Target="https://arxiv.org/abs/2605.20755" TargetMode="External"/><Relationship Id="rId20" Type="http://schemas.openxmlformats.org/officeDocument/2006/relationships/hyperlink" Target="https://aclanthology.org/2026.acl-long.459/" TargetMode="External"/><Relationship Id="rId2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