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2332" w:val="clear"/>
            <w:tcMar>
              <w:top w:type="dxa" w:w="260"/>
              <w:left w:type="dxa" w:w="300"/>
              <w:bottom w:type="dxa" w:w="260"/>
              <w:right w:type="dxa" w:w="300"/>
            </w:tcMar>
          </w:tcPr>
          <w:p>
            <w:pPr>
              <w:spacing w:after="60" w:before="0"/>
              <w:jc w:val="center"/>
            </w:pPr>
            <w:r>
              <w:rPr>
                <w:rFonts w:ascii="Calibri" w:cs="Calibri" w:eastAsia="Calibri" w:hAnsi="Calibri"/>
                <w:b/>
                <w:bCs/>
                <w:color w:val="A8D8B0"/>
                <w:sz w:val="18"/>
                <w:szCs w:val="18"/>
              </w:rPr>
              <w:t xml:space="preserve">DATA DICTIONARY</w:t>
            </w:r>
          </w:p>
          <w:p>
            <w:pPr>
              <w:spacing w:after="60" w:before="0"/>
              <w:jc w:val="center"/>
            </w:pPr>
            <w:r>
              <w:rPr>
                <w:rFonts w:ascii="Calibri" w:cs="Calibri" w:eastAsia="Calibri" w:hAnsi="Calibri"/>
                <w:b/>
                <w:bCs/>
                <w:color w:val="FFFFFF"/>
                <w:sz w:val="46"/>
                <w:szCs w:val="46"/>
              </w:rPr>
              <w:t xml:space="preserve">Student Enrollment Dataset</w:t>
            </w:r>
          </w:p>
          <w:p>
            <w:pPr>
              <w:spacing w:after="60" w:before="0"/>
              <w:jc w:val="center"/>
            </w:pPr>
            <w:r>
              <w:rPr>
                <w:rFonts w:ascii="Courier New" w:cs="Courier New" w:eastAsia="Courier New" w:hAnsi="Courier New"/>
                <w:b w:val="false"/>
                <w:bCs w:val="false"/>
                <w:color w:val="F5A855"/>
                <w:sz w:val="22"/>
                <w:szCs w:val="22"/>
              </w:rPr>
              <w:t xml:space="preserve">students_dirty_10k.csv</w:t>
            </w:r>
          </w:p>
          <w:p>
            <w:pPr>
              <w:spacing w:after="80" w:before="0"/>
              <w:jc w:val="center"/>
            </w:pPr>
            <w:r>
              <w:rPr>
                <w:rFonts w:ascii="Calibri" w:cs="Calibri" w:eastAsia="Calibri" w:hAnsi="Calibri"/>
                <w:b w:val="false"/>
                <w:bCs w:val="false"/>
                <w:color w:val="E2E8F0"/>
                <w:sz w:val="18"/>
                <w:szCs w:val="18"/>
              </w:rPr>
              <w:t xml:space="preserve">University Student Information System  ·  Registrar's Office  ·  Semester Enrollment Records</w:t>
            </w:r>
          </w:p>
        </w:tc>
      </w:tr>
    </w:tbl>
    <w:p>
      <w:pPr>
        <w:spacing w:after="12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3112"/>
        <w:gridCol w:w="2000"/>
        <w:gridCol w:w="3112"/>
      </w:tblGrid>
      <w:tr>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Dataset</w:t>
            </w:r>
          </w:p>
        </w:tc>
        <w:tc>
          <w:tcPr>
            <w:tcW w:type="dxa" w:w="311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spacing w:after="80" w:before="0"/>
              <w:jc w:val="left"/>
            </w:pPr>
            <w:r>
              <w:rPr>
                <w:rFonts w:ascii="Courier New" w:cs="Courier New" w:eastAsia="Courier New" w:hAnsi="Courier New"/>
                <w:b w:val="false"/>
                <w:bCs w:val="false"/>
                <w:color w:val="1A2332"/>
                <w:sz w:val="19"/>
                <w:szCs w:val="19"/>
              </w:rPr>
              <w:t xml:space="preserve">students_dirty_10k.csv</w:t>
            </w:r>
          </w:p>
        </w:tc>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Version</w:t>
            </w:r>
          </w:p>
        </w:tc>
        <w:tc>
          <w:tcPr>
            <w:tcW w:type="dxa" w:w="311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spacing w:after="80" w:before="0"/>
              <w:jc w:val="left"/>
            </w:pPr>
            <w:r>
              <w:rPr>
                <w:rFonts w:ascii="Calibri" w:cs="Calibri" w:eastAsia="Calibri" w:hAnsi="Calibri"/>
                <w:b w:val="false"/>
                <w:bCs w:val="false"/>
                <w:color w:val="1A2332"/>
                <w:sz w:val="19"/>
                <w:szCs w:val="19"/>
              </w:rPr>
              <w:t xml:space="preserve">1.0</w:t>
            </w:r>
          </w:p>
        </w:tc>
      </w:tr>
      <w:tr>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Total Records</w:t>
            </w:r>
          </w:p>
        </w:tc>
        <w:tc>
          <w:tcPr>
            <w:tcW w:type="dxa" w:w="3112"/>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val="false"/>
                <w:bCs w:val="false"/>
                <w:color w:val="1A2332"/>
                <w:sz w:val="19"/>
                <w:szCs w:val="19"/>
              </w:rPr>
              <w:t xml:space="preserve">10,200 rows</w:t>
            </w:r>
          </w:p>
        </w:tc>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Total Fields</w:t>
            </w:r>
          </w:p>
        </w:tc>
        <w:tc>
          <w:tcPr>
            <w:tcW w:type="dxa" w:w="3112"/>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val="false"/>
                <w:bCs w:val="false"/>
                <w:color w:val="1A2332"/>
                <w:sz w:val="19"/>
                <w:szCs w:val="19"/>
              </w:rPr>
              <w:t xml:space="preserve">11 columns</w:t>
            </w:r>
          </w:p>
        </w:tc>
      </w:tr>
      <w:tr>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Domain</w:t>
            </w:r>
          </w:p>
        </w:tc>
        <w:tc>
          <w:tcPr>
            <w:tcW w:type="dxa" w:w="311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spacing w:after="80" w:before="0"/>
              <w:jc w:val="left"/>
            </w:pPr>
            <w:r>
              <w:rPr>
                <w:rFonts w:ascii="Calibri" w:cs="Calibri" w:eastAsia="Calibri" w:hAnsi="Calibri"/>
                <w:b w:val="false"/>
                <w:bCs w:val="false"/>
                <w:color w:val="1A2332"/>
                <w:sz w:val="19"/>
                <w:szCs w:val="19"/>
              </w:rPr>
              <w:t xml:space="preserve">University Student Information System</w:t>
            </w:r>
          </w:p>
        </w:tc>
        <w:tc>
          <w:tcPr>
            <w:tcW w:type="dxa" w:w="2000"/>
            <w:tcBorders>
              <w:top w:val="single" w:color="DDDDDD" w:sz="1"/>
              <w:left w:val="single" w:color="DDDDDD" w:sz="1"/>
              <w:bottom w:val="single" w:color="DDDDDD" w:sz="1"/>
              <w:right w:val="single" w:color="DDDDDD" w:sz="1"/>
            </w:tcBorders>
            <w:shd w:fill="F4F7F9" w:val="clear"/>
            <w:tcMar>
              <w:top w:type="dxa" w:w="70"/>
              <w:left w:type="dxa" w:w="120"/>
              <w:bottom w:type="dxa" w:w="70"/>
              <w:right w:type="dxa" w:w="80"/>
            </w:tcMar>
          </w:tcPr>
          <w:p>
            <w:pPr>
              <w:spacing w:after="80" w:before="0"/>
              <w:jc w:val="left"/>
            </w:pPr>
            <w:r>
              <w:rPr>
                <w:rFonts w:ascii="Calibri" w:cs="Calibri" w:eastAsia="Calibri" w:hAnsi="Calibri"/>
                <w:b/>
                <w:bCs/>
                <w:color w:val="0D1F3C"/>
                <w:sz w:val="19"/>
                <w:szCs w:val="19"/>
              </w:rPr>
              <w:t xml:space="preserve">Prepared For</w:t>
            </w:r>
          </w:p>
        </w:tc>
        <w:tc>
          <w:tcPr>
            <w:tcW w:type="dxa" w:w="3112"/>
            <w:tcBorders>
              <w:top w:val="single" w:color="DDDDDD" w:sz="1"/>
              <w:left w:val="single" w:color="DDDDDD" w:sz="1"/>
              <w:bottom w:val="single" w:color="DDDDDD" w:sz="1"/>
              <w:right w:val="single" w:color="DDDDDD" w:sz="1"/>
            </w:tcBorders>
            <w:shd w:fill="FFFFFF" w:val="clear"/>
            <w:tcMar>
              <w:top w:type="dxa" w:w="70"/>
              <w:left w:type="dxa" w:w="120"/>
              <w:bottom w:type="dxa" w:w="70"/>
              <w:right w:type="dxa" w:w="80"/>
            </w:tcMar>
          </w:tcPr>
          <w:p>
            <w:pPr>
              <w:spacing w:after="80" w:before="0"/>
              <w:jc w:val="left"/>
            </w:pPr>
            <w:r>
              <w:rPr>
                <w:rFonts w:ascii="Calibri" w:cs="Calibri" w:eastAsia="Calibri" w:hAnsi="Calibri"/>
                <w:b w:val="false"/>
                <w:bCs w:val="false"/>
                <w:color w:val="1A2332"/>
                <w:sz w:val="19"/>
                <w:szCs w:val="19"/>
              </w:rPr>
              <w:t xml:space="preserve">Data Analytics Course — Classroom Use</w:t>
            </w:r>
          </w:p>
        </w:tc>
      </w:tr>
    </w:tbl>
    <w:p>
      <w:pPr>
        <w:spacing w:after="16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2332" w:val="clear"/>
            <w:tcMar>
              <w:top w:type="dxa" w:w="120"/>
              <w:left w:type="dxa" w:w="200"/>
              <w:bottom w:type="dxa" w:w="120"/>
              <w:right w:type="dxa" w:w="120"/>
            </w:tcMar>
          </w:tcPr>
          <w:p>
            <w:pPr>
              <w:spacing w:after="0" w:before="0"/>
            </w:pPr>
            <w:r>
              <w:rPr>
                <w:rFonts w:ascii="Calibri" w:cs="Calibri" w:eastAsia="Calibri" w:hAnsi="Calibri"/>
                <w:b/>
                <w:bCs/>
                <w:color w:val="FFFFFF"/>
                <w:sz w:val="26"/>
                <w:szCs w:val="26"/>
              </w:rPr>
              <w:t xml:space="preserve">1.  Business Context</w:t>
            </w:r>
          </w:p>
        </w:tc>
      </w:tr>
    </w:tbl>
    <w:p>
      <w:pPr>
        <w:spacing w:after="80" w:before="0"/>
      </w:pPr>
    </w:p>
    <w:p>
      <w:pPr>
        <w:spacing w:after="80" w:before="0"/>
        <w:jc w:val="left"/>
      </w:pPr>
      <w:r>
        <w:rPr>
          <w:rFonts w:ascii="Calibri" w:cs="Calibri" w:eastAsia="Calibri" w:hAnsi="Calibri"/>
          <w:b w:val="false"/>
          <w:bCs w:val="false"/>
          <w:color w:val="1A2332"/>
          <w:sz w:val="21"/>
          <w:szCs w:val="21"/>
        </w:rPr>
        <w:t xml:space="preserve">This dataset contains semester enrollment records exported from the Student Information System (SIS) of a mid-sized Philippine university. Each row represents one enrolled student for the current semester. The data is managed by the Registrar's Office and is used for official enrollment reporting submitted to the Commission on Higher Education (CHED).</w:t>
      </w:r>
    </w:p>
    <w:p>
      <w:pPr>
        <w:spacing w:after="40" w:before="0"/>
        <w:jc w:val="left"/>
      </w:pPr>
      <w:r>
        <w:rPr>
          <w:rFonts w:ascii="Calibri" w:cs="Calibri" w:eastAsia="Calibri" w:hAnsi="Calibri"/>
          <w:b/>
          <w:bCs/>
          <w:color w:val="0D1F3C"/>
          <w:sz w:val="21"/>
          <w:szCs w:val="21"/>
        </w:rPr>
        <w:t xml:space="preserve">Data is collected through three sources:</w:t>
      </w:r>
    </w:p>
    <w:p>
      <w:pPr>
        <w:spacing w:after="50" w:before="0"/>
        <w:ind w:left="360"/>
      </w:pPr>
      <w:r>
        <w:rPr>
          <w:rFonts w:ascii="Calibri" w:cs="Calibri" w:eastAsia="Calibri" w:hAnsi="Calibri"/>
          <w:color w:val="1A2332"/>
          <w:sz w:val="21"/>
          <w:szCs w:val="21"/>
        </w:rPr>
        <w:t xml:space="preserve">▸   Online self-registration forms completed by students at the start of each semester.</w:t>
      </w:r>
    </w:p>
    <w:p>
      <w:pPr>
        <w:spacing w:after="50" w:before="0"/>
        <w:ind w:left="360"/>
      </w:pPr>
      <w:r>
        <w:rPr>
          <w:rFonts w:ascii="Calibri" w:cs="Calibri" w:eastAsia="Calibri" w:hAnsi="Calibri"/>
          <w:color w:val="1A2332"/>
          <w:sz w:val="21"/>
          <w:szCs w:val="21"/>
        </w:rPr>
        <w:t xml:space="preserve">▸   Automated import of continuing students from the previous semester's records.</w:t>
      </w:r>
    </w:p>
    <w:p>
      <w:pPr>
        <w:spacing w:after="50" w:before="0"/>
        <w:ind w:left="360"/>
      </w:pPr>
      <w:r>
        <w:rPr>
          <w:rFonts w:ascii="Calibri" w:cs="Calibri" w:eastAsia="Calibri" w:hAnsi="Calibri"/>
          <w:color w:val="1A2332"/>
          <w:sz w:val="21"/>
          <w:szCs w:val="21"/>
        </w:rPr>
        <w:t xml:space="preserve">▸   Manual encoding by Registrar staff for late enrollees and special cases.</w:t>
      </w:r>
    </w:p>
    <w:p>
      <w:pPr>
        <w:spacing w:after="80" w:before="0"/>
      </w:pPr>
    </w:p>
    <w:p>
      <w:pPr>
        <w:spacing w:after="80" w:before="0"/>
        <w:jc w:val="left"/>
      </w:pPr>
      <w:r>
        <w:rPr>
          <w:rFonts w:ascii="Calibri" w:cs="Calibri" w:eastAsia="Calibri" w:hAnsi="Calibri"/>
          <w:b w:val="false"/>
          <w:bCs w:val="false"/>
          <w:color w:val="64748B"/>
          <w:sz w:val="21"/>
          <w:szCs w:val="21"/>
        </w:rPr>
        <w:t xml:space="preserve">The dataset is intended for use in a data cleaning exercise. Students should treat this as a real-world export from an operational system and refer to this document when making any decisions about the data.</w:t>
      </w:r>
    </w:p>
    <w:p>
      <w:pPr>
        <w:spacing w:after="16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2332" w:val="clear"/>
            <w:tcMar>
              <w:top w:type="dxa" w:w="120"/>
              <w:left w:type="dxa" w:w="200"/>
              <w:bottom w:type="dxa" w:w="120"/>
              <w:right w:type="dxa" w:w="120"/>
            </w:tcMar>
          </w:tcPr>
          <w:p>
            <w:pPr>
              <w:spacing w:after="0" w:before="0"/>
            </w:pPr>
            <w:r>
              <w:rPr>
                <w:rFonts w:ascii="Calibri" w:cs="Calibri" w:eastAsia="Calibri" w:hAnsi="Calibri"/>
                <w:b/>
                <w:bCs/>
                <w:color w:val="FFFFFF"/>
                <w:sz w:val="26"/>
                <w:szCs w:val="26"/>
              </w:rPr>
              <w:t xml:space="preserve">2.  Field Definitions</w:t>
            </w:r>
          </w:p>
        </w:tc>
      </w:tr>
    </w:tbl>
    <w:p>
      <w:pPr>
        <w:spacing w:after="60" w:before="0"/>
      </w:pPr>
    </w:p>
    <w:p>
      <w:pPr>
        <w:spacing w:after="80" w:before="0"/>
        <w:jc w:val="left"/>
      </w:pPr>
      <w:r>
        <w:rPr>
          <w:rFonts w:ascii="Calibri" w:cs="Calibri" w:eastAsia="Calibri" w:hAnsi="Calibri"/>
          <w:b w:val="false"/>
          <w:bCs w:val="false"/>
          <w:color w:val="64748B"/>
          <w:sz w:val="20"/>
          <w:szCs w:val="20"/>
        </w:rPr>
        <w:t xml:space="preserve">The table below defines all 11 fields in the dataset. </w:t>
      </w:r>
      <w:r>
        <w:rPr>
          <w:rFonts w:ascii="Calibri" w:cs="Calibri" w:eastAsia="Calibri" w:hAnsi="Calibri"/>
          <w:b/>
          <w:bCs/>
          <w:color w:val="1B6B3A"/>
          <w:sz w:val="20"/>
          <w:szCs w:val="20"/>
        </w:rPr>
        <w:t xml:space="preserve">Required</w:t>
      </w:r>
      <w:r>
        <w:rPr>
          <w:rFonts w:ascii="Calibri" w:cs="Calibri" w:eastAsia="Calibri" w:hAnsi="Calibri"/>
          <w:b w:val="false"/>
          <w:bCs w:val="false"/>
          <w:color w:val="64748B"/>
          <w:sz w:val="20"/>
          <w:szCs w:val="20"/>
        </w:rPr>
        <w:t xml:space="preserve"> = the field must have a value for the record to be valid.  </w:t>
      </w:r>
      <w:r>
        <w:rPr>
          <w:rFonts w:ascii="Calibri" w:cs="Calibri" w:eastAsia="Calibri" w:hAnsi="Calibri"/>
          <w:b/>
          <w:bCs/>
          <w:color w:val="E07B2A"/>
          <w:sz w:val="20"/>
          <w:szCs w:val="20"/>
        </w:rPr>
        <w:t xml:space="preserve">Nullable</w:t>
      </w:r>
      <w:r>
        <w:rPr>
          <w:rFonts w:ascii="Calibri" w:cs="Calibri" w:eastAsia="Calibri" w:hAnsi="Calibri"/>
          <w:b w:val="false"/>
          <w:bCs w:val="false"/>
          <w:color w:val="64748B"/>
          <w:sz w:val="20"/>
          <w:szCs w:val="20"/>
        </w:rPr>
        <w:t xml:space="preserve"> = the field may legitimately be empty under certain business conditions.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840"/>
        <w:gridCol w:w="840"/>
        <w:gridCol w:w="2500"/>
        <w:gridCol w:w="3844"/>
      </w:tblGrid>
      <w:tr>
        <w:trPr>
          <w:tblHeader/>
        </w:trPr>
        <w:tc>
          <w:tcPr>
            <w:tcW w:type="dxa" w:w="130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Field Name</w:t>
            </w:r>
          </w:p>
        </w:tc>
        <w:tc>
          <w:tcPr>
            <w:tcW w:type="dxa" w:w="90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Data Type</w:t>
            </w:r>
          </w:p>
        </w:tc>
        <w:tc>
          <w:tcPr>
            <w:tcW w:type="dxa" w:w="84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Required</w:t>
            </w:r>
          </w:p>
        </w:tc>
        <w:tc>
          <w:tcPr>
            <w:tcW w:type="dxa" w:w="84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Nullable</w:t>
            </w:r>
          </w:p>
        </w:tc>
        <w:tc>
          <w:tcPr>
            <w:tcW w:type="dxa" w:w="2500"/>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Valid Values / Format</w:t>
            </w:r>
          </w:p>
        </w:tc>
        <w:tc>
          <w:tcPr>
            <w:tcW w:type="dxa" w:w="3844"/>
            <w:tcBorders>
              <w:top w:val="single" w:color="0D1F3C" w:sz="1"/>
              <w:left w:val="single" w:color="0D1F3C" w:sz="1"/>
              <w:bottom w:val="single" w:color="0D1F3C" w:sz="1"/>
              <w:right w:val="single" w:color="0D1F3C" w:sz="1"/>
            </w:tcBorders>
            <w:shd w:fill="0D1F3C" w:val="clear"/>
            <w:tcMar>
              <w:top w:type="dxa" w:w="80"/>
              <w:left w:type="dxa" w:w="100"/>
              <w:bottom w:type="dxa" w:w="80"/>
              <w:right w:type="dxa" w:w="80"/>
            </w:tcMar>
            <w:vAlign w:val="center"/>
          </w:tcPr>
          <w:p>
            <w:pPr>
              <w:spacing w:after="0" w:before="0"/>
              <w:jc w:val="center"/>
            </w:pPr>
            <w:r>
              <w:rPr>
                <w:rFonts w:ascii="Calibri" w:cs="Calibri" w:eastAsia="Calibri" w:hAnsi="Calibri"/>
                <w:b/>
                <w:bCs/>
                <w:color w:val="FFFFFF"/>
                <w:sz w:val="18"/>
                <w:szCs w:val="18"/>
              </w:rPr>
              <w:t xml:space="preserve">Description</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1B6B3A"/>
                <w:sz w:val="18"/>
                <w:szCs w:val="18"/>
              </w:rPr>
              <w:t xml:space="preserve">student_id</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2024NNNNN (9 chars)</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unique identifier assigned to each student by the Registrar's Office upon enrollment. Format is a 9-character string beginning with the 4-digit year followed by a 5-digit sequence number (e.g. 202400001).</w:t>
            </w:r>
          </w:p>
        </w:tc>
      </w:tr>
      <w:tr>
        <w:tc>
          <w:tcPr>
            <w:tcW w:type="dxa" w:w="13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bCs/>
                <w:color w:val="1B6B3A"/>
                <w:sz w:val="18"/>
                <w:szCs w:val="18"/>
              </w:rPr>
              <w:t xml:space="preserve">last_name</w:t>
            </w:r>
          </w:p>
        </w:tc>
        <w:tc>
          <w:tcPr>
            <w:tcW w:type="dxa" w:w="9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Non-empty text, Title Case</w:t>
            </w:r>
          </w:p>
        </w:tc>
        <w:tc>
          <w:tcPr>
            <w:tcW w:type="dxa" w:w="3844"/>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registered surname as it appears on their official government-issued identification. Stored in Title Case (e.g. Dela Cruz). Compound surnames with particles (de, dela, san) are included.</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1B6B3A"/>
                <w:sz w:val="18"/>
                <w:szCs w:val="18"/>
              </w:rPr>
              <w:t xml:space="preserve">first_name</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Non-empty text, Title Case</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registered given name as it appears on official identification. Stored in Title Case. Only the primary given name is recorded — middle names are stored separately in the full SIS but are not included in this export.</w:t>
            </w:r>
          </w:p>
        </w:tc>
      </w:tr>
      <w:tr>
        <w:tc>
          <w:tcPr>
            <w:tcW w:type="dxa" w:w="13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bCs/>
                <w:color w:val="E07B2A"/>
                <w:sz w:val="18"/>
                <w:szCs w:val="18"/>
              </w:rPr>
              <w:t xml:space="preserve">age</w:t>
            </w:r>
          </w:p>
        </w:tc>
        <w:tc>
          <w:tcPr>
            <w:tcW w:type="dxa" w:w="9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Integer</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17 – 35</w:t>
            </w:r>
          </w:p>
        </w:tc>
        <w:tc>
          <w:tcPr>
            <w:tcW w:type="dxa" w:w="3844"/>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age in whole years at the time of enrollment for the current semester. The university's minimum enrollment age is 17 years. The practical upper limit for regular undergraduate students is 35, though mature students may exceed this in special programs.</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E07B2A"/>
                <w:sz w:val="18"/>
                <w:szCs w:val="18"/>
              </w:rPr>
              <w:t xml:space="preserve">gender</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'M'  'F'  'Prefer not to say'</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self-identified gender as declared on the enrollment form. Exactly three values are recognized: 'M' for male, 'F' for female, and 'Prefer not to say' for students who choose not to disclose. These values are case-sensitive.</w:t>
            </w:r>
          </w:p>
        </w:tc>
      </w:tr>
      <w:tr>
        <w:tc>
          <w:tcPr>
            <w:tcW w:type="dxa" w:w="13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bCs/>
                <w:color w:val="E07B2A"/>
                <w:sz w:val="18"/>
                <w:szCs w:val="18"/>
              </w:rPr>
              <w:t xml:space="preserve">year_level</w:t>
            </w:r>
          </w:p>
        </w:tc>
        <w:tc>
          <w:tcPr>
            <w:tcW w:type="dxa" w:w="9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Integer</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1, 2, 3, 4, or 5</w:t>
            </w:r>
          </w:p>
        </w:tc>
        <w:tc>
          <w:tcPr>
            <w:tcW w:type="dxa" w:w="3844"/>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current year level in their degree program. Philippine undergraduate programs run from 1 to 4 years for most disciplines, and up to 5 years for engineering and nursing programs. Year level 1 is the first year of college.</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0E7490"/>
                <w:sz w:val="18"/>
                <w:szCs w:val="18"/>
              </w:rPr>
              <w:t xml:space="preserve">department</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BSIT  BSCS  BSECE  BSME
BSCE  BSN  BSBA  BSED
BSPSYCH  BSCRIM</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official program code of the degree the student is enrolled in. Each code corresponds to a CHED-accredited program offered by the university. Only the 10 listed program codes are valid. Full program names: BS Information Technology, BS Computer Science, BS Electronics Engineering, BS Mechanical Engineering, BS Civil Engineering, BS Nursing, BS Business Administration, BS Education, BS Psychology, BS Criminology.</w:t>
            </w:r>
          </w:p>
        </w:tc>
      </w:tr>
      <w:tr>
        <w:tc>
          <w:tcPr>
            <w:tcW w:type="dxa" w:w="13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bCs/>
                <w:color w:val="0E7490"/>
                <w:sz w:val="18"/>
                <w:szCs w:val="18"/>
              </w:rPr>
              <w:t xml:space="preserve">gpa</w:t>
            </w:r>
          </w:p>
        </w:tc>
        <w:tc>
          <w:tcPr>
            <w:tcW w:type="dxa" w:w="9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Float</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64748B"/>
                <w:sz w:val="18"/>
                <w:szCs w:val="18"/>
              </w:rPr>
              <w:t xml:space="preserve">No</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E07B2A"/>
                <w:sz w:val="18"/>
                <w:szCs w:val="18"/>
              </w:rPr>
              <w:t xml:space="preserve">Yes</w:t>
            </w:r>
          </w:p>
        </w:tc>
        <w:tc>
          <w:tcPr>
            <w:tcW w:type="dxa" w:w="25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1.00 – 3.50  or empty</w:t>
            </w:r>
          </w:p>
        </w:tc>
        <w:tc>
          <w:tcPr>
            <w:tcW w:type="dxa" w:w="3844"/>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cumulative Grade Point Average using the Philippine grading scale where 1.00 is the highest achievable grade and 3.00 is the passing mark. This field is empty for students in their first semester who have no prior academic record at the university. Values beyond 3.50 indicate academic probation cases handled separately.</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1B6B3A"/>
                <w:sz w:val="18"/>
                <w:szCs w:val="18"/>
              </w:rPr>
              <w:t xml:space="preserve">email</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Must end with @uni.edu.ph</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official university-issued email address. All students are assigned an institutional email account upon enrollment. Only addresses ending with the university domain (@uni.edu.ph) are valid for this system. Personal email accounts from external providers are not accepted.</w:t>
            </w:r>
          </w:p>
        </w:tc>
      </w:tr>
      <w:tr>
        <w:tc>
          <w:tcPr>
            <w:tcW w:type="dxa" w:w="13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bCs/>
                <w:color w:val="1B6B3A"/>
                <w:sz w:val="18"/>
                <w:szCs w:val="18"/>
              </w:rPr>
              <w:t xml:space="preserve">contact_no</w:t>
            </w:r>
          </w:p>
        </w:tc>
        <w:tc>
          <w:tcPr>
            <w:tcW w:type="dxa" w:w="9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64748B"/>
                <w:sz w:val="18"/>
                <w:szCs w:val="18"/>
              </w:rPr>
              <w:t xml:space="preserve">No</w:t>
            </w:r>
          </w:p>
        </w:tc>
        <w:tc>
          <w:tcPr>
            <w:tcW w:type="dxa" w:w="84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E07B2A"/>
                <w:sz w:val="18"/>
                <w:szCs w:val="18"/>
              </w:rPr>
              <w:t xml:space="preserve">Yes</w:t>
            </w:r>
          </w:p>
        </w:tc>
        <w:tc>
          <w:tcPr>
            <w:tcW w:type="dxa" w:w="2500"/>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11 digits, starts with '09'</w:t>
            </w:r>
          </w:p>
        </w:tc>
        <w:tc>
          <w:tcPr>
            <w:tcW w:type="dxa" w:w="3844"/>
            <w:tcBorders>
              <w:top w:val="single" w:color="DDDDDD" w:sz="1"/>
              <w:left w:val="single" w:color="DDDDDD" w:sz="1"/>
              <w:bottom w:val="single" w:color="DDDDDD" w:sz="1"/>
              <w:right w:val="single" w:color="DDDDDD" w:sz="1"/>
            </w:tcBorders>
            <w:shd w:fill="F4F7F9"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primary mobile phone number. Philippine mobile numbers follow the format 09XXXXXXXXX — exactly 11 digits beginning with 09. This field is optional; students who have not provided a contact number will have an empty value. When present, the number must be stored as a plain digit string with no spaces, dashes, or parentheses.</w:t>
            </w:r>
          </w:p>
        </w:tc>
      </w:tr>
      <w:tr>
        <w:tc>
          <w:tcPr>
            <w:tcW w:type="dxa" w:w="13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bCs/>
                <w:color w:val="0E7490"/>
                <w:sz w:val="18"/>
                <w:szCs w:val="18"/>
              </w:rPr>
              <w:t xml:space="preserve">enrollment_status</w:t>
            </w:r>
          </w:p>
        </w:tc>
        <w:tc>
          <w:tcPr>
            <w:tcW w:type="dxa" w:w="9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String</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bCs/>
                <w:color w:val="1B6B3A"/>
                <w:sz w:val="18"/>
                <w:szCs w:val="18"/>
              </w:rPr>
              <w:t xml:space="preserve">Yes</w:t>
            </w:r>
          </w:p>
        </w:tc>
        <w:tc>
          <w:tcPr>
            <w:tcW w:type="dxa" w:w="84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0E7490"/>
                <w:sz w:val="18"/>
                <w:szCs w:val="18"/>
              </w:rPr>
              <w:t xml:space="preserve">No</w:t>
            </w:r>
          </w:p>
        </w:tc>
        <w:tc>
          <w:tcPr>
            <w:tcW w:type="dxa" w:w="2500"/>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ourier New" w:cs="Courier New" w:eastAsia="Courier New" w:hAnsi="Courier New"/>
                <w:b w:val="false"/>
                <w:bCs w:val="false"/>
                <w:color w:val="0E7490"/>
                <w:sz w:val="18"/>
                <w:szCs w:val="18"/>
              </w:rPr>
              <w:t xml:space="preserve">'Enrolled'  'LOA'  'Dropped'</w:t>
            </w:r>
          </w:p>
        </w:tc>
        <w:tc>
          <w:tcPr>
            <w:tcW w:type="dxa" w:w="3844"/>
            <w:tcBorders>
              <w:top w:val="single" w:color="DDDDDD" w:sz="1"/>
              <w:left w:val="single" w:color="DDDDDD" w:sz="1"/>
              <w:bottom w:val="single" w:color="DDDDDD" w:sz="1"/>
              <w:right w:val="single" w:color="DDDDDD" w:sz="1"/>
            </w:tcBorders>
            <w:shd w:fill="FFFFFF" w:val="clear"/>
            <w:tcMar>
              <w:top w:type="dxa" w:w="72"/>
              <w:left w:type="dxa" w:w="100"/>
              <w:bottom w:type="dxa" w:w="72"/>
              <w:right w:type="dxa" w:w="80"/>
            </w:tcMar>
            <w:vAlign w:val="top"/>
          </w:tcPr>
          <w:p>
            <w:pPr>
              <w:spacing w:after="0" w:before="0"/>
            </w:pPr>
            <w:r>
              <w:rPr>
                <w:rFonts w:ascii="Calibri" w:cs="Calibri" w:eastAsia="Calibri" w:hAnsi="Calibri"/>
                <w:b w:val="false"/>
                <w:bCs w:val="false"/>
                <w:color w:val="1A2332"/>
                <w:sz w:val="18"/>
                <w:szCs w:val="18"/>
              </w:rPr>
              <w:t xml:space="preserve">The student's current enrollment standing for this semester. 'Enrolled' indicates active enrollment. 'LOA' (Leave of Absence) indicates an approved temporary leave — the student intends to return next semester. 'Dropped' indicates the student has officially withdrawn from all subjects for this semester. These values are case-sensitive.</w:t>
            </w:r>
          </w:p>
        </w:tc>
      </w:tr>
    </w:tbl>
    <w:p>
      <w:pPr>
        <w:spacing w:after="20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2332" w:val="clear"/>
            <w:tcMar>
              <w:top w:type="dxa" w:w="120"/>
              <w:left w:type="dxa" w:w="200"/>
              <w:bottom w:type="dxa" w:w="120"/>
              <w:right w:type="dxa" w:w="120"/>
            </w:tcMar>
          </w:tcPr>
          <w:p>
            <w:pPr>
              <w:spacing w:after="0" w:before="0"/>
            </w:pPr>
            <w:r>
              <w:rPr>
                <w:rFonts w:ascii="Calibri" w:cs="Calibri" w:eastAsia="Calibri" w:hAnsi="Calibri"/>
                <w:b/>
                <w:bCs/>
                <w:color w:val="FFFFFF"/>
                <w:sz w:val="26"/>
                <w:szCs w:val="26"/>
              </w:rPr>
              <w:t xml:space="preserve">3.  Field Notes</w:t>
            </w:r>
          </w:p>
        </w:tc>
      </w:tr>
    </w:tbl>
    <w:p>
      <w:pPr>
        <w:spacing w:after="80" w:before="0"/>
      </w:pPr>
    </w:p>
    <w:p>
      <w:pPr>
        <w:spacing w:after="40" w:before="0"/>
        <w:jc w:val="left"/>
      </w:pPr>
      <w:r>
        <w:rPr>
          <w:rFonts w:ascii="Courier New" w:cs="Courier New" w:eastAsia="Courier New" w:hAnsi="Courier New"/>
          <w:b/>
          <w:bCs/>
          <w:color w:val="1B6B3A"/>
          <w:sz w:val="22"/>
          <w:szCs w:val="22"/>
        </w:rPr>
        <w:t xml:space="preserve">student_id</w:t>
      </w:r>
    </w:p>
    <w:p>
      <w:pPr>
        <w:spacing w:after="100" w:before="0"/>
        <w:jc w:val="left"/>
      </w:pPr>
      <w:r>
        <w:rPr>
          <w:rFonts w:ascii="Calibri" w:cs="Calibri" w:eastAsia="Calibri" w:hAnsi="Calibri"/>
          <w:b w:val="false"/>
          <w:bCs w:val="false"/>
          <w:color w:val="1A2332"/>
          <w:sz w:val="20"/>
          <w:szCs w:val="20"/>
        </w:rPr>
        <w:t xml:space="preserve">The student ID is the primary key of this dataset. It uniquely identifies each student across all university systems. The format is always 9 characters — a 4-digit enrollment year prefix followed by a zero-padded 5-digit sequence. For example, the first student enrolled in 2024 receives the ID </w:t>
      </w:r>
      <w:r>
        <w:rPr>
          <w:rFonts w:ascii="Courier New" w:cs="Courier New" w:eastAsia="Courier New" w:hAnsi="Courier New"/>
          <w:b w:val="false"/>
          <w:bCs w:val="false"/>
          <w:color w:val="0E7490"/>
          <w:sz w:val="20"/>
          <w:szCs w:val="20"/>
        </w:rPr>
        <w:t xml:space="preserve">202400001</w:t>
      </w:r>
      <w:r>
        <w:rPr>
          <w:rFonts w:ascii="Calibri" w:cs="Calibri" w:eastAsia="Calibri" w:hAnsi="Calibri"/>
          <w:b w:val="false"/>
          <w:bCs w:val="false"/>
          <w:color w:val="1A2332"/>
          <w:sz w:val="20"/>
          <w:szCs w:val="20"/>
        </w:rPr>
        <w:t xml:space="preserve">. Each student has exactly one ID for the duration of their enrollment.</w:t>
      </w:r>
    </w:p>
    <w:p>
      <w:pPr>
        <w:spacing w:after="40" w:before="0"/>
        <w:jc w:val="left"/>
      </w:pPr>
      <w:r>
        <w:rPr>
          <w:rFonts w:ascii="Courier New" w:cs="Courier New" w:eastAsia="Courier New" w:hAnsi="Courier New"/>
          <w:b/>
          <w:bCs/>
          <w:color w:val="1B6B3A"/>
          <w:sz w:val="22"/>
          <w:szCs w:val="22"/>
        </w:rPr>
        <w:t xml:space="preserve">last_name  /  first_name</w:t>
      </w:r>
    </w:p>
    <w:p>
      <w:pPr>
        <w:spacing w:after="100" w:before="0"/>
        <w:jc w:val="left"/>
      </w:pPr>
      <w:r>
        <w:rPr>
          <w:rFonts w:ascii="Calibri" w:cs="Calibri" w:eastAsia="Calibri" w:hAnsi="Calibri"/>
          <w:b w:val="false"/>
          <w:bCs w:val="false"/>
          <w:color w:val="1A2332"/>
          <w:sz w:val="20"/>
          <w:szCs w:val="20"/>
        </w:rPr>
        <w:t xml:space="preserve">Both name fields reflect the student's name exactly as registered with the Registrar's Office, which in turn matches the student's PSA-issued birth certificate or valid government ID. Names are stored in Title Case. Filipino naming conventions apply — compound surnames such as </w:t>
      </w:r>
      <w:r>
        <w:rPr>
          <w:rFonts w:ascii="Courier New" w:cs="Courier New" w:eastAsia="Courier New" w:hAnsi="Courier New"/>
          <w:b w:val="false"/>
          <w:bCs w:val="false"/>
          <w:color w:val="0E7490"/>
          <w:sz w:val="20"/>
          <w:szCs w:val="20"/>
        </w:rPr>
        <w:t xml:space="preserve">Dela Cruz</w:t>
      </w:r>
      <w:r>
        <w:rPr>
          <w:rFonts w:ascii="Calibri" w:cs="Calibri" w:eastAsia="Calibri" w:hAnsi="Calibri"/>
          <w:b w:val="false"/>
          <w:bCs w:val="false"/>
          <w:color w:val="1A2332"/>
          <w:sz w:val="20"/>
          <w:szCs w:val="20"/>
        </w:rPr>
        <w:t xml:space="preserve">, </w:t>
      </w:r>
      <w:r>
        <w:rPr>
          <w:rFonts w:ascii="Courier New" w:cs="Courier New" w:eastAsia="Courier New" w:hAnsi="Courier New"/>
          <w:b w:val="false"/>
          <w:bCs w:val="false"/>
          <w:color w:val="0E7490"/>
          <w:sz w:val="20"/>
          <w:szCs w:val="20"/>
        </w:rPr>
        <w:t xml:space="preserve">Delos Reyes</w:t>
      </w:r>
      <w:r>
        <w:rPr>
          <w:rFonts w:ascii="Calibri" w:cs="Calibri" w:eastAsia="Calibri" w:hAnsi="Calibri"/>
          <w:b w:val="false"/>
          <w:bCs w:val="false"/>
          <w:color w:val="1A2332"/>
          <w:sz w:val="20"/>
          <w:szCs w:val="20"/>
        </w:rPr>
        <w:t xml:space="preserve">, and </w:t>
      </w:r>
      <w:r>
        <w:rPr>
          <w:rFonts w:ascii="Courier New" w:cs="Courier New" w:eastAsia="Courier New" w:hAnsi="Courier New"/>
          <w:b w:val="false"/>
          <w:bCs w:val="false"/>
          <w:color w:val="0E7490"/>
          <w:sz w:val="20"/>
          <w:szCs w:val="20"/>
        </w:rPr>
        <w:t xml:space="preserve">San Pedro</w:t>
      </w:r>
      <w:r>
        <w:rPr>
          <w:rFonts w:ascii="Calibri" w:cs="Calibri" w:eastAsia="Calibri" w:hAnsi="Calibri"/>
          <w:b w:val="false"/>
          <w:bCs w:val="false"/>
          <w:color w:val="1A2332"/>
          <w:sz w:val="20"/>
          <w:szCs w:val="20"/>
        </w:rPr>
        <w:t xml:space="preserve"> are treated as single surnames.</w:t>
      </w:r>
    </w:p>
    <w:p>
      <w:pPr>
        <w:spacing w:after="40" w:before="0"/>
        <w:jc w:val="left"/>
      </w:pPr>
      <w:r>
        <w:rPr>
          <w:rFonts w:ascii="Courier New" w:cs="Courier New" w:eastAsia="Courier New" w:hAnsi="Courier New"/>
          <w:b/>
          <w:bCs/>
          <w:color w:val="E07B2A"/>
          <w:sz w:val="22"/>
          <w:szCs w:val="22"/>
        </w:rPr>
        <w:t xml:space="preserve">age</w:t>
      </w:r>
    </w:p>
    <w:p>
      <w:pPr>
        <w:spacing w:after="100" w:before="0"/>
        <w:jc w:val="left"/>
      </w:pPr>
      <w:r>
        <w:rPr>
          <w:rFonts w:ascii="Calibri" w:cs="Calibri" w:eastAsia="Calibri" w:hAnsi="Calibri"/>
          <w:b w:val="false"/>
          <w:bCs w:val="false"/>
          <w:color w:val="1A2332"/>
          <w:sz w:val="20"/>
          <w:szCs w:val="20"/>
        </w:rPr>
        <w:t xml:space="preserve">Age is recorded as a whole number at the time of enrollment. The minimum enrollment age of 17 applies to incoming freshmen under the K-12 system. Most undergraduate students fall between 17 and 24 years old. Students beyond this range are uncommon but valid — adult learners, returnees, and students in extended programs may be older.</w:t>
      </w:r>
    </w:p>
    <w:p>
      <w:pPr>
        <w:spacing w:after="40" w:before="0"/>
        <w:jc w:val="left"/>
      </w:pPr>
      <w:r>
        <w:rPr>
          <w:rFonts w:ascii="Courier New" w:cs="Courier New" w:eastAsia="Courier New" w:hAnsi="Courier New"/>
          <w:b/>
          <w:bCs/>
          <w:color w:val="0E7490"/>
          <w:sz w:val="22"/>
          <w:szCs w:val="22"/>
        </w:rPr>
        <w:t xml:space="preserve">gpa</w:t>
      </w:r>
    </w:p>
    <w:p>
      <w:pPr>
        <w:spacing w:after="100" w:before="0"/>
        <w:jc w:val="left"/>
      </w:pPr>
      <w:r>
        <w:rPr>
          <w:rFonts w:ascii="Calibri" w:cs="Calibri" w:eastAsia="Calibri" w:hAnsi="Calibri"/>
          <w:b w:val="false"/>
          <w:bCs w:val="false"/>
          <w:color w:val="1A2332"/>
          <w:sz w:val="20"/>
          <w:szCs w:val="20"/>
        </w:rPr>
        <w:t xml:space="preserve">The Philippine GPA scale is the inverse of most international scales: </w:t>
      </w:r>
      <w:r>
        <w:rPr>
          <w:rFonts w:ascii="Courier New" w:cs="Courier New" w:eastAsia="Courier New" w:hAnsi="Courier New"/>
          <w:b w:val="false"/>
          <w:bCs w:val="false"/>
          <w:color w:val="0E7490"/>
          <w:sz w:val="20"/>
          <w:szCs w:val="20"/>
        </w:rPr>
        <w:t xml:space="preserve">1.00</w:t>
      </w:r>
      <w:r>
        <w:rPr>
          <w:rFonts w:ascii="Calibri" w:cs="Calibri" w:eastAsia="Calibri" w:hAnsi="Calibri"/>
          <w:b w:val="false"/>
          <w:bCs w:val="false"/>
          <w:color w:val="1A2332"/>
          <w:sz w:val="20"/>
          <w:szCs w:val="20"/>
        </w:rPr>
        <w:t xml:space="preserve"> is the highest possible grade (equivalent to A+), while </w:t>
      </w:r>
      <w:r>
        <w:rPr>
          <w:rFonts w:ascii="Courier New" w:cs="Courier New" w:eastAsia="Courier New" w:hAnsi="Courier New"/>
          <w:b w:val="false"/>
          <w:bCs w:val="false"/>
          <w:color w:val="E07B2A"/>
          <w:sz w:val="20"/>
          <w:szCs w:val="20"/>
        </w:rPr>
        <w:t xml:space="preserve">5.00</w:t>
      </w:r>
      <w:r>
        <w:rPr>
          <w:rFonts w:ascii="Calibri" w:cs="Calibri" w:eastAsia="Calibri" w:hAnsi="Calibri"/>
          <w:b w:val="false"/>
          <w:bCs w:val="false"/>
          <w:color w:val="1A2332"/>
          <w:sz w:val="20"/>
          <w:szCs w:val="20"/>
        </w:rPr>
        <w:t xml:space="preserve"> indicates a failing mark. The passing threshold at this university is </w:t>
      </w:r>
      <w:r>
        <w:rPr>
          <w:rFonts w:ascii="Courier New" w:cs="Courier New" w:eastAsia="Courier New" w:hAnsi="Courier New"/>
          <w:b w:val="false"/>
          <w:bCs w:val="false"/>
          <w:color w:val="0E7490"/>
          <w:sz w:val="20"/>
          <w:szCs w:val="20"/>
        </w:rPr>
        <w:t xml:space="preserve">3.00</w:t>
      </w:r>
      <w:r>
        <w:rPr>
          <w:rFonts w:ascii="Calibri" w:cs="Calibri" w:eastAsia="Calibri" w:hAnsi="Calibri"/>
          <w:b w:val="false"/>
          <w:bCs w:val="false"/>
          <w:color w:val="1A2332"/>
          <w:sz w:val="20"/>
          <w:szCs w:val="20"/>
        </w:rPr>
        <w:t xml:space="preserve">. A GPA between 3.00 and 3.50 indicates a student on academic watch. This field is intentionally left empty for first-semester students who have no prior grades on record.</w:t>
      </w:r>
    </w:p>
    <w:p>
      <w:pPr>
        <w:spacing w:after="40" w:before="0"/>
        <w:jc w:val="left"/>
      </w:pPr>
      <w:r>
        <w:rPr>
          <w:rFonts w:ascii="Courier New" w:cs="Courier New" w:eastAsia="Courier New" w:hAnsi="Courier New"/>
          <w:b/>
          <w:bCs/>
          <w:color w:val="E07B2A"/>
          <w:sz w:val="22"/>
          <w:szCs w:val="22"/>
        </w:rPr>
        <w:t xml:space="preserve">gender</w:t>
      </w:r>
    </w:p>
    <w:p>
      <w:pPr>
        <w:spacing w:after="100" w:before="0"/>
        <w:jc w:val="left"/>
      </w:pPr>
      <w:r>
        <w:rPr>
          <w:rFonts w:ascii="Calibri" w:cs="Calibri" w:eastAsia="Calibri" w:hAnsi="Calibri"/>
          <w:b w:val="false"/>
          <w:bCs w:val="false"/>
          <w:color w:val="1A2332"/>
          <w:sz w:val="20"/>
          <w:szCs w:val="20"/>
        </w:rPr>
        <w:t xml:space="preserve">Gender is a self-declared field completed by the student on the enrollment form. The university follows CHED guidelines on gender-inclusive data collection. Only three values are accepted: </w:t>
      </w:r>
      <w:r>
        <w:rPr>
          <w:rFonts w:ascii="Courier New" w:cs="Courier New" w:eastAsia="Courier New" w:hAnsi="Courier New"/>
          <w:b w:val="false"/>
          <w:bCs w:val="false"/>
          <w:color w:val="0E7490"/>
          <w:sz w:val="20"/>
          <w:szCs w:val="20"/>
        </w:rPr>
        <w:t xml:space="preserve">'M'</w:t>
      </w:r>
      <w:r>
        <w:rPr>
          <w:rFonts w:ascii="Calibri" w:cs="Calibri" w:eastAsia="Calibri" w:hAnsi="Calibri"/>
          <w:b w:val="false"/>
          <w:bCs w:val="false"/>
          <w:color w:val="1A2332"/>
          <w:sz w:val="20"/>
          <w:szCs w:val="20"/>
        </w:rPr>
        <w:t xml:space="preserve">, </w:t>
      </w:r>
      <w:r>
        <w:rPr>
          <w:rFonts w:ascii="Courier New" w:cs="Courier New" w:eastAsia="Courier New" w:hAnsi="Courier New"/>
          <w:b w:val="false"/>
          <w:bCs w:val="false"/>
          <w:color w:val="0E7490"/>
          <w:sz w:val="20"/>
          <w:szCs w:val="20"/>
        </w:rPr>
        <w:t xml:space="preserve">'F'</w:t>
      </w:r>
      <w:r>
        <w:rPr>
          <w:rFonts w:ascii="Calibri" w:cs="Calibri" w:eastAsia="Calibri" w:hAnsi="Calibri"/>
          <w:b w:val="false"/>
          <w:bCs w:val="false"/>
          <w:color w:val="1A2332"/>
          <w:sz w:val="20"/>
          <w:szCs w:val="20"/>
        </w:rPr>
        <w:t xml:space="preserve">, and </w:t>
      </w:r>
      <w:r>
        <w:rPr>
          <w:rFonts w:ascii="Courier New" w:cs="Courier New" w:eastAsia="Courier New" w:hAnsi="Courier New"/>
          <w:b w:val="false"/>
          <w:bCs w:val="false"/>
          <w:color w:val="0E7490"/>
          <w:sz w:val="20"/>
          <w:szCs w:val="20"/>
        </w:rPr>
        <w:t xml:space="preserve">'Prefer not to say'</w:t>
      </w:r>
      <w:r>
        <w:rPr>
          <w:rFonts w:ascii="Calibri" w:cs="Calibri" w:eastAsia="Calibri" w:hAnsi="Calibri"/>
          <w:b w:val="false"/>
          <w:bCs w:val="false"/>
          <w:color w:val="1A2332"/>
          <w:sz w:val="20"/>
          <w:szCs w:val="20"/>
        </w:rPr>
        <w:t xml:space="preserve">. These values are case-sensitive and must appear exactly as listed.</w:t>
      </w:r>
    </w:p>
    <w:p>
      <w:pPr>
        <w:spacing w:after="40" w:before="0"/>
        <w:jc w:val="left"/>
      </w:pPr>
      <w:r>
        <w:rPr>
          <w:rFonts w:ascii="Courier New" w:cs="Courier New" w:eastAsia="Courier New" w:hAnsi="Courier New"/>
          <w:b/>
          <w:bCs/>
          <w:color w:val="0E7490"/>
          <w:sz w:val="22"/>
          <w:szCs w:val="22"/>
        </w:rPr>
        <w:t xml:space="preserve">department</w:t>
      </w:r>
    </w:p>
    <w:p>
      <w:pPr>
        <w:spacing w:after="100" w:before="0"/>
        <w:jc w:val="left"/>
      </w:pPr>
      <w:r>
        <w:rPr>
          <w:rFonts w:ascii="Calibri" w:cs="Calibri" w:eastAsia="Calibri" w:hAnsi="Calibri"/>
          <w:b w:val="false"/>
          <w:bCs w:val="false"/>
          <w:color w:val="1A2332"/>
          <w:sz w:val="20"/>
          <w:szCs w:val="20"/>
        </w:rPr>
        <w:t xml:space="preserve">Department codes follow the official CHED program nomenclature. Each student is enrolled in exactly one program at a time. Transfer students who have changed programs will reflect their current active program only. The 10 valid codes and their full names are listed in the Field Definitions table above.</w:t>
      </w:r>
    </w:p>
    <w:p>
      <w:pPr>
        <w:spacing w:after="40" w:before="0"/>
        <w:jc w:val="left"/>
      </w:pPr>
      <w:r>
        <w:rPr>
          <w:rFonts w:ascii="Courier New" w:cs="Courier New" w:eastAsia="Courier New" w:hAnsi="Courier New"/>
          <w:b/>
          <w:bCs/>
          <w:color w:val="1B6B3A"/>
          <w:sz w:val="22"/>
          <w:szCs w:val="22"/>
        </w:rPr>
        <w:t xml:space="preserve">email</w:t>
      </w:r>
    </w:p>
    <w:p>
      <w:pPr>
        <w:spacing w:after="100" w:before="0"/>
        <w:jc w:val="left"/>
      </w:pPr>
      <w:r>
        <w:rPr>
          <w:rFonts w:ascii="Calibri" w:cs="Calibri" w:eastAsia="Calibri" w:hAnsi="Calibri"/>
          <w:b w:val="false"/>
          <w:bCs w:val="false"/>
          <w:color w:val="1A2332"/>
          <w:sz w:val="20"/>
          <w:szCs w:val="20"/>
        </w:rPr>
        <w:t xml:space="preserve">University email accounts follow the format </w:t>
      </w:r>
      <w:r>
        <w:rPr>
          <w:rFonts w:ascii="Courier New" w:cs="Courier New" w:eastAsia="Courier New" w:hAnsi="Courier New"/>
          <w:b w:val="false"/>
          <w:bCs w:val="false"/>
          <w:color w:val="0E7490"/>
          <w:sz w:val="20"/>
          <w:szCs w:val="20"/>
        </w:rPr>
        <w:t xml:space="preserve">firstname+lastname+number@uni.edu.ph</w:t>
      </w:r>
      <w:r>
        <w:rPr>
          <w:rFonts w:ascii="Calibri" w:cs="Calibri" w:eastAsia="Calibri" w:hAnsi="Calibri"/>
          <w:b w:val="false"/>
          <w:bCs w:val="false"/>
          <w:color w:val="1A2332"/>
          <w:sz w:val="20"/>
          <w:szCs w:val="20"/>
        </w:rPr>
        <w:t xml:space="preserve">. The account is created by the IT Office upon enrollment and is the official communication channel between the student and the university. All official correspondence, grade notices, and announcements are sent to this address.</w:t>
      </w:r>
    </w:p>
    <w:p>
      <w:pPr>
        <w:spacing w:after="40" w:before="0"/>
        <w:jc w:val="left"/>
      </w:pPr>
      <w:r>
        <w:rPr>
          <w:rFonts w:ascii="Courier New" w:cs="Courier New" w:eastAsia="Courier New" w:hAnsi="Courier New"/>
          <w:b/>
          <w:bCs/>
          <w:color w:val="1B6B3A"/>
          <w:sz w:val="22"/>
          <w:szCs w:val="22"/>
        </w:rPr>
        <w:t xml:space="preserve">contact_no</w:t>
      </w:r>
    </w:p>
    <w:p>
      <w:pPr>
        <w:spacing w:after="100" w:before="0"/>
        <w:jc w:val="left"/>
      </w:pPr>
      <w:r>
        <w:rPr>
          <w:rFonts w:ascii="Calibri" w:cs="Calibri" w:eastAsia="Calibri" w:hAnsi="Calibri"/>
          <w:b w:val="false"/>
          <w:bCs w:val="false"/>
          <w:color w:val="1A2332"/>
          <w:sz w:val="20"/>
          <w:szCs w:val="20"/>
        </w:rPr>
        <w:t xml:space="preserve">Philippine mobile numbers use the format </w:t>
      </w:r>
      <w:r>
        <w:rPr>
          <w:rFonts w:ascii="Courier New" w:cs="Courier New" w:eastAsia="Courier New" w:hAnsi="Courier New"/>
          <w:b w:val="false"/>
          <w:bCs w:val="false"/>
          <w:color w:val="0E7490"/>
          <w:sz w:val="20"/>
          <w:szCs w:val="20"/>
        </w:rPr>
        <w:t xml:space="preserve">09XXXXXXXXX</w:t>
      </w:r>
      <w:r>
        <w:rPr>
          <w:rFonts w:ascii="Calibri" w:cs="Calibri" w:eastAsia="Calibri" w:hAnsi="Calibri"/>
          <w:b w:val="false"/>
          <w:bCs w:val="false"/>
          <w:color w:val="1A2332"/>
          <w:sz w:val="20"/>
          <w:szCs w:val="20"/>
        </w:rPr>
        <w:t xml:space="preserve"> — 11 digits starting with 09, corresponding to the mobile network prefix (e.g. 0917 for Globe, 0918 for Smart). This field is optional. Students who have not provided a number, or who do not own a personal mobile phone, will have an empty entry.</w:t>
      </w:r>
    </w:p>
    <w:p>
      <w:pPr>
        <w:spacing w:after="40" w:before="0"/>
        <w:jc w:val="left"/>
      </w:pPr>
      <w:r>
        <w:rPr>
          <w:rFonts w:ascii="Courier New" w:cs="Courier New" w:eastAsia="Courier New" w:hAnsi="Courier New"/>
          <w:b/>
          <w:bCs/>
          <w:color w:val="0E7490"/>
          <w:sz w:val="22"/>
          <w:szCs w:val="22"/>
        </w:rPr>
        <w:t xml:space="preserve">enrollment_status</w:t>
      </w:r>
    </w:p>
    <w:p>
      <w:pPr>
        <w:spacing w:after="100" w:before="0"/>
        <w:jc w:val="left"/>
      </w:pPr>
      <w:r>
        <w:rPr>
          <w:rFonts w:ascii="Calibri" w:cs="Calibri" w:eastAsia="Calibri" w:hAnsi="Calibri"/>
          <w:b w:val="false"/>
          <w:bCs w:val="false"/>
          <w:color w:val="1A2332"/>
          <w:sz w:val="20"/>
          <w:szCs w:val="20"/>
        </w:rPr>
        <w:t xml:space="preserve">Enrollment status reflects the student's standing at the time of this data export. </w:t>
      </w:r>
      <w:r>
        <w:rPr>
          <w:rFonts w:ascii="Courier New" w:cs="Courier New" w:eastAsia="Courier New" w:hAnsi="Courier New"/>
          <w:b w:val="false"/>
          <w:bCs w:val="false"/>
          <w:color w:val="1B6B3A"/>
          <w:sz w:val="20"/>
          <w:szCs w:val="20"/>
        </w:rPr>
        <w:t xml:space="preserve">Enrolled</w:t>
      </w:r>
      <w:r>
        <w:rPr>
          <w:rFonts w:ascii="Calibri" w:cs="Calibri" w:eastAsia="Calibri" w:hAnsi="Calibri"/>
          <w:b w:val="false"/>
          <w:bCs w:val="false"/>
          <w:color w:val="1A2332"/>
          <w:sz w:val="20"/>
          <w:szCs w:val="20"/>
        </w:rPr>
        <w:t xml:space="preserve"> is the normal active state. </w:t>
      </w:r>
      <w:r>
        <w:rPr>
          <w:rFonts w:ascii="Courier New" w:cs="Courier New" w:eastAsia="Courier New" w:hAnsi="Courier New"/>
          <w:b w:val="false"/>
          <w:bCs w:val="false"/>
          <w:color w:val="E07B2A"/>
          <w:sz w:val="20"/>
          <w:szCs w:val="20"/>
        </w:rPr>
        <w:t xml:space="preserve">LOA</w:t>
      </w:r>
      <w:r>
        <w:rPr>
          <w:rFonts w:ascii="Calibri" w:cs="Calibri" w:eastAsia="Calibri" w:hAnsi="Calibri"/>
          <w:b w:val="false"/>
          <w:bCs w:val="false"/>
          <w:color w:val="1A2332"/>
          <w:sz w:val="20"/>
          <w:szCs w:val="20"/>
        </w:rPr>
        <w:t xml:space="preserve"> (Leave of Absence) is a formally approved status granted by the Dean's Office — the student's slot is reserved for the following semester. </w:t>
      </w:r>
      <w:r>
        <w:rPr>
          <w:rFonts w:ascii="Courier New" w:cs="Courier New" w:eastAsia="Courier New" w:hAnsi="Courier New"/>
          <w:b w:val="false"/>
          <w:bCs w:val="false"/>
          <w:color w:val="1A2332"/>
          <w:sz w:val="20"/>
          <w:szCs w:val="20"/>
        </w:rPr>
        <w:t xml:space="preserve">Dropped</w:t>
      </w:r>
      <w:r>
        <w:rPr>
          <w:rFonts w:ascii="Calibri" w:cs="Calibri" w:eastAsia="Calibri" w:hAnsi="Calibri"/>
          <w:b w:val="false"/>
          <w:bCs w:val="false"/>
          <w:color w:val="1A2332"/>
          <w:sz w:val="20"/>
          <w:szCs w:val="20"/>
        </w:rPr>
        <w:t xml:space="preserve"> means the student has officially withdrawn and will need to re-enroll in a future semester.</w:t>
      </w:r>
    </w:p>
    <w:p>
      <w:pPr>
        <w:spacing w:after="120" w:before="0"/>
      </w:pP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none"/>
              <w:left w:val="none"/>
              <w:bottom w:val="none"/>
              <w:right w:val="none"/>
            </w:tcBorders>
            <w:shd w:fill="1A2332" w:val="clear"/>
            <w:tcMar>
              <w:top w:type="dxa" w:w="120"/>
              <w:left w:type="dxa" w:w="200"/>
              <w:bottom w:type="dxa" w:w="120"/>
              <w:right w:type="dxa" w:w="120"/>
            </w:tcMar>
          </w:tcPr>
          <w:p>
            <w:pPr>
              <w:spacing w:after="0" w:before="0"/>
            </w:pPr>
            <w:r>
              <w:rPr>
                <w:rFonts w:ascii="Calibri" w:cs="Calibri" w:eastAsia="Calibri" w:hAnsi="Calibri"/>
                <w:b/>
                <w:bCs/>
                <w:color w:val="FFFFFF"/>
                <w:sz w:val="26"/>
                <w:szCs w:val="26"/>
              </w:rPr>
              <w:t xml:space="preserve">4.  Sample Records</w:t>
            </w:r>
          </w:p>
        </w:tc>
      </w:tr>
    </w:tbl>
    <w:p>
      <w:pPr>
        <w:spacing w:after="60" w:before="0"/>
      </w:pPr>
    </w:p>
    <w:p>
      <w:pPr>
        <w:spacing w:after="80" w:before="0"/>
        <w:jc w:val="left"/>
      </w:pPr>
      <w:r>
        <w:rPr>
          <w:rFonts w:ascii="Calibri" w:cs="Calibri" w:eastAsia="Calibri" w:hAnsi="Calibri"/>
          <w:b w:val="false"/>
          <w:bCs w:val="false"/>
          <w:color w:val="64748B"/>
          <w:sz w:val="20"/>
          <w:szCs w:val="20"/>
        </w:rPr>
        <w:t xml:space="preserve">The following are examples of valid, correctly formatted records that conform to all field definitions in this document.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80"/>
        <w:gridCol w:w="1080"/>
        <w:gridCol w:w="1080"/>
        <w:gridCol w:w="560"/>
        <w:gridCol w:w="560"/>
        <w:gridCol w:w="840"/>
        <w:gridCol w:w="900"/>
        <w:gridCol w:w="560"/>
        <w:gridCol w:w="2164"/>
        <w:gridCol w:w="840"/>
        <w:gridCol w:w="560"/>
      </w:tblGrid>
      <w:tr>
        <w:trPr>
          <w:tblHeader/>
        </w:trPr>
        <w:tc>
          <w:tcPr>
            <w:tcW w:type="dxa" w:w="108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student_id</w:t>
            </w:r>
          </w:p>
        </w:tc>
        <w:tc>
          <w:tcPr>
            <w:tcW w:type="dxa" w:w="108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last_name</w:t>
            </w:r>
          </w:p>
        </w:tc>
        <w:tc>
          <w:tcPr>
            <w:tcW w:type="dxa" w:w="108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first_name</w:t>
            </w:r>
          </w:p>
        </w:tc>
        <w:tc>
          <w:tcPr>
            <w:tcW w:type="dxa" w:w="56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age</w:t>
            </w:r>
          </w:p>
        </w:tc>
        <w:tc>
          <w:tcPr>
            <w:tcW w:type="dxa" w:w="56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gender</w:t>
            </w:r>
          </w:p>
        </w:tc>
        <w:tc>
          <w:tcPr>
            <w:tcW w:type="dxa" w:w="84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year_level</w:t>
            </w:r>
          </w:p>
        </w:tc>
        <w:tc>
          <w:tcPr>
            <w:tcW w:type="dxa" w:w="90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department</w:t>
            </w:r>
          </w:p>
        </w:tc>
        <w:tc>
          <w:tcPr>
            <w:tcW w:type="dxa" w:w="56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gpa</w:t>
            </w:r>
          </w:p>
        </w:tc>
        <w:tc>
          <w:tcPr>
            <w:tcW w:type="dxa" w:w="2164"/>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email</w:t>
            </w:r>
          </w:p>
        </w:tc>
        <w:tc>
          <w:tcPr>
            <w:tcW w:type="dxa" w:w="84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contact_no</w:t>
            </w:r>
          </w:p>
        </w:tc>
        <w:tc>
          <w:tcPr>
            <w:tcW w:type="dxa" w:w="560"/>
            <w:tcBorders>
              <w:top w:val="single" w:color="0D1F3C" w:sz="1"/>
              <w:left w:val="single" w:color="0D1F3C" w:sz="1"/>
              <w:bottom w:val="single" w:color="0D1F3C" w:sz="1"/>
              <w:right w:val="single" w:color="0D1F3C" w:sz="1"/>
            </w:tcBorders>
            <w:shd w:fill="0D1F3C" w:val="clear"/>
            <w:tcMar>
              <w:top w:type="dxa" w:w="60"/>
              <w:left w:type="dxa" w:w="80"/>
              <w:bottom w:type="dxa" w:w="60"/>
              <w:right w:type="dxa" w:w="60"/>
            </w:tcMar>
          </w:tcPr>
          <w:p>
            <w:pPr>
              <w:spacing w:after="0" w:before="0"/>
              <w:jc w:val="center"/>
            </w:pPr>
            <w:r>
              <w:rPr>
                <w:rFonts w:ascii="Calibri" w:cs="Calibri" w:eastAsia="Calibri" w:hAnsi="Calibri"/>
                <w:b/>
                <w:bCs/>
                <w:color w:val="FFFFFF"/>
                <w:sz w:val="15"/>
                <w:szCs w:val="15"/>
              </w:rPr>
              <w:t xml:space="preserve">status</w:t>
            </w:r>
          </w:p>
        </w:tc>
      </w:tr>
      <w:tr>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202400001</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Santos</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Maria</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19</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F</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1</w:t>
            </w:r>
          </w:p>
        </w:tc>
        <w:tc>
          <w:tcPr>
            <w:tcW w:type="dxa" w:w="9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BSIT</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64748B"/>
                <w:sz w:val="15"/>
                <w:szCs w:val="15"/>
              </w:rPr>
              <w:t xml:space="preserve">(empty)</w:t>
            </w:r>
          </w:p>
        </w:tc>
        <w:tc>
          <w:tcPr>
            <w:tcW w:type="dxa" w:w="2164"/>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mariasantos42@uni.edu.ph</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09171234567</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Enrolled</w:t>
            </w:r>
          </w:p>
        </w:tc>
      </w:tr>
      <w:tr>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202400145</w:t>
            </w:r>
          </w:p>
        </w:tc>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Reyes</w:t>
            </w:r>
          </w:p>
        </w:tc>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Carlos</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21</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w:t>
            </w:r>
          </w:p>
        </w:tc>
        <w:tc>
          <w:tcPr>
            <w:tcW w:type="dxa" w:w="84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3</w:t>
            </w:r>
          </w:p>
        </w:tc>
        <w:tc>
          <w:tcPr>
            <w:tcW w:type="dxa" w:w="90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BSCS</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2.15</w:t>
            </w:r>
          </w:p>
        </w:tc>
        <w:tc>
          <w:tcPr>
            <w:tcW w:type="dxa" w:w="2164"/>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carlosreyes87@uni.edu.ph</w:t>
            </w:r>
          </w:p>
        </w:tc>
        <w:tc>
          <w:tcPr>
            <w:tcW w:type="dxa" w:w="84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09281234567</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Enrolled</w:t>
            </w:r>
          </w:p>
        </w:tc>
      </w:tr>
      <w:tr>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202400312</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Dela Cruz</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Ana</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F</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w:t>
            </w:r>
          </w:p>
        </w:tc>
        <w:tc>
          <w:tcPr>
            <w:tcW w:type="dxa" w:w="9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BSN</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1.85</w:t>
            </w:r>
          </w:p>
        </w:tc>
        <w:tc>
          <w:tcPr>
            <w:tcW w:type="dxa" w:w="2164"/>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anadelacruz19@uni.edu.ph</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09391234567</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LOA</w:t>
            </w:r>
          </w:p>
        </w:tc>
      </w:tr>
      <w:tr>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202400489</w:t>
            </w:r>
          </w:p>
        </w:tc>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Torres</w:t>
            </w:r>
          </w:p>
        </w:tc>
        <w:tc>
          <w:tcPr>
            <w:tcW w:type="dxa" w:w="108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Miguel</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23</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w:t>
            </w:r>
          </w:p>
        </w:tc>
        <w:tc>
          <w:tcPr>
            <w:tcW w:type="dxa" w:w="84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4</w:t>
            </w:r>
          </w:p>
        </w:tc>
        <w:tc>
          <w:tcPr>
            <w:tcW w:type="dxa" w:w="90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BSCE</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2.50</w:t>
            </w:r>
          </w:p>
        </w:tc>
        <w:tc>
          <w:tcPr>
            <w:tcW w:type="dxa" w:w="2164"/>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migueltorres63@uni.edu.ph</w:t>
            </w:r>
          </w:p>
        </w:tc>
        <w:tc>
          <w:tcPr>
            <w:tcW w:type="dxa" w:w="84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64748B"/>
                <w:sz w:val="15"/>
                <w:szCs w:val="15"/>
              </w:rPr>
              <w:t xml:space="preserve">(empty)</w:t>
            </w:r>
          </w:p>
        </w:tc>
        <w:tc>
          <w:tcPr>
            <w:tcW w:type="dxa" w:w="560"/>
            <w:tcBorders>
              <w:top w:val="single" w:color="DDDDDD" w:sz="1"/>
              <w:left w:val="single" w:color="DDDDDD" w:sz="1"/>
              <w:bottom w:val="single" w:color="DDDDDD" w:sz="1"/>
              <w:right w:val="single" w:color="DDDDDD" w:sz="1"/>
            </w:tcBorders>
            <w:shd w:fill="F4F7F9"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Enrolled</w:t>
            </w:r>
          </w:p>
        </w:tc>
      </w:tr>
      <w:tr>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202400601</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Aquino</w:t>
            </w:r>
          </w:p>
        </w:tc>
        <w:tc>
          <w:tcPr>
            <w:tcW w:type="dxa" w:w="108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Patricia</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22</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Prefer not to say</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3</w:t>
            </w:r>
          </w:p>
        </w:tc>
        <w:tc>
          <w:tcPr>
            <w:tcW w:type="dxa" w:w="90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BSBA</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1.75</w:t>
            </w:r>
          </w:p>
        </w:tc>
        <w:tc>
          <w:tcPr>
            <w:tcW w:type="dxa" w:w="2164"/>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patriciaaquino55@uni.edu.ph</w:t>
            </w:r>
          </w:p>
        </w:tc>
        <w:tc>
          <w:tcPr>
            <w:tcW w:type="dxa" w:w="84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09501234567</w:t>
            </w:r>
          </w:p>
        </w:tc>
        <w:tc>
          <w:tcPr>
            <w:tcW w:type="dxa" w:w="560"/>
            <w:tcBorders>
              <w:top w:val="single" w:color="DDDDDD" w:sz="1"/>
              <w:left w:val="single" w:color="DDDDDD" w:sz="1"/>
              <w:bottom w:val="single" w:color="DDDDDD" w:sz="1"/>
              <w:right w:val="single" w:color="DDDDDD" w:sz="1"/>
            </w:tcBorders>
            <w:shd w:fill="FFFFFF" w:val="clear"/>
            <w:tcMar>
              <w:top w:type="dxa" w:w="55"/>
              <w:left w:type="dxa" w:w="80"/>
              <w:bottom w:type="dxa" w:w="55"/>
              <w:right w:type="dxa" w:w="60"/>
            </w:tcMar>
          </w:tcPr>
          <w:p>
            <w:pPr>
              <w:spacing w:after="0" w:before="0"/>
            </w:pPr>
            <w:r>
              <w:rPr>
                <w:rFonts w:ascii="Courier New" w:cs="Courier New" w:eastAsia="Courier New" w:hAnsi="Courier New"/>
                <w:color w:val="1A2332"/>
                <w:sz w:val="15"/>
                <w:szCs w:val="15"/>
              </w:rPr>
              <w:t xml:space="preserve">Dropped</w:t>
            </w:r>
          </w:p>
        </w:tc>
      </w:tr>
    </w:tbl>
    <w:p>
      <w:pPr>
        <w:spacing w:after="60" w:before="0"/>
      </w:pPr>
    </w:p>
    <w:p>
      <w:pPr>
        <w:spacing w:after="80" w:before="0"/>
        <w:jc w:val="left"/>
      </w:pPr>
      <w:r>
        <w:rPr>
          <w:rFonts w:ascii="Calibri" w:cs="Calibri" w:eastAsia="Calibri" w:hAnsi="Calibri"/>
          <w:b w:val="false"/>
          <w:bCs w:val="false"/>
          <w:color w:val="64748B"/>
          <w:sz w:val="19"/>
          <w:szCs w:val="19"/>
        </w:rPr>
        <w:t xml:space="preserve">Note: The gpa field for the first record is intentionally empty — this student is in year_level 1 and has no prior academic record. The contact_no for record 4 is also empty, which is acceptable as this field is optional.</w:t>
      </w:r>
    </w:p>
    <w:sectPr>
      <w:headerReference w:type="default" r:id="rId7"/>
      <w:footerReference w:type="default" r:id="rId8"/>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7500"/>
      <w:gridCol w:w="2724"/>
    </w:tblGrid>
    <w:tr>
      <w:tc>
        <w:tcPr>
          <w:tcW w:type="dxa" w:w="7500"/>
          <w:tcBorders>
            <w:top w:val="single" w:color="CCCCCC" w:sz="1"/>
            <w:left w:val="none"/>
            <w:bottom w:val="none"/>
            <w:right w:val="none"/>
          </w:tcBorders>
        </w:tcPr>
        <w:p>
          <w:pPr>
            <w:spacing w:after="80" w:before="0"/>
            <w:jc w:val="left"/>
          </w:pPr>
          <w:r>
            <w:rPr>
              <w:rFonts w:ascii="Calibri" w:cs="Calibri" w:eastAsia="Calibri" w:hAnsi="Calibri"/>
              <w:b w:val="false"/>
              <w:bCs w:val="false"/>
              <w:color w:val="64748B"/>
              <w:sz w:val="14"/>
              <w:szCs w:val="14"/>
            </w:rPr>
            <w:t xml:space="preserve">Data Analytics Course  ·  For academic use only</w:t>
          </w:r>
        </w:p>
      </w:tc>
      <w:tc>
        <w:tcPr>
          <w:tcW w:type="dxa" w:w="2724"/>
          <w:tcBorders>
            <w:top w:val="single" w:color="CCCCCC" w:sz="1"/>
            <w:left w:val="none"/>
            <w:bottom w:val="none"/>
            <w:right w:val="none"/>
          </w:tcBorders>
        </w:tcPr>
        <w:p>
          <w:pPr>
            <w:spacing w:after="0" w:before="0"/>
            <w:jc w:val="right"/>
          </w:pPr>
          <w:r>
            <w:rPr>
              <w:rFonts w:ascii="Calibri" w:cs="Calibri" w:eastAsia="Calibri" w:hAnsi="Calibri"/>
              <w:color w:val="64748B"/>
              <w:sz w:val="16"/>
              <w:szCs w:val="16"/>
            </w:rPr>
            <w:t xml:space="preserve">Page </w:t>
          </w:r>
          <w:r>
            <w:rPr>
              <w:rFonts w:ascii="Calibri" w:cs="Calibri" w:eastAsia="Calibri" w:hAnsi="Calibri"/>
              <w:color w:val="64748B"/>
              <w:sz w:val="16"/>
              <w:szCs w:val="16"/>
            </w:rPr>
            <w:fldChar w:fldCharType="begin"/>
            <w:instrText xml:space="preserve">PAGE</w:instrText>
            <w:fldChar w:fldCharType="separate"/>
            <w:fldChar w:fldCharType="end"/>
          </w:r>
          <w:r>
            <w:rPr>
              <w:rFonts w:ascii="Calibri" w:cs="Calibri" w:eastAsia="Calibri" w:hAnsi="Calibri"/>
              <w:color w:val="64748B"/>
              <w:sz w:val="16"/>
              <w:szCs w:val="16"/>
            </w:rPr>
            <w:t xml:space="preserve"> of </w:t>
          </w:r>
          <w:r>
            <w:rPr>
              <w:rFonts w:ascii="Calibri" w:cs="Calibri" w:eastAsia="Calibri" w:hAnsi="Calibri"/>
              <w:color w:val="64748B"/>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6500"/>
      <w:gridCol w:w="3724"/>
    </w:tblGrid>
    <w:tr>
      <w:tc>
        <w:tcPr>
          <w:tcW w:type="dxa" w:w="6500"/>
          <w:tcBorders>
            <w:top w:val="none"/>
            <w:left w:val="none"/>
            <w:bottom w:val="single" w:color="CCCCCC" w:sz="1"/>
            <w:right w:val="none"/>
          </w:tcBorders>
        </w:tcPr>
        <w:p>
          <w:pPr>
            <w:spacing w:after="80" w:before="0"/>
            <w:jc w:val="left"/>
          </w:pPr>
          <w:r>
            <w:rPr>
              <w:rFonts w:ascii="Calibri" w:cs="Calibri" w:eastAsia="Calibri" w:hAnsi="Calibri"/>
              <w:b w:val="false"/>
              <w:bCs w:val="false"/>
              <w:color w:val="64748B"/>
              <w:sz w:val="16"/>
              <w:szCs w:val="16"/>
            </w:rPr>
            <w:t xml:space="preserve">Student Enrollment Dataset  —  Data Dictionary</w:t>
          </w:r>
        </w:p>
      </w:tc>
      <w:tc>
        <w:tcPr>
          <w:tcW w:type="dxa" w:w="3724"/>
          <w:tcBorders>
            <w:top w:val="none"/>
            <w:left w:val="none"/>
            <w:bottom w:val="single" w:color="CCCCCC" w:sz="1"/>
            <w:right w:val="none"/>
          </w:tcBorders>
        </w:tcPr>
        <w:p>
          <w:pPr>
            <w:spacing w:after="80" w:before="0"/>
            <w:jc w:val="right"/>
          </w:pPr>
          <w:r>
            <w:rPr>
              <w:rFonts w:ascii="Courier New" w:cs="Courier New" w:eastAsia="Courier New" w:hAnsi="Courier New"/>
              <w:b/>
              <w:bCs/>
              <w:color w:val="1B6B3A"/>
              <w:sz w:val="16"/>
              <w:szCs w:val="16"/>
            </w:rPr>
            <w:t xml:space="preserve">students_dirty_10k.csv</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2026-03-30T08:14:26.267Z</dcterms:created>
  <dcterms:modified xsi:type="dcterms:W3CDTF">2026-03-30T08:14:26.267Z</dcterms:modified>
</cp:coreProperties>
</file>

<file path=docProps/custom.xml><?xml version="1.0" encoding="utf-8"?>
<Properties xmlns="http://schemas.openxmlformats.org/officeDocument/2006/custom-properties" xmlns:vt="http://schemas.openxmlformats.org/officeDocument/2006/docPropsVTypes"/>
</file>