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3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1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Heading1"/>
        <w:topLinePunct/>
      </w:pPr>
      <w:bookmarkStart w:id="687890" w:name="_Ref665687890"/>
      <w:bookmarkStart w:id="737381" w:name="_Toc686737381"/>
      <w:bookmarkStart w:name="_bookmark0" w:id="1"/>
      <w:bookmarkEnd w:id="1"/>
      <w:r>
        <w:t>河北金融学院研究部学位论文原创性声明</w:t>
      </w:r>
      <w:bookmarkEnd w:id="737381"/>
    </w:p>
    <w:bookmarkEnd w:id="687890"/>
    <w:p w:rsidR="0018722C">
      <w:pPr>
        <w:topLinePunct/>
      </w:pPr>
      <w:r>
        <w:rPr>
          <w:rFonts w:cstheme="minorBidi" w:hAnsiTheme="minorHAnsi" w:eastAsiaTheme="minorHAnsi" w:asciiTheme="minorHAnsi" w:ascii="仿宋" w:hAnsi="仿宋" w:eastAsia="仿宋" w:cs="仿宋"/>
        </w:rPr>
        <w:t>本人郑重声明：所呈交的学位论文是本人在导师的指导下独立进</w:t>
      </w:r>
      <w:r>
        <w:rPr>
          <w:rFonts w:cstheme="minorBidi" w:hAnsiTheme="minorHAnsi" w:eastAsiaTheme="minorHAnsi" w:asciiTheme="minorHAnsi" w:ascii="仿宋" w:hAnsi="仿宋" w:eastAsia="仿宋" w:cs="仿宋"/>
        </w:rPr>
        <w:t>行研究工作所取得的成果。除文中已经注明引用的内容外，本论文不</w:t>
      </w:r>
      <w:r>
        <w:rPr>
          <w:rFonts w:cstheme="minorBidi" w:hAnsiTheme="minorHAnsi" w:eastAsiaTheme="minorHAnsi" w:asciiTheme="minorHAnsi" w:ascii="仿宋" w:hAnsi="仿宋" w:eastAsia="仿宋" w:cs="仿宋"/>
        </w:rPr>
        <w:t>含任何其他个人或集体已经发表或撰写过的作品成果。对本文的研究</w:t>
      </w:r>
      <w:r>
        <w:rPr>
          <w:rFonts w:cstheme="minorBidi" w:hAnsiTheme="minorHAnsi" w:eastAsiaTheme="minorHAnsi" w:asciiTheme="minorHAnsi" w:ascii="仿宋" w:hAnsi="仿宋" w:eastAsia="仿宋" w:cs="仿宋"/>
        </w:rPr>
        <w:t>做出重要贡献的个人和集体，均已在文中以明确方式标明。因本学位</w:t>
      </w:r>
      <w:r>
        <w:rPr>
          <w:rFonts w:cstheme="minorBidi" w:hAnsiTheme="minorHAnsi" w:eastAsiaTheme="minorHAnsi" w:asciiTheme="minorHAnsi" w:ascii="仿宋" w:hAnsi="仿宋" w:eastAsia="仿宋" w:cs="仿宋"/>
        </w:rPr>
        <w:t>论文引起的法律后果完全由本人承担。</w:t>
      </w:r>
    </w:p>
    <w:p w:rsidR="0018722C">
      <w:pPr>
        <w:topLinePunct/>
      </w:pPr>
      <w:r>
        <w:rPr>
          <w:rFonts w:cstheme="minorBidi" w:hAnsiTheme="minorHAnsi" w:eastAsiaTheme="minorHAnsi" w:asciiTheme="minorHAnsi" w:ascii="仿宋" w:eastAsia="仿宋" w:hint="eastAsia"/>
        </w:rPr>
        <w:t>学位论文作者签名</w:t>
      </w:r>
      <w:r>
        <w:rPr>
          <w:rFonts w:cstheme="minorBidi" w:hAnsiTheme="minorHAnsi" w:eastAsiaTheme="minorHAnsi" w:asciiTheme="minorHAnsi" w:ascii="仿宋" w:eastAsia="仿宋" w:hint="eastAsia"/>
        </w:rPr>
        <w:t>：</w:t>
      </w:r>
      <w:r>
        <w:rPr>
          <w:rFonts w:ascii="仿宋" w:eastAsia="仿宋" w:hint="eastAsia" w:cstheme="minorBidi" w:hAnsiTheme="minorHAnsi"/>
        </w:rPr>
        <w:t>签字日期：</w:t>
      </w:r>
      <w:r w:rsidR="001852F3">
        <w:rPr>
          <w:rFonts w:ascii="仿宋" w:eastAsia="仿宋" w:hint="eastAsia" w:cstheme="minorBidi" w:hAnsiTheme="minorHAnsi"/>
        </w:rPr>
        <w:t xml:space="preserve">年</w:t>
      </w:r>
      <w:r w:rsidR="001852F3">
        <w:rPr>
          <w:rFonts w:ascii="仿宋" w:eastAsia="仿宋" w:hint="eastAsia" w:cstheme="minorBidi" w:hAnsiTheme="minorHAnsi"/>
        </w:rPr>
        <w:t xml:space="preserve">月 日</w:t>
      </w:r>
    </w:p>
    <w:p w:rsidR="0018722C">
      <w:pPr>
        <w:topLinePunct/>
      </w:pPr>
      <w:r>
        <w:rPr>
          <w:rFonts w:cstheme="minorBidi" w:hAnsiTheme="minorHAnsi" w:eastAsiaTheme="minorHAnsi" w:asciiTheme="minorHAnsi" w:ascii="黑体" w:eastAsia="黑体" w:hint="eastAsia"/>
          <w:b/>
        </w:rPr>
        <w:t>河北金融学院研究部学位论文版权使用授权书</w:t>
      </w:r>
    </w:p>
    <w:p w:rsidR="0018722C">
      <w:pPr>
        <w:topLinePunct/>
      </w:pPr>
      <w:r>
        <w:rPr>
          <w:rFonts w:cstheme="minorBidi" w:hAnsiTheme="minorHAnsi" w:eastAsiaTheme="minorHAnsi" w:asciiTheme="minorHAnsi" w:ascii="仿宋" w:eastAsia="仿宋" w:hint="eastAsia"/>
        </w:rPr>
        <w:t>本学位论文作者完全了解河北金融学院研究院有关保留、使用学</w:t>
      </w:r>
      <w:r>
        <w:rPr>
          <w:rFonts w:ascii="仿宋" w:eastAsia="仿宋" w:hint="eastAsia" w:cstheme="minorBidi" w:hAnsiTheme="minorHAnsi"/>
        </w:rPr>
        <w:t>位论文的规定，有权保留并向国家有关部门或机构送交论文的纸质版</w:t>
      </w:r>
      <w:r>
        <w:rPr>
          <w:rFonts w:ascii="仿宋" w:eastAsia="仿宋" w:hint="eastAsia" w:cstheme="minorBidi" w:hAnsiTheme="minorHAnsi"/>
        </w:rPr>
        <w:t>和电子版，允许论文被查阅和借阅。本人授权河北金融学院研究院可</w:t>
      </w:r>
      <w:r>
        <w:rPr>
          <w:rFonts w:ascii="仿宋" w:eastAsia="仿宋" w:hint="eastAsia" w:cstheme="minorBidi" w:hAnsiTheme="minorHAnsi"/>
        </w:rPr>
        <w:t>以将学位论文的全部或部分内容编入《中国优秀博硕士学位论文全文</w:t>
      </w:r>
      <w:r>
        <w:rPr>
          <w:rFonts w:ascii="仿宋" w:eastAsia="仿宋" w:hint="eastAsia" w:cstheme="minorBidi" w:hAnsiTheme="minorHAnsi"/>
        </w:rPr>
        <w:t>数据库》和《中国知识资源总库》进行检索，可以采用影印、缩印或</w:t>
      </w:r>
      <w:r>
        <w:rPr>
          <w:rFonts w:ascii="仿宋" w:eastAsia="仿宋" w:hint="eastAsia" w:cstheme="minorBidi" w:hAnsiTheme="minorHAnsi"/>
        </w:rPr>
        <w:t>扫描等复制手段保存、汇编学位论文。</w:t>
      </w:r>
    </w:p>
    <w:p w:rsidR="0018722C">
      <w:pPr>
        <w:topLinePunct/>
      </w:pPr>
      <w:r>
        <w:rPr>
          <w:rFonts w:cstheme="minorBidi" w:hAnsiTheme="minorHAnsi" w:eastAsiaTheme="minorHAnsi" w:asciiTheme="minorHAnsi" w:ascii="仿宋" w:eastAsia="仿宋" w:hint="eastAsia"/>
        </w:rPr>
        <w:t>（</w:t>
      </w:r>
      <w:r>
        <w:rPr>
          <w:rFonts w:cstheme="minorBidi" w:hAnsiTheme="minorHAnsi" w:eastAsiaTheme="minorHAnsi" w:asciiTheme="minorHAnsi" w:ascii="仿宋" w:eastAsia="仿宋" w:hint="eastAsia"/>
        </w:rPr>
        <w:t xml:space="preserve">保密的学位论文在解密后适用本授权书</w:t>
      </w:r>
      <w:r>
        <w:rPr>
          <w:rFonts w:cstheme="minorBidi" w:hAnsiTheme="minorHAnsi" w:eastAsiaTheme="minorHAnsi" w:asciiTheme="minorHAnsi" w:ascii="仿宋" w:eastAsia="仿宋" w:hint="eastAsia"/>
        </w:rPr>
        <w:t>）</w:t>
      </w:r>
    </w:p>
    <w:p w:rsidR="0018722C">
      <w:pPr>
        <w:topLinePunct/>
      </w:pPr>
      <w:r>
        <w:rPr>
          <w:rFonts w:cstheme="minorBidi" w:hAnsiTheme="minorHAnsi" w:eastAsiaTheme="minorHAnsi" w:asciiTheme="minorHAnsi" w:ascii="仿宋" w:eastAsia="仿宋" w:hint="eastAsia"/>
        </w:rPr>
        <w:t>学位论</w:t>
      </w:r>
      <w:r>
        <w:rPr>
          <w:rFonts w:ascii="仿宋" w:eastAsia="仿宋" w:hint="eastAsia" w:cstheme="minorBidi" w:hAnsiTheme="minorHAnsi"/>
        </w:rPr>
        <w:t>文</w:t>
      </w:r>
      <w:r>
        <w:rPr>
          <w:rFonts w:ascii="仿宋" w:eastAsia="仿宋" w:hint="eastAsia" w:cstheme="minorBidi" w:hAnsiTheme="minorHAnsi"/>
        </w:rPr>
        <w:t>作者</w:t>
      </w:r>
      <w:r>
        <w:rPr>
          <w:rFonts w:ascii="仿宋" w:eastAsia="仿宋" w:hint="eastAsia" w:cstheme="minorBidi" w:hAnsiTheme="minorHAnsi"/>
        </w:rPr>
        <w:t>签名</w:t>
      </w:r>
      <w:r>
        <w:rPr>
          <w:rFonts w:ascii="仿宋" w:eastAsia="仿宋" w:hint="eastAsia" w:cstheme="minorBidi" w:hAnsiTheme="minorHAnsi"/>
        </w:rPr>
        <w:t>：</w:t>
      </w:r>
      <w:r w:rsidR="001852F3">
        <w:rPr>
          <w:rFonts w:cstheme="minorBidi" w:hAnsiTheme="minorHAnsi" w:eastAsiaTheme="minorHAnsi" w:asciiTheme="minorHAnsi"/>
        </w:rPr>
        <w:t>导师签</w:t>
      </w:r>
      <w:r>
        <w:rPr>
          <w:rFonts w:ascii="仿宋" w:eastAsia="仿宋" w:hint="eastAsia" w:cstheme="minorBidi" w:hAnsiTheme="minorHAnsi"/>
        </w:rPr>
        <w:t>名</w:t>
      </w:r>
      <w:r>
        <w:rPr>
          <w:rFonts w:ascii="仿宋" w:eastAsia="仿宋" w:hint="eastAsia" w:cstheme="minorBidi" w:hAnsiTheme="minorHAnsi"/>
        </w:rPr>
        <w:t>：</w:t>
      </w:r>
    </w:p>
    <w:p w:rsidR="0018722C">
      <w:pPr>
        <w:topLinePunct/>
      </w:pPr>
      <w:r>
        <w:rPr>
          <w:rFonts w:cstheme="minorBidi" w:hAnsiTheme="minorHAnsi" w:eastAsiaTheme="minorHAnsi" w:asciiTheme="minorHAnsi" w:ascii="仿宋" w:eastAsia="仿宋" w:hint="eastAsia"/>
        </w:rPr>
        <w:t>签字日</w:t>
      </w:r>
      <w:r>
        <w:rPr>
          <w:rFonts w:ascii="仿宋" w:eastAsia="仿宋" w:hint="eastAsia" w:cstheme="minorBidi" w:hAnsiTheme="minorHAnsi"/>
        </w:rPr>
        <w:t>期</w:t>
      </w:r>
      <w:r>
        <w:rPr>
          <w:rFonts w:ascii="仿宋" w:eastAsia="仿宋" w:hint="eastAsia" w:cstheme="minorBidi" w:hAnsiTheme="minorHAnsi"/>
        </w:rPr>
        <w:t>：</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r w:rsidRPr="00000000">
        <w:rPr>
          <w:rFonts w:cstheme="minorBidi" w:hAnsiTheme="minorHAnsi" w:eastAsiaTheme="minorHAnsi" w:asciiTheme="minorHAnsi"/>
        </w:rPr>
        <w:tab/>
        <w:t>签字</w:t>
      </w:r>
      <w:r>
        <w:rPr>
          <w:rFonts w:ascii="仿宋" w:eastAsia="仿宋" w:hint="eastAsia" w:cstheme="minorBidi" w:hAnsiTheme="minorHAnsi"/>
        </w:rPr>
        <w:t>日</w:t>
      </w:r>
      <w:r>
        <w:rPr>
          <w:rFonts w:ascii="仿宋" w:eastAsia="仿宋" w:hint="eastAsia" w:cstheme="minorBidi" w:hAnsiTheme="minorHAnsi"/>
        </w:rPr>
        <w:t>期：年</w:t>
      </w:r>
      <w:r>
        <w:rPr>
          <w:rFonts w:ascii="仿宋" w:eastAsia="仿宋" w:hint="eastAsia" w:cstheme="minorBidi" w:hAnsiTheme="minorHAnsi"/>
        </w:rPr>
        <w:t>月</w:t>
      </w:r>
      <w:r>
        <w:rPr>
          <w:rFonts w:ascii="仿宋" w:eastAsia="仿宋" w:hint="eastAsia" w:cstheme="minorBidi" w:hAnsiTheme="minorHAnsi"/>
        </w:rPr>
        <w:t> </w:t>
      </w:r>
      <w:r>
        <w:rPr>
          <w:rFonts w:ascii="仿宋" w:eastAsia="仿宋" w:hint="eastAsia" w:cstheme="minorBidi" w:hAnsiTheme="minorHAnsi"/>
        </w:rPr>
        <w:t>日</w:t>
      </w:r>
    </w:p>
    <w:p w:rsidR="0018722C">
      <w:pPr>
        <w:topLinePunct/>
      </w:pPr>
      <w:r>
        <w:rPr>
          <w:rFonts w:cstheme="minorBidi" w:hAnsiTheme="minorHAnsi" w:eastAsiaTheme="minorHAnsi" w:asciiTheme="minorHAnsi" w:ascii="Calibri"/>
        </w:rPr>
        <w:t>I</w:t>
      </w:r>
    </w:p>
    <w:p w:rsidR="0018722C">
      <w:pPr>
        <w:pStyle w:val="af5"/>
        <w:topLinePunct/>
      </w:pPr>
      <w:r>
        <w:rPr>
          <w:rFonts w:cstheme="minorBidi" w:hAnsiTheme="minorHAnsi" w:eastAsiaTheme="minorHAnsi" w:asciiTheme="minorHAnsi" w:ascii="黑体" w:eastAsia="黑体" w:hint="eastAsia"/>
        </w:rPr>
        <w:t>论文题目：国债期货套期保值比率实证研究</w:t>
      </w:r>
    </w:p>
    <w:p w:rsidR="0018722C">
      <w:pPr>
        <w:pStyle w:val="af6"/>
        <w:topLinePunct/>
      </w:pPr>
      <w:bookmarkStart w:id="737382" w:name="_Toc686737382"/>
      <w:r>
        <w:t>摘</w:t>
      </w:r>
      <w:r w:rsidR="004F241D">
        <w:t xml:space="preserve">  </w:t>
      </w:r>
      <w:r w:rsidR="004F241D">
        <w:t xml:space="preserve">要</w:t>
      </w:r>
      <w:bookmarkEnd w:id="737382"/>
    </w:p>
    <w:p w:rsidR="0018722C">
      <w:pPr>
        <w:pStyle w:val="aff0"/>
        <w:topLinePunct/>
      </w:pPr>
      <w:r>
        <w:t>继</w:t>
      </w:r>
      <w:r>
        <w:rPr>
          <w:rFonts w:ascii="Times New Roman" w:hAnsi="Times New Roman" w:eastAsia="Times New Roman"/>
        </w:rPr>
        <w:t>1995</w:t>
      </w:r>
      <w:r>
        <w:t>年发生</w:t>
      </w:r>
      <w:r>
        <w:rPr>
          <w:rFonts w:ascii="Times New Roman" w:hAnsi="Times New Roman" w:eastAsia="Times New Roman"/>
        </w:rPr>
        <w:t>―</w:t>
      </w:r>
      <w:r>
        <w:rPr>
          <w:rFonts w:ascii="Times New Roman" w:hAnsi="Times New Roman" w:eastAsia="Times New Roman"/>
        </w:rPr>
        <w:t>327</w:t>
      </w:r>
      <w:r>
        <w:rPr>
          <w:rFonts w:ascii="Times New Roman" w:hAnsi="Times New Roman" w:eastAsia="Times New Roman"/>
        </w:rPr>
        <w:t>‖</w:t>
      </w:r>
      <w:r>
        <w:t>事件国债期货被暂停之后，时隔</w:t>
      </w:r>
      <w:r>
        <w:rPr>
          <w:rFonts w:ascii="Times New Roman" w:hAnsi="Times New Roman" w:eastAsia="Times New Roman"/>
        </w:rPr>
        <w:t>18</w:t>
      </w:r>
      <w:r>
        <w:t>年之久，国债期货</w:t>
      </w:r>
    </w:p>
    <w:p w:rsidR="0018722C">
      <w:pPr>
        <w:pStyle w:val="aff0"/>
        <w:topLinePunct/>
      </w:pPr>
      <w:r>
        <w:t>再次于</w:t>
      </w:r>
      <w:r>
        <w:rPr>
          <w:rFonts w:ascii="Times New Roman" w:eastAsia="Times New Roman"/>
        </w:rPr>
        <w:t>2013</w:t>
      </w:r>
      <w:r>
        <w:t>年</w:t>
      </w:r>
      <w:r>
        <w:rPr>
          <w:rFonts w:ascii="Times New Roman" w:eastAsia="Times New Roman"/>
        </w:rPr>
        <w:t>9</w:t>
      </w:r>
      <w:r>
        <w:t>月</w:t>
      </w:r>
      <w:r>
        <w:rPr>
          <w:rFonts w:ascii="Times New Roman" w:eastAsia="Times New Roman"/>
        </w:rPr>
        <w:t>6</w:t>
      </w:r>
      <w:r>
        <w:t>日启动上市。作为资本市场的重要组成部分，债券市场的</w:t>
      </w:r>
      <w:r>
        <w:t>健康发展对国民经济起到积极的促进作用，而国债期货作为资本市场重要的组成</w:t>
      </w:r>
      <w:r>
        <w:t>部分，将在极大程度上提高机构投资者债券投资的风险管理功能，继而形成良性</w:t>
      </w:r>
      <w:r>
        <w:t>循环，从发行、交易、风险管理等方面全方位提升债券市场在国民经济中的重要地位。</w:t>
      </w:r>
    </w:p>
    <w:p w:rsidR="0018722C">
      <w:pPr>
        <w:pStyle w:val="aff0"/>
        <w:topLinePunct/>
      </w:pPr>
      <w:r>
        <w:t>利率风险管理是国债期货最主要的功能，通过在国债期货市场上建立适当的</w:t>
      </w:r>
      <w:r>
        <w:t>相反于现货市场的头寸，投资者可以有效地规避未来市场利率变动所带来的风险。</w:t>
      </w:r>
      <w:r>
        <w:t>随着存贷款利率的逐渐放开，国际金融的逐步接轨，国内利率市场化的进程在不</w:t>
      </w:r>
      <w:r>
        <w:t>断的加快，市场利率水平的确定将归还于市场。可以预见的是，利率的波动不管</w:t>
      </w:r>
      <w:r>
        <w:t>在幅度上还是频率上都会加快，适时地推出国债期货有助于为金融机构与个人投</w:t>
      </w:r>
      <w:r w:rsidR="001852F3">
        <w:t xml:space="preserve">资者规避利率风险。适时地推出国债期货可以在利率波动日益频繁的情况下为国</w:t>
      </w:r>
      <w:r>
        <w:t>内投资者提供强有力地利率管理工具，对于国债期货与现货的套期保值方面的研</w:t>
      </w:r>
      <w:r>
        <w:t>究，具有风险管理领域切实的价值和意义，而其中套期保值比率的研究正是套期</w:t>
      </w:r>
      <w:r>
        <w:t>保值理论中涉及到的最为核心的问题。</w:t>
      </w:r>
    </w:p>
    <w:p w:rsidR="0018722C">
      <w:pPr>
        <w:pStyle w:val="aff0"/>
        <w:topLinePunct/>
      </w:pPr>
      <w:r>
        <w:t>本文依据套期保值基本理论与经典模型，借鉴国内外优秀的研究理论方法，</w:t>
      </w:r>
      <w:r>
        <w:t>选取国债期货主力合约作为期货标的，选取国泰上证</w:t>
      </w:r>
      <w:r>
        <w:rPr>
          <w:rFonts w:ascii="Times New Roman" w:eastAsia="Times New Roman"/>
        </w:rPr>
        <w:t>5</w:t>
      </w:r>
      <w:r>
        <w:t>年期国债</w:t>
      </w:r>
      <w:r>
        <w:rPr>
          <w:rFonts w:ascii="Times New Roman" w:eastAsia="Times New Roman"/>
        </w:rPr>
        <w:t>ETF</w:t>
      </w:r>
      <w:r>
        <w:t>作为现货</w:t>
      </w:r>
      <w:r>
        <w:t>研究标的，利用</w:t>
      </w:r>
      <w:r>
        <w:rPr>
          <w:rFonts w:ascii="Times New Roman" w:eastAsia="Times New Roman"/>
        </w:rPr>
        <w:t>3</w:t>
      </w:r>
      <w:r>
        <w:t>中常用的套期保值比率研究模型：最小二乘法</w:t>
      </w:r>
      <w:r>
        <w:t>（</w:t>
      </w:r>
      <w:r>
        <w:rPr>
          <w:rFonts w:ascii="Times New Roman" w:eastAsia="Times New Roman"/>
        </w:rPr>
        <w:t>OLS</w:t>
      </w:r>
      <w:r>
        <w:t>）</w:t>
      </w:r>
      <w:r>
        <w:t>模型、双变量自回归</w:t>
      </w:r>
      <w:r>
        <w:t>（</w:t>
      </w:r>
      <w:r>
        <w:rPr>
          <w:rFonts w:ascii="Times New Roman" w:eastAsia="Times New Roman"/>
          <w:spacing w:val="-2"/>
        </w:rPr>
        <w:t>B-VAR</w:t>
      </w:r>
      <w:r>
        <w:t>）</w:t>
      </w:r>
      <w:r>
        <w:t>模型、误差修正</w:t>
      </w:r>
      <w:r>
        <w:t>（</w:t>
      </w:r>
      <w:r>
        <w:rPr>
          <w:rFonts w:ascii="Times New Roman" w:eastAsia="Times New Roman"/>
        </w:rPr>
        <w:t>ECM</w:t>
      </w:r>
      <w:r>
        <w:t>）</w:t>
      </w:r>
      <w:r>
        <w:t>模型，对国债期货进行了套</w:t>
      </w:r>
      <w:r>
        <w:t>期保值比率深入的研究分析，以期从规避风险和风险、收益综合考虑的两种角度</w:t>
      </w:r>
      <w:r>
        <w:t>下，得到不同考虑因素下适用的最优模型，对国内国债市场和国债期货市场的投资者在套期保值模型的选取上提供建议。</w:t>
      </w:r>
    </w:p>
    <w:p w:rsidR="0018722C">
      <w:pPr>
        <w:pStyle w:val="aff"/>
        <w:topLinePunct/>
      </w:pPr>
      <w:r>
        <w:rPr>
          <w:rFonts w:eastAsia="黑体" w:ascii="Times New Roman"/>
          <w:rStyle w:val="afe"/>
          <w:b/>
        </w:rPr>
        <w:t>关键词：</w:t>
      </w:r>
      <w:r>
        <w:t>国债期货</w:t>
      </w:r>
      <w:r>
        <w:t xml:space="preserve">； </w:t>
      </w:r>
      <w:r>
        <w:t>套期保值</w:t>
      </w:r>
      <w:r>
        <w:t xml:space="preserve">； </w:t>
      </w:r>
      <w:r>
        <w:t>风险规避</w:t>
      </w:r>
      <w:r>
        <w:t xml:space="preserve">； </w:t>
      </w:r>
      <w:r>
        <w:t>双变量自回归模型</w:t>
      </w:r>
      <w:r>
        <w:t xml:space="preserve">； </w:t>
      </w:r>
      <w:r>
        <w:t>误差修正模型</w:t>
      </w:r>
    </w:p>
    <w:p w:rsidR="0018722C">
      <w:pPr>
        <w:topLinePunct/>
      </w:pPr>
      <w:r>
        <w:rPr>
          <w:rFonts w:cstheme="minorBidi" w:hAnsiTheme="minorHAnsi" w:eastAsiaTheme="minorHAnsi" w:asciiTheme="minorHAnsi" w:ascii="Calibri"/>
        </w:rPr>
        <w:t>II</w:t>
      </w:r>
    </w:p>
    <w:p w:rsidR="0018722C">
      <w:pPr>
        <w:pStyle w:val="afff2"/>
        <w:topLinePunct/>
      </w:pPr>
      <w:bookmarkStart w:id="737383" w:name="_Toc686737383"/>
      <w:bookmarkStart w:name="_bookmark1" w:id="2"/>
      <w:bookmarkEnd w:id="2"/>
      <w:r/>
      <w:r>
        <w:t>Abstract</w:t>
      </w:r>
      <w:bookmarkEnd w:id="737383"/>
    </w:p>
    <w:p w:rsidR="0018722C">
      <w:pPr>
        <w:pStyle w:val="afc"/>
        <w:topLinePunct/>
      </w:pPr>
      <w:r>
        <w:rPr>
          <w:rFonts w:ascii="Times New Roman" w:hAnsi="Times New Roman"/>
        </w:rPr>
        <w:t>It has been 18</w:t>
      </w:r>
      <w:r w:rsidR="001852F3">
        <w:rPr>
          <w:rFonts w:ascii="Times New Roman" w:hAnsi="Times New Roman"/>
        </w:rPr>
        <w:t xml:space="preserve"> years since the</w:t>
      </w:r>
      <w:r>
        <w:rPr>
          <w:rFonts w:ascii="Times New Roman" w:hAnsi="Times New Roman"/>
        </w:rPr>
        <w:t>―</w:t>
      </w:r>
      <w:r>
        <w:rPr>
          <w:rFonts w:ascii="Times New Roman" w:hAnsi="Times New Roman"/>
        </w:rPr>
        <w:t>327‖</w:t>
      </w:r>
      <w:r w:rsidR="001852F3">
        <w:rPr>
          <w:rFonts w:ascii="Times New Roman" w:hAnsi="Times New Roman"/>
        </w:rPr>
        <w:t xml:space="preserve">Treasury Bond Futures Event occurred in 1995, and Treasury Bond Futures restarted listing on September 6, 2013. The healthy development of the bond market, which is an important part of the capital market, will play a positive role in promoting the national economy. Meanwhile, as an indispensable part of the bond market system, treasury bond futures will, for the most part, improve the risk management ability of institutions</w:t>
      </w:r>
      <w:r>
        <w:rPr>
          <w:rFonts w:ascii="Times New Roman" w:hAnsi="Times New Roman"/>
        </w:rPr>
        <w:t>'</w:t>
      </w:r>
      <w:r>
        <w:rPr>
          <w:rFonts w:ascii="Times New Roman" w:hAnsi="Times New Roman"/>
        </w:rPr>
        <w:t> bond investment, thus leading to a virtuous circle and promoting bond market</w:t>
      </w:r>
      <w:r>
        <w:rPr>
          <w:rFonts w:ascii="Times New Roman" w:hAnsi="Times New Roman"/>
        </w:rPr>
        <w:t>'</w:t>
      </w:r>
      <w:r>
        <w:rPr>
          <w:rFonts w:ascii="Times New Roman" w:hAnsi="Times New Roman"/>
        </w:rPr>
        <w:t>s status in national economy from all dimensions such as issue, transaction and risk management.</w:t>
      </w:r>
    </w:p>
    <w:p w:rsidR="0018722C">
      <w:pPr>
        <w:pStyle w:val="afc"/>
        <w:topLinePunct/>
      </w:pPr>
      <w:r>
        <w:rPr>
          <w:rFonts w:ascii="Times New Roman" w:hAnsi="Times New Roman"/>
        </w:rPr>
        <w:t>To </w:t>
      </w:r>
      <w:r>
        <w:rPr>
          <w:rFonts w:ascii="Times New Roman" w:hAnsi="Times New Roman"/>
        </w:rPr>
        <w:t>hedge interest-rate risk is the main function of the treasury bond</w:t>
      </w:r>
      <w:r w:rsidR="001852F3">
        <w:rPr>
          <w:rFonts w:ascii="Times New Roman" w:hAnsi="Times New Roman"/>
        </w:rPr>
        <w:t xml:space="preserve"> future market. By means of establishing appropriate position opposite to the spot market, investors can effectively hedge the risk posed by a change in interest rates of the future market. </w:t>
      </w:r>
      <w:r>
        <w:rPr>
          <w:rFonts w:ascii="Times New Roman" w:hAnsi="Times New Roman"/>
        </w:rPr>
        <w:t>It </w:t>
      </w:r>
      <w:r>
        <w:rPr>
          <w:rFonts w:ascii="Times New Roman" w:hAnsi="Times New Roman"/>
        </w:rPr>
        <w:t>is through hedging transaction of treasury bond futures that the risk aversion can be accomplished. </w:t>
      </w:r>
      <w:r>
        <w:rPr>
          <w:rFonts w:ascii="Times New Roman" w:hAnsi="Times New Roman"/>
        </w:rPr>
        <w:t>With </w:t>
      </w:r>
      <w:r>
        <w:rPr>
          <w:rFonts w:ascii="Times New Roman" w:hAnsi="Times New Roman"/>
        </w:rPr>
        <w:t>the acceleration of the interest rate marketization, the situation of Central Bank determining the interest rate will be changed. Instead, it will be determined by the supplier and demander in the market. At the same time, the range and the frequency of interest </w:t>
      </w:r>
      <w:r>
        <w:rPr>
          <w:rFonts w:ascii="Times New Roman" w:hAnsi="Times New Roman"/>
        </w:rPr>
        <w:t>rate</w:t>
      </w:r>
      <w:r>
        <w:rPr>
          <w:rFonts w:ascii="Times New Roman" w:hAnsi="Times New Roman"/>
        </w:rPr>
        <w:t>'</w:t>
      </w:r>
      <w:r>
        <w:rPr>
          <w:rFonts w:ascii="Times New Roman" w:hAnsi="Times New Roman"/>
        </w:rPr>
        <w:t>s </w:t>
      </w:r>
      <w:r>
        <w:rPr>
          <w:rFonts w:ascii="Times New Roman" w:hAnsi="Times New Roman"/>
        </w:rPr>
        <w:t>variability will be increased. The reopening of treasury bond futures serves precisely as an effective risk-aversion tool for them. Therefore, the research of hedging is of practical value and significance for risk management, among which the hedge ratio is the most central</w:t>
      </w:r>
      <w:r>
        <w:rPr>
          <w:rFonts w:ascii="Times New Roman" w:hAnsi="Times New Roman"/>
        </w:rPr>
        <w:t> </w:t>
      </w:r>
      <w:r>
        <w:rPr>
          <w:rFonts w:ascii="Times New Roman" w:hAnsi="Times New Roman"/>
        </w:rPr>
        <w:t>issue.</w:t>
      </w:r>
    </w:p>
    <w:p w:rsidR="0018722C">
      <w:pPr>
        <w:pStyle w:val="afc"/>
        <w:topLinePunct/>
      </w:pPr>
      <w:r>
        <w:rPr>
          <w:rFonts w:ascii="Times New Roman"/>
        </w:rPr>
        <w:t xml:space="preserve">On the basis of the basic hedging theory and classical model, referring to the domestic and international outstanding research method, the paper selects the most actively traded treasury bond futures contract and the 5 year treasury bond ETF to analyze the hedge ratio deeply. The hedge ratio model used 3 common ones: ordinary least square </w:t>
      </w:r>
      <w:r>
        <w:rPr>
          <w:rFonts w:ascii="Times New Roman"/>
        </w:rPr>
        <w:t xml:space="preserve">(</w:t>
      </w:r>
      <w:r>
        <w:rPr>
          <w:rFonts w:ascii="Times New Roman"/>
        </w:rPr>
        <w:t xml:space="preserve">OLS</w:t>
      </w:r>
      <w:r>
        <w:rPr>
          <w:rFonts w:ascii="Times New Roman"/>
        </w:rPr>
        <w:t xml:space="preserve">)</w:t>
      </w:r>
      <w:r>
        <w:rPr>
          <w:rFonts w:ascii="Times New Roman"/>
        </w:rPr>
        <w:t xml:space="preserve">, binary vector autoregression model </w:t>
      </w:r>
      <w:r>
        <w:rPr>
          <w:rFonts w:ascii="Times New Roman"/>
        </w:rPr>
        <w:t xml:space="preserve">(</w:t>
      </w:r>
      <w:r>
        <w:rPr>
          <w:rFonts w:ascii="Times New Roman"/>
        </w:rPr>
        <w:t xml:space="preserve">B-VAR</w:t>
      </w:r>
      <w:r>
        <w:rPr>
          <w:rFonts w:ascii="Times New Roman"/>
        </w:rPr>
        <w:t xml:space="preserve">)</w:t>
      </w:r>
      <w:r>
        <w:rPr>
          <w:rFonts w:ascii="Times New Roman"/>
        </w:rPr>
        <w:t xml:space="preserve">, error correction model </w:t>
      </w:r>
      <w:r>
        <w:rPr>
          <w:rFonts w:ascii="Times New Roman"/>
        </w:rPr>
        <w:t xml:space="preserve">(</w:t>
      </w:r>
      <w:r>
        <w:rPr>
          <w:rFonts w:ascii="Times New Roman"/>
        </w:rPr>
        <w:t xml:space="preserve">ECM</w:t>
      </w:r>
      <w:r>
        <w:rPr>
          <w:rFonts w:ascii="Times New Roman"/>
        </w:rPr>
        <w:t xml:space="preserve">)</w:t>
      </w:r>
      <w:r>
        <w:rPr>
          <w:rFonts w:ascii="Times New Roman"/>
        </w:rPr>
        <w:t xml:space="preserve">. Goal is to gain the applicable model under different circumstances and to provide advice to investors on choosing the appropriate hedging model.</w:t>
      </w:r>
    </w:p>
    <w:p w:rsidR="0018722C">
      <w:pPr>
        <w:pStyle w:val="aff"/>
        <w:topLinePunct/>
      </w:pPr>
      <w:r>
        <w:rPr>
          <w:rFonts w:ascii="Times New Roman"/>
          <w:b/>
        </w:rPr>
        <w:t/>
      </w:r>
      <w:r>
        <w:rPr>
          <w:rFonts w:ascii="Times New Roman"/>
          <w:b/>
        </w:rPr>
        <w:t>K</w:t>
      </w:r>
      <w:r>
        <w:rPr>
          <w:rFonts w:ascii="Times New Roman"/>
          <w:b/>
        </w:rPr>
        <w:t>ey</w:t>
      </w:r>
      <w:r w:rsidRPr="00000000">
        <w:tab/>
      </w:r>
      <w:r>
        <w:rPr>
          <w:rFonts w:ascii="Times New Roman"/>
          <w:b/>
        </w:rPr>
        <w:t>Words:</w:t>
      </w:r>
      <w:r w:rsidRPr="00000000">
        <w:tab/>
        <w:tab/>
      </w:r>
      <w:r>
        <w:rPr>
          <w:rFonts w:ascii="Times New Roman"/>
        </w:rPr>
        <w:t>Treasury</w:t>
      </w:r>
      <w:r>
        <w:rPr>
          <w:rFonts w:ascii="Times New Roman"/>
        </w:rPr>
        <w:t xml:space="preserve">: </w:t>
      </w:r>
      <w:r w:rsidR="001852F3">
        <w:rPr>
          <w:rFonts w:ascii="Times New Roman"/>
        </w:rPr>
        <w:t xml:space="preserve">bond</w:t>
      </w:r>
      <w:r>
        <w:rPr>
          <w:rFonts w:ascii="Times New Roman"/>
        </w:rPr>
        <w:t xml:space="preserve">; </w:t>
      </w:r>
      <w:r>
        <w:rPr>
          <w:rFonts w:ascii="Times New Roman"/>
        </w:rPr>
        <w:t>futures</w:t>
      </w:r>
      <w:r>
        <w:rPr>
          <w:rFonts w:ascii="Times New Roman"/>
        </w:rPr>
        <w:t xml:space="preserve">; </w:t>
      </w:r>
      <w:r>
        <w:rPr>
          <w:rFonts w:ascii="Times New Roman"/>
        </w:rPr>
        <w:t>hedging</w:t>
      </w:r>
      <w:r>
        <w:rPr>
          <w:rFonts w:ascii="Times New Roman"/>
        </w:rPr>
        <w:t xml:space="preserve">;</w:t>
      </w:r>
      <w:r w:rsidRPr="00000000">
        <w:t xml:space="preserve">;</w:t>
      </w:r>
      <w:r w:rsidRPr="00000000">
        <w:t xml:space="preserve"> </w:t>
      </w:r>
      <w:r w:rsidRPr="00000000">
        <w:t>risk</w:t>
      </w:r>
      <w:r>
        <w:rPr>
          <w:rFonts w:ascii="Times New Roman"/>
        </w:rPr>
        <w:t xml:space="preserve">; </w:t>
      </w:r>
      <w:r>
        <w:rPr>
          <w:rFonts w:ascii="Times New Roman"/>
        </w:rPr>
        <w:t>A</w:t>
      </w:r>
      <w:r>
        <w:rPr>
          <w:rFonts w:ascii="Times New Roman"/>
        </w:rPr>
        <w:t>version</w:t>
      </w:r>
      <w:r>
        <w:rPr>
          <w:rFonts w:ascii="Times New Roman"/>
        </w:rPr>
        <w:t xml:space="preserve">;</w:t>
      </w:r>
      <w:r w:rsidRPr="00000000">
        <w:t xml:space="preserve">;</w:t>
      </w:r>
      <w:r w:rsidRPr="00000000">
        <w:t xml:space="preserve"> </w:t>
      </w:r>
      <w:r w:rsidRPr="00000000">
        <w:t>B</w:t>
      </w:r>
      <w:r w:rsidRPr="00000000">
        <w:t>inary</w:t>
      </w:r>
      <w:r>
        <w:rPr>
          <w:rFonts w:ascii="Times New Roman"/>
        </w:rPr>
        <w:t xml:space="preserve">; </w:t>
      </w:r>
      <w:r>
        <w:rPr>
          <w:rFonts w:ascii="Times New Roman"/>
        </w:rPr>
        <w:t>V</w:t>
      </w:r>
      <w:r>
        <w:rPr>
          <w:rFonts w:ascii="Times New Roman"/>
        </w:rPr>
        <w:t>ector autoregression</w:t>
      </w:r>
      <w:r>
        <w:rPr>
          <w:rFonts w:ascii="Times New Roman"/>
        </w:rPr>
        <w:t xml:space="preserve"> </w:t>
      </w:r>
      <w:r>
        <w:rPr>
          <w:rFonts w:ascii="Times New Roman"/>
        </w:rPr>
        <w:t>model</w:t>
      </w:r>
      <w:r>
        <w:rPr>
          <w:rFonts w:ascii="Times New Roman"/>
        </w:rPr>
        <w:t xml:space="preserve">;</w:t>
      </w:r>
      <w:r w:rsidRPr="00000000">
        <w:t xml:space="preserve">;</w:t>
      </w:r>
      <w:r w:rsidRPr="00000000">
        <w:t xml:space="preserve"> </w:t>
      </w:r>
      <w:r w:rsidRPr="00000000">
        <w:t>E</w:t>
      </w:r>
      <w:r w:rsidRPr="00000000">
        <w:t>rror correction</w:t>
      </w:r>
      <w:r>
        <w:rPr>
          <w:rFonts w:ascii="Times New Roman"/>
        </w:rPr>
        <w:t xml:space="preserve"> </w:t>
      </w:r>
      <w:r>
        <w:rPr>
          <w:rFonts w:ascii="Times New Roman"/>
        </w:rPr>
        <w:t>model</w:t>
      </w:r>
    </w:p>
    <w:p w:rsidR="0018722C">
      <w:pPr>
        <w:pStyle w:val="afc"/>
        <w:topLinePunct/>
      </w:pPr>
      <w:r>
        <w:rPr>
          <w:rFonts w:cstheme="minorBidi" w:hAnsiTheme="minorHAnsi" w:eastAsiaTheme="minorHAnsi" w:asciiTheme="minorHAnsi" w:ascii="Calibri"/>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"_Toc686737381"</w:instrText>
      </w:r>
      <w:r>
        <w:fldChar w:fldCharType="separate"/>
      </w:r>
      <w:r>
        <w:t>河北金融学院研究部学位论文原创性声明</w:t>
      </w:r>
      <w:r>
        <w:fldChar w:fldCharType="end"/>
      </w:r>
      <w:r>
        <w:rPr>
          <w:noProof/>
          <w:webHidden/>
        </w:rPr>
        <w:tab/>
      </w:r>
      <w:r>
        <w:rPr>
          <w:noProof/>
          <w:webHidden/>
        </w:rPr>
        <w:fldChar w:fldCharType="begin"/>
      </w:r>
      <w:r>
        <w:rPr>
          <w:noProof/>
          <w:webHidden/>
        </w:rPr>
        <w:instrText> PAGEREF _Toc686737381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"_Toc686737382"</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_Toc686737382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"_Toc686737383"</w:instrText>
      </w:r>
      <w:r>
        <w:fldChar w:fldCharType="separate"/>
      </w:r>
      <w:r/>
      <w:r>
        <w:t>Abstract</w:t>
      </w:r>
      <w:r>
        <w:fldChar w:fldCharType="end"/>
      </w:r>
      <w:r>
        <w:rPr>
          <w:noProof/>
          <w:webHidden/>
        </w:rPr>
        <w:tab/>
      </w:r>
      <w:r>
        <w:rPr>
          <w:noProof/>
          <w:webHidden/>
        </w:rPr>
        <w:fldChar w:fldCharType="begin"/>
      </w:r>
      <w:r>
        <w:rPr>
          <w:noProof/>
          <w:webHidden/>
        </w:rPr>
        <w:instrText> PAGEREF _Toc686737383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"_Toc686737384"</w:instrText>
      </w:r>
      <w:r>
        <w:fldChar w:fldCharType="separate"/>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_Toc686737384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"_Toc686737385"</w:instrText>
      </w:r>
      <w:r>
        <w:fldChar w:fldCharType="separate"/>
      </w:r>
      <w:r>
        <w:t>1.1</w:t>
      </w:r>
      <w:r>
        <w:t xml:space="preserve"> </w:t>
      </w:r>
      <w:r/>
      <w:r>
        <w:t>选题背景</w:t>
      </w:r>
      <w:r>
        <w:fldChar w:fldCharType="end"/>
      </w:r>
      <w:r>
        <w:rPr>
          <w:noProof/>
          <w:webHidden/>
        </w:rPr>
        <w:tab/>
      </w:r>
      <w:r>
        <w:rPr>
          <w:noProof/>
          <w:webHidden/>
        </w:rPr>
        <w:fldChar w:fldCharType="begin"/>
      </w:r>
      <w:r>
        <w:rPr>
          <w:noProof/>
          <w:webHidden/>
        </w:rPr>
        <w:instrText> PAGEREF _Toc686737385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"_Toc686737386"</w:instrText>
      </w:r>
      <w:r>
        <w:fldChar w:fldCharType="separate"/>
      </w:r>
      <w:r>
        <w:t>1.2</w:t>
      </w:r>
      <w:r>
        <w:t xml:space="preserve"> </w:t>
      </w:r>
      <w:r/>
      <w:r>
        <w:t>国内外文献综述</w:t>
      </w:r>
      <w:r>
        <w:fldChar w:fldCharType="end"/>
      </w:r>
      <w:r>
        <w:rPr>
          <w:noProof/>
          <w:webHidden/>
        </w:rPr>
        <w:tab/>
      </w:r>
      <w:r>
        <w:rPr>
          <w:noProof/>
          <w:webHidden/>
        </w:rPr>
        <w:fldChar w:fldCharType="begin"/>
      </w:r>
      <w:r>
        <w:rPr>
          <w:noProof/>
          <w:webHidden/>
        </w:rPr>
        <w:instrText> PAGEREF _Toc686737386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"_Toc686737387"</w:instrText>
      </w:r>
      <w:r>
        <w:fldChar w:fldCharType="separate"/>
      </w:r>
      <w:r>
        <w:t>1.2.1</w:t>
      </w:r>
      <w:r>
        <w:t xml:space="preserve"> </w:t>
      </w:r>
      <w:r>
        <w:t>国外文献综述</w:t>
      </w:r>
      <w:r>
        <w:fldChar w:fldCharType="end"/>
      </w:r>
      <w:r>
        <w:rPr>
          <w:noProof/>
          <w:webHidden/>
        </w:rPr>
        <w:tab/>
      </w:r>
      <w:r>
        <w:rPr>
          <w:noProof/>
          <w:webHidden/>
        </w:rPr>
        <w:fldChar w:fldCharType="begin"/>
      </w:r>
      <w:r>
        <w:rPr>
          <w:noProof/>
          <w:webHidden/>
        </w:rPr>
        <w:instrText> PAGEREF _Toc686737387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"_Toc686737388"</w:instrText>
      </w:r>
      <w:r>
        <w:fldChar w:fldCharType="separate"/>
      </w:r>
      <w:r>
        <w:t>1.2.2</w:t>
      </w:r>
      <w:r>
        <w:t xml:space="preserve"> </w:t>
      </w:r>
      <w:r>
        <w:t>国内文献综述</w:t>
      </w:r>
      <w:r>
        <w:fldChar w:fldCharType="end"/>
      </w:r>
      <w:r>
        <w:rPr>
          <w:noProof/>
          <w:webHidden/>
        </w:rPr>
        <w:tab/>
      </w:r>
      <w:r>
        <w:rPr>
          <w:noProof/>
          <w:webHidden/>
        </w:rPr>
        <w:fldChar w:fldCharType="begin"/>
      </w:r>
      <w:r>
        <w:rPr>
          <w:noProof/>
          <w:webHidden/>
        </w:rPr>
        <w:instrText> PAGEREF _Toc686737388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"_Toc686737389"</w:instrText>
      </w:r>
      <w:r>
        <w:fldChar w:fldCharType="separate"/>
      </w:r>
      <w:r>
        <w:t>1.3</w:t>
      </w:r>
      <w:r>
        <w:t xml:space="preserve"> </w:t>
      </w:r>
      <w:r/>
      <w:r>
        <w:t>研究内容和研究方法</w:t>
      </w:r>
      <w:r>
        <w:fldChar w:fldCharType="end"/>
      </w:r>
      <w:r>
        <w:rPr>
          <w:noProof/>
          <w:webHidden/>
        </w:rPr>
        <w:tab/>
      </w:r>
      <w:r>
        <w:rPr>
          <w:noProof/>
          <w:webHidden/>
        </w:rPr>
        <w:fldChar w:fldCharType="begin"/>
      </w:r>
      <w:r>
        <w:rPr>
          <w:noProof/>
          <w:webHidden/>
        </w:rPr>
        <w:instrText> PAGEREF _Toc686737389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"_Toc686737390"</w:instrText>
      </w:r>
      <w:r>
        <w:fldChar w:fldCharType="separate"/>
      </w:r>
      <w:r/>
      <w:r>
        <w:t>第二章</w:t>
      </w:r>
      <w:r>
        <w:t xml:space="preserve">  </w:t>
      </w:r>
      <w:r w:rsidRPr="00DB64CE">
        <w:t>国债期货与国债</w:t>
      </w:r>
      <w:r>
        <w:t>ETF</w:t>
      </w:r>
      <w:r>
        <w:t>概述</w:t>
      </w:r>
      <w:r>
        <w:fldChar w:fldCharType="end"/>
      </w:r>
      <w:r>
        <w:rPr>
          <w:noProof/>
          <w:webHidden/>
        </w:rPr>
        <w:tab/>
      </w:r>
      <w:r>
        <w:rPr>
          <w:noProof/>
          <w:webHidden/>
        </w:rPr>
        <w:fldChar w:fldCharType="begin"/>
      </w:r>
      <w:r>
        <w:rPr>
          <w:noProof/>
          <w:webHidden/>
        </w:rPr>
        <w:instrText> PAGEREF _Toc686737390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"_Toc686737391"</w:instrText>
      </w:r>
      <w:r>
        <w:fldChar w:fldCharType="separate"/>
      </w:r>
      <w:r>
        <w:t>2.1</w:t>
      </w:r>
      <w:r>
        <w:t xml:space="preserve"> </w:t>
      </w:r>
      <w:r/>
      <w:r>
        <w:t>国债期货</w:t>
      </w:r>
      <w:r>
        <w:fldChar w:fldCharType="end"/>
      </w:r>
      <w:r>
        <w:rPr>
          <w:noProof/>
          <w:webHidden/>
        </w:rPr>
        <w:tab/>
      </w:r>
      <w:r>
        <w:rPr>
          <w:noProof/>
          <w:webHidden/>
        </w:rPr>
        <w:fldChar w:fldCharType="begin"/>
      </w:r>
      <w:r>
        <w:rPr>
          <w:noProof/>
          <w:webHidden/>
        </w:rPr>
        <w:instrText> PAGEREF _Toc686737391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"_Toc686737392"</w:instrText>
      </w:r>
      <w:r>
        <w:fldChar w:fldCharType="separate"/>
      </w:r>
      <w:r>
        <w:t>2.1.1</w:t>
      </w:r>
      <w:r>
        <w:t xml:space="preserve"> </w:t>
      </w:r>
      <w:r>
        <w:t>国债期货起源与发展</w:t>
      </w:r>
      <w:r>
        <w:fldChar w:fldCharType="end"/>
      </w:r>
      <w:r>
        <w:rPr>
          <w:noProof/>
          <w:webHidden/>
        </w:rPr>
        <w:tab/>
      </w:r>
      <w:r>
        <w:rPr>
          <w:noProof/>
          <w:webHidden/>
        </w:rPr>
        <w:fldChar w:fldCharType="begin"/>
      </w:r>
      <w:r>
        <w:rPr>
          <w:noProof/>
          <w:webHidden/>
        </w:rPr>
        <w:instrText> PAGEREF _Toc686737392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"_Toc686737393"</w:instrText>
      </w:r>
      <w:r>
        <w:fldChar w:fldCharType="separate"/>
      </w:r>
      <w:r>
        <w:t>2.1.2</w:t>
      </w:r>
      <w:r>
        <w:t xml:space="preserve"> </w:t>
      </w:r>
      <w:r>
        <w:t>国债期货特点与功能</w:t>
      </w:r>
      <w:r>
        <w:fldChar w:fldCharType="end"/>
      </w:r>
      <w:r>
        <w:rPr>
          <w:noProof/>
          <w:webHidden/>
        </w:rPr>
        <w:tab/>
      </w:r>
      <w:r>
        <w:rPr>
          <w:noProof/>
          <w:webHidden/>
        </w:rPr>
        <w:fldChar w:fldCharType="begin"/>
      </w:r>
      <w:r>
        <w:rPr>
          <w:noProof/>
          <w:webHidden/>
        </w:rPr>
        <w:instrText> PAGEREF _Toc686737393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"_Toc686737394"</w:instrText>
      </w:r>
      <w:r>
        <w:fldChar w:fldCharType="separate"/>
      </w:r>
      <w:r>
        <w:t>2.2</w:t>
      </w:r>
      <w:r>
        <w:t xml:space="preserve"> </w:t>
      </w:r>
      <w:r/>
      <w:r>
        <w:t>国债</w:t>
      </w:r>
      <w:r>
        <w:t>ETF</w:t>
      </w:r>
      <w:r>
        <w:fldChar w:fldCharType="end"/>
      </w:r>
      <w:r>
        <w:rPr>
          <w:noProof/>
          <w:webHidden/>
        </w:rPr>
        <w:tab/>
      </w:r>
      <w:r>
        <w:rPr>
          <w:noProof/>
          <w:webHidden/>
        </w:rPr>
        <w:fldChar w:fldCharType="begin"/>
      </w:r>
      <w:r>
        <w:rPr>
          <w:noProof/>
          <w:webHidden/>
        </w:rPr>
        <w:instrText> PAGEREF _Toc686737394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"_Toc686737395"</w:instrText>
      </w:r>
      <w:r>
        <w:fldChar w:fldCharType="separate"/>
      </w:r>
      <w:r>
        <w:t>2.2.1</w:t>
      </w:r>
      <w:r>
        <w:t xml:space="preserve"> </w:t>
      </w:r>
      <w:r>
        <w:t>国债</w:t>
      </w:r>
      <w:r>
        <w:t>ETF</w:t>
      </w:r>
      <w:r/>
      <w:r>
        <w:t>概述</w:t>
      </w:r>
      <w:r>
        <w:fldChar w:fldCharType="end"/>
      </w:r>
      <w:r>
        <w:rPr>
          <w:noProof/>
          <w:webHidden/>
        </w:rPr>
        <w:tab/>
      </w:r>
      <w:r>
        <w:rPr>
          <w:noProof/>
          <w:webHidden/>
        </w:rPr>
        <w:fldChar w:fldCharType="begin"/>
      </w:r>
      <w:r>
        <w:rPr>
          <w:noProof/>
          <w:webHidden/>
        </w:rPr>
        <w:instrText> PAGEREF _Toc686737395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"_Toc686737396"</w:instrText>
      </w:r>
      <w:r>
        <w:fldChar w:fldCharType="separate"/>
      </w:r>
      <w:r>
        <w:t>2.2.2</w:t>
      </w:r>
      <w:r>
        <w:t xml:space="preserve"> </w:t>
      </w:r>
      <w:r>
        <w:t>国债</w:t>
      </w:r>
      <w:r>
        <w:t>ETF</w:t>
      </w:r>
      <w:r/>
      <w:r>
        <w:t>与国债期货</w:t>
      </w:r>
      <w:r>
        <w:fldChar w:fldCharType="end"/>
      </w:r>
      <w:r>
        <w:rPr>
          <w:noProof/>
          <w:webHidden/>
        </w:rPr>
        <w:tab/>
      </w:r>
      <w:r>
        <w:rPr>
          <w:noProof/>
          <w:webHidden/>
        </w:rPr>
        <w:fldChar w:fldCharType="begin"/>
      </w:r>
      <w:r>
        <w:rPr>
          <w:noProof/>
          <w:webHidden/>
        </w:rPr>
        <w:instrText> PAGEREF _Toc686737396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"_Toc686737397"</w:instrText>
      </w:r>
      <w:r>
        <w:fldChar w:fldCharType="separate"/>
      </w:r>
      <w:r/>
      <w:r>
        <w:t>第三章</w:t>
      </w:r>
      <w:r>
        <w:t xml:space="preserve">  </w:t>
      </w:r>
      <w:r w:rsidRPr="00DB64CE">
        <w:t>套期保值基本原理及其模型</w:t>
      </w:r>
      <w:r>
        <w:fldChar w:fldCharType="end"/>
      </w:r>
      <w:r>
        <w:rPr>
          <w:noProof/>
          <w:webHidden/>
        </w:rPr>
        <w:tab/>
      </w:r>
      <w:r>
        <w:rPr>
          <w:noProof/>
          <w:webHidden/>
        </w:rPr>
        <w:fldChar w:fldCharType="begin"/>
      </w:r>
      <w:r>
        <w:rPr>
          <w:noProof/>
          <w:webHidden/>
        </w:rPr>
        <w:instrText> PAGEREF _Toc686737397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"_Toc686737398"</w:instrText>
      </w:r>
      <w:r>
        <w:fldChar w:fldCharType="separate"/>
      </w:r>
      <w:r>
        <w:t>3.1</w:t>
      </w:r>
      <w:r>
        <w:t xml:space="preserve"> </w:t>
      </w:r>
      <w:r/>
      <w:r>
        <w:t>套期保值概述</w:t>
      </w:r>
      <w:r>
        <w:fldChar w:fldCharType="end"/>
      </w:r>
      <w:r>
        <w:rPr>
          <w:noProof/>
          <w:webHidden/>
        </w:rPr>
        <w:tab/>
      </w:r>
      <w:r>
        <w:rPr>
          <w:noProof/>
          <w:webHidden/>
        </w:rPr>
        <w:fldChar w:fldCharType="begin"/>
      </w:r>
      <w:r>
        <w:rPr>
          <w:noProof/>
          <w:webHidden/>
        </w:rPr>
        <w:instrText> PAGEREF _Toc686737398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"_Toc686737399"</w:instrText>
      </w:r>
      <w:r>
        <w:fldChar w:fldCharType="separate"/>
      </w:r>
      <w:r>
        <w:t>3.1.1</w:t>
      </w:r>
      <w:r>
        <w:t xml:space="preserve"> </w:t>
      </w:r>
      <w:r>
        <w:t>套期保值定义</w:t>
      </w:r>
      <w:r>
        <w:fldChar w:fldCharType="end"/>
      </w:r>
      <w:r>
        <w:rPr>
          <w:noProof/>
          <w:webHidden/>
        </w:rPr>
        <w:tab/>
      </w:r>
      <w:r>
        <w:rPr>
          <w:noProof/>
          <w:webHidden/>
        </w:rPr>
        <w:fldChar w:fldCharType="begin"/>
      </w:r>
      <w:r>
        <w:rPr>
          <w:noProof/>
          <w:webHidden/>
        </w:rPr>
        <w:instrText> PAGEREF _Toc686737399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"_Toc686737400"</w:instrText>
      </w:r>
      <w:r>
        <w:fldChar w:fldCharType="separate"/>
      </w:r>
      <w:r>
        <w:t>3.1.2</w:t>
      </w:r>
      <w:r>
        <w:t xml:space="preserve"> </w:t>
      </w:r>
      <w:r>
        <w:t>基差风险与套期保值</w:t>
      </w:r>
      <w:r>
        <w:fldChar w:fldCharType="end"/>
      </w:r>
      <w:r>
        <w:rPr>
          <w:noProof/>
          <w:webHidden/>
        </w:rPr>
        <w:tab/>
      </w:r>
      <w:r>
        <w:rPr>
          <w:noProof/>
          <w:webHidden/>
        </w:rPr>
        <w:fldChar w:fldCharType="begin"/>
      </w:r>
      <w:r>
        <w:rPr>
          <w:noProof/>
          <w:webHidden/>
        </w:rPr>
        <w:instrText> PAGEREF _Toc686737400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"_Toc686737401"</w:instrText>
      </w:r>
      <w:r>
        <w:fldChar w:fldCharType="separate"/>
      </w:r>
      <w:r>
        <w:t>3.1.3</w:t>
      </w:r>
      <w:r>
        <w:t xml:space="preserve"> </w:t>
      </w:r>
      <w:r>
        <w:t>套期保值风险防范</w:t>
      </w:r>
      <w:r>
        <w:fldChar w:fldCharType="end"/>
      </w:r>
      <w:r>
        <w:rPr>
          <w:noProof/>
          <w:webHidden/>
        </w:rPr>
        <w:tab/>
      </w:r>
      <w:r>
        <w:rPr>
          <w:noProof/>
          <w:webHidden/>
        </w:rPr>
        <w:fldChar w:fldCharType="begin"/>
      </w:r>
      <w:r>
        <w:rPr>
          <w:noProof/>
          <w:webHidden/>
        </w:rPr>
        <w:instrText> PAGEREF _Toc686737401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"_Toc686737402"</w:instrText>
      </w:r>
      <w:r>
        <w:fldChar w:fldCharType="separate"/>
      </w:r>
      <w:r>
        <w:t>3.2</w:t>
      </w:r>
      <w:r>
        <w:t xml:space="preserve"> </w:t>
      </w:r>
      <w:r/>
      <w:r>
        <w:t>套期保值比率研究模型</w:t>
      </w:r>
      <w:r>
        <w:fldChar w:fldCharType="end"/>
      </w:r>
      <w:r>
        <w:rPr>
          <w:noProof/>
          <w:webHidden/>
        </w:rPr>
        <w:tab/>
      </w:r>
      <w:r>
        <w:rPr>
          <w:noProof/>
          <w:webHidden/>
        </w:rPr>
        <w:fldChar w:fldCharType="begin"/>
      </w:r>
      <w:r>
        <w:rPr>
          <w:noProof/>
          <w:webHidden/>
        </w:rPr>
        <w:instrText> PAGEREF _Toc686737402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"_Toc686737403"</w:instrText>
      </w:r>
      <w:r>
        <w:fldChar w:fldCharType="separate"/>
      </w:r>
      <w:r>
        <w:t>3.2.1</w:t>
      </w:r>
      <w:r>
        <w:t xml:space="preserve"> </w:t>
      </w:r>
      <w:r>
        <w:t>传统的基点价值法</w:t>
      </w:r>
      <w:r>
        <w:fldChar w:fldCharType="end"/>
      </w:r>
      <w:r>
        <w:rPr>
          <w:noProof/>
          <w:webHidden/>
        </w:rPr>
        <w:tab/>
      </w:r>
      <w:r>
        <w:rPr>
          <w:noProof/>
          <w:webHidden/>
        </w:rPr>
        <w:fldChar w:fldCharType="begin"/>
      </w:r>
      <w:r>
        <w:rPr>
          <w:noProof/>
          <w:webHidden/>
        </w:rPr>
        <w:instrText> PAGEREF _Toc686737403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"_Toc686737404"</w:instrText>
      </w:r>
      <w:r>
        <w:fldChar w:fldCharType="separate"/>
      </w:r>
      <w:r>
        <w:t>3.2.2</w:t>
      </w:r>
      <w:r>
        <w:t xml:space="preserve"> </w:t>
      </w:r>
      <w:r>
        <w:t>普通最小二乘法模型</w:t>
      </w:r>
      <w:r>
        <w:t>（</w:t>
      </w:r>
      <w:r>
        <w:t>OLS</w:t>
      </w:r>
      <w:r>
        <w:t>）</w:t>
      </w:r>
      <w:r>
        <w:fldChar w:fldCharType="end"/>
      </w:r>
      <w:r>
        <w:rPr>
          <w:noProof/>
          <w:webHidden/>
        </w:rPr>
        <w:tab/>
      </w:r>
      <w:r>
        <w:rPr>
          <w:noProof/>
          <w:webHidden/>
        </w:rPr>
        <w:fldChar w:fldCharType="begin"/>
      </w:r>
      <w:r>
        <w:rPr>
          <w:noProof/>
          <w:webHidden/>
        </w:rPr>
        <w:instrText> PAGEREF _Toc686737404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"_Toc686737405"</w:instrText>
      </w:r>
      <w:r>
        <w:fldChar w:fldCharType="separate"/>
      </w:r>
      <w:r>
        <w:t>3.2.3</w:t>
      </w:r>
      <w:r>
        <w:t xml:space="preserve"> </w:t>
      </w:r>
      <w:r>
        <w:t>双变量自回归模型</w:t>
      </w:r>
      <w:r>
        <w:t>（</w:t>
      </w:r>
      <w:r>
        <w:t>B-VAR</w:t>
      </w:r>
      <w:r>
        <w:t>）</w:t>
      </w:r>
      <w:r>
        <w:fldChar w:fldCharType="end"/>
      </w:r>
      <w:r>
        <w:rPr>
          <w:noProof/>
          <w:webHidden/>
        </w:rPr>
        <w:tab/>
      </w:r>
      <w:r>
        <w:rPr>
          <w:noProof/>
          <w:webHidden/>
        </w:rPr>
        <w:fldChar w:fldCharType="begin"/>
      </w:r>
      <w:r>
        <w:rPr>
          <w:noProof/>
          <w:webHidden/>
        </w:rPr>
        <w:instrText> PAGEREF _Toc686737405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"_Toc686737406"</w:instrText>
      </w:r>
      <w:r>
        <w:fldChar w:fldCharType="separate"/>
      </w:r>
      <w:r>
        <w:t>3.2.4</w:t>
      </w:r>
      <w:r>
        <w:t xml:space="preserve"> </w:t>
      </w:r>
      <w:r>
        <w:t>误差修正模型</w:t>
      </w:r>
      <w:r>
        <w:t>（</w:t>
      </w:r>
      <w:r>
        <w:t>ECM</w:t>
      </w:r>
      <w:r>
        <w:t>）</w:t>
      </w:r>
      <w:r>
        <w:fldChar w:fldCharType="end"/>
      </w:r>
      <w:r>
        <w:rPr>
          <w:noProof/>
          <w:webHidden/>
        </w:rPr>
        <w:tab/>
      </w:r>
      <w:r>
        <w:rPr>
          <w:noProof/>
          <w:webHidden/>
        </w:rPr>
        <w:fldChar w:fldCharType="begin"/>
      </w:r>
      <w:r>
        <w:rPr>
          <w:noProof/>
          <w:webHidden/>
        </w:rPr>
        <w:instrText> PAGEREF _Toc686737406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"_Toc686737407"</w:instrText>
      </w:r>
      <w:r>
        <w:fldChar w:fldCharType="separate"/>
      </w:r>
      <w:r/>
      <w:r>
        <w:t>第四章</w:t>
      </w:r>
      <w:r>
        <w:t xml:space="preserve">  </w:t>
      </w:r>
      <w:r w:rsidRPr="00DB64CE">
        <w:t>国债期货套期保值比率实证分析</w:t>
      </w:r>
      <w:r>
        <w:fldChar w:fldCharType="end"/>
      </w:r>
      <w:r>
        <w:rPr>
          <w:noProof/>
          <w:webHidden/>
        </w:rPr>
        <w:tab/>
      </w:r>
      <w:r>
        <w:rPr>
          <w:noProof/>
          <w:webHidden/>
        </w:rPr>
        <w:fldChar w:fldCharType="begin"/>
      </w:r>
      <w:r>
        <w:rPr>
          <w:noProof/>
          <w:webHidden/>
        </w:rPr>
        <w:instrText> PAGEREF _Toc686737407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"_Toc686737408"</w:instrText>
      </w:r>
      <w:r>
        <w:fldChar w:fldCharType="separate"/>
      </w:r>
      <w:r>
        <w:t>4.1</w:t>
      </w:r>
      <w:r>
        <w:t xml:space="preserve"> </w:t>
      </w:r>
      <w:r/>
      <w:r>
        <w:t>数据的选取</w:t>
      </w:r>
      <w:r>
        <w:fldChar w:fldCharType="end"/>
      </w:r>
      <w:r>
        <w:rPr>
          <w:noProof/>
          <w:webHidden/>
        </w:rPr>
        <w:tab/>
      </w:r>
      <w:r>
        <w:rPr>
          <w:noProof/>
          <w:webHidden/>
        </w:rPr>
        <w:fldChar w:fldCharType="begin"/>
      </w:r>
      <w:r>
        <w:rPr>
          <w:noProof/>
          <w:webHidden/>
        </w:rPr>
        <w:instrText> PAGEREF _Toc686737408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"_Toc686737409"</w:instrText>
      </w:r>
      <w:r>
        <w:fldChar w:fldCharType="separate"/>
      </w:r>
      <w:r>
        <w:t>4.2</w:t>
      </w:r>
      <w:r>
        <w:t xml:space="preserve"> </w:t>
      </w:r>
      <w:r/>
      <w:r>
        <w:t>数据的检验</w:t>
      </w:r>
      <w:r>
        <w:fldChar w:fldCharType="end"/>
      </w:r>
      <w:r>
        <w:rPr>
          <w:noProof/>
          <w:webHidden/>
        </w:rPr>
        <w:tab/>
      </w:r>
      <w:r>
        <w:rPr>
          <w:noProof/>
          <w:webHidden/>
        </w:rPr>
        <w:fldChar w:fldCharType="begin"/>
      </w:r>
      <w:r>
        <w:rPr>
          <w:noProof/>
          <w:webHidden/>
        </w:rPr>
        <w:instrText> PAGEREF _Toc686737409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"_Toc686737410"</w:instrText>
      </w:r>
      <w:r>
        <w:fldChar w:fldCharType="separate"/>
      </w:r>
      <w:r>
        <w:t>4.2.1</w:t>
      </w:r>
      <w:r>
        <w:t xml:space="preserve"> </w:t>
      </w:r>
      <w:r>
        <w:t>平稳性检验</w:t>
      </w:r>
      <w:r>
        <w:fldChar w:fldCharType="end"/>
      </w:r>
      <w:r>
        <w:rPr>
          <w:noProof/>
          <w:webHidden/>
        </w:rPr>
        <w:tab/>
      </w:r>
      <w:r>
        <w:rPr>
          <w:noProof/>
          <w:webHidden/>
        </w:rPr>
        <w:fldChar w:fldCharType="begin"/>
      </w:r>
      <w:r>
        <w:rPr>
          <w:noProof/>
          <w:webHidden/>
        </w:rPr>
        <w:instrText> PAGEREF _Toc686737410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"_Toc686737411"</w:instrText>
      </w:r>
      <w:r>
        <w:fldChar w:fldCharType="separate"/>
      </w:r>
      <w:r>
        <w:t>4.2.2</w:t>
      </w:r>
      <w:r>
        <w:t xml:space="preserve"> </w:t>
      </w:r>
      <w:r>
        <w:t>协整检验</w:t>
      </w:r>
      <w:r>
        <w:fldChar w:fldCharType="end"/>
      </w:r>
      <w:r>
        <w:rPr>
          <w:noProof/>
          <w:webHidden/>
        </w:rPr>
        <w:tab/>
      </w:r>
      <w:r>
        <w:rPr>
          <w:noProof/>
          <w:webHidden/>
        </w:rPr>
        <w:fldChar w:fldCharType="begin"/>
      </w:r>
      <w:r>
        <w:rPr>
          <w:noProof/>
          <w:webHidden/>
        </w:rPr>
        <w:instrText> PAGEREF _Toc686737411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"_Toc686737412"</w:instrText>
      </w:r>
      <w:r>
        <w:fldChar w:fldCharType="separate"/>
      </w:r>
      <w:r>
        <w:t>4.3</w:t>
      </w:r>
      <w:r>
        <w:t xml:space="preserve"> </w:t>
      </w:r>
      <w:r/>
      <w:r>
        <w:t>普通最小二乘法模型</w:t>
      </w:r>
      <w:r>
        <w:t>（</w:t>
      </w:r>
      <w:r>
        <w:t>OLS</w:t>
      </w:r>
      <w:r>
        <w:t>）</w:t>
      </w:r>
      <w:r>
        <w:t>实证分析</w:t>
      </w:r>
      <w:r>
        <w:fldChar w:fldCharType="end"/>
      </w:r>
      <w:r>
        <w:rPr>
          <w:noProof/>
          <w:webHidden/>
        </w:rPr>
        <w:tab/>
      </w:r>
      <w:r>
        <w:rPr>
          <w:noProof/>
          <w:webHidden/>
        </w:rPr>
        <w:fldChar w:fldCharType="begin"/>
      </w:r>
      <w:r>
        <w:rPr>
          <w:noProof/>
          <w:webHidden/>
        </w:rPr>
        <w:instrText> PAGEREF _Toc686737412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"_Toc686737413"</w:instrText>
      </w:r>
      <w:r>
        <w:fldChar w:fldCharType="separate"/>
      </w:r>
      <w:r>
        <w:t>4.4</w:t>
      </w:r>
      <w:r>
        <w:t xml:space="preserve"> </w:t>
      </w:r>
      <w:r/>
      <w:r>
        <w:t>双变量自回归模型</w:t>
      </w:r>
      <w:r>
        <w:t>（</w:t>
      </w:r>
      <w:r>
        <w:t>B-VAR</w:t>
      </w:r>
      <w:r>
        <w:t>）</w:t>
      </w:r>
      <w:r>
        <w:t>实证分析</w:t>
      </w:r>
      <w:r>
        <w:fldChar w:fldCharType="end"/>
      </w:r>
      <w:r>
        <w:rPr>
          <w:noProof/>
          <w:webHidden/>
        </w:rPr>
        <w:tab/>
      </w:r>
      <w:r>
        <w:rPr>
          <w:noProof/>
          <w:webHidden/>
        </w:rPr>
        <w:fldChar w:fldCharType="begin"/>
      </w:r>
      <w:r>
        <w:rPr>
          <w:noProof/>
          <w:webHidden/>
        </w:rPr>
        <w:instrText> PAGEREF _Toc686737413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"_Toc686737414"</w:instrText>
      </w:r>
      <w:r>
        <w:fldChar w:fldCharType="separate"/>
      </w:r>
      <w:r>
        <w:t>4.5</w:t>
      </w:r>
      <w:r>
        <w:t xml:space="preserve"> </w:t>
      </w:r>
      <w:r/>
      <w:r>
        <w:t>误差修正模型</w:t>
      </w:r>
      <w:r>
        <w:t>（</w:t>
      </w:r>
      <w:r>
        <w:t>ECM</w:t>
      </w:r>
      <w:r>
        <w:t>）</w:t>
      </w:r>
      <w:r>
        <w:t>实证分析</w:t>
      </w:r>
      <w:r>
        <w:fldChar w:fldCharType="end"/>
      </w:r>
      <w:r>
        <w:rPr>
          <w:noProof/>
          <w:webHidden/>
        </w:rPr>
        <w:tab/>
      </w:r>
      <w:r>
        <w:rPr>
          <w:noProof/>
          <w:webHidden/>
        </w:rPr>
        <w:fldChar w:fldCharType="begin"/>
      </w:r>
      <w:r>
        <w:rPr>
          <w:noProof/>
          <w:webHidden/>
        </w:rPr>
        <w:instrText> PAGEREF _Toc686737414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"_Toc686737415"</w:instrText>
      </w:r>
      <w:r>
        <w:fldChar w:fldCharType="separate"/>
      </w:r>
      <w:r>
        <w:t>4.6</w:t>
      </w:r>
      <w:r>
        <w:t xml:space="preserve"> </w:t>
      </w:r>
      <w:r/>
      <w:r>
        <w:t>结果分析</w:t>
      </w:r>
      <w:r>
        <w:fldChar w:fldCharType="end"/>
      </w:r>
      <w:r>
        <w:rPr>
          <w:noProof/>
          <w:webHidden/>
        </w:rPr>
        <w:tab/>
      </w:r>
      <w:r>
        <w:rPr>
          <w:noProof/>
          <w:webHidden/>
        </w:rPr>
        <w:fldChar w:fldCharType="begin"/>
      </w:r>
      <w:r>
        <w:rPr>
          <w:noProof/>
          <w:webHidden/>
        </w:rPr>
        <w:instrText> PAGEREF _Toc686737415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"_Toc686737416"</w:instrText>
      </w:r>
      <w:r>
        <w:fldChar w:fldCharType="separate"/>
      </w:r>
      <w:r/>
      <w:r>
        <w:t>第五章</w:t>
      </w:r>
      <w:r>
        <w:t xml:space="preserve">  </w:t>
      </w:r>
      <w:r w:rsidRPr="00DB64CE">
        <w:t>结论</w:t>
      </w:r>
      <w:r>
        <w:fldChar w:fldCharType="end"/>
      </w:r>
      <w:r>
        <w:rPr>
          <w:noProof/>
          <w:webHidden/>
        </w:rPr>
        <w:tab/>
      </w:r>
      <w:r>
        <w:rPr>
          <w:noProof/>
          <w:webHidden/>
        </w:rPr>
        <w:fldChar w:fldCharType="begin"/>
      </w:r>
      <w:r>
        <w:rPr>
          <w:noProof/>
          <w:webHidden/>
        </w:rPr>
        <w:instrText> PAGEREF _Toc686737416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"_Toc686737417"</w:instrText>
      </w:r>
      <w:r>
        <w:fldChar w:fldCharType="separate"/>
      </w:r>
      <w:r/>
      <w:r>
        <w:t>参考文献</w:t>
      </w:r>
      <w:r>
        <w:fldChar w:fldCharType="end"/>
      </w:r>
      <w:r>
        <w:rPr>
          <w:noProof/>
          <w:webHidden/>
        </w:rPr>
        <w:tab/>
      </w:r>
      <w:r>
        <w:rPr>
          <w:noProof/>
          <w:webHidden/>
        </w:rPr>
        <w:fldChar w:fldCharType="begin"/>
      </w:r>
      <w:r>
        <w:rPr>
          <w:noProof/>
          <w:webHidden/>
        </w:rPr>
        <w:instrText> PAGEREF _Toc686737417 \h </w:instrText>
      </w:r>
      <w:r>
        <w:rPr>
          <w:noProof/>
          <w:webHidden/>
        </w:rPr>
        <w:fldChar w:fldCharType="separate"/>
      </w:r>
      <w:r>
        <w:rPr>
          <w:noProof/>
          <w:webHidden/>
        </w:rPr>
        <w:t>22</w:t>
      </w:r>
      <w:r>
        <w:rPr>
          <w:noProof/>
          <w:webHidden/>
        </w:rPr>
        <w:fldChar w:fldCharType="end"/>
      </w:r>
      <w:r>
        <w:fldChar w:fldCharType="end"/>
      </w:r>
    </w:p>
    <w:p w:rsidR="009F338D">
      <w:pPr>
        <w:sectPr w:rsidR="00556256">
          <w:headerReference w:type="even" r:id="rId52"/>
          <w:headerReference w:type="default" r:id="rId50"/>
          <w:footerReference w:type="even" r:id="rId48"/>
          <w:footerReference w:type="default" r:id="rId45"/>
          <w:footerReference w:type="first" r:id="rId43"/>
          <w:headerReference w:type="first" r:id="rId54"/>
          <w:pgSz w:w="11906" w:h="16838" w:code="9"/>
          <w:pgMar w:top="1418" w:right="1134" w:bottom="1134" w:left="1418" w:header="851" w:footer="907" w:gutter="0"/>
          <w:pgNumType w:fmt="upperRoman" w:start="1"/>
          <w:cols w:space="720"/>
          <w:titlePg/>
          <w:docGrid w:type="lines" w:linePitch="326"/>
        </w:sectPr>
        <w:topLinePunct/>
      </w:pPr>
    </w:p>
    <w:p w:rsidR="0018722C">
      <w:pPr>
        <w:pStyle w:val="afc"/>
        <w:topLinePunct/>
      </w:pPr>
      <w:r>
        <w:rPr>
          <w:rFonts w:cstheme="minorBidi" w:hAnsiTheme="minorHAnsi" w:eastAsiaTheme="minorHAnsi" w:asciiTheme="minorHAnsi" w:ascii="Calibri"/>
        </w:rPr>
        <w:t>V</w:t>
      </w:r>
    </w:p>
    <w:p w:rsidR="0018722C">
      <w:pPr>
        <w:pStyle w:val="Heading1"/>
        <w:topLinePunct/>
      </w:pPr>
      <w:bookmarkStart w:id="687891" w:name="_Ref665687891"/>
      <w:bookmarkStart w:id="737384" w:name="_Toc686737384"/>
      <w:bookmarkStart w:name="_bookmark2" w:id="3"/>
      <w:bookmarkEnd w:id="3"/>
      <w:r/>
      <w:r>
        <w:t>第一章</w:t>
      </w:r>
      <w:r>
        <w:t xml:space="preserve">  </w:t>
      </w:r>
      <w:r w:rsidRPr="00DB64CE">
        <w:t>绪论</w:t>
      </w:r>
      <w:bookmarkEnd w:id="737384"/>
    </w:p>
    <w:bookmarkEnd w:id="687891"/>
    <w:p w:rsidR="0018722C">
      <w:pPr>
        <w:pStyle w:val="Heading2"/>
        <w:topLinePunct/>
        <w:ind w:left="171" w:hangingChars="171" w:hanging="171"/>
      </w:pPr>
      <w:bookmarkStart w:id="737385" w:name="_Toc686737385"/>
      <w:bookmarkStart w:name="_bookmark3" w:id="4"/>
      <w:bookmarkEnd w:id="4"/>
      <w:r>
        <w:t>1.1</w:t>
      </w:r>
      <w:r>
        <w:t xml:space="preserve"> </w:t>
      </w:r>
      <w:r/>
      <w:bookmarkStart w:name="_bookmark3" w:id="5"/>
      <w:bookmarkEnd w:id="5"/>
      <w:r>
        <w:t>选题背景</w:t>
      </w:r>
      <w:bookmarkEnd w:id="737385"/>
    </w:p>
    <w:p w:rsidR="0018722C">
      <w:pPr>
        <w:topLinePunct/>
      </w:pPr>
      <w:r>
        <w:t>国内国债市场于</w:t>
      </w:r>
      <w:r>
        <w:rPr>
          <w:rFonts w:ascii="Times New Roman" w:eastAsia="Times New Roman"/>
        </w:rPr>
        <w:t>1981</w:t>
      </w:r>
      <w:r>
        <w:t>年恢复发行，不管是国债规模的增长、期限结构上的</w:t>
      </w:r>
      <w:r>
        <w:t>改进还是交易主体越来越趋于多样化，都取得了很大的进步。在利率市场化不断</w:t>
      </w:r>
      <w:r>
        <w:t>地推进和金融创新领域不断取得重大进展，在国债一级市场上国债发行品种逐渐</w:t>
      </w:r>
      <w:r>
        <w:t>地完善，发行规模更是跳跃式地增长；二级市场上流动性和总交易量更是大幅度</w:t>
      </w:r>
      <w:r>
        <w:t>的增加。截至</w:t>
      </w:r>
      <w:r>
        <w:rPr>
          <w:rFonts w:ascii="Times New Roman" w:eastAsia="Times New Roman"/>
        </w:rPr>
        <w:t>2012</w:t>
      </w:r>
      <w:r>
        <w:t>年末，实际国债的余额约为</w:t>
      </w:r>
      <w:r>
        <w:rPr>
          <w:rFonts w:ascii="Times New Roman" w:eastAsia="Times New Roman"/>
        </w:rPr>
        <w:t>26</w:t>
      </w:r>
      <w:r>
        <w:t>万亿元，实际发行国债</w:t>
      </w:r>
      <w:r>
        <w:rPr>
          <w:rFonts w:ascii="Times New Roman" w:eastAsia="Times New Roman"/>
        </w:rPr>
        <w:t>1</w:t>
      </w:r>
      <w:r>
        <w:rPr>
          <w:rFonts w:ascii="Times New Roman" w:eastAsia="Times New Roman"/>
        </w:rPr>
        <w:t>.</w:t>
      </w:r>
      <w:r>
        <w:rPr>
          <w:rFonts w:ascii="Times New Roman" w:eastAsia="Times New Roman"/>
        </w:rPr>
        <w:t>4</w:t>
      </w:r>
      <w:r>
        <w:rPr>
          <w:rFonts w:ascii="Times New Roman" w:eastAsia="Times New Roman"/>
        </w:rPr>
        <w:t>5</w:t>
      </w:r>
    </w:p>
    <w:p w:rsidR="0018722C">
      <w:pPr>
        <w:topLinePunct/>
      </w:pPr>
      <w:r>
        <w:t>万亿元，其中国内的记账式国债存量已经突破</w:t>
      </w:r>
      <w:r>
        <w:rPr>
          <w:rFonts w:ascii="Times New Roman" w:eastAsia="Times New Roman"/>
        </w:rPr>
        <w:t>7</w:t>
      </w:r>
      <w:r>
        <w:t>万亿元，国债存量已是</w:t>
      </w:r>
      <w:r>
        <w:rPr>
          <w:rFonts w:ascii="Times New Roman" w:eastAsia="Times New Roman"/>
        </w:rPr>
        <w:t>1995 </w:t>
      </w:r>
      <w:r>
        <w:t>年</w:t>
      </w:r>
    </w:p>
    <w:p w:rsidR="0018722C">
      <w:pPr>
        <w:topLinePunct/>
      </w:pPr>
      <w:r>
        <w:t>发生国债期货</w:t>
      </w:r>
      <w:r>
        <w:rPr>
          <w:rFonts w:ascii="Times New Roman" w:hAnsi="Times New Roman" w:eastAsia="Times New Roman"/>
        </w:rPr>
        <w:t>―</w:t>
      </w:r>
      <w:r>
        <w:rPr>
          <w:rFonts w:ascii="Times New Roman" w:hAnsi="Times New Roman" w:eastAsia="Times New Roman"/>
        </w:rPr>
        <w:t>327</w:t>
      </w:r>
      <w:r>
        <w:rPr>
          <w:rFonts w:ascii="Times New Roman" w:hAnsi="Times New Roman" w:eastAsia="Times New Roman"/>
        </w:rPr>
        <w:t>‖</w:t>
      </w:r>
      <w:r>
        <w:t>事件时的</w:t>
      </w:r>
      <w:r>
        <w:rPr>
          <w:rFonts w:ascii="Times New Roman" w:hAnsi="Times New Roman" w:eastAsia="Times New Roman"/>
        </w:rPr>
        <w:t>70</w:t>
      </w:r>
      <w:r>
        <w:t>倍可以说，国债市场已是一片繁荣。</w:t>
      </w:r>
    </w:p>
    <w:p w:rsidR="0018722C">
      <w:pPr>
        <w:topLinePunct/>
      </w:pPr>
      <w:r>
        <w:t>然而，在国内债券市场飞速发展的同时，债券市场上的规避利率风险的套期</w:t>
      </w:r>
      <w:r>
        <w:t>保值需求也在不断的增加。自</w:t>
      </w:r>
      <w:r>
        <w:rPr>
          <w:rFonts w:ascii="Times New Roman" w:eastAsia="Times New Roman"/>
        </w:rPr>
        <w:t>2008</w:t>
      </w:r>
      <w:r>
        <w:t>年全球金融危机后，国内与国外经济、金融</w:t>
      </w:r>
      <w:r>
        <w:t>形势变化不定，利率的波动日益频繁，其波动幅度更是大幅增加，此时规避利率</w:t>
      </w:r>
      <w:r>
        <w:t>风险就显得尤为迫切。与此同时，在国内经济发展的需要和经济全球化的大趋势</w:t>
      </w:r>
      <w:r>
        <w:t>下，我国经济体系已逐渐的融入经济全球化，受到国外经济、金融上的冲击越来</w:t>
      </w:r>
      <w:r>
        <w:t>越大，而央行的货币政策的操作频率也在逐步地提高，这极大地增加了国内金融</w:t>
      </w:r>
      <w:r>
        <w:t>机构和个人投资者承担的利率风险。另一方面，虽然国内的利率市场化在不断推</w:t>
      </w:r>
      <w:r>
        <w:t>进过程中，但较之国外成熟市场承受风险能力方面有所欠佳，存款利率尚未放开，</w:t>
      </w:r>
      <w:r>
        <w:t>在长期的适度宽松的货币政策环境下，国内存贷款利率仍处于历史低位。随着我</w:t>
      </w:r>
      <w:r>
        <w:t>国经济快速发展，利率市场化在各个领域的快步推进，市场利率的上升与波动幅</w:t>
      </w:r>
      <w:r>
        <w:t>度的扩大将是不争的事实。因此，不管面对来自外部的冲击，还是内部发展的需求，波动不断增强的利率环境已使得规避利率风险刻不容缓。</w:t>
      </w:r>
    </w:p>
    <w:p w:rsidR="0018722C">
      <w:pPr>
        <w:topLinePunct/>
      </w:pPr>
      <w:r>
        <w:t>在国内目前的情况下，众多金融机构尤其是商业银行，在资产配需的需求下，</w:t>
      </w:r>
      <w:r>
        <w:t>被动持有大量的债券资产，一旦债券市场进入下行区间，大量风险头寸将会带来巨额的损失。面对风险对冲工具的匮乏，现有的被动防范已远远不能满足银行、</w:t>
      </w:r>
      <w:r>
        <w:t>保险等金融机构及投资者对利率风险管理的强烈需求，投资者迫切需要针对风险</w:t>
      </w:r>
      <w:r>
        <w:t>头寸的风险规避管理模式，跟踪利率变化走势，运用有效的金融衍生工具，建立</w:t>
      </w:r>
      <w:r>
        <w:t>对冲机制来规避利率风险。</w:t>
      </w:r>
    </w:p>
    <w:p w:rsidR="0018722C">
      <w:pPr>
        <w:topLinePunct/>
      </w:pPr>
      <w:r>
        <w:t>继</w:t>
      </w:r>
      <w:r>
        <w:rPr>
          <w:rFonts w:ascii="Times New Roman" w:hAnsi="Times New Roman" w:eastAsia="宋体"/>
        </w:rPr>
        <w:t>1995</w:t>
      </w:r>
      <w:r>
        <w:t>年发生</w:t>
      </w:r>
      <w:r>
        <w:rPr>
          <w:rFonts w:ascii="Times New Roman" w:hAnsi="Times New Roman" w:eastAsia="宋体"/>
        </w:rPr>
        <w:t>―</w:t>
      </w:r>
      <w:r>
        <w:rPr>
          <w:rFonts w:ascii="Times New Roman" w:hAnsi="Times New Roman" w:eastAsia="宋体"/>
        </w:rPr>
        <w:t>32</w:t>
      </w:r>
      <w:r>
        <w:rPr>
          <w:rFonts w:ascii="Times New Roman" w:hAnsi="Times New Roman" w:eastAsia="宋体"/>
        </w:rPr>
        <w:t>7</w:t>
      </w:r>
      <w:r>
        <w:rPr>
          <w:rFonts w:ascii="Times New Roman" w:hAnsi="Times New Roman" w:eastAsia="宋体"/>
        </w:rPr>
        <w:t>‖</w:t>
      </w:r>
      <w:r>
        <w:t>事件国债期货被暂停之后，时隔</w:t>
      </w:r>
      <w:r>
        <w:rPr>
          <w:rFonts w:ascii="Times New Roman" w:hAnsi="Times New Roman" w:eastAsia="宋体"/>
        </w:rPr>
        <w:t>18</w:t>
      </w:r>
      <w:r>
        <w:t>年之久，国债期货</w:t>
      </w:r>
    </w:p>
    <w:p w:rsidR="0018722C">
      <w:pPr>
        <w:topLinePunct/>
      </w:pPr>
      <w:r>
        <w:t>再次于</w:t>
      </w:r>
      <w:r>
        <w:rPr>
          <w:rFonts w:ascii="Times New Roman" w:eastAsia="Times New Roman"/>
        </w:rPr>
        <w:t>2013</w:t>
      </w:r>
      <w:r>
        <w:t>年</w:t>
      </w:r>
      <w:r>
        <w:rPr>
          <w:rFonts w:ascii="Times New Roman" w:eastAsia="Times New Roman"/>
        </w:rPr>
        <w:t>9</w:t>
      </w:r>
      <w:r>
        <w:t>月</w:t>
      </w:r>
      <w:r>
        <w:rPr>
          <w:rFonts w:ascii="Times New Roman" w:eastAsia="Times New Roman"/>
        </w:rPr>
        <w:t>6</w:t>
      </w:r>
      <w:r>
        <w:t>日启动上市。作为资本市场的重要组成部分，债券市场的</w:t>
      </w:r>
    </w:p>
    <w:p w:rsidR="0018722C">
      <w:pPr>
        <w:topLinePunct/>
      </w:pPr>
      <w:r>
        <w:rPr>
          <w:rFonts w:cstheme="minorBidi" w:hAnsiTheme="minorHAnsi" w:eastAsiaTheme="minorHAnsi" w:asciiTheme="minorHAnsi" w:ascii="Calibri"/>
        </w:rPr>
        <w:t>1</w:t>
      </w:r>
    </w:p>
    <w:p w:rsidR="0018722C">
      <w:pPr>
        <w:topLinePunct/>
      </w:pPr>
      <w:r>
        <w:t>健康发展已对国民经济起到积极的促进作用，国债期货市场作为国债风险管理市</w:t>
      </w:r>
      <w:r>
        <w:t>场，与国债一级发行市场、二级交易市场遥相呼应，将在极大程度上提高机构投</w:t>
      </w:r>
      <w:r>
        <w:t>资者债券投资的风险管理功能，形成良性循环，从发行、交易、风险管理等方面全方位提升债券市场在国民经济中的重要地位。</w:t>
      </w:r>
    </w:p>
    <w:p w:rsidR="0018722C">
      <w:pPr>
        <w:topLinePunct/>
      </w:pPr>
      <w:r>
        <w:t>因此，对于国债期货套期保值的研究，具有风险管理领域切实的价值和意义，</w:t>
      </w:r>
      <w:r w:rsidR="001852F3">
        <w:t xml:space="preserve">而其中套期保值率的研究正是国债期货套期保值中涉及到的最为核心的问题。</w:t>
      </w:r>
    </w:p>
    <w:p w:rsidR="0018722C">
      <w:pPr>
        <w:pStyle w:val="Heading2"/>
        <w:topLinePunct/>
        <w:ind w:left="171" w:hangingChars="171" w:hanging="171"/>
      </w:pPr>
      <w:bookmarkStart w:id="737386" w:name="_Toc686737386"/>
      <w:bookmarkStart w:name="_bookmark4" w:id="6"/>
      <w:bookmarkEnd w:id="6"/>
      <w:r>
        <w:t>1.2</w:t>
      </w:r>
      <w:r>
        <w:t xml:space="preserve"> </w:t>
      </w:r>
      <w:r/>
      <w:bookmarkStart w:name="_bookmark4" w:id="7"/>
      <w:bookmarkEnd w:id="7"/>
      <w:r>
        <w:t>国内外文献综述</w:t>
      </w:r>
      <w:bookmarkEnd w:id="737386"/>
    </w:p>
    <w:p w:rsidR="0018722C">
      <w:pPr>
        <w:topLinePunct/>
      </w:pPr>
      <w:r>
        <w:t>目前国内外的研究文献，对套期保值比率的研究基本分为两大类，即静态套</w:t>
      </w:r>
      <w:r>
        <w:t>期保值比率和动态套期保值比率。研究的模型分为静态模型和动态模型，静态模</w:t>
      </w:r>
      <w:r>
        <w:t>型是假设市场条件不变得出来的，其值固定，对应的主流模型有最小二乘法模</w:t>
      </w:r>
      <w:r>
        <w:t>型</w:t>
      </w:r>
    </w:p>
    <w:p w:rsidR="0018722C">
      <w:pPr>
        <w:topLinePunct/>
      </w:pPr>
      <w:r>
        <w:t>（</w:t>
      </w:r>
      <w:r>
        <w:rPr>
          <w:rFonts w:ascii="Times New Roman" w:eastAsia="Times New Roman"/>
        </w:rPr>
        <w:t>O</w:t>
      </w:r>
      <w:r>
        <w:rPr>
          <w:rFonts w:ascii="Times New Roman" w:eastAsia="Times New Roman"/>
        </w:rPr>
        <w:t>L</w:t>
      </w:r>
      <w:r>
        <w:rPr>
          <w:rFonts w:ascii="Times New Roman" w:eastAsia="Times New Roman"/>
        </w:rPr>
        <w:t>S</w:t>
      </w:r>
      <w:r>
        <w:t>）</w:t>
      </w:r>
      <w:r>
        <w:t>、双变量自回归模型</w:t>
      </w:r>
      <w:r>
        <w:t>（</w:t>
      </w:r>
      <w:r>
        <w:rPr>
          <w:rFonts w:ascii="Times New Roman" w:eastAsia="Times New Roman"/>
          <w:spacing w:val="-1"/>
        </w:rPr>
        <w:t>B</w:t>
      </w:r>
      <w:r>
        <w:rPr>
          <w:rFonts w:ascii="Times New Roman" w:eastAsia="Times New Roman"/>
          <w:spacing w:val="0"/>
        </w:rPr>
        <w:t>-</w:t>
      </w:r>
      <w:r>
        <w:rPr>
          <w:rFonts w:ascii="Times New Roman" w:eastAsia="Times New Roman"/>
          <w:spacing w:val="-16"/>
          <w:w w:val="99"/>
        </w:rPr>
        <w:t>V</w:t>
      </w:r>
      <w:r>
        <w:rPr>
          <w:rFonts w:ascii="Times New Roman" w:eastAsia="Times New Roman"/>
          <w:w w:val="99"/>
        </w:rPr>
        <w:t>AR</w:t>
      </w:r>
      <w:r>
        <w:t>）</w:t>
      </w:r>
      <w:r>
        <w:t>、误差修正模型</w:t>
      </w:r>
      <w:r>
        <w:t>（</w:t>
      </w:r>
      <w:r>
        <w:rPr>
          <w:rFonts w:ascii="Times New Roman" w:eastAsia="Times New Roman"/>
        </w:rPr>
        <w:t>ECM</w:t>
      </w:r>
      <w:r>
        <w:t>）</w:t>
      </w:r>
      <w:r>
        <w:t>。动态模型中研</w:t>
      </w:r>
      <w:r>
        <w:t>究最多就是广义自回归条件异方差模型</w:t>
      </w:r>
      <w:r>
        <w:t>（</w:t>
      </w:r>
      <w:r>
        <w:rPr>
          <w:rFonts w:ascii="Times New Roman" w:eastAsia="Times New Roman"/>
        </w:rPr>
        <w:t>GARCH</w:t>
      </w:r>
      <w:r>
        <w:t>）</w:t>
      </w:r>
      <w:r>
        <w:t>模型，该模型由</w:t>
      </w:r>
      <w:r>
        <w:rPr>
          <w:rFonts w:ascii="Times New Roman" w:eastAsia="Times New Roman"/>
        </w:rPr>
        <w:t>ARCH</w:t>
      </w:r>
      <w:r>
        <w:t>模型推广而来，能很好的解决套期保值动态预测的问题。</w:t>
      </w:r>
    </w:p>
    <w:p w:rsidR="0018722C">
      <w:pPr>
        <w:pStyle w:val="Heading3"/>
        <w:topLinePunct/>
        <w:ind w:left="200" w:hangingChars="200" w:hanging="200"/>
      </w:pPr>
      <w:bookmarkStart w:id="737387" w:name="_Toc686737387"/>
      <w:bookmarkStart w:name="_bookmark5" w:id="8"/>
      <w:bookmarkEnd w:id="8"/>
      <w:r>
        <w:t>1.2.1</w:t>
      </w:r>
      <w:r>
        <w:t xml:space="preserve"> </w:t>
      </w:r>
      <w:bookmarkStart w:name="_bookmark5" w:id="9"/>
      <w:bookmarkEnd w:id="9"/>
      <w:r>
        <w:t>国外文献综述</w:t>
      </w:r>
      <w:bookmarkEnd w:id="737387"/>
    </w:p>
    <w:p w:rsidR="0018722C">
      <w:pPr>
        <w:topLinePunct/>
      </w:pPr>
      <w:r>
        <w:t>最早的套期保值比率的估计方法，由马可维茨投资理论发展而来。起初的套</w:t>
      </w:r>
      <w:r>
        <w:t>期保值策略是预测投资组合的未来收益以及未来收益的方差，并寻求方差最小化，</w:t>
      </w:r>
      <w:r>
        <w:t>达到最小化风险的目的，以此确定期货和现货的交易头寸，得出最优套期保值比</w:t>
      </w:r>
      <w:r>
        <w:t>率。在原有的投资组合的理论基础之上，</w:t>
      </w:r>
      <w:r>
        <w:rPr>
          <w:rFonts w:ascii="Times New Roman" w:eastAsia="Times New Roman"/>
        </w:rPr>
        <w:t>Ederington</w:t>
      </w:r>
      <w:r>
        <w:rPr>
          <w:rFonts w:ascii="Times New Roman" w:eastAsia="Times New Roman"/>
        </w:rPr>
        <w:t>(</w:t>
      </w:r>
      <w:r>
        <w:rPr>
          <w:rFonts w:ascii="Times New Roman" w:eastAsia="Times New Roman"/>
        </w:rPr>
        <w:t>1979</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w:t>
      </w:r>
      <w:r>
        <w:t>提出了使用最小二</w:t>
      </w:r>
      <w:r>
        <w:t>乘法</w:t>
      </w:r>
      <w:r>
        <w:t>（</w:t>
      </w:r>
      <w:r>
        <w:rPr>
          <w:rFonts w:ascii="Times New Roman" w:eastAsia="Times New Roman"/>
          <w:spacing w:val="-2"/>
        </w:rPr>
        <w:t>OLS</w:t>
      </w:r>
      <w:r>
        <w:t>）</w:t>
      </w:r>
      <w:r>
        <w:t xml:space="preserve">模型，来确定投资组合中的最优套期保值比率，具体过程即量化所</w:t>
      </w:r>
      <w:r>
        <w:t>建立的投资组合的方差，使得其方差最小化，得出最终的套期保值比率，我们称</w:t>
      </w:r>
      <w:r w:rsidR="001852F3">
        <w:t xml:space="preserve">之为静态最优套期保值比率。</w:t>
      </w:r>
    </w:p>
    <w:p w:rsidR="0018722C">
      <w:pPr>
        <w:topLinePunct/>
      </w:pPr>
      <w:r>
        <w:t>在静态模型中，最小二乘法</w:t>
      </w:r>
      <w:r>
        <w:t>（</w:t>
      </w:r>
      <w:r>
        <w:rPr>
          <w:rFonts w:ascii="Times New Roman" w:eastAsia="Times New Roman"/>
        </w:rPr>
        <w:t>OLS</w:t>
      </w:r>
      <w:r>
        <w:t>）</w:t>
      </w:r>
      <w:r>
        <w:t>是应用最广的，然而，随着计量经济学</w:t>
      </w:r>
      <w:r>
        <w:t>中时间序列分析的研究发展，该模型受到越来越多的批评。如最小二乘法</w:t>
      </w:r>
      <w:r>
        <w:t>（</w:t>
      </w:r>
      <w:r>
        <w:rPr>
          <w:rFonts w:ascii="Times New Roman" w:eastAsia="Times New Roman"/>
        </w:rPr>
        <w:t>OLS</w:t>
      </w:r>
      <w:r>
        <w:t>）</w:t>
      </w:r>
      <w:r>
        <w:t>假设残差项不存在序列相关性、期货与现货价格之间的变动是趋于稳定的，这些假设都不切实际。</w:t>
      </w:r>
      <w:r>
        <w:rPr>
          <w:rFonts w:ascii="Times New Roman" w:eastAsia="Times New Roman"/>
        </w:rPr>
        <w:t>Myers</w:t>
      </w:r>
      <w:r>
        <w:t>（</w:t>
      </w:r>
      <w:r>
        <w:rPr>
          <w:rFonts w:ascii="Times New Roman" w:eastAsia="Times New Roman"/>
          <w:spacing w:val="-3"/>
        </w:rPr>
        <w:t>1989</w:t>
      </w:r>
      <w:r>
        <w:t>）</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和</w:t>
      </w:r>
      <w:r>
        <w:rPr>
          <w:rFonts w:ascii="Times New Roman" w:eastAsia="Times New Roman"/>
        </w:rPr>
        <w:t>Herbst</w:t>
      </w:r>
      <w:r>
        <w:t>（</w:t>
      </w:r>
      <w:r>
        <w:rPr>
          <w:rFonts w:ascii="Times New Roman" w:eastAsia="Times New Roman"/>
        </w:rPr>
        <w:t>1993</w:t>
      </w:r>
      <w:r>
        <w:t>）</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等学者研究时发现利</w:t>
      </w:r>
      <w:r>
        <w:t>用最常用的最小方差二乘法模型对投资组合进行关于套期保值比率的计算，无法</w:t>
      </w:r>
      <w:r>
        <w:t>避免会受到回归方程中残差项的序列相关的干扰，使得比率的计算出现偏差。在</w:t>
      </w:r>
      <w:r>
        <w:t>此基础上，提出了双变量自回归模型</w:t>
      </w:r>
      <w:r>
        <w:t>（</w:t>
      </w:r>
      <w:r>
        <w:rPr>
          <w:rFonts w:ascii="Times New Roman" w:eastAsia="Times New Roman"/>
          <w:spacing w:val="-1"/>
        </w:rPr>
        <w:t>B</w:t>
      </w:r>
      <w:r>
        <w:rPr>
          <w:rFonts w:ascii="Times New Roman" w:eastAsia="Times New Roman"/>
          <w:spacing w:val="0"/>
        </w:rPr>
        <w:t>-</w:t>
      </w:r>
      <w:r>
        <w:rPr>
          <w:rFonts w:ascii="Times New Roman" w:eastAsia="Times New Roman"/>
          <w:spacing w:val="-16"/>
          <w:w w:val="99"/>
        </w:rPr>
        <w:t>V</w:t>
      </w:r>
      <w:r>
        <w:rPr>
          <w:rFonts w:ascii="Times New Roman" w:eastAsia="Times New Roman"/>
          <w:w w:val="99"/>
        </w:rPr>
        <w:t>A</w:t>
      </w:r>
      <w:r>
        <w:rPr>
          <w:rFonts w:ascii="Times New Roman" w:eastAsia="Times New Roman"/>
          <w:spacing w:val="0"/>
          <w:w w:val="99"/>
        </w:rPr>
        <w:t>R</w:t>
      </w:r>
      <w:r>
        <w:t>）</w:t>
      </w:r>
      <w:r>
        <w:t>，以消除残差项的序列相关的</w:t>
      </w:r>
      <w:r>
        <w:t>影</w:t>
      </w:r>
    </w:p>
    <w:p w:rsidR="0018722C">
      <w:pPr>
        <w:topLinePunct/>
      </w:pPr>
      <w:r>
        <w:rPr>
          <w:rFonts w:cstheme="minorBidi" w:hAnsiTheme="minorHAnsi" w:eastAsiaTheme="minorHAnsi" w:asciiTheme="minorHAnsi" w:ascii="Calibri"/>
        </w:rPr>
        <w:t>2</w:t>
      </w:r>
    </w:p>
    <w:p w:rsidR="0018722C">
      <w:pPr>
        <w:topLinePunct/>
      </w:pPr>
      <w:r>
        <w:t>响。</w:t>
      </w:r>
    </w:p>
    <w:p w:rsidR="0018722C">
      <w:pPr>
        <w:topLinePunct/>
      </w:pPr>
      <w:r>
        <w:t>双变量自回归</w:t>
      </w:r>
      <w:r>
        <w:t>（</w:t>
      </w:r>
      <w:r>
        <w:rPr>
          <w:rFonts w:ascii="Times New Roman" w:eastAsia="Times New Roman"/>
          <w:spacing w:val="-2"/>
        </w:rPr>
        <w:t>B-VAR</w:t>
      </w:r>
      <w:r>
        <w:t>）</w:t>
      </w:r>
      <w:r>
        <w:t>模型虽然消除了最小二乘法</w:t>
      </w:r>
      <w:r>
        <w:t>（</w:t>
      </w:r>
      <w:r>
        <w:rPr>
          <w:rFonts w:ascii="Times New Roman" w:eastAsia="Times New Roman"/>
        </w:rPr>
        <w:t>OLS</w:t>
      </w:r>
      <w:r>
        <w:t>）</w:t>
      </w:r>
      <w:r>
        <w:t>模型关于残差</w:t>
      </w:r>
      <w:r>
        <w:t>项在序列相关方面的影响，但仍然忽略了有关现货与期货之间价格时间序列上的</w:t>
      </w:r>
      <w:r>
        <w:t>协整关系，于是有了协整理论的提出。</w:t>
      </w:r>
      <w:r>
        <w:rPr>
          <w:rFonts w:ascii="Times New Roman" w:eastAsia="Times New Roman"/>
        </w:rPr>
        <w:t>Lien</w:t>
      </w:r>
      <w:r>
        <w:t>（</w:t>
      </w:r>
      <w:r>
        <w:rPr>
          <w:rFonts w:ascii="Times New Roman" w:eastAsia="Times New Roman"/>
          <w:spacing w:val="-2"/>
        </w:rPr>
        <w:t>1996</w:t>
      </w:r>
      <w:r>
        <w:t>）</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r>
        <w:t>根据</w:t>
      </w:r>
      <w:r>
        <w:rPr>
          <w:rFonts w:ascii="Times New Roman" w:eastAsia="Times New Roman"/>
        </w:rPr>
        <w:t>Granger</w:t>
      </w:r>
      <w:r>
        <w:rPr>
          <w:spacing w:val="-2"/>
        </w:rPr>
        <w:t xml:space="preserve">, </w:t>
      </w:r>
      <w:r>
        <w:rPr>
          <w:rFonts w:ascii="Times New Roman" w:eastAsia="Times New Roman"/>
        </w:rPr>
        <w:t>Engle</w:t>
      </w:r>
      <w:r>
        <w:t>两者</w:t>
      </w:r>
      <w:r>
        <w:t>早期提出来的协整理论，进一步建立误差修正模型</w:t>
      </w:r>
      <w:r>
        <w:t>（</w:t>
      </w:r>
      <w:r>
        <w:rPr>
          <w:rFonts w:ascii="Times New Roman" w:eastAsia="Times New Roman"/>
        </w:rPr>
        <w:t>ECM</w:t>
      </w:r>
      <w:r>
        <w:t>）</w:t>
      </w:r>
      <w:r>
        <w:t>，该模型消除了变量</w:t>
      </w:r>
      <w:r>
        <w:t>可能存在的趋势因素，避免了虚假回归，在增加信息量的同时也很好的处理了时</w:t>
      </w:r>
      <w:r>
        <w:t>间序列之间的短期动态关系以及长期均衡关系。</w:t>
      </w:r>
    </w:p>
    <w:p w:rsidR="0018722C">
      <w:pPr>
        <w:topLinePunct/>
      </w:pPr>
      <w:r>
        <w:t>静态模型的设计都基于这样一个假设，残差项的方差为常数，然而大量实证</w:t>
      </w:r>
      <w:r>
        <w:t>研究发现，金融时间序列有其波动集聚性。</w:t>
      </w:r>
      <w:r>
        <w:rPr>
          <w:rFonts w:ascii="Times New Roman" w:eastAsia="Times New Roman"/>
        </w:rPr>
        <w:t>Engle</w:t>
      </w:r>
      <w:r>
        <w:t>于</w:t>
      </w:r>
      <w:r>
        <w:rPr>
          <w:rFonts w:ascii="Times New Roman" w:eastAsia="Times New Roman"/>
        </w:rPr>
        <w:t>1982</w:t>
      </w:r>
      <w:r>
        <w:rPr>
          <w:rFonts w:ascii="Times New Roman" w:eastAsia="Times New Roman"/>
          <w:vertAlign w:val="superscript"/>
        </w:rPr>
        <w:t>[</w:t>
      </w:r>
      <w:r>
        <w:rPr>
          <w:rFonts w:ascii="Times New Roman" w:eastAsia="Times New Roman"/>
          <w:vertAlign w:val="superscript"/>
        </w:rPr>
        <w:t>5</w:t>
      </w:r>
      <w:r>
        <w:rPr>
          <w:rFonts w:ascii="Times New Roman" w:eastAsia="Times New Roman"/>
          <w:vertAlign w:val="superscript"/>
        </w:rPr>
        <w:t>]</w:t>
      </w:r>
      <w:r>
        <w:t>年提出了自回归条件</w:t>
      </w:r>
      <w:r>
        <w:t>异方差模型</w:t>
      </w:r>
      <w:r>
        <w:t>（</w:t>
      </w:r>
      <w:r>
        <w:rPr>
          <w:rFonts w:ascii="Times New Roman" w:eastAsia="Times New Roman"/>
          <w:spacing w:val="-6"/>
        </w:rPr>
        <w:t>ARCH</w:t>
      </w:r>
      <w:r>
        <w:t>）</w:t>
      </w:r>
      <w:r>
        <w:t>模型，很好的解释了这一动态特征。随后</w:t>
      </w:r>
      <w:r>
        <w:rPr>
          <w:rFonts w:ascii="Times New Roman" w:eastAsia="Times New Roman"/>
        </w:rPr>
        <w:t>Bollerslev</w:t>
      </w:r>
      <w:r>
        <w:t>（</w:t>
      </w:r>
      <w:r>
        <w:rPr>
          <w:rFonts w:ascii="Times New Roman" w:eastAsia="Times New Roman"/>
          <w:spacing w:val="-2"/>
        </w:rPr>
        <w:t>1986</w:t>
      </w:r>
      <w:r>
        <w:t>）</w:t>
      </w:r>
    </w:p>
    <w:p w:rsidR="0018722C">
      <w:pPr>
        <w:topLinePunct/>
      </w:pPr>
      <w:r>
        <w:rPr>
          <w:rFonts w:ascii="Times New Roman" w:eastAsia="Times New Roman"/>
        </w:rPr>
        <w:t>[</w:t>
      </w:r>
      <w:r>
        <w:rPr>
          <w:rFonts w:ascii="Times New Roman" w:eastAsia="Times New Roman"/>
        </w:rPr>
        <w:t xml:space="preserve">6</w:t>
      </w:r>
      <w:r>
        <w:rPr>
          <w:rFonts w:ascii="Times New Roman" w:eastAsia="Times New Roman"/>
        </w:rPr>
        <w:t>]</w:t>
      </w:r>
      <w:r>
        <w:t>将</w:t>
      </w:r>
      <w:r>
        <w:rPr>
          <w:rFonts w:ascii="Times New Roman" w:eastAsia="Times New Roman"/>
        </w:rPr>
        <w:t>ARCH</w:t>
      </w:r>
      <w:r>
        <w:t>模型推广为</w:t>
      </w:r>
      <w:r>
        <w:rPr>
          <w:rFonts w:ascii="Times New Roman" w:eastAsia="Times New Roman"/>
        </w:rPr>
        <w:t>GARCH</w:t>
      </w:r>
      <w:r>
        <w:t>模型，</w:t>
      </w:r>
      <w:r>
        <w:rPr>
          <w:rFonts w:ascii="Times New Roman" w:eastAsia="Times New Roman"/>
        </w:rPr>
        <w:t>GARCH</w:t>
      </w:r>
      <w:r>
        <w:t>模型得到了大家的推广，使得</w:t>
      </w:r>
      <w:r>
        <w:t>套期保值理论在套保比率上的研究开始有了动态的视角。最初</w:t>
      </w:r>
      <w:r>
        <w:rPr>
          <w:rFonts w:ascii="Times New Roman" w:eastAsia="Times New Roman"/>
        </w:rPr>
        <w:t>ARCH</w:t>
      </w:r>
      <w:r>
        <w:t>模型只适</w:t>
      </w:r>
      <w:r>
        <w:t>用数据短期的自相关性，而衍生出的</w:t>
      </w:r>
      <w:r>
        <w:rPr>
          <w:rFonts w:ascii="Times New Roman" w:eastAsia="Times New Roman"/>
        </w:rPr>
        <w:t>GARCH</w:t>
      </w:r>
      <w:r>
        <w:t>模型则更能反映出金融时间序列的</w:t>
      </w:r>
      <w:r>
        <w:t>长期特性。</w:t>
      </w:r>
    </w:p>
    <w:p w:rsidR="0018722C">
      <w:pPr>
        <w:topLinePunct/>
      </w:pPr>
      <w:r>
        <w:t>越来越多的研究结果证明，多元</w:t>
      </w:r>
      <w:r>
        <w:rPr>
          <w:rFonts w:ascii="Times New Roman" w:eastAsia="Times New Roman"/>
        </w:rPr>
        <w:t>GARCH</w:t>
      </w:r>
      <w:r>
        <w:t>模型对于套期保值比率的研究效果显著优于最小二乘法</w:t>
      </w:r>
      <w:r>
        <w:t>（</w:t>
      </w:r>
      <w:r>
        <w:rPr>
          <w:rFonts w:ascii="Times New Roman" w:eastAsia="Times New Roman"/>
        </w:rPr>
        <w:t>OLS</w:t>
      </w:r>
      <w:r>
        <w:t>）</w:t>
      </w:r>
      <w:r>
        <w:t>模型。</w:t>
      </w:r>
      <w:r>
        <w:rPr>
          <w:rFonts w:ascii="Times New Roman" w:eastAsia="Times New Roman"/>
        </w:rPr>
        <w:t>GARCH</w:t>
      </w:r>
      <w:r>
        <w:t>模型很好的解决了套期保值比率动</w:t>
      </w:r>
      <w:r>
        <w:t>态预测的问题，同时考虑了金融时间序列存在的波动聚集性和时变方差效应，极</w:t>
      </w:r>
      <w:r>
        <w:t>大程度上提高了预测的准确性。自此，</w:t>
      </w:r>
      <w:r>
        <w:rPr>
          <w:rFonts w:ascii="Times New Roman" w:eastAsia="Times New Roman"/>
        </w:rPr>
        <w:t>GARCH</w:t>
      </w:r>
      <w:r>
        <w:t>模型逐渐的成为了金融领域在风险管理方面的关于套期保值比率重要的研究工具之一。</w:t>
      </w:r>
    </w:p>
    <w:p w:rsidR="0018722C">
      <w:pPr>
        <w:pStyle w:val="Heading3"/>
        <w:topLinePunct/>
        <w:ind w:left="200" w:hangingChars="200" w:hanging="200"/>
      </w:pPr>
      <w:bookmarkStart w:id="737388" w:name="_Toc686737388"/>
      <w:bookmarkStart w:name="_bookmark6" w:id="10"/>
      <w:bookmarkEnd w:id="10"/>
      <w:r>
        <w:t>1.2.2</w:t>
      </w:r>
      <w:r>
        <w:t xml:space="preserve"> </w:t>
      </w:r>
      <w:bookmarkStart w:name="_bookmark6" w:id="11"/>
      <w:bookmarkEnd w:id="11"/>
      <w:r>
        <w:t>国内文献综述</w:t>
      </w:r>
      <w:bookmarkEnd w:id="737388"/>
    </w:p>
    <w:p w:rsidR="0018722C">
      <w:pPr>
        <w:topLinePunct/>
      </w:pPr>
      <w:r>
        <w:t>在国债期货正式推出之前，在金融期货方面，国内学者的研究基本都以股指</w:t>
      </w:r>
      <w:r>
        <w:t>期货为主，更多的都集中在工业品和农产品等商品期货上，选择适用的套期保值</w:t>
      </w:r>
      <w:r>
        <w:t>比率研究模型，并分析其绩效，针对国债期货的套期保值比率研究文献相对较少。</w:t>
      </w:r>
      <w:r>
        <w:t>国内针对套期保值比率的研究基本集中于适用国外主流模型，对于中国期货市场特定品种进行分析研究，来探讨市场的有效性，套期保值的绩效。</w:t>
      </w:r>
    </w:p>
    <w:p w:rsidR="0018722C">
      <w:pPr>
        <w:topLinePunct/>
      </w:pPr>
      <w:r>
        <w:t>花俊洲等</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rPr>
          <w:rFonts w:ascii="Times New Roman" w:eastAsia="Times New Roman"/>
        </w:rPr>
        <w:t>[</w:t>
      </w:r>
      <w:r>
        <w:rPr>
          <w:rFonts w:ascii="Times New Roman" w:eastAsia="Times New Roman"/>
        </w:rPr>
        <w:t>20</w:t>
      </w:r>
      <w:r>
        <w:rPr>
          <w:rFonts w:ascii="Times New Roman" w:eastAsia="Times New Roman"/>
        </w:rPr>
        <w:t>]</w:t>
      </w:r>
      <w:r>
        <w:t>研究了最小风险套期保值比率，其《期铜套期保值有效性</w:t>
      </w:r>
      <w:r>
        <w:t>实证研究》结果表明在上海期铜市场上进行套期保值策略是有效的，采取套期保</w:t>
      </w:r>
      <w:r>
        <w:t>值操作后投资组合的风险会有大幅度的下降，而且套期保值的效率会随着套保时间的延长而不断提高。</w:t>
      </w:r>
    </w:p>
    <w:p w:rsidR="0018722C">
      <w:pPr>
        <w:topLinePunct/>
      </w:pPr>
      <w:r>
        <w:rPr>
          <w:rFonts w:cstheme="minorBidi" w:hAnsiTheme="minorHAnsi" w:eastAsiaTheme="minorHAnsi" w:asciiTheme="minorHAnsi" w:ascii="Calibri"/>
        </w:rPr>
        <w:t>3</w:t>
      </w:r>
    </w:p>
    <w:p w:rsidR="0018722C">
      <w:pPr>
        <w:topLinePunct/>
      </w:pPr>
      <w:r>
        <w:t>史晋川等</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rPr>
          <w:rFonts w:ascii="Times New Roman" w:eastAsia="Times New Roman"/>
        </w:rPr>
        <w:t>[</w:t>
      </w:r>
      <w:r>
        <w:rPr>
          <w:rFonts w:ascii="Times New Roman" w:eastAsia="Times New Roman"/>
        </w:rPr>
        <w:t>21</w:t>
      </w:r>
      <w:r>
        <w:rPr>
          <w:rFonts w:ascii="Times New Roman" w:eastAsia="Times New Roman"/>
        </w:rPr>
        <w:t>]</w:t>
      </w:r>
      <w:r>
        <w:t>运用误差修正模型</w:t>
      </w:r>
      <w:r>
        <w:rPr>
          <w:rFonts w:ascii="Times New Roman" w:eastAsia="Times New Roman"/>
        </w:rPr>
        <w:t>(</w:t>
      </w:r>
      <w:r>
        <w:rPr>
          <w:rFonts w:ascii="Times New Roman" w:eastAsia="Times New Roman"/>
        </w:rPr>
        <w:t xml:space="preserve">ECM</w:t>
      </w:r>
      <w:r>
        <w:rPr>
          <w:rFonts w:ascii="Times New Roman" w:eastAsia="Times New Roman"/>
        </w:rPr>
        <w:t>)</w:t>
      </w:r>
      <w:r>
        <w:t>来研究我国铜期现货市场中最优套期保值比率的估计，结果表明，利用误差修正模型</w:t>
      </w:r>
      <w:r>
        <w:t>（</w:t>
      </w:r>
      <w:r>
        <w:rPr>
          <w:rFonts w:ascii="Times New Roman" w:eastAsia="Times New Roman"/>
        </w:rPr>
        <w:t>ECM</w:t>
      </w:r>
      <w:r>
        <w:t>）</w:t>
      </w:r>
      <w:r>
        <w:t>中考虑到的协整上的关系将在很大程度上提高于我国铜期现市场进行套期保值的效果。</w:t>
      </w:r>
    </w:p>
    <w:p w:rsidR="0018722C">
      <w:pPr>
        <w:topLinePunct/>
      </w:pPr>
      <w:r>
        <w:t>王骏、张宗成</w:t>
      </w:r>
      <w:r>
        <w:rPr>
          <w:rFonts w:ascii="Times New Roman" w:eastAsia="宋体"/>
          <w:rFonts w:ascii="Times New Roman" w:eastAsia="宋体"/>
        </w:rPr>
        <w:t>（</w:t>
      </w:r>
      <w:r>
        <w:rPr>
          <w:rFonts w:ascii="Times New Roman" w:eastAsia="宋体"/>
        </w:rPr>
        <w:t xml:space="preserve">2005</w:t>
      </w:r>
      <w:r>
        <w:rPr>
          <w:rFonts w:ascii="Times New Roman" w:eastAsia="宋体"/>
          <w:rFonts w:ascii="Times New Roman" w:eastAsia="宋体"/>
        </w:rPr>
        <w:t>）</w:t>
      </w:r>
      <w:r>
        <w:rPr>
          <w:rFonts w:ascii="Times New Roman" w:eastAsia="宋体"/>
        </w:rPr>
        <w:t>[</w:t>
      </w:r>
      <w:r>
        <w:rPr>
          <w:rFonts w:ascii="Times New Roman" w:eastAsia="宋体"/>
        </w:rPr>
        <w:t>22</w:t>
      </w:r>
      <w:r>
        <w:rPr>
          <w:rFonts w:ascii="Times New Roman" w:eastAsia="宋体"/>
        </w:rPr>
        <w:t>]</w:t>
      </w:r>
      <w:r>
        <w:t>分别使用静态和动态的诸多套期保值模型中选取</w:t>
      </w:r>
      <w:r>
        <w:rPr>
          <w:rFonts w:ascii="Times New Roman" w:eastAsia="宋体"/>
        </w:rPr>
        <w:t>4</w:t>
      </w:r>
      <w:r>
        <w:t>种不同的模型从不同角度对国内小麦和大豆期货市场进行了套期保值比率的验</w:t>
      </w:r>
      <w:r>
        <w:t>证，得出利用误差修正模型</w:t>
      </w:r>
      <w:r>
        <w:t>（</w:t>
      </w:r>
      <w:r>
        <w:rPr>
          <w:rFonts w:ascii="Times New Roman" w:eastAsia="宋体"/>
          <w:spacing w:val="-2"/>
        </w:rPr>
        <w:t>ECM</w:t>
      </w:r>
      <w:r>
        <w:t>）</w:t>
      </w:r>
      <w:r>
        <w:t>和</w:t>
      </w:r>
      <w:r>
        <w:rPr>
          <w:rFonts w:ascii="Times New Roman" w:eastAsia="宋体"/>
        </w:rPr>
        <w:t>ECM-GARCH</w:t>
      </w:r>
      <w:r>
        <w:t>模型进行套期保值的效率</w:t>
      </w:r>
      <w:r>
        <w:t>要比最小二乘法模型</w:t>
      </w:r>
      <w:r>
        <w:t>（</w:t>
      </w:r>
      <w:r>
        <w:rPr>
          <w:rFonts w:ascii="Times New Roman" w:eastAsia="宋体"/>
          <w:w w:val="95"/>
        </w:rPr>
        <w:t>OLS</w:t>
      </w:r>
      <w:r>
        <w:t>）</w:t>
      </w:r>
      <w:r>
        <w:t>和双变量自回归模型</w:t>
      </w:r>
      <w:r>
        <w:t>（</w:t>
      </w:r>
      <w:r>
        <w:rPr>
          <w:rFonts w:ascii="Times New Roman" w:eastAsia="宋体"/>
          <w:spacing w:val="-2"/>
          <w:w w:val="95"/>
        </w:rPr>
        <w:t>B-VAR</w:t>
      </w:r>
      <w:r>
        <w:t>）</w:t>
      </w:r>
      <w:r>
        <w:t>高的结论。</w:t>
      </w:r>
    </w:p>
    <w:p w:rsidR="0018722C">
      <w:pPr>
        <w:topLinePunct/>
      </w:pPr>
      <w:r>
        <w:t>之后，王骏、张宗成</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rPr>
          <w:rFonts w:ascii="Times New Roman" w:eastAsia="Times New Roman"/>
          <w:vertAlign w:val="superscript"/>
        </w:rPr>
        <w:t>[</w:t>
      </w:r>
      <w:r>
        <w:rPr>
          <w:rFonts w:ascii="Times New Roman" w:eastAsia="Times New Roman"/>
          <w:vertAlign w:val="superscript"/>
        </w:rPr>
        <w:t>23</w:t>
      </w:r>
      <w:r>
        <w:rPr>
          <w:rFonts w:ascii="Times New Roman" w:eastAsia="Times New Roman"/>
          <w:vertAlign w:val="superscript"/>
        </w:rPr>
        <w:t>]</w:t>
      </w:r>
      <w:r>
        <w:t>对国内有色金属在期现货市场中套期保值比率方面的研究，利用同样的模型，得出了与硬麦、大豆期货同样的结论。</w:t>
      </w:r>
    </w:p>
    <w:p w:rsidR="0018722C">
      <w:pPr>
        <w:topLinePunct/>
      </w:pPr>
      <w:r>
        <w:t>国内沪深</w:t>
      </w:r>
      <w:r>
        <w:rPr>
          <w:rFonts w:ascii="Times New Roman" w:eastAsia="Times New Roman"/>
        </w:rPr>
        <w:t>300</w:t>
      </w:r>
      <w:r>
        <w:t>股指期货的仿真交易由中国金融期货交易所</w:t>
      </w:r>
      <w:r>
        <w:t>（</w:t>
      </w:r>
      <w:r>
        <w:t>下称中金所</w:t>
      </w:r>
      <w:r>
        <w:t>）</w:t>
      </w:r>
      <w:r>
        <w:t>于</w:t>
      </w:r>
    </w:p>
    <w:p w:rsidR="0018722C">
      <w:pPr>
        <w:topLinePunct/>
      </w:pPr>
      <w:r>
        <w:rPr>
          <w:rFonts w:ascii="Times New Roman" w:eastAsia="Times New Roman"/>
        </w:rPr>
        <w:t>2006</w:t>
      </w:r>
      <w:r>
        <w:t>年</w:t>
      </w:r>
      <w:r>
        <w:rPr>
          <w:rFonts w:ascii="Times New Roman" w:eastAsia="Times New Roman"/>
        </w:rPr>
        <w:t>10</w:t>
      </w:r>
      <w:r>
        <w:t>月</w:t>
      </w:r>
      <w:r>
        <w:rPr>
          <w:rFonts w:ascii="Times New Roman" w:eastAsia="Times New Roman"/>
        </w:rPr>
        <w:t>30</w:t>
      </w:r>
      <w:r>
        <w:t>日推出，逐渐地有学者开始利用仿真数据对中国金融市场进行</w:t>
      </w:r>
      <w:r>
        <w:t>研究。</w:t>
      </w:r>
      <w:r>
        <w:rPr>
          <w:rFonts w:ascii="Times New Roman" w:eastAsia="Times New Roman"/>
        </w:rPr>
        <w:t>2007</w:t>
      </w:r>
      <w:r>
        <w:t>年梁斌等</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运用众多静态和动态套期保值模型，进行了充分的比较</w:t>
      </w:r>
      <w:r>
        <w:t>分析，研究结果显示动态套期保值模型在样本内的套保效果显著高于静态套期保</w:t>
      </w:r>
      <w:r>
        <w:t>值模型。此后，胡向科</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在《不同估计模型最优套期保值比率绩效研究》一文</w:t>
      </w:r>
      <w:r>
        <w:t>中，针对最小二乘法</w:t>
      </w:r>
      <w:r>
        <w:t>（</w:t>
      </w:r>
      <w:r>
        <w:rPr>
          <w:rFonts w:ascii="Times New Roman" w:eastAsia="Times New Roman"/>
          <w:spacing w:val="0"/>
          <w:w w:val="99"/>
        </w:rPr>
        <w:t>O</w:t>
      </w:r>
      <w:r>
        <w:rPr>
          <w:rFonts w:ascii="Times New Roman" w:eastAsia="Times New Roman"/>
          <w:spacing w:val="-3"/>
        </w:rPr>
        <w:t>L</w:t>
      </w:r>
      <w:r>
        <w:rPr>
          <w:rFonts w:ascii="Times New Roman" w:eastAsia="Times New Roman"/>
          <w:spacing w:val="1"/>
          <w:w w:val="99"/>
        </w:rPr>
        <w:t>S</w:t>
      </w:r>
      <w:r>
        <w:t>）</w:t>
      </w:r>
      <w:r>
        <w:t xml:space="preserve">模型、双变量自回归模型</w:t>
      </w:r>
      <w:r>
        <w:t>（</w:t>
      </w:r>
      <w:r>
        <w:rPr>
          <w:rFonts w:ascii="Times New Roman" w:eastAsia="Times New Roman"/>
          <w:spacing w:val="-1"/>
        </w:rPr>
        <w:t>B</w:t>
      </w:r>
      <w:r>
        <w:rPr>
          <w:rFonts w:ascii="Times New Roman" w:eastAsia="Times New Roman"/>
          <w:spacing w:val="0"/>
        </w:rPr>
        <w:t>-</w:t>
      </w:r>
      <w:r>
        <w:rPr>
          <w:rFonts w:ascii="Times New Roman" w:eastAsia="Times New Roman"/>
          <w:spacing w:val="-16"/>
          <w:w w:val="99"/>
        </w:rPr>
        <w:t>V</w:t>
      </w:r>
      <w:r>
        <w:rPr>
          <w:rFonts w:ascii="Times New Roman" w:eastAsia="Times New Roman"/>
          <w:w w:val="99"/>
        </w:rPr>
        <w:t>A</w:t>
      </w:r>
      <w:r>
        <w:rPr>
          <w:rFonts w:ascii="Times New Roman" w:eastAsia="Times New Roman"/>
          <w:spacing w:val="1"/>
          <w:w w:val="99"/>
        </w:rPr>
        <w:t>R</w:t>
      </w:r>
      <w:r>
        <w:t>）</w:t>
      </w:r>
      <w:r>
        <w:t>、误差修正模</w:t>
      </w:r>
      <w:r>
        <w:t>型</w:t>
      </w:r>
      <w:r>
        <w:t>（</w:t>
      </w:r>
      <w:r>
        <w:rPr>
          <w:rFonts w:ascii="Times New Roman" w:eastAsia="Times New Roman"/>
        </w:rPr>
        <w:t>ECM</w:t>
      </w:r>
      <w:r>
        <w:t>）</w:t>
      </w:r>
      <w:r>
        <w:t>以及</w:t>
      </w:r>
      <w:r>
        <w:rPr>
          <w:rFonts w:ascii="Times New Roman" w:eastAsia="Times New Roman"/>
        </w:rPr>
        <w:t>ECM-GARCH</w:t>
      </w:r>
      <w:r>
        <w:t>模型</w:t>
      </w:r>
      <w:r>
        <w:rPr>
          <w:rFonts w:ascii="Times New Roman" w:eastAsia="Times New Roman"/>
        </w:rPr>
        <w:t>4</w:t>
      </w:r>
      <w:r>
        <w:t>种不同的模型，对套期保值比率的确定和</w:t>
      </w:r>
      <w:r>
        <w:t>效果进行了分析研究，结果表明，其中误差修正模型</w:t>
      </w:r>
      <w:r>
        <w:t>（</w:t>
      </w:r>
      <w:r>
        <w:rPr>
          <w:rFonts w:ascii="Times New Roman" w:eastAsia="Times New Roman"/>
        </w:rPr>
        <w:t>ECM</w:t>
      </w:r>
      <w:r>
        <w:t>）</w:t>
      </w:r>
      <w:r>
        <w:t>套期保值效果最</w:t>
      </w:r>
      <w:r>
        <w:t>佳。</w:t>
      </w:r>
    </w:p>
    <w:p w:rsidR="0018722C">
      <w:pPr>
        <w:topLinePunct/>
      </w:pPr>
      <w:r>
        <w:t>国内股指期货由中金所于</w:t>
      </w:r>
      <w:r>
        <w:rPr>
          <w:rFonts w:ascii="Times New Roman" w:eastAsia="Times New Roman"/>
        </w:rPr>
        <w:t>2010</w:t>
      </w:r>
      <w:r>
        <w:t>年</w:t>
      </w:r>
      <w:r>
        <w:rPr>
          <w:rFonts w:ascii="Times New Roman" w:eastAsia="Times New Roman"/>
        </w:rPr>
        <w:t>4</w:t>
      </w:r>
      <w:r>
        <w:t>月</w:t>
      </w:r>
      <w:r>
        <w:rPr>
          <w:rFonts w:ascii="Times New Roman" w:eastAsia="Times New Roman"/>
        </w:rPr>
        <w:t>16</w:t>
      </w:r>
      <w:r>
        <w:t>日正式推出上市交易。赵婉淞等</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在研究开放式基金风险管理时分析了最小二乘法模型与动态套期保值模型，结果</w:t>
      </w:r>
      <w:r>
        <w:t>表明，套期保值并不能完全消除风险，但进行套期保值策略后的股票型的开放式</w:t>
      </w:r>
      <w:r>
        <w:t>基金，其在险价值</w:t>
      </w:r>
      <w:r>
        <w:t>（</w:t>
      </w:r>
      <w:r>
        <w:rPr>
          <w:rFonts w:ascii="Times New Roman" w:eastAsia="Times New Roman"/>
        </w:rPr>
        <w:t>VAR</w:t>
      </w:r>
      <w:r>
        <w:t>）</w:t>
      </w:r>
      <w:r>
        <w:t>得到有效的降低。此外，其中利用双变量</w:t>
      </w:r>
      <w:r>
        <w:rPr>
          <w:rFonts w:ascii="Times New Roman" w:eastAsia="Times New Roman"/>
        </w:rPr>
        <w:t>GARCH</w:t>
      </w:r>
      <w:r>
        <w:t>模</w:t>
      </w:r>
      <w:r>
        <w:t>型在套期保值的策略交易上效果最佳。</w:t>
      </w:r>
    </w:p>
    <w:p w:rsidR="0018722C">
      <w:pPr>
        <w:topLinePunct/>
      </w:pPr>
      <w:r>
        <w:t>国际上的国债期货市场已趋于成熟，然而国内的国债期货市场由于二十世纪</w:t>
      </w:r>
      <w:r>
        <w:t>九十年代期间体制不够完善，风险管理意识不足等因素导致一系列风险事件已被</w:t>
      </w:r>
      <w:r>
        <w:t>暂停，</w:t>
      </w:r>
      <w:r>
        <w:t>近年</w:t>
      </w:r>
      <w:r>
        <w:t>来国内关于国债期货的研究更多的集中于国债期货市场推出环境、风</w:t>
      </w:r>
      <w:r>
        <w:t>险监控等研究，以期为国债期货的推出做铺垫，而针对于国债期货套期保值领域</w:t>
      </w:r>
      <w:r>
        <w:t>的研究则相对匮乏，这也是本文的研究意义所在。</w:t>
      </w:r>
    </w:p>
    <w:p w:rsidR="0018722C">
      <w:pPr>
        <w:pStyle w:val="Heading2"/>
        <w:topLinePunct/>
        <w:ind w:left="171" w:hangingChars="171" w:hanging="171"/>
      </w:pPr>
      <w:bookmarkStart w:id="737389" w:name="_Toc686737389"/>
      <w:r>
        <w:t>1.3</w:t>
      </w:r>
      <w:r>
        <w:t xml:space="preserve"> </w:t>
      </w:r>
      <w:bookmarkStart w:name="_bookmark7" w:id="12"/>
      <w:bookmarkEnd w:id="12"/>
      <w:r/>
      <w:r>
        <w:t>研究内容和研究方法</w:t>
      </w:r>
      <w:bookmarkEnd w:id="737389"/>
    </w:p>
    <w:p w:rsidR="0018722C">
      <w:pPr>
        <w:topLinePunct/>
      </w:pPr>
      <w:r>
        <w:rPr>
          <w:rFonts w:cstheme="minorBidi" w:hAnsiTheme="minorHAnsi" w:eastAsiaTheme="minorHAnsi" w:asciiTheme="minorHAnsi" w:ascii="Calibri"/>
        </w:rPr>
        <w:t>4</w:t>
      </w:r>
    </w:p>
    <w:p w:rsidR="0018722C">
      <w:pPr>
        <w:topLinePunct/>
      </w:pPr>
      <w:r>
        <w:t>本文依据套期保值基本理论与经典模型，借鉴国内外优秀的研究理论方法，</w:t>
      </w:r>
      <w:r>
        <w:t>对刚上市不久的国债期货进行套期保值方面的研究。研究数据基于中国金融期货</w:t>
      </w:r>
      <w:r>
        <w:t>交易所发布的真实数据，采用最小二乘法模型</w:t>
      </w:r>
      <w:r>
        <w:t>（</w:t>
      </w:r>
      <w:r>
        <w:rPr>
          <w:rFonts w:ascii="Times New Roman" w:eastAsia="Times New Roman"/>
        </w:rPr>
        <w:t>O</w:t>
      </w:r>
      <w:r>
        <w:rPr>
          <w:rFonts w:ascii="Times New Roman" w:eastAsia="Times New Roman"/>
        </w:rPr>
        <w:t>L</w:t>
      </w:r>
      <w:r>
        <w:rPr>
          <w:rFonts w:ascii="Times New Roman" w:eastAsia="Times New Roman"/>
        </w:rPr>
        <w:t>S</w:t>
      </w:r>
      <w:r>
        <w:t>）</w:t>
      </w:r>
      <w:r>
        <w:t>、双变量自回归模</w:t>
      </w:r>
      <w:r>
        <w:t>型</w:t>
      </w:r>
    </w:p>
    <w:p w:rsidR="0018722C">
      <w:pPr>
        <w:topLinePunct/>
      </w:pPr>
      <w:r>
        <w:t>（</w:t>
      </w:r>
      <w:r>
        <w:rPr>
          <w:rFonts w:ascii="Times New Roman" w:eastAsia="宋体"/>
        </w:rPr>
        <w:t>B</w:t>
      </w:r>
      <w:r>
        <w:rPr>
          <w:rFonts w:ascii="Times New Roman" w:eastAsia="宋体"/>
        </w:rPr>
        <w:t>-</w:t>
      </w:r>
      <w:r>
        <w:rPr>
          <w:rFonts w:ascii="Times New Roman" w:eastAsia="宋体"/>
        </w:rPr>
        <w:t>V</w:t>
      </w:r>
      <w:r>
        <w:rPr>
          <w:rFonts w:ascii="Times New Roman" w:eastAsia="宋体"/>
        </w:rPr>
        <w:t>AR</w:t>
      </w:r>
      <w:r>
        <w:t>）</w:t>
      </w:r>
      <w:r>
        <w:t>、误差修正模型</w:t>
      </w:r>
      <w:r>
        <w:t>（</w:t>
      </w:r>
      <w:r>
        <w:rPr>
          <w:rFonts w:ascii="Times New Roman" w:eastAsia="宋体"/>
        </w:rPr>
        <w:t>ECM</w:t>
      </w:r>
      <w:r>
        <w:t>）</w:t>
      </w:r>
      <w:r>
        <w:rPr>
          <w:rFonts w:ascii="Times New Roman" w:eastAsia="宋体"/>
        </w:rPr>
        <w:t>3</w:t>
      </w:r>
      <w:r>
        <w:t>种不同特性的模型，借助</w:t>
      </w:r>
      <w:r>
        <w:rPr>
          <w:rFonts w:ascii="Times New Roman" w:eastAsia="宋体"/>
        </w:rPr>
        <w:t>Evi</w:t>
      </w:r>
      <w:r>
        <w:rPr>
          <w:rFonts w:ascii="Times New Roman" w:eastAsia="宋体"/>
        </w:rPr>
        <w:t>e</w:t>
      </w:r>
      <w:r>
        <w:rPr>
          <w:rFonts w:ascii="Times New Roman" w:eastAsia="宋体"/>
        </w:rPr>
        <w:t>ws</w:t>
      </w:r>
      <w:r>
        <w:t>软件，实</w:t>
      </w:r>
      <w:r>
        <w:t>证分析与对比分析相结合，以期对国内国债市场和国债期货市场的投资者在套期</w:t>
      </w:r>
      <w:r>
        <w:t>保值策略交易和模型的选取上提供建议。</w:t>
      </w:r>
    </w:p>
    <w:p w:rsidR="0018722C">
      <w:pPr>
        <w:topLinePunct/>
      </w:pPr>
      <w:r>
        <w:t>本文共分为五个部分：</w:t>
      </w:r>
    </w:p>
    <w:p w:rsidR="0018722C">
      <w:pPr>
        <w:topLinePunct/>
      </w:pPr>
      <w:r>
        <w:t>第一章为绪论，这一章中主要针对选题的背景以及意义进行阐述，对国内外相关的文献研究进行总结归纳，以作本文的指引和参考。</w:t>
      </w:r>
    </w:p>
    <w:p w:rsidR="0018722C">
      <w:pPr>
        <w:topLinePunct/>
      </w:pPr>
      <w:r>
        <w:t>第二章为国债期货与国债</w:t>
      </w:r>
      <w:r>
        <w:rPr>
          <w:rFonts w:ascii="Times New Roman" w:eastAsia="Times New Roman"/>
        </w:rPr>
        <w:t>ETF</w:t>
      </w:r>
      <w:r>
        <w:t>概述。主要介绍了国债期货的特点和功能、国</w:t>
      </w:r>
      <w:r>
        <w:t>债期货的产生和发展，国债</w:t>
      </w:r>
      <w:r>
        <w:rPr>
          <w:rFonts w:ascii="Times New Roman" w:eastAsia="Times New Roman"/>
        </w:rPr>
        <w:t>ETF</w:t>
      </w:r>
      <w:r>
        <w:t>简介，以及两者之间的对比分析。</w:t>
      </w:r>
    </w:p>
    <w:p w:rsidR="0018722C">
      <w:pPr>
        <w:topLinePunct/>
      </w:pPr>
      <w:r>
        <w:t>第三章为套期保值基本原理及其模型。对套期保值的基本原理进行了详细的</w:t>
      </w:r>
      <w:r>
        <w:t>阐述，分析了实际操作中套期保值的流程，以及对套期保值产生影响的因素。然</w:t>
      </w:r>
      <w:r>
        <w:t>后是对套期保值的理论发展的阐述，而后重点探讨了套期保值的主要的研究模型，</w:t>
      </w:r>
      <w:r w:rsidR="001852F3">
        <w:t xml:space="preserve">即最小二乘法</w:t>
      </w:r>
      <w:r>
        <w:t>（</w:t>
      </w:r>
      <w:r>
        <w:rPr>
          <w:rFonts w:ascii="Times New Roman" w:eastAsia="Times New Roman"/>
          <w:spacing w:val="0"/>
          <w:w w:val="99"/>
        </w:rPr>
        <w:t>O</w:t>
      </w:r>
      <w:r>
        <w:rPr>
          <w:rFonts w:ascii="Times New Roman" w:eastAsia="Times New Roman"/>
          <w:spacing w:val="-3"/>
        </w:rPr>
        <w:t>L</w:t>
      </w:r>
      <w:r>
        <w:rPr>
          <w:rFonts w:ascii="Times New Roman" w:eastAsia="Times New Roman"/>
          <w:spacing w:val="0"/>
          <w:w w:val="99"/>
        </w:rPr>
        <w:t>S</w:t>
      </w:r>
      <w:r>
        <w:t>）</w:t>
      </w:r>
      <w:r>
        <w:t>、双变量自回归模型</w:t>
      </w:r>
      <w:r>
        <w:t>（</w:t>
      </w:r>
      <w:r>
        <w:rPr>
          <w:rFonts w:ascii="Times New Roman" w:eastAsia="Times New Roman"/>
          <w:spacing w:val="-1"/>
        </w:rPr>
        <w:t>B</w:t>
      </w:r>
      <w:r>
        <w:rPr>
          <w:rFonts w:ascii="Times New Roman" w:eastAsia="Times New Roman"/>
          <w:spacing w:val="0"/>
        </w:rPr>
        <w:t>-</w:t>
      </w:r>
      <w:r>
        <w:rPr>
          <w:rFonts w:ascii="Times New Roman" w:eastAsia="Times New Roman"/>
          <w:spacing w:val="-15"/>
          <w:w w:val="99"/>
        </w:rPr>
        <w:t>V</w:t>
      </w:r>
      <w:r>
        <w:rPr>
          <w:rFonts w:ascii="Times New Roman" w:eastAsia="Times New Roman"/>
          <w:w w:val="99"/>
        </w:rPr>
        <w:t>AR</w:t>
      </w:r>
      <w:r>
        <w:t>）</w:t>
      </w:r>
      <w:r>
        <w:t>、误差修正模型</w:t>
      </w:r>
      <w:r>
        <w:t>（</w:t>
      </w:r>
      <w:r>
        <w:rPr>
          <w:rFonts w:ascii="Times New Roman" w:eastAsia="Times New Roman"/>
        </w:rPr>
        <w:t>ECM</w:t>
      </w:r>
      <w:r>
        <w:t>）</w:t>
      </w:r>
      <w:r>
        <w:t>。</w:t>
      </w:r>
    </w:p>
    <w:p w:rsidR="0018722C">
      <w:pPr>
        <w:topLinePunct/>
      </w:pPr>
      <w:r>
        <w:t>第四章为国债期货套期保值比率实证分析。实证研究涉及数据的采集和处理，</w:t>
      </w:r>
      <w:r>
        <w:t>模型运用之前的数据的验证方法，套期保值模型的运用及结果分析。而后是对不</w:t>
      </w:r>
      <w:r w:rsidR="001852F3">
        <w:t xml:space="preserve">同模型的绩效进行对比分析，以期探讨出最为适用的模型供投资者参考。</w:t>
      </w:r>
    </w:p>
    <w:p w:rsidR="0018722C">
      <w:pPr>
        <w:topLinePunct/>
      </w:pPr>
      <w:r>
        <w:t>第五章为结论。对本文的整体的研究成果进行总结，得出自己的结论，并指出实证研究中出现的不足以及对进一步的研究工作做出展望。</w:t>
      </w:r>
    </w:p>
    <w:p w:rsidR="0018722C">
      <w:pPr>
        <w:topLinePunct/>
      </w:pPr>
      <w:r>
        <w:rPr>
          <w:rFonts w:cstheme="minorBidi" w:hAnsiTheme="minorHAnsi" w:eastAsiaTheme="minorHAnsi" w:asciiTheme="minorHAnsi" w:ascii="Calibri"/>
        </w:rPr>
        <w:t>5</w:t>
      </w:r>
    </w:p>
    <w:p w:rsidR="0018722C">
      <w:pPr>
        <w:pStyle w:val="Heading1"/>
        <w:topLinePunct/>
      </w:pPr>
      <w:bookmarkStart w:id="737390" w:name="_Toc686737390"/>
      <w:bookmarkStart w:name="_bookmark8" w:id="13"/>
      <w:bookmarkEnd w:id="13"/>
      <w:r/>
      <w:r>
        <w:t>第二章</w:t>
      </w:r>
      <w:r>
        <w:t xml:space="preserve">  </w:t>
      </w:r>
      <w:r w:rsidRPr="00DB64CE">
        <w:t>国债期货与国债</w:t>
      </w:r>
      <w:r>
        <w:t>ETF</w:t>
      </w:r>
      <w:r>
        <w:t>概述</w:t>
      </w:r>
      <w:bookmarkEnd w:id="737390"/>
    </w:p>
    <w:p w:rsidR="0018722C">
      <w:pPr>
        <w:pStyle w:val="Heading2"/>
        <w:topLinePunct/>
        <w:ind w:left="171" w:hangingChars="171" w:hanging="171"/>
      </w:pPr>
      <w:bookmarkStart w:id="737391" w:name="_Toc686737391"/>
      <w:bookmarkStart w:name="_bookmark9" w:id="14"/>
      <w:bookmarkEnd w:id="14"/>
      <w:r>
        <w:t>2.1</w:t>
      </w:r>
      <w:r>
        <w:t xml:space="preserve"> </w:t>
      </w:r>
      <w:r/>
      <w:bookmarkStart w:name="_bookmark9" w:id="15"/>
      <w:bookmarkEnd w:id="15"/>
      <w:r>
        <w:t>国债期货</w:t>
      </w:r>
      <w:bookmarkEnd w:id="737391"/>
    </w:p>
    <w:p w:rsidR="0018722C">
      <w:pPr>
        <w:pStyle w:val="Heading3"/>
        <w:topLinePunct/>
        <w:ind w:left="200" w:hangingChars="200" w:hanging="200"/>
      </w:pPr>
      <w:bookmarkStart w:id="737392" w:name="_Toc686737392"/>
      <w:bookmarkStart w:name="_bookmark10" w:id="16"/>
      <w:bookmarkEnd w:id="16"/>
      <w:r>
        <w:t>2.1.1</w:t>
      </w:r>
      <w:r>
        <w:t xml:space="preserve"> </w:t>
      </w:r>
      <w:bookmarkStart w:name="_bookmark10" w:id="17"/>
      <w:bookmarkEnd w:id="17"/>
      <w:r>
        <w:t>国债期货起源与发展</w:t>
      </w:r>
      <w:bookmarkEnd w:id="737392"/>
    </w:p>
    <w:p w:rsidR="0018722C">
      <w:pPr>
        <w:topLinePunct/>
      </w:pPr>
      <w:r>
        <w:rPr>
          <w:rFonts w:ascii="Times New Roman" w:eastAsia="Times New Roman"/>
        </w:rPr>
        <w:t>20</w:t>
      </w:r>
      <w:r>
        <w:t>世纪</w:t>
      </w:r>
      <w:r>
        <w:rPr>
          <w:rFonts w:ascii="Times New Roman" w:eastAsia="Times New Roman"/>
        </w:rPr>
        <w:t>70</w:t>
      </w:r>
      <w:r>
        <w:t>年代，美国爆发多次美元危机，布雷顿森林体系随之宣告解体，</w:t>
      </w:r>
      <w:r>
        <w:t>随之而来的两次石油危机更是直接导致了西方经济的全面衰退，西方各国政局与经济局势非常不稳定。在这样的背景压力下，西方各国推出了金融自由化政策，</w:t>
      </w:r>
      <w:r>
        <w:t>以图稳定汇率、稳固经济局势，浮动汇率制度盛行。然而，随之而来的是利率市</w:t>
      </w:r>
      <w:r>
        <w:t>场频繁而剧烈的波动，市场迫切的需要一种资产保值的工具，规避市场利率风险，</w:t>
      </w:r>
      <w:r w:rsidR="001852F3">
        <w:t xml:space="preserve">稳固投资者信心，在此背景下，</w:t>
      </w:r>
      <w:r>
        <w:rPr>
          <w:rFonts w:ascii="Times New Roman" w:eastAsia="Times New Roman"/>
        </w:rPr>
        <w:t>1976</w:t>
      </w:r>
      <w:r>
        <w:t>年</w:t>
      </w:r>
      <w:r>
        <w:rPr>
          <w:rFonts w:ascii="Times New Roman" w:eastAsia="Times New Roman"/>
        </w:rPr>
        <w:t>1</w:t>
      </w:r>
      <w:r>
        <w:t>月，美国芝加哥商业交易所推出了为</w:t>
      </w:r>
      <w:r>
        <w:t>期</w:t>
      </w:r>
      <w:r>
        <w:rPr>
          <w:rFonts w:ascii="Times New Roman" w:eastAsia="Times New Roman"/>
        </w:rPr>
        <w:t>91</w:t>
      </w:r>
      <w:r>
        <w:t>天的国债期货合约，国债期货首先于美国应运而生。随后，芝加哥期货交</w:t>
      </w:r>
      <w:r>
        <w:t>易所继而推出了</w:t>
      </w:r>
      <w:r>
        <w:rPr>
          <w:rFonts w:ascii="Times New Roman" w:eastAsia="Times New Roman"/>
        </w:rPr>
        <w:t>30</w:t>
      </w:r>
      <w:r>
        <w:t>年的长期国债期货合约、</w:t>
      </w:r>
      <w:r>
        <w:rPr>
          <w:rFonts w:ascii="Times New Roman" w:eastAsia="Times New Roman"/>
        </w:rPr>
        <w:t>10</w:t>
      </w:r>
      <w:r>
        <w:t>年期的中期国债期货合约等，国债期货品种日益丰富。</w:t>
      </w:r>
    </w:p>
    <w:p w:rsidR="0018722C">
      <w:pPr>
        <w:topLinePunct/>
      </w:pPr>
      <w:r>
        <w:t>美国的国债期货合约的推出对世界上其他的国家起到了示范和引导的作用。</w:t>
      </w:r>
    </w:p>
    <w:p w:rsidR="0018722C">
      <w:pPr>
        <w:topLinePunct/>
      </w:pPr>
      <w:r>
        <w:rPr>
          <w:rFonts w:ascii="Times New Roman" w:eastAsia="宋体"/>
        </w:rPr>
        <w:t>1982</w:t>
      </w:r>
      <w:r w:rsidR="001852F3">
        <w:rPr>
          <w:rFonts w:ascii="Times New Roman" w:eastAsia="宋体"/>
        </w:rPr>
        <w:t xml:space="preserve"> </w:t>
      </w:r>
      <w:r>
        <w:t>年，英国的伦敦国际金融期货交易所开始经营国债期货，成为第二个上市国</w:t>
      </w:r>
      <w:r>
        <w:t>债期货的国家；</w:t>
      </w:r>
      <w:r>
        <w:rPr>
          <w:rFonts w:ascii="Times New Roman" w:eastAsia="宋体"/>
        </w:rPr>
        <w:t>1985</w:t>
      </w:r>
      <w:r>
        <w:t>年，日本的东京证券交易所推出</w:t>
      </w:r>
      <w:r>
        <w:rPr>
          <w:rFonts w:ascii="Times New Roman" w:eastAsia="宋体"/>
        </w:rPr>
        <w:t>10</w:t>
      </w:r>
      <w:r>
        <w:t>年期的中期国债期货合约</w:t>
      </w:r>
      <w:r>
        <w:t>；</w:t>
      </w:r>
      <w:r>
        <w:rPr>
          <w:rFonts w:ascii="Times New Roman" w:eastAsia="宋体"/>
        </w:rPr>
        <w:t>1986</w:t>
      </w:r>
      <w:r>
        <w:t>年，法国国际金融期货交易所推出了自己的国债期货合约；</w:t>
      </w:r>
      <w:r>
        <w:rPr>
          <w:rFonts w:ascii="Times New Roman" w:eastAsia="宋体"/>
        </w:rPr>
        <w:t>1988</w:t>
      </w:r>
      <w:r>
        <w:t>年，</w:t>
      </w:r>
      <w:r w:rsidR="001852F3">
        <w:t xml:space="preserve">德国</w:t>
      </w:r>
      <w:r/>
      <w:r>
        <w:rPr>
          <w:rFonts w:ascii="Times New Roman" w:eastAsia="宋体"/>
        </w:rPr>
        <w:t>10</w:t>
      </w:r>
      <w:r>
        <w:t>年期联邦政府国债期货由伦敦国际金融期货交易所推出。由于国债期货市场的</w:t>
      </w:r>
      <w:r>
        <w:t>建立对国债现货市场的发达程度要求较高，需要具备较高的规模和流动性，</w:t>
      </w:r>
      <w:r w:rsidR="001852F3">
        <w:t xml:space="preserve">因此</w:t>
      </w:r>
      <w:r>
        <w:t>世界各国推出国债期货合约的国家主要集中在美国、英国、德国等发达国家，</w:t>
      </w:r>
      <w:r w:rsidR="001852F3">
        <w:t xml:space="preserve">在新兴市场国家推出的国债期货合约较少。</w:t>
      </w:r>
    </w:p>
    <w:p w:rsidR="0018722C">
      <w:pPr>
        <w:topLinePunct/>
      </w:pPr>
      <w:r>
        <w:rPr>
          <w:rFonts w:ascii="Times New Roman" w:hAnsi="Times New Roman" w:eastAsia="Times New Roman"/>
        </w:rPr>
        <w:t>1992</w:t>
      </w:r>
      <w:r>
        <w:t>年</w:t>
      </w:r>
      <w:r>
        <w:rPr>
          <w:rFonts w:ascii="Times New Roman" w:hAnsi="Times New Roman" w:eastAsia="Times New Roman"/>
        </w:rPr>
        <w:t>12</w:t>
      </w:r>
      <w:r>
        <w:t>月，我国上海证券交易所推出了自己的国债期货合约，面向对象</w:t>
      </w:r>
      <w:r>
        <w:t>首先是证券自营会员，后逐渐向社会普通投资者开放。然而，由于在风险监控和</w:t>
      </w:r>
      <w:r>
        <w:t>管理上的忽视，导致市场操纵和投机过度，发生了</w:t>
      </w:r>
      <w:r>
        <w:rPr>
          <w:rFonts w:ascii="Times New Roman" w:hAnsi="Times New Roman" w:eastAsia="Times New Roman"/>
        </w:rPr>
        <w:t>1995</w:t>
      </w:r>
      <w:r>
        <w:t>年</w:t>
      </w:r>
      <w:r>
        <w:rPr>
          <w:rFonts w:ascii="Times New Roman" w:hAnsi="Times New Roman" w:eastAsia="Times New Roman"/>
        </w:rPr>
        <w:t>―</w:t>
      </w:r>
      <w:r>
        <w:rPr>
          <w:rFonts w:ascii="Times New Roman" w:hAnsi="Times New Roman" w:eastAsia="Times New Roman"/>
        </w:rPr>
        <w:t>327</w:t>
      </w:r>
      <w:r>
        <w:rPr>
          <w:rFonts w:ascii="Times New Roman" w:hAnsi="Times New Roman" w:eastAsia="Times New Roman"/>
        </w:rPr>
        <w:t>‖</w:t>
      </w:r>
      <w:r>
        <w:t>等一系列国债</w:t>
      </w:r>
      <w:r>
        <w:t>期</w:t>
      </w:r>
    </w:p>
    <w:p w:rsidR="0018722C">
      <w:pPr>
        <w:topLinePunct/>
      </w:pPr>
      <w:r>
        <w:t>货事件，国债期货被迫暂停。时隔</w:t>
      </w:r>
      <w:r>
        <w:rPr>
          <w:rFonts w:ascii="Times New Roman" w:eastAsia="Times New Roman"/>
        </w:rPr>
        <w:t>18</w:t>
      </w:r>
      <w:r>
        <w:t>年，</w:t>
      </w:r>
      <w:r>
        <w:rPr>
          <w:rFonts w:ascii="Times New Roman" w:eastAsia="Times New Roman"/>
        </w:rPr>
        <w:t>2013</w:t>
      </w:r>
      <w:r>
        <w:t>年</w:t>
      </w:r>
      <w:r>
        <w:rPr>
          <w:rFonts w:ascii="Times New Roman" w:eastAsia="Times New Roman"/>
        </w:rPr>
        <w:t>9</w:t>
      </w:r>
      <w:r>
        <w:t>月</w:t>
      </w:r>
      <w:r>
        <w:rPr>
          <w:rFonts w:ascii="Times New Roman" w:eastAsia="Times New Roman"/>
        </w:rPr>
        <w:t>6</w:t>
      </w:r>
      <w:r>
        <w:t>日，中国金融期货交易</w:t>
      </w:r>
      <w:r>
        <w:t>所再次推出国债期货合约，首个合约为</w:t>
      </w:r>
      <w:r>
        <w:rPr>
          <w:rFonts w:ascii="Times New Roman" w:eastAsia="Times New Roman"/>
        </w:rPr>
        <w:t>5</w:t>
      </w:r>
      <w:r>
        <w:t>年期国债期货合约</w:t>
      </w:r>
      <w:r>
        <w:t>（</w:t>
      </w:r>
      <w:r>
        <w:t>见</w:t>
      </w:r>
      <w:r>
        <w:t>表</w:t>
      </w:r>
      <w:r>
        <w:rPr>
          <w:rFonts w:ascii="Times New Roman" w:eastAsia="Times New Roman"/>
        </w:rPr>
        <w:t>1</w:t>
      </w:r>
      <w:r>
        <w:t>）</w:t>
      </w:r>
      <w:r>
        <w:t>。</w:t>
      </w:r>
    </w:p>
    <w:p w:rsidR="0018722C">
      <w:pPr>
        <w:pStyle w:val="a8"/>
        <w:topLinePunct/>
      </w:pPr>
      <w:r>
        <w:rPr>
          <w:kern w:val="2"/>
          <w:szCs w:val="22"/>
        </w:rPr>
        <w:t>表</w:t>
      </w:r>
      <w:r>
        <w:rPr>
          <w:kern w:val="2"/>
          <w:szCs w:val="22"/>
        </w:rPr>
        <w:t>2</w:t>
      </w:r>
      <w:r>
        <w:rPr>
          <w:kern w:val="2"/>
          <w:szCs w:val="22"/>
        </w:rPr>
        <w:t>.</w:t>
      </w:r>
      <w:r>
        <w:rPr>
          <w:kern w:val="2"/>
          <w:szCs w:val="22"/>
        </w:rPr>
        <w:t>1</w:t>
      </w:r>
      <w:r>
        <w:t xml:space="preserve">  </w:t>
      </w:r>
      <w:r w:rsidRPr="00DB64CE">
        <w:rPr>
          <w:kern w:val="2"/>
          <w:szCs w:val="22"/>
        </w:rPr>
        <w:t>5</w:t>
      </w:r>
      <w:r>
        <w:rPr>
          <w:kern w:val="2"/>
          <w:szCs w:val="22"/>
        </w:rPr>
        <w:t>年期国债期货合约表</w:t>
      </w:r>
    </w:p>
    <w:tbl>
      <w:tblPr>
        <w:tblW w:w="5000" w:type="pct"/>
        <w:tblInd w:w="1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10"/>
        <w:gridCol w:w="5955"/>
      </w:tblGrid>
      <w:tr>
        <w:trPr>
          <w:tblHeader/>
        </w:trPr>
        <w:tc>
          <w:tcPr>
            <w:tcW w:w="1441" w:type="pct"/>
            <w:vAlign w:val="center"/>
            <w:tcBorders>
              <w:bottom w:val="single" w:sz="4" w:space="0" w:color="auto"/>
            </w:tcBorders>
          </w:tcPr>
          <w:p w:rsidR="0018722C">
            <w:pPr>
              <w:pStyle w:val="a7"/>
              <w:topLinePunct/>
              <w:ind w:leftChars="0" w:left="0" w:rightChars="0" w:right="0" w:firstLineChars="0" w:firstLine="0"/>
              <w:spacing w:line="240" w:lineRule="atLeast"/>
            </w:pPr>
            <w:r>
              <w:t>合约标的</w:t>
            </w:r>
          </w:p>
        </w:tc>
        <w:tc>
          <w:tcPr>
            <w:tcW w:w="3559" w:type="pct"/>
            <w:vAlign w:val="center"/>
            <w:tcBorders>
              <w:bottom w:val="single" w:sz="4" w:space="0" w:color="auto"/>
            </w:tcBorders>
          </w:tcPr>
          <w:p w:rsidR="0018722C">
            <w:pPr>
              <w:pStyle w:val="a7"/>
              <w:topLinePunct/>
              <w:ind w:leftChars="0" w:left="0" w:rightChars="0" w:right="0" w:firstLineChars="0" w:firstLine="0"/>
              <w:spacing w:line="240" w:lineRule="atLeast"/>
            </w:pPr>
            <w:r>
              <w:t>面值为 </w:t>
            </w:r>
            <w:r>
              <w:t>100 </w:t>
            </w:r>
            <w:r>
              <w:t>万元人民币、票面利率为 </w:t>
            </w:r>
            <w:r>
              <w:t>3%</w:t>
            </w:r>
            <w:r>
              <w:t>的名义中期国债</w:t>
            </w:r>
          </w:p>
        </w:tc>
      </w:tr>
      <w:tr>
        <w:tc>
          <w:tcPr>
            <w:tcW w:w="1441" w:type="pct"/>
            <w:vAlign w:val="center"/>
          </w:tcPr>
          <w:p w:rsidR="0018722C">
            <w:pPr>
              <w:pStyle w:val="ac"/>
              <w:topLinePunct/>
              <w:ind w:leftChars="0" w:left="0" w:rightChars="0" w:right="0" w:firstLineChars="0" w:firstLine="0"/>
              <w:spacing w:line="240" w:lineRule="atLeast"/>
            </w:pPr>
            <w:r>
              <w:t>可交割国债</w:t>
            </w:r>
          </w:p>
        </w:tc>
        <w:tc>
          <w:tcPr>
            <w:tcW w:w="3559" w:type="pct"/>
            <w:vAlign w:val="center"/>
          </w:tcPr>
          <w:p w:rsidR="0018722C">
            <w:pPr>
              <w:pStyle w:val="ad"/>
              <w:topLinePunct/>
              <w:ind w:leftChars="0" w:left="0" w:rightChars="0" w:right="0" w:firstLineChars="0" w:firstLine="0"/>
              <w:spacing w:line="240" w:lineRule="atLeast"/>
            </w:pPr>
            <w:r>
              <w:t>合约到期月首日剩余期限为 </w:t>
            </w:r>
            <w:r>
              <w:t>4-7 </w:t>
            </w:r>
            <w:r>
              <w:t>年的记账式附息国债</w:t>
            </w:r>
          </w:p>
        </w:tc>
      </w:tr>
      <w:tr>
        <w:tc>
          <w:tcPr>
            <w:tcW w:w="1441" w:type="pct"/>
            <w:vAlign w:val="center"/>
            <w:tcBorders>
              <w:top w:val="single" w:sz="4" w:space="0" w:color="auto"/>
            </w:tcBorders>
          </w:tcPr>
          <w:p w:rsidR="0018722C">
            <w:pPr>
              <w:pStyle w:val="ac"/>
              <w:topLinePunct/>
              <w:ind w:leftChars="0" w:left="0" w:rightChars="0" w:right="0" w:firstLineChars="0" w:firstLine="0"/>
              <w:spacing w:line="240" w:lineRule="atLeast"/>
            </w:pPr>
            <w:r>
              <w:t>报价方式</w:t>
            </w:r>
          </w:p>
        </w:tc>
        <w:tc>
          <w:tcPr>
            <w:tcW w:w="3559" w:type="pct"/>
            <w:vAlign w:val="center"/>
            <w:tcBorders>
              <w:top w:val="single" w:sz="4" w:space="0" w:color="auto"/>
            </w:tcBorders>
          </w:tcPr>
          <w:p w:rsidR="0018722C">
            <w:pPr>
              <w:pStyle w:val="ad"/>
              <w:topLinePunct/>
              <w:ind w:leftChars="0" w:left="0" w:rightChars="0" w:right="0" w:firstLineChars="0" w:firstLine="0"/>
              <w:spacing w:line="240" w:lineRule="atLeast"/>
            </w:pPr>
            <w:r>
              <w:t>百元净价报价</w:t>
            </w:r>
          </w:p>
        </w:tc>
      </w:tr>
    </w:tbl>
    <w:p w:rsidR="0018722C">
      <w:pPr>
        <w:topLinePunct/>
        <w:pStyle w:val="affa"/>
      </w:pPr>
    </w:p>
    <w:p w:rsidR="0018722C">
      <w:pPr>
        <w:topLinePunct/>
      </w:pPr>
      <w:r>
        <w:rPr>
          <w:rFonts w:cstheme="minorBidi" w:hAnsiTheme="minorHAnsi" w:eastAsiaTheme="minorHAnsi" w:asciiTheme="minorHAnsi" w:ascii="Calibri"/>
        </w:rPr>
        <w:t>6</w:t>
      </w:r>
    </w:p>
    <w:p w:rsidR="0018722C">
      <w:pPr>
        <w:spacing w:before="43" w:after="33"/>
        <w:ind w:leftChars="0" w:left="2877" w:rightChars="0" w:right="0" w:firstLineChars="0" w:firstLine="0"/>
        <w:jc w:val="left"/>
        <w:topLinePunct/>
      </w:pPr>
      <w:r>
        <w:rPr>
          <w:kern w:val="2"/>
          <w:sz w:val="21"/>
          <w:szCs w:val="22"/>
          <w:rFonts w:cstheme="minorBidi" w:hAnsiTheme="minorHAnsi" w:eastAsiaTheme="minorHAnsi" w:asciiTheme="minorHAnsi" w:ascii="黑体" w:eastAsia="黑体" w:hint="eastAsia"/>
        </w:rPr>
        <w:t>续</w:t>
      </w:r>
      <w:r>
        <w:rPr>
          <w:kern w:val="2"/>
          <w:sz w:val="21"/>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 xml:space="preserve"> 5</w:t>
      </w:r>
      <w:r>
        <w:rPr>
          <w:kern w:val="2"/>
          <w:szCs w:val="22"/>
          <w:rFonts w:ascii="黑体" w:eastAsia="黑体" w:hint="eastAsia" w:cstheme="minorBidi" w:hAnsiTheme="minorHAnsi"/>
          <w:sz w:val="21"/>
        </w:rPr>
        <w:t>年期国债期货合约表</w:t>
      </w: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5955"/>
      </w:tblGrid>
      <w:tr>
        <w:trPr>
          <w:trHeight w:val="460" w:hRule="atLeast"/>
        </w:trPr>
        <w:tc>
          <w:tcPr>
            <w:tcW w:w="2410" w:type="dxa"/>
          </w:tcPr>
          <w:p w:rsidR="0018722C">
            <w:pPr>
              <w:topLinePunct/>
              <w:ind w:leftChars="0" w:left="0" w:rightChars="0" w:right="0" w:firstLineChars="0" w:firstLine="0"/>
              <w:spacing w:line="240" w:lineRule="atLeast"/>
            </w:pPr>
            <w:r>
              <w:rPr>
                <w:rFonts w:ascii="宋体" w:eastAsia="宋体" w:hint="eastAsia"/>
              </w:rPr>
              <w:t>最小变动价位</w:t>
            </w:r>
          </w:p>
        </w:tc>
        <w:tc>
          <w:tcPr>
            <w:tcW w:w="5955" w:type="dxa"/>
          </w:tcPr>
          <w:p w:rsidR="0018722C">
            <w:pPr>
              <w:topLinePunct/>
              <w:ind w:leftChars="0" w:left="0" w:rightChars="0" w:right="0" w:firstLineChars="0" w:firstLine="0"/>
              <w:spacing w:line="240" w:lineRule="atLeast"/>
            </w:pPr>
            <w:r>
              <w:t>0.002 </w:t>
            </w:r>
            <w:r>
              <w:rPr>
                <w:rFonts w:ascii="宋体" w:eastAsia="宋体" w:hint="eastAsia"/>
              </w:rPr>
              <w:t>元</w:t>
            </w:r>
          </w:p>
        </w:tc>
      </w:tr>
      <w:tr>
        <w:trPr>
          <w:trHeight w:val="460" w:hRule="atLeast"/>
        </w:trPr>
        <w:tc>
          <w:tcPr>
            <w:tcW w:w="2410" w:type="dxa"/>
          </w:tcPr>
          <w:p w:rsidR="0018722C">
            <w:pPr>
              <w:topLinePunct/>
              <w:ind w:leftChars="0" w:left="0" w:rightChars="0" w:right="0" w:firstLineChars="0" w:firstLine="0"/>
              <w:spacing w:line="240" w:lineRule="atLeast"/>
            </w:pPr>
            <w:r>
              <w:rPr>
                <w:rFonts w:ascii="宋体" w:eastAsia="宋体" w:hint="eastAsia"/>
              </w:rPr>
              <w:t>合约月份</w:t>
            </w:r>
          </w:p>
        </w:tc>
        <w:tc>
          <w:tcPr>
            <w:tcW w:w="5955" w:type="dxa"/>
          </w:tcPr>
          <w:p w:rsidR="0018722C">
            <w:pPr>
              <w:topLinePunct/>
              <w:ind w:leftChars="0" w:left="0" w:rightChars="0" w:right="0" w:firstLineChars="0" w:firstLine="0"/>
              <w:spacing w:line="240" w:lineRule="atLeast"/>
            </w:pPr>
            <w:r>
              <w:rPr>
                <w:rFonts w:ascii="宋体" w:eastAsia="宋体" w:hint="eastAsia"/>
              </w:rPr>
              <w:t>最近的三个季月</w:t>
            </w:r>
            <w:r>
              <w:rPr>
                <w:rFonts w:ascii="宋体" w:eastAsia="宋体" w:hint="eastAsia"/>
              </w:rPr>
              <w:t>（</w:t>
            </w:r>
            <w:r>
              <w:t>3</w:t>
            </w:r>
            <w:r>
              <w:t> </w:t>
            </w:r>
            <w:r>
              <w:rPr>
                <w:rFonts w:ascii="宋体" w:eastAsia="宋体" w:hint="eastAsia"/>
              </w:rPr>
              <w:t>月、</w:t>
            </w:r>
            <w:r>
              <w:t>6</w:t>
            </w:r>
            <w:r>
              <w:t> </w:t>
            </w:r>
            <w:r>
              <w:rPr>
                <w:rFonts w:ascii="宋体" w:eastAsia="宋体" w:hint="eastAsia"/>
              </w:rPr>
              <w:t>月、</w:t>
            </w:r>
            <w:r>
              <w:t>9</w:t>
            </w:r>
            <w:r>
              <w:t> </w:t>
            </w:r>
            <w:r>
              <w:rPr>
                <w:rFonts w:ascii="宋体" w:eastAsia="宋体" w:hint="eastAsia"/>
              </w:rPr>
              <w:t>月、</w:t>
            </w:r>
            <w:r>
              <w:t>12</w:t>
            </w:r>
            <w:r>
              <w:t> </w:t>
            </w:r>
            <w:r>
              <w:rPr>
                <w:rFonts w:ascii="宋体" w:eastAsia="宋体" w:hint="eastAsia"/>
              </w:rPr>
              <w:t>月中的最近三个月循环</w:t>
            </w:r>
            <w:r>
              <w:rPr>
                <w:rFonts w:ascii="宋体" w:eastAsia="宋体" w:hint="eastAsia"/>
              </w:rPr>
              <w:t>）</w:t>
            </w:r>
          </w:p>
        </w:tc>
      </w:tr>
      <w:tr>
        <w:trPr>
          <w:trHeight w:val="460" w:hRule="atLeast"/>
        </w:trPr>
        <w:tc>
          <w:tcPr>
            <w:tcW w:w="2410" w:type="dxa"/>
          </w:tcPr>
          <w:p w:rsidR="0018722C">
            <w:pPr>
              <w:topLinePunct/>
              <w:ind w:leftChars="0" w:left="0" w:rightChars="0" w:right="0" w:firstLineChars="0" w:firstLine="0"/>
              <w:spacing w:line="240" w:lineRule="atLeast"/>
            </w:pPr>
            <w:r>
              <w:rPr>
                <w:rFonts w:ascii="宋体" w:eastAsia="宋体" w:hint="eastAsia"/>
              </w:rPr>
              <w:t>交易时间</w:t>
            </w:r>
          </w:p>
        </w:tc>
        <w:tc>
          <w:tcPr>
            <w:tcW w:w="5955" w:type="dxa"/>
          </w:tcPr>
          <w:p w:rsidR="0018722C">
            <w:pPr>
              <w:topLinePunct/>
              <w:ind w:leftChars="0" w:left="0" w:rightChars="0" w:right="0" w:firstLineChars="0" w:firstLine="0"/>
              <w:spacing w:line="240" w:lineRule="atLeast"/>
            </w:pPr>
            <w:r>
              <w:t>09:15—11:30</w:t>
            </w:r>
            <w:r w:rsidP="AA7D325B">
              <w:rPr>
                <w:rFonts w:ascii="宋体" w:hAnsi="宋体" w:eastAsia="宋体" w:hint="eastAsia"/>
              </w:rPr>
              <w:t>，</w:t>
            </w:r>
            <w:r>
              <w:rPr>
                <w:rFonts w:ascii="宋体" w:hAnsi="宋体" w:eastAsia="宋体" w:hint="eastAsia"/>
              </w:rPr>
              <w:t> </w:t>
            </w:r>
            <w:r>
              <w:t>13:00—15:15</w:t>
            </w:r>
          </w:p>
        </w:tc>
      </w:tr>
      <w:tr>
        <w:trPr>
          <w:trHeight w:val="460" w:hRule="atLeast"/>
        </w:trPr>
        <w:tc>
          <w:tcPr>
            <w:tcW w:w="2410" w:type="dxa"/>
          </w:tcPr>
          <w:p w:rsidR="0018722C">
            <w:pPr>
              <w:topLinePunct/>
              <w:ind w:leftChars="0" w:left="0" w:rightChars="0" w:right="0" w:firstLineChars="0" w:firstLine="0"/>
              <w:spacing w:line="240" w:lineRule="atLeast"/>
            </w:pPr>
            <w:r>
              <w:rPr>
                <w:rFonts w:ascii="宋体" w:eastAsia="宋体" w:hint="eastAsia"/>
              </w:rPr>
              <w:t>最后交易日交易时间</w:t>
            </w:r>
          </w:p>
        </w:tc>
        <w:tc>
          <w:tcPr>
            <w:tcW w:w="5955" w:type="dxa"/>
          </w:tcPr>
          <w:p w:rsidR="0018722C">
            <w:pPr>
              <w:topLinePunct/>
              <w:ind w:leftChars="0" w:left="0" w:rightChars="0" w:right="0" w:firstLineChars="0" w:firstLine="0"/>
              <w:spacing w:line="240" w:lineRule="atLeast"/>
            </w:pPr>
            <w:r>
              <w:t>09:15—11:30</w:t>
            </w:r>
          </w:p>
        </w:tc>
      </w:tr>
      <w:tr>
        <w:trPr>
          <w:trHeight w:val="460" w:hRule="atLeast"/>
        </w:trPr>
        <w:tc>
          <w:tcPr>
            <w:tcW w:w="2410" w:type="dxa"/>
          </w:tcPr>
          <w:p w:rsidR="0018722C">
            <w:pPr>
              <w:topLinePunct/>
              <w:ind w:leftChars="0" w:left="0" w:rightChars="0" w:right="0" w:firstLineChars="0" w:firstLine="0"/>
              <w:spacing w:line="240" w:lineRule="atLeast"/>
            </w:pPr>
            <w:r>
              <w:rPr>
                <w:rFonts w:ascii="宋体" w:eastAsia="宋体" w:hint="eastAsia"/>
              </w:rPr>
              <w:t>每日价格最大波动限制</w:t>
            </w:r>
          </w:p>
        </w:tc>
        <w:tc>
          <w:tcPr>
            <w:tcW w:w="5955" w:type="dxa"/>
          </w:tcPr>
          <w:p w:rsidR="0018722C">
            <w:pPr>
              <w:topLinePunct/>
              <w:ind w:leftChars="0" w:left="0" w:rightChars="0" w:right="0" w:firstLineChars="0" w:firstLine="0"/>
              <w:spacing w:line="240" w:lineRule="atLeast"/>
            </w:pPr>
            <w:r>
              <w:rPr>
                <w:rFonts w:ascii="宋体" w:hAnsi="宋体" w:eastAsia="宋体" w:hint="eastAsia"/>
              </w:rPr>
              <w:t>上一交易日结算价的</w:t>
            </w:r>
            <w:r>
              <w:t>±2%</w:t>
            </w:r>
          </w:p>
        </w:tc>
      </w:tr>
      <w:tr>
        <w:trPr>
          <w:trHeight w:val="460" w:hRule="atLeast"/>
        </w:trPr>
        <w:tc>
          <w:tcPr>
            <w:tcW w:w="2410" w:type="dxa"/>
          </w:tcPr>
          <w:p w:rsidR="0018722C">
            <w:pPr>
              <w:topLinePunct/>
              <w:ind w:leftChars="0" w:left="0" w:rightChars="0" w:right="0" w:firstLineChars="0" w:firstLine="0"/>
              <w:spacing w:line="240" w:lineRule="atLeast"/>
            </w:pPr>
            <w:r>
              <w:rPr>
                <w:rFonts w:ascii="宋体" w:eastAsia="宋体" w:hint="eastAsia"/>
              </w:rPr>
              <w:t>最后交易日</w:t>
            </w:r>
          </w:p>
        </w:tc>
        <w:tc>
          <w:tcPr>
            <w:tcW w:w="5955" w:type="dxa"/>
          </w:tcPr>
          <w:p w:rsidR="0018722C">
            <w:pPr>
              <w:topLinePunct/>
              <w:ind w:leftChars="0" w:left="0" w:rightChars="0" w:right="0" w:firstLineChars="0" w:firstLine="0"/>
              <w:spacing w:line="240" w:lineRule="atLeast"/>
            </w:pPr>
            <w:r>
              <w:rPr>
                <w:rFonts w:ascii="宋体" w:eastAsia="宋体" w:hint="eastAsia"/>
              </w:rPr>
              <w:t>合约到期月份的第二个星期五</w:t>
            </w:r>
          </w:p>
        </w:tc>
      </w:tr>
      <w:tr>
        <w:trPr>
          <w:trHeight w:val="460" w:hRule="atLeast"/>
        </w:trPr>
        <w:tc>
          <w:tcPr>
            <w:tcW w:w="2410" w:type="dxa"/>
          </w:tcPr>
          <w:p w:rsidR="0018722C">
            <w:pPr>
              <w:topLinePunct/>
              <w:ind w:leftChars="0" w:left="0" w:rightChars="0" w:right="0" w:firstLineChars="0" w:firstLine="0"/>
              <w:spacing w:line="240" w:lineRule="atLeast"/>
            </w:pPr>
            <w:r>
              <w:rPr>
                <w:rFonts w:ascii="宋体" w:eastAsia="宋体" w:hint="eastAsia"/>
              </w:rPr>
              <w:t>最后交割日</w:t>
            </w:r>
          </w:p>
        </w:tc>
        <w:tc>
          <w:tcPr>
            <w:tcW w:w="5955" w:type="dxa"/>
          </w:tcPr>
          <w:p w:rsidR="0018722C">
            <w:pPr>
              <w:topLinePunct/>
              <w:ind w:leftChars="0" w:left="0" w:rightChars="0" w:right="0" w:firstLineChars="0" w:firstLine="0"/>
              <w:spacing w:line="240" w:lineRule="atLeast"/>
            </w:pPr>
            <w:r>
              <w:rPr>
                <w:rFonts w:ascii="宋体" w:eastAsia="宋体" w:hint="eastAsia"/>
              </w:rPr>
              <w:t>最后交易日后的第三个交易日</w:t>
            </w:r>
          </w:p>
        </w:tc>
      </w:tr>
      <w:tr>
        <w:trPr>
          <w:trHeight w:val="460" w:hRule="atLeast"/>
        </w:trPr>
        <w:tc>
          <w:tcPr>
            <w:tcW w:w="2410" w:type="dxa"/>
          </w:tcPr>
          <w:p w:rsidR="0018722C">
            <w:pPr>
              <w:topLinePunct/>
              <w:ind w:leftChars="0" w:left="0" w:rightChars="0" w:right="0" w:firstLineChars="0" w:firstLine="0"/>
              <w:spacing w:line="240" w:lineRule="atLeast"/>
            </w:pPr>
            <w:r>
              <w:rPr>
                <w:rFonts w:ascii="宋体" w:eastAsia="宋体" w:hint="eastAsia"/>
              </w:rPr>
              <w:t>交割方式</w:t>
            </w:r>
          </w:p>
        </w:tc>
        <w:tc>
          <w:tcPr>
            <w:tcW w:w="5955" w:type="dxa"/>
          </w:tcPr>
          <w:p w:rsidR="0018722C">
            <w:pPr>
              <w:topLinePunct/>
              <w:ind w:leftChars="0" w:left="0" w:rightChars="0" w:right="0" w:firstLineChars="0" w:firstLine="0"/>
              <w:spacing w:line="240" w:lineRule="atLeast"/>
            </w:pPr>
            <w:r>
              <w:rPr>
                <w:rFonts w:ascii="宋体" w:eastAsia="宋体" w:hint="eastAsia"/>
              </w:rPr>
              <w:t>实物交割</w:t>
            </w:r>
          </w:p>
        </w:tc>
      </w:tr>
      <w:tr>
        <w:trPr>
          <w:trHeight w:val="460" w:hRule="atLeast"/>
        </w:trPr>
        <w:tc>
          <w:tcPr>
            <w:tcW w:w="2410" w:type="dxa"/>
          </w:tcPr>
          <w:p w:rsidR="0018722C">
            <w:pPr>
              <w:topLinePunct/>
              <w:ind w:leftChars="0" w:left="0" w:rightChars="0" w:right="0" w:firstLineChars="0" w:firstLine="0"/>
              <w:spacing w:line="240" w:lineRule="atLeast"/>
            </w:pPr>
            <w:r>
              <w:rPr>
                <w:rFonts w:ascii="宋体" w:eastAsia="宋体" w:hint="eastAsia"/>
              </w:rPr>
              <w:t>交易代码</w:t>
            </w:r>
          </w:p>
        </w:tc>
        <w:tc>
          <w:tcPr>
            <w:tcW w:w="5955" w:type="dxa"/>
          </w:tcPr>
          <w:p w:rsidR="0018722C">
            <w:pPr>
              <w:topLinePunct/>
              <w:ind w:leftChars="0" w:left="0" w:rightChars="0" w:right="0" w:firstLineChars="0" w:firstLine="0"/>
              <w:spacing w:line="240" w:lineRule="atLeast"/>
            </w:pPr>
            <w:r>
              <w:t>TF</w:t>
            </w:r>
          </w:p>
        </w:tc>
      </w:tr>
      <w:tr>
        <w:trPr>
          <w:trHeight w:val="460" w:hRule="atLeast"/>
        </w:trPr>
        <w:tc>
          <w:tcPr>
            <w:tcW w:w="2410" w:type="dxa"/>
          </w:tcPr>
          <w:p w:rsidR="0018722C">
            <w:pPr>
              <w:topLinePunct/>
              <w:ind w:leftChars="0" w:left="0" w:rightChars="0" w:right="0" w:firstLineChars="0" w:firstLine="0"/>
              <w:spacing w:line="240" w:lineRule="atLeast"/>
            </w:pPr>
            <w:r>
              <w:rPr>
                <w:rFonts w:ascii="宋体" w:eastAsia="宋体" w:hint="eastAsia"/>
              </w:rPr>
              <w:t>上市交易所</w:t>
            </w:r>
          </w:p>
        </w:tc>
        <w:tc>
          <w:tcPr>
            <w:tcW w:w="5955" w:type="dxa"/>
          </w:tcPr>
          <w:p w:rsidR="0018722C">
            <w:pPr>
              <w:topLinePunct/>
              <w:ind w:leftChars="0" w:left="0" w:rightChars="0" w:right="0" w:firstLineChars="0" w:firstLine="0"/>
              <w:spacing w:line="240" w:lineRule="atLeast"/>
            </w:pPr>
            <w:r>
              <w:rPr>
                <w:rFonts w:ascii="宋体" w:eastAsia="宋体" w:hint="eastAsia"/>
              </w:rPr>
              <w:t>中国金融期货交易所</w:t>
            </w:r>
          </w:p>
        </w:tc>
      </w:tr>
    </w:tbl>
    <w:p w:rsidR="0018722C">
      <w:pPr>
        <w:topLinePunct/>
        <w:pStyle w:val="affa"/>
      </w:pPr>
    </w:p>
    <w:p w:rsidR="0018722C">
      <w:pPr>
        <w:pStyle w:val="Heading3"/>
        <w:topLinePunct/>
        <w:ind w:left="200" w:hangingChars="200" w:hanging="200"/>
      </w:pPr>
      <w:bookmarkStart w:id="737393" w:name="_Toc686737393"/>
      <w:bookmarkStart w:name="_bookmark11" w:id="18"/>
      <w:bookmarkEnd w:id="18"/>
      <w:r>
        <w:t>2.1.2</w:t>
      </w:r>
      <w:r>
        <w:t xml:space="preserve"> </w:t>
      </w:r>
      <w:bookmarkStart w:name="_bookmark11" w:id="19"/>
      <w:bookmarkEnd w:id="19"/>
      <w:r>
        <w:t>国债期货特点与功能</w:t>
      </w:r>
      <w:bookmarkEnd w:id="737393"/>
    </w:p>
    <w:p w:rsidR="0018722C">
      <w:pPr>
        <w:topLinePunct/>
      </w:pPr>
      <w:r>
        <w:t>国债期货</w:t>
      </w:r>
      <w:r>
        <w:t>（</w:t>
      </w:r>
      <w:r>
        <w:rPr>
          <w:rFonts w:ascii="Times New Roman" w:eastAsia="Times New Roman"/>
        </w:rPr>
        <w:t>Treasury </w:t>
      </w:r>
      <w:r>
        <w:rPr>
          <w:rFonts w:ascii="Times New Roman" w:eastAsia="Times New Roman"/>
        </w:rPr>
        <w:t>Future</w:t>
      </w:r>
      <w:r>
        <w:t>）</w:t>
      </w:r>
      <w:r>
        <w:t>是利率衍生产品之一，是指交易双方在未来的约</w:t>
      </w:r>
      <w:r>
        <w:t>定时间，以双方约定好的价格于场内进行国债的交割的交易方式。国债期货合约</w:t>
      </w:r>
      <w:r>
        <w:t>的交易一般都在场内交易所进行，属于场内标准化合约，具备流动性高、市场透明度高、交易成本低、信用风险低等特点。</w:t>
      </w:r>
    </w:p>
    <w:p w:rsidR="0018722C">
      <w:pPr>
        <w:topLinePunct/>
      </w:pPr>
      <w:r>
        <w:t>机构投资者在管理利率风险时，虽然国债现货市场和国债逆回购交易可以在</w:t>
      </w:r>
      <w:r>
        <w:t>一定程度上起到作用，但是国债期货由于其自身的特点，具有其他利率管理工具不具备的优势：</w:t>
      </w:r>
    </w:p>
    <w:p w:rsidR="0018722C">
      <w:pPr>
        <w:topLinePunct/>
      </w:pPr>
      <w:r>
        <w:t>首先，国债期货具有其成本优势。国债期货的交易采用保证金制度，杠杆效</w:t>
      </w:r>
      <w:r>
        <w:t>应能够让投资者以较低的成本完成较高额度的交易，资金占用大大降低，有效降低了套期保值投资者的交易成本；同时，相比于银行间现券市场询价交易方式，</w:t>
      </w:r>
      <w:r>
        <w:t>国债期货市场的集中撮合竞价方式，提高了市场交易的效率和透明度，降低了买</w:t>
      </w:r>
      <w:r>
        <w:t>卖双方寻找交易对手的信息成本。</w:t>
      </w:r>
    </w:p>
    <w:p w:rsidR="0018722C">
      <w:pPr>
        <w:topLinePunct/>
      </w:pPr>
      <w:r>
        <w:t>其次，国债期货交易信用风险低。国债期货交易中，交易双方需缴纳保证金，</w:t>
      </w:r>
      <w:r>
        <w:t>以防范违约风险；结算系统上当日无负债结算制度的实施，也使得信用风险有了</w:t>
      </w:r>
      <w:r>
        <w:t>极大程度的降低；作为场内的标准化衍生品合约，交易双方始终以期货交易所或清算所作为对手方，交易双方之间不存在对手方信用风险。</w:t>
      </w:r>
    </w:p>
    <w:p w:rsidR="0018722C">
      <w:pPr>
        <w:topLinePunct/>
      </w:pPr>
      <w:r>
        <w:t>最后，国债期货市场流动性更高。利率互换等场外衍生产品属于非标准化合</w:t>
      </w:r>
    </w:p>
    <w:p w:rsidR="0018722C">
      <w:pPr>
        <w:topLinePunct/>
      </w:pPr>
      <w:r>
        <w:rPr>
          <w:rFonts w:cstheme="minorBidi" w:hAnsiTheme="minorHAnsi" w:eastAsiaTheme="minorHAnsi" w:asciiTheme="minorHAnsi" w:ascii="Calibri"/>
        </w:rPr>
        <w:t>7</w:t>
      </w:r>
    </w:p>
    <w:p w:rsidR="0018722C">
      <w:pPr>
        <w:topLinePunct/>
      </w:pPr>
      <w:r>
        <w:t>约，交易双方协商签署协议，所以影响了交易效率，流动性欠佳。国债期货合约</w:t>
      </w:r>
      <w:r>
        <w:t>于场内进行集中交易，采用的是标准化合约，所以流通较为便利，方便投资者进行套期保值的操作。</w:t>
      </w:r>
    </w:p>
    <w:p w:rsidR="0018722C">
      <w:pPr>
        <w:topLinePunct/>
      </w:pPr>
      <w:r>
        <w:t>国债期货作为标准化的利率衍生产品，具备价格发现、规避利率风险等基本</w:t>
      </w:r>
      <w:r>
        <w:t>的功能，在很大程度上了提高了一级发行市场发行效率，提高了二级交易市场流</w:t>
      </w:r>
      <w:r>
        <w:t>动性，促进了金融机构和个人投资者的资产配置效率。</w:t>
      </w:r>
    </w:p>
    <w:p w:rsidR="0018722C">
      <w:pPr>
        <w:pStyle w:val="4"/>
        <w:topLinePunct/>
        <w:ind w:left="200" w:hangingChars="200" w:hanging="200"/>
      </w:pPr>
      <w:r>
        <w:t>（</w:t>
      </w:r>
      <w:r>
        <w:t>1</w:t>
      </w:r>
      <w:r>
        <w:t>）</w:t>
      </w:r>
      <w:r>
        <w:t>规避利率风险功能</w:t>
      </w:r>
    </w:p>
    <w:p w:rsidR="0018722C">
      <w:pPr>
        <w:topLinePunct/>
      </w:pPr>
      <w:r>
        <w:t>利率风险管理功能正是通过国债期货套期保值交易来完成的，也正是这一需</w:t>
      </w:r>
      <w:r>
        <w:t>求导致了国债期货的诞生。通过在国债期货市场上建立适当的现货市场的反向头寸，现券持有者可以有效地规避未来市场利率的剧烈变动所带来的损失。随着存</w:t>
      </w:r>
      <w:r>
        <w:t>贷款利率的逐渐放开，国际金融的逐步接轨，国内利率市场化的进程在不断的加</w:t>
      </w:r>
      <w:r>
        <w:t>快，市场利率水平将不再央行直接确定，市场资金的供求双方将逐渐的取得主导</w:t>
      </w:r>
      <w:r>
        <w:t>地位，市场利率的确定将归还于市场。可以预见的是，利率的波动不管在幅度上</w:t>
      </w:r>
      <w:r>
        <w:t>还是频率上都会加快，适时地推出国债期货有助于为金融机构与个人投资者规避</w:t>
      </w:r>
      <w:r>
        <w:t>利率风险。</w:t>
      </w:r>
    </w:p>
    <w:p w:rsidR="0018722C">
      <w:pPr>
        <w:pStyle w:val="4"/>
        <w:topLinePunct/>
        <w:ind w:left="200" w:hangingChars="200" w:hanging="200"/>
      </w:pPr>
      <w:r>
        <w:t>（</w:t>
      </w:r>
      <w:r>
        <w:t>2</w:t>
      </w:r>
      <w:r>
        <w:t>）</w:t>
      </w:r>
      <w:r>
        <w:t>价格发现功能</w:t>
      </w:r>
    </w:p>
    <w:p w:rsidR="0018722C">
      <w:pPr>
        <w:topLinePunct/>
      </w:pPr>
      <w:r>
        <w:t>国债期货价格发现功能主要表现在三个方面：</w:t>
      </w:r>
    </w:p>
    <w:p w:rsidR="0018722C">
      <w:pPr>
        <w:topLinePunct/>
      </w:pPr>
      <w:r>
        <w:t>一是提高价格发现效率。对已推出国债期货市场的实证研究表明，国债期货</w:t>
      </w:r>
      <w:r>
        <w:t>对新信息的反应速度快于现货市场。由于国债期货是一种场内标准化合约，市场</w:t>
      </w:r>
      <w:r>
        <w:t>流动性高，加上国债期货的集中交易具备高透明度，国债期货市场对债券市场信</w:t>
      </w:r>
      <w:r>
        <w:t>息的反应灵敏度远高于现券市场，期货价格可以更加快速、有效的反应市场状况，</w:t>
      </w:r>
      <w:r w:rsidR="001852F3">
        <w:t xml:space="preserve">引导现券市场走势。</w:t>
      </w:r>
    </w:p>
    <w:p w:rsidR="0018722C">
      <w:pPr>
        <w:topLinePunct/>
      </w:pPr>
      <w:r>
        <w:t>二是有助于构造收益率曲线。债券价格与利率走势呈反比，而对于市场信息</w:t>
      </w:r>
      <w:r>
        <w:t>反应更为敏锐的国债期货价格可以对市场利率的未来趋势更好的反映。完整的国</w:t>
      </w:r>
      <w:r>
        <w:t>债期货体系包括短期、中期及长期品种，能够及时反映不同期限的市场预期利率水平，通常是构造中长期收益曲线的主要工具。</w:t>
      </w:r>
    </w:p>
    <w:p w:rsidR="0018722C">
      <w:pPr>
        <w:topLinePunct/>
      </w:pPr>
      <w:r>
        <w:t>三是为宏观调控提供信号。国债期货价格的走势反应了市场的利率走势，可</w:t>
      </w:r>
      <w:r>
        <w:t>以为经济走势的预测提供信息，如国债期货上市后不久价格的下挫，则反映了国</w:t>
      </w:r>
      <w:r>
        <w:t>内利率的高企。中央银行可以根据其反映的利率信息制定相应的宏观政策，对</w:t>
      </w:r>
      <w:r>
        <w:t>国</w:t>
      </w:r>
    </w:p>
    <w:p w:rsidR="0018722C">
      <w:pPr>
        <w:topLinePunct/>
      </w:pPr>
      <w:r>
        <w:rPr>
          <w:rFonts w:cstheme="minorBidi" w:hAnsiTheme="minorHAnsi" w:eastAsiaTheme="minorHAnsi" w:asciiTheme="minorHAnsi" w:ascii="Calibri"/>
        </w:rPr>
        <w:t>8</w:t>
      </w:r>
    </w:p>
    <w:p w:rsidR="0018722C">
      <w:pPr>
        <w:topLinePunct/>
      </w:pPr>
      <w:r>
        <w:t>家经济进行宏观调控。</w:t>
      </w:r>
    </w:p>
    <w:p w:rsidR="0018722C">
      <w:pPr>
        <w:pStyle w:val="4"/>
        <w:topLinePunct/>
        <w:ind w:left="200" w:hangingChars="200" w:hanging="200"/>
      </w:pPr>
      <w:r>
        <w:t>（</w:t>
      </w:r>
      <w:r>
        <w:t>3</w:t>
      </w:r>
      <w:r>
        <w:t>）</w:t>
      </w:r>
      <w:r>
        <w:t>促进国债发行功能</w:t>
      </w:r>
    </w:p>
    <w:p w:rsidR="0018722C">
      <w:pPr>
        <w:topLinePunct/>
      </w:pPr>
      <w:r>
        <w:t>我国记账式国债的发行方式为电子招标形式，国内国债的市场化发行机制已</w:t>
      </w:r>
      <w:r>
        <w:t>经逐步确立，有效的提高了发行效率，然而由于市场中对冲利率风险工具的匮乏，</w:t>
      </w:r>
      <w:r>
        <w:t>缺乏定价的基准，国债的发行在一定因素上仍然受到制约。因此，重新上市国债</w:t>
      </w:r>
      <w:r>
        <w:t>期货对进一步推进国债的发行具有重要意义：</w:t>
      </w:r>
    </w:p>
    <w:p w:rsidR="0018722C">
      <w:pPr>
        <w:topLinePunct/>
      </w:pPr>
      <w:r>
        <w:t>第一，国债期货的价格是对债券未来价格的反映，是对债券市场的供求关系的一种体现，从这个意义上来说，将成债券发行的重要参考。</w:t>
      </w:r>
    </w:p>
    <w:p w:rsidR="0018722C">
      <w:pPr>
        <w:topLinePunct/>
      </w:pPr>
      <w:r>
        <w:t>第二，债券承销商持有国债期货，可以有效规避其承销国债时的利率风险，</w:t>
      </w:r>
      <w:r w:rsidR="001852F3">
        <w:t xml:space="preserve">这无疑将极大地提高其承销债券的积极性，对于国债发行成本的降低和风险规避起到决定性的作用。</w:t>
      </w:r>
    </w:p>
    <w:p w:rsidR="0018722C">
      <w:pPr>
        <w:topLinePunct/>
      </w:pPr>
      <w:r>
        <w:t>第三，由于国债期货实物交割的特性，增强了国债现货市场流动性，而国债</w:t>
      </w:r>
      <w:r>
        <w:t>期货保证金交易的制度降低了债券的持有成本和交易成本，进而带动国债发行利</w:t>
      </w:r>
      <w:r>
        <w:t>率的下降。</w:t>
      </w:r>
    </w:p>
    <w:p w:rsidR="0018722C">
      <w:pPr>
        <w:topLinePunct/>
      </w:pPr>
      <w:r>
        <w:t>因此，国债期货重新上市，降低了国债发行成本与风险，提高了国债发行的效率，完善了国债管理机制，具有重要的现实意义。</w:t>
      </w:r>
    </w:p>
    <w:p w:rsidR="0018722C">
      <w:pPr>
        <w:pStyle w:val="4"/>
        <w:topLinePunct/>
        <w:ind w:left="200" w:hangingChars="200" w:hanging="200"/>
      </w:pPr>
      <w:r>
        <w:t>（</w:t>
      </w:r>
      <w:r>
        <w:t>4</w:t>
      </w:r>
      <w:r>
        <w:t>）</w:t>
      </w:r>
      <w:r>
        <w:t>促进债券现货市场流动性提高</w:t>
      </w:r>
    </w:p>
    <w:p w:rsidR="0018722C">
      <w:pPr>
        <w:topLinePunct/>
      </w:pPr>
      <w:r>
        <w:t>国外成熟市场经验表明，上市国债期货将在很大程度上提高国债的二级交易</w:t>
      </w:r>
      <w:r>
        <w:t>市场的流动性。美国在上市国债期货前，国债发行的买卖价差为</w:t>
      </w:r>
      <w:r>
        <w:rPr>
          <w:rFonts w:ascii="Times New Roman" w:eastAsia="Times New Roman"/>
        </w:rPr>
        <w:t>1</w:t>
      </w:r>
      <w:r>
        <w:rPr>
          <w:rFonts w:ascii="Times New Roman" w:eastAsia="Times New Roman"/>
        </w:rPr>
        <w:t>/</w:t>
      </w:r>
      <w:r>
        <w:rPr>
          <w:rFonts w:ascii="Times New Roman" w:eastAsia="Times New Roman"/>
        </w:rPr>
        <w:t xml:space="preserve">4</w:t>
      </w:r>
      <w:r>
        <w:t>点，而国债</w:t>
      </w:r>
      <w:r>
        <w:t>期货上市流通两年之际，其买卖价差与之前相比缩小了</w:t>
      </w:r>
      <w:r>
        <w:rPr>
          <w:rFonts w:ascii="Times New Roman" w:eastAsia="Times New Roman"/>
        </w:rPr>
        <w:t>8</w:t>
      </w:r>
      <w:r>
        <w:t>倍，降到了</w:t>
      </w:r>
      <w:r>
        <w:rPr>
          <w:rFonts w:ascii="Times New Roman" w:eastAsia="Times New Roman"/>
        </w:rPr>
        <w:t>1</w:t>
      </w:r>
      <w:r>
        <w:rPr>
          <w:rFonts w:ascii="Times New Roman" w:eastAsia="Times New Roman"/>
        </w:rPr>
        <w:t>/</w:t>
      </w:r>
      <w:r>
        <w:rPr>
          <w:rFonts w:ascii="Times New Roman" w:eastAsia="Times New Roman"/>
        </w:rPr>
        <w:t xml:space="preserve">32</w:t>
      </w:r>
      <w:r>
        <w:t>点。</w:t>
      </w:r>
      <w:r>
        <w:t>买卖价差的缩小正是反映了交易的活跃性，说明国债期货上市之后有效增强了国债现货市场的流动性。</w:t>
      </w:r>
    </w:p>
    <w:p w:rsidR="0018722C">
      <w:pPr>
        <w:topLinePunct/>
      </w:pPr>
      <w:r>
        <w:t>另一方面，由于套利者的存在，在套利机制下国债期货市场与现货市场将保</w:t>
      </w:r>
      <w:r>
        <w:t>持联动关系，此外国债期货市场带来的风险管理功能和其交割时采用的实物滚动</w:t>
      </w:r>
      <w:r>
        <w:t>交割模式都有助于提高现货市场的流动性：首先，国债期货的推出可增强现券交</w:t>
      </w:r>
      <w:r>
        <w:t>易商积极性，现券交易商可以灵活运用国债期货进行风险对冲，而由于国债期货</w:t>
      </w:r>
      <w:r>
        <w:t>风险管理的功能，利于如银行、保险等金融机构管理其风险头寸，改变其以持有</w:t>
      </w:r>
      <w:r>
        <w:t>至到期为主的债券结构，降低其持有至到期国债的规模，进一步提高国债现货市</w:t>
      </w:r>
      <w:r>
        <w:t>场的交易效率。同时，期现套利机制的存在，形成期货与现货市场互动发展的</w:t>
      </w:r>
      <w:r>
        <w:t>良</w:t>
      </w:r>
    </w:p>
    <w:p w:rsidR="0018722C">
      <w:pPr>
        <w:topLinePunct/>
      </w:pPr>
      <w:r>
        <w:rPr>
          <w:rFonts w:cstheme="minorBidi" w:hAnsiTheme="minorHAnsi" w:eastAsiaTheme="minorHAnsi" w:asciiTheme="minorHAnsi" w:ascii="Calibri"/>
        </w:rPr>
        <w:t>9</w:t>
      </w:r>
    </w:p>
    <w:p w:rsidR="0018722C">
      <w:pPr>
        <w:topLinePunct/>
      </w:pPr>
      <w:r>
        <w:t>好局面，提高现货市场的流动性。其次，国债期货其实物滚动的交割模式也为国</w:t>
      </w:r>
      <w:r>
        <w:t>债现货创造了良性的交易循环。在实物交割的模式下，到期时期货的空方必须买入国债现券进入交割，期货的多头购入现券之后可能又会在现货市场卖出，以获</w:t>
      </w:r>
      <w:r>
        <w:t>得差价的利润；之后，该国债现券又会被其他的期货空头买入用于交割，于是形</w:t>
      </w:r>
      <w:r>
        <w:t>成一种良性的交易循环，推动期货与现货市场的交易，不断地促进现货市场的流动性。</w:t>
      </w:r>
    </w:p>
    <w:p w:rsidR="0018722C">
      <w:pPr>
        <w:pStyle w:val="4"/>
        <w:topLinePunct/>
        <w:ind w:left="200" w:hangingChars="200" w:hanging="200"/>
      </w:pPr>
      <w:r>
        <w:t>（</w:t>
      </w:r>
      <w:r>
        <w:t>5</w:t>
      </w:r>
      <w:r>
        <w:t>）</w:t>
      </w:r>
      <w:r>
        <w:t>提高资产配置效率</w:t>
      </w:r>
    </w:p>
    <w:p w:rsidR="0018722C">
      <w:pPr>
        <w:topLinePunct/>
      </w:pPr>
      <w:r>
        <w:t>国债期货作为场内标准化合约，其市场流动性好，交易透明度高，同时其只</w:t>
      </w:r>
      <w:r>
        <w:t>需要提交保证金的交易机制给投资者带来了成本上大幅度的降低，提高了机构投</w:t>
      </w:r>
      <w:r>
        <w:t>资者和个人的资产配置效率。一方面，由于国债期货交易的便利性，金融机构对</w:t>
      </w:r>
      <w:r>
        <w:t>于国债期货合约期限以及交割券种的选择更为灵活，使得金融机构能够更好地配</w:t>
      </w:r>
      <w:r>
        <w:t>置自身资产组合，在债券组合管理上更具弹性；另一方面，由于国债期货市场风险管理的功能，金融机构可以对冲或是控制债券变现所面临的风险，与应对开放</w:t>
      </w:r>
      <w:r>
        <w:t>式基金申购和赎回所采用的储备现券和利用拆借的方式相比，可以更为有效地实</w:t>
      </w:r>
      <w:r>
        <w:t>现流动性方面的管理；同时，由于金融机构自身的原因，为了避免在发行市场债</w:t>
      </w:r>
      <w:r>
        <w:t>券的发行受到较多限制和在流通市场购入大量国债现券所带来的风险，金融机构</w:t>
      </w:r>
      <w:r>
        <w:t>可以利用国债期货市场的现券交割机制来进行分步式的计划性建仓，有助于控制</w:t>
      </w:r>
      <w:r>
        <w:t>现券交易风险，增加债券组合的投资效率；此外，于调整资产组合结构时，国债</w:t>
      </w:r>
      <w:r>
        <w:t>期货的加入可以让金融机构更方便的完成对债券投资组合的久期调整，降低了大</w:t>
      </w:r>
      <w:r>
        <w:t>量的成本。</w:t>
      </w:r>
    </w:p>
    <w:p w:rsidR="0018722C">
      <w:pPr>
        <w:pStyle w:val="Heading2"/>
        <w:topLinePunct/>
        <w:ind w:left="171" w:hangingChars="171" w:hanging="171"/>
      </w:pPr>
      <w:bookmarkStart w:id="737394" w:name="_Toc686737394"/>
      <w:bookmarkStart w:name="_bookmark12" w:id="20"/>
      <w:bookmarkEnd w:id="20"/>
      <w:r>
        <w:t>2.2</w:t>
      </w:r>
      <w:r>
        <w:t xml:space="preserve"> </w:t>
      </w:r>
      <w:r/>
      <w:bookmarkStart w:name="_bookmark12" w:id="21"/>
      <w:bookmarkEnd w:id="21"/>
      <w:r>
        <w:t>国债</w:t>
      </w:r>
      <w:r>
        <w:t>ETF</w:t>
      </w:r>
      <w:bookmarkEnd w:id="737394"/>
    </w:p>
    <w:p w:rsidR="0018722C">
      <w:pPr>
        <w:pStyle w:val="Heading3"/>
        <w:topLinePunct/>
        <w:ind w:left="200" w:hangingChars="200" w:hanging="200"/>
      </w:pPr>
      <w:bookmarkStart w:id="737395" w:name="_Toc686737395"/>
      <w:bookmarkStart w:name="_bookmark13" w:id="22"/>
      <w:bookmarkEnd w:id="22"/>
      <w:r>
        <w:t>2.2.1</w:t>
      </w:r>
      <w:r>
        <w:t xml:space="preserve"> </w:t>
      </w:r>
      <w:bookmarkStart w:name="_bookmark13" w:id="23"/>
      <w:bookmarkEnd w:id="23"/>
      <w:r>
        <w:t>国债</w:t>
      </w:r>
      <w:r>
        <w:t>ETF</w:t>
      </w:r>
      <w:r/>
      <w:r>
        <w:t>概述</w:t>
      </w:r>
      <w:bookmarkEnd w:id="737395"/>
    </w:p>
    <w:p w:rsidR="0018722C">
      <w:pPr>
        <w:topLinePunct/>
      </w:pPr>
      <w:r>
        <w:t>本文选取国泰上证</w:t>
      </w:r>
      <w:r>
        <w:rPr>
          <w:rFonts w:ascii="Times New Roman" w:eastAsia="Times New Roman"/>
        </w:rPr>
        <w:t>5</w:t>
      </w:r>
      <w:r>
        <w:t>年期国债</w:t>
      </w:r>
      <w:r>
        <w:rPr>
          <w:rFonts w:ascii="Times New Roman" w:eastAsia="Times New Roman"/>
        </w:rPr>
        <w:t>ETF</w:t>
      </w:r>
      <w:r>
        <w:t>（</w:t>
      </w:r>
      <w:r>
        <w:t>简称国债</w:t>
      </w:r>
      <w:r>
        <w:rPr>
          <w:rFonts w:ascii="Times New Roman" w:eastAsia="Times New Roman"/>
        </w:rPr>
        <w:t>ETF</w:t>
      </w:r>
      <w:r>
        <w:t>）</w:t>
      </w:r>
      <w:r>
        <w:t>作为套期保值现货市场</w:t>
      </w:r>
      <w:r>
        <w:t>标的，该国债</w:t>
      </w:r>
      <w:r>
        <w:rPr>
          <w:rFonts w:ascii="Times New Roman" w:eastAsia="Times New Roman"/>
        </w:rPr>
        <w:t>ETF</w:t>
      </w:r>
      <w:r>
        <w:t>采用优化复制法跟踪上证</w:t>
      </w:r>
      <w:r>
        <w:rPr>
          <w:rFonts w:ascii="Times New Roman" w:eastAsia="Times New Roman"/>
        </w:rPr>
        <w:t>5</w:t>
      </w:r>
      <w:r>
        <w:t>年期国债指数，其投资的范围包</w:t>
      </w:r>
      <w:r>
        <w:t>括上证</w:t>
      </w:r>
      <w:r>
        <w:rPr>
          <w:rFonts w:ascii="Times New Roman" w:eastAsia="Times New Roman"/>
        </w:rPr>
        <w:t>5</w:t>
      </w:r>
      <w:r>
        <w:t>年期国债指数的成分券以及其备选券，并且要求该</w:t>
      </w:r>
      <w:r>
        <w:rPr>
          <w:rFonts w:ascii="Times New Roman" w:eastAsia="Times New Roman"/>
        </w:rPr>
        <w:t>ETF</w:t>
      </w:r>
      <w:r>
        <w:t>投资在标的指</w:t>
      </w:r>
      <w:r>
        <w:t>数的债券资产的比例不能够低于基金的资产净值的</w:t>
      </w:r>
      <w:r>
        <w:rPr>
          <w:rFonts w:ascii="Times New Roman" w:eastAsia="Times New Roman"/>
        </w:rPr>
        <w:t>90%</w:t>
      </w:r>
      <w:r>
        <w:t>。</w:t>
      </w:r>
    </w:p>
    <w:p w:rsidR="0018722C">
      <w:pPr>
        <w:topLinePunct/>
      </w:pPr>
      <w:r>
        <w:t>鉴于银行间国债现券市场询价报价的方式，现券市场的价格波动较大，连续</w:t>
      </w:r>
      <w:r>
        <w:t>性不高，而国债</w:t>
      </w:r>
      <w:r>
        <w:rPr>
          <w:rFonts w:ascii="Times New Roman" w:eastAsia="Times New Roman"/>
        </w:rPr>
        <w:t>ETF</w:t>
      </w:r>
      <w:r>
        <w:t>基于指数化投资理念，将投资性价值高、代表性强、流</w:t>
      </w:r>
      <w:r>
        <w:t>动</w:t>
      </w:r>
    </w:p>
    <w:p w:rsidR="0018722C">
      <w:pPr>
        <w:topLinePunct/>
      </w:pPr>
      <w:r>
        <w:rPr>
          <w:rFonts w:cstheme="minorBidi" w:hAnsiTheme="minorHAnsi" w:eastAsiaTheme="minorHAnsi" w:asciiTheme="minorHAnsi" w:ascii="Calibri"/>
        </w:rPr>
        <w:t>10</w:t>
      </w:r>
    </w:p>
    <w:p w:rsidR="0018722C">
      <w:pPr>
        <w:topLinePunct/>
      </w:pPr>
      <w:r>
        <w:t>性高的可交割国债作为投资标的，降低了成本和风险，解决了众多投资者无法参</w:t>
      </w:r>
      <w:r>
        <w:t>与市场国债投资的难题。国债</w:t>
      </w:r>
      <w:r>
        <w:rPr>
          <w:rFonts w:ascii="Times New Roman" w:eastAsia="Times New Roman"/>
        </w:rPr>
        <w:t>ETF</w:t>
      </w:r>
      <w:r>
        <w:t>的推出可以说填补了国债市场的风险管理的</w:t>
      </w:r>
      <w:r>
        <w:t>空白，提高了国债市场的流动性，对于国内债券乃至基金市场都具有重要的创新</w:t>
      </w:r>
      <w:r>
        <w:t>意义。</w:t>
      </w:r>
    </w:p>
    <w:p w:rsidR="0018722C">
      <w:pPr>
        <w:topLinePunct/>
      </w:pPr>
      <w:r>
        <w:t>与传统型的债券基金相比，国债</w:t>
      </w:r>
      <w:r>
        <w:rPr>
          <w:rFonts w:ascii="Times New Roman" w:eastAsia="Times New Roman"/>
        </w:rPr>
        <w:t>ETF</w:t>
      </w:r>
      <w:r>
        <w:t>具有诸多优点：</w:t>
      </w:r>
    </w:p>
    <w:p w:rsidR="0018722C">
      <w:pPr>
        <w:topLinePunct/>
      </w:pPr>
      <w:r>
        <w:t>（</w:t>
      </w:r>
      <w:r>
        <w:rPr>
          <w:rFonts w:ascii="Times New Roman" w:eastAsia="Times New Roman"/>
        </w:rPr>
        <w:t>1</w:t>
      </w:r>
      <w:r>
        <w:t>）</w:t>
      </w:r>
      <w:r>
        <w:t>更高的透明度：国债</w:t>
      </w:r>
      <w:r>
        <w:rPr>
          <w:rFonts w:ascii="Times New Roman" w:eastAsia="Times New Roman"/>
        </w:rPr>
        <w:t>ETF</w:t>
      </w:r>
      <w:r>
        <w:t>公告的每日投资者申购与赎回清单上，债券</w:t>
      </w:r>
      <w:r>
        <w:t>标的的构成与基金的持仓债券品种基本上一致，所以从透明度上比较明显高于传</w:t>
      </w:r>
      <w:r>
        <w:t>统型的债券基金。</w:t>
      </w:r>
    </w:p>
    <w:p w:rsidR="0018722C">
      <w:pPr>
        <w:topLinePunct/>
      </w:pPr>
      <w:r>
        <w:t>（</w:t>
      </w:r>
      <w:r>
        <w:rPr>
          <w:rFonts w:ascii="Times New Roman" w:eastAsia="Times New Roman"/>
        </w:rPr>
        <w:t>2</w:t>
      </w:r>
      <w:r>
        <w:t>）</w:t>
      </w:r>
      <w:r>
        <w:t>更具信用、更准确：信用度和久期是国债最关键的两个属性，由于国</w:t>
      </w:r>
      <w:r>
        <w:t>债</w:t>
      </w:r>
      <w:r>
        <w:rPr>
          <w:rFonts w:ascii="Times New Roman" w:eastAsia="Times New Roman"/>
        </w:rPr>
        <w:t>ETF</w:t>
      </w:r>
      <w:r>
        <w:t>投资的国债品种信用度高，久期又基本固定在</w:t>
      </w:r>
      <w:r>
        <w:rPr>
          <w:rFonts w:ascii="Times New Roman" w:eastAsia="Times New Roman"/>
        </w:rPr>
        <w:t>4-7</w:t>
      </w:r>
      <w:r>
        <w:t>年，故而能方便、准确的表征该久期范围的国债的无风险收益水平，反应国债期货可交割债券的情况。</w:t>
      </w:r>
    </w:p>
    <w:p w:rsidR="0018722C">
      <w:pPr>
        <w:topLinePunct/>
      </w:pPr>
      <w:r>
        <w:t>（</w:t>
      </w:r>
      <w:r>
        <w:rPr>
          <w:rFonts w:ascii="Times New Roman" w:eastAsia="Times New Roman"/>
        </w:rPr>
        <w:t>3</w:t>
      </w:r>
      <w:r>
        <w:t>）</w:t>
      </w:r>
      <w:r>
        <w:t>便利的交易：不管是金融机构还是个人投资者都可以在二级流通市场</w:t>
      </w:r>
      <w:r>
        <w:t>买卖国债</w:t>
      </w:r>
      <w:r>
        <w:rPr>
          <w:rFonts w:ascii="Times New Roman" w:eastAsia="Times New Roman"/>
        </w:rPr>
        <w:t>ETF</w:t>
      </w:r>
      <w:r>
        <w:t>，随时进行申购与赎回，操作简单、便捷，交易效率与现有的股</w:t>
      </w:r>
      <w:r>
        <w:t>票</w:t>
      </w:r>
    </w:p>
    <w:p w:rsidR="0018722C">
      <w:pPr>
        <w:topLinePunct/>
      </w:pPr>
      <w:r>
        <w:rPr>
          <w:rFonts w:ascii="Times New Roman" w:eastAsia="Times New Roman"/>
        </w:rPr>
        <w:t>ETF</w:t>
      </w:r>
      <w:r>
        <w:t>基本一致。</w:t>
      </w:r>
    </w:p>
    <w:p w:rsidR="0018722C">
      <w:pPr>
        <w:topLinePunct/>
      </w:pPr>
      <w:r>
        <w:t>（</w:t>
      </w:r>
      <w:r>
        <w:rPr>
          <w:rFonts w:ascii="Times New Roman" w:eastAsia="Times New Roman"/>
        </w:rPr>
        <w:t>4</w:t>
      </w:r>
      <w:r>
        <w:t>）</w:t>
      </w:r>
      <w:r>
        <w:t>低费用：无论是交易费用或是管理费用，相比传统型债券基金，国债</w:t>
      </w:r>
    </w:p>
    <w:p w:rsidR="0018722C">
      <w:pPr>
        <w:topLinePunct/>
      </w:pPr>
      <w:r>
        <w:rPr>
          <w:rFonts w:ascii="Times New Roman" w:eastAsia="Times New Roman"/>
        </w:rPr>
        <w:t>ETF</w:t>
      </w:r>
      <w:r>
        <w:t>都更具优势，较低的费用意味着较高的投资收益，将吸引市场大量投资者，</w:t>
      </w:r>
      <w:r>
        <w:t>有助于提高市场的流动性。</w:t>
      </w:r>
    </w:p>
    <w:p w:rsidR="0018722C">
      <w:pPr>
        <w:pStyle w:val="Heading3"/>
        <w:topLinePunct/>
        <w:ind w:left="200" w:hangingChars="200" w:hanging="200"/>
      </w:pPr>
      <w:bookmarkStart w:id="737396" w:name="_Toc686737396"/>
      <w:bookmarkStart w:name="_bookmark14" w:id="24"/>
      <w:bookmarkEnd w:id="24"/>
      <w:r>
        <w:t>2.2.2</w:t>
      </w:r>
      <w:r>
        <w:t xml:space="preserve"> </w:t>
      </w:r>
      <w:bookmarkStart w:name="_bookmark14" w:id="25"/>
      <w:bookmarkEnd w:id="25"/>
      <w:r>
        <w:t>国债</w:t>
      </w:r>
      <w:r>
        <w:t>ETF</w:t>
      </w:r>
      <w:r/>
      <w:r>
        <w:t>与国债期货</w:t>
      </w:r>
      <w:bookmarkEnd w:id="737396"/>
    </w:p>
    <w:p w:rsidR="0018722C">
      <w:pPr>
        <w:topLinePunct/>
      </w:pPr>
      <w:r>
        <w:t>作为本文所选取的现货研究标的，国债</w:t>
      </w:r>
      <w:r>
        <w:rPr>
          <w:rFonts w:ascii="Times New Roman" w:eastAsia="Times New Roman"/>
        </w:rPr>
        <w:t>ETF</w:t>
      </w:r>
      <w:r>
        <w:t>不仅对国债现券市场的发展具有重大意义，对将对国债期货市场的发展起到极大的促进作用。在设计的过程中，</w:t>
      </w:r>
      <w:r>
        <w:t>国债</w:t>
      </w:r>
      <w:r>
        <w:rPr>
          <w:rFonts w:ascii="Times New Roman" w:eastAsia="Times New Roman"/>
        </w:rPr>
        <w:t>ETF</w:t>
      </w:r>
      <w:r>
        <w:t>紧紧围绕国债期货而展开，其重仓投资标的均为符合条件的剩余期限</w:t>
      </w:r>
      <w:r>
        <w:t>在</w:t>
      </w:r>
      <w:r>
        <w:rPr>
          <w:rFonts w:ascii="Times New Roman" w:eastAsia="Times New Roman"/>
        </w:rPr>
        <w:t>4-7</w:t>
      </w:r>
      <w:r>
        <w:t>年的国债期货可交割债券，鉴于此，国债</w:t>
      </w:r>
      <w:r>
        <w:rPr>
          <w:rFonts w:ascii="Times New Roman" w:eastAsia="Times New Roman"/>
        </w:rPr>
        <w:t>ETF</w:t>
      </w:r>
      <w:r>
        <w:t>将成为国债期货做套期保值</w:t>
      </w:r>
      <w:r>
        <w:t>交易十分契合的现货标的。</w:t>
      </w:r>
    </w:p>
    <w:p w:rsidR="0018722C">
      <w:pPr>
        <w:pStyle w:val="4"/>
        <w:topLinePunct/>
        <w:ind w:left="200" w:hangingChars="200" w:hanging="200"/>
      </w:pPr>
      <w:r>
        <w:t>（</w:t>
      </w:r>
      <w:r>
        <w:t>1</w:t>
      </w:r>
      <w:r>
        <w:t>）</w:t>
      </w:r>
      <w:r>
        <w:t xml:space="preserve">国债</w:t>
      </w:r>
      <w:r>
        <w:t>ETF</w:t>
      </w:r>
      <w:r>
        <w:t>是国债期货与现货市场的桥梁</w:t>
      </w:r>
    </w:p>
    <w:p w:rsidR="0018722C">
      <w:pPr>
        <w:topLinePunct/>
      </w:pPr>
      <w:r>
        <w:t>国债</w:t>
      </w:r>
      <w:r>
        <w:rPr>
          <w:rFonts w:ascii="Times New Roman" w:eastAsia="Times New Roman"/>
        </w:rPr>
        <w:t>ETF</w:t>
      </w:r>
      <w:r>
        <w:t>的设计思路决定了国债</w:t>
      </w:r>
      <w:r>
        <w:rPr>
          <w:rFonts w:ascii="Times New Roman" w:eastAsia="Times New Roman"/>
        </w:rPr>
        <w:t>ETF</w:t>
      </w:r>
      <w:r>
        <w:t>将成为国债期货市场与现货市场的桥</w:t>
      </w:r>
      <w:r>
        <w:t>梁。一方面国债</w:t>
      </w:r>
      <w:r>
        <w:rPr>
          <w:rFonts w:ascii="Times New Roman" w:eastAsia="Times New Roman"/>
        </w:rPr>
        <w:t>ETF</w:t>
      </w:r>
      <w:r>
        <w:t>可以看做是国债现券剩余期限</w:t>
      </w:r>
      <w:r>
        <w:rPr>
          <w:rFonts w:ascii="Times New Roman" w:eastAsia="Times New Roman"/>
        </w:rPr>
        <w:t>4-7</w:t>
      </w:r>
      <w:r>
        <w:t>年的可交割债券的集合，</w:t>
      </w:r>
      <w:r>
        <w:t>国债</w:t>
      </w:r>
      <w:r>
        <w:rPr>
          <w:rFonts w:ascii="Times New Roman" w:eastAsia="Times New Roman"/>
        </w:rPr>
        <w:t>ETF</w:t>
      </w:r>
      <w:r>
        <w:t>的活跃将在很大程度上促进现货市场的交易，另一方面可交割债券作</w:t>
      </w:r>
      <w:r>
        <w:t>为国债期货交割的标的，其价格的走势也将对期货市场起到一定的引导作用，促</w:t>
      </w:r>
      <w:r>
        <w:t>进国债期货的有效定价，使得国债期货市场与现货市场更加的同步，更加的健</w:t>
      </w:r>
      <w:r>
        <w:t>康</w:t>
      </w:r>
    </w:p>
    <w:p w:rsidR="0018722C">
      <w:pPr>
        <w:topLinePunct/>
      </w:pPr>
      <w:r>
        <w:rPr>
          <w:rFonts w:cstheme="minorBidi" w:hAnsiTheme="minorHAnsi" w:eastAsiaTheme="minorHAnsi" w:asciiTheme="minorHAnsi" w:ascii="Calibri"/>
        </w:rPr>
        <w:t>11</w:t>
      </w:r>
    </w:p>
    <w:p w:rsidR="0018722C">
      <w:pPr>
        <w:topLinePunct/>
      </w:pPr>
      <w:r>
        <w:t>有序发展。</w:t>
      </w:r>
    </w:p>
    <w:p w:rsidR="0018722C">
      <w:pPr>
        <w:pStyle w:val="4"/>
        <w:topLinePunct/>
        <w:ind w:left="200" w:hangingChars="200" w:hanging="200"/>
      </w:pPr>
      <w:r>
        <w:t>（</w:t>
      </w:r>
      <w:r>
        <w:t>2</w:t>
      </w:r>
      <w:r>
        <w:t>）</w:t>
      </w:r>
      <w:r>
        <w:t xml:space="preserve">国债</w:t>
      </w:r>
      <w:r>
        <w:t>ETF</w:t>
      </w:r>
      <w:r>
        <w:t>有助于提高国债期货市场的流动性</w:t>
      </w:r>
    </w:p>
    <w:p w:rsidR="0018722C">
      <w:pPr>
        <w:topLinePunct/>
      </w:pPr>
      <w:r>
        <w:t>根据国外成熟市场的经验，期货的基差交易是促进期货与现货市场健康发展</w:t>
      </w:r>
      <w:r>
        <w:t>的重要手段。基差交易需要在现货市场和期货市场分别建立头寸，而国内国债现</w:t>
      </w:r>
      <w:r>
        <w:t>券交易大部分集中在银行间市场，并以询价交易的方式进行，议价权更多的掌握</w:t>
      </w:r>
      <w:r>
        <w:t>的大银行手中。如果在期现货市场捕捉到基差交易机会时，无法获得现券完成交</w:t>
      </w:r>
      <w:r>
        <w:t>易或是由于询价交易机制延迟完成交易，很可能在期货市场上暴露风险头寸，甚</w:t>
      </w:r>
      <w:r>
        <w:t>至带来损失。而国债</w:t>
      </w:r>
      <w:r>
        <w:rPr>
          <w:rFonts w:ascii="Times New Roman" w:eastAsia="Times New Roman"/>
        </w:rPr>
        <w:t>ETF</w:t>
      </w:r>
      <w:r>
        <w:t>的出现，很好的解决了这样的问题，国债</w:t>
      </w:r>
      <w:r>
        <w:rPr>
          <w:rFonts w:ascii="Times New Roman" w:eastAsia="Times New Roman"/>
        </w:rPr>
        <w:t>ETF</w:t>
      </w:r>
      <w:r>
        <w:t>的便利</w:t>
      </w:r>
      <w:r>
        <w:t>性使得基差交易可以顺利的进行。因此，国债</w:t>
      </w:r>
      <w:r>
        <w:rPr>
          <w:rFonts w:ascii="Times New Roman" w:eastAsia="Times New Roman"/>
        </w:rPr>
        <w:t>ETF</w:t>
      </w:r>
      <w:r>
        <w:t>的推出有助于基差交易的顺</w:t>
      </w:r>
      <w:r>
        <w:t>利进行，将吸引更多的套利交易者和套保投资人参与国债期货与现券的交易，提</w:t>
      </w:r>
      <w:r>
        <w:t>高了国债期货市场与现货市场的联动性与流动性。</w:t>
      </w:r>
    </w:p>
    <w:p w:rsidR="0018722C">
      <w:pPr>
        <w:pStyle w:val="4"/>
        <w:topLinePunct/>
        <w:ind w:left="200" w:hangingChars="200" w:hanging="200"/>
      </w:pPr>
      <w:r>
        <w:t>（</w:t>
      </w:r>
      <w:r>
        <w:t>3</w:t>
      </w:r>
      <w:r>
        <w:t>）</w:t>
      </w:r>
      <w:r>
        <w:t xml:space="preserve">国债</w:t>
      </w:r>
      <w:r>
        <w:t>ETF</w:t>
      </w:r>
      <w:r>
        <w:t>可以帮助投资者有效定位国债期货隐含的期权价值</w:t>
      </w:r>
    </w:p>
    <w:p w:rsidR="0018722C">
      <w:pPr>
        <w:topLinePunct/>
      </w:pPr>
      <w:r>
        <w:t>国债期货交易的空头方在进行交割时享有选择可交割债券的权利，即国债期</w:t>
      </w:r>
      <w:r>
        <w:t>货中隐含的选择期权。由于空方具有可交割债券的选择权，因此选择最便宜可交割券</w:t>
      </w:r>
      <w:r>
        <w:t>（</w:t>
      </w:r>
      <w:r>
        <w:rPr>
          <w:rFonts w:ascii="Times New Roman" w:eastAsia="Times New Roman"/>
        </w:rPr>
        <w:t>CTD</w:t>
      </w:r>
      <w:r>
        <w:t>券</w:t>
      </w:r>
      <w:r>
        <w:t>）</w:t>
      </w:r>
      <w:r>
        <w:t>对国债期货的空方最为有利。然而，最便宜可交割券是随着市</w:t>
      </w:r>
      <w:r>
        <w:t>场的波动而变化的，国债期货的空方若只是持有原有的最便宜可交割券，当最便</w:t>
      </w:r>
      <w:r>
        <w:t>宜可交割券发生变动，其选择期权发生价值转换，由虚值期权转变成实值期权时，</w:t>
      </w:r>
      <w:r>
        <w:t>国债期货的空方将面临损失。而由于最便宜可交割券的变动时，该交割国债在现</w:t>
      </w:r>
      <w:r>
        <w:t>货市场中需求势必较为强烈，因此普通的投资者很大获得或者需要付出更高的成本，得不偿失。而国债</w:t>
      </w:r>
      <w:r>
        <w:rPr>
          <w:rFonts w:ascii="Times New Roman" w:eastAsia="Times New Roman"/>
        </w:rPr>
        <w:t>ETF</w:t>
      </w:r>
      <w:r>
        <w:t>的推出则很好的解决了这样的问题。国债期货的空</w:t>
      </w:r>
      <w:r>
        <w:t>方可以提前持有国债</w:t>
      </w:r>
      <w:r>
        <w:rPr>
          <w:rFonts w:ascii="Times New Roman" w:eastAsia="Times New Roman"/>
        </w:rPr>
        <w:t>ETF</w:t>
      </w:r>
      <w:r>
        <w:t>，由于国债</w:t>
      </w:r>
      <w:r>
        <w:rPr>
          <w:rFonts w:ascii="Times New Roman" w:eastAsia="Times New Roman"/>
        </w:rPr>
        <w:t>ETF</w:t>
      </w:r>
      <w:r>
        <w:t>是一篮子可交割债券，一旦对应最便</w:t>
      </w:r>
      <w:r>
        <w:t>宜可交割券发生了变动而出现实值期权的情况，空方可以取出国债</w:t>
      </w:r>
      <w:r>
        <w:rPr>
          <w:rFonts w:ascii="Times New Roman" w:eastAsia="Times New Roman"/>
        </w:rPr>
        <w:t>ETF</w:t>
      </w:r>
      <w:r>
        <w:t>包含的</w:t>
      </w:r>
      <w:r>
        <w:t>该可交割券进行交割，从而获得选择期权的利润。如果市场波动剧烈，最便宜可</w:t>
      </w:r>
      <w:r>
        <w:t>交割券变动频繁，国债</w:t>
      </w:r>
      <w:r>
        <w:rPr>
          <w:rFonts w:ascii="Times New Roman" w:eastAsia="Times New Roman"/>
        </w:rPr>
        <w:t>ETF</w:t>
      </w:r>
      <w:r>
        <w:t>的持有将更具优势。因此，对于套保套利投资者而</w:t>
      </w:r>
      <w:r>
        <w:t>言，国债</w:t>
      </w:r>
      <w:r>
        <w:rPr>
          <w:rFonts w:ascii="Times New Roman" w:eastAsia="Times New Roman"/>
        </w:rPr>
        <w:t>ETF</w:t>
      </w:r>
      <w:r>
        <w:t>的持有能够更好地捕捉国债期货的隐含期权，使得交易更为便利，</w:t>
      </w:r>
      <w:r>
        <w:t>增加了国债期货交易空方的参与意愿，从而推动国债期货市场的良好发展。</w:t>
      </w:r>
    </w:p>
    <w:p w:rsidR="0018722C">
      <w:pPr>
        <w:pStyle w:val="4"/>
        <w:topLinePunct/>
        <w:ind w:left="200" w:hangingChars="200" w:hanging="200"/>
      </w:pPr>
      <w:r>
        <w:t>（</w:t>
      </w:r>
      <w:r>
        <w:t>4</w:t>
      </w:r>
      <w:r>
        <w:t>）</w:t>
      </w:r>
      <w:r>
        <w:t xml:space="preserve">国债</w:t>
      </w:r>
      <w:r>
        <w:t>ETF</w:t>
      </w:r>
      <w:r>
        <w:t>可与国债期货组合形成期权，促进市场交易</w:t>
      </w:r>
    </w:p>
    <w:p w:rsidR="0018722C">
      <w:pPr>
        <w:topLinePunct/>
      </w:pPr>
      <w:r>
        <w:t>国内的期货交易所正在逐步的酝酿推出期货期权，而期货期权正是由现货与期货组合而成，国债</w:t>
      </w:r>
      <w:r>
        <w:rPr>
          <w:rFonts w:ascii="Times New Roman" w:eastAsia="Times New Roman"/>
        </w:rPr>
        <w:t>ETF</w:t>
      </w:r>
      <w:r>
        <w:t>与国债期货正是构造利率期权的良好标的。由于国</w:t>
      </w:r>
      <w:r>
        <w:t>债</w:t>
      </w:r>
    </w:p>
    <w:p w:rsidR="0018722C">
      <w:pPr>
        <w:topLinePunct/>
      </w:pPr>
      <w:r>
        <w:rPr>
          <w:rFonts w:cstheme="minorBidi" w:hAnsiTheme="minorHAnsi" w:eastAsiaTheme="minorHAnsi" w:asciiTheme="minorHAnsi" w:ascii="Calibri"/>
        </w:rPr>
        <w:t>12</w:t>
      </w:r>
    </w:p>
    <w:p w:rsidR="0018722C">
      <w:pPr>
        <w:topLinePunct/>
      </w:pPr>
      <w:r>
        <w:rPr>
          <w:rFonts w:ascii="Times New Roman" w:eastAsia="Times New Roman"/>
        </w:rPr>
        <w:t>ETF</w:t>
      </w:r>
      <w:r>
        <w:t>由一篮子可交割债券构成，买卖期权并不会造成太大的损失，构造期权时可</w:t>
      </w:r>
      <w:r>
        <w:t>以利用其中一部分可交割券有针对性的与国债期货组成期权获利，剩下的可交割</w:t>
      </w:r>
      <w:r>
        <w:t>券可以持有至国债期货到期交割，也可以直接卖出获利。</w:t>
      </w:r>
    </w:p>
    <w:p w:rsidR="0018722C">
      <w:pPr>
        <w:topLinePunct/>
      </w:pPr>
      <w:r>
        <w:t>国债</w:t>
      </w:r>
      <w:r>
        <w:rPr>
          <w:rFonts w:ascii="Times New Roman" w:eastAsia="Times New Roman"/>
        </w:rPr>
        <w:t>ETF</w:t>
      </w:r>
      <w:r>
        <w:t>的推出令投资者可选的投资理财工具更为丰富，债券市场的投资</w:t>
      </w:r>
      <w:r>
        <w:t>品种更为多样化，其围绕国债期货的研究和实践，更是打通了交易所市场和银行</w:t>
      </w:r>
      <w:r>
        <w:t>间市场，为两个市场的协调发展建立了桥梁，对于规范统一债券市场，促进国债期货市场的健康发展具有深远的意义。</w:t>
      </w:r>
    </w:p>
    <w:p w:rsidR="0018722C">
      <w:pPr>
        <w:topLinePunct/>
      </w:pPr>
      <w:r>
        <w:rPr>
          <w:rFonts w:cstheme="minorBidi" w:hAnsiTheme="minorHAnsi" w:eastAsiaTheme="minorHAnsi" w:asciiTheme="minorHAnsi" w:ascii="Calibri"/>
        </w:rPr>
        <w:t>13</w:t>
      </w:r>
    </w:p>
    <w:p w:rsidR="0018722C">
      <w:pPr>
        <w:pStyle w:val="Heading1"/>
        <w:topLinePunct/>
      </w:pPr>
      <w:bookmarkStart w:id="737397" w:name="_Toc686737397"/>
      <w:bookmarkStart w:name="_bookmark15" w:id="26"/>
      <w:bookmarkEnd w:id="26"/>
      <w:r/>
      <w:r>
        <w:t>第三章</w:t>
      </w:r>
      <w:r>
        <w:t xml:space="preserve">  </w:t>
      </w:r>
      <w:r w:rsidRPr="00DB64CE">
        <w:t>套期保值基本原理及其模型</w:t>
      </w:r>
      <w:bookmarkEnd w:id="737397"/>
    </w:p>
    <w:p w:rsidR="0018722C">
      <w:pPr>
        <w:pStyle w:val="Heading2"/>
        <w:topLinePunct/>
        <w:ind w:left="171" w:hangingChars="171" w:hanging="171"/>
      </w:pPr>
      <w:bookmarkStart w:id="737398" w:name="_Toc686737398"/>
      <w:bookmarkStart w:name="_bookmark16" w:id="27"/>
      <w:bookmarkEnd w:id="27"/>
      <w:r>
        <w:t>3.1</w:t>
      </w:r>
      <w:r>
        <w:t xml:space="preserve"> </w:t>
      </w:r>
      <w:r/>
      <w:bookmarkStart w:name="_bookmark16" w:id="28"/>
      <w:bookmarkEnd w:id="28"/>
      <w:r>
        <w:t>套期保值概述</w:t>
      </w:r>
      <w:bookmarkEnd w:id="737398"/>
    </w:p>
    <w:p w:rsidR="0018722C">
      <w:pPr>
        <w:pStyle w:val="Heading3"/>
        <w:topLinePunct/>
        <w:ind w:left="200" w:hangingChars="200" w:hanging="200"/>
      </w:pPr>
      <w:bookmarkStart w:id="737399" w:name="_Toc686737399"/>
      <w:bookmarkStart w:name="_bookmark17" w:id="29"/>
      <w:bookmarkEnd w:id="29"/>
      <w:r>
        <w:t>3.1.1</w:t>
      </w:r>
      <w:r>
        <w:t xml:space="preserve"> </w:t>
      </w:r>
      <w:bookmarkStart w:name="_bookmark17" w:id="30"/>
      <w:bookmarkEnd w:id="30"/>
      <w:r>
        <w:t>套期保值定义</w:t>
      </w:r>
      <w:bookmarkEnd w:id="737399"/>
    </w:p>
    <w:p w:rsidR="0018722C">
      <w:pPr>
        <w:topLinePunct/>
      </w:pPr>
      <w:r>
        <w:t>期货交易是由早期交易商之间的现货交易和逐渐出现的远期交易发展起来</w:t>
      </w:r>
      <w:r>
        <w:t>的。由于大豆、玉米等农产品从生产、加工一直到销售需要经历相当长的时间段，</w:t>
      </w:r>
      <w:r w:rsidR="001852F3">
        <w:t xml:space="preserve">生产者对于未来的价格无法把握，担心天气、市场等因素带来价格上的剧烈波动造成损失，故此诞生了期货交易，以满足生产者对于现货商品保值的需求。</w:t>
      </w:r>
    </w:p>
    <w:p w:rsidR="0018722C">
      <w:pPr>
        <w:topLinePunct/>
      </w:pPr>
      <w:r>
        <w:t>套期保值</w:t>
      </w:r>
      <w:r>
        <w:t>（</w:t>
      </w:r>
      <w:r>
        <w:rPr>
          <w:rFonts w:ascii="Times New Roman" w:eastAsia="Times New Roman"/>
        </w:rPr>
        <w:t>Hedging</w:t>
      </w:r>
      <w:r>
        <w:t>）</w:t>
      </w:r>
      <w:r>
        <w:t xml:space="preserve">是一种利用期货进行对冲，为现货交易商规避价格风</w:t>
      </w:r>
      <w:r>
        <w:t>险的交易行为，通过现货市场与期货市场反向头寸的持有来达到盈亏平衡的目的。</w:t>
      </w:r>
      <w:r>
        <w:t>由于期货市场与现货市场在价格的长期走势上趋同，因此反向的头寸带来的结果</w:t>
      </w:r>
      <w:r>
        <w:t>必然是盈利于一个市场，亏损于另一个市场，盈亏的平衡使得收益稳定在既定的</w:t>
      </w:r>
      <w:r w:rsidR="001852F3">
        <w:t xml:space="preserve">水平。</w:t>
      </w:r>
    </w:p>
    <w:p w:rsidR="0018722C">
      <w:pPr>
        <w:topLinePunct/>
      </w:pPr>
      <w:r>
        <w:t>根据在期货市场上操作方式不同，套期保值可分为买入套期保值</w:t>
      </w:r>
      <w:r>
        <w:t>（</w:t>
      </w:r>
      <w:r>
        <w:rPr>
          <w:rFonts w:ascii="Times New Roman" w:eastAsia="Times New Roman"/>
        </w:rPr>
        <w:t>Long</w:t>
      </w:r>
    </w:p>
    <w:p w:rsidR="0018722C">
      <w:pPr>
        <w:topLinePunct/>
      </w:pPr>
      <w:r>
        <w:rPr>
          <w:rFonts w:ascii="Times New Roman" w:eastAsia="Times New Roman"/>
        </w:rPr>
        <w:t>H</w:t>
      </w:r>
      <w:r>
        <w:rPr>
          <w:rFonts w:ascii="Times New Roman" w:eastAsia="Times New Roman"/>
        </w:rPr>
        <w:t>e</w:t>
      </w:r>
      <w:r>
        <w:rPr>
          <w:rFonts w:ascii="Times New Roman" w:eastAsia="Times New Roman"/>
        </w:rPr>
        <w:t>d</w:t>
      </w:r>
      <w:r>
        <w:rPr>
          <w:rFonts w:ascii="Times New Roman" w:eastAsia="Times New Roman"/>
        </w:rPr>
        <w:t>g</w:t>
      </w:r>
      <w:r>
        <w:rPr>
          <w:rFonts w:ascii="Times New Roman" w:eastAsia="Times New Roman"/>
        </w:rPr>
        <w:t>in</w:t>
      </w:r>
      <w:r>
        <w:rPr>
          <w:rFonts w:ascii="Times New Roman" w:eastAsia="Times New Roman"/>
        </w:rPr>
        <w:t>g</w:t>
      </w:r>
      <w:r>
        <w:t>）</w:t>
      </w:r>
      <w:r>
        <w:t>和卖出套期保值</w:t>
      </w:r>
      <w:r>
        <w:t>（</w:t>
      </w:r>
      <w:r>
        <w:rPr>
          <w:rFonts w:ascii="Times New Roman" w:eastAsia="Times New Roman"/>
        </w:rPr>
        <w:t>S</w:t>
      </w:r>
      <w:r>
        <w:rPr>
          <w:rFonts w:ascii="Times New Roman" w:eastAsia="Times New Roman"/>
        </w:rPr>
        <w:t>hort </w:t>
      </w:r>
      <w:r>
        <w:rPr>
          <w:rFonts w:ascii="Times New Roman" w:eastAsia="Times New Roman"/>
        </w:rPr>
        <w:t>H</w:t>
      </w:r>
      <w:r>
        <w:rPr>
          <w:rFonts w:ascii="Times New Roman" w:eastAsia="Times New Roman"/>
        </w:rPr>
        <w:t>e</w:t>
      </w:r>
      <w:r>
        <w:rPr>
          <w:rFonts w:ascii="Times New Roman" w:eastAsia="Times New Roman"/>
        </w:rPr>
        <w:t>d</w:t>
      </w:r>
      <w:r>
        <w:rPr>
          <w:rFonts w:ascii="Times New Roman" w:eastAsia="Times New Roman"/>
        </w:rPr>
        <w:t>g</w:t>
      </w:r>
      <w:r>
        <w:rPr>
          <w:rFonts w:ascii="Times New Roman" w:eastAsia="Times New Roman"/>
        </w:rPr>
        <w:t>i</w:t>
      </w:r>
      <w:r>
        <w:rPr>
          <w:rFonts w:ascii="Times New Roman" w:eastAsia="Times New Roman"/>
        </w:rPr>
        <w:t>n</w:t>
      </w:r>
      <w:r>
        <w:rPr>
          <w:rFonts w:ascii="Times New Roman" w:eastAsia="Times New Roman"/>
        </w:rPr>
        <w:t>g</w:t>
      </w:r>
      <w:r>
        <w:t>）</w:t>
      </w:r>
      <w:r>
        <w:t>。</w:t>
      </w:r>
    </w:p>
    <w:p w:rsidR="0018722C">
      <w:pPr>
        <w:topLinePunct/>
      </w:pPr>
      <w:r>
        <w:t>买入套期保值，又名多头套期保值，是根据保值的目标先在期货市场上买入</w:t>
      </w:r>
      <w:r>
        <w:t>合适的期货合约；然后，在现货市场上买进对应现货的同时，又在期货市场上卖</w:t>
      </w:r>
      <w:r>
        <w:t>出期货头寸，从而完成套期保值业务。买入套期保值是用来规避未来因价格上涨</w:t>
      </w:r>
      <w:r>
        <w:t>带来的亏损风险，利用期货市场获得的利润对冲现货市场出现的亏损，将远期价格固定在预计的水平上。</w:t>
      </w:r>
    </w:p>
    <w:p w:rsidR="0018722C">
      <w:pPr>
        <w:topLinePunct/>
      </w:pPr>
      <w:r>
        <w:t>卖出套期保值，又名空头套期保值，是根据保值的目标先在期货市场上卖出</w:t>
      </w:r>
      <w:r>
        <w:t>合适的期货合约；然后，在现货市场上卖出对应现货的同时，又在期货市场上买</w:t>
      </w:r>
      <w:r>
        <w:t>入期货头寸，从而完成套期保值业务。卖出套期保值是用来规避未来因价格下跌</w:t>
      </w:r>
      <w:r>
        <w:t>带来的亏损风险，使得投资者能够在日后售出现货商品时，现货价格能维持在当</w:t>
      </w:r>
      <w:r>
        <w:t>前的水平上，维护现货商的利益。</w:t>
      </w:r>
    </w:p>
    <w:p w:rsidR="0018722C">
      <w:pPr>
        <w:pStyle w:val="Heading3"/>
        <w:topLinePunct/>
        <w:ind w:left="200" w:hangingChars="200" w:hanging="200"/>
      </w:pPr>
      <w:bookmarkStart w:id="737400" w:name="_Toc686737400"/>
      <w:bookmarkStart w:name="_bookmark18" w:id="31"/>
      <w:bookmarkEnd w:id="31"/>
      <w:r>
        <w:t>3.1.2</w:t>
      </w:r>
      <w:r>
        <w:t xml:space="preserve"> </w:t>
      </w:r>
      <w:bookmarkStart w:name="_bookmark18" w:id="32"/>
      <w:bookmarkEnd w:id="32"/>
      <w:r>
        <w:t>基差风险与套期保值</w:t>
      </w:r>
      <w:bookmarkEnd w:id="737400"/>
    </w:p>
    <w:p w:rsidR="0018722C">
      <w:pPr>
        <w:topLinePunct/>
      </w:pPr>
      <w:r>
        <w:t>期货价格是投资市场对于现货价格未来的预期值，当交割日日渐临近时，期</w:t>
      </w:r>
      <w:r>
        <w:t>现货的价格势必趋于一致，因此，期现货价格之间存在着密切的关联。由于影响</w:t>
      </w:r>
      <w:r>
        <w:t>因素相近，期现货两者的价格往往出现趋同的走势；然而影响因素又存在一些</w:t>
      </w:r>
      <w:r>
        <w:t>差</w:t>
      </w:r>
    </w:p>
    <w:p w:rsidR="0018722C">
      <w:pPr>
        <w:topLinePunct/>
      </w:pPr>
      <w:r>
        <w:rPr>
          <w:rFonts w:cstheme="minorBidi" w:hAnsiTheme="minorHAnsi" w:eastAsiaTheme="minorHAnsi" w:asciiTheme="minorHAnsi" w:ascii="Calibri"/>
        </w:rPr>
        <w:t>14</w:t>
      </w:r>
    </w:p>
    <w:p w:rsidR="0018722C">
      <w:pPr>
        <w:topLinePunct/>
      </w:pPr>
      <w:r>
        <w:t>别，如市场投资者不同，造成两者价格的变化幅度会出现差距。定义上来说，现</w:t>
      </w:r>
      <w:r>
        <w:t>货价格减去期货价格的差值被称之为基差，因此基差可用来当做期货现货价格的</w:t>
      </w:r>
      <w:r>
        <w:t>价差关系走势的动态指标。</w:t>
      </w:r>
    </w:p>
    <w:p w:rsidR="0018722C">
      <w:pPr>
        <w:topLinePunct/>
      </w:pPr>
      <w:r>
        <w:t>套期保值的效果直接取决于基差的变化走势，套期保值交易本质上是把现货</w:t>
      </w:r>
      <w:r>
        <w:t>自身的价格风险替换成了期现货之间的基差风险。如果在套期保值的期初和期货</w:t>
      </w:r>
      <w:r>
        <w:t>末，基差保持一致并未发生变化，则可以实现完全的套期保值。所以，投资者在</w:t>
      </w:r>
      <w:r>
        <w:t>进行套期保值操作时，需时刻关注期现之间基差的变化趋势，从基差的角度选择有利的时机进行交易。</w:t>
      </w:r>
    </w:p>
    <w:p w:rsidR="0018722C">
      <w:pPr>
        <w:topLinePunct/>
      </w:pPr>
      <w:r>
        <w:t>而且，由于期货和现货之间的高度关联性，基差的变动比较平缓稳定，其变</w:t>
      </w:r>
      <w:r>
        <w:t>化主要受到持有成本的影响，这使得观测基差的变化相比于观测现货价格或者期货价格要容易的多。</w:t>
      </w:r>
    </w:p>
    <w:p w:rsidR="0018722C">
      <w:pPr>
        <w:topLinePunct/>
      </w:pPr>
      <w:r>
        <w:t>虽然基差波动不如期货和现货价格剧烈，然后也存在影响基差的诸多因素。</w:t>
      </w:r>
      <w:r>
        <w:t>特别是当投资者套期保值时没有找到在品种、期限上与现货头寸匹配的期货合约，</w:t>
      </w:r>
      <w:r>
        <w:t>只有选择相</w:t>
      </w:r>
      <w:r>
        <w:t>近期</w:t>
      </w:r>
      <w:r>
        <w:t>货品种合约进行替代时，由于无法完全锁定收益水平，就会产生</w:t>
      </w:r>
      <w:r w:rsidR="001852F3">
        <w:t xml:space="preserve">基差风险，降低套期保值的效果。</w:t>
      </w:r>
    </w:p>
    <w:p w:rsidR="0018722C">
      <w:pPr>
        <w:topLinePunct/>
      </w:pPr>
      <w:r>
        <w:t>（</w:t>
      </w:r>
      <w:r>
        <w:rPr>
          <w:rFonts w:ascii="Times New Roman" w:eastAsia="Times New Roman"/>
        </w:rPr>
        <w:t>1</w:t>
      </w:r>
      <w:r>
        <w:t>）</w:t>
      </w:r>
      <w:r>
        <w:t>期货价格对现货价格的基差水平。套利交易者的存在，使得在交割日，</w:t>
      </w:r>
      <w:r>
        <w:t>期货和现货的价格将趋于一致，即基差将趋于零。所以，投资者在套期保值交易</w:t>
      </w:r>
      <w:r>
        <w:t>时所选取的基差水平、基差未来的变化走势和选择的平仓对冲时间点，决定了套</w:t>
      </w:r>
      <w:r>
        <w:t>期保值者的所面临风险程度和获得的盈亏效果。</w:t>
      </w:r>
    </w:p>
    <w:p w:rsidR="0018722C">
      <w:pPr>
        <w:topLinePunct/>
      </w:pPr>
      <w:r>
        <w:t>（</w:t>
      </w:r>
      <w:r>
        <w:rPr>
          <w:rFonts w:ascii="Times New Roman" w:eastAsia="Times New Roman"/>
        </w:rPr>
        <w:t>2</w:t>
      </w:r>
      <w:r>
        <w:t>）</w:t>
      </w:r>
      <w:r>
        <w:t>持有成本变化。理论上，期货价格是现货的价格与持有成本的和，持</w:t>
      </w:r>
      <w:r>
        <w:t>有成本包括了资金利息、仓储费、管理费等。若持有成本出现变化，基差也会随之发生改变，影响套期保值组合的损益。</w:t>
      </w:r>
    </w:p>
    <w:p w:rsidR="0018722C">
      <w:pPr>
        <w:topLinePunct/>
      </w:pPr>
      <w:r>
        <w:t>（</w:t>
      </w:r>
      <w:r>
        <w:rPr>
          <w:rFonts w:ascii="Times New Roman" w:eastAsia="Times New Roman"/>
        </w:rPr>
        <w:t>3</w:t>
      </w:r>
      <w:r>
        <w:t>）</w:t>
      </w:r>
      <w:r>
        <w:t>期现货标的资产不匹配。由于国内期货上市品种不够健全，故现货生</w:t>
      </w:r>
      <w:r>
        <w:t>产商在进行套期保值时并不一定能找到完全匹配的期货品种，往往会选择替代品</w:t>
      </w:r>
      <w:r>
        <w:t>种，如在豆油期货上市之前，使用大豆的期货合约代替豆油的期货合约来实现套</w:t>
      </w:r>
      <w:r>
        <w:t>期保值交易，这种交叉套期保值的方法在一定程度上又加大了基差风险。这种交</w:t>
      </w:r>
      <w:r>
        <w:t>叉套期保值出现的基差风险主要由两部分组成，一部分是由期货与现货之间的价</w:t>
      </w:r>
      <w:r>
        <w:t>差带来，另一部分是原有套保的资产与替代的套保资产之间的价差风险，该套期保值组合的价差波动性增大，基差风险相对较高。</w:t>
      </w:r>
    </w:p>
    <w:p w:rsidR="0018722C">
      <w:pPr>
        <w:topLinePunct/>
      </w:pPr>
      <w:r>
        <w:rPr>
          <w:rFonts w:cstheme="minorBidi" w:hAnsiTheme="minorHAnsi" w:eastAsiaTheme="minorHAnsi" w:asciiTheme="minorHAnsi" w:ascii="Calibri"/>
        </w:rPr>
        <w:t>15</w:t>
      </w:r>
    </w:p>
    <w:p w:rsidR="0018722C">
      <w:pPr>
        <w:topLinePunct/>
      </w:pPr>
      <w:r>
        <w:t>（</w:t>
      </w:r>
      <w:r>
        <w:rPr>
          <w:rFonts w:ascii="Times New Roman" w:eastAsia="Times New Roman"/>
        </w:rPr>
        <w:t>4</w:t>
      </w:r>
      <w:r>
        <w:t>）</w:t>
      </w:r>
      <w:r>
        <w:t>随机扰动的期货价格与现货价格。</w:t>
      </w:r>
    </w:p>
    <w:p w:rsidR="0018722C">
      <w:pPr>
        <w:topLinePunct/>
      </w:pPr>
      <w:r>
        <w:t>诸多的因素，导致在套期保值交易的持有期内，基差走势处在不断的变化中，</w:t>
      </w:r>
      <w:r>
        <w:t>使得套利者找到套利的空间，套期保值的组合产生损益变化。正常的市场环境下，</w:t>
      </w:r>
      <w:r>
        <w:t>由于期现货价格的趋同性，套期保值组合的损益波动幅度一般较小并会稳定固定</w:t>
      </w:r>
      <w:r>
        <w:t>的波动区间之内，不会影响到套期保值的有效性。但是在一些特殊情况下，如突</w:t>
      </w:r>
      <w:r>
        <w:t>然的利好政策、大资金的打压砸盘，会使得期货市场或是现货市场出现剧烈波动，</w:t>
      </w:r>
      <w:r>
        <w:t>基差迅速夸大，给投资者造成负担甚至但是直接损失。虽然这种极端事件在概率上来讲属于小概率事件，但仍然需要有应对此类风险的措施，规避意外的损失。</w:t>
      </w:r>
    </w:p>
    <w:p w:rsidR="0018722C">
      <w:pPr>
        <w:pStyle w:val="Heading3"/>
        <w:topLinePunct/>
        <w:ind w:left="200" w:hangingChars="200" w:hanging="200"/>
      </w:pPr>
      <w:bookmarkStart w:id="737401" w:name="_Toc686737401"/>
      <w:bookmarkStart w:name="_bookmark19" w:id="33"/>
      <w:bookmarkEnd w:id="33"/>
      <w:r>
        <w:t>3.1.3</w:t>
      </w:r>
      <w:r>
        <w:t xml:space="preserve"> </w:t>
      </w:r>
      <w:bookmarkStart w:name="_bookmark19" w:id="34"/>
      <w:bookmarkEnd w:id="34"/>
      <w:r>
        <w:t>套期保值风险防范</w:t>
      </w:r>
      <w:bookmarkEnd w:id="737401"/>
    </w:p>
    <w:p w:rsidR="0018722C">
      <w:pPr>
        <w:topLinePunct/>
      </w:pPr>
      <w:r>
        <w:t>套期保值并不能完全的规避风险，在进行实际的套期保值操作之后，其实是</w:t>
      </w:r>
      <w:r>
        <w:t>将商品的价格风险转移到了期现货间的基差风险。投资者容易被误导，主观觉得</w:t>
      </w:r>
      <w:r>
        <w:t>套期保值没有风险，而且企业一旦进入期货市场出现风险面临了亏损，在不理解</w:t>
      </w:r>
      <w:r>
        <w:t>的情况下也会对期货市场产生偏见。实则，第一，套期保值并不是不会亏损，进</w:t>
      </w:r>
      <w:r>
        <w:t>行套期保值操作时往往在期货市场亏损，现货市场却保持盈利；第二，由于国内</w:t>
      </w:r>
      <w:r>
        <w:t>现货市场还不够成熟，以及现货和期货价格未必时刻保持同步变化，因此，套期</w:t>
      </w:r>
      <w:r>
        <w:t>保值效果的操作未必能完全有效，无法达到完全的盈亏相抵。第三，套期保值交易还会面临保证金追加的风险。套期保值交易即使最终结果没有亏损，但是过程</w:t>
      </w:r>
      <w:r>
        <w:t>中会由于市场的剧烈波动导致一时的偏离出现亏损，必须追加保证金。套期保值</w:t>
      </w:r>
      <w:r>
        <w:t>保护投资者现货头寸不亏损，主要是现货交易商尤其大型的现货企业拥有自身的</w:t>
      </w:r>
      <w:r>
        <w:t>优势，雄厚的资金实力、现货交易经验、现货信息的获取渠道。长期从事现货经</w:t>
      </w:r>
      <w:r>
        <w:t>营，对现货价格的分析具备较大的优势；由于经营大量的现货资产，即使在期货</w:t>
      </w:r>
      <w:r>
        <w:t>市场被套仍然可以在期货到期时利用现货进行交割；而即便被套，也可以利用资金优势，逐步的增加资金以摊低成本。</w:t>
      </w:r>
    </w:p>
    <w:p w:rsidR="0018722C">
      <w:pPr>
        <w:topLinePunct/>
      </w:pPr>
      <w:r>
        <w:t>套期保值的本质是放弃未来的可能盈利的机会来换取既定的收益水平。企业</w:t>
      </w:r>
      <w:r>
        <w:t>或投资者套期保值的目的在与规避风险，而对于套期保值本身，同样需要对风险</w:t>
      </w:r>
      <w:r>
        <w:t>进行防范，以实现最好的保值效果。</w:t>
      </w:r>
    </w:p>
    <w:p w:rsidR="0018722C">
      <w:pPr>
        <w:topLinePunct/>
      </w:pPr>
      <w:r>
        <w:t>（</w:t>
      </w:r>
      <w:r>
        <w:rPr>
          <w:rFonts w:ascii="Times New Roman" w:eastAsia="Times New Roman"/>
        </w:rPr>
        <w:t>1</w:t>
      </w:r>
      <w:r>
        <w:t>）</w:t>
      </w:r>
      <w:r>
        <w:t>选择合适的期货合约。选择期货交易的品种应与现货交易品种保持一</w:t>
      </w:r>
      <w:r>
        <w:t>致，如此才能利用期现货直接长期稳定的关联价格走势，来达到套期保值的效果。</w:t>
      </w:r>
    </w:p>
    <w:p w:rsidR="0018722C">
      <w:pPr>
        <w:topLinePunct/>
      </w:pPr>
      <w:r>
        <w:rPr>
          <w:rFonts w:cstheme="minorBidi" w:hAnsiTheme="minorHAnsi" w:eastAsiaTheme="minorHAnsi" w:asciiTheme="minorHAnsi" w:ascii="Calibri"/>
        </w:rPr>
        <w:t>16</w:t>
      </w:r>
    </w:p>
    <w:p w:rsidR="0018722C">
      <w:pPr>
        <w:topLinePunct/>
      </w:pPr>
      <w:r>
        <w:t>由于国内期货市场上市期货品种还不够丰富，生产企业可能找不到目标期货品种，</w:t>
      </w:r>
      <w:r w:rsidR="001852F3">
        <w:t xml:space="preserve">则在进行交叉套期保值时，需要尽量选择相近的品种，降低基差风险。</w:t>
      </w:r>
    </w:p>
    <w:p w:rsidR="0018722C">
      <w:pPr>
        <w:topLinePunct/>
      </w:pPr>
      <w:r>
        <w:t>（</w:t>
      </w:r>
      <w:r>
        <w:rPr>
          <w:rFonts w:ascii="Times New Roman" w:eastAsia="Times New Roman"/>
        </w:rPr>
        <w:t>2</w:t>
      </w:r>
      <w:r>
        <w:t>）</w:t>
      </w:r>
      <w:r>
        <w:t>选择合适的入场时机。合适的入场时机意味着优良的套期保值效果。</w:t>
      </w:r>
      <w:r>
        <w:t>对于入市价位的选择，可以采用套利模型观察基差的变化，在偏离均衡价格较远</w:t>
      </w:r>
      <w:r>
        <w:t>的位置入场交易；实际操作时，可进行分级价位策略，分批入场；同时需保持对</w:t>
      </w:r>
      <w:r>
        <w:t>现货行情的高度关注，在考虑自身承受能力、资金能力的情况下，完成套期保值操作。</w:t>
      </w:r>
    </w:p>
    <w:p w:rsidR="0018722C">
      <w:pPr>
        <w:topLinePunct/>
      </w:pPr>
      <w:r>
        <w:t>（</w:t>
      </w:r>
      <w:r>
        <w:rPr>
          <w:rFonts w:ascii="Times New Roman" w:eastAsia="Times New Roman"/>
        </w:rPr>
        <w:t>3</w:t>
      </w:r>
      <w:r>
        <w:t>）</w:t>
      </w:r>
      <w:r>
        <w:t xml:space="preserve">选择最优套期保值比率。现货与期货各自不同的风险因素的存在，导</w:t>
      </w:r>
      <w:r>
        <w:t>致现货价格与期货价格的波动并不能完全的趋向一致，基差的波动无法避免，企</w:t>
      </w:r>
      <w:r>
        <w:t>业可以灵活选择套期保值比率，在套期保值过程中根据行情动态的调整对冲头寸，</w:t>
      </w:r>
      <w:r>
        <w:t>降低基差变动的风险。而套期保值比率的选择，最重要的则是选择合适的套期保</w:t>
      </w:r>
      <w:r w:rsidR="001852F3">
        <w:t xml:space="preserve">值模型，以期达到最好的效果。</w:t>
      </w:r>
    </w:p>
    <w:p w:rsidR="0018722C">
      <w:pPr>
        <w:pStyle w:val="Heading2"/>
        <w:topLinePunct/>
        <w:ind w:left="171" w:hangingChars="171" w:hanging="171"/>
      </w:pPr>
      <w:bookmarkStart w:id="737402" w:name="_Toc686737402"/>
      <w:bookmarkStart w:name="_bookmark20" w:id="35"/>
      <w:bookmarkEnd w:id="35"/>
      <w:r>
        <w:t>3.2</w:t>
      </w:r>
      <w:r>
        <w:t xml:space="preserve"> </w:t>
      </w:r>
      <w:r/>
      <w:bookmarkStart w:name="_bookmark20" w:id="36"/>
      <w:bookmarkEnd w:id="36"/>
      <w:r>
        <w:t>套期保值比率研究模型</w:t>
      </w:r>
      <w:bookmarkEnd w:id="737402"/>
    </w:p>
    <w:p w:rsidR="0018722C">
      <w:pPr>
        <w:pStyle w:val="Heading3"/>
        <w:topLinePunct/>
        <w:ind w:left="200" w:hangingChars="200" w:hanging="200"/>
      </w:pPr>
      <w:bookmarkStart w:id="737403" w:name="_Toc686737403"/>
      <w:bookmarkStart w:name="_bookmark21" w:id="37"/>
      <w:bookmarkEnd w:id="37"/>
      <w:r>
        <w:t>3.2.1</w:t>
      </w:r>
      <w:r>
        <w:t xml:space="preserve"> </w:t>
      </w:r>
      <w:bookmarkStart w:name="_bookmark21" w:id="38"/>
      <w:bookmarkEnd w:id="38"/>
      <w:r>
        <w:t>传统的基点价值法</w:t>
      </w:r>
      <w:bookmarkEnd w:id="737403"/>
    </w:p>
    <w:p w:rsidR="0018722C">
      <w:pPr>
        <w:topLinePunct/>
      </w:pPr>
      <w:r>
        <w:t>基点价值</w:t>
      </w:r>
      <w:r>
        <w:t>（</w:t>
      </w:r>
      <w:r>
        <w:rPr>
          <w:spacing w:val="-10"/>
        </w:rPr>
        <w:t>简称</w:t>
      </w:r>
      <w:r>
        <w:rPr>
          <w:rFonts w:ascii="Times New Roman" w:eastAsia="Times New Roman"/>
          <w:spacing w:val="-1"/>
        </w:rPr>
        <w:t>B</w:t>
      </w:r>
      <w:r>
        <w:rPr>
          <w:rFonts w:ascii="Times New Roman" w:eastAsia="Times New Roman"/>
          <w:w w:val="99"/>
        </w:rPr>
        <w:t>P</w:t>
      </w:r>
      <w:r>
        <w:rPr>
          <w:rFonts w:ascii="Times New Roman" w:eastAsia="Times New Roman"/>
          <w:spacing w:val="0"/>
          <w:w w:val="99"/>
        </w:rPr>
        <w:t>V</w:t>
      </w:r>
      <w:r>
        <w:rPr>
          <w:spacing w:val="0"/>
        </w:rPr>
        <w:t xml:space="preserve">, </w:t>
      </w:r>
      <w:r>
        <w:rPr>
          <w:rFonts w:ascii="Times New Roman" w:eastAsia="Times New Roman"/>
          <w:spacing w:val="-1"/>
        </w:rPr>
        <w:t>B</w:t>
      </w:r>
      <w:r>
        <w:rPr>
          <w:rFonts w:ascii="Times New Roman" w:eastAsia="Times New Roman"/>
          <w:spacing w:val="0"/>
        </w:rPr>
        <w:t>a</w:t>
      </w:r>
      <w:r>
        <w:rPr>
          <w:rFonts w:ascii="Times New Roman" w:eastAsia="Times New Roman"/>
          <w:w w:val="99"/>
        </w:rPr>
        <w:t>sic</w:t>
      </w:r>
      <w:r>
        <w:rPr>
          <w:rFonts w:ascii="Times New Roman" w:eastAsia="Times New Roman"/>
        </w:rPr>
        <w:t> </w:t>
      </w:r>
      <w:r>
        <w:rPr>
          <w:rFonts w:ascii="Times New Roman" w:eastAsia="Times New Roman"/>
          <w:w w:val="99"/>
        </w:rPr>
        <w:t>P</w:t>
      </w:r>
      <w:r>
        <w:rPr>
          <w:rFonts w:ascii="Times New Roman" w:eastAsia="Times New Roman"/>
        </w:rPr>
        <w:t>oint </w:t>
      </w:r>
      <w:r>
        <w:rPr>
          <w:rFonts w:ascii="Times New Roman" w:eastAsia="Times New Roman"/>
          <w:spacing w:val="-14"/>
          <w:w w:val="99"/>
        </w:rPr>
        <w:t>V</w:t>
      </w:r>
      <w:r>
        <w:rPr>
          <w:rFonts w:ascii="Times New Roman" w:eastAsia="Times New Roman"/>
          <w:spacing w:val="0"/>
        </w:rPr>
        <w:t>a</w:t>
      </w:r>
      <w:r>
        <w:rPr>
          <w:rFonts w:ascii="Times New Roman" w:eastAsia="Times New Roman"/>
        </w:rPr>
        <w:t>lu</w:t>
      </w:r>
      <w:r>
        <w:rPr>
          <w:rFonts w:ascii="Times New Roman" w:eastAsia="Times New Roman"/>
          <w:spacing w:val="0"/>
        </w:rPr>
        <w:t>e</w:t>
      </w:r>
      <w:r>
        <w:t>）</w:t>
      </w:r>
      <w:r>
        <w:t>，是一种用来衡量债券价格波动的</w:t>
      </w:r>
      <w:r>
        <w:t>指标，指债券收益率</w:t>
      </w:r>
      <w:r>
        <w:rPr>
          <w:rFonts w:ascii="Times New Roman" w:eastAsia="Times New Roman"/>
        </w:rPr>
        <w:t>0</w:t>
      </w:r>
      <w:r>
        <w:rPr>
          <w:rFonts w:ascii="Times New Roman" w:eastAsia="Times New Roman"/>
        </w:rPr>
        <w:t>.</w:t>
      </w:r>
      <w:r>
        <w:rPr>
          <w:rFonts w:ascii="Times New Roman" w:eastAsia="Times New Roman"/>
        </w:rPr>
        <w:t>01</w:t>
      </w:r>
      <w:r>
        <w:t>个百分点</w:t>
      </w:r>
      <w:r>
        <w:t>（</w:t>
      </w:r>
      <w:r>
        <w:rPr>
          <w:rFonts w:ascii="Times New Roman" w:eastAsia="Times New Roman"/>
        </w:rPr>
        <w:t>1</w:t>
      </w:r>
      <w:r>
        <w:t>个基点</w:t>
      </w:r>
      <w:r>
        <w:t>）</w:t>
      </w:r>
      <w:r>
        <w:t>的变化所带来的债券组合的价值</w:t>
      </w:r>
      <w:r>
        <w:t>变动额。即：</w:t>
      </w:r>
    </w:p>
    <w:p w:rsidR="0018722C">
      <w:spacing w:beforeLines="0" w:before="0" w:afterLines="0" w:after="0" w:line="440" w:lineRule="auto"/>
      <w:pPr>
        <w:sectPr w:rsidR="00556256">
          <w:headerReference w:type="even" r:id="rId53"/>
          <w:headerReference w:type="default" r:id="rId49"/>
          <w:footerReference w:type="even" r:id="rId47"/>
          <w:footerReference w:type="default" r:id="rId46"/>
          <w:headerReference w:type="first" r:id="rId44"/>
          <w:footerReference w:type="first" r:id="rId51"/>
          <w:pgSz w:w="11906" w:h="16838" w:code="9"/>
          <w:pgMar w:top="1418" w:right="1134" w:bottom="1134" w:left="1418" w:header="851" w:footer="907" w:gutter="0"/>
          <w:pgNumType w:start="1"/>
          <w:cols w:space="720"/>
          <w:titlePg/>
          <w:docGrid w:type="lines" w:linePitch="326"/>
        </w:sectPr>
        <w:topLinePunct/>
      </w:pPr>
    </w:p>
    <w:p w:rsidR="0018722C">
      <w:pPr>
        <w:topLinePunct/>
      </w:pPr>
    </w:p>
    <w:p w:rsidR="0018722C">
      <w:pPr>
        <w:pStyle w:val="ae"/>
        <w:topLinePunct/>
      </w:pPr>
      <w:r>
        <w:pict>
          <v:line style="position:absolute;mso-position-horizontal-relative:page;mso-position-vertical-relative:paragraph;z-index:-56968" from="287.690002pt,10.595614pt" to="371.714002pt,10.595614pt" stroked="true" strokeweight=".84003pt" strokecolor="#000000">
            <v:stroke dashstyle="solid"/>
            <w10:wrap type="none"/>
          </v:line>
        </w:pict>
      </w:r>
      <w:r>
        <w:t>债券</w:t>
      </w:r>
      <w:r>
        <w:rPr>
          <w:rFonts w:ascii="Cambria Math" w:eastAsia="Cambria Math"/>
        </w:rPr>
        <w:t>BPV =</w:t>
      </w:r>
    </w:p>
    <w:p w:rsidR="0018722C">
      <w:pPr>
        <w:pStyle w:val="BodyText"/>
        <w:spacing w:line="302" w:lineRule="auto" w:before="108"/>
        <w:ind w:leftChars="0" w:left="145" w:rightChars="0" w:right="3016" w:hanging="120"/>
        <w:topLinePunct/>
      </w:pPr>
      <w:r>
        <w:br w:type="column"/>
      </w:r>
      <w:r>
        <w:t>债券价格变动额收益率变动额</w:t>
      </w:r>
    </w:p>
    <w:p w:rsidR="0018722C">
      <w:pPr>
        <w:spacing w:after="0" w:line="302" w:lineRule="auto"/>
        <w:sectPr w:rsidR="00556256">
          <w:type w:val="continuous"/>
          <w:pgSz w:w="11910" w:h="16840"/>
          <w:pgMar w:top="1500" w:bottom="280" w:left="1660" w:right="1440"/>
          <w:cols w:num="2" w:equalWidth="0">
            <w:col w:w="4029" w:space="40"/>
            <w:col w:w="4741"/>
          </w:cols>
        </w:sectPr>
      </w:pPr>
    </w:p>
    <w:p w:rsidR="0018722C">
      <w:pPr>
        <w:topLinePunct/>
      </w:pPr>
      <w:r>
        <w:t>根据债券基点价值，可推断出套期保值交易所需的套期保值比率</w:t>
      </w:r>
      <w:r>
        <w:rPr>
          <w:rFonts w:ascii="Times New Roman" w:eastAsia="Times New Roman"/>
        </w:rPr>
        <w:t>H</w:t>
      </w:r>
      <w:r>
        <w:t>：</w:t>
      </w:r>
    </w:p>
    <w:p w:rsidR="0018722C">
      <w:spacing w:beforeLines="0" w:before="0" w:afterLines="0" w:after="0" w:line="440" w:lineRule="auto"/>
      <w:pPr>
        <w:sectPr w:rsidR="00556256">
          <w:type w:val="continuous"/>
          <w:pgSz w:w="11910" w:h="16840"/>
          <w:pgMar w:top="1500" w:bottom="280" w:left="1660" w:right="1440"/>
        </w:sectPr>
        <w:topLinePunct/>
      </w:pPr>
    </w:p>
    <w:p w:rsidR="0018722C">
      <w:pPr>
        <w:pStyle w:val="BodyText"/>
        <w:spacing w:line="274" w:lineRule="exact" w:before="47"/>
        <w:ind w:leftChars="0" w:left="917"/>
        <w:jc w:val="center"/>
        <w:topLinePunct/>
      </w:pPr>
      <w:r>
        <w:t>现券价格波动</w:t>
      </w:r>
    </w:p>
    <w:p w:rsidR="0018722C">
      <w:pPr>
        <w:pStyle w:val="ae"/>
        <w:topLinePunct/>
      </w:pPr>
      <w:r>
        <w:pict>
          <v:line style="position:absolute;mso-position-horizontal-relative:page;mso-position-vertical-relative:paragraph;z-index:1048" from="128.899994pt,5.997406pt" to="224.923994pt,5.997406pt" stroked="true" strokeweight=".84003pt" strokecolor="#000000">
            <v:stroke dashstyle="solid"/>
            <w10:wrap type="none"/>
          </v:line>
        </w:pict>
      </w:r>
      <w:r>
        <w:rPr>
          <w:rFonts w:ascii="Cambria Math"/>
        </w:rPr>
        <w:t>H =</w:t>
      </w:r>
    </w:p>
    <w:p w:rsidR="0018722C">
      <w:pPr>
        <w:pStyle w:val="BodyText"/>
        <w:spacing w:line="254" w:lineRule="exact"/>
        <w:ind w:leftChars="0" w:left="918"/>
        <w:jc w:val="center"/>
        <w:topLinePunct/>
      </w:pPr>
      <w:r>
        <w:t>期货合约价格波动</w:t>
      </w:r>
    </w:p>
    <w:p w:rsidR="0018722C">
      <w:pPr>
        <w:pStyle w:val="BodyText"/>
        <w:spacing w:line="284" w:lineRule="exact" w:before="47"/>
        <w:ind w:leftChars="0" w:left="272"/>
        <w:jc w:val="center"/>
        <w:topLinePunct/>
      </w:pPr>
      <w:r>
        <w:br w:type="column"/>
      </w:r>
      <w:r>
        <w:t>现券价格波动</w:t>
      </w:r>
      <w:r>
        <w:rPr>
          <w:rFonts w:ascii="Cambria Math" w:eastAsia="Cambria Math"/>
        </w:rPr>
        <w:t>/</w:t>
      </w:r>
      <w:r>
        <w:t>收益率波动</w:t>
      </w:r>
    </w:p>
    <w:p w:rsidR="0018722C">
      <w:pPr>
        <w:pStyle w:val="ae"/>
        <w:topLinePunct/>
      </w:pPr>
      <w:r>
        <w:pict>
          <v:line style="position:absolute;mso-position-horizontal-relative:page;mso-position-vertical-relative:paragraph;z-index:1072" from="240.529999pt,5.508148pt" to="402.429999pt,5.508148pt" stroked="true" strokeweight=".84003pt" strokecolor="#000000">
            <v:stroke dashstyle="solid"/>
            <w10:wrap type="none"/>
          </v:line>
        </w:pict>
      </w:r>
      <w:r>
        <w:rPr>
          <w:rFonts w:ascii="Cambria Math"/>
        </w:rPr>
        <w:t>=</w:t>
      </w:r>
    </w:p>
    <w:p w:rsidR="0018722C">
      <w:pPr>
        <w:pStyle w:val="BodyText"/>
        <w:spacing w:line="274" w:lineRule="exact"/>
        <w:ind w:leftChars="0" w:left="272"/>
        <w:jc w:val="center"/>
        <w:topLinePunct/>
      </w:pPr>
      <w:r>
        <w:t>期货合约价格波动</w:t>
      </w:r>
      <w:r>
        <w:rPr>
          <w:rFonts w:ascii="Cambria Math" w:eastAsia="Cambria Math"/>
        </w:rPr>
        <w:t>/</w:t>
      </w:r>
      <w:r>
        <w:t>收益率波动</w:t>
      </w:r>
    </w:p>
    <w:p w:rsidR="0018722C">
      <w:pPr>
        <w:pStyle w:val="BodyText"/>
        <w:spacing w:line="284" w:lineRule="exact" w:before="47"/>
        <w:ind w:leftChars="0" w:left="225" w:rightChars="0" w:right="607"/>
        <w:jc w:val="center"/>
        <w:rPr>
          <w:rFonts w:ascii="Cambria Math" w:eastAsia="Cambria Math"/>
        </w:rPr>
        <w:topLinePunct/>
      </w:pPr>
      <w:r>
        <w:br w:type="column"/>
      </w:r>
      <w:r>
        <w:t>现券</w:t>
      </w:r>
      <w:r>
        <w:rPr>
          <w:rFonts w:ascii="Cambria Math" w:eastAsia="Cambria Math"/>
        </w:rPr>
        <w:t>BPV</w:t>
      </w:r>
    </w:p>
    <w:p w:rsidR="0018722C">
      <w:pPr>
        <w:pStyle w:val="ae"/>
        <w:topLinePunct/>
      </w:pPr>
      <w:r>
        <w:pict>
          <v:line style="position:absolute;mso-position-horizontal-relative:page;mso-position-vertical-relative:paragraph;z-index:1096" from="418.059998pt,5.508148pt" to="490.419998pt,5.508148pt" stroked="true" strokeweight=".84003pt" strokecolor="#000000">
            <v:stroke dashstyle="solid"/>
            <w10:wrap type="none"/>
          </v:line>
        </w:pict>
      </w:r>
      <w:r>
        <w:rPr>
          <w:rFonts w:ascii="Cambria Math"/>
        </w:rPr>
        <w:t>=</w:t>
      </w:r>
    </w:p>
    <w:p w:rsidR="0018722C">
      <w:pPr>
        <w:pStyle w:val="BodyText"/>
        <w:spacing w:line="274" w:lineRule="exact"/>
        <w:ind w:leftChars="0" w:left="225" w:rightChars="0" w:right="607"/>
        <w:jc w:val="center"/>
        <w:rPr>
          <w:rFonts w:ascii="Cambria Math" w:eastAsia="Cambria Math"/>
        </w:rPr>
        <w:topLinePunct/>
      </w:pPr>
      <w:r>
        <w:t>期货合约</w:t>
      </w:r>
      <w:r>
        <w:rPr>
          <w:rFonts w:ascii="Cambria Math" w:eastAsia="Cambria Math"/>
        </w:rPr>
        <w:t>BPV</w:t>
      </w:r>
    </w:p>
    <w:p w:rsidR="0018722C">
      <w:pPr>
        <w:spacing w:after="0" w:line="274" w:lineRule="auto"/>
        <w:jc w:val="center"/>
        <w:rPr>
          <w:rFonts w:ascii="Cambria Math" w:eastAsia="Cambria Math"/>
        </w:rPr>
        <w:sectPr w:rsidR="00556256">
          <w:type w:val="continuous"/>
          <w:pgSz w:w="11910" w:h="16840"/>
          <w:pgMar w:top="1500" w:bottom="280" w:left="1660" w:right="1440"/>
          <w:cols w:num="3" w:equalWidth="0">
            <w:col w:w="2839" w:space="40"/>
            <w:col w:w="3511" w:space="39"/>
            <w:col w:w="2381"/>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Cambria Math" w:hAnsi="宋体" w:eastAsia="宋体" w:cs="宋体"/>
        </w:rPr>
      </w:pPr>
    </w:p>
    <w:p w:rsidR="0018722C">
      <w:pPr>
        <w:topLinePunct/>
      </w:pPr>
      <w:r>
        <w:t>然而，利用基点价值进行套期保值方案设计是较为粗糙的方法，有一个最为关键的问题：假定套期保值的现货标的与最便宜交割券</w:t>
      </w:r>
      <w:r>
        <w:t>（</w:t>
      </w:r>
      <w:r>
        <w:rPr>
          <w:rFonts w:ascii="Times New Roman" w:eastAsia="宋体"/>
        </w:rPr>
        <w:t>CTD</w:t>
      </w:r>
      <w:r>
        <w:t>）</w:t>
      </w:r>
      <w:r/>
      <w:r w:rsidR="001852F3">
        <w:t xml:space="preserve">券的利率变动</w:t>
      </w:r>
      <w:r>
        <w:t>水平一致。事实上，各利率期限并非平行移动，当收益率的中枢发生变化时，或</w:t>
      </w:r>
      <w:r>
        <w:t>平坦或陡峭化形变。当收益率上升的</w:t>
      </w:r>
      <w:r>
        <w:t>时候</w:t>
      </w:r>
      <w:r>
        <w:t>，收益率曲线倾向于扁平；当收益率下降的</w:t>
      </w:r>
      <w:r>
        <w:t>时候</w:t>
      </w:r>
      <w:r>
        <w:t>，收益率曲线变得陡峭。因此，依据基点价值估算的套期保值比率会产生偏差，需要根据收益率曲线的特征进行进一步的修正。</w:t>
      </w:r>
    </w:p>
    <w:p w:rsidR="0018722C">
      <w:pPr>
        <w:topLinePunct/>
      </w:pPr>
      <w:r>
        <w:rPr>
          <w:rFonts w:cstheme="minorBidi" w:hAnsiTheme="minorHAnsi" w:eastAsiaTheme="minorHAnsi" w:asciiTheme="minorHAnsi" w:ascii="Calibri"/>
        </w:rPr>
        <w:t>17</w:t>
      </w:r>
    </w:p>
    <w:p w:rsidR="0018722C">
      <w:pPr>
        <w:pStyle w:val="Heading3"/>
        <w:topLinePunct/>
        <w:ind w:left="200" w:hangingChars="200" w:hanging="200"/>
      </w:pPr>
      <w:bookmarkStart w:id="737404" w:name="_Toc686737404"/>
      <w:bookmarkStart w:name="_bookmark22" w:id="39"/>
      <w:bookmarkEnd w:id="39"/>
      <w:r>
        <w:t>3.2.2</w:t>
      </w:r>
      <w:r>
        <w:t xml:space="preserve"> </w:t>
      </w:r>
      <w:bookmarkStart w:name="_bookmark22" w:id="40"/>
      <w:bookmarkEnd w:id="40"/>
      <w:r>
        <w:t>普通最小二乘法模型</w:t>
      </w:r>
      <w:r>
        <w:t>（</w:t>
      </w:r>
      <w:r>
        <w:t>OLS</w:t>
      </w:r>
      <w:r>
        <w:t>）</w:t>
      </w:r>
      <w:bookmarkEnd w:id="737404"/>
    </w:p>
    <w:p w:rsidR="0018722C">
      <w:pPr>
        <w:topLinePunct/>
      </w:pPr>
      <w:r>
        <w:t>普通最小二乘法模型是最为传统的计量模型，其核心思想为构建现货价格与</w:t>
      </w:r>
      <w:r>
        <w:t>期货价值之间的线性关系，估计其最小方差，以求得最优套期保值比率。具体的</w:t>
      </w:r>
      <w:r>
        <w:t>方法即为：利用现货价格和期货价格进行线性回归，建立模型，模型中所求得的斜率即为所求套期保值比率。</w:t>
      </w:r>
    </w:p>
    <w:p w:rsidR="0018722C">
      <w:pPr>
        <w:topLinePunct/>
      </w:pPr>
      <w:r>
        <w:t>通过回归模型建立出现货价格与期货价格的变动之间的线性关系：</w:t>
      </w:r>
    </w:p>
    <w:p w:rsidR="0018722C">
      <w:pPr>
        <w:spacing w:before="207"/>
        <w:ind w:leftChars="0" w:left="3429" w:rightChars="0" w:right="0" w:firstLineChars="0" w:firstLine="0"/>
        <w:jc w:val="left"/>
        <w:topLinePunct/>
      </w:pPr>
      <w:r>
        <w:rPr>
          <w:kern w:val="2"/>
          <w:sz w:val="24"/>
          <w:szCs w:val="22"/>
          <w:rFonts w:cstheme="minorBidi" w:hAnsiTheme="minorHAnsi" w:eastAsiaTheme="minorHAnsi" w:asciiTheme="minorHAnsi" w:ascii="Times New Roman" w:hAnsi="Times New Roman"/>
        </w:rPr>
        <w:t>ΔlnS</w:t>
      </w:r>
      <w:r>
        <w:rPr>
          <w:kern w:val="2"/>
          <w:szCs w:val="22"/>
          <w:rFonts w:ascii="Times New Roman" w:hAnsi="Times New Roman" w:cstheme="minorBidi" w:eastAsiaTheme="minorHAnsi"/>
          <w:position w:val="-2"/>
          <w:sz w:val="16"/>
        </w:rPr>
        <w:t>t </w:t>
      </w:r>
      <w:r>
        <w:rPr>
          <w:kern w:val="2"/>
          <w:szCs w:val="22"/>
          <w:rFonts w:ascii="Times New Roman" w:hAnsi="Times New Roman" w:cstheme="minorBidi" w:eastAsiaTheme="minorHAnsi"/>
          <w:sz w:val="24"/>
        </w:rPr>
        <w:t>= c + aΔlnF</w:t>
      </w:r>
      <w:r>
        <w:rPr>
          <w:kern w:val="2"/>
          <w:szCs w:val="22"/>
          <w:rFonts w:ascii="Times New Roman" w:hAnsi="Times New Roman" w:cstheme="minorBidi" w:eastAsiaTheme="minorHAnsi"/>
          <w:position w:val="-2"/>
          <w:sz w:val="16"/>
        </w:rPr>
        <w:t>t </w:t>
      </w:r>
      <w:r>
        <w:rPr>
          <w:kern w:val="2"/>
          <w:szCs w:val="22"/>
          <w:rFonts w:ascii="Times New Roman" w:hAnsi="Times New Roman" w:cstheme="minorBidi" w:eastAsiaTheme="minorHAnsi"/>
          <w:sz w:val="24"/>
        </w:rPr>
        <w:t>+</w:t>
      </w:r>
      <w:r>
        <w:rPr>
          <w:kern w:val="2"/>
          <w:szCs w:val="22"/>
          <w:rFonts w:ascii="Arial" w:hAnsi="Arial" w:cstheme="minorBidi" w:eastAsiaTheme="minorHAnsi"/>
          <w:sz w:val="21"/>
        </w:rPr>
        <w:t>ε</w:t>
      </w:r>
      <w:r>
        <w:rPr>
          <w:kern w:val="2"/>
          <w:szCs w:val="22"/>
          <w:rFonts w:ascii="Arial" w:hAnsi="Arial" w:cstheme="minorBidi" w:eastAsiaTheme="minorHAnsi"/>
          <w:position w:val="-2"/>
          <w:sz w:val="14"/>
        </w:rPr>
        <w:t>t</w:t>
      </w:r>
    </w:p>
    <w:p w:rsidR="0018722C">
      <w:pPr>
        <w:topLinePunct/>
      </w:pPr>
      <w:r>
        <w:t>其中，</w:t>
      </w:r>
      <w:r>
        <w:rPr>
          <w:rFonts w:ascii="Times New Roman" w:hAnsi="Times New Roman" w:eastAsia="Times New Roman"/>
        </w:rPr>
        <w:t>ΔlnS</w:t>
      </w:r>
      <w:r>
        <w:rPr>
          <w:rFonts w:ascii="Times New Roman" w:hAnsi="Times New Roman" w:eastAsia="Times New Roman"/>
        </w:rPr>
        <w:t>t</w:t>
      </w:r>
      <w:r>
        <w:t>是第</w:t>
      </w:r>
      <w:r>
        <w:rPr>
          <w:rFonts w:ascii="Times New Roman" w:hAnsi="Times New Roman" w:eastAsia="Times New Roman"/>
        </w:rPr>
        <w:t>t</w:t>
      </w:r>
      <w:r>
        <w:t>日现货价格的收益率，</w:t>
      </w:r>
      <w:r>
        <w:rPr>
          <w:rFonts w:ascii="Times New Roman" w:hAnsi="Times New Roman" w:eastAsia="Times New Roman"/>
        </w:rPr>
        <w:t>c</w:t>
      </w:r>
      <w:r>
        <w:t>是回归方程的常数项，</w:t>
      </w:r>
      <w:r>
        <w:rPr>
          <w:rFonts w:ascii="Times New Roman" w:hAnsi="Times New Roman" w:eastAsia="Times New Roman"/>
        </w:rPr>
        <w:t>a</w:t>
      </w:r>
      <w:r>
        <w:t>是回归</w:t>
      </w:r>
      <w:r>
        <w:t>方程的斜率项，也是所求套期保值比率</w:t>
      </w:r>
      <w:r>
        <w:rPr>
          <w:rFonts w:ascii="Times New Roman" w:hAnsi="Times New Roman" w:eastAsia="Times New Roman"/>
        </w:rPr>
        <w:t>h</w:t>
      </w:r>
      <w:r>
        <w:t>，</w:t>
      </w:r>
      <w:r>
        <w:rPr>
          <w:rFonts w:ascii="Times New Roman" w:hAnsi="Times New Roman" w:eastAsia="Times New Roman"/>
        </w:rPr>
        <w:t>ΔlnF</w:t>
      </w:r>
      <w:r>
        <w:rPr>
          <w:rFonts w:ascii="Times New Roman" w:hAnsi="Times New Roman" w:eastAsia="Times New Roman"/>
        </w:rPr>
        <w:t>t</w:t>
      </w:r>
      <w:r>
        <w:t>是第</w:t>
      </w:r>
      <w:r>
        <w:rPr>
          <w:rFonts w:ascii="Times New Roman" w:hAnsi="Times New Roman" w:eastAsia="Times New Roman"/>
        </w:rPr>
        <w:t>t</w:t>
      </w:r>
      <w:r>
        <w:t>日期货价格的收益率，</w:t>
      </w:r>
      <w:r>
        <w:rPr>
          <w:rFonts w:ascii="Arial" w:hAnsi="Arial" w:eastAsia="Arial"/>
        </w:rPr>
        <w:t>ε</w:t>
      </w:r>
      <w:r>
        <w:rPr>
          <w:vertAlign w:val="subscript"/>
          <w:rFonts w:ascii="Arial" w:hAnsi="Arial" w:eastAsia="Arial"/>
        </w:rPr>
        <w:t>t</w:t>
      </w:r>
      <w:r>
        <w:t>是随机误差项。</w:t>
      </w:r>
    </w:p>
    <w:p w:rsidR="0018722C">
      <w:pPr>
        <w:topLinePunct/>
      </w:pPr>
      <w:r>
        <w:t>普通最小二乘法</w:t>
      </w:r>
      <w:r>
        <w:t>（</w:t>
      </w:r>
      <w:r>
        <w:rPr>
          <w:rFonts w:ascii="Times New Roman" w:eastAsia="Times New Roman"/>
        </w:rPr>
        <w:t>OLS</w:t>
      </w:r>
      <w:r>
        <w:t>）</w:t>
      </w:r>
      <w:r>
        <w:t>的缺陷：</w:t>
      </w:r>
    </w:p>
    <w:p w:rsidR="0018722C">
      <w:pPr>
        <w:topLinePunct/>
      </w:pPr>
      <w:r>
        <w:t>（</w:t>
      </w:r>
      <w:r>
        <w:rPr>
          <w:rFonts w:ascii="Times New Roman" w:eastAsia="Times New Roman"/>
        </w:rPr>
        <w:t>1</w:t>
      </w:r>
      <w:r>
        <w:t>）</w:t>
      </w:r>
      <w:r>
        <w:t>该模型只考虑了期货与现货收益率的线性关系，缺少对期货与现货之</w:t>
      </w:r>
      <w:r>
        <w:t>间相关性的解释。因此在期现货市场发生重大事件出现剧烈的波动时，两者的时</w:t>
      </w:r>
      <w:r>
        <w:t>间序列常常出现非线性关系，无法利用该模型的线性相关系数描述此种关系。</w:t>
      </w:r>
    </w:p>
    <w:p w:rsidR="0018722C">
      <w:pPr>
        <w:topLinePunct/>
      </w:pPr>
      <w:bookmarkStart w:id="737418" w:name="_cwCmt1"/>
      <w:r>
        <w:t>（</w:t>
      </w:r>
      <w:r>
        <w:rPr>
          <w:rFonts w:ascii="Times New Roman" w:eastAsia="Times New Roman"/>
        </w:rPr>
        <w:t>2</w:t>
      </w:r>
      <w:r>
        <w:t>）</w:t>
      </w:r>
      <w:r>
        <w:t>现有的诸多研究结果大部分是在正态分布的假设下完成的，而现实很</w:t>
      </w:r>
      <w:r>
        <w:t>多情况下出现的金融时间序列往往为非正态分布，使得普通线性回归结果常常失</w:t>
      </w:r>
      <w:r>
        <w:t>真。</w:t>
      </w:r>
      <w:bookmarkEnd w:id="737418"/>
    </w:p>
    <w:p w:rsidR="0018722C">
      <w:pPr>
        <w:topLinePunct/>
      </w:pPr>
      <w:r>
        <w:t>（</w:t>
      </w:r>
      <w:r>
        <w:rPr>
          <w:rFonts w:ascii="Times New Roman" w:eastAsia="Times New Roman"/>
        </w:rPr>
        <w:t>4</w:t>
      </w:r>
      <w:r>
        <w:t>）</w:t>
      </w:r>
      <w:r>
        <w:t>金融领域多数时间序列本身是非平稳的，利用</w:t>
      </w:r>
      <w:r>
        <w:rPr>
          <w:rFonts w:ascii="Times New Roman" w:eastAsia="Times New Roman"/>
        </w:rPr>
        <w:t>OLS</w:t>
      </w:r>
      <w:r>
        <w:t>模型回归容易造成</w:t>
      </w:r>
      <w:r>
        <w:t>为虚假回归。</w:t>
      </w:r>
    </w:p>
    <w:p w:rsidR="0018722C">
      <w:pPr>
        <w:pStyle w:val="Heading3"/>
        <w:topLinePunct/>
        <w:ind w:left="200" w:hangingChars="200" w:hanging="200"/>
      </w:pPr>
      <w:bookmarkStart w:id="737405" w:name="_Toc686737405"/>
      <w:bookmarkStart w:name="_bookmark23" w:id="41"/>
      <w:bookmarkEnd w:id="41"/>
      <w:r>
        <w:t>3.2.3</w:t>
      </w:r>
      <w:r>
        <w:t xml:space="preserve"> </w:t>
      </w:r>
      <w:bookmarkStart w:name="_bookmark23" w:id="42"/>
      <w:bookmarkEnd w:id="42"/>
      <w:r>
        <w:t>双变量自回归模型</w:t>
      </w:r>
      <w:r>
        <w:t>（</w:t>
      </w:r>
      <w:r>
        <w:t>B-VAR</w:t>
      </w:r>
      <w:r>
        <w:t>）</w:t>
      </w:r>
      <w:bookmarkEnd w:id="737405"/>
    </w:p>
    <w:p w:rsidR="0018722C">
      <w:pPr>
        <w:topLinePunct/>
      </w:pPr>
      <w:r>
        <w:t>最小二乘法模型</w:t>
      </w:r>
      <w:r>
        <w:t>（</w:t>
      </w:r>
      <w:r>
        <w:rPr>
          <w:rFonts w:ascii="Times New Roman" w:eastAsia="Times New Roman"/>
        </w:rPr>
        <w:t>OLS</w:t>
      </w:r>
      <w:r>
        <w:t>）</w:t>
      </w:r>
      <w:r>
        <w:t xml:space="preserve">是研究套期保值比率的最简单的一种模型，应用也是最为广泛，但是却有着致命的缺陷，无法解释价格序列之间存在的自相关性，</w:t>
      </w:r>
      <w:r>
        <w:t>而且该模型方程所包含的信息量也较小。</w:t>
      </w:r>
      <w:r>
        <w:rPr>
          <w:rFonts w:ascii="Times New Roman" w:eastAsia="Times New Roman"/>
        </w:rPr>
        <w:t>Myers</w:t>
      </w:r>
      <w:r>
        <w:t>和</w:t>
      </w:r>
      <w:r>
        <w:rPr>
          <w:rFonts w:ascii="Times New Roman" w:eastAsia="Times New Roman"/>
        </w:rPr>
        <w:t>Thompson</w:t>
      </w:r>
      <w:r>
        <w:t>于</w:t>
      </w:r>
      <w:r>
        <w:rPr>
          <w:rFonts w:ascii="Times New Roman" w:eastAsia="Times New Roman"/>
        </w:rPr>
        <w:t>1989</w:t>
      </w:r>
      <w:r>
        <w:t>年提出了双变量自回归模型</w:t>
      </w:r>
      <w:r>
        <w:t>（</w:t>
      </w:r>
      <w:r>
        <w:rPr>
          <w:rFonts w:ascii="Times New Roman" w:eastAsia="Times New Roman"/>
          <w:spacing w:val="-1"/>
        </w:rPr>
        <w:t>B</w:t>
      </w:r>
      <w:r>
        <w:rPr>
          <w:rFonts w:ascii="Times New Roman" w:eastAsia="Times New Roman"/>
          <w:spacing w:val="0"/>
        </w:rPr>
        <w:t>-</w:t>
      </w:r>
      <w:r>
        <w:rPr>
          <w:rFonts w:ascii="Times New Roman" w:eastAsia="Times New Roman"/>
          <w:spacing w:val="-15"/>
          <w:w w:val="99"/>
        </w:rPr>
        <w:t>V</w:t>
      </w:r>
      <w:r>
        <w:rPr>
          <w:rFonts w:ascii="Times New Roman" w:eastAsia="Times New Roman"/>
          <w:w w:val="99"/>
        </w:rPr>
        <w:t>AR</w:t>
      </w:r>
      <w:r>
        <w:t>）</w:t>
      </w:r>
      <w:r>
        <w:t>，在解释金融时间序列之间自相关性的同时，还增加</w:t>
      </w:r>
      <w:r>
        <w:t>了模型的信息量，建立模型如下：</w:t>
      </w:r>
    </w:p>
    <w:p w:rsidR="0018722C">
      <w:pPr>
        <w:tabs>
          <w:tab w:pos="1754" w:val="left" w:leader="none"/>
        </w:tabs>
        <w:spacing w:before="44"/>
        <w:ind w:leftChars="0" w:left="0" w:rightChars="0" w:right="291" w:firstLineChars="0" w:firstLine="0"/>
        <w:jc w:val="center"/>
        <w:topLinePunct/>
      </w:pPr>
      <w:r>
        <w:rPr>
          <w:kern w:val="2"/>
          <w:sz w:val="17"/>
          <w:szCs w:val="22"/>
          <w:rFonts w:cstheme="minorBidi" w:hAnsiTheme="minorHAnsi" w:eastAsiaTheme="minorHAnsi" w:asciiTheme="minorHAnsi" w:ascii="Cambria Math" w:eastAsia="Cambria Math"/>
          <w:w w:val="115"/>
        </w:rPr>
        <w:t>𝑛</w:t>
      </w:r>
      <w:r w:rsidR="001852F3">
        <w:rPr>
          <w:kern w:val="2"/>
          <w:sz w:val="22"/>
          <w:szCs w:val="22"/>
          <w:rFonts w:cstheme="minorBidi" w:hAnsiTheme="minorHAnsi" w:eastAsiaTheme="minorHAnsi" w:asciiTheme="minorHAnsi"/>
        </w:rPr>
        <w:t>𝑛</w:t>
      </w:r>
    </w:p>
    <w:p w:rsidR="0018722C">
      <w:pPr>
        <w:topLinePunct/>
      </w:pPr>
      <w:r w:rsidR="001852F3">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𝐶</w:t>
      </w:r>
      <w:r>
        <w:rPr>
          <w:rFonts w:ascii="Cambria Math" w:hAnsi="Cambria Math" w:eastAsia="Cambria Math" w:cstheme="minorBidi"/>
        </w:rPr>
        <w:t>𝑠</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𝛼</w:t>
      </w:r>
      <w:r>
        <w:rPr>
          <w:rFonts w:ascii="Cambria Math" w:hAnsi="Cambria Math" w:eastAsia="Cambria Math" w:cstheme="minorBidi"/>
        </w:rPr>
        <w:t>𝑠k</w:t>
      </w:r>
      <w:r>
        <w:rPr>
          <w:rFonts w:ascii="Cambria Math" w:hAnsi="Cambria Math" w:eastAsia="Cambria Math" w:cstheme="minorBidi"/>
        </w:rPr>
        <w:t>        </w:t>
      </w:r>
      <w:r>
        <w:rPr>
          <w:rFonts w:ascii="Cambria Math" w:hAnsi="Cambria Math" w:eastAsia="Cambria Math" w:cstheme="minorBidi"/>
        </w:rPr>
        <w:t>    k </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𝛽</w:t>
      </w:r>
      <w:r>
        <w:rPr>
          <w:rFonts w:ascii="Cambria Math" w:hAnsi="Cambria Math" w:eastAsia="Cambria Math" w:cstheme="minorBidi"/>
        </w:rPr>
        <w:t>𝑠𝑘</w:t>
      </w:r>
      <w:r w:rsidR="001852F3">
        <w:rPr>
          <w:rFonts w:ascii="Cambria Math" w:hAnsi="Cambria Math" w:eastAsia="Cambria Math" w:cstheme="minorBidi"/>
        </w:rPr>
        <w:t xml:space="preserve">        </w:t>
      </w:r>
      <w:r w:rsidR="001852F3">
        <w:rPr>
          <w:rFonts w:ascii="Cambria Math" w:hAnsi="Cambria Math" w:eastAsia="Cambria Math" w:cstheme="minorBidi"/>
        </w:rPr>
        <w:t xml:space="preserve">    k </w:t>
      </w:r>
      <w:r>
        <w:rPr>
          <w:rFonts w:ascii="Cambria Math" w:hAnsi="Cambria Math" w:eastAsia="Cambria Math" w:cstheme="minorBidi"/>
        </w:rPr>
        <w:t>+</w:t>
      </w:r>
      <w:r w:rsidR="001852F3">
        <w:rPr>
          <w:rFonts w:ascii="Cambria Math" w:hAnsi="Cambria Math" w:eastAsia="Cambria Math" w:cstheme="minorBidi"/>
        </w:rPr>
        <w:t xml:space="preserve">𝜀</w:t>
      </w:r>
      <w:r>
        <w:rPr>
          <w:rFonts w:ascii="Cambria Math" w:hAnsi="Cambria Math" w:eastAsia="Cambria Math" w:cstheme="minorBidi"/>
        </w:rPr>
        <w:t>𝑠</w:t>
      </w:r>
    </w:p>
    <w:p w:rsidR="0018722C">
      <w:pPr>
        <w:tabs>
          <w:tab w:pos="1754" w:val="left" w:leader="none"/>
        </w:tabs>
        <w:spacing w:before="57"/>
        <w:ind w:leftChars="0" w:left="0" w:rightChars="0" w:right="286" w:firstLineChars="0" w:firstLine="0"/>
        <w:jc w:val="center"/>
        <w:topLinePunct/>
      </w:pPr>
      <w:r>
        <w:rPr>
          <w:kern w:val="2"/>
          <w:sz w:val="17"/>
          <w:szCs w:val="22"/>
          <w:rFonts w:cstheme="minorBidi" w:hAnsiTheme="minorHAnsi" w:eastAsiaTheme="minorHAnsi" w:asciiTheme="minorHAnsi" w:ascii="Cambria Math" w:eastAsia="Cambria Math"/>
          <w:w w:val="105"/>
        </w:rPr>
        <w:t>𝑘=1</w:t>
      </w:r>
      <w:r w:rsidR="001852F3">
        <w:rPr>
          <w:kern w:val="2"/>
          <w:sz w:val="22"/>
          <w:szCs w:val="22"/>
          <w:rFonts w:cstheme="minorBidi" w:hAnsiTheme="minorHAnsi" w:eastAsiaTheme="minorHAnsi" w:asciiTheme="minorHAnsi"/>
        </w:rPr>
        <w:t>𝑘=1</w:t>
      </w:r>
    </w:p>
    <w:p w:rsidR="0018722C">
      <w:pPr>
        <w:topLinePunct/>
      </w:pPr>
      <w:r>
        <w:rPr>
          <w:rFonts w:cstheme="minorBidi" w:hAnsiTheme="minorHAnsi" w:eastAsiaTheme="minorHAnsi" w:asciiTheme="minorHAnsi" w:ascii="Calibri"/>
        </w:rPr>
        <w:t>18</w:t>
      </w:r>
    </w:p>
    <w:p w:rsidR="0018722C">
      <w:pPr>
        <w:tabs>
          <w:tab w:pos="1766" w:val="left" w:leader="none"/>
        </w:tabs>
        <w:spacing w:before="101"/>
        <w:ind w:leftChars="0" w:left="0" w:rightChars="0" w:right="356" w:firstLineChars="0" w:firstLine="0"/>
        <w:jc w:val="center"/>
        <w:topLinePunct/>
      </w:pPr>
      <w:r>
        <w:rPr>
          <w:kern w:val="2"/>
          <w:sz w:val="17"/>
          <w:szCs w:val="22"/>
          <w:rFonts w:cstheme="minorBidi" w:hAnsiTheme="minorHAnsi" w:eastAsiaTheme="minorHAnsi" w:asciiTheme="minorHAnsi" w:ascii="Cambria Math" w:eastAsia="Cambria Math"/>
          <w:w w:val="115"/>
        </w:rPr>
        <w:t>𝑛</w:t>
      </w:r>
      <w:r w:rsidR="001852F3">
        <w:rPr>
          <w:kern w:val="2"/>
          <w:sz w:val="22"/>
          <w:szCs w:val="22"/>
          <w:rFonts w:cstheme="minorBidi" w:hAnsiTheme="minorHAnsi" w:eastAsiaTheme="minorHAnsi" w:asciiTheme="minorHAnsi"/>
        </w:rPr>
        <w:t>𝑛</w:t>
      </w:r>
    </w:p>
    <w:p w:rsidR="0018722C">
      <w:pPr>
        <w:topLinePunct/>
      </w:pPr>
      <w:r w:rsidR="001852F3">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𝐶</w:t>
      </w:r>
      <w:r>
        <w:rPr>
          <w:rFonts w:ascii="Cambria Math" w:hAnsi="Cambria Math" w:eastAsia="Cambria Math" w:cstheme="minorBidi"/>
        </w:rPr>
        <w:t>𝑓</w:t>
      </w:r>
      <w:r w:rsidR="001852F3">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𝛼</w:t>
      </w:r>
      <w:r>
        <w:rPr>
          <w:rFonts w:ascii="Cambria Math" w:hAnsi="Cambria Math" w:eastAsia="Cambria Math" w:cstheme="minorBidi"/>
        </w:rPr>
        <w:t>𝑓k</w:t>
      </w:r>
      <w:r>
        <w:rPr>
          <w:rFonts w:ascii="Cambria Math" w:hAnsi="Cambria Math" w:eastAsia="Cambria Math" w:cstheme="minorBidi"/>
        </w:rPr>
        <w:t>         </w:t>
      </w:r>
      <w:r>
        <w:rPr>
          <w:rFonts w:ascii="Cambria Math" w:hAnsi="Cambria Math" w:eastAsia="Cambria Math" w:cstheme="minorBidi"/>
        </w:rPr>
        <w:t>     k</w:t>
      </w:r>
      <w:r w:rsidR="001852F3">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𝛽</w:t>
      </w:r>
      <w:r>
        <w:rPr>
          <w:rFonts w:ascii="Cambria Math" w:hAnsi="Cambria Math" w:eastAsia="Cambria Math" w:cstheme="minorBidi"/>
        </w:rPr>
        <w:t>𝑓𝑘</w:t>
      </w:r>
      <w:r w:rsidR="001852F3">
        <w:rPr>
          <w:rFonts w:ascii="Cambria Math" w:hAnsi="Cambria Math" w:eastAsia="Cambria Math" w:cstheme="minorBidi"/>
        </w:rPr>
        <w:t xml:space="preserve">       </w:t>
      </w:r>
      <w:r w:rsidR="001852F3">
        <w:rPr>
          <w:rFonts w:ascii="Cambria Math" w:hAnsi="Cambria Math" w:eastAsia="Cambria Math" w:cstheme="minorBidi"/>
        </w:rPr>
        <w:t xml:space="preserve">   k </w:t>
      </w:r>
      <w:r>
        <w:rPr>
          <w:rFonts w:ascii="Cambria Math" w:hAnsi="Cambria Math" w:eastAsia="Cambria Math" w:cstheme="minorBidi"/>
        </w:rPr>
        <w:t>+</w:t>
      </w:r>
      <w:r w:rsidR="001852F3">
        <w:rPr>
          <w:rFonts w:ascii="Cambria Math" w:hAnsi="Cambria Math" w:eastAsia="Cambria Math" w:cstheme="minorBidi"/>
        </w:rPr>
        <w:t xml:space="preserve">𝜀</w:t>
      </w:r>
      <w:r>
        <w:rPr>
          <w:rFonts w:ascii="Cambria Math" w:hAnsi="Cambria Math" w:eastAsia="Cambria Math" w:cstheme="minorBidi"/>
        </w:rPr>
        <w:t>𝑓</w:t>
      </w:r>
    </w:p>
    <w:p w:rsidR="0018722C">
      <w:pPr>
        <w:tabs>
          <w:tab w:pos="1766" w:val="left" w:leader="none"/>
        </w:tabs>
        <w:spacing w:before="58"/>
        <w:ind w:leftChars="0" w:left="0" w:rightChars="0" w:right="352" w:firstLineChars="0" w:firstLine="0"/>
        <w:jc w:val="center"/>
        <w:topLinePunct/>
      </w:pPr>
      <w:r>
        <w:rPr>
          <w:kern w:val="2"/>
          <w:sz w:val="17"/>
          <w:szCs w:val="22"/>
          <w:rFonts w:cstheme="minorBidi" w:hAnsiTheme="minorHAnsi" w:eastAsiaTheme="minorHAnsi" w:asciiTheme="minorHAnsi" w:ascii="Cambria Math" w:eastAsia="Cambria Math"/>
          <w:w w:val="105"/>
        </w:rPr>
        <w:t>𝑘=1</w:t>
      </w:r>
      <w:r w:rsidR="001852F3">
        <w:rPr>
          <w:kern w:val="2"/>
          <w:sz w:val="22"/>
          <w:szCs w:val="22"/>
          <w:rFonts w:cstheme="minorBidi" w:hAnsiTheme="minorHAnsi" w:eastAsiaTheme="minorHAnsi" w:asciiTheme="minorHAnsi"/>
        </w:rPr>
        <w:t>𝑘=1</w:t>
      </w:r>
    </w:p>
    <w:p w:rsidR="0018722C">
      <w:pPr>
        <w:topLinePunct/>
      </w:pPr>
      <w:r>
        <w:t>其中，</w:t>
      </w:r>
      <w:r w:rsidR="001852F3">
        <w:t xml:space="preserve"> </w:t>
      </w:r>
      <w:r/>
      <w:r>
        <w:t>、   </w:t>
      </w:r>
      <w:r>
        <w:t> </w:t>
      </w:r>
      <w:r>
        <w:t>是现货价格和期货价格的对数收益率，</w:t>
      </w:r>
      <w:r>
        <w:rPr>
          <w:rFonts w:ascii="Cambria Math" w:eastAsia="Cambria Math"/>
        </w:rPr>
        <w:t>𝐶</w:t>
      </w:r>
      <w:r>
        <w:rPr>
          <w:rFonts w:ascii="Cambria Math" w:eastAsia="Cambria Math"/>
        </w:rPr>
        <w:t>𝑠</w:t>
      </w:r>
      <w:r>
        <w:t>、</w:t>
      </w:r>
      <w:r>
        <w:rPr>
          <w:rFonts w:ascii="Cambria Math" w:eastAsia="Cambria Math"/>
        </w:rPr>
        <w:t>𝐶</w:t>
      </w:r>
      <w:r>
        <w:rPr>
          <w:rFonts w:ascii="Cambria Math" w:eastAsia="Cambria Math"/>
        </w:rPr>
        <w:t>𝑓</w:t>
      </w:r>
      <w:r>
        <w:t>为方程的常数项，</w:t>
      </w:r>
      <w:r>
        <w:rPr>
          <w:rFonts w:ascii="Cambria Math" w:eastAsia="Cambria Math"/>
        </w:rPr>
        <w:t>𝛼</w:t>
      </w:r>
      <w:r>
        <w:rPr>
          <w:rFonts w:ascii="Cambria Math" w:eastAsia="Cambria Math"/>
        </w:rPr>
        <w:t>𝑠k</w:t>
      </w:r>
      <w:r>
        <w:t>、</w:t>
      </w:r>
      <w:r>
        <w:rPr>
          <w:rFonts w:ascii="Cambria Math" w:eastAsia="Cambria Math"/>
        </w:rPr>
        <w:t>𝛽</w:t>
      </w:r>
      <w:r>
        <w:rPr>
          <w:rFonts w:ascii="Cambria Math" w:eastAsia="Cambria Math"/>
        </w:rPr>
        <w:t>𝑠𝑘</w:t>
      </w:r>
      <w:r>
        <w:t>、</w:t>
      </w:r>
      <w:r>
        <w:rPr>
          <w:rFonts w:ascii="Cambria Math" w:eastAsia="Cambria Math"/>
        </w:rPr>
        <w:t>𝛼</w:t>
      </w:r>
      <w:r>
        <w:rPr>
          <w:rFonts w:ascii="Cambria Math" w:eastAsia="Cambria Math"/>
        </w:rPr>
        <w:t>𝑓k</w:t>
      </w:r>
      <w:r>
        <w:t>、</w:t>
      </w:r>
      <w:r>
        <w:rPr>
          <w:rFonts w:ascii="Cambria Math" w:eastAsia="Cambria Math"/>
        </w:rPr>
        <w:t>𝛽</w:t>
      </w:r>
      <w:r>
        <w:rPr>
          <w:rFonts w:ascii="Cambria Math" w:eastAsia="Cambria Math"/>
        </w:rPr>
        <w:t>𝑓𝑘</w:t>
      </w:r>
      <w:r>
        <w:t>为方程的回归系数，</w:t>
      </w:r>
      <w:r>
        <w:rPr>
          <w:rFonts w:ascii="Cambria Math" w:eastAsia="Cambria Math"/>
        </w:rPr>
        <w:t>𝜀</w:t>
      </w:r>
      <w:r>
        <w:rPr>
          <w:rFonts w:ascii="Cambria Math" w:eastAsia="Cambria Math"/>
        </w:rPr>
        <w:t>𝑠</w:t>
      </w:r>
      <w:r>
        <w:t>、</w:t>
      </w:r>
      <w:r>
        <w:rPr>
          <w:rFonts w:ascii="Cambria Math" w:eastAsia="Cambria Math"/>
        </w:rPr>
        <w:t>𝜀</w:t>
      </w:r>
      <w:r>
        <w:rPr>
          <w:rFonts w:ascii="Cambria Math" w:eastAsia="Cambria Math"/>
        </w:rPr>
        <w:t>𝑓</w:t>
      </w:r>
      <w:r>
        <w:t>为方程独立同分布的残差项。</w:t>
      </w:r>
      <w:r>
        <w:rPr>
          <w:rFonts w:ascii="Times New Roman" w:eastAsia="宋体"/>
        </w:rPr>
        <w:t>B-VAR</w:t>
      </w:r>
      <w:r>
        <w:t>模型最终得到的套期保值比率为：</w:t>
      </w:r>
    </w:p>
    <w:p w:rsidR="0018722C">
      <w:pPr>
        <w:pStyle w:val="ae"/>
        <w:topLinePunct/>
      </w:pPr>
      <w:r>
        <w:pict>
          <v:line style="position:absolute;mso-position-horizontal-relative:page;mso-position-vertical-relative:paragraph;z-index:-56872" from="279.290009pt,21.335426pt" to="340.034009pt,21.335426pt" stroked="true" strokeweight=".84001pt" strokecolor="#000000">
            <v:stroke dashstyle="solid"/>
            <w10:wrap type="none"/>
          </v:line>
        </w:pict>
      </w:r>
      <w:r>
        <w:pict>
          <v:shape style="margin-left:318.670013pt;margin-top:28.299768pt;width:5.15pt;height:10pt;mso-position-horizontal-relative:page;mso-position-vertical-relative:paragraph;z-index:-56848" type="#_x0000_t202" filled="false" stroked="false">
            <v:textbox inset="0,0,0,0">
              <w:txbxContent>
                <w:p w:rsidR="0018722C">
                  <w:pPr>
                    <w:spacing w:before="0"/>
                    <w:ind w:leftChars="0" w:left="0" w:rightChars="0" w:right="0" w:firstLineChars="0" w:firstLine="0"/>
                    <w:jc w:val="left"/>
                    <w:rPr>
                      <w:rFonts w:ascii="Cambria Math" w:eastAsia="Cambria Math"/>
                      <w:sz w:val="17"/>
                    </w:rPr>
                  </w:pPr>
                  <w:r>
                    <w:rPr>
                      <w:rFonts w:ascii="Cambria Math" w:eastAsia="Cambria Math"/>
                      <w:w w:val="105"/>
                      <w:sz w:val="17"/>
                    </w:rPr>
                    <w:t>𝑓</w:t>
                  </w:r>
                </w:p>
              </w:txbxContent>
            </v:textbox>
            <w10:wrap type="none"/>
          </v:shape>
        </w:pict>
      </w:r>
      <w:r>
        <w:rPr>
          <w:rFonts w:ascii="Cambria Math" w:eastAsia="Cambria Math"/>
        </w:rPr>
        <w:t/>
      </w:r>
      <w:r>
        <w:rPr>
          <w:rFonts w:ascii="Cambria Math" w:eastAsia="Cambria Math"/>
        </w:rPr>
        <w:t>C</w:t>
      </w:r>
      <w:r>
        <w:rPr>
          <w:rFonts w:ascii="Cambria Math" w:eastAsia="Cambria Math"/>
        </w:rPr>
        <w:t>ov(𝜀</w:t>
      </w:r>
      <w:r>
        <w:rPr>
          <w:rFonts w:ascii="Cambria Math" w:eastAsia="Cambria Math"/>
          <w:sz w:val="17"/>
        </w:rPr>
        <w:t>�</w:t>
      </w:r>
      <w:r>
        <w:t xml:space="preserve">, </w:t>
      </w:r>
      <w:r>
        <w:rPr>
          <w:rFonts w:ascii="Cambria Math" w:eastAsia="Cambria Math"/>
        </w:rPr>
        <w:t>𝜀</w:t>
      </w:r>
      <w:r>
        <w:rPr>
          <w:rFonts w:ascii="Cambria Math" w:eastAsia="Cambria Math"/>
          <w:sz w:val="17"/>
        </w:rPr>
        <w:t>�</w:t>
      </w:r>
      <w:r>
        <w:rPr>
          <w:rFonts w:ascii="Cambria Math" w:eastAsia="Cambria Math"/>
        </w:rPr>
        <w:t xml:space="preserve">) </w:t>
      </w:r>
      <w:r>
        <w:rPr>
          <w:rFonts w:ascii="Cambria Math" w:eastAsia="Cambria Math"/>
          <w:w w:val="105"/>
        </w:rPr>
        <w:t>H</w:t>
      </w:r>
      <w:r>
        <w:rPr>
          <w:rFonts w:ascii="Cambria Math" w:eastAsia="Cambria Math"/>
          <w:spacing w:val="4"/>
          <w:w w:val="105"/>
        </w:rPr>
        <w:t xml:space="preserve"> </w:t>
      </w:r>
      <w:r>
        <w:rPr>
          <w:rFonts w:ascii="Cambria Math" w:eastAsia="Cambria Math"/>
          <w:w w:val="105"/>
        </w:rPr>
        <w:t>=</w:t>
      </w:r>
      <w:r>
        <w:rPr>
          <w:rFonts w:ascii="Cambria Math" w:eastAsia="Cambria Math"/>
          <w:w w:val="105"/>
        </w:rPr>
        <w:t>𝑣𝑎𝑟(𝜀</w:t>
      </w:r>
      <w:r>
        <w:rPr>
          <w:rFonts w:ascii="Cambria Math" w:eastAsia="Cambria Math"/>
          <w:spacing w:val="15"/>
          <w:w w:val="105"/>
        </w:rPr>
        <w:t xml:space="preserve"> </w:t>
      </w:r>
      <w:r>
        <w:rPr>
          <w:rFonts w:ascii="Cambria Math" w:eastAsia="Cambria Math"/>
          <w:w w:val="105"/>
        </w:rPr>
        <w:t>)</w:t>
      </w:r>
    </w:p>
    <w:p w:rsidR="0018722C">
      <w:pPr>
        <w:topLinePunct/>
      </w:pPr>
      <w:r>
        <w:t>虽然双变量自回归模型解释了时间序列之间的自相关性，也增加了模型的信息量，但仍然忽略的金融时间序列之间的协整关系以及残差序列的异方差性。</w:t>
      </w:r>
    </w:p>
    <w:p w:rsidR="0018722C">
      <w:pPr>
        <w:pStyle w:val="Heading3"/>
        <w:topLinePunct/>
        <w:ind w:left="200" w:hangingChars="200" w:hanging="200"/>
      </w:pPr>
      <w:bookmarkStart w:id="737406" w:name="_Toc686737406"/>
      <w:bookmarkStart w:name="_bookmark24" w:id="43"/>
      <w:bookmarkEnd w:id="43"/>
      <w:r>
        <w:t>3.2.4</w:t>
      </w:r>
      <w:r>
        <w:t xml:space="preserve"> </w:t>
      </w:r>
      <w:bookmarkStart w:name="_bookmark24" w:id="44"/>
      <w:bookmarkEnd w:id="44"/>
      <w:r>
        <w:t>误差修正模型</w:t>
      </w:r>
      <w:r>
        <w:t>（</w:t>
      </w:r>
      <w:r>
        <w:t>ECM</w:t>
      </w:r>
      <w:r>
        <w:t>）</w:t>
      </w:r>
      <w:bookmarkEnd w:id="737406"/>
    </w:p>
    <w:p w:rsidR="0018722C">
      <w:pPr>
        <w:pStyle w:val="4"/>
        <w:topLinePunct/>
        <w:ind w:left="200" w:hangingChars="200" w:hanging="200"/>
      </w:pPr>
      <w:r>
        <w:t>（</w:t>
      </w:r>
      <w:r>
        <w:t>1</w:t>
      </w:r>
      <w:r>
        <w:t>）</w:t>
      </w:r>
      <w:r>
        <w:t>协整的概念</w:t>
      </w:r>
    </w:p>
    <w:p w:rsidR="0018722C">
      <w:pPr>
        <w:topLinePunct/>
      </w:pPr>
      <w:r>
        <w:t>假如时间序列的数学期望和方差随着时间的变化在变化，则该时间序列就是</w:t>
      </w:r>
      <w:r>
        <w:t>非平稳的时间序列。采用传统的线性估计方程对该时间序列进行回归，将导致错</w:t>
      </w:r>
      <w:r>
        <w:t>误的结果，即出现伪回归的现象。如果该非平稳序列经过</w:t>
      </w:r>
      <w:r>
        <w:rPr>
          <w:rFonts w:ascii="Times New Roman" w:eastAsia="Times New Roman"/>
        </w:rPr>
        <w:t>n</w:t>
      </w:r>
      <w:r>
        <w:t>阶差分后成为平稳序</w:t>
      </w:r>
      <w:r>
        <w:t>列，则该时间序列就为</w:t>
      </w:r>
      <w:r>
        <w:rPr>
          <w:rFonts w:ascii="Times New Roman" w:eastAsia="Times New Roman"/>
        </w:rPr>
        <w:t>n</w:t>
      </w:r>
      <w:r>
        <w:t>阶单整序列。若时间序列本身非平稳但是却具有同阶单</w:t>
      </w:r>
      <w:r>
        <w:t>整的性质，其线性组合即为平稳性序列，该时间序列组合序列具备协整关系。</w:t>
      </w:r>
    </w:p>
    <w:p w:rsidR="0018722C">
      <w:pPr>
        <w:topLinePunct/>
      </w:pPr>
      <w:r>
        <w:t>实际市场中，金融时间序列大部分都是非平稳的，通常采用一阶差分的形式</w:t>
      </w:r>
      <w:r>
        <w:t>使之成为平稳序列，然后在此基础上进行建立模型进程研究，但是经过变换之后</w:t>
      </w:r>
      <w:r>
        <w:t>的时间序列并不具备现实的经济意义，不便于解释研究讨论的现实经济问题。故而有了协整模型的提出，为非平稳的时间序列序列提供了另外一种建模的方式。就期货合约而言，如果能够找到其协整关系，则表示两者之间存在长期的稳定关</w:t>
      </w:r>
      <w:r>
        <w:t>系，若短期内市场偏离其长期关系，而于短期内将出现套利机会，投资者可在其回归正常水平之前，获得价差收益。</w:t>
      </w:r>
    </w:p>
    <w:p w:rsidR="0018722C">
      <w:pPr>
        <w:pStyle w:val="4"/>
        <w:topLinePunct/>
        <w:ind w:left="200" w:hangingChars="200" w:hanging="200"/>
      </w:pPr>
      <w:r>
        <w:t>（</w:t>
      </w:r>
      <w:r>
        <w:t>2</w:t>
      </w:r>
      <w:r>
        <w:t>）</w:t>
      </w:r>
      <w:r>
        <w:t>协整检验</w:t>
      </w:r>
    </w:p>
    <w:p w:rsidR="0018722C">
      <w:pPr>
        <w:topLinePunct/>
      </w:pPr>
      <w:r>
        <w:t>协整检验的目的在于检验两种时间学列之间是否存在长期的均衡关系，去除</w:t>
      </w:r>
      <w:r>
        <w:t>伪回归的可能。</w:t>
      </w:r>
      <w:r>
        <w:rPr>
          <w:rFonts w:ascii="Times New Roman" w:eastAsia="Times New Roman"/>
        </w:rPr>
        <w:t>1987</w:t>
      </w:r>
      <w:r>
        <w:t>年，</w:t>
      </w:r>
      <w:r>
        <w:rPr>
          <w:rFonts w:ascii="Times New Roman" w:eastAsia="Times New Roman"/>
        </w:rPr>
        <w:t>Engle</w:t>
      </w:r>
      <w:r>
        <w:t>和</w:t>
      </w:r>
      <w:r>
        <w:rPr>
          <w:rFonts w:ascii="Times New Roman" w:eastAsia="Times New Roman"/>
        </w:rPr>
        <w:t>Granger</w:t>
      </w:r>
      <w:r>
        <w:t>提出了的</w:t>
      </w:r>
      <w:r>
        <w:rPr>
          <w:rFonts w:ascii="Times New Roman" w:eastAsia="Times New Roman"/>
        </w:rPr>
        <w:t>EG</w:t>
      </w:r>
      <w:r>
        <w:t>（</w:t>
      </w:r>
      <w:r>
        <w:rPr>
          <w:rFonts w:ascii="Times New Roman" w:eastAsia="Times New Roman"/>
        </w:rPr>
        <w:t>Engle-Granger</w:t>
      </w:r>
      <w:r>
        <w:t>）</w:t>
      </w:r>
      <w:r>
        <w:t>两步</w:t>
      </w:r>
      <w:r>
        <w:t>协整检验的方法。</w:t>
      </w:r>
    </w:p>
    <w:p w:rsidR="0018722C">
      <w:pPr>
        <w:topLinePunct/>
      </w:pPr>
      <w:r>
        <w:t>首先，利用</w:t>
      </w:r>
      <w:r>
        <w:rPr>
          <w:rFonts w:ascii="Times New Roman" w:eastAsia="Times New Roman"/>
        </w:rPr>
        <w:t>ADF</w:t>
      </w:r>
      <w:r>
        <w:t>方法检验时间序列</w:t>
      </w:r>
      <w:r>
        <w:rPr>
          <w:rFonts w:ascii="Times New Roman" w:eastAsia="Times New Roman"/>
        </w:rPr>
        <w:t>S</w:t>
      </w:r>
      <w:r>
        <w:rPr>
          <w:rFonts w:ascii="Times New Roman" w:eastAsia="Times New Roman"/>
        </w:rPr>
        <w:t>t</w:t>
      </w:r>
      <w:r>
        <w:t>、</w:t>
      </w:r>
      <w:r>
        <w:rPr>
          <w:rFonts w:ascii="Times New Roman" w:eastAsia="Times New Roman"/>
        </w:rPr>
        <w:t>F</w:t>
      </w:r>
      <w:r>
        <w:rPr>
          <w:rFonts w:ascii="Times New Roman" w:eastAsia="Times New Roman"/>
        </w:rPr>
        <w:t>t</w:t>
      </w:r>
      <w:r>
        <w:t>的单整性，如果其一阶差分为平</w:t>
      </w:r>
    </w:p>
    <w:p w:rsidR="0018722C">
      <w:pPr>
        <w:topLinePunct/>
      </w:pPr>
      <w:r>
        <w:rPr>
          <w:rFonts w:cstheme="minorBidi" w:hAnsiTheme="minorHAnsi" w:eastAsiaTheme="minorHAnsi" w:asciiTheme="minorHAnsi" w:ascii="Calibri"/>
        </w:rPr>
        <w:t>19</w:t>
      </w:r>
    </w:p>
    <w:p w:rsidR="0018722C">
      <w:pPr>
        <w:topLinePunct/>
      </w:pPr>
      <w:r>
        <w:t>稳序列，则先利用最小二乘法</w:t>
      </w:r>
      <w:r>
        <w:t>（</w:t>
      </w:r>
      <w:r>
        <w:rPr>
          <w:rFonts w:ascii="Times New Roman" w:eastAsia="Times New Roman"/>
        </w:rPr>
        <w:t>OLS</w:t>
      </w:r>
      <w:r>
        <w:t>）</w:t>
      </w:r>
      <w:r>
        <w:t>模型估计协整关系方程：</w:t>
      </w:r>
    </w:p>
    <w:p w:rsidR="0018722C">
      <w:pPr>
        <w:topLinePunct/>
      </w:pPr>
      <w:r>
        <w:rPr>
          <w:rFonts w:cstheme="minorBidi" w:hAnsiTheme="minorHAnsi" w:eastAsiaTheme="minorHAnsi" w:asciiTheme="minorHAnsi" w:ascii="Times New Roman" w:hAnsi="Times New Roman"/>
        </w:rPr>
        <w:t>S</w:t>
      </w:r>
      <w:r>
        <w:rPr>
          <w:rFonts w:ascii="Times New Roman" w:hAnsi="Times New Roman" w:cstheme="minorBidi" w:eastAsiaTheme="minorHAnsi"/>
        </w:rPr>
        <w:t>t </w:t>
      </w:r>
      <w:r>
        <w:rPr>
          <w:rFonts w:ascii="Times New Roman" w:hAnsi="Times New Roman" w:cstheme="minorBidi" w:eastAsiaTheme="minorHAnsi"/>
        </w:rPr>
        <w:t>=</w:t>
      </w:r>
      <w:hyperlink r:id="rId25">
        <w:r>
          <w:rPr>
            <w:rFonts w:ascii="Times New Roman" w:hAnsi="Times New Roman" w:cstheme="minorBidi" w:eastAsiaTheme="minorHAnsi"/>
          </w:rPr>
          <w:t>α</w:t>
        </w:r>
      </w:hyperlink>
      <w:r>
        <w:rPr>
          <w:rFonts w:ascii="Times New Roman" w:hAnsi="Times New Roman" w:cstheme="minorBidi" w:eastAsiaTheme="minorHAnsi"/>
        </w:rPr>
        <w:t>1</w:t>
      </w:r>
      <w:r>
        <w:rPr>
          <w:rFonts w:ascii="Times New Roman" w:hAnsi="Times New Roman" w:cstheme="minorBidi" w:eastAsiaTheme="minorHAnsi"/>
        </w:rPr>
        <w:t>+</w:t>
      </w:r>
      <w:hyperlink r:id="rId25">
        <w:r>
          <w:rPr>
            <w:rFonts w:ascii="Times New Roman" w:hAnsi="Times New Roman" w:cstheme="minorBidi" w:eastAsiaTheme="minorHAnsi"/>
          </w:rPr>
          <w:t>α</w:t>
        </w:r>
      </w:hyperlink>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rPr>
        <w:t>F</w:t>
      </w:r>
      <w:r>
        <w:rPr>
          <w:rFonts w:ascii="Times New Roman" w:hAnsi="Times New Roman" w:cstheme="minorBidi" w:eastAsiaTheme="minorHAnsi"/>
        </w:rPr>
        <w:t>t </w:t>
      </w:r>
      <w:r>
        <w:rPr>
          <w:rFonts w:ascii="Times New Roman" w:hAnsi="Times New Roman" w:cstheme="minorBidi" w:eastAsiaTheme="minorHAnsi"/>
        </w:rPr>
        <w:t>+</w:t>
      </w:r>
      <w:r w:rsidR="001852F3">
        <w:rPr>
          <w:rFonts w:ascii="Times New Roman" w:hAnsi="Times New Roman" w:cstheme="minorBidi" w:eastAsiaTheme="minorHAnsi"/>
        </w:rPr>
        <w:t xml:space="preserve">ε</w:t>
      </w:r>
      <w:r>
        <w:rPr>
          <w:rFonts w:ascii="Times New Roman" w:hAnsi="Times New Roman" w:cstheme="minorBidi" w:eastAsiaTheme="minorHAnsi"/>
        </w:rPr>
        <w:t>t</w:t>
      </w:r>
    </w:p>
    <w:p w:rsidR="0018722C">
      <w:spacing w:beforeLines="0" w:before="0" w:afterLines="0" w:after="0" w:line="440" w:lineRule="auto"/>
      <w:pPr>
        <w:sectPr w:rsidR="00556256">
          <w:type w:val="continuous"/>
          <w:pgSz w:w="11910" w:h="16840"/>
          <w:pgMar w:header="877" w:footer="0" w:top="1100" w:bottom="280" w:left="1660" w:right="1660"/>
        </w:sectPr>
        <w:topLinePunct/>
      </w:pPr>
    </w:p>
    <w:p w:rsidR="0018722C">
      <w:pPr>
        <w:topLinePunct/>
      </w:pPr>
      <w:r>
        <w:t>得到其残差项：</w:t>
      </w:r>
    </w:p>
    <w:p w:rsidR="0018722C">
      <w:pPr>
        <w:spacing w:before="1"/>
        <w:ind w:leftChars="0" w:left="558" w:rightChars="0" w:right="0" w:firstLineChars="0" w:firstLine="0"/>
        <w:jc w:val="left"/>
        <w:topLinePunct/>
      </w:pPr>
      <w:r>
        <w:rPr>
          <w:kern w:val="2"/>
          <w:sz w:val="24"/>
          <w:szCs w:val="22"/>
          <w:rFonts w:cstheme="minorBidi" w:hAnsiTheme="minorHAnsi" w:eastAsiaTheme="minorHAnsi" w:asciiTheme="minorHAnsi" w:ascii="Times New Roman" w:hAnsi="Times New Roman"/>
        </w:rPr>
        <w:t>ε</w:t>
      </w:r>
      <w:r>
        <w:rPr>
          <w:kern w:val="2"/>
          <w:szCs w:val="22"/>
          <w:rFonts w:ascii="Times New Roman" w:hAnsi="Times New Roman" w:cstheme="minorBidi" w:eastAsiaTheme="minorHAnsi"/>
          <w:position w:val="-2"/>
          <w:sz w:val="16"/>
        </w:rPr>
        <w:t>t </w:t>
      </w:r>
      <w:r>
        <w:rPr>
          <w:kern w:val="2"/>
          <w:szCs w:val="22"/>
          <w:rFonts w:ascii="Times New Roman" w:hAnsi="Times New Roman" w:cstheme="minorBidi" w:eastAsiaTheme="minorHAnsi"/>
          <w:sz w:val="24"/>
        </w:rPr>
        <w:t>= S</w:t>
      </w:r>
      <w:r>
        <w:rPr>
          <w:kern w:val="2"/>
          <w:szCs w:val="22"/>
          <w:rFonts w:ascii="Times New Roman" w:hAnsi="Times New Roman" w:cstheme="minorBidi" w:eastAsiaTheme="minorHAnsi"/>
          <w:position w:val="-2"/>
          <w:sz w:val="16"/>
        </w:rPr>
        <w:t>t</w:t>
      </w:r>
      <w:r w:rsidR="001852F3">
        <w:rPr>
          <w:kern w:val="2"/>
          <w:szCs w:val="22"/>
          <w:rFonts w:ascii="Times New Roman" w:hAnsi="Times New Roman" w:cstheme="minorBidi" w:eastAsiaTheme="minorHAnsi"/>
          <w:position w:val="-2"/>
          <w:sz w:val="16"/>
        </w:rPr>
        <w:t xml:space="preserve"> </w:t>
      </w:r>
      <w:r>
        <w:rPr>
          <w:kern w:val="2"/>
          <w:szCs w:val="22"/>
          <w:rFonts w:ascii="Times New Roman" w:hAnsi="Times New Roman" w:cstheme="minorBidi" w:eastAsiaTheme="minorHAnsi"/>
          <w:sz w:val="24"/>
        </w:rPr>
        <w:t>-</w:t>
      </w:r>
      <w:hyperlink r:id="rId25">
        <w:r>
          <w:rPr>
            <w:kern w:val="2"/>
            <w:szCs w:val="22"/>
            <w:rFonts w:ascii="Times New Roman" w:hAnsi="Times New Roman" w:cstheme="minorBidi" w:eastAsiaTheme="minorHAnsi"/>
            <w:sz w:val="24"/>
            <w:shd w:fill="FBFBFB" w:color="auto" w:val="clear"/>
          </w:rPr>
          <w:t>α</w:t>
        </w:r>
      </w:hyperlink>
      <w:r>
        <w:rPr>
          <w:kern w:val="2"/>
          <w:szCs w:val="22"/>
          <w:rFonts w:ascii="Times New Roman" w:hAnsi="Times New Roman" w:cstheme="minorBidi" w:eastAsiaTheme="minorHAnsi"/>
          <w:position w:val="-2"/>
          <w:sz w:val="16"/>
        </w:rPr>
        <w:t>0 </w:t>
      </w:r>
      <w:r>
        <w:rPr>
          <w:kern w:val="2"/>
          <w:szCs w:val="22"/>
          <w:rFonts w:ascii="Times New Roman" w:hAnsi="Times New Roman" w:cstheme="minorBidi" w:eastAsiaTheme="minorHAnsi"/>
          <w:sz w:val="24"/>
        </w:rPr>
        <w:t>-</w:t>
      </w:r>
      <w:hyperlink r:id="rId25">
        <w:r>
          <w:rPr>
            <w:kern w:val="2"/>
            <w:szCs w:val="22"/>
            <w:rFonts w:ascii="Times New Roman" w:hAnsi="Times New Roman" w:cstheme="minorBidi" w:eastAsiaTheme="minorHAnsi"/>
            <w:sz w:val="24"/>
            <w:shd w:fill="FBFBFB" w:color="auto" w:val="clear"/>
          </w:rPr>
          <w:t>α</w:t>
        </w:r>
      </w:hyperlink>
      <w:r>
        <w:rPr>
          <w:kern w:val="2"/>
          <w:szCs w:val="22"/>
          <w:rFonts w:ascii="Times New Roman" w:hAnsi="Times New Roman" w:cstheme="minorBidi" w:eastAsiaTheme="minorHAnsi"/>
          <w:position w:val="-2"/>
          <w:sz w:val="16"/>
        </w:rPr>
        <w:t>1 </w:t>
      </w:r>
      <w:r>
        <w:rPr>
          <w:kern w:val="2"/>
          <w:szCs w:val="22"/>
          <w:rFonts w:ascii="Times New Roman" w:hAnsi="Times New Roman" w:cstheme="minorBidi" w:eastAsiaTheme="minorHAnsi"/>
          <w:sz w:val="24"/>
        </w:rPr>
        <w:t>F</w:t>
      </w:r>
      <w:r>
        <w:rPr>
          <w:kern w:val="2"/>
          <w:szCs w:val="22"/>
          <w:rFonts w:ascii="Times New Roman" w:hAnsi="Times New Roman" w:cstheme="minorBidi" w:eastAsiaTheme="minorHAnsi"/>
          <w:position w:val="-2"/>
          <w:sz w:val="16"/>
        </w:rPr>
        <w:t>t</w:t>
      </w:r>
    </w:p>
    <w:p w:rsidR="0018722C">
      <w:spacing w:beforeLines="0" w:before="0" w:afterLines="0" w:after="0" w:line="440" w:lineRule="auto"/>
      <w:pPr>
        <w:sectPr w:rsidR="00556256">
          <w:type w:val="continuous"/>
          <w:pgSz w:w="11910" w:h="16840"/>
          <w:pgMar w:top="1500" w:bottom="280" w:left="1660" w:right="1660"/>
          <w:cols w:num="2" w:equalWidth="0">
            <w:col w:w="2239" w:space="942"/>
            <w:col w:w="5409"/>
          </w:cols>
        </w:sectPr>
        <w:topLinePunct/>
      </w:pPr>
    </w:p>
    <w:p w:rsidR="0018722C">
      <w:pPr>
        <w:topLinePunct/>
      </w:pPr>
      <w:r>
        <w:t>其次，取出残差项</w:t>
      </w:r>
      <w:r>
        <w:rPr>
          <w:rFonts w:ascii="Times New Roman" w:hAnsi="Times New Roman" w:eastAsia="Times New Roman"/>
        </w:rPr>
        <w:t>ε</w:t>
      </w:r>
      <w:r>
        <w:rPr>
          <w:rFonts w:ascii="Times New Roman" w:hAnsi="Times New Roman" w:eastAsia="Times New Roman"/>
        </w:rPr>
        <w:t>t</w:t>
      </w:r>
      <w:r>
        <w:t>，并检验残其单整性。如果</w:t>
      </w:r>
      <w:r>
        <w:rPr>
          <w:rFonts w:ascii="Times New Roman" w:hAnsi="Times New Roman" w:eastAsia="Times New Roman"/>
        </w:rPr>
        <w:t>ε</w:t>
      </w:r>
      <w:r>
        <w:rPr>
          <w:rFonts w:ascii="Times New Roman" w:hAnsi="Times New Roman" w:eastAsia="Times New Roman"/>
        </w:rPr>
        <w:t>t</w:t>
      </w:r>
      <w:r>
        <w:t>本身为平稳序列，则认为时间序列</w:t>
      </w:r>
      <w:r>
        <w:rPr>
          <w:rFonts w:ascii="Times New Roman" w:hAnsi="Times New Roman" w:eastAsia="Times New Roman"/>
        </w:rPr>
        <w:t>S</w:t>
      </w:r>
      <w:r>
        <w:rPr>
          <w:rFonts w:ascii="Times New Roman" w:hAnsi="Times New Roman" w:eastAsia="Times New Roman"/>
        </w:rPr>
        <w:t>t</w:t>
      </w:r>
      <w:r>
        <w:t>、</w:t>
      </w:r>
      <w:r>
        <w:rPr>
          <w:rFonts w:ascii="Times New Roman" w:hAnsi="Times New Roman" w:eastAsia="Times New Roman"/>
        </w:rPr>
        <w:t>F</w:t>
      </w:r>
      <w:r>
        <w:rPr>
          <w:rFonts w:ascii="Times New Roman" w:hAnsi="Times New Roman" w:eastAsia="Times New Roman"/>
        </w:rPr>
        <w:t>t</w:t>
      </w:r>
      <w:r>
        <w:t>为</w:t>
      </w:r>
      <w:r>
        <w:t>（</w:t>
      </w:r>
      <w:r>
        <w:rPr>
          <w:rFonts w:ascii="Times New Roman" w:hAnsi="Times New Roman" w:eastAsia="Times New Roman"/>
        </w:rPr>
        <w:t>1</w:t>
      </w:r>
      <w:r>
        <w:t xml:space="preserve">, </w:t>
      </w:r>
      <w:r>
        <w:rPr>
          <w:rFonts w:ascii="Times New Roman" w:hAnsi="Times New Roman" w:eastAsia="Times New Roman"/>
        </w:rPr>
        <w:t>1</w:t>
      </w:r>
      <w:r>
        <w:t>）</w:t>
      </w:r>
      <w:r>
        <w:t xml:space="preserve">阶协整，如果</w:t>
      </w:r>
      <w:r>
        <w:rPr>
          <w:rFonts w:ascii="Times New Roman" w:hAnsi="Times New Roman" w:eastAsia="Times New Roman"/>
        </w:rPr>
        <w:t>ε</w:t>
      </w:r>
      <w:r>
        <w:rPr>
          <w:rFonts w:ascii="Times New Roman" w:hAnsi="Times New Roman" w:eastAsia="Times New Roman"/>
        </w:rPr>
        <w:t>t</w:t>
      </w:r>
      <w:r>
        <w:t>为一阶单整，即一阶差分序列为平稳序列，则认为时间序列</w:t>
      </w:r>
      <w:r>
        <w:rPr>
          <w:rFonts w:ascii="Times New Roman" w:hAnsi="Times New Roman" w:eastAsia="Times New Roman"/>
        </w:rPr>
        <w:t>S</w:t>
      </w:r>
      <w:r>
        <w:rPr>
          <w:rFonts w:ascii="Times New Roman" w:hAnsi="Times New Roman" w:eastAsia="Times New Roman"/>
        </w:rPr>
        <w:t>t</w:t>
      </w:r>
      <w:r w:rsidR="001852F3">
        <w:rPr>
          <w:rFonts w:ascii="Times New Roman" w:hAnsi="Times New Roman" w:eastAsia="Times New Roman"/>
        </w:rPr>
        <w:t xml:space="preserve"> </w:t>
      </w:r>
      <w:r>
        <w:t>、</w:t>
      </w:r>
      <w:r>
        <w:rPr>
          <w:rFonts w:ascii="Times New Roman" w:hAnsi="Times New Roman" w:eastAsia="Times New Roman"/>
        </w:rPr>
        <w:t>F</w:t>
      </w:r>
      <w:r>
        <w:rPr>
          <w:rFonts w:ascii="Times New Roman" w:hAnsi="Times New Roman" w:eastAsia="Times New Roman"/>
        </w:rPr>
        <w:t>t</w:t>
      </w:r>
      <w:r>
        <w:t>为</w:t>
      </w:r>
      <w:r>
        <w:t>（</w:t>
      </w:r>
      <w:r>
        <w:rPr>
          <w:rFonts w:ascii="Times New Roman" w:hAnsi="Times New Roman" w:eastAsia="Times New Roman"/>
        </w:rPr>
        <w:t>2</w:t>
      </w:r>
      <w:r>
        <w:t xml:space="preserve">, </w:t>
      </w:r>
      <w:r>
        <w:rPr>
          <w:rFonts w:ascii="Times New Roman" w:hAnsi="Times New Roman" w:eastAsia="Times New Roman"/>
        </w:rPr>
        <w:t>1</w:t>
      </w:r>
      <w:r>
        <w:t>）</w:t>
      </w:r>
      <w:r>
        <w:t>阶协整，以此类推。</w:t>
      </w:r>
    </w:p>
    <w:p w:rsidR="0018722C">
      <w:pPr>
        <w:pStyle w:val="4"/>
        <w:topLinePunct/>
        <w:ind w:left="200" w:hangingChars="200" w:hanging="200"/>
      </w:pPr>
      <w:r>
        <w:t>（</w:t>
      </w:r>
      <w:r>
        <w:t>3</w:t>
      </w:r>
      <w:r>
        <w:t>）</w:t>
      </w:r>
      <w:r>
        <w:t>误差修正模型</w:t>
      </w:r>
      <w:r>
        <w:t>（</w:t>
      </w:r>
      <w:r>
        <w:t>ECM</w:t>
      </w:r>
      <w:r>
        <w:t>）</w:t>
      </w:r>
    </w:p>
    <w:p w:rsidR="0018722C">
      <w:pPr>
        <w:topLinePunct/>
      </w:pPr>
      <w:r>
        <w:t>误差修正模型</w:t>
      </w:r>
      <w:r>
        <w:t>（</w:t>
      </w:r>
      <w:r>
        <w:rPr>
          <w:rFonts w:ascii="Times New Roman" w:eastAsia="Times New Roman"/>
          <w:spacing w:val="-2"/>
        </w:rPr>
        <w:t>ECM</w:t>
      </w:r>
      <w:r>
        <w:t>）</w:t>
      </w:r>
      <w:r>
        <w:t>是时间序列中存在的协整关系的一种表现形式，刻画了时间序列短期内的波动特征和长期存在的均衡关系。对于时间序列</w:t>
      </w:r>
      <w:r>
        <w:rPr>
          <w:rFonts w:ascii="Times New Roman" w:eastAsia="Times New Roman"/>
        </w:rPr>
        <w:t>S</w:t>
      </w:r>
      <w:r>
        <w:rPr>
          <w:rFonts w:ascii="Times New Roman" w:eastAsia="Times New Roman"/>
        </w:rPr>
        <w:t>t</w:t>
      </w:r>
      <w:r>
        <w:t>、</w:t>
      </w:r>
      <w:r>
        <w:rPr>
          <w:rFonts w:ascii="Times New Roman" w:eastAsia="Times New Roman"/>
        </w:rPr>
        <w:t>F</w:t>
      </w:r>
      <w:r>
        <w:rPr>
          <w:rFonts w:ascii="Times New Roman" w:eastAsia="Times New Roman"/>
        </w:rPr>
        <w:t>t</w:t>
      </w:r>
      <w:r>
        <w:t>，</w:t>
      </w:r>
      <w:r>
        <w:t>其误差修正模型</w:t>
      </w:r>
      <w:r>
        <w:t>（</w:t>
      </w:r>
      <w:r>
        <w:rPr>
          <w:rFonts w:ascii="Times New Roman" w:eastAsia="Times New Roman"/>
        </w:rPr>
        <w:t>ECM</w:t>
      </w:r>
      <w:r>
        <w:t>）</w:t>
      </w:r>
      <w:r>
        <w:t>形式如下：</w:t>
      </w:r>
    </w:p>
    <w:p w:rsidR="0018722C">
      <w:pPr>
        <w:topLinePunct/>
      </w:pPr>
      <w:r>
        <w:rPr>
          <w:rFonts w:cstheme="minorBidi" w:hAnsiTheme="minorHAnsi" w:eastAsiaTheme="minorHAnsi" w:asciiTheme="minorHAnsi" w:ascii="Times New Roman" w:hAnsi="Times New Roman"/>
        </w:rPr>
        <w:t>ΔS</w:t>
      </w:r>
      <w:r>
        <w:rPr>
          <w:rFonts w:ascii="Times New Roman" w:hAnsi="Times New Roman" w:cstheme="minorBidi" w:eastAsiaTheme="minorHAnsi"/>
        </w:rPr>
        <w:t>t </w:t>
      </w:r>
      <w:r>
        <w:rPr>
          <w:rFonts w:ascii="Times New Roman" w:hAnsi="Times New Roman" w:cstheme="minorBidi" w:eastAsiaTheme="minorHAnsi"/>
        </w:rPr>
        <w:t>=</w:t>
      </w:r>
      <w:hyperlink r:id="rId26">
        <w:r>
          <w:rPr>
            <w:rFonts w:ascii="Times New Roman" w:hAnsi="Times New Roman" w:cstheme="minorBidi" w:eastAsiaTheme="minorHAnsi"/>
          </w:rPr>
          <w:t>β</w:t>
        </w:r>
      </w:hyperlink>
      <w:r>
        <w:rPr>
          <w:vertAlign w:val="subscript"/>
          <w:rFonts w:ascii="Times New Roman" w:hAnsi="Times New Roman" w:cstheme="minorBidi" w:eastAsiaTheme="minorHAnsi"/>
        </w:rPr>
        <w:t>1</w:t>
      </w:r>
      <w:r>
        <w:rPr>
          <w:rFonts w:ascii="Times New Roman" w:hAnsi="Times New Roman" w:cstheme="minorBidi" w:eastAsiaTheme="minorHAnsi"/>
        </w:rPr>
        <w:t>ΔF</w:t>
      </w:r>
      <w:r>
        <w:rPr>
          <w:rFonts w:ascii="Times New Roman" w:hAnsi="Times New Roman" w:cstheme="minorBidi" w:eastAsiaTheme="minorHAnsi"/>
        </w:rPr>
        <w:t>t</w:t>
      </w:r>
      <w:r>
        <w:rPr>
          <w:rFonts w:ascii="Times New Roman" w:hAnsi="Times New Roman" w:cstheme="minorBidi" w:eastAsiaTheme="minorHAnsi"/>
        </w:rPr>
        <w:t>–</w:t>
      </w:r>
      <w:r>
        <w:rPr>
          <w:rFonts w:ascii="Times New Roman" w:hAnsi="Times New Roman" w:cstheme="minorBidi" w:eastAsiaTheme="minorHAnsi"/>
        </w:rPr>
        <w:t>λ</w:t>
      </w:r>
      <w:r>
        <w:rPr>
          <w:rFonts w:ascii="Times New Roman" w:hAnsi="Times New Roman" w:cstheme="minorBidi" w:eastAsiaTheme="minorHAnsi"/>
        </w:rPr>
        <w:t>(</w:t>
      </w:r>
      <w:r>
        <w:rPr>
          <w:rFonts w:ascii="Times New Roman" w:hAnsi="Times New Roman" w:cstheme="minorBidi" w:eastAsiaTheme="minorHAnsi"/>
        </w:rPr>
        <w:t>S</w:t>
      </w:r>
      <w:r>
        <w:rPr>
          <w:rFonts w:ascii="Times New Roman" w:hAnsi="Times New Roman" w:cstheme="minorBidi" w:eastAsiaTheme="minorHAnsi"/>
        </w:rPr>
        <w:t>t-1</w:t>
      </w:r>
      <w:r>
        <w:rPr>
          <w:rFonts w:cstheme="minorBidi" w:hAnsiTheme="minorHAnsi" w:eastAsiaTheme="minorHAnsi" w:asciiTheme="minorHAnsi"/>
        </w:rPr>
        <w:t>-</w:t>
      </w:r>
      <w:hyperlink r:id="rId25">
        <w:r>
          <w:rPr>
            <w:rFonts w:ascii="Times New Roman" w:hAnsi="Times New Roman" w:cstheme="minorBidi" w:eastAsiaTheme="minorHAnsi"/>
          </w:rPr>
          <w:t>α</w:t>
        </w:r>
      </w:hyperlink>
      <w:r>
        <w:rPr>
          <w:rFonts w:ascii="Times New Roman" w:hAnsi="Times New Roman" w:cstheme="minorBidi" w:eastAsiaTheme="minorHAnsi"/>
        </w:rPr>
        <w:t>0</w:t>
      </w:r>
      <w:r>
        <w:rPr>
          <w:rFonts w:cstheme="minorBidi" w:hAnsiTheme="minorHAnsi" w:eastAsiaTheme="minorHAnsi" w:asciiTheme="minorHAnsi"/>
        </w:rPr>
        <w:t>-</w:t>
      </w:r>
      <w:hyperlink r:id="rId25">
        <w:r>
          <w:rPr>
            <w:rFonts w:ascii="Times New Roman" w:hAnsi="Times New Roman" w:cstheme="minorBidi" w:eastAsiaTheme="minorHAnsi"/>
          </w:rPr>
          <w:t>α</w:t>
        </w:r>
      </w:hyperlink>
      <w:r>
        <w:rPr>
          <w:rFonts w:ascii="Times New Roman" w:hAnsi="Times New Roman" w:cstheme="minorBidi" w:eastAsiaTheme="minorHAnsi"/>
        </w:rPr>
        <w:t>1 </w:t>
      </w:r>
      <w:r>
        <w:rPr>
          <w:rFonts w:ascii="Times New Roman" w:hAnsi="Times New Roman" w:cstheme="minorBidi" w:eastAsiaTheme="minorHAnsi"/>
        </w:rPr>
        <w:t>F</w:t>
      </w:r>
      <w:r>
        <w:rPr>
          <w:rFonts w:ascii="Times New Roman" w:hAnsi="Times New Roman" w:cstheme="minorBidi" w:eastAsiaTheme="minorHAnsi"/>
        </w:rPr>
        <w:t>t-1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μ</w:t>
      </w:r>
      <w:r>
        <w:rPr>
          <w:rFonts w:ascii="Times New Roman" w:hAnsi="Times New Roman" w:cstheme="minorBidi" w:eastAsiaTheme="minorHAnsi"/>
        </w:rPr>
        <w:t>t</w:t>
      </w:r>
    </w:p>
    <w:p w:rsidR="0018722C">
      <w:pPr>
        <w:topLinePunct/>
      </w:pPr>
      <w:r>
        <w:t>该模型表明，第</w:t>
      </w:r>
      <w:r>
        <w:rPr>
          <w:rFonts w:ascii="Times New Roman" w:hAnsi="Times New Roman" w:eastAsia="Times New Roman"/>
        </w:rPr>
        <w:t>t</w:t>
      </w:r>
      <w:r>
        <w:t>期现货价格既受到第</w:t>
      </w:r>
      <w:r>
        <w:rPr>
          <w:rFonts w:ascii="Times New Roman" w:hAnsi="Times New Roman" w:eastAsia="Times New Roman"/>
        </w:rPr>
        <w:t>t</w:t>
      </w:r>
      <w:r>
        <w:t>期期货价格波动的影响，另一方面也受</w:t>
      </w:r>
      <w:r>
        <w:t>到现货价格自身第</w:t>
      </w:r>
      <w:r>
        <w:rPr>
          <w:rFonts w:ascii="Times New Roman" w:hAnsi="Times New Roman" w:eastAsia="Times New Roman"/>
        </w:rPr>
        <w:t>t-1</w:t>
      </w:r>
      <w:r>
        <w:t>期偏离长期均衡程度</w:t>
      </w:r>
      <w:r>
        <w:t>（</w:t>
      </w:r>
      <w:r>
        <w:rPr>
          <w:spacing w:val="-4"/>
        </w:rPr>
        <w:t>即上述所求残差项</w:t>
      </w:r>
      <w:r>
        <w:rPr>
          <w:rFonts w:ascii="Times New Roman" w:hAnsi="Times New Roman" w:eastAsia="Times New Roman"/>
          <w:spacing w:val="-4"/>
        </w:rPr>
        <w:t>ε</w:t>
      </w:r>
      <w:r>
        <w:rPr>
          <w:rFonts w:ascii="Times New Roman" w:hAnsi="Times New Roman" w:eastAsia="Times New Roman"/>
          <w:spacing w:val="-4"/>
          <w:position w:val="-2"/>
          <w:sz w:val="16"/>
        </w:rPr>
        <w:t>t-1</w:t>
      </w:r>
      <w:r>
        <w:t>）</w:t>
      </w:r>
      <w:r>
        <w:t>的影响。第</w:t>
      </w:r>
      <w:r>
        <w:rPr>
          <w:rFonts w:ascii="Times New Roman" w:hAnsi="Times New Roman" w:eastAsia="Times New Roman"/>
        </w:rPr>
        <w:t>t-1</w:t>
      </w:r>
      <w:r>
        <w:t>期</w:t>
      </w:r>
      <w:r>
        <w:rPr>
          <w:rFonts w:ascii="Times New Roman" w:hAnsi="Times New Roman" w:eastAsia="Times New Roman"/>
        </w:rPr>
        <w:t>ε</w:t>
      </w:r>
      <w:r>
        <w:rPr>
          <w:rFonts w:ascii="Times New Roman" w:hAnsi="Times New Roman" w:eastAsia="Times New Roman"/>
        </w:rPr>
        <w:t>t-1</w:t>
      </w:r>
      <w:r>
        <w:t>越大，第</w:t>
      </w:r>
      <w:r>
        <w:rPr>
          <w:rFonts w:ascii="Times New Roman" w:hAnsi="Times New Roman" w:eastAsia="Times New Roman"/>
        </w:rPr>
        <w:t>t</w:t>
      </w:r>
      <w:r>
        <w:t>期现货价格的波动就越大，且变化方向与之相反。残差项</w:t>
      </w:r>
      <w:r>
        <w:rPr>
          <w:rFonts w:ascii="Times New Roman" w:hAnsi="Times New Roman" w:eastAsia="Times New Roman"/>
        </w:rPr>
        <w:t>ε</w:t>
      </w:r>
      <w:r>
        <w:rPr>
          <w:rFonts w:ascii="Times New Roman" w:hAnsi="Times New Roman" w:eastAsia="Times New Roman"/>
        </w:rPr>
        <w:t>t</w:t>
      </w:r>
      <w:r>
        <w:t>衡量的是对长期均衡关系的偏离幅度，故而误差修正模型</w:t>
      </w:r>
      <w:r>
        <w:t>（</w:t>
      </w:r>
      <w:r>
        <w:rPr>
          <w:rFonts w:ascii="Times New Roman" w:hAnsi="Times New Roman" w:eastAsia="Times New Roman"/>
        </w:rPr>
        <w:t>ECM</w:t>
      </w:r>
      <w:r>
        <w:t>）</w:t>
      </w:r>
      <w:r>
        <w:t>指出了短期</w:t>
      </w:r>
      <w:r>
        <w:t>波动向长期均衡回归的一种内在联系，该特性可作为套期保值的理论基础。</w:t>
      </w:r>
    </w:p>
    <w:p w:rsidR="0018722C">
      <w:pPr>
        <w:topLinePunct/>
      </w:pPr>
      <w:r>
        <w:rPr>
          <w:rFonts w:cstheme="minorBidi" w:hAnsiTheme="minorHAnsi" w:eastAsiaTheme="minorHAnsi" w:asciiTheme="minorHAnsi" w:ascii="Calibri"/>
        </w:rPr>
        <w:t>20</w:t>
      </w:r>
    </w:p>
    <w:p w:rsidR="0018722C">
      <w:pPr>
        <w:pStyle w:val="Heading1"/>
        <w:topLinePunct/>
      </w:pPr>
      <w:bookmarkStart w:id="737407" w:name="_Toc686737407"/>
      <w:bookmarkStart w:name="_bookmark25" w:id="45"/>
      <w:bookmarkEnd w:id="45"/>
      <w:r/>
      <w:r>
        <w:t>第四章</w:t>
      </w:r>
      <w:r>
        <w:t xml:space="preserve">  </w:t>
      </w:r>
      <w:r w:rsidRPr="00DB64CE">
        <w:t>国债期货套期保值比率实证分析</w:t>
      </w:r>
      <w:bookmarkEnd w:id="737407"/>
    </w:p>
    <w:p w:rsidR="0018722C">
      <w:pPr>
        <w:topLinePunct/>
      </w:pPr>
      <w:r>
        <w:t>时隔</w:t>
      </w:r>
      <w:r>
        <w:rPr>
          <w:rFonts w:ascii="Times New Roman" w:eastAsia="Times New Roman"/>
        </w:rPr>
        <w:t>18</w:t>
      </w:r>
      <w:r>
        <w:t>年，国债期货于</w:t>
      </w:r>
      <w:r>
        <w:rPr>
          <w:rFonts w:ascii="Times New Roman" w:eastAsia="Times New Roman"/>
        </w:rPr>
        <w:t>2013</w:t>
      </w:r>
      <w:r>
        <w:t>年</w:t>
      </w:r>
      <w:r>
        <w:rPr>
          <w:rFonts w:ascii="Times New Roman" w:eastAsia="Times New Roman"/>
        </w:rPr>
        <w:t>9</w:t>
      </w:r>
      <w:r>
        <w:t>月</w:t>
      </w:r>
      <w:r>
        <w:rPr>
          <w:rFonts w:ascii="Times New Roman" w:eastAsia="Times New Roman"/>
        </w:rPr>
        <w:t>6</w:t>
      </w:r>
      <w:r>
        <w:t>日在中国金融期货交易所</w:t>
      </w:r>
      <w:r>
        <w:t>（</w:t>
      </w:r>
      <w:r>
        <w:t>下称中金所</w:t>
      </w:r>
      <w:r>
        <w:t>）</w:t>
      </w:r>
      <w:r>
        <w:t>再次上市，成为中金所推出的第二种金融期货品种。</w:t>
      </w:r>
      <w:r>
        <w:rPr>
          <w:rFonts w:ascii="Times New Roman" w:eastAsia="Times New Roman"/>
        </w:rPr>
        <w:t>9</w:t>
      </w:r>
      <w:r>
        <w:t>月</w:t>
      </w:r>
      <w:r>
        <w:rPr>
          <w:rFonts w:ascii="Times New Roman" w:eastAsia="Times New Roman"/>
        </w:rPr>
        <w:t>6</w:t>
      </w:r>
      <w:r>
        <w:t>日上市首日，国</w:t>
      </w:r>
      <w:r>
        <w:t>债期货</w:t>
      </w:r>
      <w:r>
        <w:rPr>
          <w:rFonts w:ascii="Times New Roman" w:eastAsia="Times New Roman"/>
        </w:rPr>
        <w:t>TF1312</w:t>
      </w:r>
      <w:r>
        <w:t>合约成交</w:t>
      </w:r>
      <w:r>
        <w:rPr>
          <w:rFonts w:ascii="Times New Roman" w:eastAsia="Times New Roman"/>
        </w:rPr>
        <w:t>34248</w:t>
      </w:r>
      <w:r>
        <w:t>手，巨量的成交可见投资者的热情，后受压于国</w:t>
      </w:r>
      <w:r>
        <w:t>内各大利率高企，债市走熊，国债期货一路探底至</w:t>
      </w:r>
      <w:r>
        <w:rPr>
          <w:rFonts w:ascii="Times New Roman" w:eastAsia="Times New Roman"/>
        </w:rPr>
        <w:t>90</w:t>
      </w:r>
      <w:r>
        <w:t>附近。</w:t>
      </w:r>
    </w:p>
    <w:p w:rsidR="0018722C">
      <w:pPr>
        <w:topLinePunct/>
      </w:pPr>
      <w:r>
        <w:t>上市至今，国债期货运行稳定，目前中金所推出的国债期货合约有三个合约，</w:t>
      </w:r>
      <w:r>
        <w:t>即</w:t>
      </w:r>
      <w:r>
        <w:rPr>
          <w:rFonts w:ascii="Times New Roman" w:eastAsia="Times New Roman"/>
        </w:rPr>
        <w:t>3</w:t>
      </w:r>
      <w:r>
        <w:t>、</w:t>
      </w:r>
      <w:r>
        <w:rPr>
          <w:rFonts w:ascii="Times New Roman" w:eastAsia="Times New Roman"/>
        </w:rPr>
        <w:t>6</w:t>
      </w:r>
      <w:r>
        <w:t>、</w:t>
      </w:r>
      <w:r>
        <w:rPr>
          <w:rFonts w:ascii="Times New Roman" w:eastAsia="Times New Roman"/>
        </w:rPr>
        <w:t>9</w:t>
      </w:r>
      <w:r>
        <w:t>、</w:t>
      </w:r>
      <w:r>
        <w:rPr>
          <w:rFonts w:ascii="Times New Roman" w:eastAsia="Times New Roman"/>
        </w:rPr>
        <w:t>12</w:t>
      </w:r>
      <w:r>
        <w:t>中最近的三个季月合约。相比于股指期货，国债期货交割时采用</w:t>
      </w:r>
      <w:r>
        <w:t>实物交割，而且由于国债期货标的为名义债券，满足条件的</w:t>
      </w:r>
      <w:r>
        <w:rPr>
          <w:rFonts w:ascii="Times New Roman" w:eastAsia="Times New Roman"/>
        </w:rPr>
        <w:t>4-7</w:t>
      </w:r>
      <w:r>
        <w:t>年可交割债券都</w:t>
      </w:r>
      <w:r>
        <w:t>可用于交割，有助于增强债券二级市场流动性。国债期货的上市时间正好处于国</w:t>
      </w:r>
      <w:r>
        <w:t>内利率市场化推进，体制改革的风尖浪口，于</w:t>
      </w:r>
      <w:r>
        <w:rPr>
          <w:rFonts w:ascii="Times New Roman" w:eastAsia="Times New Roman"/>
        </w:rPr>
        <w:t>2013</w:t>
      </w:r>
      <w:r>
        <w:t>年下半年波动日益增大的利</w:t>
      </w:r>
      <w:r>
        <w:t>率可见一斑，债券价格一路下行，此时国债期货的套期保值功能将在这波动的市场中展现其切实的意义。</w:t>
      </w:r>
    </w:p>
    <w:p w:rsidR="0018722C">
      <w:pPr>
        <w:pStyle w:val="Heading2"/>
        <w:topLinePunct/>
        <w:ind w:left="171" w:hangingChars="171" w:hanging="171"/>
      </w:pPr>
      <w:bookmarkStart w:id="737408" w:name="_Toc686737408"/>
      <w:bookmarkStart w:name="_bookmark26" w:id="46"/>
      <w:bookmarkEnd w:id="46"/>
      <w:r>
        <w:t>4.1</w:t>
      </w:r>
      <w:r>
        <w:t xml:space="preserve"> </w:t>
      </w:r>
      <w:r/>
      <w:bookmarkStart w:name="_bookmark26" w:id="47"/>
      <w:bookmarkEnd w:id="47"/>
      <w:r>
        <w:t>数据的选取</w:t>
      </w:r>
      <w:bookmarkEnd w:id="737408"/>
    </w:p>
    <w:p w:rsidR="0018722C">
      <w:pPr>
        <w:topLinePunct/>
      </w:pPr>
      <w:r>
        <w:t>本文的所采用的数据为</w:t>
      </w:r>
      <w:r>
        <w:rPr>
          <w:rFonts w:ascii="Times New Roman" w:eastAsia="Times New Roman"/>
        </w:rPr>
        <w:t>2013</w:t>
      </w:r>
      <w:r>
        <w:t>年</w:t>
      </w:r>
      <w:r>
        <w:rPr>
          <w:rFonts w:ascii="Times New Roman" w:eastAsia="Times New Roman"/>
        </w:rPr>
        <w:t>9</w:t>
      </w:r>
      <w:r>
        <w:t>月</w:t>
      </w:r>
      <w:r>
        <w:rPr>
          <w:rFonts w:ascii="Times New Roman" w:eastAsia="Times New Roman"/>
        </w:rPr>
        <w:t>06</w:t>
      </w:r>
      <w:r>
        <w:t>日至</w:t>
      </w:r>
      <w:r>
        <w:rPr>
          <w:rFonts w:ascii="Times New Roman" w:eastAsia="Times New Roman"/>
        </w:rPr>
        <w:t>2014</w:t>
      </w:r>
      <w:r>
        <w:t>年</w:t>
      </w:r>
      <w:r>
        <w:rPr>
          <w:rFonts w:ascii="Times New Roman" w:eastAsia="Times New Roman"/>
        </w:rPr>
        <w:t>3</w:t>
      </w:r>
      <w:r>
        <w:t>月</w:t>
      </w:r>
      <w:r>
        <w:rPr>
          <w:rFonts w:ascii="Times New Roman" w:eastAsia="Times New Roman"/>
        </w:rPr>
        <w:t>21</w:t>
      </w:r>
      <w:r>
        <w:t>日的国债期货和</w:t>
      </w:r>
      <w:r>
        <w:t>国泰上证</w:t>
      </w:r>
      <w:r>
        <w:rPr>
          <w:rFonts w:ascii="Times New Roman" w:eastAsia="Times New Roman"/>
        </w:rPr>
        <w:t>5</w:t>
      </w:r>
      <w:r>
        <w:t>年期国债</w:t>
      </w:r>
      <w:r>
        <w:rPr>
          <w:rFonts w:ascii="Times New Roman" w:eastAsia="Times New Roman"/>
        </w:rPr>
        <w:t>ETF</w:t>
      </w:r>
      <w:r>
        <w:t>（</w:t>
      </w:r>
      <w:r>
        <w:t>以下简称国债</w:t>
      </w:r>
      <w:r>
        <w:rPr>
          <w:rFonts w:ascii="Times New Roman" w:eastAsia="Times New Roman"/>
        </w:rPr>
        <w:t>ETF</w:t>
      </w:r>
      <w:r>
        <w:t>）</w:t>
      </w:r>
      <w:r>
        <w:t>共</w:t>
      </w:r>
      <w:r>
        <w:rPr>
          <w:rFonts w:ascii="Times New Roman" w:eastAsia="Times New Roman"/>
        </w:rPr>
        <w:t>128</w:t>
      </w:r>
      <w:r>
        <w:t>天的每日均价数据，应用</w:t>
      </w:r>
      <w:r>
        <w:rPr>
          <w:rFonts w:ascii="Times New Roman" w:eastAsia="Times New Roman"/>
        </w:rPr>
        <w:t>Eviews </w:t>
      </w:r>
      <w:r>
        <w:rPr>
          <w:rFonts w:ascii="Times New Roman" w:eastAsia="Times New Roman"/>
        </w:rPr>
        <w:t>6.0</w:t>
      </w:r>
      <w:r>
        <w:t>软件进行实证分析。</w:t>
      </w:r>
    </w:p>
    <w:p w:rsidR="0018722C">
      <w:pPr>
        <w:topLinePunct/>
      </w:pPr>
      <w:r>
        <w:t>首先，国债期货合约为</w:t>
      </w:r>
      <w:r>
        <w:rPr>
          <w:rFonts w:ascii="Times New Roman" w:eastAsia="Times New Roman"/>
        </w:rPr>
        <w:t>3</w:t>
      </w:r>
      <w:r>
        <w:t>、</w:t>
      </w:r>
      <w:r>
        <w:rPr>
          <w:rFonts w:ascii="Times New Roman" w:eastAsia="Times New Roman"/>
        </w:rPr>
        <w:t>6</w:t>
      </w:r>
      <w:r>
        <w:t>、</w:t>
      </w:r>
      <w:r>
        <w:rPr>
          <w:rFonts w:ascii="Times New Roman" w:eastAsia="Times New Roman"/>
        </w:rPr>
        <w:t>9</w:t>
      </w:r>
      <w:r>
        <w:t>、</w:t>
      </w:r>
      <w:r>
        <w:rPr>
          <w:rFonts w:ascii="Times New Roman" w:eastAsia="Times New Roman"/>
        </w:rPr>
        <w:t>12</w:t>
      </w:r>
      <w:r>
        <w:t>最近的三个季月合约，由于到期国债期</w:t>
      </w:r>
      <w:r>
        <w:t>货交割的原因，该合约到时将不再存在，无法保证合约数据的连续性。因此本文</w:t>
      </w:r>
      <w:r>
        <w:t>采用当前成交量最大的合约即主力合约为研究对象，获取其每日均价来保证套期保值期间的时间序列数据的连续性。例如，</w:t>
      </w:r>
      <w:r>
        <w:rPr>
          <w:rFonts w:ascii="Times New Roman" w:eastAsia="Times New Roman"/>
        </w:rPr>
        <w:t>2013</w:t>
      </w:r>
      <w:r>
        <w:t>年</w:t>
      </w:r>
      <w:r>
        <w:rPr>
          <w:rFonts w:ascii="Times New Roman" w:eastAsia="Times New Roman"/>
        </w:rPr>
        <w:t>11</w:t>
      </w:r>
      <w:r>
        <w:t>月</w:t>
      </w:r>
      <w:r>
        <w:rPr>
          <w:rFonts w:ascii="Times New Roman" w:eastAsia="Times New Roman"/>
        </w:rPr>
        <w:t>28</w:t>
      </w:r>
      <w:r>
        <w:t>日当前的主力合</w:t>
      </w:r>
      <w:r>
        <w:t>约</w:t>
      </w:r>
    </w:p>
    <w:p w:rsidR="0018722C">
      <w:pPr>
        <w:topLinePunct/>
      </w:pPr>
      <w:r>
        <w:rPr>
          <w:rFonts w:ascii="Times New Roman" w:eastAsia="Times New Roman"/>
        </w:rPr>
        <w:t>TF1312</w:t>
      </w:r>
      <w:r>
        <w:t>由于临近交割月，成交量已降至</w:t>
      </w:r>
      <w:r>
        <w:rPr>
          <w:rFonts w:ascii="Times New Roman" w:eastAsia="Times New Roman"/>
        </w:rPr>
        <w:t>1268</w:t>
      </w:r>
      <w:r>
        <w:t>手，而下个季月合约</w:t>
      </w:r>
      <w:r>
        <w:rPr>
          <w:rFonts w:ascii="Times New Roman" w:eastAsia="Times New Roman"/>
        </w:rPr>
        <w:t>TF1403</w:t>
      </w:r>
      <w:r>
        <w:t>的成</w:t>
      </w:r>
      <w:r>
        <w:t>交量超越</w:t>
      </w:r>
      <w:r>
        <w:rPr>
          <w:rFonts w:ascii="Times New Roman" w:eastAsia="Times New Roman"/>
        </w:rPr>
        <w:t>TF1312</w:t>
      </w:r>
      <w:r>
        <w:t>上升至</w:t>
      </w:r>
      <w:r>
        <w:rPr>
          <w:rFonts w:ascii="Times New Roman" w:eastAsia="Times New Roman"/>
        </w:rPr>
        <w:t>2300</w:t>
      </w:r>
      <w:r>
        <w:t>手，故</w:t>
      </w:r>
      <w:r>
        <w:rPr>
          <w:rFonts w:ascii="Times New Roman" w:eastAsia="Times New Roman"/>
        </w:rPr>
        <w:t>TF1403</w:t>
      </w:r>
      <w:r>
        <w:t>成为新的主力合约，所以当日数据</w:t>
      </w:r>
      <w:r>
        <w:t>将采用新主力合约</w:t>
      </w:r>
      <w:r>
        <w:rPr>
          <w:rFonts w:ascii="Times New Roman" w:eastAsia="Times New Roman"/>
        </w:rPr>
        <w:t>TF1403</w:t>
      </w:r>
      <w:r>
        <w:t>的日均价数据作为研究对象，以保证研究数据的连续性。</w:t>
      </w:r>
    </w:p>
    <w:p w:rsidR="0018722C">
      <w:pPr>
        <w:topLinePunct/>
      </w:pPr>
      <w:r>
        <w:t>其次，由于银行间市场询价报价方式的特征，报价连续性不高，现券价格跳</w:t>
      </w:r>
      <w:r>
        <w:t>动过大，或流动性欠佳，无法作为套期保值研究的对象。而国债</w:t>
      </w:r>
      <w:r>
        <w:rPr>
          <w:rFonts w:ascii="Times New Roman" w:eastAsia="Times New Roman"/>
        </w:rPr>
        <w:t>ETF</w:t>
      </w:r>
      <w:r>
        <w:t>主要成分</w:t>
      </w:r>
      <w:r>
        <w:t>债券为国债期货可交割债券，选取的标的均为接近最便宜可交割券的债券，且该指数基金流动性好，价格连续性强，适合成为套期保值研究的对象。</w:t>
      </w:r>
    </w:p>
    <w:p w:rsidR="0018722C">
      <w:pPr>
        <w:topLinePunct/>
      </w:pPr>
      <w:r>
        <w:t>根据国债期货日均价数据和国泰上证</w:t>
      </w:r>
      <w:r>
        <w:rPr>
          <w:rFonts w:ascii="Times New Roman" w:eastAsia="Times New Roman"/>
        </w:rPr>
        <w:t>5</w:t>
      </w:r>
      <w:r>
        <w:t>年期国债</w:t>
      </w:r>
      <w:r>
        <w:rPr>
          <w:rFonts w:ascii="Times New Roman" w:eastAsia="Times New Roman"/>
        </w:rPr>
        <w:t>ETF</w:t>
      </w:r>
      <w:r>
        <w:t>日均价数据绘制价格走</w:t>
      </w:r>
    </w:p>
    <w:p w:rsidR="0018722C">
      <w:pPr>
        <w:topLinePunct/>
      </w:pPr>
      <w:r>
        <w:rPr>
          <w:rFonts w:cstheme="minorBidi" w:hAnsiTheme="minorHAnsi" w:eastAsiaTheme="minorHAnsi" w:asciiTheme="minorHAnsi" w:ascii="Calibri"/>
        </w:rPr>
        <w:t>21</w:t>
      </w:r>
    </w:p>
    <w:p w:rsidR="0018722C">
      <w:pPr>
        <w:pStyle w:val="BodyText"/>
        <w:spacing w:line="338" w:lineRule="auto" w:before="34"/>
        <w:ind w:leftChars="0" w:left="138"/>
        <w:topLinePunct/>
      </w:pPr>
      <w:r>
        <w:t>势图（</w:t>
      </w:r>
      <w:r>
        <w:rPr>
          <w:spacing w:val="-6"/>
        </w:rPr>
        <w:t>如图</w:t>
      </w:r>
      <w:r>
        <w:rPr>
          <w:rFonts w:ascii="Times New Roman" w:eastAsia="Times New Roman"/>
        </w:rPr>
        <w:t>4</w:t>
      </w:r>
      <w:r>
        <w:rPr>
          <w:rFonts w:ascii="Times New Roman" w:eastAsia="Times New Roman"/>
          <w:spacing w:val="0"/>
        </w:rPr>
        <w:t>-</w:t>
      </w:r>
      <w:r>
        <w:rPr>
          <w:rFonts w:ascii="Times New Roman" w:eastAsia="Times New Roman"/>
        </w:rPr>
        <w:t>1</w:t>
      </w:r>
      <w:r>
        <w:rPr>
          <w:spacing w:val="-60"/>
        </w:rPr>
        <w:t>）</w:t>
      </w:r>
      <w:r>
        <w:rPr>
          <w:spacing w:val="-2"/>
        </w:rPr>
        <w:t>。由图可见，国债期货与国债</w:t>
      </w:r>
      <w:r>
        <w:rPr>
          <w:rFonts w:ascii="Times New Roman" w:eastAsia="Times New Roman"/>
          <w:spacing w:val="0"/>
        </w:rPr>
        <w:t>ET</w:t>
      </w:r>
      <w:r>
        <w:rPr>
          <w:rFonts w:ascii="Times New Roman" w:eastAsia="Times New Roman"/>
        </w:rPr>
        <w:t>F</w:t>
      </w:r>
      <w:r>
        <w:t>走势趋于一致，总体来看，相关性较好，能够满足套期保值的需求。</w:t>
      </w:r>
    </w:p>
    <w:p w:rsidR="00000000">
      <w:pPr>
        <w:pStyle w:val="aff7"/>
        <w:spacing w:line="240" w:lineRule="atLeast"/>
        <w:topLinePunct/>
      </w:pPr>
      <w:r>
        <w:drawing>
          <wp:inline>
            <wp:extent cx="5230493" cy="313334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9" cstate="print"/>
                    <a:stretch>
                      <a:fillRect/>
                    </a:stretch>
                  </pic:blipFill>
                  <pic:spPr>
                    <a:xfrm>
                      <a:off x="0" y="0"/>
                      <a:ext cx="5230493" cy="3133344"/>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Cambria" w:eastAsia="Cambria" w:cstheme="minorBidi" w:hAnsiTheme="minorHAnsi"/>
        </w:rPr>
        <w:t>4</w:t>
      </w:r>
      <w:r>
        <w:rPr>
          <w:rFonts w:ascii="Cambria" w:eastAsia="Cambria" w:cstheme="minorBidi" w:hAnsiTheme="minorHAnsi"/>
        </w:rPr>
        <w:t>.</w:t>
      </w:r>
      <w:r>
        <w:rPr>
          <w:rFonts w:ascii="Cambria" w:eastAsia="Cambria" w:cstheme="minorBidi" w:hAnsiTheme="minorHAnsi"/>
        </w:rPr>
        <w:t>1  </w:t>
      </w:r>
      <w:r>
        <w:rPr>
          <w:rFonts w:ascii="黑体" w:eastAsia="黑体" w:hint="eastAsia" w:cstheme="minorBidi" w:hAnsiTheme="minorHAnsi"/>
        </w:rPr>
        <w:t>国债期货与国债</w:t>
      </w:r>
      <w:r>
        <w:rPr>
          <w:rFonts w:ascii="Times New Roman" w:eastAsia="Times New Roman" w:cstheme="minorBidi" w:hAnsiTheme="minorHAnsi"/>
        </w:rPr>
        <w:t>ETF</w:t>
      </w:r>
      <w:r>
        <w:rPr>
          <w:rFonts w:ascii="黑体" w:eastAsia="黑体" w:hint="eastAsia" w:cstheme="minorBidi" w:hAnsiTheme="minorHAnsi"/>
        </w:rPr>
        <w:t>价格走势图</w:t>
      </w:r>
    </w:p>
    <w:p w:rsidR="0018722C">
      <w:pPr>
        <w:pStyle w:val="Heading2"/>
        <w:topLinePunct/>
        <w:ind w:left="171" w:hangingChars="171" w:hanging="171"/>
      </w:pPr>
      <w:bookmarkStart w:id="737409" w:name="_Toc686737409"/>
      <w:bookmarkStart w:name="_bookmark27" w:id="48"/>
      <w:bookmarkEnd w:id="48"/>
      <w:r>
        <w:t>4.2</w:t>
      </w:r>
      <w:r>
        <w:t xml:space="preserve"> </w:t>
      </w:r>
      <w:r/>
      <w:bookmarkStart w:name="_bookmark27" w:id="49"/>
      <w:bookmarkEnd w:id="49"/>
      <w:r>
        <w:t>数据的检验</w:t>
      </w:r>
      <w:bookmarkEnd w:id="737409"/>
    </w:p>
    <w:p w:rsidR="0018722C">
      <w:pPr>
        <w:pStyle w:val="Heading3"/>
        <w:topLinePunct/>
        <w:ind w:left="200" w:hangingChars="200" w:hanging="200"/>
      </w:pPr>
      <w:bookmarkStart w:id="737410" w:name="_Toc686737410"/>
      <w:bookmarkStart w:name="_bookmark28" w:id="50"/>
      <w:bookmarkEnd w:id="50"/>
      <w:r>
        <w:t>4.2.1</w:t>
      </w:r>
      <w:r>
        <w:t xml:space="preserve"> </w:t>
      </w:r>
      <w:bookmarkStart w:name="_bookmark28" w:id="51"/>
      <w:bookmarkEnd w:id="51"/>
      <w:r>
        <w:t>平稳性检验</w:t>
      </w:r>
      <w:bookmarkEnd w:id="737410"/>
    </w:p>
    <w:p w:rsidR="0018722C">
      <w:pPr>
        <w:topLinePunct/>
      </w:pPr>
      <w:r>
        <w:t>序列的平稳性是回归分析中至关重要的因素，大多数经济学中的时间序列都</w:t>
      </w:r>
      <w:r>
        <w:t>是非平稳的，将回归分析应用到非平稳序列中，会出现伪回归的现象。伪回归是</w:t>
      </w:r>
      <w:r>
        <w:t>指此时时间序列的高度相关只是由于序列之间在时间上同时有向上或者向下的</w:t>
      </w:r>
      <w:r>
        <w:t>趋势，而不是真正的又内在的联系。因此，进行平稳性检验是保证统计分析的前提。</w:t>
      </w:r>
    </w:p>
    <w:p w:rsidR="0018722C">
      <w:pPr>
        <w:topLinePunct/>
      </w:pPr>
      <w:r>
        <w:t>首先对国债期货和国债</w:t>
      </w:r>
      <w:r>
        <w:rPr>
          <w:rFonts w:ascii="Times New Roman" w:eastAsia="Times New Roman"/>
        </w:rPr>
        <w:t>ETF</w:t>
      </w:r>
      <w:r>
        <w:t>的时间序列数据进行处理，对每日均价取自然对</w:t>
      </w:r>
      <w:r>
        <w:t>数，进行单位根检验，结果如</w:t>
      </w:r>
      <w:r>
        <w:t>表</w:t>
      </w:r>
      <w:r>
        <w:rPr>
          <w:rFonts w:ascii="Times New Roman" w:eastAsia="Times New Roman"/>
        </w:rPr>
        <w:t>4-1</w:t>
      </w:r>
      <w:r>
        <w:t>所示。</w:t>
      </w:r>
    </w:p>
    <w:p w:rsidR="0018722C">
      <w:pPr>
        <w:pStyle w:val="a8"/>
        <w:topLinePunct/>
      </w:pPr>
      <w:r>
        <w:t>表</w:t>
      </w:r>
      <w:r>
        <w:t>4</w:t>
      </w:r>
      <w:r>
        <w:t>.</w:t>
      </w:r>
      <w:r>
        <w:t>1  </w:t>
      </w:r>
      <w:r>
        <w:t>国债期货与国债</w:t>
      </w:r>
      <w:r>
        <w:t>ETF</w:t>
      </w:r>
      <w:r>
        <w:t>时间序列对数形式</w:t>
      </w:r>
      <w:r>
        <w:t>ADF</w:t>
      </w:r>
      <w:r>
        <w:t>检验结果</w:t>
      </w:r>
    </w:p>
    <w:tbl>
      <w:tblPr>
        <w:tblW w:w="5000" w:type="pct"/>
        <w:tblInd w:w="5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58"/>
        <w:gridCol w:w="2693"/>
        <w:gridCol w:w="2667"/>
      </w:tblGrid>
      <w:tr>
        <w:trPr>
          <w:tblHeader/>
        </w:trPr>
        <w:tc>
          <w:tcPr>
            <w:tcW w:w="14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91" w:type="pct"/>
            <w:vAlign w:val="center"/>
            <w:tcBorders>
              <w:bottom w:val="single" w:sz="4" w:space="0" w:color="auto"/>
            </w:tcBorders>
          </w:tcPr>
          <w:p w:rsidR="0018722C">
            <w:pPr>
              <w:pStyle w:val="a7"/>
              <w:topLinePunct/>
              <w:ind w:leftChars="0" w:left="0" w:rightChars="0" w:right="0" w:firstLineChars="0" w:firstLine="0"/>
              <w:spacing w:line="240" w:lineRule="atLeast"/>
            </w:pPr>
            <w:r>
              <w:t>国债期货</w:t>
            </w:r>
          </w:p>
        </w:tc>
        <w:tc>
          <w:tcPr>
            <w:tcW w:w="1774" w:type="pct"/>
            <w:vAlign w:val="center"/>
            <w:tcBorders>
              <w:bottom w:val="single" w:sz="4" w:space="0" w:color="auto"/>
            </w:tcBorders>
          </w:tcPr>
          <w:p w:rsidR="0018722C">
            <w:pPr>
              <w:pStyle w:val="a7"/>
              <w:topLinePunct/>
              <w:ind w:leftChars="0" w:left="0" w:rightChars="0" w:right="0" w:firstLineChars="0" w:firstLine="0"/>
              <w:spacing w:line="240" w:lineRule="atLeast"/>
            </w:pPr>
            <w:r>
              <w:t>国债 </w:t>
            </w:r>
            <w:r>
              <w:t>ETF</w:t>
            </w:r>
          </w:p>
        </w:tc>
      </w:tr>
      <w:tr>
        <w:tc>
          <w:tcPr>
            <w:tcW w:w="1435" w:type="pct"/>
            <w:vAlign w:val="center"/>
          </w:tcPr>
          <w:p w:rsidR="0018722C">
            <w:pPr>
              <w:pStyle w:val="ac"/>
              <w:topLinePunct/>
              <w:ind w:leftChars="0" w:left="0" w:rightChars="0" w:right="0" w:firstLineChars="0" w:firstLine="0"/>
              <w:spacing w:line="240" w:lineRule="atLeast"/>
            </w:pPr>
            <w:r>
              <w:t>t </w:t>
            </w:r>
            <w:r>
              <w:t>统计量</w:t>
            </w:r>
          </w:p>
        </w:tc>
        <w:tc>
          <w:tcPr>
            <w:tcW w:w="1791" w:type="pct"/>
            <w:vAlign w:val="center"/>
          </w:tcPr>
          <w:p w:rsidR="0018722C">
            <w:pPr>
              <w:pStyle w:val="affff9"/>
              <w:topLinePunct/>
              <w:ind w:leftChars="0" w:left="0" w:rightChars="0" w:right="0" w:firstLineChars="0" w:firstLine="0"/>
              <w:spacing w:line="240" w:lineRule="atLeast"/>
            </w:pPr>
            <w:r>
              <w:t>-1.512208</w:t>
            </w:r>
          </w:p>
        </w:tc>
        <w:tc>
          <w:tcPr>
            <w:tcW w:w="1774" w:type="pct"/>
            <w:vAlign w:val="center"/>
          </w:tcPr>
          <w:p w:rsidR="0018722C">
            <w:pPr>
              <w:pStyle w:val="affff9"/>
              <w:topLinePunct/>
              <w:ind w:leftChars="0" w:left="0" w:rightChars="0" w:right="0" w:firstLineChars="0" w:firstLine="0"/>
              <w:spacing w:line="240" w:lineRule="atLeast"/>
            </w:pPr>
            <w:r>
              <w:t>-1.119969</w:t>
            </w:r>
          </w:p>
        </w:tc>
      </w:tr>
      <w:tr>
        <w:tc>
          <w:tcPr>
            <w:tcW w:w="1435" w:type="pct"/>
            <w:vAlign w:val="center"/>
          </w:tcPr>
          <w:p w:rsidR="0018722C">
            <w:pPr>
              <w:pStyle w:val="ac"/>
              <w:topLinePunct/>
              <w:ind w:leftChars="0" w:left="0" w:rightChars="0" w:right="0" w:firstLineChars="0" w:firstLine="0"/>
              <w:spacing w:line="240" w:lineRule="atLeast"/>
            </w:pPr>
            <w:r>
              <w:t>Prob.</w:t>
            </w:r>
          </w:p>
        </w:tc>
        <w:tc>
          <w:tcPr>
            <w:tcW w:w="1791" w:type="pct"/>
            <w:vAlign w:val="center"/>
          </w:tcPr>
          <w:p w:rsidR="0018722C">
            <w:pPr>
              <w:pStyle w:val="affff9"/>
              <w:topLinePunct/>
              <w:ind w:leftChars="0" w:left="0" w:rightChars="0" w:right="0" w:firstLineChars="0" w:firstLine="0"/>
              <w:spacing w:line="240" w:lineRule="atLeast"/>
            </w:pPr>
            <w:r>
              <w:t>0.8205</w:t>
            </w:r>
          </w:p>
        </w:tc>
        <w:tc>
          <w:tcPr>
            <w:tcW w:w="1774" w:type="pct"/>
            <w:vAlign w:val="center"/>
          </w:tcPr>
          <w:p w:rsidR="0018722C">
            <w:pPr>
              <w:pStyle w:val="affff9"/>
              <w:topLinePunct/>
              <w:ind w:leftChars="0" w:left="0" w:rightChars="0" w:right="0" w:firstLineChars="0" w:firstLine="0"/>
              <w:spacing w:line="240" w:lineRule="atLeast"/>
            </w:pPr>
            <w:r>
              <w:t>0.9209</w:t>
            </w:r>
          </w:p>
        </w:tc>
      </w:tr>
      <w:tr>
        <w:tc>
          <w:tcPr>
            <w:tcW w:w="1435" w:type="pct"/>
            <w:vAlign w:val="center"/>
          </w:tcPr>
          <w:p w:rsidR="0018722C">
            <w:pPr>
              <w:pStyle w:val="ac"/>
              <w:topLinePunct/>
              <w:ind w:leftChars="0" w:left="0" w:rightChars="0" w:right="0" w:firstLineChars="0" w:firstLine="0"/>
              <w:spacing w:line="240" w:lineRule="atLeast"/>
            </w:pPr>
            <w:r>
              <w:t>1%</w:t>
            </w:r>
            <w:r>
              <w:t>水平</w:t>
            </w:r>
          </w:p>
        </w:tc>
        <w:tc>
          <w:tcPr>
            <w:tcW w:w="3565" w:type="pct"/>
            <w:gridSpan w:val="2"/>
            <w:vAlign w:val="center"/>
          </w:tcPr>
          <w:p w:rsidR="0018722C">
            <w:pPr>
              <w:pStyle w:val="affff9"/>
              <w:topLinePunct/>
              <w:ind w:leftChars="0" w:left="0" w:rightChars="0" w:right="0" w:firstLineChars="0" w:firstLine="0"/>
              <w:spacing w:line="240" w:lineRule="atLeast"/>
            </w:pPr>
            <w:r>
              <w:t>-4.031899</w:t>
            </w:r>
          </w:p>
        </w:tc>
      </w:tr>
      <w:tr>
        <w:tc>
          <w:tcPr>
            <w:tcW w:w="1435" w:type="pct"/>
            <w:vAlign w:val="center"/>
          </w:tcPr>
          <w:p w:rsidR="0018722C">
            <w:pPr>
              <w:pStyle w:val="ac"/>
              <w:topLinePunct/>
              <w:ind w:leftChars="0" w:left="0" w:rightChars="0" w:right="0" w:firstLineChars="0" w:firstLine="0"/>
              <w:spacing w:line="240" w:lineRule="atLeast"/>
            </w:pPr>
            <w:r>
              <w:t>5%</w:t>
            </w:r>
            <w:r>
              <w:t>水平</w:t>
            </w:r>
          </w:p>
        </w:tc>
        <w:tc>
          <w:tcPr>
            <w:tcW w:w="3565" w:type="pct"/>
            <w:gridSpan w:val="2"/>
            <w:vAlign w:val="center"/>
          </w:tcPr>
          <w:p w:rsidR="0018722C">
            <w:pPr>
              <w:pStyle w:val="affff9"/>
              <w:topLinePunct/>
              <w:ind w:leftChars="0" w:left="0" w:rightChars="0" w:right="0" w:firstLineChars="0" w:firstLine="0"/>
              <w:spacing w:line="240" w:lineRule="atLeast"/>
            </w:pPr>
            <w:r>
              <w:t>-3.445590</w:t>
            </w:r>
          </w:p>
        </w:tc>
      </w:tr>
      <w:tr>
        <w:tc>
          <w:tcPr>
            <w:tcW w:w="1435" w:type="pct"/>
            <w:vAlign w:val="center"/>
            <w:tcBorders>
              <w:top w:val="single" w:sz="4" w:space="0" w:color="auto"/>
            </w:tcBorders>
          </w:tcPr>
          <w:p w:rsidR="0018722C">
            <w:pPr>
              <w:pStyle w:val="ac"/>
              <w:topLinePunct/>
              <w:ind w:leftChars="0" w:left="0" w:rightChars="0" w:right="0" w:firstLineChars="0" w:firstLine="0"/>
              <w:spacing w:line="240" w:lineRule="atLeast"/>
            </w:pPr>
            <w:r>
              <w:t>10%</w:t>
            </w:r>
            <w:r>
              <w:t>水平</w:t>
            </w:r>
          </w:p>
        </w:tc>
        <w:tc>
          <w:tcPr>
            <w:tcW w:w="356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-3.147710</w:t>
            </w:r>
          </w:p>
        </w:tc>
      </w:tr>
    </w:tbl>
    <w:p w:rsidR="0018722C">
      <w:pPr>
        <w:topLinePunct/>
        <w:pStyle w:val="affa"/>
      </w:pPr>
    </w:p>
    <w:p w:rsidR="0018722C">
      <w:pPr>
        <w:topLinePunct/>
      </w:pPr>
      <w:r>
        <w:rPr>
          <w:rFonts w:cstheme="minorBidi" w:hAnsiTheme="minorHAnsi" w:eastAsiaTheme="minorHAnsi" w:asciiTheme="minorHAnsi" w:ascii="Calibri"/>
        </w:rPr>
        <w:t>22</w:t>
      </w:r>
    </w:p>
    <w:p w:rsidR="0018722C">
      <w:pPr>
        <w:topLinePunct/>
      </w:pPr>
      <w:r>
        <w:t/>
      </w:r>
      <w:r>
        <w:t>表</w:t>
      </w:r>
      <w:r>
        <w:rPr>
          <w:rFonts w:ascii="Times New Roman" w:eastAsia="Times New Roman"/>
        </w:rPr>
        <w:t>4-1</w:t>
      </w:r>
      <w:r>
        <w:t>所示，取自然对数后的国债期货和国债</w:t>
      </w:r>
      <w:r>
        <w:rPr>
          <w:rFonts w:ascii="Times New Roman" w:eastAsia="Times New Roman"/>
        </w:rPr>
        <w:t>ETF</w:t>
      </w:r>
      <w:r>
        <w:t>时间序列，在</w:t>
      </w:r>
      <w:r>
        <w:rPr>
          <w:rFonts w:ascii="Times New Roman" w:eastAsia="Times New Roman"/>
        </w:rPr>
        <w:t>1%</w:t>
      </w:r>
      <w:r>
        <w:t>、</w:t>
      </w:r>
      <w:r>
        <w:rPr>
          <w:rFonts w:ascii="Times New Roman" w:eastAsia="Times New Roman"/>
        </w:rPr>
        <w:t>5%</w:t>
      </w:r>
      <w:r>
        <w:t>、</w:t>
      </w:r>
      <w:r>
        <w:rPr>
          <w:rFonts w:ascii="Times New Roman" w:eastAsia="Times New Roman"/>
        </w:rPr>
        <w:t>10%</w:t>
      </w:r>
      <w:r>
        <w:t>三个显著性水平下，单位根检验的临界值分别为</w:t>
      </w:r>
      <w:r>
        <w:rPr>
          <w:rFonts w:ascii="Times New Roman" w:eastAsia="Times New Roman"/>
        </w:rPr>
        <w:t>-4.031899</w:t>
      </w:r>
      <w:r>
        <w:t>、</w:t>
      </w:r>
      <w:r>
        <w:rPr>
          <w:rFonts w:ascii="Times New Roman" w:eastAsia="Times New Roman"/>
        </w:rPr>
        <w:t>-3.445590</w:t>
      </w:r>
      <w:r>
        <w:t>、</w:t>
      </w:r>
    </w:p>
    <w:p w:rsidR="0018722C">
      <w:pPr>
        <w:topLinePunct/>
      </w:pPr>
      <w:r>
        <w:rPr>
          <w:rFonts w:ascii="Times New Roman" w:eastAsia="Times New Roman"/>
        </w:rPr>
        <w:t>-3.147710</w:t>
      </w:r>
      <w:r>
        <w:t>，其绝对值均大于其</w:t>
      </w:r>
      <w:r>
        <w:rPr>
          <w:rFonts w:ascii="Times New Roman" w:eastAsia="Times New Roman"/>
        </w:rPr>
        <w:t>t</w:t>
      </w:r>
      <w:r>
        <w:t>统计量绝对值，从而接受原假设，表明两者的时</w:t>
      </w:r>
      <w:r>
        <w:t>间序列存在单位根，是非平稳时间序列。</w:t>
      </w:r>
    </w:p>
    <w:p w:rsidR="0018722C">
      <w:pPr>
        <w:topLinePunct/>
      </w:pPr>
      <w:r>
        <w:t>对上述自然对数形式的时间学列取一阶差分，再次进行单位根检验，如</w:t>
      </w:r>
      <w:r>
        <w:t>表</w:t>
      </w:r>
      <w:r>
        <w:rPr>
          <w:rFonts w:ascii="Times New Roman" w:eastAsia="Times New Roman"/>
        </w:rPr>
        <w:t>4-2</w:t>
      </w:r>
    </w:p>
    <w:p w:rsidR="0018722C">
      <w:pPr>
        <w:topLinePunct/>
      </w:pPr>
      <w:r>
        <w:t>所示：</w:t>
      </w:r>
    </w:p>
    <w:p w:rsidR="0018722C">
      <w:pPr>
        <w:pStyle w:val="a8"/>
        <w:topLinePunct/>
      </w:pPr>
      <w:r>
        <w:t>表</w:t>
      </w:r>
      <w:r>
        <w:t>4</w:t>
      </w:r>
      <w:r>
        <w:t>.</w:t>
      </w:r>
      <w:r>
        <w:t>2  </w:t>
      </w:r>
      <w:r>
        <w:t>国债期货与国债</w:t>
      </w:r>
      <w:r>
        <w:t>ETF</w:t>
      </w:r>
      <w:r>
        <w:t>时间序列对数一阶差分形式</w:t>
      </w:r>
      <w:r>
        <w:t>ADF</w:t>
      </w:r>
      <w:r>
        <w:t>检验结果</w:t>
      </w:r>
    </w:p>
    <w:tbl>
      <w:tblPr>
        <w:tblW w:w="5000" w:type="pct"/>
        <w:tblInd w:w="7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41"/>
        <w:gridCol w:w="2410"/>
        <w:gridCol w:w="2667"/>
      </w:tblGrid>
      <w:tr>
        <w:trPr>
          <w:tblHeader/>
        </w:trPr>
        <w:tc>
          <w:tcPr>
            <w:tcW w:w="14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国债期货</w:t>
            </w:r>
          </w:p>
        </w:tc>
        <w:tc>
          <w:tcPr>
            <w:tcW w:w="1873" w:type="pct"/>
            <w:vAlign w:val="center"/>
            <w:tcBorders>
              <w:bottom w:val="single" w:sz="4" w:space="0" w:color="auto"/>
            </w:tcBorders>
          </w:tcPr>
          <w:p w:rsidR="0018722C">
            <w:pPr>
              <w:pStyle w:val="a7"/>
              <w:topLinePunct/>
              <w:ind w:leftChars="0" w:left="0" w:rightChars="0" w:right="0" w:firstLineChars="0" w:firstLine="0"/>
              <w:spacing w:line="240" w:lineRule="atLeast"/>
            </w:pPr>
            <w:r>
              <w:t>国债 </w:t>
            </w:r>
            <w:r>
              <w:t>ETF</w:t>
            </w:r>
          </w:p>
        </w:tc>
      </w:tr>
      <w:tr>
        <w:tc>
          <w:tcPr>
            <w:tcW w:w="1434" w:type="pct"/>
            <w:vAlign w:val="center"/>
          </w:tcPr>
          <w:p w:rsidR="0018722C">
            <w:pPr>
              <w:pStyle w:val="ac"/>
              <w:topLinePunct/>
              <w:ind w:leftChars="0" w:left="0" w:rightChars="0" w:right="0" w:firstLineChars="0" w:firstLine="0"/>
              <w:spacing w:line="240" w:lineRule="atLeast"/>
            </w:pPr>
            <w:r>
              <w:t>t </w:t>
            </w:r>
            <w:r>
              <w:t>统计量</w:t>
            </w:r>
          </w:p>
        </w:tc>
        <w:tc>
          <w:tcPr>
            <w:tcW w:w="1693" w:type="pct"/>
            <w:vAlign w:val="center"/>
          </w:tcPr>
          <w:p w:rsidR="0018722C">
            <w:pPr>
              <w:pStyle w:val="affff9"/>
              <w:topLinePunct/>
              <w:ind w:leftChars="0" w:left="0" w:rightChars="0" w:right="0" w:firstLineChars="0" w:firstLine="0"/>
              <w:spacing w:line="240" w:lineRule="atLeast"/>
            </w:pPr>
            <w:r>
              <w:t>-9.125243</w:t>
            </w:r>
          </w:p>
        </w:tc>
        <w:tc>
          <w:tcPr>
            <w:tcW w:w="1873" w:type="pct"/>
            <w:vAlign w:val="center"/>
          </w:tcPr>
          <w:p w:rsidR="0018722C">
            <w:pPr>
              <w:pStyle w:val="affff9"/>
              <w:topLinePunct/>
              <w:ind w:leftChars="0" w:left="0" w:rightChars="0" w:right="0" w:firstLineChars="0" w:firstLine="0"/>
              <w:spacing w:line="240" w:lineRule="atLeast"/>
            </w:pPr>
            <w:r>
              <w:t>-10.41055</w:t>
            </w:r>
          </w:p>
        </w:tc>
      </w:tr>
      <w:tr>
        <w:tc>
          <w:tcPr>
            <w:tcW w:w="1434" w:type="pct"/>
            <w:vAlign w:val="center"/>
          </w:tcPr>
          <w:p w:rsidR="0018722C">
            <w:pPr>
              <w:pStyle w:val="ac"/>
              <w:topLinePunct/>
              <w:ind w:leftChars="0" w:left="0" w:rightChars="0" w:right="0" w:firstLineChars="0" w:firstLine="0"/>
              <w:spacing w:line="240" w:lineRule="atLeast"/>
            </w:pPr>
            <w:r>
              <w:t>Prob.</w:t>
            </w:r>
          </w:p>
        </w:tc>
        <w:tc>
          <w:tcPr>
            <w:tcW w:w="1693" w:type="pct"/>
            <w:vAlign w:val="center"/>
          </w:tcPr>
          <w:p w:rsidR="0018722C">
            <w:pPr>
              <w:pStyle w:val="affff9"/>
              <w:topLinePunct/>
              <w:ind w:leftChars="0" w:left="0" w:rightChars="0" w:right="0" w:firstLineChars="0" w:firstLine="0"/>
              <w:spacing w:line="240" w:lineRule="atLeast"/>
            </w:pPr>
            <w:r>
              <w:t>0.0000</w:t>
            </w:r>
          </w:p>
        </w:tc>
        <w:tc>
          <w:tcPr>
            <w:tcW w:w="1873" w:type="pct"/>
            <w:vAlign w:val="center"/>
          </w:tcPr>
          <w:p w:rsidR="0018722C">
            <w:pPr>
              <w:pStyle w:val="affff9"/>
              <w:topLinePunct/>
              <w:ind w:leftChars="0" w:left="0" w:rightChars="0" w:right="0" w:firstLineChars="0" w:firstLine="0"/>
              <w:spacing w:line="240" w:lineRule="atLeast"/>
            </w:pPr>
            <w:r>
              <w:t>0.0000</w:t>
            </w:r>
          </w:p>
        </w:tc>
      </w:tr>
      <w:tr>
        <w:tc>
          <w:tcPr>
            <w:tcW w:w="1434" w:type="pct"/>
            <w:vAlign w:val="center"/>
          </w:tcPr>
          <w:p w:rsidR="0018722C">
            <w:pPr>
              <w:pStyle w:val="ac"/>
              <w:topLinePunct/>
              <w:ind w:leftChars="0" w:left="0" w:rightChars="0" w:right="0" w:firstLineChars="0" w:firstLine="0"/>
              <w:spacing w:line="240" w:lineRule="atLeast"/>
            </w:pPr>
            <w:r>
              <w:t>1%</w:t>
            </w:r>
            <w:r>
              <w:t>水平</w:t>
            </w:r>
          </w:p>
        </w:tc>
        <w:tc>
          <w:tcPr>
            <w:tcW w:w="3566" w:type="pct"/>
            <w:gridSpan w:val="2"/>
            <w:vAlign w:val="center"/>
          </w:tcPr>
          <w:p w:rsidR="0018722C">
            <w:pPr>
              <w:pStyle w:val="affff9"/>
              <w:topLinePunct/>
              <w:ind w:leftChars="0" w:left="0" w:rightChars="0" w:right="0" w:firstLineChars="0" w:firstLine="0"/>
              <w:spacing w:line="240" w:lineRule="atLeast"/>
            </w:pPr>
            <w:r>
              <w:t>-4.032498</w:t>
            </w:r>
          </w:p>
        </w:tc>
      </w:tr>
      <w:tr>
        <w:tc>
          <w:tcPr>
            <w:tcW w:w="1434" w:type="pct"/>
            <w:vAlign w:val="center"/>
          </w:tcPr>
          <w:p w:rsidR="0018722C">
            <w:pPr>
              <w:pStyle w:val="ac"/>
              <w:topLinePunct/>
              <w:ind w:leftChars="0" w:left="0" w:rightChars="0" w:right="0" w:firstLineChars="0" w:firstLine="0"/>
              <w:spacing w:line="240" w:lineRule="atLeast"/>
            </w:pPr>
            <w:r>
              <w:t>5%</w:t>
            </w:r>
            <w:r>
              <w:t>水平</w:t>
            </w:r>
          </w:p>
        </w:tc>
        <w:tc>
          <w:tcPr>
            <w:tcW w:w="3566" w:type="pct"/>
            <w:gridSpan w:val="2"/>
            <w:vAlign w:val="center"/>
          </w:tcPr>
          <w:p w:rsidR="0018722C">
            <w:pPr>
              <w:pStyle w:val="affff9"/>
              <w:topLinePunct/>
              <w:ind w:leftChars="0" w:left="0" w:rightChars="0" w:right="0" w:firstLineChars="0" w:firstLine="0"/>
              <w:spacing w:line="240" w:lineRule="atLeast"/>
            </w:pPr>
            <w:r>
              <w:t>-3.445877</w:t>
            </w:r>
          </w:p>
        </w:tc>
      </w:tr>
      <w:tr>
        <w:tc>
          <w:tcPr>
            <w:tcW w:w="1434" w:type="pct"/>
            <w:vAlign w:val="center"/>
            <w:tcBorders>
              <w:top w:val="single" w:sz="4" w:space="0" w:color="auto"/>
            </w:tcBorders>
          </w:tcPr>
          <w:p w:rsidR="0018722C">
            <w:pPr>
              <w:pStyle w:val="ac"/>
              <w:topLinePunct/>
              <w:ind w:leftChars="0" w:left="0" w:rightChars="0" w:right="0" w:firstLineChars="0" w:firstLine="0"/>
              <w:spacing w:line="240" w:lineRule="atLeast"/>
            </w:pPr>
            <w:r>
              <w:t>10%</w:t>
            </w:r>
            <w:r>
              <w:t>水平</w:t>
            </w:r>
          </w:p>
        </w:tc>
        <w:tc>
          <w:tcPr>
            <w:tcW w:w="356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-3.147878</w:t>
            </w:r>
          </w:p>
        </w:tc>
      </w:tr>
    </w:tbl>
    <w:p w:rsidR="0018722C">
      <w:pPr>
        <w:pStyle w:val="affa"/>
      </w:pPr>
    </w:p>
    <w:p w:rsidR="0018722C">
      <w:pPr>
        <w:topLinePunct/>
      </w:pPr>
      <w:r>
        <w:t/>
      </w:r>
      <w:r>
        <w:t>表</w:t>
      </w:r>
      <w:r>
        <w:rPr>
          <w:rFonts w:ascii="Times New Roman" w:eastAsia="Times New Roman"/>
        </w:rPr>
        <w:t>4-1</w:t>
      </w:r>
      <w:r>
        <w:t>所示，对上述自然对数取一阶差分之后，在各个显著性水平下，其临</w:t>
      </w:r>
      <w:r>
        <w:t>界值绝对值均小于其</w:t>
      </w:r>
      <w:r>
        <w:rPr>
          <w:rFonts w:ascii="Times New Roman" w:eastAsia="Times New Roman"/>
        </w:rPr>
        <w:t>t</w:t>
      </w:r>
      <w:r>
        <w:t>统计量绝对值，表明在各个显著性水平下均能拒绝原假设，</w:t>
      </w:r>
      <w:r w:rsidR="001852F3">
        <w:t xml:space="preserve">两者的时间序列不存在单位根，该一阶差分序列是平稳时间序列。</w:t>
      </w:r>
    </w:p>
    <w:p w:rsidR="0018722C">
      <w:pPr>
        <w:pStyle w:val="Heading3"/>
        <w:topLinePunct/>
        <w:ind w:left="200" w:hangingChars="200" w:hanging="200"/>
      </w:pPr>
      <w:bookmarkStart w:id="737411" w:name="_Toc686737411"/>
      <w:bookmarkStart w:name="_bookmark29" w:id="52"/>
      <w:bookmarkEnd w:id="52"/>
      <w:r>
        <w:t>4.2.2</w:t>
      </w:r>
      <w:r>
        <w:t xml:space="preserve"> </w:t>
      </w:r>
      <w:bookmarkStart w:name="_bookmark29" w:id="53"/>
      <w:bookmarkEnd w:id="53"/>
      <w:r>
        <w:t>协整检验</w:t>
      </w:r>
      <w:bookmarkEnd w:id="737411"/>
    </w:p>
    <w:p w:rsidR="0018722C">
      <w:pPr>
        <w:topLinePunct/>
      </w:pPr>
      <w:r>
        <w:t>国债期货和国债</w:t>
      </w:r>
      <w:r>
        <w:rPr>
          <w:rFonts w:ascii="Times New Roman" w:eastAsia="Times New Roman"/>
        </w:rPr>
        <w:t>ETF</w:t>
      </w:r>
      <w:r>
        <w:t>的对数时间序列是非平稳的，通过其一阶差分使之成为</w:t>
      </w:r>
      <w:r>
        <w:t>平稳序列，但是如此会失去对于分析问题十分必要的总量的长期信息，此时可以利用协整来处理这样的问题。</w:t>
      </w:r>
    </w:p>
    <w:p w:rsidR="0018722C">
      <w:pPr>
        <w:topLinePunct/>
      </w:pPr>
      <w:r>
        <w:t>本文将</w:t>
      </w:r>
      <w:r>
        <w:rPr>
          <w:rFonts w:ascii="Times New Roman" w:eastAsia="Times New Roman"/>
        </w:rPr>
        <w:t>EG</w:t>
      </w:r>
      <w:r>
        <w:t>（</w:t>
      </w:r>
      <w:r>
        <w:rPr>
          <w:rFonts w:ascii="Times New Roman" w:eastAsia="Times New Roman"/>
        </w:rPr>
        <w:t>Engle-Granger</w:t>
      </w:r>
      <w:r>
        <w:t>）</w:t>
      </w:r>
      <w:r>
        <w:t>两步法进行协整检验：</w:t>
      </w:r>
      <w:r>
        <w:t>（</w:t>
      </w:r>
      <w:r>
        <w:rPr>
          <w:rFonts w:ascii="Times New Roman" w:eastAsia="Times New Roman"/>
        </w:rPr>
        <w:t>1</w:t>
      </w:r>
      <w:r>
        <w:t>）</w:t>
      </w:r>
      <w:r>
        <w:t xml:space="preserve">先利用</w:t>
      </w:r>
      <w:r>
        <w:rPr>
          <w:rFonts w:ascii="Times New Roman" w:eastAsia="Times New Roman"/>
        </w:rPr>
        <w:t>OLS</w:t>
      </w:r>
      <w:r>
        <w:t>模型对国债期货和国债</w:t>
      </w:r>
      <w:r>
        <w:rPr>
          <w:rFonts w:ascii="Times New Roman" w:eastAsia="Times New Roman"/>
        </w:rPr>
        <w:t>ETF</w:t>
      </w:r>
      <w:r>
        <w:t>对数时间序列进行回归分析。</w:t>
      </w:r>
    </w:p>
    <w:p w:rsidR="0018722C">
      <w:pPr>
        <w:pStyle w:val="a8"/>
        <w:topLinePunct/>
      </w:pPr>
      <w:r>
        <w:t>表</w:t>
      </w:r>
      <w:r>
        <w:t>4</w:t>
      </w:r>
      <w:r>
        <w:t>.</w:t>
      </w:r>
      <w:r>
        <w:t>3  </w:t>
      </w:r>
      <w:r>
        <w:t>国债期货和国债</w:t>
      </w:r>
      <w:r>
        <w:t>ETF</w:t>
      </w:r>
      <w:r>
        <w:t>对数时间序列回归分析结果</w:t>
      </w:r>
    </w:p>
    <w:tbl>
      <w:tblPr>
        <w:tblW w:w="5000" w:type="pct"/>
        <w:tblInd w:w="1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2"/>
        <w:gridCol w:w="311"/>
        <w:gridCol w:w="1270"/>
        <w:gridCol w:w="689"/>
        <w:gridCol w:w="1006"/>
        <w:gridCol w:w="1404"/>
        <w:gridCol w:w="291"/>
        <w:gridCol w:w="1553"/>
      </w:tblGrid>
      <w:tr>
        <w:trPr>
          <w:tblHeader/>
        </w:trPr>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6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tc>
        <w:tc>
          <w:tcPr>
            <w:tcW w:w="103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103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035" w:type="pct"/>
            <w:vAlign w:val="center"/>
          </w:tcPr>
          <w:p w:rsidR="0018722C">
            <w:pPr>
              <w:pStyle w:val="ac"/>
              <w:topLinePunct/>
              <w:ind w:leftChars="0" w:left="0" w:rightChars="0" w:right="0" w:firstLineChars="0" w:firstLine="0"/>
              <w:spacing w:line="240" w:lineRule="atLeast"/>
            </w:pPr>
            <w:r>
              <w:t>C</w:t>
            </w:r>
          </w:p>
        </w:tc>
        <w:tc>
          <w:tcPr>
            <w:tcW w:w="961" w:type="pct"/>
            <w:gridSpan w:val="2"/>
            <w:vAlign w:val="center"/>
          </w:tcPr>
          <w:p w:rsidR="0018722C">
            <w:pPr>
              <w:pStyle w:val="affff9"/>
              <w:topLinePunct/>
              <w:ind w:leftChars="0" w:left="0" w:rightChars="0" w:right="0" w:firstLineChars="0" w:firstLine="0"/>
              <w:spacing w:line="240" w:lineRule="atLeast"/>
            </w:pPr>
            <w:r>
              <w:t>1.558597</w:t>
            </w:r>
          </w:p>
        </w:tc>
        <w:tc>
          <w:tcPr>
            <w:tcW w:w="1030" w:type="pct"/>
            <w:gridSpan w:val="2"/>
            <w:vAlign w:val="center"/>
          </w:tcPr>
          <w:p w:rsidR="0018722C">
            <w:pPr>
              <w:pStyle w:val="affff9"/>
              <w:topLinePunct/>
              <w:ind w:leftChars="0" w:left="0" w:rightChars="0" w:right="0" w:firstLineChars="0" w:firstLine="0"/>
              <w:spacing w:line="240" w:lineRule="atLeast"/>
            </w:pPr>
            <w:r>
              <w:t>0.131724</w:t>
            </w:r>
          </w:p>
        </w:tc>
        <w:tc>
          <w:tcPr>
            <w:tcW w:w="1030" w:type="pct"/>
            <w:gridSpan w:val="2"/>
            <w:vAlign w:val="center"/>
          </w:tcPr>
          <w:p w:rsidR="0018722C">
            <w:pPr>
              <w:pStyle w:val="affff9"/>
              <w:topLinePunct/>
              <w:ind w:leftChars="0" w:left="0" w:rightChars="0" w:right="0" w:firstLineChars="0" w:firstLine="0"/>
              <w:spacing w:line="240" w:lineRule="atLeast"/>
            </w:pPr>
            <w:r>
              <w:t>11.83225</w:t>
            </w:r>
          </w:p>
        </w:tc>
        <w:tc>
          <w:tcPr>
            <w:tcW w:w="944" w:type="pct"/>
            <w:vAlign w:val="center"/>
          </w:tcPr>
          <w:p w:rsidR="0018722C">
            <w:pPr>
              <w:pStyle w:val="affff9"/>
              <w:topLinePunct/>
              <w:ind w:leftChars="0" w:left="0" w:rightChars="0" w:right="0" w:firstLineChars="0" w:firstLine="0"/>
              <w:spacing w:line="240" w:lineRule="atLeast"/>
            </w:pPr>
            <w:r>
              <w:t>0.0000</w:t>
            </w:r>
          </w:p>
        </w:tc>
      </w:tr>
      <w:tr>
        <w:tc>
          <w:tcPr>
            <w:tcW w:w="1035" w:type="pct"/>
            <w:vAlign w:val="center"/>
          </w:tcPr>
          <w:p w:rsidR="0018722C">
            <w:pPr>
              <w:pStyle w:val="ac"/>
              <w:topLinePunct/>
              <w:ind w:leftChars="0" w:left="0" w:rightChars="0" w:right="0" w:firstLineChars="0" w:firstLine="0"/>
              <w:spacing w:line="240" w:lineRule="atLeast"/>
            </w:pPr>
            <w:r>
              <w:t>TF_LN</w:t>
            </w:r>
          </w:p>
        </w:tc>
        <w:tc>
          <w:tcPr>
            <w:tcW w:w="961" w:type="pct"/>
            <w:gridSpan w:val="2"/>
            <w:vAlign w:val="center"/>
          </w:tcPr>
          <w:p w:rsidR="0018722C">
            <w:pPr>
              <w:pStyle w:val="affff9"/>
              <w:topLinePunct/>
              <w:ind w:leftChars="0" w:left="0" w:rightChars="0" w:right="0" w:firstLineChars="0" w:firstLine="0"/>
              <w:spacing w:line="240" w:lineRule="atLeast"/>
            </w:pPr>
            <w:r>
              <w:t>0.666140</w:t>
            </w:r>
          </w:p>
        </w:tc>
        <w:tc>
          <w:tcPr>
            <w:tcW w:w="1030" w:type="pct"/>
            <w:gridSpan w:val="2"/>
            <w:vAlign w:val="center"/>
          </w:tcPr>
          <w:p w:rsidR="0018722C">
            <w:pPr>
              <w:pStyle w:val="affff9"/>
              <w:topLinePunct/>
              <w:ind w:leftChars="0" w:left="0" w:rightChars="0" w:right="0" w:firstLineChars="0" w:firstLine="0"/>
              <w:spacing w:line="240" w:lineRule="atLeast"/>
            </w:pPr>
            <w:r>
              <w:t>0.029089</w:t>
            </w:r>
          </w:p>
        </w:tc>
        <w:tc>
          <w:tcPr>
            <w:tcW w:w="1030" w:type="pct"/>
            <w:gridSpan w:val="2"/>
            <w:vAlign w:val="center"/>
          </w:tcPr>
          <w:p w:rsidR="0018722C">
            <w:pPr>
              <w:pStyle w:val="affff9"/>
              <w:topLinePunct/>
              <w:ind w:leftChars="0" w:left="0" w:rightChars="0" w:right="0" w:firstLineChars="0" w:firstLine="0"/>
              <w:spacing w:line="240" w:lineRule="atLeast"/>
            </w:pPr>
            <w:r>
              <w:t>22.90018</w:t>
            </w:r>
          </w:p>
        </w:tc>
        <w:tc>
          <w:tcPr>
            <w:tcW w:w="944" w:type="pct"/>
            <w:vAlign w:val="center"/>
          </w:tcPr>
          <w:p w:rsidR="0018722C">
            <w:pPr>
              <w:pStyle w:val="affff9"/>
              <w:topLinePunct/>
              <w:ind w:leftChars="0" w:left="0" w:rightChars="0" w:right="0" w:firstLineChars="0" w:firstLine="0"/>
              <w:spacing w:line="240" w:lineRule="atLeast"/>
            </w:pPr>
            <w:r>
              <w:t>0.0000</w:t>
            </w:r>
          </w:p>
        </w:tc>
      </w:tr>
      <w:tr>
        <w:tc>
          <w:tcPr>
            <w:tcW w:w="1224" w:type="pct"/>
            <w:gridSpan w:val="2"/>
            <w:vAlign w:val="center"/>
          </w:tcPr>
          <w:p w:rsidR="0018722C">
            <w:pPr>
              <w:pStyle w:val="ac"/>
              <w:topLinePunct/>
              <w:ind w:leftChars="0" w:left="0" w:rightChars="0" w:right="0" w:firstLineChars="0" w:firstLine="0"/>
              <w:spacing w:line="240" w:lineRule="atLeast"/>
            </w:pPr>
            <w:r>
              <w:t>R</w:t>
            </w:r>
            <w:r>
              <w:t>2</w:t>
            </w:r>
          </w:p>
        </w:tc>
        <w:tc>
          <w:tcPr>
            <w:tcW w:w="1191" w:type="pct"/>
            <w:gridSpan w:val="2"/>
            <w:vAlign w:val="center"/>
          </w:tcPr>
          <w:p w:rsidR="0018722C">
            <w:pPr>
              <w:pStyle w:val="affff9"/>
              <w:topLinePunct/>
              <w:ind w:leftChars="0" w:left="0" w:rightChars="0" w:right="0" w:firstLineChars="0" w:firstLine="0"/>
              <w:spacing w:line="240" w:lineRule="atLeast"/>
            </w:pPr>
            <w:r>
              <w:t>0.806278</w:t>
            </w:r>
          </w:p>
        </w:tc>
        <w:tc>
          <w:tcPr>
            <w:tcW w:w="1465" w:type="pct"/>
            <w:gridSpan w:val="2"/>
            <w:vAlign w:val="center"/>
          </w:tcPr>
          <w:p w:rsidR="0018722C">
            <w:pPr>
              <w:pStyle w:val="a5"/>
              <w:topLinePunct/>
              <w:ind w:leftChars="0" w:left="0" w:rightChars="0" w:right="0" w:firstLineChars="0" w:firstLine="0"/>
              <w:spacing w:line="240" w:lineRule="atLeast"/>
            </w:pPr>
            <w:r>
              <w:t>被解释变量均值</w:t>
            </w:r>
          </w:p>
        </w:tc>
        <w:tc>
          <w:tcPr>
            <w:tcW w:w="1121" w:type="pct"/>
            <w:gridSpan w:val="2"/>
            <w:vAlign w:val="center"/>
          </w:tcPr>
          <w:p w:rsidR="0018722C">
            <w:pPr>
              <w:pStyle w:val="affff9"/>
              <w:topLinePunct/>
              <w:ind w:leftChars="0" w:left="0" w:rightChars="0" w:right="0" w:firstLineChars="0" w:firstLine="0"/>
              <w:spacing w:line="240" w:lineRule="atLeast"/>
            </w:pPr>
            <w:r>
              <w:t>4.575101</w:t>
            </w:r>
          </w:p>
        </w:tc>
      </w:tr>
      <w:tr>
        <w:tc>
          <w:tcPr>
            <w:tcW w:w="1224" w:type="pct"/>
            <w:gridSpan w:val="2"/>
            <w:vAlign w:val="center"/>
          </w:tcPr>
          <w:p w:rsidR="0018722C">
            <w:pPr>
              <w:pStyle w:val="ac"/>
              <w:topLinePunct/>
              <w:ind w:leftChars="0" w:left="0" w:rightChars="0" w:right="0" w:firstLineChars="0" w:firstLine="0"/>
              <w:spacing w:line="240" w:lineRule="atLeast"/>
            </w:pPr>
            <w:r>
              <w:t>调整后 </w:t>
            </w:r>
            <w:r>
              <w:t>R</w:t>
            </w:r>
            <w:r>
              <w:t>2</w:t>
            </w:r>
          </w:p>
        </w:tc>
        <w:tc>
          <w:tcPr>
            <w:tcW w:w="1191" w:type="pct"/>
            <w:gridSpan w:val="2"/>
            <w:vAlign w:val="center"/>
          </w:tcPr>
          <w:p w:rsidR="0018722C">
            <w:pPr>
              <w:pStyle w:val="affff9"/>
              <w:topLinePunct/>
              <w:ind w:leftChars="0" w:left="0" w:rightChars="0" w:right="0" w:firstLineChars="0" w:firstLine="0"/>
              <w:spacing w:line="240" w:lineRule="atLeast"/>
            </w:pPr>
            <w:r>
              <w:t>0.804741</w:t>
            </w:r>
          </w:p>
        </w:tc>
        <w:tc>
          <w:tcPr>
            <w:tcW w:w="1465" w:type="pct"/>
            <w:gridSpan w:val="2"/>
            <w:vAlign w:val="center"/>
          </w:tcPr>
          <w:p w:rsidR="0018722C">
            <w:pPr>
              <w:pStyle w:val="a5"/>
              <w:topLinePunct/>
              <w:ind w:leftChars="0" w:left="0" w:rightChars="0" w:right="0" w:firstLineChars="0" w:firstLine="0"/>
              <w:spacing w:line="240" w:lineRule="atLeast"/>
            </w:pPr>
            <w:r>
              <w:t>被解释变量标准差</w:t>
            </w:r>
          </w:p>
        </w:tc>
        <w:tc>
          <w:tcPr>
            <w:tcW w:w="1121" w:type="pct"/>
            <w:gridSpan w:val="2"/>
            <w:vAlign w:val="center"/>
          </w:tcPr>
          <w:p w:rsidR="0018722C">
            <w:pPr>
              <w:pStyle w:val="affff9"/>
              <w:topLinePunct/>
              <w:ind w:leftChars="0" w:left="0" w:rightChars="0" w:right="0" w:firstLineChars="0" w:firstLine="0"/>
              <w:spacing w:line="240" w:lineRule="atLeast"/>
            </w:pPr>
            <w:r>
              <w:t>0.008043</w:t>
            </w:r>
          </w:p>
        </w:tc>
      </w:tr>
      <w:tr>
        <w:tc>
          <w:tcPr>
            <w:tcW w:w="1224"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总平方残差</w:t>
            </w:r>
          </w:p>
        </w:tc>
        <w:tc>
          <w:tcPr>
            <w:tcW w:w="1191"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0.001592</w:t>
            </w:r>
          </w:p>
        </w:tc>
        <w:tc>
          <w:tcPr>
            <w:tcW w:w="1465"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AIC </w:t>
            </w:r>
            <w:r>
              <w:t>信息准则</w:t>
            </w:r>
          </w:p>
        </w:tc>
        <w:tc>
          <w:tcPr>
            <w:tcW w:w="1121"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-8.425931</w:t>
            </w:r>
          </w:p>
        </w:tc>
      </w:tr>
    </w:tbl>
    <w:p w:rsidR="0018722C">
      <w:pPr>
        <w:topLinePunct/>
        <w:pStyle w:val="affa"/>
      </w:pPr>
    </w:p>
    <w:p w:rsidR="0018722C">
      <w:pPr>
        <w:topLinePunct/>
      </w:pPr>
      <w:r>
        <w:rPr>
          <w:rFonts w:cstheme="minorBidi" w:hAnsiTheme="minorHAnsi" w:eastAsiaTheme="minorHAnsi" w:asciiTheme="minorHAnsi" w:ascii="Calibri"/>
        </w:rPr>
        <w:t>23</w:t>
      </w:r>
    </w:p>
    <w:p w:rsidR="0018722C">
      <w:pPr>
        <w:topLinePunct/>
      </w:pPr>
      <w:r>
        <w:rPr>
          <w:rFonts w:cstheme="minorBidi" w:hAnsiTheme="minorHAnsi" w:eastAsiaTheme="minorHAnsi" w:asciiTheme="minorHAnsi" w:ascii="黑体" w:eastAsia="黑体" w:hint="eastAsia"/>
        </w:rPr>
        <w:t>续</w:t>
      </w:r>
      <w:r>
        <w:rPr>
          <w:rFonts w:cstheme="minorBidi" w:hAnsiTheme="minorHAnsi" w:eastAsiaTheme="minorHAnsi" w:asciiTheme="minorHAnsi" w:ascii="黑体" w:eastAsia="黑体" w:hint="eastAsia"/>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rsidR="001852F3">
        <w:rPr>
          <w:rFonts w:ascii="Times New Roman" w:eastAsia="Times New Roman" w:cstheme="minorBidi" w:hAnsiTheme="minorHAnsi"/>
        </w:rPr>
        <w:t xml:space="preserve"> </w:t>
      </w:r>
      <w:r>
        <w:rPr>
          <w:rFonts w:ascii="黑体" w:eastAsia="黑体" w:hint="eastAsia" w:cstheme="minorBidi" w:hAnsiTheme="minorHAnsi"/>
        </w:rPr>
        <w:t>国债期货和国债</w:t>
      </w:r>
      <w:r>
        <w:rPr>
          <w:rFonts w:ascii="Times New Roman" w:eastAsia="Times New Roman" w:cstheme="minorBidi" w:hAnsiTheme="minorHAnsi"/>
        </w:rPr>
        <w:t>ETF</w:t>
      </w:r>
      <w:r>
        <w:rPr>
          <w:rFonts w:ascii="黑体" w:eastAsia="黑体" w:hint="eastAsia" w:cstheme="minorBidi" w:hAnsiTheme="minorHAnsi"/>
        </w:rPr>
        <w:t>对数时间序列回归分析结果</w:t>
      </w: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2"/>
        <w:gridCol w:w="1959"/>
        <w:gridCol w:w="2411"/>
        <w:gridCol w:w="1845"/>
      </w:tblGrid>
      <w:tr>
        <w:trPr>
          <w:trHeight w:val="520" w:hRule="atLeast"/>
        </w:trPr>
        <w:tc>
          <w:tcPr>
            <w:tcW w:w="2012" w:type="dxa"/>
          </w:tcPr>
          <w:p w:rsidR="0018722C">
            <w:pPr>
              <w:topLinePunct/>
              <w:ind w:leftChars="0" w:left="0" w:rightChars="0" w:right="0" w:firstLineChars="0" w:firstLine="0"/>
              <w:spacing w:line="240" w:lineRule="atLeast"/>
            </w:pPr>
            <w:r>
              <w:t>F </w:t>
            </w:r>
            <w:r>
              <w:rPr>
                <w:rFonts w:ascii="宋体" w:eastAsia="宋体" w:hint="eastAsia"/>
              </w:rPr>
              <w:t>统计量</w:t>
            </w:r>
          </w:p>
        </w:tc>
        <w:tc>
          <w:tcPr>
            <w:tcW w:w="1959" w:type="dxa"/>
          </w:tcPr>
          <w:p w:rsidR="0018722C">
            <w:pPr>
              <w:topLinePunct/>
              <w:ind w:leftChars="0" w:left="0" w:rightChars="0" w:right="0" w:firstLineChars="0" w:firstLine="0"/>
              <w:spacing w:line="240" w:lineRule="atLeast"/>
            </w:pPr>
            <w:r>
              <w:t>524.4182</w:t>
            </w:r>
          </w:p>
        </w:tc>
        <w:tc>
          <w:tcPr>
            <w:tcW w:w="2411" w:type="dxa"/>
          </w:tcPr>
          <w:p w:rsidR="0018722C">
            <w:pPr>
              <w:topLinePunct/>
              <w:ind w:leftChars="0" w:left="0" w:rightChars="0" w:right="0" w:firstLineChars="0" w:firstLine="0"/>
              <w:spacing w:line="240" w:lineRule="atLeast"/>
            </w:pPr>
            <w:r>
              <w:t>SC </w:t>
            </w:r>
            <w:r>
              <w:rPr>
                <w:rFonts w:ascii="宋体" w:eastAsia="宋体" w:hint="eastAsia"/>
              </w:rPr>
              <w:t>准则</w:t>
            </w:r>
          </w:p>
        </w:tc>
        <w:tc>
          <w:tcPr>
            <w:tcW w:w="1845" w:type="dxa"/>
          </w:tcPr>
          <w:p w:rsidR="0018722C">
            <w:pPr>
              <w:topLinePunct/>
              <w:ind w:leftChars="0" w:left="0" w:rightChars="0" w:right="0" w:firstLineChars="0" w:firstLine="0"/>
              <w:spacing w:line="240" w:lineRule="atLeast"/>
            </w:pPr>
            <w:r>
              <w:t>-8.381368</w:t>
            </w:r>
          </w:p>
        </w:tc>
      </w:tr>
      <w:tr>
        <w:trPr>
          <w:trHeight w:val="520" w:hRule="atLeast"/>
        </w:trPr>
        <w:tc>
          <w:tcPr>
            <w:tcW w:w="2012" w:type="dxa"/>
          </w:tcPr>
          <w:p w:rsidR="0018722C">
            <w:pPr>
              <w:topLinePunct/>
              <w:ind w:leftChars="0" w:left="0" w:rightChars="0" w:right="0" w:firstLineChars="0" w:firstLine="0"/>
              <w:spacing w:line="240" w:lineRule="atLeast"/>
            </w:pPr>
            <w:r>
              <w:t>P </w:t>
            </w:r>
            <w:r>
              <w:rPr>
                <w:rFonts w:ascii="宋体" w:eastAsia="宋体" w:hint="eastAsia"/>
              </w:rPr>
              <w:t>值</w:t>
            </w:r>
            <w:r>
              <w:rPr>
                <w:rFonts w:ascii="宋体" w:eastAsia="宋体" w:hint="eastAsia"/>
              </w:rPr>
              <w:t>（</w:t>
            </w:r>
            <w:r>
              <w:t>F </w:t>
            </w:r>
            <w:r>
              <w:rPr>
                <w:rFonts w:ascii="宋体" w:eastAsia="宋体" w:hint="eastAsia"/>
              </w:rPr>
              <w:t>统计量</w:t>
            </w:r>
            <w:r>
              <w:rPr>
                <w:rFonts w:ascii="宋体" w:eastAsia="宋体" w:hint="eastAsia"/>
              </w:rPr>
              <w:t>）</w:t>
            </w:r>
          </w:p>
        </w:tc>
        <w:tc>
          <w:tcPr>
            <w:tcW w:w="1959" w:type="dxa"/>
          </w:tcPr>
          <w:p w:rsidR="0018722C">
            <w:pPr>
              <w:topLinePunct/>
              <w:ind w:leftChars="0" w:left="0" w:rightChars="0" w:right="0" w:firstLineChars="0" w:firstLine="0"/>
              <w:spacing w:line="240" w:lineRule="atLeast"/>
            </w:pPr>
            <w:r>
              <w:t>0.000000</w:t>
            </w:r>
          </w:p>
        </w:tc>
        <w:tc>
          <w:tcPr>
            <w:tcW w:w="2411" w:type="dxa"/>
          </w:tcPr>
          <w:p w:rsidR="0018722C">
            <w:pPr>
              <w:topLinePunct/>
              <w:ind w:leftChars="0" w:left="0" w:rightChars="0" w:right="0" w:firstLineChars="0" w:firstLine="0"/>
              <w:spacing w:line="240" w:lineRule="atLeast"/>
            </w:pPr>
            <w:r>
              <w:t>DW </w:t>
            </w:r>
            <w:r>
              <w:rPr>
                <w:rFonts w:ascii="宋体" w:eastAsia="宋体" w:hint="eastAsia"/>
              </w:rPr>
              <w:t>统计量</w:t>
            </w:r>
          </w:p>
        </w:tc>
        <w:tc>
          <w:tcPr>
            <w:tcW w:w="1845" w:type="dxa"/>
          </w:tcPr>
          <w:p w:rsidR="0018722C">
            <w:pPr>
              <w:topLinePunct/>
              <w:ind w:leftChars="0" w:left="0" w:rightChars="0" w:right="0" w:firstLineChars="0" w:firstLine="0"/>
              <w:spacing w:line="240" w:lineRule="atLeast"/>
            </w:pPr>
            <w:r>
              <w:t>0.144700</w:t>
            </w:r>
          </w:p>
        </w:tc>
      </w:tr>
    </w:tbl>
    <w:p w:rsidR="0018722C">
      <w:pPr>
        <w:pStyle w:val="affa"/>
      </w:pPr>
    </w:p>
    <w:p w:rsidR="0018722C">
      <w:pPr>
        <w:topLinePunct/>
      </w:pPr>
      <w:r>
        <w:t>（</w:t>
      </w:r>
      <w:r>
        <w:rPr>
          <w:rFonts w:ascii="Times New Roman" w:eastAsia="Times New Roman"/>
        </w:rPr>
        <w:t>2</w:t>
      </w:r>
      <w:r>
        <w:t>）</w:t>
      </w:r>
      <w:r>
        <w:t>对上述残差序列进行</w:t>
      </w:r>
      <w:r>
        <w:rPr>
          <w:rFonts w:ascii="Times New Roman" w:eastAsia="Times New Roman"/>
        </w:rPr>
        <w:t>ADF</w:t>
      </w:r>
      <w:r>
        <w:t>检验。若残差项序列是平稳的，则表明国债</w:t>
      </w:r>
      <w:r>
        <w:t>期货和国债</w:t>
      </w:r>
      <w:r>
        <w:rPr>
          <w:rFonts w:ascii="Times New Roman" w:eastAsia="Times New Roman"/>
        </w:rPr>
        <w:t>ETF</w:t>
      </w:r>
      <w:r>
        <w:t>时间序列之间是协整的，存在长期均衡关系。对其残差序列进</w:t>
      </w:r>
      <w:r>
        <w:t>行</w:t>
      </w:r>
      <w:r>
        <w:rPr>
          <w:rFonts w:ascii="Times New Roman" w:eastAsia="Times New Roman"/>
        </w:rPr>
        <w:t>ADF</w:t>
      </w:r>
      <w:r>
        <w:t>单位根检验结果如下：</w:t>
      </w:r>
    </w:p>
    <w:p w:rsidR="0018722C">
      <w:pPr>
        <w:pStyle w:val="a8"/>
        <w:topLinePunct/>
      </w:pPr>
      <w:r>
        <w:rPr>
          <w:kern w:val="2"/>
          <w:szCs w:val="22"/>
        </w:rPr>
        <w:t>表</w:t>
      </w:r>
      <w:r>
        <w:rPr>
          <w:kern w:val="2"/>
          <w:szCs w:val="22"/>
        </w:rPr>
        <w:t>4</w:t>
      </w:r>
      <w:r>
        <w:rPr>
          <w:kern w:val="2"/>
          <w:szCs w:val="22"/>
        </w:rPr>
        <w:t>.</w:t>
      </w:r>
      <w:r>
        <w:rPr>
          <w:kern w:val="2"/>
          <w:szCs w:val="22"/>
        </w:rPr>
        <w:t>5  </w:t>
      </w:r>
      <w:r>
        <w:rPr>
          <w:kern w:val="2"/>
          <w:szCs w:val="22"/>
        </w:rPr>
        <w:t>残差序列</w:t>
      </w:r>
      <w:r>
        <w:rPr>
          <w:kern w:val="2"/>
          <w:szCs w:val="22"/>
        </w:rPr>
        <w:t>ADF</w:t>
      </w:r>
      <w:r>
        <w:rPr>
          <w:kern w:val="2"/>
          <w:szCs w:val="22"/>
        </w:rPr>
        <w:t>检验结果</w:t>
      </w:r>
    </w:p>
    <w:tbl>
      <w:tblPr>
        <w:tblW w:w="5000" w:type="pct"/>
        <w:tblInd w:w="226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31"/>
        <w:gridCol w:w="2033"/>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残差序列</w:t>
            </w:r>
          </w:p>
        </w:tc>
      </w:tr>
      <w:tr>
        <w:tc>
          <w:tcPr>
            <w:tcW w:w="2499" w:type="pct"/>
            <w:vAlign w:val="center"/>
          </w:tcPr>
          <w:p w:rsidR="0018722C">
            <w:pPr>
              <w:pStyle w:val="ac"/>
              <w:topLinePunct/>
              <w:ind w:leftChars="0" w:left="0" w:rightChars="0" w:right="0" w:firstLineChars="0" w:firstLine="0"/>
              <w:spacing w:line="240" w:lineRule="atLeast"/>
            </w:pPr>
            <w:r>
              <w:t>t </w:t>
            </w:r>
            <w:r>
              <w:t>统计量</w:t>
            </w:r>
          </w:p>
        </w:tc>
        <w:tc>
          <w:tcPr>
            <w:tcW w:w="2501" w:type="pct"/>
            <w:vAlign w:val="center"/>
          </w:tcPr>
          <w:p w:rsidR="0018722C">
            <w:pPr>
              <w:pStyle w:val="affff9"/>
              <w:topLinePunct/>
              <w:ind w:leftChars="0" w:left="0" w:rightChars="0" w:right="0" w:firstLineChars="0" w:firstLine="0"/>
              <w:spacing w:line="240" w:lineRule="atLeast"/>
            </w:pPr>
            <w:r>
              <w:t>-11.01279</w:t>
            </w:r>
          </w:p>
        </w:tc>
      </w:tr>
      <w:tr>
        <w:tc>
          <w:tcPr>
            <w:tcW w:w="2499" w:type="pct"/>
            <w:vAlign w:val="center"/>
          </w:tcPr>
          <w:p w:rsidR="0018722C">
            <w:pPr>
              <w:pStyle w:val="ac"/>
              <w:topLinePunct/>
              <w:ind w:leftChars="0" w:left="0" w:rightChars="0" w:right="0" w:firstLineChars="0" w:firstLine="0"/>
              <w:spacing w:line="240" w:lineRule="atLeast"/>
            </w:pPr>
            <w:r>
              <w:t>Prob.</w:t>
            </w:r>
          </w:p>
        </w:tc>
        <w:tc>
          <w:tcPr>
            <w:tcW w:w="2501" w:type="pct"/>
            <w:vAlign w:val="center"/>
          </w:tcPr>
          <w:p w:rsidR="0018722C">
            <w:pPr>
              <w:pStyle w:val="affff9"/>
              <w:topLinePunct/>
              <w:ind w:leftChars="0" w:left="0" w:rightChars="0" w:right="0" w:firstLineChars="0" w:firstLine="0"/>
              <w:spacing w:line="240" w:lineRule="atLeast"/>
            </w:pPr>
            <w:r>
              <w:t>0.0000</w:t>
            </w:r>
          </w:p>
        </w:tc>
      </w:tr>
      <w:tr>
        <w:tc>
          <w:tcPr>
            <w:tcW w:w="2499" w:type="pct"/>
            <w:vAlign w:val="center"/>
          </w:tcPr>
          <w:p w:rsidR="0018722C">
            <w:pPr>
              <w:pStyle w:val="ac"/>
              <w:topLinePunct/>
              <w:ind w:leftChars="0" w:left="0" w:rightChars="0" w:right="0" w:firstLineChars="0" w:firstLine="0"/>
              <w:spacing w:line="240" w:lineRule="atLeast"/>
            </w:pPr>
            <w:r>
              <w:t>1%</w:t>
            </w:r>
            <w:r>
              <w:t>水平</w:t>
            </w:r>
          </w:p>
        </w:tc>
        <w:tc>
          <w:tcPr>
            <w:tcW w:w="2501" w:type="pct"/>
            <w:vAlign w:val="center"/>
          </w:tcPr>
          <w:p w:rsidR="0018722C">
            <w:pPr>
              <w:pStyle w:val="affff9"/>
              <w:topLinePunct/>
              <w:ind w:leftChars="0" w:left="0" w:rightChars="0" w:right="0" w:firstLineChars="0" w:firstLine="0"/>
              <w:spacing w:line="240" w:lineRule="atLeast"/>
            </w:pPr>
            <w:r>
              <w:t>-4.032498</w:t>
            </w:r>
          </w:p>
        </w:tc>
      </w:tr>
      <w:tr>
        <w:tc>
          <w:tcPr>
            <w:tcW w:w="2499" w:type="pct"/>
            <w:vAlign w:val="center"/>
          </w:tcPr>
          <w:p w:rsidR="0018722C">
            <w:pPr>
              <w:pStyle w:val="ac"/>
              <w:topLinePunct/>
              <w:ind w:leftChars="0" w:left="0" w:rightChars="0" w:right="0" w:firstLineChars="0" w:firstLine="0"/>
              <w:spacing w:line="240" w:lineRule="atLeast"/>
            </w:pPr>
            <w:r>
              <w:t>5%</w:t>
            </w:r>
            <w:r>
              <w:t>水平</w:t>
            </w:r>
          </w:p>
        </w:tc>
        <w:tc>
          <w:tcPr>
            <w:tcW w:w="2501" w:type="pct"/>
            <w:vAlign w:val="center"/>
          </w:tcPr>
          <w:p w:rsidR="0018722C">
            <w:pPr>
              <w:pStyle w:val="affff9"/>
              <w:topLinePunct/>
              <w:ind w:leftChars="0" w:left="0" w:rightChars="0" w:right="0" w:firstLineChars="0" w:firstLine="0"/>
              <w:spacing w:line="240" w:lineRule="atLeast"/>
            </w:pPr>
            <w:r>
              <w:t>-3.445877</w:t>
            </w:r>
          </w:p>
        </w:tc>
      </w:tr>
      <w:tr>
        <w:tc>
          <w:tcPr>
            <w:tcW w:w="2499" w:type="pct"/>
            <w:vAlign w:val="center"/>
            <w:tcBorders>
              <w:top w:val="single" w:sz="4" w:space="0" w:color="auto"/>
            </w:tcBorders>
          </w:tcPr>
          <w:p w:rsidR="0018722C">
            <w:pPr>
              <w:pStyle w:val="ac"/>
              <w:topLinePunct/>
              <w:ind w:leftChars="0" w:left="0" w:rightChars="0" w:right="0" w:firstLineChars="0" w:firstLine="0"/>
              <w:spacing w:line="240" w:lineRule="atLeast"/>
            </w:pPr>
            <w:r>
              <w:t>10%</w:t>
            </w:r>
            <w:r>
              <w:t>水平</w:t>
            </w:r>
          </w:p>
        </w:tc>
        <w:tc>
          <w:tcPr>
            <w:tcW w:w="2501" w:type="pct"/>
            <w:vAlign w:val="center"/>
            <w:tcBorders>
              <w:top w:val="single" w:sz="4" w:space="0" w:color="auto"/>
            </w:tcBorders>
          </w:tcPr>
          <w:p w:rsidR="0018722C">
            <w:pPr>
              <w:pStyle w:val="affff9"/>
              <w:topLinePunct/>
              <w:ind w:leftChars="0" w:left="0" w:rightChars="0" w:right="0" w:firstLineChars="0" w:firstLine="0"/>
              <w:spacing w:line="240" w:lineRule="atLeast"/>
            </w:pPr>
            <w:r>
              <w:t>-3.147878</w:t>
            </w:r>
          </w:p>
        </w:tc>
      </w:tr>
    </w:tbl>
    <w:p w:rsidR="0018722C">
      <w:pPr>
        <w:pStyle w:val="affa"/>
      </w:pPr>
    </w:p>
    <w:p w:rsidR="0018722C">
      <w:pPr>
        <w:topLinePunct/>
      </w:pPr>
      <w:r>
        <w:t>由</w:t>
      </w:r>
      <w:r>
        <w:t>表</w:t>
      </w:r>
      <w:r>
        <w:rPr>
          <w:rFonts w:ascii="Times New Roman" w:eastAsia="Times New Roman"/>
        </w:rPr>
        <w:t>4-3</w:t>
      </w:r>
      <w:r>
        <w:t>所示，各显著性水平下临界值绝对值均小于</w:t>
      </w:r>
      <w:r>
        <w:rPr>
          <w:rFonts w:ascii="Times New Roman" w:eastAsia="Times New Roman"/>
        </w:rPr>
        <w:t>t</w:t>
      </w:r>
      <w:r>
        <w:t>统计量绝对值，表明</w:t>
      </w:r>
      <w:r>
        <w:t>拒绝原假设，不存在单位根。因此可确定该残差序列是平稳序列，进而得出原国</w:t>
      </w:r>
      <w:r>
        <w:t>债期货和国债</w:t>
      </w:r>
      <w:r>
        <w:rPr>
          <w:rFonts w:ascii="Times New Roman" w:eastAsia="Times New Roman"/>
        </w:rPr>
        <w:t>ETF</w:t>
      </w:r>
      <w:r>
        <w:t>时间序列存在长期的均衡关系。</w:t>
      </w:r>
    </w:p>
    <w:p w:rsidR="0018722C">
      <w:pPr>
        <w:pStyle w:val="Heading2"/>
        <w:topLinePunct/>
        <w:ind w:left="171" w:hangingChars="171" w:hanging="171"/>
      </w:pPr>
      <w:bookmarkStart w:id="737412" w:name="_Toc686737412"/>
      <w:bookmarkStart w:name="_bookmark30" w:id="54"/>
      <w:bookmarkEnd w:id="54"/>
      <w:r>
        <w:t>4.3</w:t>
      </w:r>
      <w:r>
        <w:t xml:space="preserve"> </w:t>
      </w:r>
      <w:r/>
      <w:bookmarkStart w:name="_bookmark30" w:id="55"/>
      <w:bookmarkEnd w:id="55"/>
      <w:r>
        <w:t>普通最小二乘法模型</w:t>
      </w:r>
      <w:r>
        <w:t>（</w:t>
      </w:r>
      <w:r>
        <w:t>OLS</w:t>
      </w:r>
      <w:r>
        <w:t>）</w:t>
      </w:r>
      <w:r>
        <w:t>实证分析</w:t>
      </w:r>
      <w:bookmarkEnd w:id="737412"/>
    </w:p>
    <w:p w:rsidR="0018722C">
      <w:pPr>
        <w:topLinePunct/>
      </w:pPr>
      <w:r>
        <w:t>首先对国债期货、国债</w:t>
      </w:r>
      <w:r>
        <w:rPr>
          <w:rFonts w:ascii="Times New Roman" w:eastAsia="Times New Roman"/>
        </w:rPr>
        <w:t>ETF</w:t>
      </w:r>
      <w:r>
        <w:t>的时间序列取对数处理，进行一阶差分，然后利</w:t>
      </w:r>
      <w:r>
        <w:t>用最小二乘法模型</w:t>
      </w:r>
      <w:r>
        <w:t>（</w:t>
      </w:r>
      <w:r>
        <w:rPr>
          <w:rFonts w:ascii="Times New Roman" w:eastAsia="Times New Roman"/>
        </w:rPr>
        <w:t>OLS</w:t>
      </w:r>
      <w:r>
        <w:t>）</w:t>
      </w:r>
      <w:r>
        <w:t>进行回归，其结果见下表：</w:t>
      </w:r>
    </w:p>
    <w:p w:rsidR="0018722C">
      <w:pPr>
        <w:pStyle w:val="a8"/>
        <w:topLinePunct/>
      </w:pPr>
      <w:r>
        <w:rPr>
          <w:kern w:val="2"/>
          <w:szCs w:val="22"/>
        </w:rPr>
        <w:t>表</w:t>
      </w:r>
      <w:r>
        <w:rPr>
          <w:kern w:val="2"/>
          <w:szCs w:val="22"/>
        </w:rPr>
        <w:t>4</w:t>
      </w:r>
      <w:r>
        <w:rPr>
          <w:kern w:val="2"/>
          <w:szCs w:val="22"/>
        </w:rPr>
        <w:t>.</w:t>
      </w:r>
      <w:r>
        <w:rPr>
          <w:kern w:val="2"/>
          <w:szCs w:val="22"/>
        </w:rPr>
        <w:t>6</w:t>
      </w:r>
      <w:r>
        <w:t xml:space="preserve">  </w:t>
      </w:r>
      <w:r w:rsidRPr="00DB64CE">
        <w:rPr>
          <w:kern w:val="2"/>
          <w:szCs w:val="22"/>
        </w:rPr>
        <w:t>OLS</w:t>
      </w:r>
      <w:r>
        <w:rPr>
          <w:kern w:val="2"/>
          <w:szCs w:val="22"/>
        </w:rPr>
        <w:t>模型估计结果</w:t>
      </w:r>
    </w:p>
    <w:tbl>
      <w:tblPr>
        <w:tblW w:w="5000" w:type="pct"/>
        <w:tblInd w:w="2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60"/>
        <w:gridCol w:w="310"/>
        <w:gridCol w:w="1269"/>
        <w:gridCol w:w="688"/>
        <w:gridCol w:w="1005"/>
        <w:gridCol w:w="1403"/>
        <w:gridCol w:w="290"/>
        <w:gridCol w:w="1552"/>
      </w:tblGrid>
      <w:tr>
        <w:trPr>
          <w:tblHeader/>
        </w:trPr>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7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tc>
        <w:tc>
          <w:tcPr>
            <w:tcW w:w="104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104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966" w:type="pct"/>
            <w:vAlign w:val="center"/>
          </w:tcPr>
          <w:p w:rsidR="0018722C">
            <w:pPr>
              <w:pStyle w:val="ac"/>
              <w:topLinePunct/>
              <w:ind w:leftChars="0" w:left="0" w:rightChars="0" w:right="0" w:firstLineChars="0" w:firstLine="0"/>
              <w:spacing w:line="240" w:lineRule="atLeast"/>
            </w:pPr>
            <w:r>
              <w:t>C</w:t>
            </w:r>
          </w:p>
        </w:tc>
        <w:tc>
          <w:tcPr>
            <w:tcW w:w="977" w:type="pct"/>
            <w:gridSpan w:val="2"/>
            <w:vAlign w:val="center"/>
          </w:tcPr>
          <w:p w:rsidR="0018722C">
            <w:pPr>
              <w:pStyle w:val="affff9"/>
              <w:topLinePunct/>
              <w:ind w:leftChars="0" w:left="0" w:rightChars="0" w:right="0" w:firstLineChars="0" w:firstLine="0"/>
              <w:spacing w:line="240" w:lineRule="atLeast"/>
            </w:pPr>
            <w:r>
              <w:t>6.587832</w:t>
            </w:r>
          </w:p>
        </w:tc>
        <w:tc>
          <w:tcPr>
            <w:tcW w:w="1048" w:type="pct"/>
            <w:gridSpan w:val="2"/>
            <w:vAlign w:val="center"/>
          </w:tcPr>
          <w:p w:rsidR="0018722C">
            <w:pPr>
              <w:pStyle w:val="affff9"/>
              <w:topLinePunct/>
              <w:ind w:leftChars="0" w:left="0" w:rightChars="0" w:right="0" w:firstLineChars="0" w:firstLine="0"/>
              <w:spacing w:line="240" w:lineRule="atLeast"/>
            </w:pPr>
            <w:r>
              <w:t>0.000118</w:t>
            </w:r>
          </w:p>
        </w:tc>
        <w:tc>
          <w:tcPr>
            <w:tcW w:w="1048" w:type="pct"/>
            <w:gridSpan w:val="2"/>
            <w:vAlign w:val="center"/>
          </w:tcPr>
          <w:p w:rsidR="0018722C">
            <w:pPr>
              <w:pStyle w:val="affff9"/>
              <w:topLinePunct/>
              <w:ind w:leftChars="0" w:left="0" w:rightChars="0" w:right="0" w:firstLineChars="0" w:firstLine="0"/>
              <w:spacing w:line="240" w:lineRule="atLeast"/>
            </w:pPr>
            <w:r>
              <w:t>0.556057</w:t>
            </w:r>
          </w:p>
        </w:tc>
        <w:tc>
          <w:tcPr>
            <w:tcW w:w="961" w:type="pct"/>
            <w:vAlign w:val="center"/>
          </w:tcPr>
          <w:p w:rsidR="0018722C">
            <w:pPr>
              <w:pStyle w:val="affff9"/>
              <w:topLinePunct/>
              <w:ind w:leftChars="0" w:left="0" w:rightChars="0" w:right="0" w:firstLineChars="0" w:firstLine="0"/>
              <w:spacing w:line="240" w:lineRule="atLeast"/>
            </w:pPr>
            <w:r>
              <w:t>0.5792</w:t>
            </w:r>
          </w:p>
        </w:tc>
      </w:tr>
      <w:tr>
        <w:tc>
          <w:tcPr>
            <w:tcW w:w="966" w:type="pct"/>
            <w:vAlign w:val="center"/>
          </w:tcPr>
          <w:p w:rsidR="0018722C">
            <w:pPr>
              <w:pStyle w:val="ac"/>
              <w:topLinePunct/>
              <w:ind w:leftChars="0" w:left="0" w:rightChars="0" w:right="0" w:firstLineChars="0" w:firstLine="0"/>
              <w:spacing w:line="240" w:lineRule="atLeast"/>
            </w:pPr>
            <w:r>
              <w:t>D</w:t>
            </w:r>
            <w:r>
              <w:t>(</w:t>
            </w:r>
            <w:r>
              <w:t>TF_LN</w:t>
            </w:r>
            <w:r>
              <w:t>)</w:t>
            </w:r>
          </w:p>
        </w:tc>
        <w:tc>
          <w:tcPr>
            <w:tcW w:w="977" w:type="pct"/>
            <w:gridSpan w:val="2"/>
            <w:vAlign w:val="center"/>
          </w:tcPr>
          <w:p w:rsidR="0018722C">
            <w:pPr>
              <w:pStyle w:val="affff9"/>
              <w:topLinePunct/>
              <w:ind w:leftChars="0" w:left="0" w:rightChars="0" w:right="0" w:firstLineChars="0" w:firstLine="0"/>
              <w:spacing w:line="240" w:lineRule="atLeast"/>
            </w:pPr>
            <w:r>
              <w:t>0.559373</w:t>
            </w:r>
          </w:p>
        </w:tc>
        <w:tc>
          <w:tcPr>
            <w:tcW w:w="1048" w:type="pct"/>
            <w:gridSpan w:val="2"/>
            <w:vAlign w:val="center"/>
          </w:tcPr>
          <w:p w:rsidR="0018722C">
            <w:pPr>
              <w:pStyle w:val="affff9"/>
              <w:topLinePunct/>
              <w:ind w:leftChars="0" w:left="0" w:rightChars="0" w:right="0" w:firstLineChars="0" w:firstLine="0"/>
              <w:spacing w:line="240" w:lineRule="atLeast"/>
            </w:pPr>
            <w:r>
              <w:t>0.052018</w:t>
            </w:r>
          </w:p>
        </w:tc>
        <w:tc>
          <w:tcPr>
            <w:tcW w:w="1048" w:type="pct"/>
            <w:gridSpan w:val="2"/>
            <w:vAlign w:val="center"/>
          </w:tcPr>
          <w:p w:rsidR="0018722C">
            <w:pPr>
              <w:pStyle w:val="affff9"/>
              <w:topLinePunct/>
              <w:ind w:leftChars="0" w:left="0" w:rightChars="0" w:right="0" w:firstLineChars="0" w:firstLine="0"/>
              <w:spacing w:line="240" w:lineRule="atLeast"/>
            </w:pPr>
            <w:r>
              <w:t>10.75347</w:t>
            </w:r>
          </w:p>
        </w:tc>
        <w:tc>
          <w:tcPr>
            <w:tcW w:w="961" w:type="pct"/>
            <w:vAlign w:val="center"/>
          </w:tcPr>
          <w:p w:rsidR="0018722C">
            <w:pPr>
              <w:pStyle w:val="affff9"/>
              <w:topLinePunct/>
              <w:ind w:leftChars="0" w:left="0" w:rightChars="0" w:right="0" w:firstLineChars="0" w:firstLine="0"/>
              <w:spacing w:line="240" w:lineRule="atLeast"/>
            </w:pPr>
            <w:r>
              <w:t>0.0000</w:t>
            </w:r>
          </w:p>
        </w:tc>
      </w:tr>
      <w:tr>
        <w:tc>
          <w:tcPr>
            <w:tcW w:w="1158" w:type="pct"/>
            <w:gridSpan w:val="2"/>
            <w:vAlign w:val="center"/>
          </w:tcPr>
          <w:p w:rsidR="0018722C">
            <w:pPr>
              <w:pStyle w:val="ac"/>
              <w:topLinePunct/>
              <w:ind w:leftChars="0" w:left="0" w:rightChars="0" w:right="0" w:firstLineChars="0" w:firstLine="0"/>
              <w:spacing w:line="240" w:lineRule="atLeast"/>
            </w:pPr>
            <w:r>
              <w:t>R</w:t>
            </w:r>
            <w:r>
              <w:t>2</w:t>
            </w:r>
          </w:p>
        </w:tc>
        <w:tc>
          <w:tcPr>
            <w:tcW w:w="1211" w:type="pct"/>
            <w:gridSpan w:val="2"/>
            <w:vAlign w:val="center"/>
          </w:tcPr>
          <w:p w:rsidR="0018722C">
            <w:pPr>
              <w:pStyle w:val="affff9"/>
              <w:topLinePunct/>
              <w:ind w:leftChars="0" w:left="0" w:rightChars="0" w:right="0" w:firstLineChars="0" w:firstLine="0"/>
              <w:spacing w:line="240" w:lineRule="atLeast"/>
            </w:pPr>
            <w:r>
              <w:t>0.480546</w:t>
            </w:r>
          </w:p>
        </w:tc>
        <w:tc>
          <w:tcPr>
            <w:tcW w:w="1491" w:type="pct"/>
            <w:gridSpan w:val="2"/>
            <w:vAlign w:val="center"/>
          </w:tcPr>
          <w:p w:rsidR="0018722C">
            <w:pPr>
              <w:pStyle w:val="a5"/>
              <w:topLinePunct/>
              <w:ind w:leftChars="0" w:left="0" w:rightChars="0" w:right="0" w:firstLineChars="0" w:firstLine="0"/>
              <w:spacing w:line="240" w:lineRule="atLeast"/>
            </w:pPr>
            <w:r>
              <w:t>被解释变量均值</w:t>
            </w:r>
          </w:p>
        </w:tc>
        <w:tc>
          <w:tcPr>
            <w:tcW w:w="1140" w:type="pct"/>
            <w:gridSpan w:val="2"/>
            <w:vAlign w:val="center"/>
          </w:tcPr>
          <w:p w:rsidR="0018722C">
            <w:pPr>
              <w:pStyle w:val="ad"/>
              <w:topLinePunct/>
              <w:ind w:leftChars="0" w:left="0" w:rightChars="0" w:right="0" w:firstLineChars="0" w:firstLine="0"/>
              <w:spacing w:line="240" w:lineRule="atLeast"/>
            </w:pPr>
            <w:r>
              <w:t>-1.19E-05</w:t>
            </w:r>
          </w:p>
        </w:tc>
      </w:tr>
      <w:tr>
        <w:tc>
          <w:tcPr>
            <w:tcW w:w="1158" w:type="pct"/>
            <w:gridSpan w:val="2"/>
            <w:vAlign w:val="center"/>
          </w:tcPr>
          <w:p w:rsidR="0018722C">
            <w:pPr>
              <w:pStyle w:val="ac"/>
              <w:topLinePunct/>
              <w:ind w:leftChars="0" w:left="0" w:rightChars="0" w:right="0" w:firstLineChars="0" w:firstLine="0"/>
              <w:spacing w:line="240" w:lineRule="atLeast"/>
            </w:pPr>
            <w:r>
              <w:t>调整后 </w:t>
            </w:r>
            <w:r>
              <w:t>R</w:t>
            </w:r>
            <w:r>
              <w:t>2</w:t>
            </w:r>
          </w:p>
        </w:tc>
        <w:tc>
          <w:tcPr>
            <w:tcW w:w="1211" w:type="pct"/>
            <w:gridSpan w:val="2"/>
            <w:vAlign w:val="center"/>
          </w:tcPr>
          <w:p w:rsidR="0018722C">
            <w:pPr>
              <w:pStyle w:val="affff9"/>
              <w:topLinePunct/>
              <w:ind w:leftChars="0" w:left="0" w:rightChars="0" w:right="0" w:firstLineChars="0" w:firstLine="0"/>
              <w:spacing w:line="240" w:lineRule="atLeast"/>
            </w:pPr>
            <w:r>
              <w:t>0.476390</w:t>
            </w:r>
          </w:p>
        </w:tc>
        <w:tc>
          <w:tcPr>
            <w:tcW w:w="1491" w:type="pct"/>
            <w:gridSpan w:val="2"/>
            <w:vAlign w:val="center"/>
          </w:tcPr>
          <w:p w:rsidR="0018722C">
            <w:pPr>
              <w:pStyle w:val="a5"/>
              <w:topLinePunct/>
              <w:ind w:leftChars="0" w:left="0" w:rightChars="0" w:right="0" w:firstLineChars="0" w:firstLine="0"/>
              <w:spacing w:line="240" w:lineRule="atLeast"/>
            </w:pPr>
            <w:r>
              <w:t>被解释变量标准差</w:t>
            </w:r>
          </w:p>
        </w:tc>
        <w:tc>
          <w:tcPr>
            <w:tcW w:w="1140" w:type="pct"/>
            <w:gridSpan w:val="2"/>
            <w:vAlign w:val="center"/>
          </w:tcPr>
          <w:p w:rsidR="0018722C">
            <w:pPr>
              <w:pStyle w:val="affff9"/>
              <w:topLinePunct/>
              <w:ind w:leftChars="0" w:left="0" w:rightChars="0" w:right="0" w:firstLineChars="0" w:firstLine="0"/>
              <w:spacing w:line="240" w:lineRule="atLeast"/>
            </w:pPr>
            <w:r>
              <w:t>0.001842</w:t>
            </w:r>
          </w:p>
        </w:tc>
      </w:tr>
      <w:tr>
        <w:tc>
          <w:tcPr>
            <w:tcW w:w="1158" w:type="pct"/>
            <w:gridSpan w:val="2"/>
            <w:vAlign w:val="center"/>
          </w:tcPr>
          <w:p w:rsidR="0018722C">
            <w:pPr>
              <w:pStyle w:val="ac"/>
              <w:topLinePunct/>
              <w:ind w:leftChars="0" w:left="0" w:rightChars="0" w:right="0" w:firstLineChars="0" w:firstLine="0"/>
              <w:spacing w:line="240" w:lineRule="atLeast"/>
            </w:pPr>
            <w:r>
              <w:t>总平方残差</w:t>
            </w:r>
          </w:p>
        </w:tc>
        <w:tc>
          <w:tcPr>
            <w:tcW w:w="1211" w:type="pct"/>
            <w:gridSpan w:val="2"/>
            <w:vAlign w:val="center"/>
          </w:tcPr>
          <w:p w:rsidR="0018722C">
            <w:pPr>
              <w:pStyle w:val="affff9"/>
              <w:topLinePunct/>
              <w:ind w:leftChars="0" w:left="0" w:rightChars="0" w:right="0" w:firstLineChars="0" w:firstLine="0"/>
              <w:spacing w:line="240" w:lineRule="atLeast"/>
            </w:pPr>
            <w:r>
              <w:t>0.000222</w:t>
            </w:r>
          </w:p>
        </w:tc>
        <w:tc>
          <w:tcPr>
            <w:tcW w:w="1491" w:type="pct"/>
            <w:gridSpan w:val="2"/>
            <w:vAlign w:val="center"/>
          </w:tcPr>
          <w:p w:rsidR="0018722C">
            <w:pPr>
              <w:pStyle w:val="a5"/>
              <w:topLinePunct/>
              <w:ind w:leftChars="0" w:left="0" w:rightChars="0" w:right="0" w:firstLineChars="0" w:firstLine="0"/>
              <w:spacing w:line="240" w:lineRule="atLeast"/>
            </w:pPr>
            <w:r>
              <w:t>AIC </w:t>
            </w:r>
            <w:r>
              <w:t>信息准则</w:t>
            </w:r>
          </w:p>
        </w:tc>
        <w:tc>
          <w:tcPr>
            <w:tcW w:w="1140" w:type="pct"/>
            <w:gridSpan w:val="2"/>
            <w:vAlign w:val="center"/>
          </w:tcPr>
          <w:p w:rsidR="0018722C">
            <w:pPr>
              <w:pStyle w:val="affff9"/>
              <w:topLinePunct/>
              <w:ind w:leftChars="0" w:left="0" w:rightChars="0" w:right="0" w:firstLineChars="0" w:firstLine="0"/>
              <w:spacing w:line="240" w:lineRule="atLeast"/>
            </w:pPr>
            <w:r>
              <w:t>-10.38768</w:t>
            </w:r>
          </w:p>
        </w:tc>
      </w:tr>
      <w:tr>
        <w:tc>
          <w:tcPr>
            <w:tcW w:w="1158" w:type="pct"/>
            <w:gridSpan w:val="2"/>
            <w:vAlign w:val="center"/>
          </w:tcPr>
          <w:p w:rsidR="0018722C">
            <w:pPr>
              <w:pStyle w:val="ac"/>
              <w:topLinePunct/>
              <w:ind w:leftChars="0" w:left="0" w:rightChars="0" w:right="0" w:firstLineChars="0" w:firstLine="0"/>
              <w:spacing w:line="240" w:lineRule="atLeast"/>
            </w:pPr>
            <w:r>
              <w:t>F </w:t>
            </w:r>
            <w:r>
              <w:t>统计量</w:t>
            </w:r>
          </w:p>
        </w:tc>
        <w:tc>
          <w:tcPr>
            <w:tcW w:w="1211" w:type="pct"/>
            <w:gridSpan w:val="2"/>
            <w:vAlign w:val="center"/>
          </w:tcPr>
          <w:p w:rsidR="0018722C">
            <w:pPr>
              <w:pStyle w:val="affff9"/>
              <w:topLinePunct/>
              <w:ind w:leftChars="0" w:left="0" w:rightChars="0" w:right="0" w:firstLineChars="0" w:firstLine="0"/>
              <w:spacing w:line="240" w:lineRule="atLeast"/>
            </w:pPr>
            <w:r>
              <w:t>115.6372</w:t>
            </w:r>
          </w:p>
        </w:tc>
        <w:tc>
          <w:tcPr>
            <w:tcW w:w="1491" w:type="pct"/>
            <w:gridSpan w:val="2"/>
            <w:vAlign w:val="center"/>
          </w:tcPr>
          <w:p w:rsidR="0018722C">
            <w:pPr>
              <w:pStyle w:val="a5"/>
              <w:topLinePunct/>
              <w:ind w:leftChars="0" w:left="0" w:rightChars="0" w:right="0" w:firstLineChars="0" w:firstLine="0"/>
              <w:spacing w:line="240" w:lineRule="atLeast"/>
            </w:pPr>
            <w:r>
              <w:t>SC </w:t>
            </w:r>
            <w:r>
              <w:t>准则</w:t>
            </w:r>
          </w:p>
        </w:tc>
        <w:tc>
          <w:tcPr>
            <w:tcW w:w="1140" w:type="pct"/>
            <w:gridSpan w:val="2"/>
            <w:vAlign w:val="center"/>
          </w:tcPr>
          <w:p w:rsidR="0018722C">
            <w:pPr>
              <w:pStyle w:val="affff9"/>
              <w:topLinePunct/>
              <w:ind w:leftChars="0" w:left="0" w:rightChars="0" w:right="0" w:firstLineChars="0" w:firstLine="0"/>
              <w:spacing w:line="240" w:lineRule="atLeast"/>
            </w:pPr>
            <w:r>
              <w:t>-10.34289</w:t>
            </w:r>
          </w:p>
        </w:tc>
      </w:tr>
      <w:tr>
        <w:tc>
          <w:tcPr>
            <w:tcW w:w="1158"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P </w:t>
            </w:r>
            <w:r>
              <w:t>值</w:t>
            </w:r>
            <w:r>
              <w:t>（</w:t>
            </w:r>
            <w:r>
              <w:t>F </w:t>
            </w:r>
            <w:r>
              <w:t>统计量</w:t>
            </w:r>
            <w:r>
              <w:t>）</w:t>
            </w:r>
          </w:p>
        </w:tc>
        <w:tc>
          <w:tcPr>
            <w:tcW w:w="1211"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c>
          <w:tcPr>
            <w:tcW w:w="149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DW </w:t>
            </w:r>
            <w:r>
              <w:t>统计量</w:t>
            </w:r>
          </w:p>
        </w:tc>
        <w:tc>
          <w:tcPr>
            <w:tcW w:w="1140"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1.978890</w:t>
            </w:r>
          </w:p>
        </w:tc>
      </w:tr>
    </w:tbl>
    <w:p w:rsidR="0018722C">
      <w:pPr>
        <w:topLinePunct/>
        <w:pStyle w:val="affa"/>
      </w:pPr>
    </w:p>
    <w:p w:rsidR="0018722C">
      <w:pPr>
        <w:topLinePunct/>
      </w:pPr>
      <w:r>
        <w:rPr>
          <w:rFonts w:cstheme="minorBidi" w:hAnsiTheme="minorHAnsi" w:eastAsiaTheme="minorHAnsi" w:asciiTheme="minorHAnsi" w:ascii="Calibri"/>
        </w:rPr>
        <w:t>24</w:t>
      </w:r>
    </w:p>
    <w:p w:rsidR="0018722C">
      <w:pPr>
        <w:topLinePunct/>
      </w:pPr>
      <w:r>
        <w:t>如上表所示，得到</w:t>
      </w:r>
      <w:r>
        <w:rPr>
          <w:rFonts w:ascii="Times New Roman" w:eastAsia="Times New Roman"/>
        </w:rPr>
        <w:t>OLS</w:t>
      </w:r>
      <w:r>
        <w:t>模型方程如下：</w:t>
      </w:r>
    </w:p>
    <w:p w:rsidR="0018722C">
      <w:pPr>
        <w:topLinePunct/>
      </w:pPr>
      <w:r>
        <w:rPr>
          <w:rFonts w:ascii="Times New Roman" w:hAnsi="Times New Roman"/>
        </w:rPr>
        <w:t>ΔlnS</w:t>
      </w:r>
      <w:r>
        <w:rPr>
          <w:rFonts w:ascii="Times New Roman" w:hAnsi="Times New Roman"/>
        </w:rPr>
        <w:t>t </w:t>
      </w:r>
      <w:r>
        <w:rPr>
          <w:rFonts w:ascii="Times New Roman" w:hAnsi="Times New Roman"/>
        </w:rPr>
        <w:t>= 6.587832 + 0.559373ΔlnF</w:t>
      </w:r>
      <w:r>
        <w:rPr>
          <w:rFonts w:ascii="Times New Roman" w:hAnsi="Times New Roman"/>
        </w:rPr>
        <w:t>t </w:t>
      </w:r>
      <w:r>
        <w:rPr>
          <w:rFonts w:ascii="Times New Roman" w:hAnsi="Times New Roman"/>
        </w:rPr>
        <w:t>t</w:t>
      </w:r>
      <w:r>
        <w:rPr>
          <w:rFonts w:ascii="Times New Roman" w:hAnsi="Times New Roman"/>
        </w:rPr>
        <w:t>(</w:t>
      </w:r>
      <w:r>
        <w:rPr>
          <w:rFonts w:ascii="Times New Roman" w:hAnsi="Times New Roman"/>
        </w:rPr>
        <w:t>0.556057</w:t>
      </w:r>
      <w:r>
        <w:rPr>
          <w:rFonts w:ascii="Times New Roman" w:hAnsi="Times New Roman"/>
        </w:rPr>
        <w:t>)</w:t>
      </w:r>
      <w:r w:rsidRPr="00000000">
        <w:tab/>
        <w:t>(</w:t>
      </w:r>
      <w:r>
        <w:t xml:space="preserve"> 10.75347</w:t>
      </w:r>
      <w:r>
        <w:t>)</w:t>
      </w:r>
    </w:p>
    <w:p w:rsidR="0018722C">
      <w:pPr>
        <w:topLinePunct/>
      </w:pPr>
      <w:r>
        <w:rPr>
          <w:rFonts w:ascii="Times New Roman"/>
        </w:rPr>
        <w:t/>
      </w:r>
      <w:r>
        <w:rPr>
          <w:rFonts w:ascii="Times New Roman"/>
        </w:rPr>
        <w:t>P</w:t>
      </w:r>
      <w:r>
        <w:rPr>
          <w:rFonts w:ascii="Times New Roman"/>
        </w:rPr>
        <w:t>(</w:t>
      </w:r>
      <w:r>
        <w:rPr>
          <w:rFonts w:ascii="Times New Roman"/>
        </w:rPr>
        <w:t>0.5792</w:t>
      </w:r>
      <w:r>
        <w:rPr>
          <w:rFonts w:ascii="Times New Roman"/>
        </w:rPr>
        <w:t>)</w:t>
      </w:r>
      <w:r w:rsidRPr="00000000">
        <w:tab/>
      </w:r>
      <w:r>
        <w:t>(</w:t>
      </w:r>
      <w:r>
        <w:rPr>
          <w:rFonts w:ascii="Times New Roman"/>
          <w:spacing w:val="-1"/>
        </w:rPr>
        <w:t xml:space="preserve"> </w:t>
      </w:r>
      <w:r>
        <w:rPr>
          <w:rFonts w:ascii="Times New Roman"/>
        </w:rPr>
        <w:t>0.0000</w:t>
      </w:r>
      <w:r>
        <w:rPr>
          <w:rFonts w:ascii="Times New Roman"/>
        </w:rPr>
        <w:t>)</w:t>
      </w:r>
    </w:p>
    <w:p w:rsidR="0018722C">
      <w:pPr>
        <w:topLinePunct/>
      </w:pPr>
      <w:r>
        <w:t>结果显示，普通最小二乘法回归模型的回归系数为</w:t>
      </w:r>
      <w:r>
        <w:rPr>
          <w:rFonts w:ascii="Times New Roman" w:eastAsia="Times New Roman"/>
        </w:rPr>
        <w:t>0</w:t>
      </w:r>
      <w:r>
        <w:rPr>
          <w:rFonts w:ascii="Times New Roman" w:eastAsia="Times New Roman"/>
        </w:rPr>
        <w:t>.</w:t>
      </w:r>
      <w:r>
        <w:rPr>
          <w:rFonts w:ascii="Times New Roman" w:eastAsia="Times New Roman"/>
        </w:rPr>
        <w:t>559373</w:t>
      </w:r>
      <w:r>
        <w:t>，表明国债</w:t>
      </w:r>
      <w:r>
        <w:rPr>
          <w:rFonts w:ascii="Times New Roman" w:eastAsia="Times New Roman"/>
        </w:rPr>
        <w:t>ETF</w:t>
      </w:r>
    </w:p>
    <w:p w:rsidR="0018722C">
      <w:pPr>
        <w:topLinePunct/>
      </w:pPr>
      <w:r>
        <w:t>指数与国债期货之间存在着较为显著的关系，该回归系数即为所求套期保值比率。</w:t>
      </w:r>
    </w:p>
    <w:p w:rsidR="0018722C">
      <w:pPr>
        <w:topLinePunct/>
      </w:pPr>
      <w:r>
        <w:rPr>
          <w:rFonts w:ascii="Times New Roman" w:eastAsia="Times New Roman"/>
        </w:rPr>
        <w:t>F</w:t>
      </w:r>
      <w:r>
        <w:t>统计量值较大，为</w:t>
      </w:r>
      <w:r>
        <w:rPr>
          <w:rFonts w:ascii="Times New Roman" w:eastAsia="Times New Roman"/>
        </w:rPr>
        <w:t>115</w:t>
      </w:r>
      <w:r>
        <w:rPr>
          <w:rFonts w:ascii="Times New Roman" w:eastAsia="Times New Roman"/>
        </w:rPr>
        <w:t>.</w:t>
      </w:r>
      <w:r>
        <w:rPr>
          <w:rFonts w:ascii="Times New Roman" w:eastAsia="Times New Roman"/>
        </w:rPr>
        <w:t>6372</w:t>
      </w:r>
      <w:r>
        <w:t>，表明该线性回归方程整体拟合程度较好。</w:t>
      </w:r>
    </w:p>
    <w:p w:rsidR="0018722C">
      <w:pPr>
        <w:pStyle w:val="Heading2"/>
        <w:topLinePunct/>
        <w:ind w:left="171" w:hangingChars="171" w:hanging="171"/>
      </w:pPr>
      <w:bookmarkStart w:id="737413" w:name="_Toc686737413"/>
      <w:bookmarkStart w:name="_bookmark31" w:id="56"/>
      <w:bookmarkEnd w:id="56"/>
      <w:r>
        <w:t>4.4</w:t>
      </w:r>
      <w:r>
        <w:t xml:space="preserve"> </w:t>
      </w:r>
      <w:r/>
      <w:bookmarkStart w:name="_bookmark31" w:id="57"/>
      <w:bookmarkEnd w:id="57"/>
      <w:r>
        <w:t>双变量自回归模型</w:t>
      </w:r>
      <w:r>
        <w:t>（</w:t>
      </w:r>
      <w:r>
        <w:t>B-VAR</w:t>
      </w:r>
      <w:r>
        <w:t>）</w:t>
      </w:r>
      <w:r>
        <w:t>实证分析</w:t>
      </w:r>
      <w:bookmarkEnd w:id="737413"/>
    </w:p>
    <w:p w:rsidR="0018722C">
      <w:pPr>
        <w:topLinePunct/>
      </w:pPr>
      <w:r>
        <w:t>越来越多的研究表明，</w:t>
      </w:r>
      <w:r>
        <w:rPr>
          <w:rFonts w:ascii="Times New Roman" w:eastAsia="Times New Roman"/>
        </w:rPr>
        <w:t>OLS</w:t>
      </w:r>
      <w:r>
        <w:t>模型有这其自身的局限性，存在残差序列自相关</w:t>
      </w:r>
      <w:r>
        <w:t>等问题，于是后有学者提出了</w:t>
      </w:r>
      <w:r>
        <w:rPr>
          <w:rFonts w:ascii="Times New Roman" w:eastAsia="Times New Roman"/>
        </w:rPr>
        <w:t>B-VAR</w:t>
      </w:r>
      <w:r>
        <w:t>模型来消除残差序列自相关性的影响，不仅解决了序列自相关的问题，同时还增加了模型的信息量。</w:t>
      </w:r>
    </w:p>
    <w:p w:rsidR="0018722C">
      <w:pPr>
        <w:topLinePunct/>
      </w:pPr>
      <w:r>
        <w:t>使用</w:t>
      </w:r>
      <w:r>
        <w:rPr>
          <w:rFonts w:ascii="Times New Roman" w:eastAsia="Times New Roman"/>
        </w:rPr>
        <w:t>B-VAR</w:t>
      </w:r>
      <w:r>
        <w:t>模型回归分析前，需要先确定最佳的滞后阶数，本文采用</w:t>
      </w:r>
      <w:r>
        <w:rPr>
          <w:rFonts w:ascii="Times New Roman" w:eastAsia="Times New Roman"/>
        </w:rPr>
        <w:t>AIC</w:t>
      </w:r>
    </w:p>
    <w:p w:rsidR="0018722C">
      <w:pPr>
        <w:topLinePunct/>
      </w:pPr>
      <w:r>
        <w:t>信息准则和</w:t>
      </w:r>
      <w:r>
        <w:rPr>
          <w:rFonts w:ascii="Times New Roman" w:eastAsia="Times New Roman"/>
        </w:rPr>
        <w:t>SC</w:t>
      </w:r>
      <w:r>
        <w:t>准则来确定。对滞后阶数对</w:t>
      </w:r>
      <w:r>
        <w:t>（</w:t>
      </w:r>
      <w:r>
        <w:rPr>
          <w:rFonts w:ascii="Times New Roman" w:eastAsia="Times New Roman"/>
        </w:rPr>
        <w:t>1</w:t>
      </w:r>
      <w:r>
        <w:t xml:space="preserve">, </w:t>
      </w:r>
      <w:r>
        <w:rPr>
          <w:rFonts w:ascii="Times New Roman" w:eastAsia="Times New Roman"/>
        </w:rPr>
        <w:t>1</w:t>
      </w:r>
      <w:r>
        <w:t>）</w:t>
      </w:r>
      <w:r>
        <w:t>，</w:t>
      </w:r>
      <w:r>
        <w:rPr>
          <w:rFonts w:ascii="Times New Roman" w:eastAsia="Times New Roman"/>
          <w:rFonts w:ascii="Times New Roman" w:eastAsia="Times New Roman"/>
        </w:rPr>
        <w:t>（</w:t>
      </w:r>
      <w:r>
        <w:rPr>
          <w:rFonts w:ascii="Times New Roman" w:eastAsia="Times New Roman"/>
        </w:rPr>
        <w:t>2</w:t>
      </w:r>
      <w:r>
        <w:t xml:space="preserve">, </w:t>
      </w:r>
      <w:r>
        <w:rPr>
          <w:rFonts w:ascii="Times New Roman" w:eastAsia="Times New Roman"/>
        </w:rPr>
        <w:t>1</w:t>
      </w:r>
      <w:r>
        <w:rPr>
          <w:rFonts w:ascii="Times New Roman" w:eastAsia="Times New Roman"/>
          <w:rFonts w:ascii="Times New Roman" w:eastAsia="Times New Roman"/>
        </w:rPr>
        <w:t>）</w:t>
      </w:r>
      <w:r>
        <w:t>，</w:t>
      </w:r>
      <w:r>
        <w:t>（</w:t>
      </w:r>
      <w:r>
        <w:rPr>
          <w:rFonts w:ascii="Times New Roman" w:eastAsia="Times New Roman"/>
        </w:rPr>
        <w:t>1</w:t>
      </w:r>
      <w:r>
        <w:t xml:space="preserve">, </w:t>
      </w:r>
      <w:r>
        <w:rPr>
          <w:rFonts w:ascii="Times New Roman" w:eastAsia="Times New Roman"/>
        </w:rPr>
        <w:t>2</w:t>
      </w:r>
      <w:r>
        <w:t>）</w:t>
      </w:r>
      <w:r>
        <w:t>，</w:t>
      </w:r>
      <w:r>
        <w:rPr>
          <w:rFonts w:ascii="Times New Roman" w:eastAsia="Times New Roman"/>
          <w:rFonts w:ascii="Times New Roman" w:eastAsia="Times New Roman"/>
        </w:rPr>
        <w:t>（</w:t>
      </w:r>
      <w:r>
        <w:rPr>
          <w:rFonts w:ascii="Times New Roman" w:eastAsia="Times New Roman"/>
        </w:rPr>
        <w:t>2</w:t>
      </w:r>
      <w:r>
        <w:t>，</w:t>
      </w:r>
    </w:p>
    <w:p w:rsidR="0018722C">
      <w:pPr>
        <w:topLinePunct/>
      </w:pPr>
      <w:r>
        <w:rPr>
          <w:rFonts w:ascii="Times New Roman" w:eastAsia="Times New Roman"/>
        </w:rPr>
        <w:t>2</w:t>
      </w:r>
      <w:r>
        <w:rPr>
          <w:rFonts w:ascii="Times New Roman" w:eastAsia="Times New Roman"/>
          <w:rFonts w:ascii="Times New Roman" w:eastAsia="Times New Roman"/>
        </w:rPr>
        <w:t>）</w:t>
      </w:r>
      <w:r>
        <w:t>分别求取其</w:t>
      </w:r>
      <w:r>
        <w:rPr>
          <w:rFonts w:ascii="Times New Roman" w:eastAsia="Times New Roman"/>
        </w:rPr>
        <w:t>AIC</w:t>
      </w:r>
      <w:r>
        <w:t>值和</w:t>
      </w:r>
      <w:r>
        <w:rPr>
          <w:rFonts w:ascii="Times New Roman" w:eastAsia="Times New Roman"/>
        </w:rPr>
        <w:t>SC</w:t>
      </w:r>
      <w:r>
        <w:t>值进行观察，其回归方程和结果如下：</w:t>
      </w:r>
    </w:p>
    <w:p w:rsidR="0018722C">
      <w:pPr>
        <w:topLinePunct/>
      </w:pPr>
      <w:r>
        <w:rPr>
          <w:rFonts w:cstheme="minorBidi" w:hAnsiTheme="minorHAnsi" w:eastAsiaTheme="minorHAnsi" w:asciiTheme="minorHAnsi" w:ascii="Times New Roman" w:hAnsi="Times New Roman"/>
        </w:rPr>
        <w:t>ΔlnS</w:t>
      </w:r>
      <w:r>
        <w:rPr>
          <w:rFonts w:ascii="Times New Roman" w:hAnsi="Times New Roman" w:cstheme="minorBidi" w:eastAsiaTheme="minorHAnsi"/>
        </w:rPr>
        <w:t>t </w:t>
      </w:r>
      <w:r>
        <w:rPr>
          <w:rFonts w:ascii="Times New Roman" w:hAnsi="Times New Roman" w:cstheme="minorBidi" w:eastAsiaTheme="minorHAnsi"/>
        </w:rPr>
        <w:t>= c</w:t>
      </w:r>
      <w:r>
        <w:rPr>
          <w:rFonts w:ascii="Times New Roman" w:hAnsi="Times New Roman" w:cstheme="minorBidi" w:eastAsiaTheme="minorHAnsi"/>
        </w:rPr>
        <w:t>1 </w:t>
      </w:r>
      <w:r>
        <w:rPr>
          <w:rFonts w:ascii="Times New Roman" w:hAnsi="Times New Roman" w:cstheme="minorBidi" w:eastAsiaTheme="minorHAnsi"/>
        </w:rPr>
        <w:t>+ a</w:t>
      </w:r>
      <w:r>
        <w:rPr>
          <w:rFonts w:ascii="Times New Roman" w:hAnsi="Times New Roman" w:cstheme="minorBidi" w:eastAsiaTheme="minorHAnsi"/>
        </w:rPr>
        <w:t>1</w:t>
      </w:r>
      <w:r>
        <w:rPr>
          <w:rFonts w:ascii="Times New Roman" w:hAnsi="Times New Roman" w:cstheme="minorBidi" w:eastAsiaTheme="minorHAnsi"/>
        </w:rPr>
        <w:t>ΔlnF</w:t>
      </w:r>
      <w:r>
        <w:rPr>
          <w:rFonts w:ascii="Times New Roman" w:hAnsi="Times New Roman" w:cstheme="minorBidi" w:eastAsiaTheme="minorHAnsi"/>
        </w:rPr>
        <w:t>t </w:t>
      </w:r>
      <w:r>
        <w:rPr>
          <w:rFonts w:ascii="Times New Roman" w:hAnsi="Times New Roman" w:cstheme="minorBidi" w:eastAsiaTheme="minorHAnsi"/>
        </w:rPr>
        <w:t>+b</w:t>
      </w:r>
      <w:r>
        <w:rPr>
          <w:rFonts w:ascii="Times New Roman" w:hAnsi="Times New Roman" w:cstheme="minorBidi" w:eastAsiaTheme="minorHAnsi"/>
        </w:rPr>
        <w:t>1</w:t>
      </w:r>
      <w:r>
        <w:rPr>
          <w:rFonts w:ascii="Times New Roman" w:hAnsi="Times New Roman" w:cstheme="minorBidi" w:eastAsiaTheme="minorHAnsi"/>
        </w:rPr>
        <w:t>ΔlnS</w:t>
      </w:r>
      <w:r>
        <w:rPr>
          <w:rFonts w:ascii="Times New Roman" w:hAnsi="Times New Roman" w:cstheme="minorBidi" w:eastAsiaTheme="minorHAnsi"/>
        </w:rPr>
        <w:t>t</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+d</w:t>
      </w:r>
      <w:r>
        <w:rPr>
          <w:rFonts w:ascii="Times New Roman" w:hAnsi="Times New Roman" w:cstheme="minorBidi" w:eastAsiaTheme="minorHAnsi"/>
        </w:rPr>
        <w:t>1</w:t>
      </w:r>
      <w:r>
        <w:rPr>
          <w:rFonts w:ascii="Times New Roman" w:hAnsi="Times New Roman" w:cstheme="minorBidi" w:eastAsiaTheme="minorHAnsi"/>
        </w:rPr>
        <w:t>ΔlnF</w:t>
      </w:r>
      <w:r>
        <w:rPr>
          <w:rFonts w:ascii="Times New Roman" w:hAnsi="Times New Roman" w:cstheme="minorBidi" w:eastAsiaTheme="minorHAnsi"/>
        </w:rPr>
        <w:t>t</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+ε</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1,1</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rPr>
        <w:t>ΔlnS</w:t>
      </w:r>
      <w:r>
        <w:rPr>
          <w:rFonts w:ascii="Times New Roman" w:hAnsi="Times New Roman" w:cstheme="minorBidi" w:eastAsiaTheme="minorHAnsi"/>
        </w:rPr>
        <w:t>t </w:t>
      </w:r>
      <w:r>
        <w:rPr>
          <w:rFonts w:ascii="Times New Roman" w:hAnsi="Times New Roman" w:cstheme="minorBidi" w:eastAsiaTheme="minorHAnsi"/>
        </w:rPr>
        <w:t>= c</w:t>
      </w:r>
      <w:r>
        <w:rPr>
          <w:rFonts w:ascii="Times New Roman" w:hAnsi="Times New Roman" w:cstheme="minorBidi" w:eastAsiaTheme="minorHAnsi"/>
        </w:rPr>
        <w:t>2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a</w:t>
      </w:r>
      <w:r>
        <w:rPr>
          <w:rFonts w:ascii="Times New Roman" w:hAnsi="Times New Roman" w:cstheme="minorBidi" w:eastAsiaTheme="minorHAnsi"/>
        </w:rPr>
        <w:t>2</w:t>
      </w:r>
      <w:r>
        <w:rPr>
          <w:rFonts w:ascii="Times New Roman" w:hAnsi="Times New Roman" w:cstheme="minorBidi" w:eastAsiaTheme="minorHAnsi"/>
        </w:rPr>
        <w:t>ΔlnF</w:t>
      </w:r>
      <w:r>
        <w:rPr>
          <w:rFonts w:ascii="Times New Roman" w:hAnsi="Times New Roman" w:cstheme="minorBidi" w:eastAsiaTheme="minorHAnsi"/>
        </w:rPr>
        <w:t>t </w:t>
      </w:r>
      <w:r>
        <w:rPr>
          <w:rFonts w:ascii="Times New Roman" w:hAnsi="Times New Roman" w:cstheme="minorBidi" w:eastAsiaTheme="minorHAnsi"/>
        </w:rPr>
        <w:t>+b</w:t>
      </w:r>
      <w:r>
        <w:rPr>
          <w:rFonts w:ascii="Times New Roman" w:hAnsi="Times New Roman" w:cstheme="minorBidi" w:eastAsiaTheme="minorHAnsi"/>
        </w:rPr>
        <w:t>2</w:t>
      </w:r>
      <w:r>
        <w:rPr>
          <w:rFonts w:ascii="Times New Roman" w:hAnsi="Times New Roman" w:cstheme="minorBidi" w:eastAsiaTheme="minorHAnsi"/>
        </w:rPr>
        <w:t>ΔlnS</w:t>
      </w:r>
      <w:r>
        <w:rPr>
          <w:rFonts w:ascii="Times New Roman" w:hAnsi="Times New Roman" w:cstheme="minorBidi" w:eastAsiaTheme="minorHAnsi"/>
        </w:rPr>
        <w:t>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+d</w:t>
      </w:r>
      <w:r>
        <w:rPr>
          <w:rFonts w:ascii="Times New Roman" w:hAnsi="Times New Roman" w:cstheme="minorBidi" w:eastAsiaTheme="minorHAnsi"/>
        </w:rPr>
        <w:t>2</w:t>
      </w:r>
      <w:r>
        <w:rPr>
          <w:rFonts w:ascii="Times New Roman" w:hAnsi="Times New Roman" w:cstheme="minorBidi" w:eastAsiaTheme="minorHAnsi"/>
        </w:rPr>
        <w:t>ΔlnF</w:t>
      </w:r>
      <w:r>
        <w:rPr>
          <w:rFonts w:ascii="Times New Roman" w:hAnsi="Times New Roman" w:cstheme="minorBidi" w:eastAsiaTheme="minorHAnsi"/>
        </w:rPr>
        <w:t>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+e</w:t>
      </w:r>
      <w:r>
        <w:rPr>
          <w:rFonts w:ascii="Times New Roman" w:hAnsi="Times New Roman" w:cstheme="minorBidi" w:eastAsiaTheme="minorHAnsi"/>
        </w:rPr>
        <w:t>2</w:t>
      </w:r>
      <w:r>
        <w:rPr>
          <w:rFonts w:ascii="Times New Roman" w:hAnsi="Times New Roman" w:cstheme="minorBidi" w:eastAsiaTheme="minorHAnsi"/>
        </w:rPr>
        <w:t>ΔlnS</w:t>
      </w:r>
      <w:r>
        <w:rPr>
          <w:rFonts w:ascii="Times New Roman" w:hAnsi="Times New Roman" w:cstheme="minorBidi" w:eastAsiaTheme="minorHAnsi"/>
        </w:rPr>
        <w:t>t</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+ε</w:t>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2,1</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rPr>
        <w:t>ΔlnS</w:t>
      </w:r>
      <w:r>
        <w:rPr>
          <w:rFonts w:ascii="Times New Roman" w:hAnsi="Times New Roman" w:cstheme="minorBidi" w:eastAsiaTheme="minorHAnsi"/>
        </w:rPr>
        <w:t>t </w:t>
      </w:r>
      <w:r>
        <w:rPr>
          <w:rFonts w:ascii="Times New Roman" w:hAnsi="Times New Roman" w:cstheme="minorBidi" w:eastAsiaTheme="minorHAnsi"/>
        </w:rPr>
        <w:t>= c</w:t>
      </w:r>
      <w:r>
        <w:rPr>
          <w:rFonts w:ascii="Times New Roman" w:hAnsi="Times New Roman" w:cstheme="minorBidi" w:eastAsiaTheme="minorHAnsi"/>
        </w:rPr>
        <w:t>3 </w:t>
      </w:r>
      <w:r>
        <w:rPr>
          <w:rFonts w:ascii="Times New Roman" w:hAnsi="Times New Roman" w:cstheme="minorBidi" w:eastAsiaTheme="minorHAnsi"/>
        </w:rPr>
        <w:t>+ a</w:t>
      </w:r>
      <w:r>
        <w:rPr>
          <w:rFonts w:ascii="Times New Roman" w:hAnsi="Times New Roman" w:cstheme="minorBidi" w:eastAsiaTheme="minorHAnsi"/>
        </w:rPr>
        <w:t>3</w:t>
      </w:r>
      <w:r>
        <w:rPr>
          <w:rFonts w:ascii="Times New Roman" w:hAnsi="Times New Roman" w:cstheme="minorBidi" w:eastAsiaTheme="minorHAnsi"/>
        </w:rPr>
        <w:t>ΔlnF</w:t>
      </w:r>
      <w:r>
        <w:rPr>
          <w:rFonts w:ascii="Times New Roman" w:hAnsi="Times New Roman" w:cstheme="minorBidi" w:eastAsiaTheme="minorHAnsi"/>
        </w:rPr>
        <w:t>t </w:t>
      </w:r>
      <w:r>
        <w:rPr>
          <w:rFonts w:ascii="Times New Roman" w:hAnsi="Times New Roman" w:cstheme="minorBidi" w:eastAsiaTheme="minorHAnsi"/>
        </w:rPr>
        <w:t>+b</w:t>
      </w:r>
      <w:r>
        <w:rPr>
          <w:rFonts w:ascii="Times New Roman" w:hAnsi="Times New Roman" w:cstheme="minorBidi" w:eastAsiaTheme="minorHAnsi"/>
        </w:rPr>
        <w:t>3</w:t>
      </w:r>
      <w:r>
        <w:rPr>
          <w:rFonts w:ascii="Times New Roman" w:hAnsi="Times New Roman" w:cstheme="minorBidi" w:eastAsiaTheme="minorHAnsi"/>
        </w:rPr>
        <w:t>ΔlnS</w:t>
      </w:r>
      <w:r>
        <w:rPr>
          <w:rFonts w:ascii="Times New Roman" w:hAnsi="Times New Roman" w:cstheme="minorBidi" w:eastAsiaTheme="minorHAnsi"/>
        </w:rPr>
        <w:t>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+d</w:t>
      </w:r>
      <w:r>
        <w:rPr>
          <w:rFonts w:ascii="Times New Roman" w:hAnsi="Times New Roman" w:cstheme="minorBidi" w:eastAsiaTheme="minorHAnsi"/>
        </w:rPr>
        <w:t>3</w:t>
      </w:r>
      <w:r>
        <w:rPr>
          <w:rFonts w:ascii="Times New Roman" w:hAnsi="Times New Roman" w:cstheme="minorBidi" w:eastAsiaTheme="minorHAnsi"/>
        </w:rPr>
        <w:t>ΔlnF</w:t>
      </w:r>
      <w:r>
        <w:rPr>
          <w:rFonts w:ascii="Times New Roman" w:hAnsi="Times New Roman" w:cstheme="minorBidi" w:eastAsiaTheme="minorHAnsi"/>
        </w:rPr>
        <w:t>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w:t>
      </w:r>
      <w:r>
        <w:rPr>
          <w:rFonts w:ascii="Times New Roman" w:hAnsi="Times New Roman" w:cstheme="minorBidi" w:eastAsiaTheme="minorHAnsi"/>
        </w:rPr>
        <w:t>f</w:t>
      </w:r>
      <w:r>
        <w:rPr>
          <w:rFonts w:ascii="Times New Roman" w:hAnsi="Times New Roman" w:cstheme="minorBidi" w:eastAsiaTheme="minorHAnsi"/>
        </w:rPr>
        <w:t>3</w:t>
      </w:r>
      <w:r>
        <w:rPr>
          <w:rFonts w:ascii="Times New Roman" w:hAnsi="Times New Roman" w:cstheme="minorBidi" w:eastAsiaTheme="minorHAnsi"/>
        </w:rPr>
        <w:t>ΔlnF</w:t>
      </w:r>
      <w:r>
        <w:rPr>
          <w:rFonts w:ascii="Times New Roman" w:hAnsi="Times New Roman" w:cstheme="minorBidi" w:eastAsiaTheme="minorHAnsi"/>
        </w:rPr>
        <w:t>t</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+ε</w:t>
      </w:r>
      <w:r>
        <w:rPr>
          <w:rFonts w:ascii="Times New Roman" w:hAnsi="Times New Roman" w:cstheme="minorBidi" w:eastAsiaTheme="minorHAnsi"/>
        </w:rPr>
        <w:t>3</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sidR="001852F3">
        <w:rPr>
          <w:rFonts w:ascii="Times New Roman" w:hAnsi="Times New Roman" w:cstheme="minorBidi" w:eastAsiaTheme="minorHAnsi"/>
        </w:rPr>
        <w:t xml:space="preserve">ΔlnS</w:t>
      </w:r>
      <w:r>
        <w:rPr>
          <w:rFonts w:ascii="Times New Roman" w:hAnsi="Times New Roman" w:cstheme="minorBidi" w:eastAsiaTheme="minorHAnsi"/>
        </w:rPr>
        <w:t>t </w:t>
      </w:r>
      <w:r>
        <w:rPr>
          <w:rFonts w:ascii="Times New Roman" w:hAnsi="Times New Roman" w:cstheme="minorBidi" w:eastAsiaTheme="minorHAnsi"/>
        </w:rPr>
        <w:t>= c</w:t>
      </w:r>
      <w:r>
        <w:rPr>
          <w:rFonts w:ascii="Times New Roman" w:hAnsi="Times New Roman" w:cstheme="minorBidi" w:eastAsiaTheme="minorHAnsi"/>
        </w:rPr>
        <w:t>4 </w:t>
      </w:r>
      <w:r>
        <w:rPr>
          <w:rFonts w:ascii="Times New Roman" w:hAnsi="Times New Roman" w:cstheme="minorBidi" w:eastAsiaTheme="minorHAnsi"/>
        </w:rPr>
        <w:t>+ a</w:t>
      </w:r>
      <w:r>
        <w:rPr>
          <w:rFonts w:ascii="Times New Roman" w:hAnsi="Times New Roman" w:cstheme="minorBidi" w:eastAsiaTheme="minorHAnsi"/>
        </w:rPr>
        <w:t>4</w:t>
      </w:r>
      <w:r>
        <w:rPr>
          <w:rFonts w:ascii="Times New Roman" w:hAnsi="Times New Roman" w:cstheme="minorBidi" w:eastAsiaTheme="minorHAnsi"/>
        </w:rPr>
        <w:t>ΔlnF</w:t>
      </w:r>
      <w:r>
        <w:rPr>
          <w:rFonts w:ascii="Times New Roman" w:hAnsi="Times New Roman" w:cstheme="minorBidi" w:eastAsiaTheme="minorHAnsi"/>
        </w:rPr>
        <w:t>t </w:t>
      </w:r>
      <w:r>
        <w:rPr>
          <w:rFonts w:ascii="Times New Roman" w:hAnsi="Times New Roman" w:cstheme="minorBidi" w:eastAsiaTheme="minorHAnsi"/>
        </w:rPr>
        <w:t>+b</w:t>
      </w:r>
      <w:r>
        <w:rPr>
          <w:rFonts w:ascii="Times New Roman" w:hAnsi="Times New Roman" w:cstheme="minorBidi" w:eastAsiaTheme="minorHAnsi"/>
        </w:rPr>
        <w:t>4</w:t>
      </w:r>
      <w:r>
        <w:rPr>
          <w:rFonts w:ascii="Times New Roman" w:hAnsi="Times New Roman" w:cstheme="minorBidi" w:eastAsiaTheme="minorHAnsi"/>
        </w:rPr>
        <w:t>ΔlnS</w:t>
      </w:r>
      <w:r>
        <w:rPr>
          <w:rFonts w:ascii="Times New Roman" w:hAnsi="Times New Roman" w:cstheme="minorBidi" w:eastAsiaTheme="minorHAnsi"/>
        </w:rPr>
        <w:t>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+d</w:t>
      </w:r>
      <w:r>
        <w:rPr>
          <w:rFonts w:ascii="Times New Roman" w:hAnsi="Times New Roman" w:cstheme="minorBidi" w:eastAsiaTheme="minorHAnsi"/>
        </w:rPr>
        <w:t>4</w:t>
      </w:r>
      <w:r>
        <w:rPr>
          <w:rFonts w:ascii="Times New Roman" w:hAnsi="Times New Roman" w:cstheme="minorBidi" w:eastAsiaTheme="minorHAnsi"/>
        </w:rPr>
        <w:t>ΔlnF</w:t>
      </w:r>
      <w:r>
        <w:rPr>
          <w:rFonts w:ascii="Times New Roman" w:hAnsi="Times New Roman" w:cstheme="minorBidi" w:eastAsiaTheme="minorHAnsi"/>
        </w:rPr>
        <w:t>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 e</w:t>
      </w:r>
      <w:r>
        <w:rPr>
          <w:rFonts w:ascii="Times New Roman" w:hAnsi="Times New Roman" w:cstheme="minorBidi" w:eastAsiaTheme="minorHAnsi"/>
        </w:rPr>
        <w:t>4</w:t>
      </w:r>
      <w:r>
        <w:rPr>
          <w:rFonts w:ascii="Times New Roman" w:hAnsi="Times New Roman" w:cstheme="minorBidi" w:eastAsiaTheme="minorHAnsi"/>
        </w:rPr>
        <w:t>ΔlnS</w:t>
      </w:r>
      <w:r>
        <w:rPr>
          <w:rFonts w:ascii="Times New Roman" w:hAnsi="Times New Roman" w:cstheme="minorBidi" w:eastAsiaTheme="minorHAnsi"/>
        </w:rPr>
        <w:t>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w:t>
      </w:r>
      <w:r>
        <w:rPr>
          <w:rFonts w:ascii="Times New Roman" w:hAnsi="Times New Roman" w:cstheme="minorBidi" w:eastAsiaTheme="minorHAnsi"/>
        </w:rPr>
        <w:t>f</w:t>
      </w:r>
      <w:r>
        <w:rPr>
          <w:rFonts w:ascii="Times New Roman" w:hAnsi="Times New Roman" w:cstheme="minorBidi" w:eastAsiaTheme="minorHAnsi"/>
        </w:rPr>
        <w:t>4</w:t>
      </w:r>
      <w:r>
        <w:rPr>
          <w:rFonts w:ascii="Times New Roman" w:hAnsi="Times New Roman" w:cstheme="minorBidi" w:eastAsiaTheme="minorHAnsi"/>
        </w:rPr>
        <w:t>ΔlnF</w:t>
      </w:r>
      <w:r>
        <w:rPr>
          <w:rFonts w:ascii="Times New Roman" w:hAnsi="Times New Roman" w:cstheme="minorBidi" w:eastAsiaTheme="minorHAnsi"/>
        </w:rPr>
        <w:t>t</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ε</w:t>
      </w:r>
      <w:r>
        <w:rPr>
          <w:rFonts w:ascii="Times New Roman" w:hAnsi="Times New Roman" w:cstheme="minorBidi" w:eastAsiaTheme="minorHAnsi"/>
        </w:rPr>
        <w:t>4</w:t>
      </w:r>
      <w:r w:rsidRPr="00000000">
        <w:rPr>
          <w:rFonts w:cstheme="minorBidi" w:hAnsiTheme="minorHAnsi" w:eastAsiaTheme="minorHAnsi" w:asciiTheme="minorHAnsi"/>
        </w:rPr>
        <w:tab/>
      </w:r>
      <w:r>
        <w:rPr>
          <w:rFonts w:ascii="Times New Roman" w:hAnsi="Times New Roman" w:cstheme="minorBidi" w:eastAsiaTheme="minorHAnsi"/>
        </w:rPr>
        <w:t>(</w:t>
      </w:r>
      <w:r>
        <w:rPr>
          <w:kern w:val="2"/>
          <w:szCs w:val="22"/>
          <w:rFonts w:ascii="Times New Roman" w:hAnsi="Times New Roman" w:cstheme="minorBidi" w:eastAsiaTheme="minorHAnsi"/>
          <w:sz w:val="24"/>
        </w:rPr>
        <w:t xml:space="preserve">2,2</w:t>
      </w:r>
      <w:r>
        <w:rPr>
          <w:rFonts w:ascii="Times New Roman" w:hAnsi="Times New Roman" w:cstheme="minorBidi" w:eastAsiaTheme="minorHAnsi"/>
        </w:rPr>
        <w:t>)</w:t>
      </w:r>
    </w:p>
    <w:p w:rsidR="0018722C">
      <w:pPr>
        <w:pStyle w:val="a8"/>
        <w:topLinePunct/>
      </w:pPr>
      <w:r>
        <w:rPr>
          <w:kern w:val="2"/>
          <w:szCs w:val="22"/>
        </w:rPr>
        <w:t>表</w:t>
      </w:r>
      <w:r>
        <w:rPr>
          <w:kern w:val="2"/>
          <w:szCs w:val="22"/>
        </w:rPr>
        <w:t>4.7</w:t>
      </w:r>
      <w:r>
        <w:t xml:space="preserve">  </w:t>
      </w:r>
      <w:r w:rsidRPr="00DB64CE">
        <w:rPr>
          <w:kern w:val="2"/>
          <w:szCs w:val="22"/>
        </w:rPr>
        <w:t>AIC</w:t>
      </w:r>
      <w:r>
        <w:rPr>
          <w:kern w:val="2"/>
          <w:szCs w:val="22"/>
        </w:rPr>
        <w:t>信息准则和</w:t>
      </w:r>
      <w:r>
        <w:rPr>
          <w:kern w:val="2"/>
          <w:szCs w:val="22"/>
        </w:rPr>
        <w:t>SC</w:t>
      </w:r>
      <w:r>
        <w:rPr>
          <w:kern w:val="2"/>
          <w:szCs w:val="22"/>
        </w:rPr>
        <w:t>准则</w:t>
      </w:r>
    </w:p>
    <w:tbl>
      <w:tblPr>
        <w:tblW w:w="5000" w:type="pct"/>
        <w:tblInd w:w="5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06"/>
        <w:gridCol w:w="1554"/>
        <w:gridCol w:w="1551"/>
        <w:gridCol w:w="1553"/>
        <w:gridCol w:w="1554"/>
      </w:tblGrid>
      <w:tr>
        <w:trPr>
          <w:tblHeader/>
        </w:trPr>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1</w:t>
            </w:r>
            <w:r>
              <w:t xml:space="preserve">, </w:t>
            </w:r>
            <w:r>
              <w:t>1</w:t>
            </w:r>
            <w:r>
              <w:t>）</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2</w:t>
            </w:r>
            <w:r>
              <w:t xml:space="preserve">, </w:t>
            </w:r>
            <w:r>
              <w:t>1</w:t>
            </w:r>
            <w:r>
              <w:t>）</w:t>
            </w:r>
          </w:p>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1</w:t>
            </w:r>
            <w:r>
              <w:t xml:space="preserve">, </w:t>
            </w:r>
            <w:r>
              <w:t>2</w:t>
            </w:r>
            <w:r>
              <w:t>）</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2</w:t>
            </w:r>
            <w:r>
              <w:t xml:space="preserve">, </w:t>
            </w:r>
            <w:r>
              <w:t>2</w:t>
            </w:r>
            <w:r>
              <w:t>）</w:t>
            </w:r>
          </w:p>
        </w:tc>
      </w:tr>
      <w:tr>
        <w:tc>
          <w:tcPr>
            <w:tcW w:w="869" w:type="pct"/>
            <w:vAlign w:val="center"/>
          </w:tcPr>
          <w:p w:rsidR="0018722C">
            <w:pPr>
              <w:pStyle w:val="ac"/>
              <w:topLinePunct/>
              <w:ind w:leftChars="0" w:left="0" w:rightChars="0" w:right="0" w:firstLineChars="0" w:firstLine="0"/>
              <w:spacing w:line="240" w:lineRule="atLeast"/>
            </w:pPr>
            <w:r>
              <w:t>AIC</w:t>
            </w:r>
          </w:p>
        </w:tc>
        <w:tc>
          <w:tcPr>
            <w:tcW w:w="1034" w:type="pct"/>
            <w:vAlign w:val="center"/>
          </w:tcPr>
          <w:p w:rsidR="0018722C">
            <w:pPr>
              <w:pStyle w:val="affff9"/>
              <w:topLinePunct/>
              <w:ind w:leftChars="0" w:left="0" w:rightChars="0" w:right="0" w:firstLineChars="0" w:firstLine="0"/>
              <w:spacing w:line="240" w:lineRule="atLeast"/>
            </w:pPr>
            <w:r>
              <w:t>-10.37473</w:t>
            </w:r>
          </w:p>
        </w:tc>
        <w:tc>
          <w:tcPr>
            <w:tcW w:w="1032" w:type="pct"/>
            <w:vAlign w:val="center"/>
          </w:tcPr>
          <w:p w:rsidR="0018722C">
            <w:pPr>
              <w:pStyle w:val="affff9"/>
              <w:topLinePunct/>
              <w:ind w:leftChars="0" w:left="0" w:rightChars="0" w:right="0" w:firstLineChars="0" w:firstLine="0"/>
              <w:spacing w:line="240" w:lineRule="atLeast"/>
            </w:pPr>
            <w:r>
              <w:t>-10.35069</w:t>
            </w:r>
          </w:p>
        </w:tc>
        <w:tc>
          <w:tcPr>
            <w:tcW w:w="1033" w:type="pct"/>
            <w:vAlign w:val="center"/>
          </w:tcPr>
          <w:p w:rsidR="0018722C">
            <w:pPr>
              <w:pStyle w:val="affff9"/>
              <w:topLinePunct/>
              <w:ind w:leftChars="0" w:left="0" w:rightChars="0" w:right="0" w:firstLineChars="0" w:firstLine="0"/>
              <w:spacing w:line="240" w:lineRule="atLeast"/>
            </w:pPr>
            <w:r>
              <w:t>-10.35449</w:t>
            </w:r>
          </w:p>
        </w:tc>
        <w:tc>
          <w:tcPr>
            <w:tcW w:w="1034" w:type="pct"/>
            <w:vAlign w:val="center"/>
          </w:tcPr>
          <w:p w:rsidR="0018722C">
            <w:pPr>
              <w:pStyle w:val="affff9"/>
              <w:topLinePunct/>
              <w:ind w:leftChars="0" w:left="0" w:rightChars="0" w:right="0" w:firstLineChars="0" w:firstLine="0"/>
              <w:spacing w:line="240" w:lineRule="atLeast"/>
            </w:pPr>
            <w:r>
              <w:t>-10.34546</w:t>
            </w:r>
          </w:p>
        </w:tc>
      </w:tr>
      <w:tr>
        <w:tc>
          <w:tcPr>
            <w:tcW w:w="869" w:type="pct"/>
            <w:vAlign w:val="center"/>
            <w:tcBorders>
              <w:top w:val="single" w:sz="4" w:space="0" w:color="auto"/>
            </w:tcBorders>
          </w:tcPr>
          <w:p w:rsidR="0018722C">
            <w:pPr>
              <w:pStyle w:val="ac"/>
              <w:topLinePunct/>
              <w:ind w:leftChars="0" w:left="0" w:rightChars="0" w:right="0" w:firstLineChars="0" w:firstLine="0"/>
              <w:spacing w:line="240" w:lineRule="atLeast"/>
            </w:pPr>
            <w:r>
              <w:t>SC</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-10.28469</w:t>
            </w:r>
          </w:p>
        </w:tc>
        <w:tc>
          <w:tcPr>
            <w:tcW w:w="1032" w:type="pct"/>
            <w:vAlign w:val="center"/>
            <w:tcBorders>
              <w:top w:val="single" w:sz="4" w:space="0" w:color="auto"/>
            </w:tcBorders>
          </w:tcPr>
          <w:p w:rsidR="0018722C">
            <w:pPr>
              <w:pStyle w:val="affff9"/>
              <w:topLinePunct/>
              <w:ind w:leftChars="0" w:left="0" w:rightChars="0" w:right="0" w:firstLineChars="0" w:firstLine="0"/>
              <w:spacing w:line="240" w:lineRule="atLeast"/>
            </w:pPr>
            <w:r>
              <w:t>-10.23756</w:t>
            </w:r>
          </w:p>
        </w:tc>
        <w:tc>
          <w:tcPr>
            <w:tcW w:w="1033" w:type="pct"/>
            <w:vAlign w:val="center"/>
            <w:tcBorders>
              <w:top w:val="single" w:sz="4" w:space="0" w:color="auto"/>
            </w:tcBorders>
          </w:tcPr>
          <w:p w:rsidR="0018722C">
            <w:pPr>
              <w:pStyle w:val="affff9"/>
              <w:topLinePunct/>
              <w:ind w:leftChars="0" w:left="0" w:rightChars="0" w:right="0" w:firstLineChars="0" w:firstLine="0"/>
              <w:spacing w:line="240" w:lineRule="atLeast"/>
            </w:pPr>
            <w:r>
              <w:t>-10.24135</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-10.20970</w:t>
            </w:r>
          </w:p>
        </w:tc>
      </w:tr>
    </w:tbl>
    <w:p w:rsidR="0018722C">
      <w:pPr>
        <w:pStyle w:val="affa"/>
      </w:pPr>
    </w:p>
    <w:p w:rsidR="0018722C">
      <w:pPr>
        <w:topLinePunct/>
      </w:pPr>
      <w:r>
        <w:t>综合考虑，选择</w:t>
      </w:r>
      <w:r>
        <w:t>（</w:t>
      </w:r>
      <w:r>
        <w:rPr>
          <w:rFonts w:ascii="Times New Roman" w:eastAsia="Times New Roman"/>
        </w:rPr>
        <w:t>1</w:t>
      </w:r>
      <w:r>
        <w:t xml:space="preserve">, </w:t>
      </w:r>
      <w:r>
        <w:rPr>
          <w:rFonts w:ascii="Times New Roman" w:eastAsia="Times New Roman"/>
        </w:rPr>
        <w:t>1</w:t>
      </w:r>
      <w:r>
        <w:t>）</w:t>
      </w:r>
      <w:r>
        <w:t>滞后阶数时，</w:t>
      </w:r>
      <w:r>
        <w:rPr>
          <w:rFonts w:ascii="Times New Roman" w:eastAsia="Times New Roman"/>
        </w:rPr>
        <w:t>AIC</w:t>
      </w:r>
      <w:r>
        <w:t>、</w:t>
      </w:r>
      <w:r>
        <w:rPr>
          <w:rFonts w:ascii="Times New Roman" w:eastAsia="Times New Roman"/>
        </w:rPr>
        <w:t>SC</w:t>
      </w:r>
      <w:r>
        <w:t>值有其最小值，表明</w:t>
      </w:r>
      <w:r>
        <w:rPr>
          <w:rFonts w:ascii="Times New Roman" w:eastAsia="Times New Roman"/>
        </w:rPr>
        <w:t>B-VAR</w:t>
      </w:r>
    </w:p>
    <w:p w:rsidR="0018722C">
      <w:pPr>
        <w:topLinePunct/>
      </w:pPr>
      <w:r>
        <w:t>模型滞后阶数最佳为一阶，由此得回归模型如下：</w:t>
      </w:r>
    </w:p>
    <w:p w:rsidR="0018722C">
      <w:pPr>
        <w:topLinePunct/>
      </w:pPr>
      <w:r>
        <w:rPr>
          <w:rFonts w:ascii="Times New Roman" w:hAnsi="Times New Roman"/>
        </w:rPr>
        <w:t>ΔlnS</w:t>
      </w:r>
      <w:r>
        <w:rPr>
          <w:rFonts w:ascii="Times New Roman" w:hAnsi="Times New Roman"/>
        </w:rPr>
        <w:t>t </w:t>
      </w:r>
      <w:r>
        <w:rPr>
          <w:rFonts w:ascii="Times New Roman" w:hAnsi="Times New Roman"/>
        </w:rPr>
        <w:t>= c + aΔlnF</w:t>
      </w:r>
      <w:r>
        <w:rPr>
          <w:rFonts w:ascii="Times New Roman" w:hAnsi="Times New Roman"/>
        </w:rPr>
        <w:t>t </w:t>
      </w:r>
      <w:r>
        <w:rPr>
          <w:rFonts w:ascii="Times New Roman" w:hAnsi="Times New Roman"/>
        </w:rPr>
        <w:t>+ bΔlnS</w:t>
      </w:r>
      <w:r>
        <w:rPr>
          <w:rFonts w:ascii="Times New Roman" w:hAnsi="Times New Roman"/>
        </w:rPr>
        <w:t>t </w:t>
      </w:r>
      <w:r>
        <w:rPr>
          <w:rFonts w:ascii="Times New Roman" w:hAnsi="Times New Roman"/>
        </w:rPr>
        <w:t>(</w:t>
      </w:r>
      <w:r>
        <w:rPr>
          <w:rFonts w:ascii="Times New Roman" w:hAnsi="Times New Roman"/>
        </w:rPr>
        <w:t xml:space="preserve">-1</w:t>
      </w:r>
      <w:r>
        <w:rPr>
          <w:rFonts w:ascii="Times New Roman" w:hAnsi="Times New Roman"/>
        </w:rPr>
        <w:t>)</w:t>
      </w:r>
      <w:r>
        <w:rPr>
          <w:rFonts w:ascii="Times New Roman" w:hAnsi="Times New Roman"/>
        </w:rPr>
        <w:t xml:space="preserve"> + dΔlnF</w:t>
      </w:r>
      <w:r>
        <w:rPr>
          <w:rFonts w:ascii="Times New Roman" w:hAnsi="Times New Roman"/>
        </w:rPr>
        <w:t>t </w:t>
      </w:r>
      <w:r>
        <w:rPr>
          <w:rFonts w:ascii="Times New Roman" w:hAnsi="Times New Roman"/>
        </w:rPr>
        <w:t>(</w:t>
      </w:r>
      <w:r>
        <w:rPr>
          <w:rFonts w:ascii="Times New Roman" w:hAnsi="Times New Roman"/>
        </w:rPr>
        <w:t xml:space="preserve">-1</w:t>
      </w:r>
      <w:r>
        <w:rPr>
          <w:rFonts w:ascii="Times New Roman" w:hAnsi="Times New Roman"/>
        </w:rPr>
        <w:t>)</w:t>
      </w:r>
      <w:r>
        <w:rPr>
          <w:rFonts w:ascii="Times New Roman" w:hAnsi="Times New Roman"/>
        </w:rPr>
        <w:t xml:space="preserve"> +  ε</w:t>
      </w:r>
    </w:p>
    <w:p w:rsidR="0018722C">
      <w:pPr>
        <w:topLinePunct/>
      </w:pPr>
      <w:r>
        <w:t>利用</w:t>
      </w:r>
      <w:r>
        <w:rPr>
          <w:rFonts w:ascii="Times New Roman" w:eastAsia="Times New Roman"/>
        </w:rPr>
        <w:t>B-VAR</w:t>
      </w:r>
      <w:r>
        <w:t>进行回归分析结果如下：</w:t>
      </w:r>
    </w:p>
    <w:p w:rsidR="0018722C">
      <w:pPr>
        <w:pStyle w:val="a8"/>
        <w:topLinePunct/>
      </w:pPr>
      <w:r>
        <w:t>表</w:t>
      </w:r>
      <w:r>
        <w:t>4</w:t>
      </w:r>
      <w:r>
        <w:t>.</w:t>
      </w:r>
      <w:r>
        <w:t>8</w:t>
      </w:r>
      <w:r>
        <w:t xml:space="preserve">  </w:t>
      </w:r>
      <w:r w:rsidRPr="00DB64CE">
        <w:t>B-VAR</w:t>
      </w:r>
      <w:r>
        <w:t>模型滞后阶数</w:t>
      </w:r>
      <w:r>
        <w:t>（</w:t>
      </w:r>
      <w:r>
        <w:t>1,1</w:t>
      </w:r>
      <w:r>
        <w:t>）</w:t>
      </w:r>
      <w:r>
        <w:t>估计结果</w:t>
      </w:r>
    </w:p>
    <w:tbl>
      <w:tblPr>
        <w:tblW w:w="5000" w:type="pct"/>
        <w:tblInd w:w="2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2"/>
        <w:gridCol w:w="1580"/>
        <w:gridCol w:w="1695"/>
        <w:gridCol w:w="1695"/>
        <w:gridCol w:w="1553"/>
      </w:tblGrid>
      <w:tr>
        <w:trPr>
          <w:tblHeader/>
        </w:trPr>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75"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976"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975" w:type="pct"/>
            <w:vAlign w:val="center"/>
            <w:tcBorders>
              <w:top w:val="single" w:sz="4" w:space="0" w:color="auto"/>
            </w:tcBorders>
          </w:tcPr>
          <w:p w:rsidR="0018722C">
            <w:pPr>
              <w:pStyle w:val="affff9"/>
              <w:topLinePunct/>
              <w:ind w:leftChars="0" w:left="0" w:rightChars="0" w:right="0" w:firstLineChars="0" w:firstLine="0"/>
              <w:spacing w:line="240" w:lineRule="atLeast"/>
            </w:pPr>
            <w:r>
              <w:t>6.267473</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0.000119</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0.526911</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0.5992</w:t>
            </w:r>
          </w:p>
        </w:tc>
      </w:tr>
    </w:tbl>
    <w:p w:rsidR="0018722C">
      <w:pPr>
        <w:topLinePunct/>
        <w:pStyle w:val="affa"/>
      </w:pPr>
    </w:p>
    <w:p w:rsidR="0018722C">
      <w:pPr>
        <w:topLinePunct/>
      </w:pPr>
      <w:r>
        <w:rPr>
          <w:rFonts w:cstheme="minorBidi" w:hAnsiTheme="minorHAnsi" w:eastAsiaTheme="minorHAnsi" w:asciiTheme="minorHAnsi" w:ascii="Calibri"/>
        </w:rPr>
        <w:t>25</w:t>
      </w:r>
    </w:p>
    <w:p w:rsidR="0018722C">
      <w:pPr>
        <w:topLinePunct/>
      </w:pPr>
      <w:r>
        <w:rPr>
          <w:rFonts w:cstheme="minorBidi" w:hAnsiTheme="minorHAnsi" w:eastAsiaTheme="minorHAnsi" w:asciiTheme="minorHAnsi" w:ascii="黑体" w:eastAsia="黑体" w:hint="eastAsia"/>
        </w:rPr>
        <w:t>续</w:t>
      </w:r>
      <w:r>
        <w:rPr>
          <w:rFonts w:cstheme="minorBidi" w:hAnsiTheme="minorHAnsi" w:eastAsiaTheme="minorHAnsi" w:asciiTheme="minorHAnsi" w:ascii="黑体" w:eastAsia="黑体" w:hint="eastAsia"/>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 xml:space="preserve"> B-VAR</w:t>
      </w:r>
      <w:r>
        <w:rPr>
          <w:rFonts w:ascii="黑体" w:eastAsia="黑体" w:hint="eastAsia" w:cstheme="minorBidi" w:hAnsiTheme="minorHAnsi"/>
        </w:rPr>
        <w:t>模型滞后阶数</w:t>
      </w:r>
      <w:r>
        <w:rPr>
          <w:rFonts w:ascii="黑体" w:eastAsia="黑体" w:hint="eastAsia" w:cstheme="minorBidi" w:hAnsiTheme="minorHAnsi"/>
        </w:rPr>
        <w:t>（</w:t>
      </w:r>
      <w:r>
        <w:rPr>
          <w:rFonts w:ascii="Times New Roman" w:eastAsia="Times New Roman" w:cstheme="minorBidi" w:hAnsiTheme="minorHAnsi"/>
        </w:rPr>
        <w:t>1,1</w:t>
      </w:r>
      <w:r>
        <w:rPr>
          <w:rFonts w:ascii="黑体" w:eastAsia="黑体" w:hint="eastAsia" w:cstheme="minorBidi" w:hAnsiTheme="minorHAnsi"/>
        </w:rPr>
        <w:t>）</w:t>
      </w:r>
      <w:r>
        <w:rPr>
          <w:rFonts w:ascii="黑体" w:eastAsia="黑体" w:hint="eastAsia" w:cstheme="minorBidi" w:hAnsiTheme="minorHAnsi"/>
        </w:rPr>
        <w:t>估计结果</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311"/>
        <w:gridCol w:w="1270"/>
        <w:gridCol w:w="689"/>
        <w:gridCol w:w="1006"/>
        <w:gridCol w:w="1404"/>
        <w:gridCol w:w="291"/>
        <w:gridCol w:w="1553"/>
      </w:tblGrid>
      <w:tr>
        <w:trPr>
          <w:trHeight w:val="460" w:hRule="atLeast"/>
        </w:trPr>
        <w:tc>
          <w:tcPr>
            <w:tcW w:w="1582" w:type="dxa"/>
          </w:tcPr>
          <w:p w:rsidR="0018722C">
            <w:pPr>
              <w:topLinePunct/>
              <w:ind w:leftChars="0" w:left="0" w:rightChars="0" w:right="0" w:firstLineChars="0" w:firstLine="0"/>
              <w:spacing w:line="240" w:lineRule="atLeast"/>
            </w:pPr>
            <w:r>
              <w:t>D</w:t>
            </w:r>
            <w:r>
              <w:t>(</w:t>
            </w:r>
            <w:r>
              <w:t>TF_LN</w:t>
            </w:r>
            <w:r>
              <w:t>)</w:t>
            </w:r>
          </w:p>
        </w:tc>
        <w:tc>
          <w:tcPr>
            <w:tcW w:w="1581" w:type="dxa"/>
            <w:gridSpan w:val="2"/>
          </w:tcPr>
          <w:p w:rsidR="0018722C">
            <w:pPr>
              <w:topLinePunct/>
              <w:ind w:leftChars="0" w:left="0" w:rightChars="0" w:right="0" w:firstLineChars="0" w:firstLine="0"/>
              <w:spacing w:line="240" w:lineRule="atLeast"/>
            </w:pPr>
            <w:r>
              <w:t>0.554311</w:t>
            </w:r>
          </w:p>
        </w:tc>
        <w:tc>
          <w:tcPr>
            <w:tcW w:w="1695" w:type="dxa"/>
            <w:gridSpan w:val="2"/>
          </w:tcPr>
          <w:p w:rsidR="0018722C">
            <w:pPr>
              <w:topLinePunct/>
              <w:ind w:leftChars="0" w:left="0" w:rightChars="0" w:right="0" w:firstLineChars="0" w:firstLine="0"/>
              <w:spacing w:line="240" w:lineRule="atLeast"/>
            </w:pPr>
            <w:r>
              <w:t>0.054753</w:t>
            </w:r>
          </w:p>
        </w:tc>
        <w:tc>
          <w:tcPr>
            <w:tcW w:w="1695" w:type="dxa"/>
            <w:gridSpan w:val="2"/>
          </w:tcPr>
          <w:p w:rsidR="0018722C">
            <w:pPr>
              <w:topLinePunct/>
              <w:ind w:leftChars="0" w:left="0" w:rightChars="0" w:right="0" w:firstLineChars="0" w:firstLine="0"/>
              <w:spacing w:line="240" w:lineRule="atLeast"/>
            </w:pPr>
            <w:r>
              <w:t>10.12384</w:t>
            </w:r>
          </w:p>
        </w:tc>
        <w:tc>
          <w:tcPr>
            <w:tcW w:w="1553" w:type="dxa"/>
          </w:tcPr>
          <w:p w:rsidR="0018722C">
            <w:pPr>
              <w:topLinePunct/>
              <w:ind w:leftChars="0" w:left="0" w:rightChars="0" w:right="0" w:firstLineChars="0" w:firstLine="0"/>
              <w:spacing w:line="240" w:lineRule="atLeast"/>
            </w:pPr>
            <w:r>
              <w:t>0.0000</w:t>
            </w:r>
          </w:p>
        </w:tc>
      </w:tr>
      <w:tr>
        <w:trPr>
          <w:trHeight w:val="460" w:hRule="atLeast"/>
        </w:trPr>
        <w:tc>
          <w:tcPr>
            <w:tcW w:w="1582" w:type="dxa"/>
          </w:tcPr>
          <w:p w:rsidR="0018722C">
            <w:pPr>
              <w:topLinePunct/>
              <w:ind w:leftChars="0" w:left="0" w:rightChars="0" w:right="0" w:firstLineChars="0" w:firstLine="0"/>
              <w:spacing w:line="240" w:lineRule="atLeast"/>
            </w:pPr>
            <w:r>
              <w:t>D</w:t>
            </w:r>
            <w:r>
              <w:t>(</w:t>
            </w:r>
            <w:r>
              <w:t>ETF_LN</w:t>
            </w:r>
            <w:r>
              <w:t>(</w:t>
            </w:r>
            <w:r>
              <w:t>-1</w:t>
            </w:r>
            <w:r>
              <w:t>)</w:t>
            </w:r>
            <w:r/>
            <w:r>
              <w:t>)</w:t>
            </w:r>
          </w:p>
        </w:tc>
        <w:tc>
          <w:tcPr>
            <w:tcW w:w="1581" w:type="dxa"/>
            <w:gridSpan w:val="2"/>
          </w:tcPr>
          <w:p w:rsidR="0018722C">
            <w:pPr>
              <w:topLinePunct/>
              <w:ind w:leftChars="0" w:left="0" w:rightChars="0" w:right="0" w:firstLineChars="0" w:firstLine="0"/>
              <w:spacing w:line="240" w:lineRule="atLeast"/>
            </w:pPr>
            <w:r>
              <w:t>-0.001132</w:t>
            </w:r>
          </w:p>
        </w:tc>
        <w:tc>
          <w:tcPr>
            <w:tcW w:w="1695" w:type="dxa"/>
            <w:gridSpan w:val="2"/>
          </w:tcPr>
          <w:p w:rsidR="0018722C">
            <w:pPr>
              <w:topLinePunct/>
              <w:ind w:leftChars="0" w:left="0" w:rightChars="0" w:right="0" w:firstLineChars="0" w:firstLine="0"/>
              <w:spacing w:line="240" w:lineRule="atLeast"/>
            </w:pPr>
            <w:r>
              <w:t>0.091210</w:t>
            </w:r>
          </w:p>
        </w:tc>
        <w:tc>
          <w:tcPr>
            <w:tcW w:w="1695" w:type="dxa"/>
            <w:gridSpan w:val="2"/>
          </w:tcPr>
          <w:p w:rsidR="0018722C">
            <w:pPr>
              <w:topLinePunct/>
              <w:ind w:leftChars="0" w:left="0" w:rightChars="0" w:right="0" w:firstLineChars="0" w:firstLine="0"/>
              <w:spacing w:line="240" w:lineRule="atLeast"/>
            </w:pPr>
            <w:r>
              <w:t>-0.012410</w:t>
            </w:r>
          </w:p>
        </w:tc>
        <w:tc>
          <w:tcPr>
            <w:tcW w:w="1553" w:type="dxa"/>
          </w:tcPr>
          <w:p w:rsidR="0018722C">
            <w:pPr>
              <w:topLinePunct/>
              <w:ind w:leftChars="0" w:left="0" w:rightChars="0" w:right="0" w:firstLineChars="0" w:firstLine="0"/>
              <w:spacing w:line="240" w:lineRule="atLeast"/>
            </w:pPr>
            <w:r>
              <w:t>0.9901</w:t>
            </w:r>
          </w:p>
        </w:tc>
      </w:tr>
      <w:tr>
        <w:trPr>
          <w:trHeight w:val="460" w:hRule="atLeast"/>
        </w:trPr>
        <w:tc>
          <w:tcPr>
            <w:tcW w:w="1582" w:type="dxa"/>
          </w:tcPr>
          <w:p w:rsidR="0018722C">
            <w:pPr>
              <w:topLinePunct/>
              <w:ind w:leftChars="0" w:left="0" w:rightChars="0" w:right="0" w:firstLineChars="0" w:firstLine="0"/>
              <w:spacing w:line="240" w:lineRule="atLeast"/>
            </w:pPr>
            <w:r>
              <w:t>D</w:t>
            </w:r>
            <w:r>
              <w:t>(</w:t>
            </w:r>
            <w:r>
              <w:t>TF_LN</w:t>
            </w:r>
            <w:r>
              <w:t>(</w:t>
            </w:r>
            <w:r>
              <w:t>-1</w:t>
            </w:r>
            <w:r>
              <w:t>)</w:t>
            </w:r>
            <w:r/>
            <w:r>
              <w:t>)</w:t>
            </w:r>
          </w:p>
        </w:tc>
        <w:tc>
          <w:tcPr>
            <w:tcW w:w="1581" w:type="dxa"/>
            <w:gridSpan w:val="2"/>
          </w:tcPr>
          <w:p w:rsidR="0018722C">
            <w:pPr>
              <w:topLinePunct/>
              <w:ind w:leftChars="0" w:left="0" w:rightChars="0" w:right="0" w:firstLineChars="0" w:firstLine="0"/>
              <w:spacing w:line="240" w:lineRule="atLeast"/>
            </w:pPr>
            <w:r>
              <w:t>0.071532</w:t>
            </w:r>
          </w:p>
        </w:tc>
        <w:tc>
          <w:tcPr>
            <w:tcW w:w="1695" w:type="dxa"/>
            <w:gridSpan w:val="2"/>
          </w:tcPr>
          <w:p w:rsidR="0018722C">
            <w:pPr>
              <w:topLinePunct/>
              <w:ind w:leftChars="0" w:left="0" w:rightChars="0" w:right="0" w:firstLineChars="0" w:firstLine="0"/>
              <w:spacing w:line="240" w:lineRule="atLeast"/>
            </w:pPr>
            <w:r>
              <w:t>0.075071</w:t>
            </w:r>
          </w:p>
        </w:tc>
        <w:tc>
          <w:tcPr>
            <w:tcW w:w="1695" w:type="dxa"/>
            <w:gridSpan w:val="2"/>
          </w:tcPr>
          <w:p w:rsidR="0018722C">
            <w:pPr>
              <w:topLinePunct/>
              <w:ind w:leftChars="0" w:left="0" w:rightChars="0" w:right="0" w:firstLineChars="0" w:firstLine="0"/>
              <w:spacing w:line="240" w:lineRule="atLeast"/>
            </w:pPr>
            <w:r>
              <w:t>0.952849</w:t>
            </w:r>
          </w:p>
        </w:tc>
        <w:tc>
          <w:tcPr>
            <w:tcW w:w="1553" w:type="dxa"/>
          </w:tcPr>
          <w:p w:rsidR="0018722C">
            <w:pPr>
              <w:topLinePunct/>
              <w:ind w:leftChars="0" w:left="0" w:rightChars="0" w:right="0" w:firstLineChars="0" w:firstLine="0"/>
              <w:spacing w:line="240" w:lineRule="atLeast"/>
            </w:pPr>
            <w:r>
              <w:t>0.3426</w:t>
            </w:r>
          </w:p>
        </w:tc>
      </w:tr>
      <w:tr>
        <w:trPr>
          <w:trHeight w:val="520" w:hRule="atLeast"/>
        </w:trPr>
        <w:tc>
          <w:tcPr>
            <w:tcW w:w="1893" w:type="dxa"/>
            <w:gridSpan w:val="2"/>
          </w:tcPr>
          <w:p w:rsidR="0018722C">
            <w:pPr>
              <w:topLinePunct/>
              <w:ind w:leftChars="0" w:left="0" w:rightChars="0" w:right="0" w:firstLineChars="0" w:firstLine="0"/>
              <w:spacing w:line="240" w:lineRule="atLeast"/>
            </w:pPr>
            <w:r>
              <w:t>R</w:t>
            </w:r>
            <w:r>
              <w:t>2</w:t>
            </w:r>
          </w:p>
        </w:tc>
        <w:tc>
          <w:tcPr>
            <w:tcW w:w="1959" w:type="dxa"/>
            <w:gridSpan w:val="2"/>
          </w:tcPr>
          <w:p w:rsidR="0018722C">
            <w:pPr>
              <w:topLinePunct/>
              <w:ind w:leftChars="0" w:left="0" w:rightChars="0" w:right="0" w:firstLineChars="0" w:firstLine="0"/>
              <w:spacing w:line="240" w:lineRule="atLeast"/>
            </w:pPr>
            <w:r>
              <w:t>0.493889</w:t>
            </w:r>
          </w:p>
        </w:tc>
        <w:tc>
          <w:tcPr>
            <w:tcW w:w="2410" w:type="dxa"/>
            <w:gridSpan w:val="2"/>
          </w:tcPr>
          <w:p w:rsidR="0018722C">
            <w:pPr>
              <w:topLinePunct/>
              <w:ind w:leftChars="0" w:left="0" w:rightChars="0" w:right="0" w:firstLineChars="0" w:firstLine="0"/>
              <w:spacing w:line="240" w:lineRule="atLeast"/>
            </w:pPr>
            <w:r>
              <w:rPr>
                <w:rFonts w:ascii="宋体" w:eastAsia="宋体" w:hint="eastAsia"/>
              </w:rPr>
              <w:t>被解释变量均值</w:t>
            </w:r>
          </w:p>
        </w:tc>
        <w:tc>
          <w:tcPr>
            <w:tcW w:w="1844" w:type="dxa"/>
            <w:gridSpan w:val="2"/>
          </w:tcPr>
          <w:p w:rsidR="0018722C">
            <w:pPr>
              <w:topLinePunct/>
              <w:ind w:leftChars="0" w:left="0" w:rightChars="0" w:right="0" w:firstLineChars="0" w:firstLine="0"/>
              <w:spacing w:line="240" w:lineRule="atLeast"/>
            </w:pPr>
            <w:r>
              <w:t>-6.93E-06</w:t>
            </w:r>
          </w:p>
        </w:tc>
      </w:tr>
      <w:tr>
        <w:trPr>
          <w:trHeight w:val="520" w:hRule="atLeast"/>
        </w:trPr>
        <w:tc>
          <w:tcPr>
            <w:tcW w:w="1893" w:type="dxa"/>
            <w:gridSpan w:val="2"/>
          </w:tcPr>
          <w:p w:rsidR="0018722C">
            <w:pPr>
              <w:topLinePunct/>
              <w:ind w:leftChars="0" w:left="0" w:rightChars="0" w:right="0" w:firstLineChars="0" w:firstLine="0"/>
              <w:spacing w:line="240" w:lineRule="atLeast"/>
            </w:pPr>
            <w:r>
              <w:rPr>
                <w:rFonts w:ascii="宋体" w:eastAsia="宋体" w:hint="eastAsia"/>
              </w:rPr>
              <w:t>调整后 </w:t>
            </w:r>
            <w:r>
              <w:t>R</w:t>
            </w:r>
            <w:r>
              <w:t>2</w:t>
            </w:r>
          </w:p>
        </w:tc>
        <w:tc>
          <w:tcPr>
            <w:tcW w:w="1959" w:type="dxa"/>
            <w:gridSpan w:val="2"/>
          </w:tcPr>
          <w:p w:rsidR="0018722C">
            <w:pPr>
              <w:topLinePunct/>
              <w:ind w:leftChars="0" w:left="0" w:rightChars="0" w:right="0" w:firstLineChars="0" w:firstLine="0"/>
              <w:spacing w:line="240" w:lineRule="atLeast"/>
            </w:pPr>
            <w:r>
              <w:t>0.481443</w:t>
            </w:r>
          </w:p>
        </w:tc>
        <w:tc>
          <w:tcPr>
            <w:tcW w:w="2410" w:type="dxa"/>
            <w:gridSpan w:val="2"/>
          </w:tcPr>
          <w:p w:rsidR="0018722C">
            <w:pPr>
              <w:topLinePunct/>
              <w:ind w:leftChars="0" w:left="0" w:rightChars="0" w:right="0" w:firstLineChars="0" w:firstLine="0"/>
              <w:spacing w:line="240" w:lineRule="atLeast"/>
            </w:pPr>
            <w:r>
              <w:rPr>
                <w:rFonts w:ascii="宋体" w:eastAsia="宋体" w:hint="eastAsia"/>
              </w:rPr>
              <w:t>被解释变量标准差</w:t>
            </w:r>
          </w:p>
        </w:tc>
        <w:tc>
          <w:tcPr>
            <w:tcW w:w="1844" w:type="dxa"/>
            <w:gridSpan w:val="2"/>
          </w:tcPr>
          <w:p w:rsidR="0018722C">
            <w:pPr>
              <w:topLinePunct/>
              <w:ind w:leftChars="0" w:left="0" w:rightChars="0" w:right="0" w:firstLineChars="0" w:firstLine="0"/>
              <w:spacing w:line="240" w:lineRule="atLeast"/>
            </w:pPr>
            <w:r>
              <w:t>0.001848</w:t>
            </w:r>
          </w:p>
        </w:tc>
      </w:tr>
      <w:tr>
        <w:trPr>
          <w:trHeight w:val="520" w:hRule="atLeast"/>
        </w:trPr>
        <w:tc>
          <w:tcPr>
            <w:tcW w:w="1893" w:type="dxa"/>
            <w:gridSpan w:val="2"/>
          </w:tcPr>
          <w:p w:rsidR="0018722C">
            <w:pPr>
              <w:topLinePunct/>
              <w:ind w:leftChars="0" w:left="0" w:rightChars="0" w:right="0" w:firstLineChars="0" w:firstLine="0"/>
              <w:spacing w:line="240" w:lineRule="atLeast"/>
            </w:pPr>
            <w:r>
              <w:rPr>
                <w:rFonts w:ascii="宋体" w:eastAsia="宋体" w:hint="eastAsia"/>
              </w:rPr>
              <w:t>总平方残差</w:t>
            </w:r>
          </w:p>
        </w:tc>
        <w:tc>
          <w:tcPr>
            <w:tcW w:w="1959" w:type="dxa"/>
            <w:gridSpan w:val="2"/>
          </w:tcPr>
          <w:p w:rsidR="0018722C">
            <w:pPr>
              <w:topLinePunct/>
              <w:ind w:leftChars="0" w:left="0" w:rightChars="0" w:right="0" w:firstLineChars="0" w:firstLine="0"/>
              <w:spacing w:line="240" w:lineRule="atLeast"/>
            </w:pPr>
            <w:r>
              <w:t>0.000216</w:t>
            </w:r>
          </w:p>
        </w:tc>
        <w:tc>
          <w:tcPr>
            <w:tcW w:w="2410" w:type="dxa"/>
            <w:gridSpan w:val="2"/>
          </w:tcPr>
          <w:p w:rsidR="0018722C">
            <w:pPr>
              <w:topLinePunct/>
              <w:ind w:leftChars="0" w:left="0" w:rightChars="0" w:right="0" w:firstLineChars="0" w:firstLine="0"/>
              <w:spacing w:line="240" w:lineRule="atLeast"/>
            </w:pPr>
            <w:r>
              <w:t>AIC </w:t>
            </w:r>
            <w:r>
              <w:rPr>
                <w:rFonts w:ascii="宋体" w:eastAsia="宋体" w:hint="eastAsia"/>
              </w:rPr>
              <w:t>信息准则</w:t>
            </w:r>
          </w:p>
        </w:tc>
        <w:tc>
          <w:tcPr>
            <w:tcW w:w="1844" w:type="dxa"/>
            <w:gridSpan w:val="2"/>
          </w:tcPr>
          <w:p w:rsidR="0018722C">
            <w:pPr>
              <w:topLinePunct/>
              <w:ind w:leftChars="0" w:left="0" w:rightChars="0" w:right="0" w:firstLineChars="0" w:firstLine="0"/>
              <w:spacing w:line="240" w:lineRule="atLeast"/>
            </w:pPr>
            <w:r>
              <w:t>-10.37473</w:t>
            </w:r>
          </w:p>
        </w:tc>
      </w:tr>
      <w:tr>
        <w:trPr>
          <w:trHeight w:val="520" w:hRule="atLeast"/>
        </w:trPr>
        <w:tc>
          <w:tcPr>
            <w:tcW w:w="1893" w:type="dxa"/>
            <w:gridSpan w:val="2"/>
          </w:tcPr>
          <w:p w:rsidR="0018722C">
            <w:pPr>
              <w:topLinePunct/>
              <w:ind w:leftChars="0" w:left="0" w:rightChars="0" w:right="0" w:firstLineChars="0" w:firstLine="0"/>
              <w:spacing w:line="240" w:lineRule="atLeast"/>
            </w:pPr>
            <w:r>
              <w:t>F </w:t>
            </w:r>
            <w:r>
              <w:rPr>
                <w:rFonts w:ascii="宋体" w:eastAsia="宋体" w:hint="eastAsia"/>
              </w:rPr>
              <w:t>统计量</w:t>
            </w:r>
          </w:p>
        </w:tc>
        <w:tc>
          <w:tcPr>
            <w:tcW w:w="1959" w:type="dxa"/>
            <w:gridSpan w:val="2"/>
          </w:tcPr>
          <w:p w:rsidR="0018722C">
            <w:pPr>
              <w:topLinePunct/>
              <w:ind w:leftChars="0" w:left="0" w:rightChars="0" w:right="0" w:firstLineChars="0" w:firstLine="0"/>
              <w:spacing w:line="240" w:lineRule="atLeast"/>
            </w:pPr>
            <w:r>
              <w:t>39.68454</w:t>
            </w:r>
          </w:p>
        </w:tc>
        <w:tc>
          <w:tcPr>
            <w:tcW w:w="2410" w:type="dxa"/>
            <w:gridSpan w:val="2"/>
          </w:tcPr>
          <w:p w:rsidR="0018722C">
            <w:pPr>
              <w:topLinePunct/>
              <w:ind w:leftChars="0" w:left="0" w:rightChars="0" w:right="0" w:firstLineChars="0" w:firstLine="0"/>
              <w:spacing w:line="240" w:lineRule="atLeast"/>
            </w:pPr>
            <w:r>
              <w:t>SC </w:t>
            </w:r>
            <w:r>
              <w:rPr>
                <w:rFonts w:ascii="宋体" w:eastAsia="宋体" w:hint="eastAsia"/>
              </w:rPr>
              <w:t>准则</w:t>
            </w:r>
          </w:p>
        </w:tc>
        <w:tc>
          <w:tcPr>
            <w:tcW w:w="1844" w:type="dxa"/>
            <w:gridSpan w:val="2"/>
          </w:tcPr>
          <w:p w:rsidR="0018722C">
            <w:pPr>
              <w:topLinePunct/>
              <w:ind w:leftChars="0" w:left="0" w:rightChars="0" w:right="0" w:firstLineChars="0" w:firstLine="0"/>
              <w:spacing w:line="240" w:lineRule="atLeast"/>
            </w:pPr>
            <w:r>
              <w:t>-10.28469</w:t>
            </w:r>
          </w:p>
        </w:tc>
      </w:tr>
      <w:tr>
        <w:trPr>
          <w:trHeight w:val="520" w:hRule="atLeast"/>
        </w:trPr>
        <w:tc>
          <w:tcPr>
            <w:tcW w:w="1893" w:type="dxa"/>
            <w:gridSpan w:val="2"/>
          </w:tcPr>
          <w:p w:rsidR="0018722C">
            <w:pPr>
              <w:topLinePunct/>
              <w:ind w:leftChars="0" w:left="0" w:rightChars="0" w:right="0" w:firstLineChars="0" w:firstLine="0"/>
              <w:spacing w:line="240" w:lineRule="atLeast"/>
            </w:pPr>
            <w:r>
              <w:t>P </w:t>
            </w:r>
            <w:r>
              <w:rPr>
                <w:rFonts w:ascii="宋体" w:eastAsia="宋体" w:hint="eastAsia"/>
              </w:rPr>
              <w:t>值</w:t>
            </w:r>
            <w:r>
              <w:rPr>
                <w:rFonts w:ascii="宋体" w:eastAsia="宋体" w:hint="eastAsia"/>
              </w:rPr>
              <w:t>（</w:t>
            </w:r>
            <w:r>
              <w:t>F </w:t>
            </w:r>
            <w:r>
              <w:rPr>
                <w:rFonts w:ascii="宋体" w:eastAsia="宋体" w:hint="eastAsia"/>
              </w:rPr>
              <w:t>统计量</w:t>
            </w:r>
            <w:r>
              <w:rPr>
                <w:rFonts w:ascii="宋体" w:eastAsia="宋体" w:hint="eastAsia"/>
              </w:rPr>
              <w:t>）</w:t>
            </w:r>
          </w:p>
        </w:tc>
        <w:tc>
          <w:tcPr>
            <w:tcW w:w="1959" w:type="dxa"/>
            <w:gridSpan w:val="2"/>
          </w:tcPr>
          <w:p w:rsidR="0018722C">
            <w:pPr>
              <w:topLinePunct/>
              <w:ind w:leftChars="0" w:left="0" w:rightChars="0" w:right="0" w:firstLineChars="0" w:firstLine="0"/>
              <w:spacing w:line="240" w:lineRule="atLeast"/>
            </w:pPr>
            <w:r>
              <w:t>0.000000</w:t>
            </w:r>
          </w:p>
        </w:tc>
        <w:tc>
          <w:tcPr>
            <w:tcW w:w="2410" w:type="dxa"/>
            <w:gridSpan w:val="2"/>
          </w:tcPr>
          <w:p w:rsidR="0018722C">
            <w:pPr>
              <w:topLinePunct/>
              <w:ind w:leftChars="0" w:left="0" w:rightChars="0" w:right="0" w:firstLineChars="0" w:firstLine="0"/>
              <w:spacing w:line="240" w:lineRule="atLeast"/>
            </w:pPr>
            <w:r>
              <w:t>DW </w:t>
            </w:r>
            <w:r>
              <w:rPr>
                <w:rFonts w:ascii="宋体" w:eastAsia="宋体" w:hint="eastAsia"/>
              </w:rPr>
              <w:t>统计量</w:t>
            </w:r>
          </w:p>
        </w:tc>
        <w:tc>
          <w:tcPr>
            <w:tcW w:w="1844" w:type="dxa"/>
            <w:gridSpan w:val="2"/>
          </w:tcPr>
          <w:p w:rsidR="0018722C">
            <w:pPr>
              <w:topLinePunct/>
              <w:ind w:leftChars="0" w:left="0" w:rightChars="0" w:right="0" w:firstLineChars="0" w:firstLine="0"/>
              <w:spacing w:line="240" w:lineRule="atLeast"/>
            </w:pPr>
            <w:r>
              <w:t>2.003298</w:t>
            </w:r>
          </w:p>
        </w:tc>
      </w:tr>
    </w:tbl>
    <w:p w:rsidR="0018722C">
      <w:pPr>
        <w:pStyle w:val="affa"/>
      </w:pPr>
    </w:p>
    <w:p w:rsidR="0018722C">
      <w:pPr>
        <w:topLinePunct/>
      </w:pPr>
      <w:r>
        <w:t>由上表所示，得回归方程如下：</w:t>
      </w:r>
    </w:p>
    <w:p w:rsidR="0018722C">
      <w:pPr>
        <w:topLinePunct/>
      </w:pPr>
      <w:r>
        <w:rPr>
          <w:rFonts w:ascii="Times New Roman" w:hAnsi="Times New Roman"/>
        </w:rPr>
        <w:t>ΔlnS = 6.267473 +0.554311ΔlnF -0.001132ΔlnS</w:t>
      </w:r>
      <w:r>
        <w:rPr>
          <w:rFonts w:ascii="Times New Roman" w:hAnsi="Times New Roman"/>
        </w:rPr>
        <w:t>(</w:t>
      </w:r>
      <w:r>
        <w:rPr>
          <w:rFonts w:ascii="Times New Roman" w:hAnsi="Times New Roman"/>
        </w:rPr>
        <w:t>-1</w:t>
      </w:r>
      <w:r>
        <w:rPr>
          <w:rFonts w:ascii="Times New Roman" w:hAnsi="Times New Roman"/>
        </w:rPr>
        <w:t>)</w:t>
      </w:r>
      <w:r w:rsidR="004B696B">
        <w:rPr>
          <w:rFonts w:ascii="Times New Roman" w:hAnsi="Times New Roman"/>
        </w:rPr>
        <w:t xml:space="preserve"> </w:t>
      </w:r>
      <w:r>
        <w:rPr>
          <w:rFonts w:ascii="Times New Roman" w:hAnsi="Times New Roman"/>
        </w:rPr>
        <w:t>+ 0.071532ΔlnF</w:t>
      </w:r>
      <w:r>
        <w:rPr>
          <w:rFonts w:ascii="Times New Roman" w:hAnsi="Times New Roman"/>
        </w:rPr>
        <w:t>(</w:t>
      </w:r>
      <w:r>
        <w:rPr>
          <w:rFonts w:ascii="Times New Roman" w:hAnsi="Times New Roman"/>
        </w:rPr>
        <w:t>-1</w:t>
      </w:r>
      <w:r>
        <w:rPr>
          <w:rFonts w:ascii="Times New Roman" w:hAnsi="Times New Roman"/>
        </w:rPr>
        <w:t>)</w:t>
      </w:r>
    </w:p>
    <w:tbl>
      <w:tblPr>
        <w:tblW w:w="0" w:type="auto"/>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5"/>
        <w:gridCol w:w="1597"/>
        <w:gridCol w:w="1862"/>
        <w:gridCol w:w="1531"/>
      </w:tblGrid>
      <w:tr>
        <w:trPr>
          <w:trHeight w:val="360" w:hRule="atLeast"/>
        </w:trPr>
        <w:tc>
          <w:tcPr>
            <w:tcW w:w="1415" w:type="dxa"/>
          </w:tcPr>
          <w:p w:rsidR="0018722C">
            <w:pPr>
              <w:topLinePunct/>
              <w:ind w:leftChars="0" w:left="0" w:rightChars="0" w:right="0" w:firstLineChars="0" w:firstLine="0"/>
              <w:spacing w:line="240" w:lineRule="atLeast"/>
            </w:pPr>
            <w:r>
              <w:t>t</w:t>
            </w:r>
            <w:r>
              <w:t>(</w:t>
            </w:r>
            <w:r>
              <w:t>0.526911</w:t>
            </w:r>
            <w:r>
              <w:t>)</w:t>
            </w:r>
          </w:p>
        </w:tc>
        <w:tc>
          <w:tcPr>
            <w:tcW w:w="1597" w:type="dxa"/>
          </w:tcPr>
          <w:p w:rsidR="0018722C">
            <w:pPr>
              <w:topLinePunct/>
              <w:ind w:leftChars="0" w:left="0" w:rightChars="0" w:right="0" w:firstLineChars="0" w:firstLine="0"/>
              <w:spacing w:line="240" w:lineRule="atLeast"/>
            </w:pPr>
            <w:r>
              <w:t>(</w:t>
            </w:r>
            <w:r>
              <w:t xml:space="preserve">10.12384</w:t>
            </w:r>
            <w:r>
              <w:t>)</w:t>
            </w:r>
          </w:p>
        </w:tc>
        <w:tc>
          <w:tcPr>
            <w:tcW w:w="1862" w:type="dxa"/>
          </w:tcPr>
          <w:p w:rsidR="0018722C">
            <w:pPr>
              <w:topLinePunct/>
              <w:ind w:leftChars="0" w:left="0" w:rightChars="0" w:right="0" w:firstLineChars="0" w:firstLine="0"/>
              <w:spacing w:line="240" w:lineRule="atLeast"/>
            </w:pPr>
            <w:r>
              <w:t>(</w:t>
            </w:r>
            <w:r>
              <w:t xml:space="preserve">-0.012410</w:t>
            </w:r>
            <w:r>
              <w:t>)</w:t>
            </w:r>
          </w:p>
        </w:tc>
        <w:tc>
          <w:tcPr>
            <w:tcW w:w="1531" w:type="dxa"/>
          </w:tcPr>
          <w:p w:rsidR="0018722C">
            <w:pPr>
              <w:topLinePunct/>
              <w:ind w:leftChars="0" w:left="0" w:rightChars="0" w:right="0" w:firstLineChars="0" w:firstLine="0"/>
              <w:spacing w:line="240" w:lineRule="atLeast"/>
            </w:pPr>
            <w:r>
              <w:t>(</w:t>
            </w:r>
            <w:r>
              <w:t xml:space="preserve">0.952849</w:t>
            </w:r>
            <w:r>
              <w:t>)</w:t>
            </w:r>
          </w:p>
        </w:tc>
      </w:tr>
      <w:tr>
        <w:trPr>
          <w:trHeight w:val="360" w:hRule="atLeast"/>
        </w:trPr>
        <w:tc>
          <w:tcPr>
            <w:tcW w:w="1415" w:type="dxa"/>
          </w:tcPr>
          <w:p w:rsidR="0018722C">
            <w:pPr>
              <w:topLinePunct/>
              <w:ind w:leftChars="0" w:left="0" w:rightChars="0" w:right="0" w:firstLineChars="0" w:firstLine="0"/>
              <w:spacing w:line="240" w:lineRule="atLeast"/>
            </w:pPr>
            <w:r>
              <w:t>p</w:t>
            </w:r>
            <w:r>
              <w:t>(</w:t>
            </w:r>
            <w:r>
              <w:t>0.5992</w:t>
            </w:r>
            <w:r>
              <w:t>)</w:t>
            </w:r>
          </w:p>
        </w:tc>
        <w:tc>
          <w:tcPr>
            <w:tcW w:w="1597" w:type="dxa"/>
          </w:tcPr>
          <w:p w:rsidR="0018722C">
            <w:pPr>
              <w:topLinePunct/>
              <w:ind w:leftChars="0" w:left="0" w:rightChars="0" w:right="0" w:firstLineChars="0" w:firstLine="0"/>
              <w:spacing w:line="240" w:lineRule="atLeast"/>
            </w:pPr>
            <w:r>
              <w:t>(</w:t>
            </w:r>
            <w:r>
              <w:t xml:space="preserve">0.0000</w:t>
            </w:r>
            <w:r>
              <w:t>)</w:t>
            </w:r>
          </w:p>
        </w:tc>
        <w:tc>
          <w:tcPr>
            <w:tcW w:w="1862" w:type="dxa"/>
          </w:tcPr>
          <w:p w:rsidR="0018722C">
            <w:pPr>
              <w:topLinePunct/>
              <w:ind w:leftChars="0" w:left="0" w:rightChars="0" w:right="0" w:firstLineChars="0" w:firstLine="0"/>
              <w:spacing w:line="240" w:lineRule="atLeast"/>
            </w:pPr>
            <w:r>
              <w:t>(</w:t>
            </w:r>
            <w:r>
              <w:t xml:space="preserve">0.9901</w:t>
            </w:r>
            <w:r>
              <w:t>)</w:t>
            </w:r>
          </w:p>
        </w:tc>
        <w:tc>
          <w:tcPr>
            <w:tcW w:w="1531" w:type="dxa"/>
          </w:tcPr>
          <w:p w:rsidR="0018722C">
            <w:pPr>
              <w:topLinePunct/>
              <w:ind w:leftChars="0" w:left="0" w:rightChars="0" w:right="0" w:firstLineChars="0" w:firstLine="0"/>
              <w:spacing w:line="240" w:lineRule="atLeast"/>
            </w:pPr>
            <w:r>
              <w:t>(</w:t>
            </w:r>
            <w:r>
              <w:t xml:space="preserve">0.3426</w:t>
            </w:r>
            <w:r>
              <w:t>)</w:t>
            </w:r>
          </w:p>
        </w:tc>
      </w:tr>
    </w:tbl>
    <w:p w:rsidR="0018722C">
      <w:pPr>
        <w:pStyle w:val="affa"/>
      </w:pPr>
    </w:p>
    <w:p w:rsidR="0018722C">
      <w:pPr>
        <w:topLinePunct/>
      </w:pPr>
      <w:r>
        <w:t>结果所示，</w:t>
      </w:r>
      <w:r>
        <w:rPr>
          <w:rFonts w:ascii="Times New Roman" w:eastAsia="Times New Roman"/>
        </w:rPr>
        <w:t>B-VAR</w:t>
      </w:r>
      <w:r>
        <w:t>模型相对于</w:t>
      </w:r>
      <w:r>
        <w:rPr>
          <w:rFonts w:ascii="Times New Roman" w:eastAsia="Times New Roman"/>
        </w:rPr>
        <w:t>OLS</w:t>
      </w:r>
      <w:r>
        <w:t>模型，可决系数</w:t>
      </w:r>
      <w:r>
        <w:rPr>
          <w:rFonts w:ascii="Times New Roman" w:eastAsia="Times New Roman"/>
        </w:rPr>
        <w:t>R2</w:t>
      </w:r>
      <w:r>
        <w:t>有所提高，回归系数为</w:t>
      </w:r>
      <w:r>
        <w:rPr>
          <w:rFonts w:ascii="Times New Roman" w:eastAsia="Times New Roman"/>
        </w:rPr>
        <w:t>0</w:t>
      </w:r>
      <w:r>
        <w:rPr>
          <w:rFonts w:ascii="Times New Roman" w:eastAsia="Times New Roman"/>
        </w:rPr>
        <w:t>.</w:t>
      </w:r>
      <w:r>
        <w:rPr>
          <w:rFonts w:ascii="Times New Roman" w:eastAsia="Times New Roman"/>
        </w:rPr>
        <w:t>554311</w:t>
      </w:r>
      <w:r>
        <w:t>。</w:t>
      </w:r>
      <w:r>
        <w:rPr>
          <w:rFonts w:ascii="Times New Roman" w:eastAsia="Times New Roman"/>
        </w:rPr>
        <w:t>F</w:t>
      </w:r>
      <w:r>
        <w:t>统计量，</w:t>
      </w:r>
      <w:r>
        <w:rPr>
          <w:rFonts w:ascii="Times New Roman" w:eastAsia="Times New Roman"/>
        </w:rPr>
        <w:t>DW</w:t>
      </w:r>
      <w:r>
        <w:t>统计量等值也表明拟合程度较好。</w:t>
      </w:r>
    </w:p>
    <w:p w:rsidR="0018722C">
      <w:pPr>
        <w:pStyle w:val="Heading2"/>
        <w:topLinePunct/>
        <w:ind w:left="171" w:hangingChars="171" w:hanging="171"/>
      </w:pPr>
      <w:bookmarkStart w:id="737414" w:name="_Toc686737414"/>
      <w:bookmarkStart w:name="_bookmark32" w:id="58"/>
      <w:bookmarkEnd w:id="58"/>
      <w:r>
        <w:t>4.5</w:t>
      </w:r>
      <w:r>
        <w:t xml:space="preserve"> </w:t>
      </w:r>
      <w:r/>
      <w:bookmarkStart w:name="_bookmark32" w:id="59"/>
      <w:bookmarkEnd w:id="59"/>
      <w:r>
        <w:t>误差修正模型</w:t>
      </w:r>
      <w:r>
        <w:t>（</w:t>
      </w:r>
      <w:r>
        <w:t>ECM</w:t>
      </w:r>
      <w:r>
        <w:t>）</w:t>
      </w:r>
      <w:r>
        <w:t>实证分析</w:t>
      </w:r>
      <w:bookmarkEnd w:id="737414"/>
    </w:p>
    <w:p w:rsidR="0018722C">
      <w:pPr>
        <w:topLinePunct/>
      </w:pPr>
      <w:r>
        <w:t>双变量自回归模型</w:t>
      </w:r>
      <w:r>
        <w:t>（</w:t>
      </w:r>
      <w:r>
        <w:rPr>
          <w:rFonts w:ascii="Times New Roman" w:eastAsia="Times New Roman"/>
        </w:rPr>
        <w:t>B-VAR</w:t>
      </w:r>
      <w:r>
        <w:t>）</w:t>
      </w:r>
      <w:r>
        <w:t>虽然解决了普通最小二乘法模型</w:t>
      </w:r>
      <w:r>
        <w:t>（</w:t>
      </w:r>
      <w:r>
        <w:rPr>
          <w:rFonts w:ascii="Times New Roman" w:eastAsia="Times New Roman"/>
        </w:rPr>
        <w:t>OLS</w:t>
      </w:r>
      <w:r>
        <w:t>）</w:t>
      </w:r>
      <w:r>
        <w:t>的序</w:t>
      </w:r>
      <w:r>
        <w:t>列自相关问题，仍然忽略了时间序列之间的协整关系。因此考虑到序列之间的协</w:t>
      </w:r>
      <w:r>
        <w:t>整关系，本文引入误差修正模型</w:t>
      </w:r>
      <w:r>
        <w:rPr>
          <w:rFonts w:ascii="Times New Roman" w:eastAsia="Times New Roman"/>
        </w:rPr>
        <w:t>(</w:t>
      </w:r>
      <w:r>
        <w:rPr>
          <w:rFonts w:ascii="Times New Roman" w:eastAsia="Times New Roman"/>
        </w:rPr>
        <w:t xml:space="preserve">ECM</w:t>
      </w:r>
      <w:r>
        <w:rPr>
          <w:rFonts w:ascii="Times New Roman" w:eastAsia="Times New Roman"/>
        </w:rPr>
        <w:t>)</w:t>
      </w:r>
      <w:r>
        <w:t>。</w:t>
      </w:r>
    </w:p>
    <w:p w:rsidR="0018722C">
      <w:pPr>
        <w:topLinePunct/>
      </w:pPr>
      <w:r>
        <w:t>首先，对国债期货和国债</w:t>
      </w:r>
      <w:r>
        <w:rPr>
          <w:rFonts w:ascii="Times New Roman" w:eastAsia="Times New Roman"/>
        </w:rPr>
        <w:t>ETF</w:t>
      </w:r>
      <w:r>
        <w:t>的价格序列进行</w:t>
      </w:r>
      <w:r>
        <w:rPr>
          <w:rFonts w:ascii="Times New Roman" w:eastAsia="Times New Roman"/>
        </w:rPr>
        <w:t>OLS</w:t>
      </w:r>
      <w:r>
        <w:t>回归，得到其残差序列：</w:t>
      </w:r>
    </w:p>
    <w:p w:rsidR="0018722C">
      <w:pPr>
        <w:tabs>
          <w:tab w:val="right" w:pos="9264"/>
        </w:tabs>
        <w:ind w:firstLineChars="1283" w:firstLine="3079"/>
        <w:pStyle w:val="a6"/>
        <w:topLinePunct/>
        <w:textAlignment w:val="center"/>
      </w:pPr>
      <w:r w:rsidP="009802C4">
        <w:rPr>
          <w:rFonts w:ascii="Times New Roman" w:hAnsi="Times New Roman"/>
        </w:rPr>
        <w:t/>
      </w:r>
      <w:r w:rsidP="009802C4">
        <w:rPr>
          <w:rFonts w:ascii="Times New Roman" w:hAnsi="Times New Roman"/>
        </w:rPr>
        <w:t>l</w:t>
      </w:r>
      <w:r>
        <w:rPr>
          <w:rFonts w:ascii="Times New Roman" w:hAnsi="Times New Roman"/>
        </w:rPr>
        <w:t>nS</w:t>
      </w:r>
      <w:r>
        <w:rPr>
          <w:vertAlign w:val="subscript"/>
          <w:rFonts w:ascii="Times New Roman" w:hAnsi="Times New Roman"/>
        </w:rPr>
        <w:t xml:space="preserve">t </w:t>
      </w:r>
      <w:r>
        <w:rPr>
          <w:rFonts w:ascii="Times New Roman" w:hAnsi="Times New Roman"/>
        </w:rPr>
        <w:t>= c + a*lnF</w:t>
      </w:r>
      <w:r>
        <w:rPr>
          <w:vertAlign w:val="subscript"/>
          <w:rFonts w:ascii="Times New Roman" w:hAnsi="Times New Roman"/>
        </w:rPr>
        <w:t>t</w:t>
      </w:r>
      <w:r>
        <w:rPr>
          <w:vertAlign w:val="subscript"/>
          <w:rFonts w:ascii="Times New Roman" w:hAnsi="Times New Roman"/>
        </w:rPr>
        <w:t xml:space="preserve"> </w:t>
      </w:r>
      <w:r>
        <w:rPr>
          <w:rFonts w:ascii="Times New Roman" w:hAnsi="Times New Roman"/>
        </w:rPr>
        <w:t>+</w:t>
      </w:r>
      <w:r w:rsidP="00494EDC">
        <w:rPr>
          <w:rFonts w:ascii="Times New Roman" w:hAnsi="Times New Roman"/>
        </w:rPr>
        <w:t xml:space="preserve"> </w:t>
      </w:r>
      <w:r>
        <w:rPr>
          <w:rFonts w:ascii="Times New Roman" w:hAnsi="Times New Roman"/>
        </w:rPr>
        <w:t>ε</w:t>
      </w:r>
      <w:r>
        <w:tab/>
      </w:r>
      <w:r w:rsidR="001852F3">
        <w:t>(</w:t>
      </w:r>
      <w:r>
        <w:t>4-6-1</w:t>
      </w:r>
      <w:r>
        <w:t>)</w:t>
      </w:r>
    </w:p>
    <w:p w:rsidR="0018722C">
      <w:pPr>
        <w:topLinePunct/>
      </w:pPr>
      <w:r>
        <w:t>第二步，加入残差项，令</w:t>
      </w:r>
      <w:r>
        <w:rPr>
          <w:rFonts w:ascii="Times New Roman" w:hAnsi="Times New Roman" w:eastAsia="Times New Roman"/>
        </w:rPr>
        <w:t>ecm=ε</w:t>
      </w:r>
      <w:r>
        <w:t>，建立误差修正模型：</w:t>
      </w:r>
    </w:p>
    <w:p w:rsidR="0018722C">
      <w:pPr>
        <w:topLinePunct/>
      </w:pPr>
      <w:r>
        <w:rPr>
          <w:rFonts w:ascii="Times New Roman" w:hAnsi="Times New Roman"/>
        </w:rPr>
        <w:t>ΔlnS</w:t>
      </w:r>
      <w:r>
        <w:rPr>
          <w:vertAlign w:val="subscript"/>
          <w:rFonts w:ascii="Times New Roman" w:hAnsi="Times New Roman"/>
        </w:rPr>
        <w:t>t</w:t>
      </w:r>
      <w:r w:rsidR="001852F3">
        <w:rPr>
          <w:vertAlign w:val="subscript"/>
          <w:rFonts w:ascii="Times New Roman" w:hAnsi="Times New Roman"/>
        </w:rPr>
        <w:t xml:space="preserve"> </w:t>
      </w:r>
      <w:r>
        <w:rPr>
          <w:rFonts w:ascii="Times New Roman" w:hAnsi="Times New Roman"/>
        </w:rPr>
        <w:t>= c + aΔlnF</w:t>
      </w:r>
      <w:r>
        <w:rPr>
          <w:vertAlign w:val="subscript"/>
          <w:rFonts w:ascii="Times New Roman" w:hAnsi="Times New Roman"/>
        </w:rPr>
        <w:t>t </w:t>
      </w:r>
      <w:r>
        <w:rPr>
          <w:rFonts w:ascii="Times New Roman" w:hAnsi="Times New Roman"/>
        </w:rPr>
        <w:t>+ bΔlnS</w:t>
      </w:r>
      <w:r>
        <w:rPr>
          <w:vertAlign w:val="subscript"/>
          <w:rFonts w:ascii="Times New Roman" w:hAnsi="Times New Roman"/>
        </w:rPr>
        <w:t>t </w:t>
      </w:r>
      <w:r>
        <w:rPr>
          <w:rFonts w:ascii="Times New Roman" w:hAnsi="Times New Roman"/>
        </w:rPr>
        <w:t>(</w:t>
      </w:r>
      <w:r>
        <w:rPr>
          <w:rFonts w:ascii="Times New Roman" w:hAnsi="Times New Roman"/>
        </w:rPr>
        <w:t xml:space="preserve">-1</w:t>
      </w:r>
      <w:r>
        <w:rPr>
          <w:rFonts w:ascii="Times New Roman" w:hAnsi="Times New Roman"/>
        </w:rPr>
        <w:t>)</w:t>
      </w:r>
      <w:r>
        <w:rPr>
          <w:rFonts w:ascii="Times New Roman" w:hAnsi="Times New Roman"/>
        </w:rPr>
        <w:t xml:space="preserve"> + dΔlnF</w:t>
      </w:r>
      <w:r>
        <w:rPr>
          <w:vertAlign w:val="subscript"/>
          <w:rFonts w:ascii="Times New Roman" w:hAnsi="Times New Roman"/>
        </w:rPr>
        <w:t>t </w:t>
      </w:r>
      <w:r>
        <w:rPr>
          <w:rFonts w:ascii="Times New Roman" w:hAnsi="Times New Roman"/>
        </w:rPr>
        <w:t>(</w:t>
      </w:r>
      <w:r>
        <w:rPr>
          <w:rFonts w:ascii="Times New Roman" w:hAnsi="Times New Roman"/>
        </w:rPr>
        <w:t xml:space="preserve">-1</w:t>
      </w:r>
      <w:r>
        <w:rPr>
          <w:rFonts w:ascii="Times New Roman" w:hAnsi="Times New Roman"/>
        </w:rPr>
        <w:t>)</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rPr>
        <w:t>w*ecm</w:t>
      </w:r>
      <w:r>
        <w:rPr>
          <w:rFonts w:ascii="Times New Roman" w:hAnsi="Times New Roman"/>
        </w:rPr>
        <w:t>(</w:t>
      </w:r>
      <w:r>
        <w:rPr>
          <w:rFonts w:ascii="Times New Roman" w:hAnsi="Times New Roman"/>
        </w:rPr>
        <w:t>-1</w:t>
      </w:r>
      <w:r>
        <w:rPr>
          <w:rFonts w:ascii="Times New Roman" w:hAnsi="Times New Roman"/>
        </w:rPr>
        <w:t>)</w:t>
      </w:r>
      <w:r w:rsidRPr="00000000">
        <w:tab/>
        <w:t>(</w:t>
      </w:r>
      <w:r>
        <w:t>4-6-2</w:t>
      </w:r>
      <w:r>
        <w:t>)</w:t>
      </w:r>
    </w:p>
    <w:p w:rsidR="0018722C">
      <w:pPr>
        <w:topLinePunct/>
      </w:pPr>
      <w:r>
        <w:t>得</w:t>
      </w:r>
      <w:r>
        <w:rPr>
          <w:rFonts w:ascii="Times New Roman" w:eastAsia="Times New Roman"/>
        </w:rPr>
        <w:t>ECM</w:t>
      </w:r>
      <w:r>
        <w:t>模型估计分析结果如下：</w:t>
      </w:r>
    </w:p>
    <w:p w:rsidR="0018722C">
      <w:pPr>
        <w:pStyle w:val="a8"/>
        <w:topLinePunct/>
      </w:pPr>
      <w:r>
        <w:rPr>
          <w:kern w:val="2"/>
          <w:szCs w:val="22"/>
        </w:rPr>
        <w:t>表</w:t>
      </w:r>
      <w:r>
        <w:rPr>
          <w:kern w:val="2"/>
          <w:szCs w:val="22"/>
        </w:rPr>
        <w:t>4</w:t>
      </w:r>
      <w:r>
        <w:rPr>
          <w:kern w:val="2"/>
          <w:szCs w:val="22"/>
        </w:rPr>
        <w:t>.</w:t>
      </w:r>
      <w:r>
        <w:rPr>
          <w:kern w:val="2"/>
          <w:szCs w:val="22"/>
        </w:rPr>
        <w:t>10</w:t>
      </w:r>
      <w:r>
        <w:t xml:space="preserve">  </w:t>
      </w:r>
      <w:r w:rsidRPr="00DB64CE">
        <w:rPr>
          <w:kern w:val="2"/>
          <w:szCs w:val="22"/>
        </w:rPr>
        <w:t>ECM</w:t>
      </w:r>
      <w:r>
        <w:rPr>
          <w:kern w:val="2"/>
          <w:szCs w:val="22"/>
        </w:rPr>
        <w:t>模型估计结果</w:t>
      </w:r>
    </w:p>
    <w:tbl>
      <w:tblPr>
        <w:tblW w:w="5000" w:type="pct"/>
        <w:tblInd w:w="2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2"/>
        <w:gridCol w:w="1580"/>
        <w:gridCol w:w="1695"/>
        <w:gridCol w:w="1695"/>
        <w:gridCol w:w="1694"/>
      </w:tblGrid>
      <w:tr>
        <w:trPr>
          <w:tblHeader/>
        </w:trPr>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959" w:type="pct"/>
            <w:vAlign w:val="center"/>
          </w:tcPr>
          <w:p w:rsidR="0018722C">
            <w:pPr>
              <w:pStyle w:val="ac"/>
              <w:topLinePunct/>
              <w:ind w:leftChars="0" w:left="0" w:rightChars="0" w:right="0" w:firstLineChars="0" w:firstLine="0"/>
              <w:spacing w:line="240" w:lineRule="atLeast"/>
            </w:pPr>
            <w:r>
              <w:t>C</w:t>
            </w:r>
          </w:p>
        </w:tc>
        <w:tc>
          <w:tcPr>
            <w:tcW w:w="958" w:type="pct"/>
            <w:vAlign w:val="center"/>
          </w:tcPr>
          <w:p w:rsidR="0018722C">
            <w:pPr>
              <w:pStyle w:val="affff9"/>
              <w:topLinePunct/>
              <w:ind w:leftChars="0" w:left="0" w:rightChars="0" w:right="0" w:firstLineChars="0" w:firstLine="0"/>
              <w:spacing w:line="240" w:lineRule="atLeast"/>
            </w:pPr>
            <w:r>
              <w:t>6.016862</w:t>
            </w:r>
          </w:p>
        </w:tc>
        <w:tc>
          <w:tcPr>
            <w:tcW w:w="1028" w:type="pct"/>
            <w:vAlign w:val="center"/>
          </w:tcPr>
          <w:p w:rsidR="0018722C">
            <w:pPr>
              <w:pStyle w:val="affff9"/>
              <w:topLinePunct/>
              <w:ind w:leftChars="0" w:left="0" w:rightChars="0" w:right="0" w:firstLineChars="0" w:firstLine="0"/>
              <w:spacing w:line="240" w:lineRule="atLeast"/>
            </w:pPr>
            <w:r>
              <w:t>0.000118</w:t>
            </w:r>
          </w:p>
        </w:tc>
        <w:tc>
          <w:tcPr>
            <w:tcW w:w="1028" w:type="pct"/>
            <w:vAlign w:val="center"/>
          </w:tcPr>
          <w:p w:rsidR="0018722C">
            <w:pPr>
              <w:pStyle w:val="affff9"/>
              <w:topLinePunct/>
              <w:ind w:leftChars="0" w:left="0" w:rightChars="0" w:right="0" w:firstLineChars="0" w:firstLine="0"/>
              <w:spacing w:line="240" w:lineRule="atLeast"/>
            </w:pPr>
            <w:r>
              <w:t>0.508683</w:t>
            </w:r>
          </w:p>
        </w:tc>
        <w:tc>
          <w:tcPr>
            <w:tcW w:w="1027" w:type="pct"/>
            <w:vAlign w:val="center"/>
          </w:tcPr>
          <w:p w:rsidR="0018722C">
            <w:pPr>
              <w:pStyle w:val="affff9"/>
              <w:topLinePunct/>
              <w:ind w:leftChars="0" w:left="0" w:rightChars="0" w:right="0" w:firstLineChars="0" w:firstLine="0"/>
              <w:spacing w:line="240" w:lineRule="atLeast"/>
            </w:pPr>
            <w:r>
              <w:t>0.6119</w:t>
            </w:r>
          </w:p>
        </w:tc>
      </w:tr>
      <w:tr>
        <w:tc>
          <w:tcPr>
            <w:tcW w:w="959" w:type="pct"/>
            <w:vAlign w:val="center"/>
            <w:tcBorders>
              <w:top w:val="single" w:sz="4" w:space="0" w:color="auto"/>
            </w:tcBorders>
          </w:tcPr>
          <w:p w:rsidR="0018722C">
            <w:pPr>
              <w:pStyle w:val="ac"/>
              <w:topLinePunct/>
              <w:ind w:leftChars="0" w:left="0" w:rightChars="0" w:right="0" w:firstLineChars="0" w:firstLine="0"/>
              <w:spacing w:line="240" w:lineRule="atLeast"/>
            </w:pPr>
            <w:r>
              <w:t>D</w:t>
            </w:r>
            <w:r>
              <w:t>(</w:t>
            </w:r>
            <w:r>
              <w:t>TF_LN</w:t>
            </w:r>
            <w:r>
              <w:t>)</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0.566524</w:t>
            </w:r>
          </w:p>
        </w:tc>
        <w:tc>
          <w:tcPr>
            <w:tcW w:w="1028" w:type="pct"/>
            <w:vAlign w:val="center"/>
            <w:tcBorders>
              <w:top w:val="single" w:sz="4" w:space="0" w:color="auto"/>
            </w:tcBorders>
          </w:tcPr>
          <w:p w:rsidR="0018722C">
            <w:pPr>
              <w:pStyle w:val="affff9"/>
              <w:topLinePunct/>
              <w:ind w:leftChars="0" w:left="0" w:rightChars="0" w:right="0" w:firstLineChars="0" w:firstLine="0"/>
              <w:spacing w:line="240" w:lineRule="atLeast"/>
            </w:pPr>
            <w:r>
              <w:t>0.055011</w:t>
            </w:r>
          </w:p>
        </w:tc>
        <w:tc>
          <w:tcPr>
            <w:tcW w:w="1028" w:type="pct"/>
            <w:vAlign w:val="center"/>
            <w:tcBorders>
              <w:top w:val="single" w:sz="4" w:space="0" w:color="auto"/>
            </w:tcBorders>
          </w:tcPr>
          <w:p w:rsidR="0018722C">
            <w:pPr>
              <w:pStyle w:val="affff9"/>
              <w:topLinePunct/>
              <w:ind w:leftChars="0" w:left="0" w:rightChars="0" w:right="0" w:firstLineChars="0" w:firstLine="0"/>
              <w:spacing w:line="240" w:lineRule="atLeast"/>
            </w:pPr>
            <w:r>
              <w:t>10.29847</w:t>
            </w:r>
          </w:p>
        </w:tc>
        <w:tc>
          <w:tcPr>
            <w:tcW w:w="1027"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topLinePunct/>
        <w:pStyle w:val="affa"/>
      </w:pPr>
    </w:p>
    <w:p w:rsidR="0018722C">
      <w:pPr>
        <w:topLinePunct/>
      </w:pPr>
      <w:r>
        <w:rPr>
          <w:rFonts w:cstheme="minorBidi" w:hAnsiTheme="minorHAnsi" w:eastAsiaTheme="minorHAnsi" w:asciiTheme="minorHAnsi" w:ascii="Calibri"/>
        </w:rPr>
        <w:t>26</w:t>
      </w:r>
    </w:p>
    <w:p w:rsidR="0018722C">
      <w:pPr>
        <w:spacing w:before="43" w:after="33"/>
        <w:ind w:leftChars="0" w:left="2965" w:rightChars="0" w:right="0" w:firstLineChars="0" w:firstLine="0"/>
        <w:jc w:val="left"/>
        <w:topLinePunct/>
      </w:pPr>
      <w:r>
        <w:rPr>
          <w:kern w:val="2"/>
          <w:sz w:val="21"/>
          <w:szCs w:val="22"/>
          <w:rFonts w:cstheme="minorBidi" w:hAnsiTheme="minorHAnsi" w:eastAsiaTheme="minorHAnsi" w:asciiTheme="minorHAnsi" w:ascii="黑体" w:eastAsia="黑体" w:hint="eastAsia"/>
        </w:rPr>
        <w:t>续</w:t>
      </w:r>
      <w:r>
        <w:rPr>
          <w:kern w:val="2"/>
          <w:sz w:val="21"/>
          <w:szCs w:val="22"/>
          <w:rFonts w:cstheme="minorBidi" w:hAnsiTheme="minorHAnsi" w:eastAsiaTheme="minorHAnsi" w:asciiTheme="minorHAnsi" w:ascii="黑体" w:eastAsia="黑体" w:hint="eastAsia"/>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11</w:t>
      </w:r>
      <w:r>
        <w:rPr>
          <w:kern w:val="2"/>
          <w:szCs w:val="22"/>
          <w:rFonts w:ascii="Times New Roman" w:eastAsia="Times New Roman" w:cstheme="minorBidi" w:hAnsiTheme="minorHAnsi"/>
          <w:sz w:val="21"/>
        </w:rPr>
        <w:t xml:space="preserve"> ECM</w:t>
      </w:r>
      <w:r>
        <w:rPr>
          <w:kern w:val="2"/>
          <w:szCs w:val="22"/>
          <w:rFonts w:ascii="黑体" w:eastAsia="黑体" w:hint="eastAsia" w:cstheme="minorBidi" w:hAnsiTheme="minorHAnsi"/>
          <w:sz w:val="21"/>
        </w:rPr>
        <w:t>模型估计结果</w:t>
      </w:r>
    </w:p>
    <w:tbl>
      <w:tblPr>
        <w:tblW w:w="0" w:type="auto"/>
        <w:jc w:val="left"/>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311"/>
        <w:gridCol w:w="1270"/>
        <w:gridCol w:w="689"/>
        <w:gridCol w:w="1006"/>
        <w:gridCol w:w="1404"/>
        <w:gridCol w:w="291"/>
        <w:gridCol w:w="1694"/>
      </w:tblGrid>
      <w:tr>
        <w:trPr>
          <w:trHeight w:val="460" w:hRule="atLeast"/>
        </w:trPr>
        <w:tc>
          <w:tcPr>
            <w:tcW w:w="1582" w:type="dxa"/>
          </w:tcPr>
          <w:p w:rsidR="0018722C">
            <w:pPr>
              <w:topLinePunct/>
              <w:ind w:leftChars="0" w:left="0" w:rightChars="0" w:right="0" w:firstLineChars="0" w:firstLine="0"/>
              <w:spacing w:line="240" w:lineRule="atLeast"/>
            </w:pPr>
            <w:r>
              <w:t>D</w:t>
            </w:r>
            <w:r>
              <w:t>(</w:t>
            </w:r>
            <w:r>
              <w:t>ETF_LN</w:t>
            </w:r>
            <w:r>
              <w:t>(</w:t>
            </w:r>
            <w:r>
              <w:t>-1</w:t>
            </w:r>
            <w:r>
              <w:t>)</w:t>
            </w:r>
            <w:r/>
            <w:r>
              <w:t>)</w:t>
            </w:r>
          </w:p>
        </w:tc>
        <w:tc>
          <w:tcPr>
            <w:tcW w:w="1581" w:type="dxa"/>
            <w:gridSpan w:val="2"/>
          </w:tcPr>
          <w:p w:rsidR="0018722C">
            <w:pPr>
              <w:topLinePunct/>
              <w:ind w:leftChars="0" w:left="0" w:rightChars="0" w:right="0" w:firstLineChars="0" w:firstLine="0"/>
              <w:spacing w:line="240" w:lineRule="atLeast"/>
            </w:pPr>
            <w:r>
              <w:t>0.035148</w:t>
            </w:r>
          </w:p>
        </w:tc>
        <w:tc>
          <w:tcPr>
            <w:tcW w:w="1695" w:type="dxa"/>
            <w:gridSpan w:val="2"/>
          </w:tcPr>
          <w:p w:rsidR="0018722C">
            <w:pPr>
              <w:topLinePunct/>
              <w:ind w:leftChars="0" w:left="0" w:rightChars="0" w:right="0" w:firstLineChars="0" w:firstLine="0"/>
              <w:spacing w:line="240" w:lineRule="atLeast"/>
            </w:pPr>
            <w:r>
              <w:t>0.093670</w:t>
            </w:r>
          </w:p>
        </w:tc>
        <w:tc>
          <w:tcPr>
            <w:tcW w:w="1695" w:type="dxa"/>
            <w:gridSpan w:val="2"/>
          </w:tcPr>
          <w:p w:rsidR="0018722C">
            <w:pPr>
              <w:topLinePunct/>
              <w:ind w:leftChars="0" w:left="0" w:rightChars="0" w:right="0" w:firstLineChars="0" w:firstLine="0"/>
              <w:spacing w:line="240" w:lineRule="atLeast"/>
            </w:pPr>
            <w:r>
              <w:t>0.375236</w:t>
            </w:r>
          </w:p>
        </w:tc>
        <w:tc>
          <w:tcPr>
            <w:tcW w:w="1694" w:type="dxa"/>
          </w:tcPr>
          <w:p w:rsidR="0018722C">
            <w:pPr>
              <w:topLinePunct/>
              <w:ind w:leftChars="0" w:left="0" w:rightChars="0" w:right="0" w:firstLineChars="0" w:firstLine="0"/>
              <w:spacing w:line="240" w:lineRule="atLeast"/>
            </w:pPr>
            <w:r>
              <w:t>0.7081</w:t>
            </w:r>
          </w:p>
        </w:tc>
      </w:tr>
      <w:tr>
        <w:trPr>
          <w:trHeight w:val="460" w:hRule="atLeast"/>
        </w:trPr>
        <w:tc>
          <w:tcPr>
            <w:tcW w:w="1582" w:type="dxa"/>
          </w:tcPr>
          <w:p w:rsidR="0018722C">
            <w:pPr>
              <w:topLinePunct/>
              <w:ind w:leftChars="0" w:left="0" w:rightChars="0" w:right="0" w:firstLineChars="0" w:firstLine="0"/>
              <w:spacing w:line="240" w:lineRule="atLeast"/>
            </w:pPr>
            <w:r>
              <w:t>D</w:t>
            </w:r>
            <w:r>
              <w:t>(</w:t>
            </w:r>
            <w:r>
              <w:t>TF_LN</w:t>
            </w:r>
            <w:r>
              <w:t>(</w:t>
            </w:r>
            <w:r>
              <w:t>-1</w:t>
            </w:r>
            <w:r>
              <w:t>)</w:t>
            </w:r>
            <w:r/>
            <w:r>
              <w:t>)</w:t>
            </w:r>
          </w:p>
        </w:tc>
        <w:tc>
          <w:tcPr>
            <w:tcW w:w="1581" w:type="dxa"/>
            <w:gridSpan w:val="2"/>
          </w:tcPr>
          <w:p w:rsidR="0018722C">
            <w:pPr>
              <w:topLinePunct/>
              <w:ind w:leftChars="0" w:left="0" w:rightChars="0" w:right="0" w:firstLineChars="0" w:firstLine="0"/>
              <w:spacing w:line="240" w:lineRule="atLeast"/>
            </w:pPr>
            <w:r>
              <w:t>0.051829</w:t>
            </w:r>
          </w:p>
        </w:tc>
        <w:tc>
          <w:tcPr>
            <w:tcW w:w="1695" w:type="dxa"/>
            <w:gridSpan w:val="2"/>
          </w:tcPr>
          <w:p w:rsidR="0018722C">
            <w:pPr>
              <w:topLinePunct/>
              <w:ind w:leftChars="0" w:left="0" w:rightChars="0" w:right="0" w:firstLineChars="0" w:firstLine="0"/>
              <w:spacing w:line="240" w:lineRule="atLeast"/>
            </w:pPr>
            <w:r>
              <w:t>0.075722</w:t>
            </w:r>
          </w:p>
        </w:tc>
        <w:tc>
          <w:tcPr>
            <w:tcW w:w="1695" w:type="dxa"/>
            <w:gridSpan w:val="2"/>
          </w:tcPr>
          <w:p w:rsidR="0018722C">
            <w:pPr>
              <w:topLinePunct/>
              <w:ind w:leftChars="0" w:left="0" w:rightChars="0" w:right="0" w:firstLineChars="0" w:firstLine="0"/>
              <w:spacing w:line="240" w:lineRule="atLeast"/>
            </w:pPr>
            <w:r>
              <w:t>0.684471</w:t>
            </w:r>
          </w:p>
        </w:tc>
        <w:tc>
          <w:tcPr>
            <w:tcW w:w="1694" w:type="dxa"/>
          </w:tcPr>
          <w:p w:rsidR="0018722C">
            <w:pPr>
              <w:topLinePunct/>
              <w:ind w:leftChars="0" w:left="0" w:rightChars="0" w:right="0" w:firstLineChars="0" w:firstLine="0"/>
              <w:spacing w:line="240" w:lineRule="atLeast"/>
            </w:pPr>
            <w:r>
              <w:t>0.4950</w:t>
            </w:r>
          </w:p>
        </w:tc>
      </w:tr>
      <w:tr>
        <w:trPr>
          <w:trHeight w:val="460" w:hRule="atLeast"/>
        </w:trPr>
        <w:tc>
          <w:tcPr>
            <w:tcW w:w="1582" w:type="dxa"/>
          </w:tcPr>
          <w:p w:rsidR="0018722C">
            <w:pPr>
              <w:topLinePunct/>
              <w:ind w:leftChars="0" w:left="0" w:rightChars="0" w:right="0" w:firstLineChars="0" w:firstLine="0"/>
              <w:spacing w:line="240" w:lineRule="atLeast"/>
            </w:pPr>
            <w:r>
              <w:t>ECM</w:t>
            </w:r>
            <w:r>
              <w:t>(</w:t>
            </w:r>
            <w:r>
              <w:t>-1</w:t>
            </w:r>
            <w:r>
              <w:t>)</w:t>
            </w:r>
          </w:p>
        </w:tc>
        <w:tc>
          <w:tcPr>
            <w:tcW w:w="1581" w:type="dxa"/>
            <w:gridSpan w:val="2"/>
          </w:tcPr>
          <w:p w:rsidR="0018722C">
            <w:pPr>
              <w:topLinePunct/>
              <w:ind w:leftChars="0" w:left="0" w:rightChars="0" w:right="0" w:firstLineChars="0" w:firstLine="0"/>
              <w:spacing w:line="240" w:lineRule="atLeast"/>
            </w:pPr>
            <w:r>
              <w:t>-0.054412</w:t>
            </w:r>
          </w:p>
        </w:tc>
        <w:tc>
          <w:tcPr>
            <w:tcW w:w="1695" w:type="dxa"/>
            <w:gridSpan w:val="2"/>
          </w:tcPr>
          <w:p w:rsidR="0018722C">
            <w:pPr>
              <w:topLinePunct/>
              <w:ind w:leftChars="0" w:left="0" w:rightChars="0" w:right="0" w:firstLineChars="0" w:firstLine="0"/>
              <w:spacing w:line="240" w:lineRule="atLeast"/>
            </w:pPr>
            <w:r>
              <w:t>0.035141</w:t>
            </w:r>
          </w:p>
        </w:tc>
        <w:tc>
          <w:tcPr>
            <w:tcW w:w="1695" w:type="dxa"/>
            <w:gridSpan w:val="2"/>
          </w:tcPr>
          <w:p w:rsidR="0018722C">
            <w:pPr>
              <w:topLinePunct/>
              <w:ind w:leftChars="0" w:left="0" w:rightChars="0" w:right="0" w:firstLineChars="0" w:firstLine="0"/>
              <w:spacing w:line="240" w:lineRule="atLeast"/>
            </w:pPr>
            <w:r>
              <w:t>-1.548399</w:t>
            </w:r>
          </w:p>
        </w:tc>
        <w:tc>
          <w:tcPr>
            <w:tcW w:w="1694" w:type="dxa"/>
          </w:tcPr>
          <w:p w:rsidR="0018722C">
            <w:pPr>
              <w:topLinePunct/>
              <w:ind w:leftChars="0" w:left="0" w:rightChars="0" w:right="0" w:firstLineChars="0" w:firstLine="0"/>
              <w:spacing w:line="240" w:lineRule="atLeast"/>
            </w:pPr>
            <w:r>
              <w:t>0.1241</w:t>
            </w:r>
          </w:p>
        </w:tc>
      </w:tr>
      <w:tr>
        <w:trPr>
          <w:trHeight w:val="520" w:hRule="atLeast"/>
        </w:trPr>
        <w:tc>
          <w:tcPr>
            <w:tcW w:w="1893" w:type="dxa"/>
            <w:gridSpan w:val="2"/>
          </w:tcPr>
          <w:p w:rsidR="0018722C">
            <w:pPr>
              <w:topLinePunct/>
              <w:ind w:leftChars="0" w:left="0" w:rightChars="0" w:right="0" w:firstLineChars="0" w:firstLine="0"/>
              <w:spacing w:line="240" w:lineRule="atLeast"/>
            </w:pPr>
            <w:r>
              <w:t>R</w:t>
            </w:r>
            <w:r>
              <w:t>2</w:t>
            </w:r>
          </w:p>
        </w:tc>
        <w:tc>
          <w:tcPr>
            <w:tcW w:w="1959" w:type="dxa"/>
            <w:gridSpan w:val="2"/>
          </w:tcPr>
          <w:p w:rsidR="0018722C">
            <w:pPr>
              <w:topLinePunct/>
              <w:ind w:leftChars="0" w:left="0" w:rightChars="0" w:right="0" w:firstLineChars="0" w:firstLine="0"/>
              <w:spacing w:line="240" w:lineRule="atLeast"/>
            </w:pPr>
            <w:r>
              <w:t>0.503722</w:t>
            </w:r>
          </w:p>
        </w:tc>
        <w:tc>
          <w:tcPr>
            <w:tcW w:w="2410" w:type="dxa"/>
            <w:gridSpan w:val="2"/>
          </w:tcPr>
          <w:p w:rsidR="0018722C">
            <w:pPr>
              <w:topLinePunct/>
              <w:ind w:leftChars="0" w:left="0" w:rightChars="0" w:right="0" w:firstLineChars="0" w:firstLine="0"/>
              <w:spacing w:line="240" w:lineRule="atLeast"/>
            </w:pPr>
            <w:r>
              <w:rPr>
                <w:rFonts w:ascii="宋体" w:eastAsia="宋体" w:hint="eastAsia"/>
              </w:rPr>
              <w:t>被解释变量均值</w:t>
            </w:r>
          </w:p>
        </w:tc>
        <w:tc>
          <w:tcPr>
            <w:tcW w:w="1985" w:type="dxa"/>
            <w:gridSpan w:val="2"/>
          </w:tcPr>
          <w:p w:rsidR="0018722C">
            <w:pPr>
              <w:topLinePunct/>
              <w:ind w:leftChars="0" w:left="0" w:rightChars="0" w:right="0" w:firstLineChars="0" w:firstLine="0"/>
              <w:spacing w:line="240" w:lineRule="atLeast"/>
            </w:pPr>
            <w:r>
              <w:t>-6.933065</w:t>
            </w:r>
          </w:p>
        </w:tc>
      </w:tr>
      <w:tr>
        <w:trPr>
          <w:trHeight w:val="520" w:hRule="atLeast"/>
        </w:trPr>
        <w:tc>
          <w:tcPr>
            <w:tcW w:w="1893" w:type="dxa"/>
            <w:gridSpan w:val="2"/>
          </w:tcPr>
          <w:p w:rsidR="0018722C">
            <w:pPr>
              <w:topLinePunct/>
              <w:ind w:leftChars="0" w:left="0" w:rightChars="0" w:right="0" w:firstLineChars="0" w:firstLine="0"/>
              <w:spacing w:line="240" w:lineRule="atLeast"/>
            </w:pPr>
            <w:r>
              <w:rPr>
                <w:rFonts w:ascii="宋体" w:eastAsia="宋体" w:hint="eastAsia"/>
              </w:rPr>
              <w:t>调整后 </w:t>
            </w:r>
            <w:r>
              <w:t>R</w:t>
            </w:r>
            <w:r>
              <w:t>2</w:t>
            </w:r>
          </w:p>
        </w:tc>
        <w:tc>
          <w:tcPr>
            <w:tcW w:w="1959" w:type="dxa"/>
            <w:gridSpan w:val="2"/>
          </w:tcPr>
          <w:p w:rsidR="0018722C">
            <w:pPr>
              <w:topLinePunct/>
              <w:ind w:leftChars="0" w:left="0" w:rightChars="0" w:right="0" w:firstLineChars="0" w:firstLine="0"/>
              <w:spacing w:line="240" w:lineRule="atLeast"/>
            </w:pPr>
            <w:r>
              <w:t>0.487316</w:t>
            </w:r>
          </w:p>
        </w:tc>
        <w:tc>
          <w:tcPr>
            <w:tcW w:w="2410" w:type="dxa"/>
            <w:gridSpan w:val="2"/>
          </w:tcPr>
          <w:p w:rsidR="0018722C">
            <w:pPr>
              <w:topLinePunct/>
              <w:ind w:leftChars="0" w:left="0" w:rightChars="0" w:right="0" w:firstLineChars="0" w:firstLine="0"/>
              <w:spacing w:line="240" w:lineRule="atLeast"/>
            </w:pPr>
            <w:r>
              <w:rPr>
                <w:rFonts w:ascii="宋体" w:eastAsia="宋体" w:hint="eastAsia"/>
              </w:rPr>
              <w:t>被解释变量标准差</w:t>
            </w:r>
          </w:p>
        </w:tc>
        <w:tc>
          <w:tcPr>
            <w:tcW w:w="1985" w:type="dxa"/>
            <w:gridSpan w:val="2"/>
          </w:tcPr>
          <w:p w:rsidR="0018722C">
            <w:pPr>
              <w:topLinePunct/>
              <w:ind w:leftChars="0" w:left="0" w:rightChars="0" w:right="0" w:firstLineChars="0" w:firstLine="0"/>
              <w:spacing w:line="240" w:lineRule="atLeast"/>
            </w:pPr>
            <w:r>
              <w:t>0.001848</w:t>
            </w:r>
          </w:p>
        </w:tc>
      </w:tr>
      <w:tr>
        <w:trPr>
          <w:trHeight w:val="520" w:hRule="atLeast"/>
        </w:trPr>
        <w:tc>
          <w:tcPr>
            <w:tcW w:w="1893" w:type="dxa"/>
            <w:gridSpan w:val="2"/>
          </w:tcPr>
          <w:p w:rsidR="0018722C">
            <w:pPr>
              <w:topLinePunct/>
              <w:ind w:leftChars="0" w:left="0" w:rightChars="0" w:right="0" w:firstLineChars="0" w:firstLine="0"/>
              <w:spacing w:line="240" w:lineRule="atLeast"/>
            </w:pPr>
            <w:r>
              <w:rPr>
                <w:rFonts w:ascii="宋体" w:eastAsia="宋体" w:hint="eastAsia"/>
              </w:rPr>
              <w:t>总平方残差</w:t>
            </w:r>
          </w:p>
        </w:tc>
        <w:tc>
          <w:tcPr>
            <w:tcW w:w="1959" w:type="dxa"/>
            <w:gridSpan w:val="2"/>
          </w:tcPr>
          <w:p w:rsidR="0018722C">
            <w:pPr>
              <w:topLinePunct/>
              <w:ind w:leftChars="0" w:left="0" w:rightChars="0" w:right="0" w:firstLineChars="0" w:firstLine="0"/>
              <w:spacing w:line="240" w:lineRule="atLeast"/>
            </w:pPr>
            <w:r>
              <w:t>0.000212</w:t>
            </w:r>
          </w:p>
        </w:tc>
        <w:tc>
          <w:tcPr>
            <w:tcW w:w="2410" w:type="dxa"/>
            <w:gridSpan w:val="2"/>
          </w:tcPr>
          <w:p w:rsidR="0018722C">
            <w:pPr>
              <w:topLinePunct/>
              <w:ind w:leftChars="0" w:left="0" w:rightChars="0" w:right="0" w:firstLineChars="0" w:firstLine="0"/>
              <w:spacing w:line="240" w:lineRule="atLeast"/>
            </w:pPr>
            <w:r>
              <w:t>AIC </w:t>
            </w:r>
            <w:r>
              <w:rPr>
                <w:rFonts w:ascii="宋体" w:eastAsia="宋体" w:hint="eastAsia"/>
              </w:rPr>
              <w:t>信息准则</w:t>
            </w:r>
          </w:p>
        </w:tc>
        <w:tc>
          <w:tcPr>
            <w:tcW w:w="1985" w:type="dxa"/>
            <w:gridSpan w:val="2"/>
          </w:tcPr>
          <w:p w:rsidR="0018722C">
            <w:pPr>
              <w:topLinePunct/>
              <w:ind w:leftChars="0" w:left="0" w:rightChars="0" w:right="0" w:firstLineChars="0" w:firstLine="0"/>
              <w:spacing w:line="240" w:lineRule="atLeast"/>
            </w:pPr>
            <w:r>
              <w:t>-10.37848</w:t>
            </w:r>
          </w:p>
        </w:tc>
      </w:tr>
      <w:tr>
        <w:trPr>
          <w:trHeight w:val="520" w:hRule="atLeast"/>
        </w:trPr>
        <w:tc>
          <w:tcPr>
            <w:tcW w:w="1893" w:type="dxa"/>
            <w:gridSpan w:val="2"/>
          </w:tcPr>
          <w:p w:rsidR="0018722C">
            <w:pPr>
              <w:topLinePunct/>
              <w:ind w:leftChars="0" w:left="0" w:rightChars="0" w:right="0" w:firstLineChars="0" w:firstLine="0"/>
              <w:spacing w:line="240" w:lineRule="atLeast"/>
            </w:pPr>
            <w:r>
              <w:t>F </w:t>
            </w:r>
            <w:r>
              <w:rPr>
                <w:rFonts w:ascii="宋体" w:eastAsia="宋体" w:hint="eastAsia"/>
              </w:rPr>
              <w:t>统计量</w:t>
            </w:r>
          </w:p>
        </w:tc>
        <w:tc>
          <w:tcPr>
            <w:tcW w:w="1959" w:type="dxa"/>
            <w:gridSpan w:val="2"/>
          </w:tcPr>
          <w:p w:rsidR="0018722C">
            <w:pPr>
              <w:topLinePunct/>
              <w:ind w:leftChars="0" w:left="0" w:rightChars="0" w:right="0" w:firstLineChars="0" w:firstLine="0"/>
              <w:spacing w:line="240" w:lineRule="atLeast"/>
            </w:pPr>
            <w:r>
              <w:t>30.70373</w:t>
            </w:r>
          </w:p>
        </w:tc>
        <w:tc>
          <w:tcPr>
            <w:tcW w:w="2410" w:type="dxa"/>
            <w:gridSpan w:val="2"/>
          </w:tcPr>
          <w:p w:rsidR="0018722C">
            <w:pPr>
              <w:topLinePunct/>
              <w:ind w:leftChars="0" w:left="0" w:rightChars="0" w:right="0" w:firstLineChars="0" w:firstLine="0"/>
              <w:spacing w:line="240" w:lineRule="atLeast"/>
            </w:pPr>
            <w:r>
              <w:t>SC </w:t>
            </w:r>
            <w:r>
              <w:rPr>
                <w:rFonts w:ascii="宋体" w:eastAsia="宋体" w:hint="eastAsia"/>
              </w:rPr>
              <w:t>准则</w:t>
            </w:r>
          </w:p>
        </w:tc>
        <w:tc>
          <w:tcPr>
            <w:tcW w:w="1985" w:type="dxa"/>
            <w:gridSpan w:val="2"/>
          </w:tcPr>
          <w:p w:rsidR="0018722C">
            <w:pPr>
              <w:topLinePunct/>
              <w:ind w:leftChars="0" w:left="0" w:rightChars="0" w:right="0" w:firstLineChars="0" w:firstLine="0"/>
              <w:spacing w:line="240" w:lineRule="atLeast"/>
            </w:pPr>
            <w:r>
              <w:t>-10.26593</w:t>
            </w:r>
          </w:p>
        </w:tc>
      </w:tr>
      <w:tr>
        <w:trPr>
          <w:trHeight w:val="520" w:hRule="atLeast"/>
        </w:trPr>
        <w:tc>
          <w:tcPr>
            <w:tcW w:w="1893" w:type="dxa"/>
            <w:gridSpan w:val="2"/>
          </w:tcPr>
          <w:p w:rsidR="0018722C">
            <w:pPr>
              <w:topLinePunct/>
              <w:ind w:leftChars="0" w:left="0" w:rightChars="0" w:right="0" w:firstLineChars="0" w:firstLine="0"/>
              <w:spacing w:line="240" w:lineRule="atLeast"/>
            </w:pPr>
            <w:r>
              <w:t>P </w:t>
            </w:r>
            <w:r>
              <w:rPr>
                <w:rFonts w:ascii="宋体" w:eastAsia="宋体" w:hint="eastAsia"/>
              </w:rPr>
              <w:t>值</w:t>
            </w:r>
            <w:r>
              <w:rPr>
                <w:rFonts w:ascii="宋体" w:eastAsia="宋体" w:hint="eastAsia"/>
              </w:rPr>
              <w:t>（</w:t>
            </w:r>
            <w:r>
              <w:t>F </w:t>
            </w:r>
            <w:r>
              <w:rPr>
                <w:rFonts w:ascii="宋体" w:eastAsia="宋体" w:hint="eastAsia"/>
              </w:rPr>
              <w:t>统计量</w:t>
            </w:r>
            <w:r>
              <w:rPr>
                <w:rFonts w:ascii="宋体" w:eastAsia="宋体" w:hint="eastAsia"/>
              </w:rPr>
              <w:t>）</w:t>
            </w:r>
          </w:p>
        </w:tc>
        <w:tc>
          <w:tcPr>
            <w:tcW w:w="1959" w:type="dxa"/>
            <w:gridSpan w:val="2"/>
          </w:tcPr>
          <w:p w:rsidR="0018722C">
            <w:pPr>
              <w:topLinePunct/>
              <w:ind w:leftChars="0" w:left="0" w:rightChars="0" w:right="0" w:firstLineChars="0" w:firstLine="0"/>
              <w:spacing w:line="240" w:lineRule="atLeast"/>
            </w:pPr>
            <w:r>
              <w:t>0.000000</w:t>
            </w:r>
          </w:p>
        </w:tc>
        <w:tc>
          <w:tcPr>
            <w:tcW w:w="2410" w:type="dxa"/>
            <w:gridSpan w:val="2"/>
          </w:tcPr>
          <w:p w:rsidR="0018722C">
            <w:pPr>
              <w:topLinePunct/>
              <w:ind w:leftChars="0" w:left="0" w:rightChars="0" w:right="0" w:firstLineChars="0" w:firstLine="0"/>
              <w:spacing w:line="240" w:lineRule="atLeast"/>
            </w:pPr>
            <w:r>
              <w:t>DW </w:t>
            </w:r>
            <w:r>
              <w:rPr>
                <w:rFonts w:ascii="宋体" w:eastAsia="宋体" w:hint="eastAsia"/>
              </w:rPr>
              <w:t>统计量</w:t>
            </w:r>
          </w:p>
        </w:tc>
        <w:tc>
          <w:tcPr>
            <w:tcW w:w="1985" w:type="dxa"/>
            <w:gridSpan w:val="2"/>
          </w:tcPr>
          <w:p w:rsidR="0018722C">
            <w:pPr>
              <w:topLinePunct/>
              <w:ind w:leftChars="0" w:left="0" w:rightChars="0" w:right="0" w:firstLineChars="0" w:firstLine="0"/>
              <w:spacing w:line="240" w:lineRule="atLeast"/>
            </w:pPr>
            <w:r>
              <w:t>1.994993</w:t>
            </w:r>
          </w:p>
        </w:tc>
      </w:tr>
    </w:tbl>
    <w:p w:rsidR="0018722C">
      <w:pPr>
        <w:pStyle w:val="affa"/>
      </w:pPr>
    </w:p>
    <w:p w:rsidR="0018722C">
      <w:pPr>
        <w:topLinePunct/>
      </w:pPr>
      <w:r>
        <w:t>由表所示，得</w:t>
      </w:r>
      <w:r>
        <w:rPr>
          <w:rFonts w:ascii="Times New Roman" w:eastAsia="Times New Roman"/>
        </w:rPr>
        <w:t>ECM</w:t>
      </w:r>
      <w:r>
        <w:t>回归方程如下：</w:t>
      </w:r>
    </w:p>
    <w:p w:rsidR="0018722C">
      <w:pPr>
        <w:topLinePunct/>
      </w:pPr>
      <w:r>
        <w:rPr>
          <w:rFonts w:ascii="Times New Roman" w:hAnsi="Times New Roman"/>
        </w:rPr>
        <w:t>ΔlnS</w:t>
      </w:r>
      <w:r>
        <w:rPr>
          <w:rFonts w:ascii="Times New Roman" w:hAnsi="Times New Roman"/>
        </w:rPr>
        <w:t>t </w:t>
      </w:r>
      <w:r>
        <w:rPr>
          <w:rFonts w:ascii="Times New Roman" w:hAnsi="Times New Roman"/>
        </w:rPr>
        <w:t>=6.0168 + 0.5665ΔlnF</w:t>
      </w:r>
      <w:r>
        <w:rPr>
          <w:rFonts w:ascii="Times New Roman" w:hAnsi="Times New Roman"/>
        </w:rPr>
        <w:t>t </w:t>
      </w:r>
      <w:r>
        <w:rPr>
          <w:rFonts w:ascii="Times New Roman" w:hAnsi="Times New Roman"/>
        </w:rPr>
        <w:t>+ 0.0351ΔlnS</w:t>
      </w:r>
      <w:r>
        <w:rPr>
          <w:rFonts w:ascii="Times New Roman" w:hAnsi="Times New Roman"/>
        </w:rPr>
        <w:t>t </w:t>
      </w:r>
      <w:r>
        <w:rPr>
          <w:rFonts w:ascii="Times New Roman" w:hAnsi="Times New Roman"/>
        </w:rPr>
        <w:t>(</w:t>
      </w:r>
      <w:r>
        <w:rPr>
          <w:rFonts w:ascii="Times New Roman" w:hAnsi="Times New Roman"/>
        </w:rPr>
        <w:t xml:space="preserve">-1</w:t>
      </w:r>
      <w:r>
        <w:rPr>
          <w:rFonts w:ascii="Times New Roman" w:hAnsi="Times New Roman"/>
        </w:rPr>
        <w:t>)</w:t>
      </w:r>
      <w:r>
        <w:rPr>
          <w:rFonts w:ascii="Times New Roman" w:hAnsi="Times New Roman"/>
        </w:rPr>
        <w:t xml:space="preserve"> + 0.0518ΔlnF</w:t>
      </w:r>
      <w:r>
        <w:rPr>
          <w:rFonts w:ascii="Times New Roman" w:hAnsi="Times New Roman"/>
        </w:rPr>
        <w:t>t </w:t>
      </w:r>
      <w:r>
        <w:rPr>
          <w:rFonts w:ascii="Times New Roman" w:hAnsi="Times New Roman"/>
        </w:rPr>
        <w:t>(</w:t>
      </w:r>
      <w:r>
        <w:rPr>
          <w:rFonts w:ascii="Times New Roman" w:hAnsi="Times New Roman"/>
        </w:rPr>
        <w:t xml:space="preserve">-1</w:t>
      </w:r>
      <w:r>
        <w:rPr>
          <w:rFonts w:ascii="Times New Roman" w:hAnsi="Times New Roman"/>
        </w:rPr>
        <w:t>)</w:t>
      </w:r>
      <w:r>
        <w:rPr>
          <w:rFonts w:ascii="Times New Roman" w:hAnsi="Times New Roman"/>
        </w:rPr>
        <w:t xml:space="preserve"> -0.0544ecm</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xml:space="preserve"> t</w:t>
      </w:r>
      <w:r>
        <w:rPr>
          <w:rFonts w:ascii="Times New Roman" w:hAnsi="Times New Roman"/>
        </w:rPr>
        <w:t>(</w:t>
      </w:r>
      <w:r>
        <w:rPr>
          <w:rFonts w:ascii="Times New Roman" w:hAnsi="Times New Roman"/>
        </w:rPr>
        <w:t>0.508683</w:t>
      </w:r>
      <w:r>
        <w:rPr>
          <w:rFonts w:ascii="Times New Roman" w:hAnsi="Times New Roman"/>
        </w:rPr>
        <w:t>)</w:t>
      </w:r>
      <w:r w:rsidRPr="00000000">
        <w:tab/>
      </w:r>
      <w:r>
        <w:t>(</w:t>
      </w:r>
      <w:r>
        <w:t>10.29847</w:t>
      </w:r>
      <w:r>
        <w:t>)</w:t>
      </w:r>
      <w:r w:rsidRPr="00000000">
        <w:tab/>
      </w:r>
      <w:r>
        <w:t>(</w:t>
      </w:r>
      <w:r>
        <w:t>0.375236</w:t>
      </w:r>
      <w:r>
        <w:t>)</w:t>
      </w:r>
      <w:r w:rsidRPr="00000000">
        <w:tab/>
      </w:r>
      <w:r>
        <w:t>(</w:t>
      </w:r>
      <w:r>
        <w:t>0.684471</w:t>
      </w:r>
      <w:r>
        <w:t>)</w:t>
      </w:r>
      <w:r w:rsidRPr="00000000">
        <w:tab/>
      </w:r>
      <w:r>
        <w:t>(</w:t>
      </w:r>
      <w:r>
        <w:t>-1.548399</w:t>
      </w:r>
      <w:r>
        <w:t>)</w:t>
      </w:r>
    </w:p>
    <w:p w:rsidR="0018722C">
      <w:pPr>
        <w:topLinePunct/>
      </w:pPr>
      <w:r>
        <w:rPr>
          <w:rFonts w:ascii="Times New Roman"/>
        </w:rPr>
        <w:t>p</w:t>
      </w:r>
      <w:r>
        <w:rPr>
          <w:rFonts w:ascii="Times New Roman"/>
        </w:rPr>
        <w:t>(</w:t>
      </w:r>
      <w:r>
        <w:rPr>
          <w:rFonts w:ascii="Times New Roman"/>
        </w:rPr>
        <w:t>0.6119</w:t>
      </w:r>
      <w:r>
        <w:rPr>
          <w:rFonts w:ascii="Times New Roman"/>
        </w:rPr>
        <w:t>)</w:t>
      </w:r>
      <w:r w:rsidRPr="00000000">
        <w:tab/>
        <w:t>(</w:t>
      </w:r>
      <w:r>
        <w:t>0.0000</w:t>
      </w:r>
      <w:r>
        <w:t>)</w:t>
      </w:r>
      <w:r w:rsidRPr="00000000">
        <w:tab/>
        <w:t>(</w:t>
      </w:r>
      <w:r>
        <w:t>0.7081</w:t>
      </w:r>
      <w:r>
        <w:t>)</w:t>
      </w:r>
      <w:r w:rsidRPr="00000000">
        <w:tab/>
        <w:t>(</w:t>
      </w:r>
      <w:r>
        <w:t>0.4950</w:t>
      </w:r>
      <w:r>
        <w:t>)</w:t>
      </w:r>
      <w:r w:rsidRPr="00000000">
        <w:tab/>
        <w:t>(</w:t>
      </w:r>
      <w:r>
        <w:t>0.1241</w:t>
      </w:r>
      <w:r>
        <w:t>)</w:t>
      </w:r>
    </w:p>
    <w:p w:rsidR="0018722C">
      <w:pPr>
        <w:topLinePunct/>
      </w:pPr>
      <w:r>
        <w:t>从</w:t>
      </w:r>
      <w:r>
        <w:rPr>
          <w:rFonts w:ascii="Times New Roman" w:eastAsia="Times New Roman"/>
        </w:rPr>
        <w:t>F</w:t>
      </w:r>
      <w:r>
        <w:t>统计量可以看出方程整体是显著的，而可决系数</w:t>
      </w:r>
      <w:r>
        <w:rPr>
          <w:rFonts w:ascii="Times New Roman" w:eastAsia="Times New Roman"/>
        </w:rPr>
        <w:t>R</w:t>
      </w:r>
      <w:r>
        <w:rPr>
          <w:rFonts w:ascii="Times New Roman" w:eastAsia="Times New Roman"/>
        </w:rPr>
        <w:t>2</w:t>
      </w:r>
      <w:r>
        <w:t>为</w:t>
      </w:r>
      <w:r>
        <w:rPr>
          <w:rFonts w:ascii="Times New Roman" w:eastAsia="Times New Roman"/>
        </w:rPr>
        <w:t>0.503722</w:t>
      </w:r>
      <w:r>
        <w:t>，比</w:t>
      </w:r>
      <w:r>
        <w:rPr>
          <w:rFonts w:ascii="Times New Roman" w:eastAsia="Times New Roman"/>
        </w:rPr>
        <w:t>OLS</w:t>
      </w:r>
    </w:p>
    <w:p w:rsidR="0018722C">
      <w:pPr>
        <w:topLinePunct/>
      </w:pPr>
      <w:r>
        <w:t>模型和</w:t>
      </w:r>
      <w:r>
        <w:rPr>
          <w:rFonts w:ascii="Times New Roman" w:eastAsia="Times New Roman"/>
        </w:rPr>
        <w:t>B-VAR</w:t>
      </w:r>
      <w:r>
        <w:t>模型又有了进一步的提高，故</w:t>
      </w:r>
      <w:r>
        <w:rPr>
          <w:rFonts w:ascii="Times New Roman" w:eastAsia="Times New Roman"/>
        </w:rPr>
        <w:t>ECM</w:t>
      </w:r>
      <w:r>
        <w:t>回归方程拟合度有所提升。</w:t>
      </w:r>
    </w:p>
    <w:p w:rsidR="0018722C">
      <w:pPr>
        <w:pStyle w:val="Heading2"/>
        <w:topLinePunct/>
        <w:ind w:left="171" w:hangingChars="171" w:hanging="171"/>
      </w:pPr>
      <w:bookmarkStart w:id="737415" w:name="_Toc686737415"/>
      <w:bookmarkStart w:name="_bookmark33" w:id="60"/>
      <w:bookmarkEnd w:id="60"/>
      <w:r>
        <w:t>4.6</w:t>
      </w:r>
      <w:r>
        <w:t xml:space="preserve"> </w:t>
      </w:r>
      <w:r/>
      <w:bookmarkStart w:name="_bookmark33" w:id="61"/>
      <w:bookmarkEnd w:id="61"/>
      <w:r>
        <w:t>结果分析</w:t>
      </w:r>
      <w:bookmarkEnd w:id="737415"/>
    </w:p>
    <w:p w:rsidR="0018722C">
      <w:pPr>
        <w:topLinePunct/>
      </w:pPr>
      <w:r>
        <w:t>上述实证分析分别用</w:t>
      </w:r>
      <w:r>
        <w:rPr>
          <w:rFonts w:ascii="Times New Roman" w:eastAsia="Times New Roman"/>
        </w:rPr>
        <w:t>3</w:t>
      </w:r>
      <w:r>
        <w:t>种模型，从不同的角度对国债期货和国债</w:t>
      </w:r>
      <w:r>
        <w:rPr>
          <w:rFonts w:ascii="Times New Roman" w:eastAsia="Times New Roman"/>
        </w:rPr>
        <w:t>ETF</w:t>
      </w:r>
      <w:r>
        <w:t>之间的</w:t>
      </w:r>
      <w:r>
        <w:t>套期保值比率进行了研究。不同的投资者，具有不同的风险偏好，将选择不同的</w:t>
      </w:r>
      <w:r>
        <w:t>套期保值模型，以下将从风险的角度和收益风险综合考虑的角度来比较上述模型的分析结果。</w:t>
      </w:r>
    </w:p>
    <w:p w:rsidR="0018722C">
      <w:pPr>
        <w:pStyle w:val="a8"/>
        <w:topLinePunct/>
      </w:pPr>
      <w:r>
        <w:t>表</w:t>
      </w:r>
      <w:r>
        <w:t>4</w:t>
      </w:r>
      <w:r>
        <w:t>.</w:t>
      </w:r>
      <w:r>
        <w:t>12  </w:t>
      </w:r>
      <w:r>
        <w:t>各模型所估计套期保值比率与风险变化</w:t>
      </w:r>
    </w:p>
    <w:tbl>
      <w:tblPr>
        <w:tblW w:w="5000" w:type="pct"/>
        <w:tblInd w:w="66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59"/>
        <w:gridCol w:w="1855"/>
        <w:gridCol w:w="1896"/>
        <w:gridCol w:w="1855"/>
      </w:tblGrid>
      <w:tr>
        <w:trPr>
          <w:tblHeader/>
        </w:trPr>
        <w:tc>
          <w:tcPr>
            <w:tcW w:w="114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套期保值比率</w:t>
            </w:r>
          </w:p>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组合收益率方差</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风险下降幅度</w:t>
            </w:r>
          </w:p>
        </w:tc>
      </w:tr>
      <w:tr>
        <w:tc>
          <w:tcPr>
            <w:tcW w:w="1142" w:type="pct"/>
            <w:vAlign w:val="center"/>
          </w:tcPr>
          <w:p w:rsidR="0018722C">
            <w:pPr>
              <w:pStyle w:val="ac"/>
              <w:topLinePunct/>
              <w:ind w:leftChars="0" w:left="0" w:rightChars="0" w:right="0" w:firstLineChars="0" w:firstLine="0"/>
              <w:spacing w:line="240" w:lineRule="atLeast"/>
            </w:pPr>
            <w:r>
              <w:t>传统套期保值</w:t>
            </w:r>
          </w:p>
        </w:tc>
        <w:tc>
          <w:tcPr>
            <w:tcW w:w="1277" w:type="pct"/>
            <w:vAlign w:val="center"/>
          </w:tcPr>
          <w:p w:rsidR="0018722C">
            <w:pPr>
              <w:pStyle w:val="affff9"/>
              <w:topLinePunct/>
              <w:ind w:leftChars="0" w:left="0" w:rightChars="0" w:right="0" w:firstLineChars="0" w:firstLine="0"/>
              <w:spacing w:line="240" w:lineRule="atLeast"/>
            </w:pPr>
            <w:r>
              <w:t>1</w:t>
            </w:r>
          </w:p>
        </w:tc>
        <w:tc>
          <w:tcPr>
            <w:tcW w:w="1305" w:type="pct"/>
            <w:vAlign w:val="center"/>
          </w:tcPr>
          <w:p w:rsidR="0018722C">
            <w:pPr>
              <w:pStyle w:val="affff9"/>
              <w:topLinePunct/>
              <w:ind w:leftChars="0" w:left="0" w:rightChars="0" w:right="0" w:firstLineChars="0" w:firstLine="0"/>
              <w:spacing w:line="240" w:lineRule="atLeast"/>
            </w:pPr>
            <w:r>
              <w:t>0.000002678062</w:t>
            </w:r>
          </w:p>
        </w:tc>
        <w:tc>
          <w:tcPr>
            <w:tcW w:w="1277" w:type="pct"/>
            <w:vAlign w:val="center"/>
          </w:tcPr>
          <w:p w:rsidR="0018722C">
            <w:pPr>
              <w:pStyle w:val="ad"/>
              <w:topLinePunct/>
              <w:ind w:leftChars="0" w:left="0" w:rightChars="0" w:right="0" w:firstLineChars="0" w:firstLine="0"/>
              <w:spacing w:line="240" w:lineRule="atLeast"/>
            </w:pPr>
          </w:p>
        </w:tc>
      </w:tr>
      <w:tr>
        <w:tc>
          <w:tcPr>
            <w:tcW w:w="1142" w:type="pct"/>
            <w:vAlign w:val="center"/>
          </w:tcPr>
          <w:p w:rsidR="0018722C">
            <w:pPr>
              <w:pStyle w:val="ac"/>
              <w:topLinePunct/>
              <w:ind w:leftChars="0" w:left="0" w:rightChars="0" w:right="0" w:firstLineChars="0" w:firstLine="0"/>
              <w:spacing w:line="240" w:lineRule="atLeast"/>
            </w:pPr>
            <w:r>
              <w:t>OLS </w:t>
            </w:r>
            <w:r>
              <w:t>模型</w:t>
            </w:r>
          </w:p>
        </w:tc>
        <w:tc>
          <w:tcPr>
            <w:tcW w:w="1277" w:type="pct"/>
            <w:vAlign w:val="center"/>
          </w:tcPr>
          <w:p w:rsidR="0018722C">
            <w:pPr>
              <w:pStyle w:val="affff9"/>
              <w:topLinePunct/>
              <w:ind w:leftChars="0" w:left="0" w:rightChars="0" w:right="0" w:firstLineChars="0" w:firstLine="0"/>
              <w:spacing w:line="240" w:lineRule="atLeast"/>
            </w:pPr>
            <w:r>
              <w:t>0.559373</w:t>
            </w:r>
          </w:p>
        </w:tc>
        <w:tc>
          <w:tcPr>
            <w:tcW w:w="1305" w:type="pct"/>
            <w:vAlign w:val="center"/>
          </w:tcPr>
          <w:p w:rsidR="0018722C">
            <w:pPr>
              <w:pStyle w:val="affff9"/>
              <w:topLinePunct/>
              <w:ind w:leftChars="0" w:left="0" w:rightChars="0" w:right="0" w:firstLineChars="0" w:firstLine="0"/>
              <w:spacing w:line="240" w:lineRule="atLeast"/>
            </w:pPr>
            <w:r>
              <w:t>0.000001766190</w:t>
            </w:r>
          </w:p>
        </w:tc>
        <w:tc>
          <w:tcPr>
            <w:tcW w:w="1277" w:type="pct"/>
            <w:vAlign w:val="center"/>
          </w:tcPr>
          <w:p w:rsidR="0018722C">
            <w:pPr>
              <w:pStyle w:val="affff9"/>
              <w:topLinePunct/>
              <w:ind w:leftChars="0" w:left="0" w:rightChars="0" w:right="0" w:firstLineChars="0" w:firstLine="0"/>
              <w:spacing w:line="240" w:lineRule="atLeast"/>
            </w:pPr>
            <w:r>
              <w:t>34.0497%</w:t>
            </w:r>
          </w:p>
        </w:tc>
      </w:tr>
      <w:tr>
        <w:tc>
          <w:tcPr>
            <w:tcW w:w="1142" w:type="pct"/>
            <w:vAlign w:val="center"/>
          </w:tcPr>
          <w:p w:rsidR="0018722C">
            <w:pPr>
              <w:pStyle w:val="ac"/>
              <w:topLinePunct/>
              <w:ind w:leftChars="0" w:left="0" w:rightChars="0" w:right="0" w:firstLineChars="0" w:firstLine="0"/>
              <w:spacing w:line="240" w:lineRule="atLeast"/>
            </w:pPr>
            <w:r>
              <w:t>B-VAR </w:t>
            </w:r>
            <w:r>
              <w:t>模型</w:t>
            </w:r>
          </w:p>
        </w:tc>
        <w:tc>
          <w:tcPr>
            <w:tcW w:w="1277" w:type="pct"/>
            <w:vAlign w:val="center"/>
          </w:tcPr>
          <w:p w:rsidR="0018722C">
            <w:pPr>
              <w:pStyle w:val="affff9"/>
              <w:topLinePunct/>
              <w:ind w:leftChars="0" w:left="0" w:rightChars="0" w:right="0" w:firstLineChars="0" w:firstLine="0"/>
              <w:spacing w:line="240" w:lineRule="atLeast"/>
            </w:pPr>
            <w:r>
              <w:t>0.554311</w:t>
            </w:r>
          </w:p>
        </w:tc>
        <w:tc>
          <w:tcPr>
            <w:tcW w:w="1305" w:type="pct"/>
            <w:vAlign w:val="center"/>
          </w:tcPr>
          <w:p w:rsidR="0018722C">
            <w:pPr>
              <w:pStyle w:val="affff9"/>
              <w:topLinePunct/>
              <w:ind w:leftChars="0" w:left="0" w:rightChars="0" w:right="0" w:firstLineChars="0" w:firstLine="0"/>
              <w:spacing w:line="240" w:lineRule="atLeast"/>
            </w:pPr>
            <w:r>
              <w:t>0.000001766199</w:t>
            </w:r>
          </w:p>
        </w:tc>
        <w:tc>
          <w:tcPr>
            <w:tcW w:w="1277" w:type="pct"/>
            <w:vAlign w:val="center"/>
          </w:tcPr>
          <w:p w:rsidR="0018722C">
            <w:pPr>
              <w:pStyle w:val="affff9"/>
              <w:topLinePunct/>
              <w:ind w:leftChars="0" w:left="0" w:rightChars="0" w:right="0" w:firstLineChars="0" w:firstLine="0"/>
              <w:spacing w:line="240" w:lineRule="atLeast"/>
            </w:pPr>
            <w:r>
              <w:t>34.0494%</w:t>
            </w:r>
          </w:p>
        </w:tc>
      </w:tr>
      <w:tr>
        <w:tc>
          <w:tcPr>
            <w:tcW w:w="1142" w:type="pct"/>
            <w:vAlign w:val="center"/>
            <w:tcBorders>
              <w:top w:val="single" w:sz="4" w:space="0" w:color="auto"/>
            </w:tcBorders>
          </w:tcPr>
          <w:p w:rsidR="0018722C">
            <w:pPr>
              <w:pStyle w:val="ac"/>
              <w:topLinePunct/>
              <w:ind w:leftChars="0" w:left="0" w:rightChars="0" w:right="0" w:firstLineChars="0" w:firstLine="0"/>
              <w:spacing w:line="240" w:lineRule="atLeast"/>
            </w:pPr>
            <w:r>
              <w:t>ECM </w:t>
            </w:r>
            <w:r>
              <w:t>模型</w:t>
            </w:r>
          </w:p>
        </w:tc>
        <w:tc>
          <w:tcPr>
            <w:tcW w:w="1277" w:type="pct"/>
            <w:vAlign w:val="center"/>
            <w:tcBorders>
              <w:top w:val="single" w:sz="4" w:space="0" w:color="auto"/>
            </w:tcBorders>
          </w:tcPr>
          <w:p w:rsidR="0018722C">
            <w:pPr>
              <w:pStyle w:val="affff9"/>
              <w:topLinePunct/>
              <w:ind w:leftChars="0" w:left="0" w:rightChars="0" w:right="0" w:firstLineChars="0" w:firstLine="0"/>
              <w:spacing w:line="240" w:lineRule="atLeast"/>
            </w:pPr>
            <w:r>
              <w:t>0.566524</w:t>
            </w:r>
          </w:p>
        </w:tc>
        <w:tc>
          <w:tcPr>
            <w:tcW w:w="1305" w:type="pct"/>
            <w:vAlign w:val="center"/>
            <w:tcBorders>
              <w:top w:val="single" w:sz="4" w:space="0" w:color="auto"/>
            </w:tcBorders>
          </w:tcPr>
          <w:p w:rsidR="0018722C">
            <w:pPr>
              <w:pStyle w:val="affff9"/>
              <w:topLinePunct/>
              <w:ind w:leftChars="0" w:left="0" w:rightChars="0" w:right="0" w:firstLineChars="0" w:firstLine="0"/>
              <w:spacing w:line="240" w:lineRule="atLeast"/>
            </w:pPr>
            <w:r>
              <w:t>0.000001766583</w:t>
            </w:r>
          </w:p>
        </w:tc>
        <w:tc>
          <w:tcPr>
            <w:tcW w:w="1277" w:type="pct"/>
            <w:vAlign w:val="center"/>
            <w:tcBorders>
              <w:top w:val="single" w:sz="4" w:space="0" w:color="auto"/>
            </w:tcBorders>
          </w:tcPr>
          <w:p w:rsidR="0018722C">
            <w:pPr>
              <w:pStyle w:val="affff9"/>
              <w:topLinePunct/>
              <w:ind w:leftChars="0" w:left="0" w:rightChars="0" w:right="0" w:firstLineChars="0" w:firstLine="0"/>
              <w:spacing w:line="240" w:lineRule="atLeast"/>
            </w:pPr>
            <w:r>
              <w:t>34.0350%</w:t>
            </w:r>
          </w:p>
        </w:tc>
      </w:tr>
    </w:tbl>
    <w:p w:rsidR="0018722C">
      <w:pPr>
        <w:pStyle w:val="affa"/>
      </w:pPr>
    </w:p>
    <w:p w:rsidR="0018722C">
      <w:pPr>
        <w:topLinePunct/>
      </w:pPr>
      <w:r>
        <w:t>从</w:t>
      </w:r>
      <w:r>
        <w:t>表</w:t>
      </w:r>
      <w:r>
        <w:rPr>
          <w:rFonts w:ascii="Times New Roman" w:eastAsia="Times New Roman"/>
        </w:rPr>
        <w:t>4-5</w:t>
      </w:r>
      <w:r>
        <w:t>可知，总体而言，</w:t>
      </w:r>
      <w:r>
        <w:rPr>
          <w:rFonts w:ascii="Times New Roman" w:eastAsia="Times New Roman"/>
        </w:rPr>
        <w:t>3</w:t>
      </w:r>
      <w:r>
        <w:t>中策略模型的运用，使得组合的风险有着大幅</w:t>
      </w:r>
      <w:r>
        <w:t>度的下降，下降幅度均在</w:t>
      </w:r>
      <w:r>
        <w:rPr>
          <w:rFonts w:ascii="Times New Roman" w:eastAsia="Times New Roman"/>
        </w:rPr>
        <w:t>34%</w:t>
      </w:r>
      <w:r>
        <w:t>以上。在</w:t>
      </w:r>
      <w:r>
        <w:rPr>
          <w:rFonts w:ascii="Times New Roman" w:eastAsia="Times New Roman"/>
        </w:rPr>
        <w:t>3</w:t>
      </w:r>
      <w:r>
        <w:t>种套期保值策略模型中，</w:t>
      </w:r>
      <w:r>
        <w:rPr>
          <w:rFonts w:ascii="Times New Roman" w:eastAsia="Times New Roman"/>
        </w:rPr>
        <w:t>ECM</w:t>
      </w:r>
      <w:r>
        <w:t>模型</w:t>
      </w:r>
      <w:r>
        <w:t>套</w:t>
      </w:r>
    </w:p>
    <w:p w:rsidR="0018722C">
      <w:pPr>
        <w:topLinePunct/>
      </w:pPr>
      <w:r>
        <w:rPr>
          <w:rFonts w:cstheme="minorBidi" w:hAnsiTheme="minorHAnsi" w:eastAsiaTheme="minorHAnsi" w:asciiTheme="minorHAnsi" w:ascii="Calibri"/>
        </w:rPr>
        <w:t>27</w:t>
      </w:r>
    </w:p>
    <w:p w:rsidR="0018722C">
      <w:pPr>
        <w:topLinePunct/>
      </w:pPr>
      <w:r>
        <w:t>期保值比率最大，为</w:t>
      </w:r>
      <w:r>
        <w:rPr>
          <w:rFonts w:ascii="Times New Roman" w:eastAsia="Times New Roman"/>
        </w:rPr>
        <w:t>0</w:t>
      </w:r>
      <w:r>
        <w:rPr>
          <w:rFonts w:ascii="Times New Roman" w:eastAsia="Times New Roman"/>
        </w:rPr>
        <w:t>.</w:t>
      </w:r>
      <w:r>
        <w:rPr>
          <w:rFonts w:ascii="Times New Roman" w:eastAsia="Times New Roman"/>
        </w:rPr>
        <w:t>566524</w:t>
      </w:r>
      <w:r>
        <w:t>。其中，普通最小二乘法回归模型</w:t>
      </w:r>
      <w:r>
        <w:rPr>
          <w:rFonts w:ascii="Times New Roman" w:eastAsia="Times New Roman"/>
          <w:rFonts w:ascii="Times New Roman" w:eastAsia="Times New Roman"/>
        </w:rPr>
        <w:t>（</w:t>
      </w:r>
      <w:r>
        <w:rPr>
          <w:rFonts w:ascii="Times New Roman" w:eastAsia="Times New Roman"/>
        </w:rPr>
        <w:t xml:space="preserve">OLS</w:t>
      </w:r>
      <w:r>
        <w:t>模型</w:t>
      </w:r>
      <w:r>
        <w:rPr>
          <w:rFonts w:ascii="Times New Roman" w:eastAsia="Times New Roman"/>
          <w:rFonts w:ascii="Times New Roman" w:eastAsia="Times New Roman"/>
        </w:rPr>
        <w:t>）</w:t>
      </w:r>
      <w:r>
        <w:t>风险</w:t>
      </w:r>
      <w:r>
        <w:t>规避幅度最高，为</w:t>
      </w:r>
      <w:r>
        <w:rPr>
          <w:rFonts w:ascii="Times New Roman" w:eastAsia="Times New Roman"/>
        </w:rPr>
        <w:t>34</w:t>
      </w:r>
      <w:r>
        <w:rPr>
          <w:rFonts w:ascii="Times New Roman" w:eastAsia="Times New Roman"/>
        </w:rPr>
        <w:t>.</w:t>
      </w:r>
      <w:r>
        <w:rPr>
          <w:rFonts w:ascii="Times New Roman" w:eastAsia="Times New Roman"/>
        </w:rPr>
        <w:t>0497%</w:t>
      </w:r>
      <w:r>
        <w:t>，因此，风险规避型投资者应选择</w:t>
      </w:r>
      <w:r>
        <w:rPr>
          <w:rFonts w:ascii="Times New Roman" w:eastAsia="Times New Roman"/>
        </w:rPr>
        <w:t>OLS</w:t>
      </w:r>
      <w:r>
        <w:t>模型作为套期保值投资策略。</w:t>
      </w:r>
    </w:p>
    <w:p w:rsidR="0018722C">
      <w:pPr>
        <w:pStyle w:val="a8"/>
        <w:topLinePunct/>
      </w:pPr>
      <w:r>
        <w:t>表</w:t>
      </w:r>
      <w:r>
        <w:t>4</w:t>
      </w:r>
      <w:r>
        <w:t>.</w:t>
      </w:r>
      <w:r>
        <w:t>13  </w:t>
      </w:r>
      <w:r>
        <w:t>各套期保值模型的收益风险比</w:t>
      </w:r>
    </w:p>
    <w:tbl>
      <w:tblPr>
        <w:tblW w:w="5000" w:type="pct"/>
        <w:tblInd w:w="33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4"/>
        <w:gridCol w:w="2269"/>
        <w:gridCol w:w="2214"/>
        <w:gridCol w:w="1909"/>
      </w:tblGrid>
      <w:tr>
        <w:trPr>
          <w:tblHeader/>
        </w:trPr>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33" w:type="pct"/>
            <w:vAlign w:val="center"/>
            <w:tcBorders>
              <w:bottom w:val="single" w:sz="4" w:space="0" w:color="auto"/>
            </w:tcBorders>
          </w:tcPr>
          <w:p w:rsidR="0018722C">
            <w:pPr>
              <w:pStyle w:val="a7"/>
              <w:topLinePunct/>
              <w:ind w:leftChars="0" w:left="0" w:rightChars="0" w:right="0" w:firstLineChars="0" w:firstLine="0"/>
              <w:spacing w:line="240" w:lineRule="atLeast"/>
            </w:pPr>
            <w:r>
              <w:t>组合收益率标准差</w:t>
            </w:r>
          </w:p>
        </w:tc>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组合收益率均值</w:t>
            </w:r>
          </w:p>
        </w:tc>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收益风险比</w:t>
            </w:r>
          </w:p>
        </w:tc>
      </w:tr>
      <w:tr>
        <w:tc>
          <w:tcPr>
            <w:tcW w:w="963" w:type="pct"/>
            <w:vAlign w:val="center"/>
          </w:tcPr>
          <w:p w:rsidR="0018722C">
            <w:pPr>
              <w:pStyle w:val="ac"/>
              <w:topLinePunct/>
              <w:ind w:leftChars="0" w:left="0" w:rightChars="0" w:right="0" w:firstLineChars="0" w:firstLine="0"/>
              <w:spacing w:line="240" w:lineRule="atLeast"/>
            </w:pPr>
            <w:r>
              <w:t>传统套保</w:t>
            </w:r>
          </w:p>
        </w:tc>
        <w:tc>
          <w:tcPr>
            <w:tcW w:w="1433" w:type="pct"/>
            <w:vAlign w:val="center"/>
          </w:tcPr>
          <w:p w:rsidR="0018722C">
            <w:pPr>
              <w:pStyle w:val="affff9"/>
              <w:topLinePunct/>
              <w:ind w:leftChars="0" w:left="0" w:rightChars="0" w:right="0" w:firstLineChars="0" w:firstLine="0"/>
              <w:spacing w:line="240" w:lineRule="atLeast"/>
            </w:pPr>
            <w:r>
              <w:t>0.0016364786</w:t>
            </w:r>
          </w:p>
        </w:tc>
        <w:tc>
          <w:tcPr>
            <w:tcW w:w="1398" w:type="pct"/>
            <w:vAlign w:val="center"/>
          </w:tcPr>
          <w:p w:rsidR="0018722C">
            <w:pPr>
              <w:pStyle w:val="affff9"/>
              <w:topLinePunct/>
              <w:ind w:leftChars="0" w:left="0" w:rightChars="0" w:right="0" w:firstLineChars="0" w:firstLine="0"/>
              <w:spacing w:line="240" w:lineRule="atLeast"/>
            </w:pPr>
            <w:r>
              <w:t>-0.0001471706</w:t>
            </w:r>
          </w:p>
        </w:tc>
        <w:tc>
          <w:tcPr>
            <w:tcW w:w="1206" w:type="pct"/>
            <w:vAlign w:val="center"/>
          </w:tcPr>
          <w:p w:rsidR="0018722C">
            <w:pPr>
              <w:pStyle w:val="affff9"/>
              <w:topLinePunct/>
              <w:ind w:leftChars="0" w:left="0" w:rightChars="0" w:right="0" w:firstLineChars="0" w:firstLine="0"/>
              <w:spacing w:line="240" w:lineRule="atLeast"/>
            </w:pPr>
            <w:r>
              <w:t>-0.089931251</w:t>
            </w:r>
          </w:p>
        </w:tc>
      </w:tr>
      <w:tr>
        <w:tc>
          <w:tcPr>
            <w:tcW w:w="963" w:type="pct"/>
            <w:vAlign w:val="center"/>
          </w:tcPr>
          <w:p w:rsidR="0018722C">
            <w:pPr>
              <w:pStyle w:val="ac"/>
              <w:topLinePunct/>
              <w:ind w:leftChars="0" w:left="0" w:rightChars="0" w:right="0" w:firstLineChars="0" w:firstLine="0"/>
              <w:spacing w:line="240" w:lineRule="atLeast"/>
            </w:pPr>
            <w:r>
              <w:t>OLS </w:t>
            </w:r>
            <w:r>
              <w:t>模型</w:t>
            </w:r>
          </w:p>
        </w:tc>
        <w:tc>
          <w:tcPr>
            <w:tcW w:w="1433" w:type="pct"/>
            <w:vAlign w:val="center"/>
          </w:tcPr>
          <w:p w:rsidR="0018722C">
            <w:pPr>
              <w:pStyle w:val="affff9"/>
              <w:topLinePunct/>
              <w:ind w:leftChars="0" w:left="0" w:rightChars="0" w:right="0" w:firstLineChars="0" w:firstLine="0"/>
              <w:spacing w:line="240" w:lineRule="atLeast"/>
            </w:pPr>
            <w:r>
              <w:t>0.0013289807</w:t>
            </w:r>
          </w:p>
        </w:tc>
        <w:tc>
          <w:tcPr>
            <w:tcW w:w="1398" w:type="pct"/>
            <w:vAlign w:val="center"/>
          </w:tcPr>
          <w:p w:rsidR="0018722C">
            <w:pPr>
              <w:pStyle w:val="affff9"/>
              <w:topLinePunct/>
              <w:ind w:leftChars="0" w:left="0" w:rightChars="0" w:right="0" w:firstLineChars="0" w:firstLine="0"/>
              <w:spacing w:line="240" w:lineRule="atLeast"/>
            </w:pPr>
            <w:r>
              <w:t>-0.0000906862</w:t>
            </w:r>
          </w:p>
        </w:tc>
        <w:tc>
          <w:tcPr>
            <w:tcW w:w="1206" w:type="pct"/>
            <w:vAlign w:val="center"/>
          </w:tcPr>
          <w:p w:rsidR="0018722C">
            <w:pPr>
              <w:pStyle w:val="affff9"/>
              <w:topLinePunct/>
              <w:ind w:leftChars="0" w:left="0" w:rightChars="0" w:right="0" w:firstLineChars="0" w:firstLine="0"/>
              <w:spacing w:line="240" w:lineRule="atLeast"/>
            </w:pPr>
            <w:r>
              <w:t>-0.068237427</w:t>
            </w:r>
          </w:p>
        </w:tc>
      </w:tr>
      <w:tr>
        <w:tc>
          <w:tcPr>
            <w:tcW w:w="963" w:type="pct"/>
            <w:vAlign w:val="center"/>
          </w:tcPr>
          <w:p w:rsidR="0018722C">
            <w:pPr>
              <w:pStyle w:val="ac"/>
              <w:topLinePunct/>
              <w:ind w:leftChars="0" w:left="0" w:rightChars="0" w:right="0" w:firstLineChars="0" w:firstLine="0"/>
              <w:spacing w:line="240" w:lineRule="atLeast"/>
            </w:pPr>
            <w:r>
              <w:t>B-VAR </w:t>
            </w:r>
            <w:r>
              <w:t>模型</w:t>
            </w:r>
          </w:p>
        </w:tc>
        <w:tc>
          <w:tcPr>
            <w:tcW w:w="1433" w:type="pct"/>
            <w:vAlign w:val="center"/>
          </w:tcPr>
          <w:p w:rsidR="0018722C">
            <w:pPr>
              <w:pStyle w:val="affff9"/>
              <w:topLinePunct/>
              <w:ind w:leftChars="0" w:left="0" w:rightChars="0" w:right="0" w:firstLineChars="0" w:firstLine="0"/>
              <w:spacing w:line="240" w:lineRule="atLeast"/>
            </w:pPr>
            <w:r>
              <w:t>0.0013289840</w:t>
            </w:r>
          </w:p>
        </w:tc>
        <w:tc>
          <w:tcPr>
            <w:tcW w:w="1398" w:type="pct"/>
            <w:vAlign w:val="center"/>
          </w:tcPr>
          <w:p w:rsidR="0018722C">
            <w:pPr>
              <w:pStyle w:val="affff9"/>
              <w:topLinePunct/>
              <w:ind w:leftChars="0" w:left="0" w:rightChars="0" w:right="0" w:firstLineChars="0" w:firstLine="0"/>
              <w:spacing w:line="240" w:lineRule="atLeast"/>
            </w:pPr>
            <w:r>
              <w:t>-0.0000900373</w:t>
            </w:r>
          </w:p>
        </w:tc>
        <w:tc>
          <w:tcPr>
            <w:tcW w:w="1206" w:type="pct"/>
            <w:vAlign w:val="center"/>
          </w:tcPr>
          <w:p w:rsidR="0018722C">
            <w:pPr>
              <w:pStyle w:val="affff9"/>
              <w:topLinePunct/>
              <w:ind w:leftChars="0" w:left="0" w:rightChars="0" w:right="0" w:firstLineChars="0" w:firstLine="0"/>
              <w:spacing w:line="240" w:lineRule="atLeast"/>
            </w:pPr>
            <w:r>
              <w:t>-0.067748986</w:t>
            </w:r>
          </w:p>
        </w:tc>
      </w:tr>
      <w:tr>
        <w:tc>
          <w:tcPr>
            <w:tcW w:w="963" w:type="pct"/>
            <w:vAlign w:val="center"/>
            <w:tcBorders>
              <w:top w:val="single" w:sz="4" w:space="0" w:color="auto"/>
            </w:tcBorders>
          </w:tcPr>
          <w:p w:rsidR="0018722C">
            <w:pPr>
              <w:pStyle w:val="ac"/>
              <w:topLinePunct/>
              <w:ind w:leftChars="0" w:left="0" w:rightChars="0" w:right="0" w:firstLineChars="0" w:firstLine="0"/>
              <w:spacing w:line="240" w:lineRule="atLeast"/>
            </w:pPr>
            <w:r>
              <w:t>ECM </w:t>
            </w:r>
            <w:r>
              <w:t>模型</w:t>
            </w:r>
          </w:p>
        </w:tc>
        <w:tc>
          <w:tcPr>
            <w:tcW w:w="1433" w:type="pct"/>
            <w:vAlign w:val="center"/>
            <w:tcBorders>
              <w:top w:val="single" w:sz="4" w:space="0" w:color="auto"/>
            </w:tcBorders>
          </w:tcPr>
          <w:p w:rsidR="0018722C">
            <w:pPr>
              <w:pStyle w:val="affff9"/>
              <w:topLinePunct/>
              <w:ind w:leftChars="0" w:left="0" w:rightChars="0" w:right="0" w:firstLineChars="0" w:firstLine="0"/>
              <w:spacing w:line="240" w:lineRule="atLeast"/>
            </w:pPr>
            <w:r>
              <w:t>0.0013291287</w:t>
            </w:r>
          </w:p>
        </w:tc>
        <w:tc>
          <w:tcPr>
            <w:tcW w:w="1398" w:type="pct"/>
            <w:vAlign w:val="center"/>
            <w:tcBorders>
              <w:top w:val="single" w:sz="4" w:space="0" w:color="auto"/>
            </w:tcBorders>
          </w:tcPr>
          <w:p w:rsidR="0018722C">
            <w:pPr>
              <w:pStyle w:val="affff9"/>
              <w:topLinePunct/>
              <w:ind w:leftChars="0" w:left="0" w:rightChars="0" w:right="0" w:firstLineChars="0" w:firstLine="0"/>
              <w:spacing w:line="240" w:lineRule="atLeast"/>
            </w:pPr>
            <w:r>
              <w:t>-0.0000916029</w:t>
            </w:r>
          </w:p>
        </w:tc>
        <w:tc>
          <w:tcPr>
            <w:tcW w:w="1206" w:type="pct"/>
            <w:vAlign w:val="center"/>
            <w:tcBorders>
              <w:top w:val="single" w:sz="4" w:space="0" w:color="auto"/>
            </w:tcBorders>
          </w:tcPr>
          <w:p w:rsidR="0018722C">
            <w:pPr>
              <w:pStyle w:val="affff9"/>
              <w:topLinePunct/>
              <w:ind w:leftChars="0" w:left="0" w:rightChars="0" w:right="0" w:firstLineChars="0" w:firstLine="0"/>
              <w:spacing w:line="240" w:lineRule="atLeast"/>
            </w:pPr>
            <w:r>
              <w:t>-0.068919524</w:t>
            </w:r>
          </w:p>
        </w:tc>
      </w:tr>
    </w:tbl>
    <w:p w:rsidR="0018722C">
      <w:pPr>
        <w:pStyle w:val="affa"/>
      </w:pPr>
    </w:p>
    <w:p w:rsidR="0018722C">
      <w:pPr>
        <w:topLinePunct/>
      </w:pPr>
      <w:r>
        <w:t>从</w:t>
      </w:r>
      <w:r>
        <w:t>表</w:t>
      </w:r>
      <w:r>
        <w:rPr>
          <w:rFonts w:ascii="Times New Roman" w:eastAsia="Times New Roman"/>
        </w:rPr>
        <w:t>4-6</w:t>
      </w:r>
      <w:r>
        <w:t>可以看出，各套期保值模型相比于传统套期保值而言，组合收益率</w:t>
      </w:r>
      <w:r>
        <w:t>标准差均有所下降，收益率均值有所提高，收益风险比都有一定程度的提高。其中，</w:t>
      </w:r>
      <w:r>
        <w:rPr>
          <w:rFonts w:ascii="Times New Roman" w:eastAsia="Times New Roman"/>
        </w:rPr>
        <w:t>B-VAR</w:t>
      </w:r>
      <w:r>
        <w:t>模型收益风险比达到最大值，因此针对于风险和收益兼顾的套期保值投资者，</w:t>
      </w:r>
      <w:r>
        <w:rPr>
          <w:rFonts w:ascii="Times New Roman" w:eastAsia="Times New Roman"/>
        </w:rPr>
        <w:t>B-VAR</w:t>
      </w:r>
      <w:r>
        <w:t>模型是最佳的选择。</w:t>
      </w:r>
    </w:p>
    <w:p w:rsidR="0018722C">
      <w:pPr>
        <w:topLinePunct/>
      </w:pPr>
      <w:r>
        <w:rPr>
          <w:rFonts w:cstheme="minorBidi" w:hAnsiTheme="minorHAnsi" w:eastAsiaTheme="minorHAnsi" w:asciiTheme="minorHAnsi" w:ascii="Calibri"/>
        </w:rPr>
        <w:t>28</w:t>
      </w:r>
    </w:p>
    <w:p w:rsidR="0018722C">
      <w:pPr>
        <w:pStyle w:val="Heading1"/>
        <w:topLinePunct/>
      </w:pPr>
      <w:bookmarkStart w:id="737416" w:name="_Toc686737416"/>
      <w:bookmarkStart w:name="_bookmark34" w:id="62"/>
      <w:bookmarkEnd w:id="62"/>
      <w:r/>
      <w:r>
        <w:t>第五章</w:t>
      </w:r>
      <w:r>
        <w:t xml:space="preserve">  </w:t>
      </w:r>
      <w:r w:rsidRPr="00DB64CE">
        <w:t>结论</w:t>
      </w:r>
      <w:bookmarkEnd w:id="737416"/>
    </w:p>
    <w:p w:rsidR="0018722C">
      <w:pPr>
        <w:topLinePunct/>
      </w:pPr>
      <w:r>
        <w:t>本文是在国内期货市场快速发展，利率市场化水平不断推进的宏观背景下，</w:t>
      </w:r>
      <w:r w:rsidR="001852F3">
        <w:t xml:space="preserve">针对重新恢复上市的国债期货进行研究，探讨其套期保值比率和套期保值效果。</w:t>
      </w:r>
      <w:r>
        <w:t>本文选取数据是从国债期货于</w:t>
      </w:r>
      <w:r>
        <w:rPr>
          <w:rFonts w:ascii="Times New Roman" w:eastAsia="Times New Roman"/>
        </w:rPr>
        <w:t>2013</w:t>
      </w:r>
      <w:r>
        <w:t>年</w:t>
      </w:r>
      <w:r>
        <w:rPr>
          <w:rFonts w:ascii="Times New Roman" w:eastAsia="Times New Roman"/>
        </w:rPr>
        <w:t>9</w:t>
      </w:r>
      <w:r>
        <w:t>月</w:t>
      </w:r>
      <w:r>
        <w:rPr>
          <w:rFonts w:ascii="Times New Roman" w:eastAsia="Times New Roman"/>
        </w:rPr>
        <w:t>6</w:t>
      </w:r>
      <w:r>
        <w:t>日上市之初至</w:t>
      </w:r>
      <w:r>
        <w:rPr>
          <w:rFonts w:ascii="Times New Roman" w:eastAsia="Times New Roman"/>
        </w:rPr>
        <w:t>2014</w:t>
      </w:r>
      <w:r>
        <w:t>年</w:t>
      </w:r>
      <w:r>
        <w:rPr>
          <w:rFonts w:ascii="Times New Roman" w:eastAsia="Times New Roman"/>
        </w:rPr>
        <w:t>3</w:t>
      </w:r>
      <w:r>
        <w:t>月</w:t>
      </w:r>
      <w:r>
        <w:rPr>
          <w:rFonts w:ascii="Times New Roman" w:eastAsia="Times New Roman"/>
        </w:rPr>
        <w:t>21</w:t>
      </w:r>
      <w:r>
        <w:t>日主力合约的日交易数据，根据套期保值理论，利用普通最小二乘法</w:t>
      </w:r>
      <w:r>
        <w:t>（</w:t>
      </w:r>
      <w:r>
        <w:rPr>
          <w:rFonts w:ascii="Times New Roman" w:eastAsia="Times New Roman"/>
        </w:rPr>
        <w:t>OLS</w:t>
      </w:r>
      <w:r>
        <w:t>）</w:t>
      </w:r>
      <w:r>
        <w:t>模型、</w:t>
      </w:r>
      <w:r>
        <w:t>双变量自回归</w:t>
      </w:r>
      <w:r>
        <w:t>（</w:t>
      </w:r>
      <w:r>
        <w:rPr>
          <w:rFonts w:ascii="Times New Roman" w:eastAsia="Times New Roman"/>
          <w:spacing w:val="-4"/>
        </w:rPr>
        <w:t>B-VAR</w:t>
      </w:r>
      <w:r>
        <w:t>）</w:t>
      </w:r>
      <w:r>
        <w:t>模型、误差修正模型</w:t>
      </w:r>
      <w:r>
        <w:t>（</w:t>
      </w:r>
      <w:r>
        <w:rPr>
          <w:rFonts w:ascii="Times New Roman" w:eastAsia="Times New Roman"/>
        </w:rPr>
        <w:t>ECM</w:t>
      </w:r>
      <w:r>
        <w:t>）</w:t>
      </w:r>
      <w:r>
        <w:rPr>
          <w:rFonts w:ascii="Times New Roman" w:eastAsia="Times New Roman"/>
        </w:rPr>
        <w:t>3</w:t>
      </w:r>
      <w:r>
        <w:t>种主流研究模型，对国债期货套期保值比率进行深入探讨，并对比其绩效。</w:t>
      </w:r>
    </w:p>
    <w:p w:rsidR="0018722C">
      <w:pPr>
        <w:topLinePunct/>
      </w:pPr>
      <w:r>
        <w:t>结果表明：</w:t>
      </w:r>
    </w:p>
    <w:p w:rsidR="0018722C">
      <w:pPr>
        <w:topLinePunct/>
      </w:pPr>
      <w:r>
        <w:t>（</w:t>
      </w:r>
      <w:r>
        <w:rPr>
          <w:rFonts w:ascii="Times New Roman" w:eastAsia="Times New Roman"/>
        </w:rPr>
        <w:t>1</w:t>
      </w:r>
      <w:r>
        <w:t>）</w:t>
      </w:r>
      <w:r>
        <w:t>误差修正模型</w:t>
      </w:r>
      <w:r>
        <w:t>（</w:t>
      </w:r>
      <w:r>
        <w:rPr>
          <w:rFonts w:ascii="Times New Roman" w:eastAsia="Times New Roman"/>
        </w:rPr>
        <w:t>ECM</w:t>
      </w:r>
      <w:r>
        <w:t>）</w:t>
      </w:r>
      <w:r>
        <w:t>模型所估计的套期保值比率值最高，但是各模型之间相差幅度较小。</w:t>
      </w:r>
    </w:p>
    <w:p w:rsidR="0018722C">
      <w:pPr>
        <w:topLinePunct/>
      </w:pPr>
      <w:r>
        <w:t>（</w:t>
      </w:r>
      <w:r>
        <w:rPr>
          <w:rFonts w:ascii="Times New Roman" w:eastAsia="Times New Roman"/>
        </w:rPr>
        <w:t>2</w:t>
      </w:r>
      <w:r>
        <w:t>）</w:t>
      </w:r>
      <w:r>
        <w:t>普通最小二乘法</w:t>
      </w:r>
      <w:r>
        <w:t>（</w:t>
      </w:r>
      <w:r>
        <w:rPr>
          <w:rFonts w:ascii="Times New Roman" w:eastAsia="Times New Roman"/>
        </w:rPr>
        <w:t>OLS</w:t>
      </w:r>
      <w:r>
        <w:t>）</w:t>
      </w:r>
      <w:r>
        <w:t xml:space="preserve">模型对于风险降低程度在各模型中有着最佳的效果，风险降低幅度达</w:t>
      </w:r>
      <w:r>
        <w:rPr>
          <w:rFonts w:ascii="Times New Roman" w:eastAsia="Times New Roman"/>
        </w:rPr>
        <w:t>34</w:t>
      </w:r>
      <w:r>
        <w:rPr>
          <w:rFonts w:ascii="Times New Roman" w:eastAsia="Times New Roman"/>
        </w:rPr>
        <w:t>.</w:t>
      </w:r>
      <w:r>
        <w:rPr>
          <w:rFonts w:ascii="Times New Roman" w:eastAsia="Times New Roman"/>
        </w:rPr>
        <w:t>0497%</w:t>
      </w:r>
      <w:r>
        <w:t>，适合风险规避型投资者。</w:t>
      </w:r>
    </w:p>
    <w:p w:rsidR="0018722C">
      <w:pPr>
        <w:topLinePunct/>
      </w:pPr>
      <w:r>
        <w:t>（</w:t>
      </w:r>
      <w:r>
        <w:rPr>
          <w:rFonts w:ascii="Times New Roman" w:eastAsia="Times New Roman"/>
        </w:rPr>
        <w:t>3</w:t>
      </w:r>
      <w:r>
        <w:t>）</w:t>
      </w:r>
      <w:r>
        <w:t>在综合考虑风险和收益的情况下，双变量自回归模型</w:t>
      </w:r>
      <w:r>
        <w:t>（</w:t>
      </w:r>
      <w:r>
        <w:rPr>
          <w:rFonts w:ascii="Times New Roman" w:eastAsia="Times New Roman"/>
        </w:rPr>
        <w:t>B-VAR</w:t>
      </w:r>
      <w:r>
        <w:t>）</w:t>
      </w:r>
      <w:r>
        <w:t>可以取得最佳的收益风险比，适合以风险与收益综合考量的投资者。</w:t>
      </w:r>
    </w:p>
    <w:p w:rsidR="0018722C">
      <w:pPr>
        <w:topLinePunct/>
      </w:pPr>
      <w:r>
        <w:t>（</w:t>
      </w:r>
      <w:r>
        <w:rPr>
          <w:rFonts w:ascii="Times New Roman" w:eastAsia="Times New Roman"/>
        </w:rPr>
        <w:t>4</w:t>
      </w:r>
      <w:r>
        <w:t>）</w:t>
      </w:r>
      <w:r>
        <w:t>模型方程可决系数偏低，即模型方程的拟合程度欠佳。此由两方面的</w:t>
      </w:r>
      <w:r>
        <w:t>情况造成，一方面来自国债期货市场，由于成交量日渐低迷，市场价格时常萎靡</w:t>
      </w:r>
      <w:r>
        <w:t>不振，时常波动剧烈，造成期现货市场的不同步；另一方面，国债</w:t>
      </w:r>
      <w:r>
        <w:rPr>
          <w:rFonts w:ascii="Times New Roman" w:eastAsia="Times New Roman"/>
        </w:rPr>
        <w:t>ETF</w:t>
      </w:r>
      <w:r>
        <w:t>定期的持仓变动也是造成期货市场不同步的因素。</w:t>
      </w:r>
    </w:p>
    <w:p w:rsidR="0018722C">
      <w:pPr>
        <w:topLinePunct/>
      </w:pPr>
      <w:r>
        <w:t>论文不足之处及展望：</w:t>
      </w:r>
    </w:p>
    <w:p w:rsidR="0018722C">
      <w:pPr>
        <w:topLinePunct/>
      </w:pPr>
      <w:r>
        <w:t>本文于数据选取上，受限于国债期货上市时间较短，相信随着时间的推移，</w:t>
      </w:r>
      <w:r w:rsidR="001852F3">
        <w:t xml:space="preserve">数据量的增长会暴露的风险问题，以及带来更多的研究空间，值得研究者进一步探讨。</w:t>
      </w:r>
    </w:p>
    <w:p w:rsidR="0018722C">
      <w:pPr>
        <w:topLinePunct/>
      </w:pPr>
      <w:r>
        <w:t>另一方面，在模型的选取上，选取了</w:t>
      </w:r>
      <w:r>
        <w:rPr>
          <w:rFonts w:ascii="Times New Roman" w:eastAsia="Times New Roman"/>
        </w:rPr>
        <w:t>3</w:t>
      </w:r>
      <w:r>
        <w:t>种常用研究模型进行实证分析，对于</w:t>
      </w:r>
      <w:r>
        <w:t>一些更为复杂的模型，如</w:t>
      </w:r>
      <w:r>
        <w:rPr>
          <w:rFonts w:ascii="Times New Roman" w:eastAsia="Times New Roman"/>
        </w:rPr>
        <w:t>D-BEKK</w:t>
      </w:r>
      <w:r>
        <w:t>二元</w:t>
      </w:r>
      <w:r>
        <w:rPr>
          <w:rFonts w:ascii="Times New Roman" w:eastAsia="Times New Roman"/>
        </w:rPr>
        <w:t>GARCH</w:t>
      </w:r>
      <w:r>
        <w:t>模型，</w:t>
      </w:r>
      <w:r>
        <w:rPr>
          <w:rFonts w:ascii="Times New Roman" w:eastAsia="Times New Roman"/>
        </w:rPr>
        <w:t>Copula GARCH</w:t>
      </w:r>
      <w:r>
        <w:t>模型、</w:t>
      </w:r>
      <w:r>
        <w:rPr>
          <w:rFonts w:ascii="Times New Roman" w:eastAsia="Times New Roman"/>
        </w:rPr>
        <w:t>CCC-GARCH</w:t>
      </w:r>
      <w:r>
        <w:t>模型等并未利用，何种模型在套期保值比率的研究中能带来最佳的效果还有待更为深入的研究。</w:t>
      </w:r>
    </w:p>
    <w:p w:rsidR="0018722C">
      <w:pPr>
        <w:topLinePunct/>
      </w:pPr>
      <w:r>
        <w:rPr>
          <w:rFonts w:cstheme="minorBidi" w:hAnsiTheme="minorHAnsi" w:eastAsiaTheme="minorHAnsi" w:asciiTheme="minorHAnsi" w:ascii="Calibri"/>
        </w:rPr>
        <w:t>29</w:t>
      </w:r>
    </w:p>
    <w:p w:rsidR="0018722C">
      <w:pPr>
        <w:pStyle w:val="afff1"/>
        <w:topLinePunct/>
      </w:pPr>
      <w:bookmarkStart w:id="737417" w:name="_Toc686737417"/>
      <w:bookmarkStart w:name="_bookmark35" w:id="63"/>
      <w:bookmarkEnd w:id="63"/>
      <w:r/>
      <w:r>
        <w:t>参考文献</w:t>
      </w:r>
      <w:bookmarkEnd w:id="737417"/>
    </w:p>
    <w:p w:rsidR="0018722C">
      <w:pPr>
        <w:pStyle w:val="ab"/>
        <w:topLinePunct/>
        <w:ind w:left="200" w:hangingChars="200" w:hanging="200"/>
      </w:pPr>
      <w:r>
        <w:t xml:space="preserve">[</w:t>
      </w:r>
      <w:r>
        <w:t xml:space="preserve">1</w:t>
      </w:r>
      <w:r>
        <w:t xml:space="preserve">]</w:t>
      </w:r>
      <w:r/>
      <w:r>
        <w:t xml:space="preserve">  </w:t>
      </w:r>
      <w:r>
        <w:rPr>
          <w:rFonts w:ascii="宋体" w:eastAsia="宋体" w:hint="eastAsia"/>
        </w:rPr>
        <w:t>花俊洲</w:t>
      </w:r>
      <w:r>
        <w:rPr>
          <w:rFonts w:ascii="宋体" w:eastAsia="宋体" w:hint="eastAsia"/>
        </w:rPr>
        <w:t xml:space="preserve"> , </w:t>
      </w:r>
      <w:r>
        <w:rPr>
          <w:rFonts w:ascii="宋体" w:eastAsia="宋体" w:hint="eastAsia"/>
        </w:rPr>
        <w:t>吴冲锋</w:t>
      </w:r>
      <w:r>
        <w:rPr>
          <w:rFonts w:ascii="宋体" w:eastAsia="宋体" w:hint="eastAsia"/>
        </w:rPr>
        <w:t xml:space="preserve"> , </w:t>
      </w:r>
      <w:r>
        <w:rPr>
          <w:rFonts w:ascii="宋体" w:eastAsia="宋体" w:hint="eastAsia"/>
        </w:rPr>
        <w:t>刘海龙</w:t>
      </w:r>
      <w:r>
        <w:rPr>
          <w:rFonts w:ascii="宋体" w:eastAsia="宋体" w:hint="eastAsia"/>
        </w:rPr>
        <w:t xml:space="preserve"> , </w:t>
      </w:r>
      <w:r>
        <w:rPr>
          <w:rFonts w:ascii="宋体" w:eastAsia="宋体" w:hint="eastAsia"/>
        </w:rPr>
        <w:t>邹炎</w:t>
      </w:r>
      <w:r>
        <w:t>. </w:t>
      </w:r>
      <w:r>
        <w:rPr>
          <w:rFonts w:ascii="宋体" w:eastAsia="宋体" w:hint="eastAsia"/>
        </w:rPr>
        <w:t>期铜套期保值有效性实证研究</w:t>
      </w:r>
      <w:r>
        <w:t>[</w:t>
      </w:r>
      <w:r>
        <w:rPr>
          <w:sz w:val="24"/>
        </w:rPr>
        <w:t xml:space="preserve"> J</w:t>
      </w:r>
      <w:r>
        <w:t>]</w:t>
      </w:r>
      <w:r>
        <w:t xml:space="preserve"> . </w:t>
      </w:r>
      <w:r>
        <w:rPr>
          <w:rFonts w:ascii="宋体" w:eastAsia="宋体" w:hint="eastAsia"/>
        </w:rPr>
        <w:t>系统工</w:t>
      </w:r>
      <w:r>
        <w:rPr>
          <w:rFonts w:ascii="宋体" w:eastAsia="宋体" w:hint="eastAsia"/>
        </w:rPr>
        <w:t>程理论方法应用</w:t>
      </w:r>
      <w:r>
        <w:rPr>
          <w:rFonts w:ascii="宋体" w:eastAsia="宋体" w:hint="eastAsia"/>
        </w:rPr>
        <w:t xml:space="preserve"> , </w:t>
      </w:r>
      <w:r>
        <w:t>2003</w:t>
      </w:r>
      <w:r>
        <w:rPr>
          <w:rFonts w:ascii="宋体" w:eastAsia="宋体" w:hint="eastAsia"/>
          <w:rFonts w:ascii="宋体" w:eastAsia="宋体" w:hint="eastAsia"/>
          <w:w w:val="95"/>
          <w:sz w:val="24"/>
        </w:rPr>
        <w:t xml:space="preserve"> , </w:t>
      </w:r>
      <w:r>
        <w:t xml:space="preserve"> 3:</w:t>
      </w:r>
      <w:r>
        <w:t xml:space="preserve">  </w:t>
      </w:r>
      <w:r>
        <w:t>204-208.</w:t>
      </w:r>
    </w:p>
    <w:p w:rsidR="0018722C">
      <w:pPr>
        <w:pStyle w:val="ab"/>
        <w:topLinePunct/>
        <w:ind w:left="200" w:hangingChars="200" w:hanging="200"/>
      </w:pPr>
      <w:r>
        <w:t xml:space="preserve">[</w:t>
      </w:r>
      <w:r>
        <w:t xml:space="preserve">2</w:t>
      </w:r>
      <w:r>
        <w:t xml:space="preserve">]</w:t>
      </w:r>
      <w:r/>
      <w:r>
        <w:t xml:space="preserve">  </w:t>
      </w:r>
      <w:r>
        <w:rPr>
          <w:rFonts w:ascii="宋体" w:eastAsia="宋体" w:hint="eastAsia"/>
        </w:rPr>
        <w:t>梁斌</w:t>
      </w:r>
      <w:r>
        <w:rPr>
          <w:rFonts w:ascii="宋体" w:eastAsia="宋体" w:hint="eastAsia"/>
        </w:rPr>
        <w:t xml:space="preserve"> , </w:t>
      </w:r>
      <w:r>
        <w:rPr>
          <w:rFonts w:ascii="宋体" w:eastAsia="宋体" w:hint="eastAsia"/>
        </w:rPr>
        <w:t>陈敏</w:t>
      </w:r>
      <w:r>
        <w:rPr>
          <w:rFonts w:ascii="宋体" w:eastAsia="宋体" w:hint="eastAsia"/>
        </w:rPr>
        <w:t xml:space="preserve"> , </w:t>
      </w:r>
      <w:r>
        <w:rPr>
          <w:rFonts w:ascii="宋体" w:eastAsia="宋体" w:hint="eastAsia"/>
        </w:rPr>
        <w:t>缪柏其</w:t>
      </w:r>
      <w:r>
        <w:rPr>
          <w:rFonts w:ascii="宋体" w:eastAsia="宋体" w:hint="eastAsia"/>
        </w:rPr>
        <w:t xml:space="preserve"> , </w:t>
      </w:r>
      <w:r>
        <w:rPr>
          <w:rFonts w:ascii="宋体" w:eastAsia="宋体" w:hint="eastAsia"/>
        </w:rPr>
        <w:t>吴武清</w:t>
      </w:r>
      <w:r>
        <w:t xml:space="preserve"> .</w:t>
      </w:r>
      <w:r>
        <w:t xml:space="preserve">  </w:t>
      </w:r>
      <w:r>
        <w:rPr>
          <w:rFonts w:ascii="宋体" w:eastAsia="宋体" w:hint="eastAsia"/>
        </w:rPr>
        <w:t>我国股指期货的套期保值比率研究</w:t>
      </w:r>
      <w:r>
        <w:t>[</w:t>
      </w:r>
      <w:r>
        <w:t xml:space="preserve"> J</w:t>
      </w:r>
      <w:r>
        <w:t>]</w:t>
      </w:r>
      <w:r>
        <w:t xml:space="preserve"> .</w:t>
      </w:r>
      <w:r>
        <w:t xml:space="preserve">  </w:t>
      </w:r>
      <w:r>
        <w:rPr>
          <w:rFonts w:ascii="宋体" w:eastAsia="宋体" w:hint="eastAsia"/>
        </w:rPr>
        <w:t>数理统</w:t>
      </w:r>
      <w:r>
        <w:rPr>
          <w:rFonts w:ascii="宋体" w:eastAsia="宋体" w:hint="eastAsia"/>
        </w:rPr>
        <w:t>计与管理</w:t>
      </w:r>
      <w:r>
        <w:rPr>
          <w:rFonts w:ascii="宋体" w:eastAsia="宋体" w:hint="eastAsia"/>
        </w:rPr>
        <w:t>,</w:t>
      </w:r>
      <w:r>
        <w:rPr>
          <w:rFonts w:ascii="宋体" w:eastAsia="宋体" w:hint="eastAsia"/>
        </w:rPr>
        <w:t> </w:t>
      </w:r>
      <w:r>
        <w:t>2009</w:t>
      </w:r>
      <w:r>
        <w:t>(</w:t>
      </w:r>
      <w:r>
        <w:t>1</w:t>
      </w:r>
      <w:r>
        <w:t>)</w:t>
      </w:r>
      <w:r>
        <w:t>.</w:t>
      </w:r>
    </w:p>
    <w:p w:rsidR="0018722C">
      <w:pPr>
        <w:pStyle w:val="ab"/>
        <w:topLinePunct/>
        <w:ind w:left="200" w:hangingChars="200" w:hanging="200"/>
      </w:pPr>
      <w:r>
        <w:t>[</w:t>
      </w:r>
      <w:r>
        <w:t xml:space="preserve">3</w:t>
      </w:r>
      <w:r>
        <w:t>]</w:t>
      </w:r>
      <w:r/>
      <w:r>
        <w:t xml:space="preserve">  </w:t>
      </w:r>
      <w:r>
        <w:rPr>
          <w:rFonts w:ascii="宋体" w:eastAsia="宋体" w:hint="eastAsia"/>
        </w:rPr>
        <w:t>史晋川</w:t>
      </w:r>
      <w:r>
        <w:rPr>
          <w:rFonts w:ascii="宋体" w:eastAsia="宋体" w:hint="eastAsia"/>
        </w:rPr>
        <w:t xml:space="preserve"> , </w:t>
      </w:r>
      <w:r>
        <w:rPr>
          <w:rFonts w:ascii="宋体" w:eastAsia="宋体" w:hint="eastAsia"/>
        </w:rPr>
        <w:t>陈向明</w:t>
      </w:r>
      <w:r>
        <w:rPr>
          <w:rFonts w:ascii="宋体" w:eastAsia="宋体" w:hint="eastAsia"/>
        </w:rPr>
        <w:t xml:space="preserve"> , </w:t>
      </w:r>
      <w:r>
        <w:rPr>
          <w:rFonts w:ascii="宋体" w:eastAsia="宋体" w:hint="eastAsia"/>
        </w:rPr>
        <w:t>汪炜</w:t>
      </w:r>
      <w:r>
        <w:t>. </w:t>
      </w:r>
      <w:r>
        <w:rPr>
          <w:rFonts w:ascii="宋体" w:eastAsia="宋体" w:hint="eastAsia"/>
        </w:rPr>
        <w:t>基于协整关系的中国铜期货合约套期保值策略</w:t>
      </w:r>
      <w:r>
        <w:t>[</w:t>
      </w:r>
      <w:r>
        <w:t xml:space="preserve"> J</w:t>
      </w:r>
      <w:r>
        <w:t>]</w:t>
      </w:r>
      <w:r>
        <w:t xml:space="preserve"> . </w:t>
      </w:r>
      <w:r>
        <w:rPr>
          <w:rFonts w:ascii="宋体" w:eastAsia="宋体" w:hint="eastAsia"/>
        </w:rPr>
        <w:t>财贸经济</w:t>
      </w:r>
      <w:r>
        <w:rPr>
          <w:rFonts w:ascii="宋体" w:eastAsia="宋体" w:hint="eastAsia"/>
        </w:rPr>
        <w:t xml:space="preserve"> , </w:t>
      </w:r>
      <w:r>
        <w:t>2006</w:t>
      </w:r>
      <w:r/>
      <w:r>
        <w:rPr>
          <w:rFonts w:ascii="宋体" w:eastAsia="宋体" w:hint="eastAsia"/>
          <w:rFonts w:ascii="宋体" w:eastAsia="宋体" w:hint="eastAsia"/>
          <w:spacing w:val="-1"/>
          <w:sz w:val="24"/>
        </w:rPr>
        <w:t>,</w:t>
      </w:r>
      <w:r>
        <w:rPr>
          <w:rFonts w:ascii="宋体" w:eastAsia="宋体" w:hint="eastAsia"/>
        </w:rPr>
        <w:t> </w:t>
      </w:r>
      <w:r>
        <w:t>(</w:t>
      </w:r>
      <w:r>
        <w:t xml:space="preserve"> 11</w:t>
      </w:r>
      <w:r>
        <w:t>)</w:t>
      </w:r>
      <w:r/>
      <w:r>
        <w:t xml:space="preserve"> :</w:t>
      </w:r>
      <w:r>
        <w:t xml:space="preserve">  </w:t>
      </w:r>
      <w:r>
        <w:t>37</w:t>
      </w:r>
      <w:r>
        <w:t> - </w:t>
      </w:r>
      <w:r>
        <w:t>40.</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
        <w:t xml:space="preserve">  </w:t>
      </w:r>
      <w:r>
        <w:rPr>
          <w:rFonts w:ascii="宋体" w:eastAsia="宋体" w:hint="eastAsia"/>
        </w:rPr>
        <w:t>王骏</w:t>
      </w:r>
      <w:r>
        <w:rPr>
          <w:rFonts w:ascii="宋体" w:eastAsia="宋体" w:hint="eastAsia"/>
        </w:rPr>
        <w:t xml:space="preserve"> , </w:t>
      </w:r>
      <w:r>
        <w:rPr>
          <w:rFonts w:ascii="宋体" w:eastAsia="宋体" w:hint="eastAsia"/>
        </w:rPr>
        <w:t>张宗成</w:t>
      </w:r>
      <w:r>
        <w:t>. </w:t>
      </w:r>
      <w:r>
        <w:rPr>
          <w:rFonts w:ascii="宋体" w:eastAsia="宋体" w:hint="eastAsia"/>
        </w:rPr>
        <w:t>中国有色金属期货市场套期保值绩效的实证研究</w:t>
      </w:r>
      <w:r>
        <w:t xml:space="preserve"> :</w:t>
      </w:r>
      <w:r>
        <w:t xml:space="preserve">  </w:t>
      </w:r>
      <w:r>
        <w:t>2000</w:t>
      </w:r>
      <w:r>
        <w:t> - </w:t>
      </w:r>
      <w:r>
        <w:t>2004</w:t>
      </w:r>
      <w:r>
        <w:t>年</w:t>
      </w:r>
      <w:r>
        <w:rPr>
          <w:rFonts w:ascii="Times New Roman" w:eastAsia="宋体"/>
        </w:rPr>
        <w:t>. </w:t>
      </w:r>
      <w:r>
        <w:t>中国地质大学学报</w:t>
      </w:r>
      <w:r>
        <w:rPr>
          <w:rFonts w:ascii="Times New Roman" w:eastAsia="宋体"/>
        </w:rPr>
        <w:t>(</w:t>
      </w:r>
      <w:r>
        <w:t>社会科学版</w:t>
      </w:r>
      <w:r>
        <w:rPr>
          <w:rFonts w:ascii="Times New Roman" w:eastAsia="宋体"/>
        </w:rPr>
        <w:t>)</w:t>
      </w:r>
      <w:r>
        <w:rPr>
          <w:spacing w:val="0"/>
        </w:rPr>
        <w:t>,</w:t>
      </w:r>
      <w:r>
        <w:t> </w:t>
      </w:r>
      <w:r>
        <w:rPr>
          <w:rFonts w:ascii="Times New Roman" w:eastAsia="宋体"/>
        </w:rPr>
        <w:t>2006</w:t>
      </w:r>
      <w:r>
        <w:rPr>
          <w:spacing w:val="0"/>
        </w:rPr>
        <w:t>,</w:t>
      </w:r>
      <w:r>
        <w:t> </w:t>
      </w:r>
      <w:r>
        <w:rPr>
          <w:rFonts w:ascii="Times New Roman" w:eastAsia="宋体"/>
        </w:rPr>
        <w:t>(</w:t>
      </w:r>
      <w:r>
        <w:rPr>
          <w:rFonts w:ascii="Times New Roman" w:eastAsia="宋体"/>
        </w:rPr>
        <w:t xml:space="preserve"> 1</w:t>
      </w:r>
      <w:r>
        <w:rPr>
          <w:rFonts w:ascii="Times New Roman" w:eastAsia="宋体"/>
        </w:rPr>
        <w:t>)</w:t>
      </w:r>
      <w:r w:rsidR="004B696B">
        <w:rPr>
          <w:rFonts w:ascii="Times New Roman" w:eastAsia="宋体"/>
        </w:rPr>
        <w:t xml:space="preserve"> :</w:t>
      </w:r>
      <w:r>
        <w:rPr>
          <w:rFonts w:ascii="Times New Roman" w:eastAsia="宋体"/>
        </w:rPr>
        <w:t xml:space="preserve">  </w:t>
      </w:r>
      <w:r>
        <w:rPr>
          <w:rFonts w:ascii="Times New Roman" w:eastAsia="宋体"/>
        </w:rPr>
        <w:t>46</w:t>
      </w:r>
      <w:r>
        <w:rPr>
          <w:rFonts w:ascii="Times New Roman" w:eastAsia="宋体"/>
        </w:rPr>
        <w:t> - </w:t>
      </w:r>
      <w:r>
        <w:rPr>
          <w:rFonts w:ascii="Times New Roman" w:eastAsia="宋体"/>
        </w:rPr>
        <w:t>51.</w:t>
      </w:r>
    </w:p>
    <w:p w:rsidR="0018722C">
      <w:pPr>
        <w:pStyle w:val="ab"/>
        <w:topLinePunct/>
        <w:ind w:left="200" w:hangingChars="200" w:hanging="200"/>
      </w:pPr>
      <w:r>
        <w:t>[</w:t>
      </w:r>
      <w:r>
        <w:t xml:space="preserve">5</w:t>
      </w:r>
      <w:r>
        <w:t>]</w:t>
      </w:r>
      <w:r/>
      <w:r>
        <w:t xml:space="preserve">  </w:t>
      </w:r>
      <w:r>
        <w:rPr>
          <w:rFonts w:ascii="宋体" w:eastAsia="宋体" w:hint="eastAsia"/>
        </w:rPr>
        <w:t>王骏</w:t>
      </w:r>
      <w:r>
        <w:rPr>
          <w:rFonts w:ascii="宋体" w:eastAsia="宋体" w:hint="eastAsia"/>
        </w:rPr>
        <w:t xml:space="preserve"> , </w:t>
      </w:r>
      <w:r>
        <w:rPr>
          <w:rFonts w:ascii="宋体" w:eastAsia="宋体" w:hint="eastAsia"/>
        </w:rPr>
        <w:t>张宗成</w:t>
      </w:r>
      <w:r>
        <w:t>. </w:t>
      </w:r>
      <w:r>
        <w:rPr>
          <w:rFonts w:ascii="宋体" w:eastAsia="宋体" w:hint="eastAsia"/>
        </w:rPr>
        <w:t>中国硬麦和大豆期货市场套期保值绩效的实证研究</w:t>
      </w:r>
      <w:r>
        <w:t>[</w:t>
      </w:r>
      <w:r>
        <w:t xml:space="preserve"> J</w:t>
      </w:r>
      <w:r>
        <w:t xml:space="preserve"> ]</w:t>
      </w:r>
      <w:r>
        <w:t xml:space="preserve">  </w:t>
      </w:r>
      <w:r/>
      <w:r>
        <w:rPr>
          <w:rFonts w:ascii="宋体" w:eastAsia="宋体" w:hint="eastAsia"/>
        </w:rPr>
        <w:t>中国农业大学学报</w:t>
      </w:r>
      <w:r>
        <w:rPr>
          <w:rFonts w:ascii="宋体" w:eastAsia="宋体" w:hint="eastAsia"/>
        </w:rPr>
        <w:t xml:space="preserve"> , </w:t>
      </w:r>
      <w:r>
        <w:t>2005</w:t>
      </w:r>
      <w:r>
        <w:rPr>
          <w:rFonts w:ascii="宋体" w:eastAsia="宋体" w:hint="eastAsia"/>
          <w:rFonts w:ascii="宋体" w:eastAsia="宋体" w:hint="eastAsia"/>
          <w:sz w:val="24"/>
        </w:rPr>
        <w:t xml:space="preserve"> , </w:t>
      </w:r>
      <w:r>
        <w:t>(</w:t>
      </w:r>
      <w:r>
        <w:t xml:space="preserve"> 4</w:t>
      </w:r>
      <w:r>
        <w:t>)</w:t>
      </w:r>
      <w:r/>
      <w:r>
        <w:t xml:space="preserve"> :</w:t>
      </w:r>
      <w:r>
        <w:t xml:space="preserve">  </w:t>
      </w:r>
      <w:r>
        <w:t>131</w:t>
      </w:r>
      <w:r>
        <w:t> -</w:t>
      </w:r>
      <w:r>
        <w:t>137.</w:t>
      </w:r>
    </w:p>
    <w:p w:rsidR="0018722C">
      <w:pPr>
        <w:pStyle w:val="ab"/>
        <w:topLinePunct/>
        <w:ind w:left="200" w:hangingChars="200" w:hanging="200"/>
      </w:pPr>
      <w:r>
        <w:t>[</w:t>
      </w:r>
      <w:r>
        <w:t xml:space="preserve">6</w:t>
      </w:r>
      <w:r>
        <w:t>]</w:t>
      </w:r>
      <w:r/>
      <w:r w:rsidRPr="00281126">
        <w:t xml:space="preserve">  </w:t>
      </w:r>
      <w:r>
        <w:t>Baillie</w:t>
      </w:r>
      <w:r>
        <w:rPr>
          <w:rFonts w:ascii="宋体" w:hAnsi="宋体" w:eastAsia="宋体" w:hint="eastAsia"/>
          <w:rFonts w:ascii="宋体" w:hAnsi="宋体" w:eastAsia="宋体" w:hint="eastAsia"/>
          <w:sz w:val="24"/>
        </w:rPr>
        <w:t>,</w:t>
      </w:r>
      <w:r>
        <w:rPr>
          <w:rFonts w:ascii="宋体" w:hAnsi="宋体" w:eastAsia="宋体" w:hint="eastAsia"/>
        </w:rPr>
        <w:t> </w:t>
      </w:r>
      <w:r>
        <w:t>R. </w:t>
      </w:r>
      <w:r>
        <w:t>T. </w:t>
      </w:r>
      <w:r>
        <w:t>and R. Myers. Bivariate GARCH Estimation of The Optimal Commodi</w:t>
      </w:r>
      <w:r>
        <w:t>t</w:t>
      </w:r>
      <w:r>
        <w:t>y</w:t>
      </w:r>
      <w:r>
        <w:t> </w:t>
      </w:r>
      <w:r>
        <w:t>F</w:t>
      </w:r>
      <w:r>
        <w:t>ut</w:t>
      </w:r>
      <w:r>
        <w:t>u</w:t>
      </w:r>
      <w:r>
        <w:t>r</w:t>
      </w:r>
      <w:r>
        <w:t>e</w:t>
      </w:r>
      <w:r>
        <w:t>s</w:t>
      </w:r>
      <w:r>
        <w:t> </w:t>
      </w:r>
      <w:r>
        <w:t>H</w:t>
      </w:r>
      <w:r>
        <w:t>e</w:t>
      </w:r>
      <w:r>
        <w:t>d</w:t>
      </w:r>
      <w:r>
        <w:t>g</w:t>
      </w:r>
      <w:r>
        <w:t>e</w:t>
      </w:r>
      <w:r>
        <w:t> </w:t>
      </w:r>
      <w:r>
        <w:t>[</w:t>
      </w:r>
      <w:r>
        <w:t>J</w:t>
      </w:r>
      <w:r>
        <w:t>]</w:t>
      </w:r>
      <w:r/>
      <w:r/>
      <w:r>
        <w:rPr>
          <w:rFonts w:ascii="宋体" w:hAnsi="宋体" w:eastAsia="宋体" w:hint="eastAsia"/>
          <w:rFonts w:ascii="宋体" w:hAnsi="宋体" w:eastAsia="宋体" w:hint="eastAsia"/>
          <w:spacing w:val="-59"/>
          <w:w w:val="99"/>
          <w:sz w:val="24"/>
        </w:rPr>
        <w:t xml:space="preserve"> , </w:t>
      </w:r>
      <w:r>
        <w:t>J</w:t>
      </w:r>
      <w:r>
        <w:t>ourn</w:t>
      </w:r>
      <w:r>
        <w:t>a</w:t>
      </w:r>
      <w:r>
        <w:t>l of</w:t>
      </w:r>
      <w:r>
        <w:t> </w:t>
      </w:r>
      <w:r>
        <w:t>Applied E</w:t>
      </w:r>
      <w:r>
        <w:t>c</w:t>
      </w:r>
      <w:r>
        <w:t>onomet</w:t>
      </w:r>
      <w:r>
        <w:t>r</w:t>
      </w:r>
      <w:r>
        <w:t>ics</w:t>
      </w:r>
      <w:r/>
      <w:r>
        <w:rPr>
          <w:rFonts w:ascii="宋体" w:hAnsi="宋体" w:eastAsia="宋体" w:hint="eastAsia"/>
          <w:rFonts w:ascii="宋体" w:hAnsi="宋体" w:eastAsia="宋体" w:hint="eastAsia"/>
          <w:spacing w:val="-58"/>
          <w:sz w:val="24"/>
        </w:rPr>
        <w:t xml:space="preserve"> , </w:t>
      </w:r>
      <w:r>
        <w:t>1991</w:t>
      </w:r>
      <w:r/>
      <w:r>
        <w:rPr>
          <w:rFonts w:ascii="宋体" w:hAnsi="宋体" w:eastAsia="宋体" w:hint="eastAsia"/>
          <w:rFonts w:ascii="宋体" w:hAnsi="宋体" w:eastAsia="宋体" w:hint="eastAsia"/>
          <w:spacing w:val="2"/>
          <w:sz w:val="24"/>
        </w:rPr>
        <w:t xml:space="preserve"> , </w:t>
      </w:r>
      <w:r>
        <w:t>(</w:t>
      </w:r>
      <w:r>
        <w:t xml:space="preserve"> 6</w:t>
      </w:r>
      <w:r>
        <w:t>)</w:t>
      </w:r>
      <w:r/>
      <w:r>
        <w:t>: 109</w:t>
      </w:r>
      <w:r w:rsidR="001852F3">
        <w:t xml:space="preserve"> –</w:t>
      </w:r>
      <w:r w:rsidR="001852F3">
        <w:t xml:space="preserve"> 124.</w:t>
      </w:r>
    </w:p>
    <w:p w:rsidR="0018722C">
      <w:pPr>
        <w:pStyle w:val="ab"/>
        <w:topLinePunct/>
        <w:ind w:left="200" w:hangingChars="200" w:hanging="200"/>
      </w:pPr>
      <w:r>
        <w:t>[</w:t>
      </w:r>
      <w:r>
        <w:t xml:space="preserve">7</w:t>
      </w:r>
      <w:r>
        <w:t>]</w:t>
      </w:r>
      <w:r/>
      <w:r w:rsidRPr="00281126">
        <w:t xml:space="preserve">  </w:t>
      </w:r>
      <w:r>
        <w:t xml:space="preserve">Balke.</w:t>
      </w:r>
      <w:r>
        <w:t xml:space="preserve"> </w:t>
      </w:r>
      <w:r>
        <w:t>N.</w:t>
      </w:r>
      <w:r>
        <w:t xml:space="preserve"> </w:t>
      </w:r>
      <w:r>
        <w:t>S</w:t>
      </w:r>
      <w:r>
        <w:rPr>
          <w:rFonts w:ascii="宋体" w:eastAsia="宋体" w:hint="eastAsia"/>
          <w:rFonts w:ascii="宋体" w:eastAsia="宋体" w:hint="eastAsia"/>
          <w:sz w:val="24"/>
        </w:rPr>
        <w:t>,</w:t>
      </w:r>
      <w:r>
        <w:rPr>
          <w:rFonts w:ascii="宋体" w:eastAsia="宋体" w:hint="eastAsia"/>
        </w:rPr>
        <w:t> </w:t>
      </w:r>
      <w:r>
        <w:t xml:space="preserve">Fomby.</w:t>
      </w:r>
      <w:r>
        <w:t xml:space="preserve"> </w:t>
      </w:r>
      <w:r>
        <w:t>T.</w:t>
      </w:r>
      <w:r>
        <w:t xml:space="preserve"> </w:t>
      </w:r>
      <w:r>
        <w:t>B.</w:t>
      </w:r>
      <w:r>
        <w:t> </w:t>
      </w:r>
      <w:r>
        <w:t>Threshold Cointegration</w:t>
      </w:r>
      <w:r>
        <w:t>[</w:t>
      </w:r>
      <w:r>
        <w:rPr>
          <w:sz w:val="24"/>
        </w:rPr>
        <w:t>J</w:t>
      </w:r>
      <w:r>
        <w:t>]</w:t>
      </w:r>
      <w:r>
        <w:t>. International Economic Review</w:t>
      </w:r>
      <w:r>
        <w:rPr>
          <w:rFonts w:ascii="宋体" w:eastAsia="宋体" w:hint="eastAsia"/>
          <w:rFonts w:ascii="宋体" w:eastAsia="宋体" w:hint="eastAsia"/>
          <w:sz w:val="24"/>
        </w:rPr>
        <w:t xml:space="preserve">, </w:t>
      </w:r>
      <w:r>
        <w:t>1997</w:t>
      </w:r>
      <w:r>
        <w:rPr>
          <w:rFonts w:ascii="宋体" w:eastAsia="宋体" w:hint="eastAsia"/>
          <w:rFonts w:ascii="宋体" w:eastAsia="宋体" w:hint="eastAsia"/>
          <w:sz w:val="24"/>
        </w:rPr>
        <w:t xml:space="preserve">, </w:t>
      </w:r>
      <w:r>
        <w:t>38:</w:t>
      </w:r>
      <w:r>
        <w:t> </w:t>
      </w:r>
      <w:r>
        <w:t>627-645.</w:t>
      </w:r>
    </w:p>
    <w:p w:rsidR="0018722C">
      <w:pPr>
        <w:pStyle w:val="ab"/>
        <w:topLinePunct/>
        <w:ind w:left="200" w:hangingChars="200" w:hanging="200"/>
      </w:pPr>
      <w:r>
        <w:t>[</w:t>
      </w:r>
      <w:r>
        <w:t xml:space="preserve">8</w:t>
      </w:r>
      <w:r>
        <w:t>]</w:t>
      </w:r>
      <w:r/>
      <w:r w:rsidRPr="00281126">
        <w:t xml:space="preserve">  </w:t>
      </w:r>
      <w:r>
        <w:t>Bollerslev</w:t>
      </w:r>
      <w:r>
        <w:rPr>
          <w:rFonts w:ascii="宋体" w:eastAsia="宋体" w:hint="eastAsia"/>
          <w:rFonts w:ascii="宋体" w:eastAsia="宋体" w:hint="eastAsia"/>
          <w:sz w:val="24"/>
        </w:rPr>
        <w:t>,</w:t>
      </w:r>
      <w:r>
        <w:rPr>
          <w:rFonts w:ascii="宋体" w:eastAsia="宋体" w:hint="eastAsia"/>
        </w:rPr>
        <w:t> </w:t>
      </w:r>
      <w:r>
        <w:t>T. </w:t>
      </w:r>
      <w:r>
        <w:t>Generalized Autoregressive Conditional Heteroscedasticity</w:t>
      </w:r>
      <w:r>
        <w:rPr>
          <w:rFonts w:ascii="宋体" w:eastAsia="宋体" w:hint="eastAsia"/>
          <w:rFonts w:ascii="宋体" w:eastAsia="宋体" w:hint="eastAsia"/>
          <w:sz w:val="24"/>
        </w:rPr>
        <w:t>,</w:t>
      </w:r>
      <w:r>
        <w:rPr>
          <w:rFonts w:ascii="宋体" w:eastAsia="宋体" w:hint="eastAsia"/>
        </w:rPr>
        <w:t> </w:t>
      </w:r>
      <w:r>
        <w:t>Journal of</w:t>
      </w:r>
      <w:r>
        <w:t> </w:t>
      </w:r>
      <w:r>
        <w:t>Econometrics</w:t>
      </w:r>
      <w:r>
        <w:rPr>
          <w:rFonts w:ascii="宋体" w:eastAsia="宋体" w:hint="eastAsia"/>
          <w:rFonts w:ascii="宋体" w:eastAsia="宋体" w:hint="eastAsia"/>
          <w:sz w:val="24"/>
        </w:rPr>
        <w:t xml:space="preserve">, </w:t>
      </w:r>
      <w:r>
        <w:t>1986</w:t>
      </w:r>
      <w:r>
        <w:rPr>
          <w:rFonts w:ascii="宋体" w:eastAsia="宋体" w:hint="eastAsia"/>
          <w:rFonts w:ascii="宋体" w:eastAsia="宋体" w:hint="eastAsia"/>
          <w:sz w:val="24"/>
        </w:rPr>
        <w:t xml:space="preserve">, </w:t>
      </w:r>
      <w:r>
        <w:t xml:space="preserve">31:</w:t>
      </w:r>
      <w:r>
        <w:t xml:space="preserve"> </w:t>
      </w:r>
      <w:r>
        <w:t>307-327.</w:t>
      </w:r>
    </w:p>
    <w:p w:rsidR="0018722C">
      <w:pPr>
        <w:pStyle w:val="ab"/>
        <w:topLinePunct/>
        <w:ind w:left="200" w:hangingChars="200" w:hanging="200"/>
      </w:pPr>
      <w:r>
        <w:t>[</w:t>
      </w:r>
      <w:r>
        <w:t xml:space="preserve">9</w:t>
      </w:r>
      <w:r>
        <w:t>]</w:t>
      </w:r>
      <w:r w:rsidRPr="00281126">
        <w:t xml:space="preserve">  </w:t>
      </w:r>
      <w:r>
        <w:t>Broll U.</w:t>
      </w:r>
      <w:r>
        <w:rPr>
          <w:rFonts w:ascii="宋体" w:eastAsia="宋体" w:hint="eastAsia"/>
          <w:rFonts w:ascii="宋体" w:eastAsia="宋体" w:hint="eastAsia"/>
          <w:sz w:val="24"/>
        </w:rPr>
        <w:t>,</w:t>
      </w:r>
      <w:r>
        <w:rPr>
          <w:rFonts w:ascii="宋体" w:eastAsia="宋体" w:hint="eastAsia"/>
        </w:rPr>
        <w:t> </w:t>
      </w:r>
      <w:r>
        <w:t>Chow </w:t>
      </w:r>
      <w:r>
        <w:t xml:space="preserve">K.</w:t>
      </w:r>
      <w:r>
        <w:t xml:space="preserve"> </w:t>
      </w:r>
      <w:r>
        <w:t>W.</w:t>
      </w:r>
      <w:r>
        <w:rPr>
          <w:rFonts w:ascii="宋体" w:eastAsia="宋体" w:hint="eastAsia"/>
          <w:rFonts w:ascii="宋体" w:eastAsia="宋体" w:hint="eastAsia"/>
          <w:spacing w:val="-2"/>
          <w:sz w:val="24"/>
        </w:rPr>
        <w:t>,</w:t>
      </w:r>
      <w:r>
        <w:rPr>
          <w:rFonts w:ascii="宋体" w:eastAsia="宋体" w:hint="eastAsia"/>
        </w:rPr>
        <w:t> </w:t>
      </w:r>
      <w:r>
        <w:t>Wong </w:t>
      </w:r>
      <w:r>
        <w:t xml:space="preserve">K.</w:t>
      </w:r>
      <w:r>
        <w:t xml:space="preserve"> </w:t>
      </w:r>
      <w:r>
        <w:t xml:space="preserve">P. </w:t>
      </w:r>
      <w:r>
        <w:t>Hedging and Nonlinear Risk Exposure. Oxford Economic</w:t>
      </w:r>
      <w:r>
        <w:t> </w:t>
      </w:r>
      <w:r>
        <w:t>Papers</w:t>
      </w:r>
      <w:r>
        <w:rPr>
          <w:rFonts w:ascii="宋体" w:eastAsia="宋体" w:hint="eastAsia"/>
          <w:rFonts w:ascii="宋体" w:eastAsia="宋体" w:hint="eastAsia"/>
          <w:sz w:val="24"/>
        </w:rPr>
        <w:t xml:space="preserve">, </w:t>
      </w:r>
      <w:r>
        <w:t>2000</w:t>
      </w:r>
      <w:r>
        <w:rPr>
          <w:rFonts w:ascii="宋体" w:eastAsia="宋体" w:hint="eastAsia"/>
          <w:rFonts w:ascii="宋体" w:eastAsia="宋体" w:hint="eastAsia"/>
          <w:sz w:val="24"/>
        </w:rPr>
        <w:t xml:space="preserve">, </w:t>
      </w:r>
      <w:r>
        <w:t>forthcoming.</w:t>
      </w:r>
    </w:p>
    <w:p w:rsidR="0018722C">
      <w:pPr>
        <w:pStyle w:val="ab"/>
        <w:topLinePunct/>
        <w:ind w:left="200" w:hangingChars="200" w:hanging="200"/>
      </w:pPr>
      <w:r>
        <w:t>[</w:t>
      </w:r>
      <w:r>
        <w:t xml:space="preserve">10</w:t>
      </w:r>
      <w:r>
        <w:t>]</w:t>
      </w:r>
      <w:r/>
      <w:r w:rsidRPr="00281126">
        <w:t xml:space="preserve"> </w:t>
      </w:r>
      <w:r>
        <w:t xml:space="preserve">Chou</w:t>
      </w:r>
      <w:r>
        <w:rPr>
          <w:rFonts w:ascii="宋体" w:hAnsi="宋体" w:eastAsia="宋体" w:hint="eastAsia"/>
          <w:rFonts w:ascii="宋体" w:hAnsi="宋体" w:eastAsia="宋体" w:hint="eastAsia"/>
          <w:spacing w:val="-59"/>
          <w:w w:val="99"/>
          <w:sz w:val="24"/>
        </w:rPr>
        <w:t xml:space="preserve">, </w:t>
      </w:r>
      <w:r>
        <w:t xml:space="preserve">W</w:t>
      </w:r>
      <w:r>
        <w:t xml:space="preserve">. </w:t>
      </w:r>
      <w:r>
        <w:t xml:space="preserve">L</w:t>
      </w:r>
      <w:r>
        <w:t xml:space="preserve">.</w:t>
      </w:r>
      <w:r/>
      <w:r>
        <w:rPr>
          <w:rFonts w:ascii="宋体" w:hAnsi="宋体" w:eastAsia="宋体" w:hint="eastAsia"/>
          <w:rFonts w:ascii="宋体" w:hAnsi="宋体" w:eastAsia="宋体" w:hint="eastAsia"/>
          <w:spacing w:val="3"/>
          <w:w w:val="99"/>
          <w:sz w:val="24"/>
        </w:rPr>
        <w:t xml:space="preserve">, </w:t>
      </w:r>
      <w:r>
        <w:t xml:space="preserve">F</w:t>
      </w:r>
      <w:r>
        <w:t xml:space="preserve">a</w:t>
      </w:r>
      <w:r>
        <w:t xml:space="preserve">n</w:t>
      </w:r>
      <w:r>
        <w:rPr>
          <w:rFonts w:ascii="宋体" w:hAnsi="宋体" w:eastAsia="宋体" w:hint="eastAsia"/>
          <w:rFonts w:ascii="宋体" w:hAnsi="宋体" w:eastAsia="宋体" w:hint="eastAsia"/>
          <w:spacing w:val="2"/>
          <w:sz w:val="24"/>
        </w:rPr>
        <w:t xml:space="preserve">, </w:t>
      </w:r>
      <w:r>
        <w:t xml:space="preserve">K.</w:t>
      </w:r>
      <w:r>
        <w:t xml:space="preserve"> </w:t>
      </w:r>
      <w:r>
        <w:t xml:space="preserve">K</w:t>
      </w:r>
      <w:r>
        <w:t xml:space="preserve">.</w:t>
      </w:r>
      <w:r>
        <w:rPr>
          <w:rFonts w:ascii="宋体" w:hAnsi="宋体" w:eastAsia="宋体" w:hint="eastAsia"/>
          <w:rFonts w:ascii="宋体" w:hAnsi="宋体" w:eastAsia="宋体" w:hint="eastAsia"/>
          <w:spacing w:val="3"/>
          <w:sz w:val="24"/>
        </w:rPr>
        <w:t xml:space="preserve">, </w:t>
      </w:r>
      <w:r>
        <w:t xml:space="preserve">&amp; </w:t>
      </w:r>
      <w:r>
        <w:t xml:space="preserve">L</w:t>
      </w:r>
      <w:r>
        <w:t xml:space="preserve">e</w:t>
      </w:r>
      <w:r>
        <w:t xml:space="preserve">e</w:t>
      </w:r>
      <w:r/>
      <w:r>
        <w:rPr>
          <w:rFonts w:ascii="宋体" w:hAnsi="宋体" w:eastAsia="宋体" w:hint="eastAsia"/>
          <w:rFonts w:ascii="宋体" w:hAnsi="宋体" w:eastAsia="宋体" w:hint="eastAsia"/>
          <w:spacing w:val="3"/>
          <w:sz w:val="24"/>
        </w:rPr>
        <w:t xml:space="preserve">, </w:t>
      </w:r>
      <w:r>
        <w:t xml:space="preserve">C. </w:t>
      </w:r>
      <w:r>
        <w:t xml:space="preserve">F</w:t>
      </w:r>
      <w:r>
        <w:t xml:space="preserve">. </w:t>
      </w:r>
      <w:r w:rsidR="001852F3">
        <w:t xml:space="preserve"> </w:t>
      </w:r>
      <w:r/>
      <w:r>
        <w:t xml:space="preserve">H</w:t>
      </w:r>
      <w:r>
        <w:t xml:space="preserve">e</w:t>
      </w:r>
      <w:r>
        <w:t xml:space="preserve">d</w:t>
      </w:r>
      <w:r>
        <w:t xml:space="preserve">g</w:t>
      </w:r>
      <w:r>
        <w:t xml:space="preserve">i</w:t>
      </w:r>
      <w:r>
        <w:t xml:space="preserve">n</w:t>
      </w:r>
      <w:r>
        <w:t xml:space="preserve">g</w:t>
      </w:r>
      <w:r>
        <w:t xml:space="preserve">with the</w:t>
      </w:r>
      <w:r>
        <w:t xml:space="preserve"> </w:t>
      </w:r>
      <w:r>
        <w:t xml:space="preserve">Nikk</w:t>
      </w:r>
      <w:r>
        <w:t xml:space="preserve">e</w:t>
      </w:r>
      <w:r>
        <w:t xml:space="preserve">i ind</w:t>
      </w:r>
      <w:r>
        <w:t xml:space="preserve">e</w:t>
      </w:r>
      <w:r>
        <w:t xml:space="preserve">x futures</w:t>
      </w:r>
      <w:r w:rsidR="004B696B">
        <w:t xml:space="preserve">: The conventional model versus the error correction model </w:t>
      </w:r>
      <w:r>
        <w:t xml:space="preserve">[</w:t>
      </w:r>
      <w:r>
        <w:t xml:space="preserve">J</w:t>
      </w:r>
      <w:r>
        <w:t xml:space="preserve">]</w:t>
      </w:r>
      <w:r>
        <w:t xml:space="preserve">. Quarterly Review of Economics and Finance</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1993</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w:t>
      </w:r>
      <w:r>
        <w:t xml:space="preserve">36</w:t>
      </w:r>
      <w:r>
        <w:t xml:space="preserve">)</w:t>
      </w:r>
      <w:r w:rsidR="004B696B">
        <w:t xml:space="preserve">: 495</w:t>
      </w:r>
      <w:r w:rsidR="001852F3">
        <w:t xml:space="preserve">–</w:t>
      </w:r>
      <w:r/>
      <w:r>
        <w:t xml:space="preserve">505.</w:t>
      </w:r>
    </w:p>
    <w:p w:rsidR="0018722C">
      <w:pPr>
        <w:pStyle w:val="ab"/>
        <w:topLinePunct/>
        <w:ind w:left="200" w:hangingChars="200" w:hanging="200"/>
      </w:pPr>
      <w:r>
        <w:t xml:space="preserve">[</w:t>
      </w:r>
      <w:r>
        <w:t xml:space="preserve">11</w:t>
      </w:r>
      <w:r>
        <w:t xml:space="preserve">]</w:t>
      </w:r>
      <w:r/>
      <w:r w:rsidRPr="00281126">
        <w:t xml:space="preserve"> </w:t>
      </w:r>
      <w:r>
        <w:t xml:space="preserve">Donald Lien </w:t>
      </w:r>
      <w:r>
        <w:t xml:space="preserve">Yiu </w:t>
      </w:r>
      <w:r>
        <w:t xml:space="preserve">Kuen </w:t>
      </w:r>
      <w:r>
        <w:t xml:space="preserve">Tse </w:t>
      </w:r>
      <w:r>
        <w:t xml:space="preserve">and Albert </w:t>
      </w:r>
      <w:r>
        <w:t xml:space="preserve">Tsui</w:t>
      </w:r>
      <w:r>
        <w:rPr>
          <w:rFonts w:ascii="宋体" w:hAnsi="宋体" w:eastAsia="宋体" w:hint="eastAsia"/>
          <w:rFonts w:ascii="宋体" w:hAnsi="宋体" w:eastAsia="宋体" w:hint="eastAsia"/>
          <w:sz w:val="24"/>
        </w:rPr>
        <w:t xml:space="preserve">,</w:t>
      </w:r>
      <w:r>
        <w:t xml:space="preserve">. Evaluating Hedging Performance of the Constant-Correlation GARCH Model </w:t>
      </w:r>
      <w:r>
        <w:t xml:space="preserve">[</w:t>
      </w:r>
      <w:r>
        <w:t xml:space="preserve">J</w:t>
      </w:r>
      <w:r>
        <w:t xml:space="preserve">]</w:t>
      </w:r>
      <w:r w:rsidR="004B696B">
        <w:t xml:space="preserve">. Applied Financial Economics</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2002</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w:t>
      </w:r>
      <w:r>
        <w:t xml:space="preserve">12</w:t>
      </w:r>
      <w:r>
        <w:t xml:space="preserve">)</w:t>
      </w:r>
      <w:r w:rsidR="004B696B">
        <w:t xml:space="preserve">: 791</w:t>
      </w:r>
      <w:r w:rsidR="001852F3">
        <w:t xml:space="preserve">–</w:t>
      </w:r>
      <w:r/>
      <w:r>
        <w:t xml:space="preserve">798.</w:t>
      </w:r>
      <w:r>
        <w:rPr>
          <w:rFonts w:cstheme="minorBidi" w:hAnsiTheme="minorHAnsi" w:eastAsiaTheme="minorHAnsi" w:asciiTheme="minorHAnsi" w:ascii="Calibri"/>
        </w:rPr>
        <w:t>30</w:t>
      </w:r>
    </w:p>
    <w:p w:rsidR="0018722C">
      <w:pPr>
        <w:pStyle w:val="ab"/>
        <w:topLinePunct/>
        <w:ind w:left="200" w:hangingChars="200" w:hanging="200"/>
      </w:pPr>
      <w:r>
        <w:t xml:space="preserve">[</w:t>
      </w:r>
      <w:r>
        <w:t xml:space="preserve">12</w:t>
      </w:r>
      <w:r>
        <w:t xml:space="preserve">]</w:t>
      </w:r>
      <w:r/>
      <w:r w:rsidRPr="00281126">
        <w:t xml:space="preserve"> </w:t>
      </w:r>
      <w:r>
        <w:t xml:space="preserve">Ederington</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r>
      <w:r>
        <w:t xml:space="preserve">L. H. The Hedging Performance of the New Futures Markets </w:t>
      </w:r>
      <w:r>
        <w:t xml:space="preserve">[</w:t>
      </w:r>
      <w:r>
        <w:t xml:space="preserve">J</w:t>
      </w:r>
      <w:r>
        <w:t xml:space="preserve">]</w:t>
      </w:r>
      <w:r w:rsidR="004B696B">
        <w:t xml:space="preserve">. Journal of Finance</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r>
      <w:r>
        <w:t xml:space="preserve">1979</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r>
      <w:r>
        <w:t xml:space="preserve">(</w:t>
      </w:r>
      <w:r>
        <w:t xml:space="preserve">34</w:t>
      </w:r>
      <w:r>
        <w:t xml:space="preserve">)</w:t>
      </w:r>
      <w:r w:rsidR="004B696B">
        <w:t xml:space="preserve">:</w:t>
      </w:r>
      <w:r>
        <w:t xml:space="preserve"/>
      </w:r>
      <w:r>
        <w:t>157</w:t>
      </w:r>
      <w:r w:rsidR="001852F3">
        <w:t xml:space="preserve">–</w:t>
      </w:r>
      <w:r/>
      <w:r>
        <w:t xml:space="preserve">170.</w:t>
      </w:r>
    </w:p>
    <w:p w:rsidR="0018722C">
      <w:pPr>
        <w:pStyle w:val="ab"/>
        <w:topLinePunct/>
        <w:ind w:left="200" w:hangingChars="200" w:hanging="200"/>
      </w:pPr>
      <w:r>
        <w:t xml:space="preserve">[</w:t>
      </w:r>
      <w:r>
        <w:t xml:space="preserve">13</w:t>
      </w:r>
      <w:r>
        <w:t xml:space="preserve">]</w:t>
      </w:r>
      <w:r/>
      <w:r w:rsidRPr="00281126">
        <w:t xml:space="preserve"> </w:t>
      </w:r>
      <w:r>
        <w:t>Engle</w:t>
      </w:r>
      <w:r>
        <w:rPr>
          <w:rFonts w:ascii="宋体" w:eastAsia="宋体" w:hint="eastAsia"/>
          <w:rFonts w:ascii="宋体" w:eastAsia="宋体" w:hint="eastAsia"/>
          <w:sz w:val="24"/>
        </w:rPr>
        <w:t>,</w:t>
      </w:r>
      <w:r>
        <w:rPr>
          <w:rFonts w:ascii="宋体" w:eastAsia="宋体" w:hint="eastAsia"/>
        </w:rPr>
        <w:t> </w:t>
      </w:r>
      <w:r>
        <w:t xml:space="preserve">R.</w:t>
      </w:r>
      <w:r>
        <w:t xml:space="preserve"/>
      </w:r>
      <w:r>
        <w:t>F.</w:t>
      </w:r>
      <w:r>
        <w:t xml:space="preserve"/>
      </w:r>
      <w:r>
        <w:t xml:space="preserve">Kroner</w:t>
      </w:r>
      <w:r>
        <w:rPr>
          <w:rFonts w:ascii="宋体" w:eastAsia="宋体" w:hint="eastAsia"/>
          <w:rFonts w:ascii="宋体" w:eastAsia="宋体" w:hint="eastAsia"/>
          <w:sz w:val="24"/>
        </w:rPr>
        <w:t>,</w:t>
      </w:r>
      <w:r>
        <w:rPr>
          <w:rFonts w:ascii="宋体" w:eastAsia="宋体" w:hint="eastAsia"/>
        </w:rPr>
        <w:t> </w:t>
      </w:r>
      <w:r>
        <w:t xml:space="preserve">K.</w:t>
      </w:r>
      <w:r>
        <w:t xml:space="preserve"/>
      </w:r>
      <w:r>
        <w:t xml:space="preserve">F. </w:t>
      </w:r>
      <w:r>
        <w:t>Multivariate simultaneous generalized</w:t>
      </w:r>
      <w:r>
        <w:t> </w:t>
      </w:r>
      <w:r>
        <w:t>ARCH. Econometric Theory</w:t>
      </w:r>
      <w:r>
        <w:rPr>
          <w:rFonts w:ascii="宋体" w:eastAsia="宋体" w:hint="eastAsia"/>
          <w:rFonts w:ascii="宋体" w:eastAsia="宋体" w:hint="eastAsia"/>
          <w:sz w:val="24"/>
        </w:rPr>
        <w:t>,</w:t>
      </w:r>
      <w:r>
        <w:rPr>
          <w:rFonts w:ascii="宋体" w:eastAsia="宋体" w:hint="eastAsia"/>
        </w:rPr>
        <w:t> </w:t>
      </w:r>
      <w:r>
        <w:t>1995</w:t>
      </w:r>
      <w:r>
        <w:rPr>
          <w:rFonts w:ascii="宋体" w:eastAsia="宋体" w:hint="eastAsia"/>
          <w:rFonts w:ascii="宋体" w:eastAsia="宋体" w:hint="eastAsia"/>
          <w:sz w:val="24"/>
        </w:rPr>
        <w:t>,</w:t>
      </w:r>
      <w:r>
        <w:rPr>
          <w:rFonts w:ascii="宋体" w:eastAsia="宋体" w:hint="eastAsia"/>
        </w:rPr>
        <w:t> </w:t>
      </w:r>
      <w:r>
        <w:t xml:space="preserve">11:</w:t>
      </w:r>
      <w:r>
        <w:t xml:space="preserve"/>
      </w:r>
      <w:r>
        <w:t>122-150.</w:t>
      </w:r>
    </w:p>
    <w:p w:rsidR="0018722C">
      <w:pPr>
        <w:pStyle w:val="ab"/>
        <w:topLinePunct/>
        <w:ind w:left="200" w:hangingChars="200" w:hanging="200"/>
      </w:pPr>
      <w:r>
        <w:t>[</w:t>
      </w:r>
      <w:r>
        <w:t xml:space="preserve">14</w:t>
      </w:r>
      <w:r>
        <w:t>]</w:t>
      </w:r>
      <w:r/>
      <w:r w:rsidRPr="00281126">
        <w:t xml:space="preserve"> </w:t>
      </w:r>
      <w:r>
        <w:t>Engle</w:t>
      </w:r>
      <w:r>
        <w:rPr>
          <w:rFonts w:ascii="宋体" w:hAnsi="宋体" w:eastAsia="宋体" w:hint="eastAsia"/>
          <w:rFonts w:ascii="宋体" w:hAnsi="宋体" w:eastAsia="宋体" w:hint="eastAsia"/>
          <w:spacing w:val="-2"/>
          <w:sz w:val="24"/>
        </w:rPr>
        <w:t xml:space="preserve">, </w:t>
      </w:r>
      <w:r>
        <w:t xml:space="preserve">R.</w:t>
      </w:r>
      <w:r>
        <w:t xml:space="preserve"/>
      </w:r>
      <w:r>
        <w:t xml:space="preserve">F. </w:t>
      </w:r>
      <w:r>
        <w:t>Autoregressive Conditional Heteroscedasticity with Estimates of the </w:t>
      </w:r>
      <w:r>
        <w:t>Variance </w:t>
      </w:r>
      <w:r>
        <w:t>of United Kingdom</w:t>
      </w:r>
      <w:r>
        <w:t> </w:t>
      </w:r>
      <w:r>
        <w:t>Inﬂation</w:t>
      </w:r>
      <w:r>
        <w:rPr>
          <w:rFonts w:ascii="宋体" w:hAnsi="宋体" w:eastAsia="宋体" w:hint="eastAsia"/>
          <w:rFonts w:ascii="宋体" w:hAnsi="宋体" w:eastAsia="宋体" w:hint="eastAsia"/>
          <w:sz w:val="24"/>
        </w:rPr>
        <w:t xml:space="preserve">, </w:t>
      </w:r>
      <w:r>
        <w:t>Econometrica</w:t>
      </w:r>
      <w:r>
        <w:rPr>
          <w:rFonts w:ascii="宋体" w:hAnsi="宋体" w:eastAsia="宋体" w:hint="eastAsia"/>
          <w:rFonts w:ascii="宋体" w:hAnsi="宋体" w:eastAsia="宋体" w:hint="eastAsia"/>
          <w:sz w:val="24"/>
        </w:rPr>
        <w:t xml:space="preserve">, </w:t>
      </w:r>
      <w:r>
        <w:t>1982</w:t>
      </w:r>
      <w:r>
        <w:rPr>
          <w:rFonts w:ascii="宋体" w:hAnsi="宋体" w:eastAsia="宋体" w:hint="eastAsia"/>
          <w:rFonts w:ascii="宋体" w:hAnsi="宋体" w:eastAsia="宋体" w:hint="eastAsia"/>
          <w:sz w:val="24"/>
        </w:rPr>
        <w:t xml:space="preserve">, </w:t>
      </w:r>
      <w:r>
        <w:t xml:space="preserve">50:</w:t>
      </w:r>
      <w:r>
        <w:t xml:space="preserve"/>
      </w:r>
      <w:r>
        <w:t>987-1007.</w:t>
      </w:r>
    </w:p>
    <w:p w:rsidR="0018722C">
      <w:pPr>
        <w:pStyle w:val="ab"/>
        <w:topLinePunct/>
        <w:ind w:left="200" w:hangingChars="200" w:hanging="200"/>
      </w:pPr>
      <w:r>
        <w:t>[</w:t>
      </w:r>
      <w:r>
        <w:t xml:space="preserve">15</w:t>
      </w:r>
      <w:r>
        <w:t>]</w:t>
      </w:r>
      <w:r/>
      <w:r w:rsidRPr="00281126">
        <w:t xml:space="preserve"> </w:t>
      </w:r>
      <w:r>
        <w:t xml:space="preserve">Ghosh</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A. Hedging with stock index futures</w:t>
      </w:r>
      <w:r w:rsidR="004B696B">
        <w:t xml:space="preserve">: Estimation and forecasting with error correction model. </w:t>
      </w:r>
      <w:r>
        <w:t xml:space="preserve">[</w:t>
      </w:r>
      <w:r>
        <w:t xml:space="preserve">J</w:t>
      </w:r>
      <w:r>
        <w:t xml:space="preserve">]</w:t>
      </w:r>
      <w:r>
        <w:t xml:space="preserve"> </w:t>
      </w:r>
      <w:r>
        <w:t xml:space="preserve">Journal of Futures Markets</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1993</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w:t>
      </w:r>
      <w:r>
        <w:t xml:space="preserve">13</w:t>
      </w:r>
      <w:r>
        <w:t xml:space="preserve">)</w:t>
      </w:r>
      <w:r w:rsidR="004B696B">
        <w:t xml:space="preserve">:</w:t>
      </w:r>
      <w:r>
        <w:t xml:space="preserve"> </w:t>
      </w:r>
      <w:r>
        <w:t>743</w:t>
      </w:r>
      <w:r w:rsidR="001852F3">
        <w:t xml:space="preserve">–</w:t>
      </w:r>
      <w:r w:rsidR="001852F3">
        <w:t xml:space="preserve">752.</w:t>
      </w:r>
    </w:p>
    <w:p w:rsidR="0018722C">
      <w:pPr>
        <w:pStyle w:val="ab"/>
        <w:topLinePunct/>
        <w:ind w:left="200" w:hangingChars="200" w:hanging="200"/>
      </w:pPr>
      <w:r>
        <w:t>[</w:t>
      </w:r>
      <w:r>
        <w:t xml:space="preserve">16</w:t>
      </w:r>
      <w:r>
        <w:t>]</w:t>
      </w:r>
      <w:r/>
      <w:r w:rsidRPr="00281126">
        <w:t xml:space="preserve"> </w:t>
      </w:r>
      <w:r>
        <w:t>Granger</w:t>
      </w:r>
      <w:r>
        <w:rPr>
          <w:rFonts w:ascii="宋体" w:eastAsia="宋体" w:hint="eastAsia"/>
          <w:rFonts w:ascii="宋体" w:eastAsia="宋体" w:hint="eastAsia"/>
          <w:spacing w:val="-2"/>
          <w:sz w:val="24"/>
        </w:rPr>
        <w:t xml:space="preserve">, </w:t>
      </w:r>
      <w:r>
        <w:t xml:space="preserve">C.</w:t>
      </w:r>
      <w:r>
        <w:t xml:space="preserve"> </w:t>
      </w:r>
      <w:r>
        <w:t>W.</w:t>
      </w:r>
      <w:r>
        <w:t xml:space="preserve"> </w:t>
      </w:r>
      <w:r>
        <w:t>J.</w:t>
      </w:r>
      <w:r>
        <w:t xml:space="preserve"> </w:t>
      </w:r>
      <w:r>
        <w:t xml:space="preserve">Developments </w:t>
      </w:r>
      <w:r>
        <w:t>in the Study of Cointegrated Economic </w:t>
      </w:r>
      <w:r>
        <w:t>Variables</w:t>
      </w:r>
      <w:r>
        <w:rPr>
          <w:rFonts w:ascii="宋体" w:eastAsia="宋体" w:hint="eastAsia"/>
          <w:rFonts w:ascii="宋体" w:eastAsia="宋体" w:hint="eastAsia"/>
          <w:spacing w:val="-2"/>
          <w:sz w:val="24"/>
        </w:rPr>
        <w:t>,</w:t>
      </w:r>
      <w:r>
        <w:rPr>
          <w:rFonts w:ascii="宋体" w:eastAsia="宋体" w:hint="eastAsia"/>
        </w:rPr>
        <w:t> </w:t>
      </w:r>
      <w:r>
        <w:t>Oxford</w:t>
      </w:r>
      <w:r>
        <w:rPr>
          <w:rFonts w:ascii="宋体" w:eastAsia="宋体" w:hint="eastAsia"/>
          <w:rFonts w:ascii="宋体" w:eastAsia="宋体" w:hint="eastAsia"/>
          <w:sz w:val="24"/>
        </w:rPr>
        <w:t>,</w:t>
      </w:r>
      <w:r>
        <w:rPr>
          <w:rFonts w:ascii="宋体" w:eastAsia="宋体" w:hint="eastAsia"/>
        </w:rPr>
        <w:t> </w:t>
      </w:r>
      <w:r>
        <w:t>Bulletin of Economics and</w:t>
      </w:r>
      <w:r>
        <w:t> </w:t>
      </w:r>
      <w:r>
        <w:t>Statistics</w:t>
      </w:r>
      <w:r>
        <w:rPr>
          <w:rFonts w:ascii="宋体" w:eastAsia="宋体" w:hint="eastAsia"/>
          <w:rFonts w:ascii="宋体" w:eastAsia="宋体" w:hint="eastAsia"/>
          <w:sz w:val="24"/>
        </w:rPr>
        <w:t xml:space="preserve">, </w:t>
      </w:r>
      <w:r>
        <w:t>1986</w:t>
      </w:r>
      <w:r>
        <w:rPr>
          <w:rFonts w:ascii="宋体" w:eastAsia="宋体" w:hint="eastAsia"/>
          <w:rFonts w:ascii="宋体" w:eastAsia="宋体" w:hint="eastAsia"/>
          <w:sz w:val="24"/>
        </w:rPr>
        <w:t xml:space="preserve">, </w:t>
      </w:r>
      <w:r>
        <w:t xml:space="preserve">48:</w:t>
      </w:r>
      <w:r>
        <w:t xml:space="preserve"> </w:t>
      </w:r>
      <w:r>
        <w:t>213-228.</w:t>
      </w:r>
    </w:p>
    <w:p w:rsidR="0018722C">
      <w:pPr>
        <w:pStyle w:val="ab"/>
        <w:topLinePunct/>
        <w:ind w:left="200" w:hangingChars="200" w:hanging="200"/>
      </w:pPr>
      <w:r>
        <w:t xml:space="preserve">[</w:t>
      </w:r>
      <w:r>
        <w:t xml:space="preserve">17</w:t>
      </w:r>
      <w:r>
        <w:t xml:space="preserve">]</w:t>
      </w:r>
      <w:r/>
      <w:r w:rsidRPr="00281126">
        <w:t xml:space="preserve"> </w:t>
      </w:r>
      <w:r>
        <w:t>Haigh</w:t>
      </w:r>
      <w:r>
        <w:rPr>
          <w:rFonts w:ascii="宋体" w:eastAsia="宋体" w:hint="eastAsia"/>
          <w:rFonts w:ascii="宋体" w:eastAsia="宋体" w:hint="eastAsia"/>
          <w:sz w:val="24"/>
        </w:rPr>
        <w:t xml:space="preserve">, </w:t>
      </w:r>
      <w:r>
        <w:t xml:space="preserve">M.</w:t>
      </w:r>
      <w:r>
        <w:t xml:space="preserve"> </w:t>
      </w:r>
      <w:r>
        <w:t>S.</w:t>
      </w:r>
      <w:r>
        <w:t xml:space="preserve"> </w:t>
      </w:r>
      <w:r>
        <w:t xml:space="preserve">and Holt</w:t>
      </w:r>
      <w:r>
        <w:rPr>
          <w:rFonts w:ascii="宋体" w:eastAsia="宋体" w:hint="eastAsia"/>
          <w:rFonts w:ascii="宋体" w:eastAsia="宋体" w:hint="eastAsia"/>
          <w:sz w:val="24"/>
        </w:rPr>
        <w:t xml:space="preserve">, </w:t>
      </w:r>
      <w:r>
        <w:t xml:space="preserve">M.</w:t>
      </w:r>
      <w:r>
        <w:t xml:space="preserve"> </w:t>
      </w:r>
      <w:r>
        <w:t xml:space="preserve">T. Hedging multiple price uncertainty in international grain trade. American Journal of Agricultural</w:t>
      </w:r>
      <w:r>
        <w:t> </w:t>
      </w:r>
      <w:r>
        <w:t>Economics</w:t>
      </w:r>
      <w:r>
        <w:rPr>
          <w:rFonts w:ascii="宋体" w:eastAsia="宋体" w:hint="eastAsia"/>
          <w:rFonts w:ascii="宋体" w:eastAsia="宋体" w:hint="eastAsia"/>
          <w:sz w:val="24"/>
        </w:rPr>
        <w:t xml:space="preserve">, </w:t>
      </w:r>
      <w:r>
        <w:t>2000</w:t>
      </w:r>
      <w:r>
        <w:rPr>
          <w:rFonts w:ascii="宋体" w:eastAsia="宋体" w:hint="eastAsia"/>
          <w:rFonts w:ascii="宋体" w:eastAsia="宋体" w:hint="eastAsia"/>
          <w:sz w:val="24"/>
        </w:rPr>
        <w:t xml:space="preserve">, </w:t>
      </w:r>
      <w:r>
        <w:t xml:space="preserve">82:</w:t>
      </w:r>
      <w:r>
        <w:t xml:space="preserve"> </w:t>
      </w:r>
      <w:r>
        <w:t>881-896.</w:t>
      </w:r>
    </w:p>
    <w:p w:rsidR="0018722C">
      <w:pPr>
        <w:pStyle w:val="ab"/>
        <w:topLinePunct/>
        <w:ind w:left="200" w:hangingChars="200" w:hanging="200"/>
      </w:pPr>
      <w:r>
        <w:t>[</w:t>
      </w:r>
      <w:r>
        <w:t xml:space="preserve">18</w:t>
      </w:r>
      <w:r>
        <w:t>]</w:t>
      </w:r>
      <w:r/>
      <w:r w:rsidRPr="00281126">
        <w:t xml:space="preserve"> </w:t>
      </w:r>
      <w:r>
        <w:t>Herbst</w:t>
      </w:r>
      <w:r>
        <w:rPr>
          <w:rFonts w:ascii="宋体" w:eastAsia="宋体" w:hint="eastAsia"/>
          <w:rFonts w:ascii="宋体" w:eastAsia="宋体" w:hint="eastAsia"/>
          <w:spacing w:val="-5"/>
          <w:sz w:val="24"/>
        </w:rPr>
        <w:t xml:space="preserve">, </w:t>
      </w:r>
      <w:r>
        <w:t xml:space="preserve">A.</w:t>
      </w:r>
      <w:r>
        <w:t xml:space="preserve"/>
      </w:r>
      <w:r>
        <w:t>F.</w:t>
      </w:r>
      <w:r>
        <w:rPr>
          <w:rFonts w:ascii="宋体" w:eastAsia="宋体" w:hint="eastAsia"/>
          <w:rFonts w:ascii="宋体" w:eastAsia="宋体" w:hint="eastAsia"/>
          <w:spacing w:val="-5"/>
          <w:sz w:val="24"/>
        </w:rPr>
        <w:t xml:space="preserve">, </w:t>
      </w:r>
      <w:r>
        <w:t xml:space="preserve">D.</w:t>
      </w:r>
      <w:r>
        <w:t xml:space="preserve"/>
      </w:r>
      <w:r>
        <w:t>D.</w:t>
      </w:r>
      <w:r>
        <w:t xml:space="preserve"/>
      </w:r>
      <w:r>
        <w:t xml:space="preserve">Kare </w:t>
      </w:r>
      <w:r>
        <w:t xml:space="preserve">and J.</w:t>
      </w:r>
      <w:r>
        <w:t xml:space="preserve"/>
      </w:r>
      <w:r>
        <w:t>F.</w:t>
      </w:r>
      <w:r>
        <w:t xml:space="preserve"/>
      </w:r>
      <w:r>
        <w:t>Marshall</w:t>
      </w:r>
      <w:r>
        <w:rPr>
          <w:rFonts w:ascii="宋体" w:eastAsia="宋体" w:hint="eastAsia"/>
          <w:rFonts w:ascii="宋体" w:eastAsia="宋体" w:hint="eastAsia"/>
          <w:sz w:val="24"/>
        </w:rPr>
        <w:t>,</w:t>
      </w:r>
      <w:r>
        <w:rPr>
          <w:rFonts w:ascii="宋体" w:eastAsia="宋体" w:hint="eastAsia"/>
        </w:rPr>
        <w:t> </w:t>
      </w:r>
      <w:r>
        <w:t>A </w:t>
      </w:r>
      <w:r>
        <w:t>Time </w:t>
      </w:r>
      <w:r>
        <w:t>Varying </w:t>
      </w:r>
      <w:r>
        <w:t>Convergence Adjusted Minimum Risk Futures Hedge Ratio</w:t>
      </w:r>
      <w:r>
        <w:rPr>
          <w:rFonts w:ascii="宋体" w:eastAsia="宋体" w:hint="eastAsia"/>
          <w:rFonts w:ascii="宋体" w:eastAsia="宋体" w:hint="eastAsia"/>
          <w:sz w:val="24"/>
        </w:rPr>
        <w:t xml:space="preserve">, </w:t>
      </w:r>
      <w:r>
        <w:t>Advances in Futures and Option Research</w:t>
      </w:r>
      <w:r>
        <w:rPr>
          <w:rFonts w:ascii="宋体" w:eastAsia="宋体" w:hint="eastAsia"/>
          <w:rFonts w:ascii="宋体" w:eastAsia="宋体" w:hint="eastAsia"/>
          <w:sz w:val="24"/>
        </w:rPr>
        <w:t>,</w:t>
      </w:r>
      <w:r>
        <w:rPr>
          <w:rFonts w:ascii="宋体" w:eastAsia="宋体" w:hint="eastAsia"/>
        </w:rPr>
        <w:t> </w:t>
      </w:r>
      <w:r>
        <w:t>1993</w:t>
      </w:r>
      <w:r>
        <w:rPr>
          <w:rFonts w:ascii="宋体" w:eastAsia="宋体" w:hint="eastAsia"/>
          <w:rFonts w:ascii="宋体" w:eastAsia="宋体" w:hint="eastAsia"/>
          <w:sz w:val="24"/>
        </w:rPr>
        <w:t xml:space="preserve">, </w:t>
      </w:r>
      <w:r>
        <w:t xml:space="preserve">6:</w:t>
      </w:r>
      <w:r>
        <w:t xml:space="preserve"/>
      </w:r>
      <w:r>
        <w:t>137-155.</w:t>
      </w:r>
    </w:p>
    <w:p w:rsidR="0018722C">
      <w:pPr>
        <w:pStyle w:val="ab"/>
        <w:topLinePunct/>
        <w:ind w:left="200" w:hangingChars="200" w:hanging="200"/>
      </w:pPr>
      <w:r>
        <w:t>[</w:t>
      </w:r>
      <w:r>
        <w:t xml:space="preserve">19</w:t>
      </w:r>
      <w:r>
        <w:t>]</w:t>
      </w:r>
      <w:r/>
      <w:r w:rsidRPr="00281126">
        <w:t xml:space="preserve"> </w:t>
      </w:r>
      <w:r>
        <w:t>Kroner</w:t>
      </w:r>
      <w:r>
        <w:rPr>
          <w:rFonts w:ascii="宋体" w:hAnsi="宋体" w:eastAsia="宋体" w:hint="eastAsia"/>
          <w:rFonts w:ascii="宋体" w:hAnsi="宋体" w:eastAsia="宋体" w:hint="eastAsia"/>
          <w:sz w:val="24"/>
        </w:rPr>
        <w:t>,</w:t>
      </w:r>
      <w:r>
        <w:rPr>
          <w:rFonts w:ascii="宋体" w:hAnsi="宋体" w:eastAsia="宋体" w:hint="eastAsia"/>
        </w:rPr>
        <w:t> </w:t>
      </w:r>
      <w:r>
        <w:t>K. </w:t>
      </w:r>
      <w:r>
        <w:t>F.</w:t>
      </w:r>
      <w:r>
        <w:rPr>
          <w:rFonts w:ascii="宋体" w:hAnsi="宋体" w:eastAsia="宋体" w:hint="eastAsia"/>
          <w:rFonts w:ascii="宋体" w:hAnsi="宋体" w:eastAsia="宋体" w:hint="eastAsia"/>
          <w:sz w:val="24"/>
        </w:rPr>
        <w:t>,</w:t>
      </w:r>
      <w:r>
        <w:rPr>
          <w:rFonts w:ascii="宋体" w:hAnsi="宋体" w:eastAsia="宋体" w:hint="eastAsia"/>
        </w:rPr>
        <w:t> </w:t>
      </w:r>
      <w:r>
        <w:t>&amp; Sultan</w:t>
      </w:r>
      <w:r>
        <w:rPr>
          <w:rFonts w:ascii="宋体" w:hAnsi="宋体" w:eastAsia="宋体" w:hint="eastAsia"/>
          <w:rFonts w:ascii="宋体" w:hAnsi="宋体" w:eastAsia="宋体" w:hint="eastAsia"/>
          <w:sz w:val="24"/>
        </w:rPr>
        <w:t>,</w:t>
      </w:r>
      <w:r>
        <w:rPr>
          <w:rFonts w:ascii="宋体" w:hAnsi="宋体" w:eastAsia="宋体" w:hint="eastAsia"/>
        </w:rPr>
        <w:t> </w:t>
      </w:r>
      <w:r>
        <w:t>J. </w:t>
      </w:r>
      <w:r>
        <w:t>Time </w:t>
      </w:r>
      <w:r>
        <w:t>- varying distributions and dynamic hedging with foreign currency futures</w:t>
      </w:r>
      <w:r>
        <w:t>[</w:t>
      </w:r>
      <w:r>
        <w:t xml:space="preserve">J</w:t>
      </w:r>
      <w:r>
        <w:t>]</w:t>
      </w:r>
      <w:r>
        <w:t xml:space="preserve">. Journal of Financial and Quantitative Analysis</w:t>
      </w:r>
      <w:r>
        <w:rPr>
          <w:rFonts w:ascii="宋体" w:hAnsi="宋体" w:eastAsia="宋体" w:hint="eastAsia"/>
          <w:rFonts w:ascii="宋体" w:hAnsi="宋体" w:eastAsia="宋体" w:hint="eastAsia"/>
          <w:sz w:val="24"/>
        </w:rPr>
        <w:t xml:space="preserve">, </w:t>
      </w:r>
      <w:r>
        <w:t>1993</w:t>
      </w:r>
      <w:r>
        <w:rPr>
          <w:rFonts w:ascii="宋体" w:hAnsi="宋体" w:eastAsia="宋体" w:hint="eastAsia"/>
          <w:rFonts w:ascii="宋体" w:hAnsi="宋体" w:eastAsia="宋体" w:hint="eastAsia"/>
          <w:sz w:val="24"/>
        </w:rPr>
        <w:t>,</w:t>
      </w:r>
      <w:r>
        <w:rPr>
          <w:rFonts w:ascii="宋体" w:hAnsi="宋体" w:eastAsia="宋体" w:hint="eastAsia"/>
        </w:rPr>
        <w:t> </w:t>
      </w:r>
      <w:r>
        <w:t>(</w:t>
      </w:r>
      <w:r>
        <w:t xml:space="preserve">28</w:t>
      </w:r>
      <w:r>
        <w:t>)</w:t>
      </w:r>
      <w:r w:rsidR="004B696B">
        <w:t xml:space="preserve">: 535</w:t>
      </w:r>
      <w:r w:rsidR="001852F3">
        <w:t xml:space="preserve">–</w:t>
      </w:r>
      <w:r/>
      <w:r>
        <w:t>551.</w:t>
      </w:r>
    </w:p>
    <w:p w:rsidR="0018722C">
      <w:pPr>
        <w:pStyle w:val="ab"/>
        <w:topLinePunct/>
        <w:ind w:left="200" w:hangingChars="200" w:hanging="200"/>
      </w:pPr>
      <w:r>
        <w:t>[</w:t>
      </w:r>
      <w:r>
        <w:t xml:space="preserve">20</w:t>
      </w:r>
      <w:r>
        <w:t xml:space="preserve">]</w:t>
      </w:r>
      <w:r w:rsidRPr="00281126">
        <w:t xml:space="preserve"> </w:t>
      </w:r>
      <w:r>
        <w:t>Lien</w:t>
      </w:r>
      <w:r>
        <w:rPr>
          <w:rFonts w:ascii="宋体" w:eastAsia="宋体" w:hint="eastAsia"/>
          <w:rFonts w:ascii="宋体" w:eastAsia="宋体" w:hint="eastAsia"/>
          <w:sz w:val="24"/>
        </w:rPr>
        <w:t xml:space="preserve">, </w:t>
      </w:r>
      <w:r>
        <w:t xml:space="preserve">D.</w:t>
      </w:r>
      <w:r>
        <w:t xml:space="preserve"/>
      </w:r>
      <w:r>
        <w:t xml:space="preserve">The Effect of the Cointegration Relationship on Futures Hedging: A Note</w:t>
      </w:r>
      <w:r>
        <w:t>[</w:t>
      </w:r>
      <w:r>
        <w:rPr>
          <w:sz w:val="24"/>
        </w:rPr>
        <w:t>J</w:t>
      </w:r>
      <w:r>
        <w:t>]</w:t>
      </w:r>
      <w:r>
        <w:t xml:space="preserve">.</w:t>
      </w:r>
      <w:r>
        <w:t xml:space="preserve"/>
      </w:r>
      <w:r>
        <w:t xml:space="preserve">Journal of Futures</w:t>
      </w:r>
      <w:r>
        <w:t> </w:t>
      </w:r>
      <w:r>
        <w:t>Markets</w:t>
      </w:r>
      <w:r>
        <w:rPr>
          <w:rFonts w:ascii="宋体" w:eastAsia="宋体" w:hint="eastAsia"/>
          <w:rFonts w:ascii="宋体" w:eastAsia="宋体" w:hint="eastAsia"/>
          <w:sz w:val="24"/>
        </w:rPr>
        <w:t xml:space="preserve">, </w:t>
      </w:r>
      <w:r>
        <w:t>1996</w:t>
      </w:r>
      <w:r>
        <w:rPr>
          <w:rFonts w:ascii="宋体" w:eastAsia="宋体" w:hint="eastAsia"/>
          <w:rFonts w:ascii="宋体" w:eastAsia="宋体" w:hint="eastAsia"/>
          <w:sz w:val="24"/>
        </w:rPr>
        <w:t xml:space="preserve">, </w:t>
      </w:r>
      <w:r>
        <w:t xml:space="preserve">16:</w:t>
      </w:r>
      <w:r>
        <w:t xml:space="preserve"/>
      </w:r>
      <w:r>
        <w:t>773-780</w:t>
      </w:r>
      <w:r>
        <w:rPr>
          <w:rFonts w:ascii="宋体" w:eastAsia="宋体" w:hint="eastAsia"/>
        </w:rPr>
        <w:t>．</w:t>
      </w:r>
    </w:p>
    <w:p w:rsidR="0018722C">
      <w:pPr>
        <w:pStyle w:val="ab"/>
        <w:topLinePunct/>
        <w:ind w:left="200" w:hangingChars="200" w:hanging="200"/>
      </w:pPr>
      <w:r>
        <w:t>[</w:t>
      </w:r>
      <w:r>
        <w:t xml:space="preserve">21</w:t>
      </w:r>
      <w:r>
        <w:t xml:space="preserve">]</w:t>
      </w:r>
      <w:r/>
      <w:r w:rsidRPr="00281126">
        <w:t xml:space="preserve"> </w:t>
      </w:r>
      <w:r>
        <w:t xml:space="preserve">Myers R </w:t>
      </w:r>
      <w:r>
        <w:t xml:space="preserve">J</w:t>
      </w:r>
      <w:r>
        <w:rPr>
          <w:rFonts w:ascii="宋体" w:eastAsia="宋体" w:hint="eastAsia"/>
          <w:rFonts w:ascii="宋体" w:eastAsia="宋体" w:hint="eastAsia"/>
          <w:spacing w:val="6"/>
          <w:sz w:val="24"/>
        </w:rPr>
        <w:t xml:space="preserve">, </w:t>
      </w:r>
      <w:r>
        <w:t xml:space="preserve">S </w:t>
      </w:r>
      <w:r>
        <w:t xml:space="preserve">R Thompson. Generalized Optimal Hedge Ratio Estimation </w:t>
      </w:r>
      <w:r>
        <w:t xml:space="preserve">[</w:t>
      </w:r>
      <w:r>
        <w:t xml:space="preserve">J</w:t>
      </w:r>
      <w:r>
        <w:t xml:space="preserve">]</w:t>
      </w:r>
      <w:r>
        <w:t xml:space="preserve">.</w:t>
      </w:r>
      <w:r>
        <w:t xml:space="preserve"/>
      </w:r>
      <w:r>
        <w:t xml:space="preserve">American Journal of Agricultural</w:t>
      </w:r>
      <w:r>
        <w:t xml:space="preserve"/>
      </w:r>
      <w:r>
        <w:t xml:space="preserve">Economics</w:t>
      </w:r>
      <w:r>
        <w:rPr>
          <w:rFonts w:ascii="宋体" w:eastAsia="宋体" w:hint="eastAsia"/>
          <w:rFonts w:ascii="宋体" w:eastAsia="宋体" w:hint="eastAsia"/>
          <w:sz w:val="24"/>
        </w:rPr>
        <w:t xml:space="preserve">, </w:t>
      </w:r>
      <w:r>
        <w:t xml:space="preserve">1989</w:t>
      </w:r>
      <w:r>
        <w:t xml:space="preserve">(</w:t>
      </w:r>
      <w:r>
        <w:t xml:space="preserve">71</w:t>
      </w:r>
      <w:r>
        <w:t xml:space="preserve">)</w:t>
      </w:r>
      <w:r>
        <w:t xml:space="preserve">:</w:t>
      </w:r>
      <w:r>
        <w:t xml:space="preserve"/>
      </w:r>
      <w:r>
        <w:t>858-867.</w:t>
      </w:r>
    </w:p>
    <w:p w:rsidR="0018722C">
      <w:pPr>
        <w:pStyle w:val="ab"/>
        <w:topLinePunct/>
        <w:ind w:left="200" w:hangingChars="200" w:hanging="200"/>
      </w:pPr>
      <w:r>
        <w:t>[</w:t>
      </w:r>
      <w:r>
        <w:t xml:space="preserve">22</w:t>
      </w:r>
      <w:r>
        <w:t xml:space="preserve">]</w:t>
      </w:r>
      <w:r/>
      <w:r w:rsidRPr="00281126">
        <w:t xml:space="preserve"> </w:t>
      </w:r>
      <w:r>
        <w:t xml:space="preserve">P</w:t>
      </w:r>
      <w:r>
        <w:t xml:space="preserve">a</w:t>
      </w:r>
      <w:r>
        <w:t xml:space="preserve">r</w:t>
      </w:r>
      <w:r>
        <w:t xml:space="preserve">k</w:t>
      </w:r>
      <w:r>
        <w:rPr>
          <w:rFonts w:ascii="宋体" w:hAnsi="宋体" w:eastAsia="宋体" w:hint="eastAsia"/>
          <w:rFonts w:ascii="宋体" w:hAnsi="宋体" w:eastAsia="宋体" w:hint="eastAsia"/>
          <w:spacing w:val="8"/>
          <w:sz w:val="24"/>
        </w:rPr>
        <w:t xml:space="preserve">, </w:t>
      </w:r>
      <w:r>
        <w:t xml:space="preserve">T</w:t>
      </w:r>
      <w:r>
        <w:t xml:space="preserve">. </w:t>
      </w:r>
      <w:r>
        <w:t xml:space="preserve">H.</w:t>
      </w:r>
      <w:r>
        <w:t xml:space="preserve"> </w:t>
      </w:r>
      <w:r>
        <w:t xml:space="preserve">a</w:t>
      </w:r>
      <w:r>
        <w:t xml:space="preserve">nd</w:t>
      </w:r>
      <w:r>
        <w:t xml:space="preserve"> </w:t>
      </w:r>
      <w:r>
        <w:t xml:space="preserve">L</w:t>
      </w:r>
      <w:r>
        <w:t xml:space="preserve">.</w:t>
      </w:r>
      <w:r>
        <w:t xml:space="preserve"> </w:t>
      </w:r>
      <w:r>
        <w:t xml:space="preserve">N.</w:t>
      </w:r>
      <w:r>
        <w:t xml:space="preserve"> </w:t>
      </w:r>
      <w:r>
        <w:t xml:space="preserve">Swit</w:t>
      </w:r>
      <w:r>
        <w:t xml:space="preserve">z</w:t>
      </w:r>
      <w:r>
        <w:t xml:space="preserve">e</w:t>
      </w:r>
      <w:r>
        <w:t xml:space="preserve">r</w:t>
      </w:r>
      <w:r/>
      <w:r>
        <w:rPr>
          <w:rFonts w:ascii="宋体" w:hAnsi="宋体" w:eastAsia="宋体" w:hint="eastAsia"/>
          <w:rFonts w:ascii="宋体" w:hAnsi="宋体" w:eastAsia="宋体" w:hint="eastAsia"/>
          <w:spacing w:val="-52"/>
          <w:sz w:val="24"/>
        </w:rPr>
        <w:t xml:space="preserve">,</w:t>
      </w:r>
      <w:r>
        <w:t xml:space="preserve">. </w:t>
      </w:r>
      <w:r>
        <w:t xml:space="preserve">B</w:t>
      </w:r>
      <w:r>
        <w:t xml:space="preserve">iva</w:t>
      </w:r>
      <w:r>
        <w:t xml:space="preserve">r</w:t>
      </w:r>
      <w:r>
        <w:t xml:space="preserve">i</w:t>
      </w:r>
      <w:r>
        <w:t xml:space="preserve">a</w:t>
      </w:r>
      <w:r>
        <w:t xml:space="preserve">nte</w:t>
      </w:r>
      <w:r>
        <w:t xml:space="preserve"> </w:t>
      </w:r>
      <w:r>
        <w:t xml:space="preserve">G</w:t>
      </w:r>
      <w:r>
        <w:t xml:space="preserve">A</w:t>
      </w:r>
      <w:r>
        <w:t xml:space="preserve">RC</w:t>
      </w:r>
      <w:r>
        <w:t xml:space="preserve">H</w:t>
      </w:r>
      <w:r>
        <w:t xml:space="preserve"> Estim</w:t>
      </w:r>
      <w:r>
        <w:t xml:space="preserve">a</w:t>
      </w:r>
      <w:r>
        <w:t xml:space="preserve">tion of</w:t>
      </w:r>
      <w:r>
        <w:t xml:space="preserve"> </w:t>
      </w:r>
      <w:r>
        <w:t xml:space="preserve">The</w:t>
      </w:r>
      <w:r>
        <w:t xml:space="preserve"> </w:t>
      </w:r>
      <w:r>
        <w:t xml:space="preserve">Optim</w:t>
      </w:r>
      <w:r>
        <w:t xml:space="preserve">a</w:t>
      </w:r>
      <w:r>
        <w:t xml:space="preserve">l Hedge Ratios For Stock Index Futures</w:t>
      </w:r>
      <w:r w:rsidR="004B696B">
        <w:t xml:space="preserve">: A Note </w:t>
      </w:r>
      <w:r>
        <w:t xml:space="preserve">[</w:t>
      </w:r>
      <w:r>
        <w:t xml:space="preserve">J</w:t>
      </w:r>
      <w:r>
        <w:t xml:space="preserve">]</w:t>
      </w:r>
      <w:r>
        <w:t xml:space="preserve">. Journal of Futures Markets. 1995</w:t>
      </w:r>
      <w:r>
        <w:rPr>
          <w:rFonts w:ascii="宋体" w:hAnsi="宋体" w:eastAsia="宋体" w:hint="eastAsia"/>
          <w:rFonts w:ascii="宋体" w:hAnsi="宋体" w:eastAsia="宋体" w:hint="eastAsia"/>
          <w:sz w:val="24"/>
        </w:rPr>
        <w:t xml:space="preserve">,</w:t>
      </w:r>
      <w:r>
        <w:rPr>
          <w:rFonts w:ascii="宋体" w:hAnsi="宋体" w:eastAsia="宋体" w:hint="eastAsia"/>
        </w:rPr>
        <w:t xml:space="preserve"> </w:t>
      </w:r>
      <w:r>
        <w:t xml:space="preserve">(</w:t>
      </w:r>
      <w:r>
        <w:t xml:space="preserve">15</w:t>
      </w:r>
      <w:r>
        <w:t xml:space="preserve">)</w:t>
      </w:r>
      <w:r w:rsidR="004B696B">
        <w:t xml:space="preserve">: 61</w:t>
      </w:r>
      <w:r w:rsidR="001852F3">
        <w:t xml:space="preserve">–</w:t>
      </w:r>
      <w:r/>
      <w:r>
        <w:t xml:space="preserve">67.</w:t>
      </w:r>
    </w:p>
    <w:p w:rsidR="0018722C">
      <w:pPr>
        <w:pStyle w:val="ab"/>
        <w:topLinePunct/>
        <w:ind w:left="200" w:hangingChars="200" w:hanging="200"/>
      </w:pPr>
      <w:r>
        <w:t>[</w:t>
      </w:r>
      <w:r>
        <w:t xml:space="preserve">23</w:t>
      </w:r>
      <w:r>
        <w:t xml:space="preserve">]</w:t>
      </w:r>
      <w:r/>
      <w:r w:rsidRPr="00281126">
        <w:t xml:space="preserve"> </w:t>
      </w:r>
      <w:r>
        <w:t>Tse</w:t>
      </w:r>
      <w:r>
        <w:rPr>
          <w:rFonts w:ascii="宋体" w:hAnsi="宋体" w:eastAsia="宋体" w:hint="eastAsia"/>
          <w:rFonts w:ascii="宋体" w:hAnsi="宋体" w:eastAsia="宋体" w:hint="eastAsia"/>
          <w:spacing w:val="-2"/>
          <w:sz w:val="24"/>
        </w:rPr>
        <w:t xml:space="preserve">, </w:t>
      </w:r>
      <w:r>
        <w:t xml:space="preserve">Y.</w:t>
      </w:r>
      <w:r>
        <w:t xml:space="preserve"> </w:t>
      </w:r>
      <w:r>
        <w:t>K.</w:t>
      </w:r>
      <w:r>
        <w:t xml:space="preserve"> </w:t>
      </w:r>
      <w:r>
        <w:t xml:space="preserve">―Lead-lag </w:t>
      </w:r>
      <w:r>
        <w:t>relationship between spot index and futures price of the Nikkei stock average‖</w:t>
      </w:r>
      <w:r>
        <w:rPr>
          <w:rFonts w:ascii="宋体" w:hAnsi="宋体" w:eastAsia="宋体" w:hint="eastAsia"/>
          <w:rFonts w:ascii="宋体" w:hAnsi="宋体" w:eastAsia="宋体" w:hint="eastAsia"/>
          <w:sz w:val="24"/>
        </w:rPr>
        <w:t>,</w:t>
      </w:r>
      <w:r>
        <w:rPr>
          <w:rFonts w:ascii="宋体" w:hAnsi="宋体" w:eastAsia="宋体" w:hint="eastAsia"/>
        </w:rPr>
        <w:t> </w:t>
      </w:r>
      <w:r>
        <w:t>Journal of</w:t>
      </w:r>
      <w:r>
        <w:t> </w:t>
      </w:r>
      <w:r>
        <w:t>Forecasting</w:t>
      </w:r>
      <w:r>
        <w:rPr>
          <w:rFonts w:ascii="宋体" w:hAnsi="宋体" w:eastAsia="宋体" w:hint="eastAsia"/>
          <w:rFonts w:ascii="宋体" w:hAnsi="宋体" w:eastAsia="宋体" w:hint="eastAsia"/>
          <w:sz w:val="24"/>
        </w:rPr>
        <w:t xml:space="preserve">, </w:t>
      </w:r>
      <w:r>
        <w:t>1995</w:t>
      </w:r>
      <w:r>
        <w:rPr>
          <w:rFonts w:ascii="宋体" w:hAnsi="宋体" w:eastAsia="宋体" w:hint="eastAsia"/>
          <w:rFonts w:ascii="宋体" w:hAnsi="宋体" w:eastAsia="宋体" w:hint="eastAsia"/>
          <w:sz w:val="24"/>
        </w:rPr>
        <w:t xml:space="preserve">, </w:t>
      </w:r>
      <w:r>
        <w:t xml:space="preserve">14:</w:t>
      </w:r>
      <w:r>
        <w:t xml:space="preserve"> </w:t>
      </w:r>
      <w:r>
        <w:t>553-563.</w:t>
      </w:r>
    </w:p>
    <w:p w:rsidR="0018722C">
      <w:pPr>
        <w:pStyle w:val="ab"/>
        <w:topLinePunct/>
        <w:ind w:left="200" w:hangingChars="200" w:hanging="200"/>
      </w:pPr>
      <w:r>
        <w:t>[</w:t>
      </w:r>
      <w:r>
        <w:t xml:space="preserve">24</w:t>
      </w:r>
      <w:r>
        <w:t xml:space="preserve">]</w:t>
      </w:r>
      <w:r/>
      <w:r w:rsidRPr="00281126">
        <w:t xml:space="preserve"> </w:t>
      </w:r>
      <w:r>
        <w:t>Wahab</w:t>
      </w:r>
      <w:r>
        <w:rPr>
          <w:rFonts w:ascii="宋体" w:hAnsi="宋体" w:eastAsia="宋体" w:hint="eastAsia"/>
          <w:rFonts w:ascii="宋体" w:hAnsi="宋体" w:eastAsia="宋体" w:hint="eastAsia"/>
          <w:sz w:val="24"/>
        </w:rPr>
        <w:t xml:space="preserve">, </w:t>
      </w:r>
      <w:r>
        <w:t xml:space="preserve">M.</w:t>
      </w:r>
      <w:r>
        <w:t xml:space="preserve"> </w:t>
      </w:r>
      <w:r>
        <w:t>and</w:t>
      </w:r>
      <w:r>
        <w:t> </w:t>
      </w:r>
      <w:r>
        <w:t>Lashgari</w:t>
      </w:r>
      <w:r>
        <w:rPr>
          <w:rFonts w:ascii="宋体" w:hAnsi="宋体" w:eastAsia="宋体" w:hint="eastAsia"/>
          <w:rFonts w:ascii="宋体" w:hAnsi="宋体" w:eastAsia="宋体" w:hint="eastAsia"/>
          <w:sz w:val="24"/>
        </w:rPr>
        <w:t xml:space="preserve">, </w:t>
      </w:r>
      <w:r>
        <w:t>M.</w:t>
      </w:r>
      <w:r>
        <w:t> </w:t>
      </w:r>
      <w:r>
        <w:t>―Price</w:t>
      </w:r>
      <w:r>
        <w:t> </w:t>
      </w:r>
      <w:r>
        <w:t>dynamic</w:t>
      </w:r>
      <w:r>
        <w:t> </w:t>
      </w:r>
      <w:r>
        <w:t>and</w:t>
      </w:r>
      <w:r>
        <w:t> </w:t>
      </w:r>
      <w:r>
        <w:t>error</w:t>
      </w:r>
      <w:r>
        <w:t> </w:t>
      </w:r>
      <w:r>
        <w:t>correction</w:t>
      </w:r>
      <w:r>
        <w:t> </w:t>
      </w:r>
      <w:r>
        <w:t>in</w:t>
      </w:r>
      <w:r>
        <w:t> </w:t>
      </w:r>
      <w:r>
        <w:t>stock</w:t>
      </w:r>
      <w:r>
        <w:t> </w:t>
      </w:r>
      <w:r>
        <w:t>index and stock index futures: A cointegration approach‖</w:t>
      </w:r>
      <w:r>
        <w:rPr>
          <w:rFonts w:ascii="宋体" w:hAnsi="宋体" w:eastAsia="宋体" w:hint="eastAsia"/>
          <w:rFonts w:ascii="宋体" w:hAnsi="宋体" w:eastAsia="宋体" w:hint="eastAsia"/>
          <w:sz w:val="24"/>
        </w:rPr>
        <w:t xml:space="preserve">, </w:t>
      </w:r>
      <w:r>
        <w:t>Journal of Futures Markets</w:t>
      </w:r>
      <w:r>
        <w:rPr>
          <w:rFonts w:ascii="宋体" w:hAnsi="宋体" w:eastAsia="宋体" w:hint="eastAsia"/>
          <w:rFonts w:ascii="宋体" w:hAnsi="宋体" w:eastAsia="宋体" w:hint="eastAsia"/>
          <w:sz w:val="24"/>
        </w:rPr>
        <w:t>,</w:t>
      </w:r>
      <w:r>
        <w:rPr>
          <w:rFonts w:ascii="宋体" w:hAnsi="宋体" w:eastAsia="宋体" w:hint="eastAsia"/>
        </w:rPr>
        <w:t> </w:t>
      </w:r>
      <w:r>
        <w:t>1993</w:t>
      </w:r>
      <w:r>
        <w:rPr>
          <w:rFonts w:ascii="宋体" w:hAnsi="宋体" w:eastAsia="宋体" w:hint="eastAsia"/>
          <w:rFonts w:ascii="宋体" w:hAnsi="宋体" w:eastAsia="宋体" w:hint="eastAsia"/>
          <w:sz w:val="24"/>
        </w:rPr>
        <w:t xml:space="preserve">, </w:t>
      </w:r>
      <w:r>
        <w:t xml:space="preserve">13:</w:t>
      </w:r>
      <w:r>
        <w:t xml:space="preserve"> </w:t>
      </w:r>
      <w:r>
        <w:t>711-742.</w:t>
      </w:r>
    </w:p>
    <w:p w:rsidR="0018722C">
      <w:pPr>
        <w:pStyle w:val="ab"/>
        <w:topLinePunct/>
        <w:ind w:left="200" w:hangingChars="200" w:hanging="200"/>
      </w:pPr>
      <w:r>
        <w:rPr>
          <w:rFonts w:ascii="宋体" w:eastAsia="宋体" w:hint="eastAsia"/>
        </w:rPr>
        <w:t>[</w:t>
      </w:r>
      <w:r>
        <w:rPr>
          <w:rFonts w:ascii="宋体" w:eastAsia="宋体" w:hint="eastAsia"/>
        </w:rPr>
        <w:t xml:space="preserve">25</w:t>
      </w:r>
      <w:r>
        <w:rPr>
          <w:rFonts w:ascii="宋体" w:eastAsia="宋体" w:hint="eastAsia"/>
        </w:rPr>
        <w:t>]</w:t>
      </w:r>
      <w:r w:rsidRPr="00281126">
        <w:t xml:space="preserve"> </w:t>
      </w:r>
      <w:r>
        <w:rPr>
          <w:rFonts w:ascii="宋体" w:eastAsia="宋体" w:hint="eastAsia"/>
        </w:rPr>
        <w:t>胡向科</w:t>
      </w:r>
      <w:r>
        <w:t xml:space="preserve">.</w:t>
      </w:r>
      <w:r>
        <w:t xml:space="preserve"> </w:t>
      </w:r>
      <w:r/>
      <w:r>
        <w:rPr>
          <w:rFonts w:ascii="宋体" w:eastAsia="宋体" w:hint="eastAsia"/>
        </w:rPr>
        <w:t>北京工商大学经济学院</w:t>
      </w:r>
      <w:r>
        <w:t xml:space="preserve">.</w:t>
      </w:r>
      <w:r>
        <w:t xml:space="preserve"> </w:t>
      </w:r>
      <w:r/>
      <w:r>
        <w:rPr>
          <w:rFonts w:ascii="宋体" w:eastAsia="宋体" w:hint="eastAsia"/>
        </w:rPr>
        <w:t>不同估计模型最优套期保值比率绩效研究</w:t>
      </w:r>
    </w:p>
    <w:p w:rsidR="0018722C">
      <w:pPr>
        <w:topLinePunct/>
      </w:pPr>
      <w:r>
        <w:rPr>
          <w:rFonts w:cstheme="minorBidi" w:hAnsiTheme="minorHAnsi" w:eastAsiaTheme="minorHAnsi" w:asciiTheme="minorHAnsi" w:ascii="Calibri"/>
        </w:rPr>
        <w:t>31</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经济视角，</w:t>
      </w:r>
      <w:r>
        <w:rPr>
          <w:rFonts w:ascii="Times New Roman" w:eastAsia="Times New Roman"/>
        </w:rPr>
        <w:t>2010</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p>
    <w:p w:rsidR="0018722C">
      <w:pPr>
        <w:pStyle w:val="ab"/>
        <w:topLinePunct/>
        <w:ind w:left="200" w:hangingChars="200" w:hanging="200"/>
      </w:pPr>
      <w:r>
        <w:t>[</w:t>
      </w:r>
      <w:r>
        <w:t xml:space="preserve">26</w:t>
      </w:r>
      <w:r>
        <w:t xml:space="preserve">]</w:t>
      </w:r>
      <w:r>
        <w:t xml:space="preserve"> </w:t>
      </w:r>
      <w:r>
        <w:rPr>
          <w:rFonts w:ascii="宋体" w:eastAsia="宋体" w:hint="eastAsia"/>
        </w:rPr>
        <w:t>赵婉淞</w:t>
      </w:r>
      <w:r>
        <w:rPr>
          <w:rFonts w:ascii="宋体" w:eastAsia="宋体" w:hint="eastAsia"/>
        </w:rPr>
        <w:t xml:space="preserve">, </w:t>
      </w:r>
      <w:r>
        <w:rPr>
          <w:rFonts w:ascii="宋体" w:eastAsia="宋体" w:hint="eastAsia"/>
        </w:rPr>
        <w:t>孙万贵</w:t>
      </w:r>
      <w:r>
        <w:rPr>
          <w:rFonts w:ascii="宋体" w:eastAsia="宋体" w:hint="eastAsia"/>
        </w:rPr>
        <w:t xml:space="preserve">, </w:t>
      </w:r>
      <w:r>
        <w:rPr>
          <w:rFonts w:ascii="宋体" w:eastAsia="宋体" w:hint="eastAsia"/>
        </w:rPr>
        <w:t>赵广信</w:t>
      </w:r>
      <w:r>
        <w:t xml:space="preserve">.</w:t>
      </w:r>
      <w:r>
        <w:t xml:space="preserve"> </w:t>
      </w:r>
      <w:r>
        <w:rPr>
          <w:rFonts w:ascii="宋体" w:eastAsia="宋体" w:hint="eastAsia"/>
        </w:rPr>
        <w:t>股指期货套期保值策略在股票型开放式基金风险</w:t>
      </w:r>
      <w:r>
        <w:rPr>
          <w:rFonts w:ascii="宋体" w:eastAsia="宋体" w:hint="eastAsia"/>
        </w:rPr>
        <w:t>管理中的应用</w:t>
      </w:r>
      <w:r>
        <w:t>[</w:t>
      </w:r>
      <w:r>
        <w:t xml:space="preserve">J</w:t>
      </w:r>
      <w:r>
        <w:t>]</w:t>
      </w:r>
      <w:r>
        <w:t xml:space="preserve">.</w:t>
      </w:r>
      <w:r>
        <w:t xml:space="preserve"> </w:t>
      </w:r>
      <w:r/>
      <w:r>
        <w:rPr>
          <w:rFonts w:ascii="宋体" w:eastAsia="宋体" w:hint="eastAsia"/>
        </w:rPr>
        <w:t>西安财经学院学报</w:t>
      </w:r>
      <w:r>
        <w:rPr>
          <w:rFonts w:ascii="宋体" w:eastAsia="宋体" w:hint="eastAsia"/>
        </w:rPr>
        <w:t xml:space="preserve">, </w:t>
      </w:r>
      <w:r>
        <w:t>2011</w:t>
      </w:r>
      <w:r>
        <w:t>(</w:t>
      </w:r>
      <w:r>
        <w:t>1</w:t>
      </w:r>
      <w:r>
        <w:t>)</w:t>
      </w:r>
      <w:r>
        <w:t>.</w:t>
      </w:r>
    </w:p>
    <w:p w:rsidR="0018722C">
      <w:pPr>
        <w:pStyle w:val="ab"/>
        <w:topLinePunct/>
        <w:ind w:left="200" w:hangingChars="200" w:hanging="200"/>
      </w:pPr>
      <w:r>
        <w:t>[</w:t>
      </w:r>
      <w:r>
        <w:t xml:space="preserve">27</w:t>
      </w:r>
      <w:r>
        <w:t xml:space="preserve">]</w:t>
      </w:r>
      <w:r>
        <w:t xml:space="preserve"> </w:t>
      </w:r>
      <w:r>
        <w:rPr>
          <w:rFonts w:ascii="宋体" w:eastAsia="宋体" w:hint="eastAsia"/>
        </w:rPr>
        <w:t>许溪南</w:t>
      </w:r>
      <w:r>
        <w:rPr>
          <w:rFonts w:ascii="宋体" w:eastAsia="宋体" w:hint="eastAsia"/>
        </w:rPr>
        <w:t xml:space="preserve">, </w:t>
      </w:r>
      <w:r>
        <w:rPr>
          <w:rFonts w:ascii="宋体" w:eastAsia="宋体" w:hint="eastAsia"/>
        </w:rPr>
        <w:t>王健聪</w:t>
      </w:r>
      <w:r>
        <w:rPr>
          <w:rFonts w:ascii="宋体" w:eastAsia="宋体" w:hint="eastAsia"/>
        </w:rPr>
        <w:t xml:space="preserve">, </w:t>
      </w:r>
      <w:r>
        <w:rPr>
          <w:rFonts w:ascii="宋体" w:eastAsia="宋体" w:hint="eastAsia"/>
        </w:rPr>
        <w:t>指数期货定价理论与实证文献之回顾</w:t>
      </w:r>
      <w:r>
        <w:rPr>
          <w:rFonts w:ascii="宋体" w:eastAsia="宋体" w:hint="eastAsia"/>
        </w:rPr>
        <w:t xml:space="preserve">, </w:t>
      </w:r>
      <w:r>
        <w:rPr>
          <w:rFonts w:ascii="宋体" w:eastAsia="宋体" w:hint="eastAsia"/>
        </w:rPr>
        <w:t>中华管理评论</w:t>
      </w:r>
      <w:r>
        <w:t>V01.3</w:t>
      </w:r>
      <w:r>
        <w:rPr>
          <w:rFonts w:ascii="宋体" w:eastAsia="宋体" w:hint="eastAsia"/>
          <w:rFonts w:ascii="宋体" w:eastAsia="宋体" w:hint="eastAsia"/>
          <w:sz w:val="24"/>
        </w:rPr>
        <w:t>,</w:t>
      </w:r>
      <w:r>
        <w:rPr>
          <w:rFonts w:ascii="宋体" w:eastAsia="宋体" w:hint="eastAsia"/>
        </w:rPr>
        <w:t> </w:t>
      </w:r>
      <w:r>
        <w:t>No.1</w:t>
      </w:r>
      <w:r>
        <w:rPr>
          <w:rFonts w:ascii="宋体" w:eastAsia="宋体" w:hint="eastAsia"/>
          <w:rFonts w:ascii="宋体" w:eastAsia="宋体" w:hint="eastAsia"/>
          <w:sz w:val="24"/>
        </w:rPr>
        <w:t xml:space="preserve">, </w:t>
      </w:r>
      <w:r>
        <w:t>2000:</w:t>
      </w:r>
      <w:r>
        <w:t> </w:t>
      </w:r>
      <w:r>
        <w:t>27-41.</w:t>
      </w:r>
    </w:p>
    <w:p w:rsidR="0018722C">
      <w:pPr>
        <w:pStyle w:val="ab"/>
        <w:topLinePunct/>
        <w:ind w:left="200" w:hangingChars="200" w:hanging="200"/>
      </w:pPr>
      <w:r>
        <w:t>[</w:t>
      </w:r>
      <w:r>
        <w:t xml:space="preserve">28</w:t>
      </w:r>
      <w:r>
        <w:t xml:space="preserve">]</w:t>
      </w:r>
      <w:r>
        <w:t xml:space="preserve"> </w:t>
      </w:r>
      <w:r>
        <w:rPr>
          <w:rFonts w:ascii="宋体" w:eastAsia="宋体" w:hint="eastAsia"/>
        </w:rPr>
        <w:t>徐国样</w:t>
      </w:r>
      <w:r>
        <w:rPr>
          <w:rFonts w:ascii="宋体" w:eastAsia="宋体" w:hint="eastAsia"/>
        </w:rPr>
        <w:t xml:space="preserve">, </w:t>
      </w:r>
      <w:r>
        <w:rPr>
          <w:rFonts w:ascii="宋体" w:eastAsia="宋体" w:hint="eastAsia"/>
        </w:rPr>
        <w:t>吴泽智</w:t>
      </w:r>
      <w:r>
        <w:rPr>
          <w:rFonts w:ascii="宋体" w:eastAsia="宋体" w:hint="eastAsia"/>
        </w:rPr>
        <w:t xml:space="preserve">, </w:t>
      </w:r>
      <w:r>
        <w:rPr>
          <w:rFonts w:ascii="宋体" w:eastAsia="宋体" w:hint="eastAsia"/>
        </w:rPr>
        <w:t>金融指数产品创新及其风险控制研究</w:t>
      </w:r>
      <w:r>
        <w:rPr>
          <w:rFonts w:ascii="宋体" w:eastAsia="宋体" w:hint="eastAsia"/>
        </w:rPr>
        <w:t xml:space="preserve">, </w:t>
      </w:r>
      <w:r>
        <w:rPr>
          <w:rFonts w:ascii="宋体" w:eastAsia="宋体" w:hint="eastAsia"/>
        </w:rPr>
        <w:t>上海财经大学出</w:t>
      </w:r>
      <w:r>
        <w:rPr>
          <w:rFonts w:ascii="宋体" w:eastAsia="宋体" w:hint="eastAsia"/>
        </w:rPr>
        <w:t>版社</w:t>
      </w:r>
      <w:r>
        <w:rPr>
          <w:rFonts w:ascii="宋体" w:eastAsia="宋体" w:hint="eastAsia"/>
        </w:rPr>
        <w:t xml:space="preserve">, </w:t>
      </w:r>
      <w:r>
        <w:t>2005.</w:t>
      </w:r>
    </w:p>
    <w:p w:rsidR="0018722C">
      <w:pPr>
        <w:pStyle w:val="ab"/>
        <w:topLinePunct/>
        <w:ind w:left="200" w:hangingChars="200" w:hanging="200"/>
      </w:pPr>
      <w:r>
        <w:t>[</w:t>
      </w:r>
      <w:r>
        <w:t xml:space="preserve">29</w:t>
      </w:r>
      <w:r>
        <w:t xml:space="preserve">]</w:t>
      </w:r>
      <w:r>
        <w:t xml:space="preserve"> </w:t>
      </w:r>
      <w:r>
        <w:rPr>
          <w:rFonts w:ascii="宋体" w:eastAsia="宋体" w:hint="eastAsia"/>
        </w:rPr>
        <w:t>袁象</w:t>
      </w:r>
      <w:r>
        <w:rPr>
          <w:rFonts w:ascii="宋体" w:eastAsia="宋体" w:hint="eastAsia"/>
        </w:rPr>
        <w:t xml:space="preserve">, </w:t>
      </w:r>
      <w:r>
        <w:rPr>
          <w:rFonts w:ascii="宋体" w:eastAsia="宋体" w:hint="eastAsia"/>
        </w:rPr>
        <w:t>余思勤</w:t>
      </w:r>
      <w:r>
        <w:t>. </w:t>
      </w:r>
      <w:r>
        <w:rPr>
          <w:rFonts w:ascii="宋体" w:eastAsia="宋体" w:hint="eastAsia"/>
        </w:rPr>
        <w:t>存在时变方差的股指期货最佳套期保值比率计算</w:t>
      </w:r>
      <w:r>
        <w:t>[</w:t>
      </w:r>
      <w:r>
        <w:t xml:space="preserve">J</w:t>
      </w:r>
      <w:r>
        <w:t>]</w:t>
      </w:r>
      <w:r>
        <w:t xml:space="preserve">. </w:t>
      </w:r>
      <w:r>
        <w:rPr>
          <w:rFonts w:ascii="宋体" w:eastAsia="宋体" w:hint="eastAsia"/>
        </w:rPr>
        <w:t>大连海</w:t>
      </w:r>
      <w:r>
        <w:rPr>
          <w:rFonts w:ascii="宋体" w:eastAsia="宋体" w:hint="eastAsia"/>
        </w:rPr>
        <w:t>事大学学报</w:t>
      </w:r>
      <w:r>
        <w:t xml:space="preserve">.</w:t>
      </w:r>
      <w:r>
        <w:t xml:space="preserve"> </w:t>
      </w:r>
      <w:r>
        <w:t>2008</w:t>
      </w:r>
      <w:r>
        <w:rPr>
          <w:rFonts w:ascii="宋体" w:eastAsia="宋体" w:hint="eastAsia"/>
          <w:rFonts w:ascii="宋体" w:eastAsia="宋体" w:hint="eastAsia"/>
          <w:w w:val="95"/>
          <w:sz w:val="24"/>
        </w:rPr>
        <w:t xml:space="preserve">, </w:t>
      </w:r>
      <w:r>
        <w:t>8</w:t>
      </w:r>
      <w:r>
        <w:t>(</w:t>
      </w:r>
      <w:r>
        <w:t>5</w:t>
      </w:r>
      <w:r>
        <w:t>)</w:t>
      </w:r>
      <w:r>
        <w:t xml:space="preserve">:</w:t>
      </w:r>
      <w:r>
        <w:t xml:space="preserve"> </w:t>
      </w:r>
      <w:r>
        <w:t>52-55</w:t>
      </w:r>
    </w:p>
    <w:p w:rsidR="0018722C">
      <w:pPr>
        <w:pStyle w:val="ab"/>
        <w:topLinePunct/>
        <w:ind w:left="200" w:hangingChars="200" w:hanging="200"/>
      </w:pPr>
      <w:r>
        <w:t>[</w:t>
      </w:r>
      <w:r>
        <w:t xml:space="preserve">30</w:t>
      </w:r>
      <w:r>
        <w:t xml:space="preserve">]</w:t>
      </w:r>
      <w:r>
        <w:t xml:space="preserve"> </w:t>
      </w:r>
      <w:r>
        <w:rPr>
          <w:rFonts w:ascii="宋体" w:hAnsi="宋体" w:eastAsia="宋体" w:hint="eastAsia"/>
        </w:rPr>
        <w:t>杨梦琪</w:t>
      </w:r>
      <w:r>
        <w:t>. </w:t>
      </w:r>
      <w:r>
        <w:rPr>
          <w:rFonts w:ascii="宋体" w:hAnsi="宋体" w:eastAsia="宋体" w:hint="eastAsia"/>
        </w:rPr>
        <w:t>股指期货套期保值策略及效果分析</w:t>
      </w:r>
      <w:r>
        <w:t>——</w:t>
      </w:r>
      <w:r>
        <w:rPr>
          <w:rFonts w:ascii="宋体" w:hAnsi="宋体" w:eastAsia="宋体" w:hint="eastAsia"/>
        </w:rPr>
        <w:t>沪深</w:t>
      </w:r>
      <w:r>
        <w:t>300</w:t>
      </w:r>
      <w:r/>
      <w:r>
        <w:rPr>
          <w:rFonts w:ascii="宋体" w:hAnsi="宋体" w:eastAsia="宋体" w:hint="eastAsia"/>
        </w:rPr>
        <w:t>股指期货的模拟分析</w:t>
      </w:r>
      <w:r>
        <w:t>[</w:t>
      </w:r>
      <w:r>
        <w:t>J</w:t>
      </w:r>
      <w:r>
        <w:t>]</w:t>
      </w:r>
      <w:r>
        <w:t xml:space="preserve">. </w:t>
      </w:r>
      <w:r>
        <w:rPr>
          <w:rFonts w:ascii="宋体" w:hAnsi="宋体" w:eastAsia="宋体" w:hint="eastAsia"/>
        </w:rPr>
        <w:t>金融经济</w:t>
      </w:r>
      <w:r>
        <w:rPr>
          <w:rFonts w:ascii="宋体" w:hAnsi="宋体" w:eastAsia="宋体" w:hint="eastAsia"/>
        </w:rPr>
        <w:t xml:space="preserve">, </w:t>
      </w:r>
      <w:r>
        <w:t>2008</w:t>
      </w:r>
      <w:r>
        <w:t>(</w:t>
      </w:r>
      <w:r>
        <w:t>02</w:t>
      </w:r>
      <w:r>
        <w:t>)</w:t>
      </w:r>
      <w:r>
        <w:t>.</w:t>
      </w:r>
    </w:p>
    <w:p w:rsidR="0018722C">
      <w:pPr>
        <w:pStyle w:val="ab"/>
        <w:topLinePunct/>
        <w:ind w:left="200" w:hangingChars="200" w:hanging="200"/>
      </w:pPr>
      <w:r>
        <w:t>[</w:t>
      </w:r>
      <w:r>
        <w:t xml:space="preserve">31</w:t>
      </w:r>
      <w:r>
        <w:t xml:space="preserve">]</w:t>
      </w:r>
      <w:r>
        <w:t xml:space="preserve"> </w:t>
      </w:r>
      <w:r>
        <w:rPr>
          <w:rFonts w:ascii="宋体" w:eastAsia="宋体" w:hint="eastAsia"/>
        </w:rPr>
        <w:t>周香春</w:t>
      </w:r>
      <w:r>
        <w:t>. </w:t>
      </w:r>
      <w:r>
        <w:rPr>
          <w:rFonts w:ascii="宋体" w:eastAsia="宋体" w:hint="eastAsia"/>
        </w:rPr>
        <w:t>股指期货价格与股票现货价格的关系分析</w:t>
      </w:r>
      <w:r>
        <w:t>[</w:t>
      </w:r>
      <w:r>
        <w:t xml:space="preserve">J</w:t>
      </w:r>
      <w:r>
        <w:t>]</w:t>
      </w:r>
      <w:r>
        <w:t xml:space="preserve">.</w:t>
      </w:r>
      <w:r>
        <w:t xml:space="preserve"> </w:t>
      </w:r>
      <w:r>
        <w:rPr>
          <w:rFonts w:ascii="宋体" w:eastAsia="宋体" w:hint="eastAsia"/>
        </w:rPr>
        <w:t>经济师</w:t>
      </w:r>
      <w:r>
        <w:rPr>
          <w:rFonts w:ascii="宋体" w:eastAsia="宋体" w:hint="eastAsia"/>
        </w:rPr>
        <w:t xml:space="preserve">, </w:t>
      </w:r>
      <w:r>
        <w:t>2001</w:t>
      </w:r>
      <w:r>
        <w:rPr>
          <w:rFonts w:ascii="宋体" w:eastAsia="宋体" w:hint="eastAsia"/>
          <w:rFonts w:ascii="宋体" w:eastAsia="宋体" w:hint="eastAsia"/>
          <w:sz w:val="24"/>
        </w:rPr>
        <w:t xml:space="preserve">, </w:t>
      </w:r>
      <w:r>
        <w:t>(</w:t>
      </w:r>
      <w:r>
        <w:t xml:space="preserve">9</w:t>
      </w:r>
      <w:r>
        <w:t>)</w:t>
      </w:r>
      <w:r>
        <w:t>.</w:t>
      </w:r>
    </w:p>
    <w:p w:rsidR="0018722C">
      <w:pPr>
        <w:pStyle w:val="ab"/>
        <w:topLinePunct/>
        <w:ind w:left="200" w:hangingChars="200" w:hanging="200"/>
      </w:pPr>
      <w:r>
        <w:t>[</w:t>
      </w:r>
      <w:r>
        <w:t xml:space="preserve">32</w:t>
      </w:r>
      <w:r>
        <w:t xml:space="preserve">]</w:t>
      </w:r>
      <w:r>
        <w:t xml:space="preserve"> </w:t>
      </w:r>
      <w:r>
        <w:rPr>
          <w:rFonts w:ascii="宋体" w:eastAsia="宋体" w:hint="eastAsia"/>
        </w:rPr>
        <w:t>郑明川</w:t>
      </w:r>
      <w:r>
        <w:t>. </w:t>
      </w:r>
      <w:r>
        <w:rPr>
          <w:rFonts w:ascii="宋体" w:eastAsia="宋体" w:hint="eastAsia"/>
        </w:rPr>
        <w:t>最小风险套期保值比率方法</w:t>
      </w:r>
      <w:r>
        <w:t>[</w:t>
      </w:r>
      <w:r>
        <w:t xml:space="preserve">J</w:t>
      </w:r>
      <w:r>
        <w:t>]</w:t>
      </w:r>
      <w:r>
        <w:t xml:space="preserve">.</w:t>
      </w:r>
      <w:r>
        <w:t xml:space="preserve"> </w:t>
      </w:r>
      <w:r/>
      <w:r>
        <w:rPr>
          <w:rFonts w:ascii="宋体" w:eastAsia="宋体" w:hint="eastAsia"/>
        </w:rPr>
        <w:t>系统工程理论与实践</w:t>
      </w:r>
      <w:r>
        <w:rPr>
          <w:rFonts w:ascii="宋体" w:eastAsia="宋体" w:hint="eastAsia"/>
        </w:rPr>
        <w:t xml:space="preserve">, </w:t>
      </w:r>
      <w:r>
        <w:t>1997</w:t>
      </w:r>
      <w:r>
        <w:t>(</w:t>
      </w:r>
      <w:r>
        <w:t>6</w:t>
      </w:r>
      <w:r>
        <w:t>)</w:t>
      </w:r>
      <w:r>
        <w:t>: 132-135.</w:t>
      </w:r>
    </w:p>
    <w:p w:rsidR="0018722C">
      <w:pPr>
        <w:topLinePunct/>
      </w:pPr>
      <w:r>
        <w:rPr>
          <w:rFonts w:cstheme="minorBidi" w:hAnsiTheme="minorHAnsi" w:eastAsiaTheme="minorHAnsi" w:asciiTheme="minorHAnsi" w:ascii="Calibri"/>
        </w:rPr>
        <w:t>32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Calibri">
    <w:altName w:val="Calibri"/>
    <w:charset w:val="0"/>
    <w:family w:val="swiss"/>
    <w:pitch w:val="variable"/>
  </w:font>
  <w:font w:name="楷体">
    <w:altName w:val="楷体"/>
    <w:charset w:val="86"/>
    <w:family w:val="modern"/>
    <w:pitch w:val="fixed"/>
  </w:font>
  <w:font w:name="Cambria">
    <w:altName w:val="Cambria"/>
    <w:charset w:val="0"/>
    <w:family w:val="roman"/>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968" from="88.463997pt,55.559982pt" to="506.973997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1.929993pt;margin-top:42.865608pt;width:51.7pt;height:11pt;mso-position-horizontal-relative:page;mso-position-vertical-relative:page;z-index:-56944" type="#_x0000_t202" filled="false" stroked="false">
          <v:textbox inset="0,0,0,0">
            <w:txbxContent>
              <w:p>
                <w:pPr>
                  <w:spacing w:line="200" w:lineRule="exact" w:before="0"/>
                  <w:ind w:left="20" w:right="0" w:firstLine="0"/>
                  <w:jc w:val="left"/>
                  <w:rPr>
                    <w:sz w:val="18"/>
                  </w:rPr>
                </w:pPr>
                <w:r>
                  <w:rPr>
                    <w:rFonts w:ascii="楷体" w:eastAsia="楷体" w:hint="eastAsia"/>
                    <w:sz w:val="18"/>
                  </w:rPr>
                  <w:t>第一章 </w:t>
                </w:r>
                <w:r>
                  <w:rPr>
                    <w:sz w:val="18"/>
                  </w:rPr>
                  <w:t>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3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51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488"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464"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44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41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392"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368"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34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32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96" from="88.463997pt,55.559982pt" to="506.973997pt,55.559982pt" stroked="true" strokeweight=".72pt" strokecolor="#000000">
          <v:stroke dashstyle="solid"/>
          <w10:wrap type="none"/>
        </v:line>
      </w:pict>
    </w:r>
    <w:r>
      <w:rPr/>
      <w:pict>
        <v:shape style="position:absolute;margin-left:226.929993pt;margin-top:42.865608pt;width:141.6pt;height:11pt;mso-position-horizontal-relative:page;mso-position-vertical-relative:page;z-index:-56272" type="#_x0000_t202" filled="false" stroked="false">
          <v:textbox inset="0,0,0,0">
            <w:txbxContent>
              <w:p>
                <w:pPr>
                  <w:spacing w:line="200" w:lineRule="exact" w:before="0"/>
                  <w:ind w:left="20" w:right="0" w:firstLine="0"/>
                  <w:jc w:val="left"/>
                  <w:rPr>
                    <w:sz w:val="18"/>
                  </w:rPr>
                </w:pPr>
                <w:r>
                  <w:rPr>
                    <w:rFonts w:ascii="楷体" w:eastAsia="楷体" w:hint="eastAsia"/>
                    <w:sz w:val="18"/>
                  </w:rPr>
                  <w:t>第三章 </w:t>
                </w:r>
                <w:r>
                  <w:rPr>
                    <w:sz w:val="18"/>
                  </w:rPr>
                  <w:t>套期保值基本原理及其模型</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4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22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00" from="88.463997pt,55.559982pt" to="506.973997pt,55.559982pt" stroked="true" strokeweight=".72pt" strokecolor="#000000">
          <v:stroke dashstyle="solid"/>
          <w10:wrap type="none"/>
        </v:line>
      </w:pict>
    </w:r>
    <w:r>
      <w:rPr/>
      <w:pict>
        <v:shape style="position:absolute;margin-left:226.929993pt;margin-top:42.865608pt;width:141.6pt;height:11pt;mso-position-horizontal-relative:page;mso-position-vertical-relative:page;z-index:-56176" type="#_x0000_t202" filled="false" stroked="false">
          <v:textbox inset="0,0,0,0">
            <w:txbxContent>
              <w:p>
                <w:pPr>
                  <w:spacing w:line="200" w:lineRule="exact" w:before="0"/>
                  <w:ind w:left="20" w:right="0" w:firstLine="0"/>
                  <w:jc w:val="left"/>
                  <w:rPr>
                    <w:sz w:val="18"/>
                  </w:rPr>
                </w:pPr>
                <w:r>
                  <w:rPr>
                    <w:rFonts w:ascii="楷体" w:eastAsia="楷体" w:hint="eastAsia"/>
                    <w:sz w:val="18"/>
                  </w:rPr>
                  <w:t>第三章 </w:t>
                </w:r>
                <w:r>
                  <w:rPr>
                    <w:sz w:val="18"/>
                  </w:rPr>
                  <w:t>套期保值基本原理及其模型</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15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12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104" from="88.463997pt,55.559982pt" to="506.973997pt,55.559982pt" stroked="true" strokeweight=".72pt" strokecolor="#000000">
          <v:stroke dashstyle="solid"/>
          <w10:wrap type="none"/>
        </v:line>
      </w:pict>
    </w:r>
    <w:r>
      <w:rPr/>
      <w:pict>
        <v:shape style="position:absolute;margin-left:226.929993pt;margin-top:42.865608pt;width:141.6pt;height:11pt;mso-position-horizontal-relative:page;mso-position-vertical-relative:page;z-index:-56080" type="#_x0000_t202" filled="false" stroked="false">
          <v:textbox inset="0,0,0,0">
            <w:txbxContent>
              <w:p>
                <w:pPr>
                  <w:spacing w:line="200" w:lineRule="exact" w:before="0"/>
                  <w:ind w:left="20" w:right="0" w:firstLine="0"/>
                  <w:jc w:val="left"/>
                  <w:rPr>
                    <w:sz w:val="18"/>
                  </w:rPr>
                </w:pPr>
                <w:r>
                  <w:rPr>
                    <w:rFonts w:ascii="楷体" w:eastAsia="楷体" w:hint="eastAsia"/>
                    <w:sz w:val="18"/>
                  </w:rPr>
                  <w:t>第三章 </w:t>
                </w:r>
                <w:r>
                  <w:rPr>
                    <w:sz w:val="18"/>
                  </w:rPr>
                  <w:t>套期保值基本原理及其模型</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92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89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05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03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008"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984"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96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93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912"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888"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86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84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816"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792"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76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74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720"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696"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67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64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624" from="88.463997pt,55.559982pt" to="506.973997pt,55.559982pt" stroked="true" strokeweight=".72pt" strokecolor="#000000">
          <v:stroke dashstyle="solid"/>
          <w10:wrap type="none"/>
        </v:line>
      </w:pict>
    </w:r>
    <w:r>
      <w:rPr/>
      <w:pict>
        <v:shape style="position:absolute;margin-left:271.929993pt;margin-top:42.865608pt;width:51.7pt;height:11pt;mso-position-horizontal-relative:page;mso-position-vertical-relative:page;z-index:-55600" type="#_x0000_t202" filled="false" stroked="false">
          <v:textbox inset="0,0,0,0">
            <w:txbxContent>
              <w:p>
                <w:pPr>
                  <w:spacing w:line="200" w:lineRule="exact" w:before="0"/>
                  <w:ind w:left="20" w:right="0" w:firstLine="0"/>
                  <w:jc w:val="left"/>
                  <w:rPr>
                    <w:sz w:val="18"/>
                  </w:rPr>
                </w:pPr>
                <w:r>
                  <w:rPr>
                    <w:rFonts w:ascii="楷体" w:eastAsia="楷体" w:hint="eastAsia"/>
                    <w:sz w:val="18"/>
                  </w:rPr>
                  <w:t>第五章 </w:t>
                </w:r>
                <w:r>
                  <w:rPr>
                    <w:sz w:val="18"/>
                  </w:rPr>
                  <w:t>结论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872" from="88.463997pt,55.559982pt" to="506.973997pt,55.559982pt" stroked="true" strokeweight=".72pt" strokecolor="#000000">
          <v:stroke dashstyle="solid"/>
          <w10:wrap type="none"/>
        </v:line>
      </w:pict>
    </w:r>
    <w:r>
      <w:rPr/>
      <w:pict>
        <v:shape style="position:absolute;margin-left:271.929993pt;margin-top:42.865608pt;width:51.7pt;height:11pt;mso-position-horizontal-relative:page;mso-position-vertical-relative:page;z-index:-56848" type="#_x0000_t202" filled="false" stroked="false">
          <v:textbox inset="0,0,0,0">
            <w:txbxContent>
              <w:p>
                <w:pPr>
                  <w:spacing w:line="200" w:lineRule="exact" w:before="0"/>
                  <w:ind w:left="20" w:right="0" w:firstLine="0"/>
                  <w:jc w:val="left"/>
                  <w:rPr>
                    <w:sz w:val="18"/>
                  </w:rPr>
                </w:pPr>
                <w:r>
                  <w:rPr>
                    <w:rFonts w:ascii="楷体" w:eastAsia="楷体" w:hint="eastAsia"/>
                    <w:sz w:val="18"/>
                  </w:rPr>
                  <w:t>第一章 </w:t>
                </w:r>
                <w:r>
                  <w:rPr>
                    <w:sz w:val="18"/>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57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55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528" from="88.463997pt,55.559982pt" to="506.973997pt,55.559982pt" stroked="true" strokeweight=".72pt" strokecolor="#000000">
          <v:stroke dashstyle="solid"/>
          <w10:wrap type="none"/>
        </v:line>
      </w:pict>
    </w:r>
    <w:r>
      <w:rPr/>
      <w:pict>
        <v:shape style="position:absolute;margin-left:278.649994pt;margin-top:42.865608pt;width:38pt;height:11pt;mso-position-horizontal-relative:page;mso-position-vertical-relative:page;z-index:-555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参考文献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48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45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_Ref665687890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河北金融学院研究部学位论文原创性声明</w:t>
    </w:r>
    <w:r>
      <w:rPr>
        <w:kern w:val="2"/>
        <w:sz w:val="21"/>
        <w:szCs w:val="21"/>
        <w:rFonts w:eastAsia="华文中宋"/>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_Ref665687891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82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80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776" from="88.463997pt,55.559982pt" to="506.973997pt,55.559982pt" stroked="true" strokeweight=".72pt" strokecolor="#000000">
          <v:stroke dashstyle="solid"/>
          <w10:wrap type="none"/>
        </v:line>
      </w:pict>
    </w:r>
    <w:r>
      <w:rPr/>
      <w:pict>
        <v:shape style="position:absolute;margin-left:271.929993pt;margin-top:42.865608pt;width:51.7pt;height:11pt;mso-position-horizontal-relative:page;mso-position-vertical-relative:page;z-index:-56752" type="#_x0000_t202" filled="false" stroked="false">
          <v:textbox inset="0,0,0,0">
            <w:txbxContent>
              <w:p>
                <w:pPr>
                  <w:spacing w:line="200" w:lineRule="exact" w:before="0"/>
                  <w:ind w:left="20" w:right="0" w:firstLine="0"/>
                  <w:jc w:val="left"/>
                  <w:rPr>
                    <w:sz w:val="18"/>
                  </w:rPr>
                </w:pPr>
                <w:r>
                  <w:rPr>
                    <w:rFonts w:ascii="楷体" w:eastAsia="楷体" w:hint="eastAsia"/>
                    <w:sz w:val="18"/>
                  </w:rPr>
                  <w:t>第一章 </w:t>
                </w:r>
                <w:r>
                  <w:rPr>
                    <w:sz w:val="18"/>
                  </w:rPr>
                  <w:t>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72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7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680"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656"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63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60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84"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560"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618" w:hanging="36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26" w:hanging="363"/>
      </w:pPr>
      <w:rPr>
        <w:rFonts w:hint="default"/>
      </w:rPr>
    </w:lvl>
    <w:lvl w:ilvl="2">
      <w:start w:val="0"/>
      <w:numFmt w:val="bullet"/>
      <w:lvlText w:val="•"/>
      <w:lvlJc w:val="left"/>
      <w:pPr>
        <w:ind w:left="2233" w:hanging="363"/>
      </w:pPr>
      <w:rPr>
        <w:rFonts w:hint="default"/>
      </w:rPr>
    </w:lvl>
    <w:lvl w:ilvl="3">
      <w:start w:val="0"/>
      <w:numFmt w:val="bullet"/>
      <w:lvlText w:val="•"/>
      <w:lvlJc w:val="left"/>
      <w:pPr>
        <w:ind w:left="3039" w:hanging="363"/>
      </w:pPr>
      <w:rPr>
        <w:rFonts w:hint="default"/>
      </w:rPr>
    </w:lvl>
    <w:lvl w:ilvl="4">
      <w:start w:val="0"/>
      <w:numFmt w:val="bullet"/>
      <w:lvlText w:val="•"/>
      <w:lvlJc w:val="left"/>
      <w:pPr>
        <w:ind w:left="3846" w:hanging="363"/>
      </w:pPr>
      <w:rPr>
        <w:rFonts w:hint="default"/>
      </w:rPr>
    </w:lvl>
    <w:lvl w:ilvl="5">
      <w:start w:val="0"/>
      <w:numFmt w:val="bullet"/>
      <w:lvlText w:val="•"/>
      <w:lvlJc w:val="left"/>
      <w:pPr>
        <w:ind w:left="4653" w:hanging="363"/>
      </w:pPr>
      <w:rPr>
        <w:rFonts w:hint="default"/>
      </w:rPr>
    </w:lvl>
    <w:lvl w:ilvl="6">
      <w:start w:val="0"/>
      <w:numFmt w:val="bullet"/>
      <w:lvlText w:val="•"/>
      <w:lvlJc w:val="left"/>
      <w:pPr>
        <w:ind w:left="5459" w:hanging="363"/>
      </w:pPr>
      <w:rPr>
        <w:rFonts w:hint="default"/>
      </w:rPr>
    </w:lvl>
    <w:lvl w:ilvl="7">
      <w:start w:val="0"/>
      <w:numFmt w:val="bullet"/>
      <w:lvlText w:val="•"/>
      <w:lvlJc w:val="left"/>
      <w:pPr>
        <w:ind w:left="6266" w:hanging="363"/>
      </w:pPr>
      <w:rPr>
        <w:rFonts w:hint="default"/>
      </w:rPr>
    </w:lvl>
    <w:lvl w:ilvl="8">
      <w:start w:val="0"/>
      <w:numFmt w:val="bullet"/>
      <w:lvlText w:val="•"/>
      <w:lvlJc w:val="left"/>
      <w:pPr>
        <w:ind w:left="7073" w:hanging="363"/>
      </w:pPr>
      <w:rPr>
        <w:rFonts w:hint="default"/>
      </w:rPr>
    </w:lvl>
  </w:abstractNum>
  <w:abstractNum w:abstractNumId="8">
    <w:multiLevelType w:val="hybridMultilevel"/>
    <w:lvl w:ilvl="0">
      <w:start w:val="4"/>
      <w:numFmt w:val="decimal"/>
      <w:lvlText w:val="%1"/>
      <w:lvlJc w:val="left"/>
      <w:pPr>
        <w:ind w:left="704" w:hanging="567"/>
        <w:jc w:val="left"/>
      </w:pPr>
      <w:rPr>
        <w:rFonts w:hint="default"/>
      </w:rPr>
    </w:lvl>
    <w:lvl w:ilvl="1">
      <w:start w:val="1"/>
      <w:numFmt w:val="decimal"/>
      <w:lvlText w:val="%1.%2"/>
      <w:lvlJc w:val="left"/>
      <w:pPr>
        <w:ind w:left="704" w:hanging="567"/>
        <w:jc w:val="left"/>
      </w:pPr>
      <w:rPr>
        <w:rFonts w:hint="default" w:ascii="Times New Roman" w:hAnsi="Times New Roman" w:eastAsia="Times New Roman" w:cs="Times New Roman"/>
        <w:w w:val="100"/>
        <w:sz w:val="28"/>
        <w:szCs w:val="28"/>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2530" w:hanging="668"/>
      </w:pPr>
      <w:rPr>
        <w:rFonts w:hint="default"/>
      </w:rPr>
    </w:lvl>
    <w:lvl w:ilvl="4">
      <w:start w:val="0"/>
      <w:numFmt w:val="bullet"/>
      <w:lvlText w:val="•"/>
      <w:lvlJc w:val="left"/>
      <w:pPr>
        <w:ind w:left="3395" w:hanging="668"/>
      </w:pPr>
      <w:rPr>
        <w:rFonts w:hint="default"/>
      </w:rPr>
    </w:lvl>
    <w:lvl w:ilvl="5">
      <w:start w:val="0"/>
      <w:numFmt w:val="bullet"/>
      <w:lvlText w:val="•"/>
      <w:lvlJc w:val="left"/>
      <w:pPr>
        <w:ind w:left="4260" w:hanging="668"/>
      </w:pPr>
      <w:rPr>
        <w:rFonts w:hint="default"/>
      </w:rPr>
    </w:lvl>
    <w:lvl w:ilvl="6">
      <w:start w:val="0"/>
      <w:numFmt w:val="bullet"/>
      <w:lvlText w:val="•"/>
      <w:lvlJc w:val="left"/>
      <w:pPr>
        <w:ind w:left="5125" w:hanging="668"/>
      </w:pPr>
      <w:rPr>
        <w:rFonts w:hint="default"/>
      </w:rPr>
    </w:lvl>
    <w:lvl w:ilvl="7">
      <w:start w:val="0"/>
      <w:numFmt w:val="bullet"/>
      <w:lvlText w:val="•"/>
      <w:lvlJc w:val="left"/>
      <w:pPr>
        <w:ind w:left="5990" w:hanging="668"/>
      </w:pPr>
      <w:rPr>
        <w:rFonts w:hint="default"/>
      </w:rPr>
    </w:lvl>
    <w:lvl w:ilvl="8">
      <w:start w:val="0"/>
      <w:numFmt w:val="bullet"/>
      <w:lvlText w:val="•"/>
      <w:lvlJc w:val="left"/>
      <w:pPr>
        <w:ind w:left="6856" w:hanging="668"/>
      </w:pPr>
      <w:rPr>
        <w:rFonts w:hint="default"/>
      </w:rPr>
    </w:lvl>
  </w:abstractNum>
  <w:abstractNum w:abstractNumId="7">
    <w:multiLevelType w:val="hybridMultilevel"/>
    <w:lvl w:ilvl="0">
      <w:start w:val="3"/>
      <w:numFmt w:val="decimal"/>
      <w:lvlText w:val="%1"/>
      <w:lvlJc w:val="left"/>
      <w:pPr>
        <w:ind w:left="704" w:hanging="567"/>
        <w:jc w:val="left"/>
      </w:pPr>
      <w:rPr>
        <w:rFonts w:hint="default"/>
      </w:rPr>
    </w:lvl>
    <w:lvl w:ilvl="1">
      <w:start w:val="1"/>
      <w:numFmt w:val="decimal"/>
      <w:lvlText w:val="%1.%2"/>
      <w:lvlJc w:val="left"/>
      <w:pPr>
        <w:ind w:left="704" w:hanging="567"/>
        <w:jc w:val="left"/>
      </w:pPr>
      <w:rPr>
        <w:rFonts w:hint="default" w:ascii="Times New Roman" w:hAnsi="Times New Roman" w:eastAsia="Times New Roman" w:cs="Times New Roman"/>
        <w:w w:val="100"/>
        <w:sz w:val="28"/>
        <w:szCs w:val="28"/>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2579" w:hanging="668"/>
      </w:pPr>
      <w:rPr>
        <w:rFonts w:hint="default"/>
      </w:rPr>
    </w:lvl>
    <w:lvl w:ilvl="4">
      <w:start w:val="0"/>
      <w:numFmt w:val="bullet"/>
      <w:lvlText w:val="•"/>
      <w:lvlJc w:val="left"/>
      <w:pPr>
        <w:ind w:left="3468" w:hanging="668"/>
      </w:pPr>
      <w:rPr>
        <w:rFonts w:hint="default"/>
      </w:rPr>
    </w:lvl>
    <w:lvl w:ilvl="5">
      <w:start w:val="0"/>
      <w:numFmt w:val="bullet"/>
      <w:lvlText w:val="•"/>
      <w:lvlJc w:val="left"/>
      <w:pPr>
        <w:ind w:left="4358" w:hanging="668"/>
      </w:pPr>
      <w:rPr>
        <w:rFonts w:hint="default"/>
      </w:rPr>
    </w:lvl>
    <w:lvl w:ilvl="6">
      <w:start w:val="0"/>
      <w:numFmt w:val="bullet"/>
      <w:lvlText w:val="•"/>
      <w:lvlJc w:val="left"/>
      <w:pPr>
        <w:ind w:left="5248" w:hanging="668"/>
      </w:pPr>
      <w:rPr>
        <w:rFonts w:hint="default"/>
      </w:rPr>
    </w:lvl>
    <w:lvl w:ilvl="7">
      <w:start w:val="0"/>
      <w:numFmt w:val="bullet"/>
      <w:lvlText w:val="•"/>
      <w:lvlJc w:val="left"/>
      <w:pPr>
        <w:ind w:left="6137" w:hanging="668"/>
      </w:pPr>
      <w:rPr>
        <w:rFonts w:hint="default"/>
      </w:rPr>
    </w:lvl>
    <w:lvl w:ilvl="8">
      <w:start w:val="0"/>
      <w:numFmt w:val="bullet"/>
      <w:lvlText w:val="•"/>
      <w:lvlJc w:val="left"/>
      <w:pPr>
        <w:ind w:left="7027" w:hanging="668"/>
      </w:pPr>
      <w:rPr>
        <w:rFonts w:hint="default"/>
      </w:rPr>
    </w:lvl>
  </w:abstractNum>
  <w:abstractNum w:abstractNumId="6">
    <w:multiLevelType w:val="hybridMultilevel"/>
    <w:lvl w:ilvl="0">
      <w:start w:val="2"/>
      <w:numFmt w:val="decimal"/>
      <w:lvlText w:val="%1"/>
      <w:lvlJc w:val="left"/>
      <w:pPr>
        <w:ind w:left="704" w:hanging="567"/>
        <w:jc w:val="left"/>
      </w:pPr>
      <w:rPr>
        <w:rFonts w:hint="default"/>
      </w:rPr>
    </w:lvl>
    <w:lvl w:ilvl="1">
      <w:start w:val="1"/>
      <w:numFmt w:val="decimal"/>
      <w:lvlText w:val="%1.%2"/>
      <w:lvlJc w:val="left"/>
      <w:pPr>
        <w:ind w:left="704" w:hanging="567"/>
        <w:jc w:val="left"/>
      </w:pPr>
      <w:rPr>
        <w:rFonts w:hint="default" w:ascii="Times New Roman" w:hAnsi="Times New Roman" w:eastAsia="Times New Roman" w:cs="Times New Roman"/>
        <w:w w:val="100"/>
        <w:sz w:val="28"/>
        <w:szCs w:val="28"/>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2530" w:hanging="668"/>
      </w:pPr>
      <w:rPr>
        <w:rFonts w:hint="default"/>
      </w:rPr>
    </w:lvl>
    <w:lvl w:ilvl="4">
      <w:start w:val="0"/>
      <w:numFmt w:val="bullet"/>
      <w:lvlText w:val="•"/>
      <w:lvlJc w:val="left"/>
      <w:pPr>
        <w:ind w:left="3395" w:hanging="668"/>
      </w:pPr>
      <w:rPr>
        <w:rFonts w:hint="default"/>
      </w:rPr>
    </w:lvl>
    <w:lvl w:ilvl="5">
      <w:start w:val="0"/>
      <w:numFmt w:val="bullet"/>
      <w:lvlText w:val="•"/>
      <w:lvlJc w:val="left"/>
      <w:pPr>
        <w:ind w:left="4260" w:hanging="668"/>
      </w:pPr>
      <w:rPr>
        <w:rFonts w:hint="default"/>
      </w:rPr>
    </w:lvl>
    <w:lvl w:ilvl="6">
      <w:start w:val="0"/>
      <w:numFmt w:val="bullet"/>
      <w:lvlText w:val="•"/>
      <w:lvlJc w:val="left"/>
      <w:pPr>
        <w:ind w:left="5125" w:hanging="668"/>
      </w:pPr>
      <w:rPr>
        <w:rFonts w:hint="default"/>
      </w:rPr>
    </w:lvl>
    <w:lvl w:ilvl="7">
      <w:start w:val="0"/>
      <w:numFmt w:val="bullet"/>
      <w:lvlText w:val="•"/>
      <w:lvlJc w:val="left"/>
      <w:pPr>
        <w:ind w:left="5990" w:hanging="668"/>
      </w:pPr>
      <w:rPr>
        <w:rFonts w:hint="default"/>
      </w:rPr>
    </w:lvl>
    <w:lvl w:ilvl="8">
      <w:start w:val="0"/>
      <w:numFmt w:val="bullet"/>
      <w:lvlText w:val="•"/>
      <w:lvlJc w:val="left"/>
      <w:pPr>
        <w:ind w:left="6856" w:hanging="668"/>
      </w:pPr>
      <w:rPr>
        <w:rFonts w:hint="default"/>
      </w:rPr>
    </w:lvl>
  </w:abstractNum>
  <w:abstractNum w:abstractNumId="5">
    <w:multiLevelType w:val="hybridMultilevel"/>
    <w:lvl w:ilvl="0">
      <w:start w:val="1"/>
      <w:numFmt w:val="decimal"/>
      <w:lvlText w:val="%1"/>
      <w:lvlJc w:val="left"/>
      <w:pPr>
        <w:ind w:left="805" w:hanging="668"/>
        <w:jc w:val="left"/>
      </w:pPr>
      <w:rPr>
        <w:rFonts w:hint="default"/>
      </w:rPr>
    </w:lvl>
    <w:lvl w:ilvl="1">
      <w:start w:val="2"/>
      <w:numFmt w:val="decimal"/>
      <w:lvlText w:val="%1.%2"/>
      <w:lvlJc w:val="left"/>
      <w:pPr>
        <w:ind w:left="805" w:hanging="668"/>
        <w:jc w:val="left"/>
      </w:pPr>
      <w:rPr>
        <w:rFonts w:hint="default"/>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3201" w:hanging="668"/>
      </w:pPr>
      <w:rPr>
        <w:rFonts w:hint="default"/>
      </w:rPr>
    </w:lvl>
    <w:lvl w:ilvl="4">
      <w:start w:val="0"/>
      <w:numFmt w:val="bullet"/>
      <w:lvlText w:val="•"/>
      <w:lvlJc w:val="left"/>
      <w:pPr>
        <w:ind w:left="4002" w:hanging="668"/>
      </w:pPr>
      <w:rPr>
        <w:rFonts w:hint="default"/>
      </w:rPr>
    </w:lvl>
    <w:lvl w:ilvl="5">
      <w:start w:val="0"/>
      <w:numFmt w:val="bullet"/>
      <w:lvlText w:val="•"/>
      <w:lvlJc w:val="left"/>
      <w:pPr>
        <w:ind w:left="4803" w:hanging="668"/>
      </w:pPr>
      <w:rPr>
        <w:rFonts w:hint="default"/>
      </w:rPr>
    </w:lvl>
    <w:lvl w:ilvl="6">
      <w:start w:val="0"/>
      <w:numFmt w:val="bullet"/>
      <w:lvlText w:val="•"/>
      <w:lvlJc w:val="left"/>
      <w:pPr>
        <w:ind w:left="5603" w:hanging="668"/>
      </w:pPr>
      <w:rPr>
        <w:rFonts w:hint="default"/>
      </w:rPr>
    </w:lvl>
    <w:lvl w:ilvl="7">
      <w:start w:val="0"/>
      <w:numFmt w:val="bullet"/>
      <w:lvlText w:val="•"/>
      <w:lvlJc w:val="left"/>
      <w:pPr>
        <w:ind w:left="6404" w:hanging="668"/>
      </w:pPr>
      <w:rPr>
        <w:rFonts w:hint="default"/>
      </w:rPr>
    </w:lvl>
    <w:lvl w:ilvl="8">
      <w:start w:val="0"/>
      <w:numFmt w:val="bullet"/>
      <w:lvlText w:val="•"/>
      <w:lvlJc w:val="left"/>
      <w:pPr>
        <w:ind w:left="7205" w:hanging="668"/>
      </w:pPr>
      <w:rPr>
        <w:rFonts w:hint="default"/>
      </w:rPr>
    </w:lvl>
  </w:abstractNum>
  <w:abstractNum w:abstractNumId="4">
    <w:multiLevelType w:val="hybridMultilevel"/>
    <w:lvl w:ilvl="0">
      <w:start w:val="1"/>
      <w:numFmt w:val="decimal"/>
      <w:lvlText w:val="%1"/>
      <w:lvlJc w:val="left"/>
      <w:pPr>
        <w:ind w:left="1117" w:hanging="605"/>
        <w:jc w:val="left"/>
      </w:pPr>
      <w:rPr>
        <w:rFonts w:hint="default"/>
      </w:rPr>
    </w:lvl>
    <w:lvl w:ilvl="1">
      <w:start w:val="1"/>
      <w:numFmt w:val="decimal"/>
      <w:lvlText w:val="%1.%2"/>
      <w:lvlJc w:val="left"/>
      <w:pPr>
        <w:ind w:left="1117" w:hanging="605"/>
        <w:jc w:val="left"/>
      </w:pPr>
      <w:rPr>
        <w:rFonts w:hint="default" w:ascii="Times New Roman" w:hAnsi="Times New Roman" w:eastAsia="Times New Roman" w:cs="Times New Roman"/>
        <w:w w:val="100"/>
        <w:sz w:val="28"/>
        <w:szCs w:val="28"/>
      </w:rPr>
    </w:lvl>
    <w:lvl w:ilvl="2">
      <w:start w:val="0"/>
      <w:numFmt w:val="bullet"/>
      <w:lvlText w:val="•"/>
      <w:lvlJc w:val="left"/>
      <w:pPr>
        <w:ind w:left="2633" w:hanging="605"/>
      </w:pPr>
      <w:rPr>
        <w:rFonts w:hint="default"/>
      </w:rPr>
    </w:lvl>
    <w:lvl w:ilvl="3">
      <w:start w:val="0"/>
      <w:numFmt w:val="bullet"/>
      <w:lvlText w:val="•"/>
      <w:lvlJc w:val="left"/>
      <w:pPr>
        <w:ind w:left="3389" w:hanging="605"/>
      </w:pPr>
      <w:rPr>
        <w:rFonts w:hint="default"/>
      </w:rPr>
    </w:lvl>
    <w:lvl w:ilvl="4">
      <w:start w:val="0"/>
      <w:numFmt w:val="bullet"/>
      <w:lvlText w:val="•"/>
      <w:lvlJc w:val="left"/>
      <w:pPr>
        <w:ind w:left="4146" w:hanging="605"/>
      </w:pPr>
      <w:rPr>
        <w:rFonts w:hint="default"/>
      </w:rPr>
    </w:lvl>
    <w:lvl w:ilvl="5">
      <w:start w:val="0"/>
      <w:numFmt w:val="bullet"/>
      <w:lvlText w:val="•"/>
      <w:lvlJc w:val="left"/>
      <w:pPr>
        <w:ind w:left="4903" w:hanging="605"/>
      </w:pPr>
      <w:rPr>
        <w:rFonts w:hint="default"/>
      </w:rPr>
    </w:lvl>
    <w:lvl w:ilvl="6">
      <w:start w:val="0"/>
      <w:numFmt w:val="bullet"/>
      <w:lvlText w:val="•"/>
      <w:lvlJc w:val="left"/>
      <w:pPr>
        <w:ind w:left="5659" w:hanging="605"/>
      </w:pPr>
      <w:rPr>
        <w:rFonts w:hint="default"/>
      </w:rPr>
    </w:lvl>
    <w:lvl w:ilvl="7">
      <w:start w:val="0"/>
      <w:numFmt w:val="bullet"/>
      <w:lvlText w:val="•"/>
      <w:lvlJc w:val="left"/>
      <w:pPr>
        <w:ind w:left="6416" w:hanging="605"/>
      </w:pPr>
      <w:rPr>
        <w:rFonts w:hint="default"/>
      </w:rPr>
    </w:lvl>
    <w:lvl w:ilvl="8">
      <w:start w:val="0"/>
      <w:numFmt w:val="bullet"/>
      <w:lvlText w:val="•"/>
      <w:lvlJc w:val="left"/>
      <w:pPr>
        <w:ind w:left="7173" w:hanging="605"/>
      </w:pPr>
      <w:rPr>
        <w:rFonts w:hint="default"/>
      </w:rPr>
    </w:lvl>
  </w:abstractNum>
  <w:abstractNum w:abstractNumId="3">
    <w:multiLevelType w:val="hybridMultilevel"/>
    <w:lvl w:ilvl="0">
      <w:start w:val="4"/>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abstractNum w:abstractNumId="2">
    <w:multiLevelType w:val="hybridMultilevel"/>
    <w:lvl w:ilvl="0">
      <w:start w:val="3"/>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abstractNum w:abstractNumId="1">
    <w:multiLevelType w:val="hybridMultilevel"/>
    <w:lvl w:ilvl="0">
      <w:start w:val="2"/>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abstractNum w:abstractNumId="0">
    <w:multiLevelType w:val="hybridMultilevel"/>
    <w:lvl w:ilvl="0">
      <w:start w:val="1"/>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26"/>
      <w:ind w:leftChars="0" w:left="618" w:hanging="480"/>
    </w:pPr>
    <w:rPr>
      <w:rFonts w:ascii="Times New Roman" w:hAnsi="Times New Roman" w:eastAsia="Times New Roman" w:cs="Times New Roman"/>
    </w:rPr>
  </w:style>
  <w:style w:styleId="TableParagraph" w:type="paragraph">
    <w:name w:val="Table Paragraph"/>
    <w:basedOn w:val="Normal"/>
    <w:uiPriority w:val="1"/>
    <w:qFormat/>
    <w:pPr>
      <w:spacing w:before="111"/>
      <w:ind w:leftChars="0" w:left="107"/>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yperlink" Target="http://baike.baidu.com/subview/95420/5992970.htm#viewPageContent" TargetMode="External"/><Relationship Id="rId26" Type="http://schemas.openxmlformats.org/officeDocument/2006/relationships/hyperlink" Target="http://baike.baidu.com/view/34490.htm?fr=wordsearch&amp;amp;2_2" TargetMode="External"/><Relationship Id="rId27" Type="http://schemas.openxmlformats.org/officeDocument/2006/relationships/header" Target="header21.xml"/><Relationship Id="rId28" Type="http://schemas.openxmlformats.org/officeDocument/2006/relationships/header" Target="header22.xml"/><Relationship Id="rId29" Type="http://schemas.openxmlformats.org/officeDocument/2006/relationships/image" Target="media/image1.png"/><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header" Target="header32.xml"/><Relationship Id="rId40" Type="http://schemas.openxmlformats.org/officeDocument/2006/relationships/numbering" Target="numbering.xml"/><Relationship Id="rId41" Type="http://schemas.openxmlformats.org/officeDocument/2006/relationships/endnotes" Target="endnotes.xml"/><Relationship Id="rId43" Type="http://schemas.openxmlformats.org/officeDocument/2006/relationships/footer" Target="footer7.xml"/><Relationship Id="rId44" Type="http://schemas.openxmlformats.org/officeDocument/2006/relationships/header" Target="header33.xml"/><Relationship Id="rId45" Type="http://schemas.openxmlformats.org/officeDocument/2006/relationships/footer" Target="footer8.xml"/><Relationship Id="rId46" Type="http://schemas.openxmlformats.org/officeDocument/2006/relationships/footer" Target="footer9.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header" Target="header34.xml"/><Relationship Id="rId50" Type="http://schemas.openxmlformats.org/officeDocument/2006/relationships/header" Target="header35.xml"/><Relationship Id="rId51" Type="http://schemas.openxmlformats.org/officeDocument/2006/relationships/footer" Target="footer12.xml"/><Relationship Id="rId52" Type="http://schemas.openxmlformats.org/officeDocument/2006/relationships/header" Target="header36.xml"/><Relationship Id="rId53" Type="http://schemas.openxmlformats.org/officeDocument/2006/relationships/header" Target="header37.xml"/><Relationship Id="rId54" Type="http://schemas.openxmlformats.org/officeDocument/2006/relationships/header" Target="header38.xml"/><Relationship Id="rId5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2017-03-16T11:36:15Z</dcterms:created>
  <dcterms:modified xsi:type="dcterms:W3CDTF">2017-03-16T11:36:15Z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2014-09-11T00:00:00Z</vt:filetime>
  </property>
  <property fmtid="{D5CDD505-2E9C-101B-9397-08002B2CF9AE}" pid="3" name="Creator">
    <vt:lpwstr>Microsoft® Word 2010</vt:lpwstr>
  </property>
  <property fmtid="{D5CDD505-2E9C-101B-9397-08002B2CF9AE}" pid="4" name="LastSaved">
    <vt:filetime>2017-03-16T00:00:00Z</vt:filetime>
  </property>
</Properties>
</file>