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ve="http://schemas.openxmlformats.org/markup-compatibility/2006" xmlns:a="http://schemas.openxmlformats.org/drawingml/2006/main" xmlns:pic="http://schemas.openxmlformats.org/drawingml/2006/picture" mc:Ignorable="w14 w15 w16se w16cid w16 w16cex wp14" xml:space="preserve">
  <w:body>
    <w:p w:rsidR="0018722C">
      <w:pPr>
        <w:spacing w:line="20" w:lineRule="exact"/>
        <w:ind w:leftChars="0" w:left="518" w:rightChars="0" w:right="0" w:firstLineChars="0" w:firstLine="0"/>
        <w:rPr>
          <w:sz w:val="2"/>
        </w:rPr>
      </w:pPr>
      <w:r>
        <w:rPr>
          <w:sz w:val="2"/>
        </w:rPr>
        <w:pict>
          <v:group style="width:445.5pt;height:.45pt;mso-position-horizontal-relative:char;mso-position-vertical-relative:line" coordorigin="0,0" coordsize="8910,9">
            <v:line style="position:absolute" from="0,5" to="8910,5" stroked="true" strokeweight=".45pt" strokecolor="#000000">
              <v:stroke dashstyle="solid"/>
            </v:line>
          </v:group>
        </w:pict>
      </w:r>
      <w:r/>
    </w:p>
    <w:p w:rsidR="0018722C">
      <w:pPr>
        <w:pStyle w:val="aff"/>
        <w:widowControl w:val="0"/>
        <w:snapToGrid w:val="1"/>
        <w:spacing w:beforeLines="0" w:afterLines="0" w:lineRule="auto" w:line="240" w:after="0" w:before="823"/>
        <w:ind w:firstLineChars="0" w:firstLine="0" w:rightChars="0" w:right="0" w:leftChars="0" w:left="518"/>
        <w:jc w:val="left"/>
        <w:autoSpaceDE w:val="0"/>
        <w:autoSpaceDN w:val="0"/>
        <w:pBdr>
          <w:bottom w:val="none" w:sz="0" w:space="0" w:color="auto"/>
        </w:pBdr>
        <w:rPr>
          <w:kern w:val="2"/>
          <w:sz w:val="28"/>
          <w:szCs w:val="28"/>
          <w:rFonts w:cstheme="minorBidi" w:ascii="Times New Roman" w:hAnsi="宋体" w:eastAsia="宋体" w:cs="宋体"/>
        </w:rPr>
      </w:pPr>
      <w:bookmarkStart w:name="封面 " w:id="1"/>
      <w:bookmarkEnd w:id="1"/>
      <w:r>
        <w:rPr>
          <w:kern w:val="2"/>
          <w:sz w:val="28"/>
          <w:szCs w:val="28"/>
          <w:rFonts w:ascii="Times New Roman" w:cstheme="minorBidi" w:hAnsi="宋体" w:eastAsia="宋体" w:cs="宋体"/>
        </w:rPr>
        <w:t>+ </w:t>
      </w:r>
      <w:r>
        <w:rPr>
          <w:kern w:val="2"/>
          <w:sz w:val="28"/>
          <w:szCs w:val="28"/>
          <w:rFonts w:ascii="Times New Roman" w:cstheme="minorBidi" w:hAnsi="宋体" w:eastAsia="宋体" w:cs="宋体"/>
        </w:rPr>
        <w:drawing>
          <wp:inline distT="0" distB="0" distL="0" distR="0">
            <wp:extent cx="4846411" cy="6851367"/>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4846411" cy="6851367"/>
                    </a:xfrm>
                    <a:prstGeom prst="rect">
                      <a:avLst/>
                    </a:prstGeom>
                  </pic:spPr>
                </pic:pic>
              </a:graphicData>
            </a:graphic>
          </wp:inline>
        </w:drawing>
      </w:r>
    </w:p>
    <w:p w:rsidR="0018722C">
      <w:pPr>
        <w:spacing w:after="0"/>
        <w:rPr>
          <w:rFonts w:ascii="Times New Roman"/>
        </w:rPr>
        <w:sectPr w:rsidR="00556256">
          <w:pgSz w:w="11910" w:h="16840"/>
          <w:pgMar w:header="863" w:footer="272" w:top="1060" w:bottom="460" w:left="900" w:right="1460"/>
        </w:sectPr>
      </w:pPr>
    </w:p>
    <w:p w:rsidR="0018722C">
      <w:pPr>
        <w:spacing w:line="20" w:lineRule="exact"/>
        <w:ind w:leftChars="0" w:left="518" w:rightChars="0" w:right="0" w:firstLineChars="0" w:firstLine="0"/>
        <w:rPr>
          <w:sz w:val="2"/>
        </w:rPr>
      </w:pPr>
      <w:bookmarkStart w:name="声明 " w:id="2"/>
      <w:bookmarkEnd w:id="2"/>
      <w:r/>
      <w:r>
        <w:rPr>
          <w:sz w:val="2"/>
        </w:rPr>
        <w:pict>
          <v:group style="width:445.5pt;height:.45pt;mso-position-horizontal-relative:char;mso-position-vertical-relative:line" coordorigin="0,0" coordsize="8910,9">
            <v:line style="position:absolute" from="0,5" to="8910,5" stroked="true" strokeweight=".45pt" strokecolor="#000000">
              <v:stroke dashstyle="solid"/>
            </v:line>
          </v:group>
        </w:pict>
      </w:r>
      <w:r/>
    </w:p>
    <w:p w:rsidR="0018722C">
      <w:pPr>
        <w:spacing w:line="240" w:lineRule="auto" w:before="0"/>
        <w:rPr>
          <w:sz w:val="20"/>
        </w:rPr>
      </w:pPr>
    </w:p>
    <w:p w:rsidR="0018722C">
      <w:pPr>
        <w:spacing w:line="240" w:lineRule="auto" w:before="0"/>
        <w:rPr>
          <w:sz w:val="20"/>
        </w:rPr>
      </w:pPr>
    </w:p>
    <w:p w:rsidR="0018722C">
      <w:pPr>
        <w:spacing w:line="240" w:lineRule="auto" w:before="0"/>
        <w:rPr>
          <w:sz w:val="20"/>
        </w:rPr>
      </w:pPr>
    </w:p>
    <w:p w:rsidR="0018722C">
      <w:pPr>
        <w:spacing w:line="240" w:lineRule="auto" w:before="0"/>
        <w:rPr>
          <w:sz w:val="14"/>
        </w:rPr>
      </w:pPr>
      <w:r>
        <w:drawing>
          <wp:anchor distT="0" distB="0" distL="0" distR="0" allowOverlap="1" layoutInCell="1" locked="0" behindDoc="0" simplePos="0" relativeHeight="1072">
            <wp:simplePos x="0" y="0"/>
            <wp:positionH relativeFrom="page">
              <wp:posOffset>900430</wp:posOffset>
            </wp:positionH>
            <wp:positionV relativeFrom="paragraph">
              <wp:posOffset>127081</wp:posOffset>
            </wp:positionV>
            <wp:extent cx="4876930" cy="6909434"/>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4876930" cy="6909434"/>
                    </a:xfrm>
                    <a:prstGeom prst="rect">
                      <a:avLst/>
                    </a:prstGeom>
                  </pic:spPr>
                </pic:pic>
              </a:graphicData>
            </a:graphic>
          </wp:anchor>
        </w:drawing>
      </w:r>
    </w:p>
    <w:p w:rsidR="0018722C">
      <w:pPr>
        <w:spacing w:after="0" w:line="240" w:lineRule="auto"/>
        <w:rPr>
          <w:sz w:val="14"/>
        </w:rPr>
        <w:sectPr w:rsidR="00556256">
          <w:pgSz w:w="11910" w:h="16840"/>
          <w:pgMar w:header="863" w:footer="272" w:top="1060" w:bottom="460" w:left="900" w:right="1460"/>
        </w:sectPr>
      </w:pPr>
    </w:p>
    <w:p w:rsidR="0018722C">
      <w:pPr>
        <w:spacing w:line="20" w:lineRule="exact"/>
        <w:ind w:leftChars="0" w:left="518" w:rightChars="0" w:right="0" w:firstLineChars="0" w:firstLine="0"/>
        <w:rPr>
          <w:sz w:val="2"/>
        </w:rPr>
      </w:pPr>
      <w:r>
        <w:rPr>
          <w:sz w:val="2"/>
        </w:rPr>
        <w:pict>
          <v:group style="width:445.5pt;height:.45pt;mso-position-horizontal-relative:char;mso-position-vertical-relative:line" coordorigin="0,0" coordsize="8910,9">
            <v:line style="position:absolute" from="0,5" to="8910,5" stroked="true" strokeweight=".45pt" strokecolor="#000000">
              <v:stroke dashstyle="solid"/>
            </v:line>
          </v:group>
        </w:pict>
      </w:r>
      <w:r/>
    </w:p>
    <w:p w:rsidR="0018722C">
      <w:pPr>
        <w:spacing w:line="240" w:lineRule="auto" w:before="0"/>
        <w:rPr>
          <w:sz w:val="20"/>
        </w:rPr>
      </w:pPr>
    </w:p>
    <w:p w:rsidR="0018722C">
      <w:pPr>
        <w:spacing w:line="240" w:lineRule="auto" w:before="0"/>
        <w:rPr>
          <w:sz w:val="20"/>
        </w:rPr>
      </w:pPr>
    </w:p>
    <w:p w:rsidR="0018722C">
      <w:pPr>
        <w:spacing w:line="240" w:lineRule="auto" w:before="1"/>
        <w:rPr>
          <w:sz w:val="23"/>
        </w:rPr>
      </w:pPr>
    </w:p>
    <w:p w:rsidR="0018722C">
      <w:pPr>
        <w:spacing w:after="0" w:line="240" w:lineRule="auto"/>
        <w:rPr>
          <w:sz w:val="23"/>
        </w:rPr>
        <w:sectPr w:rsidR="00556256">
          <w:pgSz w:w="11910" w:h="16840"/>
          <w:pgMar w:header="863" w:footer="272" w:top="1060" w:bottom="460" w:left="900" w:right="1200"/>
        </w:sectPr>
      </w:pPr>
    </w:p>
    <w:p w:rsidR="0018722C">
      <w:pPr>
        <w:spacing w:line="240" w:lineRule="auto" w:before="3"/>
        <w:rPr>
          <w:sz w:val="50"/>
        </w:rPr>
      </w:pPr>
    </w:p>
    <w:p w:rsidR="0018722C">
      <w:pPr>
        <w:spacing w:before="0"/>
        <w:ind w:leftChars="0" w:left="518" w:rightChars="0" w:right="0" w:firstLineChars="0" w:firstLine="0"/>
        <w:jc w:val="left"/>
        <w:rPr>
          <w:rFonts w:ascii="宋体" w:eastAsia="宋体" w:hint="eastAsia"/>
          <w:sz w:val="36"/>
        </w:rPr>
      </w:pPr>
      <w:bookmarkStart w:name="个人简历 " w:id="3"/>
      <w:bookmarkEnd w:id="3"/>
      <w:r/>
      <w:r>
        <w:rPr>
          <w:rFonts w:ascii="宋体" w:eastAsia="宋体" w:hint="eastAsia"/>
          <w:sz w:val="36"/>
        </w:rPr>
        <w:t>基本情况</w:t>
      </w:r>
    </w:p>
    <w:p w:rsidR="0018722C">
      <w:pPr>
        <w:spacing w:line="540" w:lineRule="exact" w:before="0"/>
        <w:ind w:leftChars="0" w:left="518" w:rightChars="0" w:right="0" w:firstLineChars="0" w:firstLine="0"/>
        <w:jc w:val="left"/>
        <w:rPr>
          <w:rFonts w:ascii="宋体" w:eastAsia="宋体" w:hint="eastAsia"/>
          <w:sz w:val="44"/>
        </w:rPr>
      </w:pPr>
      <w:r>
        <w:br w:type="column"/>
      </w:r>
      <w:r>
        <w:rPr>
          <w:rFonts w:ascii="宋体" w:eastAsia="宋体" w:hint="eastAsia"/>
          <w:sz w:val="44"/>
        </w:rPr>
        <w:t>个人简历</w:t>
      </w:r>
    </w:p>
    <w:p w:rsidR="0018722C">
      <w:pPr>
        <w:spacing w:after="0" w:line="540" w:lineRule="exact"/>
        <w:jc w:val="left"/>
        <w:rPr>
          <w:rFonts w:ascii="宋体" w:eastAsia="宋体" w:hint="eastAsia"/>
          <w:sz w:val="44"/>
        </w:rPr>
        <w:sectPr w:rsidR="00556256">
          <w:type w:val="continuous"/>
          <w:pgSz w:w="11910" w:h="16840"/>
          <w:pgMar w:top="1060" w:bottom="460" w:left="900" w:right="1200"/>
          <w:cols w:num="2" w:equalWidth="0">
            <w:col w:w="1959" w:space="1121"/>
            <w:col w:w="6730"/>
          </w:cols>
        </w:sectPr>
      </w:pPr>
    </w:p>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9"/>
          <w:szCs w:val="28"/>
          <w:rFonts w:cstheme="minorBidi" w:ascii="宋体" w:hAnsi="宋体" w:eastAsia="宋体" w:cs="宋体"/>
        </w:rPr>
      </w:pPr>
    </w:p>
    <w:p w:rsidR="0018722C">
      <w:pPr>
        <w:widowControl w:val="0"/>
        <w:snapToGrid w:val="1"/>
        <w:spacing w:beforeLines="0" w:afterLines="0" w:lineRule="auto" w:line="240" w:after="0" w:before="14"/>
        <w:ind w:firstLineChars="0" w:firstLine="0" w:rightChars="0" w:right="0" w:leftChars="0" w:left="518"/>
        <w:jc w:val="left"/>
        <w:autoSpaceDE w:val="0"/>
        <w:autoSpaceDN w:val="0"/>
        <w:tabs>
          <w:tab w:pos="4717" w:val="left" w:leader="none"/>
        </w:tabs>
        <w:pBdr>
          <w:bottom w:val="none" w:sz="0" w:space="0" w:color="auto"/>
        </w:pBdr>
        <w:rPr>
          <w:kern w:val="2"/>
          <w:sz w:val="28"/>
          <w:szCs w:val="28"/>
          <w:rFonts w:cstheme="minorBidi" w:ascii="宋体" w:hAnsi="宋体" w:eastAsia="宋体" w:cs="宋体"/>
        </w:rPr>
      </w:pPr>
      <w:r>
        <w:rPr>
          <w:kern w:val="2"/>
          <w:sz w:val="28"/>
          <w:szCs w:val="28"/>
          <w:rFonts w:cstheme="minorBidi" w:ascii="宋体" w:hAnsi="宋体" w:eastAsia="宋体" w:cs="宋体"/>
        </w:rPr>
        <w:t>姓名：杨浩洁</w:t>
      </w:r>
      <w:r w:rsidRPr="00000000">
        <w:rPr>
          <w:kern w:val="2"/>
          <w:sz w:val="28"/>
          <w:szCs w:val="28"/>
          <w:rFonts w:cstheme="minorBidi" w:ascii="宋体" w:hAnsi="宋体" w:eastAsia="宋体" w:cs="宋体"/>
        </w:rPr>
        <w:tab/>
        <w:t>性别：男</w:t>
      </w:r>
    </w:p>
    <w:p w:rsidR="0018722C">
      <w:pPr>
        <w:widowControl w:val="0"/>
        <w:snapToGrid w:val="1"/>
        <w:spacing w:beforeLines="0" w:afterLines="0" w:lineRule="auto" w:line="240" w:after="0" w:before="153"/>
        <w:ind w:firstLineChars="0" w:firstLine="0" w:rightChars="0" w:right="0" w:leftChars="0" w:left="518"/>
        <w:jc w:val="left"/>
        <w:autoSpaceDE w:val="0"/>
        <w:autoSpaceDN w:val="0"/>
        <w:tabs>
          <w:tab w:pos="4717" w:val="left" w:leader="none"/>
        </w:tabs>
        <w:pBdr>
          <w:bottom w:val="none" w:sz="0" w:space="0" w:color="auto"/>
        </w:pBdr>
        <w:rPr>
          <w:kern w:val="2"/>
          <w:sz w:val="28"/>
          <w:szCs w:val="28"/>
          <w:rFonts w:cstheme="minorBidi" w:ascii="宋体" w:hAnsi="宋体" w:eastAsia="宋体" w:cs="宋体"/>
        </w:rPr>
      </w:pPr>
      <w:r>
        <w:rPr>
          <w:kern w:val="2"/>
          <w:sz w:val="28"/>
          <w:szCs w:val="28"/>
          <w:rFonts w:cstheme="minorBidi" w:ascii="宋体" w:hAnsi="宋体" w:eastAsia="宋体" w:cs="宋体"/>
        </w:rPr>
        <w:t>名族：汉族</w:t>
      </w:r>
      <w:r w:rsidRPr="00000000">
        <w:rPr>
          <w:kern w:val="2"/>
          <w:sz w:val="28"/>
          <w:szCs w:val="28"/>
          <w:rFonts w:cstheme="minorBidi" w:ascii="宋体" w:hAnsi="宋体" w:eastAsia="宋体" w:cs="宋体"/>
        </w:rPr>
        <w:tab/>
        <w:t>出生年月：</w:t>
      </w:r>
      <w:r>
        <w:rPr>
          <w:kern w:val="2"/>
          <w:sz w:val="28"/>
          <w:szCs w:val="28"/>
          <w:rFonts w:ascii="Times New Roman" w:eastAsia="Times New Roman" w:cstheme="minorBidi" w:hAnsi="宋体" w:cs="宋体"/>
        </w:rPr>
        <w:t>1989 </w:t>
      </w:r>
      <w:r>
        <w:rPr>
          <w:kern w:val="2"/>
          <w:sz w:val="28"/>
          <w:szCs w:val="28"/>
          <w:rFonts w:cstheme="minorBidi" w:ascii="宋体" w:hAnsi="宋体" w:eastAsia="宋体" w:cs="宋体"/>
        </w:rPr>
        <w:t>年</w:t>
      </w:r>
      <w:r>
        <w:rPr>
          <w:kern w:val="2"/>
          <w:sz w:val="28"/>
          <w:szCs w:val="28"/>
          <w:rFonts w:cstheme="minorBidi" w:ascii="宋体" w:hAnsi="宋体" w:eastAsia="宋体" w:cs="宋体"/>
          <w:spacing w:val="-35"/>
        </w:rPr>
        <w:t> </w:t>
      </w:r>
      <w:r>
        <w:rPr>
          <w:kern w:val="2"/>
          <w:sz w:val="28"/>
          <w:szCs w:val="28"/>
          <w:rFonts w:ascii="Times New Roman" w:eastAsia="Times New Roman" w:cstheme="minorBidi" w:hAnsi="宋体" w:cs="宋体"/>
        </w:rPr>
        <w:t>12 </w:t>
      </w:r>
      <w:r>
        <w:rPr>
          <w:kern w:val="2"/>
          <w:sz w:val="28"/>
          <w:szCs w:val="28"/>
          <w:rFonts w:cstheme="minorBidi" w:ascii="宋体" w:hAnsi="宋体" w:eastAsia="宋体" w:cs="宋体"/>
        </w:rPr>
        <w:t>月</w:t>
      </w:r>
    </w:p>
    <w:p w:rsidR="0018722C">
      <w:pPr>
        <w:widowControl w:val="0"/>
        <w:snapToGrid w:val="1"/>
        <w:spacing w:beforeLines="0" w:afterLines="0" w:lineRule="auto" w:line="240" w:after="0" w:before="132"/>
        <w:ind w:firstLineChars="0" w:firstLine="0" w:rightChars="0" w:right="0" w:leftChars="0" w:left="518"/>
        <w:jc w:val="left"/>
        <w:autoSpaceDE w:val="0"/>
        <w:autoSpaceDN w:val="0"/>
        <w:tabs>
          <w:tab w:pos="4577" w:val="left" w:leader="none"/>
        </w:tabs>
        <w:pBdr>
          <w:bottom w:val="none" w:sz="0" w:space="0" w:color="auto"/>
        </w:pBdr>
        <w:rPr>
          <w:kern w:val="2"/>
          <w:sz w:val="28"/>
          <w:szCs w:val="28"/>
          <w:rFonts w:cstheme="minorBidi" w:ascii="宋体" w:hAnsi="宋体" w:eastAsia="宋体" w:cs="宋体"/>
        </w:rPr>
      </w:pPr>
      <w:r>
        <w:rPr>
          <w:kern w:val="2"/>
          <w:sz w:val="28"/>
          <w:szCs w:val="28"/>
          <w:rFonts w:cstheme="minorBidi" w:ascii="宋体" w:hAnsi="宋体" w:eastAsia="宋体" w:cs="宋体"/>
        </w:rPr>
        <w:t>籍贯：湖南省常德市</w:t>
      </w:r>
      <w:r w:rsidRPr="00000000">
        <w:rPr>
          <w:kern w:val="2"/>
          <w:sz w:val="28"/>
          <w:szCs w:val="28"/>
          <w:rFonts w:cstheme="minorBidi" w:ascii="宋体" w:hAnsi="宋体" w:eastAsia="宋体" w:cs="宋体"/>
        </w:rPr>
        <w:tab/>
        <w:t>政治面貌：中共党员</w:t>
      </w:r>
    </w:p>
    <w:p w:rsidR="0018722C">
      <w:pPr>
        <w:spacing w:before="60"/>
        <w:ind w:leftChars="0" w:left="518" w:rightChars="0" w:right="0" w:firstLineChars="0" w:firstLine="0"/>
        <w:jc w:val="left"/>
        <w:rPr>
          <w:rFonts w:ascii="宋体" w:eastAsia="宋体" w:hint="eastAsia"/>
          <w:sz w:val="36"/>
        </w:rPr>
      </w:pPr>
      <w:r>
        <w:pict>
          <v:line style="position:absolute;mso-position-horizontal-relative:page;mso-position-vertical-relative:paragraph;z-index:1120;mso-wrap-distance-left:0;mso-wrap-distance-right:0" from="69.450005pt,29.973465pt" to="525.849986pt,29.973465pt" stroked="true" strokeweight="1.5pt" strokecolor="#000000">
            <v:stroke dashstyle="solid"/>
            <w10:wrap type="topAndBottom"/>
          </v:line>
        </w:pict>
      </w:r>
      <w:r>
        <w:rPr>
          <w:rFonts w:ascii="宋体" w:eastAsia="宋体" w:hint="eastAsia"/>
          <w:sz w:val="36"/>
        </w:rPr>
        <w:t>学习工作经历</w:t>
      </w:r>
    </w:p>
    <w:p w:rsidR="0018722C">
      <w:pPr>
        <w:widowControl w:val="0"/>
        <w:snapToGrid w:val="1"/>
        <w:spacing w:beforeLines="0" w:afterLines="0" w:lineRule="auto" w:line="240" w:before="80" w:after="85"/>
        <w:ind w:firstLineChars="0" w:firstLine="0" w:rightChars="0" w:right="0" w:leftChars="0" w:left="518"/>
        <w:jc w:val="left"/>
        <w:autoSpaceDE w:val="0"/>
        <w:autoSpaceDN w:val="0"/>
        <w:tabs>
          <w:tab w:pos="3037" w:val="left" w:leader="none"/>
          <w:tab w:pos="5697" w:val="left" w:leader="none"/>
          <w:tab w:pos="8077" w:val="left" w:leader="none"/>
        </w:tabs>
        <w:pBdr>
          <w:bottom w:val="none" w:sz="0" w:space="0" w:color="auto"/>
        </w:pBdr>
        <w:rPr>
          <w:kern w:val="2"/>
          <w:sz w:val="28"/>
          <w:szCs w:val="28"/>
          <w:rFonts w:cstheme="minorBidi" w:ascii="宋体" w:hAnsi="宋体" w:eastAsia="宋体" w:cs="宋体"/>
        </w:rPr>
      </w:pPr>
      <w:r>
        <w:rPr>
          <w:kern w:val="2"/>
          <w:sz w:val="28"/>
          <w:szCs w:val="28"/>
          <w:rFonts w:cstheme="minorBidi" w:ascii="宋体" w:hAnsi="宋体" w:eastAsia="宋体" w:cs="宋体"/>
        </w:rPr>
        <w:t>起止时间</w:t>
      </w:r>
      <w:r w:rsidRPr="00000000">
        <w:rPr>
          <w:kern w:val="2"/>
          <w:sz w:val="28"/>
          <w:szCs w:val="28"/>
          <w:rFonts w:cstheme="minorBidi" w:ascii="宋体" w:hAnsi="宋体" w:eastAsia="宋体" w:cs="宋体"/>
        </w:rPr>
        <w:tab/>
        <w:t>所在院校或单位</w:t>
      </w:r>
      <w:r w:rsidRPr="00000000">
        <w:rPr>
          <w:kern w:val="2"/>
          <w:sz w:val="28"/>
          <w:szCs w:val="28"/>
          <w:rFonts w:cstheme="minorBidi" w:ascii="宋体" w:hAnsi="宋体" w:eastAsia="宋体" w:cs="宋体"/>
        </w:rPr>
        <w:tab/>
        <w:t>学历学位</w:t>
      </w:r>
      <w:r w:rsidRPr="00000000">
        <w:rPr>
          <w:kern w:val="2"/>
          <w:sz w:val="28"/>
          <w:szCs w:val="28"/>
          <w:rFonts w:cstheme="minorBidi" w:ascii="宋体" w:hAnsi="宋体" w:eastAsia="宋体" w:cs="宋体"/>
        </w:rPr>
        <w:tab/>
        <w:t>职称</w:t>
      </w:r>
    </w:p>
    <w:p w:rsidR="0018722C">
      <w:pPr>
        <w:widowControl w:val="0"/>
        <w:snapToGrid w:val="1"/>
        <w:spacing w:beforeLines="0" w:afterLines="0" w:before="0" w:after="0" w:line="30" w:lineRule="exact"/>
        <w:ind w:firstLineChars="0" w:firstLine="0" w:rightChars="0" w:right="0" w:leftChars="0" w:left="489"/>
        <w:jc w:val="left"/>
        <w:autoSpaceDE w:val="0"/>
        <w:autoSpaceDN w:val="0"/>
        <w:pBdr>
          <w:bottom w:val="none" w:sz="0" w:space="0" w:color="auto"/>
        </w:pBdr>
        <w:rPr>
          <w:kern w:val="2"/>
          <w:sz w:val="3"/>
          <w:szCs w:val="28"/>
          <w:rFonts w:cstheme="minorBidi" w:ascii="宋体" w:hAnsi="宋体" w:eastAsia="宋体" w:cs="宋体"/>
        </w:rPr>
      </w:pPr>
      <w:r>
        <w:rPr>
          <w:kern w:val="2"/>
          <w:szCs w:val="28"/>
          <w:rFonts w:cstheme="minorBidi" w:ascii="宋体" w:hAnsi="宋体" w:eastAsia="宋体" w:cs="宋体"/>
          <w:position w:val="0"/>
          <w:sz w:val="3"/>
        </w:rPr>
        <w:pict>
          <v:group style="width:456.4pt;height:1.5pt;mso-position-horizontal-relative:char;mso-position-vertical-relative:line" coordorigin="0,0" coordsize="9128,30">
            <v:line style="position:absolute" from="0,15" to="9128,15" stroked="true" strokeweight="1.5pt" strokecolor="#000000">
              <v:stroke dashstyle="solid"/>
            </v:line>
          </v:group>
        </w:pict>
      </w:r>
    </w:p>
    <w:p w:rsidR="0018722C">
      <w:pPr>
        <w:widowControl w:val="0"/>
        <w:snapToGrid w:val="1"/>
        <w:spacing w:beforeLines="0" w:afterLines="0" w:lineRule="auto" w:line="240" w:after="0" w:before="89"/>
        <w:ind w:firstLineChars="0" w:firstLine="0" w:rightChars="0" w:right="0" w:leftChars="0" w:left="518"/>
        <w:jc w:val="left"/>
        <w:autoSpaceDE w:val="0"/>
        <w:autoSpaceDN w:val="0"/>
        <w:tabs>
          <w:tab w:pos="3131" w:val="left" w:leader="none"/>
          <w:tab w:pos="5791" w:val="left" w:leader="none"/>
          <w:tab w:pos="8311" w:val="left" w:leader="none"/>
        </w:tabs>
        <w:pBdr>
          <w:bottom w:val="none" w:sz="0" w:space="0" w:color="auto"/>
        </w:pBdr>
        <w:rPr>
          <w:kern w:val="2"/>
          <w:sz w:val="28"/>
          <w:szCs w:val="28"/>
          <w:rFonts w:cstheme="minorBidi" w:ascii="宋体" w:hAnsi="宋体" w:eastAsia="宋体" w:cs="宋体"/>
        </w:rPr>
      </w:pPr>
      <w:r>
        <w:rPr>
          <w:kern w:val="2"/>
          <w:sz w:val="28"/>
          <w:szCs w:val="28"/>
          <w:rFonts w:ascii="Times New Roman" w:eastAsia="Times New Roman" w:cstheme="minorBidi" w:hAnsi="宋体" w:cs="宋体"/>
        </w:rPr>
        <w:t>2008.9-2013.6</w:t>
      </w:r>
      <w:r w:rsidRPr="00000000">
        <w:rPr>
          <w:kern w:val="2"/>
          <w:sz w:val="28"/>
          <w:szCs w:val="28"/>
          <w:rFonts w:cstheme="minorBidi" w:ascii="宋体" w:hAnsi="宋体" w:eastAsia="宋体" w:cs="宋体"/>
        </w:rPr>
        <w:tab/>
      </w:r>
      <w:r>
        <w:rPr>
          <w:kern w:val="2"/>
          <w:sz w:val="28"/>
          <w:szCs w:val="28"/>
          <w:rFonts w:cstheme="minorBidi" w:ascii="宋体" w:hAnsi="宋体" w:eastAsia="宋体" w:cs="宋体"/>
        </w:rPr>
        <w:t>湖南师范大学</w:t>
      </w:r>
      <w:r w:rsidRPr="00000000">
        <w:rPr>
          <w:kern w:val="2"/>
          <w:sz w:val="28"/>
          <w:szCs w:val="28"/>
          <w:rFonts w:cstheme="minorBidi" w:ascii="宋体" w:hAnsi="宋体" w:eastAsia="宋体" w:cs="宋体"/>
        </w:rPr>
        <w:tab/>
        <w:t>学士学位</w:t>
      </w:r>
      <w:r w:rsidRPr="00000000">
        <w:rPr>
          <w:kern w:val="2"/>
          <w:sz w:val="28"/>
          <w:szCs w:val="28"/>
          <w:rFonts w:cstheme="minorBidi" w:ascii="宋体" w:hAnsi="宋体" w:eastAsia="宋体" w:cs="宋体"/>
        </w:rPr>
        <w:tab/>
        <w:t>无</w:t>
      </w:r>
    </w:p>
    <w:p w:rsidR="0018722C">
      <w:pPr>
        <w:widowControl w:val="0"/>
        <w:snapToGrid w:val="1"/>
        <w:spacing w:beforeLines="0" w:afterLines="0" w:lineRule="auto" w:line="240" w:after="0" w:before="132"/>
        <w:ind w:firstLineChars="0" w:firstLine="0" w:rightChars="0" w:right="0" w:leftChars="0" w:left="518"/>
        <w:jc w:val="left"/>
        <w:autoSpaceDE w:val="0"/>
        <w:autoSpaceDN w:val="0"/>
        <w:tabs>
          <w:tab w:pos="3131" w:val="left" w:leader="none"/>
          <w:tab w:pos="5791" w:val="left" w:leader="none"/>
          <w:tab w:pos="8311" w:val="left" w:leader="none"/>
        </w:tabs>
        <w:pBdr>
          <w:bottom w:val="none" w:sz="0" w:space="0" w:color="auto"/>
        </w:pBdr>
        <w:rPr>
          <w:kern w:val="2"/>
          <w:sz w:val="28"/>
          <w:szCs w:val="28"/>
          <w:rFonts w:cstheme="minorBidi" w:ascii="宋体" w:hAnsi="宋体" w:eastAsia="宋体" w:cs="宋体"/>
        </w:rPr>
      </w:pPr>
      <w:r>
        <w:rPr>
          <w:kern w:val="2"/>
          <w:sz w:val="28"/>
          <w:szCs w:val="28"/>
          <w:rFonts w:cstheme="minorBidi" w:ascii="宋体" w:hAnsi="宋体" w:eastAsia="宋体" w:cs="宋体"/>
        </w:rPr>
        <w:pict>
          <v:line style="position:absolute;mso-position-horizontal-relative:page;mso-position-vertical-relative:paragraph;z-index:1168;mso-wrap-distance-left:0;mso-wrap-distance-right:0" from="69.450005pt,29.90159pt" to="525.849986pt,29.90159pt" stroked="true" strokeweight="1.5pt" strokecolor="#000000">
            <v:stroke dashstyle="solid"/>
            <w10:wrap type="topAndBottom"/>
          </v:line>
        </w:pict>
      </w:r>
      <w:r>
        <w:rPr>
          <w:kern w:val="2"/>
          <w:sz w:val="28"/>
          <w:szCs w:val="28"/>
          <w:rFonts w:ascii="Times New Roman" w:eastAsia="Times New Roman" w:cstheme="minorBidi" w:hAnsi="宋体" w:cs="宋体"/>
        </w:rPr>
        <w:t>2013.9-2016.6</w:t>
      </w:r>
      <w:r w:rsidRPr="00000000">
        <w:rPr>
          <w:kern w:val="2"/>
          <w:sz w:val="28"/>
          <w:szCs w:val="28"/>
          <w:rFonts w:cstheme="minorBidi" w:ascii="宋体" w:hAnsi="宋体" w:eastAsia="宋体" w:cs="宋体"/>
        </w:rPr>
        <w:tab/>
      </w:r>
      <w:r>
        <w:rPr>
          <w:kern w:val="2"/>
          <w:sz w:val="28"/>
          <w:szCs w:val="28"/>
          <w:rFonts w:cstheme="minorBidi" w:ascii="宋体" w:hAnsi="宋体" w:eastAsia="宋体" w:cs="宋体"/>
        </w:rPr>
        <w:t>广西医科大学</w:t>
      </w:r>
      <w:r w:rsidRPr="00000000">
        <w:rPr>
          <w:kern w:val="2"/>
          <w:sz w:val="28"/>
          <w:szCs w:val="28"/>
          <w:rFonts w:cstheme="minorBidi" w:ascii="宋体" w:hAnsi="宋体" w:eastAsia="宋体" w:cs="宋体"/>
        </w:rPr>
        <w:tab/>
        <w:t>硕士学位</w:t>
      </w:r>
      <w:r w:rsidRPr="00000000">
        <w:rPr>
          <w:kern w:val="2"/>
          <w:sz w:val="28"/>
          <w:szCs w:val="28"/>
          <w:rFonts w:cstheme="minorBidi" w:ascii="宋体" w:hAnsi="宋体" w:eastAsia="宋体" w:cs="宋体"/>
        </w:rPr>
        <w:tab/>
        <w:t>无</w:t>
      </w:r>
    </w:p>
    <w:p w:rsidR="0018722C">
      <w:pPr>
        <w:spacing w:before="0" w:after="53"/>
        <w:ind w:leftChars="0" w:left="518" w:rightChars="0" w:right="0" w:firstLineChars="0" w:firstLine="0"/>
        <w:jc w:val="left"/>
        <w:rPr>
          <w:rFonts w:ascii="宋体" w:eastAsia="宋体" w:hint="eastAsia"/>
          <w:sz w:val="36"/>
        </w:rPr>
      </w:pPr>
      <w:r>
        <w:rPr>
          <w:rFonts w:ascii="宋体" w:eastAsia="宋体" w:hint="eastAsia"/>
          <w:sz w:val="36"/>
        </w:rPr>
        <w:t>研究生期间科研经历</w:t>
      </w:r>
    </w:p>
    <w:p w:rsidR="0018722C">
      <w:pPr>
        <w:widowControl w:val="0"/>
        <w:snapToGrid w:val="1"/>
        <w:spacing w:beforeLines="0" w:afterLines="0" w:before="0" w:after="0" w:line="30" w:lineRule="exact"/>
        <w:ind w:firstLineChars="0" w:firstLine="0" w:rightChars="0" w:right="0" w:leftChars="0" w:left="503"/>
        <w:jc w:val="left"/>
        <w:autoSpaceDE w:val="0"/>
        <w:autoSpaceDN w:val="0"/>
        <w:pBdr>
          <w:bottom w:val="none" w:sz="0" w:space="0" w:color="auto"/>
        </w:pBdr>
        <w:rPr>
          <w:kern w:val="2"/>
          <w:sz w:val="3"/>
          <w:szCs w:val="28"/>
          <w:rFonts w:cstheme="minorBidi" w:ascii="宋体" w:hAnsi="宋体" w:eastAsia="宋体" w:cs="宋体"/>
        </w:rPr>
      </w:pPr>
      <w:r>
        <w:rPr>
          <w:kern w:val="2"/>
          <w:szCs w:val="28"/>
          <w:rFonts w:cstheme="minorBidi" w:ascii="宋体" w:hAnsi="宋体" w:eastAsia="宋体" w:cs="宋体"/>
          <w:position w:val="0"/>
          <w:sz w:val="3"/>
        </w:rPr>
        <w:pict>
          <v:group style="width:459.75pt;height:1.5pt;mso-position-horizontal-relative:char;mso-position-vertical-relative:line" coordorigin="0,0" coordsize="9195,30">
            <v:line style="position:absolute" from="0,15" to="9195,15" stroked="true" strokeweight="1.5pt" strokecolor="#000000">
              <v:stroke dashstyle="solid"/>
            </v:line>
          </v:group>
        </w:pict>
      </w:r>
    </w:p>
    <w:p w:rsidR="0018722C">
      <w:pPr>
        <w:widowControl w:val="0"/>
        <w:snapToGrid w:val="1"/>
        <w:spacing w:beforeLines="0" w:afterLines="0" w:lineRule="auto" w:line="240" w:before="0" w:after="0"/>
        <w:ind w:firstLineChars="0" w:firstLine="0" w:rightChars="0" w:right="0" w:leftChars="0" w:left="660"/>
        <w:jc w:val="left"/>
        <w:autoSpaceDE w:val="0"/>
        <w:autoSpaceDN w:val="0"/>
        <w:tabs>
          <w:tab w:pos="3557" w:val="left" w:leader="none"/>
          <w:tab w:pos="6163" w:val="left" w:leader="none"/>
          <w:tab w:pos="7863" w:val="left" w:leader="none"/>
        </w:tabs>
        <w:pBdr>
          <w:bottom w:val="none" w:sz="0" w:space="0" w:color="auto"/>
        </w:pBdr>
        <w:rPr>
          <w:kern w:val="2"/>
          <w:sz w:val="28"/>
          <w:szCs w:val="28"/>
          <w:rFonts w:cstheme="minorBidi" w:ascii="宋体" w:hAnsi="宋体" w:eastAsia="宋体" w:cs="宋体"/>
        </w:rPr>
      </w:pPr>
      <w:r>
        <w:rPr>
          <w:kern w:val="2"/>
          <w:sz w:val="28"/>
          <w:szCs w:val="28"/>
          <w:rFonts w:cstheme="minorBidi" w:ascii="宋体" w:hAnsi="宋体" w:eastAsia="宋体" w:cs="宋体"/>
        </w:rPr>
        <w:pict>
          <v:line style="position:absolute;mso-position-horizontal-relative:page;mso-position-vertical-relative:paragraph;z-index:-110488" from="70.150002pt,21.076553pt" to="529.900002pt,21.076553pt" stroked="true" strokeweight="1.5pt" strokecolor="#000000">
            <v:stroke dashstyle="solid"/>
            <w10:wrap type="none"/>
          </v:line>
        </w:pict>
      </w:r>
      <w:r>
        <w:rPr>
          <w:kern w:val="2"/>
          <w:sz w:val="28"/>
          <w:szCs w:val="28"/>
          <w:rFonts w:cstheme="minorBidi" w:ascii="宋体" w:hAnsi="宋体" w:eastAsia="宋体" w:cs="宋体"/>
        </w:rPr>
        <w:t>项目起止时间</w:t>
      </w:r>
      <w:r w:rsidRPr="00000000">
        <w:rPr>
          <w:kern w:val="2"/>
          <w:sz w:val="28"/>
          <w:szCs w:val="28"/>
          <w:rFonts w:cstheme="minorBidi" w:ascii="宋体" w:hAnsi="宋体" w:eastAsia="宋体" w:cs="宋体"/>
        </w:rPr>
        <w:tab/>
        <w:t>项目名称</w:t>
      </w:r>
      <w:r w:rsidRPr="00000000">
        <w:rPr>
          <w:kern w:val="2"/>
          <w:sz w:val="28"/>
          <w:szCs w:val="28"/>
          <w:rFonts w:cstheme="minorBidi" w:ascii="宋体" w:hAnsi="宋体" w:eastAsia="宋体" w:cs="宋体"/>
        </w:rPr>
        <w:tab/>
        <w:t>项目来源</w:t>
      </w:r>
      <w:r w:rsidRPr="00000000">
        <w:rPr>
          <w:kern w:val="2"/>
          <w:sz w:val="28"/>
          <w:szCs w:val="28"/>
          <w:rFonts w:cstheme="minorBidi" w:ascii="宋体" w:hAnsi="宋体" w:eastAsia="宋体" w:cs="宋体"/>
        </w:rPr>
        <w:tab/>
        <w:t>本人承担任务</w:t>
      </w:r>
    </w:p>
    <w:p w:rsidR="0018722C">
      <w:pPr>
        <w:spacing w:after="0"/>
        <w:sectPr w:rsidR="00556256">
          <w:type w:val="continuous"/>
          <w:pgSz w:w="11910" w:h="16840"/>
          <w:pgMar w:top="1060" w:bottom="460" w:left="900" w:right="1200"/>
        </w:sect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0"/>
          <w:szCs w:val="28"/>
          <w:rFonts w:cstheme="minorBidi" w:ascii="宋体" w:hAnsi="宋体" w:eastAsia="宋体" w:cs="宋体"/>
        </w:rPr>
      </w:pPr>
    </w:p>
    <w:p w:rsidR="0018722C">
      <w:pPr>
        <w:widowControl w:val="0"/>
        <w:snapToGrid w:val="1"/>
        <w:spacing w:beforeLines="0" w:afterLines="0" w:lineRule="auto" w:line="240" w:after="0" w:before="244"/>
        <w:ind w:firstLineChars="0" w:firstLine="0" w:rightChars="0" w:right="0" w:leftChars="0" w:left="611"/>
        <w:jc w:val="left"/>
        <w:autoSpaceDE w:val="0"/>
        <w:autoSpaceDN w:val="0"/>
        <w:pBdr>
          <w:bottom w:val="none" w:sz="0" w:space="0" w:color="auto"/>
        </w:pBdr>
        <w:rPr>
          <w:kern w:val="2"/>
          <w:sz w:val="28"/>
          <w:szCs w:val="28"/>
          <w:rFonts w:cstheme="minorBidi" w:ascii="Times New Roman" w:hAnsi="宋体" w:eastAsia="宋体" w:cs="宋体"/>
        </w:rPr>
      </w:pPr>
      <w:r>
        <w:rPr>
          <w:kern w:val="2"/>
          <w:sz w:val="28"/>
          <w:szCs w:val="28"/>
          <w:rFonts w:ascii="Times New Roman" w:cstheme="minorBidi" w:hAnsi="宋体" w:eastAsia="宋体" w:cs="宋体"/>
        </w:rPr>
        <w:t>2015.9-2016.10</w:t>
      </w:r>
    </w:p>
    <w:p w:rsidR="0018722C">
      <w:pPr>
        <w:widowControl w:val="0"/>
        <w:snapToGrid w:val="1"/>
        <w:spacing w:beforeLines="0" w:afterLines="0" w:after="0" w:line="223" w:lineRule="auto" w:before="238"/>
        <w:ind w:firstLineChars="0" w:firstLine="0" w:rightChars="0" w:right="0" w:leftChars="0" w:left="215" w:hanging="1"/>
        <w:jc w:val="center"/>
        <w:autoSpaceDE w:val="0"/>
        <w:autoSpaceDN w:val="0"/>
        <w:pBdr>
          <w:bottom w:val="none" w:sz="0" w:space="0" w:color="auto"/>
        </w:pBdr>
        <w:rPr>
          <w:kern w:val="2"/>
          <w:sz w:val="28"/>
          <w:szCs w:val="28"/>
          <w:rFonts w:cstheme="minorBidi" w:ascii="宋体" w:hAnsi="宋体" w:eastAsia="宋体" w:cs="宋体"/>
        </w:rPr>
      </w:pPr>
      <w:r>
        <w:rPr>
          <w:kern w:val="2"/>
          <w:sz w:val="28"/>
          <w:szCs w:val="28"/>
          <w:rFonts w:cstheme="minorBidi" w:ascii="宋体" w:hAnsi="宋体" w:eastAsia="宋体" w:cs="宋体"/>
        </w:rPr>
        <w:br w:type="column"/>
      </w:r>
      <w:r>
        <w:rPr>
          <w:kern w:val="2"/>
          <w:sz w:val="28"/>
          <w:szCs w:val="28"/>
          <w:rFonts w:cstheme="minorBidi" w:ascii="宋体" w:hAnsi="宋体" w:eastAsia="宋体" w:cs="宋体"/>
        </w:rPr>
        <w:t>环氧化酶</w:t>
      </w:r>
      <w:r>
        <w:rPr>
          <w:kern w:val="2"/>
          <w:sz w:val="28"/>
          <w:szCs w:val="28"/>
          <w:rFonts w:ascii="Times New Roman" w:eastAsia="Times New Roman" w:cstheme="minorBidi" w:hAnsi="宋体" w:cs="宋体"/>
        </w:rPr>
        <w:t>-2/</w:t>
      </w:r>
      <w:r>
        <w:rPr>
          <w:kern w:val="2"/>
          <w:sz w:val="28"/>
          <w:szCs w:val="28"/>
          <w:rFonts w:cstheme="minorBidi" w:ascii="宋体" w:hAnsi="宋体" w:eastAsia="宋体" w:cs="宋体"/>
        </w:rPr>
        <w:t>前列腺素受</w:t>
      </w:r>
      <w:r>
        <w:rPr>
          <w:kern w:val="2"/>
          <w:sz w:val="28"/>
          <w:szCs w:val="28"/>
          <w:rFonts w:cstheme="minorBidi" w:ascii="宋体" w:hAnsi="宋体" w:eastAsia="宋体" w:cs="宋体"/>
          <w:spacing w:val="-18"/>
        </w:rPr>
        <w:t>体 </w:t>
      </w:r>
      <w:r>
        <w:rPr>
          <w:kern w:val="2"/>
          <w:sz w:val="28"/>
          <w:szCs w:val="28"/>
          <w:rFonts w:ascii="Times New Roman" w:eastAsia="Times New Roman" w:cstheme="minorBidi" w:hAnsi="宋体" w:cs="宋体"/>
        </w:rPr>
        <w:t>1 </w:t>
      </w:r>
      <w:r>
        <w:rPr>
          <w:kern w:val="2"/>
          <w:sz w:val="28"/>
          <w:szCs w:val="28"/>
          <w:rFonts w:cstheme="minorBidi" w:ascii="宋体" w:hAnsi="宋体" w:eastAsia="宋体" w:cs="宋体"/>
          <w:spacing w:val="-18"/>
        </w:rPr>
        <w:t>与 </w:t>
      </w:r>
      <w:r>
        <w:rPr>
          <w:kern w:val="2"/>
          <w:sz w:val="28"/>
          <w:szCs w:val="28"/>
          <w:rFonts w:ascii="Times New Roman" w:eastAsia="Times New Roman" w:cstheme="minorBidi" w:hAnsi="宋体" w:cs="宋体"/>
        </w:rPr>
        <w:t>HCC </w:t>
      </w:r>
      <w:r>
        <w:rPr>
          <w:kern w:val="2"/>
          <w:sz w:val="28"/>
          <w:szCs w:val="28"/>
          <w:rFonts w:cstheme="minorBidi" w:ascii="宋体" w:hAnsi="宋体" w:eastAsia="宋体" w:cs="宋体"/>
        </w:rPr>
        <w:t>预后相关性及机制研究</w:t>
      </w:r>
    </w:p>
    <w:p w:rsidR="0018722C">
      <w:pPr>
        <w:widowControl w:val="0"/>
        <w:snapToGrid w:val="1"/>
        <w:spacing w:beforeLines="0" w:afterLines="0" w:lineRule="auto" w:line="240" w:after="0" w:before="173"/>
        <w:ind w:firstLineChars="0" w:firstLine="0" w:leftChars="0" w:left="268" w:rightChars="0" w:right="55"/>
        <w:jc w:val="center"/>
        <w:autoSpaceDE w:val="0"/>
        <w:autoSpaceDN w:val="0"/>
        <w:pBdr>
          <w:bottom w:val="none" w:sz="0" w:space="0" w:color="auto"/>
        </w:pBdr>
        <w:rPr>
          <w:kern w:val="2"/>
          <w:sz w:val="28"/>
          <w:szCs w:val="28"/>
          <w:rFonts w:cstheme="minorBidi" w:ascii="Times New Roman" w:hAnsi="宋体" w:eastAsia="Times New Roman" w:cs="宋体"/>
        </w:rPr>
      </w:pPr>
      <w:r>
        <w:rPr>
          <w:kern w:val="2"/>
          <w:sz w:val="28"/>
          <w:szCs w:val="28"/>
          <w:rFonts w:ascii="Times New Roman" w:eastAsia="Times New Roman" w:cstheme="minorBidi" w:hAnsi="宋体" w:cs="宋体"/>
        </w:rPr>
        <w:t>Cox-2 </w:t>
      </w:r>
      <w:r>
        <w:rPr>
          <w:kern w:val="2"/>
          <w:sz w:val="28"/>
          <w:szCs w:val="28"/>
          <w:rFonts w:cstheme="minorBidi" w:ascii="宋体" w:hAnsi="宋体" w:eastAsia="宋体" w:cs="宋体"/>
        </w:rPr>
        <w:t>调控 </w:t>
      </w:r>
      <w:r>
        <w:rPr>
          <w:kern w:val="2"/>
          <w:sz w:val="28"/>
          <w:szCs w:val="28"/>
          <w:rFonts w:ascii="Times New Roman" w:eastAsia="Times New Roman" w:cstheme="minorBidi" w:hAnsi="宋体" w:cs="宋体"/>
        </w:rPr>
        <w:t>microRNA-</w:t>
      </w:r>
    </w:p>
    <w:p w:rsidR="0018722C">
      <w:pPr>
        <w:widowControl w:val="0"/>
        <w:snapToGrid w:val="1"/>
        <w:spacing w:beforeLines="0" w:afterLines="0" w:after="0" w:line="235" w:lineRule="auto" w:before="38"/>
        <w:ind w:firstLineChars="0" w:firstLine="0" w:rightChars="0" w:right="0" w:leftChars="0" w:left="248"/>
        <w:jc w:val="center"/>
        <w:autoSpaceDE w:val="0"/>
        <w:autoSpaceDN w:val="0"/>
        <w:pBdr>
          <w:bottom w:val="none" w:sz="0" w:space="0" w:color="auto"/>
        </w:pBdr>
        <w:rPr>
          <w:kern w:val="2"/>
          <w:sz w:val="28"/>
          <w:szCs w:val="28"/>
          <w:rFonts w:cstheme="minorBidi" w:ascii="宋体" w:hAnsi="宋体" w:eastAsia="宋体" w:cs="宋体"/>
        </w:rPr>
      </w:pPr>
      <w:r>
        <w:rPr>
          <w:kern w:val="2"/>
          <w:sz w:val="28"/>
          <w:szCs w:val="28"/>
          <w:rFonts w:cstheme="minorBidi" w:ascii="宋体" w:hAnsi="宋体" w:eastAsia="宋体" w:cs="宋体"/>
        </w:rPr>
        <w:br w:type="column"/>
      </w:r>
      <w:r>
        <w:rPr>
          <w:kern w:val="2"/>
          <w:sz w:val="28"/>
          <w:szCs w:val="28"/>
          <w:rFonts w:cstheme="minorBidi" w:ascii="宋体" w:hAnsi="宋体" w:eastAsia="宋体" w:cs="宋体"/>
        </w:rPr>
        <w:t>区域性高发肿瘤早期防治研究教育部重点实验室</w:t>
      </w:r>
    </w:p>
    <w:p w:rsidR="0018722C">
      <w:pPr>
        <w:widowControl w:val="0"/>
        <w:snapToGrid w:val="1"/>
        <w:spacing w:beforeLines="0" w:afterLines="0" w:after="0" w:line="258" w:lineRule="exact" w:before="173"/>
        <w:ind w:firstLineChars="0" w:firstLine="0" w:rightChars="0" w:right="0" w:leftChars="0" w:left="248"/>
        <w:jc w:val="center"/>
        <w:autoSpaceDE w:val="0"/>
        <w:autoSpaceDN w:val="0"/>
        <w:pBdr>
          <w:bottom w:val="none" w:sz="0" w:space="0" w:color="auto"/>
        </w:pBdr>
        <w:rPr>
          <w:kern w:val="2"/>
          <w:sz w:val="28"/>
          <w:szCs w:val="28"/>
          <w:rFonts w:cstheme="minorBidi" w:ascii="宋体" w:hAnsi="宋体" w:eastAsia="宋体" w:cs="宋体"/>
        </w:rPr>
      </w:pPr>
      <w:r>
        <w:rPr>
          <w:kern w:val="2"/>
          <w:sz w:val="28"/>
          <w:szCs w:val="28"/>
          <w:rFonts w:cstheme="minorBidi" w:ascii="宋体" w:hAnsi="宋体" w:eastAsia="宋体" w:cs="宋体"/>
        </w:rPr>
        <w:t>国家自然</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8"/>
          <w:rFonts w:cstheme="minorBidi" w:ascii="宋体" w:hAnsi="宋体" w:eastAsia="宋体" w:cs="宋体"/>
        </w:rPr>
      </w:pPr>
      <w:r>
        <w:rPr>
          <w:kern w:val="2"/>
          <w:sz w:val="28"/>
          <w:szCs w:val="28"/>
          <w:rFonts w:cstheme="minorBidi" w:ascii="宋体" w:hAnsi="宋体" w:eastAsia="宋体" w:cs="宋体"/>
        </w:rPr>
        <w:br w:type="column"/>
      </w:r>
    </w:p>
    <w:p w:rsidR="0018722C">
      <w:pPr>
        <w:widowControl w:val="0"/>
        <w:snapToGrid w:val="1"/>
        <w:spacing w:beforeLines="0" w:afterLines="0" w:lineRule="auto" w:line="240" w:after="0" w:before="204"/>
        <w:ind w:firstLineChars="0" w:firstLine="0" w:rightChars="0" w:right="0" w:leftChars="0" w:left="400"/>
        <w:jc w:val="left"/>
        <w:autoSpaceDE w:val="0"/>
        <w:autoSpaceDN w:val="0"/>
        <w:pBdr>
          <w:bottom w:val="none" w:sz="0" w:space="0" w:color="auto"/>
        </w:pBdr>
        <w:rPr>
          <w:kern w:val="2"/>
          <w:sz w:val="28"/>
          <w:szCs w:val="28"/>
          <w:rFonts w:cstheme="minorBidi" w:ascii="宋体" w:hAnsi="宋体" w:eastAsia="宋体" w:cs="宋体"/>
        </w:rPr>
      </w:pPr>
      <w:r>
        <w:rPr>
          <w:kern w:val="2"/>
          <w:sz w:val="28"/>
          <w:szCs w:val="28"/>
          <w:rFonts w:cstheme="minorBidi" w:ascii="宋体" w:hAnsi="宋体" w:eastAsia="宋体" w:cs="宋体"/>
        </w:rPr>
        <w:t>实验参与者</w:t>
      </w:r>
    </w:p>
    <w:p w:rsidR="0018722C">
      <w:pPr>
        <w:spacing w:after="0"/>
        <w:sectPr w:rsidR="00556256">
          <w:type w:val="continuous"/>
          <w:pgSz w:w="11910" w:h="16840"/>
          <w:pgMar w:top="1060" w:bottom="460" w:left="900" w:right="1200"/>
          <w:cols w:num="4" w:equalWidth="0">
            <w:col w:w="2385" w:space="40"/>
            <w:col w:w="3172" w:space="39"/>
            <w:col w:w="1929" w:space="39"/>
            <w:col w:w="2206"/>
          </w:cols>
        </w:sectPr>
      </w:pPr>
    </w:p>
    <w:p w:rsidR="0018722C">
      <w:pPr>
        <w:widowControl w:val="0"/>
        <w:snapToGrid w:val="1"/>
        <w:spacing w:beforeLines="0" w:afterLines="0" w:before="0" w:after="0" w:line="310" w:lineRule="exact"/>
        <w:ind w:firstLineChars="0" w:firstLine="0" w:rightChars="0" w:right="0" w:leftChars="0" w:left="613"/>
        <w:jc w:val="left"/>
        <w:autoSpaceDE w:val="0"/>
        <w:autoSpaceDN w:val="0"/>
        <w:pBdr>
          <w:bottom w:val="none" w:sz="0" w:space="0" w:color="auto"/>
        </w:pBdr>
        <w:rPr>
          <w:kern w:val="2"/>
          <w:sz w:val="28"/>
          <w:szCs w:val="28"/>
          <w:rFonts w:cstheme="minorBidi" w:ascii="Times New Roman" w:hAnsi="宋体" w:eastAsia="宋体" w:cs="宋体"/>
        </w:rPr>
      </w:pPr>
      <w:r>
        <w:rPr>
          <w:kern w:val="2"/>
          <w:sz w:val="28"/>
          <w:szCs w:val="28"/>
          <w:rFonts w:ascii="Times New Roman" w:cstheme="minorBidi" w:hAnsi="宋体" w:eastAsia="宋体" w:cs="宋体"/>
        </w:rPr>
        <w:t>2013.1-2016.12</w:t>
      </w:r>
    </w:p>
    <w:p w:rsidR="0018722C">
      <w:pPr>
        <w:widowControl w:val="0"/>
        <w:snapToGrid w:val="1"/>
        <w:spacing w:beforeLines="0" w:afterLines="0" w:before="0" w:after="0" w:line="296" w:lineRule="exact"/>
        <w:ind w:firstLineChars="0" w:firstLine="0" w:rightChars="0" w:right="0" w:leftChars="0" w:left="248"/>
        <w:jc w:val="center"/>
        <w:autoSpaceDE w:val="0"/>
        <w:autoSpaceDN w:val="0"/>
        <w:pBdr>
          <w:bottom w:val="none" w:sz="0" w:space="0" w:color="auto"/>
        </w:pBdr>
        <w:rPr>
          <w:kern w:val="2"/>
          <w:sz w:val="28"/>
          <w:szCs w:val="28"/>
          <w:rFonts w:cstheme="minorBidi" w:ascii="宋体" w:hAnsi="宋体" w:eastAsia="宋体" w:cs="宋体"/>
        </w:rPr>
      </w:pPr>
      <w:r>
        <w:rPr>
          <w:kern w:val="2"/>
          <w:sz w:val="28"/>
          <w:szCs w:val="28"/>
          <w:rFonts w:cstheme="minorBidi" w:ascii="宋体" w:hAnsi="宋体" w:eastAsia="宋体" w:cs="宋体"/>
        </w:rPr>
        <w:br w:type="column"/>
      </w:r>
      <w:r>
        <w:rPr>
          <w:kern w:val="2"/>
          <w:sz w:val="28"/>
          <w:szCs w:val="28"/>
          <w:rFonts w:ascii="Times New Roman" w:eastAsia="Times New Roman" w:cstheme="minorBidi" w:hAnsi="宋体" w:cs="宋体"/>
        </w:rPr>
        <w:t>21HCC </w:t>
      </w:r>
      <w:r>
        <w:rPr>
          <w:kern w:val="2"/>
          <w:sz w:val="28"/>
          <w:szCs w:val="28"/>
          <w:rFonts w:cstheme="minorBidi" w:ascii="宋体" w:hAnsi="宋体" w:eastAsia="宋体" w:cs="宋体"/>
        </w:rPr>
        <w:t>干细胞生物学特</w:t>
      </w:r>
    </w:p>
    <w:p w:rsidR="0018722C">
      <w:pPr>
        <w:widowControl w:val="0"/>
        <w:snapToGrid w:val="1"/>
        <w:spacing w:beforeLines="0" w:afterLines="0" w:before="0" w:after="0" w:line="353" w:lineRule="exact"/>
        <w:ind w:firstLineChars="0" w:firstLine="0" w:rightChars="0" w:right="0" w:leftChars="0" w:left="248"/>
        <w:jc w:val="center"/>
        <w:autoSpaceDE w:val="0"/>
        <w:autoSpaceDN w:val="0"/>
        <w:pBdr>
          <w:bottom w:val="none" w:sz="0" w:space="0" w:color="auto"/>
        </w:pBdr>
        <w:rPr>
          <w:kern w:val="2"/>
          <w:sz w:val="28"/>
          <w:szCs w:val="28"/>
          <w:rFonts w:cstheme="minorBidi" w:ascii="宋体" w:hAnsi="宋体" w:eastAsia="宋体" w:cs="宋体"/>
        </w:rPr>
      </w:pPr>
      <w:r>
        <w:rPr>
          <w:kern w:val="2"/>
          <w:sz w:val="28"/>
          <w:szCs w:val="28"/>
          <w:rFonts w:cstheme="minorBidi" w:ascii="宋体" w:hAnsi="宋体" w:eastAsia="宋体" w:cs="宋体"/>
        </w:rPr>
        <w:t>性及机制研究</w:t>
      </w:r>
    </w:p>
    <w:p w:rsidR="0018722C">
      <w:pPr>
        <w:widowControl w:val="0"/>
        <w:snapToGrid w:val="1"/>
        <w:spacing w:beforeLines="0" w:afterLines="0" w:before="0" w:after="0" w:line="469" w:lineRule="exact"/>
        <w:ind w:firstLineChars="0" w:firstLine="0" w:rightChars="0" w:right="0" w:leftChars="0" w:left="563"/>
        <w:jc w:val="left"/>
        <w:autoSpaceDE w:val="0"/>
        <w:autoSpaceDN w:val="0"/>
        <w:tabs>
          <w:tab w:pos="2403" w:val="left" w:leader="none"/>
        </w:tabs>
        <w:pBdr>
          <w:bottom w:val="none" w:sz="0" w:space="0" w:color="auto"/>
        </w:pBdr>
        <w:rPr>
          <w:kern w:val="2"/>
          <w:sz w:val="28"/>
          <w:szCs w:val="28"/>
          <w:rFonts w:cstheme="minorBidi" w:ascii="宋体" w:hAnsi="宋体" w:eastAsia="宋体" w:cs="宋体"/>
        </w:rPr>
      </w:pPr>
      <w:r>
        <w:rPr>
          <w:kern w:val="2"/>
          <w:sz w:val="28"/>
          <w:szCs w:val="28"/>
          <w:rFonts w:cstheme="minorBidi" w:ascii="宋体" w:hAnsi="宋体" w:eastAsia="宋体" w:cs="宋体"/>
        </w:rPr>
        <w:br w:type="column"/>
      </w:r>
      <w:r>
        <w:rPr>
          <w:kern w:val="2"/>
          <w:sz w:val="28"/>
          <w:szCs w:val="28"/>
          <w:rFonts w:cstheme="minorBidi" w:ascii="宋体" w:hAnsi="宋体" w:eastAsia="宋体" w:cs="宋体"/>
          <w:position w:val="-17"/>
        </w:rPr>
        <w:t>科学基金</w:t>
      </w:r>
      <w:r w:rsidRPr="00000000">
        <w:rPr>
          <w:kern w:val="2"/>
          <w:sz w:val="28"/>
          <w:szCs w:val="28"/>
          <w:rFonts w:cstheme="minorBidi" w:ascii="宋体" w:hAnsi="宋体" w:eastAsia="宋体" w:cs="宋体"/>
        </w:rPr>
        <w:tab/>
      </w:r>
      <w:r>
        <w:rPr>
          <w:kern w:val="2"/>
          <w:sz w:val="28"/>
          <w:szCs w:val="28"/>
          <w:rFonts w:cstheme="minorBidi" w:ascii="宋体" w:hAnsi="宋体" w:eastAsia="宋体" w:cs="宋体"/>
        </w:rPr>
        <w:t>实验参与者</w:t>
      </w:r>
    </w:p>
    <w:p w:rsidR="0018722C">
      <w:pPr>
        <w:spacing w:after="0" w:line="469" w:lineRule="exact"/>
        <w:sectPr w:rsidR="00556256">
          <w:type w:val="continuous"/>
          <w:pgSz w:w="11910" w:h="16840"/>
          <w:pgMar w:top="1060" w:bottom="460" w:left="900" w:right="1200"/>
          <w:cols w:num="3" w:equalWidth="0">
            <w:col w:w="2388" w:space="40"/>
            <w:col w:w="3134" w:space="39"/>
            <w:col w:w="4209"/>
          </w:cols>
        </w:sectPr>
      </w:pPr>
    </w:p>
    <w:p w:rsidR="0018722C">
      <w:pPr>
        <w:widowControl w:val="0"/>
        <w:snapToGrid w:val="1"/>
        <w:spacing w:beforeLines="0" w:afterLines="0" w:lineRule="auto" w:line="240" w:after="0" w:before="6"/>
        <w:ind w:firstLineChars="0" w:firstLine="0" w:leftChars="0" w:left="0" w:rightChars="0" w:right="0"/>
        <w:jc w:val="left"/>
        <w:autoSpaceDE w:val="0"/>
        <w:autoSpaceDN w:val="0"/>
        <w:pBdr>
          <w:bottom w:val="none" w:sz="0" w:space="0" w:color="auto"/>
        </w:pBdr>
        <w:rPr>
          <w:kern w:val="2"/>
          <w:sz w:val="2"/>
          <w:szCs w:val="28"/>
          <w:rFonts w:cstheme="minorBidi" w:ascii="宋体" w:hAnsi="宋体" w:eastAsia="宋体" w:cs="宋体"/>
        </w:rPr>
      </w:pPr>
    </w:p>
    <w:p w:rsidR="0018722C">
      <w:pPr>
        <w:widowControl w:val="0"/>
        <w:snapToGrid w:val="1"/>
        <w:spacing w:beforeLines="0" w:afterLines="0" w:before="0" w:after="0" w:line="30" w:lineRule="exact"/>
        <w:ind w:firstLineChars="0" w:firstLine="0" w:rightChars="0" w:right="0" w:leftChars="0" w:left="503"/>
        <w:jc w:val="left"/>
        <w:autoSpaceDE w:val="0"/>
        <w:autoSpaceDN w:val="0"/>
        <w:pBdr>
          <w:bottom w:val="none" w:sz="0" w:space="0" w:color="auto"/>
        </w:pBdr>
        <w:rPr>
          <w:kern w:val="2"/>
          <w:sz w:val="3"/>
          <w:szCs w:val="28"/>
          <w:rFonts w:cstheme="minorBidi" w:ascii="宋体" w:hAnsi="宋体" w:eastAsia="宋体" w:cs="宋体"/>
        </w:rPr>
      </w:pPr>
      <w:r>
        <w:rPr>
          <w:kern w:val="2"/>
          <w:szCs w:val="28"/>
          <w:rFonts w:cstheme="minorBidi" w:ascii="宋体" w:hAnsi="宋体" w:eastAsia="宋体" w:cs="宋体"/>
          <w:position w:val="0"/>
          <w:sz w:val="3"/>
        </w:rPr>
        <w:pict>
          <v:group style="width:459.75pt;height:1.5pt;mso-position-horizontal-relative:char;mso-position-vertical-relative:line" coordorigin="0,0" coordsize="9195,30">
            <v:line style="position:absolute" from="0,15" to="9195,15" stroked="true" strokeweight="1.5pt" strokecolor="#000000">
              <v:stroke dashstyle="solid"/>
            </v:line>
          </v:group>
        </w:pict>
      </w:r>
    </w:p>
    <w:p w:rsidR="0018722C">
      <w:pPr>
        <w:spacing w:before="0"/>
        <w:ind w:leftChars="0" w:left="518" w:rightChars="0" w:right="0" w:firstLineChars="0" w:firstLine="0"/>
        <w:jc w:val="left"/>
        <w:rPr>
          <w:rFonts w:ascii="宋体" w:eastAsia="宋体" w:hint="eastAsia"/>
          <w:sz w:val="36"/>
        </w:rPr>
      </w:pPr>
      <w:r>
        <w:rPr>
          <w:rFonts w:ascii="宋体" w:eastAsia="宋体" w:hint="eastAsia"/>
          <w:sz w:val="36"/>
        </w:rPr>
        <w:t>研究生期间临床工作经历</w:t>
      </w:r>
    </w:p>
    <w:p w:rsidR="0018722C">
      <w:pPr>
        <w:widowControl w:val="0"/>
        <w:snapToGrid w:val="1"/>
        <w:spacing w:beforeLines="0" w:afterLines="0" w:lineRule="auto" w:line="240" w:after="0" w:before="2"/>
        <w:ind w:firstLineChars="0" w:firstLine="0" w:leftChars="0" w:left="0" w:rightChars="0" w:right="0"/>
        <w:jc w:val="left"/>
        <w:autoSpaceDE w:val="0"/>
        <w:autoSpaceDN w:val="0"/>
        <w:pBdr>
          <w:bottom w:val="none" w:sz="0" w:space="0" w:color="auto"/>
        </w:pBdr>
        <w:rPr>
          <w:kern w:val="2"/>
          <w:sz w:val="5"/>
          <w:szCs w:val="28"/>
          <w:rFonts w:cstheme="minorBidi" w:ascii="宋体" w:hAnsi="宋体" w:eastAsia="宋体" w:cs="宋体"/>
        </w:rPr>
      </w:pPr>
    </w:p>
    <w:tbl>
      <w:tblPr>
        <w:tblW w:w="0" w:type="auto"/>
        <w:jc w:val="left"/>
        <w:tblInd w:w="5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5"/>
        <w:gridCol w:w="5134"/>
        <w:gridCol w:w="1233"/>
      </w:tblGrid>
      <w:tr>
        <w:trPr>
          <w:trHeight w:val="360" w:hRule="atLeast"/>
        </w:trPr>
        <w:tc>
          <w:tcPr>
            <w:tcW w:w="2135" w:type="dxa"/>
            <w:tcBorders>
              <w:top w:val="single" w:sz="12" w:space="0" w:color="000000"/>
              <w:bottom w:val="single" w:sz="12" w:space="0" w:color="000000"/>
            </w:tcBorders>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起止时间</w:t>
            </w:r>
          </w:p>
        </w:tc>
        <w:tc>
          <w:tcPr>
            <w:tcW w:w="5134" w:type="dxa"/>
            <w:tcBorders>
              <w:top w:val="single" w:sz="12" w:space="0" w:color="000000"/>
              <w:bottom w:val="single" w:sz="12" w:space="0" w:color="000000"/>
            </w:tcBorders>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单位</w:t>
            </w:r>
          </w:p>
        </w:tc>
        <w:tc>
          <w:tcPr>
            <w:tcW w:w="1233" w:type="dxa"/>
            <w:tcBorders>
              <w:top w:val="single" w:sz="12" w:space="0" w:color="000000"/>
              <w:bottom w:val="single" w:sz="12" w:space="0" w:color="000000"/>
            </w:tcBorders>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职称</w:t>
            </w:r>
          </w:p>
        </w:tc>
      </w:tr>
      <w:tr>
        <w:trPr>
          <w:trHeight w:val="380" w:hRule="atLeast"/>
        </w:trPr>
        <w:tc>
          <w:tcPr>
            <w:tcW w:w="2135" w:type="dxa"/>
            <w:tcBorders>
              <w:top w:val="single" w:sz="12" w:space="0" w:color="000000"/>
            </w:tcBorders>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8"/>
              </w:rPr>
              <w:t>2015.06-2015.08</w:t>
            </w:r>
          </w:p>
        </w:tc>
        <w:tc>
          <w:tcPr>
            <w:tcW w:w="5134" w:type="dxa"/>
            <w:tcBorders>
              <w:top w:val="single" w:sz="12" w:space="0" w:color="000000"/>
            </w:tcBorders>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广西医科大学附属肿瘤医院肝胆外科</w:t>
            </w:r>
          </w:p>
        </w:tc>
        <w:tc>
          <w:tcPr>
            <w:tcW w:w="1233" w:type="dxa"/>
            <w:tcBorders>
              <w:top w:val="single" w:sz="12" w:space="0" w:color="000000"/>
            </w:tcBorders>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无</w:t>
            </w:r>
          </w:p>
        </w:tc>
      </w:tr>
      <w:tr>
        <w:trPr>
          <w:trHeight w:val="360" w:hRule="atLeast"/>
        </w:trPr>
        <w:tc>
          <w:tcPr>
            <w:tcW w:w="2135" w:type="dxa"/>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8"/>
              </w:rPr>
              <w:t>2015.08-2015.09</w:t>
            </w:r>
          </w:p>
        </w:tc>
        <w:tc>
          <w:tcPr>
            <w:tcW w:w="5134"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广西医科大学附属肿瘤医院胃肠外科</w:t>
            </w:r>
          </w:p>
        </w:tc>
        <w:tc>
          <w:tcPr>
            <w:tcW w:w="1233"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无</w:t>
            </w:r>
          </w:p>
        </w:tc>
      </w:tr>
      <w:tr>
        <w:trPr>
          <w:trHeight w:val="360" w:hRule="atLeast"/>
        </w:trPr>
        <w:tc>
          <w:tcPr>
            <w:tcW w:w="2135" w:type="dxa"/>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8"/>
              </w:rPr>
              <w:t>2015.09-2015.10</w:t>
            </w:r>
          </w:p>
        </w:tc>
        <w:tc>
          <w:tcPr>
            <w:tcW w:w="5134"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广西医科大学附属肿瘤医院乳腺外科</w:t>
            </w:r>
          </w:p>
        </w:tc>
        <w:tc>
          <w:tcPr>
            <w:tcW w:w="1233"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无</w:t>
            </w:r>
          </w:p>
        </w:tc>
      </w:tr>
      <w:tr>
        <w:trPr>
          <w:trHeight w:val="360" w:hRule="atLeast"/>
        </w:trPr>
        <w:tc>
          <w:tcPr>
            <w:tcW w:w="2135" w:type="dxa"/>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8"/>
              </w:rPr>
              <w:t>2015.10-2015.11</w:t>
            </w:r>
          </w:p>
        </w:tc>
        <w:tc>
          <w:tcPr>
            <w:tcW w:w="5134"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广西医科大学附属肿瘤医院化疗一科</w:t>
            </w:r>
          </w:p>
        </w:tc>
        <w:tc>
          <w:tcPr>
            <w:tcW w:w="1233"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无</w:t>
            </w:r>
          </w:p>
        </w:tc>
      </w:tr>
      <w:tr>
        <w:trPr>
          <w:trHeight w:val="360" w:hRule="atLeast"/>
        </w:trPr>
        <w:tc>
          <w:tcPr>
            <w:tcW w:w="2135" w:type="dxa"/>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8"/>
              </w:rPr>
              <w:t>2015.11-2015.12</w:t>
            </w:r>
          </w:p>
        </w:tc>
        <w:tc>
          <w:tcPr>
            <w:tcW w:w="5134"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广西医科大学附属肿瘤医院放疗三病区</w:t>
            </w:r>
          </w:p>
        </w:tc>
        <w:tc>
          <w:tcPr>
            <w:tcW w:w="1233"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无</w:t>
            </w:r>
          </w:p>
        </w:tc>
      </w:tr>
      <w:tr>
        <w:trPr>
          <w:trHeight w:val="360" w:hRule="atLeast"/>
        </w:trPr>
        <w:tc>
          <w:tcPr>
            <w:tcW w:w="2135" w:type="dxa"/>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8"/>
              </w:rPr>
              <w:t>2015.12-2016.01</w:t>
            </w:r>
          </w:p>
        </w:tc>
        <w:tc>
          <w:tcPr>
            <w:tcW w:w="5134"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广西医科大学附属肿瘤医院综合内科</w:t>
            </w:r>
          </w:p>
        </w:tc>
        <w:tc>
          <w:tcPr>
            <w:tcW w:w="1233"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无</w:t>
            </w:r>
          </w:p>
        </w:tc>
      </w:tr>
      <w:tr>
        <w:trPr>
          <w:trHeight w:val="360" w:hRule="atLeast"/>
        </w:trPr>
        <w:tc>
          <w:tcPr>
            <w:tcW w:w="2135" w:type="dxa"/>
            <w:tcBorders>
              <w:bottom w:val="single" w:sz="12" w:space="0" w:color="000000"/>
            </w:tcBorders>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8"/>
              </w:rPr>
              <w:t>2016.01-2016.02</w:t>
            </w:r>
          </w:p>
        </w:tc>
        <w:tc>
          <w:tcPr>
            <w:tcW w:w="5134" w:type="dxa"/>
            <w:tcBorders>
              <w:bottom w:val="single" w:sz="12" w:space="0" w:color="000000"/>
            </w:tcBorders>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广西医科大学附属肿瘤医院化疗三科</w:t>
            </w:r>
          </w:p>
        </w:tc>
        <w:tc>
          <w:tcPr>
            <w:tcW w:w="1233" w:type="dxa"/>
            <w:tcBorders>
              <w:bottom w:val="single" w:sz="12" w:space="0" w:color="000000"/>
            </w:tcBorders>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无</w:t>
            </w:r>
          </w:p>
        </w:tc>
      </w:tr>
    </w:tbl>
    <w:p w:rsidR="0018722C">
      <w:pPr>
        <w:spacing w:after="0" w:line="321" w:lineRule="exact"/>
        <w:rPr>
          <w:rFonts w:ascii="宋体" w:eastAsia="宋体" w:hint="eastAsia"/>
          <w:sz w:val="28"/>
        </w:rPr>
        <w:sectPr w:rsidR="00556256">
          <w:type w:val="continuous"/>
          <w:pgSz w:w="11910" w:h="16840"/>
          <w:pgMar w:top="1060" w:bottom="460" w:left="900" w:right="1200"/>
        </w:sectPr>
      </w:pPr>
    </w:p>
    <w:p w:rsidR="0018722C">
      <w:pPr>
        <w:widowControl w:val="0"/>
        <w:snapToGrid w:val="1"/>
        <w:spacing w:beforeLines="0" w:afterLines="0" w:before="0" w:after="0" w:line="20" w:lineRule="exact"/>
        <w:ind w:firstLineChars="0" w:firstLine="0" w:rightChars="0" w:right="0" w:leftChars="0" w:left="518"/>
        <w:jc w:val="left"/>
        <w:autoSpaceDE w:val="0"/>
        <w:autoSpaceDN w:val="0"/>
        <w:pBdr>
          <w:bottom w:val="none" w:sz="0" w:space="0" w:color="auto"/>
        </w:pBdr>
        <w:rPr>
          <w:kern w:val="2"/>
          <w:sz w:val="2"/>
          <w:szCs w:val="28"/>
          <w:rFonts w:cstheme="minorBidi" w:ascii="宋体" w:hAnsi="宋体" w:eastAsia="宋体" w:cs="宋体"/>
        </w:rPr>
        <w:sectPr w:rsidR="00556256">
          <w:pgSz w:w="11910" w:h="16840"/>
          <w:pgMar w:header="863" w:footer="272" w:top="1060" w:bottom="460" w:left="900" w:right="1320"/>
        </w:sectPr>
      </w:pPr>
      <w:r>
        <w:rPr>
          <w:kern w:val="2"/>
          <w:szCs w:val="28"/>
          <w:rFonts w:cstheme="minorBidi" w:ascii="宋体" w:hAnsi="宋体" w:eastAsia="宋体" w:cs="宋体"/>
          <w:sz w:val="2"/>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affe"/>
        <w:topLinePunct/>
      </w:pPr>
      <w:bookmarkStart w:id="915008" w:name="_Ref665915008"/>
      <w:r>
        <w:t>目    录</w:t>
      </w:r>
    </w:p>
    <w:bookmarkEnd w:id="915008"/>
    <w:p w:rsidR="0018722C">
      <w:pPr>
        <w:pStyle w:val="TOC1"/>
        <w:topLinePunct/>
      </w:pPr>
      <w:r>
        <w:fldChar w:fldCharType="begin"/>
      </w:r>
      <w:r>
        <w:instrText> TOC \o "1-1" \h \z \u </w:instrText>
      </w:r>
      <w:r>
        <w:fldChar w:fldCharType="separate"/>
      </w:r>
      <w:r>
        <w:fldChar w:fldCharType="begin"/>
      </w:r>
      <w:r>
        <w:instrText>HYPERLINK \l "_Toc686227980"</w:instrText>
      </w:r>
      <w:r>
        <w:fldChar w:fldCharType="separate"/>
      </w:r>
      <w:r/>
      <w:r/>
      <w:r>
        <w:t>摘</w:t>
      </w:r>
      <w:r w:rsidR="004F241D">
        <w:t xml:space="preserve">  </w:t>
      </w:r>
      <w:r w:rsidR="004F241D">
        <w:t xml:space="preserve">要</w:t>
      </w:r>
      <w:r>
        <w:fldChar w:fldCharType="end"/>
      </w:r>
      <w:r>
        <w:rPr>
          <w:noProof/>
          <w:webHidden/>
        </w:rPr>
        <w:tab/>
      </w:r>
      <w:r>
        <w:rPr>
          <w:noProof/>
          <w:webHidden/>
        </w:rPr>
        <w:fldChar w:fldCharType="begin"/>
      </w:r>
      <w:r>
        <w:rPr>
          <w:noProof/>
          <w:webHidden/>
        </w:rPr>
        <w:instrText> PAGEREF _Toc686227980 \h </w:instrText>
      </w:r>
      <w:r>
        <w:rPr>
          <w:noProof/>
          <w:webHidden/>
        </w:rPr>
        <w:fldChar w:fldCharType="separate"/>
      </w:r>
      <w:r>
        <w:rPr>
          <w:noProof/>
          <w:webHidden/>
        </w:rPr>
        <w:t>3</w:t>
      </w:r>
      <w:r>
        <w:rPr>
          <w:noProof/>
          <w:webHidden/>
        </w:rPr>
        <w:fldChar w:fldCharType="end"/>
      </w:r>
    </w:p>
    <w:p w:rsidR="0018722C">
      <w:pPr>
        <w:pStyle w:val="TOC1"/>
        <w:topLinePunct/>
      </w:pPr>
      <w:r>
        <w:fldChar w:fldCharType="begin"/>
      </w:r>
      <w:r>
        <w:instrText>HYPERLINK \l "_Toc686227981"</w:instrText>
      </w:r>
      <w:r>
        <w:fldChar w:fldCharType="separate"/>
      </w:r>
      <w:r>
        <w:t>结</w:t>
      </w:r>
      <w:r w:rsidR="004F241D">
        <w:t xml:space="preserve">  </w:t>
      </w:r>
      <w:r w:rsidR="004F241D">
        <w:t xml:space="preserve">论</w:t>
      </w:r>
      <w:r>
        <w:fldChar w:fldCharType="end"/>
      </w:r>
      <w:r>
        <w:rPr>
          <w:noProof/>
          <w:webHidden/>
        </w:rPr>
        <w:tab/>
      </w:r>
      <w:r>
        <w:rPr>
          <w:noProof/>
          <w:webHidden/>
        </w:rPr>
        <w:fldChar w:fldCharType="begin"/>
      </w:r>
      <w:r>
        <w:rPr>
          <w:noProof/>
          <w:webHidden/>
        </w:rPr>
        <w:instrText> PAGEREF _Toc686227981 \h </w:instrText>
      </w:r>
      <w:r>
        <w:rPr>
          <w:noProof/>
          <w:webHidden/>
        </w:rPr>
        <w:fldChar w:fldCharType="separate"/>
      </w:r>
      <w:r>
        <w:rPr>
          <w:noProof/>
          <w:webHidden/>
        </w:rPr>
        <w:t>4</w:t>
      </w:r>
      <w:r>
        <w:rPr>
          <w:noProof/>
          <w:webHidden/>
        </w:rPr>
        <w:fldChar w:fldCharType="end"/>
      </w:r>
    </w:p>
    <w:p w:rsidR="0018722C">
      <w:pPr>
        <w:pStyle w:val="TOC1"/>
        <w:topLinePunct/>
      </w:pPr>
      <w:r>
        <w:fldChar w:fldCharType="begin"/>
      </w:r>
      <w:r>
        <w:instrText>HYPERLINK \l "_Toc686227982"</w:instrText>
      </w:r>
      <w:r>
        <w:fldChar w:fldCharType="separate"/>
      </w:r>
      <w:r>
        <w:t>Abstract</w:t>
      </w:r>
      <w:r>
        <w:fldChar w:fldCharType="end"/>
      </w:r>
      <w:r>
        <w:rPr>
          <w:noProof/>
          <w:webHidden/>
        </w:rPr>
        <w:tab/>
      </w:r>
      <w:r>
        <w:rPr>
          <w:noProof/>
          <w:webHidden/>
        </w:rPr>
        <w:fldChar w:fldCharType="begin"/>
      </w:r>
      <w:r>
        <w:rPr>
          <w:noProof/>
          <w:webHidden/>
        </w:rPr>
        <w:instrText> PAGEREF _Toc686227982 \h </w:instrText>
      </w:r>
      <w:r>
        <w:rPr>
          <w:noProof/>
          <w:webHidden/>
        </w:rPr>
        <w:fldChar w:fldCharType="separate"/>
      </w:r>
      <w:r>
        <w:rPr>
          <w:noProof/>
          <w:webHidden/>
        </w:rPr>
        <w:t>5</w:t>
      </w:r>
      <w:r>
        <w:rPr>
          <w:noProof/>
          <w:webHidden/>
        </w:rPr>
        <w:fldChar w:fldCharType="end"/>
      </w:r>
    </w:p>
    <w:p w:rsidR="0018722C">
      <w:pPr>
        <w:pStyle w:val="TOC1"/>
        <w:topLinePunct/>
      </w:pPr>
      <w:r>
        <w:fldChar w:fldCharType="begin"/>
      </w:r>
      <w:r>
        <w:instrText>HYPERLINK \l "_Toc686227983"</w:instrText>
      </w:r>
      <w:r>
        <w:fldChar w:fldCharType="separate"/>
      </w:r>
      <w:r/>
      <w:r/>
      <w:r>
        <w:t>前</w:t>
      </w:r>
      <w:r w:rsidR="004F241D">
        <w:t xml:space="preserve">  </w:t>
      </w:r>
      <w:r w:rsidR="004F241D">
        <w:t xml:space="preserve">言</w:t>
      </w:r>
      <w:r>
        <w:fldChar w:fldCharType="end"/>
      </w:r>
      <w:r>
        <w:rPr>
          <w:noProof/>
          <w:webHidden/>
        </w:rPr>
        <w:tab/>
      </w:r>
      <w:r>
        <w:rPr>
          <w:noProof/>
          <w:webHidden/>
        </w:rPr>
        <w:fldChar w:fldCharType="begin"/>
      </w:r>
      <w:r>
        <w:rPr>
          <w:noProof/>
          <w:webHidden/>
        </w:rPr>
        <w:instrText> PAGEREF _Toc686227983 \h </w:instrText>
      </w:r>
      <w:r>
        <w:rPr>
          <w:noProof/>
          <w:webHidden/>
        </w:rPr>
        <w:fldChar w:fldCharType="separate"/>
      </w:r>
      <w:r>
        <w:rPr>
          <w:noProof/>
          <w:webHidden/>
        </w:rPr>
        <w:t>5</w:t>
      </w:r>
      <w:r>
        <w:rPr>
          <w:noProof/>
          <w:webHidden/>
        </w:rPr>
        <w:fldChar w:fldCharType="end"/>
      </w:r>
    </w:p>
    <w:p w:rsidR="0018722C">
      <w:pPr>
        <w:pStyle w:val="TOC1"/>
        <w:topLinePunct/>
      </w:pPr>
      <w:r>
        <w:fldChar w:fldCharType="begin"/>
      </w:r>
      <w:r>
        <w:instrText>HYPERLINK \l "_Toc686227984"</w:instrText>
      </w:r>
      <w:r>
        <w:fldChar w:fldCharType="separate"/>
      </w:r>
      <w:r/>
      <w:r/>
      <w:r>
        <w:t>一.</w:t>
      </w:r>
      <w:r>
        <w:t xml:space="preserve"> </w:t>
      </w:r>
      <w:r w:rsidRPr="00DB64CE">
        <w:t>材料与仪器</w:t>
      </w:r>
      <w:r>
        <w:fldChar w:fldCharType="end"/>
      </w:r>
      <w:r>
        <w:rPr>
          <w:noProof/>
          <w:webHidden/>
        </w:rPr>
        <w:tab/>
      </w:r>
      <w:r>
        <w:rPr>
          <w:noProof/>
          <w:webHidden/>
        </w:rPr>
        <w:fldChar w:fldCharType="begin"/>
      </w:r>
      <w:r>
        <w:rPr>
          <w:noProof/>
          <w:webHidden/>
        </w:rPr>
        <w:instrText> PAGEREF _Toc686227984 \h </w:instrText>
      </w:r>
      <w:r>
        <w:rPr>
          <w:noProof/>
          <w:webHidden/>
        </w:rPr>
        <w:fldChar w:fldCharType="separate"/>
      </w:r>
      <w:r>
        <w:rPr>
          <w:noProof/>
          <w:webHidden/>
        </w:rPr>
        <w:t>6</w:t>
      </w:r>
      <w:r>
        <w:rPr>
          <w:noProof/>
          <w:webHidden/>
        </w:rPr>
        <w:fldChar w:fldCharType="end"/>
      </w:r>
    </w:p>
    <w:p w:rsidR="0018722C">
      <w:pPr>
        <w:pStyle w:val="TOC1"/>
        <w:topLinePunct/>
      </w:pPr>
      <w:r>
        <w:fldChar w:fldCharType="begin"/>
      </w:r>
      <w:r>
        <w:instrText>HYPERLINK \l "_Toc686227985"</w:instrText>
      </w:r>
      <w:r>
        <w:fldChar w:fldCharType="separate"/>
      </w:r>
      <w:r/>
      <w:r/>
      <w:r>
        <w:t>二.</w:t>
      </w:r>
      <w:r>
        <w:t xml:space="preserve"> </w:t>
      </w:r>
      <w:r w:rsidRPr="00DB64CE">
        <w:t>实验方法</w:t>
      </w:r>
      <w:r>
        <w:fldChar w:fldCharType="end"/>
      </w:r>
      <w:r>
        <w:rPr>
          <w:noProof/>
          <w:webHidden/>
        </w:rPr>
        <w:tab/>
      </w:r>
      <w:r>
        <w:rPr>
          <w:noProof/>
          <w:webHidden/>
        </w:rPr>
        <w:fldChar w:fldCharType="begin"/>
      </w:r>
      <w:r>
        <w:rPr>
          <w:noProof/>
          <w:webHidden/>
        </w:rPr>
        <w:instrText> PAGEREF _Toc686227985 \h </w:instrText>
      </w:r>
      <w:r>
        <w:rPr>
          <w:noProof/>
          <w:webHidden/>
        </w:rPr>
        <w:fldChar w:fldCharType="separate"/>
      </w:r>
      <w:r>
        <w:rPr>
          <w:noProof/>
          <w:webHidden/>
        </w:rPr>
        <w:t>10</w:t>
      </w:r>
      <w:r>
        <w:rPr>
          <w:noProof/>
          <w:webHidden/>
        </w:rPr>
        <w:fldChar w:fldCharType="end"/>
      </w:r>
    </w:p>
    <w:p w:rsidR="0018722C">
      <w:pPr>
        <w:pStyle w:val="TOC1"/>
        <w:topLinePunct/>
      </w:pPr>
      <w:r>
        <w:fldChar w:fldCharType="begin"/>
      </w:r>
      <w:r>
        <w:instrText>HYPERLINK \l "_Toc686227986"</w:instrText>
      </w:r>
      <w:r>
        <w:fldChar w:fldCharType="separate"/>
      </w:r>
      <w:r/>
      <w:r/>
      <w:r>
        <w:t>三.</w:t>
      </w:r>
      <w:r>
        <w:t xml:space="preserve"> </w:t>
      </w:r>
      <w:r w:rsidRPr="00DB64CE">
        <w:t>统计学处理</w:t>
      </w:r>
      <w:r>
        <w:fldChar w:fldCharType="end"/>
      </w:r>
      <w:r>
        <w:rPr>
          <w:noProof/>
          <w:webHidden/>
        </w:rPr>
        <w:tab/>
      </w:r>
      <w:r>
        <w:rPr>
          <w:noProof/>
          <w:webHidden/>
        </w:rPr>
        <w:fldChar w:fldCharType="begin"/>
      </w:r>
      <w:r>
        <w:rPr>
          <w:noProof/>
          <w:webHidden/>
        </w:rPr>
        <w:instrText> PAGEREF _Toc686227986 \h </w:instrText>
      </w:r>
      <w:r>
        <w:rPr>
          <w:noProof/>
          <w:webHidden/>
        </w:rPr>
        <w:fldChar w:fldCharType="separate"/>
      </w:r>
      <w:r>
        <w:rPr>
          <w:noProof/>
          <w:webHidden/>
        </w:rPr>
        <w:t>21</w:t>
      </w:r>
      <w:r>
        <w:rPr>
          <w:noProof/>
          <w:webHidden/>
        </w:rPr>
        <w:fldChar w:fldCharType="end"/>
      </w:r>
    </w:p>
    <w:p w:rsidR="0018722C">
      <w:pPr>
        <w:pStyle w:val="TOC1"/>
        <w:topLinePunct/>
      </w:pPr>
      <w:r>
        <w:fldChar w:fldCharType="begin"/>
      </w:r>
      <w:r>
        <w:instrText>HYPERLINK \l "_Toc686227987"</w:instrText>
      </w:r>
      <w:r>
        <w:fldChar w:fldCharType="separate"/>
      </w:r>
      <w:r/>
      <w:r/>
      <w:r>
        <w:t>四.</w:t>
      </w:r>
      <w:r>
        <w:t xml:space="preserve"> </w:t>
      </w:r>
      <w:r w:rsidRPr="00DB64CE">
        <w:t>结果</w:t>
      </w:r>
      <w:r>
        <w:fldChar w:fldCharType="end"/>
      </w:r>
      <w:r>
        <w:rPr>
          <w:noProof/>
          <w:webHidden/>
        </w:rPr>
        <w:tab/>
      </w:r>
      <w:r>
        <w:rPr>
          <w:noProof/>
          <w:webHidden/>
        </w:rPr>
        <w:fldChar w:fldCharType="begin"/>
      </w:r>
      <w:r>
        <w:rPr>
          <w:noProof/>
          <w:webHidden/>
        </w:rPr>
        <w:instrText> PAGEREF _Toc686227987 \h </w:instrText>
      </w:r>
      <w:r>
        <w:rPr>
          <w:noProof/>
          <w:webHidden/>
        </w:rPr>
        <w:fldChar w:fldCharType="separate"/>
      </w:r>
      <w:r>
        <w:rPr>
          <w:noProof/>
          <w:webHidden/>
        </w:rPr>
        <w:t>21</w:t>
      </w:r>
      <w:r>
        <w:rPr>
          <w:noProof/>
          <w:webHidden/>
        </w:rPr>
        <w:fldChar w:fldCharType="end"/>
      </w:r>
    </w:p>
    <w:p w:rsidR="0018722C">
      <w:pPr>
        <w:pStyle w:val="TOC1"/>
        <w:topLinePunct/>
      </w:pPr>
      <w:r>
        <w:fldChar w:fldCharType="begin"/>
      </w:r>
      <w:r>
        <w:instrText>HYPERLINK \l "_Toc686227988"</w:instrText>
      </w:r>
      <w:r>
        <w:fldChar w:fldCharType="separate"/>
      </w:r>
      <w:r>
        <w:t>五.</w:t>
      </w:r>
      <w:r>
        <w:t xml:space="preserve"> </w:t>
      </w:r>
      <w:r w:rsidRPr="00DB64CE">
        <w:t>讨论</w:t>
      </w:r>
      <w:r>
        <w:fldChar w:fldCharType="end"/>
      </w:r>
      <w:r>
        <w:rPr>
          <w:noProof/>
          <w:webHidden/>
        </w:rPr>
        <w:tab/>
      </w:r>
      <w:r>
        <w:rPr>
          <w:noProof/>
          <w:webHidden/>
        </w:rPr>
        <w:fldChar w:fldCharType="begin"/>
      </w:r>
      <w:r>
        <w:rPr>
          <w:noProof/>
          <w:webHidden/>
        </w:rPr>
        <w:instrText> PAGEREF _Toc686227988 \h </w:instrText>
      </w:r>
      <w:r>
        <w:rPr>
          <w:noProof/>
          <w:webHidden/>
        </w:rPr>
        <w:fldChar w:fldCharType="separate"/>
      </w:r>
      <w:r>
        <w:rPr>
          <w:noProof/>
          <w:webHidden/>
        </w:rPr>
        <w:t>31</w:t>
      </w:r>
      <w:r>
        <w:rPr>
          <w:noProof/>
          <w:webHidden/>
        </w:rPr>
        <w:fldChar w:fldCharType="end"/>
      </w:r>
    </w:p>
    <w:p w:rsidR="0018722C">
      <w:pPr>
        <w:pStyle w:val="TOC1"/>
        <w:topLinePunct/>
      </w:pPr>
      <w:r>
        <w:fldChar w:fldCharType="begin"/>
      </w:r>
      <w:r>
        <w:instrText>HYPERLINK \l "_Toc686227989"</w:instrText>
      </w:r>
      <w:r>
        <w:fldChar w:fldCharType="separate"/>
      </w:r>
      <w:r/>
      <w:r/>
      <w:r>
        <w:t>全文小结</w:t>
      </w:r>
      <w:r>
        <w:fldChar w:fldCharType="end"/>
      </w:r>
      <w:r>
        <w:rPr>
          <w:noProof/>
          <w:webHidden/>
        </w:rPr>
        <w:tab/>
      </w:r>
      <w:r>
        <w:rPr>
          <w:noProof/>
          <w:webHidden/>
        </w:rPr>
        <w:fldChar w:fldCharType="begin"/>
      </w:r>
      <w:r>
        <w:rPr>
          <w:noProof/>
          <w:webHidden/>
        </w:rPr>
        <w:instrText> PAGEREF _Toc686227989 \h </w:instrText>
      </w:r>
      <w:r>
        <w:rPr>
          <w:noProof/>
          <w:webHidden/>
        </w:rPr>
        <w:fldChar w:fldCharType="separate"/>
      </w:r>
      <w:r>
        <w:rPr>
          <w:noProof/>
          <w:webHidden/>
        </w:rPr>
        <w:t>32</w:t>
      </w:r>
      <w:r>
        <w:rPr>
          <w:noProof/>
          <w:webHidden/>
        </w:rPr>
        <w:fldChar w:fldCharType="end"/>
      </w:r>
    </w:p>
    <w:p w:rsidR="0018722C">
      <w:pPr>
        <w:pStyle w:val="TOC1"/>
        <w:topLinePunct/>
      </w:pPr>
      <w:r>
        <w:fldChar w:fldCharType="begin"/>
      </w:r>
      <w:r>
        <w:instrText>HYPERLINK \l "_Toc686227990"</w:instrText>
      </w:r>
      <w:r>
        <w:fldChar w:fldCharType="separate"/>
      </w:r>
      <w:r/>
      <w:r/>
      <w:r>
        <w:t>六.</w:t>
      </w:r>
      <w:r>
        <w:t xml:space="preserve"> </w:t>
      </w:r>
      <w:r w:rsidRPr="00DB64CE">
        <w:t>文献综述</w:t>
      </w:r>
      <w:r>
        <w:fldChar w:fldCharType="end"/>
      </w:r>
      <w:r>
        <w:rPr>
          <w:noProof/>
          <w:webHidden/>
        </w:rPr>
        <w:tab/>
      </w:r>
      <w:r>
        <w:rPr>
          <w:noProof/>
          <w:webHidden/>
        </w:rPr>
        <w:fldChar w:fldCharType="begin"/>
      </w:r>
      <w:r>
        <w:rPr>
          <w:noProof/>
          <w:webHidden/>
        </w:rPr>
        <w:instrText> PAGEREF _Toc686227990 \h </w:instrText>
      </w:r>
      <w:r>
        <w:rPr>
          <w:noProof/>
          <w:webHidden/>
        </w:rPr>
        <w:fldChar w:fldCharType="separate"/>
      </w:r>
      <w:r>
        <w:rPr>
          <w:noProof/>
          <w:webHidden/>
        </w:rPr>
        <w:t>33</w:t>
      </w:r>
      <w:r>
        <w:rPr>
          <w:noProof/>
          <w:webHidden/>
        </w:rPr>
        <w:fldChar w:fldCharType="end"/>
      </w:r>
    </w:p>
    <w:p w:rsidR="0018722C">
      <w:pPr>
        <w:pStyle w:val="TOC1"/>
        <w:topLinePunct/>
      </w:pPr>
      <w:r>
        <w:fldChar w:fldCharType="begin"/>
      </w:r>
      <w:r>
        <w:instrText>HYPERLINK \l "_Toc686227991"</w:instrText>
      </w:r>
      <w:r>
        <w:fldChar w:fldCharType="separate"/>
      </w:r>
      <w:r>
        <w:t>参考文献</w:t>
      </w:r>
      <w:r>
        <w:fldChar w:fldCharType="end"/>
      </w:r>
      <w:r>
        <w:rPr>
          <w:noProof/>
          <w:webHidden/>
        </w:rPr>
        <w:tab/>
      </w:r>
      <w:r>
        <w:rPr>
          <w:noProof/>
          <w:webHidden/>
        </w:rPr>
        <w:fldChar w:fldCharType="begin"/>
      </w:r>
      <w:r>
        <w:rPr>
          <w:noProof/>
          <w:webHidden/>
        </w:rPr>
        <w:instrText> PAGEREF _Toc686227991 \h </w:instrText>
      </w:r>
      <w:r>
        <w:rPr>
          <w:noProof/>
          <w:webHidden/>
        </w:rPr>
        <w:fldChar w:fldCharType="separate"/>
      </w:r>
      <w:r>
        <w:rPr>
          <w:noProof/>
          <w:webHidden/>
        </w:rPr>
        <w:t>36</w:t>
      </w:r>
      <w:r>
        <w:rPr>
          <w:noProof/>
          <w:webHidden/>
        </w:rPr>
        <w:fldChar w:fldCharType="end"/>
      </w:r>
    </w:p>
    <w:p w:rsidR="0018722C">
      <w:pPr>
        <w:pStyle w:val="TOC1"/>
        <w:topLinePunct/>
      </w:pPr>
      <w:r>
        <w:fldChar w:fldCharType="begin"/>
      </w:r>
      <w:r>
        <w:instrText>HYPERLINK \l "_Toc686227992"</w:instrText>
      </w:r>
      <w:r>
        <w:fldChar w:fldCharType="separate"/>
      </w:r>
      <w:r/>
      <w:r>
        <w:t>41</w:t>
      </w:r>
      <w:r>
        <w:fldChar w:fldCharType="end"/>
      </w:r>
      <w:r>
        <w:rPr>
          <w:noProof/>
          <w:webHidden/>
        </w:rPr>
        <w:tab/>
      </w:r>
      <w:r>
        <w:rPr>
          <w:noProof/>
          <w:webHidden/>
        </w:rPr>
        <w:fldChar w:fldCharType="begin"/>
      </w:r>
      <w:r>
        <w:rPr>
          <w:noProof/>
          <w:webHidden/>
        </w:rPr>
        <w:instrText> PAGEREF _Toc686227992 \h </w:instrText>
      </w:r>
      <w:r>
        <w:rPr>
          <w:noProof/>
          <w:webHidden/>
        </w:rPr>
        <w:fldChar w:fldCharType="separate"/>
      </w:r>
      <w:r>
        <w:rPr>
          <w:noProof/>
          <w:webHidden/>
        </w:rPr>
        <w:t>38</w:t>
      </w:r>
      <w:r>
        <w:rPr>
          <w:noProof/>
          <w:webHidden/>
        </w:rPr>
        <w:fldChar w:fldCharType="end"/>
      </w:r>
    </w:p>
    <w:p w:rsidR="0018722C">
      <w:pPr>
        <w:pStyle w:val="TOC1"/>
        <w:topLinePunct/>
      </w:pPr>
      <w:r>
        <w:fldChar w:fldCharType="begin"/>
      </w:r>
      <w:r>
        <w:instrText>HYPERLINK \l "_Toc686227993"</w:instrText>
      </w:r>
      <w:r>
        <w:fldChar w:fldCharType="separate"/>
      </w:r>
      <w:r/>
      <w:r/>
      <w:r>
        <w:t>附录一：中英文缩写词对照</w:t>
      </w:r>
      <w:r>
        <w:fldChar w:fldCharType="end"/>
      </w:r>
      <w:r>
        <w:rPr>
          <w:noProof/>
          <w:webHidden/>
        </w:rPr>
        <w:tab/>
      </w:r>
      <w:r>
        <w:rPr>
          <w:noProof/>
          <w:webHidden/>
        </w:rPr>
        <w:fldChar w:fldCharType="begin"/>
      </w:r>
      <w:r>
        <w:rPr>
          <w:noProof/>
          <w:webHidden/>
        </w:rPr>
        <w:instrText> PAGEREF _Toc686227993 \h </w:instrText>
      </w:r>
      <w:r>
        <w:rPr>
          <w:noProof/>
          <w:webHidden/>
        </w:rPr>
        <w:fldChar w:fldCharType="separate"/>
      </w:r>
      <w:r>
        <w:rPr>
          <w:noProof/>
          <w:webHidden/>
        </w:rPr>
        <w:t>39</w:t>
      </w:r>
      <w:r>
        <w:rPr>
          <w:noProof/>
          <w:webHidden/>
        </w:rPr>
        <w:fldChar w:fldCharType="end"/>
      </w:r>
    </w:p>
    <w:p w:rsidR="0018722C">
      <w:pPr>
        <w:pStyle w:val="TOC1"/>
        <w:topLinePunct/>
      </w:pPr>
      <w:r>
        <w:fldChar w:fldCharType="begin"/>
      </w:r>
      <w:r>
        <w:instrText>HYPERLINK \l "_Toc686227994"</w:instrText>
      </w:r>
      <w:r>
        <w:fldChar w:fldCharType="separate"/>
      </w:r>
      <w:r/>
      <w:r/>
      <w:r>
        <w:t>附录二：在读硕士期间的科研情况</w:t>
      </w:r>
      <w:r>
        <w:fldChar w:fldCharType="end"/>
      </w:r>
      <w:r>
        <w:rPr>
          <w:noProof/>
          <w:webHidden/>
        </w:rPr>
        <w:tab/>
      </w:r>
      <w:r>
        <w:rPr>
          <w:noProof/>
          <w:webHidden/>
        </w:rPr>
        <w:fldChar w:fldCharType="begin"/>
      </w:r>
      <w:r>
        <w:rPr>
          <w:noProof/>
          <w:webHidden/>
        </w:rPr>
        <w:instrText> PAGEREF _Toc686227994 \h </w:instrText>
      </w:r>
      <w:r>
        <w:rPr>
          <w:noProof/>
          <w:webHidden/>
        </w:rPr>
        <w:fldChar w:fldCharType="separate"/>
      </w:r>
      <w:r>
        <w:rPr>
          <w:noProof/>
          <w:webHidden/>
        </w:rPr>
        <w:t>41</w:t>
      </w:r>
      <w:r>
        <w:rPr>
          <w:noProof/>
          <w:webHidden/>
        </w:rPr>
        <w:fldChar w:fldCharType="end"/>
      </w:r>
      <w:r>
        <w:fldChar w:fldCharType="end"/>
      </w:r>
    </w:p>
    <w:p w:rsidR="009F338D">
      <w:pPr>
        <w:sectPr w:rsidR="00556256">
          <w:headerReference w:type="even" r:id="rId40"/>
          <w:headerReference w:type="default" r:id="rId38"/>
          <w:footerReference w:type="even" r:id="rId36"/>
          <w:footerReference w:type="default" r:id="rId33"/>
          <w:footerReference w:type="first" r:id="rId31"/>
          <w:headerReference w:type="first" r:id="rId42"/>
          <w:pgSz w:w="11906" w:h="16838" w:code="9"/>
          <w:pgMar w:top="1418" w:right="1134" w:bottom="1134" w:left="1418" w:header="851" w:footer="907" w:gutter="0"/>
          <w:pgNumType w:fmt="upperRoman" w:start="1"/>
          <w:cols w:space="720"/>
          <w:titlePg/>
          <w:docGrid w:type="lines" w:linePitch="326"/>
        </w:sect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ge;z-index:1288" from="70.900002pt,58.577499pt" to="516.400002pt,58.577499pt" stroked="true" strokeweight=".45pt" strokecolor="#000000">
            <v:stroke dashstyle="solid"/>
            <w10:wrap type="none"/>
          </v:line>
        </w:pict>
      </w:r>
      <w:r>
        <w:rPr>
          <w:kern w:val="2"/>
          <w:szCs w:val="22"/>
          <w:rFonts w:cstheme="minorBidi" w:hAnsiTheme="minorHAnsi" w:eastAsiaTheme="minorHAnsi" w:asciiTheme="minorHAnsi"/>
          <w:b/>
          <w:sz w:val="44"/>
        </w:rPr>
        <w:t>COX-2</w:t>
      </w:r>
      <w:r>
        <w:rPr>
          <w:kern w:val="2"/>
          <w:szCs w:val="22"/>
          <w:rFonts w:ascii="微软雅黑" w:eastAsia="微软雅黑" w:hint="eastAsia" w:cstheme="minorBidi" w:hAnsiTheme="minorHAnsi"/>
          <w:b/>
          <w:sz w:val="44"/>
        </w:rPr>
        <w:t>和</w:t>
      </w:r>
      <w:r>
        <w:rPr>
          <w:kern w:val="2"/>
          <w:szCs w:val="22"/>
          <w:rFonts w:cstheme="minorBidi" w:hAnsiTheme="minorHAnsi" w:eastAsiaTheme="minorHAnsi" w:asciiTheme="minorHAnsi"/>
          <w:b/>
          <w:sz w:val="44"/>
        </w:rPr>
        <w:t>EP</w:t>
      </w:r>
      <w:r>
        <w:rPr>
          <w:kern w:val="2"/>
          <w:szCs w:val="22"/>
          <w:rFonts w:cstheme="minorBidi" w:hAnsiTheme="minorHAnsi" w:eastAsiaTheme="minorHAnsi" w:asciiTheme="minorHAnsi"/>
          <w:b/>
          <w:sz w:val="29"/>
        </w:rPr>
        <w:t>1</w:t>
      </w:r>
      <w:r>
        <w:rPr>
          <w:kern w:val="2"/>
          <w:szCs w:val="22"/>
          <w:rFonts w:ascii="微软雅黑" w:eastAsia="微软雅黑" w:hint="eastAsia" w:cstheme="minorBidi" w:hAnsiTheme="minorHAnsi"/>
          <w:b/>
          <w:sz w:val="44"/>
        </w:rPr>
        <w:t>在</w:t>
      </w:r>
      <w:r>
        <w:rPr>
          <w:kern w:val="2"/>
          <w:szCs w:val="22"/>
          <w:rFonts w:cstheme="minorBidi" w:hAnsiTheme="minorHAnsi" w:eastAsiaTheme="minorHAnsi" w:asciiTheme="minorHAnsi"/>
          <w:b/>
          <w:sz w:val="44"/>
        </w:rPr>
        <w:t>HCC</w:t>
      </w:r>
      <w:r>
        <w:rPr>
          <w:kern w:val="2"/>
          <w:szCs w:val="22"/>
          <w:rFonts w:ascii="微软雅黑" w:eastAsia="微软雅黑" w:hint="eastAsia" w:cstheme="minorBidi" w:hAnsiTheme="minorHAnsi"/>
          <w:b/>
          <w:sz w:val="44"/>
        </w:rPr>
        <w:t>组织中的表达及意义</w:t>
      </w:r>
    </w:p>
    <w:p w:rsidR="0018722C">
      <w:pPr>
        <w:pStyle w:val="af6"/>
        <w:topLinePunct/>
      </w:pPr>
      <w:bookmarkStart w:id="915009" w:name="_Ref665915009"/>
      <w:bookmarkStart w:id="227980" w:name="_Toc686227980"/>
      <w:bookmarkStart w:name="中文摘要 " w:id="5"/>
      <w:bookmarkEnd w:id="5"/>
      <w:r/>
      <w:bookmarkStart w:name="_bookmark0" w:id="6"/>
      <w:bookmarkEnd w:id="6"/>
      <w:r/>
      <w:r>
        <w:t>摘</w:t>
      </w:r>
      <w:r w:rsidR="004F241D">
        <w:t xml:space="preserve">  </w:t>
      </w:r>
      <w:r w:rsidR="004F241D">
        <w:t xml:space="preserve">要</w:t>
      </w:r>
      <w:bookmarkEnd w:id="227980"/>
    </w:p>
    <w:bookmarkEnd w:id="915009"/>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2"/>
          <w:szCs w:val="28"/>
          <w:rFonts w:cstheme="minorBidi" w:ascii="黑体" w:hAnsi="宋体" w:eastAsia="宋体" w:cs="宋体"/>
        </w:rPr>
      </w:pPr>
    </w:p>
    <w:p w:rsidR="0018722C">
      <w:pPr>
        <w:pStyle w:val="aff0"/>
        <w:topLinePunct/>
      </w:pPr>
      <w:r>
        <w:rPr>
          <w:rFonts w:ascii="微软雅黑" w:eastAsia="微软雅黑" w:hint="eastAsia"/>
          <w:b/>
        </w:rPr>
        <w:t xml:space="preserve">目的：</w:t>
      </w:r>
      <w:r>
        <w:t xml:space="preserve">检测前列腺素受体</w:t>
      </w:r>
      <w:r/>
      <w:r>
        <w:rPr>
          <w:rFonts w:ascii="Times New Roman" w:eastAsia="Times New Roman"/>
        </w:rPr>
        <w:t xml:space="preserve">1</w:t>
      </w:r>
      <w:r>
        <w:t xml:space="preserve">（</w:t>
      </w:r>
      <w:r>
        <w:rPr>
          <w:rFonts w:ascii="Times New Roman" w:eastAsia="Times New Roman"/>
        </w:rPr>
        <w:t xml:space="preserve">Prostaglandin</w:t>
      </w:r>
      <w:r>
        <w:rPr>
          <w:rFonts w:ascii="Times New Roman" w:eastAsia="Times New Roman"/>
          <w:spacing w:val="6"/>
        </w:rPr>
        <w:t xml:space="preserve"> </w:t>
      </w:r>
      <w:r>
        <w:rPr>
          <w:rFonts w:ascii="Times New Roman" w:eastAsia="Times New Roman"/>
        </w:rPr>
        <w:t xml:space="preserve">receptor1,</w:t>
      </w:r>
      <w:r w:rsidR="001852F3">
        <w:rPr>
          <w:rFonts w:ascii="Times New Roman" w:eastAsia="Times New Roman"/>
        </w:rPr>
        <w:t xml:space="preserve"> </w:t>
      </w:r>
      <w:r w:rsidR="001852F3">
        <w:rPr>
          <w:rFonts w:ascii="Times New Roman" w:eastAsia="Times New Roman"/>
        </w:rPr>
        <w:t xml:space="preserve">EP</w:t>
      </w:r>
      <w:r>
        <w:rPr>
          <w:rFonts w:ascii="Times New Roman" w:eastAsia="Times New Roman"/>
          <w:position w:val="-3"/>
          <w:sz w:val="18"/>
        </w:rPr>
        <w:t xml:space="preserve">1</w:t>
      </w:r>
      <w:r>
        <w:t xml:space="preserve">）</w:t>
      </w:r>
      <w:r>
        <w:t xml:space="preserve">和环氧化酶</w:t>
      </w:r>
      <w:r>
        <w:rPr>
          <w:rFonts w:ascii="Times New Roman" w:eastAsia="Times New Roman"/>
        </w:rPr>
        <w:t xml:space="preserve">- 2</w:t>
      </w:r>
      <w:r>
        <w:t xml:space="preserve">（</w:t>
      </w:r>
      <w:r>
        <w:rPr>
          <w:rFonts w:ascii="Times New Roman" w:eastAsia="Times New Roman"/>
        </w:rPr>
        <w:t xml:space="preserve">Cyelooxygenase-2,</w:t>
      </w:r>
      <w:r w:rsidR="001852F3">
        <w:rPr>
          <w:rFonts w:ascii="Times New Roman" w:eastAsia="Times New Roman"/>
        </w:rPr>
        <w:t xml:space="preserve"> </w:t>
      </w:r>
      <w:r w:rsidR="001852F3">
        <w:rPr>
          <w:rFonts w:ascii="Times New Roman" w:eastAsia="Times New Roman"/>
        </w:rPr>
        <w:t xml:space="preserve">COX-2</w:t>
      </w:r>
      <w:r>
        <w:t xml:space="preserve">）</w:t>
      </w:r>
      <w:r w:rsidR="001852F3">
        <w:t xml:space="preserve">在</w:t>
      </w:r>
      <w:r w:rsidR="001852F3">
        <w:t xml:space="preserve">肝</w:t>
      </w:r>
      <w:r w:rsidR="001852F3">
        <w:t xml:space="preserve">细</w:t>
      </w:r>
      <w:r w:rsidR="001852F3">
        <w:t xml:space="preserve">胞</w:t>
      </w:r>
      <w:r w:rsidR="001852F3">
        <w:t xml:space="preserve">癌</w:t>
      </w:r>
      <w:r>
        <w:t xml:space="preserve">（</w:t>
      </w:r>
      <w:r>
        <w:rPr>
          <w:rFonts w:ascii="Times New Roman" w:eastAsia="Times New Roman"/>
        </w:rPr>
        <w:t xml:space="preserve">Hepatocellular carcinoma,</w:t>
      </w:r>
      <w:r w:rsidR="001852F3">
        <w:rPr>
          <w:rFonts w:ascii="Times New Roman" w:eastAsia="Times New Roman"/>
        </w:rPr>
        <w:t xml:space="preserve"> </w:t>
      </w:r>
      <w:r w:rsidR="001852F3">
        <w:rPr>
          <w:rFonts w:ascii="Times New Roman" w:eastAsia="Times New Roman"/>
        </w:rPr>
        <w:t xml:space="preserve">HCC</w:t>
      </w:r>
      <w:r>
        <w:t xml:space="preserve">）</w:t>
      </w:r>
      <w:r>
        <w:t xml:space="preserve">癌和癌旁组织中的表达，探讨</w:t>
      </w:r>
      <w:r/>
      <w:r>
        <w:rPr>
          <w:rFonts w:ascii="Times New Roman" w:eastAsia="Times New Roman"/>
        </w:rPr>
        <w:t xml:space="preserve">EP</w:t>
      </w:r>
      <w:r>
        <w:rPr>
          <w:rFonts w:ascii="Times New Roman" w:eastAsia="Times New Roman"/>
        </w:rPr>
        <w:t xml:space="preserve">1</w:t>
      </w:r>
      <w:r w:rsidRPr="00000000">
        <w:tab/>
      </w:r>
      <w:r>
        <w:t xml:space="preserve">和</w:t>
      </w:r>
      <w:r/>
      <w:r>
        <w:rPr>
          <w:rFonts w:ascii="Times New Roman" w:eastAsia="Times New Roman"/>
        </w:rPr>
        <w:t xml:space="preserve">COX-2</w:t>
      </w:r>
      <w:r>
        <w:t xml:space="preserve">与</w:t>
      </w:r>
      <w:r/>
      <w:r>
        <w:rPr>
          <w:rFonts w:ascii="Times New Roman" w:eastAsia="Times New Roman"/>
        </w:rPr>
        <w:t xml:space="preserve">HCC</w:t>
      </w:r>
      <w:r>
        <w:t xml:space="preserve">预后的相关性，为</w:t>
      </w:r>
      <w:r/>
      <w:r>
        <w:rPr>
          <w:rFonts w:ascii="Times New Roman" w:eastAsia="Times New Roman"/>
        </w:rPr>
        <w:t xml:space="preserve">HCC</w:t>
      </w:r>
      <w:r>
        <w:t xml:space="preserve">患者预后的判断提供新的指标。</w:t>
      </w:r>
    </w:p>
    <w:p w:rsidR="0018722C">
      <w:pPr>
        <w:pStyle w:val="aff0"/>
        <w:topLinePunct/>
      </w:pPr>
      <w:r>
        <w:rPr>
          <w:rFonts w:ascii="微软雅黑" w:eastAsia="微软雅黑" w:hint="eastAsia"/>
          <w:b/>
        </w:rPr>
        <w:t>方法：</w:t>
      </w:r>
      <w:r>
        <w:rPr>
          <w:rFonts w:ascii="Times New Roman" w:eastAsia="Times New Roman"/>
        </w:rPr>
        <w:t>1.</w:t>
      </w:r>
      <w:r>
        <w:t>收集</w:t>
      </w:r>
      <w:r>
        <w:rPr>
          <w:rFonts w:ascii="Times New Roman" w:eastAsia="Times New Roman"/>
        </w:rPr>
        <w:t>2013</w:t>
      </w:r>
      <w:r>
        <w:t>年在广西医科大学附属肿瘤医院接受根治性肝切除</w:t>
      </w:r>
    </w:p>
    <w:p w:rsidR="0018722C">
      <w:pPr>
        <w:pStyle w:val="aff0"/>
        <w:topLinePunct/>
      </w:pPr>
      <w:r>
        <w:t>的</w:t>
      </w:r>
      <w:r/>
      <w:r>
        <w:rPr>
          <w:rFonts w:ascii="Times New Roman" w:eastAsia="宋体"/>
        </w:rPr>
        <w:t>HCC</w:t>
      </w:r>
      <w:r>
        <w:t>患者的新鲜标本</w:t>
      </w:r>
      <w:r/>
      <w:r>
        <w:rPr>
          <w:rFonts w:ascii="Times New Roman" w:eastAsia="宋体"/>
        </w:rPr>
        <w:t>48</w:t>
      </w:r>
      <w:r>
        <w:t>例，通过聚合酶联反应</w:t>
      </w:r>
      <w:r>
        <w:t>（</w:t>
      </w:r>
      <w:r>
        <w:rPr>
          <w:rFonts w:ascii="Times New Roman" w:eastAsia="宋体"/>
        </w:rPr>
        <w:t>Polymerase</w:t>
      </w:r>
      <w:r w:rsidRPr="00000000">
        <w:tab/>
        <w:t>chain reaction,</w:t>
      </w:r>
      <w:r w:rsidR="001852F3">
        <w:t xml:space="preserve"> </w:t>
      </w:r>
      <w:r w:rsidR="001852F3">
        <w:t xml:space="preserve">PCR</w:t>
      </w:r>
      <w:r>
        <w:t>）</w:t>
      </w:r>
      <w:r>
        <w:t>和蛋白免疫印记</w:t>
      </w:r>
      <w:r>
        <w:t>（</w:t>
      </w:r>
      <w:r>
        <w:rPr>
          <w:rFonts w:ascii="Times New Roman" w:eastAsia="宋体"/>
        </w:rPr>
        <w:t xml:space="preserve">Western-Blot,</w:t>
      </w:r>
      <w:r w:rsidR="001852F3">
        <w:rPr>
          <w:rFonts w:ascii="Times New Roman" w:eastAsia="宋体"/>
        </w:rPr>
        <w:t xml:space="preserve"> </w:t>
      </w:r>
      <w:r w:rsidR="001852F3">
        <w:rPr>
          <w:rFonts w:ascii="Times New Roman" w:eastAsia="宋体"/>
        </w:rPr>
        <w:t xml:space="preserve">WB</w:t>
      </w:r>
      <w:r>
        <w:t>）</w:t>
      </w:r>
      <w:r>
        <w:t>方法检测高分化组和低分化组癌组织中</w:t>
      </w:r>
      <w:r/>
      <w:r>
        <w:rPr>
          <w:rFonts w:ascii="Times New Roman" w:eastAsia="宋体"/>
        </w:rPr>
        <w:t>COX-2</w:t>
      </w:r>
      <w:r>
        <w:t>与</w:t>
      </w:r>
      <w:r/>
      <w:r>
        <w:rPr>
          <w:rFonts w:ascii="Times New Roman" w:eastAsia="宋体"/>
        </w:rPr>
        <w:t>EP</w:t>
      </w:r>
      <w:r>
        <w:rPr>
          <w:rFonts w:ascii="Times New Roman" w:eastAsia="宋体"/>
        </w:rPr>
        <w:t>1</w:t>
      </w:r>
      <w:r>
        <w:t>的表达情况。</w:t>
      </w:r>
    </w:p>
    <w:p w:rsidR="0018722C">
      <w:pPr>
        <w:pStyle w:val="aff0"/>
        <w:topLinePunct/>
      </w:pPr>
      <w:r>
        <w:rPr>
          <w:rFonts w:ascii="Times New Roman" w:eastAsia="Times New Roman"/>
        </w:rPr>
        <w:t>2.</w:t>
      </w:r>
      <w:r>
        <w:t>收集</w:t>
      </w:r>
      <w:r>
        <w:rPr>
          <w:rFonts w:ascii="Times New Roman" w:eastAsia="Times New Roman"/>
        </w:rPr>
        <w:t>2008</w:t>
      </w:r>
      <w:r>
        <w:t>年到</w:t>
      </w:r>
      <w:r>
        <w:rPr>
          <w:rFonts w:ascii="Times New Roman" w:eastAsia="Times New Roman"/>
        </w:rPr>
        <w:t>2011</w:t>
      </w:r>
      <w:r>
        <w:t>年在广西医科大学附属肿瘤医院接受根</w:t>
      </w:r>
      <w:r>
        <w:t>治性肝切除的</w:t>
      </w:r>
      <w:r>
        <w:rPr>
          <w:rFonts w:ascii="Times New Roman" w:eastAsia="Times New Roman"/>
        </w:rPr>
        <w:t>HCC</w:t>
      </w:r>
      <w:r>
        <w:t>患者石蜡标本</w:t>
      </w:r>
      <w:r>
        <w:rPr>
          <w:rFonts w:ascii="Times New Roman" w:eastAsia="Times New Roman"/>
        </w:rPr>
        <w:t>116</w:t>
      </w:r>
      <w:r>
        <w:t>例，通过免疫组织化学技术</w:t>
      </w:r>
    </w:p>
    <w:p w:rsidR="0018722C">
      <w:pPr>
        <w:pStyle w:val="aff0"/>
        <w:topLinePunct/>
      </w:pPr>
      <w:r>
        <w:t>（</w:t>
      </w:r>
      <w:r>
        <w:rPr>
          <w:rFonts w:ascii="Times New Roman" w:eastAsia="宋体"/>
        </w:rPr>
        <w:t>Immunohistochemistry</w:t>
      </w:r>
      <w:r w:rsidRPr="00000000">
        <w:tab/>
        <w:t xml:space="preserve">chemistry,</w:t>
      </w:r>
      <w:r w:rsidR="001852F3">
        <w:t xml:space="preserve"> </w:t>
      </w:r>
      <w:r w:rsidR="001852F3">
        <w:t xml:space="preserve">IHC</w:t>
      </w:r>
      <w:r>
        <w:t>）</w:t>
      </w:r>
      <w:r>
        <w:t>检测癌组织与癌旁组织中</w:t>
      </w:r>
      <w:r>
        <w:rPr>
          <w:rFonts w:ascii="Times New Roman" w:eastAsia="宋体"/>
        </w:rPr>
        <w:t>COX-2</w:t>
      </w:r>
      <w:r>
        <w:t>与</w:t>
      </w:r>
      <w:r>
        <w:rPr>
          <w:rFonts w:ascii="Times New Roman" w:eastAsia="宋体"/>
        </w:rPr>
        <w:t>EP</w:t>
      </w:r>
      <w:r>
        <w:rPr>
          <w:rFonts w:ascii="Times New Roman" w:eastAsia="宋体"/>
        </w:rPr>
        <w:t>1</w:t>
      </w:r>
      <w:r>
        <w:t>的表达。参照</w:t>
      </w:r>
      <w:r>
        <w:rPr>
          <w:rFonts w:ascii="Times New Roman" w:eastAsia="宋体"/>
        </w:rPr>
        <w:t>IHC</w:t>
      </w:r>
      <w:r>
        <w:t>评分将</w:t>
      </w:r>
      <w:r>
        <w:rPr>
          <w:rFonts w:ascii="Times New Roman" w:eastAsia="宋体"/>
        </w:rPr>
        <w:t>COX-2</w:t>
      </w:r>
      <w:r>
        <w:t>或</w:t>
      </w:r>
      <w:r>
        <w:rPr>
          <w:rFonts w:ascii="Times New Roman" w:eastAsia="宋体"/>
        </w:rPr>
        <w:t>EP</w:t>
      </w:r>
      <w:r>
        <w:rPr>
          <w:rFonts w:ascii="Times New Roman" w:eastAsia="宋体"/>
        </w:rPr>
        <w:t>1</w:t>
      </w:r>
      <w:r>
        <w:t>分别分为高低两组，比较</w:t>
      </w:r>
      <w:r>
        <w:t>高低</w:t>
      </w:r>
      <w:r>
        <w:rPr>
          <w:rFonts w:ascii="Times New Roman" w:eastAsia="宋体"/>
        </w:rPr>
        <w:t>COX-2</w:t>
      </w:r>
      <w:r>
        <w:t>或</w:t>
      </w:r>
      <w:r>
        <w:rPr>
          <w:rFonts w:ascii="Times New Roman" w:eastAsia="宋体"/>
        </w:rPr>
        <w:t>EP</w:t>
      </w:r>
      <w:r>
        <w:rPr>
          <w:rFonts w:ascii="Times New Roman" w:eastAsia="宋体"/>
        </w:rPr>
        <w:t>1</w:t>
      </w:r>
      <w:r>
        <w:t>组患者无瘤生存时间</w:t>
      </w:r>
      <w:r>
        <w:t>（</w:t>
      </w:r>
      <w:r>
        <w:rPr>
          <w:rFonts w:ascii="Times New Roman" w:eastAsia="宋体"/>
        </w:rPr>
        <w:t>Disease</w:t>
      </w:r>
      <w:r>
        <w:rPr>
          <w:rFonts w:ascii="Times New Roman" w:eastAsia="宋体"/>
          <w:spacing w:val="2"/>
        </w:rPr>
        <w:t> </w:t>
      </w:r>
      <w:r>
        <w:rPr>
          <w:rFonts w:ascii="Times New Roman" w:eastAsia="宋体"/>
        </w:rPr>
        <w:t>free</w:t>
      </w:r>
      <w:r>
        <w:rPr>
          <w:rFonts w:ascii="Times New Roman" w:eastAsia="宋体"/>
          <w:spacing w:val="2"/>
        </w:rPr>
        <w:t> </w:t>
      </w:r>
      <w:r>
        <w:rPr>
          <w:rFonts w:ascii="Times New Roman" w:eastAsia="宋体"/>
        </w:rPr>
        <w:t xml:space="preserve">survival,</w:t>
      </w:r>
      <w:r w:rsidR="001852F3">
        <w:rPr>
          <w:rFonts w:ascii="Times New Roman" w:eastAsia="宋体"/>
        </w:rPr>
        <w:t xml:space="preserve"> </w:t>
      </w:r>
      <w:r w:rsidR="001852F3">
        <w:rPr>
          <w:rFonts w:ascii="Times New Roman" w:eastAsia="宋体"/>
        </w:rPr>
        <w:t xml:space="preserve">DFS</w:t>
      </w:r>
      <w:r>
        <w:t>）</w:t>
      </w:r>
      <w:r>
        <w:t>和累积生存时间</w:t>
      </w:r>
      <w:r>
        <w:t>（</w:t>
      </w:r>
      <w:r>
        <w:rPr>
          <w:rFonts w:ascii="Times New Roman" w:eastAsia="宋体"/>
        </w:rPr>
        <w:t>Overall</w:t>
      </w:r>
      <w:r>
        <w:rPr>
          <w:rFonts w:ascii="Times New Roman" w:eastAsia="宋体"/>
          <w:spacing w:val="-8"/>
        </w:rPr>
        <w:t> </w:t>
      </w:r>
      <w:r>
        <w:rPr>
          <w:rFonts w:ascii="Times New Roman" w:eastAsia="宋体"/>
        </w:rPr>
        <w:t xml:space="preserve">survival,</w:t>
      </w:r>
      <w:r w:rsidR="001852F3">
        <w:rPr>
          <w:rFonts w:ascii="Times New Roman" w:eastAsia="宋体"/>
        </w:rPr>
        <w:t xml:space="preserve"> </w:t>
      </w:r>
      <w:r w:rsidR="001852F3">
        <w:rPr>
          <w:rFonts w:ascii="Times New Roman" w:eastAsia="宋体"/>
        </w:rPr>
        <w:t xml:space="preserve">OS</w:t>
      </w:r>
      <w:r>
        <w:t>）</w:t>
      </w:r>
      <w:r>
        <w:t>的差异。</w:t>
      </w:r>
    </w:p>
    <w:p w:rsidR="0018722C">
      <w:pPr>
        <w:pStyle w:val="aff0"/>
        <w:topLinePunct/>
      </w:pPr>
      <w:r>
        <w:rPr>
          <w:rFonts w:cstheme="minorBidi" w:hAnsiTheme="minorHAnsi" w:eastAsiaTheme="minorHAnsi" w:asciiTheme="minorHAnsi" w:ascii="微软雅黑" w:eastAsia="微软雅黑" w:hint="eastAsia"/>
          <w:b/>
        </w:rPr>
        <w:t>结果</w:t>
      </w:r>
      <w:r>
        <w:rPr>
          <w:rFonts w:ascii="宋体" w:eastAsia="宋体" w:hint="eastAsia" w:cstheme="minorBidi" w:hAnsiTheme="minorHAnsi"/>
        </w:rPr>
        <w:t>：</w:t>
      </w:r>
    </w:p>
    <w:p w:rsidR="0018722C">
      <w:pPr>
        <w:pStyle w:val="aff0"/>
        <w:topLinePunct/>
      </w:pPr>
      <w:r>
        <w:t xml:space="preserve">1.</w:t>
      </w:r>
      <w:r w:rsidR="001852F3">
        <w:t xml:space="preserve"> </w:t>
      </w:r>
      <w:r w:rsidR="001852F3">
        <w:t xml:space="preserve">COX-2</w:t>
      </w:r>
      <w:r w:rsidRPr="00000000">
        <w:tab/>
        <w:t>mRNA</w:t>
      </w:r>
      <w:r/>
      <w:r w:rsidR="001852F3">
        <w:t xml:space="preserve">在高分化组高表达，低分化组中低表达，两组间比较</w:t>
      </w:r>
    </w:p>
    <w:p w:rsidR="0018722C">
      <w:pPr>
        <w:pStyle w:val="aff0"/>
        <w:topLinePunct/>
      </w:pPr>
      <w:r>
        <w:t>P=0.051</w:t>
      </w:r>
      <w:r>
        <w:t xml:space="preserve">. </w:t>
      </w:r>
      <w:r>
        <w:t>EP</w:t>
      </w:r>
      <w:r>
        <w:t>1</w:t>
      </w:r>
      <w:r w:rsidRPr="00000000">
        <w:tab/>
      </w:r>
      <w:r>
        <w:t>mRNA</w:t>
      </w:r>
      <w:r/>
      <w:r>
        <w:t>在高分化组低表达，低分化组中高表达，两组间比较</w:t>
      </w:r>
    </w:p>
    <w:p w:rsidR="0018722C">
      <w:pPr>
        <w:pStyle w:val="aff0"/>
        <w:topLinePunct/>
      </w:pPr>
      <w:r>
        <w:t>P=0.087</w:t>
      </w:r>
      <w:r>
        <w:t xml:space="preserve">. </w:t>
      </w:r>
      <w:r>
        <w:t>COX-2</w:t>
      </w:r>
      <w:r w:rsidR="001852F3">
        <w:t xml:space="preserve">蛋白在高分化组高表达，低分化组低表达，两两比较</w:t>
      </w:r>
    </w:p>
    <w:p w:rsidR="0018722C">
      <w:pPr>
        <w:pStyle w:val="aff0"/>
        <w:topLinePunct/>
      </w:pPr>
      <w:r>
        <w:t>P=0.003</w:t>
      </w:r>
      <w:r>
        <w:t xml:space="preserve">; </w:t>
      </w:r>
      <w:r>
        <w:t>EP</w:t>
      </w:r>
      <w:r>
        <w:t>1</w:t>
      </w:r>
      <w:r/>
      <w:r>
        <w:t>蛋白在高分化组低表达，低分化组高表达</w:t>
      </w:r>
      <w:r>
        <w:rPr>
          <w:rFonts w:hint="eastAsia"/>
        </w:rPr>
        <w:t>，</w:t>
      </w:r>
      <w:r w:rsidR="001852F3">
        <w:t>两两比较</w:t>
      </w:r>
    </w:p>
    <w:p w:rsidR="0018722C">
      <w:pPr>
        <w:pStyle w:val="aff0"/>
        <w:topLinePunct/>
      </w:pPr>
      <w:r>
        <w:t>P=0.001</w:t>
      </w:r>
      <w:r>
        <w:t>.</w:t>
      </w:r>
    </w:p>
    <w:p w:rsidR="0018722C">
      <w:pPr>
        <w:pStyle w:val="aff0"/>
        <w:topLinePunct/>
      </w:pPr>
      <w:r>
        <w:t>2.单因素分析表明：AFP&gt;</w:t>
      </w:r>
      <w:r w:rsidR="004B696B">
        <w:t xml:space="preserve"> </w:t>
      </w:r>
      <w:r w:rsidR="004B696B">
        <w:t>400</w:t>
      </w:r>
      <w:r w:rsidRPr="00000000">
        <w:tab/>
        <w:t>ng</w:t>
      </w:r>
      <w:r>
        <w:t>/</w:t>
      </w:r>
      <w:r>
        <w:t>mL、不完整的包膜、肿瘤直径≥5</w:t>
      </w:r>
    </w:p>
    <w:p w:rsidR="0018722C">
      <w:pPr>
        <w:pStyle w:val="aff0"/>
        <w:topLinePunct/>
      </w:pPr>
      <w:r>
        <w:t>cm、Edmondson</w:t>
      </w:r>
      <w:r w:rsidRPr="00000000">
        <w:tab/>
        <w:t>gradeIII–IV</w:t>
      </w:r>
      <w:r/>
      <w:r>
        <w:t>以及</w:t>
      </w:r>
      <w:r/>
      <w:r>
        <w:t>EP</w:t>
      </w:r>
      <w:r>
        <w:t>1</w:t>
      </w:r>
      <w:r/>
      <w:r>
        <w:t>的高表达是影响患者累积生存时间</w:t>
      </w:r>
    </w:p>
    <w:p w:rsidR="0018722C">
      <w:pPr>
        <w:pStyle w:val="aff0"/>
        <w:topLinePunct/>
      </w:pPr>
      <w:r>
        <w:rPr>
          <w:rFonts w:cstheme="minorBidi" w:hAnsiTheme="minorHAnsi" w:eastAsiaTheme="minorHAnsi" w:asciiTheme="minorHAnsi"/>
        </w:rPr>
        <w:t>1</w:t>
      </w:r>
    </w:p>
    <w:p w:rsidR="0018722C">
      <w:spacing w:beforeLines="0" w:before="0" w:afterLines="0" w:after="0" w:line="440" w:lineRule="auto"/>
      <w:pPr>
        <w:pStyle w:val="aff0"/>
        <w:sectPr w:rsidR="00556256">
          <w:headerReference w:type="even" r:id="rId41"/>
          <w:headerReference w:type="default" r:id="rId37"/>
          <w:footerReference w:type="even" r:id="rId35"/>
          <w:footerReference w:type="default" r:id="rId34"/>
          <w:headerReference w:type="first" r:id="rId32"/>
          <w:footerReference w:type="first" r:id="rId39"/>
          <w:pgSz w:w="11906" w:h="16838" w:code="9"/>
          <w:pgMar w:top="1418" w:right="1134" w:bottom="1134" w:left="1418" w:header="851" w:footer="907" w:gutter="0"/>
          <w:pgNumType w:start="1"/>
          <w:cols w:space="720"/>
          <w:titlePg/>
          <w:docGrid w:type="lines" w:linePitch="326"/>
        </w:sectPr>
        <w:topLinePunct/>
      </w:pP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aff0"/>
        <w:topLinePunct/>
      </w:pPr>
      <w:r>
        <w:t>的因素。多因素分析表明：AFP&gt;</w:t>
      </w:r>
      <w:r w:rsidR="004B696B">
        <w:t xml:space="preserve"> </w:t>
      </w:r>
      <w:r w:rsidR="004B696B">
        <w:t>400</w:t>
      </w:r>
      <w:r>
        <w:t> </w:t>
      </w:r>
      <w:r>
        <w:t>ng</w:t>
      </w:r>
      <w:r>
        <w:t>/</w:t>
      </w:r>
      <w:r>
        <w:t>mL、肿瘤直径≥5</w:t>
      </w:r>
      <w:r>
        <w:t> </w:t>
      </w:r>
      <w:r>
        <w:t>cm</w:t>
      </w:r>
      <w:r/>
      <w:r w:rsidR="001852F3">
        <w:t xml:space="preserve">以及</w:t>
      </w:r>
      <w:r>
        <w:t>EP</w:t>
      </w:r>
      <w:r>
        <w:t>1</w:t>
      </w:r>
      <w:r/>
      <w:r>
        <w:t>的高表达是影响患者总生存的独立危险因素。单因素分析表明</w:t>
      </w:r>
      <w:r>
        <w:t>：AFP&gt;</w:t>
      </w:r>
      <w:r w:rsidR="004B696B">
        <w:t xml:space="preserve"> </w:t>
      </w:r>
      <w:r w:rsidR="004B696B">
        <w:t>40n0g</w:t>
      </w:r>
      <w:r>
        <w:t>/</w:t>
      </w:r>
      <w:r>
        <w:t xml:space="preserve">mL，</w:t>
      </w:r>
      <w:r>
        <w:t>不完整的包膜，肿瘤直径≥5</w:t>
      </w:r>
      <w:r>
        <w:t> </w:t>
      </w:r>
      <w:r>
        <w:t>cm</w:t>
      </w:r>
      <w:r>
        <w:t xml:space="preserve">, </w:t>
      </w:r>
      <w:r>
        <w:t>COX-2</w:t>
      </w:r>
      <w:r/>
      <w:r w:rsidR="001852F3">
        <w:t xml:space="preserve">的高表达是影响患者无瘤生存的因素。多因素分析表明：不完整的包膜，肿瘤直径≥5</w:t>
      </w:r>
      <w:r>
        <w:t> </w:t>
      </w:r>
      <w:r>
        <w:t>cm</w:t>
      </w:r>
      <w:r>
        <w:t xml:space="preserve">, </w:t>
      </w:r>
      <w:r>
        <w:t>COX-2</w:t>
      </w:r>
      <w:r/>
      <w:r w:rsidR="001852F3">
        <w:t xml:space="preserve">的高表达是影响患者无瘤生存的独立危险因素。</w:t>
      </w:r>
    </w:p>
    <w:p w:rsidR="0018722C">
      <w:pPr>
        <w:pStyle w:val="affd"/>
        <w:topLinePunct/>
      </w:pPr>
      <w:bookmarkStart w:id="227981" w:name="_Toc686227981"/>
      <w:r>
        <w:t>结</w:t>
      </w:r>
      <w:r w:rsidR="004F241D">
        <w:t xml:space="preserve">  </w:t>
      </w:r>
      <w:r w:rsidR="004F241D">
        <w:t xml:space="preserve">论</w:t>
      </w:r>
      <w:bookmarkEnd w:id="227981"/>
    </w:p>
    <w:p w:rsidR="0018722C">
      <w:pPr>
        <w:pStyle w:val="cw18"/>
        <w:numPr>
          <w:ilvl w:val="0"/>
          <w:numId w:val="0"/>
        </w:numPr>
        <w:topLinePunct/>
      </w:pPr>
      <w:r>
        <w:t>1. </w:t>
      </w:r>
      <w:r>
        <w:t>COX-2</w:t>
      </w:r>
      <w:r/>
      <w:r>
        <w:rPr>
          <w:rFonts w:ascii="宋体" w:eastAsia="宋体" w:hint="eastAsia"/>
        </w:rPr>
        <w:t>在高分化组高表达，低分化组低表达。</w:t>
      </w:r>
      <w:r>
        <w:t>EP</w:t>
      </w:r>
      <w:r>
        <w:t>1</w:t>
      </w:r>
      <w:r/>
      <w:r>
        <w:rPr>
          <w:rFonts w:ascii="宋体" w:eastAsia="宋体" w:hint="eastAsia"/>
        </w:rPr>
        <w:t>在高分化组低表达，</w:t>
      </w:r>
      <w:r w:rsidR="001852F3">
        <w:rPr>
          <w:rFonts w:ascii="宋体" w:eastAsia="宋体" w:hint="eastAsia"/>
        </w:rPr>
        <w:t xml:space="preserve">低分化组高表达。</w:t>
      </w:r>
    </w:p>
    <w:p w:rsidR="0018722C">
      <w:pPr>
        <w:pStyle w:val="cw18"/>
        <w:numPr>
          <w:ilvl w:val="0"/>
          <w:numId w:val="0"/>
        </w:numPr>
        <w:topLinePunct/>
      </w:pPr>
      <w:r>
        <w:t>2. </w:t>
      </w:r>
      <w:r>
        <w:t>EP</w:t>
      </w:r>
      <w:r>
        <w:t>1</w:t>
      </w:r>
      <w:r/>
      <w:r>
        <w:rPr>
          <w:rFonts w:ascii="宋体" w:eastAsia="宋体" w:hint="eastAsia"/>
        </w:rPr>
        <w:t>低表达组患者</w:t>
      </w:r>
      <w:r>
        <w:t>OS</w:t>
      </w:r>
      <w:r/>
      <w:r>
        <w:rPr>
          <w:rFonts w:ascii="宋体" w:eastAsia="宋体" w:hint="eastAsia"/>
        </w:rPr>
        <w:t>明显优于</w:t>
      </w:r>
      <w:r>
        <w:t>EP</w:t>
      </w:r>
      <w:r>
        <w:t>1</w:t>
      </w:r>
      <w:r/>
      <w:r>
        <w:rPr>
          <w:rFonts w:ascii="宋体" w:eastAsia="宋体" w:hint="eastAsia"/>
        </w:rPr>
        <w:t>高表达组，</w:t>
      </w:r>
      <w:r>
        <w:t>COX-2</w:t>
      </w:r>
      <w:r/>
      <w:r>
        <w:rPr>
          <w:rFonts w:ascii="宋体" w:eastAsia="宋体" w:hint="eastAsia"/>
        </w:rPr>
        <w:t>低表达组患者</w:t>
      </w:r>
    </w:p>
    <w:p w:rsidR="0018722C">
      <w:pPr>
        <w:pStyle w:val="aff0"/>
        <w:topLinePunct/>
      </w:pPr>
      <w:r>
        <w:rPr>
          <w:rFonts w:ascii="Times New Roman" w:eastAsia="Times New Roman"/>
        </w:rPr>
        <w:t>DFS</w:t>
      </w:r>
      <w:r>
        <w:t>明显优于</w:t>
      </w:r>
      <w:r>
        <w:rPr>
          <w:rFonts w:ascii="Times New Roman" w:eastAsia="Times New Roman"/>
        </w:rPr>
        <w:t>COX-2</w:t>
      </w:r>
      <w:r>
        <w:t>高表达组。</w:t>
      </w:r>
    </w:p>
    <w:p w:rsidR="0018722C">
      <w:pPr>
        <w:pStyle w:val="aff"/>
        <w:topLinePunct/>
      </w:pPr>
      <w:r>
        <w:rPr>
          <w:rStyle w:val="afe"/>
          <w:rFonts w:ascii="Times New Roman" w:eastAsia="黑体" w:hint="eastAsia"/>
          <w:b/>
        </w:rPr>
        <w:t>关键词：</w:t>
      </w:r>
      <w:r>
        <w:rPr>
          <w:rFonts w:ascii="Times New Roman" w:eastAsia="Times New Roman"/>
        </w:rPr>
        <w:t>HCC</w:t>
      </w:r>
      <w:r/>
      <w:r>
        <w:t xml:space="preserve">； </w:t>
      </w:r>
      <w:r>
        <w:t>预后</w:t>
      </w:r>
      <w:r>
        <w:t xml:space="preserve">； </w:t>
      </w:r>
      <w:r>
        <w:t>分化等级</w:t>
      </w:r>
      <w:r>
        <w:t xml:space="preserve">； </w:t>
      </w:r>
      <w:r/>
      <w:r>
        <w:rPr>
          <w:rFonts w:ascii="Times New Roman" w:eastAsia="Times New Roman"/>
        </w:rPr>
        <w:t>COX-2</w:t>
      </w:r>
      <w:r/>
      <w:r>
        <w:t xml:space="preserve">； </w:t>
      </w:r>
      <w:r/>
      <w:r>
        <w:rPr>
          <w:rFonts w:ascii="Times New Roman" w:eastAsia="Times New Roman"/>
        </w:rPr>
        <w:t>EP</w:t>
      </w:r>
      <w:r>
        <w:rPr>
          <w:rFonts w:ascii="Times New Roman" w:eastAsia="Times New Roman"/>
        </w:rPr>
        <w:t>1</w:t>
      </w:r>
    </w:p>
    <w:p w:rsidR="0018722C">
      <w:pPr>
        <w:topLinePunct/>
      </w:pPr>
      <w:r>
        <w:rPr>
          <w:rFonts w:cstheme="minorBidi" w:hAnsiTheme="minorHAnsi" w:eastAsiaTheme="minorHAnsi" w:asciiTheme="minorHAnsi"/>
        </w:rPr>
        <w:t>2</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topLinePunct/>
      </w:pPr>
      <w:r>
        <w:rPr>
          <w:rFonts w:cstheme="minorBidi" w:hAnsiTheme="minorHAnsi" w:eastAsiaTheme="minorHAnsi" w:asciiTheme="minorHAnsi"/>
          <w:b/>
        </w:rPr>
        <w:t>EXPRESSION AND SIGNIFICANCE OF COX-2 AND EP</w:t>
      </w:r>
      <w:r>
        <w:rPr>
          <w:rFonts w:cstheme="minorBidi" w:hAnsiTheme="minorHAnsi" w:eastAsiaTheme="minorHAnsi" w:asciiTheme="minorHAnsi"/>
          <w:b/>
        </w:rPr>
        <w:t>1 </w:t>
      </w:r>
      <w:r>
        <w:rPr>
          <w:rFonts w:cstheme="minorBidi" w:hAnsiTheme="minorHAnsi" w:eastAsiaTheme="minorHAnsi" w:asciiTheme="minorHAnsi"/>
          <w:b/>
        </w:rPr>
        <w:t>IN HEPATOCELLULAR CARCINOMA</w:t>
      </w:r>
    </w:p>
    <w:p w:rsidR="0018722C">
      <w:pPr>
        <w:pStyle w:val="afff2"/>
        <w:topLinePunct/>
      </w:pPr>
      <w:bookmarkStart w:id="227982" w:name="_Toc686227982"/>
      <w:r>
        <w:t>Abstract</w:t>
      </w:r>
      <w:bookmarkEnd w:id="227982"/>
    </w:p>
    <w:p w:rsidR="0018722C">
      <w:pPr>
        <w:pStyle w:val="afc"/>
        <w:topLinePunct/>
      </w:pPr>
      <w:r>
        <w:rPr>
          <w:rFonts w:ascii="Times New Roman"/>
          <w:b/>
        </w:rPr>
        <w:t>Objective </w:t>
      </w:r>
      <w:r>
        <w:rPr>
          <w:rFonts w:ascii="Times New Roman"/>
        </w:rPr>
        <w:t>To detect the expression of EP</w:t>
      </w:r>
      <w:r>
        <w:rPr>
          <w:rFonts w:ascii="Times New Roman"/>
        </w:rPr>
        <w:t>1 </w:t>
      </w:r>
      <w:r>
        <w:rPr>
          <w:rFonts w:ascii="Times New Roman"/>
        </w:rPr>
        <w:t>and COX-2 in HCC and adjacent tissues and explore the correlation between EP</w:t>
      </w:r>
      <w:r>
        <w:rPr>
          <w:rFonts w:ascii="Times New Roman"/>
        </w:rPr>
        <w:t>1 </w:t>
      </w:r>
      <w:r>
        <w:rPr>
          <w:rFonts w:ascii="Times New Roman"/>
        </w:rPr>
        <w:t>and COX-2 and the prognosis of HCC, to provide a new index for judging the prognosis of patients with HCC.</w:t>
      </w:r>
    </w:p>
    <w:p w:rsidR="0018722C">
      <w:pPr>
        <w:pStyle w:val="afc"/>
        <w:topLinePunct/>
      </w:pPr>
      <w:r>
        <w:rPr>
          <w:rFonts w:ascii="Times New Roman"/>
          <w:b/>
        </w:rPr>
        <w:t xml:space="preserve">Methods </w:t>
      </w:r>
      <w:r>
        <w:rPr>
          <w:rFonts w:ascii="Times New Roman"/>
        </w:rPr>
        <w:t xml:space="preserve">1. In 2013,</w:t>
      </w:r>
      <w:r w:rsidR="004B696B">
        <w:rPr>
          <w:rFonts w:ascii="Times New Roman"/>
        </w:rPr>
        <w:t xml:space="preserve"> </w:t>
      </w:r>
      <w:r w:rsidR="004B696B">
        <w:rPr>
          <w:rFonts w:ascii="Times New Roman"/>
        </w:rPr>
        <w:t xml:space="preserve">we collect 48 cases of fresh specimens with radical hepatic resection of HCC patients in the Affiliated Tumor Hospital of Guangxi Medical University.</w:t>
      </w:r>
      <w:r w:rsidR="004B696B">
        <w:rPr>
          <w:rFonts w:ascii="Times New Roman"/>
        </w:rPr>
        <w:t xml:space="preserve"> </w:t>
      </w:r>
      <w:r w:rsidR="004B696B">
        <w:rPr>
          <w:rFonts w:ascii="Times New Roman"/>
        </w:rPr>
        <w:t xml:space="preserve">By polymerase chain reaction </w:t>
      </w:r>
      <w:r>
        <w:rPr>
          <w:rFonts w:ascii="Times New Roman"/>
        </w:rPr>
        <w:t xml:space="preserve">(</w:t>
      </w:r>
      <w:r>
        <w:rPr>
          <w:rFonts w:ascii="Times New Roman"/>
        </w:rPr>
        <w:t xml:space="preserve">polymerase chain reaction </w:t>
      </w:r>
      <w:r>
        <w:rPr>
          <w:rFonts w:ascii="Times New Roman"/>
        </w:rPr>
        <w:t xml:space="preserve">(</w:t>
      </w:r>
      <w:r>
        <w:rPr>
          <w:rFonts w:ascii="Times New Roman"/>
        </w:rPr>
        <w:t xml:space="preserve">PCR</w:t>
      </w:r>
      <w:r>
        <w:rPr>
          <w:rFonts w:ascii="Times New Roman"/>
        </w:rPr>
        <w:t xml:space="preserve">)</w:t>
      </w:r>
      <w:r>
        <w:rPr>
          <w:rFonts w:ascii="Times New Roman"/>
        </w:rPr>
        <w:t xml:space="preserve"> and WB </w:t>
      </w:r>
      <w:r>
        <w:rPr>
          <w:rFonts w:ascii="Times New Roman"/>
        </w:rPr>
        <w:t xml:space="preserve">(</w:t>
      </w:r>
      <w:r>
        <w:rPr>
          <w:rFonts w:ascii="Times New Roman"/>
        </w:rPr>
        <w:t xml:space="preserve">WB, WB</w:t>
      </w:r>
      <w:r>
        <w:rPr>
          <w:rFonts w:ascii="Times New Roman"/>
        </w:rPr>
        <w:t xml:space="preserve">)</w:t>
      </w:r>
      <w:r>
        <w:rPr>
          <w:rFonts w:ascii="Times New Roman"/>
        </w:rPr>
        <w:t xml:space="preserve"> method,</w:t>
      </w:r>
      <w:r w:rsidR="004B696B">
        <w:rPr>
          <w:rFonts w:ascii="Times New Roman"/>
        </w:rPr>
        <w:t xml:space="preserve"> </w:t>
      </w:r>
      <w:r w:rsidR="004B696B">
        <w:rPr>
          <w:rFonts w:ascii="Times New Roman"/>
        </w:rPr>
        <w:t xml:space="preserve">we detect the expression of COX-2 and EP1 in high differentiation and low differentiation HCC group.</w:t>
      </w:r>
    </w:p>
    <w:p w:rsidR="0018722C">
      <w:pPr>
        <w:pStyle w:val="afc"/>
        <w:topLinePunct/>
      </w:pPr>
      <w:r>
        <w:rPr>
          <w:rFonts w:ascii="Times New Roman"/>
        </w:rPr>
        <w:t xml:space="preserve">2. In 2008-2011,</w:t>
      </w:r>
      <w:r w:rsidR="004B696B">
        <w:rPr>
          <w:rFonts w:ascii="Times New Roman"/>
        </w:rPr>
        <w:t xml:space="preserve"> </w:t>
      </w:r>
      <w:r w:rsidR="004B696B">
        <w:rPr>
          <w:rFonts w:ascii="Times New Roman"/>
        </w:rPr>
        <w:t xml:space="preserve">we collect 116 cases of paraffin embedded specimens with radical hepatic resection of HCC patients in the Affiliated Tumor Hospital of Guangxi Medical University. According to IHC score, COX- 2 or EP</w:t>
      </w:r>
      <w:r>
        <w:rPr>
          <w:rFonts w:ascii="Times New Roman"/>
        </w:rPr>
        <w:t xml:space="preserve">1 </w:t>
      </w:r>
      <w:r>
        <w:rPr>
          <w:rFonts w:ascii="Times New Roman"/>
        </w:rPr>
        <w:t xml:space="preserve">were divided into two groups.</w:t>
      </w:r>
      <w:r w:rsidR="004B696B">
        <w:rPr>
          <w:rFonts w:ascii="Times New Roman"/>
        </w:rPr>
        <w:t xml:space="preserve"> </w:t>
      </w:r>
      <w:r w:rsidR="004B696B">
        <w:rPr>
          <w:rFonts w:ascii="Times New Roman"/>
        </w:rPr>
        <w:t xml:space="preserve">We compared the difference of free survival and </w:t>
      </w:r>
      <w:r>
        <w:rPr>
          <w:rFonts w:ascii="Times New Roman"/>
        </w:rPr>
        <w:t xml:space="preserve">(</w:t>
      </w:r>
      <w:r>
        <w:rPr>
          <w:rFonts w:ascii="Times New Roman"/>
        </w:rPr>
        <w:t xml:space="preserve">DFS</w:t>
      </w:r>
      <w:r>
        <w:rPr>
          <w:rFonts w:ascii="Times New Roman"/>
        </w:rPr>
        <w:t xml:space="preserve">)</w:t>
      </w:r>
      <w:r>
        <w:rPr>
          <w:rFonts w:ascii="Times New Roman"/>
        </w:rPr>
        <w:t xml:space="preserve"> and Overall </w:t>
      </w:r>
      <w:r>
        <w:rPr>
          <w:rFonts w:ascii="Times New Roman"/>
        </w:rPr>
        <w:t xml:space="preserve">(</w:t>
      </w:r>
      <w:r>
        <w:rPr>
          <w:rFonts w:ascii="Times New Roman"/>
        </w:rPr>
        <w:t xml:space="preserve">survival OS, Disease</w:t>
      </w:r>
      <w:r>
        <w:rPr>
          <w:rFonts w:ascii="Times New Roman"/>
        </w:rPr>
        <w:t xml:space="preserve">)</w:t>
      </w:r>
      <w:r>
        <w:rPr>
          <w:rFonts w:ascii="Times New Roman"/>
        </w:rPr>
        <w:t xml:space="preserve"> in patients with low or high COX-2 or EP1</w:t>
      </w:r>
      <w:r>
        <w:rPr>
          <w:rFonts w:ascii="Times New Roman"/>
        </w:rPr>
        <w:t xml:space="preserve"> </w:t>
      </w:r>
      <w:r>
        <w:rPr>
          <w:rFonts w:ascii="Times New Roman"/>
        </w:rPr>
        <w:t xml:space="preserve">group.</w:t>
      </w:r>
    </w:p>
    <w:p w:rsidR="0018722C">
      <w:pPr>
        <w:pStyle w:val="afc"/>
        <w:topLinePunct/>
      </w:pPr>
      <w:r>
        <w:rPr>
          <w:rFonts w:ascii="Times New Roman"/>
          <w:b/>
        </w:rPr>
        <w:t xml:space="preserve">Result </w:t>
      </w:r>
      <w:r>
        <w:rPr>
          <w:rFonts w:ascii="Times New Roman"/>
        </w:rPr>
        <w:t xml:space="preserve">1. COX-2 mRNA is highly expressed in high differentiation group, while it is lowly expressed in low differentiation group </w:t>
      </w:r>
      <w:r>
        <w:rPr>
          <w:rFonts w:ascii="Times New Roman"/>
        </w:rPr>
        <w:t xml:space="preserve">(</w:t>
      </w:r>
      <w:r>
        <w:rPr>
          <w:rFonts w:ascii="Times New Roman"/>
        </w:rPr>
        <w:t xml:space="preserve">P=0.051</w:t>
      </w:r>
      <w:r>
        <w:rPr>
          <w:rFonts w:ascii="Times New Roman"/>
        </w:rPr>
        <w:t xml:space="preserve">)</w:t>
      </w:r>
      <w:r>
        <w:rPr>
          <w:rFonts w:ascii="Times New Roman"/>
        </w:rPr>
        <w:t xml:space="preserve">. EP</w:t>
      </w:r>
      <w:r>
        <w:rPr>
          <w:rFonts w:ascii="Times New Roman"/>
        </w:rPr>
        <w:t xml:space="preserve">1</w:t>
      </w:r>
      <w:r>
        <w:rPr>
          <w:rFonts w:ascii="Times New Roman"/>
        </w:rPr>
        <w:t xml:space="preserve">mRNA is highly expressed in low differentiation group, while it is lowly expressed in high</w:t>
      </w:r>
    </w:p>
    <w:p w:rsidR="0018722C">
      <w:pPr>
        <w:pStyle w:val="afc"/>
        <w:topLinePunct/>
      </w:pPr>
      <w:r>
        <w:rPr>
          <w:rFonts w:cstheme="minorBidi" w:hAnsiTheme="minorHAnsi" w:eastAsiaTheme="minorHAnsi" w:asciiTheme="minorHAnsi"/>
        </w:rPr>
        <w:t>3</w:t>
      </w:r>
    </w:p>
    <w:p w:rsidR="0018722C">
      <w:spacing w:beforeLines="0" w:before="0" w:afterLines="0" w:after="0" w:line="440" w:lineRule="auto"/>
      <w:pPr>
        <w:pStyle w:val="afc"/>
        <w:sectPr w:rsidR="00556256">
          <w:pgSz w:w="11906" w:h="16838" w:code="9"/>
          <w:pgMar w:top="1418" w:right="1134" w:bottom="1134" w:left="1418" w:header="851" w:footer="907" w:gutter="0"/>
          <w:pgNumType w:start="1"/>
        </w:sectPr>
        <w:topLinePunct/>
      </w:pP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afc"/>
        <w:topLinePunct/>
      </w:pPr>
      <w:r>
        <w:rPr>
          <w:rFonts w:ascii="Times New Roman"/>
        </w:rPr>
        <w:t/>
      </w:r>
      <w:r>
        <w:rPr>
          <w:rFonts w:ascii="Times New Roman"/>
        </w:rPr>
        <w:t>D</w:t>
      </w:r>
      <w:r>
        <w:rPr>
          <w:rFonts w:ascii="Times New Roman"/>
        </w:rPr>
        <w:t>ifferentiation group</w:t>
      </w:r>
      <w:r>
        <w:rPr>
          <w:rFonts w:ascii="Times New Roman"/>
        </w:rPr>
        <w:t xml:space="preserve">(</w:t>
      </w:r>
      <w:r>
        <w:rPr>
          <w:rFonts w:ascii="Times New Roman"/>
        </w:rPr>
        <w:t xml:space="preserve"> P=0.087</w:t>
      </w:r>
      <w:r>
        <w:rPr>
          <w:rFonts w:ascii="Times New Roman"/>
        </w:rPr>
        <w:t xml:space="preserve">)</w:t>
      </w:r>
      <w:r>
        <w:rPr>
          <w:rFonts w:ascii="Times New Roman"/>
        </w:rPr>
        <w:t xml:space="preserve">. COX-2 protein is highly expressed in high differentiation group, while it is lowly expressed in low differentiation group </w:t>
      </w:r>
      <w:r>
        <w:rPr>
          <w:rFonts w:ascii="Times New Roman"/>
        </w:rPr>
        <w:t xml:space="preserve">(</w:t>
      </w:r>
      <w:r>
        <w:rPr>
          <w:rFonts w:ascii="Times New Roman"/>
        </w:rPr>
        <w:t xml:space="preserve">P=0.003</w:t>
      </w:r>
      <w:r>
        <w:rPr>
          <w:rFonts w:ascii="Times New Roman"/>
        </w:rPr>
        <w:t xml:space="preserve">)</w:t>
      </w:r>
      <w:r>
        <w:rPr>
          <w:rFonts w:ascii="Times New Roman"/>
        </w:rPr>
        <w:t xml:space="preserve">. EP</w:t>
      </w:r>
      <w:r>
        <w:rPr>
          <w:rFonts w:ascii="Times New Roman"/>
        </w:rPr>
        <w:t xml:space="preserve">1 </w:t>
      </w:r>
      <w:r>
        <w:rPr>
          <w:rFonts w:ascii="Times New Roman"/>
        </w:rPr>
        <w:t xml:space="preserve">protein is highly expressed in low differentiation group, while it is lowly expressed in high differentiation group</w:t>
      </w:r>
      <w:r>
        <w:rPr>
          <w:rFonts w:ascii="Times New Roman"/>
        </w:rPr>
        <w:t xml:space="preserve">(</w:t>
      </w:r>
      <w:r>
        <w:rPr>
          <w:rFonts w:ascii="Times New Roman"/>
        </w:rPr>
        <w:t xml:space="preserve"> P=0.001</w:t>
      </w:r>
      <w:r>
        <w:rPr>
          <w:rFonts w:ascii="Times New Roman"/>
        </w:rPr>
        <w:t xml:space="preserve">)</w:t>
      </w:r>
    </w:p>
    <w:p w:rsidR="0018722C">
      <w:pPr>
        <w:pStyle w:val="afc"/>
        <w:topLinePunct/>
      </w:pPr>
      <w:r>
        <w:rPr>
          <w:rFonts w:ascii="Times New Roman" w:hAnsi="Times New Roman"/>
        </w:rPr>
        <w:t>2. Univariate analysis showed that the AFP&gt;</w:t>
      </w:r>
      <w:r w:rsidR="004B696B">
        <w:rPr>
          <w:rFonts w:ascii="Times New Roman" w:hAnsi="Times New Roman"/>
        </w:rPr>
        <w:t xml:space="preserve"> </w:t>
      </w:r>
      <w:r w:rsidR="004B696B">
        <w:rPr>
          <w:rFonts w:ascii="Times New Roman" w:hAnsi="Times New Roman"/>
        </w:rPr>
        <w:t>400ng</w:t>
      </w:r>
      <w:r>
        <w:rPr>
          <w:rFonts w:ascii="Times New Roman" w:hAnsi="Times New Roman"/>
        </w:rPr>
        <w:t>/</w:t>
      </w:r>
      <w:r>
        <w:rPr>
          <w:rFonts w:ascii="Times New Roman" w:hAnsi="Times New Roman"/>
        </w:rPr>
        <w:t>mL,</w:t>
      </w:r>
      <w:r w:rsidR="004B696B">
        <w:rPr>
          <w:rFonts w:ascii="Times New Roman" w:hAnsi="Times New Roman"/>
        </w:rPr>
        <w:t xml:space="preserve"> </w:t>
      </w:r>
      <w:r w:rsidR="004B696B">
        <w:rPr>
          <w:rFonts w:ascii="Times New Roman" w:hAnsi="Times New Roman"/>
        </w:rPr>
        <w:t>incomplete capsule,</w:t>
      </w:r>
      <w:r w:rsidR="004B696B">
        <w:rPr>
          <w:rFonts w:ascii="Times New Roman" w:hAnsi="Times New Roman"/>
        </w:rPr>
        <w:t xml:space="preserve"> </w:t>
      </w:r>
      <w:r w:rsidR="004B696B">
        <w:rPr>
          <w:rFonts w:ascii="Times New Roman" w:hAnsi="Times New Roman"/>
        </w:rPr>
        <w:t>tumor diameter greater than or equal to 5 cm,</w:t>
      </w:r>
      <w:r w:rsidR="004B696B">
        <w:rPr>
          <w:rFonts w:ascii="Times New Roman" w:hAnsi="Times New Roman"/>
        </w:rPr>
        <w:t xml:space="preserve"> </w:t>
      </w:r>
      <w:r w:rsidR="004B696B">
        <w:rPr>
          <w:rFonts w:ascii="Times New Roman" w:hAnsi="Times New Roman"/>
        </w:rPr>
        <w:t>Edmondson gradeIII</w:t>
      </w:r>
      <w:r w:rsidR="001852F3">
        <w:rPr>
          <w:rFonts w:ascii="Times New Roman" w:hAnsi="Times New Roman"/>
        </w:rPr>
        <w:t xml:space="preserve">–</w:t>
      </w:r>
      <w:r w:rsidR="001852F3">
        <w:rPr>
          <w:rFonts w:ascii="Times New Roman" w:hAnsi="Times New Roman"/>
        </w:rPr>
        <w:t xml:space="preserve">IV and EP1 expression affected overall survival. Multivariate analysis indicated</w:t>
      </w:r>
      <w:r w:rsidR="001852F3">
        <w:rPr>
          <w:rFonts w:ascii="Times New Roman" w:hAnsi="Times New Roman"/>
        </w:rPr>
        <w:t xml:space="preserve"> that AFP&gt;</w:t>
      </w:r>
      <w:r w:rsidR="004B696B">
        <w:rPr>
          <w:rFonts w:ascii="Times New Roman" w:hAnsi="Times New Roman"/>
        </w:rPr>
        <w:t xml:space="preserve"> </w:t>
      </w:r>
      <w:r w:rsidR="004B696B">
        <w:rPr>
          <w:rFonts w:ascii="Times New Roman" w:hAnsi="Times New Roman"/>
        </w:rPr>
        <w:t xml:space="preserve">400ng</w:t>
      </w:r>
      <w:r>
        <w:rPr>
          <w:rFonts w:ascii="Times New Roman" w:hAnsi="Times New Roman"/>
        </w:rPr>
        <w:t>/</w:t>
      </w:r>
      <w:r>
        <w:rPr>
          <w:rFonts w:ascii="Times New Roman" w:hAnsi="Times New Roman"/>
        </w:rPr>
        <w:t>mL, tumor diameter greater than or equal to 5 cm and the high expression of EP</w:t>
      </w:r>
      <w:r>
        <w:rPr>
          <w:rFonts w:ascii="Times New Roman" w:hAnsi="Times New Roman"/>
        </w:rPr>
        <w:t>1 </w:t>
      </w:r>
      <w:r>
        <w:rPr>
          <w:rFonts w:ascii="Times New Roman" w:hAnsi="Times New Roman"/>
        </w:rPr>
        <w:t>is an independent risk factors of the overall survival. Univariate analysis showed that the AFP&gt;</w:t>
      </w:r>
      <w:r w:rsidR="004B696B">
        <w:rPr>
          <w:rFonts w:ascii="Times New Roman" w:hAnsi="Times New Roman"/>
        </w:rPr>
        <w:t xml:space="preserve"> </w:t>
      </w:r>
      <w:r w:rsidR="004B696B">
        <w:rPr>
          <w:rFonts w:ascii="Times New Roman" w:hAnsi="Times New Roman"/>
        </w:rPr>
        <w:t>400ng</w:t>
      </w:r>
      <w:r>
        <w:rPr>
          <w:rFonts w:ascii="Times New Roman" w:hAnsi="Times New Roman"/>
        </w:rPr>
        <w:t>/</w:t>
      </w:r>
      <w:r>
        <w:rPr>
          <w:rFonts w:ascii="Times New Roman" w:hAnsi="Times New Roman"/>
        </w:rPr>
        <w:t>mL, incomplete capsule, tumor diameter is equal to or more than 5 cm, the high expression of COX-2 affected DFS. Multivariate analysis indicated that incomplete capsule, tumor diameter is equal to or more than 5 cm, the high expression of COX-2 were independent</w:t>
      </w:r>
      <w:r w:rsidR="001852F3">
        <w:rPr>
          <w:rFonts w:ascii="Times New Roman" w:hAnsi="Times New Roman"/>
        </w:rPr>
        <w:t xml:space="preserve"> risk factors for</w:t>
      </w:r>
      <w:r>
        <w:rPr>
          <w:rFonts w:ascii="Times New Roman" w:hAnsi="Times New Roman"/>
        </w:rPr>
        <w:t> </w:t>
      </w:r>
      <w:r>
        <w:rPr>
          <w:rFonts w:ascii="Times New Roman" w:hAnsi="Times New Roman"/>
        </w:rPr>
        <w:t>DFS.</w:t>
      </w:r>
    </w:p>
    <w:p w:rsidR="0018722C">
      <w:pPr>
        <w:pStyle w:val="afc"/>
        <w:topLinePunct/>
      </w:pPr>
      <w:r>
        <w:rPr>
          <w:rFonts w:ascii="Times New Roman"/>
          <w:b/>
        </w:rPr>
        <w:t>Conclution </w:t>
      </w:r>
      <w:r>
        <w:rPr>
          <w:rFonts w:ascii="Times New Roman"/>
        </w:rPr>
        <w:t>1. The expression of COX-2 is high in highly differentiated HCC tissues and the expression of COX-2 is low in low differentiated HCC tissues. The expression of EP</w:t>
      </w:r>
      <w:r>
        <w:rPr>
          <w:rFonts w:ascii="Times New Roman"/>
        </w:rPr>
        <w:t>1 </w:t>
      </w:r>
      <w:r>
        <w:rPr>
          <w:rFonts w:ascii="Times New Roman"/>
        </w:rPr>
        <w:t>is high in low differentiated HCC tissues and the expression of EP</w:t>
      </w:r>
      <w:r>
        <w:rPr>
          <w:rFonts w:ascii="Times New Roman"/>
        </w:rPr>
        <w:t>1 </w:t>
      </w:r>
      <w:r>
        <w:rPr>
          <w:rFonts w:ascii="Times New Roman"/>
        </w:rPr>
        <w:t>is high in low differentiated HCC tissues.</w:t>
      </w:r>
    </w:p>
    <w:p w:rsidR="0018722C">
      <w:pPr>
        <w:pStyle w:val="afc"/>
        <w:topLinePunct/>
      </w:pPr>
      <w:r>
        <w:rPr>
          <w:rFonts w:ascii="Times New Roman"/>
        </w:rPr>
        <w:t>2. </w:t>
      </w:r>
      <w:r w:rsidR="001852F3">
        <w:rPr>
          <w:rFonts w:ascii="Times New Roman"/>
        </w:rPr>
        <w:t xml:space="preserve">OS</w:t>
      </w:r>
      <w:r w:rsidR="001852F3">
        <w:rPr>
          <w:rFonts w:ascii="Times New Roman"/>
        </w:rPr>
        <w:t xml:space="preserve"> is</w:t>
      </w:r>
      <w:r w:rsidR="001852F3">
        <w:rPr>
          <w:rFonts w:ascii="Times New Roman"/>
        </w:rPr>
        <w:t xml:space="preserve"> better</w:t>
      </w:r>
      <w:r w:rsidR="001852F3">
        <w:rPr>
          <w:rFonts w:ascii="Times New Roman"/>
        </w:rPr>
        <w:t xml:space="preserve"> in</w:t>
      </w:r>
      <w:r w:rsidR="001852F3">
        <w:rPr>
          <w:rFonts w:ascii="Times New Roman"/>
        </w:rPr>
        <w:t xml:space="preserve"> low</w:t>
      </w:r>
      <w:r w:rsidR="001852F3">
        <w:rPr>
          <w:rFonts w:ascii="Times New Roman"/>
        </w:rPr>
        <w:t xml:space="preserve"> expression</w:t>
      </w:r>
      <w:r w:rsidR="001852F3">
        <w:rPr>
          <w:rFonts w:ascii="Times New Roman"/>
        </w:rPr>
        <w:t xml:space="preserve"> group</w:t>
      </w:r>
      <w:r w:rsidR="001852F3">
        <w:rPr>
          <w:rFonts w:ascii="Times New Roman"/>
        </w:rPr>
        <w:t xml:space="preserve"> of</w:t>
      </w:r>
      <w:r w:rsidR="001852F3">
        <w:rPr>
          <w:rFonts w:ascii="Times New Roman"/>
        </w:rPr>
        <w:t xml:space="preserve"> EP</w:t>
      </w:r>
      <w:r>
        <w:rPr>
          <w:rFonts w:ascii="Times New Roman"/>
        </w:rPr>
        <w:t>1</w:t>
      </w:r>
      <w:r w:rsidR="001852F3">
        <w:rPr>
          <w:rFonts w:ascii="Times New Roman"/>
        </w:rPr>
        <w:t xml:space="preserve">  </w:t>
      </w:r>
      <w:r>
        <w:rPr>
          <w:rFonts w:ascii="Times New Roman"/>
        </w:rPr>
        <w:t>than</w:t>
      </w:r>
      <w:r w:rsidR="001852F3">
        <w:rPr>
          <w:rFonts w:ascii="Times New Roman"/>
        </w:rPr>
        <w:t xml:space="preserve"> in</w:t>
      </w:r>
      <w:r w:rsidR="001852F3">
        <w:rPr>
          <w:rFonts w:ascii="Times New Roman"/>
        </w:rPr>
        <w:t xml:space="preserve"> high</w:t>
      </w:r>
    </w:p>
    <w:p w:rsidR="0018722C">
      <w:pPr>
        <w:pStyle w:val="afc"/>
        <w:topLinePunct/>
      </w:pPr>
      <w:r>
        <w:rPr>
          <w:rFonts w:ascii="Times New Roman"/>
        </w:rPr>
        <w:t/>
      </w:r>
      <w:r>
        <w:rPr>
          <w:rFonts w:ascii="Times New Roman"/>
        </w:rPr>
        <w:t>E</w:t>
      </w:r>
      <w:r>
        <w:rPr>
          <w:rFonts w:ascii="Times New Roman"/>
        </w:rPr>
        <w:t>xpression group of EP</w:t>
      </w:r>
      <w:r>
        <w:rPr>
          <w:rFonts w:ascii="Times New Roman"/>
        </w:rPr>
        <w:t>1</w:t>
      </w:r>
      <w:r>
        <w:rPr>
          <w:rFonts w:ascii="Times New Roman"/>
        </w:rPr>
        <w:t>. DFS is better in low expression group of COX-2 than in high expression group of</w:t>
      </w:r>
      <w:r>
        <w:rPr>
          <w:rFonts w:ascii="Times New Roman"/>
        </w:rPr>
        <w:t xml:space="preserve"> </w:t>
      </w:r>
      <w:r>
        <w:rPr>
          <w:rFonts w:ascii="Times New Roman"/>
        </w:rPr>
        <w:t>COX-2.</w:t>
      </w:r>
    </w:p>
    <w:p w:rsidR="0018722C">
      <w:pPr>
        <w:pStyle w:val="aff"/>
        <w:topLinePunct/>
      </w:pPr>
      <w:r>
        <w:rPr>
          <w:rStyle w:val="afe"/>
          <w:rFonts w:ascii="Times New Roman" w:eastAsia="黑体"/>
          <w:b/>
        </w:rPr>
        <w:t/>
      </w:r>
      <w:r>
        <w:rPr>
          <w:rStyle w:val="afe"/>
          <w:rFonts w:ascii="Times New Roman" w:eastAsia="黑体"/>
          <w:b/>
        </w:rPr>
        <w:t xml:space="preserve">K</w:t>
      </w:r>
      <w:r>
        <w:rPr>
          <w:rStyle w:val="afe"/>
          <w:rFonts w:ascii="Times New Roman" w:eastAsia="黑体"/>
          <w:b/>
        </w:rPr>
        <w:t xml:space="preserve">ey words</w:t>
      </w:r>
      <w:rPr>
        <w:rFonts w:eastAsia="黑体" w:ascii="Times New Roman"/>
        <w:rStyle w:val="afe"/>
      </w:rPr>
      <w:r>
        <w:t xml:space="preserve">: </w:t>
      </w:r>
      <w:r>
        <w:rPr>
          <w:rFonts w:ascii="Times New Roman" w:eastAsia="宋体"/>
        </w:rPr>
        <w:t>H</w:t>
      </w:r>
      <w:r>
        <w:rPr>
          <w:rFonts w:ascii="Times New Roman" w:eastAsia="宋体"/>
        </w:rPr>
        <w:t>epatocellular carcinoma</w:t>
      </w:r>
      <w:r>
        <w:rPr>
          <w:rFonts w:ascii="Times New Roman" w:eastAsia="宋体"/>
        </w:rPr>
        <w:t xml:space="preserve">; </w:t>
      </w:r>
      <w:r>
        <w:rPr>
          <w:rFonts w:ascii="Times New Roman" w:eastAsia="宋体"/>
        </w:rPr>
        <w:t>P</w:t>
      </w:r>
      <w:r>
        <w:rPr>
          <w:rFonts w:ascii="Times New Roman" w:eastAsia="宋体"/>
        </w:rPr>
        <w:t>rognosis</w:t>
      </w:r>
      <w:r>
        <w:rPr>
          <w:rFonts w:ascii="Times New Roman" w:eastAsia="宋体"/>
        </w:rPr>
        <w:t xml:space="preserve">; </w:t>
      </w:r>
      <w:r>
        <w:rPr>
          <w:rFonts w:ascii="Times New Roman" w:eastAsia="宋体"/>
        </w:rPr>
        <w:t>D</w:t>
      </w:r>
      <w:r>
        <w:rPr>
          <w:rFonts w:ascii="Times New Roman" w:eastAsia="宋体"/>
        </w:rPr>
        <w:t>ifferentiation grade</w:t>
      </w:r>
      <w:r>
        <w:rPr>
          <w:rFonts w:ascii="Times New Roman" w:eastAsia="宋体"/>
        </w:rPr>
        <w:t xml:space="preserve">; </w:t>
      </w:r>
      <w:r>
        <w:rPr>
          <w:rFonts w:ascii="Times New Roman" w:eastAsia="宋体"/>
        </w:rPr>
        <w:t>COX-2</w:t>
      </w:r>
      <w:r>
        <w:rPr>
          <w:rFonts w:ascii="Times New Roman" w:eastAsia="宋体"/>
        </w:rPr>
        <w:t xml:space="preserve">; </w:t>
      </w:r>
    </w:p>
    <w:p w:rsidR="0018722C">
      <w:pPr>
        <w:topLinePunct/>
      </w:pPr>
      <w:r>
        <w:rPr>
          <w:rFonts w:cstheme="minorBidi" w:hAnsiTheme="minorHAnsi" w:eastAsiaTheme="minorHAnsi" w:asciiTheme="minorHAnsi"/>
        </w:rPr>
        <w:t>4</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affff1"/>
        <w:topLinePunct/>
      </w:pPr>
      <w:r>
        <w:rPr>
          <w:rFonts w:cstheme="minorBidi" w:hAnsiTheme="minorHAnsi" w:eastAsiaTheme="minorHAnsi" w:asciiTheme="minorHAnsi"/>
        </w:rPr>
        <w:t>EP</w:t>
      </w:r>
      <w:r>
        <w:rPr>
          <w:rFonts w:cstheme="minorBidi" w:hAnsiTheme="minorHAnsi" w:eastAsiaTheme="minorHAnsi" w:asciiTheme="minorHAnsi"/>
        </w:rPr>
        <w:t>1</w:t>
      </w:r>
    </w:p>
    <w:p w:rsidR="0018722C">
      <w:pPr>
        <w:pStyle w:val="aa"/>
        <w:topLinePunct/>
      </w:pPr>
      <w:bookmarkStart w:id="227983" w:name="_Toc686227983"/>
      <w:bookmarkStart w:name="前言 " w:id="8"/>
      <w:bookmarkEnd w:id="8"/>
      <w:r/>
      <w:bookmarkStart w:name="_bookmark1" w:id="9"/>
      <w:bookmarkEnd w:id="9"/>
      <w:r/>
      <w:r>
        <w:t>前</w:t>
      </w:r>
      <w:r w:rsidR="004F241D">
        <w:t xml:space="preserve">  </w:t>
      </w:r>
      <w:r w:rsidR="004F241D">
        <w:t xml:space="preserve">言</w:t>
      </w:r>
      <w:bookmarkEnd w:id="227983"/>
    </w:p>
    <w:p w:rsidR="0018722C">
      <w:pPr>
        <w:topLinePunct/>
      </w:pPr>
      <w:r>
        <w:t>肝细胞癌</w:t>
      </w:r>
      <w:r>
        <w:t>(</w:t>
      </w:r>
      <w:r>
        <w:t>Hepatocellular Carcinoma</w:t>
      </w:r>
      <w:r>
        <w:t xml:space="preserve">, </w:t>
      </w:r>
      <w:r>
        <w:t>HCC</w:t>
      </w:r>
      <w:r>
        <w:t>)</w:t>
      </w:r>
      <w:r>
        <w:t>是世界上最常见的恶性肿瘤之一。2012</w:t>
      </w:r>
      <w:r/>
      <w:r w:rsidR="001852F3">
        <w:t xml:space="preserve">年全球约有</w:t>
      </w:r>
      <w:r>
        <w:t>782500</w:t>
      </w:r>
      <w:r/>
      <w:r w:rsidR="001852F3">
        <w:t xml:space="preserve">的</w:t>
      </w:r>
      <w:r>
        <w:t>HCC</w:t>
      </w:r>
      <w:r/>
      <w:r w:rsidR="001852F3">
        <w:t xml:space="preserve">新发病例，约有</w:t>
      </w:r>
      <w:r>
        <w:t>745500</w:t>
      </w:r>
      <w:r/>
      <w:r w:rsidR="001852F3">
        <w:t xml:space="preserve">人死于此病，中国占到了死亡人数的一半</w:t>
      </w:r>
      <w:r>
        <w:rPr>
          <w:vertAlign w:val="superscript"/>
        </w:rPr>
        <w:t>[</w:t>
      </w:r>
      <w:r>
        <w:rPr>
          <w:color w:val="080000"/>
          <w:vertAlign w:val="superscript"/>
          <w:position w:val="8"/>
        </w:rPr>
        <w:t xml:space="preserve">1</w:t>
      </w:r>
      <w:r>
        <w:rPr>
          <w:vertAlign w:val="superscript"/>
        </w:rPr>
        <w:t>]</w:t>
      </w:r>
      <w:r>
        <w:t>。尽管</w:t>
      </w:r>
      <w:r>
        <w:t>HCC</w:t>
      </w:r>
      <w:r/>
      <w:r w:rsidR="001852F3">
        <w:t xml:space="preserve">的的临床诊断和早期管理取得了显著的进步，HCC</w:t>
      </w:r>
      <w:r/>
      <w:r w:rsidR="001852F3">
        <w:t xml:space="preserve">的预后依然很差，手术是目前治疗</w:t>
      </w:r>
      <w:r>
        <w:t>HCC</w:t>
      </w:r>
      <w:r/>
      <w:r w:rsidR="001852F3">
        <w:t xml:space="preserve">最有效的方法。</w:t>
      </w:r>
    </w:p>
    <w:p w:rsidR="0018722C">
      <w:pPr>
        <w:topLinePunct/>
      </w:pPr>
      <w:r>
        <w:t>炎症在</w:t>
      </w:r>
      <w:r w:rsidR="001852F3">
        <w:t xml:space="preserve">HCC</w:t>
      </w:r>
      <w:r w:rsidR="001852F3">
        <w:t xml:space="preserve">的发生发展的过程中起到了重要</w:t>
      </w:r>
      <w:r>
        <w:rPr>
          <w:vertAlign w:val="superscript"/>
        </w:rPr>
        <w:t>[</w:t>
      </w:r>
      <w:r>
        <w:rPr>
          <w:vertAlign w:val="superscript"/>
        </w:rPr>
        <w:t xml:space="preserve">2</w:t>
      </w:r>
      <w:r>
        <w:rPr>
          <w:vertAlign w:val="superscript"/>
        </w:rPr>
        <w:t>]</w:t>
      </w:r>
      <w:r>
        <w:t>。环氧化酶</w:t>
      </w:r>
    </w:p>
    <w:p w:rsidR="0018722C">
      <w:pPr>
        <w:topLinePunct/>
      </w:pPr>
      <w:r>
        <w:t>（</w:t>
      </w:r>
      <w:r>
        <w:rPr>
          <w:rFonts w:ascii="Times New Roman" w:hAnsi="Times New Roman" w:eastAsia="宋体"/>
        </w:rPr>
        <w:t xml:space="preserve">Cyelooxygenase,</w:t>
      </w:r>
      <w:r w:rsidR="001852F3">
        <w:rPr>
          <w:rFonts w:ascii="Times New Roman" w:hAnsi="Times New Roman" w:eastAsia="宋体"/>
        </w:rPr>
        <w:t xml:space="preserve"> </w:t>
      </w:r>
      <w:r w:rsidR="001852F3">
        <w:rPr>
          <w:rFonts w:ascii="Times New Roman" w:hAnsi="Times New Roman" w:eastAsia="宋体"/>
        </w:rPr>
        <w:t xml:space="preserve">COX</w:t>
      </w:r>
      <w:r>
        <w:t>）</w:t>
      </w:r>
      <w:r>
        <w:t>是重要的炎症因子，存在至少有环氧化酶</w:t>
      </w:r>
      <w:r>
        <w:rPr>
          <w:rFonts w:ascii="Times New Roman" w:hAnsi="Times New Roman" w:eastAsia="宋体"/>
        </w:rPr>
        <w:t>- 1</w:t>
      </w:r>
      <w:r>
        <w:t>（</w:t>
      </w:r>
      <w:r>
        <w:rPr>
          <w:rFonts w:ascii="Times New Roman" w:hAnsi="Times New Roman" w:eastAsia="宋体"/>
        </w:rPr>
        <w:t xml:space="preserve">Cyelooxygenase-1,</w:t>
      </w:r>
      <w:r w:rsidR="001852F3">
        <w:rPr>
          <w:rFonts w:ascii="Times New Roman" w:hAnsi="Times New Roman" w:eastAsia="宋体"/>
        </w:rPr>
        <w:t xml:space="preserve"> </w:t>
      </w:r>
      <w:r w:rsidR="001852F3">
        <w:rPr>
          <w:rFonts w:ascii="Times New Roman" w:hAnsi="Times New Roman" w:eastAsia="宋体"/>
        </w:rPr>
        <w:t xml:space="preserve">COX-1</w:t>
      </w:r>
      <w:r>
        <w:t>）</w:t>
      </w:r>
      <w:r>
        <w:t>和环氧化酶</w:t>
      </w:r>
      <w:r>
        <w:rPr>
          <w:rFonts w:ascii="Times New Roman" w:hAnsi="Times New Roman" w:eastAsia="宋体"/>
        </w:rPr>
        <w:t>-2</w:t>
      </w:r>
      <w:r>
        <w:t>（</w:t>
      </w:r>
      <w:r>
        <w:rPr>
          <w:rFonts w:ascii="Times New Roman" w:hAnsi="Times New Roman" w:eastAsia="宋体"/>
        </w:rPr>
        <w:t xml:space="preserve">Cyelooxygenase-2,</w:t>
      </w:r>
      <w:r w:rsidR="001852F3">
        <w:rPr>
          <w:rFonts w:ascii="Times New Roman" w:hAnsi="Times New Roman" w:eastAsia="宋体"/>
        </w:rPr>
        <w:t xml:space="preserve"> </w:t>
      </w:r>
      <w:r w:rsidR="001852F3">
        <w:rPr>
          <w:rFonts w:ascii="Times New Roman" w:hAnsi="Times New Roman" w:eastAsia="宋体"/>
        </w:rPr>
        <w:t xml:space="preserve">COX-2</w:t>
      </w:r>
      <w:r>
        <w:t>）</w:t>
      </w:r>
      <w:r w:rsidR="001852F3">
        <w:t xml:space="preserve">两种同工酶。COX-l</w:t>
      </w:r>
      <w:r/>
      <w:r w:rsidR="001852F3">
        <w:t xml:space="preserve">存在于大多数组织中，类似于“管家基因”，参与细胞内环境稳定、血管生成和细胞间信号传导；</w:t>
      </w:r>
      <w:r>
        <w:rPr>
          <w:rFonts w:ascii="Times New Roman" w:hAnsi="Times New Roman" w:eastAsia="宋体"/>
        </w:rPr>
        <w:t>COX-2</w:t>
      </w:r>
      <w:r>
        <w:t>可催化花生四烯酸生成前列腺素</w:t>
      </w:r>
      <w:r>
        <w:t>（</w:t>
      </w:r>
      <w:r>
        <w:t>prostaglandin</w:t>
      </w:r>
      <w:r>
        <w:t xml:space="preserve">, </w:t>
      </w:r>
      <w:r>
        <w:t>PGE2</w:t>
      </w:r>
      <w:r>
        <w:t>）</w:t>
      </w:r>
      <w:r>
        <w:t>、前列环素和血栓烷，在大多数组织中呈诱导性表达，能被多种刺激因素如炎症刺激、生长因子、细胞因子或某些癌蛋白等诱导表达，参与炎症和肿瘤的发生、发展</w:t>
      </w:r>
      <w:r>
        <w:rPr>
          <w:vertAlign w:val="superscript"/>
        </w:rPr>
        <w:t>[</w:t>
      </w:r>
      <w:r>
        <w:rPr>
          <w:color w:val="080000"/>
          <w:vertAlign w:val="superscript"/>
          <w:position w:val="8"/>
        </w:rPr>
        <w:t xml:space="preserve">3</w:t>
      </w:r>
      <w:r>
        <w:rPr>
          <w:vertAlign w:val="superscript"/>
        </w:rPr>
        <w:t>]</w:t>
      </w:r>
      <w:r>
        <w:t>。</w:t>
      </w:r>
    </w:p>
    <w:p w:rsidR="0018722C">
      <w:pPr>
        <w:topLinePunct/>
      </w:pPr>
      <w:r>
        <w:t>COX-2</w:t>
      </w:r>
      <w:r w:rsidR="001852F3">
        <w:t xml:space="preserve">的过表达与肝脏从慢性炎症转向恶性肿瘤密切相关</w:t>
      </w:r>
      <w:r>
        <w:rPr>
          <w:vertAlign w:val="superscript"/>
        </w:rPr>
        <w:t>[</w:t>
      </w:r>
      <w:r>
        <w:rPr>
          <w:color w:val="080000"/>
          <w:vertAlign w:val="superscript"/>
          <w:position w:val="8"/>
        </w:rPr>
        <w:t xml:space="preserve">4-6</w:t>
      </w:r>
      <w:r>
        <w:rPr>
          <w:vertAlign w:val="superscript"/>
        </w:rPr>
        <w:t>]</w:t>
      </w:r>
      <w:r>
        <w:t>。但是，</w:t>
      </w:r>
      <w:r w:rsidR="001852F3">
        <w:t xml:space="preserve">COX-2</w:t>
      </w:r>
      <w:r w:rsidR="001852F3">
        <w:t xml:space="preserve">的表达与</w:t>
      </w:r>
      <w:r w:rsidR="001852F3">
        <w:t xml:space="preserve">HCC</w:t>
      </w:r>
      <w:r w:rsidR="001852F3">
        <w:t xml:space="preserve">的预后一直存在争议。文献</w:t>
      </w:r>
      <w:r>
        <w:t>[</w:t>
      </w:r>
      <w:r>
        <w:rPr>
          <w:color w:val="080000"/>
          <w:position w:val="8"/>
          <w:sz w:val="18"/>
        </w:rPr>
        <w:t xml:space="preserve">7-9</w:t>
      </w:r>
      <w:r>
        <w:t>]</w:t>
      </w:r>
      <w:r>
        <w:t>报道</w:t>
      </w:r>
      <w:r w:rsidR="001852F3">
        <w:t xml:space="preserve">COX-2</w:t>
      </w:r>
      <w:r w:rsidR="001852F3">
        <w:t xml:space="preserve">高表达</w:t>
      </w:r>
      <w:r w:rsidR="001852F3">
        <w:t>组</w:t>
      </w:r>
    </w:p>
    <w:p w:rsidR="0018722C">
      <w:pPr>
        <w:topLinePunct/>
      </w:pPr>
      <w:r>
        <w:t>HCC</w:t>
      </w:r>
      <w:r/>
      <w:r>
        <w:t>患者的累积生存时间与低表达组相比，没有统计学差别，提示</w:t>
      </w:r>
      <w:r/>
      <w:r>
        <w:t>COX-2</w:t>
      </w:r>
      <w:r w:rsidR="001852F3">
        <w:t xml:space="preserve">的高表达对患者的累积生存时间没有影响。但是，亦有文献</w:t>
      </w:r>
      <w:r>
        <w:t>[</w:t>
      </w:r>
      <w:r>
        <w:t>10</w:t>
      </w:r>
      <w:r>
        <w:t xml:space="preserve">, </w:t>
      </w:r>
      <w:r w:rsidR="001852F3">
        <w:t>11</w:t>
      </w:r>
      <w:r>
        <w:t>]</w:t>
      </w:r>
      <w:r>
        <w:t>报道</w:t>
      </w:r>
      <w:r w:rsidR="001852F3">
        <w:t xml:space="preserve">COX-2</w:t>
      </w:r>
      <w:r/>
      <w:r>
        <w:t>高表达组</w:t>
      </w:r>
      <w:r/>
      <w:r>
        <w:t>HCC</w:t>
      </w:r>
      <w:r/>
      <w:r>
        <w:t>患者的累积生存时间明显优于低表达组。甚至有文献</w:t>
      </w:r>
      <w:r>
        <w:t>[</w:t>
      </w:r>
      <w:r>
        <w:rPr>
          <w:color w:val="080000"/>
          <w:position w:val="8"/>
          <w:sz w:val="18"/>
        </w:rPr>
        <w:t xml:space="preserve">12</w:t>
      </w:r>
      <w:r>
        <w:rPr>
          <w:color w:val="080000"/>
          <w:position w:val="8"/>
          <w:sz w:val="18"/>
        </w:rPr>
        <w:t>,</w:t>
      </w:r>
      <w:r>
        <w:rPr>
          <w:color w:val="080000"/>
          <w:position w:val="8"/>
          <w:sz w:val="18"/>
        </w:rPr>
        <w:t xml:space="preserve"> 13</w:t>
      </w:r>
      <w:r>
        <w:t>]</w:t>
      </w:r>
      <w:r>
        <w:t>报道</w:t>
      </w:r>
      <w:r/>
      <w:r>
        <w:t>COX-2</w:t>
      </w:r>
      <w:r/>
      <w:r>
        <w:t>低表达组</w:t>
      </w:r>
      <w:r/>
      <w:r>
        <w:t>HCC</w:t>
      </w:r>
      <w:r/>
      <w:r>
        <w:t>患者的累积生存时间明显优于高表达组。</w:t>
      </w:r>
    </w:p>
    <w:p w:rsidR="0018722C">
      <w:pPr>
        <w:topLinePunct/>
      </w:pPr>
      <w:r>
        <w:t>COX-2</w:t>
      </w:r>
      <w:r w:rsidR="001852F3">
        <w:t xml:space="preserve">发挥促癌作用主要是通过其合成的前列腺素</w:t>
      </w:r>
    </w:p>
    <w:p w:rsidR="0018722C">
      <w:pPr>
        <w:topLinePunct/>
      </w:pPr>
      <w:r>
        <w:t>（</w:t>
      </w:r>
      <w:r>
        <w:t xml:space="preserve">prostaglandin</w:t>
      </w:r>
      <w:r>
        <w:t xml:space="preserve">, </w:t>
      </w:r>
      <w:r>
        <w:t xml:space="preserve">PGE2</w:t>
      </w:r>
      <w:r>
        <w:t>）</w:t>
      </w:r>
      <w:r>
        <w:t>,而</w:t>
      </w:r>
      <w:r w:rsidR="001852F3">
        <w:t xml:space="preserve">PGE2</w:t>
      </w:r>
      <w:r w:rsidR="001852F3">
        <w:t xml:space="preserve">发挥促癌作用主要是通过</w:t>
      </w:r>
      <w:r w:rsidR="001852F3">
        <w:t xml:space="preserve">G</w:t>
      </w:r>
      <w:r w:rsidR="001852F3">
        <w:t xml:space="preserve">蛋白偶联</w:t>
      </w:r>
    </w:p>
    <w:p w:rsidR="0018722C">
      <w:pPr>
        <w:topLinePunct/>
      </w:pPr>
      <w:r>
        <w:rPr>
          <w:rFonts w:cstheme="minorBidi" w:hAnsiTheme="minorHAnsi" w:eastAsiaTheme="minorHAnsi" w:asciiTheme="minorHAnsi"/>
        </w:rPr>
        <w:t>5</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topLinePunct/>
      </w:pPr>
      <w:r>
        <w:t>的前列腺素受体</w:t>
      </w:r>
      <w:r>
        <w:t>1</w:t>
      </w:r>
      <w:r>
        <w:t>（</w:t>
      </w:r>
      <w:r>
        <w:t>Prostaglandin</w:t>
      </w:r>
      <w:r>
        <w:rPr>
          <w:spacing w:val="2"/>
        </w:rPr>
        <w:t>    </w:t>
      </w:r>
      <w:r>
        <w:t>receptor</w:t>
      </w:r>
      <w:r>
        <w:t xml:space="preserve">, </w:t>
      </w:r>
      <w:r>
        <w:t>EP</w:t>
      </w:r>
      <w:r>
        <w:rPr>
          <w:position w:val="-3"/>
          <w:sz w:val="18"/>
        </w:rPr>
        <w:t>1</w:t>
      </w:r>
      <w:r>
        <w:t>）</w:t>
      </w:r>
      <w:r>
        <w:t>。因此，我们推测</w:t>
      </w:r>
      <w:r w:rsidR="001852F3">
        <w:t xml:space="preserve">COX-2</w:t>
      </w:r>
      <w:r/>
      <w:r w:rsidR="001852F3">
        <w:t xml:space="preserve">的表达与</w:t>
      </w:r>
      <w:r>
        <w:t>HCC</w:t>
      </w:r>
      <w:r/>
      <w:r w:rsidR="001852F3">
        <w:t xml:space="preserve">的预后存在争议可能与</w:t>
      </w:r>
      <w:r>
        <w:t>COX-2</w:t>
      </w:r>
      <w:r>
        <w:t>/</w:t>
      </w:r>
      <w:r>
        <w:t>PGE2</w:t>
      </w:r>
      <w:r>
        <w:t>/</w:t>
      </w:r>
      <w:r>
        <w:t>EP</w:t>
      </w:r>
      <w:r>
        <w:t>1</w:t>
      </w:r>
      <w:r/>
      <w:r>
        <w:t>信号轴的下游</w:t>
      </w:r>
      <w:r>
        <w:t>信号</w:t>
      </w:r>
      <w:r>
        <w:t>EP</w:t>
      </w:r>
      <w:r>
        <w:t>1</w:t>
      </w:r>
      <w:r>
        <w:t>是否被激活有关。并且，Breinig</w:t>
      </w:r>
      <w:r/>
      <w:r w:rsidR="001852F3">
        <w:t xml:space="preserve">等</w:t>
      </w:r>
      <w:r>
        <w:rPr>
          <w:vertAlign w:val="superscript"/>
        </w:rPr>
        <w:t>[</w:t>
      </w:r>
      <w:r>
        <w:rPr>
          <w:color w:val="080000"/>
          <w:vertAlign w:val="superscript"/>
          <w:position w:val="8"/>
        </w:rPr>
        <w:t xml:space="preserve">14</w:t>
      </w:r>
      <w:r>
        <w:rPr>
          <w:vertAlign w:val="superscript"/>
        </w:rPr>
        <w:t>]</w:t>
      </w:r>
      <w:r>
        <w:t>发现，在</w:t>
      </w:r>
      <w:r>
        <w:t>COX-2</w:t>
      </w:r>
      <w:r/>
      <w:r w:rsidR="001852F3">
        <w:t xml:space="preserve">高表达</w:t>
      </w:r>
      <w:r w:rsidR="001852F3">
        <w:t>的</w:t>
      </w:r>
    </w:p>
    <w:p w:rsidR="0018722C">
      <w:pPr>
        <w:topLinePunct/>
      </w:pPr>
      <w:r>
        <w:t>HCC</w:t>
      </w:r>
      <w:r/>
      <w:r w:rsidR="001852F3">
        <w:t xml:space="preserve">组织中</w:t>
      </w:r>
      <w:r>
        <w:t>，EP</w:t>
      </w:r>
      <w:r>
        <w:t>1</w:t>
      </w:r>
      <w:r>
        <w:t>是低表达的</w:t>
      </w:r>
      <w:r>
        <w:rPr>
          <w:rFonts w:hint="eastAsia"/>
        </w:rPr>
        <w:t>；</w:t>
      </w:r>
      <w:r>
        <w:t>而在</w:t>
      </w:r>
      <w:r>
        <w:t>COX-2</w:t>
      </w:r>
      <w:r/>
      <w:r w:rsidR="001852F3">
        <w:t xml:space="preserve">低表达的</w:t>
      </w:r>
      <w:r>
        <w:t>HCC</w:t>
      </w:r>
      <w:r/>
      <w:r w:rsidR="001852F3">
        <w:t xml:space="preserve">组织中</w:t>
      </w:r>
      <w:r>
        <w:t>，EP</w:t>
      </w:r>
      <w:r>
        <w:t>1</w:t>
      </w:r>
      <w:r>
        <w:t>是高表达的。</w:t>
      </w:r>
    </w:p>
    <w:p w:rsidR="0018722C">
      <w:pPr>
        <w:topLinePunct/>
      </w:pPr>
      <w:r>
        <w:t>EP</w:t>
      </w:r>
      <w:r>
        <w:t>1</w:t>
      </w:r>
      <w:r/>
      <w:r>
        <w:t>在大肠癌</w:t>
      </w:r>
      <w:r>
        <w:t>[</w:t>
      </w:r>
      <w:r>
        <w:t xml:space="preserve">15</w:t>
      </w:r>
      <w:r>
        <w:t>]</w:t>
      </w:r>
      <w:r>
        <w:t>，皮肤癌</w:t>
      </w:r>
      <w:r>
        <w:t>[</w:t>
      </w:r>
      <w:r>
        <w:t xml:space="preserve">16</w:t>
      </w:r>
      <w:r>
        <w:t>]</w:t>
      </w:r>
      <w:r>
        <w:t>，宫颈癌</w:t>
      </w:r>
      <w:r>
        <w:t>[</w:t>
      </w:r>
      <w:r>
        <w:t xml:space="preserve">17</w:t>
      </w:r>
      <w:r>
        <w:t>]</w:t>
      </w:r>
      <w:r>
        <w:t>中过表达，与肿瘤细胞的增殖、侵袭、转移有关。人的</w:t>
      </w:r>
      <w:r/>
      <w:r>
        <w:t>HCC</w:t>
      </w:r>
      <w:r/>
      <w:r>
        <w:t>细胞株</w:t>
      </w:r>
      <w:r>
        <w:t>（</w:t>
      </w:r>
      <w:r>
        <w:t>Huh7、</w:t>
      </w:r>
      <w:r>
        <w:t>Hep3B</w:t>
      </w:r>
      <w:r>
        <w:t>、HepG2</w:t>
      </w:r>
      <w:r>
        <w:t>）</w:t>
      </w:r>
      <w:r>
        <w:t>中</w:t>
      </w:r>
      <w:r/>
      <w:r>
        <w:t>EP</w:t>
      </w:r>
      <w:r>
        <w:t>1</w:t>
      </w:r>
      <w:r/>
      <w:r>
        <w:t>受体的</w:t>
      </w:r>
      <w:r/>
      <w:r>
        <w:t>mRNA</w:t>
      </w:r>
      <w:r/>
      <w:r>
        <w:t>和蛋白质表达最为丰富</w:t>
      </w:r>
      <w:r>
        <w:rPr>
          <w:vertAlign w:val="superscript"/>
        </w:rPr>
        <w:t>[</w:t>
      </w:r>
      <w:r>
        <w:rPr>
          <w:color w:val="080000"/>
          <w:vertAlign w:val="superscript"/>
          <w:position w:val="8"/>
        </w:rPr>
        <w:t xml:space="preserve">18</w:t>
      </w:r>
      <w:r>
        <w:rPr>
          <w:vertAlign w:val="superscript"/>
        </w:rPr>
        <w:t>]</w:t>
      </w:r>
      <w:r>
        <w:t>。</w:t>
      </w:r>
      <w:r/>
      <w:r>
        <w:t>Marco</w:t>
      </w:r>
      <w:r/>
      <w:r>
        <w:t>等</w:t>
      </w:r>
      <w:r>
        <w:t>[</w:t>
      </w:r>
      <w:r>
        <w:rPr>
          <w:color w:val="080000"/>
          <w:position w:val="8"/>
          <w:sz w:val="18"/>
        </w:rPr>
        <w:t xml:space="preserve">19</w:t>
      </w:r>
      <w:r>
        <w:t>]</w:t>
      </w:r>
      <w:r>
        <w:t>研究证实</w:t>
      </w:r>
      <w:r/>
      <w:r>
        <w:t>EP</w:t>
      </w:r>
      <w:r>
        <w:t>1</w:t>
      </w:r>
      <w:r/>
      <w:r>
        <w:t>拮抗剂与COX-2</w:t>
      </w:r>
      <w:r w:rsidRPr="00000000">
        <w:tab/>
        <w:t>抑制剂的抑癌作用相近，都能明显减少肿瘤细胞的活性，诱导肿瘤细胞调亡，而</w:t>
      </w:r>
      <w:r/>
      <w:r>
        <w:t>EP</w:t>
      </w:r>
      <w:r>
        <w:t>4</w:t>
      </w:r>
      <w:r/>
      <w:r>
        <w:t>拮抗剂和</w:t>
      </w:r>
      <w:r/>
      <w:r>
        <w:t>EP</w:t>
      </w:r>
      <w:r>
        <w:t>2</w:t>
      </w:r>
      <w:r/>
      <w:r>
        <w:t>拮抗剂对</w:t>
      </w:r>
      <w:r/>
      <w:r>
        <w:t>HCC</w:t>
      </w:r>
      <w:r/>
      <w:r>
        <w:t>细胞活性的影响甚微</w:t>
      </w:r>
      <w:r>
        <w:rPr>
          <w:vertAlign w:val="superscript"/>
        </w:rPr>
        <w:t>[</w:t>
      </w:r>
      <w:r>
        <w:rPr>
          <w:color w:val="080000"/>
          <w:vertAlign w:val="superscript"/>
          <w:position w:val="8"/>
        </w:rPr>
        <w:t xml:space="preserve">19</w:t>
      </w:r>
      <w:r>
        <w:rPr>
          <w:vertAlign w:val="superscript"/>
        </w:rPr>
        <w:t>]</w:t>
      </w:r>
      <w:r>
        <w:t>。</w:t>
      </w:r>
    </w:p>
    <w:p w:rsidR="0018722C">
      <w:pPr>
        <w:topLinePunct/>
      </w:pPr>
      <w:r>
        <w:t>基于</w:t>
      </w:r>
      <w:r/>
      <w:r>
        <w:t>COX-2</w:t>
      </w:r>
      <w:r>
        <w:t>/</w:t>
      </w:r>
      <w:r>
        <w:t>PGE2</w:t>
      </w:r>
      <w:r>
        <w:t>/</w:t>
      </w:r>
      <w:r>
        <w:t>EP</w:t>
      </w:r>
      <w:r>
        <w:t>1</w:t>
      </w:r>
      <w:r w:rsidRPr="00000000">
        <w:tab/>
      </w:r>
      <w:r>
        <w:t>信号轴在</w:t>
      </w:r>
      <w:r/>
      <w:r>
        <w:t>HCC</w:t>
      </w:r>
      <w:r/>
      <w:r>
        <w:t>发生过程中的重要作用</w:t>
      </w:r>
      <w:r>
        <w:rPr>
          <w:rFonts w:hint="eastAsia"/>
        </w:rPr>
        <w:t>，</w:t>
      </w:r>
      <w:r>
        <w:t>本研究拟采用</w:t>
      </w:r>
      <w:r/>
      <w:r>
        <w:t>PCR、WB、IHC</w:t>
      </w:r>
      <w:r/>
      <w:r>
        <w:t>等方法对我院收治的病理确诊为</w:t>
      </w:r>
      <w:r/>
      <w:r>
        <w:t>HCC</w:t>
      </w:r>
      <w:r/>
      <w:r>
        <w:t>患者的癌及癌旁组织标本进行回顾性分析，为进一步明确</w:t>
      </w:r>
      <w:r/>
      <w:r>
        <w:t>COX-2</w:t>
      </w:r>
      <w:r>
        <w:t>/</w:t>
      </w:r>
      <w:r>
        <w:t>PGE2</w:t>
      </w:r>
      <w:r>
        <w:t>/</w:t>
      </w:r>
      <w:r>
        <w:t>EP</w:t>
      </w:r>
      <w:r>
        <w:t>1</w:t>
      </w:r>
      <w:r>
        <w:t>信号轴与</w:t>
      </w:r>
      <w:r/>
      <w:r>
        <w:t>HCC</w:t>
      </w:r>
      <w:r/>
      <w:r>
        <w:t>的关系提供可靠的依据。</w:t>
      </w:r>
    </w:p>
    <w:p w:rsidR="0018722C">
      <w:pPr>
        <w:pStyle w:val="Heading1"/>
        <w:topLinePunct/>
      </w:pPr>
      <w:bookmarkStart w:id="227984" w:name="_Toc686227984"/>
      <w:bookmarkStart w:name="一.材料与仪器 " w:id="10"/>
      <w:bookmarkEnd w:id="10"/>
      <w:r/>
      <w:bookmarkStart w:name="_bookmark2" w:id="11"/>
      <w:bookmarkEnd w:id="11"/>
      <w:r/>
      <w:r>
        <w:t>一.</w:t>
      </w:r>
      <w:r>
        <w:t xml:space="preserve"> </w:t>
      </w:r>
      <w:r w:rsidRPr="00DB64CE">
        <w:t>材料与仪器</w:t>
      </w:r>
      <w:bookmarkEnd w:id="227984"/>
    </w:p>
    <w:p w:rsidR="0018722C">
      <w:pPr>
        <w:pStyle w:val="Heading2"/>
        <w:topLinePunct/>
        <w:ind w:left="171" w:hangingChars="171" w:hanging="171"/>
      </w:pPr>
      <w:bookmarkStart w:name="1.材料 " w:id="12"/>
      <w:bookmarkEnd w:id="12"/>
      <w:r/>
      <w:r>
        <w:t>1.</w:t>
      </w:r>
      <w:r>
        <w:t xml:space="preserve"> </w:t>
      </w:r>
      <w:r w:rsidRPr="00DB64CE">
        <w:t>材料</w:t>
      </w:r>
    </w:p>
    <w:p w:rsidR="0018722C">
      <w:pPr>
        <w:pStyle w:val="Heading3"/>
        <w:topLinePunct/>
        <w:ind w:left="200" w:hangingChars="200" w:hanging="200"/>
      </w:pPr>
      <w:r>
        <w:t>1.1. </w:t>
      </w:r>
      <w:r>
        <w:t>入组标准：</w:t>
      </w:r>
      <w:r w:rsidP="AA7D325B">
        <w:t>(</w:t>
      </w:r>
      <w:r>
        <w:t xml:space="preserve">1</w:t>
      </w:r>
      <w:r w:rsidP="AA7D325B">
        <w:t>)</w:t>
      </w:r>
      <w:r>
        <w:t>所有</w:t>
      </w:r>
      <w:r/>
      <w:r>
        <w:t>HCC</w:t>
      </w:r>
      <w:r/>
      <w:r>
        <w:t>病人在广西医科大学附属肿瘤医院肝胆肿瘤外科接受首次根治性肝切除，根治性肝切除定义为</w:t>
      </w:r>
      <w:r>
        <w:t>[</w:t>
      </w:r>
      <w:r>
        <w:t>20</w:t>
      </w:r>
      <w:r>
        <w:t xml:space="preserve">, </w:t>
      </w:r>
      <w:r w:rsidR="001852F3">
        <w:t>21</w:t>
      </w:r>
      <w:r>
        <w:t>]</w:t>
      </w:r>
      <w:r>
        <w:t>：①完全切掉所有肿瘤的结节，手术切缘无肿瘤细胞浸润；②门静脉主干或以下两个主要分支、胆管或肝静脉内无肉眼可见的癌栓；③术前未被发现有肝外远处转移的征象。</w:t>
      </w:r>
      <w:r w:rsidP="AA7D325B">
        <w:t>(</w:t>
      </w:r>
      <w:r>
        <w:t>2</w:t>
      </w:r>
      <w:r w:rsidP="AA7D325B">
        <w:t>)</w:t>
      </w:r>
      <w:r>
        <w:t>所有的病人术前均未接受放射治疗或化学治疗等抗肿瘤的治疗；</w:t>
      </w:r>
      <w:r>
        <w:t>（</w:t>
      </w:r>
      <w:r>
        <w:t>3</w:t>
      </w:r>
      <w:r>
        <w:t>）</w:t>
      </w:r>
      <w:r>
        <w:t>有完整的临床资料和随访数据，主要包括病人的性别、年龄、</w:t>
      </w:r>
    </w:p>
    <w:p w:rsidR="0018722C">
      <w:pPr>
        <w:topLinePunct/>
      </w:pPr>
      <w:r>
        <w:t>肝炎、肝硬化、甲胎蛋白、肝功</w:t>
      </w:r>
      <w:r>
        <w:t>Child—Pugh</w:t>
      </w:r>
      <w:r/>
      <w:r w:rsidR="001852F3">
        <w:t xml:space="preserve">分级、</w:t>
      </w:r>
      <w:r>
        <w:t>A</w:t>
      </w:r>
      <w:r>
        <w:t>L</w:t>
      </w:r>
      <w:r>
        <w:t>，</w:t>
      </w:r>
      <w:r>
        <w:t>T</w:t>
      </w:r>
      <w:r>
        <w:t> </w:t>
      </w:r>
      <w:r>
        <w:t>AST、总胆红素、</w:t>
      </w:r>
    </w:p>
    <w:p w:rsidR="0018722C">
      <w:pPr>
        <w:topLinePunct/>
      </w:pPr>
      <w:r>
        <w:rPr>
          <w:rFonts w:cstheme="minorBidi" w:hAnsiTheme="minorHAnsi" w:eastAsiaTheme="minorHAnsi" w:asciiTheme="minorHAnsi"/>
        </w:rPr>
        <w:t>6</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topLinePunct/>
      </w:pPr>
      <w:r>
        <w:t>肿瘤大小、肿瘤数目、肿瘤的包膜、分化等级、BCLC</w:t>
      </w:r>
      <w:r/>
      <w:r w:rsidR="001852F3">
        <w:t xml:space="preserve">分期。</w:t>
      </w:r>
      <w:r>
        <w:t>（</w:t>
      </w:r>
      <w:r>
        <w:t>4</w:t>
      </w:r>
      <w:r>
        <w:t>）</w:t>
      </w:r>
      <w:r>
        <w:t>均签署知情同意书。</w:t>
      </w:r>
    </w:p>
    <w:p w:rsidR="0018722C">
      <w:pPr>
        <w:pStyle w:val="cw18"/>
        <w:topLinePunct/>
      </w:pPr>
      <w:r>
        <w:rPr>
          <w:rFonts w:ascii="宋体" w:hAnsi="宋体" w:eastAsia="宋体" w:hint="eastAsia"/>
        </w:rPr>
        <w:t>1.2. </w:t>
      </w:r>
      <w:r>
        <w:rPr>
          <w:rFonts w:ascii="微软雅黑" w:hAnsi="微软雅黑" w:eastAsia="微软雅黑" w:hint="eastAsia"/>
          <w:b/>
        </w:rPr>
        <w:t>PCR,</w:t>
      </w:r>
      <w:r w:rsidR="004B696B">
        <w:rPr>
          <w:rFonts w:ascii="微软雅黑" w:hAnsi="微软雅黑" w:eastAsia="微软雅黑" w:hint="eastAsia"/>
          <w:b/>
        </w:rPr>
        <w:t xml:space="preserve"> </w:t>
      </w:r>
      <w:r w:rsidR="004B696B">
        <w:rPr>
          <w:rFonts w:ascii="微软雅黑" w:hAnsi="微软雅黑" w:eastAsia="微软雅黑" w:hint="eastAsia"/>
          <w:b/>
        </w:rPr>
        <w:t>WB</w:t>
      </w:r>
      <w:r w:rsidR="001852F3">
        <w:rPr>
          <w:rFonts w:ascii="微软雅黑" w:hAnsi="微软雅黑" w:eastAsia="微软雅黑" w:hint="eastAsia"/>
          <w:b/>
        </w:rPr>
        <w:t xml:space="preserve">纳入的研究对象：</w:t>
      </w:r>
      <w:r>
        <w:rPr>
          <w:rFonts w:ascii="宋体" w:hAnsi="宋体" w:eastAsia="宋体" w:hint="eastAsia"/>
        </w:rPr>
        <w:t>广西医科大学附属肿瘤医院</w:t>
      </w:r>
      <w:r>
        <w:rPr>
          <w:rFonts w:ascii="宋体" w:hAnsi="宋体" w:eastAsia="宋体" w:hint="eastAsia"/>
        </w:rPr>
        <w:t>2013</w:t>
      </w:r>
      <w:r w:rsidR="001852F3">
        <w:rPr>
          <w:rFonts w:ascii="宋体" w:hAnsi="宋体" w:eastAsia="宋体" w:hint="eastAsia"/>
        </w:rPr>
        <w:t xml:space="preserve">年收治的</w:t>
      </w:r>
      <w:r>
        <w:rPr>
          <w:rFonts w:ascii="宋体" w:hAnsi="宋体" w:eastAsia="宋体" w:hint="eastAsia"/>
        </w:rPr>
        <w:t>病人</w:t>
      </w:r>
      <w:r>
        <w:rPr>
          <w:rFonts w:ascii="宋体" w:hAnsi="宋体" w:eastAsia="宋体" w:hint="eastAsia"/>
        </w:rPr>
        <w:t>，</w:t>
      </w:r>
      <w:r>
        <w:rPr>
          <w:rFonts w:ascii="宋体" w:hAnsi="宋体" w:eastAsia="宋体" w:hint="eastAsia"/>
        </w:rPr>
        <w:t>纳入标准同上。手术标本在手术室取得后放入</w:t>
      </w:r>
      <w:r>
        <w:rPr>
          <w:rFonts w:ascii="宋体" w:hAnsi="宋体" w:eastAsia="宋体" w:hint="eastAsia"/>
        </w:rPr>
        <w:t>4℃冰盒，标本运送回实验室后存放入-80℃低温冰箱。</w:t>
      </w:r>
    </w:p>
    <w:p w:rsidR="0018722C">
      <w:pPr>
        <w:pStyle w:val="Heading3"/>
        <w:topLinePunct/>
        <w:ind w:left="200" w:hangingChars="200" w:hanging="200"/>
      </w:pPr>
      <w:r>
        <w:t>1.3</w:t>
      </w:r>
      <w:r>
        <w:rPr>
          <w:b/>
        </w:rPr>
        <w:t>.</w:t>
      </w:r>
      <w:r>
        <w:t xml:space="preserve"> </w:t>
      </w:r>
      <w:r>
        <w:t>免疫组化纳入的研究对象：</w:t>
      </w:r>
      <w:r>
        <w:t>广西医科大学附属肿瘤医院</w:t>
      </w:r>
      <w:r>
        <w:t>2008</w:t>
      </w:r>
      <w:r/>
      <w:r w:rsidR="001852F3">
        <w:t xml:space="preserve">年</w:t>
      </w:r>
      <w:r>
        <w:t>11</w:t>
      </w:r>
      <w:r>
        <w:t> 月</w:t>
      </w:r>
    </w:p>
    <w:p w:rsidR="0018722C">
      <w:pPr>
        <w:topLinePunct/>
      </w:pPr>
      <w:r>
        <w:t>至</w:t>
      </w:r>
      <w:r>
        <w:t>2011</w:t>
      </w:r>
      <w:r/>
      <w:r w:rsidR="001852F3">
        <w:t xml:space="preserve">年</w:t>
      </w:r>
      <w:r>
        <w:t>9</w:t>
      </w:r>
      <w:r w:rsidR="001852F3">
        <w:t xml:space="preserve">月收治的病人，纳入标准同上。收集的患者术后随访时间满</w:t>
      </w:r>
      <w:r>
        <w:t>足术后累积生存时间大于</w:t>
      </w:r>
      <w:r>
        <w:t>30</w:t>
      </w:r>
      <w:r/>
      <w:r w:rsidR="001852F3">
        <w:t xml:space="preserve">天，以除外围手术期患者的死亡对临床随访数据的干扰</w:t>
      </w:r>
      <w:r>
        <w:rPr>
          <w:vertAlign w:val="superscript"/>
        </w:rPr>
        <w:t>[</w:t>
      </w:r>
      <w:r>
        <w:rPr>
          <w:vertAlign w:val="superscript"/>
        </w:rPr>
        <w:t xml:space="preserve">22</w:t>
      </w:r>
      <w:r>
        <w:rPr>
          <w:vertAlign w:val="superscript"/>
        </w:rPr>
        <w:t>]</w:t>
      </w:r>
      <w:r>
        <w:t>。</w:t>
      </w:r>
    </w:p>
    <w:p w:rsidR="0018722C">
      <w:pPr>
        <w:pStyle w:val="Heading3"/>
        <w:topLinePunct/>
        <w:ind w:left="200" w:hangingChars="200" w:hanging="200"/>
      </w:pPr>
      <w:r>
        <w:t>1.4</w:t>
      </w:r>
      <w:r>
        <w:t xml:space="preserve"> </w:t>
      </w:r>
      <w:r>
        <w:t>术后复查：</w:t>
      </w:r>
      <w:r>
        <w:t>患者术后定期复查，复查的时间如下：术后</w:t>
      </w:r>
      <w:r>
        <w:t>1</w:t>
      </w:r>
      <w:r/>
      <w:r w:rsidR="001852F3">
        <w:t xml:space="preserve">个月复查第</w:t>
      </w:r>
    </w:p>
    <w:p w:rsidR="0018722C">
      <w:pPr>
        <w:topLinePunct/>
      </w:pPr>
      <w:r>
        <w:t>一次，术后的</w:t>
      </w:r>
      <w:r>
        <w:t>2</w:t>
      </w:r>
      <w:r/>
      <w:r w:rsidR="001852F3">
        <w:t xml:space="preserve">年内每</w:t>
      </w:r>
      <w:r>
        <w:t>2-3</w:t>
      </w:r>
      <w:r/>
      <w:r w:rsidR="001852F3">
        <w:t xml:space="preserve">个月复查一次，术后</w:t>
      </w:r>
      <w:r>
        <w:t>2</w:t>
      </w:r>
      <w:r/>
      <w:r w:rsidR="001852F3">
        <w:t xml:space="preserve">年后每</w:t>
      </w:r>
      <w:r>
        <w:t>3-6</w:t>
      </w:r>
      <w:r/>
      <w:r w:rsidR="001852F3">
        <w:t xml:space="preserve">个月复查一次。复查的随访时间随着手术后患者的生存时间的增加而适当延长。末次</w:t>
      </w:r>
      <w:r>
        <w:t>随访日期为</w:t>
      </w:r>
      <w:r>
        <w:t>2015</w:t>
      </w:r>
      <w:r/>
      <w:r w:rsidR="001852F3">
        <w:t xml:space="preserve">年</w:t>
      </w:r>
      <w:r>
        <w:t>6</w:t>
      </w:r>
      <w:r/>
      <w:r w:rsidR="001852F3">
        <w:t xml:space="preserve">月。</w:t>
      </w:r>
    </w:p>
    <w:p w:rsidR="0018722C">
      <w:pPr>
        <w:pStyle w:val="Heading3"/>
        <w:topLinePunct/>
        <w:ind w:left="200" w:hangingChars="200" w:hanging="200"/>
      </w:pPr>
      <w:r>
        <w:t>1.5</w:t>
      </w:r>
      <w:r>
        <w:t xml:space="preserve"> </w:t>
      </w:r>
      <w:r>
        <w:t>各项指标的确定及随访资料整理：</w:t>
      </w:r>
      <w:r>
        <w:t>⑴肿瘤分化程度：本实验中所有患</w:t>
      </w:r>
    </w:p>
    <w:p w:rsidR="0018722C">
      <w:pPr>
        <w:topLinePunct/>
      </w:pPr>
      <w:r>
        <w:t>者的</w:t>
      </w:r>
      <w:r>
        <w:t>HCC</w:t>
      </w:r>
      <w:r/>
      <w:r w:rsidR="001852F3">
        <w:t xml:space="preserve">组织标本均经过肿瘤医院病理科医生确诊，参照</w:t>
      </w:r>
      <w:r>
        <w:t>Edmondson4</w:t>
      </w:r>
      <w:r/>
      <w:r w:rsidR="001852F3">
        <w:t xml:space="preserve">级分法</w:t>
      </w:r>
      <w:r>
        <w:rPr>
          <w:vertAlign w:val="superscript"/>
        </w:rPr>
        <w:t>[</w:t>
      </w:r>
      <w:r>
        <w:rPr>
          <w:color w:val="080000"/>
          <w:vertAlign w:val="superscript"/>
          <w:position w:val="8"/>
        </w:rPr>
        <w:t xml:space="preserve">23</w:t>
      </w:r>
      <w:r>
        <w:rPr>
          <w:vertAlign w:val="superscript"/>
        </w:rPr>
        <w:t>]</w:t>
      </w:r>
      <w:r>
        <w:t>，将</w:t>
      </w:r>
      <w:r>
        <w:t>Edmondson</w:t>
      </w:r>
      <w:r w:rsidR="001852F3">
        <w:t xml:space="preserve">Ⅰ或Ⅱ级归为高分化组，Ⅲ或Ⅳ级归为低分化组；</w:t>
      </w:r>
      <w:r w:rsidR="001852F3">
        <w:t xml:space="preserve">对于同时存在几个分化等级的同一块组织标本，统一采用较低的一级分化</w:t>
      </w:r>
      <w:r>
        <w:t>判定为该</w:t>
      </w:r>
      <w:r>
        <w:t>HCC</w:t>
      </w:r>
      <w:r/>
      <w:r w:rsidR="001852F3">
        <w:t xml:space="preserve">标本的最终分化程度</w:t>
      </w:r>
      <w:r>
        <w:rPr>
          <w:vertAlign w:val="superscript"/>
        </w:rPr>
        <w:t>[</w:t>
      </w:r>
      <w:r>
        <w:rPr>
          <w:color w:val="080000"/>
          <w:vertAlign w:val="superscript"/>
          <w:position w:val="8"/>
        </w:rPr>
        <w:t xml:space="preserve">24</w:t>
      </w:r>
      <w:r>
        <w:rPr>
          <w:vertAlign w:val="superscript"/>
        </w:rPr>
        <w:t>]</w:t>
      </w:r>
      <w:r>
        <w:t>。⑵HCC</w:t>
      </w:r>
      <w:r/>
      <w:r w:rsidR="001852F3">
        <w:t xml:space="preserve">分期：巴塞罗那</w:t>
      </w:r>
      <w:r>
        <w:t>HCC</w:t>
      </w:r>
      <w:r/>
      <w:r w:rsidR="001852F3">
        <w:t xml:space="preserve">小组提</w:t>
      </w:r>
      <w:r>
        <w:t>出的</w:t>
      </w:r>
      <w:r>
        <w:t>BCLC</w:t>
      </w:r>
      <w:r/>
      <w:r w:rsidR="001852F3">
        <w:t xml:space="preserve">分期标准</w:t>
      </w:r>
      <w:r>
        <w:rPr>
          <w:vertAlign w:val="superscript"/>
        </w:rPr>
        <w:t>[</w:t>
      </w:r>
      <w:r>
        <w:rPr>
          <w:color w:val="080000"/>
          <w:vertAlign w:val="superscript"/>
          <w:position w:val="8"/>
        </w:rPr>
        <w:t xml:space="preserve">25</w:t>
      </w:r>
      <w:r>
        <w:rPr>
          <w:vertAlign w:val="superscript"/>
        </w:rPr>
        <w:t>]</w:t>
      </w:r>
      <w:r>
        <w:t>。⑶HCC</w:t>
      </w:r>
      <w:r/>
      <w:r w:rsidR="001852F3">
        <w:t xml:space="preserve">复发：根据抽血及影像学检查结果，如出现甲胎蛋白明显增高、影像学显示肝脏有占位、肺内有占位等典型的肿瘤复发征象，并且结合临床表现以及后期的治疗和随访的数据进行综合的判断。⑷OS：定义为从术后开始到发现患者死亡或最后一次能够随访所经过的时间。⑸DFS:定义为从术后开始到影像学检查到肿瘤复发所用的时间。</w:t>
      </w:r>
    </w:p>
    <w:p w:rsidR="0018722C">
      <w:pPr>
        <w:topLinePunct/>
      </w:pPr>
      <w:r>
        <w:t>⑹癌旁组织：距离手术切缘小于</w:t>
      </w:r>
      <w:r>
        <w:t>1cm</w:t>
      </w:r>
      <w:r/>
      <w:r w:rsidR="001852F3">
        <w:t xml:space="preserve">的定义为近癌旁肝组织，大于</w:t>
      </w:r>
      <w:r>
        <w:t>1cm</w:t>
      </w:r>
      <w:r/>
      <w:r w:rsidR="001852F3">
        <w:t xml:space="preserve">的定义为远癌旁肝组织</w:t>
      </w:r>
      <w:r>
        <w:rPr>
          <w:vertAlign w:val="superscript"/>
        </w:rPr>
        <w:t>[</w:t>
      </w:r>
      <w:r>
        <w:rPr>
          <w:vertAlign w:val="superscript"/>
        </w:rPr>
        <w:t xml:space="preserve">26</w:t>
      </w:r>
      <w:r>
        <w:rPr>
          <w:vertAlign w:val="superscript"/>
        </w:rPr>
        <w:t>]</w:t>
      </w:r>
      <w:r>
        <w:t>。</w:t>
      </w:r>
    </w:p>
    <w:p w:rsidR="0018722C">
      <w:pPr>
        <w:topLinePunct/>
      </w:pPr>
      <w:r>
        <w:rPr>
          <w:rFonts w:cstheme="minorBidi" w:hAnsiTheme="minorHAnsi" w:eastAsiaTheme="minorHAnsi" w:asciiTheme="minorHAnsi"/>
        </w:rPr>
        <w:t>7</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Heading2"/>
        <w:topLinePunct/>
        <w:ind w:left="171" w:hangingChars="171" w:hanging="171"/>
      </w:pPr>
      <w:bookmarkStart w:name="2实验材料 " w:id="13"/>
      <w:bookmarkEnd w:id="13"/>
      <w:r>
        <w:rPr>
          <w:b/>
        </w:rPr>
        <w:t>2</w:t>
      </w:r>
      <w:r>
        <w:t xml:space="preserve"> </w:t>
      </w:r>
      <w:bookmarkStart w:name="2实验材料 " w:id="14"/>
      <w:bookmarkEnd w:id="14"/>
      <w:r>
        <w:t>实验材料</w:t>
      </w:r>
    </w:p>
    <w:p w:rsidR="0018722C">
      <w:pPr>
        <w:pStyle w:val="Heading3"/>
        <w:topLinePunct/>
        <w:ind w:left="200" w:hangingChars="200" w:hanging="200"/>
      </w:pPr>
      <w:r>
        <w:rPr>
          <w:b/>
        </w:rPr>
        <w:t>2.1</w:t>
      </w:r>
      <w:r>
        <w:t xml:space="preserve"> </w:t>
      </w:r>
      <w:r>
        <w:t>主要试剂</w:t>
      </w: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1"/>
        <w:gridCol w:w="4261"/>
      </w:tblGrid>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名称</w:t>
            </w:r>
          </w:p>
        </w:tc>
        <w:tc>
          <w:tcPr>
            <w:tcW w:w="4261" w:type="dxa"/>
          </w:tcPr>
          <w:p w:rsidR="0018722C">
            <w:pPr>
              <w:topLinePunct/>
              <w:ind w:leftChars="0" w:left="0" w:rightChars="0" w:right="0" w:firstLineChars="0" w:firstLine="0"/>
              <w:spacing w:line="240" w:lineRule="atLeast"/>
            </w:pPr>
            <w:r>
              <w:rPr>
                <w:rFonts w:ascii="宋体" w:eastAsia="宋体" w:hint="eastAsia"/>
              </w:rPr>
              <w:t>生产厂家</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磷酸盐缓冲液</w:t>
            </w:r>
            <w:r>
              <w:rPr>
                <w:rFonts w:ascii="宋体" w:eastAsia="宋体" w:hint="eastAsia"/>
              </w:rPr>
              <w:t>（</w:t>
            </w:r>
            <w:r>
              <w:rPr>
                <w:rFonts w:ascii="宋体" w:eastAsia="宋体" w:hint="eastAsia"/>
              </w:rPr>
              <w:t xml:space="preserve"> PBS</w:t>
            </w:r>
            <w:r>
              <w:rPr>
                <w:rFonts w:ascii="宋体" w:eastAsia="宋体" w:hint="eastAsia"/>
              </w:rPr>
              <w:t>）</w:t>
            </w:r>
          </w:p>
        </w:tc>
        <w:tc>
          <w:tcPr>
            <w:tcW w:w="4261" w:type="dxa"/>
          </w:tcPr>
          <w:p w:rsidR="0018722C">
            <w:pPr>
              <w:topLinePunct/>
              <w:ind w:leftChars="0" w:left="0" w:rightChars="0" w:right="0" w:firstLineChars="0" w:firstLine="0"/>
              <w:spacing w:line="240" w:lineRule="atLeast"/>
            </w:pPr>
            <w:r>
              <w:rPr>
                <w:rFonts w:ascii="宋体" w:eastAsia="宋体" w:hint="eastAsia"/>
              </w:rPr>
              <w:t>武汉博士德公司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rPr>
              <w:t>TRIzol</w:t>
            </w:r>
          </w:p>
        </w:tc>
        <w:tc>
          <w:tcPr>
            <w:tcW w:w="4261" w:type="dxa"/>
          </w:tcPr>
          <w:p w:rsidR="0018722C">
            <w:pPr>
              <w:topLinePunct/>
              <w:ind w:leftChars="0" w:left="0" w:rightChars="0" w:right="0" w:firstLineChars="0" w:firstLine="0"/>
              <w:spacing w:line="240" w:lineRule="atLeast"/>
            </w:pPr>
            <w:r>
              <w:rPr>
                <w:rFonts w:ascii="宋体" w:eastAsia="宋体" w:hint="eastAsia"/>
              </w:rPr>
              <w:t>美国 Invitrogen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无水乙醇</w:t>
            </w:r>
          </w:p>
        </w:tc>
        <w:tc>
          <w:tcPr>
            <w:tcW w:w="4261" w:type="dxa"/>
          </w:tcPr>
          <w:p w:rsidR="0018722C">
            <w:pPr>
              <w:topLinePunct/>
              <w:ind w:leftChars="0" w:left="0" w:rightChars="0" w:right="0" w:firstLineChars="0" w:firstLine="0"/>
              <w:spacing w:line="240" w:lineRule="atLeast"/>
            </w:pPr>
            <w:r>
              <w:rPr>
                <w:rFonts w:ascii="宋体" w:eastAsia="宋体" w:hint="eastAsia"/>
              </w:rPr>
              <w:t>天津富宇公司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异丙醇</w:t>
            </w:r>
          </w:p>
        </w:tc>
        <w:tc>
          <w:tcPr>
            <w:tcW w:w="4261" w:type="dxa"/>
          </w:tcPr>
          <w:p w:rsidR="0018722C">
            <w:pPr>
              <w:topLinePunct/>
              <w:ind w:leftChars="0" w:left="0" w:rightChars="0" w:right="0" w:firstLineChars="0" w:firstLine="0"/>
              <w:spacing w:line="240" w:lineRule="atLeast"/>
            </w:pPr>
            <w:r>
              <w:rPr>
                <w:rFonts w:ascii="宋体" w:eastAsia="宋体" w:hint="eastAsia"/>
              </w:rPr>
              <w:t>天津富宇公司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氯仿</w:t>
            </w:r>
          </w:p>
        </w:tc>
        <w:tc>
          <w:tcPr>
            <w:tcW w:w="4261" w:type="dxa"/>
          </w:tcPr>
          <w:p w:rsidR="0018722C">
            <w:pPr>
              <w:topLinePunct/>
              <w:ind w:leftChars="0" w:left="0" w:rightChars="0" w:right="0" w:firstLineChars="0" w:firstLine="0"/>
              <w:spacing w:line="240" w:lineRule="atLeast"/>
            </w:pPr>
            <w:r>
              <w:rPr>
                <w:rFonts w:ascii="宋体" w:eastAsia="宋体" w:hint="eastAsia"/>
              </w:rPr>
              <w:t>天津富宇公司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甲醇</w:t>
            </w:r>
          </w:p>
        </w:tc>
        <w:tc>
          <w:tcPr>
            <w:tcW w:w="4261" w:type="dxa"/>
          </w:tcPr>
          <w:p w:rsidR="0018722C">
            <w:pPr>
              <w:topLinePunct/>
              <w:ind w:leftChars="0" w:left="0" w:rightChars="0" w:right="0" w:firstLineChars="0" w:firstLine="0"/>
              <w:spacing w:line="240" w:lineRule="atLeast"/>
            </w:pPr>
            <w:r>
              <w:rPr>
                <w:rFonts w:ascii="宋体" w:eastAsia="宋体" w:hint="eastAsia"/>
              </w:rPr>
              <w:t>天津富宇公司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rPr>
              <w:t>PrimescriptR</w:t>
            </w:r>
            <w:r w:rsidRPr="00000000">
              <w:tab/>
              <w:t>RT Reagent Kit with gDNA</w:t>
            </w:r>
          </w:p>
        </w:tc>
        <w:tc>
          <w:tcPr>
            <w:tcW w:w="4261" w:type="dxa"/>
          </w:tcPr>
          <w:p w:rsidR="0018722C">
            <w:pPr>
              <w:topLinePunct/>
              <w:ind w:leftChars="0" w:left="0" w:rightChars="0" w:right="0" w:firstLineChars="0" w:firstLine="0"/>
              <w:spacing w:line="240" w:lineRule="atLeast"/>
            </w:pPr>
            <w:r>
              <w:rPr>
                <w:rFonts w:ascii="宋体" w:eastAsia="宋体" w:hint="eastAsia"/>
              </w:rPr>
              <w:t>日本 Takara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rPr>
              <w:t>SYBR R Premix Ex Taq TM II</w:t>
            </w:r>
          </w:p>
        </w:tc>
        <w:tc>
          <w:tcPr>
            <w:tcW w:w="4261" w:type="dxa"/>
          </w:tcPr>
          <w:p w:rsidR="0018722C">
            <w:pPr>
              <w:topLinePunct/>
              <w:ind w:leftChars="0" w:left="0" w:rightChars="0" w:right="0" w:firstLineChars="0" w:firstLine="0"/>
              <w:spacing w:line="240" w:lineRule="atLeast"/>
            </w:pPr>
            <w:r>
              <w:rPr>
                <w:rFonts w:ascii="宋体" w:eastAsia="宋体" w:hint="eastAsia"/>
              </w:rPr>
              <w:t>日本 Takara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hAnsi="宋体" w:eastAsia="宋体" w:hint="eastAsia"/>
              </w:rPr>
              <w:t>5×还原性蛋白上样缓冲液</w:t>
            </w:r>
          </w:p>
        </w:tc>
        <w:tc>
          <w:tcPr>
            <w:tcW w:w="4261" w:type="dxa"/>
          </w:tcPr>
          <w:p w:rsidR="0018722C">
            <w:pPr>
              <w:topLinePunct/>
              <w:ind w:leftChars="0" w:left="0" w:rightChars="0" w:right="0" w:firstLineChars="0" w:firstLine="0"/>
              <w:spacing w:line="240" w:lineRule="atLeast"/>
            </w:pPr>
            <w:r>
              <w:rPr>
                <w:rFonts w:ascii="宋体" w:eastAsia="宋体" w:hint="eastAsia"/>
              </w:rPr>
              <w:t>日本 Takara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hAnsi="宋体"/>
              </w:rPr>
              <w:t>PageRuler™ Prestained Protein Ladder</w:t>
            </w:r>
          </w:p>
        </w:tc>
        <w:tc>
          <w:tcPr>
            <w:tcW w:w="4261" w:type="dxa"/>
          </w:tcPr>
          <w:p w:rsidR="0018722C">
            <w:pPr>
              <w:topLinePunct/>
              <w:ind w:leftChars="0" w:left="0" w:rightChars="0" w:right="0" w:firstLineChars="0" w:firstLine="0"/>
              <w:spacing w:line="240" w:lineRule="atLeast"/>
            </w:pPr>
            <w:r>
              <w:rPr>
                <w:rFonts w:ascii="宋体" w:eastAsia="宋体" w:hint="eastAsia"/>
              </w:rPr>
              <w:t>美国 Fermentas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BCA 总蛋白浓度测定试剂盒</w:t>
            </w:r>
          </w:p>
        </w:tc>
        <w:tc>
          <w:tcPr>
            <w:tcW w:w="4261" w:type="dxa"/>
          </w:tcPr>
          <w:p w:rsidR="0018722C">
            <w:pPr>
              <w:topLinePunct/>
              <w:ind w:leftChars="0" w:left="0" w:rightChars="0" w:right="0" w:firstLineChars="0" w:firstLine="0"/>
              <w:spacing w:line="240" w:lineRule="atLeast"/>
            </w:pPr>
            <w:r>
              <w:rPr>
                <w:rFonts w:ascii="宋体" w:eastAsia="宋体" w:hint="eastAsia"/>
              </w:rPr>
              <w:t>碧云天生物工程研究所</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COX-2 兔抗人多克隆抗体</w:t>
            </w:r>
          </w:p>
        </w:tc>
        <w:tc>
          <w:tcPr>
            <w:tcW w:w="4261" w:type="dxa"/>
          </w:tcPr>
          <w:p w:rsidR="0018722C">
            <w:pPr>
              <w:topLinePunct/>
              <w:ind w:leftChars="0" w:left="0" w:rightChars="0" w:right="0" w:firstLineChars="0" w:firstLine="0"/>
              <w:spacing w:line="240" w:lineRule="atLeast"/>
            </w:pPr>
            <w:r>
              <w:rPr>
                <w:rFonts w:ascii="宋体" w:eastAsia="宋体" w:hint="eastAsia"/>
              </w:rPr>
              <w:t>Abcam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EP1 受体 兔抗人多克隆抗体</w:t>
            </w:r>
          </w:p>
        </w:tc>
        <w:tc>
          <w:tcPr>
            <w:tcW w:w="4261" w:type="dxa"/>
          </w:tcPr>
          <w:p w:rsidR="0018722C">
            <w:pPr>
              <w:topLinePunct/>
              <w:ind w:leftChars="0" w:left="0" w:rightChars="0" w:right="0" w:firstLineChars="0" w:firstLine="0"/>
              <w:spacing w:line="240" w:lineRule="atLeast"/>
            </w:pPr>
            <w:r>
              <w:rPr>
                <w:rFonts w:ascii="宋体" w:eastAsia="宋体" w:hint="eastAsia"/>
              </w:rPr>
              <w:t>Abcam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辣根过氧化物酶标记羊抗兔多克隆二抗</w:t>
            </w:r>
          </w:p>
        </w:tc>
        <w:tc>
          <w:tcPr>
            <w:tcW w:w="4261" w:type="dxa"/>
          </w:tcPr>
          <w:p w:rsidR="0018722C">
            <w:pPr>
              <w:topLinePunct/>
              <w:ind w:leftChars="0" w:left="0" w:rightChars="0" w:right="0" w:firstLineChars="0" w:firstLine="0"/>
              <w:spacing w:line="240" w:lineRule="atLeast"/>
            </w:pPr>
            <w:r>
              <w:rPr>
                <w:rFonts w:ascii="宋体" w:eastAsia="宋体" w:hint="eastAsia"/>
              </w:rPr>
              <w:t>Abcam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内参 GAPDH 抗体</w:t>
            </w:r>
          </w:p>
        </w:tc>
        <w:tc>
          <w:tcPr>
            <w:tcW w:w="4261" w:type="dxa"/>
          </w:tcPr>
          <w:p w:rsidR="0018722C">
            <w:pPr>
              <w:topLinePunct/>
              <w:ind w:leftChars="0" w:left="0" w:rightChars="0" w:right="0" w:firstLineChars="0" w:firstLine="0"/>
              <w:spacing w:line="240" w:lineRule="atLeast"/>
            </w:pPr>
            <w:r>
              <w:rPr>
                <w:rFonts w:ascii="宋体" w:eastAsia="宋体" w:hint="eastAsia"/>
              </w:rPr>
              <w:t>Abcam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ECL 化学发光检测试剂盒</w:t>
            </w:r>
          </w:p>
        </w:tc>
        <w:tc>
          <w:tcPr>
            <w:tcW w:w="4261" w:type="dxa"/>
          </w:tcPr>
          <w:p w:rsidR="0018722C">
            <w:pPr>
              <w:topLinePunct/>
              <w:ind w:leftChars="0" w:left="0" w:rightChars="0" w:right="0" w:firstLineChars="0" w:firstLine="0"/>
              <w:spacing w:line="240" w:lineRule="atLeast"/>
            </w:pPr>
            <w:r>
              <w:rPr>
                <w:rFonts w:ascii="宋体" w:eastAsia="宋体" w:hint="eastAsia"/>
              </w:rPr>
              <w:t>美国 Thermo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hAnsi="宋体" w:eastAsia="宋体" w:hint="eastAsia"/>
              </w:rPr>
              <w:t>PVDF 膜</w:t>
            </w:r>
            <w:r>
              <w:rPr>
                <w:rFonts w:ascii="宋体" w:hAnsi="宋体" w:eastAsia="宋体" w:hint="eastAsia"/>
              </w:rPr>
              <w:t>（</w:t>
            </w:r>
            <w:r>
              <w:rPr>
                <w:rFonts w:ascii="宋体" w:hAnsi="宋体" w:eastAsia="宋体" w:hint="eastAsia"/>
              </w:rPr>
              <w:t xml:space="preserve"> 0.45µm</w:t>
            </w:r>
            <w:r>
              <w:rPr>
                <w:rFonts w:ascii="宋体" w:hAnsi="宋体" w:eastAsia="宋体" w:hint="eastAsia"/>
              </w:rPr>
              <w:t>）</w:t>
            </w:r>
          </w:p>
        </w:tc>
        <w:tc>
          <w:tcPr>
            <w:tcW w:w="4261" w:type="dxa"/>
          </w:tcPr>
          <w:p w:rsidR="0018722C">
            <w:pPr>
              <w:topLinePunct/>
              <w:ind w:leftChars="0" w:left="0" w:rightChars="0" w:right="0" w:firstLineChars="0" w:firstLine="0"/>
              <w:spacing w:line="240" w:lineRule="atLeast"/>
            </w:pPr>
            <w:r>
              <w:rPr>
                <w:rFonts w:ascii="宋体" w:eastAsia="宋体" w:hint="eastAsia"/>
              </w:rPr>
              <w:t>美国 Millipore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30%丙烯酰胺：双丙烯酰胺</w:t>
            </w:r>
          </w:p>
        </w:tc>
        <w:tc>
          <w:tcPr>
            <w:tcW w:w="4261" w:type="dxa"/>
          </w:tcPr>
          <w:p w:rsidR="0018722C">
            <w:pPr>
              <w:topLinePunct/>
              <w:ind w:leftChars="0" w:left="0" w:rightChars="0" w:right="0" w:firstLineChars="0" w:firstLine="0"/>
              <w:spacing w:line="240" w:lineRule="atLeast"/>
            </w:pPr>
            <w:r>
              <w:rPr>
                <w:rFonts w:ascii="宋体" w:eastAsia="宋体" w:hint="eastAsia"/>
              </w:rPr>
              <w:t>上海双螺旋生物公司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hAnsi="宋体" w:eastAsia="宋体" w:hint="eastAsia"/>
              </w:rPr>
              <w:t>4×Tris</w:t>
            </w:r>
            <w:r>
              <w:rPr>
                <w:rFonts w:ascii="宋体" w:hAnsi="宋体" w:eastAsia="宋体" w:hint="eastAsia"/>
              </w:rPr>
              <w:t>/</w:t>
            </w:r>
            <w:r>
              <w:rPr>
                <w:rFonts w:ascii="宋体" w:hAnsi="宋体" w:eastAsia="宋体" w:hint="eastAsia"/>
              </w:rPr>
              <w:t>SDS 分离胶缓冲液</w:t>
            </w:r>
            <w:r>
              <w:rPr>
                <w:rFonts w:ascii="宋体" w:hAnsi="宋体" w:eastAsia="宋体" w:hint="eastAsia"/>
              </w:rPr>
              <w:t>(</w:t>
            </w:r>
            <w:r>
              <w:rPr>
                <w:rFonts w:ascii="宋体" w:hAnsi="宋体" w:eastAsia="宋体" w:hint="eastAsia"/>
              </w:rPr>
              <w:t>PH8.8</w:t>
            </w:r>
            <w:r>
              <w:rPr>
                <w:rFonts w:ascii="宋体" w:hAnsi="宋体" w:eastAsia="宋体" w:hint="eastAsia"/>
              </w:rPr>
              <w:t>)</w:t>
            </w:r>
          </w:p>
        </w:tc>
        <w:tc>
          <w:tcPr>
            <w:tcW w:w="4261" w:type="dxa"/>
          </w:tcPr>
          <w:p w:rsidR="0018722C">
            <w:pPr>
              <w:topLinePunct/>
              <w:ind w:leftChars="0" w:left="0" w:rightChars="0" w:right="0" w:firstLineChars="0" w:firstLine="0"/>
              <w:spacing w:line="240" w:lineRule="atLeast"/>
            </w:pPr>
            <w:r>
              <w:rPr>
                <w:rFonts w:ascii="宋体" w:eastAsia="宋体" w:hint="eastAsia"/>
              </w:rPr>
              <w:t>上海双螺旋生物公司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hAnsi="宋体" w:eastAsia="宋体" w:hint="eastAsia"/>
              </w:rPr>
              <w:t>4×Tris</w:t>
            </w:r>
            <w:r>
              <w:rPr>
                <w:rFonts w:ascii="宋体" w:hAnsi="宋体" w:eastAsia="宋体" w:hint="eastAsia"/>
              </w:rPr>
              <w:t>/</w:t>
            </w:r>
            <w:r>
              <w:rPr>
                <w:rFonts w:ascii="宋体" w:hAnsi="宋体" w:eastAsia="宋体" w:hint="eastAsia"/>
              </w:rPr>
              <w:t>SDS 浓缩胶缓冲液</w:t>
            </w:r>
            <w:r>
              <w:rPr>
                <w:rFonts w:ascii="宋体" w:hAnsi="宋体" w:eastAsia="宋体" w:hint="eastAsia"/>
              </w:rPr>
              <w:t>(</w:t>
            </w:r>
            <w:r>
              <w:rPr>
                <w:rFonts w:ascii="宋体" w:hAnsi="宋体" w:eastAsia="宋体" w:hint="eastAsia"/>
              </w:rPr>
              <w:t>PH6.8</w:t>
            </w:r>
            <w:r>
              <w:rPr>
                <w:rFonts w:ascii="宋体" w:hAnsi="宋体" w:eastAsia="宋体" w:hint="eastAsia"/>
              </w:rPr>
              <w:t>)</w:t>
            </w:r>
          </w:p>
        </w:tc>
        <w:tc>
          <w:tcPr>
            <w:tcW w:w="4261" w:type="dxa"/>
          </w:tcPr>
          <w:p w:rsidR="0018722C">
            <w:pPr>
              <w:topLinePunct/>
              <w:ind w:leftChars="0" w:left="0" w:rightChars="0" w:right="0" w:firstLineChars="0" w:firstLine="0"/>
              <w:spacing w:line="240" w:lineRule="atLeast"/>
            </w:pPr>
            <w:r>
              <w:rPr>
                <w:rFonts w:ascii="宋体" w:eastAsia="宋体" w:hint="eastAsia"/>
              </w:rPr>
              <w:t>上海双螺旋生物公司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hAnsi="宋体"/>
              </w:rPr>
              <w:t>10×TBST</w:t>
            </w:r>
          </w:p>
        </w:tc>
        <w:tc>
          <w:tcPr>
            <w:tcW w:w="4261" w:type="dxa"/>
          </w:tcPr>
          <w:p w:rsidR="0018722C">
            <w:pPr>
              <w:topLinePunct/>
              <w:ind w:leftChars="0" w:left="0" w:rightChars="0" w:right="0" w:firstLineChars="0" w:firstLine="0"/>
              <w:spacing w:line="240" w:lineRule="atLeast"/>
            </w:pPr>
            <w:r>
              <w:rPr>
                <w:rFonts w:ascii="宋体" w:eastAsia="宋体" w:hint="eastAsia"/>
              </w:rPr>
              <w:t>上海双螺旋生物公司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rPr>
              <w:t>10%SDS</w:t>
            </w:r>
          </w:p>
        </w:tc>
        <w:tc>
          <w:tcPr>
            <w:tcW w:w="4261" w:type="dxa"/>
          </w:tcPr>
          <w:p w:rsidR="0018722C">
            <w:pPr>
              <w:topLinePunct/>
              <w:ind w:leftChars="0" w:left="0" w:rightChars="0" w:right="0" w:firstLineChars="0" w:firstLine="0"/>
              <w:spacing w:line="240" w:lineRule="atLeast"/>
            </w:pPr>
            <w:r>
              <w:rPr>
                <w:rFonts w:ascii="宋体" w:eastAsia="宋体" w:hint="eastAsia"/>
              </w:rPr>
              <w:t>南京赛博生物公司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rPr>
              <w:t>TEMED</w:t>
            </w:r>
          </w:p>
        </w:tc>
        <w:tc>
          <w:tcPr>
            <w:tcW w:w="4261" w:type="dxa"/>
          </w:tcPr>
          <w:p w:rsidR="0018722C">
            <w:pPr>
              <w:topLinePunct/>
              <w:ind w:leftChars="0" w:left="0" w:rightChars="0" w:right="0" w:firstLineChars="0" w:firstLine="0"/>
              <w:spacing w:line="240" w:lineRule="atLeast"/>
            </w:pPr>
            <w:r>
              <w:rPr>
                <w:rFonts w:ascii="宋体" w:eastAsia="宋体" w:hint="eastAsia"/>
              </w:rPr>
              <w:t>南京赛博生物公司</w:t>
            </w:r>
          </w:p>
        </w:tc>
      </w:tr>
    </w:tbl>
    <w:p w:rsidR="0018722C">
      <w:pPr>
        <w:pStyle w:val="affa"/>
      </w:pPr>
    </w:p>
    <w:p w:rsidR="0018722C">
      <w:pPr>
        <w:topLinePunct/>
      </w:pPr>
      <w:r>
        <w:rPr>
          <w:rFonts w:cstheme="minorBidi" w:hAnsiTheme="minorHAnsi" w:eastAsiaTheme="minorHAnsi" w:asciiTheme="minorHAnsi"/>
        </w:rPr>
        <w:t>8</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1"/>
        <w:gridCol w:w="4261"/>
      </w:tblGrid>
      <w:tr>
        <w:trPr>
          <w:trHeight w:val="520" w:hRule="atLeast"/>
        </w:trPr>
        <w:tc>
          <w:tcPr>
            <w:tcW w:w="4261" w:type="dxa"/>
          </w:tcPr>
          <w:p w:rsidR="0018722C">
            <w:pPr>
              <w:topLinePunct/>
              <w:ind w:leftChars="0" w:left="0" w:rightChars="0" w:right="0" w:firstLineChars="0" w:firstLine="0"/>
              <w:spacing w:line="240" w:lineRule="atLeast"/>
            </w:pPr>
            <w:r>
              <w:rPr>
                <w:rFonts w:ascii="宋体"/>
              </w:rPr>
              <w:t>PMSF</w:t>
            </w:r>
          </w:p>
        </w:tc>
        <w:tc>
          <w:tcPr>
            <w:tcW w:w="4261" w:type="dxa"/>
          </w:tcPr>
          <w:p w:rsidR="0018722C">
            <w:pPr>
              <w:topLinePunct/>
              <w:ind w:leftChars="0" w:left="0" w:rightChars="0" w:right="0" w:firstLineChars="0" w:firstLine="0"/>
              <w:spacing w:line="240" w:lineRule="atLeast"/>
            </w:pPr>
            <w:r>
              <w:rPr>
                <w:rFonts w:ascii="宋体" w:eastAsia="宋体" w:hint="eastAsia"/>
              </w:rPr>
              <w:t>南京赛博生物公司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脱脂奶粉</w:t>
            </w:r>
          </w:p>
        </w:tc>
        <w:tc>
          <w:tcPr>
            <w:tcW w:w="4261" w:type="dxa"/>
          </w:tcPr>
          <w:p w:rsidR="0018722C">
            <w:pPr>
              <w:topLinePunct/>
              <w:ind w:leftChars="0" w:left="0" w:rightChars="0" w:right="0" w:firstLineChars="0" w:firstLine="0"/>
              <w:spacing w:line="240" w:lineRule="atLeast"/>
            </w:pPr>
            <w:r>
              <w:rPr>
                <w:rFonts w:ascii="宋体" w:eastAsia="宋体" w:hint="eastAsia"/>
              </w:rPr>
              <w:t>内蒙古伊利公司</w:t>
            </w:r>
          </w:p>
        </w:tc>
      </w:tr>
    </w:tbl>
    <w:p w:rsidR="0018722C">
      <w:pPr>
        <w:topLinePunct/>
        <w:pStyle w:val="affa"/>
      </w:pPr>
    </w:p>
    <w:p w:rsidR="0018722C">
      <w:pPr>
        <w:pStyle w:val="Heading3"/>
        <w:topLinePunct/>
        <w:ind w:left="200" w:hangingChars="200" w:hanging="200"/>
      </w:pPr>
      <w:r>
        <w:rPr>
          <w:b/>
        </w:rPr>
        <w:t>2.2</w:t>
      </w:r>
      <w:r>
        <w:t xml:space="preserve"> </w:t>
      </w:r>
      <w:r>
        <w:t>主要设备仪器</w:t>
      </w: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1"/>
        <w:gridCol w:w="4261"/>
      </w:tblGrid>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名称</w:t>
            </w:r>
          </w:p>
        </w:tc>
        <w:tc>
          <w:tcPr>
            <w:tcW w:w="4261" w:type="dxa"/>
          </w:tcPr>
          <w:p w:rsidR="0018722C">
            <w:pPr>
              <w:topLinePunct/>
              <w:ind w:leftChars="0" w:left="0" w:rightChars="0" w:right="0" w:firstLineChars="0" w:firstLine="0"/>
              <w:spacing w:line="240" w:lineRule="atLeast"/>
            </w:pPr>
            <w:r>
              <w:rPr>
                <w:rFonts w:ascii="宋体" w:eastAsia="宋体" w:hint="eastAsia"/>
              </w:rPr>
              <w:t>生产厂家</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倒置相差显微镜</w:t>
            </w:r>
          </w:p>
        </w:tc>
        <w:tc>
          <w:tcPr>
            <w:tcW w:w="4261" w:type="dxa"/>
          </w:tcPr>
          <w:p w:rsidR="0018722C">
            <w:pPr>
              <w:topLinePunct/>
              <w:ind w:leftChars="0" w:left="0" w:rightChars="0" w:right="0" w:firstLineChars="0" w:firstLine="0"/>
              <w:spacing w:line="240" w:lineRule="atLeast"/>
            </w:pPr>
            <w:r>
              <w:rPr>
                <w:rFonts w:ascii="宋体" w:eastAsia="宋体" w:hint="eastAsia"/>
              </w:rPr>
              <w:t>日本 Nikon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低温离心机</w:t>
            </w:r>
          </w:p>
        </w:tc>
        <w:tc>
          <w:tcPr>
            <w:tcW w:w="4261" w:type="dxa"/>
          </w:tcPr>
          <w:p w:rsidR="0018722C">
            <w:pPr>
              <w:topLinePunct/>
              <w:ind w:leftChars="0" w:left="0" w:rightChars="0" w:right="0" w:firstLineChars="0" w:firstLine="0"/>
              <w:spacing w:line="240" w:lineRule="atLeast"/>
            </w:pPr>
            <w:r>
              <w:rPr>
                <w:rFonts w:ascii="宋体" w:eastAsia="宋体" w:hint="eastAsia"/>
              </w:rPr>
              <w:t>Thermo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台式离心机</w:t>
            </w:r>
          </w:p>
        </w:tc>
        <w:tc>
          <w:tcPr>
            <w:tcW w:w="4261" w:type="dxa"/>
          </w:tcPr>
          <w:p w:rsidR="0018722C">
            <w:pPr>
              <w:topLinePunct/>
              <w:ind w:leftChars="0" w:left="0" w:rightChars="0" w:right="0" w:firstLineChars="0" w:firstLine="0"/>
              <w:spacing w:line="240" w:lineRule="atLeast"/>
            </w:pPr>
            <w:r>
              <w:rPr>
                <w:rFonts w:ascii="宋体" w:eastAsia="宋体" w:hint="eastAsia"/>
              </w:rPr>
              <w:t>Thermo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hAnsi="宋体" w:eastAsia="宋体" w:hint="eastAsia"/>
              </w:rPr>
              <w:t>-80℃超低温冰箱</w:t>
            </w:r>
          </w:p>
        </w:tc>
        <w:tc>
          <w:tcPr>
            <w:tcW w:w="4261" w:type="dxa"/>
          </w:tcPr>
          <w:p w:rsidR="0018722C">
            <w:pPr>
              <w:topLinePunct/>
              <w:ind w:leftChars="0" w:left="0" w:rightChars="0" w:right="0" w:firstLineChars="0" w:firstLine="0"/>
              <w:spacing w:line="240" w:lineRule="atLeast"/>
            </w:pPr>
            <w:r>
              <w:rPr>
                <w:rFonts w:ascii="宋体" w:eastAsia="宋体" w:hint="eastAsia"/>
              </w:rPr>
              <w:t>Thermo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hAnsi="宋体" w:eastAsia="宋体" w:hint="eastAsia"/>
              </w:rPr>
              <w:t>2.5μL-1mL 微量移液器</w:t>
            </w:r>
          </w:p>
        </w:tc>
        <w:tc>
          <w:tcPr>
            <w:tcW w:w="4261" w:type="dxa"/>
          </w:tcPr>
          <w:p w:rsidR="0018722C">
            <w:pPr>
              <w:topLinePunct/>
              <w:ind w:leftChars="0" w:left="0" w:rightChars="0" w:right="0" w:firstLineChars="0" w:firstLine="0"/>
              <w:spacing w:line="240" w:lineRule="atLeast"/>
            </w:pPr>
            <w:r>
              <w:rPr>
                <w:rFonts w:ascii="宋体" w:eastAsia="宋体" w:hint="eastAsia"/>
              </w:rPr>
              <w:t>Eppendorf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普通冰箱</w:t>
            </w:r>
          </w:p>
        </w:tc>
        <w:tc>
          <w:tcPr>
            <w:tcW w:w="4261" w:type="dxa"/>
          </w:tcPr>
          <w:p w:rsidR="0018722C">
            <w:pPr>
              <w:topLinePunct/>
              <w:ind w:leftChars="0" w:left="0" w:rightChars="0" w:right="0" w:firstLineChars="0" w:firstLine="0"/>
              <w:spacing w:line="240" w:lineRule="atLeast"/>
            </w:pPr>
            <w:r>
              <w:rPr>
                <w:rFonts w:ascii="宋体" w:eastAsia="宋体" w:hint="eastAsia"/>
              </w:rPr>
              <w:t>海尔公司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SZ-93 自动双重纯水蒸馏器</w:t>
            </w:r>
          </w:p>
        </w:tc>
        <w:tc>
          <w:tcPr>
            <w:tcW w:w="4261" w:type="dxa"/>
          </w:tcPr>
          <w:p w:rsidR="0018722C">
            <w:pPr>
              <w:topLinePunct/>
              <w:ind w:leftChars="0" w:left="0" w:rightChars="0" w:right="0" w:firstLineChars="0" w:firstLine="0"/>
              <w:spacing w:line="240" w:lineRule="atLeast"/>
            </w:pPr>
            <w:r>
              <w:rPr>
                <w:rFonts w:ascii="宋体" w:eastAsia="宋体" w:hint="eastAsia"/>
              </w:rPr>
              <w:t>上海亚荣生化仪器厂</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超纯水机 MilliQ</w:t>
            </w:r>
          </w:p>
        </w:tc>
        <w:tc>
          <w:tcPr>
            <w:tcW w:w="4261" w:type="dxa"/>
          </w:tcPr>
          <w:p w:rsidR="0018722C">
            <w:pPr>
              <w:topLinePunct/>
              <w:ind w:leftChars="0" w:left="0" w:rightChars="0" w:right="0" w:firstLineChars="0" w:firstLine="0"/>
              <w:spacing w:line="240" w:lineRule="atLeast"/>
            </w:pPr>
            <w:r>
              <w:rPr>
                <w:rFonts w:ascii="宋体" w:eastAsia="宋体" w:hint="eastAsia"/>
              </w:rPr>
              <w:t>美国 Millipore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颗粒制冰机 LQP-B-4</w:t>
            </w:r>
          </w:p>
        </w:tc>
        <w:tc>
          <w:tcPr>
            <w:tcW w:w="4261" w:type="dxa"/>
          </w:tcPr>
          <w:p w:rsidR="0018722C">
            <w:pPr>
              <w:topLinePunct/>
              <w:ind w:leftChars="0" w:left="0" w:rightChars="0" w:right="0" w:firstLineChars="0" w:firstLine="0"/>
              <w:spacing w:line="240" w:lineRule="atLeast"/>
            </w:pPr>
            <w:r>
              <w:rPr>
                <w:rFonts w:ascii="宋体" w:eastAsia="宋体" w:hint="eastAsia"/>
              </w:rPr>
              <w:t>上海安亭科学仪器厂</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超净工作台</w:t>
            </w:r>
          </w:p>
        </w:tc>
        <w:tc>
          <w:tcPr>
            <w:tcW w:w="4261" w:type="dxa"/>
          </w:tcPr>
          <w:p w:rsidR="0018722C">
            <w:pPr>
              <w:topLinePunct/>
              <w:ind w:leftChars="0" w:left="0" w:rightChars="0" w:right="0" w:firstLineChars="0" w:firstLine="0"/>
              <w:spacing w:line="240" w:lineRule="atLeast"/>
            </w:pPr>
            <w:r>
              <w:rPr>
                <w:rFonts w:ascii="宋体" w:eastAsia="宋体" w:hint="eastAsia"/>
              </w:rPr>
              <w:t>苏州苏净安泰公司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CO</w:t>
            </w:r>
            <w:r>
              <w:rPr>
                <w:rFonts w:ascii="宋体" w:eastAsia="宋体" w:hint="eastAsia"/>
              </w:rPr>
              <w:t>2 </w:t>
            </w:r>
            <w:r>
              <w:rPr>
                <w:rFonts w:ascii="宋体" w:eastAsia="宋体" w:hint="eastAsia"/>
              </w:rPr>
              <w:t>培养箱</w:t>
            </w:r>
          </w:p>
        </w:tc>
        <w:tc>
          <w:tcPr>
            <w:tcW w:w="4261" w:type="dxa"/>
          </w:tcPr>
          <w:p w:rsidR="0018722C">
            <w:pPr>
              <w:topLinePunct/>
              <w:ind w:leftChars="0" w:left="0" w:rightChars="0" w:right="0" w:firstLineChars="0" w:firstLine="0"/>
              <w:spacing w:line="240" w:lineRule="atLeast"/>
            </w:pPr>
            <w:r>
              <w:rPr>
                <w:rFonts w:ascii="宋体" w:eastAsia="宋体" w:hint="eastAsia"/>
              </w:rPr>
              <w:t>Thermo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高压灭菌消毒锅</w:t>
            </w:r>
          </w:p>
        </w:tc>
        <w:tc>
          <w:tcPr>
            <w:tcW w:w="4261" w:type="dxa"/>
          </w:tcPr>
          <w:p w:rsidR="0018722C">
            <w:pPr>
              <w:topLinePunct/>
              <w:ind w:leftChars="0" w:left="0" w:rightChars="0" w:right="0" w:firstLineChars="0" w:firstLine="0"/>
              <w:spacing w:line="240" w:lineRule="atLeast"/>
            </w:pPr>
            <w:r>
              <w:rPr>
                <w:rFonts w:ascii="宋体" w:eastAsia="宋体" w:hint="eastAsia"/>
              </w:rPr>
              <w:t>日本 TOMY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恒温烤箱</w:t>
            </w:r>
          </w:p>
        </w:tc>
        <w:tc>
          <w:tcPr>
            <w:tcW w:w="4261" w:type="dxa"/>
          </w:tcPr>
          <w:p w:rsidR="0018722C">
            <w:pPr>
              <w:topLinePunct/>
              <w:ind w:leftChars="0" w:left="0" w:rightChars="0" w:right="0" w:firstLineChars="0" w:firstLine="0"/>
              <w:spacing w:line="240" w:lineRule="atLeast"/>
            </w:pPr>
            <w:r>
              <w:rPr>
                <w:rFonts w:ascii="宋体" w:eastAsia="宋体" w:hint="eastAsia"/>
              </w:rPr>
              <w:t>上海跃进公司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精密电子天平</w:t>
            </w:r>
          </w:p>
        </w:tc>
        <w:tc>
          <w:tcPr>
            <w:tcW w:w="4261" w:type="dxa"/>
          </w:tcPr>
          <w:p w:rsidR="0018722C">
            <w:pPr>
              <w:topLinePunct/>
              <w:ind w:leftChars="0" w:left="0" w:rightChars="0" w:right="0" w:firstLineChars="0" w:firstLine="0"/>
              <w:spacing w:line="240" w:lineRule="atLeast"/>
            </w:pPr>
            <w:r>
              <w:rPr>
                <w:rFonts w:ascii="宋体" w:eastAsia="宋体" w:hint="eastAsia"/>
              </w:rPr>
              <w:t>日本 SHIMADZU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ABI7300 荧光定量 PCR 仪</w:t>
            </w:r>
          </w:p>
        </w:tc>
        <w:tc>
          <w:tcPr>
            <w:tcW w:w="4261" w:type="dxa"/>
          </w:tcPr>
          <w:p w:rsidR="0018722C">
            <w:pPr>
              <w:topLinePunct/>
              <w:ind w:leftChars="0" w:left="0" w:rightChars="0" w:right="0" w:firstLineChars="0" w:firstLine="0"/>
              <w:spacing w:line="240" w:lineRule="atLeast"/>
            </w:pPr>
            <w:r>
              <w:rPr>
                <w:rFonts w:ascii="宋体" w:eastAsia="宋体" w:hint="eastAsia"/>
              </w:rPr>
              <w:t>美国 ABI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小型垂直电泳槽</w:t>
            </w:r>
          </w:p>
        </w:tc>
        <w:tc>
          <w:tcPr>
            <w:tcW w:w="4261" w:type="dxa"/>
          </w:tcPr>
          <w:p w:rsidR="0018722C">
            <w:pPr>
              <w:topLinePunct/>
              <w:ind w:leftChars="0" w:left="0" w:rightChars="0" w:right="0" w:firstLineChars="0" w:firstLine="0"/>
              <w:spacing w:line="240" w:lineRule="atLeast"/>
            </w:pPr>
            <w:r>
              <w:rPr>
                <w:rFonts w:ascii="宋体" w:eastAsia="宋体" w:hint="eastAsia"/>
              </w:rPr>
              <w:t>美国 BIO-RAD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小型转印槽</w:t>
            </w:r>
          </w:p>
        </w:tc>
        <w:tc>
          <w:tcPr>
            <w:tcW w:w="4261" w:type="dxa"/>
          </w:tcPr>
          <w:p w:rsidR="0018722C">
            <w:pPr>
              <w:topLinePunct/>
              <w:ind w:leftChars="0" w:left="0" w:rightChars="0" w:right="0" w:firstLineChars="0" w:firstLine="0"/>
              <w:spacing w:line="240" w:lineRule="atLeast"/>
            </w:pPr>
            <w:r>
              <w:rPr>
                <w:rFonts w:ascii="宋体" w:eastAsia="宋体" w:hint="eastAsia"/>
              </w:rPr>
              <w:t>美国 BIO-RAD 公司</w:t>
            </w:r>
          </w:p>
        </w:tc>
      </w:tr>
      <w:tr>
        <w:trPr>
          <w:trHeight w:val="520" w:hRule="atLeast"/>
        </w:trPr>
        <w:tc>
          <w:tcPr>
            <w:tcW w:w="4261" w:type="dxa"/>
          </w:tcPr>
          <w:p w:rsidR="0018722C">
            <w:pPr>
              <w:topLinePunct/>
              <w:ind w:leftChars="0" w:left="0" w:rightChars="0" w:right="0" w:firstLineChars="0" w:firstLine="0"/>
              <w:spacing w:line="240" w:lineRule="atLeast"/>
            </w:pPr>
            <w:r>
              <w:rPr>
                <w:rFonts w:ascii="宋体" w:eastAsia="宋体" w:hint="eastAsia"/>
              </w:rPr>
              <w:t>基础电源</w:t>
            </w:r>
          </w:p>
        </w:tc>
        <w:tc>
          <w:tcPr>
            <w:tcW w:w="4261" w:type="dxa"/>
          </w:tcPr>
          <w:p w:rsidR="0018722C">
            <w:pPr>
              <w:topLinePunct/>
              <w:ind w:leftChars="0" w:left="0" w:rightChars="0" w:right="0" w:firstLineChars="0" w:firstLine="0"/>
              <w:spacing w:line="240" w:lineRule="atLeast"/>
            </w:pPr>
            <w:r>
              <w:rPr>
                <w:rFonts w:ascii="宋体" w:eastAsia="宋体" w:hint="eastAsia"/>
              </w:rPr>
              <w:t>美国 BIO-RAD 公司</w:t>
            </w:r>
          </w:p>
        </w:tc>
      </w:tr>
    </w:tbl>
    <w:p w:rsidR="0018722C">
      <w:pPr>
        <w:pStyle w:val="affa"/>
      </w:pPr>
    </w:p>
    <w:p w:rsidR="0018722C">
      <w:pPr>
        <w:pStyle w:val="Heading3"/>
        <w:topLinePunct/>
        <w:ind w:left="200" w:hangingChars="200" w:hanging="200"/>
      </w:pPr>
      <w:r>
        <w:rPr>
          <w:b/>
        </w:rPr>
        <w:t>2.3 </w:t>
      </w:r>
      <w:r>
        <w:t>主要试剂配制</w:t>
      </w:r>
      <w:r w:rsidP="AA7D325B">
        <w:rPr>
          <w:b/>
        </w:rPr>
        <w:t>(</w:t>
      </w:r>
      <w:r>
        <w:t xml:space="preserve">均经</w:t>
      </w:r>
      <w:r>
        <w:rPr>
          <w:b/>
        </w:rPr>
        <w:t>0</w:t>
      </w:r>
      <w:r>
        <w:rPr>
          <w:b/>
        </w:rPr>
        <w:t>.</w:t>
      </w:r>
      <w:r>
        <w:rPr>
          <w:b/>
        </w:rPr>
        <w:t>22μm</w:t>
      </w:r>
      <w:r w:rsidR="001852F3">
        <w:t xml:space="preserve">滤膜过滤</w:t>
      </w:r>
      <w:r w:rsidP="AA7D325B">
        <w:rPr>
          <w:b/>
        </w:rPr>
        <w:t>)</w:t>
      </w:r>
    </w:p>
    <w:p w:rsidR="0018722C">
      <w:pPr>
        <w:topLinePunct/>
      </w:pPr>
      <w:r>
        <w:t>（</w:t>
      </w:r>
      <w:r>
        <w:t>1</w:t>
      </w:r>
      <w:r>
        <w:t>）</w:t>
      </w:r>
      <w:r>
        <w:t>PBS</w:t>
      </w:r>
      <w:r/>
      <w:r w:rsidR="001852F3">
        <w:t xml:space="preserve">液</w:t>
      </w:r>
      <w:r>
        <w:t>：PBS</w:t>
      </w:r>
      <w:r/>
      <w:r w:rsidR="001852F3">
        <w:t xml:space="preserve">粉</w:t>
      </w:r>
      <w:r>
        <w:t>1</w:t>
      </w:r>
      <w:r/>
      <w:r w:rsidR="001852F3">
        <w:t xml:space="preserve">包加入装有双蒸水</w:t>
      </w:r>
      <w:r>
        <w:t>（</w:t>
      </w:r>
      <w:r>
        <w:t>ddH2O</w:t>
      </w:r>
      <w:r>
        <w:t>）</w:t>
      </w:r>
      <w:r>
        <w:t>的量筒内，定容至2000mL，</w:t>
      </w:r>
      <w:r>
        <w:t>然后用</w:t>
      </w:r>
      <w:r>
        <w:t>0</w:t>
      </w:r>
      <w:r>
        <w:t>.</w:t>
      </w:r>
      <w:r>
        <w:t>22μm</w:t>
      </w:r>
      <w:r/>
      <w:r w:rsidR="001852F3">
        <w:t xml:space="preserve">的滤网过滤后分装于</w:t>
      </w:r>
      <w:r>
        <w:t>500mL</w:t>
      </w:r>
      <w:r/>
      <w:r w:rsidR="001852F3">
        <w:t xml:space="preserve">广口瓶中，高压灭菌</w:t>
      </w:r>
      <w:r>
        <w:t>后放在</w:t>
      </w:r>
      <w:r>
        <w:t>4℃冰箱保存。</w:t>
      </w:r>
    </w:p>
    <w:p w:rsidR="0018722C">
      <w:pPr>
        <w:topLinePunct/>
      </w:pPr>
      <w:r>
        <w:rPr>
          <w:rFonts w:cstheme="minorBidi" w:hAnsiTheme="minorHAnsi" w:eastAsiaTheme="minorHAnsi" w:asciiTheme="minorHAnsi"/>
        </w:rPr>
        <w:t>9</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topLinePunct/>
      </w:pPr>
      <w:r>
        <w:t>（</w:t>
      </w:r>
      <w:r>
        <w:t>2</w:t>
      </w:r>
      <w:r>
        <w:t>）</w:t>
      </w:r>
      <w:r>
        <w:t>蛋白裂解混合液：将</w:t>
      </w:r>
      <w:r>
        <w:t>200ΜL PMSF</w:t>
      </w:r>
      <w:r/>
      <w:r w:rsidR="001852F3">
        <w:t xml:space="preserve">和</w:t>
      </w:r>
      <w:r>
        <w:t>20mL RIPA</w:t>
      </w:r>
      <w:r/>
      <w:r w:rsidR="001852F3">
        <w:t xml:space="preserve">按照</w:t>
      </w:r>
      <w:r>
        <w:t>1﹕100</w:t>
      </w:r>
      <w:r/>
      <w:r w:rsidR="001852F3">
        <w:t xml:space="preserve">的比例混合，充分混匀，-20℃冰箱保存。</w:t>
      </w:r>
    </w:p>
    <w:p w:rsidR="0018722C">
      <w:pPr>
        <w:topLinePunct/>
      </w:pPr>
      <w:r>
        <w:t>（</w:t>
      </w:r>
      <w:r>
        <w:t>3</w:t>
      </w:r>
      <w:r>
        <w:t>）</w:t>
      </w:r>
      <w:r>
        <w:t>10%AP：</w:t>
      </w:r>
      <w:r>
        <w:t>电子天平称取</w:t>
      </w:r>
      <w:r>
        <w:t>0</w:t>
      </w:r>
      <w:r>
        <w:t>.</w:t>
      </w:r>
      <w:r>
        <w:t>1g</w:t>
      </w:r>
      <w:r/>
      <w:r w:rsidR="001852F3">
        <w:t xml:space="preserve">过硫酸铵，加超纯水定容至</w:t>
      </w:r>
      <w:r>
        <w:t>1mL，充分混和，放人-20℃冰箱</w:t>
      </w:r>
    </w:p>
    <w:p w:rsidR="0018722C">
      <w:pPr>
        <w:topLinePunct/>
      </w:pPr>
      <w:r>
        <w:t>（</w:t>
      </w:r>
      <w:r>
        <w:t>4</w:t>
      </w:r>
      <w:r>
        <w:t>）</w:t>
      </w:r>
      <w:r>
        <w:t>10%</w:t>
      </w:r>
      <w:r>
        <w:t>电泳液：电子天平称取</w:t>
      </w:r>
      <w:r>
        <w:t>18</w:t>
      </w:r>
      <w:r>
        <w:t>.</w:t>
      </w:r>
      <w:r>
        <w:t>77g</w:t>
      </w:r>
      <w:r/>
      <w:r w:rsidR="001852F3">
        <w:t xml:space="preserve">甘氨酸, </w:t>
      </w:r>
      <w:r>
        <w:t>30</w:t>
      </w:r>
      <w:r>
        <w:t>.</w:t>
      </w:r>
      <w:r>
        <w:t>3g</w:t>
      </w:r>
      <w:r>
        <w:t> </w:t>
      </w:r>
      <w:r>
        <w:t>Tris,</w:t>
      </w:r>
      <w:r>
        <w:t> </w:t>
      </w:r>
      <w:r>
        <w:t>10g</w:t>
      </w:r>
      <w:r>
        <w:t> </w:t>
      </w:r>
      <w:r>
        <w:t>SDS，在</w:t>
      </w:r>
      <w:r>
        <w:t>量筒中加超纯水定容至</w:t>
      </w:r>
      <w:r>
        <w:t>1000mL,充分混和，室温放置。需要时加超纯水稀</w:t>
      </w:r>
      <w:r>
        <w:t>释至</w:t>
      </w:r>
      <w:r>
        <w:t>1%</w:t>
      </w:r>
      <w:r>
        <w:t>的工作液。可以重复利用</w:t>
      </w:r>
      <w:r>
        <w:t>3-5</w:t>
      </w:r>
      <w:r/>
      <w:r w:rsidR="001852F3">
        <w:t xml:space="preserve">次。</w:t>
      </w:r>
    </w:p>
    <w:p w:rsidR="0018722C">
      <w:pPr>
        <w:topLinePunct/>
      </w:pPr>
      <w:r>
        <w:t>（</w:t>
      </w:r>
      <w:r>
        <w:t>5</w:t>
      </w:r>
      <w:r>
        <w:t>）</w:t>
      </w:r>
      <w:r>
        <w:t>转膜液：电子天平称取</w:t>
      </w:r>
      <w:r>
        <w:t>2</w:t>
      </w:r>
      <w:r>
        <w:t>.</w:t>
      </w:r>
      <w:r>
        <w:t>9g</w:t>
      </w:r>
      <w:r/>
      <w:r w:rsidR="001852F3">
        <w:t xml:space="preserve">甘氨酸</w:t>
      </w:r>
      <w:r>
        <w:t>，5.8g</w:t>
      </w:r>
      <w:r>
        <w:t> </w:t>
      </w:r>
      <w:r>
        <w:t>Tris</w:t>
      </w:r>
      <w:r>
        <w:t xml:space="preserve">, </w:t>
      </w:r>
      <w:r>
        <w:t>0.37g</w:t>
      </w:r>
      <w:r>
        <w:t> </w:t>
      </w:r>
      <w:r>
        <w:t>SDS</w:t>
      </w:r>
      <w:r>
        <w:t xml:space="preserve">, </w:t>
      </w:r>
      <w:r>
        <w:t>200mL</w:t>
      </w:r>
      <w:r>
        <w:t>甲醇，用量筒加双蒸水定容至</w:t>
      </w:r>
      <w:r>
        <w:t>1000mL，</w:t>
      </w:r>
      <w:r>
        <w:t>充分溶解后放在</w:t>
      </w:r>
      <w:r>
        <w:t>4℃冰箱中保存。</w:t>
      </w:r>
      <w:r>
        <w:t>可以重复利用</w:t>
      </w:r>
      <w:r>
        <w:t>2-3</w:t>
      </w:r>
      <w:r/>
      <w:r w:rsidR="001852F3">
        <w:t xml:space="preserve">次。</w:t>
      </w:r>
    </w:p>
    <w:p w:rsidR="0018722C">
      <w:pPr>
        <w:topLinePunct/>
      </w:pPr>
      <w:r>
        <w:t>（</w:t>
      </w:r>
      <w:r>
        <w:t>6</w:t>
      </w:r>
      <w:r>
        <w:t>）</w:t>
      </w:r>
      <w:r>
        <w:t>1%PBST</w:t>
      </w:r>
      <w:r/>
      <w:r w:rsidR="001852F3">
        <w:t xml:space="preserve">缓冲液：取</w:t>
      </w:r>
      <w:r>
        <w:t>500mLPBS，500μL20%Tween20，充分混和。现配现用。</w:t>
      </w:r>
    </w:p>
    <w:p w:rsidR="0018722C">
      <w:pPr>
        <w:topLinePunct/>
      </w:pPr>
      <w:r>
        <w:t>（</w:t>
      </w:r>
      <w:r>
        <w:t>7</w:t>
      </w:r>
      <w:r>
        <w:t>）</w:t>
      </w:r>
      <w:r>
        <w:t>5%</w:t>
      </w:r>
      <w:r>
        <w:t>蛋白封闭液：用精密电子称称取</w:t>
      </w:r>
      <w:r>
        <w:t>2</w:t>
      </w:r>
      <w:r>
        <w:t>.</w:t>
      </w:r>
      <w:r>
        <w:t>5g</w:t>
      </w:r>
      <w:r/>
      <w:r w:rsidR="001852F3">
        <w:t xml:space="preserve">脱脂奶粉，在量筒中用</w:t>
      </w:r>
      <w:r>
        <w:t>PBST</w:t>
      </w:r>
    </w:p>
    <w:p w:rsidR="0018722C">
      <w:pPr>
        <w:topLinePunct/>
      </w:pPr>
      <w:r>
        <w:t>定容至</w:t>
      </w:r>
      <w:r w:rsidR="001852F3">
        <w:t xml:space="preserve">50mL，充分溶解，现配现用。</w:t>
      </w:r>
    </w:p>
    <w:p w:rsidR="0018722C">
      <w:pPr>
        <w:topLinePunct/>
      </w:pPr>
      <w:r>
        <w:t>（</w:t>
      </w:r>
      <w:r>
        <w:t>8</w:t>
      </w:r>
      <w:r>
        <w:t>）</w:t>
      </w:r>
      <w:r>
        <w:t>蛋白一抗液：兔抗人</w:t>
      </w:r>
      <w:r/>
      <w:r>
        <w:t>COX-2</w:t>
      </w:r>
      <w:r/>
      <w:r>
        <w:t>多克隆抗体、兔抗人</w:t>
      </w:r>
      <w:r/>
      <w:r>
        <w:t>EP</w:t>
      </w:r>
      <w:r>
        <w:t>1</w:t>
      </w:r>
      <w:r/>
      <w:r>
        <w:t>多克隆抗体、兔抗人</w:t>
      </w:r>
      <w:r/>
      <w:r>
        <w:t>GAPDH</w:t>
      </w:r>
      <w:r/>
      <w:r>
        <w:t>多克隆抗体。其中</w:t>
      </w:r>
      <w:r/>
      <w:r>
        <w:t>GAPDH</w:t>
      </w:r>
      <w:r/>
      <w:r>
        <w:t>的工作浓度范围为</w:t>
      </w:r>
      <w:r/>
      <w:r>
        <w:t>1﹕1000-10000。本实验取</w:t>
      </w:r>
      <w:r/>
      <w:r>
        <w:t>1﹕2000</w:t>
      </w:r>
      <w:r/>
      <w:r>
        <w:t>的工作浓度。取</w:t>
      </w:r>
      <w:r/>
      <w:r>
        <w:t>7</w:t>
      </w:r>
      <w:r>
        <w:t>.</w:t>
      </w:r>
      <w:r>
        <w:t>5μL</w:t>
      </w:r>
      <w:r/>
      <w:r>
        <w:t>抗体，15mL</w:t>
      </w:r>
      <w:r w:rsidRPr="00000000">
        <w:tab/>
        <w:t>5%蛋白封闭液，充分混和后放在-20℃冰箱中保存。兔抗人</w:t>
      </w:r>
      <w:r/>
      <w:r>
        <w:t>COX-2</w:t>
      </w:r>
      <w:r/>
      <w:r>
        <w:t>多克隆抗体工作浓度范围1﹕100-1000。本实验取工作浓度为</w:t>
      </w:r>
      <w:r/>
      <w:r>
        <w:t>1﹕400。取抗体</w:t>
      </w:r>
      <w:r/>
      <w:r>
        <w:t>37</w:t>
      </w:r>
      <w:r>
        <w:t>.</w:t>
      </w:r>
      <w:r>
        <w:t>5μL，5%蛋白封闭液</w:t>
      </w:r>
      <w:r/>
      <w:r>
        <w:t>15mL，充分混和后放在-20℃冰箱中保存。兔抗人</w:t>
      </w:r>
      <w:r/>
      <w:r>
        <w:t>EP</w:t>
      </w:r>
      <w:r>
        <w:t>1</w:t>
      </w:r>
      <w:r/>
      <w:r>
        <w:t>多克隆抗体工作浓度范</w:t>
      </w:r>
      <w:r>
        <w:t>围</w:t>
      </w:r>
      <w:r>
        <w:t>1﹕100-1000。本实验取工作浓度为</w:t>
      </w:r>
      <w:r/>
      <w:r>
        <w:t>1﹕200。取抗体</w:t>
      </w:r>
      <w:r/>
      <w:r>
        <w:t>75μL，5%</w:t>
      </w:r>
      <w:r w:rsidR="001852F3">
        <w:t xml:space="preserve">蛋白封闭液</w:t>
      </w:r>
      <w:r/>
      <w:r>
        <w:t>15mL，充分混和后放在-20℃冰箱中保存。</w:t>
      </w:r>
    </w:p>
    <w:p w:rsidR="0018722C">
      <w:pPr>
        <w:topLinePunct/>
      </w:pPr>
      <w:r>
        <w:t>（</w:t>
      </w:r>
      <w:r>
        <w:t xml:space="preserve">9</w:t>
      </w:r>
      <w:r>
        <w:t>）</w:t>
      </w:r>
      <w:r>
        <w:t>蛋白二抗液：辣根过氧化物酶</w:t>
      </w:r>
      <w:r>
        <w:t>（</w:t>
      </w:r>
      <w:r>
        <w:t>Horseradish peroxidase HRP</w:t>
      </w:r>
      <w:r>
        <w:t>）</w:t>
      </w:r>
      <w:r>
        <w:t>标记的鼠抗兔二抗</w:t>
      </w:r>
      <w:r w:rsidR="001852F3">
        <w:t xml:space="preserve">IgG</w:t>
      </w:r>
      <w:r w:rsidR="001852F3">
        <w:t xml:space="preserve">的工作浓度为</w:t>
      </w:r>
      <w:r w:rsidR="001852F3">
        <w:t xml:space="preserve">1﹕1000-10000。本实验取工作浓度</w:t>
      </w:r>
      <w:r w:rsidR="001852F3">
        <w:t>是</w:t>
      </w:r>
    </w:p>
    <w:p w:rsidR="0018722C">
      <w:pPr>
        <w:topLinePunct/>
      </w:pPr>
      <w:r>
        <w:t>1﹕2000。取抗体</w:t>
      </w:r>
      <w:r/>
      <w:r>
        <w:t>7</w:t>
      </w:r>
      <w:r>
        <w:t>.</w:t>
      </w:r>
      <w:r>
        <w:t>5μL，PBST</w:t>
      </w:r>
      <w:r/>
      <w:r>
        <w:t>液</w:t>
      </w:r>
      <w:r w:rsidRPr="00000000">
        <w:tab/>
        <w:t>15mL，充分混和后放在-20℃冰箱中保存。</w:t>
      </w:r>
    </w:p>
    <w:p w:rsidR="0018722C">
      <w:pPr>
        <w:topLinePunct/>
      </w:pPr>
      <w:r>
        <w:rPr>
          <w:rFonts w:cstheme="minorBidi" w:hAnsiTheme="minorHAnsi" w:eastAsiaTheme="minorHAnsi" w:asciiTheme="minorHAnsi"/>
        </w:rPr>
        <w:t>10</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Heading1"/>
        <w:topLinePunct/>
      </w:pPr>
      <w:bookmarkStart w:id="227985" w:name="_Toc686227985"/>
      <w:bookmarkStart w:name="二.实验方法 " w:id="15"/>
      <w:bookmarkEnd w:id="15"/>
      <w:r/>
      <w:bookmarkStart w:name="_bookmark3" w:id="16"/>
      <w:bookmarkEnd w:id="16"/>
      <w:r/>
      <w:r>
        <w:t>二.</w:t>
      </w:r>
      <w:r>
        <w:t xml:space="preserve"> </w:t>
      </w:r>
      <w:r w:rsidRPr="00DB64CE">
        <w:t>实验方法</w:t>
      </w:r>
      <w:bookmarkEnd w:id="227985"/>
    </w:p>
    <w:p w:rsidR="0018722C">
      <w:pPr>
        <w:pStyle w:val="Heading2"/>
        <w:topLinePunct/>
        <w:ind w:left="171" w:hangingChars="171" w:hanging="171"/>
      </w:pPr>
      <w:bookmarkStart w:name="1.PCR检测癌组织中COX-2或EP1mRNA的表达 " w:id="17"/>
      <w:bookmarkEnd w:id="17"/>
      <w:r>
        <w:rPr>
          <w:b/>
        </w:rPr>
        <w:t>1.</w:t>
      </w:r>
      <w:r>
        <w:t xml:space="preserve"> </w:t>
      </w:r>
      <w:bookmarkStart w:name="1.PCR检测癌组织中COX-2或EP1mRNA的表达 " w:id="18"/>
      <w:bookmarkEnd w:id="18"/>
      <w:r>
        <w:rPr>
          <w:b/>
        </w:rPr>
        <w:t>PCR</w:t>
      </w:r>
      <w:r w:rsidR="001852F3">
        <w:t xml:space="preserve">检测癌组织中</w:t>
      </w:r>
      <w:r w:rsidR="001852F3">
        <w:rPr>
          <w:b/>
        </w:rPr>
        <w:t xml:space="preserve">COX-2</w:t>
      </w:r>
      <w:r w:rsidR="001852F3">
        <w:t xml:space="preserve">或</w:t>
      </w:r>
      <w:r>
        <w:rPr>
          <w:b/>
        </w:rPr>
        <w:t>EP</w:t>
      </w:r>
      <w:r>
        <w:rPr>
          <w:b/>
        </w:rPr>
        <w:t>1</w:t>
      </w:r>
      <w:r>
        <w:rPr>
          <w:b/>
        </w:rPr>
        <w:t>mRNA</w:t>
      </w:r>
      <w:r w:rsidR="001852F3">
        <w:t xml:space="preserve">的表达</w:t>
      </w:r>
    </w:p>
    <w:p w:rsidR="0018722C">
      <w:pPr>
        <w:pStyle w:val="Heading3"/>
        <w:topLinePunct/>
        <w:ind w:left="200" w:hangingChars="200" w:hanging="200"/>
      </w:pPr>
      <w:r>
        <w:rPr>
          <w:b/>
        </w:rPr>
        <w:t>1.1</w:t>
      </w:r>
      <w:r>
        <w:t xml:space="preserve"> </w:t>
      </w:r>
      <w:r>
        <w:t>新鲜</w:t>
      </w:r>
      <w:r>
        <w:rPr>
          <w:b/>
        </w:rPr>
        <w:t>HCC</w:t>
      </w:r>
      <w:r w:rsidR="001852F3">
        <w:t xml:space="preserve">组织总</w:t>
      </w:r>
      <w:r>
        <w:rPr>
          <w:b/>
        </w:rPr>
        <w:t>RNA</w:t>
      </w:r>
      <w:r w:rsidR="001852F3">
        <w:t xml:space="preserve">的提取：</w:t>
      </w:r>
    </w:p>
    <w:p w:rsidR="0018722C">
      <w:pPr>
        <w:topLinePunct/>
      </w:pPr>
      <w:r>
        <w:t>（</w:t>
      </w:r>
      <w:r>
        <w:t>1</w:t>
      </w:r>
      <w:r>
        <w:t>）</w:t>
      </w:r>
      <w:r>
        <w:t>从冻存盒中取出</w:t>
      </w:r>
      <w:r>
        <w:t>HCC</w:t>
      </w:r>
      <w:r/>
      <w:r w:rsidR="001852F3">
        <w:t xml:space="preserve">组织，研钵内反复加入液氮，至少</w:t>
      </w:r>
      <w:r>
        <w:t>4-5</w:t>
      </w:r>
      <w:r/>
      <w:r w:rsidR="001852F3">
        <w:t xml:space="preserve">次，使研钵充分预冷。从冻存盒中取出样本，将组织块放入已预冷的研钵中研磨，</w:t>
      </w:r>
      <w:r w:rsidR="001852F3">
        <w:t xml:space="preserve">边研磨边加液氮，整个过程保持研钵内液氮有剩余，一次研磨的组织块重</w:t>
      </w:r>
      <w:r>
        <w:t>量不超过</w:t>
      </w:r>
      <w:r>
        <w:t>300mg</w:t>
      </w:r>
      <w:r>
        <w:t>。研磨后的组织转移至经高压灭菌去酶处理后的</w:t>
      </w:r>
      <w:r>
        <w:t>1</w:t>
      </w:r>
      <w:r>
        <w:t>.</w:t>
      </w:r>
      <w:r>
        <w:t>5mLE</w:t>
      </w:r>
      <w:r>
        <w:t>p</w:t>
      </w:r>
    </w:p>
    <w:p w:rsidR="0018722C">
      <w:pPr>
        <w:topLinePunct/>
      </w:pPr>
      <w:r>
        <w:t>管中，加入</w:t>
      </w:r>
      <w:r w:rsidR="001852F3">
        <w:t xml:space="preserve">1mL Trizol，用移液器轻轻吹匀，冰上孵育</w:t>
      </w:r>
      <w:r w:rsidR="001852F3">
        <w:t xml:space="preserve">5min。</w:t>
      </w:r>
    </w:p>
    <w:p w:rsidR="0018722C">
      <w:pPr>
        <w:topLinePunct/>
      </w:pPr>
      <w:r>
        <w:t>（</w:t>
      </w:r>
      <w:r>
        <w:t>2</w:t>
      </w:r>
      <w:r>
        <w:t>）</w:t>
      </w:r>
      <w:r>
        <w:t>向</w:t>
      </w:r>
      <w:r>
        <w:t>Ep</w:t>
      </w:r>
      <w:r/>
      <w:r w:rsidR="001852F3">
        <w:t xml:space="preserve">管中加入氯仿</w:t>
      </w:r>
      <w:r>
        <w:t>200μL，</w:t>
      </w:r>
      <w:r>
        <w:t>上下剧烈振荡颠倒</w:t>
      </w:r>
      <w:r>
        <w:t>15</w:t>
      </w:r>
      <w:r/>
      <w:r w:rsidR="001852F3">
        <w:t xml:space="preserve">秒后冰上孵育5min，12000rmp，</w:t>
      </w:r>
      <w:r>
        <w:t>在</w:t>
      </w:r>
      <w:r>
        <w:t>4℃</w:t>
      </w:r>
      <w:r>
        <w:t>低温离心机中离心</w:t>
      </w:r>
      <w:r>
        <w:t>15min。</w:t>
      </w:r>
    </w:p>
    <w:p w:rsidR="0018722C">
      <w:pPr>
        <w:topLinePunct/>
      </w:pPr>
      <w:r>
        <w:t>（</w:t>
      </w:r>
      <w:r>
        <w:t xml:space="preserve">3</w:t>
      </w:r>
      <w:r>
        <w:t>）</w:t>
      </w:r>
      <w:r>
        <w:t>用吸管小心吸取上清液置于另一</w:t>
      </w:r>
      <w:r w:rsidR="001852F3">
        <w:t xml:space="preserve">EP</w:t>
      </w:r>
      <w:r w:rsidR="001852F3">
        <w:t xml:space="preserve">管中，勿接触到中间蛋白层。</w:t>
      </w:r>
    </w:p>
    <w:p w:rsidR="0018722C">
      <w:pPr>
        <w:topLinePunct/>
      </w:pPr>
      <w:r>
        <w:t>（</w:t>
      </w:r>
      <w:r>
        <w:t xml:space="preserve">4</w:t>
      </w:r>
      <w:r>
        <w:t>）</w:t>
      </w:r>
      <w:r>
        <w:t>向</w:t>
      </w:r>
      <w:r w:rsidR="001852F3">
        <w:t xml:space="preserve">Ep</w:t>
      </w:r>
      <w:r w:rsidR="001852F3">
        <w:t xml:space="preserve">管中加入异丙醇</w:t>
      </w:r>
      <w:r w:rsidR="001852F3">
        <w:t xml:space="preserve">500μL，上下颠倒剧烈摇晃混匀，冰上孵育</w:t>
      </w:r>
    </w:p>
    <w:p w:rsidR="0018722C">
      <w:pPr>
        <w:topLinePunct/>
      </w:pPr>
      <w:r>
        <w:t>10</w:t>
      </w:r>
      <w:r/>
      <w:r w:rsidR="001852F3">
        <w:t xml:space="preserve">分钟</w:t>
      </w:r>
      <w:r>
        <w:t>，12000rmp、4℃</w:t>
      </w:r>
      <w:r>
        <w:t>离心机上离心</w:t>
      </w:r>
      <w:r>
        <w:t>15min，离心后在侧壁或管底可见白色沉淀。</w:t>
      </w:r>
    </w:p>
    <w:p w:rsidR="0018722C">
      <w:pPr>
        <w:topLinePunct/>
      </w:pPr>
      <w:r>
        <w:t>（</w:t>
      </w:r>
      <w:r>
        <w:t>5</w:t>
      </w:r>
      <w:r>
        <w:t>）</w:t>
      </w:r>
      <w:r>
        <w:t>弃掉上清，加入预冷的</w:t>
      </w:r>
      <w:r>
        <w:t>75%</w:t>
      </w:r>
      <w:r>
        <w:t>乙醇</w:t>
      </w:r>
      <w:r>
        <w:t>1mL，充分振荡混匀，7500rpm，4℃</w:t>
      </w:r>
      <w:r>
        <w:t>离心机离心</w:t>
      </w:r>
      <w:r>
        <w:t>10min。</w:t>
      </w:r>
    </w:p>
    <w:p w:rsidR="0018722C">
      <w:pPr>
        <w:topLinePunct/>
      </w:pPr>
      <w:r>
        <w:t>（</w:t>
      </w:r>
      <w:r>
        <w:t>6</w:t>
      </w:r>
      <w:r>
        <w:t>）</w:t>
      </w:r>
      <w:r>
        <w:t>重复操作</w:t>
      </w:r>
      <w:r>
        <w:t>（</w:t>
      </w:r>
      <w:r>
        <w:t>5</w:t>
      </w:r>
      <w:r>
        <w:t>）</w:t>
      </w:r>
      <w:r>
        <w:t>一次。</w:t>
      </w:r>
    </w:p>
    <w:p w:rsidR="0018722C">
      <w:pPr>
        <w:topLinePunct/>
      </w:pPr>
      <w:r>
        <w:t>（</w:t>
      </w:r>
      <w:r>
        <w:t xml:space="preserve">7</w:t>
      </w:r>
      <w:r>
        <w:t>）</w:t>
      </w:r>
      <w:r>
        <w:t>倒掉上清液，将</w:t>
      </w:r>
      <w:r w:rsidR="001852F3">
        <w:t xml:space="preserve">Ep</w:t>
      </w:r>
      <w:r w:rsidR="001852F3">
        <w:t xml:space="preserve">管倒置在滤纸上或者室温，使</w:t>
      </w:r>
      <w:r w:rsidR="001852F3">
        <w:t xml:space="preserve">RNA</w:t>
      </w:r>
      <w:r w:rsidR="001852F3">
        <w:t xml:space="preserve">干燥。</w:t>
      </w:r>
    </w:p>
    <w:p w:rsidR="0018722C">
      <w:pPr>
        <w:pStyle w:val="cw18"/>
        <w:topLinePunct/>
      </w:pPr>
      <w:r>
        <w:rPr>
          <w:rFonts w:ascii="宋体" w:hAnsi="宋体" w:eastAsia="宋体" w:hint="eastAsia"/>
        </w:rPr>
        <w:t>（</w:t>
      </w:r>
      <w:r>
        <w:rPr>
          <w:rFonts w:ascii="宋体" w:hAnsi="宋体" w:eastAsia="宋体" w:hint="eastAsia"/>
        </w:rPr>
        <w:t xml:space="preserve">8</w:t>
      </w:r>
      <w:r>
        <w:rPr>
          <w:rFonts w:ascii="宋体" w:hAnsi="宋体" w:eastAsia="宋体" w:hint="eastAsia"/>
        </w:rPr>
        <w:t>）</w:t>
      </w:r>
      <w:r>
        <w:rPr>
          <w:rFonts w:ascii="宋体" w:hAnsi="宋体" w:eastAsia="宋体" w:hint="eastAsia"/>
        </w:rPr>
        <w:t>EP</w:t>
      </w:r>
      <w:r w:rsidR="001852F3">
        <w:rPr>
          <w:rFonts w:ascii="宋体" w:hAnsi="宋体" w:eastAsia="宋体" w:hint="eastAsia"/>
        </w:rPr>
        <w:t xml:space="preserve">管中加入无酶水适量，在</w:t>
      </w:r>
      <w:r>
        <w:rPr>
          <w:rFonts w:ascii="宋体" w:hAnsi="宋体" w:eastAsia="宋体" w:hint="eastAsia"/>
        </w:rPr>
        <w:t>55℃</w:t>
      </w:r>
      <w:r>
        <w:rPr>
          <w:rFonts w:ascii="宋体" w:hAnsi="宋体" w:eastAsia="宋体" w:hint="eastAsia"/>
        </w:rPr>
        <w:t>水浴中混匀放置</w:t>
      </w:r>
      <w:r>
        <w:rPr>
          <w:rFonts w:ascii="宋体" w:hAnsi="宋体" w:eastAsia="宋体" w:hint="eastAsia"/>
        </w:rPr>
        <w:t>10</w:t>
      </w:r>
      <w:r>
        <w:rPr>
          <w:rFonts w:ascii="宋体" w:hAnsi="宋体" w:eastAsia="宋体" w:hint="eastAsia"/>
        </w:rPr>
        <w:t> </w:t>
      </w:r>
      <w:r>
        <w:rPr>
          <w:rFonts w:ascii="宋体" w:hAnsi="宋体" w:eastAsia="宋体" w:hint="eastAsia"/>
        </w:rPr>
        <w:t>min，待其全部</w:t>
      </w:r>
      <w:r>
        <w:rPr>
          <w:rFonts w:ascii="宋体" w:hAnsi="宋体" w:eastAsia="宋体" w:hint="eastAsia"/>
        </w:rPr>
        <w:t>溶解，取出少量进行</w:t>
      </w:r>
      <w:r>
        <w:rPr>
          <w:rFonts w:ascii="宋体" w:hAnsi="宋体" w:eastAsia="宋体" w:hint="eastAsia"/>
        </w:rPr>
        <w:t>RNA</w:t>
      </w:r>
      <w:r w:rsidR="001852F3">
        <w:rPr>
          <w:rFonts w:ascii="宋体" w:hAnsi="宋体" w:eastAsia="宋体" w:hint="eastAsia"/>
        </w:rPr>
        <w:t xml:space="preserve">浓度、纯度检测，剩下的</w:t>
      </w:r>
      <w:r>
        <w:rPr>
          <w:rFonts w:ascii="宋体" w:hAnsi="宋体" w:eastAsia="宋体" w:hint="eastAsia"/>
        </w:rPr>
        <w:t>-80℃低温冰箱中保存备用。</w:t>
      </w:r>
    </w:p>
    <w:p w:rsidR="0018722C">
      <w:pPr>
        <w:pStyle w:val="cw18"/>
        <w:topLinePunct/>
      </w:pPr>
      <w:r>
        <w:rPr>
          <w:rFonts w:ascii="宋体" w:eastAsia="宋体" w:hint="eastAsia"/>
        </w:rPr>
        <w:t>（</w:t>
      </w:r>
      <w:r>
        <w:rPr>
          <w:rFonts w:ascii="宋体" w:eastAsia="宋体" w:hint="eastAsia"/>
        </w:rPr>
        <w:t xml:space="preserve">9</w:t>
      </w:r>
      <w:r>
        <w:rPr>
          <w:rFonts w:ascii="宋体" w:eastAsia="宋体" w:hint="eastAsia"/>
        </w:rPr>
        <w:t>）</w:t>
      </w:r>
      <w:r>
        <w:rPr>
          <w:rFonts w:ascii="宋体" w:eastAsia="宋体" w:hint="eastAsia"/>
        </w:rPr>
        <w:t>RNA</w:t>
      </w:r>
      <w:r w:rsidR="001852F3">
        <w:rPr>
          <w:rFonts w:ascii="宋体" w:eastAsia="宋体" w:hint="eastAsia"/>
        </w:rPr>
        <w:t xml:space="preserve">浓度、纯度的测定：</w:t>
      </w:r>
    </w:p>
    <w:p w:rsidR="0018722C">
      <w:pPr>
        <w:topLinePunct/>
      </w:pPr>
      <w:r>
        <w:t>用微量移液器取溶解的总</w:t>
      </w:r>
      <w:r>
        <w:t>RNA</w:t>
      </w:r>
      <w:r/>
      <w:r w:rsidR="001852F3">
        <w:t xml:space="preserve">溶液</w:t>
      </w:r>
      <w:r>
        <w:t>1μL，</w:t>
      </w:r>
      <w:r>
        <w:t>用</w:t>
      </w:r>
      <w:r>
        <w:t>NANODROP 2000</w:t>
      </w:r>
      <w:r/>
      <w:r w:rsidR="001852F3">
        <w:t xml:space="preserve">核酸微量检</w:t>
      </w:r>
      <w:r>
        <w:t>测仪检测总</w:t>
      </w:r>
      <w:r>
        <w:t>RNA</w:t>
      </w:r>
      <w:r/>
      <w:r w:rsidR="001852F3">
        <w:t xml:space="preserve">在波长</w:t>
      </w:r>
      <w:r>
        <w:t>260nm、280nm</w:t>
      </w:r>
      <w:r/>
      <w:r w:rsidR="001852F3">
        <w:t xml:space="preserve">处的</w:t>
      </w:r>
      <w:r>
        <w:t>AD</w:t>
      </w:r>
      <w:r/>
      <w:r w:rsidR="001852F3">
        <w:t xml:space="preserve">值，并计算出</w:t>
      </w:r>
      <w:r>
        <w:t>AD260</w:t>
      </w:r>
      <w:r>
        <w:t>/</w:t>
      </w:r>
      <w:r>
        <w:t xml:space="preserve">AD280</w:t>
      </w:r>
      <w:r>
        <w:t>比值，比值在</w:t>
      </w:r>
      <w:r>
        <w:t>1</w:t>
      </w:r>
      <w:r>
        <w:t>.</w:t>
      </w:r>
      <w:r>
        <w:t>8–2.0</w:t>
      </w:r>
      <w:r/>
      <w:r w:rsidR="001852F3">
        <w:t xml:space="preserve">之间说明总</w:t>
      </w:r>
      <w:r>
        <w:t>RNA</w:t>
      </w:r>
      <w:r/>
      <w:r w:rsidR="001852F3">
        <w:t xml:space="preserve">的纯度高</w:t>
      </w:r>
      <w:r>
        <w:t>，DNA</w:t>
      </w:r>
      <w:r/>
      <w:r w:rsidR="001852F3">
        <w:t xml:space="preserve">和蛋白质污染的</w:t>
      </w:r>
      <w:r w:rsidR="001852F3">
        <w:t>概</w:t>
      </w:r>
    </w:p>
    <w:p w:rsidR="0018722C">
      <w:pPr>
        <w:topLinePunct/>
      </w:pPr>
      <w:r>
        <w:rPr>
          <w:rFonts w:cstheme="minorBidi" w:hAnsiTheme="minorHAnsi" w:eastAsiaTheme="minorHAnsi" w:asciiTheme="minorHAnsi"/>
        </w:rPr>
        <w:t>11</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topLinePunct/>
      </w:pPr>
      <w:r>
        <w:t>率小。</w:t>
      </w:r>
    </w:p>
    <w:p w:rsidR="0018722C">
      <w:pPr>
        <w:pStyle w:val="Heading3"/>
        <w:topLinePunct/>
        <w:ind w:left="200" w:hangingChars="200" w:hanging="200"/>
      </w:pPr>
      <w:r>
        <w:rPr>
          <w:b/>
        </w:rPr>
        <w:t>1.2</w:t>
      </w:r>
      <w:r>
        <w:t xml:space="preserve"> </w:t>
      </w:r>
      <w:r>
        <w:rPr>
          <w:b/>
        </w:rPr>
        <w:t>RNA</w:t>
      </w:r>
      <w:r w:rsidR="001852F3">
        <w:t xml:space="preserve">逆转录为</w:t>
      </w:r>
      <w:r>
        <w:rPr>
          <w:b/>
        </w:rPr>
        <w:t>cDNA</w:t>
      </w:r>
    </w:p>
    <w:p w:rsidR="0018722C">
      <w:pPr>
        <w:topLinePunct/>
      </w:pPr>
      <w:r>
        <w:t>参照大连宝生物工程有限公司的试剂盒说明书进行逆转录操作，对于</w:t>
      </w:r>
      <w:r>
        <w:t>获得的逆转录</w:t>
      </w:r>
      <w:r>
        <w:t>cDNA，短时间内使用可以保存在-20℃冰箱，如果需要长时间使用建议保存在-80℃超低温冰箱。</w:t>
      </w:r>
    </w:p>
    <w:p w:rsidR="0018722C">
      <w:pPr>
        <w:topLinePunct/>
      </w:pPr>
      <w:r>
        <w:t>（</w:t>
      </w:r>
      <w:r>
        <w:t xml:space="preserve">1</w:t>
      </w:r>
      <w:r>
        <w:t>）</w:t>
      </w:r>
      <w:r>
        <w:t>去除基因组</w:t>
      </w:r>
      <w:r w:rsidR="001852F3">
        <w:t xml:space="preserve">DNA：</w:t>
      </w:r>
    </w:p>
    <w:p w:rsidR="0018722C">
      <w:pPr>
        <w:pStyle w:val="ae"/>
        <w:topLinePunct/>
      </w:pPr>
      <w:r>
        <w:pict>
          <v:line style="position:absolute;mso-position-horizontal-relative:page;mso-position-vertical-relative:paragraph;z-index:1576;mso-wrap-distance-left:0;mso-wrap-distance-right:0" from="84.599998pt,29.951567pt" to="510.700005pt,29.951567pt" stroked="true" strokeweight="1.5pt" strokecolor="#000000">
            <v:stroke dashstyle="solid"/>
            <w10:wrap type="topAndBottom"/>
          </v:line>
        </w:pict>
      </w:r>
      <w:r>
        <w:t>①反应体系（冰上配制）：</w:t>
      </w:r>
    </w:p>
    <w:p w:rsidR="0018722C">
      <w:pPr>
        <w:tabs>
          <w:tab w:pos="7761" w:val="left" w:leader="none"/>
        </w:tabs>
        <w:spacing w:before="196" w:after="129"/>
        <w:ind w:leftChars="0" w:left="900" w:rightChars="0" w:right="0" w:firstLineChars="0" w:firstLine="0"/>
        <w:jc w:val="left"/>
        <w:topLinePunct/>
      </w:pPr>
      <w:r>
        <w:rPr>
          <w:kern w:val="2"/>
          <w:sz w:val="21"/>
          <w:szCs w:val="22"/>
          <w:rFonts w:cstheme="minorBidi" w:hAnsiTheme="minorHAnsi" w:eastAsiaTheme="minorHAnsi" w:asciiTheme="minorHAnsi" w:ascii="宋体" w:eastAsia="宋体" w:hint="eastAsia"/>
        </w:rPr>
        <w:t>试剂</w:t>
      </w:r>
      <w:r w:rsidR="001852F3">
        <w:rPr>
          <w:kern w:val="2"/>
          <w:sz w:val="22"/>
          <w:szCs w:val="22"/>
          <w:rFonts w:cstheme="minorBidi" w:hAnsiTheme="minorHAnsi" w:eastAsiaTheme="minorHAnsi" w:asciiTheme="minorHAnsi"/>
        </w:rPr>
        <w:t>使用量</w:t>
      </w:r>
    </w:p>
    <w:p w:rsidR="0018722C">
      <w:pPr>
        <w:pStyle w:val="aff7"/>
        <w:topLinePunct/>
      </w:pPr>
      <w:r>
        <w:rPr>
          <w:position w:val="0"/>
          <w:sz w:val="3"/>
        </w:rPr>
        <w:pict>
          <v:group style="width:426.1pt;height:1.5pt;mso-position-horizontal-relative:char;mso-position-vertical-relative:line" coordorigin="0,0" coordsize="8522,30">
            <v:line style="position:absolute" from="0,15" to="8522,15" stroked="true" strokeweight="1.5pt" strokecolor="#000000">
              <v:stroke dashstyle="solid"/>
            </v:line>
          </v:group>
        </w:pict>
      </w:r>
      <w:r/>
    </w:p>
    <w:p w:rsidR="0018722C">
      <w:pPr>
        <w:pStyle w:val="affff1"/>
        <w:topLinePunct/>
      </w:pPr>
      <w:r>
        <w:rPr>
          <w:rFonts w:cstheme="minorBidi" w:hAnsiTheme="minorHAnsi" w:eastAsiaTheme="minorHAnsi" w:asciiTheme="minorHAnsi" w:ascii="宋体" w:hAnsi="宋体"/>
        </w:rPr>
        <w:t>gDNA Eraser</w:t>
      </w:r>
      <w:r w:rsidRPr="00000000">
        <w:rPr>
          <w:rFonts w:cstheme="minorBidi" w:hAnsiTheme="minorHAnsi" w:eastAsiaTheme="minorHAnsi" w:asciiTheme="minorHAnsi"/>
        </w:rPr>
        <w:tab/>
        <w:t>1.0μL</w:t>
      </w:r>
    </w:p>
    <w:p w:rsidR="0018722C">
      <w:pPr>
        <w:topLinePunct/>
      </w:pPr>
      <w:r>
        <w:rPr>
          <w:rFonts w:cstheme="minorBidi" w:hAnsiTheme="minorHAnsi" w:eastAsiaTheme="minorHAnsi" w:asciiTheme="minorHAnsi" w:ascii="宋体" w:hAnsi="宋体"/>
        </w:rPr>
        <w:t>5×gDNA Eraser Buffer</w:t>
      </w:r>
      <w:r w:rsidRPr="00000000">
        <w:rPr>
          <w:rFonts w:cstheme="minorBidi" w:hAnsiTheme="minorHAnsi" w:eastAsiaTheme="minorHAnsi" w:asciiTheme="minorHAnsi"/>
        </w:rPr>
        <w:tab/>
        <w:t>2.0μL</w:t>
      </w:r>
    </w:p>
    <w:p w:rsidR="0018722C">
      <w:pPr>
        <w:topLinePunct/>
      </w:pPr>
      <w:r>
        <w:rPr>
          <w:rFonts w:cstheme="minorBidi" w:hAnsiTheme="minorHAnsi" w:eastAsiaTheme="minorHAnsi" w:asciiTheme="minorHAnsi" w:ascii="宋体" w:hAnsi="宋体"/>
        </w:rPr>
        <w:t>Total RNA</w:t>
      </w:r>
      <w:r w:rsidRPr="00000000">
        <w:rPr>
          <w:rFonts w:cstheme="minorBidi" w:hAnsiTheme="minorHAnsi" w:eastAsiaTheme="minorHAnsi" w:asciiTheme="minorHAnsi"/>
        </w:rPr>
        <w:tab/>
        <w:t>&lt;1μg</w:t>
      </w:r>
    </w:p>
    <w:p w:rsidR="0018722C">
      <w:pPr>
        <w:pStyle w:val="ae"/>
        <w:topLinePunct/>
      </w:pPr>
      <w:r>
        <w:rPr>
          <w:rFonts w:cstheme="minorBidi" w:hAnsiTheme="minorHAnsi" w:eastAsiaTheme="minorHAnsi" w:asciiTheme="minorHAnsi"/>
        </w:rPr>
        <w:pict>
          <v:line style="position:absolute;mso-position-horizontal-relative:page;mso-position-vertical-relative:paragraph;z-index:1624;mso-wrap-distance-left:0;mso-wrap-distance-right:0" from="84.599998pt,18.213676pt" to="510.700005pt,18.213676pt" stroked="true" strokeweight="1.5pt" strokecolor="#000000">
            <v:stroke dashstyle="solid"/>
            <w10:wrap type="topAndBottom"/>
          </v:line>
        </w:pict>
      </w:r>
      <w:r>
        <w:rPr>
          <w:rFonts w:ascii="宋体" w:hAnsi="宋体" w:cstheme="minorBidi" w:eastAsiaTheme="minorHAnsi"/>
        </w:rPr>
        <w:t>RNase Free dH2O</w:t>
      </w:r>
      <w:r w:rsidRPr="00000000">
        <w:rPr>
          <w:rFonts w:cstheme="minorBidi" w:hAnsiTheme="minorHAnsi" w:eastAsiaTheme="minorHAnsi" w:asciiTheme="minorHAnsi"/>
        </w:rPr>
        <w:tab/>
        <w:t>Up to 10</w:t>
      </w:r>
      <w:r w:rsidR="001852F3">
        <w:t xml:space="preserve">μL</w:t>
      </w:r>
    </w:p>
    <w:p w:rsidR="0018722C">
      <w:pPr>
        <w:topLinePunct/>
      </w:pPr>
      <w:r>
        <w:t>②反应条件：42℃反应</w:t>
      </w:r>
      <w:r w:rsidR="001852F3">
        <w:t xml:space="preserve">2min，4℃保存。</w:t>
      </w:r>
    </w:p>
    <w:p w:rsidR="0018722C">
      <w:pPr>
        <w:topLinePunct/>
      </w:pPr>
      <w:r>
        <w:t>（</w:t>
      </w:r>
      <w:r>
        <w:t xml:space="preserve">2</w:t>
      </w:r>
      <w:r>
        <w:t>）</w:t>
      </w:r>
      <w:r>
        <w:t>逆转录成</w:t>
      </w:r>
      <w:r w:rsidR="001852F3">
        <w:t xml:space="preserve">cDNA ：</w:t>
      </w:r>
    </w:p>
    <w:p w:rsidR="0018722C">
      <w:pPr>
        <w:topLinePunct/>
      </w:pPr>
    </w:p>
    <w:p w:rsidR="0018722C">
      <w:pPr>
        <w:pStyle w:val="ae"/>
        <w:topLinePunct/>
      </w:pPr>
      <w:r>
        <w:pict>
          <v:line style="position:absolute;mso-position-horizontal-relative:page;mso-position-vertical-relative:paragraph;z-index:1648;mso-wrap-distance-left:0;mso-wrap-distance-right:0" from="84.599998pt,22.301567pt" to="510.700005pt,22.301567pt" stroked="true" strokeweight="1.5pt" strokecolor="#000000">
            <v:stroke dashstyle="solid"/>
            <w10:wrap type="topAndBottom"/>
          </v:line>
        </w:pict>
      </w:r>
      <w:r>
        <w:t>①反应体系（冰上配制）：</w:t>
      </w:r>
    </w:p>
    <w:p w:rsidR="0018722C">
      <w:pPr>
        <w:tabs>
          <w:tab w:pos="7761" w:val="left" w:leader="none"/>
        </w:tabs>
        <w:spacing w:before="196" w:after="129"/>
        <w:ind w:leftChars="0" w:left="900" w:rightChars="0" w:right="0" w:firstLineChars="0" w:firstLine="0"/>
        <w:jc w:val="left"/>
        <w:topLinePunct/>
      </w:pPr>
      <w:r>
        <w:rPr>
          <w:kern w:val="2"/>
          <w:sz w:val="21"/>
          <w:szCs w:val="22"/>
          <w:rFonts w:cstheme="minorBidi" w:hAnsiTheme="minorHAnsi" w:eastAsiaTheme="minorHAnsi" w:asciiTheme="minorHAnsi" w:ascii="宋体" w:eastAsia="宋体" w:hint="eastAsia"/>
        </w:rPr>
        <w:t>试剂</w:t>
      </w:r>
      <w:r w:rsidR="001852F3">
        <w:rPr>
          <w:kern w:val="2"/>
          <w:sz w:val="22"/>
          <w:szCs w:val="22"/>
          <w:rFonts w:cstheme="minorBidi" w:hAnsiTheme="minorHAnsi" w:eastAsiaTheme="minorHAnsi" w:asciiTheme="minorHAnsi"/>
        </w:rPr>
        <w:t>使用量</w:t>
      </w:r>
    </w:p>
    <w:p w:rsidR="0018722C">
      <w:pPr>
        <w:pStyle w:val="aff7"/>
        <w:topLinePunct/>
      </w:pPr>
      <w:r>
        <w:rPr>
          <w:position w:val="0"/>
          <w:sz w:val="3"/>
        </w:rPr>
        <w:pict>
          <v:group style="width:426.1pt;height:1.5pt;mso-position-horizontal-relative:char;mso-position-vertical-relative:line" coordorigin="0,0" coordsize="8522,30">
            <v:line style="position:absolute" from="0,15" to="8522,15" stroked="true" strokeweight="1.5pt" strokecolor="#000000">
              <v:stroke dashstyle="solid"/>
            </v:line>
          </v:group>
        </w:pict>
      </w:r>
      <w:r/>
    </w:p>
    <w:p w:rsidR="0018722C">
      <w:pPr>
        <w:pStyle w:val="affff1"/>
        <w:topLinePunct/>
      </w:pPr>
      <w:r>
        <w:rPr>
          <w:rFonts w:cstheme="minorBidi" w:hAnsiTheme="minorHAnsi" w:eastAsiaTheme="minorHAnsi" w:asciiTheme="minorHAnsi" w:ascii="宋体" w:hAnsi="宋体"/>
        </w:rPr>
        <w:t>PrimeScript RT Enzyme</w:t>
      </w:r>
      <w:r>
        <w:rPr>
          <w:rFonts w:ascii="宋体" w:hAnsi="宋体" w:cstheme="minorBidi" w:eastAsiaTheme="minorHAnsi"/>
        </w:rPr>
        <w:t> </w:t>
      </w:r>
      <w:r>
        <w:rPr>
          <w:rFonts w:ascii="宋体" w:hAnsi="宋体" w:cstheme="minorBidi" w:eastAsiaTheme="minorHAnsi"/>
        </w:rPr>
        <w:t>Mix I</w:t>
      </w:r>
      <w:r w:rsidRPr="00000000">
        <w:rPr>
          <w:rFonts w:cstheme="minorBidi" w:hAnsiTheme="minorHAnsi" w:eastAsiaTheme="minorHAnsi" w:asciiTheme="minorHAnsi"/>
        </w:rPr>
        <w:tab/>
        <w:t>1.0μL</w:t>
      </w:r>
    </w:p>
    <w:p w:rsidR="0018722C">
      <w:pPr>
        <w:topLinePunct/>
      </w:pPr>
      <w:r>
        <w:rPr>
          <w:rFonts w:cstheme="minorBidi" w:hAnsiTheme="minorHAnsi" w:eastAsiaTheme="minorHAnsi" w:asciiTheme="minorHAnsi" w:ascii="宋体" w:hAnsi="宋体" w:eastAsia="宋体" w:hint="eastAsia"/>
        </w:rPr>
        <w:t>5×PrimeScript Buffer 2</w:t>
      </w:r>
      <w:r>
        <w:rPr>
          <w:rFonts w:cstheme="minorBidi" w:hAnsiTheme="minorHAnsi" w:eastAsiaTheme="minorHAnsi" w:asciiTheme="minorHAnsi" w:ascii="宋体" w:hAnsi="宋体" w:eastAsia="宋体" w:hint="eastAsia"/>
          <w:kern w:val="2"/>
          <w:sz w:val="21"/>
          <w:rFonts w:cstheme="minorBidi" w:hAnsiTheme="minorHAnsi" w:eastAsiaTheme="minorHAnsi" w:asciiTheme="minorHAnsi" w:ascii="宋体" w:hAnsi="宋体" w:eastAsia="宋体" w:hint="eastAsia"/>
        </w:rPr>
        <w:t>(</w:t>
      </w:r>
      <w:r>
        <w:rPr>
          <w:rFonts w:cstheme="minorBidi" w:hAnsiTheme="minorHAnsi" w:eastAsiaTheme="minorHAnsi" w:asciiTheme="minorHAnsi" w:ascii="宋体" w:hAnsi="宋体" w:eastAsia="宋体" w:hint="eastAsia"/>
        </w:rPr>
        <w:t>for</w:t>
      </w:r>
      <w:r>
        <w:rPr>
          <w:rFonts w:ascii="宋体" w:hAnsi="宋体" w:eastAsia="宋体" w:hint="eastAsia" w:cstheme="minorBidi"/>
        </w:rPr>
        <w:t> </w:t>
      </w:r>
      <w:r>
        <w:rPr>
          <w:rFonts w:ascii="宋体" w:hAnsi="宋体" w:eastAsia="宋体" w:hint="eastAsia" w:cstheme="minorBidi"/>
        </w:rPr>
        <w:t>Real Time</w:t>
      </w:r>
      <w:r>
        <w:rPr>
          <w:rFonts w:ascii="宋体" w:hAnsi="宋体" w:eastAsia="宋体" w:hint="eastAsia" w:cstheme="minorBidi"/>
          <w:kern w:val="2"/>
          <w:rFonts w:ascii="宋体" w:hAnsi="宋体" w:eastAsia="宋体" w:hint="eastAsia" w:cstheme="minorBidi"/>
          <w:sz w:val="21"/>
        </w:rPr>
        <w:t>)</w:t>
      </w:r>
      <w:r w:rsidRPr="00000000">
        <w:rPr>
          <w:rFonts w:cstheme="minorBidi" w:hAnsiTheme="minorHAnsi" w:eastAsiaTheme="minorHAnsi" w:asciiTheme="minorHAnsi"/>
        </w:rPr>
        <w:tab/>
        <w:t>4.0μL</w:t>
      </w:r>
    </w:p>
    <w:p w:rsidR="0018722C">
      <w:pPr>
        <w:topLinePunct/>
      </w:pPr>
      <w:r>
        <w:rPr>
          <w:rFonts w:cstheme="minorBidi" w:hAnsiTheme="minorHAnsi" w:eastAsiaTheme="minorHAnsi" w:asciiTheme="minorHAnsi" w:ascii="宋体" w:hAnsi="宋体"/>
        </w:rPr>
        <w:t>RT Primer Mix</w:t>
      </w:r>
      <w:r w:rsidRPr="00000000">
        <w:rPr>
          <w:rFonts w:cstheme="minorBidi" w:hAnsiTheme="minorHAnsi" w:eastAsiaTheme="minorHAnsi" w:asciiTheme="minorHAnsi"/>
        </w:rPr>
        <w:tab/>
        <w:t>2.0μL</w:t>
      </w:r>
    </w:p>
    <w:p w:rsidR="0018722C">
      <w:pPr>
        <w:topLinePunct/>
      </w:pPr>
      <w:r>
        <w:rPr>
          <w:rFonts w:cstheme="minorBidi" w:hAnsiTheme="minorHAnsi" w:eastAsiaTheme="minorHAnsi" w:asciiTheme="minorHAnsi" w:ascii="宋体" w:hAnsi="宋体" w:eastAsia="宋体" w:hint="eastAsia"/>
        </w:rPr>
        <w:t>①</w:t>
      </w:r>
      <w:r>
        <w:rPr>
          <w:rFonts w:ascii="宋体" w:hAnsi="宋体" w:eastAsia="宋体" w:hint="eastAsia" w:cstheme="minorBidi"/>
        </w:rPr>
        <w:t>中反应液</w:t>
      </w:r>
      <w:r w:rsidR="001852F3">
        <w:rPr>
          <w:rFonts w:cstheme="minorBidi" w:hAnsiTheme="minorHAnsi" w:eastAsiaTheme="minorHAnsi" w:asciiTheme="minorHAnsi"/>
        </w:rPr>
        <w:t>10</w:t>
      </w:r>
      <w:r>
        <w:t>.</w:t>
      </w:r>
      <w:r>
        <w:t>0μL</w:t>
      </w:r>
    </w:p>
    <w:p w:rsidR="0018722C">
      <w:pPr>
        <w:pStyle w:val="ae"/>
        <w:topLinePunct/>
      </w:pPr>
      <w:r>
        <w:rPr>
          <w:rFonts w:cstheme="minorBidi" w:hAnsiTheme="minorHAnsi" w:eastAsiaTheme="minorHAnsi" w:asciiTheme="minorHAnsi"/>
        </w:rPr>
        <w:pict>
          <v:line style="position:absolute;mso-position-horizontal-relative:page;mso-position-vertical-relative:paragraph;z-index:1696;mso-wrap-distance-left:0;mso-wrap-distance-right:0" from="84.599998pt,18.213669pt" to="510.700005pt,18.213669pt" stroked="true" strokeweight="1.5pt" strokecolor="#000000">
            <v:stroke dashstyle="solid"/>
            <w10:wrap type="topAndBottom"/>
          </v:line>
        </w:pict>
      </w:r>
      <w:r>
        <w:rPr>
          <w:rFonts w:ascii="宋体" w:hAnsi="宋体" w:cstheme="minorBidi" w:eastAsiaTheme="minorHAnsi"/>
        </w:rPr>
        <w:t>RNase Free dH2O</w:t>
      </w:r>
      <w:r w:rsidRPr="00000000">
        <w:rPr>
          <w:rFonts w:cstheme="minorBidi" w:hAnsiTheme="minorHAnsi" w:eastAsiaTheme="minorHAnsi" w:asciiTheme="minorHAnsi"/>
        </w:rPr>
        <w:tab/>
        <w:t>Up to 20</w:t>
      </w:r>
      <w:r w:rsidR="001852F3">
        <w:t xml:space="preserve">μL</w:t>
      </w:r>
    </w:p>
    <w:p w:rsidR="0018722C">
      <w:pPr>
        <w:topLinePunct/>
      </w:pPr>
      <w:r>
        <w:t>②反应条件：37℃反应</w:t>
      </w:r>
      <w:r w:rsidR="001852F3">
        <w:t xml:space="preserve">30min，85℃反应</w:t>
      </w:r>
      <w:r w:rsidR="001852F3">
        <w:t xml:space="preserve">5sec，4℃保存</w:t>
      </w:r>
    </w:p>
    <w:p w:rsidR="0018722C">
      <w:pPr>
        <w:topLinePunct/>
      </w:pPr>
      <w:r>
        <w:rPr>
          <w:rFonts w:cstheme="minorBidi" w:hAnsiTheme="minorHAnsi" w:eastAsiaTheme="minorHAnsi" w:asciiTheme="minorHAnsi"/>
        </w:rPr>
        <w:t>12</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Heading2"/>
        <w:topLinePunct/>
        <w:ind w:left="171" w:hangingChars="171" w:hanging="171"/>
      </w:pPr>
      <w:bookmarkStart w:name="2相对定量PCR " w:id="19"/>
      <w:bookmarkEnd w:id="19"/>
      <w:r>
        <w:rPr>
          <w:b/>
        </w:rPr>
        <w:t>2</w:t>
      </w:r>
      <w:r>
        <w:t xml:space="preserve"> </w:t>
      </w:r>
      <w:bookmarkStart w:name="2相对定量PCR " w:id="20"/>
      <w:bookmarkEnd w:id="20"/>
      <w:r>
        <w:t>相对定量</w:t>
      </w:r>
      <w:r>
        <w:rPr>
          <w:b/>
        </w:rPr>
        <w:t>PCR</w:t>
      </w:r>
    </w:p>
    <w:p w:rsidR="0018722C">
      <w:pPr>
        <w:pStyle w:val="ae"/>
        <w:topLinePunct/>
      </w:pPr>
      <w:r>
        <w:pict>
          <v:line style="position:absolute;mso-position-horizontal-relative:page;mso-position-vertical-relative:paragraph;z-index:-109864" from="84.599998pt,54.251568pt" to="510.700005pt,54.251568pt" stroked="true" strokeweight="1.5pt" strokecolor="#000000">
            <v:stroke dashstyle="solid"/>
            <w10:wrap type="none"/>
          </v:line>
        </w:pict>
      </w:r>
      <w:r>
        <w:t>（1）引物序列由上海生工生物工程股份有限公司合成，详见表</w:t>
      </w:r>
      <w:r w:rsidR="001852F3">
        <w:t xml:space="preserve">2-1。表</w:t>
      </w:r>
      <w:r w:rsidR="001852F3">
        <w:t xml:space="preserve">2-1</w:t>
      </w:r>
      <w:r w:rsidR="001852F3">
        <w:t xml:space="preserve">相对定量</w:t>
      </w:r>
      <w:r w:rsidR="001852F3">
        <w:t xml:space="preserve">PCR</w:t>
      </w:r>
      <w:r w:rsidR="001852F3">
        <w:t xml:space="preserve">引物序列</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744;mso-wrap-distance-left:0;mso-wrap-distance-right:0" from="84.599998pt,25.563677pt" to="510.700005pt,25.563677pt" stroked="true" strokeweight="1.5pt" strokecolor="#000000">
            <v:stroke dashstyle="solid"/>
            <w10:wrap type="topAndBottom"/>
          </v:line>
        </w:pict>
      </w:r>
      <w:r>
        <w:rPr>
          <w:kern w:val="2"/>
          <w:szCs w:val="22"/>
          <w:rFonts w:ascii="宋体" w:hAnsi="宋体" w:eastAsia="宋体" w:hint="eastAsia" w:cstheme="minorBidi"/>
          <w:sz w:val="21"/>
        </w:rPr>
        <w:t>基因</w:t>
      </w:r>
      <w:r w:rsidR="001852F3">
        <w:rPr>
          <w:kern w:val="2"/>
          <w:sz w:val="22"/>
          <w:szCs w:val="22"/>
          <w:rFonts w:cstheme="minorBidi" w:hAnsiTheme="minorHAnsi" w:eastAsiaTheme="minorHAnsi" w:asciiTheme="minorHAnsi"/>
        </w:rPr>
        <w:t>引物序列（5′→3′）</w:t>
      </w:r>
    </w:p>
    <w:p w:rsidR="0018722C">
      <w:pPr>
        <w:topLinePunct/>
      </w:pPr>
      <w:r>
        <w:rPr>
          <w:rFonts w:cstheme="minorBidi" w:hAnsiTheme="minorHAnsi" w:eastAsiaTheme="minorHAnsi" w:asciiTheme="minorHAnsi" w:ascii="宋体"/>
        </w:rPr>
        <w:t>EP1</w:t>
      </w:r>
      <w:r w:rsidRPr="00000000">
        <w:rPr>
          <w:rFonts w:cstheme="minorBidi" w:hAnsiTheme="minorHAnsi" w:eastAsiaTheme="minorHAnsi" w:asciiTheme="minorHAnsi"/>
        </w:rPr>
        <w:tab/>
        <w:t>F: CACCTTCTTTGGCGGCTCTC</w:t>
      </w:r>
    </w:p>
    <w:p w:rsidR="0018722C">
      <w:pPr>
        <w:topLinePunct/>
      </w:pPr>
      <w:r>
        <w:rPr>
          <w:rFonts w:cstheme="minorBidi" w:hAnsiTheme="minorHAnsi" w:eastAsiaTheme="minorHAnsi" w:asciiTheme="minorHAnsi" w:ascii="宋体"/>
        </w:rPr>
        <w:t>R: GATGCACGACACCACCATGA</w:t>
      </w:r>
    </w:p>
    <w:p w:rsidR="0018722C">
      <w:pPr>
        <w:topLinePunct/>
      </w:pPr>
      <w:r>
        <w:rPr>
          <w:rFonts w:cstheme="minorBidi" w:hAnsiTheme="minorHAnsi" w:eastAsiaTheme="minorHAnsi" w:asciiTheme="minorHAnsi" w:ascii="宋体"/>
        </w:rPr>
        <w:t>COX-2</w:t>
      </w:r>
      <w:r w:rsidRPr="00000000">
        <w:rPr>
          <w:rFonts w:cstheme="minorBidi" w:hAnsiTheme="minorHAnsi" w:eastAsiaTheme="minorHAnsi" w:asciiTheme="minorHAnsi"/>
        </w:rPr>
        <w:tab/>
        <w:t>F: GATGATTGCCCGACTCCCTT</w:t>
      </w:r>
    </w:p>
    <w:p w:rsidR="0018722C">
      <w:pPr>
        <w:topLinePunct/>
      </w:pPr>
      <w:r>
        <w:rPr>
          <w:rFonts w:cstheme="minorBidi" w:hAnsiTheme="minorHAnsi" w:eastAsiaTheme="minorHAnsi" w:asciiTheme="minorHAnsi" w:ascii="宋体"/>
        </w:rPr>
        <w:t>R: GGCCCTCGCTTATGATCTGT</w:t>
      </w:r>
    </w:p>
    <w:p w:rsidR="0018722C">
      <w:pPr>
        <w:topLinePunct/>
      </w:pPr>
      <w:r>
        <w:rPr>
          <w:rFonts w:cstheme="minorBidi" w:hAnsiTheme="minorHAnsi" w:eastAsiaTheme="minorHAnsi" w:asciiTheme="minorHAnsi" w:ascii="宋体"/>
        </w:rPr>
        <w:t>GAPDH</w:t>
      </w:r>
      <w:r w:rsidRPr="00000000">
        <w:rPr>
          <w:rFonts w:cstheme="minorBidi" w:hAnsiTheme="minorHAnsi" w:eastAsiaTheme="minorHAnsi" w:asciiTheme="minorHAnsi"/>
        </w:rPr>
        <w:tab/>
        <w:t>F: CTGGGCTACACTGAGCACC</w:t>
      </w:r>
    </w:p>
    <w:p w:rsidR="0018722C">
      <w:pPr>
        <w:pStyle w:val="ae"/>
        <w:topLinePunct/>
      </w:pPr>
      <w:r>
        <w:rPr>
          <w:rFonts w:cstheme="minorBidi" w:hAnsiTheme="minorHAnsi" w:eastAsiaTheme="minorHAnsi" w:asciiTheme="minorHAnsi"/>
        </w:rPr>
        <w:pict>
          <v:line style="position:absolute;mso-position-horizontal-relative:page;mso-position-vertical-relative:paragraph;z-index:1768;mso-wrap-distance-left:0;mso-wrap-distance-right:0" from="84.599998pt,19.963676pt" to="510.700005pt,19.963676pt" stroked="true" strokeweight="1.5pt" strokecolor="#000000">
            <v:stroke dashstyle="solid"/>
            <w10:wrap type="topAndBottom"/>
          </v:line>
        </w:pict>
      </w:r>
      <w:r>
        <w:rPr>
          <w:rFonts w:ascii="宋体" w:cstheme="minorBidi" w:hAnsiTheme="minorHAnsi" w:eastAsiaTheme="minorHAnsi"/>
        </w:rPr>
        <w:t>R: AAGTGGTCGTTGAGGGCAATG</w:t>
      </w:r>
    </w:p>
    <w:p w:rsidR="0018722C">
      <w:pPr>
        <w:topLinePunct/>
      </w:pPr>
      <w:r>
        <w:t>注：F</w:t>
      </w:r>
      <w:r>
        <w:t xml:space="preserve">: </w:t>
      </w:r>
      <w:r>
        <w:t>Forward</w:t>
      </w:r>
      <w:r w:rsidR="001852F3">
        <w:t xml:space="preserve">上游引物，R</w:t>
      </w:r>
      <w:r>
        <w:t xml:space="preserve">: </w:t>
      </w:r>
      <w:r>
        <w:t>Rrverse</w:t>
      </w:r>
      <w:r w:rsidR="001852F3">
        <w:t xml:space="preserve">下游引物。</w:t>
      </w:r>
    </w:p>
    <w:p w:rsidR="0018722C">
      <w:pPr>
        <w:pStyle w:val="ae"/>
        <w:topLinePunct/>
      </w:pPr>
      <w:r>
        <w:pict>
          <v:line style="position:absolute;mso-position-horizontal-relative:page;mso-position-vertical-relative:paragraph;z-index:1792;mso-wrap-distance-left:0;mso-wrap-distance-right:0" from="84.599998pt,29.951567pt" to="510.700005pt,29.951567pt" stroked="true" strokeweight="1.5pt" strokecolor="#000000">
            <v:stroke dashstyle="solid"/>
            <w10:wrap type="topAndBottom"/>
          </v:line>
        </w:pict>
      </w:r>
      <w:r>
        <w:t>（2）反应体系（冰上配制）：</w:t>
      </w:r>
    </w:p>
    <w:p w:rsidR="0018722C">
      <w:pPr>
        <w:tabs>
          <w:tab w:pos="7761" w:val="left" w:leader="none"/>
        </w:tabs>
        <w:spacing w:before="196" w:after="129"/>
        <w:ind w:leftChars="0" w:left="900" w:rightChars="0" w:right="0" w:firstLineChars="0" w:firstLine="0"/>
        <w:jc w:val="left"/>
        <w:topLinePunct/>
      </w:pPr>
      <w:r>
        <w:rPr>
          <w:kern w:val="2"/>
          <w:sz w:val="21"/>
          <w:szCs w:val="22"/>
          <w:rFonts w:cstheme="minorBidi" w:hAnsiTheme="minorHAnsi" w:eastAsiaTheme="minorHAnsi" w:asciiTheme="minorHAnsi" w:ascii="宋体" w:eastAsia="宋体" w:hint="eastAsia"/>
        </w:rPr>
        <w:t>试剂</w:t>
      </w:r>
      <w:r w:rsidR="001852F3">
        <w:rPr>
          <w:kern w:val="2"/>
          <w:sz w:val="22"/>
          <w:szCs w:val="22"/>
          <w:rFonts w:cstheme="minorBidi" w:hAnsiTheme="minorHAnsi" w:eastAsiaTheme="minorHAnsi" w:asciiTheme="minorHAnsi"/>
        </w:rPr>
        <w:t>使用量</w:t>
      </w:r>
    </w:p>
    <w:p w:rsidR="0018722C">
      <w:pPr>
        <w:pStyle w:val="aff7"/>
        <w:topLinePunct/>
      </w:pPr>
      <w:r>
        <w:rPr>
          <w:position w:val="0"/>
          <w:sz w:val="3"/>
        </w:rPr>
        <w:pict>
          <v:group style="width:426.1pt;height:1.5pt;mso-position-horizontal-relative:char;mso-position-vertical-relative:line" coordorigin="0,0" coordsize="8522,30">
            <v:line style="position:absolute" from="0,15" to="8522,15" stroked="true" strokeweight="1.5pt" strokecolor="#000000">
              <v:stroke dashstyle="solid"/>
            </v:line>
          </v:group>
        </w:pict>
      </w:r>
      <w:r/>
    </w:p>
    <w:p w:rsidR="0018722C">
      <w:pPr>
        <w:pStyle w:val="affff1"/>
        <w:topLinePunct/>
      </w:pPr>
      <w:r>
        <w:rPr>
          <w:rFonts w:cstheme="minorBidi" w:hAnsiTheme="minorHAnsi" w:eastAsiaTheme="minorHAnsi" w:asciiTheme="minorHAnsi" w:ascii="宋体" w:hAnsi="宋体" w:eastAsia="宋体" w:hint="eastAsia"/>
        </w:rPr>
        <w:t>Forward Primer</w:t>
      </w:r>
      <w:r>
        <w:rPr>
          <w:rFonts w:cstheme="minorBidi" w:hAnsiTheme="minorHAnsi" w:eastAsiaTheme="minorHAnsi" w:asciiTheme="minorHAnsi" w:ascii="宋体" w:hAnsi="宋体" w:eastAsia="宋体" w:hint="eastAsia"/>
          <w:kern w:val="2"/>
          <w:sz w:val="21"/>
          <w:rFonts w:cstheme="minorBidi" w:hAnsiTheme="minorHAnsi" w:eastAsiaTheme="minorHAnsi" w:asciiTheme="minorHAnsi" w:ascii="宋体" w:hAnsi="宋体" w:eastAsia="宋体" w:hint="eastAsia"/>
        </w:rPr>
        <w:t>(</w:t>
      </w:r>
      <w:r>
        <w:rPr>
          <w:rFonts w:cstheme="minorBidi" w:hAnsiTheme="minorHAnsi" w:eastAsiaTheme="minorHAnsi" w:asciiTheme="minorHAnsi" w:ascii="宋体" w:hAnsi="宋体" w:eastAsia="宋体" w:hint="eastAsia"/>
        </w:rPr>
        <w:t>10</w:t>
      </w:r>
      <w:r w:rsidR="001852F3">
        <w:rPr>
          <w:rFonts w:cstheme="minorBidi" w:hAnsiTheme="minorHAnsi" w:eastAsiaTheme="minorHAnsi" w:asciiTheme="minorHAnsi" w:ascii="宋体" w:hAnsi="宋体" w:eastAsia="宋体" w:hint="eastAsia"/>
        </w:rPr>
        <w:t xml:space="preserve">μM</w:t>
      </w:r>
      <w:r>
        <w:rPr>
          <w:rFonts w:cstheme="minorBidi" w:hAnsiTheme="minorHAnsi" w:eastAsiaTheme="minorHAnsi" w:asciiTheme="minorHAnsi" w:ascii="宋体" w:hAnsi="宋体" w:eastAsia="宋体" w:hint="eastAsia"/>
          <w:kern w:val="2"/>
          <w:sz w:val="21"/>
          <w:rFonts w:cstheme="minorBidi" w:hAnsiTheme="minorHAnsi" w:eastAsiaTheme="minorHAnsi" w:asciiTheme="minorHAnsi" w:ascii="宋体" w:hAnsi="宋体" w:eastAsia="宋体" w:hint="eastAsia"/>
        </w:rPr>
        <w:t>)</w:t>
      </w:r>
      <w:r w:rsidRPr="00000000">
        <w:rPr>
          <w:rFonts w:cstheme="minorBidi" w:hAnsiTheme="minorHAnsi" w:eastAsiaTheme="minorHAnsi" w:asciiTheme="minorHAnsi"/>
        </w:rPr>
        <w:tab/>
        <w:t>0.8μL</w:t>
      </w:r>
    </w:p>
    <w:p w:rsidR="0018722C">
      <w:pPr>
        <w:topLinePunct/>
      </w:pPr>
      <w:r>
        <w:rPr>
          <w:rFonts w:cstheme="minorBidi" w:hAnsiTheme="minorHAnsi" w:eastAsiaTheme="minorHAnsi" w:asciiTheme="minorHAnsi" w:ascii="宋体" w:hAnsi="宋体" w:eastAsia="宋体" w:hint="eastAsia"/>
        </w:rPr>
        <w:t>ROX Reference Dye II</w:t>
      </w:r>
      <w:r>
        <w:rPr>
          <w:rFonts w:cstheme="minorBidi" w:hAnsiTheme="minorHAnsi" w:eastAsiaTheme="minorHAnsi" w:asciiTheme="minorHAnsi" w:ascii="宋体" w:hAnsi="宋体" w:eastAsia="宋体" w:hint="eastAsia"/>
          <w:kern w:val="2"/>
          <w:sz w:val="21"/>
          <w:rFonts w:cstheme="minorBidi" w:hAnsiTheme="minorHAnsi" w:eastAsiaTheme="minorHAnsi" w:asciiTheme="minorHAnsi" w:ascii="宋体" w:hAnsi="宋体" w:eastAsia="宋体" w:hint="eastAsia"/>
        </w:rPr>
        <w:t>(</w:t>
      </w:r>
      <w:r>
        <w:rPr>
          <w:rFonts w:cstheme="minorBidi" w:hAnsiTheme="minorHAnsi" w:eastAsiaTheme="minorHAnsi" w:asciiTheme="minorHAnsi" w:ascii="宋体" w:hAnsi="宋体" w:eastAsia="宋体" w:hint="eastAsia"/>
        </w:rPr>
        <w:t>50×</w:t>
      </w:r>
      <w:r>
        <w:rPr>
          <w:rFonts w:cstheme="minorBidi" w:hAnsiTheme="minorHAnsi" w:eastAsiaTheme="minorHAnsi" w:asciiTheme="minorHAnsi" w:ascii="宋体" w:hAnsi="宋体" w:eastAsia="宋体" w:hint="eastAsia"/>
          <w:kern w:val="2"/>
          <w:sz w:val="21"/>
          <w:rFonts w:cstheme="minorBidi" w:hAnsiTheme="minorHAnsi" w:eastAsiaTheme="minorHAnsi" w:asciiTheme="minorHAnsi" w:ascii="宋体" w:hAnsi="宋体" w:eastAsia="宋体" w:hint="eastAsia"/>
        </w:rPr>
        <w:t>)</w:t>
      </w:r>
      <w:r w:rsidRPr="00000000">
        <w:rPr>
          <w:rFonts w:cstheme="minorBidi" w:hAnsiTheme="minorHAnsi" w:eastAsiaTheme="minorHAnsi" w:asciiTheme="minorHAnsi"/>
        </w:rPr>
        <w:tab/>
        <w:t>0.4μL</w:t>
      </w:r>
    </w:p>
    <w:p w:rsidR="0018722C">
      <w:pPr>
        <w:topLinePunct/>
      </w:pPr>
      <w:r>
        <w:rPr>
          <w:rFonts w:cstheme="minorBidi" w:hAnsiTheme="minorHAnsi" w:eastAsiaTheme="minorHAnsi" w:asciiTheme="minorHAnsi" w:ascii="宋体" w:hAnsi="宋体" w:eastAsia="宋体" w:hint="eastAsia"/>
        </w:rPr>
        <w:t>Reverse Primer</w:t>
      </w:r>
      <w:r>
        <w:rPr>
          <w:rFonts w:cstheme="minorBidi" w:hAnsiTheme="minorHAnsi" w:eastAsiaTheme="minorHAnsi" w:asciiTheme="minorHAnsi" w:ascii="宋体" w:hAnsi="宋体" w:eastAsia="宋体" w:hint="eastAsia"/>
          <w:kern w:val="2"/>
          <w:sz w:val="21"/>
          <w:rFonts w:cstheme="minorBidi" w:hAnsiTheme="minorHAnsi" w:eastAsiaTheme="minorHAnsi" w:asciiTheme="minorHAnsi" w:ascii="宋体" w:hAnsi="宋体" w:eastAsia="宋体" w:hint="eastAsia"/>
        </w:rPr>
        <w:t>(</w:t>
      </w:r>
      <w:r>
        <w:rPr>
          <w:rFonts w:cstheme="minorBidi" w:hAnsiTheme="minorHAnsi" w:eastAsiaTheme="minorHAnsi" w:asciiTheme="minorHAnsi" w:ascii="宋体" w:hAnsi="宋体" w:eastAsia="宋体" w:hint="eastAsia"/>
        </w:rPr>
        <w:t>10</w:t>
      </w:r>
      <w:r w:rsidR="001852F3">
        <w:rPr>
          <w:rFonts w:cstheme="minorBidi" w:hAnsiTheme="minorHAnsi" w:eastAsiaTheme="minorHAnsi" w:asciiTheme="minorHAnsi" w:ascii="宋体" w:hAnsi="宋体" w:eastAsia="宋体" w:hint="eastAsia"/>
        </w:rPr>
        <w:t xml:space="preserve">μM</w:t>
      </w:r>
      <w:r>
        <w:rPr>
          <w:rFonts w:cstheme="minorBidi" w:hAnsiTheme="minorHAnsi" w:eastAsiaTheme="minorHAnsi" w:asciiTheme="minorHAnsi" w:ascii="宋体" w:hAnsi="宋体" w:eastAsia="宋体" w:hint="eastAsia"/>
          <w:kern w:val="2"/>
          <w:sz w:val="21"/>
          <w:rFonts w:cstheme="minorBidi" w:hAnsiTheme="minorHAnsi" w:eastAsiaTheme="minorHAnsi" w:asciiTheme="minorHAnsi" w:ascii="宋体" w:hAnsi="宋体" w:eastAsia="宋体" w:hint="eastAsia"/>
        </w:rPr>
        <w:t>)</w:t>
      </w:r>
      <w:r w:rsidRPr="00000000">
        <w:rPr>
          <w:rFonts w:cstheme="minorBidi" w:hAnsiTheme="minorHAnsi" w:eastAsiaTheme="minorHAnsi" w:asciiTheme="minorHAnsi"/>
        </w:rPr>
        <w:tab/>
        <w:t>0.8μL</w:t>
      </w:r>
    </w:p>
    <w:p w:rsidR="0018722C">
      <w:pPr>
        <w:topLinePunct/>
      </w:pPr>
      <w:r>
        <w:rPr>
          <w:rFonts w:cstheme="minorBidi" w:hAnsiTheme="minorHAnsi" w:eastAsiaTheme="minorHAnsi" w:asciiTheme="minorHAnsi" w:ascii="宋体" w:hAnsi="宋体" w:eastAsia="宋体" w:hint="eastAsia"/>
        </w:rPr>
        <w:t>SYBR Premix Ex Taq II</w:t>
      </w:r>
      <w:r>
        <w:rPr>
          <w:rFonts w:cstheme="minorBidi" w:hAnsiTheme="minorHAnsi" w:eastAsiaTheme="minorHAnsi" w:asciiTheme="minorHAnsi" w:ascii="宋体" w:hAnsi="宋体" w:eastAsia="宋体" w:hint="eastAsia"/>
          <w:kern w:val="2"/>
          <w:sz w:val="21"/>
          <w:rFonts w:cstheme="minorBidi" w:hAnsiTheme="minorHAnsi" w:eastAsiaTheme="minorHAnsi" w:asciiTheme="minorHAnsi" w:ascii="宋体" w:hAnsi="宋体" w:eastAsia="宋体" w:hint="eastAsia"/>
        </w:rPr>
        <w:t>(</w:t>
      </w:r>
      <w:r>
        <w:rPr>
          <w:kern w:val="2"/>
          <w:sz w:val="21"/>
          <w:szCs w:val="22"/>
          <w:rFonts w:cstheme="minorBidi" w:hAnsiTheme="minorHAnsi" w:eastAsiaTheme="minorHAnsi" w:asciiTheme="minorHAnsi" w:ascii="宋体" w:hAnsi="宋体" w:eastAsia="宋体" w:hint="eastAsia"/>
        </w:rPr>
        <w:t>Tli</w:t>
      </w:r>
      <w:r>
        <w:rPr>
          <w:kern w:val="2"/>
          <w:szCs w:val="22"/>
          <w:rFonts w:ascii="宋体" w:hAnsi="宋体" w:eastAsia="宋体" w:hint="eastAsia" w:cstheme="minorBidi"/>
          <w:spacing w:val="-18"/>
          <w:sz w:val="21"/>
        </w:rPr>
        <w:t> </w:t>
      </w:r>
      <w:r>
        <w:rPr>
          <w:kern w:val="2"/>
          <w:szCs w:val="22"/>
          <w:rFonts w:ascii="宋体" w:hAnsi="宋体" w:eastAsia="宋体" w:hint="eastAsia" w:cstheme="minorBidi"/>
          <w:sz w:val="21"/>
        </w:rPr>
        <w:t>RNaseH Plus</w:t>
      </w:r>
      <w:r>
        <w:rPr>
          <w:rFonts w:ascii="宋体" w:hAnsi="宋体" w:eastAsia="宋体" w:hint="eastAsia" w:cstheme="minorBidi"/>
          <w:kern w:val="2"/>
          <w:rFonts w:ascii="宋体" w:hAnsi="宋体" w:eastAsia="宋体" w:hint="eastAsia" w:cstheme="minorBidi"/>
          <w:sz w:val="21"/>
        </w:rPr>
        <w:t>)</w:t>
      </w:r>
      <w:r>
        <w:rPr>
          <w:rFonts w:ascii="宋体" w:hAnsi="宋体" w:eastAsia="宋体" w:hint="eastAsia" w:cstheme="minorBidi"/>
        </w:rPr>
        <w:t>（</w:t>
      </w:r>
      <w:r>
        <w:rPr>
          <w:kern w:val="2"/>
          <w:szCs w:val="22"/>
          <w:rFonts w:ascii="宋体" w:hAnsi="宋体" w:eastAsia="宋体" w:hint="eastAsia" w:cstheme="minorBidi"/>
          <w:sz w:val="21"/>
        </w:rPr>
        <w:t>2×</w:t>
      </w:r>
      <w:r>
        <w:rPr>
          <w:rFonts w:ascii="宋体" w:hAnsi="宋体" w:eastAsia="宋体" w:hint="eastAsia" w:cstheme="minorBidi"/>
        </w:rPr>
        <w:t>）</w:t>
      </w:r>
      <w:r w:rsidRPr="00000000">
        <w:rPr>
          <w:rFonts w:cstheme="minorBidi" w:hAnsiTheme="minorHAnsi" w:eastAsiaTheme="minorHAnsi" w:asciiTheme="minorHAnsi"/>
        </w:rPr>
        <w:t>	</w:t>
        <w:t>10.0μL</w:t>
      </w:r>
    </w:p>
    <w:p w:rsidR="0018722C">
      <w:pPr>
        <w:topLinePunct/>
      </w:pPr>
      <w:r>
        <w:rPr>
          <w:rFonts w:cstheme="minorBidi" w:hAnsiTheme="minorHAnsi" w:eastAsiaTheme="minorHAnsi" w:asciiTheme="minorHAnsi" w:ascii="宋体" w:hAnsi="宋体" w:eastAsia="宋体" w:hint="eastAsia"/>
        </w:rPr>
        <w:t>DNA模板</w:t>
      </w:r>
      <w:r w:rsidR="001852F3">
        <w:rPr>
          <w:rFonts w:cstheme="minorBidi" w:hAnsiTheme="minorHAnsi" w:eastAsiaTheme="minorHAnsi" w:asciiTheme="minorHAnsi"/>
        </w:rPr>
        <w:t>2</w:t>
      </w:r>
      <w:r>
        <w:t>.</w:t>
      </w:r>
      <w:r>
        <w:t>0μL</w:t>
      </w:r>
    </w:p>
    <w:p w:rsidR="0018722C">
      <w:pPr>
        <w:topLinePunct/>
      </w:pPr>
      <w:r>
        <w:rPr>
          <w:rFonts w:cstheme="minorBidi" w:hAnsiTheme="minorHAnsi" w:eastAsiaTheme="minorHAnsi" w:asciiTheme="minorHAnsi" w:ascii="宋体" w:hAnsi="宋体" w:eastAsia="宋体" w:hint="eastAsia"/>
        </w:rPr>
        <w:t>dH2O</w:t>
      </w:r>
      <w:r>
        <w:rPr>
          <w:rFonts w:cstheme="minorBidi" w:hAnsiTheme="minorHAnsi" w:eastAsiaTheme="minorHAnsi" w:asciiTheme="minorHAnsi" w:ascii="宋体" w:hAnsi="宋体" w:eastAsia="宋体" w:hint="eastAsia"/>
        </w:rPr>
        <w:t>（</w:t>
      </w:r>
      <w:r>
        <w:rPr>
          <w:rFonts w:cstheme="minorBidi" w:hAnsiTheme="minorHAnsi" w:eastAsiaTheme="minorHAnsi" w:asciiTheme="minorHAnsi" w:ascii="宋体" w:hAnsi="宋体" w:eastAsia="宋体" w:hint="eastAsia"/>
        </w:rPr>
        <w:t>灭菌双蒸馏水</w:t>
      </w:r>
      <w:r>
        <w:rPr>
          <w:rFonts w:cstheme="minorBidi" w:hAnsiTheme="minorHAnsi" w:eastAsiaTheme="minorHAnsi" w:asciiTheme="minorHAnsi" w:ascii="宋体" w:hAnsi="宋体" w:eastAsia="宋体" w:hint="eastAsia"/>
        </w:rPr>
        <w:t>）</w:t>
      </w:r>
      <w:r w:rsidR="001852F3">
        <w:rPr>
          <w:rFonts w:cstheme="minorBidi" w:hAnsiTheme="minorHAnsi" w:eastAsiaTheme="minorHAnsi" w:asciiTheme="minorHAnsi"/>
        </w:rPr>
        <w:t>6.0μL</w:t>
      </w:r>
    </w:p>
    <w:p w:rsidR="0018722C">
      <w:pPr>
        <w:tabs>
          <w:tab w:pos="7761" w:val="left" w:leader="none"/>
        </w:tabs>
        <w:spacing w:before="0"/>
        <w:ind w:leftChars="0" w:left="900" w:rightChars="0" w:right="0" w:firstLineChars="0" w:firstLine="0"/>
        <w:jc w:val="left"/>
        <w:rPr>
          <w:rFonts w:ascii="宋体" w:hAnsi="宋体"/>
          <w:sz w:val="21"/>
        </w:rPr>
      </w:pPr>
      <w:r>
        <w:pict>
          <v:line style="position:absolute;mso-position-horizontal-relative:page;mso-position-vertical-relative:paragraph;z-index:1840;mso-wrap-distance-left:0;mso-wrap-distance-right:0" from="84.599998pt,18.213676pt" to="510.700005pt,18.213676pt" stroked="true" strokeweight="1.5pt" strokecolor="#000000">
            <v:stroke dashstyle="solid"/>
            <w10:wrap type="topAndBottom"/>
          </v:line>
        </w:pict>
      </w:r>
      <w:r>
        <w:rPr>
          <w:rFonts w:ascii="宋体" w:hAnsi="宋体"/>
          <w:sz w:val="21"/>
        </w:rPr>
        <w:t>Total</w:t>
      </w:r>
      <w:r w:rsidRPr="00000000">
        <w:tab/>
        <w:t>20.0μL</w:t>
      </w:r>
    </w:p>
    <w:p w:rsidR="0018722C">
      <w:pPr>
        <w:widowControl w:val="0"/>
        <w:snapToGrid w:val="1"/>
        <w:spacing w:beforeLines="0" w:afterLines="0" w:lineRule="auto" w:line="240" w:after="0" w:before="60"/>
        <w:ind w:firstLineChars="0" w:firstLine="0" w:rightChars="0" w:right="0" w:leftChars="0" w:left="518"/>
        <w:jc w:val="left"/>
        <w:autoSpaceDE w:val="0"/>
        <w:autoSpaceDN w:val="0"/>
        <w:pBdr>
          <w:bottom w:val="none" w:sz="0" w:space="0" w:color="auto"/>
        </w:pBdr>
        <w:rPr>
          <w:kern w:val="2"/>
          <w:sz w:val="28"/>
          <w:szCs w:val="28"/>
          <w:rFonts w:cstheme="minorBidi" w:ascii="宋体" w:hAnsi="宋体" w:eastAsia="宋体" w:cs="宋体"/>
        </w:rPr>
      </w:pPr>
      <w:r>
        <w:rPr>
          <w:kern w:val="2"/>
          <w:sz w:val="28"/>
          <w:szCs w:val="28"/>
          <w:rFonts w:cstheme="minorBidi" w:ascii="宋体" w:hAnsi="宋体" w:eastAsia="宋体" w:cs="宋体"/>
        </w:rPr>
        <w:t>（3）反应条件：</w:t>
      </w:r>
    </w:p>
    <w:p w:rsidR="0018722C">
      <w:pPr>
        <w:topLinePunct/>
      </w:pPr>
    </w:p>
    <w:p w:rsidR="0018722C">
      <w:spacing w:beforeLines="0" w:before="0" w:afterLines="0" w:after="0" w:line="440" w:lineRule="auto"/>
      <w:pPr>
        <w:sectPr w:rsidR="00556256">
          <w:pgSz w:w="11910" w:h="16840"/>
          <w:pgMar w:header="976" w:footer="272" w:top="1160" w:bottom="460" w:left="900" w:right="1460"/>
          <w:pgNumType w:start="1"/>
        </w:sectPr>
        <w:topLinePunct/>
      </w:pPr>
    </w:p>
    <w:p w:rsidR="0018722C">
      <w:pPr>
        <w:topLinePunct/>
      </w:pPr>
      <w:bookmarkStart w:id="915010" w:name="_cwCmt1"/>
      <w:r>
        <w:t>95℃</w:t>
      </w:r>
      <w:r w:rsidR="001852F3">
        <w:t>30s</w:t>
      </w:r>
      <w:bookmarkEnd w:id="915010"/>
    </w:p>
    <w:p w:rsidR="0018722C">
      <w:pPr>
        <w:pStyle w:val="ae"/>
        <w:topLinePunct/>
      </w:pPr>
      <w:bookmarkStart w:id="915011" w:name="_cwCmt2"/>
      <w:r>
        <w:pict>
          <v:shape style="margin-left:294.399994pt;margin-top:14.251554pt;width:9pt;height:39pt;mso-position-horizontal-relative:page;mso-position-vertical-relative:paragraph;z-index:1888" coordorigin="5888,285" coordsize="180,780" path="m5888,285l5893,285,5898,285,5957,308,5978,350,5978,610,5984,633,6053,674,6063,675,6068,675,6063,675,5999,698,5978,740,5978,1000,5972,1023,5903,1064,5893,1065,5888,1065e" filled="false" stroked="true" strokeweight=".75pt" strokecolor="#000000">
            <v:path arrowok="t"/>
            <v:stroke dashstyle="solid"/>
            <w10:wrap type="none"/>
          </v:shape>
        </w:pict>
      </w:r>
      <w:r>
        <w:t>95℃</w:t>
      </w:r>
      <w:r w:rsidR="001852F3">
        <w:t>5s</w:t>
      </w:r>
      <w:bookmarkEnd w:id="915011"/>
    </w:p>
    <w:p w:rsidR="0018722C">
      <w:pPr>
        <w:topLinePunct/>
      </w:pPr>
      <w:r>
        <w:t>60℃</w:t>
      </w:r>
      <w:r w:rsidR="001852F3">
        <w:t>30s</w:t>
      </w:r>
    </w:p>
    <w:p w:rsidR="0018722C">
      <w:pPr>
        <w:topLinePunct/>
      </w:pPr>
      <w:r>
        <w:rPr>
          <w:rFonts w:cstheme="minorBidi" w:hAnsiTheme="minorHAnsi" w:eastAsiaTheme="minorHAnsi" w:asciiTheme="minorHAnsi"/>
        </w:rPr>
        <w:t>40cycles</w:t>
      </w:r>
    </w:p>
    <w:p w:rsidR="0018722C">
      <w:spacing w:beforeLines="0" w:before="0" w:afterLines="0" w:after="0" w:line="440" w:lineRule="auto"/>
      <w:pPr>
        <w:sectPr w:rsidR="00556256">
          <w:type w:val="continuous"/>
          <w:pgSz w:w="11910" w:h="16840"/>
          <w:pgMar w:top="1060" w:bottom="460" w:left="900" w:right="1460"/>
          <w:cols w:num="2" w:equalWidth="0">
            <w:col w:w="4719" w:space="40"/>
            <w:col w:w="4791"/>
          </w:cols>
        </w:sectPr>
        <w:topLinePunct/>
      </w:pPr>
    </w:p>
    <w:p w:rsidR="0018722C">
      <w:pPr>
        <w:topLinePunct/>
      </w:pPr>
      <w:r>
        <w:rPr>
          <w:rFonts w:cstheme="minorBidi" w:hAnsiTheme="minorHAnsi" w:eastAsiaTheme="minorHAnsi" w:asciiTheme="minorHAnsi"/>
        </w:rPr>
        <w:t>13</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affff1"/>
        <w:topLinePunct/>
      </w:pPr>
      <w:r>
        <w:t>95℃</w:t>
      </w:r>
      <w:r w:rsidR="001852F3">
        <w:t>15s</w:t>
      </w:r>
    </w:p>
    <w:p w:rsidR="0018722C">
      <w:pPr>
        <w:topLinePunct/>
      </w:pPr>
      <w:r>
        <w:t>60℃</w:t>
      </w:r>
      <w:r w:rsidR="001852F3">
        <w:t>1min</w:t>
      </w:r>
    </w:p>
    <w:p w:rsidR="0018722C">
      <w:pPr>
        <w:topLinePunct/>
      </w:pPr>
      <w:r>
        <w:t>50℃</w:t>
      </w:r>
      <w:r w:rsidR="001852F3">
        <w:t>15s</w:t>
      </w:r>
    </w:p>
    <w:p w:rsidR="0018722C">
      <w:pPr>
        <w:topLinePunct/>
      </w:pPr>
      <w:r>
        <w:t>（</w:t>
      </w:r>
      <w:r>
        <w:t>4</w:t>
      </w:r>
      <w:r>
        <w:t>）</w:t>
      </w:r>
      <w:r>
        <w:t>数据分析：按照</w:t>
      </w:r>
      <w:r>
        <w:t>HCC</w:t>
      </w:r>
      <w:r/>
      <w:r w:rsidR="001852F3">
        <w:t xml:space="preserve">的分化等级将</w:t>
      </w:r>
      <w:r>
        <w:t>HCC</w:t>
      </w:r>
      <w:r/>
      <w:r w:rsidR="001852F3">
        <w:t xml:space="preserve">组织分为高分化组和低分化</w:t>
      </w:r>
      <w:r>
        <w:t>组，分别检测</w:t>
      </w:r>
      <w:r>
        <w:t xml:space="preserve">COX-2,</w:t>
      </w:r>
      <w:r w:rsidR="001852F3">
        <w:t xml:space="preserve"> </w:t>
      </w:r>
      <w:r w:rsidR="001852F3">
        <w:t xml:space="preserve">EP</w:t>
      </w:r>
      <w:r>
        <w:t>1</w:t>
      </w:r>
      <w:r>
        <w:t xml:space="preserve">,</w:t>
      </w:r>
      <w:r w:rsidR="001852F3">
        <w:t xml:space="preserve"> </w:t>
      </w:r>
      <w:r w:rsidR="001852F3">
        <w:t xml:space="preserve">GAPDH</w:t>
      </w:r>
      <w:r>
        <w:rPr>
          <w:rFonts w:hint="eastAsia"/>
        </w:rPr>
        <w:t>，</w:t>
      </w:r>
      <w:r>
        <w:t>在这些组织中的表达。对于内参</w:t>
      </w:r>
      <w:r>
        <w:t>GAPDH</w:t>
      </w:r>
      <w:r/>
      <w:r w:rsidR="001852F3">
        <w:t xml:space="preserve">和</w:t>
      </w:r>
      <w:r>
        <w:t>检测基因均设置</w:t>
      </w:r>
      <w:r>
        <w:t>2-3</w:t>
      </w:r>
      <w:r/>
      <w:r w:rsidR="001852F3">
        <w:t xml:space="preserve">个复孔。通过</w:t>
      </w:r>
      <w:r>
        <w:t>2</w:t>
      </w:r>
      <w:r>
        <w:t>—△△Ct</w:t>
      </w:r>
      <w:r>
        <w:t>法计算检测基因在高分化组与低分化组的相对表达差异。△△Ct=</w:t>
      </w:r>
      <w:r>
        <w:t>（</w:t>
      </w:r>
      <w:r>
        <w:t>Ct</w:t>
      </w:r>
      <w:r/>
      <w:r w:rsidR="001852F3">
        <w:t xml:space="preserve">高分化组检测基因</w:t>
      </w:r>
      <w:r>
        <w:t>—Ct</w:t>
      </w:r>
      <w:r/>
      <w:r w:rsidR="001852F3">
        <w:t xml:space="preserve">高</w:t>
      </w:r>
      <w:r w:rsidR="001852F3">
        <w:t>分</w:t>
      </w:r>
      <w:r w:rsidR="001852F3">
        <w:t>化组</w:t>
      </w:r>
    </w:p>
    <w:p w:rsidR="0018722C">
      <w:pPr>
        <w:topLinePunct/>
      </w:pPr>
      <w:r>
        <w:t>GAPDH</w:t>
      </w:r>
      <w:r>
        <w:t>）</w:t>
      </w:r>
      <w:r>
        <w:t>—</w:t>
      </w:r>
      <w:r>
        <w:t>(</w:t>
      </w:r>
      <w:r>
        <w:t>Ct</w:t>
      </w:r>
      <w:r w:rsidR="001852F3">
        <w:t xml:space="preserve">低分化组检测基因—Ct</w:t>
      </w:r>
      <w:r/>
      <w:r w:rsidR="001852F3">
        <w:t xml:space="preserve">低分化组</w:t>
      </w:r>
      <w:r>
        <w:t>GAPDH</w:t>
      </w:r>
      <w:r>
        <w:t>)</w:t>
      </w:r>
      <w:r>
        <w:t>。实验重复</w:t>
      </w:r>
      <w:r>
        <w:t>2-3</w:t>
      </w:r>
      <w:r/>
      <w:r w:rsidR="001852F3">
        <w:t xml:space="preserve">次。</w:t>
      </w:r>
    </w:p>
    <w:p w:rsidR="0018722C">
      <w:pPr>
        <w:pStyle w:val="Heading2"/>
        <w:topLinePunct/>
        <w:ind w:left="171" w:hangingChars="171" w:hanging="171"/>
      </w:pPr>
      <w:bookmarkStart w:name="3 WB检测癌组织中COX-2或EP1蛋白的表达 " w:id="21"/>
      <w:bookmarkEnd w:id="21"/>
      <w:r>
        <w:rPr>
          <w:b/>
        </w:rPr>
        <w:t>3</w:t>
      </w:r>
      <w:r>
        <w:t xml:space="preserve"> </w:t>
      </w:r>
      <w:bookmarkStart w:name="3 WB检测癌组织中COX-2或EP1蛋白的表达 " w:id="22"/>
      <w:bookmarkEnd w:id="22"/>
      <w:r>
        <w:rPr>
          <w:b/>
        </w:rPr>
        <w:t>WB</w:t>
      </w:r>
      <w:r w:rsidR="001852F3">
        <w:t xml:space="preserve">检测癌组织中</w:t>
      </w:r>
      <w:r>
        <w:rPr>
          <w:b/>
        </w:rPr>
        <w:t>COX-2</w:t>
      </w:r>
      <w:r w:rsidR="001852F3">
        <w:t xml:space="preserve">或</w:t>
      </w:r>
      <w:r>
        <w:rPr>
          <w:b/>
        </w:rPr>
        <w:t>EP</w:t>
      </w:r>
      <w:r>
        <w:rPr>
          <w:b/>
        </w:rPr>
        <w:t>1</w:t>
      </w:r>
      <w:r>
        <w:t>蛋白的表达</w:t>
      </w:r>
    </w:p>
    <w:p w:rsidR="0018722C">
      <w:pPr>
        <w:pStyle w:val="Heading3"/>
        <w:topLinePunct/>
        <w:ind w:left="200" w:hangingChars="200" w:hanging="200"/>
      </w:pPr>
      <w:r>
        <w:rPr>
          <w:b/>
        </w:rPr>
        <w:t>3.1</w:t>
      </w:r>
      <w:r>
        <w:t xml:space="preserve"> </w:t>
      </w:r>
      <w:r>
        <w:t>组织总蛋白提取</w:t>
      </w:r>
    </w:p>
    <w:p w:rsidR="0018722C">
      <w:pPr>
        <w:topLinePunct/>
      </w:pPr>
      <w:r>
        <w:t>（</w:t>
      </w:r>
      <w:r>
        <w:t>1</w:t>
      </w:r>
      <w:r>
        <w:t>）</w:t>
      </w:r>
      <w:r>
        <w:t>从冻存盒中取适量新鲜</w:t>
      </w:r>
      <w:r>
        <w:t>HCC</w:t>
      </w:r>
      <w:r/>
      <w:r w:rsidR="001852F3">
        <w:t xml:space="preserve">组织，加入蛋白裂解混合液</w:t>
      </w:r>
      <w:r>
        <w:t>500μL，用</w:t>
      </w:r>
      <w:r>
        <w:t>移液器转移至另外一个干净</w:t>
      </w:r>
      <w:r>
        <w:t>1</w:t>
      </w:r>
      <w:r>
        <w:t>.</w:t>
      </w:r>
      <w:r>
        <w:t>5mLEP</w:t>
      </w:r>
      <w:r/>
      <w:r w:rsidR="001852F3">
        <w:t xml:space="preserve">管中。冰上放置裂解</w:t>
      </w:r>
      <w:r>
        <w:t>30min，为使细</w:t>
      </w:r>
      <w:r>
        <w:t>胞裂解充分，裂解过程中每隔数分钟摇晃</w:t>
      </w:r>
      <w:r>
        <w:t>EP</w:t>
      </w:r>
      <w:r/>
      <w:r w:rsidR="001852F3">
        <w:t xml:space="preserve">管数下。</w:t>
      </w:r>
    </w:p>
    <w:p w:rsidR="0018722C">
      <w:pPr>
        <w:topLinePunct/>
      </w:pPr>
      <w:r>
        <w:t>（</w:t>
      </w:r>
      <w:r>
        <w:t xml:space="preserve">2</w:t>
      </w:r>
      <w:r>
        <w:t>）</w:t>
      </w:r>
      <w:r>
        <w:t>12000rpm、4℃离心机离心</w:t>
      </w:r>
      <w:r w:rsidR="001852F3">
        <w:t xml:space="preserve">20min。用微量移液器小心吸取适量上清液分装于高压过的</w:t>
      </w:r>
      <w:r w:rsidR="001852F3">
        <w:t xml:space="preserve">EP</w:t>
      </w:r>
      <w:r w:rsidR="001852F3">
        <w:t xml:space="preserve">管中。-80℃低温冰箱中保存。</w:t>
      </w:r>
    </w:p>
    <w:p w:rsidR="0018722C">
      <w:pPr>
        <w:pStyle w:val="Heading3"/>
        <w:topLinePunct/>
        <w:ind w:left="200" w:hangingChars="200" w:hanging="200"/>
      </w:pPr>
      <w:r>
        <w:rPr>
          <w:b/>
        </w:rPr>
        <w:t>3.2</w:t>
      </w:r>
      <w:r>
        <w:t xml:space="preserve"> </w:t>
      </w:r>
      <w:r>
        <w:t>组织蛋白浓度的测定</w:t>
      </w:r>
    </w:p>
    <w:p w:rsidR="0018722C">
      <w:pPr>
        <w:topLinePunct/>
      </w:pPr>
      <w:r>
        <w:t>采用</w:t>
      </w:r>
      <w:r>
        <w:t>BCA</w:t>
      </w:r>
      <w:r/>
      <w:r w:rsidR="001852F3">
        <w:t xml:space="preserve">法测定两组蛋白的浓度，具体操作过程参照碧云天生物技术提供</w:t>
      </w:r>
      <w:r>
        <w:t>的增强型</w:t>
      </w:r>
      <w:r>
        <w:t>BCA</w:t>
      </w:r>
      <w:r/>
      <w:r w:rsidR="001852F3">
        <w:t xml:space="preserve">蛋白浓度测定试剂盒说明书。</w:t>
      </w:r>
    </w:p>
    <w:p w:rsidR="0018722C">
      <w:pPr>
        <w:topLinePunct/>
      </w:pPr>
      <w:r>
        <w:t>（</w:t>
      </w:r>
      <w:r>
        <w:t>1</w:t>
      </w:r>
      <w:r>
        <w:t>）</w:t>
      </w:r>
      <w:r>
        <w:t>参照说明书提够的体积比为1</w:t>
      </w:r>
      <w:r>
        <w:t xml:space="preserve">: </w:t>
      </w:r>
      <w:r>
        <w:t>50，将试剂盒中BCA试剂B和试剂A充分混匀，制备成BCA蛋白浓度测定工作液。</w:t>
      </w:r>
    </w:p>
    <w:p w:rsidR="0018722C">
      <w:pPr>
        <w:topLinePunct/>
      </w:pPr>
      <w:r>
        <w:t>（</w:t>
      </w:r>
      <w:r>
        <w:t>2</w:t>
      </w:r>
      <w:r>
        <w:t>）</w:t>
      </w:r>
      <w:r>
        <w:t>参照</w:t>
      </w:r>
      <w:r>
        <w:t>表</w:t>
      </w:r>
      <w:r>
        <w:t>2-2</w:t>
      </w:r>
      <w:r>
        <w:t>，将待测蛋白和各种试剂加入</w:t>
      </w:r>
      <w:r w:rsidR="001852F3">
        <w:t xml:space="preserve">96</w:t>
      </w:r>
      <w:r/>
      <w:r w:rsidR="001852F3">
        <w:t xml:space="preserve">孔板中，设置四个复孔，</w:t>
      </w:r>
      <w:r>
        <w:t>接着用微量移液器向各孔加入</w:t>
      </w:r>
      <w:r>
        <w:t>BCA</w:t>
      </w:r>
      <w:r/>
      <w:r w:rsidR="001852F3">
        <w:t xml:space="preserve">工作液</w:t>
      </w:r>
      <w:r>
        <w:t>200μL，37℃</w:t>
      </w:r>
      <w:r>
        <w:t>恒温箱中放置</w:t>
      </w:r>
      <w:r>
        <w:t>3</w:t>
      </w:r>
      <w:r>
        <w:t>0</w:t>
      </w:r>
    </w:p>
    <w:p w:rsidR="0018722C">
      <w:pPr>
        <w:topLinePunct/>
      </w:pPr>
      <w:r>
        <w:t>分钟。接着用酶标仪测定</w:t>
      </w:r>
      <w:r>
        <w:t>A562，</w:t>
      </w:r>
      <w:r>
        <w:t>用</w:t>
      </w:r>
      <w:r>
        <w:t>EXCEL</w:t>
      </w:r>
      <w:r/>
      <w:r w:rsidR="001852F3">
        <w:t xml:space="preserve">绘制蛋白标准品的标准曲线，从</w:t>
      </w:r>
      <w:r>
        <w:t>而得出</w:t>
      </w:r>
      <w:r>
        <w:t>A562</w:t>
      </w:r>
      <w:r/>
      <w:r w:rsidR="001852F3">
        <w:t xml:space="preserve">与蛋白浓度之间的回归方程，分别将两组不同蛋白的吸光度带入标准曲线方程计算样品的蛋白浓度。</w:t>
      </w:r>
    </w:p>
    <w:p w:rsidR="0018722C">
      <w:pPr>
        <w:pStyle w:val="a8"/>
        <w:topLinePunct/>
      </w:pPr>
      <w:r>
        <w:t>表2-2</w:t>
      </w:r>
      <w:r>
        <w:t xml:space="preserve">  </w:t>
      </w:r>
      <w:r>
        <w:t>BCA</w:t>
      </w:r>
      <w:r w:rsidR="001852F3">
        <w:t xml:space="preserve">法测定蛋白浓度加样示意图</w:t>
      </w:r>
    </w:p>
    <w:p w:rsidR="0018722C">
      <w:pPr>
        <w:topLinePunct/>
      </w:pPr>
      <w:r>
        <w:rPr>
          <w:rFonts w:cstheme="minorBidi" w:hAnsiTheme="minorHAnsi" w:eastAsiaTheme="minorHAnsi" w:asciiTheme="minorHAnsi"/>
        </w:rPr>
        <w:t>14</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topLinePunct/>
      </w:pPr>
    </w:p>
    <w:p w:rsidR="0018722C">
      <w:pPr>
        <w:pStyle w:val="aff7"/>
        <w:topLinePunct/>
      </w:pPr>
      <w:r>
        <w:rPr>
          <w:kern w:val="2"/>
          <w:sz w:val="22"/>
          <w:szCs w:val="22"/>
          <w:rFonts w:cstheme="minorBidi" w:hAnsiTheme="minorHAnsi" w:eastAsiaTheme="minorHAnsi" w:asciiTheme="minorHAnsi"/>
        </w:rPr>
        <w:pict>
          <v:line style="position:absolute;mso-position-horizontal-relative:page;mso-position-vertical-relative:paragraph;z-index:1960;mso-wrap-distance-left:0;mso-wrap-distance-right:0" from="65.5pt,11.341473pt" to="491.600006pt,11.341473pt" stroked="true" strokeweight="1.5pt" strokecolor="#000000">
            <v:stroke dashstyle="solid"/>
            <w10:wrap type="topAndBottom"/>
          </v:line>
        </w:pict>
      </w:r>
    </w:p>
    <w:tbl>
      <w:tblPr>
        <w:tblW w:w="5000" w:type="pct"/>
        <w:tblInd w:w="410"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3637"/>
        <w:gridCol w:w="1000"/>
        <w:gridCol w:w="712"/>
        <w:gridCol w:w="547"/>
        <w:gridCol w:w="553"/>
        <w:gridCol w:w="508"/>
        <w:gridCol w:w="508"/>
        <w:gridCol w:w="508"/>
        <w:gridCol w:w="549"/>
      </w:tblGrid>
      <w:tr>
        <w:trPr>
          <w:tblHeader/>
        </w:trPr>
        <w:tc>
          <w:tcPr>
            <w:tcW w:w="2134" w:type="pct"/>
            <w:vAlign w:val="center"/>
            <w:tcBorders>
              <w:bottom w:val="single" w:sz="4" w:space="0" w:color="auto"/>
            </w:tcBorders>
          </w:tcPr>
          <w:p w:rsidR="0018722C">
            <w:pPr>
              <w:pStyle w:val="a7"/>
              <w:topLinePunct/>
              <w:ind w:leftChars="0" w:left="0" w:rightChars="0" w:right="0" w:firstLineChars="0" w:firstLine="0"/>
              <w:spacing w:line="240" w:lineRule="atLeast"/>
            </w:pPr>
            <w:r>
              <w:t>孔号</w:t>
            </w:r>
          </w:p>
        </w:tc>
        <w:tc>
          <w:tcPr>
            <w:tcW w:w="587" w:type="pct"/>
            <w:vAlign w:val="center"/>
            <w:tcBorders>
              <w:bottom w:val="single" w:sz="4" w:space="0" w:color="auto"/>
            </w:tcBorders>
          </w:tcPr>
          <w:p w:rsidR="0018722C">
            <w:pPr>
              <w:pStyle w:val="a7"/>
              <w:topLinePunct/>
              <w:ind w:leftChars="0" w:left="0" w:rightChars="0" w:right="0" w:firstLineChars="0" w:firstLine="0"/>
              <w:spacing w:line="240" w:lineRule="atLeast"/>
            </w:pPr>
            <w:r>
              <w:t>0</w:t>
            </w:r>
          </w:p>
        </w:tc>
        <w:tc>
          <w:tcPr>
            <w:tcW w:w="418" w:type="pct"/>
            <w:vAlign w:val="center"/>
            <w:tcBorders>
              <w:bottom w:val="single" w:sz="4" w:space="0" w:color="auto"/>
            </w:tcBorders>
          </w:tcPr>
          <w:p w:rsidR="0018722C">
            <w:pPr>
              <w:pStyle w:val="a7"/>
              <w:topLinePunct/>
              <w:ind w:leftChars="0" w:left="0" w:rightChars="0" w:right="0" w:firstLineChars="0" w:firstLine="0"/>
              <w:spacing w:line="240" w:lineRule="atLeast"/>
            </w:pPr>
            <w:r>
              <w:t>1</w:t>
            </w:r>
          </w:p>
        </w:tc>
        <w:tc>
          <w:tcPr>
            <w:tcW w:w="321" w:type="pct"/>
            <w:vAlign w:val="center"/>
            <w:tcBorders>
              <w:bottom w:val="single" w:sz="4" w:space="0" w:color="auto"/>
            </w:tcBorders>
          </w:tcPr>
          <w:p w:rsidR="0018722C">
            <w:pPr>
              <w:pStyle w:val="a7"/>
              <w:topLinePunct/>
              <w:ind w:leftChars="0" w:left="0" w:rightChars="0" w:right="0" w:firstLineChars="0" w:firstLine="0"/>
              <w:spacing w:line="240" w:lineRule="atLeast"/>
            </w:pPr>
            <w:r>
              <w:t>2</w:t>
            </w:r>
          </w:p>
        </w:tc>
        <w:tc>
          <w:tcPr>
            <w:tcW w:w="324" w:type="pct"/>
            <w:vAlign w:val="center"/>
            <w:tcBorders>
              <w:bottom w:val="single" w:sz="4" w:space="0" w:color="auto"/>
            </w:tcBorders>
          </w:tcPr>
          <w:p w:rsidR="0018722C">
            <w:pPr>
              <w:pStyle w:val="a7"/>
              <w:topLinePunct/>
              <w:ind w:leftChars="0" w:left="0" w:rightChars="0" w:right="0" w:firstLineChars="0" w:firstLine="0"/>
              <w:spacing w:line="240" w:lineRule="atLeast"/>
            </w:pPr>
            <w:r>
              <w:t>3</w:t>
            </w:r>
          </w:p>
        </w:tc>
        <w:tc>
          <w:tcPr>
            <w:tcW w:w="298" w:type="pct"/>
            <w:vAlign w:val="center"/>
            <w:tcBorders>
              <w:bottom w:val="single" w:sz="4" w:space="0" w:color="auto"/>
            </w:tcBorders>
          </w:tcPr>
          <w:p w:rsidR="0018722C">
            <w:pPr>
              <w:pStyle w:val="a7"/>
              <w:topLinePunct/>
              <w:ind w:leftChars="0" w:left="0" w:rightChars="0" w:right="0" w:firstLineChars="0" w:firstLine="0"/>
              <w:spacing w:line="240" w:lineRule="atLeast"/>
            </w:pPr>
            <w:r>
              <w:t>4</w:t>
            </w:r>
          </w:p>
        </w:tc>
        <w:tc>
          <w:tcPr>
            <w:tcW w:w="298" w:type="pct"/>
            <w:vAlign w:val="center"/>
            <w:tcBorders>
              <w:bottom w:val="single" w:sz="4" w:space="0" w:color="auto"/>
            </w:tcBorders>
          </w:tcPr>
          <w:p w:rsidR="0018722C">
            <w:pPr>
              <w:pStyle w:val="a7"/>
              <w:topLinePunct/>
              <w:ind w:leftChars="0" w:left="0" w:rightChars="0" w:right="0" w:firstLineChars="0" w:firstLine="0"/>
              <w:spacing w:line="240" w:lineRule="atLeast"/>
            </w:pPr>
            <w:r>
              <w:t>5</w:t>
            </w:r>
          </w:p>
        </w:tc>
        <w:tc>
          <w:tcPr>
            <w:tcW w:w="298" w:type="pct"/>
            <w:vAlign w:val="center"/>
            <w:tcBorders>
              <w:bottom w:val="single" w:sz="4" w:space="0" w:color="auto"/>
            </w:tcBorders>
          </w:tcPr>
          <w:p w:rsidR="0018722C">
            <w:pPr>
              <w:pStyle w:val="a7"/>
              <w:topLinePunct/>
              <w:ind w:leftChars="0" w:left="0" w:rightChars="0" w:right="0" w:firstLineChars="0" w:firstLine="0"/>
              <w:spacing w:line="240" w:lineRule="atLeast"/>
            </w:pPr>
            <w:r>
              <w:t>6</w:t>
            </w:r>
          </w:p>
        </w:tc>
        <w:tc>
          <w:tcPr>
            <w:tcW w:w="322" w:type="pct"/>
            <w:vAlign w:val="center"/>
            <w:tcBorders>
              <w:bottom w:val="single" w:sz="4" w:space="0" w:color="auto"/>
            </w:tcBorders>
          </w:tcPr>
          <w:p w:rsidR="0018722C">
            <w:pPr>
              <w:pStyle w:val="a7"/>
              <w:topLinePunct/>
              <w:ind w:leftChars="0" w:left="0" w:rightChars="0" w:right="0" w:firstLineChars="0" w:firstLine="0"/>
              <w:spacing w:line="240" w:lineRule="atLeast"/>
            </w:pPr>
            <w:r>
              <w:t>7</w:t>
            </w:r>
          </w:p>
        </w:tc>
      </w:tr>
      <w:tr>
        <w:tc>
          <w:tcPr>
            <w:tcW w:w="2134" w:type="pct"/>
            <w:vAlign w:val="center"/>
          </w:tcPr>
          <w:p w:rsidR="0018722C">
            <w:pPr>
              <w:pStyle w:val="ac"/>
              <w:topLinePunct/>
              <w:ind w:leftChars="0" w:left="0" w:rightChars="0" w:right="0" w:firstLineChars="0" w:firstLine="0"/>
              <w:spacing w:line="240" w:lineRule="atLeast"/>
            </w:pPr>
            <w:r>
              <w:t>蛋白标准溶液 2 mg／mL</w:t>
            </w:r>
            <w:r>
              <w:t>（</w:t>
            </w:r>
            <w:r>
              <w:t>μL</w:t>
            </w:r>
            <w:r>
              <w:t>）</w:t>
            </w:r>
          </w:p>
        </w:tc>
        <w:tc>
          <w:tcPr>
            <w:tcW w:w="587" w:type="pct"/>
            <w:vAlign w:val="center"/>
          </w:tcPr>
          <w:p w:rsidR="0018722C">
            <w:pPr>
              <w:pStyle w:val="affff9"/>
              <w:topLinePunct/>
              <w:ind w:leftChars="0" w:left="0" w:rightChars="0" w:right="0" w:firstLineChars="0" w:firstLine="0"/>
              <w:spacing w:line="240" w:lineRule="atLeast"/>
            </w:pPr>
            <w:r>
              <w:t>0</w:t>
            </w:r>
          </w:p>
        </w:tc>
        <w:tc>
          <w:tcPr>
            <w:tcW w:w="418" w:type="pct"/>
            <w:vAlign w:val="center"/>
          </w:tcPr>
          <w:p w:rsidR="0018722C">
            <w:pPr>
              <w:pStyle w:val="affff9"/>
              <w:topLinePunct/>
              <w:ind w:leftChars="0" w:left="0" w:rightChars="0" w:right="0" w:firstLineChars="0" w:firstLine="0"/>
              <w:spacing w:line="240" w:lineRule="atLeast"/>
            </w:pPr>
            <w:r>
              <w:t>0.5</w:t>
            </w:r>
          </w:p>
        </w:tc>
        <w:tc>
          <w:tcPr>
            <w:tcW w:w="321" w:type="pct"/>
            <w:vAlign w:val="center"/>
          </w:tcPr>
          <w:p w:rsidR="0018722C">
            <w:pPr>
              <w:pStyle w:val="affff9"/>
              <w:topLinePunct/>
              <w:ind w:leftChars="0" w:left="0" w:rightChars="0" w:right="0" w:firstLineChars="0" w:firstLine="0"/>
              <w:spacing w:line="240" w:lineRule="atLeast"/>
            </w:pPr>
            <w:r>
              <w:t>1</w:t>
            </w:r>
          </w:p>
        </w:tc>
        <w:tc>
          <w:tcPr>
            <w:tcW w:w="324" w:type="pct"/>
            <w:vAlign w:val="center"/>
          </w:tcPr>
          <w:p w:rsidR="0018722C">
            <w:pPr>
              <w:pStyle w:val="affff9"/>
              <w:topLinePunct/>
              <w:ind w:leftChars="0" w:left="0" w:rightChars="0" w:right="0" w:firstLineChars="0" w:firstLine="0"/>
              <w:spacing w:line="240" w:lineRule="atLeast"/>
            </w:pPr>
            <w:r>
              <w:t>2</w:t>
            </w:r>
          </w:p>
        </w:tc>
        <w:tc>
          <w:tcPr>
            <w:tcW w:w="298" w:type="pct"/>
            <w:vAlign w:val="center"/>
          </w:tcPr>
          <w:p w:rsidR="0018722C">
            <w:pPr>
              <w:pStyle w:val="affff9"/>
              <w:topLinePunct/>
              <w:ind w:leftChars="0" w:left="0" w:rightChars="0" w:right="0" w:firstLineChars="0" w:firstLine="0"/>
              <w:spacing w:line="240" w:lineRule="atLeast"/>
            </w:pPr>
            <w:r>
              <w:t>4</w:t>
            </w:r>
          </w:p>
        </w:tc>
        <w:tc>
          <w:tcPr>
            <w:tcW w:w="298" w:type="pct"/>
            <w:vAlign w:val="center"/>
          </w:tcPr>
          <w:p w:rsidR="0018722C">
            <w:pPr>
              <w:pStyle w:val="affff9"/>
              <w:topLinePunct/>
              <w:ind w:leftChars="0" w:left="0" w:rightChars="0" w:right="0" w:firstLineChars="0" w:firstLine="0"/>
              <w:spacing w:line="240" w:lineRule="atLeast"/>
            </w:pPr>
            <w:r>
              <w:t>6</w:t>
            </w:r>
          </w:p>
        </w:tc>
        <w:tc>
          <w:tcPr>
            <w:tcW w:w="298" w:type="pct"/>
            <w:vAlign w:val="center"/>
          </w:tcPr>
          <w:p w:rsidR="0018722C">
            <w:pPr>
              <w:pStyle w:val="affff9"/>
              <w:topLinePunct/>
              <w:ind w:leftChars="0" w:left="0" w:rightChars="0" w:right="0" w:firstLineChars="0" w:firstLine="0"/>
              <w:spacing w:line="240" w:lineRule="atLeast"/>
            </w:pPr>
            <w:r>
              <w:t>8</w:t>
            </w:r>
          </w:p>
        </w:tc>
        <w:tc>
          <w:tcPr>
            <w:tcW w:w="322" w:type="pct"/>
            <w:vAlign w:val="center"/>
          </w:tcPr>
          <w:p w:rsidR="0018722C">
            <w:pPr>
              <w:pStyle w:val="affff9"/>
              <w:topLinePunct/>
              <w:ind w:leftChars="0" w:left="0" w:rightChars="0" w:right="0" w:firstLineChars="0" w:firstLine="0"/>
              <w:spacing w:line="240" w:lineRule="atLeast"/>
            </w:pPr>
            <w:r>
              <w:t>10</w:t>
            </w:r>
          </w:p>
        </w:tc>
      </w:tr>
      <w:tr>
        <w:tc>
          <w:tcPr>
            <w:tcW w:w="2134" w:type="pct"/>
            <w:vAlign w:val="center"/>
          </w:tcPr>
          <w:p w:rsidR="0018722C">
            <w:pPr>
              <w:pStyle w:val="ac"/>
              <w:topLinePunct/>
              <w:ind w:leftChars="0" w:left="0" w:rightChars="0" w:right="0" w:firstLineChars="0" w:firstLine="0"/>
              <w:spacing w:line="240" w:lineRule="atLeast"/>
            </w:pPr>
            <w:r>
              <w:t>蛋白裂解混合液</w:t>
            </w:r>
            <w:r>
              <w:t>（</w:t>
            </w:r>
            <w:r>
              <w:t>μL</w:t>
            </w:r>
            <w:r>
              <w:t>）</w:t>
            </w:r>
          </w:p>
        </w:tc>
        <w:tc>
          <w:tcPr>
            <w:tcW w:w="587" w:type="pct"/>
            <w:vAlign w:val="center"/>
          </w:tcPr>
          <w:p w:rsidR="0018722C">
            <w:pPr>
              <w:pStyle w:val="affff9"/>
              <w:topLinePunct/>
              <w:ind w:leftChars="0" w:left="0" w:rightChars="0" w:right="0" w:firstLineChars="0" w:firstLine="0"/>
              <w:spacing w:line="240" w:lineRule="atLeast"/>
            </w:pPr>
            <w:r>
              <w:t>20</w:t>
            </w:r>
          </w:p>
        </w:tc>
        <w:tc>
          <w:tcPr>
            <w:tcW w:w="418" w:type="pct"/>
            <w:vAlign w:val="center"/>
          </w:tcPr>
          <w:p w:rsidR="0018722C">
            <w:pPr>
              <w:pStyle w:val="affff9"/>
              <w:topLinePunct/>
              <w:ind w:leftChars="0" w:left="0" w:rightChars="0" w:right="0" w:firstLineChars="0" w:firstLine="0"/>
              <w:spacing w:line="240" w:lineRule="atLeast"/>
            </w:pPr>
            <w:r>
              <w:t>19.5</w:t>
            </w:r>
          </w:p>
        </w:tc>
        <w:tc>
          <w:tcPr>
            <w:tcW w:w="321" w:type="pct"/>
            <w:vAlign w:val="center"/>
          </w:tcPr>
          <w:p w:rsidR="0018722C">
            <w:pPr>
              <w:pStyle w:val="affff9"/>
              <w:topLinePunct/>
              <w:ind w:leftChars="0" w:left="0" w:rightChars="0" w:right="0" w:firstLineChars="0" w:firstLine="0"/>
              <w:spacing w:line="240" w:lineRule="atLeast"/>
            </w:pPr>
            <w:r>
              <w:t>19</w:t>
            </w:r>
          </w:p>
        </w:tc>
        <w:tc>
          <w:tcPr>
            <w:tcW w:w="324" w:type="pct"/>
            <w:vAlign w:val="center"/>
          </w:tcPr>
          <w:p w:rsidR="0018722C">
            <w:pPr>
              <w:pStyle w:val="affff9"/>
              <w:topLinePunct/>
              <w:ind w:leftChars="0" w:left="0" w:rightChars="0" w:right="0" w:firstLineChars="0" w:firstLine="0"/>
              <w:spacing w:line="240" w:lineRule="atLeast"/>
            </w:pPr>
            <w:r>
              <w:t>18</w:t>
            </w:r>
          </w:p>
        </w:tc>
        <w:tc>
          <w:tcPr>
            <w:tcW w:w="298" w:type="pct"/>
            <w:vAlign w:val="center"/>
          </w:tcPr>
          <w:p w:rsidR="0018722C">
            <w:pPr>
              <w:pStyle w:val="affff9"/>
              <w:topLinePunct/>
              <w:ind w:leftChars="0" w:left="0" w:rightChars="0" w:right="0" w:firstLineChars="0" w:firstLine="0"/>
              <w:spacing w:line="240" w:lineRule="atLeast"/>
            </w:pPr>
            <w:r>
              <w:t>16</w:t>
            </w:r>
          </w:p>
        </w:tc>
        <w:tc>
          <w:tcPr>
            <w:tcW w:w="298" w:type="pct"/>
            <w:vAlign w:val="center"/>
          </w:tcPr>
          <w:p w:rsidR="0018722C">
            <w:pPr>
              <w:pStyle w:val="affff9"/>
              <w:topLinePunct/>
              <w:ind w:leftChars="0" w:left="0" w:rightChars="0" w:right="0" w:firstLineChars="0" w:firstLine="0"/>
              <w:spacing w:line="240" w:lineRule="atLeast"/>
            </w:pPr>
            <w:r>
              <w:t>14</w:t>
            </w:r>
          </w:p>
        </w:tc>
        <w:tc>
          <w:tcPr>
            <w:tcW w:w="298" w:type="pct"/>
            <w:vAlign w:val="center"/>
          </w:tcPr>
          <w:p w:rsidR="0018722C">
            <w:pPr>
              <w:pStyle w:val="affff9"/>
              <w:topLinePunct/>
              <w:ind w:leftChars="0" w:left="0" w:rightChars="0" w:right="0" w:firstLineChars="0" w:firstLine="0"/>
              <w:spacing w:line="240" w:lineRule="atLeast"/>
            </w:pPr>
            <w:r>
              <w:t>12</w:t>
            </w:r>
          </w:p>
        </w:tc>
        <w:tc>
          <w:tcPr>
            <w:tcW w:w="322" w:type="pct"/>
            <w:vAlign w:val="center"/>
          </w:tcPr>
          <w:p w:rsidR="0018722C">
            <w:pPr>
              <w:pStyle w:val="affff9"/>
              <w:topLinePunct/>
              <w:ind w:leftChars="0" w:left="0" w:rightChars="0" w:right="0" w:firstLineChars="0" w:firstLine="0"/>
              <w:spacing w:line="240" w:lineRule="atLeast"/>
            </w:pPr>
            <w:r>
              <w:t>10</w:t>
            </w:r>
          </w:p>
        </w:tc>
      </w:tr>
      <w:tr>
        <w:tc>
          <w:tcPr>
            <w:tcW w:w="2134" w:type="pct"/>
            <w:vAlign w:val="center"/>
          </w:tcPr>
          <w:p w:rsidR="0018722C">
            <w:pPr>
              <w:pStyle w:val="ac"/>
              <w:topLinePunct/>
              <w:ind w:leftChars="0" w:left="0" w:rightChars="0" w:right="0" w:firstLineChars="0" w:firstLine="0"/>
              <w:spacing w:line="240" w:lineRule="atLeast"/>
            </w:pPr>
            <w:r>
              <w:t>对应蛋白含量</w:t>
            </w:r>
            <w:r>
              <w:t>（</w:t>
            </w:r>
            <w:r>
              <w:t>μg</w:t>
            </w:r>
            <w:r>
              <w:t>）</w:t>
            </w:r>
          </w:p>
        </w:tc>
        <w:tc>
          <w:tcPr>
            <w:tcW w:w="587" w:type="pct"/>
            <w:vAlign w:val="center"/>
          </w:tcPr>
          <w:p w:rsidR="0018722C">
            <w:pPr>
              <w:pStyle w:val="affff9"/>
              <w:topLinePunct/>
              <w:ind w:leftChars="0" w:left="0" w:rightChars="0" w:right="0" w:firstLineChars="0" w:firstLine="0"/>
              <w:spacing w:line="240" w:lineRule="atLeast"/>
            </w:pPr>
            <w:r>
              <w:t>0</w:t>
            </w:r>
          </w:p>
        </w:tc>
        <w:tc>
          <w:tcPr>
            <w:tcW w:w="418" w:type="pct"/>
            <w:vAlign w:val="center"/>
          </w:tcPr>
          <w:p w:rsidR="0018722C">
            <w:pPr>
              <w:pStyle w:val="affff9"/>
              <w:topLinePunct/>
              <w:ind w:leftChars="0" w:left="0" w:rightChars="0" w:right="0" w:firstLineChars="0" w:firstLine="0"/>
              <w:spacing w:line="240" w:lineRule="atLeast"/>
            </w:pPr>
            <w:r>
              <w:t>1</w:t>
            </w:r>
          </w:p>
        </w:tc>
        <w:tc>
          <w:tcPr>
            <w:tcW w:w="321" w:type="pct"/>
            <w:vAlign w:val="center"/>
          </w:tcPr>
          <w:p w:rsidR="0018722C">
            <w:pPr>
              <w:pStyle w:val="affff9"/>
              <w:topLinePunct/>
              <w:ind w:leftChars="0" w:left="0" w:rightChars="0" w:right="0" w:firstLineChars="0" w:firstLine="0"/>
              <w:spacing w:line="240" w:lineRule="atLeast"/>
            </w:pPr>
            <w:r>
              <w:t>2</w:t>
            </w:r>
          </w:p>
        </w:tc>
        <w:tc>
          <w:tcPr>
            <w:tcW w:w="324" w:type="pct"/>
            <w:vAlign w:val="center"/>
          </w:tcPr>
          <w:p w:rsidR="0018722C">
            <w:pPr>
              <w:pStyle w:val="affff9"/>
              <w:topLinePunct/>
              <w:ind w:leftChars="0" w:left="0" w:rightChars="0" w:right="0" w:firstLineChars="0" w:firstLine="0"/>
              <w:spacing w:line="240" w:lineRule="atLeast"/>
            </w:pPr>
            <w:r>
              <w:t>4</w:t>
            </w:r>
          </w:p>
        </w:tc>
        <w:tc>
          <w:tcPr>
            <w:tcW w:w="298" w:type="pct"/>
            <w:vAlign w:val="center"/>
          </w:tcPr>
          <w:p w:rsidR="0018722C">
            <w:pPr>
              <w:pStyle w:val="affff9"/>
              <w:topLinePunct/>
              <w:ind w:leftChars="0" w:left="0" w:rightChars="0" w:right="0" w:firstLineChars="0" w:firstLine="0"/>
              <w:spacing w:line="240" w:lineRule="atLeast"/>
            </w:pPr>
            <w:r>
              <w:t>8</w:t>
            </w:r>
          </w:p>
        </w:tc>
        <w:tc>
          <w:tcPr>
            <w:tcW w:w="298" w:type="pct"/>
            <w:vAlign w:val="center"/>
          </w:tcPr>
          <w:p w:rsidR="0018722C">
            <w:pPr>
              <w:pStyle w:val="affff9"/>
              <w:topLinePunct/>
              <w:ind w:leftChars="0" w:left="0" w:rightChars="0" w:right="0" w:firstLineChars="0" w:firstLine="0"/>
              <w:spacing w:line="240" w:lineRule="atLeast"/>
            </w:pPr>
            <w:r>
              <w:t>12</w:t>
            </w:r>
          </w:p>
        </w:tc>
        <w:tc>
          <w:tcPr>
            <w:tcW w:w="298" w:type="pct"/>
            <w:vAlign w:val="center"/>
          </w:tcPr>
          <w:p w:rsidR="0018722C">
            <w:pPr>
              <w:pStyle w:val="affff9"/>
              <w:topLinePunct/>
              <w:ind w:leftChars="0" w:left="0" w:rightChars="0" w:right="0" w:firstLineChars="0" w:firstLine="0"/>
              <w:spacing w:line="240" w:lineRule="atLeast"/>
            </w:pPr>
            <w:r>
              <w:t>16</w:t>
            </w:r>
          </w:p>
        </w:tc>
        <w:tc>
          <w:tcPr>
            <w:tcW w:w="322" w:type="pct"/>
            <w:vAlign w:val="center"/>
          </w:tcPr>
          <w:p w:rsidR="0018722C">
            <w:pPr>
              <w:pStyle w:val="affff9"/>
              <w:topLinePunct/>
              <w:ind w:leftChars="0" w:left="0" w:rightChars="0" w:right="0" w:firstLineChars="0" w:firstLine="0"/>
              <w:spacing w:line="240" w:lineRule="atLeast"/>
            </w:pPr>
            <w:r>
              <w:t>20</w:t>
            </w:r>
          </w:p>
        </w:tc>
      </w:tr>
      <w:tr>
        <w:tc>
          <w:tcPr>
            <w:tcW w:w="2134" w:type="pct"/>
            <w:vAlign w:val="center"/>
            <w:tcBorders>
              <w:top w:val="single" w:sz="4" w:space="0" w:color="auto"/>
            </w:tcBorders>
          </w:tcPr>
          <w:p w:rsidR="0018722C">
            <w:pPr>
              <w:pStyle w:val="ac"/>
              <w:topLinePunct/>
              <w:ind w:leftChars="0" w:left="0" w:rightChars="0" w:right="0" w:firstLineChars="0" w:firstLine="0"/>
              <w:spacing w:line="240" w:lineRule="atLeast"/>
            </w:pPr>
            <w:r>
              <w:t>3.3 SDS-PAGE 电泳</w:t>
            </w:r>
          </w:p>
        </w:tc>
        <w:tc>
          <w:tcPr>
            <w:tcW w:w="587"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418"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321"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324"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298"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298"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298"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322" w:type="pct"/>
            <w:vAlign w:val="center"/>
            <w:tcBorders>
              <w:top w:val="single" w:sz="4" w:space="0" w:color="auto"/>
            </w:tcBorders>
          </w:tcPr>
          <w:p w:rsidR="0018722C">
            <w:pPr>
              <w:pStyle w:val="ad"/>
              <w:topLinePunct/>
              <w:ind w:leftChars="0" w:left="0" w:rightChars="0" w:right="0" w:firstLineChars="0" w:firstLine="0"/>
              <w:spacing w:line="240" w:lineRule="atLeast"/>
            </w:pPr>
          </w:p>
        </w:tc>
      </w:tr>
    </w:tbl>
    <w:p w:rsidR="0018722C">
      <w:pPr>
        <w:topLinePunct/>
        <w:pStyle w:val="affa"/>
      </w:pPr>
    </w:p>
    <w:p w:rsidR="0018722C">
      <w:pPr>
        <w:topLinePunct/>
      </w:pPr>
      <w:r>
        <w:t>（</w:t>
      </w:r>
      <w:r>
        <w:t>1</w:t>
      </w:r>
      <w:r>
        <w:t>）</w:t>
      </w:r>
      <w:r>
        <w:t>制胶：将制胶板用超纯水清洗干净后放在阴凉处晾干，事先备好制</w:t>
      </w:r>
      <w:r>
        <w:t>胶架，用吸管吸取适量超纯水检查玻璃板密闭性。参照</w:t>
      </w:r>
      <w:r>
        <w:t>表</w:t>
      </w:r>
      <w:r>
        <w:t>2-3</w:t>
      </w:r>
      <w:r/>
      <w:r w:rsidR="001852F3">
        <w:t xml:space="preserve">制备实验所</w:t>
      </w:r>
      <w:r>
        <w:t>需</w:t>
      </w:r>
      <w:r>
        <w:t>10%</w:t>
      </w:r>
      <w:r>
        <w:t>的分离胶和</w:t>
      </w:r>
      <w:r>
        <w:t>5%的浓缩胶，然后沿着玻璃板边缘用微量移液器缓慢加</w:t>
      </w:r>
      <w:r>
        <w:t>入适量分离胶。在距离玻璃板上缘</w:t>
      </w:r>
      <w:r>
        <w:t>2cm</w:t>
      </w:r>
      <w:r/>
      <w:r w:rsidR="001852F3">
        <w:t xml:space="preserve">时，停止加入分离胶，加入适量无水乙醇封闭。室温下放置至无水乙醇与分离胶之间出现一条明显的线时，</w:t>
      </w:r>
      <w:r w:rsidR="001852F3">
        <w:t xml:space="preserve">倒掉无水乙醇，并用适量吸水纸吸干净剩余的无水乙醇。然后加入适量</w:t>
      </w:r>
      <w:r w:rsidR="001852F3">
        <w:t>的</w:t>
      </w:r>
    </w:p>
    <w:p w:rsidR="0018722C">
      <w:pPr>
        <w:pStyle w:val="Heading2"/>
        <w:textAlignment w:val="center"/>
        <w:topLinePunct/>
        <w:ind w:left="171" w:hangingChars="171" w:hanging="171"/>
      </w:pPr>
      <w:r>
        <w:pict>
          <v:line style="position:absolute;mso-position-horizontal-relative:page;mso-position-vertical-relative:paragraph;z-index:-109720" from="65.5pt,50.051537pt" to="491.600006pt,50.051537pt" stroked="true" strokeweight="1.5pt" strokecolor="#000000">
            <v:stroke dashstyle="solid"/>
            <w10:wrap type="none"/>
          </v:line>
        </w:pict>
      </w:r>
      <w:r>
        <w:t>5</w:t>
      </w:r>
      <w:r>
        <w:t xml:space="preserve"> </w:t>
      </w:r>
      <w:r w:rsidRPr="00DB64CE">
        <w:t>%浓缩胶后立即插入梳子，室温下待胶凝固。接着组装蛋白电泳设备。表</w:t>
      </w:r>
      <w:r w:rsidR="001852F3">
        <w:t xml:space="preserve">2-3 6%、10%的分离胶和</w:t>
      </w:r>
      <w:r w:rsidR="001852F3">
        <w:t xml:space="preserve">5%的浓缩胶配制表</w:t>
      </w:r>
    </w:p>
    <w:tbl>
      <w:tblPr>
        <w:tblW w:w="0" w:type="auto"/>
        <w:tblInd w:w="4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70"/>
        <w:gridCol w:w="830"/>
        <w:gridCol w:w="747"/>
        <w:gridCol w:w="753"/>
        <w:gridCol w:w="754"/>
        <w:gridCol w:w="754"/>
        <w:gridCol w:w="755"/>
        <w:gridCol w:w="755"/>
        <w:gridCol w:w="755"/>
        <w:gridCol w:w="757"/>
      </w:tblGrid>
      <w:tr>
        <w:trPr>
          <w:trHeight w:val="360" w:hRule="atLeast"/>
        </w:trPr>
        <w:tc>
          <w:tcPr>
            <w:tcW w:w="1670" w:type="dxa"/>
          </w:tcPr>
          <w:p w:rsidR="0018722C">
            <w:pPr>
              <w:topLinePunct/>
              <w:ind w:leftChars="0" w:left="0" w:rightChars="0" w:right="0" w:firstLineChars="0" w:firstLine="0"/>
              <w:spacing w:line="240" w:lineRule="atLeast"/>
            </w:pPr>
            <w:r>
              <w:rPr>
                <w:rFonts w:ascii="宋体"/>
              </w:rPr>
              <w:t>6%SDS-PAGE</w:t>
            </w:r>
          </w:p>
        </w:tc>
        <w:tc>
          <w:tcPr>
            <w:tcW w:w="830" w:type="dxa"/>
          </w:tcPr>
          <w:p w:rsidR="0018722C">
            <w:pPr>
              <w:topLinePunct/>
              <w:ind w:leftChars="0" w:left="0" w:rightChars="0" w:right="0" w:firstLineChars="0" w:firstLine="0"/>
              <w:spacing w:line="240" w:lineRule="atLeast"/>
            </w:pPr>
          </w:p>
        </w:tc>
        <w:tc>
          <w:tcPr>
            <w:tcW w:w="747" w:type="dxa"/>
          </w:tcPr>
          <w:p w:rsidR="0018722C">
            <w:pPr>
              <w:topLinePunct/>
              <w:ind w:leftChars="0" w:left="0" w:rightChars="0" w:right="0" w:firstLineChars="0" w:firstLine="0"/>
              <w:spacing w:line="240" w:lineRule="atLeast"/>
            </w:pPr>
            <w:r>
              <w:rPr>
                <w:rFonts w:ascii="宋体"/>
              </w:rPr>
              <w:t>5mL</w:t>
            </w:r>
          </w:p>
        </w:tc>
        <w:tc>
          <w:tcPr>
            <w:tcW w:w="753" w:type="dxa"/>
          </w:tcPr>
          <w:p w:rsidR="0018722C">
            <w:pPr>
              <w:topLinePunct/>
              <w:ind w:leftChars="0" w:left="0" w:rightChars="0" w:right="0" w:firstLineChars="0" w:firstLine="0"/>
              <w:spacing w:line="240" w:lineRule="atLeast"/>
            </w:pPr>
            <w:r>
              <w:rPr>
                <w:rFonts w:ascii="宋体"/>
              </w:rPr>
              <w:t>10mL</w:t>
            </w:r>
          </w:p>
        </w:tc>
        <w:tc>
          <w:tcPr>
            <w:tcW w:w="754" w:type="dxa"/>
          </w:tcPr>
          <w:p w:rsidR="0018722C">
            <w:pPr>
              <w:topLinePunct/>
              <w:ind w:leftChars="0" w:left="0" w:rightChars="0" w:right="0" w:firstLineChars="0" w:firstLine="0"/>
              <w:spacing w:line="240" w:lineRule="atLeast"/>
            </w:pPr>
            <w:r>
              <w:rPr>
                <w:rFonts w:ascii="宋体"/>
              </w:rPr>
              <w:t>15mL</w:t>
            </w:r>
          </w:p>
        </w:tc>
        <w:tc>
          <w:tcPr>
            <w:tcW w:w="754" w:type="dxa"/>
          </w:tcPr>
          <w:p w:rsidR="0018722C">
            <w:pPr>
              <w:topLinePunct/>
              <w:ind w:leftChars="0" w:left="0" w:rightChars="0" w:right="0" w:firstLineChars="0" w:firstLine="0"/>
              <w:spacing w:line="240" w:lineRule="atLeast"/>
            </w:pPr>
            <w:r>
              <w:rPr>
                <w:rFonts w:ascii="宋体"/>
              </w:rPr>
              <w:t>20mL</w:t>
            </w:r>
          </w:p>
        </w:tc>
        <w:tc>
          <w:tcPr>
            <w:tcW w:w="755" w:type="dxa"/>
          </w:tcPr>
          <w:p w:rsidR="0018722C">
            <w:pPr>
              <w:topLinePunct/>
              <w:ind w:leftChars="0" w:left="0" w:rightChars="0" w:right="0" w:firstLineChars="0" w:firstLine="0"/>
              <w:spacing w:line="240" w:lineRule="atLeast"/>
            </w:pPr>
            <w:r>
              <w:rPr>
                <w:rFonts w:ascii="宋体"/>
              </w:rPr>
              <w:t>25mL</w:t>
            </w:r>
          </w:p>
        </w:tc>
        <w:tc>
          <w:tcPr>
            <w:tcW w:w="755" w:type="dxa"/>
          </w:tcPr>
          <w:p w:rsidR="0018722C">
            <w:pPr>
              <w:topLinePunct/>
              <w:ind w:leftChars="0" w:left="0" w:rightChars="0" w:right="0" w:firstLineChars="0" w:firstLine="0"/>
              <w:spacing w:line="240" w:lineRule="atLeast"/>
            </w:pPr>
            <w:r>
              <w:rPr>
                <w:rFonts w:ascii="宋体"/>
              </w:rPr>
              <w:t>30mL</w:t>
            </w:r>
          </w:p>
        </w:tc>
        <w:tc>
          <w:tcPr>
            <w:tcW w:w="755" w:type="dxa"/>
          </w:tcPr>
          <w:p w:rsidR="0018722C">
            <w:pPr>
              <w:topLinePunct/>
              <w:ind w:leftChars="0" w:left="0" w:rightChars="0" w:right="0" w:firstLineChars="0" w:firstLine="0"/>
              <w:spacing w:line="240" w:lineRule="atLeast"/>
            </w:pPr>
            <w:r>
              <w:rPr>
                <w:rFonts w:ascii="宋体"/>
              </w:rPr>
              <w:t>40mL</w:t>
            </w:r>
          </w:p>
        </w:tc>
        <w:tc>
          <w:tcPr>
            <w:tcW w:w="757" w:type="dxa"/>
          </w:tcPr>
          <w:p w:rsidR="0018722C">
            <w:pPr>
              <w:topLinePunct/>
              <w:ind w:leftChars="0" w:left="0" w:rightChars="0" w:right="0" w:firstLineChars="0" w:firstLine="0"/>
              <w:spacing w:line="240" w:lineRule="atLeast"/>
            </w:pPr>
            <w:r>
              <w:rPr>
                <w:rFonts w:ascii="宋体"/>
              </w:rPr>
              <w:t>50mL</w:t>
            </w:r>
          </w:p>
        </w:tc>
      </w:tr>
      <w:tr>
        <w:trPr>
          <w:trHeight w:val="520" w:hRule="atLeast"/>
        </w:trPr>
        <w:tc>
          <w:tcPr>
            <w:tcW w:w="1670" w:type="dxa"/>
          </w:tcPr>
          <w:p w:rsidR="0018722C">
            <w:pPr>
              <w:topLinePunct/>
              <w:ind w:leftChars="0" w:left="0" w:rightChars="0" w:right="0" w:firstLineChars="0" w:firstLine="0"/>
              <w:spacing w:line="240" w:lineRule="atLeast"/>
            </w:pPr>
            <w:r>
              <w:rPr>
                <w:rFonts w:ascii="宋体"/>
              </w:rPr>
              <w:t>H2O</w:t>
            </w:r>
          </w:p>
        </w:tc>
        <w:tc>
          <w:tcPr>
            <w:tcW w:w="830" w:type="dxa"/>
          </w:tcPr>
          <w:p w:rsidR="0018722C">
            <w:pPr>
              <w:topLinePunct/>
              <w:ind w:leftChars="0" w:left="0" w:rightChars="0" w:right="0" w:firstLineChars="0" w:firstLine="0"/>
              <w:spacing w:line="240" w:lineRule="atLeast"/>
            </w:pPr>
          </w:p>
        </w:tc>
        <w:tc>
          <w:tcPr>
            <w:tcW w:w="747" w:type="dxa"/>
          </w:tcPr>
          <w:p w:rsidR="0018722C">
            <w:pPr>
              <w:topLinePunct/>
              <w:ind w:leftChars="0" w:left="0" w:rightChars="0" w:right="0" w:firstLineChars="0" w:firstLine="0"/>
              <w:spacing w:line="240" w:lineRule="atLeast"/>
            </w:pPr>
            <w:r>
              <w:rPr>
                <w:rFonts w:ascii="宋体"/>
              </w:rPr>
              <w:t>2.6</w:t>
            </w:r>
          </w:p>
        </w:tc>
        <w:tc>
          <w:tcPr>
            <w:tcW w:w="753" w:type="dxa"/>
          </w:tcPr>
          <w:p w:rsidR="0018722C">
            <w:pPr>
              <w:topLinePunct/>
              <w:ind w:leftChars="0" w:left="0" w:rightChars="0" w:right="0" w:firstLineChars="0" w:firstLine="0"/>
              <w:spacing w:line="240" w:lineRule="atLeast"/>
            </w:pPr>
            <w:r>
              <w:rPr>
                <w:rFonts w:ascii="宋体"/>
              </w:rPr>
              <w:t>5.3</w:t>
            </w:r>
          </w:p>
        </w:tc>
        <w:tc>
          <w:tcPr>
            <w:tcW w:w="754" w:type="dxa"/>
          </w:tcPr>
          <w:p w:rsidR="0018722C">
            <w:pPr>
              <w:topLinePunct/>
              <w:ind w:leftChars="0" w:left="0" w:rightChars="0" w:right="0" w:firstLineChars="0" w:firstLine="0"/>
              <w:spacing w:line="240" w:lineRule="atLeast"/>
            </w:pPr>
            <w:r>
              <w:rPr>
                <w:rFonts w:ascii="宋体"/>
              </w:rPr>
              <w:t>7.9</w:t>
            </w:r>
          </w:p>
        </w:tc>
        <w:tc>
          <w:tcPr>
            <w:tcW w:w="754" w:type="dxa"/>
          </w:tcPr>
          <w:p w:rsidR="0018722C">
            <w:pPr>
              <w:topLinePunct/>
              <w:ind w:leftChars="0" w:left="0" w:rightChars="0" w:right="0" w:firstLineChars="0" w:firstLine="0"/>
              <w:spacing w:line="240" w:lineRule="atLeast"/>
            </w:pPr>
            <w:r>
              <w:rPr>
                <w:rFonts w:ascii="宋体"/>
              </w:rPr>
              <w:t>10.6</w:t>
            </w:r>
          </w:p>
        </w:tc>
        <w:tc>
          <w:tcPr>
            <w:tcW w:w="755" w:type="dxa"/>
          </w:tcPr>
          <w:p w:rsidR="0018722C">
            <w:pPr>
              <w:topLinePunct/>
              <w:ind w:leftChars="0" w:left="0" w:rightChars="0" w:right="0" w:firstLineChars="0" w:firstLine="0"/>
              <w:spacing w:line="240" w:lineRule="atLeast"/>
            </w:pPr>
            <w:r>
              <w:rPr>
                <w:rFonts w:ascii="宋体"/>
              </w:rPr>
              <w:t>13.2</w:t>
            </w:r>
          </w:p>
        </w:tc>
        <w:tc>
          <w:tcPr>
            <w:tcW w:w="755" w:type="dxa"/>
          </w:tcPr>
          <w:p w:rsidR="0018722C">
            <w:pPr>
              <w:topLinePunct/>
              <w:ind w:leftChars="0" w:left="0" w:rightChars="0" w:right="0" w:firstLineChars="0" w:firstLine="0"/>
              <w:spacing w:line="240" w:lineRule="atLeast"/>
            </w:pPr>
            <w:r>
              <w:rPr>
                <w:rFonts w:ascii="宋体"/>
              </w:rPr>
              <w:t>15.9</w:t>
            </w:r>
          </w:p>
        </w:tc>
        <w:tc>
          <w:tcPr>
            <w:tcW w:w="755" w:type="dxa"/>
          </w:tcPr>
          <w:p w:rsidR="0018722C">
            <w:pPr>
              <w:topLinePunct/>
              <w:ind w:leftChars="0" w:left="0" w:rightChars="0" w:right="0" w:firstLineChars="0" w:firstLine="0"/>
              <w:spacing w:line="240" w:lineRule="atLeast"/>
            </w:pPr>
            <w:r>
              <w:rPr>
                <w:rFonts w:ascii="宋体"/>
              </w:rPr>
              <w:t>21.2</w:t>
            </w:r>
          </w:p>
        </w:tc>
        <w:tc>
          <w:tcPr>
            <w:tcW w:w="757" w:type="dxa"/>
          </w:tcPr>
          <w:p w:rsidR="0018722C">
            <w:pPr>
              <w:topLinePunct/>
              <w:ind w:leftChars="0" w:left="0" w:rightChars="0" w:right="0" w:firstLineChars="0" w:firstLine="0"/>
              <w:spacing w:line="240" w:lineRule="atLeast"/>
            </w:pPr>
            <w:r>
              <w:rPr>
                <w:rFonts w:ascii="宋体"/>
              </w:rPr>
              <w:t>26.5</w:t>
            </w:r>
          </w:p>
        </w:tc>
      </w:tr>
      <w:tr>
        <w:trPr>
          <w:trHeight w:val="520" w:hRule="atLeast"/>
        </w:trPr>
        <w:tc>
          <w:tcPr>
            <w:tcW w:w="1670" w:type="dxa"/>
          </w:tcPr>
          <w:p w:rsidR="0018722C">
            <w:pPr>
              <w:topLinePunct/>
              <w:ind w:leftChars="0" w:left="0" w:rightChars="0" w:right="0" w:firstLineChars="0" w:firstLine="0"/>
              <w:spacing w:line="240" w:lineRule="atLeast"/>
            </w:pPr>
            <w:r>
              <w:rPr>
                <w:rFonts w:ascii="宋体" w:eastAsia="宋体" w:hint="eastAsia"/>
              </w:rPr>
              <w:t>30%聚丙烯酰胺</w:t>
            </w:r>
          </w:p>
        </w:tc>
        <w:tc>
          <w:tcPr>
            <w:tcW w:w="830" w:type="dxa"/>
          </w:tcPr>
          <w:p w:rsidR="0018722C">
            <w:pPr>
              <w:topLinePunct/>
              <w:ind w:leftChars="0" w:left="0" w:rightChars="0" w:right="0" w:firstLineChars="0" w:firstLine="0"/>
              <w:spacing w:line="240" w:lineRule="atLeast"/>
            </w:pPr>
          </w:p>
        </w:tc>
        <w:tc>
          <w:tcPr>
            <w:tcW w:w="747" w:type="dxa"/>
          </w:tcPr>
          <w:p w:rsidR="0018722C">
            <w:pPr>
              <w:topLinePunct/>
              <w:ind w:leftChars="0" w:left="0" w:rightChars="0" w:right="0" w:firstLineChars="0" w:firstLine="0"/>
              <w:spacing w:line="240" w:lineRule="atLeast"/>
            </w:pPr>
            <w:r>
              <w:rPr>
                <w:rFonts w:ascii="宋体"/>
              </w:rPr>
              <w:t>1</w:t>
            </w:r>
          </w:p>
        </w:tc>
        <w:tc>
          <w:tcPr>
            <w:tcW w:w="753" w:type="dxa"/>
          </w:tcPr>
          <w:p w:rsidR="0018722C">
            <w:pPr>
              <w:topLinePunct/>
              <w:ind w:leftChars="0" w:left="0" w:rightChars="0" w:right="0" w:firstLineChars="0" w:firstLine="0"/>
              <w:spacing w:line="240" w:lineRule="atLeast"/>
            </w:pPr>
            <w:r>
              <w:rPr>
                <w:rFonts w:ascii="宋体"/>
              </w:rPr>
              <w:t>2</w:t>
            </w:r>
          </w:p>
        </w:tc>
        <w:tc>
          <w:tcPr>
            <w:tcW w:w="754" w:type="dxa"/>
          </w:tcPr>
          <w:p w:rsidR="0018722C">
            <w:pPr>
              <w:topLinePunct/>
              <w:ind w:leftChars="0" w:left="0" w:rightChars="0" w:right="0" w:firstLineChars="0" w:firstLine="0"/>
              <w:spacing w:line="240" w:lineRule="atLeast"/>
            </w:pPr>
            <w:r>
              <w:rPr>
                <w:rFonts w:ascii="宋体"/>
              </w:rPr>
              <w:t>3</w:t>
            </w:r>
          </w:p>
        </w:tc>
        <w:tc>
          <w:tcPr>
            <w:tcW w:w="754" w:type="dxa"/>
          </w:tcPr>
          <w:p w:rsidR="0018722C">
            <w:pPr>
              <w:topLinePunct/>
              <w:ind w:leftChars="0" w:left="0" w:rightChars="0" w:right="0" w:firstLineChars="0" w:firstLine="0"/>
              <w:spacing w:line="240" w:lineRule="atLeast"/>
            </w:pPr>
            <w:r>
              <w:rPr>
                <w:rFonts w:ascii="宋体"/>
              </w:rPr>
              <w:t>4</w:t>
            </w:r>
          </w:p>
        </w:tc>
        <w:tc>
          <w:tcPr>
            <w:tcW w:w="755" w:type="dxa"/>
          </w:tcPr>
          <w:p w:rsidR="0018722C">
            <w:pPr>
              <w:topLinePunct/>
              <w:ind w:leftChars="0" w:left="0" w:rightChars="0" w:right="0" w:firstLineChars="0" w:firstLine="0"/>
              <w:spacing w:line="240" w:lineRule="atLeast"/>
            </w:pPr>
            <w:r>
              <w:rPr>
                <w:rFonts w:ascii="宋体"/>
              </w:rPr>
              <w:t>5</w:t>
            </w:r>
          </w:p>
        </w:tc>
        <w:tc>
          <w:tcPr>
            <w:tcW w:w="755" w:type="dxa"/>
          </w:tcPr>
          <w:p w:rsidR="0018722C">
            <w:pPr>
              <w:topLinePunct/>
              <w:ind w:leftChars="0" w:left="0" w:rightChars="0" w:right="0" w:firstLineChars="0" w:firstLine="0"/>
              <w:spacing w:line="240" w:lineRule="atLeast"/>
            </w:pPr>
            <w:r>
              <w:rPr>
                <w:rFonts w:ascii="宋体"/>
              </w:rPr>
              <w:t>6</w:t>
            </w:r>
          </w:p>
        </w:tc>
        <w:tc>
          <w:tcPr>
            <w:tcW w:w="755" w:type="dxa"/>
          </w:tcPr>
          <w:p w:rsidR="0018722C">
            <w:pPr>
              <w:topLinePunct/>
              <w:ind w:leftChars="0" w:left="0" w:rightChars="0" w:right="0" w:firstLineChars="0" w:firstLine="0"/>
              <w:spacing w:line="240" w:lineRule="atLeast"/>
            </w:pPr>
            <w:r>
              <w:rPr>
                <w:rFonts w:ascii="宋体"/>
              </w:rPr>
              <w:t>8</w:t>
            </w:r>
          </w:p>
        </w:tc>
        <w:tc>
          <w:tcPr>
            <w:tcW w:w="757" w:type="dxa"/>
          </w:tcPr>
          <w:p w:rsidR="0018722C">
            <w:pPr>
              <w:topLinePunct/>
              <w:ind w:leftChars="0" w:left="0" w:rightChars="0" w:right="0" w:firstLineChars="0" w:firstLine="0"/>
              <w:spacing w:line="240" w:lineRule="atLeast"/>
            </w:pPr>
            <w:r>
              <w:rPr>
                <w:rFonts w:ascii="宋体"/>
              </w:rPr>
              <w:t>10</w:t>
            </w:r>
          </w:p>
        </w:tc>
      </w:tr>
      <w:tr>
        <w:trPr>
          <w:trHeight w:val="640" w:hRule="atLeast"/>
        </w:trPr>
        <w:tc>
          <w:tcPr>
            <w:tcW w:w="1670" w:type="dxa"/>
          </w:tcPr>
          <w:p w:rsidR="0018722C">
            <w:pPr>
              <w:topLinePunct/>
              <w:ind w:leftChars="0" w:left="0" w:rightChars="0" w:right="0" w:firstLineChars="0" w:firstLine="0"/>
              <w:spacing w:line="240" w:lineRule="atLeast"/>
            </w:pPr>
            <w:r>
              <w:rPr>
                <w:rFonts w:ascii="宋体"/>
              </w:rPr>
              <w:t>1.5M</w:t>
            </w:r>
          </w:p>
        </w:tc>
        <w:tc>
          <w:tcPr>
            <w:tcW w:w="830" w:type="dxa"/>
          </w:tcPr>
          <w:p w:rsidR="0018722C">
            <w:pPr>
              <w:topLinePunct/>
              <w:ind w:leftChars="0" w:left="0" w:rightChars="0" w:right="0" w:firstLineChars="0" w:firstLine="0"/>
              <w:spacing w:line="240" w:lineRule="atLeast"/>
            </w:pPr>
            <w:r>
              <w:rPr>
                <w:rFonts w:ascii="宋体"/>
              </w:rPr>
              <w:t>Tris-</w:t>
            </w:r>
          </w:p>
        </w:tc>
        <w:tc>
          <w:tcPr>
            <w:tcW w:w="747"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1.3</w:t>
            </w:r>
          </w:p>
        </w:tc>
        <w:tc>
          <w:tcPr>
            <w:tcW w:w="753"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2.5</w:t>
            </w:r>
          </w:p>
        </w:tc>
        <w:tc>
          <w:tcPr>
            <w:tcW w:w="754"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3.8</w:t>
            </w:r>
          </w:p>
        </w:tc>
        <w:tc>
          <w:tcPr>
            <w:tcW w:w="754"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5.0</w:t>
            </w:r>
          </w:p>
        </w:tc>
        <w:tc>
          <w:tcPr>
            <w:tcW w:w="755"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6.3</w:t>
            </w:r>
          </w:p>
        </w:tc>
        <w:tc>
          <w:tcPr>
            <w:tcW w:w="755"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7.5</w:t>
            </w:r>
          </w:p>
        </w:tc>
        <w:tc>
          <w:tcPr>
            <w:tcW w:w="755"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10.0</w:t>
            </w:r>
          </w:p>
        </w:tc>
        <w:tc>
          <w:tcPr>
            <w:tcW w:w="757"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12.5</w:t>
            </w:r>
          </w:p>
        </w:tc>
      </w:tr>
      <w:tr>
        <w:trPr>
          <w:trHeight w:val="380" w:hRule="atLeast"/>
        </w:trPr>
        <w:tc>
          <w:tcPr>
            <w:tcW w:w="1670" w:type="dxa"/>
          </w:tcPr>
          <w:p w:rsidR="0018722C">
            <w:pPr>
              <w:topLinePunct/>
              <w:ind w:leftChars="0" w:left="0" w:rightChars="0" w:right="0" w:firstLineChars="0" w:firstLine="0"/>
              <w:spacing w:line="240" w:lineRule="atLeast"/>
            </w:pPr>
            <w:r>
              <w:rPr>
                <w:rFonts w:ascii="宋体" w:eastAsia="宋体" w:hint="eastAsia"/>
              </w:rPr>
              <w:t>Hcl</w:t>
            </w:r>
            <w:r>
              <w:rPr>
                <w:rFonts w:ascii="宋体" w:eastAsia="宋体" w:hint="eastAsia"/>
                <w:rFonts w:ascii="宋体" w:eastAsia="宋体" w:hint="eastAsia"/>
                <w:sz w:val="21"/>
              </w:rPr>
              <w:t>(</w:t>
            </w:r>
            <w:r>
              <w:rPr>
                <w:rFonts w:ascii="宋体" w:eastAsia="宋体" w:hint="eastAsia"/>
              </w:rPr>
              <w:t>PH=8.8</w:t>
            </w:r>
            <w:r>
              <w:rPr>
                <w:rFonts w:ascii="宋体" w:eastAsia="宋体" w:hint="eastAsia"/>
                <w:rFonts w:ascii="宋体" w:eastAsia="宋体" w:hint="eastAsia"/>
                <w:sz w:val="21"/>
              </w:rPr>
              <w:t>)</w:t>
            </w:r>
          </w:p>
        </w:tc>
        <w:tc>
          <w:tcPr>
            <w:tcW w:w="830" w:type="dxa"/>
          </w:tcPr>
          <w:p w:rsidR="0018722C">
            <w:pPr>
              <w:topLinePunct/>
              <w:ind w:leftChars="0" w:left="0" w:rightChars="0" w:right="0" w:firstLineChars="0" w:firstLine="0"/>
              <w:spacing w:line="240" w:lineRule="atLeast"/>
            </w:pPr>
          </w:p>
        </w:tc>
        <w:tc>
          <w:tcPr>
            <w:tcW w:w="747" w:type="dxa"/>
          </w:tcPr>
          <w:p w:rsidR="0018722C">
            <w:pPr>
              <w:topLinePunct/>
              <w:ind w:leftChars="0" w:left="0" w:rightChars="0" w:right="0" w:firstLineChars="0" w:firstLine="0"/>
              <w:spacing w:line="240" w:lineRule="atLeast"/>
            </w:pPr>
          </w:p>
        </w:tc>
        <w:tc>
          <w:tcPr>
            <w:tcW w:w="753" w:type="dxa"/>
          </w:tcPr>
          <w:p w:rsidR="0018722C">
            <w:pPr>
              <w:topLinePunct/>
              <w:ind w:leftChars="0" w:left="0" w:rightChars="0" w:right="0" w:firstLineChars="0" w:firstLine="0"/>
              <w:spacing w:line="240" w:lineRule="atLeast"/>
            </w:pPr>
          </w:p>
        </w:tc>
        <w:tc>
          <w:tcPr>
            <w:tcW w:w="754" w:type="dxa"/>
          </w:tcPr>
          <w:p w:rsidR="0018722C">
            <w:pPr>
              <w:topLinePunct/>
              <w:ind w:leftChars="0" w:left="0" w:rightChars="0" w:right="0" w:firstLineChars="0" w:firstLine="0"/>
              <w:spacing w:line="240" w:lineRule="atLeast"/>
            </w:pPr>
          </w:p>
        </w:tc>
        <w:tc>
          <w:tcPr>
            <w:tcW w:w="754" w:type="dxa"/>
          </w:tcPr>
          <w:p w:rsidR="0018722C">
            <w:pPr>
              <w:topLinePunct/>
              <w:ind w:leftChars="0" w:left="0" w:rightChars="0" w:right="0" w:firstLineChars="0" w:firstLine="0"/>
              <w:spacing w:line="240" w:lineRule="atLeast"/>
            </w:pPr>
          </w:p>
        </w:tc>
        <w:tc>
          <w:tcPr>
            <w:tcW w:w="755" w:type="dxa"/>
          </w:tcPr>
          <w:p w:rsidR="0018722C">
            <w:pPr>
              <w:topLinePunct/>
              <w:ind w:leftChars="0" w:left="0" w:rightChars="0" w:right="0" w:firstLineChars="0" w:firstLine="0"/>
              <w:spacing w:line="240" w:lineRule="atLeast"/>
            </w:pPr>
          </w:p>
        </w:tc>
        <w:tc>
          <w:tcPr>
            <w:tcW w:w="755" w:type="dxa"/>
          </w:tcPr>
          <w:p w:rsidR="0018722C">
            <w:pPr>
              <w:topLinePunct/>
              <w:ind w:leftChars="0" w:left="0" w:rightChars="0" w:right="0" w:firstLineChars="0" w:firstLine="0"/>
              <w:spacing w:line="240" w:lineRule="atLeast"/>
            </w:pPr>
          </w:p>
        </w:tc>
        <w:tc>
          <w:tcPr>
            <w:tcW w:w="755" w:type="dxa"/>
          </w:tcPr>
          <w:p w:rsidR="0018722C">
            <w:pPr>
              <w:topLinePunct/>
              <w:ind w:leftChars="0" w:left="0" w:rightChars="0" w:right="0" w:firstLineChars="0" w:firstLine="0"/>
              <w:spacing w:line="240" w:lineRule="atLeast"/>
            </w:pPr>
          </w:p>
        </w:tc>
        <w:tc>
          <w:tcPr>
            <w:tcW w:w="757" w:type="dxa"/>
          </w:tcPr>
          <w:p w:rsidR="0018722C">
            <w:pPr>
              <w:topLinePunct/>
              <w:ind w:leftChars="0" w:left="0" w:rightChars="0" w:right="0" w:firstLineChars="0" w:firstLine="0"/>
              <w:spacing w:line="240" w:lineRule="atLeast"/>
            </w:pPr>
          </w:p>
        </w:tc>
      </w:tr>
      <w:tr>
        <w:trPr>
          <w:trHeight w:val="520" w:hRule="atLeast"/>
        </w:trPr>
        <w:tc>
          <w:tcPr>
            <w:tcW w:w="1670" w:type="dxa"/>
          </w:tcPr>
          <w:p w:rsidR="0018722C">
            <w:pPr>
              <w:topLinePunct/>
              <w:ind w:leftChars="0" w:left="0" w:rightChars="0" w:right="0" w:firstLineChars="0" w:firstLine="0"/>
              <w:spacing w:line="240" w:lineRule="atLeast"/>
            </w:pPr>
            <w:r>
              <w:rPr>
                <w:rFonts w:ascii="宋体"/>
              </w:rPr>
              <w:t>10%AP</w:t>
            </w:r>
          </w:p>
        </w:tc>
        <w:tc>
          <w:tcPr>
            <w:tcW w:w="830" w:type="dxa"/>
          </w:tcPr>
          <w:p w:rsidR="0018722C">
            <w:pPr>
              <w:topLinePunct/>
              <w:ind w:leftChars="0" w:left="0" w:rightChars="0" w:right="0" w:firstLineChars="0" w:firstLine="0"/>
              <w:spacing w:line="240" w:lineRule="atLeast"/>
            </w:pPr>
          </w:p>
        </w:tc>
        <w:tc>
          <w:tcPr>
            <w:tcW w:w="747" w:type="dxa"/>
          </w:tcPr>
          <w:p w:rsidR="0018722C">
            <w:pPr>
              <w:topLinePunct/>
              <w:ind w:leftChars="0" w:left="0" w:rightChars="0" w:right="0" w:firstLineChars="0" w:firstLine="0"/>
              <w:spacing w:line="240" w:lineRule="atLeast"/>
            </w:pPr>
            <w:r>
              <w:rPr>
                <w:rFonts w:ascii="宋体"/>
              </w:rPr>
              <w:t>0.05</w:t>
            </w:r>
          </w:p>
        </w:tc>
        <w:tc>
          <w:tcPr>
            <w:tcW w:w="753" w:type="dxa"/>
          </w:tcPr>
          <w:p w:rsidR="0018722C">
            <w:pPr>
              <w:topLinePunct/>
              <w:ind w:leftChars="0" w:left="0" w:rightChars="0" w:right="0" w:firstLineChars="0" w:firstLine="0"/>
              <w:spacing w:line="240" w:lineRule="atLeast"/>
            </w:pPr>
            <w:r>
              <w:rPr>
                <w:rFonts w:ascii="宋体"/>
              </w:rPr>
              <w:t>0.1</w:t>
            </w:r>
          </w:p>
        </w:tc>
        <w:tc>
          <w:tcPr>
            <w:tcW w:w="754" w:type="dxa"/>
          </w:tcPr>
          <w:p w:rsidR="0018722C">
            <w:pPr>
              <w:topLinePunct/>
              <w:ind w:leftChars="0" w:left="0" w:rightChars="0" w:right="0" w:firstLineChars="0" w:firstLine="0"/>
              <w:spacing w:line="240" w:lineRule="atLeast"/>
            </w:pPr>
            <w:r>
              <w:rPr>
                <w:rFonts w:ascii="宋体"/>
              </w:rPr>
              <w:t>0.15</w:t>
            </w:r>
          </w:p>
        </w:tc>
        <w:tc>
          <w:tcPr>
            <w:tcW w:w="754" w:type="dxa"/>
          </w:tcPr>
          <w:p w:rsidR="0018722C">
            <w:pPr>
              <w:topLinePunct/>
              <w:ind w:leftChars="0" w:left="0" w:rightChars="0" w:right="0" w:firstLineChars="0" w:firstLine="0"/>
              <w:spacing w:line="240" w:lineRule="atLeast"/>
            </w:pPr>
            <w:r>
              <w:rPr>
                <w:rFonts w:ascii="宋体"/>
              </w:rPr>
              <w:t>0.2</w:t>
            </w:r>
          </w:p>
        </w:tc>
        <w:tc>
          <w:tcPr>
            <w:tcW w:w="755" w:type="dxa"/>
          </w:tcPr>
          <w:p w:rsidR="0018722C">
            <w:pPr>
              <w:topLinePunct/>
              <w:ind w:leftChars="0" w:left="0" w:rightChars="0" w:right="0" w:firstLineChars="0" w:firstLine="0"/>
              <w:spacing w:line="240" w:lineRule="atLeast"/>
            </w:pPr>
            <w:r>
              <w:rPr>
                <w:rFonts w:ascii="宋体"/>
              </w:rPr>
              <w:t>0.25</w:t>
            </w:r>
          </w:p>
        </w:tc>
        <w:tc>
          <w:tcPr>
            <w:tcW w:w="755" w:type="dxa"/>
          </w:tcPr>
          <w:p w:rsidR="0018722C">
            <w:pPr>
              <w:topLinePunct/>
              <w:ind w:leftChars="0" w:left="0" w:rightChars="0" w:right="0" w:firstLineChars="0" w:firstLine="0"/>
              <w:spacing w:line="240" w:lineRule="atLeast"/>
            </w:pPr>
            <w:r>
              <w:rPr>
                <w:rFonts w:ascii="宋体"/>
              </w:rPr>
              <w:t>0.3</w:t>
            </w:r>
          </w:p>
        </w:tc>
        <w:tc>
          <w:tcPr>
            <w:tcW w:w="755" w:type="dxa"/>
          </w:tcPr>
          <w:p w:rsidR="0018722C">
            <w:pPr>
              <w:topLinePunct/>
              <w:ind w:leftChars="0" w:left="0" w:rightChars="0" w:right="0" w:firstLineChars="0" w:firstLine="0"/>
              <w:spacing w:line="240" w:lineRule="atLeast"/>
            </w:pPr>
            <w:r>
              <w:rPr>
                <w:rFonts w:ascii="宋体"/>
              </w:rPr>
              <w:t>0.4</w:t>
            </w:r>
          </w:p>
        </w:tc>
        <w:tc>
          <w:tcPr>
            <w:tcW w:w="757" w:type="dxa"/>
          </w:tcPr>
          <w:p w:rsidR="0018722C">
            <w:pPr>
              <w:topLinePunct/>
              <w:ind w:leftChars="0" w:left="0" w:rightChars="0" w:right="0" w:firstLineChars="0" w:firstLine="0"/>
              <w:spacing w:line="240" w:lineRule="atLeast"/>
            </w:pPr>
            <w:r>
              <w:rPr>
                <w:rFonts w:ascii="宋体"/>
              </w:rPr>
              <w:t>0.5</w:t>
            </w:r>
          </w:p>
        </w:tc>
      </w:tr>
      <w:tr>
        <w:trPr>
          <w:trHeight w:val="520" w:hRule="atLeast"/>
        </w:trPr>
        <w:tc>
          <w:tcPr>
            <w:tcW w:w="1670" w:type="dxa"/>
          </w:tcPr>
          <w:p w:rsidR="0018722C">
            <w:pPr>
              <w:topLinePunct/>
              <w:ind w:leftChars="0" w:left="0" w:rightChars="0" w:right="0" w:firstLineChars="0" w:firstLine="0"/>
              <w:spacing w:line="240" w:lineRule="atLeast"/>
            </w:pPr>
            <w:r>
              <w:rPr>
                <w:rFonts w:ascii="宋体"/>
              </w:rPr>
              <w:t>10%SDS</w:t>
            </w:r>
          </w:p>
        </w:tc>
        <w:tc>
          <w:tcPr>
            <w:tcW w:w="830" w:type="dxa"/>
          </w:tcPr>
          <w:p w:rsidR="0018722C">
            <w:pPr>
              <w:topLinePunct/>
              <w:ind w:leftChars="0" w:left="0" w:rightChars="0" w:right="0" w:firstLineChars="0" w:firstLine="0"/>
              <w:spacing w:line="240" w:lineRule="atLeast"/>
            </w:pPr>
          </w:p>
        </w:tc>
        <w:tc>
          <w:tcPr>
            <w:tcW w:w="747" w:type="dxa"/>
          </w:tcPr>
          <w:p w:rsidR="0018722C">
            <w:pPr>
              <w:topLinePunct/>
              <w:ind w:leftChars="0" w:left="0" w:rightChars="0" w:right="0" w:firstLineChars="0" w:firstLine="0"/>
              <w:spacing w:line="240" w:lineRule="atLeast"/>
            </w:pPr>
            <w:r>
              <w:rPr>
                <w:rFonts w:ascii="宋体"/>
              </w:rPr>
              <w:t>0.05</w:t>
            </w:r>
          </w:p>
        </w:tc>
        <w:tc>
          <w:tcPr>
            <w:tcW w:w="753" w:type="dxa"/>
          </w:tcPr>
          <w:p w:rsidR="0018722C">
            <w:pPr>
              <w:topLinePunct/>
              <w:ind w:leftChars="0" w:left="0" w:rightChars="0" w:right="0" w:firstLineChars="0" w:firstLine="0"/>
              <w:spacing w:line="240" w:lineRule="atLeast"/>
            </w:pPr>
            <w:r>
              <w:rPr>
                <w:rFonts w:ascii="宋体"/>
              </w:rPr>
              <w:t>0.1</w:t>
            </w:r>
          </w:p>
        </w:tc>
        <w:tc>
          <w:tcPr>
            <w:tcW w:w="754" w:type="dxa"/>
          </w:tcPr>
          <w:p w:rsidR="0018722C">
            <w:pPr>
              <w:topLinePunct/>
              <w:ind w:leftChars="0" w:left="0" w:rightChars="0" w:right="0" w:firstLineChars="0" w:firstLine="0"/>
              <w:spacing w:line="240" w:lineRule="atLeast"/>
            </w:pPr>
            <w:r>
              <w:rPr>
                <w:rFonts w:ascii="宋体"/>
              </w:rPr>
              <w:t>0.15</w:t>
            </w:r>
          </w:p>
        </w:tc>
        <w:tc>
          <w:tcPr>
            <w:tcW w:w="754" w:type="dxa"/>
          </w:tcPr>
          <w:p w:rsidR="0018722C">
            <w:pPr>
              <w:topLinePunct/>
              <w:ind w:leftChars="0" w:left="0" w:rightChars="0" w:right="0" w:firstLineChars="0" w:firstLine="0"/>
              <w:spacing w:line="240" w:lineRule="atLeast"/>
            </w:pPr>
            <w:r>
              <w:rPr>
                <w:rFonts w:ascii="宋体"/>
              </w:rPr>
              <w:t>0.2</w:t>
            </w:r>
          </w:p>
        </w:tc>
        <w:tc>
          <w:tcPr>
            <w:tcW w:w="755" w:type="dxa"/>
          </w:tcPr>
          <w:p w:rsidR="0018722C">
            <w:pPr>
              <w:topLinePunct/>
              <w:ind w:leftChars="0" w:left="0" w:rightChars="0" w:right="0" w:firstLineChars="0" w:firstLine="0"/>
              <w:spacing w:line="240" w:lineRule="atLeast"/>
            </w:pPr>
            <w:r>
              <w:rPr>
                <w:rFonts w:ascii="宋体"/>
              </w:rPr>
              <w:t>0.25</w:t>
            </w:r>
          </w:p>
        </w:tc>
        <w:tc>
          <w:tcPr>
            <w:tcW w:w="755" w:type="dxa"/>
          </w:tcPr>
          <w:p w:rsidR="0018722C">
            <w:pPr>
              <w:topLinePunct/>
              <w:ind w:leftChars="0" w:left="0" w:rightChars="0" w:right="0" w:firstLineChars="0" w:firstLine="0"/>
              <w:spacing w:line="240" w:lineRule="atLeast"/>
            </w:pPr>
            <w:r>
              <w:rPr>
                <w:rFonts w:ascii="宋体"/>
              </w:rPr>
              <w:t>0.3</w:t>
            </w:r>
          </w:p>
        </w:tc>
        <w:tc>
          <w:tcPr>
            <w:tcW w:w="755" w:type="dxa"/>
          </w:tcPr>
          <w:p w:rsidR="0018722C">
            <w:pPr>
              <w:topLinePunct/>
              <w:ind w:leftChars="0" w:left="0" w:rightChars="0" w:right="0" w:firstLineChars="0" w:firstLine="0"/>
              <w:spacing w:line="240" w:lineRule="atLeast"/>
            </w:pPr>
            <w:r>
              <w:rPr>
                <w:rFonts w:ascii="宋体"/>
              </w:rPr>
              <w:t>0.4</w:t>
            </w:r>
          </w:p>
        </w:tc>
        <w:tc>
          <w:tcPr>
            <w:tcW w:w="757" w:type="dxa"/>
          </w:tcPr>
          <w:p w:rsidR="0018722C">
            <w:pPr>
              <w:topLinePunct/>
              <w:ind w:leftChars="0" w:left="0" w:rightChars="0" w:right="0" w:firstLineChars="0" w:firstLine="0"/>
              <w:spacing w:line="240" w:lineRule="atLeast"/>
            </w:pPr>
            <w:r>
              <w:rPr>
                <w:rFonts w:ascii="宋体"/>
              </w:rPr>
              <w:t>0.5</w:t>
            </w:r>
          </w:p>
        </w:tc>
      </w:tr>
      <w:tr>
        <w:trPr>
          <w:trHeight w:val="420" w:hRule="atLeast"/>
        </w:trPr>
        <w:tc>
          <w:tcPr>
            <w:tcW w:w="1670" w:type="dxa"/>
            <w:tcBorders>
              <w:bottom w:val="single" w:sz="12" w:space="0" w:color="000000"/>
            </w:tcBorders>
          </w:tcPr>
          <w:p w:rsidR="0018722C">
            <w:pPr>
              <w:topLinePunct/>
              <w:ind w:leftChars="0" w:left="0" w:rightChars="0" w:right="0" w:firstLineChars="0" w:firstLine="0"/>
              <w:spacing w:line="240" w:lineRule="atLeast"/>
            </w:pPr>
            <w:r>
              <w:rPr>
                <w:rFonts w:ascii="宋体"/>
              </w:rPr>
              <w:t>TEMED</w:t>
            </w:r>
          </w:p>
        </w:tc>
        <w:tc>
          <w:tcPr>
            <w:tcW w:w="830" w:type="dxa"/>
            <w:tcBorders>
              <w:bottom w:val="single" w:sz="12" w:space="0" w:color="000000"/>
            </w:tcBorders>
          </w:tcPr>
          <w:p w:rsidR="0018722C">
            <w:pPr>
              <w:topLinePunct/>
              <w:ind w:leftChars="0" w:left="0" w:rightChars="0" w:right="0" w:firstLineChars="0" w:firstLine="0"/>
              <w:spacing w:line="240" w:lineRule="atLeast"/>
            </w:pPr>
          </w:p>
        </w:tc>
        <w:tc>
          <w:tcPr>
            <w:tcW w:w="747" w:type="dxa"/>
            <w:tcBorders>
              <w:bottom w:val="single" w:sz="12" w:space="0" w:color="000000"/>
            </w:tcBorders>
          </w:tcPr>
          <w:p w:rsidR="0018722C">
            <w:pPr>
              <w:topLinePunct/>
              <w:ind w:leftChars="0" w:left="0" w:rightChars="0" w:right="0" w:firstLineChars="0" w:firstLine="0"/>
              <w:spacing w:line="240" w:lineRule="atLeast"/>
            </w:pPr>
            <w:r>
              <w:rPr>
                <w:rFonts w:ascii="宋体"/>
              </w:rPr>
              <w:t>0.004</w:t>
            </w:r>
          </w:p>
        </w:tc>
        <w:tc>
          <w:tcPr>
            <w:tcW w:w="753" w:type="dxa"/>
            <w:tcBorders>
              <w:bottom w:val="single" w:sz="12" w:space="0" w:color="000000"/>
            </w:tcBorders>
          </w:tcPr>
          <w:p w:rsidR="0018722C">
            <w:pPr>
              <w:topLinePunct/>
              <w:ind w:leftChars="0" w:left="0" w:rightChars="0" w:right="0" w:firstLineChars="0" w:firstLine="0"/>
              <w:spacing w:line="240" w:lineRule="atLeast"/>
            </w:pPr>
            <w:r>
              <w:rPr>
                <w:rFonts w:ascii="宋体"/>
              </w:rPr>
              <w:t>0.008</w:t>
            </w:r>
          </w:p>
        </w:tc>
        <w:tc>
          <w:tcPr>
            <w:tcW w:w="754" w:type="dxa"/>
            <w:tcBorders>
              <w:bottom w:val="single" w:sz="12" w:space="0" w:color="000000"/>
            </w:tcBorders>
          </w:tcPr>
          <w:p w:rsidR="0018722C">
            <w:pPr>
              <w:topLinePunct/>
              <w:ind w:leftChars="0" w:left="0" w:rightChars="0" w:right="0" w:firstLineChars="0" w:firstLine="0"/>
              <w:spacing w:line="240" w:lineRule="atLeast"/>
            </w:pPr>
            <w:r>
              <w:rPr>
                <w:rFonts w:ascii="宋体"/>
              </w:rPr>
              <w:t>0.012</w:t>
            </w:r>
          </w:p>
        </w:tc>
        <w:tc>
          <w:tcPr>
            <w:tcW w:w="754" w:type="dxa"/>
            <w:tcBorders>
              <w:bottom w:val="single" w:sz="12" w:space="0" w:color="000000"/>
            </w:tcBorders>
          </w:tcPr>
          <w:p w:rsidR="0018722C">
            <w:pPr>
              <w:topLinePunct/>
              <w:ind w:leftChars="0" w:left="0" w:rightChars="0" w:right="0" w:firstLineChars="0" w:firstLine="0"/>
              <w:spacing w:line="240" w:lineRule="atLeast"/>
            </w:pPr>
            <w:r>
              <w:rPr>
                <w:rFonts w:ascii="宋体"/>
              </w:rPr>
              <w:t>0.016</w:t>
            </w:r>
          </w:p>
        </w:tc>
        <w:tc>
          <w:tcPr>
            <w:tcW w:w="755" w:type="dxa"/>
            <w:tcBorders>
              <w:bottom w:val="single" w:sz="12" w:space="0" w:color="000000"/>
            </w:tcBorders>
          </w:tcPr>
          <w:p w:rsidR="0018722C">
            <w:pPr>
              <w:topLinePunct/>
              <w:ind w:leftChars="0" w:left="0" w:rightChars="0" w:right="0" w:firstLineChars="0" w:firstLine="0"/>
              <w:spacing w:line="240" w:lineRule="atLeast"/>
            </w:pPr>
            <w:r>
              <w:rPr>
                <w:rFonts w:ascii="宋体"/>
              </w:rPr>
              <w:t>0.020</w:t>
            </w:r>
          </w:p>
        </w:tc>
        <w:tc>
          <w:tcPr>
            <w:tcW w:w="755" w:type="dxa"/>
            <w:tcBorders>
              <w:bottom w:val="single" w:sz="12" w:space="0" w:color="000000"/>
            </w:tcBorders>
          </w:tcPr>
          <w:p w:rsidR="0018722C">
            <w:pPr>
              <w:topLinePunct/>
              <w:ind w:leftChars="0" w:left="0" w:rightChars="0" w:right="0" w:firstLineChars="0" w:firstLine="0"/>
              <w:spacing w:line="240" w:lineRule="atLeast"/>
            </w:pPr>
            <w:r>
              <w:rPr>
                <w:rFonts w:ascii="宋体"/>
              </w:rPr>
              <w:t>0.024</w:t>
            </w:r>
          </w:p>
        </w:tc>
        <w:tc>
          <w:tcPr>
            <w:tcW w:w="755" w:type="dxa"/>
            <w:tcBorders>
              <w:bottom w:val="single" w:sz="12" w:space="0" w:color="000000"/>
            </w:tcBorders>
          </w:tcPr>
          <w:p w:rsidR="0018722C">
            <w:pPr>
              <w:topLinePunct/>
              <w:ind w:leftChars="0" w:left="0" w:rightChars="0" w:right="0" w:firstLineChars="0" w:firstLine="0"/>
              <w:spacing w:line="240" w:lineRule="atLeast"/>
            </w:pPr>
            <w:r>
              <w:rPr>
                <w:rFonts w:ascii="宋体"/>
              </w:rPr>
              <w:t>0.032</w:t>
            </w:r>
          </w:p>
        </w:tc>
        <w:tc>
          <w:tcPr>
            <w:tcW w:w="757" w:type="dxa"/>
            <w:tcBorders>
              <w:bottom w:val="single" w:sz="12" w:space="0" w:color="000000"/>
            </w:tcBorders>
          </w:tcPr>
          <w:p w:rsidR="0018722C">
            <w:pPr>
              <w:topLinePunct/>
              <w:ind w:leftChars="0" w:left="0" w:rightChars="0" w:right="0" w:firstLineChars="0" w:firstLine="0"/>
              <w:spacing w:line="240" w:lineRule="atLeast"/>
            </w:pPr>
            <w:r>
              <w:rPr>
                <w:rFonts w:ascii="宋体"/>
              </w:rPr>
              <w:t>0.040</w:t>
            </w:r>
          </w:p>
        </w:tc>
      </w:tr>
    </w:tbl>
    <w:p w:rsidR="0018722C">
      <w:pPr>
        <w:topLinePunct/>
      </w:pPr>
    </w:p>
    <w:p w:rsidR="0018722C">
      <w:pPr>
        <w:pStyle w:val="aff7"/>
        <w:topLinePunct/>
      </w:pPr>
      <w:r>
        <w:pict>
          <v:line style="position:absolute;mso-position-horizontal-relative:page;mso-position-vertical-relative:paragraph;z-index:1984;mso-wrap-distance-left:0;mso-wrap-distance-right:0" from="65.5pt,12.914063pt" to="491.600006pt,12.914063pt" stroked="true" strokeweight="1.5pt" strokecolor="#000000">
            <v:stroke dashstyle="solid"/>
            <w10:wrap type="topAndBottom"/>
          </v:line>
        </w:pict>
      </w:r>
    </w:p>
    <w:tbl>
      <w:tblPr>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06"/>
        <w:gridCol w:w="1121"/>
        <w:gridCol w:w="799"/>
        <w:gridCol w:w="747"/>
        <w:gridCol w:w="747"/>
        <w:gridCol w:w="747"/>
        <w:gridCol w:w="747"/>
        <w:gridCol w:w="747"/>
        <w:gridCol w:w="633"/>
      </w:tblGrid>
      <w:tr>
        <w:trPr>
          <w:trHeight w:val="360" w:hRule="atLeast"/>
        </w:trPr>
        <w:tc>
          <w:tcPr>
            <w:tcW w:w="2006" w:type="dxa"/>
          </w:tcPr>
          <w:p w:rsidR="0018722C">
            <w:pPr>
              <w:topLinePunct/>
              <w:ind w:leftChars="0" w:left="0" w:rightChars="0" w:right="0" w:firstLineChars="0" w:firstLine="0"/>
              <w:spacing w:line="240" w:lineRule="atLeast"/>
            </w:pPr>
            <w:r>
              <w:rPr>
                <w:rFonts w:ascii="宋体"/>
              </w:rPr>
              <w:t>10%SDS-PAGE</w:t>
            </w:r>
          </w:p>
        </w:tc>
        <w:tc>
          <w:tcPr>
            <w:tcW w:w="1121" w:type="dxa"/>
          </w:tcPr>
          <w:p w:rsidR="0018722C">
            <w:pPr>
              <w:topLinePunct/>
              <w:ind w:leftChars="0" w:left="0" w:rightChars="0" w:right="0" w:firstLineChars="0" w:firstLine="0"/>
              <w:spacing w:line="240" w:lineRule="atLeast"/>
            </w:pPr>
            <w:r>
              <w:rPr>
                <w:rFonts w:ascii="宋体"/>
              </w:rPr>
              <w:t>5mL</w:t>
            </w:r>
          </w:p>
        </w:tc>
        <w:tc>
          <w:tcPr>
            <w:tcW w:w="799" w:type="dxa"/>
          </w:tcPr>
          <w:p w:rsidR="0018722C">
            <w:pPr>
              <w:topLinePunct/>
              <w:ind w:leftChars="0" w:left="0" w:rightChars="0" w:right="0" w:firstLineChars="0" w:firstLine="0"/>
              <w:spacing w:line="240" w:lineRule="atLeast"/>
            </w:pPr>
            <w:r>
              <w:rPr>
                <w:rFonts w:ascii="宋体"/>
              </w:rPr>
              <w:t>10mL</w:t>
            </w:r>
          </w:p>
        </w:tc>
        <w:tc>
          <w:tcPr>
            <w:tcW w:w="747" w:type="dxa"/>
          </w:tcPr>
          <w:p w:rsidR="0018722C">
            <w:pPr>
              <w:topLinePunct/>
              <w:ind w:leftChars="0" w:left="0" w:rightChars="0" w:right="0" w:firstLineChars="0" w:firstLine="0"/>
              <w:spacing w:line="240" w:lineRule="atLeast"/>
            </w:pPr>
            <w:r>
              <w:rPr>
                <w:rFonts w:ascii="宋体"/>
              </w:rPr>
              <w:t>15mL</w:t>
            </w:r>
          </w:p>
        </w:tc>
        <w:tc>
          <w:tcPr>
            <w:tcW w:w="747" w:type="dxa"/>
          </w:tcPr>
          <w:p w:rsidR="0018722C">
            <w:pPr>
              <w:topLinePunct/>
              <w:ind w:leftChars="0" w:left="0" w:rightChars="0" w:right="0" w:firstLineChars="0" w:firstLine="0"/>
              <w:spacing w:line="240" w:lineRule="atLeast"/>
            </w:pPr>
            <w:r>
              <w:rPr>
                <w:rFonts w:ascii="宋体"/>
              </w:rPr>
              <w:t>20mL</w:t>
            </w:r>
          </w:p>
        </w:tc>
        <w:tc>
          <w:tcPr>
            <w:tcW w:w="747" w:type="dxa"/>
          </w:tcPr>
          <w:p w:rsidR="0018722C">
            <w:pPr>
              <w:topLinePunct/>
              <w:ind w:leftChars="0" w:left="0" w:rightChars="0" w:right="0" w:firstLineChars="0" w:firstLine="0"/>
              <w:spacing w:line="240" w:lineRule="atLeast"/>
            </w:pPr>
            <w:r>
              <w:rPr>
                <w:rFonts w:ascii="宋体"/>
              </w:rPr>
              <w:t>25mL</w:t>
            </w:r>
          </w:p>
        </w:tc>
        <w:tc>
          <w:tcPr>
            <w:tcW w:w="747" w:type="dxa"/>
          </w:tcPr>
          <w:p w:rsidR="0018722C">
            <w:pPr>
              <w:topLinePunct/>
              <w:ind w:leftChars="0" w:left="0" w:rightChars="0" w:right="0" w:firstLineChars="0" w:firstLine="0"/>
              <w:spacing w:line="240" w:lineRule="atLeast"/>
            </w:pPr>
            <w:r>
              <w:rPr>
                <w:rFonts w:ascii="宋体"/>
              </w:rPr>
              <w:t>30mL</w:t>
            </w:r>
          </w:p>
        </w:tc>
        <w:tc>
          <w:tcPr>
            <w:tcW w:w="747" w:type="dxa"/>
          </w:tcPr>
          <w:p w:rsidR="0018722C">
            <w:pPr>
              <w:topLinePunct/>
              <w:ind w:leftChars="0" w:left="0" w:rightChars="0" w:right="0" w:firstLineChars="0" w:firstLine="0"/>
              <w:spacing w:line="240" w:lineRule="atLeast"/>
            </w:pPr>
            <w:r>
              <w:rPr>
                <w:rFonts w:ascii="宋体"/>
              </w:rPr>
              <w:t>40mL</w:t>
            </w:r>
          </w:p>
        </w:tc>
        <w:tc>
          <w:tcPr>
            <w:tcW w:w="633" w:type="dxa"/>
          </w:tcPr>
          <w:p w:rsidR="0018722C">
            <w:pPr>
              <w:topLinePunct/>
              <w:ind w:leftChars="0" w:left="0" w:rightChars="0" w:right="0" w:firstLineChars="0" w:firstLine="0"/>
              <w:spacing w:line="240" w:lineRule="atLeast"/>
            </w:pPr>
            <w:r>
              <w:rPr>
                <w:rFonts w:ascii="宋体"/>
              </w:rPr>
              <w:t>50mL</w:t>
            </w:r>
          </w:p>
        </w:tc>
      </w:tr>
      <w:tr>
        <w:trPr>
          <w:trHeight w:val="520" w:hRule="atLeast"/>
        </w:trPr>
        <w:tc>
          <w:tcPr>
            <w:tcW w:w="2006" w:type="dxa"/>
          </w:tcPr>
          <w:p w:rsidR="0018722C">
            <w:pPr>
              <w:topLinePunct/>
              <w:ind w:leftChars="0" w:left="0" w:rightChars="0" w:right="0" w:firstLineChars="0" w:firstLine="0"/>
              <w:spacing w:line="240" w:lineRule="atLeast"/>
            </w:pPr>
            <w:r>
              <w:rPr>
                <w:rFonts w:ascii="宋体"/>
              </w:rPr>
              <w:t>H2O</w:t>
            </w:r>
          </w:p>
        </w:tc>
        <w:tc>
          <w:tcPr>
            <w:tcW w:w="1121" w:type="dxa"/>
          </w:tcPr>
          <w:p w:rsidR="0018722C">
            <w:pPr>
              <w:topLinePunct/>
              <w:ind w:leftChars="0" w:left="0" w:rightChars="0" w:right="0" w:firstLineChars="0" w:firstLine="0"/>
              <w:spacing w:line="240" w:lineRule="atLeast"/>
            </w:pPr>
            <w:r>
              <w:rPr>
                <w:rFonts w:ascii="宋体"/>
              </w:rPr>
              <w:t>1.9</w:t>
            </w:r>
          </w:p>
        </w:tc>
        <w:tc>
          <w:tcPr>
            <w:tcW w:w="799" w:type="dxa"/>
          </w:tcPr>
          <w:p w:rsidR="0018722C">
            <w:pPr>
              <w:topLinePunct/>
              <w:ind w:leftChars="0" w:left="0" w:rightChars="0" w:right="0" w:firstLineChars="0" w:firstLine="0"/>
              <w:spacing w:line="240" w:lineRule="atLeast"/>
            </w:pPr>
            <w:r>
              <w:rPr>
                <w:rFonts w:ascii="宋体"/>
              </w:rPr>
              <w:t>4.0</w:t>
            </w:r>
          </w:p>
        </w:tc>
        <w:tc>
          <w:tcPr>
            <w:tcW w:w="747" w:type="dxa"/>
          </w:tcPr>
          <w:p w:rsidR="0018722C">
            <w:pPr>
              <w:topLinePunct/>
              <w:ind w:leftChars="0" w:left="0" w:rightChars="0" w:right="0" w:firstLineChars="0" w:firstLine="0"/>
              <w:spacing w:line="240" w:lineRule="atLeast"/>
            </w:pPr>
            <w:r>
              <w:rPr>
                <w:rFonts w:ascii="宋体"/>
              </w:rPr>
              <w:t>5.9</w:t>
            </w:r>
          </w:p>
        </w:tc>
        <w:tc>
          <w:tcPr>
            <w:tcW w:w="747" w:type="dxa"/>
          </w:tcPr>
          <w:p w:rsidR="0018722C">
            <w:pPr>
              <w:topLinePunct/>
              <w:ind w:leftChars="0" w:left="0" w:rightChars="0" w:right="0" w:firstLineChars="0" w:firstLine="0"/>
              <w:spacing w:line="240" w:lineRule="atLeast"/>
            </w:pPr>
            <w:r>
              <w:rPr>
                <w:rFonts w:ascii="宋体"/>
              </w:rPr>
              <w:t>7.9</w:t>
            </w:r>
          </w:p>
        </w:tc>
        <w:tc>
          <w:tcPr>
            <w:tcW w:w="747" w:type="dxa"/>
          </w:tcPr>
          <w:p w:rsidR="0018722C">
            <w:pPr>
              <w:topLinePunct/>
              <w:ind w:leftChars="0" w:left="0" w:rightChars="0" w:right="0" w:firstLineChars="0" w:firstLine="0"/>
              <w:spacing w:line="240" w:lineRule="atLeast"/>
            </w:pPr>
            <w:r>
              <w:rPr>
                <w:rFonts w:ascii="宋体"/>
              </w:rPr>
              <w:t>9.9</w:t>
            </w:r>
          </w:p>
        </w:tc>
        <w:tc>
          <w:tcPr>
            <w:tcW w:w="747" w:type="dxa"/>
          </w:tcPr>
          <w:p w:rsidR="0018722C">
            <w:pPr>
              <w:topLinePunct/>
              <w:ind w:leftChars="0" w:left="0" w:rightChars="0" w:right="0" w:firstLineChars="0" w:firstLine="0"/>
              <w:spacing w:line="240" w:lineRule="atLeast"/>
            </w:pPr>
            <w:r>
              <w:rPr>
                <w:rFonts w:ascii="宋体"/>
              </w:rPr>
              <w:t>11.9</w:t>
            </w:r>
          </w:p>
        </w:tc>
        <w:tc>
          <w:tcPr>
            <w:tcW w:w="747" w:type="dxa"/>
          </w:tcPr>
          <w:p w:rsidR="0018722C">
            <w:pPr>
              <w:topLinePunct/>
              <w:ind w:leftChars="0" w:left="0" w:rightChars="0" w:right="0" w:firstLineChars="0" w:firstLine="0"/>
              <w:spacing w:line="240" w:lineRule="atLeast"/>
            </w:pPr>
            <w:r>
              <w:rPr>
                <w:rFonts w:ascii="宋体"/>
              </w:rPr>
              <w:t>15.9</w:t>
            </w:r>
          </w:p>
        </w:tc>
        <w:tc>
          <w:tcPr>
            <w:tcW w:w="633" w:type="dxa"/>
          </w:tcPr>
          <w:p w:rsidR="0018722C">
            <w:pPr>
              <w:topLinePunct/>
              <w:ind w:leftChars="0" w:left="0" w:rightChars="0" w:right="0" w:firstLineChars="0" w:firstLine="0"/>
              <w:spacing w:line="240" w:lineRule="atLeast"/>
            </w:pPr>
            <w:r>
              <w:rPr>
                <w:rFonts w:ascii="宋体"/>
              </w:rPr>
              <w:t>19.8</w:t>
            </w:r>
          </w:p>
        </w:tc>
      </w:tr>
      <w:tr>
        <w:trPr>
          <w:trHeight w:val="360" w:hRule="atLeast"/>
        </w:trPr>
        <w:tc>
          <w:tcPr>
            <w:tcW w:w="2006" w:type="dxa"/>
          </w:tcPr>
          <w:p w:rsidR="0018722C">
            <w:pPr>
              <w:topLinePunct/>
              <w:ind w:leftChars="0" w:left="0" w:rightChars="0" w:right="0" w:firstLineChars="0" w:firstLine="0"/>
              <w:spacing w:line="240" w:lineRule="atLeast"/>
            </w:pPr>
            <w:r>
              <w:rPr>
                <w:rFonts w:ascii="宋体" w:eastAsia="宋体" w:hint="eastAsia"/>
              </w:rPr>
              <w:t>30%聚丙烯酰胺</w:t>
            </w:r>
          </w:p>
        </w:tc>
        <w:tc>
          <w:tcPr>
            <w:tcW w:w="1121" w:type="dxa"/>
          </w:tcPr>
          <w:p w:rsidR="0018722C">
            <w:pPr>
              <w:topLinePunct/>
              <w:ind w:leftChars="0" w:left="0" w:rightChars="0" w:right="0" w:firstLineChars="0" w:firstLine="0"/>
              <w:spacing w:line="240" w:lineRule="atLeast"/>
            </w:pPr>
            <w:r>
              <w:rPr>
                <w:rFonts w:ascii="宋体"/>
              </w:rPr>
              <w:t>1.7</w:t>
            </w:r>
          </w:p>
        </w:tc>
        <w:tc>
          <w:tcPr>
            <w:tcW w:w="799" w:type="dxa"/>
          </w:tcPr>
          <w:p w:rsidR="0018722C">
            <w:pPr>
              <w:topLinePunct/>
              <w:ind w:leftChars="0" w:left="0" w:rightChars="0" w:right="0" w:firstLineChars="0" w:firstLine="0"/>
              <w:spacing w:line="240" w:lineRule="atLeast"/>
            </w:pPr>
            <w:r>
              <w:rPr>
                <w:rFonts w:ascii="宋体"/>
              </w:rPr>
              <w:t>3.3</w:t>
            </w:r>
          </w:p>
        </w:tc>
        <w:tc>
          <w:tcPr>
            <w:tcW w:w="747" w:type="dxa"/>
          </w:tcPr>
          <w:p w:rsidR="0018722C">
            <w:pPr>
              <w:topLinePunct/>
              <w:ind w:leftChars="0" w:left="0" w:rightChars="0" w:right="0" w:firstLineChars="0" w:firstLine="0"/>
              <w:spacing w:line="240" w:lineRule="atLeast"/>
            </w:pPr>
            <w:r>
              <w:rPr>
                <w:rFonts w:ascii="宋体"/>
              </w:rPr>
              <w:t>5.0</w:t>
            </w:r>
          </w:p>
        </w:tc>
        <w:tc>
          <w:tcPr>
            <w:tcW w:w="747" w:type="dxa"/>
          </w:tcPr>
          <w:p w:rsidR="0018722C">
            <w:pPr>
              <w:topLinePunct/>
              <w:ind w:leftChars="0" w:left="0" w:rightChars="0" w:right="0" w:firstLineChars="0" w:firstLine="0"/>
              <w:spacing w:line="240" w:lineRule="atLeast"/>
            </w:pPr>
            <w:r>
              <w:rPr>
                <w:rFonts w:ascii="宋体"/>
              </w:rPr>
              <w:t>6.7</w:t>
            </w:r>
          </w:p>
        </w:tc>
        <w:tc>
          <w:tcPr>
            <w:tcW w:w="747" w:type="dxa"/>
          </w:tcPr>
          <w:p w:rsidR="0018722C">
            <w:pPr>
              <w:topLinePunct/>
              <w:ind w:leftChars="0" w:left="0" w:rightChars="0" w:right="0" w:firstLineChars="0" w:firstLine="0"/>
              <w:spacing w:line="240" w:lineRule="atLeast"/>
            </w:pPr>
            <w:r>
              <w:rPr>
                <w:rFonts w:ascii="宋体"/>
              </w:rPr>
              <w:t>8.3</w:t>
            </w:r>
          </w:p>
        </w:tc>
        <w:tc>
          <w:tcPr>
            <w:tcW w:w="747" w:type="dxa"/>
          </w:tcPr>
          <w:p w:rsidR="0018722C">
            <w:pPr>
              <w:topLinePunct/>
              <w:ind w:leftChars="0" w:left="0" w:rightChars="0" w:right="0" w:firstLineChars="0" w:firstLine="0"/>
              <w:spacing w:line="240" w:lineRule="atLeast"/>
            </w:pPr>
            <w:r>
              <w:rPr>
                <w:rFonts w:ascii="宋体"/>
              </w:rPr>
              <w:t>10.0</w:t>
            </w:r>
          </w:p>
        </w:tc>
        <w:tc>
          <w:tcPr>
            <w:tcW w:w="747" w:type="dxa"/>
          </w:tcPr>
          <w:p w:rsidR="0018722C">
            <w:pPr>
              <w:topLinePunct/>
              <w:ind w:leftChars="0" w:left="0" w:rightChars="0" w:right="0" w:firstLineChars="0" w:firstLine="0"/>
              <w:spacing w:line="240" w:lineRule="atLeast"/>
            </w:pPr>
            <w:r>
              <w:rPr>
                <w:rFonts w:ascii="宋体"/>
              </w:rPr>
              <w:t>13.3</w:t>
            </w:r>
          </w:p>
        </w:tc>
        <w:tc>
          <w:tcPr>
            <w:tcW w:w="633" w:type="dxa"/>
          </w:tcPr>
          <w:p w:rsidR="0018722C">
            <w:pPr>
              <w:topLinePunct/>
              <w:ind w:leftChars="0" w:left="0" w:rightChars="0" w:right="0" w:firstLineChars="0" w:firstLine="0"/>
              <w:spacing w:line="240" w:lineRule="atLeast"/>
            </w:pPr>
            <w:r>
              <w:rPr>
                <w:rFonts w:ascii="宋体"/>
              </w:rPr>
              <w:t>16.7</w:t>
            </w:r>
          </w:p>
        </w:tc>
      </w:tr>
    </w:tbl>
    <w:p w:rsidR="0018722C">
      <w:pPr>
        <w:topLinePunct/>
        <w:pStyle w:val="affa"/>
      </w:pPr>
    </w:p>
    <w:p w:rsidR="0018722C">
      <w:pPr>
        <w:topLinePunct/>
      </w:pPr>
      <w:r>
        <w:rPr>
          <w:rFonts w:cstheme="minorBidi" w:hAnsiTheme="minorHAnsi" w:eastAsiaTheme="minorHAnsi" w:asciiTheme="minorHAnsi"/>
        </w:rPr>
        <w:t>15</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tbl>
      <w:tblPr>
        <w:tblW w:w="0" w:type="auto"/>
        <w:tblInd w:w="4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4"/>
        <w:gridCol w:w="854"/>
        <w:gridCol w:w="744"/>
        <w:gridCol w:w="747"/>
        <w:gridCol w:w="748"/>
        <w:gridCol w:w="748"/>
        <w:gridCol w:w="748"/>
        <w:gridCol w:w="748"/>
        <w:gridCol w:w="748"/>
        <w:gridCol w:w="751"/>
      </w:tblGrid>
      <w:tr>
        <w:trPr>
          <w:trHeight w:val="480" w:hRule="atLeast"/>
        </w:trPr>
        <w:tc>
          <w:tcPr>
            <w:tcW w:w="1694" w:type="dxa"/>
          </w:tcPr>
          <w:p w:rsidR="0018722C">
            <w:pPr>
              <w:topLinePunct/>
              <w:ind w:leftChars="0" w:left="0" w:rightChars="0" w:right="0" w:firstLineChars="0" w:firstLine="0"/>
              <w:spacing w:line="240" w:lineRule="atLeast"/>
            </w:pPr>
            <w:r>
              <w:rPr>
                <w:rFonts w:ascii="宋体"/>
              </w:rPr>
              <w:t>1.5M</w:t>
            </w:r>
          </w:p>
        </w:tc>
        <w:tc>
          <w:tcPr>
            <w:tcW w:w="854" w:type="dxa"/>
          </w:tcPr>
          <w:p w:rsidR="0018722C">
            <w:pPr>
              <w:topLinePunct/>
              <w:ind w:leftChars="0" w:left="0" w:rightChars="0" w:right="0" w:firstLineChars="0" w:firstLine="0"/>
              <w:spacing w:line="240" w:lineRule="atLeast"/>
            </w:pPr>
            <w:r>
              <w:rPr>
                <w:rFonts w:ascii="宋体"/>
              </w:rPr>
              <w:t>Tris-</w:t>
            </w:r>
          </w:p>
        </w:tc>
        <w:tc>
          <w:tcPr>
            <w:tcW w:w="744"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1.3</w:t>
            </w:r>
          </w:p>
        </w:tc>
        <w:tc>
          <w:tcPr>
            <w:tcW w:w="747"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2.5</w:t>
            </w:r>
          </w:p>
        </w:tc>
        <w:tc>
          <w:tcPr>
            <w:tcW w:w="748"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3.8</w:t>
            </w:r>
          </w:p>
        </w:tc>
        <w:tc>
          <w:tcPr>
            <w:tcW w:w="748"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5.0</w:t>
            </w:r>
          </w:p>
        </w:tc>
        <w:tc>
          <w:tcPr>
            <w:tcW w:w="748"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6.3</w:t>
            </w:r>
          </w:p>
        </w:tc>
        <w:tc>
          <w:tcPr>
            <w:tcW w:w="748"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7.5</w:t>
            </w:r>
          </w:p>
        </w:tc>
        <w:tc>
          <w:tcPr>
            <w:tcW w:w="748"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10.0</w:t>
            </w:r>
          </w:p>
        </w:tc>
        <w:tc>
          <w:tcPr>
            <w:tcW w:w="751"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12.5</w:t>
            </w:r>
          </w:p>
        </w:tc>
      </w:tr>
      <w:tr>
        <w:trPr>
          <w:trHeight w:val="900" w:hRule="atLeast"/>
        </w:trPr>
        <w:tc>
          <w:tcPr>
            <w:tcW w:w="1694" w:type="dxa"/>
          </w:tcPr>
          <w:p w:rsidR="0018722C">
            <w:pPr>
              <w:topLinePunct/>
              <w:ind w:leftChars="0" w:left="0" w:rightChars="0" w:right="0" w:firstLineChars="0" w:firstLine="0"/>
              <w:spacing w:line="240" w:lineRule="atLeast"/>
            </w:pPr>
            <w:r>
              <w:rPr>
                <w:rFonts w:ascii="宋体" w:eastAsia="宋体" w:hint="eastAsia"/>
              </w:rPr>
              <w:t>Hcl</w:t>
            </w:r>
            <w:r>
              <w:rPr>
                <w:rFonts w:ascii="宋体" w:eastAsia="宋体" w:hint="eastAsia"/>
                <w:rFonts w:ascii="宋体" w:eastAsia="宋体" w:hint="eastAsia"/>
                <w:sz w:val="21"/>
              </w:rPr>
              <w:t>(</w:t>
            </w:r>
            <w:r>
              <w:rPr>
                <w:rFonts w:ascii="宋体" w:eastAsia="宋体" w:hint="eastAsia"/>
              </w:rPr>
              <w:t>PH=8.8</w:t>
            </w:r>
            <w:r>
              <w:rPr>
                <w:rFonts w:ascii="宋体" w:eastAsia="宋体" w:hint="eastAsia"/>
                <w:rFonts w:ascii="宋体" w:eastAsia="宋体" w:hint="eastAsia"/>
                <w:sz w:val="21"/>
              </w:rPr>
              <w:t>)</w:t>
            </w:r>
          </w:p>
          <w:p w:rsidR="0018722C">
            <w:pPr>
              <w:topLinePunct/>
            </w:pPr>
          </w:p>
          <w:p w:rsidR="0018722C">
            <w:pPr>
              <w:topLinePunct/>
              <w:ind w:leftChars="0" w:left="0" w:rightChars="0" w:right="0" w:firstLineChars="0" w:firstLine="0"/>
              <w:spacing w:line="240" w:lineRule="atLeast"/>
            </w:pPr>
            <w:r>
              <w:rPr>
                <w:rFonts w:ascii="宋体"/>
              </w:rPr>
              <w:t>10%AP</w:t>
            </w:r>
          </w:p>
        </w:tc>
        <w:tc>
          <w:tcPr>
            <w:tcW w:w="854" w:type="dxa"/>
          </w:tcPr>
          <w:p w:rsidR="0018722C">
            <w:pPr>
              <w:topLinePunct/>
              <w:ind w:leftChars="0" w:left="0" w:rightChars="0" w:right="0" w:firstLineChars="0" w:firstLine="0"/>
              <w:spacing w:line="240" w:lineRule="atLeast"/>
            </w:pPr>
          </w:p>
        </w:tc>
        <w:tc>
          <w:tcPr>
            <w:tcW w:w="744" w:type="dxa"/>
          </w:tcPr>
          <w:p w:rsidR="0018722C">
            <w:pPr>
              <w:topLinePunct/>
              <w:ind w:leftChars="0" w:left="0" w:rightChars="0" w:right="0" w:firstLineChars="0" w:firstLine="0"/>
              <w:spacing w:line="240" w:lineRule="atLeast"/>
            </w:pPr>
          </w:p>
          <w:p w:rsidR="0018722C">
            <w:pPr>
              <w:topLinePunct/>
            </w:pPr>
          </w:p>
          <w:p w:rsidR="0018722C">
            <w:pPr>
              <w:topLinePunct/>
              <w:ind w:leftChars="0" w:left="0" w:rightChars="0" w:right="0" w:firstLineChars="0" w:firstLine="0"/>
              <w:spacing w:line="240" w:lineRule="atLeast"/>
            </w:pPr>
            <w:r>
              <w:rPr>
                <w:rFonts w:ascii="宋体"/>
              </w:rPr>
              <w:t>0.05</w:t>
            </w:r>
          </w:p>
        </w:tc>
        <w:tc>
          <w:tcPr>
            <w:tcW w:w="747" w:type="dxa"/>
          </w:tcPr>
          <w:p w:rsidR="0018722C">
            <w:pPr>
              <w:topLinePunct/>
              <w:ind w:leftChars="0" w:left="0" w:rightChars="0" w:right="0" w:firstLineChars="0" w:firstLine="0"/>
              <w:spacing w:line="240" w:lineRule="atLeast"/>
            </w:pPr>
          </w:p>
          <w:p w:rsidR="0018722C">
            <w:pPr>
              <w:topLinePunct/>
            </w:pPr>
          </w:p>
          <w:p w:rsidR="0018722C">
            <w:pPr>
              <w:topLinePunct/>
              <w:ind w:leftChars="0" w:left="0" w:rightChars="0" w:right="0" w:firstLineChars="0" w:firstLine="0"/>
              <w:spacing w:line="240" w:lineRule="atLeast"/>
            </w:pPr>
            <w:r>
              <w:rPr>
                <w:rFonts w:ascii="宋体"/>
              </w:rPr>
              <w:t>0.1</w:t>
            </w:r>
          </w:p>
        </w:tc>
        <w:tc>
          <w:tcPr>
            <w:tcW w:w="748" w:type="dxa"/>
          </w:tcPr>
          <w:p w:rsidR="0018722C">
            <w:pPr>
              <w:topLinePunct/>
              <w:ind w:leftChars="0" w:left="0" w:rightChars="0" w:right="0" w:firstLineChars="0" w:firstLine="0"/>
              <w:spacing w:line="240" w:lineRule="atLeast"/>
            </w:pPr>
          </w:p>
          <w:p w:rsidR="0018722C">
            <w:pPr>
              <w:topLinePunct/>
            </w:pPr>
          </w:p>
          <w:p w:rsidR="0018722C">
            <w:pPr>
              <w:topLinePunct/>
              <w:ind w:leftChars="0" w:left="0" w:rightChars="0" w:right="0" w:firstLineChars="0" w:firstLine="0"/>
              <w:spacing w:line="240" w:lineRule="atLeast"/>
            </w:pPr>
            <w:r>
              <w:rPr>
                <w:rFonts w:ascii="宋体"/>
              </w:rPr>
              <w:t>0.15</w:t>
            </w:r>
          </w:p>
        </w:tc>
        <w:tc>
          <w:tcPr>
            <w:tcW w:w="748" w:type="dxa"/>
          </w:tcPr>
          <w:p w:rsidR="0018722C">
            <w:pPr>
              <w:topLinePunct/>
              <w:ind w:leftChars="0" w:left="0" w:rightChars="0" w:right="0" w:firstLineChars="0" w:firstLine="0"/>
              <w:spacing w:line="240" w:lineRule="atLeast"/>
            </w:pPr>
          </w:p>
          <w:p w:rsidR="0018722C">
            <w:pPr>
              <w:topLinePunct/>
            </w:pPr>
          </w:p>
          <w:p w:rsidR="0018722C">
            <w:pPr>
              <w:topLinePunct/>
              <w:ind w:leftChars="0" w:left="0" w:rightChars="0" w:right="0" w:firstLineChars="0" w:firstLine="0"/>
              <w:spacing w:line="240" w:lineRule="atLeast"/>
            </w:pPr>
            <w:r>
              <w:rPr>
                <w:rFonts w:ascii="宋体"/>
              </w:rPr>
              <w:t>0.2</w:t>
            </w:r>
          </w:p>
        </w:tc>
        <w:tc>
          <w:tcPr>
            <w:tcW w:w="748" w:type="dxa"/>
          </w:tcPr>
          <w:p w:rsidR="0018722C">
            <w:pPr>
              <w:topLinePunct/>
              <w:ind w:leftChars="0" w:left="0" w:rightChars="0" w:right="0" w:firstLineChars="0" w:firstLine="0"/>
              <w:spacing w:line="240" w:lineRule="atLeast"/>
            </w:pPr>
          </w:p>
          <w:p w:rsidR="0018722C">
            <w:pPr>
              <w:topLinePunct/>
            </w:pPr>
          </w:p>
          <w:p w:rsidR="0018722C">
            <w:pPr>
              <w:topLinePunct/>
              <w:ind w:leftChars="0" w:left="0" w:rightChars="0" w:right="0" w:firstLineChars="0" w:firstLine="0"/>
              <w:spacing w:line="240" w:lineRule="atLeast"/>
            </w:pPr>
            <w:r>
              <w:rPr>
                <w:rFonts w:ascii="宋体"/>
              </w:rPr>
              <w:t>0.25</w:t>
            </w:r>
          </w:p>
        </w:tc>
        <w:tc>
          <w:tcPr>
            <w:tcW w:w="748" w:type="dxa"/>
          </w:tcPr>
          <w:p w:rsidR="0018722C">
            <w:pPr>
              <w:topLinePunct/>
              <w:ind w:leftChars="0" w:left="0" w:rightChars="0" w:right="0" w:firstLineChars="0" w:firstLine="0"/>
              <w:spacing w:line="240" w:lineRule="atLeast"/>
            </w:pPr>
          </w:p>
          <w:p w:rsidR="0018722C">
            <w:pPr>
              <w:topLinePunct/>
            </w:pPr>
          </w:p>
          <w:p w:rsidR="0018722C">
            <w:pPr>
              <w:topLinePunct/>
              <w:ind w:leftChars="0" w:left="0" w:rightChars="0" w:right="0" w:firstLineChars="0" w:firstLine="0"/>
              <w:spacing w:line="240" w:lineRule="atLeast"/>
            </w:pPr>
            <w:r>
              <w:rPr>
                <w:rFonts w:ascii="宋体"/>
              </w:rPr>
              <w:t>0.3</w:t>
            </w:r>
          </w:p>
        </w:tc>
        <w:tc>
          <w:tcPr>
            <w:tcW w:w="748" w:type="dxa"/>
          </w:tcPr>
          <w:p w:rsidR="0018722C">
            <w:pPr>
              <w:topLinePunct/>
              <w:ind w:leftChars="0" w:left="0" w:rightChars="0" w:right="0" w:firstLineChars="0" w:firstLine="0"/>
              <w:spacing w:line="240" w:lineRule="atLeast"/>
            </w:pPr>
          </w:p>
          <w:p w:rsidR="0018722C">
            <w:pPr>
              <w:topLinePunct/>
            </w:pPr>
          </w:p>
          <w:p w:rsidR="0018722C">
            <w:pPr>
              <w:topLinePunct/>
              <w:ind w:leftChars="0" w:left="0" w:rightChars="0" w:right="0" w:firstLineChars="0" w:firstLine="0"/>
              <w:spacing w:line="240" w:lineRule="atLeast"/>
            </w:pPr>
            <w:r>
              <w:rPr>
                <w:rFonts w:ascii="宋体"/>
              </w:rPr>
              <w:t>0.4</w:t>
            </w:r>
          </w:p>
        </w:tc>
        <w:tc>
          <w:tcPr>
            <w:tcW w:w="751" w:type="dxa"/>
          </w:tcPr>
          <w:p w:rsidR="0018722C">
            <w:pPr>
              <w:topLinePunct/>
              <w:ind w:leftChars="0" w:left="0" w:rightChars="0" w:right="0" w:firstLineChars="0" w:firstLine="0"/>
              <w:spacing w:line="240" w:lineRule="atLeast"/>
            </w:pPr>
          </w:p>
          <w:p w:rsidR="0018722C">
            <w:pPr>
              <w:topLinePunct/>
            </w:pPr>
          </w:p>
          <w:p w:rsidR="0018722C">
            <w:pPr>
              <w:topLinePunct/>
              <w:ind w:leftChars="0" w:left="0" w:rightChars="0" w:right="0" w:firstLineChars="0" w:firstLine="0"/>
              <w:spacing w:line="240" w:lineRule="atLeast"/>
            </w:pPr>
            <w:r>
              <w:rPr>
                <w:rFonts w:ascii="宋体"/>
              </w:rPr>
              <w:t>0.5</w:t>
            </w:r>
          </w:p>
        </w:tc>
      </w:tr>
      <w:tr>
        <w:trPr>
          <w:trHeight w:val="520" w:hRule="atLeast"/>
        </w:trPr>
        <w:tc>
          <w:tcPr>
            <w:tcW w:w="1694" w:type="dxa"/>
          </w:tcPr>
          <w:p w:rsidR="0018722C">
            <w:pPr>
              <w:topLinePunct/>
              <w:ind w:leftChars="0" w:left="0" w:rightChars="0" w:right="0" w:firstLineChars="0" w:firstLine="0"/>
              <w:spacing w:line="240" w:lineRule="atLeast"/>
            </w:pPr>
            <w:r>
              <w:rPr>
                <w:rFonts w:ascii="宋体"/>
              </w:rPr>
              <w:t>10%SDS</w:t>
            </w:r>
          </w:p>
        </w:tc>
        <w:tc>
          <w:tcPr>
            <w:tcW w:w="854" w:type="dxa"/>
          </w:tcPr>
          <w:p w:rsidR="0018722C">
            <w:pPr>
              <w:topLinePunct/>
              <w:ind w:leftChars="0" w:left="0" w:rightChars="0" w:right="0" w:firstLineChars="0" w:firstLine="0"/>
              <w:spacing w:line="240" w:lineRule="atLeast"/>
            </w:pPr>
          </w:p>
        </w:tc>
        <w:tc>
          <w:tcPr>
            <w:tcW w:w="744" w:type="dxa"/>
          </w:tcPr>
          <w:p w:rsidR="0018722C">
            <w:pPr>
              <w:topLinePunct/>
              <w:ind w:leftChars="0" w:left="0" w:rightChars="0" w:right="0" w:firstLineChars="0" w:firstLine="0"/>
              <w:spacing w:line="240" w:lineRule="atLeast"/>
            </w:pPr>
            <w:r>
              <w:rPr>
                <w:rFonts w:ascii="宋体"/>
              </w:rPr>
              <w:t>0.05</w:t>
            </w:r>
          </w:p>
        </w:tc>
        <w:tc>
          <w:tcPr>
            <w:tcW w:w="747" w:type="dxa"/>
          </w:tcPr>
          <w:p w:rsidR="0018722C">
            <w:pPr>
              <w:topLinePunct/>
              <w:ind w:leftChars="0" w:left="0" w:rightChars="0" w:right="0" w:firstLineChars="0" w:firstLine="0"/>
              <w:spacing w:line="240" w:lineRule="atLeast"/>
            </w:pPr>
            <w:r>
              <w:rPr>
                <w:rFonts w:ascii="宋体"/>
              </w:rPr>
              <w:t>0.1</w:t>
            </w:r>
          </w:p>
        </w:tc>
        <w:tc>
          <w:tcPr>
            <w:tcW w:w="748" w:type="dxa"/>
          </w:tcPr>
          <w:p w:rsidR="0018722C">
            <w:pPr>
              <w:topLinePunct/>
              <w:ind w:leftChars="0" w:left="0" w:rightChars="0" w:right="0" w:firstLineChars="0" w:firstLine="0"/>
              <w:spacing w:line="240" w:lineRule="atLeast"/>
            </w:pPr>
            <w:r>
              <w:rPr>
                <w:rFonts w:ascii="宋体"/>
              </w:rPr>
              <w:t>0.15</w:t>
            </w:r>
          </w:p>
        </w:tc>
        <w:tc>
          <w:tcPr>
            <w:tcW w:w="748" w:type="dxa"/>
          </w:tcPr>
          <w:p w:rsidR="0018722C">
            <w:pPr>
              <w:topLinePunct/>
              <w:ind w:leftChars="0" w:left="0" w:rightChars="0" w:right="0" w:firstLineChars="0" w:firstLine="0"/>
              <w:spacing w:line="240" w:lineRule="atLeast"/>
            </w:pPr>
            <w:r>
              <w:rPr>
                <w:rFonts w:ascii="宋体"/>
              </w:rPr>
              <w:t>0.2</w:t>
            </w:r>
          </w:p>
        </w:tc>
        <w:tc>
          <w:tcPr>
            <w:tcW w:w="748" w:type="dxa"/>
          </w:tcPr>
          <w:p w:rsidR="0018722C">
            <w:pPr>
              <w:topLinePunct/>
              <w:ind w:leftChars="0" w:left="0" w:rightChars="0" w:right="0" w:firstLineChars="0" w:firstLine="0"/>
              <w:spacing w:line="240" w:lineRule="atLeast"/>
            </w:pPr>
            <w:r>
              <w:rPr>
                <w:rFonts w:ascii="宋体"/>
              </w:rPr>
              <w:t>0.25</w:t>
            </w:r>
          </w:p>
        </w:tc>
        <w:tc>
          <w:tcPr>
            <w:tcW w:w="748" w:type="dxa"/>
          </w:tcPr>
          <w:p w:rsidR="0018722C">
            <w:pPr>
              <w:topLinePunct/>
              <w:ind w:leftChars="0" w:left="0" w:rightChars="0" w:right="0" w:firstLineChars="0" w:firstLine="0"/>
              <w:spacing w:line="240" w:lineRule="atLeast"/>
            </w:pPr>
            <w:r>
              <w:rPr>
                <w:rFonts w:ascii="宋体"/>
              </w:rPr>
              <w:t>0.3</w:t>
            </w:r>
          </w:p>
        </w:tc>
        <w:tc>
          <w:tcPr>
            <w:tcW w:w="748" w:type="dxa"/>
          </w:tcPr>
          <w:p w:rsidR="0018722C">
            <w:pPr>
              <w:topLinePunct/>
              <w:ind w:leftChars="0" w:left="0" w:rightChars="0" w:right="0" w:firstLineChars="0" w:firstLine="0"/>
              <w:spacing w:line="240" w:lineRule="atLeast"/>
            </w:pPr>
            <w:r>
              <w:rPr>
                <w:rFonts w:ascii="宋体"/>
              </w:rPr>
              <w:t>0.4</w:t>
            </w:r>
          </w:p>
        </w:tc>
        <w:tc>
          <w:tcPr>
            <w:tcW w:w="751" w:type="dxa"/>
          </w:tcPr>
          <w:p w:rsidR="0018722C">
            <w:pPr>
              <w:topLinePunct/>
              <w:ind w:leftChars="0" w:left="0" w:rightChars="0" w:right="0" w:firstLineChars="0" w:firstLine="0"/>
              <w:spacing w:line="240" w:lineRule="atLeast"/>
            </w:pPr>
            <w:r>
              <w:rPr>
                <w:rFonts w:ascii="宋体"/>
              </w:rPr>
              <w:t>0.5</w:t>
            </w:r>
          </w:p>
        </w:tc>
      </w:tr>
      <w:tr>
        <w:trPr>
          <w:trHeight w:val="420" w:hRule="atLeast"/>
        </w:trPr>
        <w:tc>
          <w:tcPr>
            <w:tcW w:w="1694" w:type="dxa"/>
            <w:tcBorders>
              <w:bottom w:val="single" w:sz="12" w:space="0" w:color="000000"/>
            </w:tcBorders>
          </w:tcPr>
          <w:p w:rsidR="0018722C">
            <w:pPr>
              <w:topLinePunct/>
              <w:ind w:leftChars="0" w:left="0" w:rightChars="0" w:right="0" w:firstLineChars="0" w:firstLine="0"/>
              <w:spacing w:line="240" w:lineRule="atLeast"/>
            </w:pPr>
            <w:r>
              <w:rPr>
                <w:rFonts w:ascii="宋体"/>
              </w:rPr>
              <w:t>TEMED</w:t>
            </w:r>
          </w:p>
        </w:tc>
        <w:tc>
          <w:tcPr>
            <w:tcW w:w="854" w:type="dxa"/>
            <w:tcBorders>
              <w:bottom w:val="single" w:sz="12" w:space="0" w:color="000000"/>
            </w:tcBorders>
          </w:tcPr>
          <w:p w:rsidR="0018722C">
            <w:pPr>
              <w:topLinePunct/>
              <w:ind w:leftChars="0" w:left="0" w:rightChars="0" w:right="0" w:firstLineChars="0" w:firstLine="0"/>
              <w:spacing w:line="240" w:lineRule="atLeast"/>
            </w:pPr>
          </w:p>
        </w:tc>
        <w:tc>
          <w:tcPr>
            <w:tcW w:w="744" w:type="dxa"/>
            <w:tcBorders>
              <w:bottom w:val="single" w:sz="12" w:space="0" w:color="000000"/>
            </w:tcBorders>
          </w:tcPr>
          <w:p w:rsidR="0018722C">
            <w:pPr>
              <w:topLinePunct/>
              <w:ind w:leftChars="0" w:left="0" w:rightChars="0" w:right="0" w:firstLineChars="0" w:firstLine="0"/>
              <w:spacing w:line="240" w:lineRule="atLeast"/>
            </w:pPr>
            <w:r>
              <w:rPr>
                <w:rFonts w:ascii="宋体"/>
              </w:rPr>
              <w:t>0.002</w:t>
            </w:r>
          </w:p>
        </w:tc>
        <w:tc>
          <w:tcPr>
            <w:tcW w:w="747" w:type="dxa"/>
            <w:tcBorders>
              <w:bottom w:val="single" w:sz="12" w:space="0" w:color="000000"/>
            </w:tcBorders>
          </w:tcPr>
          <w:p w:rsidR="0018722C">
            <w:pPr>
              <w:topLinePunct/>
              <w:ind w:leftChars="0" w:left="0" w:rightChars="0" w:right="0" w:firstLineChars="0" w:firstLine="0"/>
              <w:spacing w:line="240" w:lineRule="atLeast"/>
            </w:pPr>
            <w:r>
              <w:rPr>
                <w:rFonts w:ascii="宋体"/>
              </w:rPr>
              <w:t>0.004</w:t>
            </w:r>
          </w:p>
        </w:tc>
        <w:tc>
          <w:tcPr>
            <w:tcW w:w="748" w:type="dxa"/>
            <w:tcBorders>
              <w:bottom w:val="single" w:sz="12" w:space="0" w:color="000000"/>
            </w:tcBorders>
          </w:tcPr>
          <w:p w:rsidR="0018722C">
            <w:pPr>
              <w:topLinePunct/>
              <w:ind w:leftChars="0" w:left="0" w:rightChars="0" w:right="0" w:firstLineChars="0" w:firstLine="0"/>
              <w:spacing w:line="240" w:lineRule="atLeast"/>
            </w:pPr>
            <w:r>
              <w:rPr>
                <w:rFonts w:ascii="宋体"/>
              </w:rPr>
              <w:t>0.006</w:t>
            </w:r>
          </w:p>
        </w:tc>
        <w:tc>
          <w:tcPr>
            <w:tcW w:w="748" w:type="dxa"/>
            <w:tcBorders>
              <w:bottom w:val="single" w:sz="12" w:space="0" w:color="000000"/>
            </w:tcBorders>
          </w:tcPr>
          <w:p w:rsidR="0018722C">
            <w:pPr>
              <w:topLinePunct/>
              <w:ind w:leftChars="0" w:left="0" w:rightChars="0" w:right="0" w:firstLineChars="0" w:firstLine="0"/>
              <w:spacing w:line="240" w:lineRule="atLeast"/>
            </w:pPr>
            <w:r>
              <w:rPr>
                <w:rFonts w:ascii="宋体"/>
              </w:rPr>
              <w:t>0.008</w:t>
            </w:r>
          </w:p>
        </w:tc>
        <w:tc>
          <w:tcPr>
            <w:tcW w:w="748" w:type="dxa"/>
            <w:tcBorders>
              <w:bottom w:val="single" w:sz="12" w:space="0" w:color="000000"/>
            </w:tcBorders>
          </w:tcPr>
          <w:p w:rsidR="0018722C">
            <w:pPr>
              <w:topLinePunct/>
              <w:ind w:leftChars="0" w:left="0" w:rightChars="0" w:right="0" w:firstLineChars="0" w:firstLine="0"/>
              <w:spacing w:line="240" w:lineRule="atLeast"/>
            </w:pPr>
            <w:r>
              <w:rPr>
                <w:rFonts w:ascii="宋体"/>
              </w:rPr>
              <w:t>0.010</w:t>
            </w:r>
          </w:p>
        </w:tc>
        <w:tc>
          <w:tcPr>
            <w:tcW w:w="748" w:type="dxa"/>
            <w:tcBorders>
              <w:bottom w:val="single" w:sz="12" w:space="0" w:color="000000"/>
            </w:tcBorders>
          </w:tcPr>
          <w:p w:rsidR="0018722C">
            <w:pPr>
              <w:topLinePunct/>
              <w:ind w:leftChars="0" w:left="0" w:rightChars="0" w:right="0" w:firstLineChars="0" w:firstLine="0"/>
              <w:spacing w:line="240" w:lineRule="atLeast"/>
            </w:pPr>
            <w:r>
              <w:rPr>
                <w:rFonts w:ascii="宋体"/>
              </w:rPr>
              <w:t>0.012</w:t>
            </w:r>
          </w:p>
        </w:tc>
        <w:tc>
          <w:tcPr>
            <w:tcW w:w="748" w:type="dxa"/>
            <w:tcBorders>
              <w:bottom w:val="single" w:sz="12" w:space="0" w:color="000000"/>
            </w:tcBorders>
          </w:tcPr>
          <w:p w:rsidR="0018722C">
            <w:pPr>
              <w:topLinePunct/>
              <w:ind w:leftChars="0" w:left="0" w:rightChars="0" w:right="0" w:firstLineChars="0" w:firstLine="0"/>
              <w:spacing w:line="240" w:lineRule="atLeast"/>
            </w:pPr>
            <w:r>
              <w:rPr>
                <w:rFonts w:ascii="宋体"/>
              </w:rPr>
              <w:t>0.016</w:t>
            </w:r>
          </w:p>
        </w:tc>
        <w:tc>
          <w:tcPr>
            <w:tcW w:w="751" w:type="dxa"/>
            <w:tcBorders>
              <w:bottom w:val="single" w:sz="12" w:space="0" w:color="000000"/>
            </w:tcBorders>
          </w:tcPr>
          <w:p w:rsidR="0018722C">
            <w:pPr>
              <w:topLinePunct/>
              <w:ind w:leftChars="0" w:left="0" w:rightChars="0" w:right="0" w:firstLineChars="0" w:firstLine="0"/>
              <w:spacing w:line="240" w:lineRule="atLeast"/>
            </w:pPr>
            <w:r>
              <w:rPr>
                <w:rFonts w:ascii="宋体"/>
              </w:rPr>
              <w:t>0.020</w:t>
            </w:r>
          </w:p>
        </w:tc>
      </w:tr>
    </w:tbl>
    <w:p w:rsidR="0018722C">
      <w:pPr>
        <w:topLinePunct/>
      </w:pPr>
    </w:p>
    <w:p w:rsidR="0018722C">
      <w:pPr>
        <w:pStyle w:val="aff7"/>
        <w:topLinePunct/>
      </w:pPr>
      <w:r>
        <w:rPr>
          <w:kern w:val="2"/>
          <w:sz w:val="22"/>
          <w:szCs w:val="22"/>
          <w:rFonts w:cstheme="minorBidi" w:hAnsiTheme="minorHAnsi" w:eastAsiaTheme="minorHAnsi" w:asciiTheme="minorHAnsi"/>
        </w:rPr>
        <w:pict>
          <v:line style="position:absolute;mso-position-horizontal-relative:page;mso-position-vertical-relative:paragraph;z-index:2056;mso-wrap-distance-left:0;mso-wrap-distance-right:0" from="65.5pt,14.500977pt" to="491.600006pt,14.500977pt" stroked="true" strokeweight="1.5pt" strokecolor="#000000">
            <v:stroke dashstyle="solid"/>
            <w10:wrap type="topAndBottom"/>
          </v:line>
        </w:pict>
      </w:r>
    </w:p>
    <w:tbl>
      <w:tblPr>
        <w:tblW w:w="0" w:type="auto"/>
        <w:tblInd w:w="4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4"/>
        <w:gridCol w:w="854"/>
        <w:gridCol w:w="744"/>
        <w:gridCol w:w="747"/>
        <w:gridCol w:w="748"/>
        <w:gridCol w:w="748"/>
        <w:gridCol w:w="748"/>
        <w:gridCol w:w="748"/>
        <w:gridCol w:w="748"/>
        <w:gridCol w:w="751"/>
      </w:tblGrid>
      <w:tr>
        <w:trPr>
          <w:trHeight w:val="360" w:hRule="atLeast"/>
        </w:trPr>
        <w:tc>
          <w:tcPr>
            <w:tcW w:w="1694" w:type="dxa"/>
          </w:tcPr>
          <w:p w:rsidR="0018722C">
            <w:pPr>
              <w:topLinePunct/>
              <w:ind w:leftChars="0" w:left="0" w:rightChars="0" w:right="0" w:firstLineChars="0" w:firstLine="0"/>
              <w:spacing w:line="240" w:lineRule="atLeast"/>
            </w:pPr>
            <w:r>
              <w:rPr>
                <w:rFonts w:ascii="宋体" w:eastAsia="宋体" w:hint="eastAsia"/>
              </w:rPr>
              <w:t>5%浓缩胶</w:t>
            </w:r>
          </w:p>
        </w:tc>
        <w:tc>
          <w:tcPr>
            <w:tcW w:w="854" w:type="dxa"/>
          </w:tcPr>
          <w:p w:rsidR="0018722C">
            <w:pPr>
              <w:topLinePunct/>
              <w:ind w:leftChars="0" w:left="0" w:rightChars="0" w:right="0" w:firstLineChars="0" w:firstLine="0"/>
              <w:spacing w:line="240" w:lineRule="atLeast"/>
            </w:pPr>
          </w:p>
        </w:tc>
        <w:tc>
          <w:tcPr>
            <w:tcW w:w="744" w:type="dxa"/>
          </w:tcPr>
          <w:p w:rsidR="0018722C">
            <w:pPr>
              <w:topLinePunct/>
              <w:ind w:leftChars="0" w:left="0" w:rightChars="0" w:right="0" w:firstLineChars="0" w:firstLine="0"/>
              <w:spacing w:line="240" w:lineRule="atLeast"/>
            </w:pPr>
            <w:r>
              <w:rPr>
                <w:rFonts w:ascii="宋体"/>
              </w:rPr>
              <w:t>1mL</w:t>
            </w:r>
          </w:p>
        </w:tc>
        <w:tc>
          <w:tcPr>
            <w:tcW w:w="747" w:type="dxa"/>
          </w:tcPr>
          <w:p w:rsidR="0018722C">
            <w:pPr>
              <w:topLinePunct/>
              <w:ind w:leftChars="0" w:left="0" w:rightChars="0" w:right="0" w:firstLineChars="0" w:firstLine="0"/>
              <w:spacing w:line="240" w:lineRule="atLeast"/>
            </w:pPr>
            <w:r>
              <w:rPr>
                <w:rFonts w:ascii="宋体"/>
              </w:rPr>
              <w:t>2mL</w:t>
            </w:r>
          </w:p>
        </w:tc>
        <w:tc>
          <w:tcPr>
            <w:tcW w:w="748" w:type="dxa"/>
          </w:tcPr>
          <w:p w:rsidR="0018722C">
            <w:pPr>
              <w:topLinePunct/>
              <w:ind w:leftChars="0" w:left="0" w:rightChars="0" w:right="0" w:firstLineChars="0" w:firstLine="0"/>
              <w:spacing w:line="240" w:lineRule="atLeast"/>
            </w:pPr>
            <w:r>
              <w:rPr>
                <w:rFonts w:ascii="宋体"/>
              </w:rPr>
              <w:t>3mL</w:t>
            </w:r>
          </w:p>
        </w:tc>
        <w:tc>
          <w:tcPr>
            <w:tcW w:w="748" w:type="dxa"/>
          </w:tcPr>
          <w:p w:rsidR="0018722C">
            <w:pPr>
              <w:topLinePunct/>
              <w:ind w:leftChars="0" w:left="0" w:rightChars="0" w:right="0" w:firstLineChars="0" w:firstLine="0"/>
              <w:spacing w:line="240" w:lineRule="atLeast"/>
            </w:pPr>
            <w:r>
              <w:rPr>
                <w:rFonts w:ascii="宋体"/>
              </w:rPr>
              <w:t>4mL</w:t>
            </w:r>
          </w:p>
        </w:tc>
        <w:tc>
          <w:tcPr>
            <w:tcW w:w="748" w:type="dxa"/>
          </w:tcPr>
          <w:p w:rsidR="0018722C">
            <w:pPr>
              <w:topLinePunct/>
              <w:ind w:leftChars="0" w:left="0" w:rightChars="0" w:right="0" w:firstLineChars="0" w:firstLine="0"/>
              <w:spacing w:line="240" w:lineRule="atLeast"/>
            </w:pPr>
            <w:r>
              <w:rPr>
                <w:rFonts w:ascii="宋体"/>
              </w:rPr>
              <w:t>5mL</w:t>
            </w:r>
          </w:p>
        </w:tc>
        <w:tc>
          <w:tcPr>
            <w:tcW w:w="748" w:type="dxa"/>
          </w:tcPr>
          <w:p w:rsidR="0018722C">
            <w:pPr>
              <w:topLinePunct/>
              <w:ind w:leftChars="0" w:left="0" w:rightChars="0" w:right="0" w:firstLineChars="0" w:firstLine="0"/>
              <w:spacing w:line="240" w:lineRule="atLeast"/>
            </w:pPr>
            <w:r>
              <w:rPr>
                <w:rFonts w:ascii="宋体"/>
              </w:rPr>
              <w:t>6mL</w:t>
            </w:r>
          </w:p>
        </w:tc>
        <w:tc>
          <w:tcPr>
            <w:tcW w:w="748" w:type="dxa"/>
          </w:tcPr>
          <w:p w:rsidR="0018722C">
            <w:pPr>
              <w:topLinePunct/>
              <w:ind w:leftChars="0" w:left="0" w:rightChars="0" w:right="0" w:firstLineChars="0" w:firstLine="0"/>
              <w:spacing w:line="240" w:lineRule="atLeast"/>
            </w:pPr>
            <w:r>
              <w:rPr>
                <w:rFonts w:ascii="宋体"/>
              </w:rPr>
              <w:t>8mL</w:t>
            </w:r>
          </w:p>
        </w:tc>
        <w:tc>
          <w:tcPr>
            <w:tcW w:w="751" w:type="dxa"/>
          </w:tcPr>
          <w:p w:rsidR="0018722C">
            <w:pPr>
              <w:topLinePunct/>
              <w:ind w:leftChars="0" w:left="0" w:rightChars="0" w:right="0" w:firstLineChars="0" w:firstLine="0"/>
              <w:spacing w:line="240" w:lineRule="atLeast"/>
            </w:pPr>
            <w:r>
              <w:rPr>
                <w:rFonts w:ascii="宋体"/>
              </w:rPr>
              <w:t>10mL</w:t>
            </w:r>
          </w:p>
        </w:tc>
      </w:tr>
      <w:tr>
        <w:trPr>
          <w:trHeight w:val="520" w:hRule="atLeast"/>
        </w:trPr>
        <w:tc>
          <w:tcPr>
            <w:tcW w:w="1694" w:type="dxa"/>
          </w:tcPr>
          <w:p w:rsidR="0018722C">
            <w:pPr>
              <w:topLinePunct/>
              <w:ind w:leftChars="0" w:left="0" w:rightChars="0" w:right="0" w:firstLineChars="0" w:firstLine="0"/>
              <w:spacing w:line="240" w:lineRule="atLeast"/>
            </w:pPr>
            <w:r>
              <w:rPr>
                <w:rFonts w:ascii="宋体"/>
              </w:rPr>
              <w:t>H2O</w:t>
            </w:r>
          </w:p>
        </w:tc>
        <w:tc>
          <w:tcPr>
            <w:tcW w:w="854" w:type="dxa"/>
          </w:tcPr>
          <w:p w:rsidR="0018722C">
            <w:pPr>
              <w:topLinePunct/>
              <w:ind w:leftChars="0" w:left="0" w:rightChars="0" w:right="0" w:firstLineChars="0" w:firstLine="0"/>
              <w:spacing w:line="240" w:lineRule="atLeast"/>
            </w:pPr>
          </w:p>
        </w:tc>
        <w:tc>
          <w:tcPr>
            <w:tcW w:w="744" w:type="dxa"/>
          </w:tcPr>
          <w:p w:rsidR="0018722C">
            <w:pPr>
              <w:topLinePunct/>
              <w:ind w:leftChars="0" w:left="0" w:rightChars="0" w:right="0" w:firstLineChars="0" w:firstLine="0"/>
              <w:spacing w:line="240" w:lineRule="atLeast"/>
            </w:pPr>
            <w:r>
              <w:rPr>
                <w:rFonts w:ascii="宋体"/>
              </w:rPr>
              <w:t>0.68</w:t>
            </w:r>
          </w:p>
        </w:tc>
        <w:tc>
          <w:tcPr>
            <w:tcW w:w="747" w:type="dxa"/>
          </w:tcPr>
          <w:p w:rsidR="0018722C">
            <w:pPr>
              <w:topLinePunct/>
              <w:ind w:leftChars="0" w:left="0" w:rightChars="0" w:right="0" w:firstLineChars="0" w:firstLine="0"/>
              <w:spacing w:line="240" w:lineRule="atLeast"/>
            </w:pPr>
            <w:r>
              <w:rPr>
                <w:rFonts w:ascii="宋体"/>
              </w:rPr>
              <w:t>1.4</w:t>
            </w:r>
          </w:p>
        </w:tc>
        <w:tc>
          <w:tcPr>
            <w:tcW w:w="748" w:type="dxa"/>
          </w:tcPr>
          <w:p w:rsidR="0018722C">
            <w:pPr>
              <w:topLinePunct/>
              <w:ind w:leftChars="0" w:left="0" w:rightChars="0" w:right="0" w:firstLineChars="0" w:firstLine="0"/>
              <w:spacing w:line="240" w:lineRule="atLeast"/>
            </w:pPr>
            <w:r>
              <w:rPr>
                <w:rFonts w:ascii="宋体"/>
              </w:rPr>
              <w:t>2.1</w:t>
            </w:r>
          </w:p>
        </w:tc>
        <w:tc>
          <w:tcPr>
            <w:tcW w:w="748" w:type="dxa"/>
          </w:tcPr>
          <w:p w:rsidR="0018722C">
            <w:pPr>
              <w:topLinePunct/>
              <w:ind w:leftChars="0" w:left="0" w:rightChars="0" w:right="0" w:firstLineChars="0" w:firstLine="0"/>
              <w:spacing w:line="240" w:lineRule="atLeast"/>
            </w:pPr>
            <w:r>
              <w:rPr>
                <w:rFonts w:ascii="宋体"/>
              </w:rPr>
              <w:t>2.7</w:t>
            </w:r>
          </w:p>
        </w:tc>
        <w:tc>
          <w:tcPr>
            <w:tcW w:w="748" w:type="dxa"/>
          </w:tcPr>
          <w:p w:rsidR="0018722C">
            <w:pPr>
              <w:topLinePunct/>
              <w:ind w:leftChars="0" w:left="0" w:rightChars="0" w:right="0" w:firstLineChars="0" w:firstLine="0"/>
              <w:spacing w:line="240" w:lineRule="atLeast"/>
            </w:pPr>
            <w:r>
              <w:rPr>
                <w:rFonts w:ascii="宋体"/>
              </w:rPr>
              <w:t>3.4</w:t>
            </w:r>
          </w:p>
        </w:tc>
        <w:tc>
          <w:tcPr>
            <w:tcW w:w="748" w:type="dxa"/>
          </w:tcPr>
          <w:p w:rsidR="0018722C">
            <w:pPr>
              <w:topLinePunct/>
              <w:ind w:leftChars="0" w:left="0" w:rightChars="0" w:right="0" w:firstLineChars="0" w:firstLine="0"/>
              <w:spacing w:line="240" w:lineRule="atLeast"/>
            </w:pPr>
            <w:r>
              <w:rPr>
                <w:rFonts w:ascii="宋体"/>
              </w:rPr>
              <w:t>4.1</w:t>
            </w:r>
          </w:p>
        </w:tc>
        <w:tc>
          <w:tcPr>
            <w:tcW w:w="748" w:type="dxa"/>
          </w:tcPr>
          <w:p w:rsidR="0018722C">
            <w:pPr>
              <w:topLinePunct/>
              <w:ind w:leftChars="0" w:left="0" w:rightChars="0" w:right="0" w:firstLineChars="0" w:firstLine="0"/>
              <w:spacing w:line="240" w:lineRule="atLeast"/>
            </w:pPr>
            <w:r>
              <w:rPr>
                <w:rFonts w:ascii="宋体"/>
              </w:rPr>
              <w:t>5.5</w:t>
            </w:r>
          </w:p>
        </w:tc>
        <w:tc>
          <w:tcPr>
            <w:tcW w:w="751" w:type="dxa"/>
          </w:tcPr>
          <w:p w:rsidR="0018722C">
            <w:pPr>
              <w:topLinePunct/>
              <w:ind w:leftChars="0" w:left="0" w:rightChars="0" w:right="0" w:firstLineChars="0" w:firstLine="0"/>
              <w:spacing w:line="240" w:lineRule="atLeast"/>
            </w:pPr>
            <w:r>
              <w:rPr>
                <w:rFonts w:ascii="宋体"/>
              </w:rPr>
              <w:t>6.8</w:t>
            </w:r>
          </w:p>
        </w:tc>
      </w:tr>
      <w:tr>
        <w:trPr>
          <w:trHeight w:val="520" w:hRule="atLeast"/>
        </w:trPr>
        <w:tc>
          <w:tcPr>
            <w:tcW w:w="1694" w:type="dxa"/>
          </w:tcPr>
          <w:p w:rsidR="0018722C">
            <w:pPr>
              <w:topLinePunct/>
              <w:ind w:leftChars="0" w:left="0" w:rightChars="0" w:right="0" w:firstLineChars="0" w:firstLine="0"/>
              <w:spacing w:line="240" w:lineRule="atLeast"/>
            </w:pPr>
            <w:r>
              <w:rPr>
                <w:rFonts w:ascii="宋体" w:eastAsia="宋体" w:hint="eastAsia"/>
              </w:rPr>
              <w:t>30%聚丙烯酰胺</w:t>
            </w:r>
          </w:p>
        </w:tc>
        <w:tc>
          <w:tcPr>
            <w:tcW w:w="854" w:type="dxa"/>
          </w:tcPr>
          <w:p w:rsidR="0018722C">
            <w:pPr>
              <w:topLinePunct/>
              <w:ind w:leftChars="0" w:left="0" w:rightChars="0" w:right="0" w:firstLineChars="0" w:firstLine="0"/>
              <w:spacing w:line="240" w:lineRule="atLeast"/>
            </w:pPr>
          </w:p>
        </w:tc>
        <w:tc>
          <w:tcPr>
            <w:tcW w:w="744" w:type="dxa"/>
          </w:tcPr>
          <w:p w:rsidR="0018722C">
            <w:pPr>
              <w:topLinePunct/>
              <w:ind w:leftChars="0" w:left="0" w:rightChars="0" w:right="0" w:firstLineChars="0" w:firstLine="0"/>
              <w:spacing w:line="240" w:lineRule="atLeast"/>
            </w:pPr>
            <w:r>
              <w:rPr>
                <w:rFonts w:ascii="宋体"/>
              </w:rPr>
              <w:t>0.17</w:t>
            </w:r>
          </w:p>
        </w:tc>
        <w:tc>
          <w:tcPr>
            <w:tcW w:w="747" w:type="dxa"/>
          </w:tcPr>
          <w:p w:rsidR="0018722C">
            <w:pPr>
              <w:topLinePunct/>
              <w:ind w:leftChars="0" w:left="0" w:rightChars="0" w:right="0" w:firstLineChars="0" w:firstLine="0"/>
              <w:spacing w:line="240" w:lineRule="atLeast"/>
            </w:pPr>
            <w:r>
              <w:rPr>
                <w:rFonts w:ascii="宋体"/>
              </w:rPr>
              <w:t>0.33</w:t>
            </w:r>
          </w:p>
        </w:tc>
        <w:tc>
          <w:tcPr>
            <w:tcW w:w="748" w:type="dxa"/>
          </w:tcPr>
          <w:p w:rsidR="0018722C">
            <w:pPr>
              <w:topLinePunct/>
              <w:ind w:leftChars="0" w:left="0" w:rightChars="0" w:right="0" w:firstLineChars="0" w:firstLine="0"/>
              <w:spacing w:line="240" w:lineRule="atLeast"/>
            </w:pPr>
            <w:r>
              <w:rPr>
                <w:rFonts w:ascii="宋体"/>
              </w:rPr>
              <w:t>0.5</w:t>
            </w:r>
          </w:p>
        </w:tc>
        <w:tc>
          <w:tcPr>
            <w:tcW w:w="748" w:type="dxa"/>
          </w:tcPr>
          <w:p w:rsidR="0018722C">
            <w:pPr>
              <w:topLinePunct/>
              <w:ind w:leftChars="0" w:left="0" w:rightChars="0" w:right="0" w:firstLineChars="0" w:firstLine="0"/>
              <w:spacing w:line="240" w:lineRule="atLeast"/>
            </w:pPr>
            <w:r>
              <w:rPr>
                <w:rFonts w:ascii="宋体"/>
              </w:rPr>
              <w:t>0.67</w:t>
            </w:r>
          </w:p>
        </w:tc>
        <w:tc>
          <w:tcPr>
            <w:tcW w:w="748" w:type="dxa"/>
          </w:tcPr>
          <w:p w:rsidR="0018722C">
            <w:pPr>
              <w:topLinePunct/>
              <w:ind w:leftChars="0" w:left="0" w:rightChars="0" w:right="0" w:firstLineChars="0" w:firstLine="0"/>
              <w:spacing w:line="240" w:lineRule="atLeast"/>
            </w:pPr>
            <w:r>
              <w:rPr>
                <w:rFonts w:ascii="宋体"/>
              </w:rPr>
              <w:t>0.83</w:t>
            </w:r>
          </w:p>
        </w:tc>
        <w:tc>
          <w:tcPr>
            <w:tcW w:w="748" w:type="dxa"/>
          </w:tcPr>
          <w:p w:rsidR="0018722C">
            <w:pPr>
              <w:topLinePunct/>
              <w:ind w:leftChars="0" w:left="0" w:rightChars="0" w:right="0" w:firstLineChars="0" w:firstLine="0"/>
              <w:spacing w:line="240" w:lineRule="atLeast"/>
            </w:pPr>
            <w:r>
              <w:rPr>
                <w:rFonts w:ascii="宋体"/>
              </w:rPr>
              <w:t>1.0</w:t>
            </w:r>
          </w:p>
        </w:tc>
        <w:tc>
          <w:tcPr>
            <w:tcW w:w="748" w:type="dxa"/>
          </w:tcPr>
          <w:p w:rsidR="0018722C">
            <w:pPr>
              <w:topLinePunct/>
              <w:ind w:leftChars="0" w:left="0" w:rightChars="0" w:right="0" w:firstLineChars="0" w:firstLine="0"/>
              <w:spacing w:line="240" w:lineRule="atLeast"/>
            </w:pPr>
            <w:r>
              <w:rPr>
                <w:rFonts w:ascii="宋体"/>
              </w:rPr>
              <w:t>1.3</w:t>
            </w:r>
          </w:p>
        </w:tc>
        <w:tc>
          <w:tcPr>
            <w:tcW w:w="751" w:type="dxa"/>
          </w:tcPr>
          <w:p w:rsidR="0018722C">
            <w:pPr>
              <w:topLinePunct/>
              <w:ind w:leftChars="0" w:left="0" w:rightChars="0" w:right="0" w:firstLineChars="0" w:firstLine="0"/>
              <w:spacing w:line="240" w:lineRule="atLeast"/>
            </w:pPr>
            <w:r>
              <w:rPr>
                <w:rFonts w:ascii="宋体"/>
              </w:rPr>
              <w:t>1.7</w:t>
            </w:r>
          </w:p>
        </w:tc>
      </w:tr>
      <w:tr>
        <w:trPr>
          <w:trHeight w:val="640" w:hRule="atLeast"/>
        </w:trPr>
        <w:tc>
          <w:tcPr>
            <w:tcW w:w="1694" w:type="dxa"/>
          </w:tcPr>
          <w:p w:rsidR="0018722C">
            <w:pPr>
              <w:topLinePunct/>
              <w:ind w:leftChars="0" w:left="0" w:rightChars="0" w:right="0" w:firstLineChars="0" w:firstLine="0"/>
              <w:spacing w:line="240" w:lineRule="atLeast"/>
            </w:pPr>
            <w:r>
              <w:rPr>
                <w:rFonts w:ascii="宋体"/>
              </w:rPr>
              <w:t>0.5M</w:t>
            </w:r>
          </w:p>
        </w:tc>
        <w:tc>
          <w:tcPr>
            <w:tcW w:w="854" w:type="dxa"/>
          </w:tcPr>
          <w:p w:rsidR="0018722C">
            <w:pPr>
              <w:topLinePunct/>
              <w:ind w:leftChars="0" w:left="0" w:rightChars="0" w:right="0" w:firstLineChars="0" w:firstLine="0"/>
              <w:spacing w:line="240" w:lineRule="atLeast"/>
            </w:pPr>
            <w:r>
              <w:rPr>
                <w:rFonts w:ascii="宋体"/>
              </w:rPr>
              <w:t>Tris-</w:t>
            </w:r>
          </w:p>
        </w:tc>
        <w:tc>
          <w:tcPr>
            <w:tcW w:w="744"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0.13</w:t>
            </w:r>
          </w:p>
        </w:tc>
        <w:tc>
          <w:tcPr>
            <w:tcW w:w="747"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0.25</w:t>
            </w:r>
          </w:p>
        </w:tc>
        <w:tc>
          <w:tcPr>
            <w:tcW w:w="748"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0.38</w:t>
            </w:r>
          </w:p>
        </w:tc>
        <w:tc>
          <w:tcPr>
            <w:tcW w:w="748"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0.5</w:t>
            </w:r>
          </w:p>
        </w:tc>
        <w:tc>
          <w:tcPr>
            <w:tcW w:w="748"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0.63</w:t>
            </w:r>
          </w:p>
        </w:tc>
        <w:tc>
          <w:tcPr>
            <w:tcW w:w="748"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0.75</w:t>
            </w:r>
          </w:p>
        </w:tc>
        <w:tc>
          <w:tcPr>
            <w:tcW w:w="748"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1.0</w:t>
            </w:r>
          </w:p>
        </w:tc>
        <w:tc>
          <w:tcPr>
            <w:tcW w:w="751"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rPr>
              <w:t>1.25</w:t>
            </w:r>
          </w:p>
        </w:tc>
      </w:tr>
      <w:tr>
        <w:trPr>
          <w:trHeight w:val="380" w:hRule="atLeast"/>
        </w:trPr>
        <w:tc>
          <w:tcPr>
            <w:tcW w:w="1694" w:type="dxa"/>
          </w:tcPr>
          <w:p w:rsidR="0018722C">
            <w:pPr>
              <w:topLinePunct/>
              <w:ind w:leftChars="0" w:left="0" w:rightChars="0" w:right="0" w:firstLineChars="0" w:firstLine="0"/>
              <w:spacing w:line="240" w:lineRule="atLeast"/>
            </w:pPr>
            <w:r>
              <w:rPr>
                <w:rFonts w:ascii="宋体" w:eastAsia="宋体" w:hint="eastAsia"/>
              </w:rPr>
              <w:t>Hcl</w:t>
            </w:r>
            <w:r>
              <w:rPr>
                <w:rFonts w:ascii="宋体" w:eastAsia="宋体" w:hint="eastAsia"/>
                <w:rFonts w:ascii="宋体" w:eastAsia="宋体" w:hint="eastAsia"/>
                <w:sz w:val="21"/>
              </w:rPr>
              <w:t>(</w:t>
            </w:r>
            <w:r>
              <w:rPr>
                <w:rFonts w:ascii="宋体" w:eastAsia="宋体" w:hint="eastAsia"/>
              </w:rPr>
              <w:t>PH=6.8</w:t>
            </w:r>
            <w:r>
              <w:rPr>
                <w:rFonts w:ascii="宋体" w:eastAsia="宋体" w:hint="eastAsia"/>
                <w:rFonts w:ascii="宋体" w:eastAsia="宋体" w:hint="eastAsia"/>
                <w:sz w:val="21"/>
              </w:rPr>
              <w:t>)</w:t>
            </w:r>
          </w:p>
        </w:tc>
        <w:tc>
          <w:tcPr>
            <w:tcW w:w="854" w:type="dxa"/>
          </w:tcPr>
          <w:p w:rsidR="0018722C">
            <w:pPr>
              <w:topLinePunct/>
              <w:ind w:leftChars="0" w:left="0" w:rightChars="0" w:right="0" w:firstLineChars="0" w:firstLine="0"/>
              <w:spacing w:line="240" w:lineRule="atLeast"/>
            </w:pPr>
          </w:p>
        </w:tc>
        <w:tc>
          <w:tcPr>
            <w:tcW w:w="744" w:type="dxa"/>
          </w:tcPr>
          <w:p w:rsidR="0018722C">
            <w:pPr>
              <w:topLinePunct/>
              <w:ind w:leftChars="0" w:left="0" w:rightChars="0" w:right="0" w:firstLineChars="0" w:firstLine="0"/>
              <w:spacing w:line="240" w:lineRule="atLeast"/>
            </w:pPr>
          </w:p>
        </w:tc>
        <w:tc>
          <w:tcPr>
            <w:tcW w:w="747" w:type="dxa"/>
          </w:tcPr>
          <w:p w:rsidR="0018722C">
            <w:pPr>
              <w:topLinePunct/>
              <w:ind w:leftChars="0" w:left="0" w:rightChars="0" w:right="0" w:firstLineChars="0" w:firstLine="0"/>
              <w:spacing w:line="240" w:lineRule="atLeast"/>
            </w:pPr>
          </w:p>
        </w:tc>
        <w:tc>
          <w:tcPr>
            <w:tcW w:w="748" w:type="dxa"/>
          </w:tcPr>
          <w:p w:rsidR="0018722C">
            <w:pPr>
              <w:topLinePunct/>
              <w:ind w:leftChars="0" w:left="0" w:rightChars="0" w:right="0" w:firstLineChars="0" w:firstLine="0"/>
              <w:spacing w:line="240" w:lineRule="atLeast"/>
            </w:pPr>
          </w:p>
        </w:tc>
        <w:tc>
          <w:tcPr>
            <w:tcW w:w="748" w:type="dxa"/>
          </w:tcPr>
          <w:p w:rsidR="0018722C">
            <w:pPr>
              <w:topLinePunct/>
              <w:ind w:leftChars="0" w:left="0" w:rightChars="0" w:right="0" w:firstLineChars="0" w:firstLine="0"/>
              <w:spacing w:line="240" w:lineRule="atLeast"/>
            </w:pPr>
          </w:p>
        </w:tc>
        <w:tc>
          <w:tcPr>
            <w:tcW w:w="748" w:type="dxa"/>
          </w:tcPr>
          <w:p w:rsidR="0018722C">
            <w:pPr>
              <w:topLinePunct/>
              <w:ind w:leftChars="0" w:left="0" w:rightChars="0" w:right="0" w:firstLineChars="0" w:firstLine="0"/>
              <w:spacing w:line="240" w:lineRule="atLeast"/>
            </w:pPr>
          </w:p>
        </w:tc>
        <w:tc>
          <w:tcPr>
            <w:tcW w:w="748" w:type="dxa"/>
          </w:tcPr>
          <w:p w:rsidR="0018722C">
            <w:pPr>
              <w:topLinePunct/>
              <w:ind w:leftChars="0" w:left="0" w:rightChars="0" w:right="0" w:firstLineChars="0" w:firstLine="0"/>
              <w:spacing w:line="240" w:lineRule="atLeast"/>
            </w:pPr>
          </w:p>
        </w:tc>
        <w:tc>
          <w:tcPr>
            <w:tcW w:w="748" w:type="dxa"/>
          </w:tcPr>
          <w:p w:rsidR="0018722C">
            <w:pPr>
              <w:topLinePunct/>
              <w:ind w:leftChars="0" w:left="0" w:rightChars="0" w:right="0" w:firstLineChars="0" w:firstLine="0"/>
              <w:spacing w:line="240" w:lineRule="atLeast"/>
            </w:pPr>
          </w:p>
        </w:tc>
        <w:tc>
          <w:tcPr>
            <w:tcW w:w="751" w:type="dxa"/>
          </w:tcPr>
          <w:p w:rsidR="0018722C">
            <w:pPr>
              <w:topLinePunct/>
              <w:ind w:leftChars="0" w:left="0" w:rightChars="0" w:right="0" w:firstLineChars="0" w:firstLine="0"/>
              <w:spacing w:line="240" w:lineRule="atLeast"/>
            </w:pPr>
          </w:p>
        </w:tc>
      </w:tr>
      <w:tr>
        <w:trPr>
          <w:trHeight w:val="520" w:hRule="atLeast"/>
        </w:trPr>
        <w:tc>
          <w:tcPr>
            <w:tcW w:w="1694" w:type="dxa"/>
          </w:tcPr>
          <w:p w:rsidR="0018722C">
            <w:pPr>
              <w:topLinePunct/>
              <w:ind w:leftChars="0" w:left="0" w:rightChars="0" w:right="0" w:firstLineChars="0" w:firstLine="0"/>
              <w:spacing w:line="240" w:lineRule="atLeast"/>
            </w:pPr>
            <w:r>
              <w:rPr>
                <w:rFonts w:ascii="宋体"/>
              </w:rPr>
              <w:t>10%AP</w:t>
            </w:r>
          </w:p>
        </w:tc>
        <w:tc>
          <w:tcPr>
            <w:tcW w:w="854" w:type="dxa"/>
          </w:tcPr>
          <w:p w:rsidR="0018722C">
            <w:pPr>
              <w:topLinePunct/>
              <w:ind w:leftChars="0" w:left="0" w:rightChars="0" w:right="0" w:firstLineChars="0" w:firstLine="0"/>
              <w:spacing w:line="240" w:lineRule="atLeast"/>
            </w:pPr>
          </w:p>
        </w:tc>
        <w:tc>
          <w:tcPr>
            <w:tcW w:w="744" w:type="dxa"/>
          </w:tcPr>
          <w:p w:rsidR="0018722C">
            <w:pPr>
              <w:topLinePunct/>
              <w:ind w:leftChars="0" w:left="0" w:rightChars="0" w:right="0" w:firstLineChars="0" w:firstLine="0"/>
              <w:spacing w:line="240" w:lineRule="atLeast"/>
            </w:pPr>
            <w:r>
              <w:rPr>
                <w:rFonts w:ascii="宋体"/>
              </w:rPr>
              <w:t>0.01</w:t>
            </w:r>
          </w:p>
        </w:tc>
        <w:tc>
          <w:tcPr>
            <w:tcW w:w="747" w:type="dxa"/>
          </w:tcPr>
          <w:p w:rsidR="0018722C">
            <w:pPr>
              <w:topLinePunct/>
              <w:ind w:leftChars="0" w:left="0" w:rightChars="0" w:right="0" w:firstLineChars="0" w:firstLine="0"/>
              <w:spacing w:line="240" w:lineRule="atLeast"/>
            </w:pPr>
            <w:r>
              <w:rPr>
                <w:rFonts w:ascii="宋体"/>
              </w:rPr>
              <w:t>0.02</w:t>
            </w:r>
          </w:p>
        </w:tc>
        <w:tc>
          <w:tcPr>
            <w:tcW w:w="748" w:type="dxa"/>
          </w:tcPr>
          <w:p w:rsidR="0018722C">
            <w:pPr>
              <w:topLinePunct/>
              <w:ind w:leftChars="0" w:left="0" w:rightChars="0" w:right="0" w:firstLineChars="0" w:firstLine="0"/>
              <w:spacing w:line="240" w:lineRule="atLeast"/>
            </w:pPr>
            <w:r>
              <w:rPr>
                <w:rFonts w:ascii="宋体"/>
              </w:rPr>
              <w:t>0.03</w:t>
            </w:r>
          </w:p>
        </w:tc>
        <w:tc>
          <w:tcPr>
            <w:tcW w:w="748" w:type="dxa"/>
          </w:tcPr>
          <w:p w:rsidR="0018722C">
            <w:pPr>
              <w:topLinePunct/>
              <w:ind w:leftChars="0" w:left="0" w:rightChars="0" w:right="0" w:firstLineChars="0" w:firstLine="0"/>
              <w:spacing w:line="240" w:lineRule="atLeast"/>
            </w:pPr>
            <w:r>
              <w:rPr>
                <w:rFonts w:ascii="宋体"/>
              </w:rPr>
              <w:t>0.04</w:t>
            </w:r>
          </w:p>
        </w:tc>
        <w:tc>
          <w:tcPr>
            <w:tcW w:w="748" w:type="dxa"/>
          </w:tcPr>
          <w:p w:rsidR="0018722C">
            <w:pPr>
              <w:topLinePunct/>
              <w:ind w:leftChars="0" w:left="0" w:rightChars="0" w:right="0" w:firstLineChars="0" w:firstLine="0"/>
              <w:spacing w:line="240" w:lineRule="atLeast"/>
            </w:pPr>
            <w:r>
              <w:rPr>
                <w:rFonts w:ascii="宋体"/>
              </w:rPr>
              <w:t>0.05</w:t>
            </w:r>
          </w:p>
        </w:tc>
        <w:tc>
          <w:tcPr>
            <w:tcW w:w="748" w:type="dxa"/>
          </w:tcPr>
          <w:p w:rsidR="0018722C">
            <w:pPr>
              <w:topLinePunct/>
              <w:ind w:leftChars="0" w:left="0" w:rightChars="0" w:right="0" w:firstLineChars="0" w:firstLine="0"/>
              <w:spacing w:line="240" w:lineRule="atLeast"/>
            </w:pPr>
            <w:r>
              <w:rPr>
                <w:rFonts w:ascii="宋体"/>
              </w:rPr>
              <w:t>0.06</w:t>
            </w:r>
          </w:p>
        </w:tc>
        <w:tc>
          <w:tcPr>
            <w:tcW w:w="748" w:type="dxa"/>
          </w:tcPr>
          <w:p w:rsidR="0018722C">
            <w:pPr>
              <w:topLinePunct/>
              <w:ind w:leftChars="0" w:left="0" w:rightChars="0" w:right="0" w:firstLineChars="0" w:firstLine="0"/>
              <w:spacing w:line="240" w:lineRule="atLeast"/>
            </w:pPr>
            <w:r>
              <w:rPr>
                <w:rFonts w:ascii="宋体"/>
              </w:rPr>
              <w:t>0.08</w:t>
            </w:r>
          </w:p>
        </w:tc>
        <w:tc>
          <w:tcPr>
            <w:tcW w:w="751" w:type="dxa"/>
          </w:tcPr>
          <w:p w:rsidR="0018722C">
            <w:pPr>
              <w:topLinePunct/>
              <w:ind w:leftChars="0" w:left="0" w:rightChars="0" w:right="0" w:firstLineChars="0" w:firstLine="0"/>
              <w:spacing w:line="240" w:lineRule="atLeast"/>
            </w:pPr>
            <w:r>
              <w:rPr>
                <w:rFonts w:ascii="宋体"/>
              </w:rPr>
              <w:t>0.10</w:t>
            </w:r>
          </w:p>
        </w:tc>
      </w:tr>
      <w:tr>
        <w:trPr>
          <w:trHeight w:val="520" w:hRule="atLeast"/>
        </w:trPr>
        <w:tc>
          <w:tcPr>
            <w:tcW w:w="1694" w:type="dxa"/>
          </w:tcPr>
          <w:p w:rsidR="0018722C">
            <w:pPr>
              <w:topLinePunct/>
              <w:ind w:leftChars="0" w:left="0" w:rightChars="0" w:right="0" w:firstLineChars="0" w:firstLine="0"/>
              <w:spacing w:line="240" w:lineRule="atLeast"/>
            </w:pPr>
            <w:r>
              <w:rPr>
                <w:rFonts w:ascii="宋体"/>
              </w:rPr>
              <w:t>10%SDS</w:t>
            </w:r>
          </w:p>
        </w:tc>
        <w:tc>
          <w:tcPr>
            <w:tcW w:w="854" w:type="dxa"/>
          </w:tcPr>
          <w:p w:rsidR="0018722C">
            <w:pPr>
              <w:topLinePunct/>
              <w:ind w:leftChars="0" w:left="0" w:rightChars="0" w:right="0" w:firstLineChars="0" w:firstLine="0"/>
              <w:spacing w:line="240" w:lineRule="atLeast"/>
            </w:pPr>
          </w:p>
        </w:tc>
        <w:tc>
          <w:tcPr>
            <w:tcW w:w="744" w:type="dxa"/>
          </w:tcPr>
          <w:p w:rsidR="0018722C">
            <w:pPr>
              <w:topLinePunct/>
              <w:ind w:leftChars="0" w:left="0" w:rightChars="0" w:right="0" w:firstLineChars="0" w:firstLine="0"/>
              <w:spacing w:line="240" w:lineRule="atLeast"/>
            </w:pPr>
            <w:r>
              <w:rPr>
                <w:rFonts w:ascii="宋体"/>
              </w:rPr>
              <w:t>0.01</w:t>
            </w:r>
          </w:p>
        </w:tc>
        <w:tc>
          <w:tcPr>
            <w:tcW w:w="747" w:type="dxa"/>
          </w:tcPr>
          <w:p w:rsidR="0018722C">
            <w:pPr>
              <w:topLinePunct/>
              <w:ind w:leftChars="0" w:left="0" w:rightChars="0" w:right="0" w:firstLineChars="0" w:firstLine="0"/>
              <w:spacing w:line="240" w:lineRule="atLeast"/>
            </w:pPr>
            <w:r>
              <w:rPr>
                <w:rFonts w:ascii="宋体"/>
              </w:rPr>
              <w:t>0.02</w:t>
            </w:r>
          </w:p>
        </w:tc>
        <w:tc>
          <w:tcPr>
            <w:tcW w:w="748" w:type="dxa"/>
          </w:tcPr>
          <w:p w:rsidR="0018722C">
            <w:pPr>
              <w:topLinePunct/>
              <w:ind w:leftChars="0" w:left="0" w:rightChars="0" w:right="0" w:firstLineChars="0" w:firstLine="0"/>
              <w:spacing w:line="240" w:lineRule="atLeast"/>
            </w:pPr>
            <w:r>
              <w:rPr>
                <w:rFonts w:ascii="宋体"/>
              </w:rPr>
              <w:t>0.03</w:t>
            </w:r>
          </w:p>
        </w:tc>
        <w:tc>
          <w:tcPr>
            <w:tcW w:w="748" w:type="dxa"/>
          </w:tcPr>
          <w:p w:rsidR="0018722C">
            <w:pPr>
              <w:topLinePunct/>
              <w:ind w:leftChars="0" w:left="0" w:rightChars="0" w:right="0" w:firstLineChars="0" w:firstLine="0"/>
              <w:spacing w:line="240" w:lineRule="atLeast"/>
            </w:pPr>
            <w:r>
              <w:rPr>
                <w:rFonts w:ascii="宋体"/>
              </w:rPr>
              <w:t>0.04</w:t>
            </w:r>
          </w:p>
        </w:tc>
        <w:tc>
          <w:tcPr>
            <w:tcW w:w="748" w:type="dxa"/>
          </w:tcPr>
          <w:p w:rsidR="0018722C">
            <w:pPr>
              <w:topLinePunct/>
              <w:ind w:leftChars="0" w:left="0" w:rightChars="0" w:right="0" w:firstLineChars="0" w:firstLine="0"/>
              <w:spacing w:line="240" w:lineRule="atLeast"/>
            </w:pPr>
            <w:r>
              <w:rPr>
                <w:rFonts w:ascii="宋体"/>
              </w:rPr>
              <w:t>0.05</w:t>
            </w:r>
          </w:p>
        </w:tc>
        <w:tc>
          <w:tcPr>
            <w:tcW w:w="748" w:type="dxa"/>
          </w:tcPr>
          <w:p w:rsidR="0018722C">
            <w:pPr>
              <w:topLinePunct/>
              <w:ind w:leftChars="0" w:left="0" w:rightChars="0" w:right="0" w:firstLineChars="0" w:firstLine="0"/>
              <w:spacing w:line="240" w:lineRule="atLeast"/>
            </w:pPr>
            <w:r>
              <w:rPr>
                <w:rFonts w:ascii="宋体"/>
              </w:rPr>
              <w:t>0.06</w:t>
            </w:r>
          </w:p>
        </w:tc>
        <w:tc>
          <w:tcPr>
            <w:tcW w:w="748" w:type="dxa"/>
          </w:tcPr>
          <w:p w:rsidR="0018722C">
            <w:pPr>
              <w:topLinePunct/>
              <w:ind w:leftChars="0" w:left="0" w:rightChars="0" w:right="0" w:firstLineChars="0" w:firstLine="0"/>
              <w:spacing w:line="240" w:lineRule="atLeast"/>
            </w:pPr>
            <w:r>
              <w:rPr>
                <w:rFonts w:ascii="宋体"/>
              </w:rPr>
              <w:t>0.08</w:t>
            </w:r>
          </w:p>
        </w:tc>
        <w:tc>
          <w:tcPr>
            <w:tcW w:w="751" w:type="dxa"/>
          </w:tcPr>
          <w:p w:rsidR="0018722C">
            <w:pPr>
              <w:topLinePunct/>
              <w:ind w:leftChars="0" w:left="0" w:rightChars="0" w:right="0" w:firstLineChars="0" w:firstLine="0"/>
              <w:spacing w:line="240" w:lineRule="atLeast"/>
            </w:pPr>
            <w:r>
              <w:rPr>
                <w:rFonts w:ascii="宋体"/>
              </w:rPr>
              <w:t>0.10</w:t>
            </w:r>
          </w:p>
        </w:tc>
      </w:tr>
      <w:tr>
        <w:trPr>
          <w:trHeight w:val="420" w:hRule="atLeast"/>
        </w:trPr>
        <w:tc>
          <w:tcPr>
            <w:tcW w:w="1694" w:type="dxa"/>
            <w:tcBorders>
              <w:bottom w:val="single" w:sz="12" w:space="0" w:color="000000"/>
            </w:tcBorders>
          </w:tcPr>
          <w:p w:rsidR="0018722C">
            <w:pPr>
              <w:topLinePunct/>
              <w:ind w:leftChars="0" w:left="0" w:rightChars="0" w:right="0" w:firstLineChars="0" w:firstLine="0"/>
              <w:spacing w:line="240" w:lineRule="atLeast"/>
            </w:pPr>
            <w:r>
              <w:rPr>
                <w:rFonts w:ascii="宋体"/>
              </w:rPr>
              <w:t>TEMED</w:t>
            </w:r>
          </w:p>
        </w:tc>
        <w:tc>
          <w:tcPr>
            <w:tcW w:w="854" w:type="dxa"/>
            <w:tcBorders>
              <w:bottom w:val="single" w:sz="12" w:space="0" w:color="000000"/>
            </w:tcBorders>
          </w:tcPr>
          <w:p w:rsidR="0018722C">
            <w:pPr>
              <w:topLinePunct/>
              <w:ind w:leftChars="0" w:left="0" w:rightChars="0" w:right="0" w:firstLineChars="0" w:firstLine="0"/>
              <w:spacing w:line="240" w:lineRule="atLeast"/>
            </w:pPr>
          </w:p>
        </w:tc>
        <w:tc>
          <w:tcPr>
            <w:tcW w:w="744" w:type="dxa"/>
            <w:tcBorders>
              <w:bottom w:val="single" w:sz="12" w:space="0" w:color="000000"/>
            </w:tcBorders>
          </w:tcPr>
          <w:p w:rsidR="0018722C">
            <w:pPr>
              <w:topLinePunct/>
              <w:ind w:leftChars="0" w:left="0" w:rightChars="0" w:right="0" w:firstLineChars="0" w:firstLine="0"/>
              <w:spacing w:line="240" w:lineRule="atLeast"/>
            </w:pPr>
            <w:r>
              <w:rPr>
                <w:rFonts w:ascii="宋体"/>
              </w:rPr>
              <w:t>0.001</w:t>
            </w:r>
          </w:p>
        </w:tc>
        <w:tc>
          <w:tcPr>
            <w:tcW w:w="747" w:type="dxa"/>
            <w:tcBorders>
              <w:bottom w:val="single" w:sz="12" w:space="0" w:color="000000"/>
            </w:tcBorders>
          </w:tcPr>
          <w:p w:rsidR="0018722C">
            <w:pPr>
              <w:topLinePunct/>
              <w:ind w:leftChars="0" w:left="0" w:rightChars="0" w:right="0" w:firstLineChars="0" w:firstLine="0"/>
              <w:spacing w:line="240" w:lineRule="atLeast"/>
            </w:pPr>
            <w:r>
              <w:rPr>
                <w:rFonts w:ascii="宋体"/>
              </w:rPr>
              <w:t>0.002</w:t>
            </w:r>
          </w:p>
        </w:tc>
        <w:tc>
          <w:tcPr>
            <w:tcW w:w="748" w:type="dxa"/>
            <w:tcBorders>
              <w:bottom w:val="single" w:sz="12" w:space="0" w:color="000000"/>
            </w:tcBorders>
          </w:tcPr>
          <w:p w:rsidR="0018722C">
            <w:pPr>
              <w:topLinePunct/>
              <w:ind w:leftChars="0" w:left="0" w:rightChars="0" w:right="0" w:firstLineChars="0" w:firstLine="0"/>
              <w:spacing w:line="240" w:lineRule="atLeast"/>
            </w:pPr>
            <w:r>
              <w:rPr>
                <w:rFonts w:ascii="宋体"/>
              </w:rPr>
              <w:t>0.003</w:t>
            </w:r>
          </w:p>
        </w:tc>
        <w:tc>
          <w:tcPr>
            <w:tcW w:w="748" w:type="dxa"/>
            <w:tcBorders>
              <w:bottom w:val="single" w:sz="12" w:space="0" w:color="000000"/>
            </w:tcBorders>
          </w:tcPr>
          <w:p w:rsidR="0018722C">
            <w:pPr>
              <w:topLinePunct/>
              <w:ind w:leftChars="0" w:left="0" w:rightChars="0" w:right="0" w:firstLineChars="0" w:firstLine="0"/>
              <w:spacing w:line="240" w:lineRule="atLeast"/>
            </w:pPr>
            <w:r>
              <w:rPr>
                <w:rFonts w:ascii="宋体"/>
              </w:rPr>
              <w:t>0.004</w:t>
            </w:r>
          </w:p>
        </w:tc>
        <w:tc>
          <w:tcPr>
            <w:tcW w:w="748" w:type="dxa"/>
            <w:tcBorders>
              <w:bottom w:val="single" w:sz="12" w:space="0" w:color="000000"/>
            </w:tcBorders>
          </w:tcPr>
          <w:p w:rsidR="0018722C">
            <w:pPr>
              <w:topLinePunct/>
              <w:ind w:leftChars="0" w:left="0" w:rightChars="0" w:right="0" w:firstLineChars="0" w:firstLine="0"/>
              <w:spacing w:line="240" w:lineRule="atLeast"/>
            </w:pPr>
            <w:r>
              <w:rPr>
                <w:rFonts w:ascii="宋体"/>
              </w:rPr>
              <w:t>0.005</w:t>
            </w:r>
          </w:p>
        </w:tc>
        <w:tc>
          <w:tcPr>
            <w:tcW w:w="748" w:type="dxa"/>
            <w:tcBorders>
              <w:bottom w:val="single" w:sz="12" w:space="0" w:color="000000"/>
            </w:tcBorders>
          </w:tcPr>
          <w:p w:rsidR="0018722C">
            <w:pPr>
              <w:topLinePunct/>
              <w:ind w:leftChars="0" w:left="0" w:rightChars="0" w:right="0" w:firstLineChars="0" w:firstLine="0"/>
              <w:spacing w:line="240" w:lineRule="atLeast"/>
            </w:pPr>
            <w:r>
              <w:rPr>
                <w:rFonts w:ascii="宋体"/>
              </w:rPr>
              <w:t>0.006</w:t>
            </w:r>
          </w:p>
        </w:tc>
        <w:tc>
          <w:tcPr>
            <w:tcW w:w="748" w:type="dxa"/>
            <w:tcBorders>
              <w:bottom w:val="single" w:sz="12" w:space="0" w:color="000000"/>
            </w:tcBorders>
          </w:tcPr>
          <w:p w:rsidR="0018722C">
            <w:pPr>
              <w:topLinePunct/>
              <w:ind w:leftChars="0" w:left="0" w:rightChars="0" w:right="0" w:firstLineChars="0" w:firstLine="0"/>
              <w:spacing w:line="240" w:lineRule="atLeast"/>
            </w:pPr>
            <w:r>
              <w:rPr>
                <w:rFonts w:ascii="宋体"/>
              </w:rPr>
              <w:t>0.008</w:t>
            </w:r>
          </w:p>
        </w:tc>
        <w:tc>
          <w:tcPr>
            <w:tcW w:w="751" w:type="dxa"/>
            <w:tcBorders>
              <w:bottom w:val="single" w:sz="12" w:space="0" w:color="000000"/>
            </w:tcBorders>
          </w:tcPr>
          <w:p w:rsidR="0018722C">
            <w:pPr>
              <w:topLinePunct/>
              <w:ind w:leftChars="0" w:left="0" w:rightChars="0" w:right="0" w:firstLineChars="0" w:firstLine="0"/>
              <w:spacing w:line="240" w:lineRule="atLeast"/>
            </w:pPr>
            <w:r>
              <w:rPr>
                <w:rFonts w:ascii="宋体"/>
              </w:rPr>
              <w:t>0.010</w:t>
            </w:r>
          </w:p>
        </w:tc>
      </w:tr>
    </w:tbl>
    <w:p w:rsidR="0018722C">
      <w:pPr>
        <w:pStyle w:val="affa"/>
      </w:pPr>
    </w:p>
    <w:p w:rsidR="0018722C">
      <w:pPr>
        <w:pStyle w:val="Heading2"/>
        <w:topLinePunct/>
        <w:ind w:left="171" w:hangingChars="171" w:hanging="171"/>
      </w:pPr>
      <w:r>
        <w:t>（</w:t>
      </w:r>
      <w:r>
        <w:t>2</w:t>
      </w:r>
      <w:r w:rsidP="AA7D325B">
        <w:t>)</w:t>
      </w:r>
      <w:r>
        <w:t>上样：根据之前测定的两组组织蛋白的蛋白浓度，确保每个加样孔中</w:t>
      </w:r>
      <w:r>
        <w:t>蛋白的质量约为</w:t>
      </w:r>
      <w:r>
        <w:t>40μg，</w:t>
      </w:r>
      <w:r>
        <w:t>加入</w:t>
      </w:r>
      <w:r>
        <w:t>SDS</w:t>
      </w:r>
      <w:r/>
      <w:r w:rsidR="001852F3">
        <w:t xml:space="preserve">蛋白上样缓冲液，接着加入蛋白裂解混</w:t>
      </w:r>
      <w:r>
        <w:t>合液确保上样总体积为</w:t>
      </w:r>
      <w:r>
        <w:t>15μL，用微量移液器充分混匀。上样前将本次实</w:t>
      </w:r>
      <w:r>
        <w:t>验用的蛋白样品放置在</w:t>
      </w:r>
      <w:r>
        <w:t>95℃</w:t>
      </w:r>
      <w:r>
        <w:t>水浴锅中水浴</w:t>
      </w:r>
      <w:r>
        <w:t>5min。冰上放置至冷却，室温</w:t>
      </w:r>
    </w:p>
    <w:p w:rsidR="0018722C">
      <w:pPr>
        <w:topLinePunct/>
      </w:pPr>
      <w:r>
        <w:t>5000rpm</w:t>
      </w:r>
      <w:r w:rsidR="001852F3">
        <w:t xml:space="preserve">离心</w:t>
      </w:r>
      <w:r w:rsidR="001852F3">
        <w:t xml:space="preserve">5</w:t>
      </w:r>
      <w:r w:rsidR="001852F3">
        <w:t xml:space="preserve">分钟。接着将蛋白样品和蛋白</w:t>
      </w:r>
      <w:r w:rsidR="001852F3">
        <w:t xml:space="preserve">Marker</w:t>
      </w:r>
      <w:r w:rsidR="001852F3">
        <w:t xml:space="preserve">加入上样孔内。</w:t>
      </w:r>
    </w:p>
    <w:p w:rsidR="0018722C">
      <w:pPr>
        <w:pStyle w:val="Heading2"/>
        <w:topLinePunct/>
        <w:ind w:left="171" w:hangingChars="171" w:hanging="171"/>
      </w:pPr>
      <w:r>
        <w:t>（</w:t>
      </w:r>
      <w:r>
        <w:t>3</w:t>
      </w:r>
      <w:r>
        <w:t>）</w:t>
      </w:r>
      <w:r>
        <w:t>电泳：将电压调为</w:t>
      </w:r>
      <w:r>
        <w:t>80V，观察当含有溴酚兰的条带在浓缩胶与分离胶</w:t>
      </w:r>
      <w:r>
        <w:t>交界处形成一条细线时，调节电压变为</w:t>
      </w:r>
      <w:r>
        <w:t>120V，直至含有溴酚兰的条带位于分离胶最末端时，关闭电源。</w:t>
      </w:r>
    </w:p>
    <w:p w:rsidR="0018722C">
      <w:pPr>
        <w:pStyle w:val="Heading3"/>
        <w:topLinePunct/>
        <w:ind w:left="200" w:hangingChars="200" w:hanging="200"/>
      </w:pPr>
      <w:r>
        <w:rPr>
          <w:b/>
        </w:rPr>
        <w:t>3.4</w:t>
      </w:r>
      <w:r>
        <w:t xml:space="preserve"> </w:t>
      </w:r>
      <w:r>
        <w:t>蛋白电转膜</w:t>
      </w:r>
    </w:p>
    <w:p w:rsidR="0018722C">
      <w:pPr>
        <w:topLinePunct/>
      </w:pPr>
      <w:r>
        <w:t>根据标准条带纸估计</w:t>
      </w:r>
      <w:r>
        <w:t>GAPDH</w:t>
      </w:r>
      <w:r/>
      <w:r w:rsidR="001852F3">
        <w:t xml:space="preserve">和目的蛋白的位置，制做出合适大小的</w:t>
      </w:r>
      <w:r>
        <w:t>PVDF</w:t>
      </w:r>
      <w:r>
        <w:t>膜，并且标记蛋白面。将</w:t>
      </w:r>
      <w:r>
        <w:t>PVDF</w:t>
      </w:r>
      <w:r/>
      <w:r w:rsidR="001852F3">
        <w:t xml:space="preserve">膜放置于甲醇溶液中浸泡</w:t>
      </w:r>
      <w:r>
        <w:t>5min，接着置于</w:t>
      </w:r>
      <w:r>
        <w:t>适量转膜液中再次浸润</w:t>
      </w:r>
      <w:r>
        <w:t>10min。最后将转膜夹放开，按照白色转膜夹面-</w:t>
      </w:r>
      <w:r>
        <w:t>海</w:t>
      </w:r>
    </w:p>
    <w:p w:rsidR="0018722C">
      <w:pPr>
        <w:topLinePunct/>
      </w:pPr>
      <w:r>
        <w:rPr>
          <w:rFonts w:cstheme="minorBidi" w:hAnsiTheme="minorHAnsi" w:eastAsiaTheme="minorHAnsi" w:asciiTheme="minorHAnsi"/>
        </w:rPr>
        <w:t>16</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topLinePunct/>
      </w:pPr>
      <w:r>
        <w:t>绵垫-滤纸-分离胶-PVDF</w:t>
      </w:r>
      <w:r/>
      <w:r w:rsidR="001852F3">
        <w:t xml:space="preserve">膜-滤纸-海绵垫、黑色转膜夹面制备“三明治”</w:t>
      </w:r>
      <w:r w:rsidR="001852F3">
        <w:t xml:space="preserve">转膜夹。制备过程中不宜出现气泡，接着将“三明治”夹参照“白对白，</w:t>
      </w:r>
      <w:r w:rsidR="001852F3">
        <w:t xml:space="preserve">黑对黑”的原则放置于转膜槽中，并在转膜槽内部两边和“三明治”夹外面放置适量小冰袋，随后将转膜槽放置于装有适量冰沫的冰盒中。调整电</w:t>
      </w:r>
      <w:r>
        <w:t>流为</w:t>
      </w:r>
      <w:r>
        <w:t>160mA，</w:t>
      </w:r>
      <w:r>
        <w:t>转膜时间调为</w:t>
      </w:r>
      <w:r>
        <w:t>120min</w:t>
      </w:r>
      <w:r>
        <w:t>。待转膜结束后，可以在</w:t>
      </w:r>
      <w:r>
        <w:t>PVDF</w:t>
      </w:r>
      <w:r/>
      <w:r w:rsidR="001852F3">
        <w:t xml:space="preserve">膜上清</w:t>
      </w:r>
      <w:r>
        <w:t>晰的看见转移过来的蛋白</w:t>
      </w:r>
      <w:r>
        <w:t>Marker</w:t>
      </w:r>
      <w:r>
        <w:t>。然后将</w:t>
      </w:r>
      <w:r>
        <w:t>PVDF</w:t>
      </w:r>
      <w:r/>
      <w:r w:rsidR="001852F3">
        <w:t xml:space="preserve">膜放入装有</w:t>
      </w:r>
      <w:r>
        <w:t>PBST</w:t>
      </w:r>
      <w:r/>
      <w:r w:rsidR="001852F3">
        <w:t xml:space="preserve">的塑料盒</w:t>
      </w:r>
      <w:r>
        <w:t>中，放在摇床上摇晃</w:t>
      </w:r>
      <w:r>
        <w:t>10min，</w:t>
      </w:r>
      <w:r>
        <w:t>重复</w:t>
      </w:r>
      <w:r>
        <w:t>3</w:t>
      </w:r>
      <w:r/>
      <w:r w:rsidR="001852F3">
        <w:t xml:space="preserve">遍。</w:t>
      </w:r>
    </w:p>
    <w:p w:rsidR="0018722C">
      <w:pPr>
        <w:pStyle w:val="Heading3"/>
        <w:topLinePunct/>
        <w:ind w:left="200" w:hangingChars="200" w:hanging="200"/>
      </w:pPr>
      <w:r>
        <w:t>3.5</w:t>
      </w:r>
      <w:r>
        <w:t xml:space="preserve"> </w:t>
      </w:r>
      <w:r>
        <w:t>封闭</w:t>
      </w:r>
      <w:r>
        <w:t>：将完成转膜后的</w:t>
      </w:r>
      <w:r/>
      <w:r>
        <w:t>PVDF</w:t>
      </w:r>
      <w:r/>
      <w:r>
        <w:t>膜蛋白面朝下放在准备好了的</w:t>
      </w:r>
      <w:r/>
      <w:r>
        <w:t>50mL</w:t>
      </w:r>
      <w:r w:rsidRPr="00000000">
        <w:tab/>
        <w:t>5%蛋</w:t>
      </w:r>
    </w:p>
    <w:p w:rsidR="0018722C">
      <w:pPr>
        <w:topLinePunct/>
      </w:pPr>
      <w:r>
        <w:t>白封闭液中室温封闭</w:t>
      </w:r>
      <w:r w:rsidR="001852F3">
        <w:t xml:space="preserve">3h。封闭结束后，取出</w:t>
      </w:r>
      <w:r w:rsidR="001852F3">
        <w:t xml:space="preserve">PVDF</w:t>
      </w:r>
      <w:r w:rsidR="001852F3">
        <w:t xml:space="preserve">膜，将其放入装有</w:t>
      </w:r>
      <w:r w:rsidR="001852F3">
        <w:t xml:space="preserve">PBST</w:t>
      </w:r>
    </w:p>
    <w:p w:rsidR="0018722C">
      <w:pPr>
        <w:topLinePunct/>
      </w:pPr>
      <w:r>
        <w:t>的塑料盒，在摇床上缓慢摇晃</w:t>
      </w:r>
      <w:r w:rsidR="001852F3">
        <w:t xml:space="preserve">10min，重复</w:t>
      </w:r>
      <w:r w:rsidR="001852F3">
        <w:t xml:space="preserve">3</w:t>
      </w:r>
      <w:r w:rsidR="001852F3">
        <w:t xml:space="preserve">遍。</w:t>
      </w:r>
    </w:p>
    <w:p w:rsidR="0018722C">
      <w:pPr>
        <w:pStyle w:val="Heading3"/>
        <w:topLinePunct/>
        <w:ind w:left="200" w:hangingChars="200" w:hanging="200"/>
      </w:pPr>
      <w:r>
        <w:rPr>
          <w:b/>
        </w:rPr>
        <w:t>3.6</w:t>
      </w:r>
      <w:r>
        <w:t xml:space="preserve"> </w:t>
      </w:r>
      <w:r>
        <w:t>孵育一抗</w:t>
      </w:r>
    </w:p>
    <w:p w:rsidR="0018722C">
      <w:pPr>
        <w:topLinePunct/>
      </w:pPr>
      <w:r>
        <w:t>将用</w:t>
      </w:r>
      <w:r>
        <w:t>PBST</w:t>
      </w:r>
      <w:r/>
      <w:r w:rsidR="001852F3">
        <w:t xml:space="preserve">清洗过后的</w:t>
      </w:r>
      <w:r>
        <w:t>PVDF</w:t>
      </w:r>
      <w:r/>
      <w:r w:rsidR="001852F3">
        <w:t xml:space="preserve">膜的蛋白面朝下放入盛有</w:t>
      </w:r>
      <w:r>
        <w:t xml:space="preserve">COX-2,</w:t>
      </w:r>
      <w:r w:rsidR="001852F3">
        <w:t xml:space="preserve"> </w:t>
      </w:r>
      <w:r w:rsidR="001852F3">
        <w:t xml:space="preserve">EP</w:t>
      </w:r>
      <w:r>
        <w:t>1</w:t>
      </w:r>
      <w:r/>
      <w:r>
        <w:t>和</w:t>
      </w:r>
      <w:r>
        <w:t>GAPDH</w:t>
      </w:r>
      <w:r>
        <w:t>的孵育盒中，冰盒中</w:t>
      </w:r>
      <w:r>
        <w:t>4℃</w:t>
      </w:r>
      <w:r>
        <w:t>孵育过夜。回收一抗液，将孵育后的</w:t>
      </w:r>
      <w:r>
        <w:t>PVDF</w:t>
      </w:r>
      <w:r/>
      <w:r w:rsidR="001852F3">
        <w:t xml:space="preserve">膜放入</w:t>
      </w:r>
      <w:r>
        <w:t>盛有</w:t>
      </w:r>
      <w:r>
        <w:t>PBST</w:t>
      </w:r>
      <w:r/>
      <w:r w:rsidR="001852F3">
        <w:t xml:space="preserve">的槊料盒中，并在摇床上缓慢摇晃</w:t>
      </w:r>
      <w:r>
        <w:t>10min，</w:t>
      </w:r>
      <w:r>
        <w:t>重复</w:t>
      </w:r>
      <w:r>
        <w:t>3</w:t>
      </w:r>
      <w:r/>
      <w:r w:rsidR="001852F3">
        <w:t xml:space="preserve">遍。</w:t>
      </w:r>
    </w:p>
    <w:p w:rsidR="0018722C">
      <w:pPr>
        <w:pStyle w:val="Heading3"/>
        <w:topLinePunct/>
        <w:ind w:left="200" w:hangingChars="200" w:hanging="200"/>
      </w:pPr>
      <w:r>
        <w:rPr>
          <w:b/>
        </w:rPr>
        <w:t>3.7</w:t>
      </w:r>
      <w:r>
        <w:t xml:space="preserve"> </w:t>
      </w:r>
      <w:r>
        <w:t>孵育二抗</w:t>
      </w:r>
    </w:p>
    <w:p w:rsidR="0018722C">
      <w:pPr>
        <w:topLinePunct/>
      </w:pPr>
      <w:r>
        <w:t>将洗涤过后的</w:t>
      </w:r>
      <w:r>
        <w:t>PVDF</w:t>
      </w:r>
      <w:r/>
      <w:r w:rsidR="001852F3">
        <w:t xml:space="preserve">膜蛋白面向下的放入准备好的二抗液中，室温孵育</w:t>
      </w:r>
      <w:r>
        <w:t>2h。</w:t>
      </w:r>
      <w:r>
        <w:t>回收二抗液，接着将</w:t>
      </w:r>
      <w:r>
        <w:t>PVDF</w:t>
      </w:r>
      <w:r/>
      <w:r w:rsidR="001852F3">
        <w:t xml:space="preserve">膜加入盛有</w:t>
      </w:r>
      <w:r>
        <w:t>PBST</w:t>
      </w:r>
      <w:r/>
      <w:r w:rsidR="001852F3">
        <w:t xml:space="preserve">的塑料盒中，在摇床上缓慢摇</w:t>
      </w:r>
      <w:r>
        <w:rPr>
          <w:rFonts w:ascii="微软雅黑" w:eastAsia="微软雅黑" w:hint="eastAsia"/>
          <w:b/>
        </w:rPr>
        <w:t>晃</w:t>
      </w:r>
      <w:r>
        <w:rPr>
          <w:rFonts w:ascii="微软雅黑" w:eastAsia="微软雅黑" w:hint="eastAsia"/>
          <w:b/>
        </w:rPr>
        <w:t>10min</w:t>
      </w:r>
      <w:r>
        <w:rPr>
          <w:rFonts w:ascii="微软雅黑" w:eastAsia="微软雅黑" w:hint="eastAsia"/>
          <w:b/>
        </w:rPr>
        <w:t>，重复</w:t>
      </w:r>
      <w:r>
        <w:rPr>
          <w:rFonts w:ascii="微软雅黑" w:eastAsia="微软雅黑" w:hint="eastAsia"/>
          <w:b/>
        </w:rPr>
        <w:t>3</w:t>
      </w:r>
      <w:r w:rsidR="001852F3">
        <w:rPr>
          <w:rFonts w:ascii="微软雅黑" w:eastAsia="微软雅黑" w:hint="eastAsia"/>
          <w:b/>
        </w:rPr>
        <w:t xml:space="preserve">遍。</w:t>
      </w:r>
    </w:p>
    <w:p w:rsidR="0018722C">
      <w:pPr>
        <w:pStyle w:val="Heading3"/>
        <w:topLinePunct/>
        <w:ind w:left="200" w:hangingChars="200" w:hanging="200"/>
      </w:pPr>
      <w:r>
        <w:rPr>
          <w:b/>
        </w:rPr>
        <w:t>3.8</w:t>
      </w:r>
      <w:r>
        <w:t xml:space="preserve"> </w:t>
      </w:r>
      <w:r>
        <w:t>蛋白显影</w:t>
      </w:r>
    </w:p>
    <w:p w:rsidR="0018722C">
      <w:pPr>
        <w:topLinePunct/>
      </w:pPr>
      <w:r>
        <w:t>检测过程中使用</w:t>
      </w:r>
      <w:r>
        <w:t>ECL</w:t>
      </w:r>
      <w:r/>
      <w:r w:rsidR="001852F3">
        <w:t xml:space="preserve">显色试剂来检测蛋白。取</w:t>
      </w:r>
      <w:r>
        <w:t>ECL</w:t>
      </w:r>
      <w:r/>
      <w:r w:rsidR="001852F3">
        <w:t xml:space="preserve">显色试剂</w:t>
      </w:r>
      <w:r>
        <w:t>A</w:t>
      </w:r>
      <w:r/>
      <w:r w:rsidR="001852F3">
        <w:t xml:space="preserve">液、</w:t>
      </w:r>
      <w:r>
        <w:t>B</w:t>
      </w:r>
      <w:r/>
      <w:r w:rsidR="001852F3">
        <w:t xml:space="preserve">液各</w:t>
      </w:r>
    </w:p>
    <w:p w:rsidR="0018722C">
      <w:pPr>
        <w:topLinePunct/>
      </w:pPr>
      <w:r>
        <w:t>1mL</w:t>
      </w:r>
      <w:r/>
      <w:r w:rsidR="001852F3">
        <w:t xml:space="preserve">均匀混匀，将膜浸泡在混合液中，在仪器上选取适当的曝光时间来检测条带的灰度值。</w:t>
      </w:r>
    </w:p>
    <w:p w:rsidR="0018722C">
      <w:pPr>
        <w:pStyle w:val="Heading3"/>
        <w:topLinePunct/>
        <w:ind w:left="200" w:hangingChars="200" w:hanging="200"/>
      </w:pPr>
      <w:r>
        <w:rPr>
          <w:b/>
        </w:rPr>
        <w:t>3.9</w:t>
      </w:r>
      <w:r>
        <w:t xml:space="preserve"> </w:t>
      </w:r>
      <w:r>
        <w:t>结果分析</w:t>
      </w:r>
    </w:p>
    <w:p w:rsidR="0018722C">
      <w:pPr>
        <w:topLinePunct/>
      </w:pPr>
      <w:r>
        <w:t>用</w:t>
      </w:r>
      <w:r>
        <w:t>GAPDH</w:t>
      </w:r>
      <w:r/>
      <w:r w:rsidR="001852F3">
        <w:t xml:space="preserve">作为内参，比较</w:t>
      </w:r>
      <w:r>
        <w:t xml:space="preserve">COX-2,</w:t>
      </w:r>
      <w:r w:rsidR="001852F3">
        <w:t xml:space="preserve"> </w:t>
      </w:r>
      <w:r w:rsidR="001852F3">
        <w:t xml:space="preserve">EP</w:t>
      </w:r>
      <w:r>
        <w:t>1</w:t>
      </w:r>
      <w:r>
        <w:t>在高分化</w:t>
      </w:r>
      <w:r>
        <w:t>HCC</w:t>
      </w:r>
      <w:r/>
      <w:r w:rsidR="001852F3">
        <w:t xml:space="preserve">组和低分化</w:t>
      </w:r>
      <w:r>
        <w:t>HCC</w:t>
      </w:r>
      <w:r/>
      <w:r w:rsidR="001852F3">
        <w:t xml:space="preserve">组中蛋白的表达水平差异。</w:t>
      </w:r>
    </w:p>
    <w:p w:rsidR="0018722C">
      <w:pPr>
        <w:pStyle w:val="Heading2"/>
        <w:topLinePunct/>
        <w:ind w:left="171" w:hangingChars="171" w:hanging="171"/>
      </w:pPr>
      <w:bookmarkStart w:name="4 IHC检测癌组织及癌旁组织中COX-2，EP1蛋白的表达 " w:id="23"/>
      <w:bookmarkEnd w:id="23"/>
      <w:r>
        <w:rPr>
          <w:b/>
        </w:rPr>
        <w:t>4 </w:t>
      </w:r>
      <w:bookmarkStart w:name="4 IHC检测癌组织及癌旁组织中COX-2，EP1蛋白的表达 " w:id="24"/>
      <w:bookmarkEnd w:id="24"/>
      <w:r>
        <w:rPr>
          <w:b/>
        </w:rPr>
        <w:t>IHC</w:t>
      </w:r>
      <w:r w:rsidR="001852F3">
        <w:t xml:space="preserve">检测癌组织及癌旁组织中</w:t>
      </w:r>
      <w:r>
        <w:rPr>
          <w:b/>
        </w:rPr>
        <w:t>COX-2</w:t>
      </w:r>
      <w:r w:rsidP="AA7D325B">
        <w:t>，</w:t>
      </w:r>
      <w:r>
        <w:rPr>
          <w:b/>
        </w:rPr>
        <w:t>EP</w:t>
      </w:r>
      <w:r>
        <w:rPr>
          <w:b/>
        </w:rPr>
        <w:t>1</w:t>
      </w:r>
      <w:r>
        <w:t>蛋白的表达</w:t>
      </w:r>
    </w:p>
    <w:p w:rsidR="0018722C">
      <w:pPr>
        <w:topLinePunct/>
      </w:pPr>
      <w:r>
        <w:rPr>
          <w:rFonts w:cstheme="minorBidi" w:hAnsiTheme="minorHAnsi" w:eastAsiaTheme="minorHAnsi" w:asciiTheme="minorHAnsi"/>
        </w:rPr>
        <w:t>17</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topLinePunct/>
      </w:pPr>
      <w:r>
        <w:t>（</w:t>
      </w:r>
      <w:r>
        <w:t xml:space="preserve">1</w:t>
      </w:r>
      <w:r>
        <w:t>）</w:t>
      </w:r>
      <w:r>
        <w:t>HCC</w:t>
      </w:r>
      <w:r w:rsidR="001852F3">
        <w:t xml:space="preserve">组织切片在</w:t>
      </w:r>
      <w:r w:rsidR="001852F3">
        <w:t xml:space="preserve">70℃烤箱中烘片</w:t>
      </w:r>
      <w:r w:rsidR="001852F3">
        <w:t xml:space="preserve">2h，湿盒预温；</w:t>
      </w:r>
    </w:p>
    <w:p w:rsidR="0018722C">
      <w:pPr>
        <w:topLinePunct/>
      </w:pPr>
      <w:r>
        <w:t>（</w:t>
      </w:r>
      <w:r>
        <w:t>2</w:t>
      </w:r>
      <w:r>
        <w:t>）</w:t>
      </w:r>
      <w:r>
        <w:t>将烤好的</w:t>
      </w:r>
      <w:r>
        <w:t>HCC</w:t>
      </w:r>
      <w:r/>
      <w:r w:rsidR="001852F3">
        <w:t xml:space="preserve">组织切片常规放在二甲苯中脱蜡</w:t>
      </w:r>
      <w:r>
        <w:t>(</w:t>
      </w:r>
      <w:r>
        <w:t>10min×3</w:t>
      </w:r>
      <w:r>
        <w:t>)</w:t>
      </w:r>
      <w:r>
        <w:t>，然后放</w:t>
      </w:r>
      <w:r>
        <w:t>在</w:t>
      </w:r>
      <w:r>
        <w:t>100％，95％，85％</w:t>
      </w:r>
      <w:r>
        <w:t>梯度酒精中水化处理</w:t>
      </w:r>
      <w:r>
        <w:rPr>
          <w:spacing w:val="-3"/>
        </w:rPr>
        <w:t>（</w:t>
      </w:r>
      <w:r>
        <w:rPr>
          <w:spacing w:val="-3"/>
        </w:rPr>
        <w:t xml:space="preserve">各</w:t>
      </w:r>
      <w:r>
        <w:t>5min</w:t>
      </w:r>
      <w:r>
        <w:t>）</w:t>
      </w:r>
      <w:r>
        <w:t>；</w:t>
      </w:r>
    </w:p>
    <w:p w:rsidR="0018722C">
      <w:pPr>
        <w:topLinePunct/>
      </w:pPr>
      <w:r>
        <w:t>（</w:t>
      </w:r>
      <w:r>
        <w:t xml:space="preserve">3</w:t>
      </w:r>
      <w:r>
        <w:t>）</w:t>
      </w:r>
      <w:r>
        <w:t>为了消除组织切片中内源性过氧化物酶的活性，将切片放在</w:t>
      </w:r>
      <w:r w:rsidR="001852F3">
        <w:t xml:space="preserve">3%H</w:t>
      </w:r>
      <w:r>
        <w:t>2</w:t>
      </w:r>
      <w:r>
        <w:t>O</w:t>
      </w:r>
      <w:r>
        <w:t>2</w:t>
      </w:r>
    </w:p>
    <w:p w:rsidR="0018722C">
      <w:pPr>
        <w:topLinePunct/>
      </w:pPr>
      <w:r>
        <w:t>中室温孵育</w:t>
      </w:r>
      <w:r w:rsidR="001852F3">
        <w:t xml:space="preserve">15</w:t>
      </w:r>
      <w:r w:rsidR="001852F3">
        <w:t xml:space="preserve">分钟，随后</w:t>
      </w:r>
      <w:r w:rsidR="001852F3">
        <w:t xml:space="preserve">PBS</w:t>
      </w:r>
      <w:r w:rsidR="001852F3">
        <w:t xml:space="preserve">洗</w:t>
      </w:r>
      <w:r w:rsidR="001852F3">
        <w:t xml:space="preserve">2</w:t>
      </w:r>
      <w:r w:rsidR="001852F3">
        <w:t xml:space="preserve">次，每次</w:t>
      </w:r>
      <w:r w:rsidR="001852F3">
        <w:t xml:space="preserve">5min。</w:t>
      </w:r>
    </w:p>
    <w:p w:rsidR="0018722C">
      <w:pPr>
        <w:topLinePunct/>
      </w:pPr>
      <w:r>
        <w:t>（</w:t>
      </w:r>
      <w:r>
        <w:t xml:space="preserve">4</w:t>
      </w:r>
      <w:r>
        <w:t>）</w:t>
      </w:r>
      <w:r>
        <w:t>将</w:t>
      </w:r>
      <w:r w:rsidR="001852F3">
        <w:t xml:space="preserve">pH</w:t>
      </w:r>
      <w:r w:rsidR="001852F3">
        <w:t xml:space="preserve">为</w:t>
      </w:r>
      <w:r w:rsidR="001852F3">
        <w:t xml:space="preserve">6.0</w:t>
      </w:r>
      <w:r w:rsidR="001852F3">
        <w:t xml:space="preserve">的柠檬酸钠缓冲液用微波炉加热到</w:t>
      </w:r>
      <w:r w:rsidR="001852F3">
        <w:t xml:space="preserve">100℃，接着将组织</w:t>
      </w:r>
    </w:p>
    <w:p w:rsidR="0018722C">
      <w:pPr>
        <w:topLinePunct/>
      </w:pPr>
      <w:r>
        <w:t>切片放在缓冲液中修复</w:t>
      </w:r>
      <w:r>
        <w:t>20-30</w:t>
      </w:r>
      <w:r/>
      <w:r w:rsidR="001852F3">
        <w:t xml:space="preserve">分钟。将微波炉调至低火并保持在</w:t>
      </w:r>
      <w:r>
        <w:t>96℃左右，</w:t>
      </w:r>
      <w:r w:rsidR="001852F3">
        <w:t xml:space="preserve">自然冷却至室温，蒸馏冲洗，PBS</w:t>
      </w:r>
      <w:r/>
      <w:r w:rsidR="001852F3">
        <w:t xml:space="preserve">水洗</w:t>
      </w:r>
      <w:r>
        <w:t>5</w:t>
      </w:r>
      <w:r/>
      <w:r w:rsidR="001852F3">
        <w:t xml:space="preserve">分钟。</w:t>
      </w:r>
    </w:p>
    <w:p w:rsidR="0018722C">
      <w:pPr>
        <w:topLinePunct/>
      </w:pPr>
      <w:r>
        <w:t>（</w:t>
      </w:r>
      <w:r>
        <w:t>5</w:t>
      </w:r>
      <w:r>
        <w:t>）</w:t>
      </w:r>
      <w:r>
        <w:t>用</w:t>
      </w:r>
      <w:r>
        <w:t>PBS</w:t>
      </w:r>
      <w:r/>
      <w:r w:rsidR="001852F3">
        <w:t xml:space="preserve">稀释过的</w:t>
      </w:r>
      <w:r>
        <w:t>ft</w:t>
      </w:r>
      <w:r>
        <w:t>羊血清封闭修复过的组织切片，室温封闭约</w:t>
      </w:r>
      <w:r>
        <w:t>20</w:t>
      </w:r>
      <w:r/>
      <w:r w:rsidR="001852F3">
        <w:t xml:space="preserve">分钟。倒掉血清，不洗，随后用微量移液器吸取适宜比例用一抗稀释液稀释</w:t>
      </w:r>
      <w:r>
        <w:t>过的一抗，在</w:t>
      </w:r>
      <w:r>
        <w:t>37℃</w:t>
      </w:r>
      <w:r>
        <w:t>烤箱中孵育</w:t>
      </w:r>
      <w:r>
        <w:t>1-2</w:t>
      </w:r>
      <w:r/>
      <w:r w:rsidR="001852F3">
        <w:t xml:space="preserve">小时。</w:t>
      </w:r>
    </w:p>
    <w:p w:rsidR="0018722C">
      <w:pPr>
        <w:topLinePunct/>
      </w:pPr>
      <w:r>
        <w:t>（</w:t>
      </w:r>
      <w:r>
        <w:t xml:space="preserve">6</w:t>
      </w:r>
      <w:r>
        <w:t>）</w:t>
      </w:r>
      <w:r>
        <w:t>在</w:t>
      </w:r>
      <w:r w:rsidR="001852F3">
        <w:t xml:space="preserve">PBS</w:t>
      </w:r>
      <w:r w:rsidR="001852F3">
        <w:t xml:space="preserve">浸泡</w:t>
      </w:r>
      <w:r w:rsidR="001852F3">
        <w:t xml:space="preserve">5</w:t>
      </w:r>
      <w:r w:rsidR="001852F3">
        <w:t xml:space="preserve">分钟×3</w:t>
      </w:r>
      <w:r w:rsidR="001852F3">
        <w:t xml:space="preserve">次。</w:t>
      </w:r>
    </w:p>
    <w:p w:rsidR="0018722C">
      <w:pPr>
        <w:topLinePunct/>
      </w:pPr>
      <w:r>
        <w:t>（</w:t>
      </w:r>
      <w:r>
        <w:t>7</w:t>
      </w:r>
      <w:r>
        <w:t>）</w:t>
      </w:r>
      <w:r>
        <w:t>滴加经过</w:t>
      </w:r>
      <w:r>
        <w:t>PBS</w:t>
      </w:r>
      <w:r/>
      <w:r w:rsidR="001852F3">
        <w:t xml:space="preserve">稀释的经生物素标记的二抗</w:t>
      </w:r>
      <w:r>
        <w:t>（</w:t>
      </w:r>
      <w:r>
        <w:t>1%BSA</w:t>
      </w:r>
      <w:r>
        <w:t>）</w:t>
      </w:r>
      <w:r>
        <w:t>，在</w:t>
      </w:r>
      <w:r>
        <w:t>37℃恒温箱</w:t>
      </w:r>
      <w:r>
        <w:t>中孵育</w:t>
      </w:r>
      <w:r>
        <w:t>30</w:t>
      </w:r>
      <w:r/>
      <w:r w:rsidR="001852F3">
        <w:t xml:space="preserve">分钟</w:t>
      </w:r>
      <w:r>
        <w:t>，PBS</w:t>
      </w:r>
      <w:r/>
      <w:r w:rsidR="001852F3">
        <w:t xml:space="preserve">冲洗</w:t>
      </w:r>
      <w:r>
        <w:t>3</w:t>
      </w:r>
      <w:r/>
      <w:r w:rsidR="001852F3">
        <w:t xml:space="preserve">次。</w:t>
      </w:r>
    </w:p>
    <w:p w:rsidR="0018722C">
      <w:pPr>
        <w:topLinePunct/>
      </w:pPr>
      <w:r>
        <w:t xml:space="preserve">（</w:t>
      </w:r>
      <w:r>
        <w:t xml:space="preserve">8</w:t>
      </w:r>
      <w:r>
        <w:t xml:space="preserve">）</w:t>
      </w:r>
      <w:r>
        <w:t xml:space="preserve">显色剂显色：DAB</w:t>
      </w:r>
      <w:r w:rsidR="001852F3">
        <w:t xml:space="preserve">显色</w:t>
      </w:r>
      <w:r w:rsidR="001852F3">
        <w:t xml:space="preserve">3-5min</w:t>
      </w:r>
      <w:r>
        <w:t xml:space="preserve">（</w:t>
      </w:r>
      <w:r>
        <w:t xml:space="preserve">镜下观察到棕色 </w:t>
      </w:r>
      <w:r>
        <w:t xml:space="preserve">）</w:t>
      </w:r>
    </w:p>
    <w:p w:rsidR="0018722C">
      <w:pPr>
        <w:topLinePunct/>
      </w:pPr>
      <w:r>
        <w:t>（</w:t>
      </w:r>
      <w:r>
        <w:t xml:space="preserve">9</w:t>
      </w:r>
      <w:r>
        <w:t>）</w:t>
      </w:r>
      <w:r>
        <w:t>PBS</w:t>
      </w:r>
      <w:r w:rsidR="001852F3">
        <w:t xml:space="preserve">冲洗</w:t>
      </w:r>
      <w:r w:rsidR="001852F3">
        <w:t xml:space="preserve">2</w:t>
      </w:r>
      <w:r w:rsidR="001852F3">
        <w:t xml:space="preserve">次 。</w:t>
      </w:r>
    </w:p>
    <w:p w:rsidR="0018722C">
      <w:pPr>
        <w:topLinePunct/>
      </w:pPr>
      <w:r>
        <w:t>（</w:t>
      </w:r>
      <w:r>
        <w:t xml:space="preserve">10</w:t>
      </w:r>
      <w:r>
        <w:t>）</w:t>
      </w:r>
      <w:r>
        <w:t>苏木素复染</w:t>
      </w:r>
      <w:r w:rsidR="001852F3">
        <w:t xml:space="preserve">1-2min，</w:t>
      </w:r>
      <w:r>
        <w:t>水洗</w:t>
      </w:r>
      <w:r>
        <w:t>2-3min，l％</w:t>
      </w:r>
      <w:r>
        <w:t>的盐酸酒精</w:t>
      </w:r>
      <w:r>
        <w:t>20-30</w:t>
      </w:r>
      <w:r/>
      <w:r w:rsidR="001852F3">
        <w:t xml:space="preserve">秒，水洗2-3min；</w:t>
      </w:r>
    </w:p>
    <w:p w:rsidR="0018722C">
      <w:pPr>
        <w:topLinePunct/>
      </w:pPr>
      <w:r>
        <w:t>（</w:t>
      </w:r>
      <w:r>
        <w:t xml:space="preserve">11</w:t>
      </w:r>
      <w:r>
        <w:t>）</w:t>
      </w:r>
      <w:r>
        <w:t>梯度酒精脱水</w:t>
      </w:r>
      <w:r w:rsidR="001852F3">
        <w:t xml:space="preserve">75</w:t>
      </w:r>
      <w:r>
        <w:t xml:space="preserve">, </w:t>
      </w:r>
      <w:r>
        <w:t>85，95</w:t>
      </w:r>
      <w:r>
        <w:t xml:space="preserve">, </w:t>
      </w:r>
      <w:r>
        <w:t>100%各</w:t>
      </w:r>
      <w:r w:rsidR="001852F3">
        <w:t xml:space="preserve">1min。</w:t>
      </w:r>
    </w:p>
    <w:p w:rsidR="0018722C">
      <w:pPr>
        <w:topLinePunct/>
      </w:pPr>
      <w:r>
        <w:t>（</w:t>
      </w:r>
      <w:r>
        <w:t xml:space="preserve">12</w:t>
      </w:r>
      <w:r>
        <w:t>）</w:t>
      </w:r>
      <w:r>
        <w:t>二甲苯透明</w:t>
      </w:r>
      <w:r w:rsidR="001852F3">
        <w:t xml:space="preserve">2</w:t>
      </w:r>
      <w:r w:rsidR="001852F3">
        <w:t xml:space="preserve">次各</w:t>
      </w:r>
      <w:r w:rsidR="001852F3">
        <w:t xml:space="preserve">1min。</w:t>
      </w:r>
    </w:p>
    <w:p w:rsidR="0018722C">
      <w:pPr>
        <w:topLinePunct/>
      </w:pPr>
      <w:r>
        <w:t>（</w:t>
      </w:r>
      <w:r>
        <w:t>13</w:t>
      </w:r>
      <w:r>
        <w:t>）</w:t>
      </w:r>
      <w:r>
        <w:t>中性树胶封片。</w:t>
      </w:r>
    </w:p>
    <w:p w:rsidR="0018722C">
      <w:pPr>
        <w:topLinePunct/>
      </w:pPr>
      <w:r>
        <w:t>（</w:t>
      </w:r>
      <w:r>
        <w:t>14</w:t>
      </w:r>
      <w:r>
        <w:t>）</w:t>
      </w:r>
      <w:r>
        <w:t>观察结果</w:t>
      </w:r>
    </w:p>
    <w:p w:rsidR="0018722C">
      <w:pPr>
        <w:topLinePunct/>
      </w:pPr>
      <w:r>
        <w:rPr>
          <w:rFonts w:ascii="Times New Roman" w:eastAsia="Times New Roman"/>
        </w:rPr>
        <w:t xml:space="preserve">COX-2,</w:t>
      </w:r>
      <w:r w:rsidR="001852F3">
        <w:rPr>
          <w:rFonts w:ascii="Times New Roman" w:eastAsia="Times New Roman"/>
        </w:rPr>
        <w:t xml:space="preserve"> </w:t>
      </w:r>
      <w:r w:rsidR="001852F3">
        <w:rPr>
          <w:rFonts w:ascii="Times New Roman" w:eastAsia="Times New Roman"/>
        </w:rPr>
        <w:t xml:space="preserve">EP</w:t>
      </w:r>
      <w:r>
        <w:rPr>
          <w:rFonts w:ascii="Times New Roman" w:eastAsia="Times New Roman"/>
        </w:rPr>
        <w:t>1</w:t>
      </w:r>
      <w:r>
        <w:t>的免疫组化染色评分是由肿瘤细胞染色的阳性率与肿瘤细胞染色的强弱综合评分来衡量。肿瘤细胞染色阳性率的具体计分规则如下：</w:t>
      </w:r>
      <w:r>
        <w:rPr>
          <w:rFonts w:ascii="Times New Roman" w:eastAsia="Times New Roman"/>
        </w:rPr>
        <w:t>0</w:t>
      </w:r>
      <w:r>
        <w:t>分</w:t>
      </w:r>
      <w:r>
        <w:rPr>
          <w:rFonts w:ascii="Times New Roman" w:eastAsia="Times New Roman"/>
          <w:rFonts w:ascii="Times New Roman" w:eastAsia="Times New Roman"/>
        </w:rPr>
        <w:t>（</w:t>
      </w:r>
      <w:r>
        <w:t>无着色肿瘤细胞</w:t>
      </w:r>
      <w:r>
        <w:rPr>
          <w:rFonts w:ascii="Times New Roman" w:eastAsia="Times New Roman"/>
          <w:rFonts w:ascii="Times New Roman" w:eastAsia="Times New Roman"/>
        </w:rPr>
        <w:t>）</w:t>
      </w:r>
      <w:r>
        <w:t>，</w:t>
      </w:r>
      <w:r>
        <w:rPr>
          <w:rFonts w:ascii="Times New Roman" w:eastAsia="Times New Roman"/>
        </w:rPr>
        <w:t>l</w:t>
      </w:r>
      <w:r>
        <w:t>分</w:t>
      </w:r>
      <w:r>
        <w:rPr>
          <w:rFonts w:ascii="Times New Roman" w:eastAsia="Times New Roman"/>
        </w:rPr>
        <w:t>(</w:t>
      </w:r>
      <w:r>
        <w:rPr>
          <w:rFonts w:ascii="Times New Roman" w:eastAsia="Times New Roman"/>
        </w:rPr>
        <w:t>1</w:t>
      </w:r>
      <w:r>
        <w:t>％</w:t>
      </w:r>
      <w:r>
        <w:rPr>
          <w:rFonts w:ascii="Times New Roman" w:eastAsia="Times New Roman"/>
        </w:rPr>
        <w:t>to</w:t>
      </w:r>
      <w:r>
        <w:rPr>
          <w:rFonts w:ascii="Times New Roman" w:eastAsia="Times New Roman"/>
          <w:spacing w:val="31"/>
        </w:rPr>
        <w:t> </w:t>
      </w:r>
      <w:r>
        <w:rPr>
          <w:rFonts w:ascii="Times New Roman" w:eastAsia="Times New Roman"/>
        </w:rPr>
        <w:t>25</w:t>
      </w:r>
      <w:r>
        <w:t>％的着色肿瘤细胞</w:t>
      </w:r>
      <w:r>
        <w:rPr>
          <w:rFonts w:ascii="Times New Roman" w:eastAsia="Times New Roman"/>
        </w:rPr>
        <w:t>)</w:t>
      </w:r>
      <w:r>
        <w:t>，</w:t>
      </w:r>
      <w:r>
        <w:rPr>
          <w:rFonts w:ascii="Times New Roman" w:eastAsia="Times New Roman"/>
        </w:rPr>
        <w:t>2</w:t>
      </w:r>
      <w:r>
        <w:t>分</w:t>
      </w:r>
      <w:r>
        <w:rPr>
          <w:rFonts w:ascii="Times New Roman" w:eastAsia="Times New Roman"/>
        </w:rPr>
        <w:t>(</w:t>
      </w:r>
      <w:r>
        <w:rPr>
          <w:rFonts w:ascii="Times New Roman" w:eastAsia="Times New Roman"/>
        </w:rPr>
        <w:t>26</w:t>
      </w:r>
      <w:r>
        <w:t>％</w:t>
      </w:r>
      <w:r>
        <w:rPr>
          <w:rFonts w:ascii="Times New Roman" w:eastAsia="Times New Roman"/>
        </w:rPr>
        <w:t>to</w:t>
      </w:r>
      <w:r>
        <w:rPr>
          <w:rFonts w:ascii="Times New Roman" w:eastAsia="Times New Roman"/>
          <w:spacing w:val="31"/>
        </w:rPr>
        <w:t> </w:t>
      </w:r>
      <w:r>
        <w:rPr>
          <w:rFonts w:ascii="Times New Roman" w:eastAsia="Times New Roman"/>
        </w:rPr>
        <w:t>50</w:t>
      </w:r>
      <w:r>
        <w:t>％</w:t>
      </w:r>
      <w:r w:rsidR="001852F3">
        <w:t xml:space="preserve">的着色肿瘤细胞</w:t>
      </w:r>
      <w:r>
        <w:rPr>
          <w:rFonts w:ascii="Times New Roman" w:eastAsia="Times New Roman"/>
        </w:rPr>
        <w:t>)</w:t>
      </w:r>
      <w:r>
        <w:t>，</w:t>
      </w:r>
      <w:r>
        <w:rPr>
          <w:rFonts w:ascii="Times New Roman" w:eastAsia="Times New Roman"/>
        </w:rPr>
        <w:t>3</w:t>
      </w:r>
      <w:r>
        <w:t>分</w:t>
      </w:r>
      <w:r>
        <w:rPr>
          <w:rFonts w:ascii="Times New Roman" w:eastAsia="Times New Roman"/>
        </w:rPr>
        <w:t>(</w:t>
      </w:r>
      <w:r>
        <w:rPr>
          <w:rFonts w:ascii="Times New Roman" w:eastAsia="Times New Roman"/>
        </w:rPr>
        <w:t>51</w:t>
      </w:r>
      <w:r>
        <w:t>％</w:t>
      </w:r>
      <w:r>
        <w:rPr>
          <w:rFonts w:ascii="Times New Roman" w:eastAsia="Times New Roman"/>
        </w:rPr>
        <w:t>to75</w:t>
      </w:r>
      <w:r>
        <w:t>％着色肿瘤细胞</w:t>
      </w:r>
      <w:r>
        <w:rPr>
          <w:rFonts w:ascii="Times New Roman" w:eastAsia="Times New Roman"/>
        </w:rPr>
        <w:t>)</w:t>
      </w:r>
      <w:r>
        <w:t>，</w:t>
      </w:r>
      <w:r>
        <w:rPr>
          <w:rFonts w:ascii="Times New Roman" w:eastAsia="Times New Roman"/>
        </w:rPr>
        <w:t>4</w:t>
      </w:r>
      <w:r>
        <w:t>分</w:t>
      </w:r>
      <w:r>
        <w:t>（</w:t>
      </w:r>
      <w:r>
        <w:rPr>
          <w:rFonts w:ascii="Times New Roman" w:eastAsia="Times New Roman"/>
        </w:rPr>
        <w:t>76</w:t>
      </w:r>
      <w:r>
        <w:t>％</w:t>
      </w:r>
      <w:r>
        <w:rPr>
          <w:rFonts w:ascii="Times New Roman" w:eastAsia="Times New Roman"/>
        </w:rPr>
        <w:t>to</w:t>
      </w:r>
      <w:r w:rsidRPr="00000000">
        <w:tab/>
      </w:r>
      <w:r>
        <w:t>100</w:t>
      </w:r>
      <w:r>
        <w:t>％</w:t>
      </w:r>
      <w:r>
        <w:t>着</w:t>
      </w:r>
    </w:p>
    <w:p w:rsidR="0018722C">
      <w:pPr>
        <w:topLinePunct/>
      </w:pPr>
      <w:r>
        <w:rPr>
          <w:rFonts w:cstheme="minorBidi" w:hAnsiTheme="minorHAnsi" w:eastAsiaTheme="minorHAnsi" w:asciiTheme="minorHAnsi"/>
        </w:rPr>
        <w:t>18</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topLinePunct/>
      </w:pPr>
      <w:r>
        <w:t>色肿瘤细胞</w:t>
      </w:r>
      <w:r>
        <w:rPr>
          <w:rFonts w:ascii="Times New Roman" w:eastAsia="Times New Roman"/>
          <w:rFonts w:ascii="Times New Roman" w:eastAsia="Times New Roman"/>
        </w:rPr>
        <w:t>）</w:t>
      </w:r>
      <w:r>
        <w:t>。免疫组化染色强度的计分规则如下：</w:t>
      </w:r>
      <w:r>
        <w:rPr>
          <w:rFonts w:ascii="Times New Roman" w:eastAsia="Times New Roman"/>
        </w:rPr>
        <w:t>0</w:t>
      </w:r>
      <w:r>
        <w:t>分</w:t>
      </w:r>
      <w:r>
        <w:rPr>
          <w:rFonts w:ascii="Times New Roman" w:eastAsia="Times New Roman"/>
          <w:rFonts w:ascii="Times New Roman" w:eastAsia="Times New Roman"/>
        </w:rPr>
        <w:t>（</w:t>
      </w:r>
      <w:r>
        <w:t>无肿瘤细胞染色，</w:t>
      </w:r>
      <w:r w:rsidR="001852F3">
        <w:t xml:space="preserve">阴性</w:t>
      </w:r>
      <w:r>
        <w:rPr>
          <w:rFonts w:ascii="Times New Roman" w:eastAsia="Times New Roman"/>
          <w:rFonts w:ascii="Times New Roman" w:eastAsia="Times New Roman"/>
        </w:rPr>
        <w:t>）</w:t>
      </w:r>
      <w:r>
        <w:t>，</w:t>
      </w:r>
      <w:r>
        <w:rPr>
          <w:rFonts w:ascii="Times New Roman" w:eastAsia="Times New Roman"/>
        </w:rPr>
        <w:t>1</w:t>
      </w:r>
      <w:r>
        <w:t>分</w:t>
      </w:r>
      <w:r>
        <w:rPr>
          <w:rFonts w:ascii="Times New Roman" w:eastAsia="Times New Roman"/>
          <w:rFonts w:ascii="Times New Roman" w:eastAsia="Times New Roman"/>
        </w:rPr>
        <w:t>（</w:t>
      </w:r>
      <w:r>
        <w:t>淡黄色，弱阳性</w:t>
      </w:r>
      <w:r>
        <w:rPr>
          <w:rFonts w:ascii="Times New Roman" w:eastAsia="Times New Roman"/>
          <w:rFonts w:ascii="Times New Roman" w:eastAsia="Times New Roman"/>
        </w:rPr>
        <w:t>）</w:t>
      </w:r>
      <w:r>
        <w:t>，</w:t>
      </w:r>
      <w:r>
        <w:rPr>
          <w:rFonts w:ascii="Times New Roman" w:eastAsia="Times New Roman"/>
        </w:rPr>
        <w:t>2</w:t>
      </w:r>
      <w:r>
        <w:t>分</w:t>
      </w:r>
      <w:r>
        <w:rPr>
          <w:rFonts w:ascii="Times New Roman" w:eastAsia="Times New Roman"/>
          <w:rFonts w:ascii="Times New Roman" w:eastAsia="Times New Roman"/>
        </w:rPr>
        <w:t>（</w:t>
      </w:r>
      <w:r>
        <w:t>棕黄色，中等阳性</w:t>
      </w:r>
      <w:r>
        <w:rPr>
          <w:rFonts w:ascii="Times New Roman" w:eastAsia="Times New Roman"/>
          <w:rFonts w:ascii="Times New Roman" w:eastAsia="Times New Roman"/>
        </w:rPr>
        <w:t>）</w:t>
      </w:r>
      <w:r>
        <w:t>，</w:t>
      </w:r>
      <w:r>
        <w:rPr>
          <w:rFonts w:ascii="Times New Roman" w:eastAsia="Times New Roman"/>
        </w:rPr>
        <w:t>3</w:t>
      </w:r>
      <w:r>
        <w:t>分</w:t>
      </w:r>
      <w:r>
        <w:rPr>
          <w:rFonts w:ascii="Times New Roman" w:eastAsia="Times New Roman"/>
          <w:rFonts w:ascii="Times New Roman" w:eastAsia="Times New Roman"/>
        </w:rPr>
        <w:t>（</w:t>
      </w:r>
      <w:r>
        <w:t>棕色，强阳性</w:t>
      </w:r>
      <w:r>
        <w:rPr>
          <w:rFonts w:ascii="Times New Roman" w:eastAsia="Times New Roman"/>
          <w:rFonts w:ascii="Times New Roman" w:eastAsia="Times New Roman"/>
        </w:rPr>
        <w:t>）</w:t>
      </w:r>
      <w:r>
        <w:t>。免疫组化染色评分的分数范围是</w:t>
      </w:r>
      <w:r>
        <w:rPr>
          <w:rFonts w:ascii="Times New Roman" w:eastAsia="Times New Roman"/>
        </w:rPr>
        <w:t>0</w:t>
      </w:r>
      <w:r>
        <w:t>分到</w:t>
      </w:r>
      <w:r>
        <w:rPr>
          <w:rFonts w:ascii="Times New Roman" w:eastAsia="Times New Roman"/>
        </w:rPr>
        <w:t>12</w:t>
      </w:r>
      <w:r>
        <w:t>分，由免疫组化染色强度计分与免疫组化阳性细胞百分比计分相乘而得。</w:t>
      </w:r>
      <w:r>
        <w:rPr>
          <w:rFonts w:ascii="Times New Roman" w:eastAsia="Times New Roman"/>
        </w:rPr>
        <w:t>EP</w:t>
      </w:r>
      <w:r>
        <w:rPr>
          <w:rFonts w:ascii="Times New Roman" w:eastAsia="Times New Roman"/>
        </w:rPr>
        <w:t>1</w:t>
      </w:r>
      <w:r>
        <w:rPr>
          <w:rFonts w:ascii="Times New Roman" w:eastAsia="Times New Roman"/>
        </w:rPr>
        <w:t>,</w:t>
      </w:r>
      <w:r w:rsidR="004B696B">
        <w:rPr>
          <w:rFonts w:ascii="Times New Roman" w:eastAsia="Times New Roman"/>
        </w:rPr>
        <w:t xml:space="preserve"> </w:t>
      </w:r>
      <w:r w:rsidR="004B696B">
        <w:rPr>
          <w:rFonts w:ascii="Times New Roman" w:eastAsia="Times New Roman"/>
        </w:rPr>
        <w:t>COX-2</w:t>
      </w:r>
      <w:r>
        <w:t>高表达组的分数范</w:t>
      </w:r>
      <w:r>
        <w:t>围是</w:t>
      </w:r>
      <w:r>
        <w:rPr>
          <w:rFonts w:ascii="Times New Roman" w:eastAsia="Times New Roman"/>
        </w:rPr>
        <w:t>6</w:t>
      </w:r>
      <w:r>
        <w:t>分到</w:t>
      </w:r>
      <w:r>
        <w:rPr>
          <w:rFonts w:ascii="Times New Roman" w:eastAsia="Times New Roman"/>
        </w:rPr>
        <w:t>12</w:t>
      </w:r>
      <w:r>
        <w:t>分，</w:t>
      </w:r>
      <w:r>
        <w:rPr>
          <w:rFonts w:ascii="Times New Roman" w:eastAsia="Times New Roman"/>
        </w:rPr>
        <w:t>EP</w:t>
      </w:r>
      <w:r>
        <w:rPr>
          <w:rFonts w:ascii="Times New Roman" w:eastAsia="Times New Roman"/>
        </w:rPr>
        <w:t>1</w:t>
      </w:r>
      <w:r>
        <w:rPr>
          <w:rFonts w:ascii="Times New Roman" w:eastAsia="Times New Roman"/>
        </w:rPr>
        <w:t>,</w:t>
      </w:r>
      <w:r w:rsidR="004B696B">
        <w:rPr>
          <w:rFonts w:ascii="Times New Roman" w:eastAsia="Times New Roman"/>
        </w:rPr>
        <w:t xml:space="preserve"> </w:t>
      </w:r>
      <w:r w:rsidR="004B696B">
        <w:rPr>
          <w:rFonts w:ascii="Times New Roman" w:eastAsia="Times New Roman"/>
        </w:rPr>
        <w:t>COX-2</w:t>
      </w:r>
      <w:r>
        <w:t>低表达组的分数范围为</w:t>
      </w:r>
      <w:r>
        <w:rPr>
          <w:rFonts w:ascii="Times New Roman" w:eastAsia="Times New Roman"/>
        </w:rPr>
        <w:t>0</w:t>
      </w:r>
      <w:r>
        <w:t>分到</w:t>
      </w:r>
      <w:r>
        <w:rPr>
          <w:rFonts w:ascii="Times New Roman" w:eastAsia="Times New Roman"/>
        </w:rPr>
        <w:t>5</w:t>
      </w:r>
      <w:r>
        <w:t>分</w:t>
      </w:r>
      <w:r>
        <w:rPr>
          <w:rFonts w:ascii="Times New Roman" w:eastAsia="Times New Roman"/>
          <w:vertAlign w:val="superscript"/>
        </w:rPr>
        <w:t>[</w:t>
      </w:r>
      <w:r>
        <w:rPr>
          <w:rFonts w:ascii="Times New Roman" w:eastAsia="Times New Roman"/>
          <w:vertAlign w:val="superscript"/>
        </w:rPr>
        <w:t xml:space="preserve">27</w:t>
      </w:r>
      <w:r>
        <w:rPr>
          <w:rFonts w:ascii="Times New Roman" w:eastAsia="Times New Roman"/>
          <w:vertAlign w:val="superscript"/>
        </w:rPr>
        <w:t>]</w:t>
      </w:r>
      <w:r>
        <w:t>。</w:t>
      </w:r>
    </w:p>
    <w:p w:rsidR="0018722C">
      <w:pPr>
        <w:pStyle w:val="Heading3"/>
        <w:topLinePunct/>
        <w:ind w:left="200" w:hangingChars="200" w:hanging="200"/>
      </w:pPr>
      <w:bookmarkStart w:name="5.临床病理资料整理 " w:id="25"/>
      <w:bookmarkEnd w:id="25"/>
      <w:r/>
      <w:r>
        <w:rPr>
          <w:b/>
        </w:rPr>
        <w:t>5.</w:t>
      </w:r>
      <w:r>
        <w:t xml:space="preserve"> </w:t>
      </w:r>
      <w:r>
        <w:t>临床病理资料整理</w:t>
      </w:r>
    </w:p>
    <w:p w:rsidR="0018722C">
      <w:pPr>
        <w:topLinePunct/>
      </w:pPr>
      <w:r>
        <w:rPr>
          <w:rFonts w:cstheme="minorBidi" w:hAnsiTheme="minorHAnsi" w:eastAsiaTheme="minorHAnsi" w:asciiTheme="minorHAnsi" w:ascii="宋体" w:eastAsia="宋体" w:hint="eastAsia"/>
        </w:rPr>
        <w:t>利用广西医科大学附属肿瘤医院建立的住院患者病历系统，收集入组</w:t>
      </w:r>
      <w:r>
        <w:rPr>
          <w:rFonts w:ascii="宋体" w:eastAsia="宋体" w:hint="eastAsia" w:cstheme="minorBidi" w:hAnsiTheme="minorHAnsi"/>
        </w:rPr>
        <w:t>的</w:t>
      </w:r>
      <w:r>
        <w:rPr>
          <w:rFonts w:ascii="宋体" w:eastAsia="宋体" w:hint="eastAsia" w:cstheme="minorBidi" w:hAnsiTheme="minorHAnsi"/>
        </w:rPr>
        <w:t>HCC</w:t>
      </w:r>
      <w:r w:rsidR="001852F3">
        <w:rPr>
          <w:rFonts w:ascii="宋体" w:eastAsia="宋体" w:hint="eastAsia" w:cstheme="minorBidi" w:hAnsiTheme="minorHAnsi"/>
        </w:rPr>
        <w:t xml:space="preserve">患者的临床以及病理的资料，包括患者性别、年龄、肝炎背景、肝硬化背景、肿瘤个数、肿瘤大小、术后病理报告、术前肝功</w:t>
      </w:r>
      <w:r w:rsidR="001852F3">
        <w:rPr>
          <w:rFonts w:ascii="宋体" w:eastAsia="宋体" w:hint="eastAsia" w:cstheme="minorBidi" w:hAnsiTheme="minorHAnsi"/>
        </w:rPr>
        <w:t>能</w:t>
      </w:r>
    </w:p>
    <w:p w:rsidR="0018722C">
      <w:pPr>
        <w:topLinePunct/>
      </w:pPr>
      <w:r>
        <w:rPr>
          <w:rFonts w:cstheme="minorBidi" w:hAnsiTheme="minorHAnsi" w:eastAsiaTheme="minorHAnsi" w:asciiTheme="minorHAnsi" w:ascii="宋体" w:eastAsia="宋体" w:hint="eastAsia"/>
        </w:rPr>
        <w:t>Child-Puge</w:t>
      </w:r>
      <w:r w:rsidR="001852F3">
        <w:rPr>
          <w:rFonts w:ascii="宋体" w:eastAsia="宋体" w:hint="eastAsia" w:cstheme="minorBidi" w:hAnsiTheme="minorHAnsi"/>
        </w:rPr>
        <w:t xml:space="preserve">评分、</w:t>
      </w:r>
      <w:r>
        <w:rPr>
          <w:rFonts w:ascii="宋体" w:eastAsia="宋体" w:hint="eastAsia" w:cstheme="minorBidi" w:hAnsiTheme="minorHAnsi"/>
        </w:rPr>
        <w:t>AST、ALT</w:t>
      </w:r>
      <w:r w:rsidR="001852F3">
        <w:rPr>
          <w:rFonts w:ascii="宋体" w:eastAsia="宋体" w:hint="eastAsia" w:cstheme="minorBidi" w:hAnsiTheme="minorHAnsi"/>
        </w:rPr>
        <w:t xml:space="preserve">等，所有入组的患者资料均经过两人核</w:t>
      </w:r>
      <w:r>
        <w:rPr>
          <w:rFonts w:ascii="宋体" w:eastAsia="宋体" w:hint="eastAsia" w:cstheme="minorBidi" w:hAnsiTheme="minorHAnsi"/>
        </w:rPr>
        <w:t>对后输入</w:t>
      </w:r>
      <w:r>
        <w:rPr>
          <w:rFonts w:ascii="宋体" w:eastAsia="宋体" w:hint="eastAsia" w:cstheme="minorBidi" w:hAnsiTheme="minorHAnsi"/>
        </w:rPr>
        <w:t>SPSS19.0</w:t>
      </w:r>
      <w:r w:rsidR="001852F3">
        <w:rPr>
          <w:rFonts w:ascii="宋体" w:eastAsia="宋体" w:hint="eastAsia" w:cstheme="minorBidi" w:hAnsiTheme="minorHAnsi"/>
        </w:rPr>
        <w:t xml:space="preserve">软件，用于后续的数据分析之用。</w:t>
      </w:r>
    </w:p>
    <w:p w:rsidR="0018722C">
      <w:pPr>
        <w:pStyle w:val="Heading1"/>
        <w:topLinePunct/>
      </w:pPr>
      <w:bookmarkStart w:id="227986" w:name="_Toc686227986"/>
      <w:bookmarkStart w:name="三.统计学处理 " w:id="26"/>
      <w:bookmarkEnd w:id="26"/>
      <w:r/>
      <w:bookmarkStart w:name="_bookmark4" w:id="27"/>
      <w:bookmarkEnd w:id="27"/>
      <w:r/>
      <w:r>
        <w:t>三.</w:t>
      </w:r>
      <w:r>
        <w:t xml:space="preserve"> </w:t>
      </w:r>
      <w:r w:rsidRPr="00DB64CE">
        <w:t>统计学处理</w:t>
      </w:r>
      <w:bookmarkEnd w:id="227986"/>
    </w:p>
    <w:p w:rsidR="0018722C">
      <w:pPr>
        <w:topLinePunct/>
      </w:pPr>
      <w:r>
        <w:t>所有数据均采用</w:t>
      </w:r>
      <w:r>
        <w:t>SPSS19.0</w:t>
      </w:r>
      <w:r/>
      <w:r w:rsidR="001852F3">
        <w:t xml:space="preserve">软件统计分析。定量资料用均数±标准差或中</w:t>
      </w:r>
      <w:r>
        <w:t>位数描述。组间数据中位数的比较用</w:t>
      </w:r>
      <w:r>
        <w:t>Mann-Whitney U</w:t>
      </w:r>
      <w:r/>
      <w:r w:rsidR="001852F3">
        <w:t xml:space="preserve">检验</w:t>
      </w:r>
      <w:r>
        <w:rPr>
          <w:rFonts w:hint="eastAsia"/>
        </w:rPr>
        <w:t>，</w:t>
      </w:r>
      <w:r>
        <w:t>均数的比较用t</w:t>
      </w:r>
      <w:r/>
      <w:r w:rsidR="001852F3">
        <w:t xml:space="preserve">检验</w:t>
      </w:r>
      <w:r>
        <w:rPr>
          <w:rFonts w:hint="eastAsia"/>
        </w:rPr>
        <w:t>；</w:t>
      </w:r>
      <w:r>
        <w:t>构成比或分类变量率的统计用</w:t>
      </w:r>
      <w:r>
        <w:t>x2</w:t>
      </w:r>
      <w:r/>
      <w:r w:rsidR="001852F3">
        <w:t xml:space="preserve">检验或</w:t>
      </w:r>
      <w:r>
        <w:t>Fisher</w:t>
      </w:r>
      <w:r/>
      <w:r w:rsidR="001852F3">
        <w:t xml:space="preserve">确切概率法。患者</w:t>
      </w:r>
      <w:r>
        <w:t>生存率的估计用</w:t>
      </w:r>
      <w:r>
        <w:t>Kaplan—Meier</w:t>
      </w:r>
      <w:r/>
      <w:r w:rsidR="001852F3">
        <w:t xml:space="preserve">法，生存率的组间差异的比较用</w:t>
      </w:r>
      <w:r>
        <w:t>log</w:t>
      </w:r>
      <w:r>
        <w:t>—</w:t>
      </w:r>
    </w:p>
    <w:p w:rsidR="0018722C">
      <w:pPr>
        <w:topLinePunct/>
      </w:pPr>
      <w:r>
        <w:rPr>
          <w:rFonts w:cstheme="minorBidi" w:hAnsiTheme="minorHAnsi" w:eastAsiaTheme="minorHAnsi" w:asciiTheme="minorHAnsi" w:ascii="宋体" w:eastAsia="宋体" w:hint="eastAsia"/>
        </w:rPr>
        <w:t>rank</w:t>
      </w:r>
      <w:r w:rsidR="001852F3">
        <w:rPr>
          <w:rFonts w:ascii="宋体" w:eastAsia="宋体" w:hint="eastAsia" w:cstheme="minorBidi" w:hAnsiTheme="minorHAnsi"/>
        </w:rPr>
        <w:t xml:space="preserve">检验。生存资料的多因素分析采用</w:t>
      </w:r>
      <w:r>
        <w:rPr>
          <w:rFonts w:ascii="宋体" w:eastAsia="宋体" w:hint="eastAsia" w:cstheme="minorBidi" w:hAnsiTheme="minorHAnsi"/>
        </w:rPr>
        <w:t>Cox</w:t>
      </w:r>
      <w:r w:rsidR="001852F3">
        <w:rPr>
          <w:rFonts w:ascii="宋体" w:eastAsia="宋体" w:hint="eastAsia" w:cstheme="minorBidi" w:hAnsiTheme="minorHAnsi"/>
        </w:rPr>
        <w:t xml:space="preserve">比例风险模型。</w:t>
      </w:r>
      <w:r>
        <w:rPr>
          <w:rFonts w:ascii="Tw Cen MT" w:eastAsia="Tw Cen MT" w:cstheme="minorBidi" w:hAnsiTheme="minorHAnsi"/>
          <w:i/>
        </w:rPr>
        <w:t>P</w:t>
      </w:r>
      <w:r>
        <w:rPr>
          <w:rFonts w:ascii="宋体" w:eastAsia="宋体" w:hint="eastAsia" w:cstheme="minorBidi" w:hAnsiTheme="minorHAnsi"/>
        </w:rPr>
        <w:t>&lt;0.05，提示差异有统计学意义。</w:t>
      </w:r>
    </w:p>
    <w:p w:rsidR="0018722C">
      <w:pPr>
        <w:pStyle w:val="Heading1"/>
        <w:topLinePunct/>
      </w:pPr>
      <w:bookmarkStart w:id="227987" w:name="_Toc686227987"/>
      <w:bookmarkStart w:name="四.结果 " w:id="28"/>
      <w:bookmarkEnd w:id="28"/>
      <w:r/>
      <w:bookmarkStart w:name="_bookmark5" w:id="29"/>
      <w:bookmarkEnd w:id="29"/>
      <w:r/>
      <w:r>
        <w:t>四.</w:t>
      </w:r>
      <w:r>
        <w:t xml:space="preserve"> </w:t>
      </w:r>
      <w:r w:rsidRPr="00DB64CE">
        <w:t>结果</w:t>
      </w:r>
      <w:bookmarkEnd w:id="227987"/>
    </w:p>
    <w:p w:rsidR="0018722C">
      <w:pPr>
        <w:pStyle w:val="Heading2"/>
        <w:topLinePunct/>
        <w:ind w:left="171" w:hangingChars="171" w:hanging="171"/>
      </w:pPr>
      <w:bookmarkStart w:name="1.COX-2,EP1mRNA及蛋白在不同分化等级的HCC组织中的表达。 " w:id="30"/>
      <w:bookmarkEnd w:id="30"/>
      <w:r>
        <w:rPr>
          <w:b/>
        </w:rPr>
        <w:t>1.</w:t>
      </w:r>
      <w:r>
        <w:t xml:space="preserve"> </w:t>
      </w:r>
      <w:bookmarkStart w:name="1.COX-2,EP1mRNA及蛋白在不同分化等级的HCC组织中的表达。 " w:id="31"/>
      <w:bookmarkEnd w:id="31"/>
      <w:r>
        <w:rPr>
          <w:b/>
        </w:rPr>
        <w:t xml:space="preserve">COX-2,</w:t>
      </w:r>
      <w:r w:rsidR="001852F3">
        <w:rPr>
          <w:b/>
        </w:rPr>
        <w:t xml:space="preserve"> </w:t>
      </w:r>
      <w:r w:rsidR="001852F3">
        <w:rPr>
          <w:b/>
        </w:rPr>
        <w:t xml:space="preserve">EP</w:t>
      </w:r>
      <w:r>
        <w:rPr>
          <w:b/>
        </w:rPr>
        <w:t>1</w:t>
      </w:r>
      <w:r>
        <w:rPr>
          <w:b/>
        </w:rPr>
        <w:t>mRNA</w:t>
      </w:r>
      <w:r w:rsidR="001852F3">
        <w:t xml:space="preserve">及蛋白在不同分化等级的</w:t>
      </w:r>
      <w:r w:rsidR="001852F3">
        <w:rPr>
          <w:b/>
        </w:rPr>
        <w:t xml:space="preserve">HCC</w:t>
      </w:r>
      <w:r w:rsidR="001852F3">
        <w:t xml:space="preserve">组织中的表达。</w:t>
      </w:r>
    </w:p>
    <w:p w:rsidR="0018722C">
      <w:pPr>
        <w:topLinePunct/>
      </w:pPr>
      <w:r>
        <w:t>患者新鲜标本共</w:t>
      </w:r>
      <w:r/>
      <w:r>
        <w:t>48</w:t>
      </w:r>
      <w:r/>
      <w:r>
        <w:t>例。高分化组</w:t>
      </w:r>
      <w:r/>
      <w:r>
        <w:t>24</w:t>
      </w:r>
      <w:r/>
      <w:r>
        <w:t>例，低分化组</w:t>
      </w:r>
      <w:r/>
      <w:r>
        <w:t>24</w:t>
      </w:r>
      <w:r/>
      <w:r>
        <w:t>例。COX-2</w:t>
      </w:r>
      <w:r w:rsidRPr="00000000">
        <w:tab/>
        <w:t>mRNA</w:t>
      </w:r>
      <w:r/>
      <w:r>
        <w:t>在高分化组高表达，低分化组低表达</w:t>
      </w:r>
      <w:r>
        <w:rPr>
          <w:rFonts w:hint="eastAsia"/>
        </w:rPr>
        <w:t>；</w:t>
      </w:r>
      <w:r w:rsidR="001852F3">
        <w:t>其平均相对表达量</w:t>
      </w:r>
      <w:r>
        <w:t>(</w:t>
      </w:r>
      <w:r>
        <w:t>-△Ct</w:t>
      </w:r>
      <w:r>
        <w:t>)</w:t>
      </w:r>
      <w:r>
        <w:t>分别为：</w:t>
      </w:r>
    </w:p>
    <w:p w:rsidR="0018722C">
      <w:pPr>
        <w:topLinePunct/>
      </w:pPr>
      <w:r>
        <w:rPr>
          <w:rFonts w:cstheme="minorBidi" w:hAnsiTheme="minorHAnsi" w:eastAsiaTheme="minorHAnsi" w:asciiTheme="minorHAnsi"/>
        </w:rPr>
        <w:t>19</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topLinePunct/>
      </w:pPr>
      <w:r>
        <w:t>12.2±2.1</w:t>
      </w:r>
      <w:r>
        <w:t xml:space="preserve">, </w:t>
      </w:r>
      <w:r>
        <w:t>13.3±3.4，</w:t>
      </w:r>
      <w:r>
        <w:t>两组间比较</w:t>
      </w:r>
      <w:r>
        <w:t>P=0.051</w:t>
      </w:r>
      <w:r>
        <w:t xml:space="preserve">. </w:t>
      </w:r>
      <w:r>
        <w:t>EP</w:t>
      </w:r>
      <w:r>
        <w:t>1 </w:t>
      </w:r>
      <w:r>
        <w:t>mRNA</w:t>
      </w:r>
      <w:r/>
      <w:r w:rsidR="001852F3">
        <w:t xml:space="preserve">在高分化组低表达，</w:t>
      </w:r>
      <w:r w:rsidR="001852F3">
        <w:t xml:space="preserve">低分化组高表达；其平均相对表达量</w:t>
      </w:r>
      <w:r>
        <w:t>(</w:t>
      </w:r>
      <w:r>
        <w:t>-△Ct</w:t>
      </w:r>
      <w:r>
        <w:t>)</w:t>
      </w:r>
      <w:r>
        <w:t>分别为：</w:t>
      </w:r>
      <w:r w:rsidR="001852F3">
        <w:t xml:space="preserve">11</w:t>
      </w:r>
      <w:r>
        <w:t>.</w:t>
      </w:r>
      <w:r>
        <w:t>5±3.4</w:t>
      </w:r>
      <w:r>
        <w:t xml:space="preserve">, </w:t>
      </w:r>
      <w:r>
        <w:t>10.8±2.7，</w:t>
      </w:r>
      <w:r>
        <w:t>两组间比较</w:t>
      </w:r>
      <w:r>
        <w:t>P=0.087</w:t>
      </w:r>
      <w:r>
        <w:t>。详见</w:t>
      </w:r>
      <w:r>
        <w:t>图</w:t>
      </w:r>
      <w:r>
        <w:t>1</w:t>
      </w:r>
      <w:r>
        <w:t>。WB</w:t>
      </w:r>
      <w:r/>
      <w:r w:rsidR="001852F3">
        <w:t xml:space="preserve">实验验证</w:t>
      </w:r>
      <w:r w:rsidR="001852F3">
        <w:t>了</w:t>
      </w:r>
    </w:p>
    <w:p w:rsidR="0018722C">
      <w:pPr>
        <w:pStyle w:val="BodyText"/>
        <w:spacing w:line="398" w:lineRule="auto" w:before="69"/>
        <w:ind w:leftChars="0" w:left="518" w:rightChars="0" w:right="471"/>
        <w:topLinePunct/>
      </w:pPr>
      <w:r>
        <w:t>COX-2</w:t>
      </w:r>
      <w:r w:rsidR="001852F3">
        <w:rPr>
          <w:spacing w:val="-4"/>
        </w:rPr>
        <w:t xml:space="preserve">蛋白在高分化组高表达，低分化组低表达；其相对表达量</w:t>
      </w:r>
      <w:r>
        <w:t>（</w:t>
      </w:r>
      <w:r>
        <w:t>COX-2</w:t>
      </w:r>
      <w:r w:rsidR="001852F3">
        <w:rPr>
          <w:spacing w:val="-18"/>
        </w:rPr>
        <w:t xml:space="preserve">灰度值／对应内参灰度值</w:t>
      </w:r>
      <w:r>
        <w:rPr>
          <w:spacing w:val="-18"/>
        </w:rPr>
        <w:t>）</w:t>
      </w:r>
      <w:r>
        <w:rPr>
          <w:spacing w:val="-18"/>
        </w:rPr>
        <w:t>分别为</w:t>
      </w:r>
      <w:r>
        <w:rPr>
          <w:spacing w:val="-18"/>
          <w:rFonts w:hint="eastAsia"/>
        </w:rPr>
        <w:t>：</w:t>
      </w:r>
      <w:r>
        <w:rPr>
          <w:spacing w:val="-18"/>
        </w:rPr>
        <w:t>0</w:t>
      </w:r>
      <w:r>
        <w:rPr>
          <w:spacing w:val="-18"/>
        </w:rPr>
        <w:t>.</w:t>
      </w:r>
      <w:r>
        <w:rPr>
          <w:spacing w:val="-18"/>
        </w:rPr>
        <w:t>76±0.18,0.46±0.04</w:t>
      </w:r>
      <w:r>
        <w:rPr>
          <w:spacing w:val="-18"/>
        </w:rPr>
        <w:t>(</w:t>
      </w:r>
      <w:r>
        <w:rPr>
          <w:spacing w:val="-18"/>
        </w:rPr>
        <w:t>P&lt;0.05</w:t>
      </w:r>
      <w:r>
        <w:rPr>
          <w:spacing w:val="-70"/>
        </w:rPr>
        <w:t>)</w:t>
      </w:r>
      <w:r>
        <w:t>。EP</w:t>
      </w:r>
      <w:r>
        <w:rPr>
          <w:position w:val="-3"/>
          <w:sz w:val="18"/>
        </w:rPr>
        <w:t>1</w:t>
      </w:r>
      <w:r>
        <w:t>蛋白在高分化组低表达，低分化组高表达；其相对表达量</w:t>
      </w:r>
      <w:r>
        <w:t>（</w:t>
      </w:r>
      <w:r>
        <w:t>EP</w:t>
      </w:r>
      <w:r>
        <w:rPr>
          <w:position w:val="-3"/>
          <w:sz w:val="18"/>
        </w:rPr>
        <w:t>1</w:t>
      </w:r>
      <w:r>
        <w:t>灰度值／对</w:t>
      </w:r>
      <w:r>
        <w:rPr>
          <w:spacing w:val="-4"/>
        </w:rPr>
        <w:t>应内参灰度值</w:t>
      </w:r>
      <w:r>
        <w:rPr>
          <w:spacing w:val="-4"/>
        </w:rPr>
        <w:t>）</w:t>
      </w:r>
      <w:r>
        <w:rPr>
          <w:spacing w:val="-4"/>
        </w:rPr>
        <w:t>分别为</w:t>
      </w:r>
      <w:r>
        <w:rPr>
          <w:spacing w:val="-4"/>
          <w:rFonts w:hint="eastAsia"/>
        </w:rPr>
        <w:t>：</w:t>
      </w:r>
      <w:r>
        <w:t>0</w:t>
      </w:r>
      <w:r>
        <w:t>.</w:t>
      </w:r>
      <w:r>
        <w:t>34±0.09</w:t>
      </w:r>
      <w:r>
        <w:t xml:space="preserve">, </w:t>
      </w:r>
      <w:r>
        <w:t>0.71±0.20（P&lt;0.05</w:t>
      </w:r>
      <w:r>
        <w:rPr>
          <w:spacing w:val="-70"/>
        </w:rPr>
        <w:t>）</w:t>
      </w:r>
      <w:r>
        <w:rPr>
          <w:spacing w:val="-7"/>
        </w:rPr>
        <w:t>。详见图</w:t>
      </w:r>
      <w:r>
        <w:t>2。</w:t>
      </w:r>
    </w:p>
    <w:p w:rsidR="00000000">
      <w:pPr>
        <w:pStyle w:val="aff7"/>
        <w:spacing w:line="240" w:lineRule="atLeast"/>
        <w:topLinePunct/>
      </w:pPr>
      <w:r>
        <w:drawing>
          <wp:inline>
            <wp:extent cx="2851239" cy="2669667"/>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2851239" cy="2669667"/>
                    </a:xfrm>
                    <a:prstGeom prst="rect">
                      <a:avLst/>
                    </a:prstGeom>
                  </pic:spPr>
                </pic:pic>
              </a:graphicData>
            </a:graphic>
          </wp:inline>
        </w:drawing>
      </w:r>
    </w:p>
    <w:p w:rsidR="0018722C">
      <w:pPr>
        <w:pStyle w:val="a9"/>
        <w:topLinePunct/>
      </w:pPr>
      <w:r>
        <w:rPr>
          <w:rFonts w:cstheme="minorBidi" w:hAnsiTheme="minorHAnsi" w:eastAsiaTheme="minorHAnsi" w:asciiTheme="minorHAnsi" w:ascii="微软雅黑" w:eastAsia="微软雅黑" w:hint="eastAsia"/>
          <w:b/>
        </w:rPr>
        <w:t>图</w:t>
      </w:r>
      <w:r>
        <w:rPr>
          <w:rFonts w:cstheme="minorBidi" w:hAnsiTheme="minorHAnsi" w:eastAsiaTheme="minorHAnsi" w:asciiTheme="minorHAnsi"/>
          <w:b/>
        </w:rPr>
        <w:t>1</w:t>
      </w:r>
      <w:r>
        <w:t xml:space="preserve">  </w:t>
      </w:r>
      <w:r>
        <w:rPr>
          <w:rFonts w:ascii="微软雅黑" w:eastAsia="微软雅黑" w:hint="eastAsia" w:cstheme="minorBidi" w:hAnsiTheme="minorHAnsi"/>
          <w:b/>
        </w:rPr>
        <w:t>不同分化等级的</w:t>
      </w:r>
      <w:r>
        <w:rPr>
          <w:rFonts w:cstheme="minorBidi" w:hAnsiTheme="minorHAnsi" w:eastAsiaTheme="minorHAnsi" w:asciiTheme="minorHAnsi"/>
          <w:b/>
        </w:rPr>
        <w:t>HCC</w:t>
      </w:r>
      <w:r>
        <w:rPr>
          <w:rFonts w:ascii="微软雅黑" w:eastAsia="微软雅黑" w:hint="eastAsia" w:cstheme="minorBidi" w:hAnsiTheme="minorHAnsi"/>
          <w:b/>
        </w:rPr>
        <w:t>组织中</w:t>
      </w:r>
      <w:r>
        <w:rPr>
          <w:rFonts w:cstheme="minorBidi" w:hAnsiTheme="minorHAnsi" w:eastAsiaTheme="minorHAnsi" w:asciiTheme="minorHAnsi"/>
          <w:b/>
        </w:rPr>
        <w:t>COX-2 mRNA</w:t>
      </w:r>
      <w:r>
        <w:rPr>
          <w:rFonts w:ascii="微软雅黑" w:eastAsia="微软雅黑" w:hint="eastAsia" w:cstheme="minorBidi" w:hAnsiTheme="minorHAnsi"/>
          <w:b/>
        </w:rPr>
        <w:t>与</w:t>
      </w:r>
      <w:r>
        <w:rPr>
          <w:rFonts w:cstheme="minorBidi" w:hAnsiTheme="minorHAnsi" w:eastAsiaTheme="minorHAnsi" w:asciiTheme="minorHAnsi"/>
          <w:b/>
        </w:rPr>
        <w:t>EP1 mRNA</w:t>
      </w:r>
      <w:r>
        <w:rPr>
          <w:rFonts w:ascii="微软雅黑" w:eastAsia="微软雅黑" w:hint="eastAsia" w:cstheme="minorBidi" w:hAnsiTheme="minorHAnsi"/>
          <w:b/>
        </w:rPr>
        <w:t>的表达差异</w:t>
      </w:r>
    </w:p>
    <w:p w:rsidR="0018722C">
      <w:pPr>
        <w:pStyle w:val="a9"/>
        <w:topLinePunct/>
      </w:pPr>
      <w:r>
        <w:rPr>
          <w:rFonts w:cstheme="minorBidi" w:hAnsiTheme="minorHAnsi" w:eastAsiaTheme="minorHAnsi" w:asciiTheme="minorHAnsi"/>
          <w:b/>
        </w:rPr>
        <w:t>Figure</w:t>
      </w:r>
      <w:r>
        <w:t xml:space="preserve"> </w:t>
      </w:r>
      <w:r w:rsidRPr="00DB64CE">
        <w:rPr>
          <w:rFonts w:cstheme="minorBidi" w:hAnsiTheme="minorHAnsi" w:eastAsiaTheme="minorHAnsi" w:asciiTheme="minorHAnsi"/>
          <w:b/>
        </w:rPr>
        <w:t>1</w:t>
      </w:r>
      <w:r>
        <w:rPr>
          <w:rFonts w:cstheme="minorBidi" w:hAnsiTheme="minorHAnsi" w:eastAsiaTheme="minorHAnsi" w:asciiTheme="minorHAnsi"/>
        </w:rPr>
        <w:t>:</w:t>
      </w:r>
      <w:r w:rsidR="001852F3">
        <w:rPr>
          <w:rFonts w:cstheme="minorBidi" w:hAnsiTheme="minorHAnsi" w:eastAsiaTheme="minorHAnsi" w:asciiTheme="minorHAnsi"/>
        </w:rPr>
        <w:t xml:space="preserve"> </w:t>
      </w:r>
      <w:r>
        <w:rPr>
          <w:rFonts w:cstheme="minorBidi" w:hAnsiTheme="minorHAnsi" w:eastAsiaTheme="minorHAnsi" w:asciiTheme="minorHAnsi"/>
          <w:b/>
        </w:rPr>
        <w:t>Different expression of COX-2 mRNA and EP</w:t>
      </w:r>
      <w:r>
        <w:rPr>
          <w:rFonts w:cstheme="minorBidi" w:hAnsiTheme="minorHAnsi" w:eastAsiaTheme="minorHAnsi" w:asciiTheme="minorHAnsi"/>
          <w:b/>
        </w:rPr>
        <w:t>1 </w:t>
      </w:r>
      <w:r>
        <w:rPr>
          <w:rFonts w:cstheme="minorBidi" w:hAnsiTheme="minorHAnsi" w:eastAsiaTheme="minorHAnsi" w:asciiTheme="minorHAnsi"/>
          <w:b/>
        </w:rPr>
        <w:t>mRNA in HCC tissues with different differentiation grades</w:t>
      </w:r>
    </w:p>
    <w:p w:rsidR="0018722C">
      <w:pPr>
        <w:topLinePunct/>
      </w:pPr>
      <w:r>
        <w:rPr>
          <w:rFonts w:cstheme="minorBidi" w:hAnsiTheme="minorHAnsi" w:eastAsiaTheme="minorHAnsi" w:asciiTheme="minorHAnsi"/>
        </w:rPr>
        <w:t>20</w:t>
      </w:r>
    </w:p>
    <w:p w:rsidR="0018722C">
      <w:pPr>
        <w:pStyle w:val="affff5"/>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aff7"/>
        <w:topLinePunct/>
      </w:pPr>
      <w:r>
        <w:rPr>
          <w:kern w:val="2"/>
          <w:sz w:val="22"/>
          <w:szCs w:val="22"/>
          <w:rFonts w:cstheme="minorBidi" w:hAnsiTheme="minorHAnsi" w:eastAsiaTheme="minorHAnsi" w:asciiTheme="minorHAnsi"/>
        </w:rPr>
        <w:pict>
          <v:group style="margin-left:77.900002pt;margin-top:12.857464pt;width:340.55pt;height:169.45pt;mso-position-horizontal-relative:page;mso-position-vertical-relative:paragraph;z-index:2296;mso-wrap-distance-left:0;mso-wrap-distance-right:0" coordorigin="1558,257" coordsize="6811,3389">
            <v:shape style="position:absolute;left:1558;top:257;width:3283;height:3342" type="#_x0000_t75" stroked="false">
              <v:imagedata r:id="rId11" o:title=""/>
            </v:shape>
            <v:shape style="position:absolute;left:4841;top:479;width:3528;height:3119" type="#_x0000_t75" stroked="false">
              <v:imagedata r:id="rId12" o:title=""/>
            </v:shape>
            <v:shape style="position:absolute;left:2399;top:562;width:540;height:233" type="#_x0000_t202" filled="false" stroked="false">
              <v:textbox inset="0,0,0,0">
                <w:txbxContent>
                  <w:p w:rsidR="0018722C">
                    <w:pPr>
                      <w:spacing w:line="233" w:lineRule="exact" w:before="0"/>
                      <w:ind w:leftChars="0" w:left="0" w:rightChars="0" w:right="0" w:firstLineChars="0" w:firstLine="0"/>
                      <w:jc w:val="left"/>
                      <w:rPr>
                        <w:sz w:val="21"/>
                      </w:rPr>
                    </w:pPr>
                    <w:r>
                      <w:rPr>
                        <w:rFonts w:ascii="宋体" w:eastAsia="宋体" w:hint="eastAsia"/>
                        <w:spacing w:val="-27"/>
                        <w:sz w:val="21"/>
                      </w:rPr>
                      <w:t>图 </w:t>
                    </w:r>
                    <w:r>
                      <w:rPr>
                        <w:sz w:val="21"/>
                      </w:rPr>
                      <w:t>2A</w:t>
                    </w:r>
                  </w:p>
                </w:txbxContent>
              </v:textbox>
              <w10:wrap type="none"/>
            </v:shape>
            <v:shape style="position:absolute;left:5642;top:562;width:528;height:233" type="#_x0000_t202" filled="false" stroked="false">
              <v:textbox inset="0,0,0,0">
                <w:txbxContent>
                  <w:p w:rsidR="0018722C">
                    <w:pPr>
                      <w:spacing w:line="233" w:lineRule="exact" w:before="0"/>
                      <w:ind w:leftChars="0" w:left="0" w:rightChars="0" w:right="0" w:firstLineChars="0" w:firstLine="0"/>
                      <w:jc w:val="left"/>
                      <w:rPr>
                        <w:sz w:val="21"/>
                      </w:rPr>
                    </w:pPr>
                    <w:r>
                      <w:rPr>
                        <w:rFonts w:ascii="宋体" w:eastAsia="宋体" w:hint="eastAsia"/>
                        <w:spacing w:val="-27"/>
                        <w:sz w:val="21"/>
                      </w:rPr>
                      <w:t>图 </w:t>
                    </w:r>
                    <w:r>
                      <w:rPr>
                        <w:sz w:val="21"/>
                      </w:rPr>
                      <w:t>2B</w:t>
                    </w:r>
                  </w:p>
                </w:txbxContent>
              </v:textbox>
              <w10:wrap type="none"/>
            </v:shape>
            <v:shape style="position:absolute;left:1919;top:3412;width:528;height:233" type="#_x0000_t202" filled="false" stroked="false">
              <v:textbox inset="0,0,0,0">
                <w:txbxContent>
                  <w:p w:rsidR="0018722C">
                    <w:pPr>
                      <w:spacing w:line="233" w:lineRule="exact" w:before="0"/>
                      <w:ind w:leftChars="0" w:left="0" w:rightChars="0" w:right="0" w:firstLineChars="0" w:firstLine="0"/>
                      <w:jc w:val="left"/>
                      <w:rPr>
                        <w:sz w:val="21"/>
                      </w:rPr>
                    </w:pPr>
                    <w:r>
                      <w:rPr>
                        <w:rFonts w:ascii="宋体" w:eastAsia="宋体" w:hint="eastAsia"/>
                        <w:spacing w:val="-27"/>
                        <w:sz w:val="21"/>
                      </w:rPr>
                      <w:t>图 </w:t>
                    </w:r>
                    <w:r>
                      <w:rPr>
                        <w:sz w:val="21"/>
                      </w:rPr>
                      <w:t>2C</w:t>
                    </w:r>
                  </w:p>
                </w:txbxContent>
              </v:textbox>
              <w10:wrap type="none"/>
            </v:shape>
            <w10:wrap type="topAndBottom"/>
          </v:group>
        </w:pic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344582" cy="1156715"/>
            <wp:effectExtent l="0" t="0" r="0" b="0"/>
            <wp:docPr id="7" name="image6.jpeg" descr=""/>
            <wp:cNvGraphicFramePr>
              <a:graphicFrameLocks noChangeAspect="1"/>
            </wp:cNvGraphicFramePr>
            <a:graphic>
              <a:graphicData uri="http://schemas.openxmlformats.org/drawingml/2006/picture">
                <pic:pic>
                  <pic:nvPicPr>
                    <pic:cNvPr id="8" name="image6.jpeg"/>
                    <pic:cNvPicPr/>
                  </pic:nvPicPr>
                  <pic:blipFill>
                    <a:blip r:embed="rId13" cstate="print"/>
                    <a:stretch>
                      <a:fillRect/>
                    </a:stretch>
                  </pic:blipFill>
                  <pic:spPr>
                    <a:xfrm>
                      <a:off x="0" y="0"/>
                      <a:ext cx="2344582" cy="1156715"/>
                    </a:xfrm>
                    <a:prstGeom prst="rect">
                      <a:avLst/>
                    </a:prstGeom>
                  </pic:spPr>
                </pic:pic>
              </a:graphicData>
            </a:graphic>
          </wp:inline>
        </w:drawing>
      </w:r>
    </w:p>
    <w:p w:rsidR="0018722C">
      <w:pPr>
        <w:pStyle w:val="a9"/>
        <w:topLinePunct/>
      </w:pPr>
      <w:r>
        <w:rPr>
          <w:rFonts w:cstheme="minorBidi" w:hAnsiTheme="minorHAnsi" w:eastAsiaTheme="minorHAnsi" w:asciiTheme="minorHAnsi" w:ascii="微软雅黑" w:eastAsia="微软雅黑" w:hint="eastAsia"/>
          <w:b/>
        </w:rPr>
        <w:t>图</w:t>
      </w:r>
      <w:r>
        <w:rPr>
          <w:rFonts w:cstheme="minorBidi" w:hAnsiTheme="minorHAnsi" w:eastAsiaTheme="minorHAnsi" w:asciiTheme="minorHAnsi"/>
          <w:b/>
        </w:rPr>
        <w:t>2</w:t>
      </w:r>
      <w:r>
        <w:t xml:space="preserve">  </w:t>
      </w:r>
      <w:r>
        <w:rPr>
          <w:rFonts w:ascii="微软雅黑" w:eastAsia="微软雅黑" w:hint="eastAsia" w:cstheme="minorBidi" w:hAnsiTheme="minorHAnsi"/>
          <w:b/>
        </w:rPr>
        <w:t>不同分化等级的</w:t>
      </w:r>
      <w:r>
        <w:rPr>
          <w:rFonts w:cstheme="minorBidi" w:hAnsiTheme="minorHAnsi" w:eastAsiaTheme="minorHAnsi" w:asciiTheme="minorHAnsi"/>
          <w:b/>
        </w:rPr>
        <w:t>HCC</w:t>
      </w:r>
      <w:r>
        <w:rPr>
          <w:rFonts w:ascii="微软雅黑" w:eastAsia="微软雅黑" w:hint="eastAsia" w:cstheme="minorBidi" w:hAnsiTheme="minorHAnsi"/>
          <w:b/>
        </w:rPr>
        <w:t>组织中</w:t>
      </w:r>
      <w:r>
        <w:rPr>
          <w:rFonts w:cstheme="minorBidi" w:hAnsiTheme="minorHAnsi" w:eastAsiaTheme="minorHAnsi" w:asciiTheme="minorHAnsi"/>
          <w:b/>
        </w:rPr>
        <w:t>COX-2</w:t>
      </w:r>
      <w:r>
        <w:rPr>
          <w:rFonts w:ascii="微软雅黑" w:eastAsia="微软雅黑" w:hint="eastAsia" w:cstheme="minorBidi" w:hAnsiTheme="minorHAnsi"/>
          <w:b/>
        </w:rPr>
        <w:t>蛋白与</w:t>
      </w:r>
      <w:r>
        <w:rPr>
          <w:rFonts w:cstheme="minorBidi" w:hAnsiTheme="minorHAnsi" w:eastAsiaTheme="minorHAnsi" w:asciiTheme="minorHAnsi"/>
          <w:b/>
        </w:rPr>
        <w:t>EP</w:t>
      </w:r>
      <w:r>
        <w:rPr>
          <w:rFonts w:cstheme="minorBidi" w:hAnsiTheme="minorHAnsi" w:eastAsiaTheme="minorHAnsi" w:asciiTheme="minorHAnsi"/>
          <w:b/>
        </w:rPr>
        <w:t>1</w:t>
      </w:r>
      <w:r>
        <w:rPr>
          <w:rFonts w:ascii="微软雅黑" w:eastAsia="微软雅黑" w:hint="eastAsia" w:cstheme="minorBidi" w:hAnsiTheme="minorHAnsi"/>
          <w:b/>
        </w:rPr>
        <w:t>蛋白的表达差异</w:t>
      </w:r>
    </w:p>
    <w:p w:rsidR="0018722C">
      <w:pPr>
        <w:pStyle w:val="a3"/>
        <w:topLinePunct/>
      </w:pPr>
      <w:r>
        <w:rPr>
          <w:rFonts w:cstheme="minorBidi" w:hAnsiTheme="minorHAnsi" w:eastAsiaTheme="minorHAnsi" w:asciiTheme="minorHAnsi"/>
          <w:b/>
        </w:rPr>
        <w:t xml:space="preserve">**p&lt;0.01</w:t>
      </w:r>
      <w:r>
        <w:rPr>
          <w:rFonts w:cstheme="minorBidi" w:hAnsiTheme="minorHAnsi" w:eastAsiaTheme="minorHAnsi" w:asciiTheme="minorHAnsi"/>
          <w:b/>
        </w:rPr>
        <w:t>)</w:t>
      </w:r>
      <w:r>
        <w:rPr>
          <w:rFonts w:ascii="微软雅黑" w:eastAsia="微软雅黑" w:hint="eastAsia" w:cstheme="minorBidi" w:hAnsiTheme="minorHAnsi"/>
          <w:b/>
        </w:rPr>
        <w:t>。</w:t>
      </w:r>
    </w:p>
    <w:p w:rsidR="0018722C">
      <w:pPr>
        <w:topLinePunct/>
      </w:pPr>
      <w:r>
        <w:rPr>
          <w:rFonts w:cstheme="minorBidi" w:hAnsiTheme="minorHAnsi" w:eastAsiaTheme="minorHAnsi" w:asciiTheme="minorHAnsi"/>
          <w:b/>
        </w:rPr>
        <w:t/>
      </w:r>
      <w:r>
        <w:rPr>
          <w:rFonts w:cstheme="minorBidi" w:hAnsiTheme="minorHAnsi" w:eastAsiaTheme="minorHAnsi" w:asciiTheme="minorHAnsi"/>
          <w:b/>
        </w:rPr>
        <w:t xml:space="preserve">Figure2</w:t>
      </w:r>
      <w:r>
        <w:rPr>
          <w:rFonts w:cstheme="minorBidi" w:hAnsiTheme="minorHAnsi" w:eastAsiaTheme="minorHAnsi" w:asciiTheme="minorHAnsi"/>
          <w:b/>
        </w:rPr>
        <w:t xml:space="preserve">: Different expression of COX-2 protein and EP</w:t>
      </w:r>
      <w:r>
        <w:rPr>
          <w:rFonts w:cstheme="minorBidi" w:hAnsiTheme="minorHAnsi" w:eastAsiaTheme="minorHAnsi" w:asciiTheme="minorHAnsi"/>
          <w:b/>
        </w:rPr>
        <w:t>1 </w:t>
      </w:r>
      <w:r>
        <w:rPr>
          <w:rFonts w:cstheme="minorBidi" w:hAnsiTheme="minorHAnsi" w:eastAsiaTheme="minorHAnsi" w:asciiTheme="minorHAnsi"/>
          <w:b/>
        </w:rPr>
        <w:t>protein in HCC tissues with different differentiation grades</w:t>
      </w:r>
      <w:r>
        <w:rPr>
          <w:rFonts w:cstheme="minorBidi" w:hAnsiTheme="minorHAnsi" w:eastAsiaTheme="minorHAnsi" w:asciiTheme="minorHAnsi"/>
          <w:b/>
        </w:rPr>
        <w:t>(</w:t>
      </w:r>
      <w:r>
        <w:rPr>
          <w:rFonts w:cstheme="minorBidi" w:hAnsiTheme="minorHAnsi" w:eastAsiaTheme="minorHAnsi" w:asciiTheme="minorHAnsi"/>
          <w:b/>
        </w:rPr>
        <w:t>**p&lt;0.01</w:t>
      </w:r>
      <w:r>
        <w:rPr>
          <w:rFonts w:cstheme="minorBidi" w:hAnsiTheme="minorHAnsi" w:eastAsiaTheme="minorHAnsi" w:asciiTheme="minorHAnsi"/>
          <w:b/>
        </w:rPr>
        <w:t>)</w:t>
      </w:r>
      <w:r>
        <w:rPr>
          <w:rFonts w:cstheme="minorBidi" w:hAnsiTheme="minorHAnsi" w:eastAsiaTheme="minorHAnsi" w:asciiTheme="minorHAnsi"/>
          <w:b/>
        </w:rPr>
        <w:t>.</w:t>
      </w:r>
    </w:p>
    <w:p w:rsidR="0018722C">
      <w:pPr>
        <w:pStyle w:val="Heading2"/>
        <w:topLinePunct/>
        <w:ind w:left="171" w:hangingChars="171" w:hanging="171"/>
      </w:pPr>
      <w:bookmarkStart w:name="2. COX-2,EP1蛋白在癌组织、癌旁组织中的表达及与预后的关系。 " w:id="32"/>
      <w:bookmarkEnd w:id="32"/>
      <w:r>
        <w:rPr>
          <w:b/>
        </w:rPr>
        <w:t>2.</w:t>
      </w:r>
      <w:r>
        <w:t xml:space="preserve"> </w:t>
      </w:r>
      <w:bookmarkStart w:name="2. COX-2,EP1蛋白在癌组织、癌旁组织中的表达及与预后的关系。 " w:id="33"/>
      <w:bookmarkEnd w:id="33"/>
      <w:r>
        <w:rPr>
          <w:b/>
        </w:rPr>
        <w:t>COX-2,</w:t>
      </w:r>
      <w:r w:rsidR="004B696B">
        <w:rPr>
          <w:b/>
        </w:rPr>
        <w:t xml:space="preserve"> </w:t>
      </w:r>
      <w:r w:rsidR="004B696B">
        <w:rPr>
          <w:b/>
        </w:rPr>
        <w:t>EP</w:t>
      </w:r>
      <w:r>
        <w:rPr>
          <w:b/>
        </w:rPr>
        <w:t>1    </w:t>
      </w:r>
      <w:r>
        <w:t>蛋白在癌组织、癌旁组织中的表达及与预后的关系。</w:t>
      </w:r>
    </w:p>
    <w:p w:rsidR="0018722C">
      <w:pPr>
        <w:pStyle w:val="Heading3"/>
        <w:topLinePunct/>
        <w:ind w:left="200" w:hangingChars="200" w:hanging="200"/>
      </w:pPr>
      <w:r>
        <w:rPr>
          <w:b/>
        </w:rPr>
        <w:t>2.1</w:t>
      </w:r>
      <w:r>
        <w:t xml:space="preserve"> </w:t>
      </w:r>
      <w:r>
        <w:t>患者一般资料特征</w:t>
      </w:r>
    </w:p>
    <w:p w:rsidR="0018722C">
      <w:pPr>
        <w:topLinePunct/>
      </w:pPr>
      <w:r>
        <w:t>纳入</w:t>
      </w:r>
      <w:r>
        <w:t>HCC</w:t>
      </w:r>
      <w:r/>
      <w:r w:rsidR="001852F3">
        <w:t xml:space="preserve">患者</w:t>
      </w:r>
      <w:r>
        <w:t>116</w:t>
      </w:r>
      <w:r/>
      <w:r w:rsidR="001852F3">
        <w:t xml:space="preserve">例，其中男性</w:t>
      </w:r>
      <w:r>
        <w:t>93</w:t>
      </w:r>
      <w:r/>
      <w:r w:rsidR="001852F3">
        <w:t xml:space="preserve">例，女性</w:t>
      </w:r>
      <w:r>
        <w:t>23</w:t>
      </w:r>
      <w:r/>
      <w:r w:rsidR="001852F3">
        <w:t xml:space="preserve">例</w:t>
      </w:r>
      <w:r>
        <w:t>，HbsAg</w:t>
      </w:r>
      <w:r>
        <w:t>(</w:t>
      </w:r>
      <w:r>
        <w:t>-</w:t>
      </w:r>
      <w:r>
        <w:t>)</w:t>
      </w:r>
      <w:r w:rsidR="004B696B">
        <w:t xml:space="preserve"> </w:t>
      </w:r>
      <w:r>
        <w:t>20</w:t>
      </w:r>
      <w:r/>
      <w:r w:rsidR="001852F3">
        <w:t xml:space="preserve">例，</w:t>
      </w:r>
    </w:p>
    <w:p w:rsidR="0018722C">
      <w:pPr>
        <w:topLinePunct/>
      </w:pPr>
      <w:r>
        <w:t>HbsAg</w:t>
      </w:r>
      <w:r>
        <w:t>(</w:t>
      </w:r>
      <w:r>
        <w:t>+</w:t>
      </w:r>
      <w:r>
        <w:t>)</w:t>
      </w:r>
      <w:r w:rsidR="004B696B">
        <w:t xml:space="preserve"> </w:t>
      </w:r>
      <w:r>
        <w:t>96</w:t>
      </w:r>
      <w:r/>
      <w:r w:rsidR="001852F3">
        <w:t xml:space="preserve">例</w:t>
      </w:r>
      <w:r>
        <w:t>，Edmondson</w:t>
      </w:r>
      <w:r>
        <w:t> </w:t>
      </w:r>
      <w:r>
        <w:t>grade</w:t>
      </w:r>
      <w:r>
        <w:t> </w:t>
      </w:r>
      <w:r>
        <w:t>I-II</w:t>
      </w:r>
      <w:r>
        <w:t> </w:t>
      </w:r>
      <w:r>
        <w:t>63</w:t>
      </w:r>
      <w:r/>
      <w:r w:rsidR="001852F3">
        <w:t xml:space="preserve">例</w:t>
      </w:r>
      <w:r>
        <w:t>，Edmondson</w:t>
      </w:r>
      <w:r>
        <w:t> </w:t>
      </w:r>
      <w:r>
        <w:t>grade</w:t>
      </w:r>
      <w:r>
        <w:t> </w:t>
      </w:r>
      <w:r>
        <w:t>III–IV</w:t>
      </w:r>
    </w:p>
    <w:p w:rsidR="0018722C">
      <w:pPr>
        <w:topLinePunct/>
      </w:pPr>
      <w:r>
        <w:t>53</w:t>
      </w:r>
      <w:r w:rsidR="001852F3">
        <w:t xml:space="preserve">例，详见</w:t>
      </w:r>
      <w:r w:rsidR="001852F3">
        <w:t>表</w:t>
      </w:r>
      <w:r w:rsidR="001852F3">
        <w:t xml:space="preserve">1</w:t>
      </w:r>
      <w:r w:rsidR="001852F3">
        <w:t>。</w:t>
      </w:r>
    </w:p>
    <w:p w:rsidR="0018722C">
      <w:pPr>
        <w:pStyle w:val="Heading3"/>
        <w:topLinePunct/>
        <w:ind w:left="200" w:hangingChars="200" w:hanging="200"/>
      </w:pPr>
      <w:r>
        <w:rPr>
          <w:b/>
        </w:rPr>
        <w:t>2.2 </w:t>
      </w:r>
      <w:r>
        <w:t>．</w:t>
      </w:r>
      <w:r>
        <w:rPr>
          <w:b/>
        </w:rPr>
        <w:t xml:space="preserve">COX-2,</w:t>
      </w:r>
      <w:r w:rsidR="001852F3">
        <w:rPr>
          <w:b/>
        </w:rPr>
        <w:t xml:space="preserve"> </w:t>
      </w:r>
      <w:r w:rsidR="001852F3">
        <w:rPr>
          <w:b/>
        </w:rPr>
        <w:t xml:space="preserve">EP</w:t>
      </w:r>
      <w:r>
        <w:rPr>
          <w:b/>
        </w:rPr>
        <w:t>1</w:t>
      </w:r>
      <w:r>
        <w:t>蛋白在不同分化等级的</w:t>
      </w:r>
      <w:r>
        <w:rPr>
          <w:b/>
        </w:rPr>
        <w:t>HCC</w:t>
      </w:r>
      <w:r w:rsidR="001852F3">
        <w:t xml:space="preserve">组织的表达差异。</w:t>
      </w:r>
    </w:p>
    <w:p w:rsidR="0018722C">
      <w:pPr>
        <w:topLinePunct/>
      </w:pPr>
      <w:r>
        <w:t>COX-2</w:t>
      </w:r>
      <w:r/>
      <w:r w:rsidR="001852F3">
        <w:t xml:space="preserve">在高分化组中高表达，低分化组低表达</w:t>
      </w:r>
      <w:r>
        <w:t>；EP</w:t>
      </w:r>
      <w:r>
        <w:t>1</w:t>
      </w:r>
      <w:r>
        <w:t>在高分化组低表达，</w:t>
      </w:r>
      <w:r>
        <w:t>低分化组高表达。详见</w:t>
      </w:r>
      <w:r>
        <w:t>图</w:t>
      </w:r>
      <w:r>
        <w:t>3</w:t>
      </w:r>
      <w:r>
        <w:t>、</w:t>
      </w:r>
      <w:r>
        <w:t>图</w:t>
      </w:r>
      <w:r>
        <w:t>4</w:t>
      </w:r>
      <w:r>
        <w:t>。其中</w:t>
      </w:r>
      <w:r>
        <w:t>COX-2</w:t>
      </w:r>
      <w:r/>
      <w:r w:rsidR="001852F3">
        <w:t xml:space="preserve">蛋白高表达的有</w:t>
      </w:r>
      <w:r>
        <w:t>54</w:t>
      </w:r>
      <w:r/>
      <w:r w:rsidR="001852F3">
        <w:t xml:space="preserve">例；</w:t>
      </w:r>
    </w:p>
    <w:p w:rsidR="0018722C">
      <w:pPr>
        <w:topLinePunct/>
      </w:pPr>
      <w:r>
        <w:t>EP</w:t>
      </w:r>
      <w:r>
        <w:t>1</w:t>
      </w:r>
      <w:r>
        <w:t>蛋白高表达的有</w:t>
      </w:r>
      <w:r w:rsidR="001852F3">
        <w:t xml:space="preserve">43</w:t>
      </w:r>
      <w:r w:rsidR="001852F3">
        <w:t xml:space="preserve">例。详见</w:t>
      </w:r>
      <w:r w:rsidR="001852F3">
        <w:t>表</w:t>
      </w:r>
      <w:r w:rsidR="001852F3">
        <w:t xml:space="preserve">2</w:t>
      </w:r>
      <w:r w:rsidR="001852F3">
        <w:t>。</w:t>
      </w:r>
    </w:p>
    <w:p w:rsidR="0018722C">
      <w:pPr>
        <w:pStyle w:val="a8"/>
        <w:topLinePunct/>
      </w:pPr>
      <w:r>
        <w:rPr>
          <w:rFonts w:ascii="微软雅黑" w:eastAsia="微软雅黑" w:hint="eastAsia"/>
          <w:b/>
        </w:rPr>
        <w:t>表</w:t>
      </w:r>
      <w:r>
        <w:rPr>
          <w:rFonts w:ascii="Times New Roman" w:eastAsia="宋体"/>
          <w:b/>
        </w:rPr>
        <w:t>1</w:t>
      </w:r>
      <w:r>
        <w:rPr>
          <w:rFonts w:ascii="Times New Roman" w:eastAsia="宋体"/>
          <w:b/>
        </w:rPr>
        <w:t xml:space="preserve">: </w:t>
      </w:r>
      <w:r>
        <w:rPr>
          <w:rFonts w:ascii="Times New Roman" w:eastAsia="宋体"/>
        </w:rPr>
        <w:t>116</w:t>
      </w:r>
      <w:r>
        <w:t>例</w:t>
      </w:r>
      <w:r>
        <w:rPr>
          <w:rFonts w:ascii="Times New Roman" w:eastAsia="宋体"/>
        </w:rPr>
        <w:t>HCC</w:t>
      </w:r>
      <w:r>
        <w:t>组织临床病理特点的分布及与</w:t>
      </w:r>
      <w:r>
        <w:rPr>
          <w:rFonts w:ascii="Times New Roman" w:eastAsia="宋体"/>
        </w:rPr>
        <w:t>COX-2,</w:t>
      </w:r>
      <w:r w:rsidR="004B696B">
        <w:rPr>
          <w:rFonts w:ascii="Times New Roman" w:eastAsia="宋体"/>
        </w:rPr>
        <w:t xml:space="preserve"> </w:t>
      </w:r>
      <w:r w:rsidR="004B696B">
        <w:rPr>
          <w:rFonts w:ascii="Times New Roman" w:eastAsia="宋体"/>
        </w:rPr>
        <w:t>EP1</w:t>
      </w:r>
      <w:r>
        <w:t>表达的关系</w:t>
      </w:r>
    </w:p>
    <w:p w:rsidR="0018722C">
      <w:pPr>
        <w:topLinePunct/>
      </w:pPr>
      <w:r>
        <w:rPr>
          <w:rFonts w:cstheme="minorBidi" w:hAnsiTheme="minorHAnsi" w:eastAsiaTheme="minorHAnsi" w:asciiTheme="minorHAnsi"/>
        </w:rPr>
        <w:t>21</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a8"/>
        <w:topLinePunct/>
      </w:pPr>
      <w:r>
        <w:rPr>
          <w:rFonts w:ascii="Times New Roman"/>
          <w:b/>
        </w:rPr>
        <w:t>Table</w:t>
      </w:r>
      <w:r>
        <w:t xml:space="preserve"> </w:t>
      </w:r>
      <w:r w:rsidRPr="00DB64CE">
        <w:rPr>
          <w:rFonts w:ascii="Times New Roman"/>
          <w:b/>
        </w:rPr>
        <w:t>1</w:t>
      </w:r>
      <w:r>
        <w:rPr>
          <w:rFonts w:ascii="Times New Roman"/>
        </w:rPr>
        <w:t>:</w:t>
      </w:r>
      <w:r w:rsidRPr="00000000">
        <w:tab/>
        <w:t>Association</w:t>
      </w:r>
      <w:r w:rsidRPr="00000000">
        <w:tab/>
        <w:t>of</w:t>
      </w:r>
      <w:r w:rsidRPr="00000000">
        <w:tab/>
        <w:t>Cox-2,</w:t>
      </w:r>
      <w:r w:rsidRPr="00000000">
        <w:tab/>
        <w:t>EP1</w:t>
      </w:r>
      <w:r w:rsidRPr="00000000">
        <w:tab/>
        <w:t>recepter</w:t>
      </w:r>
      <w:r w:rsidRPr="00000000">
        <w:tab/>
        <w:t>expression</w:t>
      </w:r>
      <w:r w:rsidRPr="00000000">
        <w:tab/>
        <w:t>with</w:t>
      </w:r>
      <w:r w:rsidRPr="00000000">
        <w:tab/>
        <w:t>clinical</w:t>
      </w:r>
    </w:p>
    <w:tbl>
      <w:tblPr>
        <w:tblW w:w="5000" w:type="pct"/>
        <w:tblInd w:w="117"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702"/>
        <w:gridCol w:w="1781"/>
        <w:gridCol w:w="1825"/>
        <w:gridCol w:w="926"/>
        <w:gridCol w:w="1525"/>
        <w:gridCol w:w="1738"/>
        <w:gridCol w:w="1139"/>
      </w:tblGrid>
      <w:tr>
        <w:trPr>
          <w:tblHeader/>
        </w:trPr>
        <w:tc>
          <w:tcPr>
            <w:tcW w:w="5000" w:type="pct"/>
            <w:gridSpan w:val="7"/>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
            </w:r>
            <w:r w:rsidRPr="00000000">
              <w:rPr>
                <w:sz w:val="24"/>
                <w:szCs w:val="24"/>
              </w:rPr>
              <w:t>P</w:t>
            </w:r>
            <w:r w:rsidRPr="00000000">
              <w:rPr>
                <w:sz w:val="24"/>
                <w:szCs w:val="24"/>
              </w:rPr>
              <w:t>athological characteristics of 116 HCC patients</w:t>
            </w: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Variable</w:t>
            </w:r>
          </w:p>
        </w:tc>
        <w:tc>
          <w:tcPr>
            <w:tcW w:w="837" w:type="pct"/>
            <w:vAlign w:val="center"/>
          </w:tcPr>
          <w:p w:rsidR="0018722C">
            <w:pPr>
              <w:pStyle w:val="a5"/>
              <w:topLinePunct/>
              <w:ind w:leftChars="0" w:left="0" w:rightChars="0" w:right="0" w:firstLineChars="0" w:firstLine="0"/>
              <w:spacing w:line="240" w:lineRule="atLeast"/>
            </w:pPr>
            <w:r w:rsidRPr="00000000">
              <w:rPr>
                <w:sz w:val="24"/>
                <w:szCs w:val="24"/>
              </w:rPr>
              <w:t>COX-2</w:t>
            </w:r>
          </w:p>
        </w:tc>
        <w:tc>
          <w:tcPr>
            <w:tcW w:w="858" w:type="pct"/>
            <w:vAlign w:val="center"/>
          </w:tcPr>
          <w:p w:rsidR="0018722C">
            <w:pPr>
              <w:pStyle w:val="a5"/>
              <w:topLinePunct/>
              <w:ind w:leftChars="0" w:left="0" w:rightChars="0" w:right="0" w:firstLineChars="0" w:firstLine="0"/>
              <w:spacing w:line="240" w:lineRule="atLeast"/>
            </w:pPr>
          </w:p>
        </w:tc>
        <w:tc>
          <w:tcPr>
            <w:tcW w:w="435" w:type="pct"/>
            <w:vAlign w:val="center"/>
          </w:tcPr>
          <w:p w:rsidR="0018722C">
            <w:pPr>
              <w:pStyle w:val="a5"/>
              <w:topLinePunct/>
              <w:ind w:leftChars="0" w:left="0" w:rightChars="0" w:right="0" w:firstLineChars="0" w:firstLine="0"/>
              <w:spacing w:line="240" w:lineRule="atLeast"/>
            </w:pPr>
          </w:p>
        </w:tc>
        <w:tc>
          <w:tcPr>
            <w:tcW w:w="717" w:type="pct"/>
            <w:vAlign w:val="center"/>
          </w:tcPr>
          <w:p w:rsidR="0018722C">
            <w:pPr>
              <w:pStyle w:val="a5"/>
              <w:topLinePunct/>
              <w:ind w:leftChars="0" w:left="0" w:rightChars="0" w:right="0" w:firstLineChars="0" w:firstLine="0"/>
              <w:spacing w:line="240" w:lineRule="atLeast"/>
            </w:pPr>
            <w:r w:rsidRPr="00000000">
              <w:rPr>
                <w:sz w:val="24"/>
                <w:szCs w:val="24"/>
              </w:rPr>
              <w:t>EP1 recepter</w:t>
            </w:r>
          </w:p>
        </w:tc>
        <w:tc>
          <w:tcPr>
            <w:tcW w:w="817" w:type="pct"/>
            <w:vAlign w:val="center"/>
          </w:tcPr>
          <w:p w:rsidR="0018722C">
            <w:pPr>
              <w:pStyle w:val="a5"/>
              <w:topLinePunct/>
              <w:ind w:leftChars="0" w:left="0" w:rightChars="0" w:right="0" w:firstLineChars="0" w:firstLine="0"/>
              <w:spacing w:line="240" w:lineRule="atLeast"/>
            </w:pPr>
          </w:p>
        </w:tc>
        <w:tc>
          <w:tcPr>
            <w:tcW w:w="535" w:type="pct"/>
            <w:vAlign w:val="center"/>
          </w:tcPr>
          <w:p w:rsidR="0018722C">
            <w:pPr>
              <w:pStyle w:val="ad"/>
              <w:topLinePunct/>
              <w:ind w:leftChars="0" w:left="0" w:rightChars="0" w:right="0" w:firstLineChars="0" w:firstLine="0"/>
              <w:spacing w:line="240" w:lineRule="atLeast"/>
            </w:pPr>
          </w:p>
        </w:tc>
      </w:tr>
      <w:tr>
        <w:tc>
          <w:tcPr>
            <w:tcW w:w="800" w:type="pct"/>
            <w:vAlign w:val="center"/>
          </w:tcPr>
          <w:p w:rsidR="0018722C">
            <w:pPr>
              <w:pStyle w:val="ac"/>
              <w:topLinePunct/>
              <w:ind w:leftChars="0" w:left="0" w:rightChars="0" w:right="0" w:firstLineChars="0" w:firstLine="0"/>
              <w:spacing w:line="240" w:lineRule="atLeast"/>
            </w:pPr>
          </w:p>
        </w:tc>
        <w:tc>
          <w:tcPr>
            <w:tcW w:w="837" w:type="pct"/>
            <w:vAlign w:val="center"/>
          </w:tcPr>
          <w:p w:rsidR="0018722C">
            <w:pPr>
              <w:pStyle w:val="a5"/>
              <w:topLinePunct/>
              <w:ind w:leftChars="0" w:left="0" w:rightChars="0" w:right="0" w:firstLineChars="0" w:firstLine="0"/>
              <w:spacing w:line="240" w:lineRule="atLeast"/>
            </w:pPr>
            <w:r w:rsidRPr="00000000">
              <w:rPr>
                <w:sz w:val="24"/>
                <w:szCs w:val="24"/>
              </w:rPr>
              <w:t>Low expression</w:t>
            </w:r>
          </w:p>
        </w:tc>
        <w:tc>
          <w:tcPr>
            <w:tcW w:w="858" w:type="pct"/>
            <w:vAlign w:val="center"/>
          </w:tcPr>
          <w:p w:rsidR="0018722C">
            <w:pPr>
              <w:pStyle w:val="a5"/>
              <w:topLinePunct/>
              <w:ind w:leftChars="0" w:left="0" w:rightChars="0" w:right="0" w:firstLineChars="0" w:firstLine="0"/>
              <w:spacing w:line="240" w:lineRule="atLeast"/>
            </w:pPr>
            <w:r w:rsidRPr="00000000">
              <w:rPr>
                <w:sz w:val="24"/>
                <w:szCs w:val="24"/>
              </w:rPr>
              <w:t>High expression</w:t>
            </w:r>
          </w:p>
        </w:tc>
        <w:tc>
          <w:tcPr>
            <w:tcW w:w="435" w:type="pct"/>
            <w:vAlign w:val="center"/>
          </w:tcPr>
          <w:p w:rsidR="0018722C">
            <w:pPr>
              <w:pStyle w:val="a5"/>
              <w:topLinePunct/>
              <w:ind w:leftChars="0" w:left="0" w:rightChars="0" w:right="0" w:firstLineChars="0" w:firstLine="0"/>
              <w:spacing w:line="240" w:lineRule="atLeast"/>
            </w:pPr>
            <w:r w:rsidRPr="00000000">
              <w:rPr>
                <w:sz w:val="24"/>
                <w:szCs w:val="24"/>
              </w:rPr>
              <w:t>P</w:t>
            </w:r>
          </w:p>
        </w:tc>
        <w:tc>
          <w:tcPr>
            <w:tcW w:w="717" w:type="pct"/>
            <w:vAlign w:val="center"/>
          </w:tcPr>
          <w:p w:rsidR="0018722C">
            <w:pPr>
              <w:pStyle w:val="a5"/>
              <w:topLinePunct/>
              <w:ind w:leftChars="0" w:left="0" w:rightChars="0" w:right="0" w:firstLineChars="0" w:firstLine="0"/>
              <w:spacing w:line="240" w:lineRule="atLeast"/>
            </w:pPr>
            <w:r w:rsidRPr="00000000">
              <w:rPr>
                <w:sz w:val="24"/>
                <w:szCs w:val="24"/>
              </w:rPr>
              <w:t>Low expression</w:t>
            </w:r>
          </w:p>
        </w:tc>
        <w:tc>
          <w:tcPr>
            <w:tcW w:w="817" w:type="pct"/>
            <w:vAlign w:val="center"/>
          </w:tcPr>
          <w:p w:rsidR="0018722C">
            <w:pPr>
              <w:pStyle w:val="a5"/>
              <w:topLinePunct/>
              <w:ind w:leftChars="0" w:left="0" w:rightChars="0" w:right="0" w:firstLineChars="0" w:firstLine="0"/>
              <w:spacing w:line="240" w:lineRule="atLeast"/>
            </w:pPr>
            <w:r w:rsidRPr="00000000">
              <w:rPr>
                <w:sz w:val="24"/>
                <w:szCs w:val="24"/>
              </w:rPr>
              <w:t>High expression</w:t>
            </w:r>
          </w:p>
        </w:tc>
        <w:tc>
          <w:tcPr>
            <w:tcW w:w="535" w:type="pct"/>
            <w:vAlign w:val="center"/>
          </w:tcPr>
          <w:p w:rsidR="0018722C">
            <w:pPr>
              <w:pStyle w:val="ad"/>
              <w:topLinePunct/>
              <w:ind w:leftChars="0" w:left="0" w:rightChars="0" w:right="0" w:firstLineChars="0" w:firstLine="0"/>
              <w:spacing w:line="240" w:lineRule="atLeast"/>
            </w:pPr>
            <w:r w:rsidRPr="00000000">
              <w:rPr>
                <w:sz w:val="24"/>
                <w:szCs w:val="24"/>
              </w:rPr>
              <w:t>P</w:t>
            </w:r>
          </w:p>
        </w:tc>
      </w:tr>
      <w:tr>
        <w:tc>
          <w:tcPr>
            <w:tcW w:w="800" w:type="pct"/>
            <w:vAlign w:val="center"/>
          </w:tcPr>
          <w:p w:rsidR="0018722C">
            <w:pPr>
              <w:pStyle w:val="ac"/>
              <w:topLinePunct/>
              <w:ind w:leftChars="0" w:left="0" w:rightChars="0" w:right="0" w:firstLineChars="0" w:firstLine="0"/>
              <w:spacing w:line="240" w:lineRule="atLeast"/>
            </w:pPr>
          </w:p>
        </w:tc>
        <w:tc>
          <w:tcPr>
            <w:tcW w:w="837" w:type="pct"/>
            <w:vAlign w:val="center"/>
          </w:tcPr>
          <w:p w:rsidR="0018722C">
            <w:pPr>
              <w:pStyle w:val="a5"/>
              <w:topLinePunct/>
              <w:ind w:leftChars="0" w:left="0" w:rightChars="0" w:right="0" w:firstLineChars="0" w:firstLine="0"/>
              <w:spacing w:line="240" w:lineRule="atLeast"/>
            </w:pPr>
            <w:r w:rsidRPr="00000000">
              <w:rPr>
                <w:sz w:val="24"/>
                <w:szCs w:val="24"/>
              </w:rPr>
              <w:t>N=62</w:t>
            </w:r>
          </w:p>
        </w:tc>
        <w:tc>
          <w:tcPr>
            <w:tcW w:w="858" w:type="pct"/>
            <w:vAlign w:val="center"/>
          </w:tcPr>
          <w:p w:rsidR="0018722C">
            <w:pPr>
              <w:pStyle w:val="a5"/>
              <w:topLinePunct/>
              <w:ind w:leftChars="0" w:left="0" w:rightChars="0" w:right="0" w:firstLineChars="0" w:firstLine="0"/>
              <w:spacing w:line="240" w:lineRule="atLeast"/>
            </w:pPr>
            <w:r w:rsidRPr="00000000">
              <w:rPr>
                <w:sz w:val="24"/>
                <w:szCs w:val="24"/>
              </w:rPr>
              <w:t>N=54</w:t>
            </w:r>
          </w:p>
        </w:tc>
        <w:tc>
          <w:tcPr>
            <w:tcW w:w="435" w:type="pct"/>
            <w:vAlign w:val="center"/>
          </w:tcPr>
          <w:p w:rsidR="0018722C">
            <w:pPr>
              <w:pStyle w:val="a5"/>
              <w:topLinePunct/>
              <w:ind w:leftChars="0" w:left="0" w:rightChars="0" w:right="0" w:firstLineChars="0" w:firstLine="0"/>
              <w:spacing w:line="240" w:lineRule="atLeast"/>
            </w:pPr>
          </w:p>
        </w:tc>
        <w:tc>
          <w:tcPr>
            <w:tcW w:w="717" w:type="pct"/>
            <w:vAlign w:val="center"/>
          </w:tcPr>
          <w:p w:rsidR="0018722C">
            <w:pPr>
              <w:pStyle w:val="a5"/>
              <w:topLinePunct/>
              <w:ind w:leftChars="0" w:left="0" w:rightChars="0" w:right="0" w:firstLineChars="0" w:firstLine="0"/>
              <w:spacing w:line="240" w:lineRule="atLeast"/>
            </w:pPr>
            <w:r w:rsidRPr="00000000">
              <w:rPr>
                <w:sz w:val="24"/>
                <w:szCs w:val="24"/>
              </w:rPr>
              <w:t>N=73</w:t>
            </w:r>
          </w:p>
        </w:tc>
        <w:tc>
          <w:tcPr>
            <w:tcW w:w="817" w:type="pct"/>
            <w:vAlign w:val="center"/>
          </w:tcPr>
          <w:p w:rsidR="0018722C">
            <w:pPr>
              <w:pStyle w:val="a5"/>
              <w:topLinePunct/>
              <w:ind w:leftChars="0" w:left="0" w:rightChars="0" w:right="0" w:firstLineChars="0" w:firstLine="0"/>
              <w:spacing w:line="240" w:lineRule="atLeast"/>
            </w:pPr>
            <w:r w:rsidRPr="00000000">
              <w:rPr>
                <w:sz w:val="24"/>
                <w:szCs w:val="24"/>
              </w:rPr>
              <w:t>N=43</w:t>
            </w:r>
          </w:p>
        </w:tc>
        <w:tc>
          <w:tcPr>
            <w:tcW w:w="535" w:type="pct"/>
            <w:vAlign w:val="center"/>
          </w:tcPr>
          <w:p w:rsidR="0018722C">
            <w:pPr>
              <w:pStyle w:val="ad"/>
              <w:topLinePunct/>
              <w:ind w:leftChars="0" w:left="0" w:rightChars="0" w:right="0" w:firstLineChars="0" w:firstLine="0"/>
              <w:spacing w:line="240" w:lineRule="atLeast"/>
            </w:pP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Gender, M</w:t>
            </w:r>
            <w:r w:rsidRPr="00000000">
              <w:rPr>
                <w:sz w:val="24"/>
                <w:szCs w:val="24"/>
              </w:rPr>
              <w:t>/</w:t>
            </w:r>
            <w:r w:rsidRPr="00000000">
              <w:rPr>
                <w:sz w:val="24"/>
                <w:szCs w:val="24"/>
              </w:rPr>
              <w:t>F</w:t>
            </w:r>
          </w:p>
        </w:tc>
        <w:tc>
          <w:tcPr>
            <w:tcW w:w="837" w:type="pct"/>
            <w:vAlign w:val="center"/>
          </w:tcPr>
          <w:p w:rsidR="0018722C">
            <w:pPr>
              <w:pStyle w:val="a5"/>
              <w:topLinePunct/>
              <w:ind w:leftChars="0" w:left="0" w:rightChars="0" w:right="0" w:firstLineChars="0" w:firstLine="0"/>
              <w:spacing w:line="240" w:lineRule="atLeast"/>
            </w:pPr>
            <w:r w:rsidRPr="00000000">
              <w:rPr>
                <w:sz w:val="24"/>
                <w:szCs w:val="24"/>
              </w:rPr>
              <w:t>48</w:t>
            </w:r>
            <w:r w:rsidRPr="00000000">
              <w:rPr>
                <w:sz w:val="24"/>
                <w:szCs w:val="24"/>
              </w:rPr>
              <w:t>/</w:t>
            </w:r>
            <w:r w:rsidRPr="00000000">
              <w:rPr>
                <w:sz w:val="24"/>
                <w:szCs w:val="24"/>
              </w:rPr>
              <w:t>14</w:t>
            </w:r>
          </w:p>
        </w:tc>
        <w:tc>
          <w:tcPr>
            <w:tcW w:w="858" w:type="pct"/>
            <w:vAlign w:val="center"/>
          </w:tcPr>
          <w:p w:rsidR="0018722C">
            <w:pPr>
              <w:pStyle w:val="a5"/>
              <w:topLinePunct/>
              <w:ind w:leftChars="0" w:left="0" w:rightChars="0" w:right="0" w:firstLineChars="0" w:firstLine="0"/>
              <w:spacing w:line="240" w:lineRule="atLeast"/>
            </w:pPr>
            <w:r w:rsidRPr="00000000">
              <w:rPr>
                <w:sz w:val="24"/>
                <w:szCs w:val="24"/>
              </w:rPr>
              <w:t>45</w:t>
            </w:r>
            <w:r w:rsidRPr="00000000">
              <w:rPr>
                <w:sz w:val="24"/>
                <w:szCs w:val="24"/>
              </w:rPr>
              <w:t>/</w:t>
            </w:r>
            <w:r w:rsidRPr="00000000">
              <w:rPr>
                <w:sz w:val="24"/>
                <w:szCs w:val="24"/>
              </w:rPr>
              <w:t>9</w:t>
            </w:r>
          </w:p>
        </w:tc>
        <w:tc>
          <w:tcPr>
            <w:tcW w:w="435" w:type="pct"/>
            <w:vAlign w:val="center"/>
          </w:tcPr>
          <w:p w:rsidR="0018722C">
            <w:pPr>
              <w:pStyle w:val="affff9"/>
              <w:topLinePunct/>
              <w:ind w:leftChars="0" w:left="0" w:rightChars="0" w:right="0" w:firstLineChars="0" w:firstLine="0"/>
              <w:spacing w:line="240" w:lineRule="atLeast"/>
            </w:pPr>
            <w:r w:rsidRPr="00000000">
              <w:rPr>
                <w:sz w:val="24"/>
                <w:szCs w:val="24"/>
              </w:rPr>
              <w:t>0.426</w:t>
            </w:r>
          </w:p>
        </w:tc>
        <w:tc>
          <w:tcPr>
            <w:tcW w:w="717" w:type="pct"/>
            <w:vAlign w:val="center"/>
          </w:tcPr>
          <w:p w:rsidR="0018722C">
            <w:pPr>
              <w:pStyle w:val="a5"/>
              <w:topLinePunct/>
              <w:ind w:leftChars="0" w:left="0" w:rightChars="0" w:right="0" w:firstLineChars="0" w:firstLine="0"/>
              <w:spacing w:line="240" w:lineRule="atLeast"/>
            </w:pPr>
            <w:r w:rsidRPr="00000000">
              <w:rPr>
                <w:sz w:val="24"/>
                <w:szCs w:val="24"/>
              </w:rPr>
              <w:t>60</w:t>
            </w:r>
            <w:r w:rsidRPr="00000000">
              <w:rPr>
                <w:sz w:val="24"/>
                <w:szCs w:val="24"/>
              </w:rPr>
              <w:t>/</w:t>
            </w:r>
            <w:r w:rsidRPr="00000000">
              <w:rPr>
                <w:sz w:val="24"/>
                <w:szCs w:val="24"/>
              </w:rPr>
              <w:t>13</w:t>
            </w:r>
          </w:p>
        </w:tc>
        <w:tc>
          <w:tcPr>
            <w:tcW w:w="817" w:type="pct"/>
            <w:vAlign w:val="center"/>
          </w:tcPr>
          <w:p w:rsidR="0018722C">
            <w:pPr>
              <w:pStyle w:val="a5"/>
              <w:topLinePunct/>
              <w:ind w:leftChars="0" w:left="0" w:rightChars="0" w:right="0" w:firstLineChars="0" w:firstLine="0"/>
              <w:spacing w:line="240" w:lineRule="atLeast"/>
            </w:pPr>
            <w:r w:rsidRPr="00000000">
              <w:rPr>
                <w:sz w:val="24"/>
                <w:szCs w:val="24"/>
              </w:rPr>
              <w:t>33</w:t>
            </w:r>
            <w:r w:rsidRPr="00000000">
              <w:rPr>
                <w:sz w:val="24"/>
                <w:szCs w:val="24"/>
              </w:rPr>
              <w:t>/</w:t>
            </w:r>
            <w:r w:rsidRPr="00000000">
              <w:rPr>
                <w:sz w:val="24"/>
                <w:szCs w:val="24"/>
              </w:rPr>
              <w:t>10</w:t>
            </w:r>
          </w:p>
        </w:tc>
        <w:tc>
          <w:tcPr>
            <w:tcW w:w="535" w:type="pct"/>
            <w:vAlign w:val="center"/>
          </w:tcPr>
          <w:p w:rsidR="0018722C">
            <w:pPr>
              <w:pStyle w:val="affff9"/>
              <w:topLinePunct/>
              <w:ind w:leftChars="0" w:left="0" w:rightChars="0" w:right="0" w:firstLineChars="0" w:firstLine="0"/>
              <w:spacing w:line="240" w:lineRule="atLeast"/>
            </w:pPr>
            <w:r w:rsidRPr="00000000">
              <w:rPr>
                <w:sz w:val="24"/>
                <w:szCs w:val="24"/>
              </w:rPr>
              <w:t>0.477</w:t>
            </w: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Age, yr</w:t>
            </w:r>
          </w:p>
        </w:tc>
        <w:tc>
          <w:tcPr>
            <w:tcW w:w="837" w:type="pct"/>
            <w:vAlign w:val="center"/>
          </w:tcPr>
          <w:p w:rsidR="0018722C">
            <w:pPr>
              <w:pStyle w:val="a5"/>
              <w:topLinePunct/>
              <w:ind w:leftChars="0" w:left="0" w:rightChars="0" w:right="0" w:firstLineChars="0" w:firstLine="0"/>
              <w:spacing w:line="240" w:lineRule="atLeast"/>
            </w:pPr>
            <w:r w:rsidRPr="00000000">
              <w:rPr>
                <w:sz w:val="24"/>
                <w:szCs w:val="24"/>
              </w:rPr>
              <w:t>46.9±10.8</w:t>
            </w:r>
          </w:p>
        </w:tc>
        <w:tc>
          <w:tcPr>
            <w:tcW w:w="858" w:type="pct"/>
            <w:vAlign w:val="center"/>
          </w:tcPr>
          <w:p w:rsidR="0018722C">
            <w:pPr>
              <w:pStyle w:val="a5"/>
              <w:topLinePunct/>
              <w:ind w:leftChars="0" w:left="0" w:rightChars="0" w:right="0" w:firstLineChars="0" w:firstLine="0"/>
              <w:spacing w:line="240" w:lineRule="atLeast"/>
            </w:pPr>
            <w:r w:rsidRPr="00000000">
              <w:rPr>
                <w:sz w:val="24"/>
                <w:szCs w:val="24"/>
              </w:rPr>
              <w:t>47.9±11.5</w:t>
            </w:r>
          </w:p>
        </w:tc>
        <w:tc>
          <w:tcPr>
            <w:tcW w:w="435" w:type="pct"/>
            <w:vAlign w:val="center"/>
          </w:tcPr>
          <w:p w:rsidR="0018722C">
            <w:pPr>
              <w:pStyle w:val="affff9"/>
              <w:topLinePunct/>
              <w:ind w:leftChars="0" w:left="0" w:rightChars="0" w:right="0" w:firstLineChars="0" w:firstLine="0"/>
              <w:spacing w:line="240" w:lineRule="atLeast"/>
            </w:pPr>
            <w:r w:rsidRPr="00000000">
              <w:rPr>
                <w:sz w:val="24"/>
                <w:szCs w:val="24"/>
              </w:rPr>
              <w:t>0.308</w:t>
            </w:r>
          </w:p>
        </w:tc>
        <w:tc>
          <w:tcPr>
            <w:tcW w:w="717" w:type="pct"/>
            <w:vAlign w:val="center"/>
          </w:tcPr>
          <w:p w:rsidR="0018722C">
            <w:pPr>
              <w:pStyle w:val="a5"/>
              <w:topLinePunct/>
              <w:ind w:leftChars="0" w:left="0" w:rightChars="0" w:right="0" w:firstLineChars="0" w:firstLine="0"/>
              <w:spacing w:line="240" w:lineRule="atLeast"/>
            </w:pPr>
            <w:r w:rsidRPr="00000000">
              <w:rPr>
                <w:sz w:val="24"/>
                <w:szCs w:val="24"/>
              </w:rPr>
              <w:t>46.6±11.1</w:t>
            </w:r>
          </w:p>
        </w:tc>
        <w:tc>
          <w:tcPr>
            <w:tcW w:w="817" w:type="pct"/>
            <w:vAlign w:val="center"/>
          </w:tcPr>
          <w:p w:rsidR="0018722C">
            <w:pPr>
              <w:pStyle w:val="a5"/>
              <w:topLinePunct/>
              <w:ind w:leftChars="0" w:left="0" w:rightChars="0" w:right="0" w:firstLineChars="0" w:firstLine="0"/>
              <w:spacing w:line="240" w:lineRule="atLeast"/>
            </w:pPr>
            <w:r w:rsidRPr="00000000">
              <w:rPr>
                <w:sz w:val="24"/>
                <w:szCs w:val="24"/>
              </w:rPr>
              <w:t>47.3±11.2</w:t>
            </w:r>
          </w:p>
        </w:tc>
        <w:tc>
          <w:tcPr>
            <w:tcW w:w="535" w:type="pct"/>
            <w:vAlign w:val="center"/>
          </w:tcPr>
          <w:p w:rsidR="0018722C">
            <w:pPr>
              <w:pStyle w:val="affff9"/>
              <w:topLinePunct/>
              <w:ind w:leftChars="0" w:left="0" w:rightChars="0" w:right="0" w:firstLineChars="0" w:firstLine="0"/>
              <w:spacing w:line="240" w:lineRule="atLeast"/>
            </w:pPr>
            <w:r w:rsidRPr="00000000">
              <w:rPr>
                <w:sz w:val="24"/>
                <w:szCs w:val="24"/>
              </w:rPr>
              <w:t>0.486</w:t>
            </w: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HbsAg</w:t>
            </w:r>
          </w:p>
        </w:tc>
        <w:tc>
          <w:tcPr>
            <w:tcW w:w="837" w:type="pct"/>
            <w:vAlign w:val="center"/>
          </w:tcPr>
          <w:p w:rsidR="0018722C">
            <w:pPr>
              <w:pStyle w:val="a5"/>
              <w:topLinePunct/>
              <w:ind w:leftChars="0" w:left="0" w:rightChars="0" w:right="0" w:firstLineChars="0" w:firstLine="0"/>
              <w:spacing w:line="240" w:lineRule="atLeast"/>
            </w:pPr>
          </w:p>
        </w:tc>
        <w:tc>
          <w:tcPr>
            <w:tcW w:w="858" w:type="pct"/>
            <w:vAlign w:val="center"/>
          </w:tcPr>
          <w:p w:rsidR="0018722C">
            <w:pPr>
              <w:pStyle w:val="a5"/>
              <w:topLinePunct/>
              <w:ind w:leftChars="0" w:left="0" w:rightChars="0" w:right="0" w:firstLineChars="0" w:firstLine="0"/>
              <w:spacing w:line="240" w:lineRule="atLeast"/>
            </w:pPr>
          </w:p>
        </w:tc>
        <w:tc>
          <w:tcPr>
            <w:tcW w:w="435" w:type="pct"/>
            <w:vAlign w:val="center"/>
          </w:tcPr>
          <w:p w:rsidR="0018722C">
            <w:pPr>
              <w:pStyle w:val="a5"/>
              <w:topLinePunct/>
              <w:ind w:leftChars="0" w:left="0" w:rightChars="0" w:right="0" w:firstLineChars="0" w:firstLine="0"/>
              <w:spacing w:line="240" w:lineRule="atLeast"/>
            </w:pPr>
          </w:p>
        </w:tc>
        <w:tc>
          <w:tcPr>
            <w:tcW w:w="717" w:type="pct"/>
            <w:vAlign w:val="center"/>
          </w:tcPr>
          <w:p w:rsidR="0018722C">
            <w:pPr>
              <w:pStyle w:val="a5"/>
              <w:topLinePunct/>
              <w:ind w:leftChars="0" w:left="0" w:rightChars="0" w:right="0" w:firstLineChars="0" w:firstLine="0"/>
              <w:spacing w:line="240" w:lineRule="atLeast"/>
            </w:pPr>
          </w:p>
        </w:tc>
        <w:tc>
          <w:tcPr>
            <w:tcW w:w="817" w:type="pct"/>
            <w:vAlign w:val="center"/>
          </w:tcPr>
          <w:p w:rsidR="0018722C">
            <w:pPr>
              <w:pStyle w:val="a5"/>
              <w:topLinePunct/>
              <w:ind w:leftChars="0" w:left="0" w:rightChars="0" w:right="0" w:firstLineChars="0" w:firstLine="0"/>
              <w:spacing w:line="240" w:lineRule="atLeast"/>
            </w:pPr>
          </w:p>
        </w:tc>
        <w:tc>
          <w:tcPr>
            <w:tcW w:w="535" w:type="pct"/>
            <w:vAlign w:val="center"/>
          </w:tcPr>
          <w:p w:rsidR="0018722C">
            <w:pPr>
              <w:pStyle w:val="ad"/>
              <w:topLinePunct/>
              <w:ind w:leftChars="0" w:left="0" w:rightChars="0" w:right="0" w:firstLineChars="0" w:firstLine="0"/>
              <w:spacing w:line="240" w:lineRule="atLeast"/>
            </w:pP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Negative</w:t>
            </w:r>
          </w:p>
        </w:tc>
        <w:tc>
          <w:tcPr>
            <w:tcW w:w="837" w:type="pct"/>
            <w:vAlign w:val="center"/>
          </w:tcPr>
          <w:p w:rsidR="0018722C">
            <w:pPr>
              <w:pStyle w:val="affff9"/>
              <w:topLinePunct/>
              <w:ind w:leftChars="0" w:left="0" w:rightChars="0" w:right="0" w:firstLineChars="0" w:firstLine="0"/>
              <w:spacing w:line="240" w:lineRule="atLeast"/>
            </w:pPr>
            <w:r w:rsidRPr="00000000">
              <w:rPr>
                <w:sz w:val="24"/>
                <w:szCs w:val="24"/>
              </w:rPr>
              <w:t>10</w:t>
            </w:r>
          </w:p>
        </w:tc>
        <w:tc>
          <w:tcPr>
            <w:tcW w:w="858" w:type="pct"/>
            <w:vAlign w:val="center"/>
          </w:tcPr>
          <w:p w:rsidR="0018722C">
            <w:pPr>
              <w:pStyle w:val="affff9"/>
              <w:topLinePunct/>
              <w:ind w:leftChars="0" w:left="0" w:rightChars="0" w:right="0" w:firstLineChars="0" w:firstLine="0"/>
              <w:spacing w:line="240" w:lineRule="atLeast"/>
            </w:pPr>
            <w:r w:rsidRPr="00000000">
              <w:rPr>
                <w:sz w:val="24"/>
                <w:szCs w:val="24"/>
              </w:rPr>
              <w:t>10</w:t>
            </w:r>
          </w:p>
        </w:tc>
        <w:tc>
          <w:tcPr>
            <w:tcW w:w="435" w:type="pct"/>
            <w:vAlign w:val="center"/>
          </w:tcPr>
          <w:p w:rsidR="0018722C">
            <w:pPr>
              <w:pStyle w:val="affff9"/>
              <w:topLinePunct/>
              <w:ind w:leftChars="0" w:left="0" w:rightChars="0" w:right="0" w:firstLineChars="0" w:firstLine="0"/>
              <w:spacing w:line="240" w:lineRule="atLeast"/>
            </w:pPr>
            <w:r w:rsidRPr="00000000">
              <w:rPr>
                <w:sz w:val="24"/>
                <w:szCs w:val="24"/>
              </w:rPr>
              <w:t>0.734</w:t>
            </w:r>
          </w:p>
        </w:tc>
        <w:tc>
          <w:tcPr>
            <w:tcW w:w="717" w:type="pct"/>
            <w:vAlign w:val="center"/>
          </w:tcPr>
          <w:p w:rsidR="0018722C">
            <w:pPr>
              <w:pStyle w:val="affff9"/>
              <w:topLinePunct/>
              <w:ind w:leftChars="0" w:left="0" w:rightChars="0" w:right="0" w:firstLineChars="0" w:firstLine="0"/>
              <w:spacing w:line="240" w:lineRule="atLeast"/>
            </w:pPr>
            <w:r w:rsidRPr="00000000">
              <w:rPr>
                <w:sz w:val="24"/>
                <w:szCs w:val="24"/>
              </w:rPr>
              <w:t>11</w:t>
            </w:r>
          </w:p>
        </w:tc>
        <w:tc>
          <w:tcPr>
            <w:tcW w:w="817" w:type="pct"/>
            <w:vAlign w:val="center"/>
          </w:tcPr>
          <w:p w:rsidR="0018722C">
            <w:pPr>
              <w:pStyle w:val="affff9"/>
              <w:topLinePunct/>
              <w:ind w:leftChars="0" w:left="0" w:rightChars="0" w:right="0" w:firstLineChars="0" w:firstLine="0"/>
              <w:spacing w:line="240" w:lineRule="atLeast"/>
            </w:pPr>
            <w:r w:rsidRPr="00000000">
              <w:rPr>
                <w:sz w:val="24"/>
                <w:szCs w:val="24"/>
              </w:rPr>
              <w:t>9</w:t>
            </w:r>
          </w:p>
        </w:tc>
        <w:tc>
          <w:tcPr>
            <w:tcW w:w="535" w:type="pct"/>
            <w:vAlign w:val="center"/>
          </w:tcPr>
          <w:p w:rsidR="0018722C">
            <w:pPr>
              <w:pStyle w:val="affff9"/>
              <w:topLinePunct/>
              <w:ind w:leftChars="0" w:left="0" w:rightChars="0" w:right="0" w:firstLineChars="0" w:firstLine="0"/>
              <w:spacing w:line="240" w:lineRule="atLeast"/>
            </w:pPr>
            <w:r w:rsidRPr="00000000">
              <w:rPr>
                <w:sz w:val="24"/>
                <w:szCs w:val="24"/>
              </w:rPr>
              <w:t>0.420</w:t>
            </w: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Positive</w:t>
            </w:r>
          </w:p>
        </w:tc>
        <w:tc>
          <w:tcPr>
            <w:tcW w:w="837" w:type="pct"/>
            <w:vAlign w:val="center"/>
          </w:tcPr>
          <w:p w:rsidR="0018722C">
            <w:pPr>
              <w:pStyle w:val="affff9"/>
              <w:topLinePunct/>
              <w:ind w:leftChars="0" w:left="0" w:rightChars="0" w:right="0" w:firstLineChars="0" w:firstLine="0"/>
              <w:spacing w:line="240" w:lineRule="atLeast"/>
            </w:pPr>
            <w:r w:rsidRPr="00000000">
              <w:rPr>
                <w:sz w:val="24"/>
                <w:szCs w:val="24"/>
              </w:rPr>
              <w:t>52</w:t>
            </w:r>
          </w:p>
        </w:tc>
        <w:tc>
          <w:tcPr>
            <w:tcW w:w="858" w:type="pct"/>
            <w:vAlign w:val="center"/>
          </w:tcPr>
          <w:p w:rsidR="0018722C">
            <w:pPr>
              <w:pStyle w:val="affff9"/>
              <w:topLinePunct/>
              <w:ind w:leftChars="0" w:left="0" w:rightChars="0" w:right="0" w:firstLineChars="0" w:firstLine="0"/>
              <w:spacing w:line="240" w:lineRule="atLeast"/>
            </w:pPr>
            <w:r w:rsidRPr="00000000">
              <w:rPr>
                <w:sz w:val="24"/>
                <w:szCs w:val="24"/>
              </w:rPr>
              <w:t>44</w:t>
            </w:r>
          </w:p>
        </w:tc>
        <w:tc>
          <w:tcPr>
            <w:tcW w:w="435" w:type="pct"/>
            <w:vAlign w:val="center"/>
          </w:tcPr>
          <w:p w:rsidR="0018722C">
            <w:pPr>
              <w:pStyle w:val="a5"/>
              <w:topLinePunct/>
              <w:ind w:leftChars="0" w:left="0" w:rightChars="0" w:right="0" w:firstLineChars="0" w:firstLine="0"/>
              <w:spacing w:line="240" w:lineRule="atLeast"/>
            </w:pPr>
          </w:p>
        </w:tc>
        <w:tc>
          <w:tcPr>
            <w:tcW w:w="717" w:type="pct"/>
            <w:vAlign w:val="center"/>
          </w:tcPr>
          <w:p w:rsidR="0018722C">
            <w:pPr>
              <w:pStyle w:val="affff9"/>
              <w:topLinePunct/>
              <w:ind w:leftChars="0" w:left="0" w:rightChars="0" w:right="0" w:firstLineChars="0" w:firstLine="0"/>
              <w:spacing w:line="240" w:lineRule="atLeast"/>
            </w:pPr>
            <w:r w:rsidRPr="00000000">
              <w:rPr>
                <w:sz w:val="24"/>
                <w:szCs w:val="24"/>
              </w:rPr>
              <w:t>62</w:t>
            </w:r>
          </w:p>
        </w:tc>
        <w:tc>
          <w:tcPr>
            <w:tcW w:w="817" w:type="pct"/>
            <w:vAlign w:val="center"/>
          </w:tcPr>
          <w:p w:rsidR="0018722C">
            <w:pPr>
              <w:pStyle w:val="affff9"/>
              <w:topLinePunct/>
              <w:ind w:leftChars="0" w:left="0" w:rightChars="0" w:right="0" w:firstLineChars="0" w:firstLine="0"/>
              <w:spacing w:line="240" w:lineRule="atLeast"/>
            </w:pPr>
            <w:r w:rsidRPr="00000000">
              <w:rPr>
                <w:sz w:val="24"/>
                <w:szCs w:val="24"/>
              </w:rPr>
              <w:t>34</w:t>
            </w:r>
          </w:p>
        </w:tc>
        <w:tc>
          <w:tcPr>
            <w:tcW w:w="535" w:type="pct"/>
            <w:vAlign w:val="center"/>
          </w:tcPr>
          <w:p w:rsidR="0018722C">
            <w:pPr>
              <w:pStyle w:val="ad"/>
              <w:topLinePunct/>
              <w:ind w:leftChars="0" w:left="0" w:rightChars="0" w:right="0" w:firstLineChars="0" w:firstLine="0"/>
              <w:spacing w:line="240" w:lineRule="atLeast"/>
            </w:pP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Liver cirrhosis</w:t>
            </w:r>
          </w:p>
        </w:tc>
        <w:tc>
          <w:tcPr>
            <w:tcW w:w="837" w:type="pct"/>
            <w:vAlign w:val="center"/>
          </w:tcPr>
          <w:p w:rsidR="0018722C">
            <w:pPr>
              <w:pStyle w:val="a5"/>
              <w:topLinePunct/>
              <w:ind w:leftChars="0" w:left="0" w:rightChars="0" w:right="0" w:firstLineChars="0" w:firstLine="0"/>
              <w:spacing w:line="240" w:lineRule="atLeast"/>
            </w:pPr>
          </w:p>
        </w:tc>
        <w:tc>
          <w:tcPr>
            <w:tcW w:w="858" w:type="pct"/>
            <w:vAlign w:val="center"/>
          </w:tcPr>
          <w:p w:rsidR="0018722C">
            <w:pPr>
              <w:pStyle w:val="a5"/>
              <w:topLinePunct/>
              <w:ind w:leftChars="0" w:left="0" w:rightChars="0" w:right="0" w:firstLineChars="0" w:firstLine="0"/>
              <w:spacing w:line="240" w:lineRule="atLeast"/>
            </w:pPr>
          </w:p>
        </w:tc>
        <w:tc>
          <w:tcPr>
            <w:tcW w:w="435" w:type="pct"/>
            <w:vAlign w:val="center"/>
          </w:tcPr>
          <w:p w:rsidR="0018722C">
            <w:pPr>
              <w:pStyle w:val="a5"/>
              <w:topLinePunct/>
              <w:ind w:leftChars="0" w:left="0" w:rightChars="0" w:right="0" w:firstLineChars="0" w:firstLine="0"/>
              <w:spacing w:line="240" w:lineRule="atLeast"/>
            </w:pPr>
          </w:p>
        </w:tc>
        <w:tc>
          <w:tcPr>
            <w:tcW w:w="717" w:type="pct"/>
            <w:vAlign w:val="center"/>
          </w:tcPr>
          <w:p w:rsidR="0018722C">
            <w:pPr>
              <w:pStyle w:val="a5"/>
              <w:topLinePunct/>
              <w:ind w:leftChars="0" w:left="0" w:rightChars="0" w:right="0" w:firstLineChars="0" w:firstLine="0"/>
              <w:spacing w:line="240" w:lineRule="atLeast"/>
            </w:pPr>
          </w:p>
        </w:tc>
        <w:tc>
          <w:tcPr>
            <w:tcW w:w="817" w:type="pct"/>
            <w:vAlign w:val="center"/>
          </w:tcPr>
          <w:p w:rsidR="0018722C">
            <w:pPr>
              <w:pStyle w:val="a5"/>
              <w:topLinePunct/>
              <w:ind w:leftChars="0" w:left="0" w:rightChars="0" w:right="0" w:firstLineChars="0" w:firstLine="0"/>
              <w:spacing w:line="240" w:lineRule="atLeast"/>
            </w:pPr>
          </w:p>
        </w:tc>
        <w:tc>
          <w:tcPr>
            <w:tcW w:w="535" w:type="pct"/>
            <w:vAlign w:val="center"/>
          </w:tcPr>
          <w:p w:rsidR="0018722C">
            <w:pPr>
              <w:pStyle w:val="ad"/>
              <w:topLinePunct/>
              <w:ind w:leftChars="0" w:left="0" w:rightChars="0" w:right="0" w:firstLineChars="0" w:firstLine="0"/>
              <w:spacing w:line="240" w:lineRule="atLeast"/>
            </w:pP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No</w:t>
            </w:r>
          </w:p>
        </w:tc>
        <w:tc>
          <w:tcPr>
            <w:tcW w:w="837" w:type="pct"/>
            <w:vAlign w:val="center"/>
          </w:tcPr>
          <w:p w:rsidR="0018722C">
            <w:pPr>
              <w:pStyle w:val="affff9"/>
              <w:topLinePunct/>
              <w:ind w:leftChars="0" w:left="0" w:rightChars="0" w:right="0" w:firstLineChars="0" w:firstLine="0"/>
              <w:spacing w:line="240" w:lineRule="atLeast"/>
            </w:pPr>
            <w:r w:rsidRPr="00000000">
              <w:rPr>
                <w:sz w:val="24"/>
                <w:szCs w:val="24"/>
              </w:rPr>
              <w:t>10</w:t>
            </w:r>
          </w:p>
        </w:tc>
        <w:tc>
          <w:tcPr>
            <w:tcW w:w="858" w:type="pct"/>
            <w:vAlign w:val="center"/>
          </w:tcPr>
          <w:p w:rsidR="0018722C">
            <w:pPr>
              <w:pStyle w:val="affff9"/>
              <w:topLinePunct/>
              <w:ind w:leftChars="0" w:left="0" w:rightChars="0" w:right="0" w:firstLineChars="0" w:firstLine="0"/>
              <w:spacing w:line="240" w:lineRule="atLeast"/>
            </w:pPr>
            <w:r w:rsidRPr="00000000">
              <w:rPr>
                <w:sz w:val="24"/>
                <w:szCs w:val="24"/>
              </w:rPr>
              <w:t>10</w:t>
            </w:r>
          </w:p>
        </w:tc>
        <w:tc>
          <w:tcPr>
            <w:tcW w:w="435" w:type="pct"/>
            <w:vAlign w:val="center"/>
          </w:tcPr>
          <w:p w:rsidR="0018722C">
            <w:pPr>
              <w:pStyle w:val="affff9"/>
              <w:topLinePunct/>
              <w:ind w:leftChars="0" w:left="0" w:rightChars="0" w:right="0" w:firstLineChars="0" w:firstLine="0"/>
              <w:spacing w:line="240" w:lineRule="atLeast"/>
            </w:pPr>
            <w:r w:rsidRPr="00000000">
              <w:rPr>
                <w:sz w:val="24"/>
                <w:szCs w:val="24"/>
              </w:rPr>
              <w:t>0.734</w:t>
            </w:r>
          </w:p>
        </w:tc>
        <w:tc>
          <w:tcPr>
            <w:tcW w:w="717" w:type="pct"/>
            <w:vAlign w:val="center"/>
          </w:tcPr>
          <w:p w:rsidR="0018722C">
            <w:pPr>
              <w:pStyle w:val="affff9"/>
              <w:topLinePunct/>
              <w:ind w:leftChars="0" w:left="0" w:rightChars="0" w:right="0" w:firstLineChars="0" w:firstLine="0"/>
              <w:spacing w:line="240" w:lineRule="atLeast"/>
            </w:pPr>
            <w:r w:rsidRPr="00000000">
              <w:rPr>
                <w:sz w:val="24"/>
                <w:szCs w:val="24"/>
              </w:rPr>
              <w:t>14</w:t>
            </w:r>
          </w:p>
        </w:tc>
        <w:tc>
          <w:tcPr>
            <w:tcW w:w="817" w:type="pct"/>
            <w:vAlign w:val="center"/>
          </w:tcPr>
          <w:p w:rsidR="0018722C">
            <w:pPr>
              <w:pStyle w:val="affff9"/>
              <w:topLinePunct/>
              <w:ind w:leftChars="0" w:left="0" w:rightChars="0" w:right="0" w:firstLineChars="0" w:firstLine="0"/>
              <w:spacing w:line="240" w:lineRule="atLeast"/>
            </w:pPr>
            <w:r w:rsidRPr="00000000">
              <w:rPr>
                <w:sz w:val="24"/>
                <w:szCs w:val="24"/>
              </w:rPr>
              <w:t>6</w:t>
            </w:r>
          </w:p>
        </w:tc>
        <w:tc>
          <w:tcPr>
            <w:tcW w:w="535" w:type="pct"/>
            <w:vAlign w:val="center"/>
          </w:tcPr>
          <w:p w:rsidR="0018722C">
            <w:pPr>
              <w:pStyle w:val="affff9"/>
              <w:topLinePunct/>
              <w:ind w:leftChars="0" w:left="0" w:rightChars="0" w:right="0" w:firstLineChars="0" w:firstLine="0"/>
              <w:spacing w:line="240" w:lineRule="atLeast"/>
            </w:pPr>
            <w:r w:rsidRPr="00000000">
              <w:rPr>
                <w:sz w:val="24"/>
                <w:szCs w:val="24"/>
              </w:rPr>
              <w:t>0.472</w:t>
            </w: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Yes</w:t>
            </w:r>
          </w:p>
        </w:tc>
        <w:tc>
          <w:tcPr>
            <w:tcW w:w="837" w:type="pct"/>
            <w:vAlign w:val="center"/>
          </w:tcPr>
          <w:p w:rsidR="0018722C">
            <w:pPr>
              <w:pStyle w:val="affff9"/>
              <w:topLinePunct/>
              <w:ind w:leftChars="0" w:left="0" w:rightChars="0" w:right="0" w:firstLineChars="0" w:firstLine="0"/>
              <w:spacing w:line="240" w:lineRule="atLeast"/>
            </w:pPr>
            <w:r w:rsidRPr="00000000">
              <w:rPr>
                <w:sz w:val="24"/>
                <w:szCs w:val="24"/>
              </w:rPr>
              <w:t>52</w:t>
            </w:r>
          </w:p>
        </w:tc>
        <w:tc>
          <w:tcPr>
            <w:tcW w:w="858" w:type="pct"/>
            <w:vAlign w:val="center"/>
          </w:tcPr>
          <w:p w:rsidR="0018722C">
            <w:pPr>
              <w:pStyle w:val="affff9"/>
              <w:topLinePunct/>
              <w:ind w:leftChars="0" w:left="0" w:rightChars="0" w:right="0" w:firstLineChars="0" w:firstLine="0"/>
              <w:spacing w:line="240" w:lineRule="atLeast"/>
            </w:pPr>
            <w:r w:rsidRPr="00000000">
              <w:rPr>
                <w:sz w:val="24"/>
                <w:szCs w:val="24"/>
              </w:rPr>
              <w:t>44</w:t>
            </w:r>
          </w:p>
        </w:tc>
        <w:tc>
          <w:tcPr>
            <w:tcW w:w="435" w:type="pct"/>
            <w:vAlign w:val="center"/>
          </w:tcPr>
          <w:p w:rsidR="0018722C">
            <w:pPr>
              <w:pStyle w:val="a5"/>
              <w:topLinePunct/>
              <w:ind w:leftChars="0" w:left="0" w:rightChars="0" w:right="0" w:firstLineChars="0" w:firstLine="0"/>
              <w:spacing w:line="240" w:lineRule="atLeast"/>
            </w:pPr>
          </w:p>
        </w:tc>
        <w:tc>
          <w:tcPr>
            <w:tcW w:w="717" w:type="pct"/>
            <w:vAlign w:val="center"/>
          </w:tcPr>
          <w:p w:rsidR="0018722C">
            <w:pPr>
              <w:pStyle w:val="affff9"/>
              <w:topLinePunct/>
              <w:ind w:leftChars="0" w:left="0" w:rightChars="0" w:right="0" w:firstLineChars="0" w:firstLine="0"/>
              <w:spacing w:line="240" w:lineRule="atLeast"/>
            </w:pPr>
            <w:r w:rsidRPr="00000000">
              <w:rPr>
                <w:sz w:val="24"/>
                <w:szCs w:val="24"/>
              </w:rPr>
              <w:t>59</w:t>
            </w:r>
          </w:p>
        </w:tc>
        <w:tc>
          <w:tcPr>
            <w:tcW w:w="817" w:type="pct"/>
            <w:vAlign w:val="center"/>
          </w:tcPr>
          <w:p w:rsidR="0018722C">
            <w:pPr>
              <w:pStyle w:val="affff9"/>
              <w:topLinePunct/>
              <w:ind w:leftChars="0" w:left="0" w:rightChars="0" w:right="0" w:firstLineChars="0" w:firstLine="0"/>
              <w:spacing w:line="240" w:lineRule="atLeast"/>
            </w:pPr>
            <w:r w:rsidRPr="00000000">
              <w:rPr>
                <w:sz w:val="24"/>
                <w:szCs w:val="24"/>
              </w:rPr>
              <w:t>37</w:t>
            </w:r>
          </w:p>
        </w:tc>
        <w:tc>
          <w:tcPr>
            <w:tcW w:w="535" w:type="pct"/>
            <w:vAlign w:val="center"/>
          </w:tcPr>
          <w:p w:rsidR="0018722C">
            <w:pPr>
              <w:pStyle w:val="ad"/>
              <w:topLinePunct/>
              <w:ind w:leftChars="0" w:left="0" w:rightChars="0" w:right="0" w:firstLineChars="0" w:firstLine="0"/>
              <w:spacing w:line="240" w:lineRule="atLeast"/>
            </w:pP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AFP, ng</w:t>
            </w:r>
            <w:r w:rsidRPr="00000000">
              <w:rPr>
                <w:sz w:val="24"/>
                <w:szCs w:val="24"/>
              </w:rPr>
              <w:t>/</w:t>
            </w:r>
            <w:r w:rsidRPr="00000000">
              <w:rPr>
                <w:sz w:val="24"/>
                <w:szCs w:val="24"/>
              </w:rPr>
              <w:t>mL</w:t>
            </w:r>
          </w:p>
        </w:tc>
        <w:tc>
          <w:tcPr>
            <w:tcW w:w="837" w:type="pct"/>
            <w:vAlign w:val="center"/>
          </w:tcPr>
          <w:p w:rsidR="0018722C">
            <w:pPr>
              <w:pStyle w:val="a5"/>
              <w:topLinePunct/>
              <w:ind w:leftChars="0" w:left="0" w:rightChars="0" w:right="0" w:firstLineChars="0" w:firstLine="0"/>
              <w:spacing w:line="240" w:lineRule="atLeast"/>
            </w:pPr>
          </w:p>
        </w:tc>
        <w:tc>
          <w:tcPr>
            <w:tcW w:w="858" w:type="pct"/>
            <w:vAlign w:val="center"/>
          </w:tcPr>
          <w:p w:rsidR="0018722C">
            <w:pPr>
              <w:pStyle w:val="a5"/>
              <w:topLinePunct/>
              <w:ind w:leftChars="0" w:left="0" w:rightChars="0" w:right="0" w:firstLineChars="0" w:firstLine="0"/>
              <w:spacing w:line="240" w:lineRule="atLeast"/>
            </w:pPr>
          </w:p>
        </w:tc>
        <w:tc>
          <w:tcPr>
            <w:tcW w:w="435" w:type="pct"/>
            <w:vAlign w:val="center"/>
          </w:tcPr>
          <w:p w:rsidR="0018722C">
            <w:pPr>
              <w:pStyle w:val="a5"/>
              <w:topLinePunct/>
              <w:ind w:leftChars="0" w:left="0" w:rightChars="0" w:right="0" w:firstLineChars="0" w:firstLine="0"/>
              <w:spacing w:line="240" w:lineRule="atLeast"/>
            </w:pPr>
          </w:p>
        </w:tc>
        <w:tc>
          <w:tcPr>
            <w:tcW w:w="717" w:type="pct"/>
            <w:vAlign w:val="center"/>
          </w:tcPr>
          <w:p w:rsidR="0018722C">
            <w:pPr>
              <w:pStyle w:val="a5"/>
              <w:topLinePunct/>
              <w:ind w:leftChars="0" w:left="0" w:rightChars="0" w:right="0" w:firstLineChars="0" w:firstLine="0"/>
              <w:spacing w:line="240" w:lineRule="atLeast"/>
            </w:pPr>
          </w:p>
        </w:tc>
        <w:tc>
          <w:tcPr>
            <w:tcW w:w="817" w:type="pct"/>
            <w:vAlign w:val="center"/>
          </w:tcPr>
          <w:p w:rsidR="0018722C">
            <w:pPr>
              <w:pStyle w:val="a5"/>
              <w:topLinePunct/>
              <w:ind w:leftChars="0" w:left="0" w:rightChars="0" w:right="0" w:firstLineChars="0" w:firstLine="0"/>
              <w:spacing w:line="240" w:lineRule="atLeast"/>
            </w:pPr>
          </w:p>
        </w:tc>
        <w:tc>
          <w:tcPr>
            <w:tcW w:w="535" w:type="pct"/>
            <w:vAlign w:val="center"/>
          </w:tcPr>
          <w:p w:rsidR="0018722C">
            <w:pPr>
              <w:pStyle w:val="ad"/>
              <w:topLinePunct/>
              <w:ind w:leftChars="0" w:left="0" w:rightChars="0" w:right="0" w:firstLineChars="0" w:firstLine="0"/>
              <w:spacing w:line="240" w:lineRule="atLeast"/>
            </w:pP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w:t>
            </w:r>
            <w:r w:rsidRPr="00000000">
              <w:rPr>
                <w:sz w:val="24"/>
                <w:szCs w:val="24"/>
              </w:rPr>
              <w:t>400</w:t>
            </w:r>
          </w:p>
        </w:tc>
        <w:tc>
          <w:tcPr>
            <w:tcW w:w="837" w:type="pct"/>
            <w:vAlign w:val="center"/>
          </w:tcPr>
          <w:p w:rsidR="0018722C">
            <w:pPr>
              <w:pStyle w:val="affff9"/>
              <w:topLinePunct/>
              <w:ind w:leftChars="0" w:left="0" w:rightChars="0" w:right="0" w:firstLineChars="0" w:firstLine="0"/>
              <w:spacing w:line="240" w:lineRule="atLeast"/>
            </w:pPr>
            <w:r w:rsidRPr="00000000">
              <w:rPr>
                <w:sz w:val="24"/>
                <w:szCs w:val="24"/>
              </w:rPr>
              <w:t>41</w:t>
            </w:r>
          </w:p>
        </w:tc>
        <w:tc>
          <w:tcPr>
            <w:tcW w:w="858" w:type="pct"/>
            <w:vAlign w:val="center"/>
          </w:tcPr>
          <w:p w:rsidR="0018722C">
            <w:pPr>
              <w:pStyle w:val="affff9"/>
              <w:topLinePunct/>
              <w:ind w:leftChars="0" w:left="0" w:rightChars="0" w:right="0" w:firstLineChars="0" w:firstLine="0"/>
              <w:spacing w:line="240" w:lineRule="atLeast"/>
            </w:pPr>
            <w:r w:rsidRPr="00000000">
              <w:rPr>
                <w:sz w:val="24"/>
                <w:szCs w:val="24"/>
              </w:rPr>
              <w:t>44</w:t>
            </w:r>
          </w:p>
        </w:tc>
        <w:tc>
          <w:tcPr>
            <w:tcW w:w="435" w:type="pct"/>
            <w:vAlign w:val="center"/>
          </w:tcPr>
          <w:p w:rsidR="0018722C">
            <w:pPr>
              <w:pStyle w:val="affff9"/>
              <w:topLinePunct/>
              <w:ind w:leftChars="0" w:left="0" w:rightChars="0" w:right="0" w:firstLineChars="0" w:firstLine="0"/>
              <w:spacing w:line="240" w:lineRule="atLeast"/>
            </w:pPr>
            <w:r w:rsidRPr="00000000">
              <w:rPr>
                <w:sz w:val="24"/>
                <w:szCs w:val="24"/>
              </w:rPr>
              <w:t>0.062</w:t>
            </w:r>
          </w:p>
        </w:tc>
        <w:tc>
          <w:tcPr>
            <w:tcW w:w="717" w:type="pct"/>
            <w:vAlign w:val="center"/>
          </w:tcPr>
          <w:p w:rsidR="0018722C">
            <w:pPr>
              <w:pStyle w:val="affff9"/>
              <w:topLinePunct/>
              <w:ind w:leftChars="0" w:left="0" w:rightChars="0" w:right="0" w:firstLineChars="0" w:firstLine="0"/>
              <w:spacing w:line="240" w:lineRule="atLeast"/>
            </w:pPr>
            <w:r w:rsidRPr="00000000">
              <w:rPr>
                <w:sz w:val="24"/>
                <w:szCs w:val="24"/>
              </w:rPr>
              <w:t>56</w:t>
            </w:r>
          </w:p>
        </w:tc>
        <w:tc>
          <w:tcPr>
            <w:tcW w:w="817" w:type="pct"/>
            <w:vAlign w:val="center"/>
          </w:tcPr>
          <w:p w:rsidR="0018722C">
            <w:pPr>
              <w:pStyle w:val="affff9"/>
              <w:topLinePunct/>
              <w:ind w:leftChars="0" w:left="0" w:rightChars="0" w:right="0" w:firstLineChars="0" w:firstLine="0"/>
              <w:spacing w:line="240" w:lineRule="atLeast"/>
            </w:pPr>
            <w:r w:rsidRPr="00000000">
              <w:rPr>
                <w:sz w:val="24"/>
                <w:szCs w:val="24"/>
              </w:rPr>
              <w:t>29</w:t>
            </w:r>
          </w:p>
        </w:tc>
        <w:tc>
          <w:tcPr>
            <w:tcW w:w="535" w:type="pct"/>
            <w:vAlign w:val="center"/>
          </w:tcPr>
          <w:p w:rsidR="0018722C">
            <w:pPr>
              <w:pStyle w:val="affff9"/>
              <w:topLinePunct/>
              <w:ind w:leftChars="0" w:left="0" w:rightChars="0" w:right="0" w:firstLineChars="0" w:firstLine="0"/>
              <w:spacing w:line="240" w:lineRule="atLeast"/>
            </w:pPr>
            <w:r w:rsidRPr="00000000">
              <w:rPr>
                <w:sz w:val="24"/>
                <w:szCs w:val="24"/>
              </w:rPr>
              <w:t>0.276</w:t>
            </w: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≥400</w:t>
            </w:r>
          </w:p>
        </w:tc>
        <w:tc>
          <w:tcPr>
            <w:tcW w:w="837" w:type="pct"/>
            <w:vAlign w:val="center"/>
          </w:tcPr>
          <w:p w:rsidR="0018722C">
            <w:pPr>
              <w:pStyle w:val="affff9"/>
              <w:topLinePunct/>
              <w:ind w:leftChars="0" w:left="0" w:rightChars="0" w:right="0" w:firstLineChars="0" w:firstLine="0"/>
              <w:spacing w:line="240" w:lineRule="atLeast"/>
            </w:pPr>
            <w:r w:rsidRPr="00000000">
              <w:rPr>
                <w:sz w:val="24"/>
                <w:szCs w:val="24"/>
              </w:rPr>
              <w:t>21</w:t>
            </w:r>
          </w:p>
        </w:tc>
        <w:tc>
          <w:tcPr>
            <w:tcW w:w="858" w:type="pct"/>
            <w:vAlign w:val="center"/>
          </w:tcPr>
          <w:p w:rsidR="0018722C">
            <w:pPr>
              <w:pStyle w:val="affff9"/>
              <w:topLinePunct/>
              <w:ind w:leftChars="0" w:left="0" w:rightChars="0" w:right="0" w:firstLineChars="0" w:firstLine="0"/>
              <w:spacing w:line="240" w:lineRule="atLeast"/>
            </w:pPr>
            <w:r w:rsidRPr="00000000">
              <w:rPr>
                <w:sz w:val="24"/>
                <w:szCs w:val="24"/>
              </w:rPr>
              <w:t>10</w:t>
            </w:r>
          </w:p>
        </w:tc>
        <w:tc>
          <w:tcPr>
            <w:tcW w:w="435" w:type="pct"/>
            <w:vAlign w:val="center"/>
          </w:tcPr>
          <w:p w:rsidR="0018722C">
            <w:pPr>
              <w:pStyle w:val="a5"/>
              <w:topLinePunct/>
              <w:ind w:leftChars="0" w:left="0" w:rightChars="0" w:right="0" w:firstLineChars="0" w:firstLine="0"/>
              <w:spacing w:line="240" w:lineRule="atLeast"/>
            </w:pPr>
          </w:p>
        </w:tc>
        <w:tc>
          <w:tcPr>
            <w:tcW w:w="717" w:type="pct"/>
            <w:vAlign w:val="center"/>
          </w:tcPr>
          <w:p w:rsidR="0018722C">
            <w:pPr>
              <w:pStyle w:val="affff9"/>
              <w:topLinePunct/>
              <w:ind w:leftChars="0" w:left="0" w:rightChars="0" w:right="0" w:firstLineChars="0" w:firstLine="0"/>
              <w:spacing w:line="240" w:lineRule="atLeast"/>
            </w:pPr>
            <w:r w:rsidRPr="00000000">
              <w:rPr>
                <w:sz w:val="24"/>
                <w:szCs w:val="24"/>
              </w:rPr>
              <w:t>17</w:t>
            </w:r>
          </w:p>
        </w:tc>
        <w:tc>
          <w:tcPr>
            <w:tcW w:w="817" w:type="pct"/>
            <w:vAlign w:val="center"/>
          </w:tcPr>
          <w:p w:rsidR="0018722C">
            <w:pPr>
              <w:pStyle w:val="affff9"/>
              <w:topLinePunct/>
              <w:ind w:leftChars="0" w:left="0" w:rightChars="0" w:right="0" w:firstLineChars="0" w:firstLine="0"/>
              <w:spacing w:line="240" w:lineRule="atLeast"/>
            </w:pPr>
            <w:r w:rsidRPr="00000000">
              <w:rPr>
                <w:sz w:val="24"/>
                <w:szCs w:val="24"/>
              </w:rPr>
              <w:t>14</w:t>
            </w:r>
          </w:p>
        </w:tc>
        <w:tc>
          <w:tcPr>
            <w:tcW w:w="535" w:type="pct"/>
            <w:vAlign w:val="center"/>
          </w:tcPr>
          <w:p w:rsidR="0018722C">
            <w:pPr>
              <w:pStyle w:val="ad"/>
              <w:topLinePunct/>
              <w:ind w:leftChars="0" w:left="0" w:rightChars="0" w:right="0" w:firstLineChars="0" w:firstLine="0"/>
              <w:spacing w:line="240" w:lineRule="atLeast"/>
            </w:pP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Edmondson grade</w:t>
            </w:r>
          </w:p>
        </w:tc>
        <w:tc>
          <w:tcPr>
            <w:tcW w:w="837" w:type="pct"/>
            <w:vAlign w:val="center"/>
          </w:tcPr>
          <w:p w:rsidR="0018722C">
            <w:pPr>
              <w:pStyle w:val="a5"/>
              <w:topLinePunct/>
              <w:ind w:leftChars="0" w:left="0" w:rightChars="0" w:right="0" w:firstLineChars="0" w:firstLine="0"/>
              <w:spacing w:line="240" w:lineRule="atLeast"/>
            </w:pPr>
          </w:p>
        </w:tc>
        <w:tc>
          <w:tcPr>
            <w:tcW w:w="858" w:type="pct"/>
            <w:vAlign w:val="center"/>
          </w:tcPr>
          <w:p w:rsidR="0018722C">
            <w:pPr>
              <w:pStyle w:val="a5"/>
              <w:topLinePunct/>
              <w:ind w:leftChars="0" w:left="0" w:rightChars="0" w:right="0" w:firstLineChars="0" w:firstLine="0"/>
              <w:spacing w:line="240" w:lineRule="atLeast"/>
            </w:pPr>
          </w:p>
        </w:tc>
        <w:tc>
          <w:tcPr>
            <w:tcW w:w="435" w:type="pct"/>
            <w:vAlign w:val="center"/>
          </w:tcPr>
          <w:p w:rsidR="0018722C">
            <w:pPr>
              <w:pStyle w:val="a5"/>
              <w:topLinePunct/>
              <w:ind w:leftChars="0" w:left="0" w:rightChars="0" w:right="0" w:firstLineChars="0" w:firstLine="0"/>
              <w:spacing w:line="240" w:lineRule="atLeast"/>
            </w:pPr>
          </w:p>
        </w:tc>
        <w:tc>
          <w:tcPr>
            <w:tcW w:w="717" w:type="pct"/>
            <w:vAlign w:val="center"/>
          </w:tcPr>
          <w:p w:rsidR="0018722C">
            <w:pPr>
              <w:pStyle w:val="a5"/>
              <w:topLinePunct/>
              <w:ind w:leftChars="0" w:left="0" w:rightChars="0" w:right="0" w:firstLineChars="0" w:firstLine="0"/>
              <w:spacing w:line="240" w:lineRule="atLeast"/>
            </w:pPr>
          </w:p>
        </w:tc>
        <w:tc>
          <w:tcPr>
            <w:tcW w:w="817" w:type="pct"/>
            <w:vAlign w:val="center"/>
          </w:tcPr>
          <w:p w:rsidR="0018722C">
            <w:pPr>
              <w:pStyle w:val="a5"/>
              <w:topLinePunct/>
              <w:ind w:leftChars="0" w:left="0" w:rightChars="0" w:right="0" w:firstLineChars="0" w:firstLine="0"/>
              <w:spacing w:line="240" w:lineRule="atLeast"/>
            </w:pPr>
          </w:p>
        </w:tc>
        <w:tc>
          <w:tcPr>
            <w:tcW w:w="535" w:type="pct"/>
            <w:vAlign w:val="center"/>
          </w:tcPr>
          <w:p w:rsidR="0018722C">
            <w:pPr>
              <w:pStyle w:val="ad"/>
              <w:topLinePunct/>
              <w:ind w:leftChars="0" w:left="0" w:rightChars="0" w:right="0" w:firstLineChars="0" w:firstLine="0"/>
              <w:spacing w:line="240" w:lineRule="atLeast"/>
            </w:pP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I-II</w:t>
            </w:r>
          </w:p>
        </w:tc>
        <w:tc>
          <w:tcPr>
            <w:tcW w:w="837" w:type="pct"/>
            <w:vAlign w:val="center"/>
          </w:tcPr>
          <w:p w:rsidR="0018722C">
            <w:pPr>
              <w:pStyle w:val="affff9"/>
              <w:topLinePunct/>
              <w:ind w:leftChars="0" w:left="0" w:rightChars="0" w:right="0" w:firstLineChars="0" w:firstLine="0"/>
              <w:spacing w:line="240" w:lineRule="atLeast"/>
            </w:pPr>
            <w:r w:rsidRPr="00000000">
              <w:rPr>
                <w:sz w:val="24"/>
                <w:szCs w:val="24"/>
              </w:rPr>
              <w:t>26</w:t>
            </w:r>
          </w:p>
        </w:tc>
        <w:tc>
          <w:tcPr>
            <w:tcW w:w="858" w:type="pct"/>
            <w:vAlign w:val="center"/>
          </w:tcPr>
          <w:p w:rsidR="0018722C">
            <w:pPr>
              <w:pStyle w:val="affff9"/>
              <w:topLinePunct/>
              <w:ind w:leftChars="0" w:left="0" w:rightChars="0" w:right="0" w:firstLineChars="0" w:firstLine="0"/>
              <w:spacing w:line="240" w:lineRule="atLeast"/>
            </w:pPr>
            <w:r w:rsidRPr="00000000">
              <w:rPr>
                <w:sz w:val="24"/>
                <w:szCs w:val="24"/>
              </w:rPr>
              <w:t>37</w:t>
            </w:r>
          </w:p>
        </w:tc>
        <w:tc>
          <w:tcPr>
            <w:tcW w:w="435" w:type="pct"/>
            <w:vAlign w:val="center"/>
          </w:tcPr>
          <w:p w:rsidR="0018722C">
            <w:pPr>
              <w:pStyle w:val="affff9"/>
              <w:topLinePunct/>
              <w:ind w:leftChars="0" w:left="0" w:rightChars="0" w:right="0" w:firstLineChars="0" w:firstLine="0"/>
              <w:spacing w:line="240" w:lineRule="atLeast"/>
            </w:pPr>
            <w:r w:rsidRPr="00000000">
              <w:rPr>
                <w:sz w:val="24"/>
                <w:szCs w:val="24"/>
              </w:rPr>
              <w:t>0.004</w:t>
            </w:r>
          </w:p>
        </w:tc>
        <w:tc>
          <w:tcPr>
            <w:tcW w:w="717" w:type="pct"/>
            <w:vAlign w:val="center"/>
          </w:tcPr>
          <w:p w:rsidR="0018722C">
            <w:pPr>
              <w:pStyle w:val="affff9"/>
              <w:topLinePunct/>
              <w:ind w:leftChars="0" w:left="0" w:rightChars="0" w:right="0" w:firstLineChars="0" w:firstLine="0"/>
              <w:spacing w:line="240" w:lineRule="atLeast"/>
            </w:pPr>
            <w:r w:rsidRPr="00000000">
              <w:rPr>
                <w:sz w:val="24"/>
                <w:szCs w:val="24"/>
              </w:rPr>
              <w:t>46</w:t>
            </w:r>
          </w:p>
        </w:tc>
        <w:tc>
          <w:tcPr>
            <w:tcW w:w="817" w:type="pct"/>
            <w:vAlign w:val="center"/>
          </w:tcPr>
          <w:p w:rsidR="0018722C">
            <w:pPr>
              <w:pStyle w:val="affff9"/>
              <w:topLinePunct/>
              <w:ind w:leftChars="0" w:left="0" w:rightChars="0" w:right="0" w:firstLineChars="0" w:firstLine="0"/>
              <w:spacing w:line="240" w:lineRule="atLeast"/>
            </w:pPr>
            <w:r w:rsidRPr="00000000">
              <w:rPr>
                <w:sz w:val="24"/>
                <w:szCs w:val="24"/>
              </w:rPr>
              <w:t>17</w:t>
            </w:r>
          </w:p>
        </w:tc>
        <w:tc>
          <w:tcPr>
            <w:tcW w:w="535" w:type="pct"/>
            <w:vAlign w:val="center"/>
          </w:tcPr>
          <w:p w:rsidR="0018722C">
            <w:pPr>
              <w:pStyle w:val="affff9"/>
              <w:topLinePunct/>
              <w:ind w:leftChars="0" w:left="0" w:rightChars="0" w:right="0" w:firstLineChars="0" w:firstLine="0"/>
              <w:spacing w:line="240" w:lineRule="atLeast"/>
            </w:pPr>
            <w:r w:rsidRPr="00000000">
              <w:rPr>
                <w:sz w:val="24"/>
                <w:szCs w:val="24"/>
              </w:rPr>
              <w:t>0.014</w:t>
            </w: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III–IV</w:t>
            </w:r>
          </w:p>
        </w:tc>
        <w:tc>
          <w:tcPr>
            <w:tcW w:w="837" w:type="pct"/>
            <w:vAlign w:val="center"/>
          </w:tcPr>
          <w:p w:rsidR="0018722C">
            <w:pPr>
              <w:pStyle w:val="affff9"/>
              <w:topLinePunct/>
              <w:ind w:leftChars="0" w:left="0" w:rightChars="0" w:right="0" w:firstLineChars="0" w:firstLine="0"/>
              <w:spacing w:line="240" w:lineRule="atLeast"/>
            </w:pPr>
            <w:r w:rsidRPr="00000000">
              <w:rPr>
                <w:sz w:val="24"/>
                <w:szCs w:val="24"/>
              </w:rPr>
              <w:t>36</w:t>
            </w:r>
          </w:p>
        </w:tc>
        <w:tc>
          <w:tcPr>
            <w:tcW w:w="858" w:type="pct"/>
            <w:vAlign w:val="center"/>
          </w:tcPr>
          <w:p w:rsidR="0018722C">
            <w:pPr>
              <w:pStyle w:val="affff9"/>
              <w:topLinePunct/>
              <w:ind w:leftChars="0" w:left="0" w:rightChars="0" w:right="0" w:firstLineChars="0" w:firstLine="0"/>
              <w:spacing w:line="240" w:lineRule="atLeast"/>
            </w:pPr>
            <w:r w:rsidRPr="00000000">
              <w:rPr>
                <w:sz w:val="24"/>
                <w:szCs w:val="24"/>
              </w:rPr>
              <w:t>17</w:t>
            </w:r>
          </w:p>
        </w:tc>
        <w:tc>
          <w:tcPr>
            <w:tcW w:w="435" w:type="pct"/>
            <w:vAlign w:val="center"/>
          </w:tcPr>
          <w:p w:rsidR="0018722C">
            <w:pPr>
              <w:pStyle w:val="a5"/>
              <w:topLinePunct/>
              <w:ind w:leftChars="0" w:left="0" w:rightChars="0" w:right="0" w:firstLineChars="0" w:firstLine="0"/>
              <w:spacing w:line="240" w:lineRule="atLeast"/>
            </w:pPr>
          </w:p>
        </w:tc>
        <w:tc>
          <w:tcPr>
            <w:tcW w:w="717" w:type="pct"/>
            <w:vAlign w:val="center"/>
          </w:tcPr>
          <w:p w:rsidR="0018722C">
            <w:pPr>
              <w:pStyle w:val="affff9"/>
              <w:topLinePunct/>
              <w:ind w:leftChars="0" w:left="0" w:rightChars="0" w:right="0" w:firstLineChars="0" w:firstLine="0"/>
              <w:spacing w:line="240" w:lineRule="atLeast"/>
            </w:pPr>
            <w:r w:rsidRPr="00000000">
              <w:rPr>
                <w:sz w:val="24"/>
                <w:szCs w:val="24"/>
              </w:rPr>
              <w:t>27</w:t>
            </w:r>
          </w:p>
        </w:tc>
        <w:tc>
          <w:tcPr>
            <w:tcW w:w="817" w:type="pct"/>
            <w:vAlign w:val="center"/>
          </w:tcPr>
          <w:p w:rsidR="0018722C">
            <w:pPr>
              <w:pStyle w:val="affff9"/>
              <w:topLinePunct/>
              <w:ind w:leftChars="0" w:left="0" w:rightChars="0" w:right="0" w:firstLineChars="0" w:firstLine="0"/>
              <w:spacing w:line="240" w:lineRule="atLeast"/>
            </w:pPr>
            <w:r w:rsidRPr="00000000">
              <w:rPr>
                <w:sz w:val="24"/>
                <w:szCs w:val="24"/>
              </w:rPr>
              <w:t>26</w:t>
            </w:r>
          </w:p>
        </w:tc>
        <w:tc>
          <w:tcPr>
            <w:tcW w:w="535" w:type="pct"/>
            <w:vAlign w:val="center"/>
          </w:tcPr>
          <w:p w:rsidR="0018722C">
            <w:pPr>
              <w:pStyle w:val="ad"/>
              <w:topLinePunct/>
              <w:ind w:leftChars="0" w:left="0" w:rightChars="0" w:right="0" w:firstLineChars="0" w:firstLine="0"/>
              <w:spacing w:line="240" w:lineRule="atLeast"/>
            </w:pP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Child-Pugh class</w:t>
            </w:r>
          </w:p>
        </w:tc>
        <w:tc>
          <w:tcPr>
            <w:tcW w:w="837" w:type="pct"/>
            <w:vAlign w:val="center"/>
          </w:tcPr>
          <w:p w:rsidR="0018722C">
            <w:pPr>
              <w:pStyle w:val="a5"/>
              <w:topLinePunct/>
              <w:ind w:leftChars="0" w:left="0" w:rightChars="0" w:right="0" w:firstLineChars="0" w:firstLine="0"/>
              <w:spacing w:line="240" w:lineRule="atLeast"/>
            </w:pPr>
          </w:p>
        </w:tc>
        <w:tc>
          <w:tcPr>
            <w:tcW w:w="858" w:type="pct"/>
            <w:vAlign w:val="center"/>
          </w:tcPr>
          <w:p w:rsidR="0018722C">
            <w:pPr>
              <w:pStyle w:val="a5"/>
              <w:topLinePunct/>
              <w:ind w:leftChars="0" w:left="0" w:rightChars="0" w:right="0" w:firstLineChars="0" w:firstLine="0"/>
              <w:spacing w:line="240" w:lineRule="atLeast"/>
            </w:pPr>
          </w:p>
        </w:tc>
        <w:tc>
          <w:tcPr>
            <w:tcW w:w="435" w:type="pct"/>
            <w:vAlign w:val="center"/>
          </w:tcPr>
          <w:p w:rsidR="0018722C">
            <w:pPr>
              <w:pStyle w:val="a5"/>
              <w:topLinePunct/>
              <w:ind w:leftChars="0" w:left="0" w:rightChars="0" w:right="0" w:firstLineChars="0" w:firstLine="0"/>
              <w:spacing w:line="240" w:lineRule="atLeast"/>
            </w:pPr>
          </w:p>
        </w:tc>
        <w:tc>
          <w:tcPr>
            <w:tcW w:w="717" w:type="pct"/>
            <w:vAlign w:val="center"/>
          </w:tcPr>
          <w:p w:rsidR="0018722C">
            <w:pPr>
              <w:pStyle w:val="a5"/>
              <w:topLinePunct/>
              <w:ind w:leftChars="0" w:left="0" w:rightChars="0" w:right="0" w:firstLineChars="0" w:firstLine="0"/>
              <w:spacing w:line="240" w:lineRule="atLeast"/>
            </w:pPr>
          </w:p>
        </w:tc>
        <w:tc>
          <w:tcPr>
            <w:tcW w:w="817" w:type="pct"/>
            <w:vAlign w:val="center"/>
          </w:tcPr>
          <w:p w:rsidR="0018722C">
            <w:pPr>
              <w:pStyle w:val="a5"/>
              <w:topLinePunct/>
              <w:ind w:leftChars="0" w:left="0" w:rightChars="0" w:right="0" w:firstLineChars="0" w:firstLine="0"/>
              <w:spacing w:line="240" w:lineRule="atLeast"/>
            </w:pPr>
          </w:p>
        </w:tc>
        <w:tc>
          <w:tcPr>
            <w:tcW w:w="535" w:type="pct"/>
            <w:vAlign w:val="center"/>
          </w:tcPr>
          <w:p w:rsidR="0018722C">
            <w:pPr>
              <w:pStyle w:val="ad"/>
              <w:topLinePunct/>
              <w:ind w:leftChars="0" w:left="0" w:rightChars="0" w:right="0" w:firstLineChars="0" w:firstLine="0"/>
              <w:spacing w:line="240" w:lineRule="atLeast"/>
            </w:pP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A</w:t>
            </w:r>
          </w:p>
        </w:tc>
        <w:tc>
          <w:tcPr>
            <w:tcW w:w="837" w:type="pct"/>
            <w:vAlign w:val="center"/>
          </w:tcPr>
          <w:p w:rsidR="0018722C">
            <w:pPr>
              <w:pStyle w:val="affff9"/>
              <w:topLinePunct/>
              <w:ind w:leftChars="0" w:left="0" w:rightChars="0" w:right="0" w:firstLineChars="0" w:firstLine="0"/>
              <w:spacing w:line="240" w:lineRule="atLeast"/>
            </w:pPr>
            <w:r w:rsidRPr="00000000">
              <w:rPr>
                <w:sz w:val="24"/>
                <w:szCs w:val="24"/>
              </w:rPr>
              <w:t>43</w:t>
            </w:r>
          </w:p>
        </w:tc>
        <w:tc>
          <w:tcPr>
            <w:tcW w:w="858" w:type="pct"/>
            <w:vAlign w:val="center"/>
          </w:tcPr>
          <w:p w:rsidR="0018722C">
            <w:pPr>
              <w:pStyle w:val="affff9"/>
              <w:topLinePunct/>
              <w:ind w:leftChars="0" w:left="0" w:rightChars="0" w:right="0" w:firstLineChars="0" w:firstLine="0"/>
              <w:spacing w:line="240" w:lineRule="atLeast"/>
            </w:pPr>
            <w:r w:rsidRPr="00000000">
              <w:rPr>
                <w:sz w:val="24"/>
                <w:szCs w:val="24"/>
              </w:rPr>
              <w:t>48</w:t>
            </w:r>
          </w:p>
        </w:tc>
        <w:tc>
          <w:tcPr>
            <w:tcW w:w="435" w:type="pct"/>
            <w:vAlign w:val="center"/>
          </w:tcPr>
          <w:p w:rsidR="0018722C">
            <w:pPr>
              <w:pStyle w:val="affff9"/>
              <w:topLinePunct/>
              <w:ind w:leftChars="0" w:left="0" w:rightChars="0" w:right="0" w:firstLineChars="0" w:firstLine="0"/>
              <w:spacing w:line="240" w:lineRule="atLeast"/>
            </w:pPr>
            <w:r w:rsidRPr="00000000">
              <w:rPr>
                <w:sz w:val="24"/>
                <w:szCs w:val="24"/>
              </w:rPr>
              <w:t>0.773</w:t>
            </w:r>
          </w:p>
        </w:tc>
        <w:tc>
          <w:tcPr>
            <w:tcW w:w="717" w:type="pct"/>
            <w:vAlign w:val="center"/>
          </w:tcPr>
          <w:p w:rsidR="0018722C">
            <w:pPr>
              <w:pStyle w:val="affff9"/>
              <w:topLinePunct/>
              <w:ind w:leftChars="0" w:left="0" w:rightChars="0" w:right="0" w:firstLineChars="0" w:firstLine="0"/>
              <w:spacing w:line="240" w:lineRule="atLeast"/>
            </w:pPr>
            <w:r w:rsidRPr="00000000">
              <w:rPr>
                <w:sz w:val="24"/>
                <w:szCs w:val="24"/>
              </w:rPr>
              <w:t>60</w:t>
            </w:r>
          </w:p>
        </w:tc>
        <w:tc>
          <w:tcPr>
            <w:tcW w:w="817" w:type="pct"/>
            <w:vAlign w:val="center"/>
          </w:tcPr>
          <w:p w:rsidR="0018722C">
            <w:pPr>
              <w:pStyle w:val="affff9"/>
              <w:topLinePunct/>
              <w:ind w:leftChars="0" w:left="0" w:rightChars="0" w:right="0" w:firstLineChars="0" w:firstLine="0"/>
              <w:spacing w:line="240" w:lineRule="atLeast"/>
            </w:pPr>
            <w:r w:rsidRPr="00000000">
              <w:rPr>
                <w:sz w:val="24"/>
                <w:szCs w:val="24"/>
              </w:rPr>
              <w:t>31</w:t>
            </w:r>
          </w:p>
        </w:tc>
        <w:tc>
          <w:tcPr>
            <w:tcW w:w="535" w:type="pct"/>
            <w:vAlign w:val="center"/>
          </w:tcPr>
          <w:p w:rsidR="0018722C">
            <w:pPr>
              <w:pStyle w:val="affff9"/>
              <w:topLinePunct/>
              <w:ind w:leftChars="0" w:left="0" w:rightChars="0" w:right="0" w:firstLineChars="0" w:firstLine="0"/>
              <w:spacing w:line="240" w:lineRule="atLeast"/>
            </w:pPr>
            <w:r w:rsidRPr="00000000">
              <w:rPr>
                <w:sz w:val="24"/>
                <w:szCs w:val="24"/>
              </w:rPr>
              <w:t>0.201</w:t>
            </w: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B</w:t>
            </w:r>
          </w:p>
        </w:tc>
        <w:tc>
          <w:tcPr>
            <w:tcW w:w="837" w:type="pct"/>
            <w:vAlign w:val="center"/>
          </w:tcPr>
          <w:p w:rsidR="0018722C">
            <w:pPr>
              <w:pStyle w:val="affff9"/>
              <w:topLinePunct/>
              <w:ind w:leftChars="0" w:left="0" w:rightChars="0" w:right="0" w:firstLineChars="0" w:firstLine="0"/>
              <w:spacing w:line="240" w:lineRule="atLeast"/>
            </w:pPr>
            <w:r w:rsidRPr="00000000">
              <w:rPr>
                <w:sz w:val="24"/>
                <w:szCs w:val="24"/>
              </w:rPr>
              <w:t>11</w:t>
            </w:r>
          </w:p>
        </w:tc>
        <w:tc>
          <w:tcPr>
            <w:tcW w:w="858" w:type="pct"/>
            <w:vAlign w:val="center"/>
          </w:tcPr>
          <w:p w:rsidR="0018722C">
            <w:pPr>
              <w:pStyle w:val="affff9"/>
              <w:topLinePunct/>
              <w:ind w:leftChars="0" w:left="0" w:rightChars="0" w:right="0" w:firstLineChars="0" w:firstLine="0"/>
              <w:spacing w:line="240" w:lineRule="atLeast"/>
            </w:pPr>
            <w:r w:rsidRPr="00000000">
              <w:rPr>
                <w:sz w:val="24"/>
                <w:szCs w:val="24"/>
              </w:rPr>
              <w:t>14</w:t>
            </w:r>
          </w:p>
        </w:tc>
        <w:tc>
          <w:tcPr>
            <w:tcW w:w="435" w:type="pct"/>
            <w:vAlign w:val="center"/>
          </w:tcPr>
          <w:p w:rsidR="0018722C">
            <w:pPr>
              <w:pStyle w:val="a5"/>
              <w:topLinePunct/>
              <w:ind w:leftChars="0" w:left="0" w:rightChars="0" w:right="0" w:firstLineChars="0" w:firstLine="0"/>
              <w:spacing w:line="240" w:lineRule="atLeast"/>
            </w:pPr>
          </w:p>
        </w:tc>
        <w:tc>
          <w:tcPr>
            <w:tcW w:w="717" w:type="pct"/>
            <w:vAlign w:val="center"/>
          </w:tcPr>
          <w:p w:rsidR="0018722C">
            <w:pPr>
              <w:pStyle w:val="affff9"/>
              <w:topLinePunct/>
              <w:ind w:leftChars="0" w:left="0" w:rightChars="0" w:right="0" w:firstLineChars="0" w:firstLine="0"/>
              <w:spacing w:line="240" w:lineRule="atLeast"/>
            </w:pPr>
            <w:r w:rsidRPr="00000000">
              <w:rPr>
                <w:sz w:val="24"/>
                <w:szCs w:val="24"/>
              </w:rPr>
              <w:t>13</w:t>
            </w:r>
          </w:p>
        </w:tc>
        <w:tc>
          <w:tcPr>
            <w:tcW w:w="817" w:type="pct"/>
            <w:vAlign w:val="center"/>
          </w:tcPr>
          <w:p w:rsidR="0018722C">
            <w:pPr>
              <w:pStyle w:val="affff9"/>
              <w:topLinePunct/>
              <w:ind w:leftChars="0" w:left="0" w:rightChars="0" w:right="0" w:firstLineChars="0" w:firstLine="0"/>
              <w:spacing w:line="240" w:lineRule="atLeast"/>
            </w:pPr>
            <w:r w:rsidRPr="00000000">
              <w:rPr>
                <w:sz w:val="24"/>
                <w:szCs w:val="24"/>
              </w:rPr>
              <w:t>12</w:t>
            </w:r>
          </w:p>
        </w:tc>
        <w:tc>
          <w:tcPr>
            <w:tcW w:w="535" w:type="pct"/>
            <w:vAlign w:val="center"/>
          </w:tcPr>
          <w:p w:rsidR="0018722C">
            <w:pPr>
              <w:pStyle w:val="ad"/>
              <w:topLinePunct/>
              <w:ind w:leftChars="0" w:left="0" w:rightChars="0" w:right="0" w:firstLineChars="0" w:firstLine="0"/>
              <w:spacing w:line="240" w:lineRule="atLeast"/>
            </w:pP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Tumor capsule</w:t>
            </w:r>
          </w:p>
        </w:tc>
        <w:tc>
          <w:tcPr>
            <w:tcW w:w="837" w:type="pct"/>
            <w:vAlign w:val="center"/>
          </w:tcPr>
          <w:p w:rsidR="0018722C">
            <w:pPr>
              <w:pStyle w:val="a5"/>
              <w:topLinePunct/>
              <w:ind w:leftChars="0" w:left="0" w:rightChars="0" w:right="0" w:firstLineChars="0" w:firstLine="0"/>
              <w:spacing w:line="240" w:lineRule="atLeast"/>
            </w:pPr>
          </w:p>
        </w:tc>
        <w:tc>
          <w:tcPr>
            <w:tcW w:w="858" w:type="pct"/>
            <w:vAlign w:val="center"/>
          </w:tcPr>
          <w:p w:rsidR="0018722C">
            <w:pPr>
              <w:pStyle w:val="a5"/>
              <w:topLinePunct/>
              <w:ind w:leftChars="0" w:left="0" w:rightChars="0" w:right="0" w:firstLineChars="0" w:firstLine="0"/>
              <w:spacing w:line="240" w:lineRule="atLeast"/>
            </w:pPr>
          </w:p>
        </w:tc>
        <w:tc>
          <w:tcPr>
            <w:tcW w:w="435" w:type="pct"/>
            <w:vAlign w:val="center"/>
          </w:tcPr>
          <w:p w:rsidR="0018722C">
            <w:pPr>
              <w:pStyle w:val="a5"/>
              <w:topLinePunct/>
              <w:ind w:leftChars="0" w:left="0" w:rightChars="0" w:right="0" w:firstLineChars="0" w:firstLine="0"/>
              <w:spacing w:line="240" w:lineRule="atLeast"/>
            </w:pPr>
          </w:p>
        </w:tc>
        <w:tc>
          <w:tcPr>
            <w:tcW w:w="717" w:type="pct"/>
            <w:vAlign w:val="center"/>
          </w:tcPr>
          <w:p w:rsidR="0018722C">
            <w:pPr>
              <w:pStyle w:val="a5"/>
              <w:topLinePunct/>
              <w:ind w:leftChars="0" w:left="0" w:rightChars="0" w:right="0" w:firstLineChars="0" w:firstLine="0"/>
              <w:spacing w:line="240" w:lineRule="atLeast"/>
            </w:pPr>
          </w:p>
        </w:tc>
        <w:tc>
          <w:tcPr>
            <w:tcW w:w="817" w:type="pct"/>
            <w:vAlign w:val="center"/>
          </w:tcPr>
          <w:p w:rsidR="0018722C">
            <w:pPr>
              <w:pStyle w:val="a5"/>
              <w:topLinePunct/>
              <w:ind w:leftChars="0" w:left="0" w:rightChars="0" w:right="0" w:firstLineChars="0" w:firstLine="0"/>
              <w:spacing w:line="240" w:lineRule="atLeast"/>
            </w:pPr>
          </w:p>
        </w:tc>
        <w:tc>
          <w:tcPr>
            <w:tcW w:w="535" w:type="pct"/>
            <w:vAlign w:val="center"/>
          </w:tcPr>
          <w:p w:rsidR="0018722C">
            <w:pPr>
              <w:pStyle w:val="ad"/>
              <w:topLinePunct/>
              <w:ind w:leftChars="0" w:left="0" w:rightChars="0" w:right="0" w:firstLineChars="0" w:firstLine="0"/>
              <w:spacing w:line="240" w:lineRule="atLeast"/>
            </w:pP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Complete</w:t>
            </w:r>
          </w:p>
        </w:tc>
        <w:tc>
          <w:tcPr>
            <w:tcW w:w="837" w:type="pct"/>
            <w:vAlign w:val="center"/>
          </w:tcPr>
          <w:p w:rsidR="0018722C">
            <w:pPr>
              <w:pStyle w:val="affff9"/>
              <w:topLinePunct/>
              <w:ind w:leftChars="0" w:left="0" w:rightChars="0" w:right="0" w:firstLineChars="0" w:firstLine="0"/>
              <w:spacing w:line="240" w:lineRule="atLeast"/>
            </w:pPr>
            <w:r w:rsidRPr="00000000">
              <w:rPr>
                <w:sz w:val="24"/>
                <w:szCs w:val="24"/>
              </w:rPr>
              <w:t>37</w:t>
            </w:r>
          </w:p>
        </w:tc>
        <w:tc>
          <w:tcPr>
            <w:tcW w:w="858" w:type="pct"/>
            <w:vAlign w:val="center"/>
          </w:tcPr>
          <w:p w:rsidR="0018722C">
            <w:pPr>
              <w:pStyle w:val="affff9"/>
              <w:topLinePunct/>
              <w:ind w:leftChars="0" w:left="0" w:rightChars="0" w:right="0" w:firstLineChars="0" w:firstLine="0"/>
              <w:spacing w:line="240" w:lineRule="atLeast"/>
            </w:pPr>
            <w:r w:rsidRPr="00000000">
              <w:rPr>
                <w:sz w:val="24"/>
                <w:szCs w:val="24"/>
              </w:rPr>
              <w:t>34</w:t>
            </w:r>
          </w:p>
        </w:tc>
        <w:tc>
          <w:tcPr>
            <w:tcW w:w="435" w:type="pct"/>
            <w:vAlign w:val="center"/>
          </w:tcPr>
          <w:p w:rsidR="0018722C">
            <w:pPr>
              <w:pStyle w:val="affff9"/>
              <w:topLinePunct/>
              <w:ind w:leftChars="0" w:left="0" w:rightChars="0" w:right="0" w:firstLineChars="0" w:firstLine="0"/>
              <w:spacing w:line="240" w:lineRule="atLeast"/>
            </w:pPr>
            <w:r w:rsidRPr="00000000">
              <w:rPr>
                <w:sz w:val="24"/>
                <w:szCs w:val="24"/>
              </w:rPr>
              <w:t>0.717</w:t>
            </w:r>
          </w:p>
        </w:tc>
        <w:tc>
          <w:tcPr>
            <w:tcW w:w="717" w:type="pct"/>
            <w:vAlign w:val="center"/>
          </w:tcPr>
          <w:p w:rsidR="0018722C">
            <w:pPr>
              <w:pStyle w:val="affff9"/>
              <w:topLinePunct/>
              <w:ind w:leftChars="0" w:left="0" w:rightChars="0" w:right="0" w:firstLineChars="0" w:firstLine="0"/>
              <w:spacing w:line="240" w:lineRule="atLeast"/>
            </w:pPr>
            <w:r w:rsidRPr="00000000">
              <w:rPr>
                <w:sz w:val="24"/>
                <w:szCs w:val="24"/>
              </w:rPr>
              <w:t>44</w:t>
            </w:r>
          </w:p>
        </w:tc>
        <w:tc>
          <w:tcPr>
            <w:tcW w:w="817" w:type="pct"/>
            <w:vAlign w:val="center"/>
          </w:tcPr>
          <w:p w:rsidR="0018722C">
            <w:pPr>
              <w:pStyle w:val="affff9"/>
              <w:topLinePunct/>
              <w:ind w:leftChars="0" w:left="0" w:rightChars="0" w:right="0" w:firstLineChars="0" w:firstLine="0"/>
              <w:spacing w:line="240" w:lineRule="atLeast"/>
            </w:pPr>
            <w:r w:rsidRPr="00000000">
              <w:rPr>
                <w:sz w:val="24"/>
                <w:szCs w:val="24"/>
              </w:rPr>
              <w:t>27</w:t>
            </w:r>
          </w:p>
        </w:tc>
        <w:tc>
          <w:tcPr>
            <w:tcW w:w="535" w:type="pct"/>
            <w:vAlign w:val="center"/>
          </w:tcPr>
          <w:p w:rsidR="0018722C">
            <w:pPr>
              <w:pStyle w:val="affff9"/>
              <w:topLinePunct/>
              <w:ind w:leftChars="0" w:left="0" w:rightChars="0" w:right="0" w:firstLineChars="0" w:firstLine="0"/>
              <w:spacing w:line="240" w:lineRule="atLeast"/>
            </w:pPr>
            <w:r w:rsidRPr="00000000">
              <w:rPr>
                <w:sz w:val="24"/>
                <w:szCs w:val="24"/>
              </w:rPr>
              <w:t>0.788</w:t>
            </w: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Incomplete</w:t>
            </w:r>
          </w:p>
        </w:tc>
        <w:tc>
          <w:tcPr>
            <w:tcW w:w="837" w:type="pct"/>
            <w:vAlign w:val="center"/>
          </w:tcPr>
          <w:p w:rsidR="0018722C">
            <w:pPr>
              <w:pStyle w:val="affff9"/>
              <w:topLinePunct/>
              <w:ind w:leftChars="0" w:left="0" w:rightChars="0" w:right="0" w:firstLineChars="0" w:firstLine="0"/>
              <w:spacing w:line="240" w:lineRule="atLeast"/>
            </w:pPr>
            <w:r w:rsidRPr="00000000">
              <w:rPr>
                <w:sz w:val="24"/>
                <w:szCs w:val="24"/>
              </w:rPr>
              <w:t>25</w:t>
            </w:r>
          </w:p>
        </w:tc>
        <w:tc>
          <w:tcPr>
            <w:tcW w:w="858" w:type="pct"/>
            <w:vAlign w:val="center"/>
          </w:tcPr>
          <w:p w:rsidR="0018722C">
            <w:pPr>
              <w:pStyle w:val="affff9"/>
              <w:topLinePunct/>
              <w:ind w:leftChars="0" w:left="0" w:rightChars="0" w:right="0" w:firstLineChars="0" w:firstLine="0"/>
              <w:spacing w:line="240" w:lineRule="atLeast"/>
            </w:pPr>
            <w:r w:rsidRPr="00000000">
              <w:rPr>
                <w:sz w:val="24"/>
                <w:szCs w:val="24"/>
              </w:rPr>
              <w:t>20</w:t>
            </w:r>
          </w:p>
        </w:tc>
        <w:tc>
          <w:tcPr>
            <w:tcW w:w="435" w:type="pct"/>
            <w:vAlign w:val="center"/>
          </w:tcPr>
          <w:p w:rsidR="0018722C">
            <w:pPr>
              <w:pStyle w:val="a5"/>
              <w:topLinePunct/>
              <w:ind w:leftChars="0" w:left="0" w:rightChars="0" w:right="0" w:firstLineChars="0" w:firstLine="0"/>
              <w:spacing w:line="240" w:lineRule="atLeast"/>
            </w:pPr>
          </w:p>
        </w:tc>
        <w:tc>
          <w:tcPr>
            <w:tcW w:w="717" w:type="pct"/>
            <w:vAlign w:val="center"/>
          </w:tcPr>
          <w:p w:rsidR="0018722C">
            <w:pPr>
              <w:pStyle w:val="affff9"/>
              <w:topLinePunct/>
              <w:ind w:leftChars="0" w:left="0" w:rightChars="0" w:right="0" w:firstLineChars="0" w:firstLine="0"/>
              <w:spacing w:line="240" w:lineRule="atLeast"/>
            </w:pPr>
            <w:r w:rsidRPr="00000000">
              <w:rPr>
                <w:sz w:val="24"/>
                <w:szCs w:val="24"/>
              </w:rPr>
              <w:t>29</w:t>
            </w:r>
          </w:p>
        </w:tc>
        <w:tc>
          <w:tcPr>
            <w:tcW w:w="817" w:type="pct"/>
            <w:vAlign w:val="center"/>
          </w:tcPr>
          <w:p w:rsidR="0018722C">
            <w:pPr>
              <w:pStyle w:val="affff9"/>
              <w:topLinePunct/>
              <w:ind w:leftChars="0" w:left="0" w:rightChars="0" w:right="0" w:firstLineChars="0" w:firstLine="0"/>
              <w:spacing w:line="240" w:lineRule="atLeast"/>
            </w:pPr>
            <w:r w:rsidRPr="00000000">
              <w:rPr>
                <w:sz w:val="24"/>
                <w:szCs w:val="24"/>
              </w:rPr>
              <w:t>16</w:t>
            </w:r>
          </w:p>
        </w:tc>
        <w:tc>
          <w:tcPr>
            <w:tcW w:w="535" w:type="pct"/>
            <w:vAlign w:val="center"/>
          </w:tcPr>
          <w:p w:rsidR="0018722C">
            <w:pPr>
              <w:pStyle w:val="ad"/>
              <w:topLinePunct/>
              <w:ind w:leftChars="0" w:left="0" w:rightChars="0" w:right="0" w:firstLineChars="0" w:firstLine="0"/>
              <w:spacing w:line="240" w:lineRule="atLeast"/>
            </w:pP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Tumor size, cm</w:t>
            </w:r>
          </w:p>
        </w:tc>
        <w:tc>
          <w:tcPr>
            <w:tcW w:w="837" w:type="pct"/>
            <w:vAlign w:val="center"/>
          </w:tcPr>
          <w:p w:rsidR="0018722C">
            <w:pPr>
              <w:pStyle w:val="a5"/>
              <w:topLinePunct/>
              <w:ind w:leftChars="0" w:left="0" w:rightChars="0" w:right="0" w:firstLineChars="0" w:firstLine="0"/>
              <w:spacing w:line="240" w:lineRule="atLeast"/>
            </w:pPr>
            <w:r w:rsidRPr="00000000">
              <w:rPr>
                <w:sz w:val="24"/>
                <w:szCs w:val="24"/>
              </w:rPr>
              <w:t>5.7</w:t>
            </w:r>
            <w:r w:rsidRPr="00000000">
              <w:rPr>
                <w:sz w:val="24"/>
                <w:szCs w:val="24"/>
              </w:rPr>
              <w:t>(</w:t>
            </w:r>
            <w:r w:rsidRPr="00000000">
              <w:rPr>
                <w:sz w:val="24"/>
                <w:szCs w:val="24"/>
              </w:rPr>
              <w:t>3-7</w:t>
            </w:r>
            <w:r w:rsidRPr="00000000">
              <w:rPr>
                <w:sz w:val="24"/>
                <w:szCs w:val="24"/>
              </w:rPr>
              <w:t>)</w:t>
            </w:r>
          </w:p>
        </w:tc>
        <w:tc>
          <w:tcPr>
            <w:tcW w:w="858" w:type="pct"/>
            <w:vAlign w:val="center"/>
          </w:tcPr>
          <w:p w:rsidR="0018722C">
            <w:pPr>
              <w:pStyle w:val="a5"/>
              <w:topLinePunct/>
              <w:ind w:leftChars="0" w:left="0" w:rightChars="0" w:right="0" w:firstLineChars="0" w:firstLine="0"/>
              <w:spacing w:line="240" w:lineRule="atLeast"/>
            </w:pPr>
            <w:r w:rsidRPr="00000000">
              <w:rPr>
                <w:sz w:val="24"/>
                <w:szCs w:val="24"/>
              </w:rPr>
              <w:t>6.6</w:t>
            </w:r>
            <w:r w:rsidRPr="00000000">
              <w:rPr>
                <w:sz w:val="24"/>
                <w:szCs w:val="24"/>
              </w:rPr>
              <w:t>(</w:t>
            </w:r>
            <w:r w:rsidRPr="00000000">
              <w:rPr>
                <w:sz w:val="24"/>
                <w:szCs w:val="24"/>
              </w:rPr>
              <w:t>4-8.6</w:t>
            </w:r>
            <w:r w:rsidRPr="00000000">
              <w:rPr>
                <w:sz w:val="24"/>
                <w:szCs w:val="24"/>
              </w:rPr>
              <w:t>)</w:t>
            </w:r>
          </w:p>
        </w:tc>
        <w:tc>
          <w:tcPr>
            <w:tcW w:w="435" w:type="pct"/>
            <w:vAlign w:val="center"/>
          </w:tcPr>
          <w:p w:rsidR="0018722C">
            <w:pPr>
              <w:pStyle w:val="affff9"/>
              <w:topLinePunct/>
              <w:ind w:leftChars="0" w:left="0" w:rightChars="0" w:right="0" w:firstLineChars="0" w:firstLine="0"/>
              <w:spacing w:line="240" w:lineRule="atLeast"/>
            </w:pPr>
            <w:r w:rsidRPr="00000000">
              <w:rPr>
                <w:sz w:val="24"/>
                <w:szCs w:val="24"/>
              </w:rPr>
              <w:t>0.134</w:t>
            </w:r>
          </w:p>
        </w:tc>
        <w:tc>
          <w:tcPr>
            <w:tcW w:w="717"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3.5-7</w:t>
            </w:r>
            <w:r w:rsidRPr="00000000">
              <w:rPr>
                <w:sz w:val="24"/>
                <w:szCs w:val="24"/>
              </w:rPr>
              <w:t>)</w:t>
            </w:r>
          </w:p>
        </w:tc>
        <w:tc>
          <w:tcPr>
            <w:tcW w:w="817" w:type="pct"/>
            <w:vAlign w:val="center"/>
          </w:tcPr>
          <w:p w:rsidR="0018722C">
            <w:pPr>
              <w:pStyle w:val="a5"/>
              <w:topLinePunct/>
              <w:ind w:leftChars="0" w:left="0" w:rightChars="0" w:right="0" w:firstLineChars="0" w:firstLine="0"/>
              <w:spacing w:line="240" w:lineRule="atLeast"/>
            </w:pPr>
            <w:r w:rsidRPr="00000000">
              <w:rPr>
                <w:sz w:val="24"/>
                <w:szCs w:val="24"/>
              </w:rPr>
              <w:t>6</w:t>
            </w:r>
            <w:r w:rsidRPr="00000000">
              <w:rPr>
                <w:sz w:val="24"/>
                <w:szCs w:val="24"/>
              </w:rPr>
              <w:t>(</w:t>
            </w:r>
            <w:r w:rsidRPr="00000000">
              <w:rPr>
                <w:sz w:val="24"/>
                <w:szCs w:val="24"/>
              </w:rPr>
              <w:t>3.7-8.5</w:t>
            </w:r>
            <w:r w:rsidRPr="00000000">
              <w:rPr>
                <w:sz w:val="24"/>
                <w:szCs w:val="24"/>
              </w:rPr>
              <w:t>)</w:t>
            </w:r>
          </w:p>
        </w:tc>
        <w:tc>
          <w:tcPr>
            <w:tcW w:w="535" w:type="pct"/>
            <w:vAlign w:val="center"/>
          </w:tcPr>
          <w:p w:rsidR="0018722C">
            <w:pPr>
              <w:pStyle w:val="affff9"/>
              <w:topLinePunct/>
              <w:ind w:leftChars="0" w:left="0" w:rightChars="0" w:right="0" w:firstLineChars="0" w:firstLine="0"/>
              <w:spacing w:line="240" w:lineRule="atLeast"/>
            </w:pPr>
            <w:r w:rsidRPr="00000000">
              <w:rPr>
                <w:sz w:val="24"/>
                <w:szCs w:val="24"/>
              </w:rPr>
              <w:t>0.207</w:t>
            </w: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Albumin, g</w:t>
            </w:r>
            <w:r w:rsidRPr="00000000">
              <w:rPr>
                <w:sz w:val="24"/>
                <w:szCs w:val="24"/>
              </w:rPr>
              <w:t>/</w:t>
            </w:r>
            <w:r w:rsidRPr="00000000">
              <w:rPr>
                <w:sz w:val="24"/>
                <w:szCs w:val="24"/>
              </w:rPr>
              <w:t>L</w:t>
            </w:r>
          </w:p>
        </w:tc>
        <w:tc>
          <w:tcPr>
            <w:tcW w:w="837" w:type="pct"/>
            <w:vAlign w:val="center"/>
          </w:tcPr>
          <w:p w:rsidR="0018722C">
            <w:pPr>
              <w:pStyle w:val="a5"/>
              <w:topLinePunct/>
              <w:ind w:leftChars="0" w:left="0" w:rightChars="0" w:right="0" w:firstLineChars="0" w:firstLine="0"/>
              <w:spacing w:line="240" w:lineRule="atLeast"/>
            </w:pPr>
            <w:r w:rsidRPr="00000000">
              <w:rPr>
                <w:sz w:val="24"/>
                <w:szCs w:val="24"/>
              </w:rPr>
              <w:t>41.1±4.4</w:t>
            </w:r>
          </w:p>
        </w:tc>
        <w:tc>
          <w:tcPr>
            <w:tcW w:w="858" w:type="pct"/>
            <w:vAlign w:val="center"/>
          </w:tcPr>
          <w:p w:rsidR="0018722C">
            <w:pPr>
              <w:pStyle w:val="a5"/>
              <w:topLinePunct/>
              <w:ind w:leftChars="0" w:left="0" w:rightChars="0" w:right="0" w:firstLineChars="0" w:firstLine="0"/>
              <w:spacing w:line="240" w:lineRule="atLeast"/>
            </w:pPr>
            <w:r w:rsidRPr="00000000">
              <w:rPr>
                <w:sz w:val="24"/>
                <w:szCs w:val="24"/>
              </w:rPr>
              <w:t>40.4±4.6</w:t>
            </w:r>
          </w:p>
        </w:tc>
        <w:tc>
          <w:tcPr>
            <w:tcW w:w="435" w:type="pct"/>
            <w:vAlign w:val="center"/>
          </w:tcPr>
          <w:p w:rsidR="0018722C">
            <w:pPr>
              <w:pStyle w:val="affff9"/>
              <w:topLinePunct/>
              <w:ind w:leftChars="0" w:left="0" w:rightChars="0" w:right="0" w:firstLineChars="0" w:firstLine="0"/>
              <w:spacing w:line="240" w:lineRule="atLeast"/>
            </w:pPr>
            <w:r w:rsidRPr="00000000">
              <w:rPr>
                <w:sz w:val="24"/>
                <w:szCs w:val="24"/>
              </w:rPr>
              <w:t>0.434</w:t>
            </w:r>
          </w:p>
        </w:tc>
        <w:tc>
          <w:tcPr>
            <w:tcW w:w="717" w:type="pct"/>
            <w:vAlign w:val="center"/>
          </w:tcPr>
          <w:p w:rsidR="0018722C">
            <w:pPr>
              <w:pStyle w:val="a5"/>
              <w:topLinePunct/>
              <w:ind w:leftChars="0" w:left="0" w:rightChars="0" w:right="0" w:firstLineChars="0" w:firstLine="0"/>
              <w:spacing w:line="240" w:lineRule="atLeast"/>
            </w:pPr>
            <w:r w:rsidRPr="00000000">
              <w:rPr>
                <w:sz w:val="24"/>
                <w:szCs w:val="24"/>
              </w:rPr>
              <w:t>41.5±4.3</w:t>
            </w:r>
          </w:p>
        </w:tc>
        <w:tc>
          <w:tcPr>
            <w:tcW w:w="817" w:type="pct"/>
            <w:vAlign w:val="center"/>
          </w:tcPr>
          <w:p w:rsidR="0018722C">
            <w:pPr>
              <w:pStyle w:val="a5"/>
              <w:topLinePunct/>
              <w:ind w:leftChars="0" w:left="0" w:rightChars="0" w:right="0" w:firstLineChars="0" w:firstLine="0"/>
              <w:spacing w:line="240" w:lineRule="atLeast"/>
            </w:pPr>
            <w:r w:rsidRPr="00000000">
              <w:rPr>
                <w:sz w:val="24"/>
                <w:szCs w:val="24"/>
              </w:rPr>
              <w:t>40.2±4.5</w:t>
            </w:r>
          </w:p>
        </w:tc>
        <w:tc>
          <w:tcPr>
            <w:tcW w:w="535" w:type="pct"/>
            <w:vAlign w:val="center"/>
          </w:tcPr>
          <w:p w:rsidR="0018722C">
            <w:pPr>
              <w:pStyle w:val="affff9"/>
              <w:topLinePunct/>
              <w:ind w:leftChars="0" w:left="0" w:rightChars="0" w:right="0" w:firstLineChars="0" w:firstLine="0"/>
              <w:spacing w:line="240" w:lineRule="atLeast"/>
            </w:pPr>
            <w:r w:rsidRPr="00000000">
              <w:rPr>
                <w:sz w:val="24"/>
                <w:szCs w:val="24"/>
              </w:rPr>
              <w:t>0.134</w:t>
            </w: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Platele</w:t>
            </w:r>
            <w:r w:rsidRPr="00000000">
              <w:rPr>
                <w:sz w:val="24"/>
                <w:szCs w:val="24"/>
              </w:rPr>
              <w:tab/>
              <w:t>count,</w:t>
            </w:r>
          </w:p>
        </w:tc>
        <w:tc>
          <w:tcPr>
            <w:tcW w:w="837" w:type="pct"/>
            <w:vAlign w:val="center"/>
          </w:tcPr>
          <w:p w:rsidR="0018722C">
            <w:pPr>
              <w:pStyle w:val="a5"/>
              <w:topLinePunct/>
              <w:ind w:leftChars="0" w:left="0" w:rightChars="0" w:right="0" w:firstLineChars="0" w:firstLine="0"/>
              <w:spacing w:line="240" w:lineRule="atLeast"/>
            </w:pPr>
            <w:r w:rsidRPr="00000000">
              <w:rPr>
                <w:sz w:val="24"/>
                <w:szCs w:val="24"/>
              </w:rPr>
              <w:t>167.9</w:t>
            </w:r>
            <w:r w:rsidRPr="00000000">
              <w:rPr>
                <w:sz w:val="24"/>
                <w:szCs w:val="24"/>
              </w:rPr>
              <w:t>(</w:t>
            </w:r>
            <w:r w:rsidRPr="00000000">
              <w:rPr>
                <w:sz w:val="24"/>
                <w:szCs w:val="24"/>
              </w:rPr>
              <w:t>107.3-205.3</w:t>
            </w:r>
          </w:p>
        </w:tc>
        <w:tc>
          <w:tcPr>
            <w:tcW w:w="858" w:type="pct"/>
            <w:vAlign w:val="center"/>
          </w:tcPr>
          <w:p w:rsidR="0018722C">
            <w:pPr>
              <w:pStyle w:val="a5"/>
              <w:topLinePunct/>
              <w:ind w:leftChars="0" w:left="0" w:rightChars="0" w:right="0" w:firstLineChars="0" w:firstLine="0"/>
              <w:spacing w:line="240" w:lineRule="atLeast"/>
            </w:pPr>
            <w:r w:rsidRPr="00000000">
              <w:rPr>
                <w:sz w:val="24"/>
                <w:szCs w:val="24"/>
              </w:rPr>
              <w:t>186.6</w:t>
            </w:r>
            <w:r w:rsidRPr="00000000">
              <w:rPr>
                <w:sz w:val="24"/>
                <w:szCs w:val="24"/>
              </w:rPr>
              <w:t>(</w:t>
            </w:r>
            <w:r w:rsidRPr="00000000">
              <w:rPr>
                <w:sz w:val="24"/>
                <w:szCs w:val="24"/>
              </w:rPr>
              <w:t>136.3-230</w:t>
            </w:r>
            <w:r w:rsidRPr="00000000">
              <w:rPr>
                <w:sz w:val="24"/>
                <w:szCs w:val="24"/>
              </w:rPr>
              <w:t>)</w:t>
            </w:r>
          </w:p>
        </w:tc>
        <w:tc>
          <w:tcPr>
            <w:tcW w:w="435" w:type="pct"/>
            <w:vAlign w:val="center"/>
          </w:tcPr>
          <w:p w:rsidR="0018722C">
            <w:pPr>
              <w:pStyle w:val="affff9"/>
              <w:topLinePunct/>
              <w:ind w:leftChars="0" w:left="0" w:rightChars="0" w:right="0" w:firstLineChars="0" w:firstLine="0"/>
              <w:spacing w:line="240" w:lineRule="atLeast"/>
            </w:pPr>
            <w:r w:rsidRPr="00000000">
              <w:rPr>
                <w:sz w:val="24"/>
                <w:szCs w:val="24"/>
              </w:rPr>
              <w:t>0.136</w:t>
            </w:r>
          </w:p>
        </w:tc>
        <w:tc>
          <w:tcPr>
            <w:tcW w:w="717" w:type="pct"/>
            <w:vAlign w:val="center"/>
          </w:tcPr>
          <w:p w:rsidR="0018722C">
            <w:pPr>
              <w:pStyle w:val="a5"/>
              <w:topLinePunct/>
              <w:ind w:leftChars="0" w:left="0" w:rightChars="0" w:right="0" w:firstLineChars="0" w:firstLine="0"/>
              <w:spacing w:line="240" w:lineRule="atLeast"/>
            </w:pPr>
            <w:r w:rsidRPr="00000000">
              <w:rPr>
                <w:sz w:val="24"/>
                <w:szCs w:val="24"/>
              </w:rPr>
              <w:t>178.9</w:t>
            </w:r>
            <w:r w:rsidRPr="00000000">
              <w:rPr>
                <w:sz w:val="24"/>
                <w:szCs w:val="24"/>
              </w:rPr>
              <w:t>(</w:t>
            </w:r>
            <w:r w:rsidRPr="00000000">
              <w:rPr>
                <w:sz w:val="24"/>
                <w:szCs w:val="24"/>
              </w:rPr>
              <w:t>107.3-</w:t>
            </w:r>
          </w:p>
        </w:tc>
        <w:tc>
          <w:tcPr>
            <w:tcW w:w="817" w:type="pct"/>
            <w:vAlign w:val="center"/>
          </w:tcPr>
          <w:p w:rsidR="0018722C">
            <w:pPr>
              <w:pStyle w:val="a5"/>
              <w:topLinePunct/>
              <w:ind w:leftChars="0" w:left="0" w:rightChars="0" w:right="0" w:firstLineChars="0" w:firstLine="0"/>
              <w:spacing w:line="240" w:lineRule="atLeast"/>
            </w:pPr>
            <w:r w:rsidRPr="00000000">
              <w:rPr>
                <w:sz w:val="24"/>
                <w:szCs w:val="24"/>
              </w:rPr>
              <w:t>186.6</w:t>
            </w:r>
            <w:r w:rsidRPr="00000000">
              <w:rPr>
                <w:sz w:val="24"/>
                <w:szCs w:val="24"/>
              </w:rPr>
              <w:t>(</w:t>
            </w:r>
            <w:r w:rsidRPr="00000000">
              <w:rPr>
                <w:sz w:val="24"/>
                <w:szCs w:val="24"/>
              </w:rPr>
              <w:t>136.3-230</w:t>
            </w:r>
            <w:r w:rsidRPr="00000000">
              <w:rPr>
                <w:sz w:val="24"/>
                <w:szCs w:val="24"/>
              </w:rPr>
              <w:t>)</w:t>
            </w:r>
          </w:p>
        </w:tc>
        <w:tc>
          <w:tcPr>
            <w:tcW w:w="535" w:type="pct"/>
            <w:vAlign w:val="center"/>
          </w:tcPr>
          <w:p w:rsidR="0018722C">
            <w:pPr>
              <w:pStyle w:val="affff9"/>
              <w:topLinePunct/>
              <w:ind w:leftChars="0" w:left="0" w:rightChars="0" w:right="0" w:firstLineChars="0" w:firstLine="0"/>
              <w:spacing w:line="240" w:lineRule="atLeast"/>
            </w:pPr>
            <w:r w:rsidRPr="00000000">
              <w:rPr>
                <w:sz w:val="24"/>
                <w:szCs w:val="24"/>
              </w:rPr>
              <w:t>0.833</w:t>
            </w: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10</w:t>
            </w:r>
            <w:r w:rsidRPr="00000000">
              <w:rPr>
                <w:sz w:val="24"/>
                <w:szCs w:val="24"/>
              </w:rPr>
              <w:t>9</w:t>
            </w:r>
            <w:r w:rsidRPr="00000000">
              <w:rPr>
                <w:sz w:val="24"/>
                <w:szCs w:val="24"/>
              </w:rPr>
              <w:t>/</w:t>
            </w:r>
            <w:r w:rsidRPr="00000000">
              <w:rPr>
                <w:sz w:val="24"/>
                <w:szCs w:val="24"/>
              </w:rPr>
              <w:t>L</w:t>
            </w:r>
          </w:p>
        </w:tc>
        <w:tc>
          <w:tcPr>
            <w:tcW w:w="837" w:type="pct"/>
            <w:vAlign w:val="center"/>
          </w:tcPr>
          <w:p w:rsidR="0018722C">
            <w:pPr>
              <w:pStyle w:val="a5"/>
              <w:topLinePunct/>
              <w:ind w:leftChars="0" w:left="0" w:rightChars="0" w:right="0" w:firstLineChars="0" w:firstLine="0"/>
              <w:spacing w:line="240" w:lineRule="atLeast"/>
            </w:pPr>
          </w:p>
        </w:tc>
        <w:tc>
          <w:tcPr>
            <w:tcW w:w="858" w:type="pct"/>
            <w:vAlign w:val="center"/>
          </w:tcPr>
          <w:p w:rsidR="0018722C">
            <w:pPr>
              <w:pStyle w:val="a5"/>
              <w:topLinePunct/>
              <w:ind w:leftChars="0" w:left="0" w:rightChars="0" w:right="0" w:firstLineChars="0" w:firstLine="0"/>
              <w:spacing w:line="240" w:lineRule="atLeast"/>
            </w:pPr>
          </w:p>
        </w:tc>
        <w:tc>
          <w:tcPr>
            <w:tcW w:w="435" w:type="pct"/>
            <w:vAlign w:val="center"/>
          </w:tcPr>
          <w:p w:rsidR="0018722C">
            <w:pPr>
              <w:pStyle w:val="a5"/>
              <w:topLinePunct/>
              <w:ind w:leftChars="0" w:left="0" w:rightChars="0" w:right="0" w:firstLineChars="0" w:firstLine="0"/>
              <w:spacing w:line="240" w:lineRule="atLeast"/>
            </w:pPr>
          </w:p>
        </w:tc>
        <w:tc>
          <w:tcPr>
            <w:tcW w:w="717" w:type="pct"/>
            <w:vAlign w:val="center"/>
          </w:tcPr>
          <w:p w:rsidR="0018722C">
            <w:pPr>
              <w:pStyle w:val="affff9"/>
              <w:topLinePunct/>
              <w:ind w:leftChars="0" w:left="0" w:rightChars="0" w:right="0" w:firstLineChars="0" w:firstLine="0"/>
              <w:spacing w:line="240" w:lineRule="atLeast"/>
            </w:pPr>
            <w:r w:rsidRPr="00000000">
              <w:rPr>
                <w:sz w:val="24"/>
                <w:szCs w:val="24"/>
              </w:rPr>
              <w:t>205.3</w:t>
            </w:r>
          </w:p>
        </w:tc>
        <w:tc>
          <w:tcPr>
            <w:tcW w:w="817" w:type="pct"/>
            <w:vAlign w:val="center"/>
          </w:tcPr>
          <w:p w:rsidR="0018722C">
            <w:pPr>
              <w:pStyle w:val="a5"/>
              <w:topLinePunct/>
              <w:ind w:leftChars="0" w:left="0" w:rightChars="0" w:right="0" w:firstLineChars="0" w:firstLine="0"/>
              <w:spacing w:line="240" w:lineRule="atLeast"/>
            </w:pPr>
          </w:p>
        </w:tc>
        <w:tc>
          <w:tcPr>
            <w:tcW w:w="535" w:type="pct"/>
            <w:vAlign w:val="center"/>
          </w:tcPr>
          <w:p w:rsidR="0018722C">
            <w:pPr>
              <w:pStyle w:val="ad"/>
              <w:topLinePunct/>
              <w:ind w:leftChars="0" w:left="0" w:rightChars="0" w:right="0" w:firstLineChars="0" w:firstLine="0"/>
              <w:spacing w:line="240" w:lineRule="atLeast"/>
            </w:pP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AST, U</w:t>
            </w:r>
            <w:r w:rsidRPr="00000000">
              <w:rPr>
                <w:sz w:val="24"/>
                <w:szCs w:val="24"/>
              </w:rPr>
              <w:t>/</w:t>
            </w:r>
            <w:r w:rsidRPr="00000000">
              <w:rPr>
                <w:sz w:val="24"/>
                <w:szCs w:val="24"/>
              </w:rPr>
              <w:t>L</w:t>
            </w:r>
          </w:p>
        </w:tc>
        <w:tc>
          <w:tcPr>
            <w:tcW w:w="837" w:type="pct"/>
            <w:vAlign w:val="center"/>
          </w:tcPr>
          <w:p w:rsidR="0018722C">
            <w:pPr>
              <w:pStyle w:val="a5"/>
              <w:topLinePunct/>
              <w:ind w:leftChars="0" w:left="0" w:rightChars="0" w:right="0" w:firstLineChars="0" w:firstLine="0"/>
              <w:spacing w:line="240" w:lineRule="atLeast"/>
            </w:pPr>
            <w:r w:rsidRPr="00000000">
              <w:rPr>
                <w:sz w:val="24"/>
                <w:szCs w:val="24"/>
              </w:rPr>
              <w:t>56.6</w:t>
            </w:r>
            <w:r w:rsidRPr="00000000">
              <w:rPr>
                <w:sz w:val="24"/>
                <w:szCs w:val="24"/>
              </w:rPr>
              <w:t>(</w:t>
            </w:r>
            <w:r w:rsidRPr="00000000">
              <w:rPr>
                <w:sz w:val="24"/>
                <w:szCs w:val="24"/>
              </w:rPr>
              <w:t>28.3-61</w:t>
            </w:r>
            <w:r w:rsidRPr="00000000">
              <w:rPr>
                <w:sz w:val="24"/>
                <w:szCs w:val="24"/>
              </w:rPr>
              <w:t>)</w:t>
            </w:r>
          </w:p>
        </w:tc>
        <w:tc>
          <w:tcPr>
            <w:tcW w:w="858" w:type="pct"/>
            <w:vAlign w:val="center"/>
          </w:tcPr>
          <w:p w:rsidR="0018722C">
            <w:pPr>
              <w:pStyle w:val="a5"/>
              <w:topLinePunct/>
              <w:ind w:leftChars="0" w:left="0" w:rightChars="0" w:right="0" w:firstLineChars="0" w:firstLine="0"/>
              <w:spacing w:line="240" w:lineRule="atLeast"/>
            </w:pPr>
            <w:r w:rsidRPr="00000000">
              <w:rPr>
                <w:sz w:val="24"/>
                <w:szCs w:val="24"/>
              </w:rPr>
              <w:t>55.6</w:t>
            </w:r>
            <w:r w:rsidRPr="00000000">
              <w:rPr>
                <w:sz w:val="24"/>
                <w:szCs w:val="24"/>
              </w:rPr>
              <w:t>(</w:t>
            </w:r>
            <w:r w:rsidRPr="00000000">
              <w:rPr>
                <w:sz w:val="24"/>
                <w:szCs w:val="24"/>
              </w:rPr>
              <w:t>27-60</w:t>
            </w:r>
            <w:r w:rsidRPr="00000000">
              <w:rPr>
                <w:sz w:val="24"/>
                <w:szCs w:val="24"/>
              </w:rPr>
              <w:t>)</w:t>
            </w:r>
          </w:p>
        </w:tc>
        <w:tc>
          <w:tcPr>
            <w:tcW w:w="435" w:type="pct"/>
            <w:vAlign w:val="center"/>
          </w:tcPr>
          <w:p w:rsidR="0018722C">
            <w:pPr>
              <w:pStyle w:val="affff9"/>
              <w:topLinePunct/>
              <w:ind w:leftChars="0" w:left="0" w:rightChars="0" w:right="0" w:firstLineChars="0" w:firstLine="0"/>
              <w:spacing w:line="240" w:lineRule="atLeast"/>
            </w:pPr>
            <w:r w:rsidRPr="00000000">
              <w:rPr>
                <w:sz w:val="24"/>
                <w:szCs w:val="24"/>
              </w:rPr>
              <w:t>0.924</w:t>
            </w:r>
          </w:p>
        </w:tc>
        <w:tc>
          <w:tcPr>
            <w:tcW w:w="717" w:type="pct"/>
            <w:vAlign w:val="center"/>
          </w:tcPr>
          <w:p w:rsidR="0018722C">
            <w:pPr>
              <w:pStyle w:val="a5"/>
              <w:topLinePunct/>
              <w:ind w:leftChars="0" w:left="0" w:rightChars="0" w:right="0" w:firstLineChars="0" w:firstLine="0"/>
              <w:spacing w:line="240" w:lineRule="atLeast"/>
            </w:pPr>
            <w:r w:rsidRPr="00000000">
              <w:rPr>
                <w:sz w:val="24"/>
                <w:szCs w:val="24"/>
              </w:rPr>
              <w:t>38</w:t>
            </w:r>
            <w:r w:rsidRPr="00000000">
              <w:rPr>
                <w:sz w:val="24"/>
                <w:szCs w:val="24"/>
              </w:rPr>
              <w:t>(</w:t>
            </w:r>
            <w:r w:rsidRPr="00000000">
              <w:rPr>
                <w:sz w:val="24"/>
                <w:szCs w:val="24"/>
              </w:rPr>
              <w:t>27-60</w:t>
            </w:r>
            <w:r w:rsidRPr="00000000">
              <w:rPr>
                <w:sz w:val="24"/>
                <w:szCs w:val="24"/>
              </w:rPr>
              <w:t>)</w:t>
            </w:r>
          </w:p>
        </w:tc>
        <w:tc>
          <w:tcPr>
            <w:tcW w:w="817" w:type="pct"/>
            <w:vAlign w:val="center"/>
          </w:tcPr>
          <w:p w:rsidR="0018722C">
            <w:pPr>
              <w:pStyle w:val="a5"/>
              <w:topLinePunct/>
              <w:ind w:leftChars="0" w:left="0" w:rightChars="0" w:right="0" w:firstLineChars="0" w:firstLine="0"/>
              <w:spacing w:line="240" w:lineRule="atLeast"/>
            </w:pPr>
            <w:r w:rsidRPr="00000000">
              <w:rPr>
                <w:sz w:val="24"/>
                <w:szCs w:val="24"/>
              </w:rPr>
              <w:t>44</w:t>
            </w:r>
            <w:r w:rsidRPr="00000000">
              <w:rPr>
                <w:sz w:val="24"/>
                <w:szCs w:val="24"/>
              </w:rPr>
              <w:t>(</w:t>
            </w:r>
            <w:r w:rsidRPr="00000000">
              <w:rPr>
                <w:sz w:val="24"/>
                <w:szCs w:val="24"/>
              </w:rPr>
              <w:t>30.5-61.5</w:t>
            </w:r>
            <w:r w:rsidRPr="00000000">
              <w:rPr>
                <w:sz w:val="24"/>
                <w:szCs w:val="24"/>
              </w:rPr>
              <w:t>)</w:t>
            </w:r>
          </w:p>
        </w:tc>
        <w:tc>
          <w:tcPr>
            <w:tcW w:w="535" w:type="pct"/>
            <w:vAlign w:val="center"/>
          </w:tcPr>
          <w:p w:rsidR="0018722C">
            <w:pPr>
              <w:pStyle w:val="affff9"/>
              <w:topLinePunct/>
              <w:ind w:leftChars="0" w:left="0" w:rightChars="0" w:right="0" w:firstLineChars="0" w:firstLine="0"/>
              <w:spacing w:line="240" w:lineRule="atLeast"/>
            </w:pPr>
            <w:r w:rsidRPr="00000000">
              <w:rPr>
                <w:sz w:val="24"/>
                <w:szCs w:val="24"/>
              </w:rPr>
              <w:t>0.737</w:t>
            </w:r>
          </w:p>
        </w:tc>
      </w:tr>
      <w:tr>
        <w:tc>
          <w:tcPr>
            <w:tcW w:w="800" w:type="pct"/>
            <w:vAlign w:val="center"/>
          </w:tcPr>
          <w:p w:rsidR="0018722C">
            <w:pPr>
              <w:pStyle w:val="ac"/>
              <w:topLinePunct/>
              <w:ind w:leftChars="0" w:left="0" w:rightChars="0" w:right="0" w:firstLineChars="0" w:firstLine="0"/>
              <w:spacing w:line="240" w:lineRule="atLeast"/>
            </w:pPr>
            <w:r w:rsidRPr="00000000">
              <w:rPr>
                <w:sz w:val="24"/>
                <w:szCs w:val="24"/>
              </w:rPr>
              <w:t>ALT, U</w:t>
            </w:r>
            <w:r w:rsidRPr="00000000">
              <w:rPr>
                <w:sz w:val="24"/>
                <w:szCs w:val="24"/>
              </w:rPr>
              <w:t>/</w:t>
            </w:r>
            <w:r w:rsidRPr="00000000">
              <w:rPr>
                <w:sz w:val="24"/>
                <w:szCs w:val="24"/>
              </w:rPr>
              <w:t>L</w:t>
            </w:r>
          </w:p>
        </w:tc>
        <w:tc>
          <w:tcPr>
            <w:tcW w:w="837" w:type="pct"/>
            <w:vAlign w:val="center"/>
          </w:tcPr>
          <w:p w:rsidR="0018722C">
            <w:pPr>
              <w:pStyle w:val="a5"/>
              <w:topLinePunct/>
              <w:ind w:leftChars="0" w:left="0" w:rightChars="0" w:right="0" w:firstLineChars="0" w:firstLine="0"/>
              <w:spacing w:line="240" w:lineRule="atLeast"/>
            </w:pPr>
            <w:r w:rsidRPr="00000000">
              <w:rPr>
                <w:sz w:val="24"/>
                <w:szCs w:val="24"/>
              </w:rPr>
              <w:t>54.8</w:t>
            </w:r>
            <w:r w:rsidRPr="00000000">
              <w:rPr>
                <w:sz w:val="24"/>
                <w:szCs w:val="24"/>
              </w:rPr>
              <w:t>(</w:t>
            </w:r>
            <w:r w:rsidRPr="00000000">
              <w:rPr>
                <w:sz w:val="24"/>
                <w:szCs w:val="24"/>
              </w:rPr>
              <w:t>28-56</w:t>
            </w:r>
            <w:r w:rsidRPr="00000000">
              <w:rPr>
                <w:sz w:val="24"/>
                <w:szCs w:val="24"/>
              </w:rPr>
              <w:t>)</w:t>
            </w:r>
          </w:p>
        </w:tc>
        <w:tc>
          <w:tcPr>
            <w:tcW w:w="858" w:type="pct"/>
            <w:vAlign w:val="center"/>
          </w:tcPr>
          <w:p w:rsidR="0018722C">
            <w:pPr>
              <w:pStyle w:val="a5"/>
              <w:topLinePunct/>
              <w:ind w:leftChars="0" w:left="0" w:rightChars="0" w:right="0" w:firstLineChars="0" w:firstLine="0"/>
              <w:spacing w:line="240" w:lineRule="atLeast"/>
            </w:pPr>
            <w:r w:rsidRPr="00000000">
              <w:rPr>
                <w:sz w:val="24"/>
                <w:szCs w:val="24"/>
              </w:rPr>
              <w:t>62.7</w:t>
            </w:r>
            <w:r w:rsidRPr="00000000">
              <w:rPr>
                <w:sz w:val="24"/>
                <w:szCs w:val="24"/>
              </w:rPr>
              <w:t>(</w:t>
            </w:r>
            <w:r w:rsidRPr="00000000">
              <w:rPr>
                <w:sz w:val="24"/>
                <w:szCs w:val="24"/>
              </w:rPr>
              <w:t>24.8-57.9</w:t>
            </w:r>
            <w:r w:rsidRPr="00000000">
              <w:rPr>
                <w:sz w:val="24"/>
                <w:szCs w:val="24"/>
              </w:rPr>
              <w:t>)</w:t>
            </w:r>
          </w:p>
        </w:tc>
        <w:tc>
          <w:tcPr>
            <w:tcW w:w="435" w:type="pct"/>
            <w:vAlign w:val="center"/>
          </w:tcPr>
          <w:p w:rsidR="0018722C">
            <w:pPr>
              <w:pStyle w:val="affff9"/>
              <w:topLinePunct/>
              <w:ind w:leftChars="0" w:left="0" w:rightChars="0" w:right="0" w:firstLineChars="0" w:firstLine="0"/>
              <w:spacing w:line="240" w:lineRule="atLeast"/>
            </w:pPr>
            <w:r w:rsidRPr="00000000">
              <w:rPr>
                <w:sz w:val="24"/>
                <w:szCs w:val="24"/>
              </w:rPr>
              <w:t>0.539</w:t>
            </w:r>
          </w:p>
        </w:tc>
        <w:tc>
          <w:tcPr>
            <w:tcW w:w="717" w:type="pct"/>
            <w:vAlign w:val="center"/>
          </w:tcPr>
          <w:p w:rsidR="0018722C">
            <w:pPr>
              <w:pStyle w:val="a5"/>
              <w:topLinePunct/>
              <w:ind w:leftChars="0" w:left="0" w:rightChars="0" w:right="0" w:firstLineChars="0" w:firstLine="0"/>
              <w:spacing w:line="240" w:lineRule="atLeast"/>
            </w:pPr>
            <w:r w:rsidRPr="00000000">
              <w:rPr>
                <w:sz w:val="24"/>
                <w:szCs w:val="24"/>
              </w:rPr>
              <w:t>37</w:t>
            </w:r>
            <w:r w:rsidRPr="00000000">
              <w:rPr>
                <w:sz w:val="24"/>
                <w:szCs w:val="24"/>
              </w:rPr>
              <w:t>(</w:t>
            </w:r>
            <w:r w:rsidRPr="00000000">
              <w:rPr>
                <w:sz w:val="24"/>
                <w:szCs w:val="24"/>
              </w:rPr>
              <w:t>27-56</w:t>
            </w:r>
            <w:r w:rsidRPr="00000000">
              <w:rPr>
                <w:sz w:val="24"/>
                <w:szCs w:val="24"/>
              </w:rPr>
              <w:t>)</w:t>
            </w:r>
          </w:p>
        </w:tc>
        <w:tc>
          <w:tcPr>
            <w:tcW w:w="817" w:type="pct"/>
            <w:vAlign w:val="center"/>
          </w:tcPr>
          <w:p w:rsidR="0018722C">
            <w:pPr>
              <w:pStyle w:val="a5"/>
              <w:topLinePunct/>
              <w:ind w:leftChars="0" w:left="0" w:rightChars="0" w:right="0" w:firstLineChars="0" w:firstLine="0"/>
              <w:spacing w:line="240" w:lineRule="atLeast"/>
            </w:pPr>
            <w:r w:rsidRPr="00000000">
              <w:rPr>
                <w:sz w:val="24"/>
                <w:szCs w:val="24"/>
              </w:rPr>
              <w:t>38</w:t>
            </w:r>
            <w:r w:rsidRPr="00000000">
              <w:rPr>
                <w:sz w:val="24"/>
                <w:szCs w:val="24"/>
              </w:rPr>
              <w:t>(</w:t>
            </w:r>
            <w:r w:rsidRPr="00000000">
              <w:rPr>
                <w:sz w:val="24"/>
                <w:szCs w:val="24"/>
              </w:rPr>
              <w:t>27-55</w:t>
            </w:r>
            <w:r w:rsidRPr="00000000">
              <w:rPr>
                <w:sz w:val="24"/>
                <w:szCs w:val="24"/>
              </w:rPr>
              <w:t>)</w:t>
            </w:r>
          </w:p>
        </w:tc>
        <w:tc>
          <w:tcPr>
            <w:tcW w:w="535" w:type="pct"/>
            <w:vAlign w:val="center"/>
          </w:tcPr>
          <w:p w:rsidR="0018722C">
            <w:pPr>
              <w:pStyle w:val="affff9"/>
              <w:topLinePunct/>
              <w:ind w:leftChars="0" w:left="0" w:rightChars="0" w:right="0" w:firstLineChars="0" w:firstLine="0"/>
              <w:spacing w:line="240" w:lineRule="atLeast"/>
            </w:pPr>
            <w:r w:rsidRPr="00000000">
              <w:rPr>
                <w:sz w:val="24"/>
                <w:szCs w:val="24"/>
              </w:rPr>
              <w:t>0.917</w:t>
            </w:r>
          </w:p>
        </w:tc>
      </w:tr>
      <w:tr>
        <w:tc>
          <w:tcPr>
            <w:tcW w:w="800" w:type="pct"/>
            <w:vAlign w:val="center"/>
            <w:tcBorders>
              <w:top w:val="single" w:sz="4" w:space="0" w:color="auto"/>
            </w:tcBorders>
          </w:tcPr>
          <w:p w:rsidR="0018722C">
            <w:pPr>
              <w:pStyle w:val="ac"/>
              <w:topLinePunct/>
              <w:ind w:leftChars="0" w:left="0" w:rightChars="0" w:right="0" w:firstLineChars="0" w:firstLine="0"/>
              <w:spacing w:line="240" w:lineRule="atLeast"/>
            </w:pPr>
            <w:r w:rsidRPr="00000000">
              <w:rPr>
                <w:sz w:val="24"/>
                <w:szCs w:val="24"/>
                <w:b/>
              </w:rPr>
              <w:t>Total bilirubin,</w:t>
            </w:r>
          </w:p>
        </w:tc>
        <w:tc>
          <w:tcPr>
            <w:tcW w:w="837"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14.08</w:t>
            </w:r>
            <w:r w:rsidRPr="00000000">
              <w:rPr>
                <w:sz w:val="24"/>
                <w:szCs w:val="24"/>
              </w:rPr>
              <w:t>(</w:t>
            </w:r>
            <w:r w:rsidRPr="00000000">
              <w:rPr>
                <w:sz w:val="24"/>
                <w:szCs w:val="24"/>
              </w:rPr>
              <w:t>8.9-18.4</w:t>
            </w:r>
            <w:r w:rsidRPr="00000000">
              <w:rPr>
                <w:sz w:val="24"/>
                <w:szCs w:val="24"/>
              </w:rPr>
              <w:t>)</w:t>
            </w:r>
          </w:p>
        </w:tc>
        <w:tc>
          <w:tcPr>
            <w:tcW w:w="858"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14.3</w:t>
            </w:r>
            <w:r w:rsidRPr="00000000">
              <w:rPr>
                <w:sz w:val="24"/>
                <w:szCs w:val="24"/>
              </w:rPr>
              <w:t>(</w:t>
            </w:r>
            <w:r w:rsidRPr="00000000">
              <w:rPr>
                <w:sz w:val="24"/>
                <w:szCs w:val="24"/>
              </w:rPr>
              <w:t>9.4-15.3</w:t>
            </w:r>
            <w:r w:rsidRPr="00000000">
              <w:rPr>
                <w:sz w:val="24"/>
                <w:szCs w:val="24"/>
              </w:rPr>
              <w:t>)</w:t>
            </w:r>
          </w:p>
        </w:tc>
        <w:tc>
          <w:tcPr>
            <w:tcW w:w="43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0.912</w:t>
            </w:r>
          </w:p>
        </w:tc>
        <w:tc>
          <w:tcPr>
            <w:tcW w:w="717"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11.9</w:t>
            </w:r>
            <w:r w:rsidRPr="00000000">
              <w:rPr>
                <w:sz w:val="24"/>
                <w:szCs w:val="24"/>
              </w:rPr>
              <w:t>(</w:t>
            </w:r>
            <w:r w:rsidRPr="00000000">
              <w:rPr>
                <w:sz w:val="24"/>
                <w:szCs w:val="24"/>
              </w:rPr>
              <w:t>9.35-16.6</w:t>
            </w:r>
            <w:r w:rsidRPr="00000000">
              <w:rPr>
                <w:sz w:val="24"/>
                <w:szCs w:val="24"/>
              </w:rPr>
              <w:t>)</w:t>
            </w:r>
          </w:p>
        </w:tc>
        <w:tc>
          <w:tcPr>
            <w:tcW w:w="817"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13.4</w:t>
            </w:r>
            <w:r w:rsidRPr="00000000">
              <w:rPr>
                <w:sz w:val="24"/>
                <w:szCs w:val="24"/>
              </w:rPr>
              <w:t>(</w:t>
            </w:r>
            <w:r w:rsidRPr="00000000">
              <w:rPr>
                <w:sz w:val="24"/>
                <w:szCs w:val="24"/>
              </w:rPr>
              <w:t>9-17.7</w:t>
            </w:r>
            <w:r w:rsidRPr="00000000">
              <w:rPr>
                <w:sz w:val="24"/>
                <w:szCs w:val="24"/>
              </w:rPr>
              <w:t>)</w:t>
            </w:r>
          </w:p>
        </w:tc>
        <w:tc>
          <w:tcPr>
            <w:tcW w:w="53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0.580</w:t>
            </w:r>
          </w:p>
        </w:tc>
      </w:tr>
    </w:tbl>
    <w:p w:rsidR="0018722C">
      <w:pPr>
        <w:pStyle w:val="affa"/>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2344;mso-wrap-distance-left:0;mso-wrap-distance-right:0" from="31.85pt,17.900064pt" to="563.450037pt,17.900064pt" stroked="true" strokeweight="10" strokecolor="#000000">
            <v:stroke dashstyle="solid"/>
            <w10:wrap type="topAndBottom"/>
          </v:line>
        </w:pict>
      </w:r>
      <w:r>
        <w:rPr>
          <w:kern w:val="2"/>
          <w:szCs w:val="22"/>
          <w:rFonts w:cstheme="minorBidi" w:hAnsiTheme="minorHAnsi" w:eastAsiaTheme="minorHAnsi" w:asciiTheme="minorHAnsi"/>
          <w:sz w:val="20"/>
        </w:rPr>
        <w:t>μmol/L</w:t>
      </w:r>
    </w:p>
    <w:p w:rsidR="0018722C">
      <w:pPr>
        <w:topLinePunct/>
      </w:pPr>
      <w:r>
        <w:rPr>
          <w:rFonts w:cstheme="minorBidi" w:hAnsiTheme="minorHAnsi" w:eastAsiaTheme="minorHAnsi" w:asciiTheme="minorHAnsi"/>
        </w:rPr>
        <w:t>22</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affff1"/>
        <w:topLinePunct/>
      </w:pPr>
      <w:r>
        <w:pict>
          <v:shape style="margin-left:31.85pt;margin-top:90.561562pt;width:411.58pt;height:74.02pt;mso-position-horizontal-relative:page;mso-position-vertical-relative:paragraph;z-index:2416"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2"/>
                    <w:gridCol w:w="1674"/>
                    <w:gridCol w:w="511"/>
                    <w:gridCol w:w="1420"/>
                    <w:gridCol w:w="925"/>
                    <w:gridCol w:w="1524"/>
                    <w:gridCol w:w="1737"/>
                    <w:gridCol w:w="1138"/>
                  </w:tblGrid>
                  <w:tr>
                    <w:trPr>
                      <w:trHeight w:val="300" w:hRule="atLeast"/>
                    </w:trPr>
                    <w:tc>
                      <w:tcPr>
                        <w:tcW w:w="1702" w:type="dxa"/>
                        <w:tcBorders>
                          <w:top w:val="single" w:sz="4" w:space="0" w:color="000000"/>
                        </w:tcBorders>
                      </w:tcPr>
                      <w:p w:rsidR="0018722C">
                        <w:pPr>
                          <w:widowControl w:val="0"/>
                          <w:snapToGrid w:val="1"/>
                          <w:spacing w:beforeLines="0" w:afterLines="0" w:lineRule="auto" w:line="240" w:after="0" w:before="41"/>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Variable</w:t>
                        </w:r>
                      </w:p>
                    </w:tc>
                    <w:tc>
                      <w:tcPr>
                        <w:tcW w:w="1674" w:type="dxa"/>
                        <w:tcBorders>
                          <w:top w:val="single" w:sz="4" w:space="0" w:color="000000"/>
                          <w:bottom w:val="single" w:sz="4" w:space="0" w:color="000000"/>
                        </w:tcBorders>
                      </w:tcPr>
                      <w:p w:rsidR="0018722C">
                        <w:pPr>
                          <w:widowControl w:val="0"/>
                          <w:snapToGrid w:val="1"/>
                          <w:spacing w:beforeLines="0" w:afterLines="0" w:lineRule="auto" w:line="240" w:after="0" w:before="41"/>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COX-2</w:t>
                        </w:r>
                      </w:p>
                    </w:tc>
                    <w:tc>
                      <w:tcPr>
                        <w:tcW w:w="511" w:type="dxa"/>
                        <w:tcBorders>
                          <w:top w:val="single" w:sz="4" w:space="0" w:color="000000"/>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1420" w:type="dxa"/>
                        <w:tcBorders>
                          <w:top w:val="single" w:sz="4" w:space="0" w:color="000000"/>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925" w:type="dxa"/>
                        <w:tcBorders>
                          <w:top w:val="single" w:sz="4" w:space="0" w:color="000000"/>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1524" w:type="dxa"/>
                        <w:tcBorders>
                          <w:top w:val="single" w:sz="4" w:space="0" w:color="000000"/>
                          <w:bottom w:val="single" w:sz="4" w:space="0" w:color="000000"/>
                        </w:tcBorders>
                      </w:tcPr>
                      <w:p w:rsidR="0018722C">
                        <w:pPr>
                          <w:widowControl w:val="0"/>
                          <w:snapToGrid w:val="1"/>
                          <w:spacing w:beforeLines="0" w:afterLines="0" w:lineRule="auto" w:line="240" w:after="0" w:before="41"/>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EP1 recepter</w:t>
                        </w:r>
                      </w:p>
                    </w:tc>
                    <w:tc>
                      <w:tcPr>
                        <w:tcW w:w="2875" w:type="dxa"/>
                        <w:gridSpan w:val="2"/>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r>
                  <w:tr>
                    <w:trPr>
                      <w:trHeight w:val="620" w:hRule="atLeast"/>
                    </w:trPr>
                    <w:tc>
                      <w:tcPr>
                        <w:tcW w:w="1702"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2"/>
                            <w:rFonts w:cstheme="minorBidi" w:ascii="Times New Roman" w:hAnsi="Times New Roman" w:eastAsia="Times New Roman" w:cs="Times New Roman"/>
                          </w:rPr>
                        </w:pPr>
                      </w:p>
                    </w:tc>
                    <w:tc>
                      <w:tcPr>
                        <w:tcW w:w="1674" w:type="dxa"/>
                        <w:tcBorders>
                          <w:top w:val="single" w:sz="4" w:space="0" w:color="000000"/>
                          <w:bottom w:val="single" w:sz="4" w:space="0" w:color="000000"/>
                        </w:tcBorders>
                      </w:tcPr>
                      <w:p w:rsidR="0018722C">
                        <w:pPr>
                          <w:widowControl w:val="0"/>
                          <w:snapToGrid w:val="1"/>
                          <w:spacing w:beforeLines="0" w:afterLines="0" w:lineRule="auto" w:line="240" w:after="0" w:before="41"/>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Low expression</w:t>
                        </w:r>
                      </w:p>
                      <w:p w:rsidR="0018722C">
                        <w:pPr>
                          <w:widowControl w:val="0"/>
                          <w:snapToGrid w:val="1"/>
                          <w:spacing w:beforeLines="0" w:afterLines="0" w:lineRule="auto" w:line="240" w:after="0" w:before="82"/>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N=62</w:t>
                        </w:r>
                      </w:p>
                    </w:tc>
                    <w:tc>
                      <w:tcPr>
                        <w:tcW w:w="511" w:type="dxa"/>
                        <w:tcBorders>
                          <w:top w:val="single" w:sz="4" w:space="0" w:color="000000"/>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2"/>
                            <w:rFonts w:cstheme="minorBidi" w:ascii="Times New Roman" w:hAnsi="Times New Roman" w:eastAsia="Times New Roman" w:cs="Times New Roman"/>
                          </w:rPr>
                        </w:pPr>
                      </w:p>
                    </w:tc>
                    <w:tc>
                      <w:tcPr>
                        <w:tcW w:w="1420" w:type="dxa"/>
                        <w:tcBorders>
                          <w:top w:val="single" w:sz="4" w:space="0" w:color="000000"/>
                          <w:bottom w:val="single" w:sz="4" w:space="0" w:color="000000"/>
                        </w:tcBorders>
                      </w:tcPr>
                      <w:p w:rsidR="0018722C">
                        <w:pPr>
                          <w:widowControl w:val="0"/>
                          <w:snapToGrid w:val="1"/>
                          <w:spacing w:beforeLines="0" w:afterLines="0" w:lineRule="auto" w:line="240" w:after="0" w:before="41"/>
                          <w:ind w:firstLineChars="0" w:firstLine="0" w:rightChars="0" w:right="0" w:leftChars="0" w:left="14"/>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High expression</w:t>
                        </w:r>
                      </w:p>
                      <w:p w:rsidR="0018722C">
                        <w:pPr>
                          <w:widowControl w:val="0"/>
                          <w:snapToGrid w:val="1"/>
                          <w:spacing w:beforeLines="0" w:afterLines="0" w:lineRule="auto" w:line="240" w:after="0" w:before="82"/>
                          <w:ind w:firstLineChars="0" w:firstLine="0" w:rightChars="0" w:right="0" w:leftChars="0" w:left="14"/>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N=54</w:t>
                        </w:r>
                      </w:p>
                    </w:tc>
                    <w:tc>
                      <w:tcPr>
                        <w:tcW w:w="925" w:type="dxa"/>
                        <w:tcBorders>
                          <w:top w:val="single" w:sz="4" w:space="0" w:color="000000"/>
                          <w:bottom w:val="single" w:sz="4" w:space="0" w:color="000000"/>
                        </w:tcBorders>
                      </w:tcPr>
                      <w:p w:rsidR="0018722C">
                        <w:pPr>
                          <w:widowControl w:val="0"/>
                          <w:snapToGrid w:val="1"/>
                          <w:spacing w:beforeLines="0" w:afterLines="0" w:lineRule="auto" w:line="240" w:after="0" w:before="41"/>
                          <w:ind w:firstLineChars="0" w:firstLine="0" w:rightChars="0" w:right="0" w:leftChars="0" w:left="513"/>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P</w:t>
                        </w:r>
                      </w:p>
                    </w:tc>
                    <w:tc>
                      <w:tcPr>
                        <w:tcW w:w="1524" w:type="dxa"/>
                        <w:tcBorders>
                          <w:top w:val="single" w:sz="4" w:space="0" w:color="000000"/>
                          <w:bottom w:val="single" w:sz="4" w:space="0" w:color="000000"/>
                        </w:tcBorders>
                      </w:tcPr>
                      <w:p w:rsidR="0018722C">
                        <w:pPr>
                          <w:widowControl w:val="0"/>
                          <w:snapToGrid w:val="1"/>
                          <w:spacing w:beforeLines="0" w:afterLines="0" w:lineRule="auto" w:line="240" w:after="0" w:before="41"/>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Low expression</w:t>
                        </w:r>
                      </w:p>
                      <w:p w:rsidR="0018722C">
                        <w:pPr>
                          <w:widowControl w:val="0"/>
                          <w:snapToGrid w:val="1"/>
                          <w:spacing w:beforeLines="0" w:afterLines="0" w:lineRule="auto" w:line="240" w:after="0" w:before="82"/>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N=73</w:t>
                        </w:r>
                      </w:p>
                    </w:tc>
                    <w:tc>
                      <w:tcPr>
                        <w:tcW w:w="1737" w:type="dxa"/>
                        <w:tcBorders>
                          <w:top w:val="single" w:sz="4" w:space="0" w:color="000000"/>
                          <w:bottom w:val="single" w:sz="4" w:space="0" w:color="000000"/>
                        </w:tcBorders>
                      </w:tcPr>
                      <w:p w:rsidR="0018722C">
                        <w:pPr>
                          <w:widowControl w:val="0"/>
                          <w:snapToGrid w:val="1"/>
                          <w:spacing w:beforeLines="0" w:afterLines="0" w:lineRule="auto" w:line="240" w:after="0" w:before="41"/>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High expression</w:t>
                        </w:r>
                      </w:p>
                      <w:p w:rsidR="0018722C">
                        <w:pPr>
                          <w:widowControl w:val="0"/>
                          <w:snapToGrid w:val="1"/>
                          <w:spacing w:beforeLines="0" w:afterLines="0" w:lineRule="auto" w:line="240" w:after="0" w:before="82"/>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N=43</w:t>
                        </w:r>
                      </w:p>
                    </w:tc>
                    <w:tc>
                      <w:tcPr>
                        <w:tcW w:w="1138" w:type="dxa"/>
                        <w:tcBorders>
                          <w:bottom w:val="single" w:sz="4" w:space="0" w:color="000000"/>
                        </w:tcBorders>
                      </w:tcPr>
                      <w:p w:rsidR="0018722C">
                        <w:pPr>
                          <w:widowControl w:val="0"/>
                          <w:snapToGrid w:val="1"/>
                          <w:spacing w:beforeLines="0" w:afterLines="0" w:lineRule="auto" w:line="240" w:after="0" w:before="41"/>
                          <w:ind w:firstLineChars="0" w:firstLine="0" w:rightChars="0" w:right="0" w:leftChars="0" w:left="109"/>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P</w:t>
                        </w:r>
                      </w:p>
                    </w:tc>
                  </w:tr>
                  <w:tr>
                    <w:trPr>
                      <w:trHeight w:val="620" w:hRule="atLeast"/>
                    </w:trPr>
                    <w:tc>
                      <w:tcPr>
                        <w:tcW w:w="1702" w:type="dxa"/>
                        <w:tcBorders>
                          <w:top w:val="single" w:sz="4" w:space="0" w:color="000000"/>
                        </w:tcBorders>
                      </w:tcPr>
                      <w:p w:rsidR="0018722C">
                        <w:pPr>
                          <w:widowControl w:val="0"/>
                          <w:snapToGrid w:val="1"/>
                          <w:spacing w:beforeLines="0" w:afterLines="0" w:lineRule="auto" w:line="240" w:after="0" w:before="41"/>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Edmondson grade</w:t>
                        </w:r>
                      </w:p>
                      <w:p w:rsidR="0018722C">
                        <w:pPr>
                          <w:widowControl w:val="0"/>
                          <w:snapToGrid w:val="1"/>
                          <w:spacing w:beforeLines="0" w:afterLines="0" w:lineRule="auto" w:line="240" w:after="0" w:before="82"/>
                          <w:ind w:firstLineChars="0" w:firstLine="0" w:leftChars="0" w:left="346" w:rightChars="0" w:right="563"/>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I-II</w:t>
                        </w:r>
                      </w:p>
                    </w:tc>
                    <w:tc>
                      <w:tcPr>
                        <w:tcW w:w="1674" w:type="dxa"/>
                        <w:tcBorders>
                          <w:top w:val="single" w:sz="4" w:space="0" w:color="000000"/>
                        </w:tcBorders>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30"/>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26</w:t>
                        </w:r>
                      </w:p>
                    </w:tc>
                    <w:tc>
                      <w:tcPr>
                        <w:tcW w:w="511" w:type="dxa"/>
                        <w:tcBorders>
                          <w:top w:val="single" w:sz="4" w:space="0" w:color="000000"/>
                        </w:tcBorders>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30"/>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13"/>
                          <w:jc w:val="righ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37</w:t>
                        </w:r>
                      </w:p>
                    </w:tc>
                    <w:tc>
                      <w:tcPr>
                        <w:tcW w:w="1420"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2"/>
                            <w:rFonts w:cstheme="minorBidi" w:ascii="Times New Roman" w:hAnsi="Times New Roman" w:eastAsia="Times New Roman" w:cs="Times New Roman"/>
                          </w:rPr>
                        </w:pPr>
                      </w:p>
                    </w:tc>
                    <w:tc>
                      <w:tcPr>
                        <w:tcW w:w="925" w:type="dxa"/>
                        <w:tcBorders>
                          <w:top w:val="single" w:sz="4" w:space="0" w:color="000000"/>
                        </w:tcBorders>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30"/>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3"/>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0.004</w:t>
                        </w:r>
                      </w:p>
                    </w:tc>
                    <w:tc>
                      <w:tcPr>
                        <w:tcW w:w="1524" w:type="dxa"/>
                        <w:tcBorders>
                          <w:top w:val="single" w:sz="4" w:space="0" w:color="000000"/>
                        </w:tcBorders>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30"/>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46</w:t>
                        </w:r>
                      </w:p>
                    </w:tc>
                    <w:tc>
                      <w:tcPr>
                        <w:tcW w:w="1737" w:type="dxa"/>
                        <w:tcBorders>
                          <w:top w:val="single" w:sz="4" w:space="0" w:color="000000"/>
                        </w:tcBorders>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30"/>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17</w:t>
                        </w:r>
                      </w:p>
                    </w:tc>
                    <w:tc>
                      <w:tcPr>
                        <w:tcW w:w="1138" w:type="dxa"/>
                        <w:tcBorders>
                          <w:top w:val="single" w:sz="4" w:space="0" w:color="000000"/>
                        </w:tcBorders>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30"/>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0.014</w:t>
                        </w:r>
                      </w:p>
                    </w:tc>
                  </w:tr>
                  <w:tr>
                    <w:trPr>
                      <w:trHeight w:val="300" w:hRule="atLeast"/>
                    </w:trPr>
                    <w:tc>
                      <w:tcPr>
                        <w:tcW w:w="1702" w:type="dxa"/>
                        <w:tcBorders>
                          <w:bottom w:val="single" w:sz="4" w:space="0" w:color="000000"/>
                        </w:tcBorders>
                      </w:tcPr>
                      <w:p w:rsidR="0018722C">
                        <w:pPr>
                          <w:widowControl w:val="0"/>
                          <w:snapToGrid w:val="1"/>
                          <w:spacing w:beforeLines="0" w:afterLines="0" w:lineRule="auto" w:line="240" w:after="0" w:before="36"/>
                          <w:ind w:firstLineChars="0" w:firstLine="0" w:leftChars="0" w:left="587" w:rightChars="0" w:right="563"/>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III–IV</w:t>
                        </w:r>
                      </w:p>
                    </w:tc>
                    <w:tc>
                      <w:tcPr>
                        <w:tcW w:w="1674" w:type="dxa"/>
                        <w:tcBorders>
                          <w:bottom w:val="single" w:sz="4" w:space="0" w:color="000000"/>
                        </w:tcBorders>
                      </w:tcPr>
                      <w:p w:rsidR="0018722C">
                        <w:pPr>
                          <w:widowControl w:val="0"/>
                          <w:snapToGrid w:val="1"/>
                          <w:spacing w:beforeLines="0" w:afterLines="0" w:lineRule="auto" w:line="240" w:after="0" w:before="36"/>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36</w:t>
                        </w:r>
                      </w:p>
                    </w:tc>
                    <w:tc>
                      <w:tcPr>
                        <w:tcW w:w="511" w:type="dxa"/>
                        <w:tcBorders>
                          <w:bottom w:val="single" w:sz="4" w:space="0" w:color="000000"/>
                        </w:tcBorders>
                      </w:tcPr>
                      <w:p w:rsidR="0018722C">
                        <w:pPr>
                          <w:widowControl w:val="0"/>
                          <w:snapToGrid w:val="1"/>
                          <w:spacing w:beforeLines="0" w:afterLines="0" w:lineRule="auto" w:line="240" w:after="0" w:before="36"/>
                          <w:ind w:firstLineChars="0" w:firstLine="0" w:leftChars="0" w:left="0" w:rightChars="0" w:right="13"/>
                          <w:jc w:val="righ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17</w:t>
                        </w:r>
                      </w:p>
                    </w:tc>
                    <w:tc>
                      <w:tcPr>
                        <w:tcW w:w="1420"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925"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1524" w:type="dxa"/>
                        <w:tcBorders>
                          <w:bottom w:val="single" w:sz="4" w:space="0" w:color="000000"/>
                        </w:tcBorders>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27</w:t>
                        </w:r>
                      </w:p>
                    </w:tc>
                    <w:tc>
                      <w:tcPr>
                        <w:tcW w:w="1737" w:type="dxa"/>
                        <w:tcBorders>
                          <w:bottom w:val="single" w:sz="4" w:space="0" w:color="000000"/>
                        </w:tcBorders>
                      </w:tcPr>
                      <w:p w:rsidR="0018722C">
                        <w:pPr>
                          <w:widowControl w:val="0"/>
                          <w:snapToGrid w:val="1"/>
                          <w:spacing w:beforeLines="0" w:afterLines="0" w:lineRule="auto" w:line="240" w:after="0" w:before="36"/>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26</w:t>
                        </w:r>
                      </w:p>
                    </w:tc>
                    <w:tc>
                      <w:tcPr>
                        <w:tcW w:w="1138"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8"/>
                      <w:rFonts w:cstheme="minorBidi" w:ascii="宋体" w:hAnsi="宋体" w:eastAsia="宋体" w:cs="宋体"/>
                    </w:rPr>
                  </w:pPr>
                </w:p>
              </w:txbxContent>
            </v:textbox>
            <w10:wrap type="none"/>
          </v:shape>
        </w:pict>
      </w:r>
    </w:p>
    <w:p w:rsidR="0018722C">
      <w:pPr>
        <w:pStyle w:val="affff1"/>
        <w:topLinePunct/>
      </w:pPr>
      <w:r>
        <w:rPr>
          <w:spacing w:val="-18"/>
        </w:rPr>
        <w:t/>
      </w:r>
      <w:r>
        <w:rPr>
          <w:spacing w:val="-18"/>
        </w:rPr>
        <w:t>表</w:t>
      </w:r>
      <w:r>
        <w:rPr>
          <w:rFonts w:ascii="Times New Roman" w:eastAsia="Times New Roman"/>
        </w:rPr>
        <w:t>2</w:t>
      </w:r>
      <w:r>
        <w:t xml:space="preserve">: </w:t>
      </w:r>
      <w:r>
        <w:rPr>
          <w:rFonts w:ascii="Times New Roman" w:eastAsia="Times New Roman"/>
        </w:rPr>
        <w:t>116</w:t>
      </w:r>
      <w:r>
        <w:rPr>
          <w:spacing w:val="-18"/>
        </w:rPr>
        <w:t>例</w:t>
      </w:r>
      <w:r>
        <w:rPr>
          <w:rFonts w:ascii="Times New Roman" w:eastAsia="Times New Roman"/>
        </w:rPr>
        <w:t>HCC</w:t>
      </w:r>
      <w:r>
        <w:rPr>
          <w:spacing w:val="-9"/>
        </w:rPr>
        <w:t>组织中</w:t>
      </w:r>
      <w:r>
        <w:rPr>
          <w:rFonts w:ascii="Times New Roman" w:eastAsia="Times New Roman"/>
        </w:rPr>
        <w:t>COX-2</w:t>
      </w:r>
      <w:r>
        <w:rPr>
          <w:spacing w:val="-18"/>
        </w:rPr>
        <w:t>与</w:t>
      </w:r>
      <w:r>
        <w:rPr>
          <w:rFonts w:ascii="Times New Roman" w:eastAsia="Times New Roman"/>
        </w:rPr>
        <w:t>EP</w:t>
      </w:r>
      <w:r>
        <w:rPr>
          <w:rFonts w:ascii="Times New Roman" w:eastAsia="Times New Roman"/>
          <w:sz w:val="18"/>
        </w:rPr>
        <w:t>1</w:t>
      </w:r>
      <w:r>
        <w:rPr>
          <w:rFonts w:ascii="Times New Roman" w:eastAsia="Times New Roman"/>
        </w:rPr>
        <w:t>recepter</w:t>
      </w:r>
      <w:r>
        <w:t>的表达与分化等</w:t>
      </w:r>
      <w:r>
        <w:t>级的关系</w:t>
      </w:r>
      <w:r>
        <w:rPr>
          <w:rFonts w:ascii="Times New Roman" w:eastAsia="Times New Roman"/>
        </w:rPr>
        <w:t>Ta</w:t>
      </w:r>
      <w:r>
        <w:rPr>
          <w:rFonts w:ascii="Times New Roman" w:eastAsia="Times New Roman"/>
        </w:rPr>
        <w:t xml:space="preserve">ble2: the relationship between expression of COX-2</w:t>
      </w:r>
      <w:r>
        <w:t xml:space="preserve">, </w:t>
      </w:r>
      <w:r>
        <w:rPr>
          <w:rFonts w:ascii="Times New Roman" w:eastAsia="Times New Roman"/>
        </w:rPr>
        <w:t>EP</w:t>
      </w:r>
      <w:r>
        <w:rPr>
          <w:rFonts w:ascii="Times New Roman" w:eastAsia="Times New Roman"/>
          <w:sz w:val="18"/>
        </w:rPr>
        <w:t>1</w:t>
      </w:r>
      <w:r>
        <w:rPr>
          <w:rFonts w:ascii="Times New Roman" w:eastAsia="Times New Roman"/>
        </w:rPr>
        <w:t>recepter and the tissues differentiation in 116 cases of hepatocellular carcinoma</w:t>
      </w:r>
    </w:p>
    <w:p w:rsidR="0018722C">
      <w:pPr>
        <w:pStyle w:val="aff7"/>
        <w:topLinePunct/>
      </w:pPr>
      <w:r>
        <w:rPr>
          <w:rFonts w:cstheme="minorBidi" w:hAnsiTheme="minorHAnsi" w:eastAsiaTheme="minorHAnsi" w:asciiTheme="minorHAnsi"/>
        </w:rPr>
        <w:drawing>
          <wp:inline>
            <wp:extent cx="6245936" cy="2455926"/>
            <wp:effectExtent l="0" t="0" r="0" b="0"/>
            <wp:docPr id="9" name="image7.jpeg" descr=""/>
            <wp:cNvGraphicFramePr>
              <a:graphicFrameLocks noChangeAspect="1"/>
            </wp:cNvGraphicFramePr>
            <a:graphic>
              <a:graphicData uri="http://schemas.openxmlformats.org/drawingml/2006/picture">
                <pic:pic>
                  <pic:nvPicPr>
                    <pic:cNvPr id="10" name="image7.jpeg"/>
                    <pic:cNvPicPr/>
                  </pic:nvPicPr>
                  <pic:blipFill>
                    <a:blip r:embed="rId15" cstate="print"/>
                    <a:stretch>
                      <a:fillRect/>
                    </a:stretch>
                  </pic:blipFill>
                  <pic:spPr>
                    <a:xfrm>
                      <a:off x="0" y="0"/>
                      <a:ext cx="6245936" cy="2455926"/>
                    </a:xfrm>
                    <a:prstGeom prst="rect">
                      <a:avLst/>
                    </a:prstGeom>
                  </pic:spPr>
                </pic:pic>
              </a:graphicData>
            </a:graphic>
          </wp:inline>
        </w:drawing>
      </w:r>
    </w:p>
    <w:p w:rsidR="0018722C">
      <w:pPr>
        <w:topLinePunct/>
      </w:pPr>
      <w:r>
        <w:t>图</w:t>
      </w:r>
      <w:r>
        <w:rPr>
          <w:rFonts w:ascii="Times New Roman" w:eastAsia="Times New Roman"/>
        </w:rPr>
        <w:t>3</w:t>
      </w:r>
      <w:r>
        <w:t>：在不同分化等级的</w:t>
      </w:r>
      <w:r>
        <w:rPr>
          <w:rFonts w:ascii="Times New Roman" w:eastAsia="Times New Roman"/>
        </w:rPr>
        <w:t>116</w:t>
      </w:r>
      <w:r>
        <w:t>例</w:t>
      </w:r>
      <w:r>
        <w:rPr>
          <w:rFonts w:ascii="Times New Roman" w:eastAsia="Times New Roman"/>
        </w:rPr>
        <w:t>HCC</w:t>
      </w:r>
      <w:r>
        <w:t>组织中，免疫组化染色</w:t>
      </w:r>
      <w:r>
        <w:t>评分的对比</w:t>
      </w:r>
      <w:r>
        <w:rPr>
          <w:rFonts w:ascii="Times New Roman" w:eastAsia="Times New Roman"/>
        </w:rPr>
        <w:t>Fi</w:t>
      </w:r>
      <w:r>
        <w:rPr>
          <w:rFonts w:ascii="Times New Roman" w:eastAsia="Times New Roman"/>
        </w:rPr>
        <w:t xml:space="preserve">gure3: The comparison of immunohistochemical staining scores among different differentiation grade in 116 cases of hepatocellular carcinoma.</w:t>
      </w:r>
    </w:p>
    <w:p w:rsidR="0018722C">
      <w:pPr>
        <w:topLinePunct/>
      </w:pPr>
      <w:r>
        <w:rPr>
          <w:rFonts w:cstheme="minorBidi" w:hAnsiTheme="minorHAnsi" w:eastAsiaTheme="minorHAnsi" w:asciiTheme="minorHAnsi"/>
        </w:rPr>
        <w:t>23</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affff1"/>
        <w:spacing w:before="234"/>
        <w:ind w:leftChars="0" w:left="7884" w:rightChars="0" w:right="0" w:firstLineChars="0" w:firstLine="0"/>
        <w:jc w:val="left"/>
        <w:topLinePunct/>
      </w:pPr>
      <w:r>
        <w:rPr>
          <w:kern w:val="2"/>
          <w:szCs w:val="22"/>
          <w:rFonts w:cstheme="minorBidi" w:hAnsiTheme="minorHAnsi" w:eastAsiaTheme="minorHAnsi" w:asciiTheme="minorHAnsi"/>
          <w:b/>
          <w:sz w:val="24"/>
        </w:rPr>
        <w:t>COX-2</w:t>
      </w:r>
    </w:p>
    <w:p w:rsidR="0018722C">
      <w:pPr>
        <w:pStyle w:val="aff7"/>
        <w:topLinePunct/>
      </w:pPr>
      <w:r>
        <w:rPr>
          <w:kern w:val="2"/>
          <w:sz w:val="22"/>
          <w:szCs w:val="22"/>
          <w:rFonts w:cstheme="minorBidi" w:hAnsiTheme="minorHAnsi" w:eastAsiaTheme="minorHAnsi" w:asciiTheme="minorHAnsi"/>
        </w:rPr>
        <w:drawing>
          <wp:inline>
            <wp:extent cx="4424838" cy="3355276"/>
            <wp:effectExtent l="0" t="0" r="0" b="0"/>
            <wp:docPr id="11" name="image8.jpeg" descr=""/>
            <wp:cNvGraphicFramePr>
              <a:graphicFrameLocks noChangeAspect="1"/>
            </wp:cNvGraphicFramePr>
            <a:graphic>
              <a:graphicData uri="http://schemas.openxmlformats.org/drawingml/2006/picture">
                <pic:pic>
                  <pic:nvPicPr>
                    <pic:cNvPr id="12" name="image8.jpeg"/>
                    <pic:cNvPicPr/>
                  </pic:nvPicPr>
                  <pic:blipFill>
                    <a:blip r:embed="rId16" cstate="print"/>
                    <a:stretch>
                      <a:fillRect/>
                    </a:stretch>
                  </pic:blipFill>
                  <pic:spPr>
                    <a:xfrm>
                      <a:off x="0" y="0"/>
                      <a:ext cx="4424838" cy="3355276"/>
                    </a:xfrm>
                    <a:prstGeom prst="rect">
                      <a:avLst/>
                    </a:prstGeom>
                  </pic:spPr>
                </pic:pic>
              </a:graphicData>
            </a:graphic>
          </wp:inline>
        </w:drawing>
      </w:r>
    </w:p>
    <w:p w:rsidR="0018722C">
      <w:pPr>
        <w:pStyle w:val="affff1"/>
        <w:spacing w:before="158"/>
        <w:ind w:leftChars="0" w:left="0" w:rightChars="0" w:right="1313" w:firstLineChars="0" w:firstLine="0"/>
        <w:jc w:val="right"/>
        <w:topLinePunct/>
      </w:pPr>
      <w:r>
        <w:rPr>
          <w:kern w:val="2"/>
          <w:szCs w:val="22"/>
          <w:rFonts w:cstheme="minorBidi" w:hAnsiTheme="minorHAnsi" w:eastAsiaTheme="minorHAnsi" w:asciiTheme="minorHAnsi"/>
          <w:b/>
          <w:sz w:val="24"/>
        </w:rPr>
        <w:t>EP1</w:t>
      </w:r>
    </w:p>
    <w:p w:rsidR="0018722C">
      <w:pPr>
        <w:pStyle w:val="aff7"/>
        <w:topLinePunct/>
      </w:pPr>
      <w:r>
        <w:rPr>
          <w:kern w:val="2"/>
          <w:sz w:val="22"/>
          <w:szCs w:val="22"/>
          <w:rFonts w:cstheme="minorBidi" w:hAnsiTheme="minorHAnsi" w:eastAsiaTheme="minorHAnsi" w:asciiTheme="minorHAnsi"/>
        </w:rPr>
        <w:drawing>
          <wp:inline>
            <wp:extent cx="4423152" cy="3347904"/>
            <wp:effectExtent l="0" t="0" r="0" b="0"/>
            <wp:docPr id="13" name="image9.jpeg" descr=""/>
            <wp:cNvGraphicFramePr>
              <a:graphicFrameLocks noChangeAspect="1"/>
            </wp:cNvGraphicFramePr>
            <a:graphic>
              <a:graphicData uri="http://schemas.openxmlformats.org/drawingml/2006/picture">
                <pic:pic>
                  <pic:nvPicPr>
                    <pic:cNvPr id="14" name="image9.jpeg"/>
                    <pic:cNvPicPr/>
                  </pic:nvPicPr>
                  <pic:blipFill>
                    <a:blip r:embed="rId17" cstate="print"/>
                    <a:stretch>
                      <a:fillRect/>
                    </a:stretch>
                  </pic:blipFill>
                  <pic:spPr>
                    <a:xfrm>
                      <a:off x="0" y="0"/>
                      <a:ext cx="4423152" cy="3347904"/>
                    </a:xfrm>
                    <a:prstGeom prst="rect">
                      <a:avLst/>
                    </a:prstGeom>
                  </pic:spPr>
                </pic:pic>
              </a:graphicData>
            </a:graphic>
          </wp:inline>
        </w:drawing>
      </w:r>
    </w:p>
    <w:p w:rsidR="0018722C">
      <w:pPr>
        <w:pStyle w:val="a9"/>
        <w:topLinePunct/>
      </w:pPr>
      <w:r>
        <w:t>图</w:t>
      </w:r>
      <w:r>
        <w:rPr>
          <w:rFonts w:ascii="Times New Roman" w:eastAsia="宋体"/>
        </w:rPr>
        <w:t>4</w:t>
      </w:r>
      <w:r>
        <w:t xml:space="preserve">  </w:t>
      </w:r>
      <w:r>
        <w:t>在不同分化等级的</w:t>
      </w:r>
      <w:r>
        <w:rPr>
          <w:rFonts w:ascii="Times New Roman" w:eastAsia="宋体"/>
        </w:rPr>
        <w:t>HCC</w:t>
      </w:r>
      <w:r>
        <w:t>组织中，免疫组化的代表图。</w:t>
      </w:r>
      <w:r>
        <w:t>（</w:t>
      </w:r>
      <w:r>
        <w:rPr>
          <w:rFonts w:ascii="Times New Roman" w:eastAsia="宋体"/>
        </w:rPr>
        <w:t>SP </w:t>
      </w:r>
      <w:r>
        <w:t>法</w:t>
      </w:r>
    </w:p>
    <w:p w:rsidR="0018722C">
      <w:pPr>
        <w:topLinePunct/>
      </w:pPr>
      <w:r>
        <w:t>×</w:t>
      </w:r>
      <w:r>
        <w:rPr>
          <w:rFonts w:ascii="Times New Roman" w:hAnsi="Times New Roman" w:eastAsia="Times New Roman"/>
        </w:rPr>
        <w:t>100</w:t>
      </w:r>
      <w:r>
        <w:t>）</w:t>
      </w:r>
      <w:r>
        <w:rPr>
          <w:rFonts w:ascii="Times New Roman" w:hAnsi="Times New Roman" w:eastAsia="Times New Roman"/>
        </w:rPr>
        <w:t>Fi</w:t>
      </w:r>
      <w:r>
        <w:rPr>
          <w:rFonts w:ascii="Times New Roman" w:hAnsi="Times New Roman" w:eastAsia="Times New Roman"/>
        </w:rPr>
        <w:t xml:space="preserve">gure4: Representative figures of immunohistochemistry in different differentiation grade</w:t>
      </w:r>
    </w:p>
    <w:p w:rsidR="0018722C">
      <w:pPr>
        <w:pStyle w:val="Heading3"/>
        <w:topLinePunct/>
        <w:ind w:left="200" w:hangingChars="200" w:hanging="200"/>
      </w:pPr>
      <w:r>
        <w:rPr>
          <w:b/>
        </w:rPr>
        <w:t>2.3.</w:t>
      </w:r>
      <w:r>
        <w:t xml:space="preserve"> </w:t>
      </w:r>
      <w:r>
        <w:rPr>
          <w:b/>
        </w:rPr>
        <w:t>HCC</w:t>
      </w:r>
      <w:r w:rsidR="001852F3">
        <w:t xml:space="preserve">癌组织，癌旁组织中</w:t>
      </w:r>
      <w:r>
        <w:rPr>
          <w:b/>
        </w:rPr>
        <w:t xml:space="preserve">COX-2,</w:t>
      </w:r>
      <w:r w:rsidR="001852F3">
        <w:rPr>
          <w:b/>
        </w:rPr>
        <w:t xml:space="preserve"> </w:t>
      </w:r>
      <w:r w:rsidR="001852F3">
        <w:rPr>
          <w:b/>
        </w:rPr>
        <w:t xml:space="preserve">EP</w:t>
      </w:r>
      <w:r>
        <w:rPr>
          <w:b/>
        </w:rPr>
        <w:t>1</w:t>
      </w:r>
      <w:r>
        <w:t>蛋白表达与预后的关系。</w:t>
      </w:r>
    </w:p>
    <w:p w:rsidR="0018722C">
      <w:pPr>
        <w:topLinePunct/>
      </w:pPr>
      <w:r>
        <w:rPr>
          <w:rFonts w:cstheme="minorBidi" w:hAnsiTheme="minorHAnsi" w:eastAsiaTheme="minorHAnsi" w:asciiTheme="minorHAnsi"/>
        </w:rPr>
        <w:t>24</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4"/>
        <w:topLinePunct/>
        <w:ind w:left="200" w:hangingChars="200" w:hanging="200"/>
      </w:pPr>
      <w:r>
        <w:t>2.3.1</w:t>
      </w:r>
      <w:r>
        <w:rPr>
          <w:b/>
        </w:rPr>
        <w:t>.</w:t>
      </w:r>
      <w:r>
        <w:t xml:space="preserve"> </w:t>
      </w:r>
      <w:r>
        <w:t>单因素分析表明：AFP&gt;</w:t>
      </w:r>
      <w:r w:rsidR="004B696B">
        <w:t xml:space="preserve"> </w:t>
      </w:r>
      <w:r w:rsidR="004B696B">
        <w:t>400</w:t>
      </w:r>
      <w:r>
        <w:t> </w:t>
      </w:r>
      <w:r>
        <w:t>ng</w:t>
      </w:r>
      <w:r>
        <w:t>/</w:t>
      </w:r>
      <w:r>
        <w:t>mL、不完整的包膜、肿瘤直径≥5</w:t>
      </w:r>
    </w:p>
    <w:p w:rsidR="0018722C">
      <w:pPr>
        <w:topLinePunct/>
      </w:pPr>
      <w:r>
        <w:t>cm、Edmondson</w:t>
      </w:r>
      <w:r>
        <w:t> </w:t>
      </w:r>
      <w:r>
        <w:t>gradeIII–IV</w:t>
      </w:r>
      <w:r/>
      <w:r w:rsidR="001852F3">
        <w:t xml:space="preserve">和</w:t>
      </w:r>
      <w:r>
        <w:t>EP</w:t>
      </w:r>
      <w:r>
        <w:t>1</w:t>
      </w:r>
      <w:r/>
      <w:r>
        <w:t>高表达是影响患者累积生存时间的因素。多因素分析表明：AFP&gt;</w:t>
      </w:r>
      <w:r w:rsidR="004B696B">
        <w:t xml:space="preserve"> </w:t>
      </w:r>
      <w:r w:rsidR="004B696B">
        <w:t>400</w:t>
      </w:r>
      <w:r>
        <w:t> </w:t>
      </w:r>
      <w:r>
        <w:t>ng</w:t>
      </w:r>
      <w:r>
        <w:t>/</w:t>
      </w:r>
      <w:r>
        <w:t>mL、肿瘤直径≥5</w:t>
      </w:r>
      <w:r>
        <w:t> </w:t>
      </w:r>
      <w:r>
        <w:t>cm、EP</w:t>
      </w:r>
      <w:r>
        <w:t>1</w:t>
      </w:r>
      <w:r/>
      <w:r>
        <w:t>高表达是影</w:t>
      </w:r>
      <w:r>
        <w:t>响患者累积生存时间的独立危险因素。详见表</w:t>
      </w:r>
      <w:r>
        <w:t>3</w:t>
      </w:r>
      <w:r/>
      <w:r w:rsidR="001852F3">
        <w:t xml:space="preserve">和图</w:t>
      </w:r>
      <w:r>
        <w:t>5</w:t>
      </w:r>
      <w:r>
        <w:rPr>
          <w:rFonts w:hint="eastAsia"/>
        </w:rPr>
        <w:t>。</w:t>
      </w:r>
    </w:p>
    <w:p w:rsidR="0018722C">
      <w:pPr>
        <w:pStyle w:val="4"/>
        <w:topLinePunct/>
        <w:ind w:left="200" w:hangingChars="200" w:hanging="200"/>
      </w:pPr>
      <w:r>
        <w:t>2.3.2 </w:t>
      </w:r>
      <w:r>
        <w:t>．</w:t>
      </w:r>
      <w:r>
        <w:t>癌旁组织患者基线资料见表</w:t>
      </w:r>
      <w:r>
        <w:t>4。单因素分析表明：AFP&gt;</w:t>
      </w:r>
      <w:r w:rsidR="004B696B">
        <w:t xml:space="preserve"> </w:t>
      </w:r>
      <w:r w:rsidR="004B696B">
        <w:t>400</w:t>
      </w:r>
    </w:p>
    <w:p w:rsidR="0018722C">
      <w:pPr>
        <w:topLinePunct/>
      </w:pPr>
      <w:r>
        <w:t>ng</w:t>
      </w:r>
      <w:r>
        <w:t>/</w:t>
      </w:r>
      <w:r>
        <w:t>mL、不完整的包膜、肿瘤直径≥5 cm</w:t>
      </w:r>
      <w:r/>
      <w:r w:rsidR="001852F3">
        <w:t xml:space="preserve">和</w:t>
      </w:r>
      <w:r>
        <w:t>COX-2</w:t>
      </w:r>
      <w:r/>
      <w:r w:rsidR="001852F3">
        <w:t xml:space="preserve">高表达是影响患者无瘤生存时间的因素。多因素分析表明：不完整的包膜、肿瘤直径≥5</w:t>
      </w:r>
      <w:r>
        <w:t> </w:t>
      </w:r>
      <w:r>
        <w:t>cm</w:t>
      </w:r>
      <w:r/>
      <w:r w:rsidR="001852F3">
        <w:t xml:space="preserve">和COX-2</w:t>
      </w:r>
      <w:r/>
      <w:r w:rsidR="001852F3">
        <w:t xml:space="preserve">高表达是影响患者无瘤生存时间的独立危险因素。详见</w:t>
      </w:r>
      <w:r w:rsidR="001852F3">
        <w:t>表</w:t>
      </w:r>
      <w:r>
        <w:t>5</w:t>
      </w:r>
      <w:r/>
      <w:r w:rsidR="001852F3">
        <w:t xml:space="preserve">和</w:t>
      </w:r>
      <w:r w:rsidR="001852F3">
        <w:t>图</w:t>
      </w:r>
      <w:r>
        <w:t>6</w:t>
      </w:r>
      <w:r>
        <w:t>。</w:t>
      </w:r>
    </w:p>
    <w:p w:rsidR="0018722C">
      <w:pPr>
        <w:pStyle w:val="a8"/>
        <w:topLinePunct/>
      </w:pPr>
      <w:r>
        <w:t>表</w:t>
      </w:r>
      <w:r>
        <w:rPr>
          <w:rFonts w:ascii="Times New Roman" w:eastAsia="宋体"/>
        </w:rPr>
        <w:t>3</w:t>
      </w:r>
      <w:r>
        <w:rPr>
          <w:rFonts w:ascii="Times New Roman" w:eastAsia="宋体"/>
        </w:rPr>
        <w:t xml:space="preserve">: </w:t>
      </w:r>
      <w:r>
        <w:rPr>
          <w:rFonts w:ascii="Times New Roman" w:eastAsia="宋体"/>
        </w:rPr>
        <w:t>116</w:t>
      </w:r>
      <w:r>
        <w:t>例</w:t>
      </w:r>
      <w:r>
        <w:rPr>
          <w:rFonts w:ascii="Times New Roman" w:eastAsia="宋体"/>
        </w:rPr>
        <w:t>HCC</w:t>
      </w:r>
      <w:r>
        <w:t>患者预后的多因素分析</w:t>
      </w:r>
    </w:p>
    <w:p w:rsidR="0018722C">
      <w:pPr>
        <w:pStyle w:val="a8"/>
        <w:topLinePunct/>
      </w:pPr>
      <w:r>
        <w:t>Table</w:t>
      </w:r>
      <w:r>
        <w:t xml:space="preserve"> </w:t>
      </w:r>
      <w:r w:rsidRPr="00DB64CE">
        <w:t>3</w:t>
      </w:r>
      <w:r>
        <w:t>: Multivariable analysis for overall survival of 116 HCC patients</w:t>
      </w:r>
    </w:p>
    <w:tbl>
      <w:tblPr>
        <w:tblW w:w="5000" w:type="pct"/>
        <w:tblInd w:w="791"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902"/>
        <w:gridCol w:w="1981"/>
        <w:gridCol w:w="2034"/>
        <w:gridCol w:w="2605"/>
      </w:tblGrid>
      <w:tr>
        <w:trPr>
          <w:tblHeader/>
        </w:trPr>
        <w:tc>
          <w:tcPr>
            <w:tcW w:w="1116" w:type="pct"/>
            <w:vAlign w:val="center"/>
            <w:tcBorders>
              <w:bottom w:val="single" w:sz="4" w:space="0" w:color="auto"/>
            </w:tcBorders>
          </w:tcPr>
          <w:p w:rsidR="0018722C">
            <w:pPr>
              <w:pStyle w:val="a7"/>
              <w:topLinePunct/>
              <w:ind w:leftChars="0" w:left="0" w:rightChars="0" w:right="0" w:firstLineChars="0" w:firstLine="0"/>
              <w:spacing w:line="240" w:lineRule="atLeast"/>
            </w:pPr>
            <w:r>
              <w:t>Overall survival</w:t>
            </w:r>
          </w:p>
        </w:tc>
        <w:tc>
          <w:tcPr>
            <w:tcW w:w="1162" w:type="pct"/>
            <w:vAlign w:val="center"/>
            <w:tcBorders>
              <w:bottom w:val="single" w:sz="4" w:space="0" w:color="auto"/>
            </w:tcBorders>
          </w:tcPr>
          <w:p w:rsidR="0018722C">
            <w:pPr>
              <w:pStyle w:val="a7"/>
              <w:topLinePunct/>
              <w:ind w:leftChars="0" w:left="0" w:rightChars="0" w:right="0" w:firstLineChars="0" w:firstLine="0"/>
              <w:spacing w:line="240" w:lineRule="atLeast"/>
            </w:pPr>
            <w:r>
              <w:t>Hazard Ratio</w:t>
            </w:r>
          </w:p>
        </w:tc>
        <w:tc>
          <w:tcPr>
            <w:tcW w:w="1193" w:type="pct"/>
            <w:vAlign w:val="center"/>
            <w:tcBorders>
              <w:bottom w:val="single" w:sz="4" w:space="0" w:color="auto"/>
            </w:tcBorders>
          </w:tcPr>
          <w:p w:rsidR="0018722C">
            <w:pPr>
              <w:pStyle w:val="a7"/>
              <w:topLinePunct/>
              <w:ind w:leftChars="0" w:left="0" w:rightChars="0" w:right="0" w:firstLineChars="0" w:firstLine="0"/>
              <w:spacing w:line="240" w:lineRule="atLeast"/>
            </w:pPr>
            <w:r>
              <w:t>95%CI</w:t>
            </w:r>
          </w:p>
        </w:tc>
        <w:tc>
          <w:tcPr>
            <w:tcW w:w="1528" w:type="pct"/>
            <w:vAlign w:val="center"/>
            <w:tcBorders>
              <w:bottom w:val="single" w:sz="4" w:space="0" w:color="auto"/>
            </w:tcBorders>
          </w:tcPr>
          <w:p w:rsidR="0018722C">
            <w:pPr>
              <w:pStyle w:val="a7"/>
              <w:topLinePunct/>
              <w:ind w:leftChars="0" w:left="0" w:rightChars="0" w:right="0" w:firstLineChars="0" w:firstLine="0"/>
              <w:spacing w:line="240" w:lineRule="atLeast"/>
            </w:pPr>
            <w:r>
              <w:t>P</w:t>
            </w:r>
          </w:p>
        </w:tc>
      </w:tr>
      <w:tr>
        <w:tc>
          <w:tcPr>
            <w:tcW w:w="1116" w:type="pct"/>
            <w:vAlign w:val="center"/>
          </w:tcPr>
          <w:p w:rsidR="0018722C">
            <w:pPr>
              <w:pStyle w:val="ac"/>
              <w:topLinePunct/>
              <w:ind w:leftChars="0" w:left="0" w:rightChars="0" w:right="0" w:firstLineChars="0" w:firstLine="0"/>
              <w:spacing w:line="240" w:lineRule="atLeast"/>
            </w:pPr>
            <w:r>
              <w:t>AFP &gt;400 ng</w:t>
            </w:r>
            <w:r>
              <w:t>/</w:t>
            </w:r>
            <w:r>
              <w:t>mL</w:t>
            </w:r>
          </w:p>
        </w:tc>
        <w:tc>
          <w:tcPr>
            <w:tcW w:w="1162" w:type="pct"/>
            <w:vAlign w:val="center"/>
          </w:tcPr>
          <w:p w:rsidR="0018722C">
            <w:pPr>
              <w:pStyle w:val="affff9"/>
              <w:topLinePunct/>
              <w:ind w:leftChars="0" w:left="0" w:rightChars="0" w:right="0" w:firstLineChars="0" w:firstLine="0"/>
              <w:spacing w:line="240" w:lineRule="atLeast"/>
            </w:pPr>
            <w:r>
              <w:t>1.691</w:t>
            </w:r>
          </w:p>
        </w:tc>
        <w:tc>
          <w:tcPr>
            <w:tcW w:w="1193" w:type="pct"/>
            <w:vAlign w:val="center"/>
          </w:tcPr>
          <w:p w:rsidR="0018722C">
            <w:pPr>
              <w:pStyle w:val="affff9"/>
              <w:topLinePunct/>
              <w:ind w:leftChars="0" w:left="0" w:rightChars="0" w:right="0" w:firstLineChars="0" w:firstLine="0"/>
              <w:spacing w:line="240" w:lineRule="atLeast"/>
            </w:pPr>
            <w:r>
              <w:t>1.094-2.614</w:t>
            </w:r>
          </w:p>
        </w:tc>
        <w:tc>
          <w:tcPr>
            <w:tcW w:w="1528" w:type="pct"/>
            <w:vAlign w:val="center"/>
          </w:tcPr>
          <w:p w:rsidR="0018722C">
            <w:pPr>
              <w:pStyle w:val="affff9"/>
              <w:topLinePunct/>
              <w:ind w:leftChars="0" w:left="0" w:rightChars="0" w:right="0" w:firstLineChars="0" w:firstLine="0"/>
              <w:spacing w:line="240" w:lineRule="atLeast"/>
            </w:pPr>
            <w:r>
              <w:t>0.018</w:t>
            </w:r>
          </w:p>
        </w:tc>
      </w:tr>
      <w:tr>
        <w:tc>
          <w:tcPr>
            <w:tcW w:w="1116" w:type="pct"/>
            <w:vAlign w:val="center"/>
          </w:tcPr>
          <w:p w:rsidR="0018722C">
            <w:pPr>
              <w:pStyle w:val="ac"/>
              <w:topLinePunct/>
              <w:ind w:leftChars="0" w:left="0" w:rightChars="0" w:right="0" w:firstLineChars="0" w:firstLine="0"/>
              <w:spacing w:line="240" w:lineRule="atLeast"/>
            </w:pPr>
            <w:r>
              <w:t>Incomplete</w:t>
            </w:r>
          </w:p>
        </w:tc>
        <w:tc>
          <w:tcPr>
            <w:tcW w:w="1162" w:type="pct"/>
            <w:vAlign w:val="center"/>
          </w:tcPr>
          <w:p w:rsidR="0018722C">
            <w:pPr>
              <w:pStyle w:val="affff9"/>
              <w:topLinePunct/>
              <w:ind w:leftChars="0" w:left="0" w:rightChars="0" w:right="0" w:firstLineChars="0" w:firstLine="0"/>
              <w:spacing w:line="240" w:lineRule="atLeast"/>
            </w:pPr>
            <w:r>
              <w:t>0.979</w:t>
            </w:r>
          </w:p>
        </w:tc>
        <w:tc>
          <w:tcPr>
            <w:tcW w:w="1193" w:type="pct"/>
            <w:vAlign w:val="center"/>
          </w:tcPr>
          <w:p w:rsidR="0018722C">
            <w:pPr>
              <w:pStyle w:val="affff9"/>
              <w:topLinePunct/>
              <w:ind w:leftChars="0" w:left="0" w:rightChars="0" w:right="0" w:firstLineChars="0" w:firstLine="0"/>
              <w:spacing w:line="240" w:lineRule="atLeast"/>
            </w:pPr>
            <w:r>
              <w:t>0.659-1.454</w:t>
            </w:r>
          </w:p>
        </w:tc>
        <w:tc>
          <w:tcPr>
            <w:tcW w:w="1528" w:type="pct"/>
            <w:vAlign w:val="center"/>
          </w:tcPr>
          <w:p w:rsidR="0018722C">
            <w:pPr>
              <w:pStyle w:val="affff9"/>
              <w:topLinePunct/>
              <w:ind w:leftChars="0" w:left="0" w:rightChars="0" w:right="0" w:firstLineChars="0" w:firstLine="0"/>
              <w:spacing w:line="240" w:lineRule="atLeast"/>
            </w:pPr>
            <w:r>
              <w:t>0.915</w:t>
            </w:r>
          </w:p>
        </w:tc>
      </w:tr>
      <w:tr>
        <w:tc>
          <w:tcPr>
            <w:tcW w:w="1116" w:type="pct"/>
            <w:vAlign w:val="center"/>
          </w:tcPr>
          <w:p w:rsidR="0018722C">
            <w:pPr>
              <w:pStyle w:val="ac"/>
              <w:topLinePunct/>
              <w:ind w:leftChars="0" w:left="0" w:rightChars="0" w:right="0" w:firstLineChars="0" w:firstLine="0"/>
              <w:spacing w:line="240" w:lineRule="atLeast"/>
            </w:pPr>
            <w:r/>
            <w:r>
              <w:t/>
            </w:r>
            <w:r>
              <w:t>T</w:t>
            </w:r>
            <w:r>
              <w:t>umor capsule</w:t>
            </w:r>
          </w:p>
        </w:tc>
        <w:tc>
          <w:tcPr>
            <w:tcW w:w="1162" w:type="pct"/>
            <w:vAlign w:val="center"/>
          </w:tcPr>
          <w:p w:rsidR="0018722C">
            <w:pPr>
              <w:pStyle w:val="a5"/>
              <w:topLinePunct/>
              <w:ind w:leftChars="0" w:left="0" w:rightChars="0" w:right="0" w:firstLineChars="0" w:firstLine="0"/>
              <w:spacing w:line="240" w:lineRule="atLeast"/>
            </w:pPr>
          </w:p>
        </w:tc>
        <w:tc>
          <w:tcPr>
            <w:tcW w:w="1193" w:type="pct"/>
            <w:vAlign w:val="center"/>
          </w:tcPr>
          <w:p w:rsidR="0018722C">
            <w:pPr>
              <w:pStyle w:val="a5"/>
              <w:topLinePunct/>
              <w:ind w:leftChars="0" w:left="0" w:rightChars="0" w:right="0" w:firstLineChars="0" w:firstLine="0"/>
              <w:spacing w:line="240" w:lineRule="atLeast"/>
            </w:pPr>
          </w:p>
        </w:tc>
        <w:tc>
          <w:tcPr>
            <w:tcW w:w="1528" w:type="pct"/>
            <w:vAlign w:val="center"/>
          </w:tcPr>
          <w:p w:rsidR="0018722C">
            <w:pPr>
              <w:pStyle w:val="ad"/>
              <w:topLinePunct/>
              <w:ind w:leftChars="0" w:left="0" w:rightChars="0" w:right="0" w:firstLineChars="0" w:firstLine="0"/>
              <w:spacing w:line="240" w:lineRule="atLeast"/>
            </w:pPr>
          </w:p>
        </w:tc>
      </w:tr>
      <w:tr>
        <w:tc>
          <w:tcPr>
            <w:tcW w:w="1116" w:type="pct"/>
            <w:vAlign w:val="center"/>
          </w:tcPr>
          <w:p w:rsidR="0018722C">
            <w:pPr>
              <w:pStyle w:val="ac"/>
              <w:topLinePunct/>
              <w:ind w:leftChars="0" w:left="0" w:rightChars="0" w:right="0" w:firstLineChars="0" w:firstLine="0"/>
              <w:spacing w:line="240" w:lineRule="atLeast"/>
            </w:pPr>
            <w:r>
              <w:t>Tumor size ≥5 cm</w:t>
            </w:r>
          </w:p>
        </w:tc>
        <w:tc>
          <w:tcPr>
            <w:tcW w:w="1162" w:type="pct"/>
            <w:vAlign w:val="center"/>
          </w:tcPr>
          <w:p w:rsidR="0018722C">
            <w:pPr>
              <w:pStyle w:val="affff9"/>
              <w:topLinePunct/>
              <w:ind w:leftChars="0" w:left="0" w:rightChars="0" w:right="0" w:firstLineChars="0" w:firstLine="0"/>
              <w:spacing w:line="240" w:lineRule="atLeast"/>
            </w:pPr>
            <w:r>
              <w:t>1.582</w:t>
            </w:r>
          </w:p>
        </w:tc>
        <w:tc>
          <w:tcPr>
            <w:tcW w:w="1193" w:type="pct"/>
            <w:vAlign w:val="center"/>
          </w:tcPr>
          <w:p w:rsidR="0018722C">
            <w:pPr>
              <w:pStyle w:val="affff9"/>
              <w:topLinePunct/>
              <w:ind w:leftChars="0" w:left="0" w:rightChars="0" w:right="0" w:firstLineChars="0" w:firstLine="0"/>
              <w:spacing w:line="240" w:lineRule="atLeast"/>
            </w:pPr>
            <w:r>
              <w:t>1.027-2.438</w:t>
            </w:r>
          </w:p>
        </w:tc>
        <w:tc>
          <w:tcPr>
            <w:tcW w:w="1528" w:type="pct"/>
            <w:vAlign w:val="center"/>
          </w:tcPr>
          <w:p w:rsidR="0018722C">
            <w:pPr>
              <w:pStyle w:val="affff9"/>
              <w:topLinePunct/>
              <w:ind w:leftChars="0" w:left="0" w:rightChars="0" w:right="0" w:firstLineChars="0" w:firstLine="0"/>
              <w:spacing w:line="240" w:lineRule="atLeast"/>
            </w:pPr>
            <w:r>
              <w:t>0.038</w:t>
            </w:r>
          </w:p>
        </w:tc>
      </w:tr>
      <w:tr>
        <w:tc>
          <w:tcPr>
            <w:tcW w:w="1116" w:type="pct"/>
            <w:vAlign w:val="center"/>
          </w:tcPr>
          <w:p w:rsidR="0018722C">
            <w:pPr>
              <w:pStyle w:val="ac"/>
              <w:topLinePunct/>
              <w:ind w:leftChars="0" w:left="0" w:rightChars="0" w:right="0" w:firstLineChars="0" w:firstLine="0"/>
              <w:spacing w:line="240" w:lineRule="atLeast"/>
            </w:pPr>
            <w:r>
              <w:t>Edmondson grade</w:t>
            </w:r>
          </w:p>
        </w:tc>
        <w:tc>
          <w:tcPr>
            <w:tcW w:w="1162" w:type="pct"/>
            <w:vAlign w:val="center"/>
          </w:tcPr>
          <w:p w:rsidR="0018722C">
            <w:pPr>
              <w:pStyle w:val="affff9"/>
              <w:topLinePunct/>
              <w:ind w:leftChars="0" w:left="0" w:rightChars="0" w:right="0" w:firstLineChars="0" w:firstLine="0"/>
              <w:spacing w:line="240" w:lineRule="atLeast"/>
            </w:pPr>
            <w:r>
              <w:t>1.149</w:t>
            </w:r>
          </w:p>
        </w:tc>
        <w:tc>
          <w:tcPr>
            <w:tcW w:w="1193" w:type="pct"/>
            <w:vAlign w:val="center"/>
          </w:tcPr>
          <w:p w:rsidR="0018722C">
            <w:pPr>
              <w:pStyle w:val="affff9"/>
              <w:topLinePunct/>
              <w:ind w:leftChars="0" w:left="0" w:rightChars="0" w:right="0" w:firstLineChars="0" w:firstLine="0"/>
              <w:spacing w:line="240" w:lineRule="atLeast"/>
            </w:pPr>
            <w:r>
              <w:t>0.663-1.992</w:t>
            </w:r>
          </w:p>
        </w:tc>
        <w:tc>
          <w:tcPr>
            <w:tcW w:w="1528" w:type="pct"/>
            <w:vAlign w:val="center"/>
          </w:tcPr>
          <w:p w:rsidR="0018722C">
            <w:pPr>
              <w:pStyle w:val="affff9"/>
              <w:topLinePunct/>
              <w:ind w:leftChars="0" w:left="0" w:rightChars="0" w:right="0" w:firstLineChars="0" w:firstLine="0"/>
              <w:spacing w:line="240" w:lineRule="atLeast"/>
            </w:pPr>
            <w:r>
              <w:t>0.621</w:t>
            </w:r>
          </w:p>
        </w:tc>
      </w:tr>
      <w:tr>
        <w:tc>
          <w:tcPr>
            <w:tcW w:w="1116" w:type="pct"/>
            <w:vAlign w:val="center"/>
          </w:tcPr>
          <w:p w:rsidR="0018722C">
            <w:pPr>
              <w:pStyle w:val="ac"/>
              <w:topLinePunct/>
              <w:ind w:leftChars="0" w:left="0" w:rightChars="0" w:right="0" w:firstLineChars="0" w:firstLine="0"/>
              <w:spacing w:line="240" w:lineRule="atLeast"/>
            </w:pPr>
            <w:r>
              <w:t>III–IV</w:t>
            </w:r>
          </w:p>
        </w:tc>
        <w:tc>
          <w:tcPr>
            <w:tcW w:w="1162" w:type="pct"/>
            <w:vAlign w:val="center"/>
          </w:tcPr>
          <w:p w:rsidR="0018722C">
            <w:pPr>
              <w:pStyle w:val="a5"/>
              <w:topLinePunct/>
              <w:ind w:leftChars="0" w:left="0" w:rightChars="0" w:right="0" w:firstLineChars="0" w:firstLine="0"/>
              <w:spacing w:line="240" w:lineRule="atLeast"/>
            </w:pPr>
          </w:p>
        </w:tc>
        <w:tc>
          <w:tcPr>
            <w:tcW w:w="1193" w:type="pct"/>
            <w:vAlign w:val="center"/>
          </w:tcPr>
          <w:p w:rsidR="0018722C">
            <w:pPr>
              <w:pStyle w:val="a5"/>
              <w:topLinePunct/>
              <w:ind w:leftChars="0" w:left="0" w:rightChars="0" w:right="0" w:firstLineChars="0" w:firstLine="0"/>
              <w:spacing w:line="240" w:lineRule="atLeast"/>
            </w:pPr>
          </w:p>
        </w:tc>
        <w:tc>
          <w:tcPr>
            <w:tcW w:w="1528" w:type="pct"/>
            <w:vAlign w:val="center"/>
          </w:tcPr>
          <w:p w:rsidR="0018722C">
            <w:pPr>
              <w:pStyle w:val="ad"/>
              <w:topLinePunct/>
              <w:ind w:leftChars="0" w:left="0" w:rightChars="0" w:right="0" w:firstLineChars="0" w:firstLine="0"/>
              <w:spacing w:line="240" w:lineRule="atLeast"/>
            </w:pPr>
          </w:p>
        </w:tc>
      </w:tr>
      <w:tr>
        <w:tc>
          <w:tcPr>
            <w:tcW w:w="1116" w:type="pct"/>
            <w:vAlign w:val="center"/>
            <w:tcBorders>
              <w:top w:val="single" w:sz="4" w:space="0" w:color="auto"/>
            </w:tcBorders>
          </w:tcPr>
          <w:p w:rsidR="0018722C">
            <w:pPr>
              <w:pStyle w:val="ac"/>
              <w:topLinePunct/>
              <w:ind w:leftChars="0" w:left="0" w:rightChars="0" w:right="0" w:firstLineChars="0" w:firstLine="0"/>
              <w:spacing w:line="240" w:lineRule="atLeast"/>
            </w:pPr>
            <w:r>
              <w:t>EP1 recepter</w:t>
            </w:r>
          </w:p>
        </w:tc>
        <w:tc>
          <w:tcPr>
            <w:tcW w:w="1162" w:type="pct"/>
            <w:vAlign w:val="center"/>
            <w:tcBorders>
              <w:top w:val="single" w:sz="4" w:space="0" w:color="auto"/>
            </w:tcBorders>
          </w:tcPr>
          <w:p w:rsidR="0018722C">
            <w:pPr>
              <w:pStyle w:val="affff9"/>
              <w:topLinePunct/>
              <w:ind w:leftChars="0" w:left="0" w:rightChars="0" w:right="0" w:firstLineChars="0" w:firstLine="0"/>
              <w:spacing w:line="240" w:lineRule="atLeast"/>
            </w:pPr>
            <w:r>
              <w:t>2.318</w:t>
            </w:r>
          </w:p>
        </w:tc>
        <w:tc>
          <w:tcPr>
            <w:tcW w:w="1193" w:type="pct"/>
            <w:vAlign w:val="center"/>
            <w:tcBorders>
              <w:top w:val="single" w:sz="4" w:space="0" w:color="auto"/>
            </w:tcBorders>
          </w:tcPr>
          <w:p w:rsidR="0018722C">
            <w:pPr>
              <w:pStyle w:val="affff9"/>
              <w:topLinePunct/>
              <w:ind w:leftChars="0" w:left="0" w:rightChars="0" w:right="0" w:firstLineChars="0" w:firstLine="0"/>
              <w:spacing w:line="240" w:lineRule="atLeast"/>
            </w:pPr>
            <w:r>
              <w:t>1.190-4.516</w:t>
            </w:r>
          </w:p>
        </w:tc>
        <w:tc>
          <w:tcPr>
            <w:tcW w:w="1528" w:type="pct"/>
            <w:vAlign w:val="center"/>
            <w:tcBorders>
              <w:top w:val="single" w:sz="4" w:space="0" w:color="auto"/>
            </w:tcBorders>
          </w:tcPr>
          <w:p w:rsidR="0018722C">
            <w:pPr>
              <w:pStyle w:val="affff9"/>
              <w:topLinePunct/>
              <w:ind w:leftChars="0" w:left="0" w:rightChars="0" w:right="0" w:firstLineChars="0" w:firstLine="0"/>
              <w:spacing w:line="240" w:lineRule="atLeast"/>
            </w:pPr>
            <w:r>
              <w:t>0.014</w:t>
            </w:r>
          </w:p>
        </w:tc>
      </w:tr>
    </w:tbl>
    <w:p w:rsidR="0018722C">
      <w:pPr>
        <w:topLinePunct/>
        <w:pStyle w:val="affa"/>
      </w:pPr>
    </w:p>
    <w:p w:rsidR="0018722C">
      <w:pPr>
        <w:pStyle w:val="aff7"/>
        <w:topLinePunct/>
      </w:pPr>
      <w:r>
        <w:rPr>
          <w:kern w:val="2"/>
          <w:sz w:val="22"/>
          <w:szCs w:val="22"/>
          <w:rFonts w:cstheme="minorBidi" w:hAnsiTheme="minorHAnsi" w:eastAsiaTheme="minorHAnsi" w:asciiTheme="minorHAnsi"/>
        </w:rPr>
        <w:drawing>
          <wp:inline>
            <wp:extent cx="6390749" cy="2317623"/>
            <wp:effectExtent l="0" t="0" r="0" b="0"/>
            <wp:docPr id="15" name="image10.jpeg" descr=""/>
            <wp:cNvGraphicFramePr>
              <a:graphicFrameLocks noChangeAspect="1"/>
            </wp:cNvGraphicFramePr>
            <a:graphic>
              <a:graphicData uri="http://schemas.openxmlformats.org/drawingml/2006/picture">
                <pic:pic>
                  <pic:nvPicPr>
                    <pic:cNvPr id="16" name="image10.jpeg"/>
                    <pic:cNvPicPr/>
                  </pic:nvPicPr>
                  <pic:blipFill>
                    <a:blip r:embed="rId18" cstate="print"/>
                    <a:stretch>
                      <a:fillRect/>
                    </a:stretch>
                  </pic:blipFill>
                  <pic:spPr>
                    <a:xfrm>
                      <a:off x="0" y="0"/>
                      <a:ext cx="6390749" cy="2317623"/>
                    </a:xfrm>
                    <a:prstGeom prst="rect">
                      <a:avLst/>
                    </a:prstGeom>
                  </pic:spPr>
                </pic:pic>
              </a:graphicData>
            </a:graphic>
          </wp:inline>
        </w:drawing>
      </w:r>
    </w:p>
    <w:p w:rsidR="0018722C">
      <w:pPr>
        <w:pStyle w:val="affff1"/>
        <w:topLinePunct/>
      </w:pPr>
      <w:r>
        <w:rPr>
          <w:rFonts w:cstheme="minorBidi" w:hAnsiTheme="minorHAnsi" w:eastAsiaTheme="minorHAnsi" w:asciiTheme="minorHAnsi"/>
        </w:rPr>
        <w:t>25</w:t>
      </w:r>
    </w:p>
    <w:p w:rsidR="0018722C">
      <w:pPr>
        <w:pStyle w:val="affff5"/>
        <w:keepNext/>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a9"/>
        <w:topLinePunct/>
      </w:pPr>
      <w:r>
        <w:t>图</w:t>
      </w:r>
      <w:r>
        <w:rPr>
          <w:rFonts w:ascii="Times New Roman" w:eastAsia="Times New Roman"/>
        </w:rPr>
        <w:t>5</w:t>
      </w:r>
      <w:r>
        <w:t xml:space="preserve">  </w:t>
      </w:r>
      <w:r>
        <w:rPr>
          <w:rFonts w:ascii="Times New Roman" w:eastAsia="Times New Roman"/>
        </w:rPr>
        <w:t>EP</w:t>
      </w:r>
      <w:r>
        <w:rPr>
          <w:rFonts w:ascii="Times New Roman" w:eastAsia="Times New Roman"/>
        </w:rPr>
        <w:t>1</w:t>
      </w:r>
      <w:r>
        <w:t>或</w:t>
      </w:r>
      <w:r>
        <w:rPr>
          <w:rFonts w:ascii="Times New Roman" w:eastAsia="Times New Roman"/>
        </w:rPr>
        <w:t>COX-2</w:t>
      </w:r>
      <w:r>
        <w:t>蛋白与累积生存时间的关系</w:t>
      </w:r>
    </w:p>
    <w:p w:rsidR="0018722C">
      <w:pPr>
        <w:pStyle w:val="a9"/>
        <w:topLinePunct/>
      </w:pPr>
      <w:r>
        <w:rPr>
          <w:rFonts w:ascii="Times New Roman"/>
        </w:rPr>
        <w:t>Figure</w:t>
      </w:r>
      <w:r>
        <w:t xml:space="preserve"> </w:t>
      </w:r>
      <w:r w:rsidRPr="00DB64CE">
        <w:rPr>
          <w:rFonts w:ascii="Times New Roman"/>
        </w:rPr>
        <w:t>5</w:t>
      </w:r>
      <w:r w:rsidRPr="00DB64CE">
        <w:rPr>
          <w:rFonts w:ascii="Times New Roman"/>
        </w:rPr>
        <w:t>: The relationships between expression of EP</w:t>
      </w:r>
      <w:r>
        <w:rPr>
          <w:rFonts w:ascii="Times New Roman"/>
        </w:rPr>
        <w:t>1</w:t>
      </w:r>
      <w:r>
        <w:rPr>
          <w:rFonts w:ascii="Times New Roman"/>
        </w:rPr>
        <w:t>,</w:t>
      </w:r>
      <w:r w:rsidR="004B696B">
        <w:rPr>
          <w:rFonts w:ascii="Times New Roman"/>
        </w:rPr>
        <w:t xml:space="preserve"> </w:t>
      </w:r>
      <w:r w:rsidR="004B696B">
        <w:rPr>
          <w:rFonts w:ascii="Times New Roman"/>
        </w:rPr>
        <w:t>COX-2 protein and overall survival</w:t>
      </w:r>
    </w:p>
    <w:p w:rsidR="0018722C">
      <w:pPr>
        <w:pStyle w:val="a8"/>
        <w:topLinePunct/>
      </w:pPr>
      <w:r>
        <w:rPr>
          <w:rFonts w:cstheme="minorBidi" w:hAnsiTheme="minorHAnsi" w:eastAsiaTheme="minorHAnsi" w:asciiTheme="minorHAnsi" w:ascii="微软雅黑" w:eastAsia="微软雅黑" w:hint="eastAsia"/>
          <w:b/>
        </w:rPr>
        <w:t>表</w:t>
      </w:r>
      <w:r>
        <w:rPr>
          <w:rFonts w:cstheme="minorBidi" w:hAnsiTheme="minorHAnsi" w:eastAsiaTheme="minorHAnsi" w:asciiTheme="minorHAnsi"/>
          <w:b/>
        </w:rPr>
        <w:t>4</w:t>
      </w:r>
      <w:r>
        <w:rPr>
          <w:rFonts w:cstheme="minorBidi" w:hAnsiTheme="minorHAnsi" w:eastAsiaTheme="minorHAnsi" w:asciiTheme="minorHAnsi"/>
          <w:b/>
        </w:rPr>
        <w:t xml:space="preserve">: </w:t>
      </w:r>
      <w:r>
        <w:rPr>
          <w:rFonts w:cstheme="minorBidi" w:hAnsiTheme="minorHAnsi" w:eastAsiaTheme="minorHAnsi" w:asciiTheme="minorHAnsi"/>
        </w:rPr>
        <w:t>59</w:t>
      </w:r>
      <w:r>
        <w:t xml:space="preserve">  </w:t>
      </w:r>
      <w:r>
        <w:rPr>
          <w:rFonts w:ascii="宋体" w:eastAsia="宋体" w:hint="eastAsia" w:cstheme="minorBidi" w:hAnsiTheme="minorHAnsi"/>
        </w:rPr>
        <w:t>例</w:t>
      </w:r>
      <w:r>
        <w:rPr>
          <w:rFonts w:cstheme="minorBidi" w:hAnsiTheme="minorHAnsi" w:eastAsiaTheme="minorHAnsi" w:asciiTheme="minorHAnsi"/>
        </w:rPr>
        <w:t>HCC</w:t>
      </w:r>
      <w:r>
        <w:rPr>
          <w:rFonts w:ascii="宋体" w:eastAsia="宋体" w:hint="eastAsia" w:cstheme="minorBidi" w:hAnsiTheme="minorHAnsi"/>
        </w:rPr>
        <w:t>组织临床病理特点的分布及与</w:t>
      </w:r>
      <w:r>
        <w:rPr>
          <w:rFonts w:cstheme="minorBidi" w:hAnsiTheme="minorHAnsi" w:eastAsiaTheme="minorHAnsi" w:asciiTheme="minorHAnsi"/>
        </w:rPr>
        <w:t>COX-2,</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EP1</w:t>
      </w:r>
      <w:r>
        <w:rPr>
          <w:rFonts w:ascii="宋体" w:eastAsia="宋体" w:hint="eastAsia" w:cstheme="minorBidi" w:hAnsiTheme="minorHAnsi"/>
        </w:rPr>
        <w:t>表达的关系</w:t>
      </w:r>
    </w:p>
    <w:p w:rsidR="0018722C">
      <w:pPr>
        <w:textAlignment w:val="center"/>
        <w:topLinePunct/>
      </w:pPr>
      <w:r>
        <w:rPr>
          <w:kern w:val="2"/>
          <w:sz w:val="22"/>
          <w:szCs w:val="22"/>
          <w:rFonts w:cstheme="minorBidi" w:hAnsiTheme="minorHAnsi" w:eastAsiaTheme="minorHAnsi" w:asciiTheme="minorHAnsi"/>
        </w:rPr>
        <w:pict>
          <v:shape style="margin-left:31.85pt;margin-top:32.949902pt;width:411.58pt;height:385.91pt;mso-position-horizontal-relative:page;mso-position-vertical-relative:paragraph;z-index:2584"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2"/>
                    <w:gridCol w:w="1764"/>
                    <w:gridCol w:w="1749"/>
                    <w:gridCol w:w="192"/>
                    <w:gridCol w:w="825"/>
                    <w:gridCol w:w="1524"/>
                    <w:gridCol w:w="1737"/>
                    <w:gridCol w:w="1138"/>
                  </w:tblGrid>
                  <w:tr>
                    <w:trPr>
                      <w:trHeight w:val="300" w:hRule="atLeast"/>
                    </w:trPr>
                    <w:tc>
                      <w:tcPr>
                        <w:tcW w:w="1702" w:type="dxa"/>
                        <w:tcBorders>
                          <w:top w:val="single" w:sz="4" w:space="0" w:color="000000"/>
                        </w:tcBorders>
                      </w:tcPr>
                      <w:p w:rsidR="0018722C">
                        <w:pPr>
                          <w:widowControl w:val="0"/>
                          <w:snapToGrid w:val="1"/>
                          <w:spacing w:beforeLines="0" w:afterLines="0" w:lineRule="auto" w:line="240" w:after="0" w:before="41"/>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Variable</w:t>
                        </w:r>
                      </w:p>
                    </w:tc>
                    <w:tc>
                      <w:tcPr>
                        <w:tcW w:w="1764" w:type="dxa"/>
                        <w:tcBorders>
                          <w:top w:val="single" w:sz="4" w:space="0" w:color="000000"/>
                          <w:bottom w:val="single" w:sz="4" w:space="0" w:color="000000"/>
                        </w:tcBorders>
                      </w:tcPr>
                      <w:p w:rsidR="0018722C">
                        <w:pPr>
                          <w:widowControl w:val="0"/>
                          <w:snapToGrid w:val="1"/>
                          <w:spacing w:beforeLines="0" w:afterLines="0" w:lineRule="auto" w:line="240" w:after="0" w:before="41"/>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COX-2</w:t>
                        </w:r>
                      </w:p>
                    </w:tc>
                    <w:tc>
                      <w:tcPr>
                        <w:tcW w:w="1749" w:type="dxa"/>
                        <w:tcBorders>
                          <w:top w:val="single" w:sz="4" w:space="0" w:color="000000"/>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92" w:type="dxa"/>
                        <w:tcBorders>
                          <w:top w:val="single" w:sz="4" w:space="0" w:color="000000"/>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Borders>
                          <w:top w:val="single" w:sz="4" w:space="0" w:color="000000"/>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524" w:type="dxa"/>
                        <w:tcBorders>
                          <w:top w:val="single" w:sz="4" w:space="0" w:color="000000"/>
                          <w:bottom w:val="single" w:sz="4" w:space="0" w:color="000000"/>
                        </w:tcBorders>
                      </w:tcPr>
                      <w:p w:rsidR="0018722C">
                        <w:pPr>
                          <w:widowControl w:val="0"/>
                          <w:snapToGrid w:val="1"/>
                          <w:spacing w:beforeLines="0" w:afterLines="0" w:lineRule="auto" w:line="240" w:after="0" w:before="41"/>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EP1 recepter</w:t>
                        </w:r>
                      </w:p>
                    </w:tc>
                    <w:tc>
                      <w:tcPr>
                        <w:tcW w:w="2875" w:type="dxa"/>
                        <w:gridSpan w:val="2"/>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r>
                  <w:tr>
                    <w:trPr>
                      <w:trHeight w:val="300" w:hRule="atLeast"/>
                    </w:trPr>
                    <w:tc>
                      <w:tcPr>
                        <w:tcW w:w="170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764" w:type="dxa"/>
                        <w:tcBorders>
                          <w:top w:val="single" w:sz="4" w:space="0" w:color="000000"/>
                        </w:tcBorders>
                      </w:tcPr>
                      <w:p w:rsidR="0018722C">
                        <w:pPr>
                          <w:widowControl w:val="0"/>
                          <w:snapToGrid w:val="1"/>
                          <w:spacing w:beforeLines="0" w:afterLines="0" w:lineRule="auto" w:line="240" w:after="0" w:before="41"/>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Low expression</w:t>
                        </w:r>
                      </w:p>
                    </w:tc>
                    <w:tc>
                      <w:tcPr>
                        <w:tcW w:w="1749" w:type="dxa"/>
                        <w:tcBorders>
                          <w:top w:val="single" w:sz="4" w:space="0" w:color="000000"/>
                        </w:tcBorders>
                      </w:tcPr>
                      <w:p w:rsidR="0018722C">
                        <w:pPr>
                          <w:widowControl w:val="0"/>
                          <w:snapToGrid w:val="1"/>
                          <w:spacing w:beforeLines="0" w:afterLines="0" w:lineRule="auto" w:line="240" w:after="0" w:before="41"/>
                          <w:ind w:firstLineChars="0" w:firstLine="0" w:rightChars="0" w:right="0" w:leftChars="0" w:left="435"/>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High expression</w:t>
                        </w:r>
                      </w:p>
                    </w:tc>
                    <w:tc>
                      <w:tcPr>
                        <w:tcW w:w="192"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Borders>
                          <w:top w:val="single" w:sz="4" w:space="0" w:color="000000"/>
                        </w:tcBorders>
                      </w:tcPr>
                      <w:p w:rsidR="0018722C">
                        <w:pPr>
                          <w:widowControl w:val="0"/>
                          <w:snapToGrid w:val="1"/>
                          <w:spacing w:beforeLines="0" w:afterLines="0" w:lineRule="auto" w:line="240" w:after="0" w:before="41"/>
                          <w:ind w:firstLineChars="0" w:firstLine="0" w:rightChars="0" w:right="0" w:leftChars="0" w:left="114"/>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P</w:t>
                        </w:r>
                      </w:p>
                    </w:tc>
                    <w:tc>
                      <w:tcPr>
                        <w:tcW w:w="1524" w:type="dxa"/>
                        <w:tcBorders>
                          <w:top w:val="single" w:sz="4" w:space="0" w:color="000000"/>
                        </w:tcBorders>
                      </w:tcPr>
                      <w:p w:rsidR="0018722C">
                        <w:pPr>
                          <w:widowControl w:val="0"/>
                          <w:snapToGrid w:val="1"/>
                          <w:spacing w:beforeLines="0" w:afterLines="0" w:lineRule="auto" w:line="240" w:after="0" w:before="41"/>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Low expression</w:t>
                        </w:r>
                      </w:p>
                    </w:tc>
                    <w:tc>
                      <w:tcPr>
                        <w:tcW w:w="1737" w:type="dxa"/>
                        <w:tcBorders>
                          <w:top w:val="single" w:sz="4" w:space="0" w:color="000000"/>
                        </w:tcBorders>
                      </w:tcPr>
                      <w:p w:rsidR="0018722C">
                        <w:pPr>
                          <w:widowControl w:val="0"/>
                          <w:snapToGrid w:val="1"/>
                          <w:spacing w:beforeLines="0" w:afterLines="0" w:lineRule="auto" w:line="240" w:after="0" w:before="41"/>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High expression</w:t>
                        </w:r>
                      </w:p>
                    </w:tc>
                    <w:tc>
                      <w:tcPr>
                        <w:tcW w:w="1138" w:type="dxa"/>
                      </w:tcPr>
                      <w:p w:rsidR="0018722C">
                        <w:pPr>
                          <w:widowControl w:val="0"/>
                          <w:snapToGrid w:val="1"/>
                          <w:spacing w:beforeLines="0" w:afterLines="0" w:lineRule="auto" w:line="240" w:after="0" w:before="41"/>
                          <w:ind w:firstLineChars="0" w:firstLine="0" w:rightChars="0" w:right="0" w:leftChars="0" w:left="109"/>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P</w:t>
                        </w:r>
                      </w:p>
                    </w:tc>
                  </w:tr>
                  <w:tr>
                    <w:trPr>
                      <w:trHeight w:val="300" w:hRule="atLeast"/>
                    </w:trPr>
                    <w:tc>
                      <w:tcPr>
                        <w:tcW w:w="1702"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764" w:type="dxa"/>
                        <w:tcBorders>
                          <w:bottom w:val="single" w:sz="4" w:space="0" w:color="000000"/>
                        </w:tcBorders>
                      </w:tcPr>
                      <w:p w:rsidR="0018722C">
                        <w:pPr>
                          <w:widowControl w:val="0"/>
                          <w:snapToGrid w:val="1"/>
                          <w:spacing w:beforeLines="0" w:afterLines="0" w:lineRule="auto" w:line="240" w:after="0" w:before="36"/>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N=16</w:t>
                        </w:r>
                      </w:p>
                    </w:tc>
                    <w:tc>
                      <w:tcPr>
                        <w:tcW w:w="1749" w:type="dxa"/>
                        <w:tcBorders>
                          <w:bottom w:val="single" w:sz="4" w:space="0" w:color="000000"/>
                        </w:tcBorders>
                      </w:tcPr>
                      <w:p w:rsidR="0018722C">
                        <w:pPr>
                          <w:widowControl w:val="0"/>
                          <w:snapToGrid w:val="1"/>
                          <w:spacing w:beforeLines="0" w:afterLines="0" w:lineRule="auto" w:line="240" w:after="0" w:before="36"/>
                          <w:ind w:firstLineChars="0" w:firstLine="0" w:rightChars="0" w:right="0" w:leftChars="0" w:left="435"/>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N=43</w:t>
                        </w:r>
                      </w:p>
                    </w:tc>
                    <w:tc>
                      <w:tcPr>
                        <w:tcW w:w="192"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524" w:type="dxa"/>
                        <w:tcBorders>
                          <w:bottom w:val="single" w:sz="4" w:space="0" w:color="000000"/>
                        </w:tcBorders>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N=22</w:t>
                        </w:r>
                      </w:p>
                    </w:tc>
                    <w:tc>
                      <w:tcPr>
                        <w:tcW w:w="1737" w:type="dxa"/>
                        <w:tcBorders>
                          <w:bottom w:val="single" w:sz="4" w:space="0" w:color="000000"/>
                        </w:tcBorders>
                      </w:tcPr>
                      <w:p w:rsidR="0018722C">
                        <w:pPr>
                          <w:widowControl w:val="0"/>
                          <w:snapToGrid w:val="1"/>
                          <w:spacing w:beforeLines="0" w:afterLines="0" w:lineRule="auto" w:line="240" w:after="0" w:before="36"/>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N=37</w:t>
                        </w:r>
                      </w:p>
                    </w:tc>
                    <w:tc>
                      <w:tcPr>
                        <w:tcW w:w="1138"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r>
                  <w:tr>
                    <w:trPr>
                      <w:trHeight w:val="300" w:hRule="atLeast"/>
                    </w:trPr>
                    <w:tc>
                      <w:tcPr>
                        <w:tcW w:w="1702" w:type="dxa"/>
                        <w:tcBorders>
                          <w:top w:val="single" w:sz="4" w:space="0" w:color="000000"/>
                        </w:tcBorders>
                      </w:tcPr>
                      <w:p w:rsidR="0018722C">
                        <w:pPr>
                          <w:widowControl w:val="0"/>
                          <w:snapToGrid w:val="1"/>
                          <w:spacing w:beforeLines="0" w:afterLines="0" w:lineRule="auto" w:line="240" w:after="0" w:before="41"/>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Gender, M/F</w:t>
                        </w:r>
                      </w:p>
                    </w:tc>
                    <w:tc>
                      <w:tcPr>
                        <w:tcW w:w="1764" w:type="dxa"/>
                        <w:tcBorders>
                          <w:top w:val="single" w:sz="4" w:space="0" w:color="000000"/>
                        </w:tcBorders>
                      </w:tcPr>
                      <w:p w:rsidR="0018722C">
                        <w:pPr>
                          <w:widowControl w:val="0"/>
                          <w:snapToGrid w:val="1"/>
                          <w:spacing w:beforeLines="0" w:afterLines="0" w:lineRule="auto" w:line="240" w:after="0" w:before="41"/>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13/3</w:t>
                        </w:r>
                      </w:p>
                    </w:tc>
                    <w:tc>
                      <w:tcPr>
                        <w:tcW w:w="1749" w:type="dxa"/>
                        <w:tcBorders>
                          <w:top w:val="single" w:sz="4" w:space="0" w:color="000000"/>
                        </w:tcBorders>
                      </w:tcPr>
                      <w:p w:rsidR="0018722C">
                        <w:pPr>
                          <w:widowControl w:val="0"/>
                          <w:snapToGrid w:val="1"/>
                          <w:spacing w:beforeLines="0" w:afterLines="0" w:lineRule="auto" w:line="240" w:after="0" w:before="41"/>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37/6</w:t>
                        </w:r>
                      </w:p>
                    </w:tc>
                    <w:tc>
                      <w:tcPr>
                        <w:tcW w:w="192"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Borders>
                          <w:top w:val="single" w:sz="4" w:space="0" w:color="000000"/>
                        </w:tcBorders>
                      </w:tcPr>
                      <w:p w:rsidR="0018722C">
                        <w:pPr>
                          <w:widowControl w:val="0"/>
                          <w:snapToGrid w:val="1"/>
                          <w:spacing w:beforeLines="0" w:afterLines="0" w:lineRule="auto" w:line="240" w:after="0" w:before="41"/>
                          <w:ind w:firstLineChars="0" w:firstLine="0" w:rightChars="0" w:right="0" w:leftChars="0" w:left="3"/>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0.961</w:t>
                        </w:r>
                      </w:p>
                    </w:tc>
                    <w:tc>
                      <w:tcPr>
                        <w:tcW w:w="1524" w:type="dxa"/>
                        <w:tcBorders>
                          <w:top w:val="single" w:sz="4" w:space="0" w:color="000000"/>
                        </w:tcBorders>
                      </w:tcPr>
                      <w:p w:rsidR="0018722C">
                        <w:pPr>
                          <w:widowControl w:val="0"/>
                          <w:snapToGrid w:val="1"/>
                          <w:spacing w:beforeLines="0" w:afterLines="0" w:lineRule="auto" w:line="240" w:after="0" w:before="41"/>
                          <w:ind w:firstLineChars="0" w:firstLine="0" w:rightChars="0" w:right="0" w:leftChars="0" w:left="2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19/3</w:t>
                        </w:r>
                      </w:p>
                    </w:tc>
                    <w:tc>
                      <w:tcPr>
                        <w:tcW w:w="1737" w:type="dxa"/>
                        <w:tcBorders>
                          <w:top w:val="single" w:sz="4" w:space="0" w:color="000000"/>
                        </w:tcBorders>
                      </w:tcPr>
                      <w:p w:rsidR="0018722C">
                        <w:pPr>
                          <w:widowControl w:val="0"/>
                          <w:snapToGrid w:val="1"/>
                          <w:spacing w:beforeLines="0" w:afterLines="0" w:lineRule="auto" w:line="240" w:after="0" w:before="41"/>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31/6</w:t>
                        </w:r>
                      </w:p>
                    </w:tc>
                    <w:tc>
                      <w:tcPr>
                        <w:tcW w:w="1138" w:type="dxa"/>
                        <w:tcBorders>
                          <w:top w:val="single" w:sz="4" w:space="0" w:color="000000"/>
                        </w:tcBorders>
                      </w:tcPr>
                      <w:p w:rsidR="0018722C">
                        <w:pPr>
                          <w:widowControl w:val="0"/>
                          <w:snapToGrid w:val="1"/>
                          <w:spacing w:beforeLines="0" w:afterLines="0" w:lineRule="auto" w:line="240" w:after="0" w:before="41"/>
                          <w:ind w:firstLineChars="0" w:firstLine="0" w:rightChars="0" w:right="0" w:leftChars="0" w:left="109"/>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1.0</w:t>
                        </w:r>
                      </w:p>
                    </w:tc>
                  </w:tr>
                  <w:tr>
                    <w:trPr>
                      <w:trHeight w:val="300" w:hRule="atLeast"/>
                    </w:trPr>
                    <w:tc>
                      <w:tcPr>
                        <w:tcW w:w="1702"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Age, yr</w:t>
                        </w:r>
                      </w:p>
                    </w:tc>
                    <w:tc>
                      <w:tcPr>
                        <w:tcW w:w="1764" w:type="dxa"/>
                      </w:tcPr>
                      <w:p w:rsidR="0018722C">
                        <w:pPr>
                          <w:widowControl w:val="0"/>
                          <w:snapToGrid w:val="1"/>
                          <w:spacing w:beforeLines="0" w:afterLines="0" w:lineRule="auto" w:line="240" w:after="0" w:before="36"/>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45.8±11.6</w:t>
                        </w:r>
                      </w:p>
                    </w:tc>
                    <w:tc>
                      <w:tcPr>
                        <w:tcW w:w="1749" w:type="dxa"/>
                      </w:tcPr>
                      <w:p w:rsidR="0018722C">
                        <w:pPr>
                          <w:widowControl w:val="0"/>
                          <w:snapToGrid w:val="1"/>
                          <w:spacing w:beforeLines="0" w:afterLines="0" w:lineRule="auto" w:line="240" w:after="0" w:before="36"/>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46.7±10.9</w:t>
                        </w: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after="0" w:before="36"/>
                          <w:ind w:firstLineChars="0" w:firstLine="0" w:rightChars="0" w:right="0" w:leftChars="0" w:left="3"/>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0.218</w:t>
                        </w:r>
                      </w:p>
                    </w:tc>
                    <w:tc>
                      <w:tcPr>
                        <w:tcW w:w="1524"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47.2±10.1</w:t>
                        </w:r>
                      </w:p>
                    </w:tc>
                    <w:tc>
                      <w:tcPr>
                        <w:tcW w:w="1737" w:type="dxa"/>
                      </w:tcPr>
                      <w:p w:rsidR="0018722C">
                        <w:pPr>
                          <w:widowControl w:val="0"/>
                          <w:snapToGrid w:val="1"/>
                          <w:spacing w:beforeLines="0" w:afterLines="0" w:lineRule="auto" w:line="240" w:after="0" w:before="36"/>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46.9±10.2</w:t>
                        </w:r>
                      </w:p>
                    </w:tc>
                    <w:tc>
                      <w:tcPr>
                        <w:tcW w:w="1138" w:type="dxa"/>
                      </w:tcPr>
                      <w:p w:rsidR="0018722C">
                        <w:pPr>
                          <w:widowControl w:val="0"/>
                          <w:snapToGrid w:val="1"/>
                          <w:spacing w:beforeLines="0" w:afterLines="0" w:lineRule="auto" w:line="240" w:after="0" w:before="36"/>
                          <w:ind w:firstLineChars="0" w:firstLine="0" w:rightChars="0" w:right="0" w:leftChars="0" w:left="109"/>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0.476</w:t>
                        </w:r>
                      </w:p>
                    </w:tc>
                  </w:tr>
                  <w:tr>
                    <w:trPr>
                      <w:trHeight w:val="300" w:hRule="atLeast"/>
                    </w:trPr>
                    <w:tc>
                      <w:tcPr>
                        <w:tcW w:w="1702"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HbsAg</w:t>
                        </w:r>
                      </w:p>
                    </w:tc>
                    <w:tc>
                      <w:tcPr>
                        <w:tcW w:w="176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74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52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73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13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r>
                  <w:tr>
                    <w:trPr>
                      <w:trHeight w:val="300" w:hRule="atLeast"/>
                    </w:trPr>
                    <w:tc>
                      <w:tcPr>
                        <w:tcW w:w="1702" w:type="dxa"/>
                      </w:tcPr>
                      <w:p w:rsidR="0018722C">
                        <w:pPr>
                          <w:widowControl w:val="0"/>
                          <w:snapToGrid w:val="1"/>
                          <w:spacing w:beforeLines="0" w:afterLines="0" w:lineRule="auto" w:line="240" w:after="0" w:before="36"/>
                          <w:ind w:firstLineChars="0" w:firstLine="0" w:rightChars="0" w:right="0" w:leftChars="0" w:left="6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Negative</w:t>
                        </w:r>
                      </w:p>
                    </w:tc>
                    <w:tc>
                      <w:tcPr>
                        <w:tcW w:w="1764" w:type="dxa"/>
                      </w:tcPr>
                      <w:p w:rsidR="0018722C">
                        <w:pPr>
                          <w:widowControl w:val="0"/>
                          <w:snapToGrid w:val="1"/>
                          <w:spacing w:beforeLines="0" w:afterLines="0" w:lineRule="auto" w:line="240" w:after="0" w:before="36"/>
                          <w:ind w:firstLineChars="0" w:firstLine="0" w:rightChars="0" w:right="0" w:leftChars="0" w:left="3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4</w:t>
                        </w:r>
                      </w:p>
                    </w:tc>
                    <w:tc>
                      <w:tcPr>
                        <w:tcW w:w="1749" w:type="dxa"/>
                      </w:tcPr>
                      <w:p w:rsidR="0018722C">
                        <w:pPr>
                          <w:widowControl w:val="0"/>
                          <w:snapToGrid w:val="1"/>
                          <w:spacing w:beforeLines="0" w:afterLines="0" w:lineRule="auto" w:line="240" w:after="0" w:before="36"/>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8</w:t>
                        </w: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after="0" w:before="36"/>
                          <w:ind w:firstLineChars="0" w:firstLine="0" w:rightChars="0" w:right="0" w:leftChars="0" w:left="3"/>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0.858</w:t>
                        </w:r>
                      </w:p>
                    </w:tc>
                    <w:tc>
                      <w:tcPr>
                        <w:tcW w:w="1524" w:type="dxa"/>
                      </w:tcPr>
                      <w:p w:rsidR="0018722C">
                        <w:pPr>
                          <w:widowControl w:val="0"/>
                          <w:snapToGrid w:val="1"/>
                          <w:spacing w:beforeLines="0" w:afterLines="0" w:lineRule="auto" w:line="240" w:after="0" w:before="36"/>
                          <w:ind w:firstLineChars="0" w:firstLine="0" w:rightChars="0" w:right="0" w:leftChars="0" w:left="3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5</w:t>
                        </w:r>
                      </w:p>
                    </w:tc>
                    <w:tc>
                      <w:tcPr>
                        <w:tcW w:w="1737" w:type="dxa"/>
                      </w:tcPr>
                      <w:p w:rsidR="0018722C">
                        <w:pPr>
                          <w:widowControl w:val="0"/>
                          <w:snapToGrid w:val="1"/>
                          <w:spacing w:beforeLines="0" w:afterLines="0" w:lineRule="auto" w:line="240" w:after="0" w:before="36"/>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7</w:t>
                        </w:r>
                      </w:p>
                    </w:tc>
                    <w:tc>
                      <w:tcPr>
                        <w:tcW w:w="1138" w:type="dxa"/>
                      </w:tcPr>
                      <w:p w:rsidR="0018722C">
                        <w:pPr>
                          <w:widowControl w:val="0"/>
                          <w:snapToGrid w:val="1"/>
                          <w:spacing w:beforeLines="0" w:afterLines="0" w:lineRule="auto" w:line="240" w:after="0" w:before="36"/>
                          <w:ind w:firstLineChars="0" w:firstLine="0" w:rightChars="0" w:right="0" w:leftChars="0" w:left="109"/>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0.725</w:t>
                        </w:r>
                      </w:p>
                    </w:tc>
                  </w:tr>
                  <w:tr>
                    <w:trPr>
                      <w:trHeight w:val="300" w:hRule="atLeast"/>
                    </w:trPr>
                    <w:tc>
                      <w:tcPr>
                        <w:tcW w:w="1702" w:type="dxa"/>
                      </w:tcPr>
                      <w:p w:rsidR="0018722C">
                        <w:pPr>
                          <w:widowControl w:val="0"/>
                          <w:snapToGrid w:val="1"/>
                          <w:spacing w:beforeLines="0" w:afterLines="0" w:lineRule="auto" w:line="240" w:after="0" w:before="36"/>
                          <w:ind w:firstLineChars="0" w:firstLine="0" w:rightChars="0" w:right="0" w:leftChars="0" w:left="6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Positive</w:t>
                        </w:r>
                      </w:p>
                    </w:tc>
                    <w:tc>
                      <w:tcPr>
                        <w:tcW w:w="1764" w:type="dxa"/>
                      </w:tcPr>
                      <w:p w:rsidR="0018722C">
                        <w:pPr>
                          <w:widowControl w:val="0"/>
                          <w:snapToGrid w:val="1"/>
                          <w:spacing w:beforeLines="0" w:afterLines="0" w:lineRule="auto" w:line="240" w:after="0" w:before="36"/>
                          <w:ind w:firstLineChars="0" w:firstLine="0" w:rightChars="0" w:right="0" w:leftChars="0" w:left="3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12</w:t>
                        </w:r>
                      </w:p>
                    </w:tc>
                    <w:tc>
                      <w:tcPr>
                        <w:tcW w:w="1749" w:type="dxa"/>
                      </w:tcPr>
                      <w:p w:rsidR="0018722C">
                        <w:pPr>
                          <w:widowControl w:val="0"/>
                          <w:snapToGrid w:val="1"/>
                          <w:spacing w:beforeLines="0" w:afterLines="0" w:lineRule="auto" w:line="240" w:after="0" w:before="36"/>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35</w:t>
                        </w: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524" w:type="dxa"/>
                      </w:tcPr>
                      <w:p w:rsidR="0018722C">
                        <w:pPr>
                          <w:widowControl w:val="0"/>
                          <w:snapToGrid w:val="1"/>
                          <w:spacing w:beforeLines="0" w:afterLines="0" w:lineRule="auto" w:line="240" w:after="0" w:before="36"/>
                          <w:ind w:firstLineChars="0" w:firstLine="0" w:rightChars="0" w:right="0" w:leftChars="0" w:left="3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17</w:t>
                        </w:r>
                      </w:p>
                    </w:tc>
                    <w:tc>
                      <w:tcPr>
                        <w:tcW w:w="1737" w:type="dxa"/>
                      </w:tcPr>
                      <w:p w:rsidR="0018722C">
                        <w:pPr>
                          <w:widowControl w:val="0"/>
                          <w:snapToGrid w:val="1"/>
                          <w:spacing w:beforeLines="0" w:afterLines="0" w:lineRule="auto" w:line="240" w:after="0" w:before="36"/>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30</w:t>
                        </w:r>
                      </w:p>
                    </w:tc>
                    <w:tc>
                      <w:tcPr>
                        <w:tcW w:w="113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r>
                  <w:tr>
                    <w:trPr>
                      <w:trHeight w:val="300" w:hRule="atLeast"/>
                    </w:trPr>
                    <w:tc>
                      <w:tcPr>
                        <w:tcW w:w="1702"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Liver cirrhosis</w:t>
                        </w:r>
                      </w:p>
                    </w:tc>
                    <w:tc>
                      <w:tcPr>
                        <w:tcW w:w="176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74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52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73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13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r>
                  <w:tr>
                    <w:trPr>
                      <w:trHeight w:val="300" w:hRule="atLeast"/>
                    </w:trPr>
                    <w:tc>
                      <w:tcPr>
                        <w:tcW w:w="1702" w:type="dxa"/>
                      </w:tcPr>
                      <w:p w:rsidR="0018722C">
                        <w:pPr>
                          <w:widowControl w:val="0"/>
                          <w:snapToGrid w:val="1"/>
                          <w:spacing w:beforeLines="0" w:afterLines="0" w:lineRule="auto" w:line="240" w:after="0" w:before="36"/>
                          <w:ind w:firstLineChars="0" w:firstLine="0" w:leftChars="0" w:left="324" w:rightChars="0" w:right="563"/>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No</w:t>
                        </w:r>
                      </w:p>
                    </w:tc>
                    <w:tc>
                      <w:tcPr>
                        <w:tcW w:w="1764" w:type="dxa"/>
                      </w:tcPr>
                      <w:p w:rsidR="0018722C">
                        <w:pPr>
                          <w:widowControl w:val="0"/>
                          <w:snapToGrid w:val="1"/>
                          <w:spacing w:beforeLines="0" w:afterLines="0" w:lineRule="auto" w:line="240" w:after="0" w:before="36"/>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2</w:t>
                        </w:r>
                      </w:p>
                    </w:tc>
                    <w:tc>
                      <w:tcPr>
                        <w:tcW w:w="1749" w:type="dxa"/>
                      </w:tcPr>
                      <w:p w:rsidR="0018722C">
                        <w:pPr>
                          <w:widowControl w:val="0"/>
                          <w:snapToGrid w:val="1"/>
                          <w:spacing w:beforeLines="0" w:afterLines="0" w:lineRule="auto" w:line="240" w:after="0" w:before="36"/>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11</w:t>
                        </w: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after="0" w:before="36"/>
                          <w:ind w:firstLineChars="0" w:firstLine="0" w:rightChars="0" w:right="0" w:leftChars="0" w:left="3"/>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0.469</w:t>
                        </w:r>
                      </w:p>
                    </w:tc>
                    <w:tc>
                      <w:tcPr>
                        <w:tcW w:w="1524"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3</w:t>
                        </w:r>
                      </w:p>
                    </w:tc>
                    <w:tc>
                      <w:tcPr>
                        <w:tcW w:w="1737" w:type="dxa"/>
                      </w:tcPr>
                      <w:p w:rsidR="0018722C">
                        <w:pPr>
                          <w:widowControl w:val="0"/>
                          <w:snapToGrid w:val="1"/>
                          <w:spacing w:beforeLines="0" w:afterLines="0" w:lineRule="auto" w:line="240" w:after="0" w:before="36"/>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10</w:t>
                        </w:r>
                      </w:p>
                    </w:tc>
                    <w:tc>
                      <w:tcPr>
                        <w:tcW w:w="1138" w:type="dxa"/>
                      </w:tcPr>
                      <w:p w:rsidR="0018722C">
                        <w:pPr>
                          <w:widowControl w:val="0"/>
                          <w:snapToGrid w:val="1"/>
                          <w:spacing w:beforeLines="0" w:afterLines="0" w:lineRule="auto" w:line="240" w:after="0" w:before="36"/>
                          <w:ind w:firstLineChars="0" w:firstLine="0" w:rightChars="0" w:right="0" w:leftChars="0" w:left="109"/>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0.381</w:t>
                        </w:r>
                      </w:p>
                    </w:tc>
                  </w:tr>
                  <w:tr>
                    <w:trPr>
                      <w:trHeight w:val="300" w:hRule="atLeast"/>
                    </w:trPr>
                    <w:tc>
                      <w:tcPr>
                        <w:tcW w:w="1702" w:type="dxa"/>
                      </w:tcPr>
                      <w:p w:rsidR="0018722C">
                        <w:pPr>
                          <w:widowControl w:val="0"/>
                          <w:snapToGrid w:val="1"/>
                          <w:spacing w:beforeLines="0" w:afterLines="0" w:lineRule="auto" w:line="240" w:after="0" w:before="36"/>
                          <w:ind w:firstLineChars="0" w:firstLine="0" w:leftChars="0" w:left="390" w:rightChars="0" w:right="563"/>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Yes</w:t>
                        </w:r>
                      </w:p>
                    </w:tc>
                    <w:tc>
                      <w:tcPr>
                        <w:tcW w:w="1764" w:type="dxa"/>
                      </w:tcPr>
                      <w:p w:rsidR="0018722C">
                        <w:pPr>
                          <w:widowControl w:val="0"/>
                          <w:snapToGrid w:val="1"/>
                          <w:spacing w:beforeLines="0" w:afterLines="0" w:lineRule="auto" w:line="240" w:after="0" w:before="36"/>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14</w:t>
                        </w:r>
                      </w:p>
                    </w:tc>
                    <w:tc>
                      <w:tcPr>
                        <w:tcW w:w="1749" w:type="dxa"/>
                      </w:tcPr>
                      <w:p w:rsidR="0018722C">
                        <w:pPr>
                          <w:widowControl w:val="0"/>
                          <w:snapToGrid w:val="1"/>
                          <w:spacing w:beforeLines="0" w:afterLines="0" w:lineRule="auto" w:line="240" w:after="0" w:before="36"/>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32</w:t>
                        </w: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524"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19</w:t>
                        </w:r>
                      </w:p>
                    </w:tc>
                    <w:tc>
                      <w:tcPr>
                        <w:tcW w:w="1737" w:type="dxa"/>
                      </w:tcPr>
                      <w:p w:rsidR="0018722C">
                        <w:pPr>
                          <w:widowControl w:val="0"/>
                          <w:snapToGrid w:val="1"/>
                          <w:spacing w:beforeLines="0" w:afterLines="0" w:lineRule="auto" w:line="240" w:after="0" w:before="36"/>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27</w:t>
                        </w:r>
                      </w:p>
                    </w:tc>
                    <w:tc>
                      <w:tcPr>
                        <w:tcW w:w="113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r>
                  <w:tr>
                    <w:trPr>
                      <w:trHeight w:val="300" w:hRule="atLeast"/>
                    </w:trPr>
                    <w:tc>
                      <w:tcPr>
                        <w:tcW w:w="1702"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AFP, ng/mL</w:t>
                        </w:r>
                      </w:p>
                    </w:tc>
                    <w:tc>
                      <w:tcPr>
                        <w:tcW w:w="176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74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52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73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13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r>
                  <w:tr>
                    <w:trPr>
                      <w:trHeight w:val="300" w:hRule="atLeast"/>
                    </w:trPr>
                    <w:tc>
                      <w:tcPr>
                        <w:tcW w:w="1702" w:type="dxa"/>
                      </w:tcPr>
                      <w:p w:rsidR="0018722C">
                        <w:pPr>
                          <w:widowControl w:val="0"/>
                          <w:snapToGrid w:val="1"/>
                          <w:spacing w:beforeLines="0" w:afterLines="0" w:before="0" w:after="0" w:line="268" w:lineRule="exact"/>
                          <w:ind w:firstLineChars="0" w:firstLine="0" w:leftChars="0" w:left="577" w:rightChars="0" w:right="563"/>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ascii="宋体" w:eastAsia="宋体" w:hint="eastAsia" w:cstheme="minorBidi" w:hAnsi="Times New Roman" w:cs="Times New Roman"/>
                            <w:sz w:val="20"/>
                          </w:rPr>
                          <w:t>＜</w:t>
                        </w:r>
                        <w:r>
                          <w:rPr>
                            <w:kern w:val="2"/>
                            <w:szCs w:val="22"/>
                            <w:rFonts w:cstheme="minorBidi" w:ascii="Times New Roman" w:hAnsi="Times New Roman" w:eastAsia="Times New Roman" w:cs="Times New Roman"/>
                            <w:sz w:val="20"/>
                          </w:rPr>
                          <w:t>400</w:t>
                        </w:r>
                      </w:p>
                    </w:tc>
                    <w:tc>
                      <w:tcPr>
                        <w:tcW w:w="1764" w:type="dxa"/>
                      </w:tcPr>
                      <w:p w:rsidR="0018722C">
                        <w:pPr>
                          <w:widowControl w:val="0"/>
                          <w:snapToGrid w:val="1"/>
                          <w:spacing w:beforeLines="0" w:afterLines="0" w:lineRule="auto" w:line="240" w:after="0" w:before="36"/>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12</w:t>
                        </w:r>
                      </w:p>
                    </w:tc>
                    <w:tc>
                      <w:tcPr>
                        <w:tcW w:w="1749" w:type="dxa"/>
                      </w:tcPr>
                      <w:p w:rsidR="0018722C">
                        <w:pPr>
                          <w:widowControl w:val="0"/>
                          <w:snapToGrid w:val="1"/>
                          <w:spacing w:beforeLines="0" w:afterLines="0" w:lineRule="auto" w:line="240" w:after="0" w:before="36"/>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32</w:t>
                        </w: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after="0" w:before="36"/>
                          <w:ind w:firstLineChars="0" w:firstLine="0" w:rightChars="0" w:right="0" w:leftChars="0" w:left="3"/>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1.0</w:t>
                        </w:r>
                      </w:p>
                    </w:tc>
                    <w:tc>
                      <w:tcPr>
                        <w:tcW w:w="1524"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17</w:t>
                        </w:r>
                      </w:p>
                    </w:tc>
                    <w:tc>
                      <w:tcPr>
                        <w:tcW w:w="1737" w:type="dxa"/>
                      </w:tcPr>
                      <w:p w:rsidR="0018722C">
                        <w:pPr>
                          <w:widowControl w:val="0"/>
                          <w:snapToGrid w:val="1"/>
                          <w:spacing w:beforeLines="0" w:afterLines="0" w:lineRule="auto" w:line="240" w:after="0" w:before="36"/>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27</w:t>
                        </w:r>
                      </w:p>
                    </w:tc>
                    <w:tc>
                      <w:tcPr>
                        <w:tcW w:w="1138" w:type="dxa"/>
                      </w:tcPr>
                      <w:p w:rsidR="0018722C">
                        <w:pPr>
                          <w:widowControl w:val="0"/>
                          <w:snapToGrid w:val="1"/>
                          <w:spacing w:beforeLines="0" w:afterLines="0" w:lineRule="auto" w:line="240" w:after="0" w:before="36"/>
                          <w:ind w:firstLineChars="0" w:firstLine="0" w:rightChars="0" w:right="0" w:leftChars="0" w:left="109"/>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0.714</w:t>
                        </w:r>
                      </w:p>
                    </w:tc>
                  </w:tr>
                  <w:tr>
                    <w:trPr>
                      <w:trHeight w:val="300" w:hRule="atLeast"/>
                    </w:trPr>
                    <w:tc>
                      <w:tcPr>
                        <w:tcW w:w="1702" w:type="dxa"/>
                      </w:tcPr>
                      <w:p w:rsidR="0018722C">
                        <w:pPr>
                          <w:widowControl w:val="0"/>
                          <w:snapToGrid w:val="1"/>
                          <w:spacing w:beforeLines="0" w:afterLines="0" w:lineRule="auto" w:line="240" w:after="0" w:before="36"/>
                          <w:ind w:firstLineChars="0" w:firstLine="0" w:leftChars="0" w:left="489" w:rightChars="0" w:right="563"/>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≥400</w:t>
                        </w:r>
                      </w:p>
                    </w:tc>
                    <w:tc>
                      <w:tcPr>
                        <w:tcW w:w="1764" w:type="dxa"/>
                      </w:tcPr>
                      <w:p w:rsidR="0018722C">
                        <w:pPr>
                          <w:widowControl w:val="0"/>
                          <w:snapToGrid w:val="1"/>
                          <w:spacing w:beforeLines="0" w:afterLines="0" w:lineRule="auto" w:line="240" w:after="0" w:before="36"/>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4</w:t>
                        </w:r>
                      </w:p>
                    </w:tc>
                    <w:tc>
                      <w:tcPr>
                        <w:tcW w:w="1749" w:type="dxa"/>
                      </w:tcPr>
                      <w:p w:rsidR="0018722C">
                        <w:pPr>
                          <w:widowControl w:val="0"/>
                          <w:snapToGrid w:val="1"/>
                          <w:spacing w:beforeLines="0" w:afterLines="0" w:lineRule="auto" w:line="240" w:after="0" w:before="36"/>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11</w:t>
                        </w: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524"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5</w:t>
                        </w:r>
                      </w:p>
                    </w:tc>
                    <w:tc>
                      <w:tcPr>
                        <w:tcW w:w="1737" w:type="dxa"/>
                      </w:tcPr>
                      <w:p w:rsidR="0018722C">
                        <w:pPr>
                          <w:widowControl w:val="0"/>
                          <w:snapToGrid w:val="1"/>
                          <w:spacing w:beforeLines="0" w:afterLines="0" w:lineRule="auto" w:line="240" w:after="0" w:before="36"/>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10</w:t>
                        </w:r>
                      </w:p>
                    </w:tc>
                    <w:tc>
                      <w:tcPr>
                        <w:tcW w:w="113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r>
                  <w:tr>
                    <w:trPr>
                      <w:trHeight w:val="300" w:hRule="atLeast"/>
                    </w:trPr>
                    <w:tc>
                      <w:tcPr>
                        <w:tcW w:w="1702"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Edmondson grade</w:t>
                        </w:r>
                      </w:p>
                    </w:tc>
                    <w:tc>
                      <w:tcPr>
                        <w:tcW w:w="176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74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52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73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13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r>
                  <w:tr>
                    <w:trPr>
                      <w:trHeight w:val="300" w:hRule="atLeast"/>
                    </w:trPr>
                    <w:tc>
                      <w:tcPr>
                        <w:tcW w:w="1702" w:type="dxa"/>
                      </w:tcPr>
                      <w:p w:rsidR="0018722C">
                        <w:pPr>
                          <w:widowControl w:val="0"/>
                          <w:snapToGrid w:val="1"/>
                          <w:spacing w:beforeLines="0" w:afterLines="0" w:lineRule="auto" w:line="240" w:after="0" w:before="36"/>
                          <w:ind w:firstLineChars="0" w:firstLine="0" w:leftChars="0" w:left="346" w:rightChars="0" w:right="563"/>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I-II</w:t>
                        </w:r>
                      </w:p>
                    </w:tc>
                    <w:tc>
                      <w:tcPr>
                        <w:tcW w:w="1764" w:type="dxa"/>
                      </w:tcPr>
                      <w:p w:rsidR="0018722C">
                        <w:pPr>
                          <w:widowControl w:val="0"/>
                          <w:snapToGrid w:val="1"/>
                          <w:spacing w:beforeLines="0" w:afterLines="0" w:lineRule="auto" w:line="240" w:after="0" w:before="36"/>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9</w:t>
                        </w:r>
                      </w:p>
                    </w:tc>
                    <w:tc>
                      <w:tcPr>
                        <w:tcW w:w="1749" w:type="dxa"/>
                      </w:tcPr>
                      <w:p w:rsidR="0018722C">
                        <w:pPr>
                          <w:widowControl w:val="0"/>
                          <w:snapToGrid w:val="1"/>
                          <w:spacing w:beforeLines="0" w:afterLines="0" w:lineRule="auto" w:line="240" w:after="0" w:before="36"/>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26</w:t>
                        </w: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after="0" w:before="36"/>
                          <w:ind w:firstLineChars="0" w:firstLine="0" w:rightChars="0" w:right="0" w:leftChars="0" w:left="3"/>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0.770</w:t>
                        </w:r>
                      </w:p>
                    </w:tc>
                    <w:tc>
                      <w:tcPr>
                        <w:tcW w:w="1524"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13</w:t>
                        </w:r>
                      </w:p>
                    </w:tc>
                    <w:tc>
                      <w:tcPr>
                        <w:tcW w:w="1737" w:type="dxa"/>
                      </w:tcPr>
                      <w:p w:rsidR="0018722C">
                        <w:pPr>
                          <w:widowControl w:val="0"/>
                          <w:snapToGrid w:val="1"/>
                          <w:spacing w:beforeLines="0" w:afterLines="0" w:lineRule="auto" w:line="240" w:after="0" w:before="36"/>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22</w:t>
                        </w:r>
                      </w:p>
                    </w:tc>
                    <w:tc>
                      <w:tcPr>
                        <w:tcW w:w="1138" w:type="dxa"/>
                      </w:tcPr>
                      <w:p w:rsidR="0018722C">
                        <w:pPr>
                          <w:widowControl w:val="0"/>
                          <w:snapToGrid w:val="1"/>
                          <w:spacing w:beforeLines="0" w:afterLines="0" w:lineRule="auto" w:line="240" w:after="0" w:before="36"/>
                          <w:ind w:firstLineChars="0" w:firstLine="0" w:rightChars="0" w:right="0" w:leftChars="0" w:left="109"/>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0.978</w:t>
                        </w:r>
                      </w:p>
                    </w:tc>
                  </w:tr>
                  <w:tr>
                    <w:trPr>
                      <w:trHeight w:val="300" w:hRule="atLeast"/>
                    </w:trPr>
                    <w:tc>
                      <w:tcPr>
                        <w:tcW w:w="1702" w:type="dxa"/>
                      </w:tcPr>
                      <w:p w:rsidR="0018722C">
                        <w:pPr>
                          <w:widowControl w:val="0"/>
                          <w:snapToGrid w:val="1"/>
                          <w:spacing w:beforeLines="0" w:afterLines="0" w:lineRule="auto" w:line="240" w:after="0" w:before="36"/>
                          <w:ind w:firstLineChars="0" w:firstLine="0" w:leftChars="0" w:left="587" w:rightChars="0" w:right="563"/>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III–IV</w:t>
                        </w:r>
                      </w:p>
                    </w:tc>
                    <w:tc>
                      <w:tcPr>
                        <w:tcW w:w="1764" w:type="dxa"/>
                      </w:tcPr>
                      <w:p w:rsidR="0018722C">
                        <w:pPr>
                          <w:widowControl w:val="0"/>
                          <w:snapToGrid w:val="1"/>
                          <w:spacing w:beforeLines="0" w:afterLines="0" w:lineRule="auto" w:line="240" w:after="0" w:before="36"/>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7</w:t>
                        </w:r>
                      </w:p>
                    </w:tc>
                    <w:tc>
                      <w:tcPr>
                        <w:tcW w:w="1749" w:type="dxa"/>
                      </w:tcPr>
                      <w:p w:rsidR="0018722C">
                        <w:pPr>
                          <w:widowControl w:val="0"/>
                          <w:snapToGrid w:val="1"/>
                          <w:spacing w:beforeLines="0" w:afterLines="0" w:lineRule="auto" w:line="240" w:after="0" w:before="36"/>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17</w:t>
                        </w: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524"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9</w:t>
                        </w:r>
                      </w:p>
                    </w:tc>
                    <w:tc>
                      <w:tcPr>
                        <w:tcW w:w="1737" w:type="dxa"/>
                      </w:tcPr>
                      <w:p w:rsidR="0018722C">
                        <w:pPr>
                          <w:widowControl w:val="0"/>
                          <w:snapToGrid w:val="1"/>
                          <w:spacing w:beforeLines="0" w:afterLines="0" w:lineRule="auto" w:line="240" w:after="0" w:before="36"/>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15</w:t>
                        </w:r>
                      </w:p>
                    </w:tc>
                    <w:tc>
                      <w:tcPr>
                        <w:tcW w:w="113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r>
                  <w:tr>
                    <w:trPr>
                      <w:trHeight w:val="300" w:hRule="atLeast"/>
                    </w:trPr>
                    <w:tc>
                      <w:tcPr>
                        <w:tcW w:w="1702"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Child-Pugh class</w:t>
                        </w:r>
                      </w:p>
                    </w:tc>
                    <w:tc>
                      <w:tcPr>
                        <w:tcW w:w="176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74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52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73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13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r>
                  <w:tr>
                    <w:trPr>
                      <w:trHeight w:val="300" w:hRule="atLeast"/>
                    </w:trPr>
                    <w:tc>
                      <w:tcPr>
                        <w:tcW w:w="1702" w:type="dxa"/>
                      </w:tcPr>
                      <w:p w:rsidR="0018722C">
                        <w:pPr>
                          <w:widowControl w:val="0"/>
                          <w:snapToGrid w:val="1"/>
                          <w:spacing w:beforeLines="0" w:afterLines="0" w:lineRule="auto" w:line="240" w:after="0" w:before="36"/>
                          <w:ind w:firstLineChars="0" w:firstLine="0" w:leftChars="0" w:left="0" w:rightChars="0" w:right="339"/>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A</w:t>
                        </w:r>
                      </w:p>
                    </w:tc>
                    <w:tc>
                      <w:tcPr>
                        <w:tcW w:w="1764" w:type="dxa"/>
                      </w:tcPr>
                      <w:p w:rsidR="0018722C">
                        <w:pPr>
                          <w:widowControl w:val="0"/>
                          <w:snapToGrid w:val="1"/>
                          <w:spacing w:beforeLines="0" w:afterLines="0" w:lineRule="auto" w:line="240" w:after="0" w:before="36"/>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16</w:t>
                        </w:r>
                      </w:p>
                    </w:tc>
                    <w:tc>
                      <w:tcPr>
                        <w:tcW w:w="1749" w:type="dxa"/>
                      </w:tcPr>
                      <w:p w:rsidR="0018722C">
                        <w:pPr>
                          <w:widowControl w:val="0"/>
                          <w:snapToGrid w:val="1"/>
                          <w:spacing w:beforeLines="0" w:afterLines="0" w:lineRule="auto" w:line="240" w:after="0" w:before="36"/>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40</w:t>
                        </w: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after="0" w:before="36"/>
                          <w:ind w:firstLineChars="0" w:firstLine="0" w:rightChars="0" w:right="0" w:leftChars="0" w:left="3"/>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0.556</w:t>
                        </w:r>
                      </w:p>
                    </w:tc>
                    <w:tc>
                      <w:tcPr>
                        <w:tcW w:w="1524"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22</w:t>
                        </w:r>
                      </w:p>
                    </w:tc>
                    <w:tc>
                      <w:tcPr>
                        <w:tcW w:w="1737" w:type="dxa"/>
                      </w:tcPr>
                      <w:p w:rsidR="0018722C">
                        <w:pPr>
                          <w:widowControl w:val="0"/>
                          <w:snapToGrid w:val="1"/>
                          <w:spacing w:beforeLines="0" w:afterLines="0" w:lineRule="auto" w:line="240" w:after="0" w:before="36"/>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34</w:t>
                        </w:r>
                      </w:p>
                    </w:tc>
                    <w:tc>
                      <w:tcPr>
                        <w:tcW w:w="1138" w:type="dxa"/>
                      </w:tcPr>
                      <w:p w:rsidR="0018722C">
                        <w:pPr>
                          <w:widowControl w:val="0"/>
                          <w:snapToGrid w:val="1"/>
                          <w:spacing w:beforeLines="0" w:afterLines="0" w:lineRule="auto" w:line="240" w:after="0" w:before="36"/>
                          <w:ind w:firstLineChars="0" w:firstLine="0" w:rightChars="0" w:right="0" w:leftChars="0" w:left="109"/>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0.286</w:t>
                        </w:r>
                      </w:p>
                    </w:tc>
                  </w:tr>
                  <w:tr>
                    <w:trPr>
                      <w:trHeight w:val="300" w:hRule="atLeast"/>
                    </w:trPr>
                    <w:tc>
                      <w:tcPr>
                        <w:tcW w:w="1702" w:type="dxa"/>
                      </w:tcPr>
                      <w:p w:rsidR="0018722C">
                        <w:pPr>
                          <w:widowControl w:val="0"/>
                          <w:snapToGrid w:val="1"/>
                          <w:spacing w:beforeLines="0" w:afterLines="0" w:lineRule="auto" w:line="240" w:after="0" w:before="36"/>
                          <w:ind w:firstLineChars="0" w:firstLine="0" w:leftChars="0" w:left="0" w:rightChars="0" w:right="350"/>
                          <w:jc w:val="center"/>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B</w:t>
                        </w:r>
                      </w:p>
                    </w:tc>
                    <w:tc>
                      <w:tcPr>
                        <w:tcW w:w="1764" w:type="dxa"/>
                      </w:tcPr>
                      <w:p w:rsidR="0018722C">
                        <w:pPr>
                          <w:widowControl w:val="0"/>
                          <w:snapToGrid w:val="1"/>
                          <w:spacing w:beforeLines="0" w:afterLines="0" w:lineRule="auto" w:line="240" w:after="0" w:before="36"/>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w:t>
                        </w:r>
                      </w:p>
                    </w:tc>
                    <w:tc>
                      <w:tcPr>
                        <w:tcW w:w="1749" w:type="dxa"/>
                      </w:tcPr>
                      <w:p w:rsidR="0018722C">
                        <w:pPr>
                          <w:widowControl w:val="0"/>
                          <w:snapToGrid w:val="1"/>
                          <w:spacing w:beforeLines="0" w:afterLines="0" w:lineRule="auto" w:line="240" w:after="0" w:before="36"/>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3</w:t>
                        </w: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524"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w:t>
                        </w:r>
                      </w:p>
                    </w:tc>
                    <w:tc>
                      <w:tcPr>
                        <w:tcW w:w="1737" w:type="dxa"/>
                      </w:tcPr>
                      <w:p w:rsidR="0018722C">
                        <w:pPr>
                          <w:widowControl w:val="0"/>
                          <w:snapToGrid w:val="1"/>
                          <w:spacing w:beforeLines="0" w:afterLines="0" w:lineRule="auto" w:line="240" w:after="0" w:before="36"/>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3</w:t>
                        </w:r>
                      </w:p>
                    </w:tc>
                    <w:tc>
                      <w:tcPr>
                        <w:tcW w:w="113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r>
                  <w:tr>
                    <w:trPr>
                      <w:trHeight w:val="300" w:hRule="atLeast"/>
                    </w:trPr>
                    <w:tc>
                      <w:tcPr>
                        <w:tcW w:w="1702"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Tumor capsule</w:t>
                        </w:r>
                      </w:p>
                    </w:tc>
                    <w:tc>
                      <w:tcPr>
                        <w:tcW w:w="176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74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52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73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13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r>
                  <w:tr>
                    <w:trPr>
                      <w:trHeight w:val="300" w:hRule="atLeast"/>
                    </w:trPr>
                    <w:tc>
                      <w:tcPr>
                        <w:tcW w:w="1702" w:type="dxa"/>
                      </w:tcPr>
                      <w:p w:rsidR="0018722C">
                        <w:pPr>
                          <w:widowControl w:val="0"/>
                          <w:snapToGrid w:val="1"/>
                          <w:spacing w:beforeLines="0" w:afterLines="0" w:lineRule="auto" w:line="240" w:after="0" w:before="36"/>
                          <w:ind w:firstLineChars="0" w:firstLine="0" w:rightChars="0" w:right="0" w:leftChars="0" w:left="6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Complete</w:t>
                        </w:r>
                      </w:p>
                    </w:tc>
                    <w:tc>
                      <w:tcPr>
                        <w:tcW w:w="1764" w:type="dxa"/>
                      </w:tcPr>
                      <w:p w:rsidR="0018722C">
                        <w:pPr>
                          <w:widowControl w:val="0"/>
                          <w:snapToGrid w:val="1"/>
                          <w:spacing w:beforeLines="0" w:afterLines="0" w:lineRule="auto" w:line="240" w:after="0" w:before="36"/>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12</w:t>
                        </w:r>
                      </w:p>
                    </w:tc>
                    <w:tc>
                      <w:tcPr>
                        <w:tcW w:w="1749" w:type="dxa"/>
                      </w:tcPr>
                      <w:p w:rsidR="0018722C">
                        <w:pPr>
                          <w:widowControl w:val="0"/>
                          <w:snapToGrid w:val="1"/>
                          <w:spacing w:beforeLines="0" w:afterLines="0" w:lineRule="auto" w:line="240" w:after="0" w:before="36"/>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27</w:t>
                        </w: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after="0" w:before="36"/>
                          <w:ind w:firstLineChars="0" w:firstLine="0" w:rightChars="0" w:right="0" w:leftChars="0" w:left="3"/>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0.568</w:t>
                        </w:r>
                      </w:p>
                    </w:tc>
                    <w:tc>
                      <w:tcPr>
                        <w:tcW w:w="1524"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16</w:t>
                        </w:r>
                      </w:p>
                    </w:tc>
                    <w:tc>
                      <w:tcPr>
                        <w:tcW w:w="1737" w:type="dxa"/>
                      </w:tcPr>
                      <w:p w:rsidR="0018722C">
                        <w:pPr>
                          <w:widowControl w:val="0"/>
                          <w:snapToGrid w:val="1"/>
                          <w:spacing w:beforeLines="0" w:afterLines="0" w:lineRule="auto" w:line="240" w:after="0" w:before="36"/>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23</w:t>
                        </w:r>
                      </w:p>
                    </w:tc>
                    <w:tc>
                      <w:tcPr>
                        <w:tcW w:w="1138" w:type="dxa"/>
                      </w:tcPr>
                      <w:p w:rsidR="0018722C">
                        <w:pPr>
                          <w:widowControl w:val="0"/>
                          <w:snapToGrid w:val="1"/>
                          <w:spacing w:beforeLines="0" w:afterLines="0" w:lineRule="auto" w:line="240" w:after="0" w:before="36"/>
                          <w:ind w:firstLineChars="0" w:firstLine="0" w:rightChars="0" w:right="0" w:leftChars="0" w:left="109"/>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0.407</w:t>
                        </w:r>
                      </w:p>
                    </w:tc>
                  </w:tr>
                  <w:tr>
                    <w:trPr>
                      <w:trHeight w:val="300" w:hRule="atLeast"/>
                    </w:trPr>
                    <w:tc>
                      <w:tcPr>
                        <w:tcW w:w="1702" w:type="dxa"/>
                      </w:tcPr>
                      <w:p w:rsidR="0018722C">
                        <w:pPr>
                          <w:widowControl w:val="0"/>
                          <w:snapToGrid w:val="1"/>
                          <w:spacing w:beforeLines="0" w:afterLines="0" w:lineRule="auto" w:line="240" w:after="0" w:before="36"/>
                          <w:ind w:firstLineChars="0" w:firstLine="0" w:rightChars="0" w:right="0" w:leftChars="0" w:left="5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Incomplete</w:t>
                        </w:r>
                      </w:p>
                    </w:tc>
                    <w:tc>
                      <w:tcPr>
                        <w:tcW w:w="1764" w:type="dxa"/>
                      </w:tcPr>
                      <w:p w:rsidR="0018722C">
                        <w:pPr>
                          <w:widowControl w:val="0"/>
                          <w:snapToGrid w:val="1"/>
                          <w:spacing w:beforeLines="0" w:afterLines="0" w:lineRule="auto" w:line="240" w:after="0" w:before="36"/>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4</w:t>
                        </w:r>
                      </w:p>
                    </w:tc>
                    <w:tc>
                      <w:tcPr>
                        <w:tcW w:w="1749" w:type="dxa"/>
                      </w:tcPr>
                      <w:p w:rsidR="0018722C">
                        <w:pPr>
                          <w:widowControl w:val="0"/>
                          <w:snapToGrid w:val="1"/>
                          <w:spacing w:beforeLines="0" w:afterLines="0" w:lineRule="auto" w:line="240" w:after="0" w:before="36"/>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16</w:t>
                        </w: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524"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6</w:t>
                        </w:r>
                      </w:p>
                    </w:tc>
                    <w:tc>
                      <w:tcPr>
                        <w:tcW w:w="1737" w:type="dxa"/>
                      </w:tcPr>
                      <w:p w:rsidR="0018722C">
                        <w:pPr>
                          <w:widowControl w:val="0"/>
                          <w:snapToGrid w:val="1"/>
                          <w:spacing w:beforeLines="0" w:afterLines="0" w:lineRule="auto" w:line="240" w:after="0" w:before="36"/>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14</w:t>
                        </w:r>
                      </w:p>
                    </w:tc>
                    <w:tc>
                      <w:tcPr>
                        <w:tcW w:w="113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r>
                  <w:tr>
                    <w:trPr>
                      <w:trHeight w:val="300" w:hRule="atLeast"/>
                    </w:trPr>
                    <w:tc>
                      <w:tcPr>
                        <w:tcW w:w="1702"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Tumor size, cm</w:t>
                        </w:r>
                      </w:p>
                    </w:tc>
                    <w:tc>
                      <w:tcPr>
                        <w:tcW w:w="1764" w:type="dxa"/>
                      </w:tcPr>
                      <w:p w:rsidR="0018722C">
                        <w:pPr>
                          <w:widowControl w:val="0"/>
                          <w:snapToGrid w:val="1"/>
                          <w:spacing w:beforeLines="0" w:afterLines="0" w:lineRule="auto" w:line="240" w:after="0" w:before="36"/>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4.50(2.63-9.00)</w:t>
                        </w:r>
                      </w:p>
                    </w:tc>
                    <w:tc>
                      <w:tcPr>
                        <w:tcW w:w="1749" w:type="dxa"/>
                      </w:tcPr>
                      <w:p w:rsidR="0018722C">
                        <w:pPr>
                          <w:widowControl w:val="0"/>
                          <w:snapToGrid w:val="1"/>
                          <w:spacing w:beforeLines="0" w:afterLines="0" w:lineRule="auto" w:line="240" w:after="0" w:before="36"/>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5.0(4-7)</w:t>
                        </w: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after="0" w:before="36"/>
                          <w:ind w:firstLineChars="0" w:firstLine="0" w:rightChars="0" w:right="0" w:leftChars="0" w:left="3"/>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0.518</w:t>
                        </w:r>
                      </w:p>
                    </w:tc>
                    <w:tc>
                      <w:tcPr>
                        <w:tcW w:w="1524"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4.5(3.38-7.38)</w:t>
                        </w:r>
                      </w:p>
                    </w:tc>
                    <w:tc>
                      <w:tcPr>
                        <w:tcW w:w="1737" w:type="dxa"/>
                      </w:tcPr>
                      <w:p w:rsidR="0018722C">
                        <w:pPr>
                          <w:widowControl w:val="0"/>
                          <w:snapToGrid w:val="1"/>
                          <w:spacing w:beforeLines="0" w:afterLines="0" w:lineRule="auto" w:line="240" w:after="0" w:before="36"/>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5(4-7.5)</w:t>
                        </w:r>
                      </w:p>
                    </w:tc>
                    <w:tc>
                      <w:tcPr>
                        <w:tcW w:w="1138" w:type="dxa"/>
                      </w:tcPr>
                      <w:p w:rsidR="0018722C">
                        <w:pPr>
                          <w:widowControl w:val="0"/>
                          <w:snapToGrid w:val="1"/>
                          <w:spacing w:beforeLines="0" w:afterLines="0" w:lineRule="auto" w:line="240" w:after="0" w:before="36"/>
                          <w:ind w:firstLineChars="0" w:firstLine="0" w:rightChars="0" w:right="0" w:leftChars="0" w:left="109"/>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0.777</w:t>
                        </w:r>
                      </w:p>
                    </w:tc>
                  </w:tr>
                  <w:tr>
                    <w:trPr>
                      <w:trHeight w:val="300" w:hRule="atLeast"/>
                    </w:trPr>
                    <w:tc>
                      <w:tcPr>
                        <w:tcW w:w="1702"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Albumin, g/L</w:t>
                        </w:r>
                      </w:p>
                    </w:tc>
                    <w:tc>
                      <w:tcPr>
                        <w:tcW w:w="1764" w:type="dxa"/>
                      </w:tcPr>
                      <w:p w:rsidR="0018722C">
                        <w:pPr>
                          <w:widowControl w:val="0"/>
                          <w:snapToGrid w:val="1"/>
                          <w:spacing w:beforeLines="0" w:afterLines="0" w:lineRule="auto" w:line="240" w:after="0" w:before="36"/>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41.2±3.6</w:t>
                        </w:r>
                      </w:p>
                    </w:tc>
                    <w:tc>
                      <w:tcPr>
                        <w:tcW w:w="1749" w:type="dxa"/>
                      </w:tcPr>
                      <w:p w:rsidR="0018722C">
                        <w:pPr>
                          <w:widowControl w:val="0"/>
                          <w:snapToGrid w:val="1"/>
                          <w:spacing w:beforeLines="0" w:afterLines="0" w:lineRule="auto" w:line="240" w:after="0" w:before="36"/>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41.5±5.3</w:t>
                        </w: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after="0" w:before="36"/>
                          <w:ind w:firstLineChars="0" w:firstLine="0" w:rightChars="0" w:right="0" w:leftChars="0" w:left="3"/>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0.873</w:t>
                        </w:r>
                      </w:p>
                    </w:tc>
                    <w:tc>
                      <w:tcPr>
                        <w:tcW w:w="1524"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41.0±4.3</w:t>
                        </w:r>
                      </w:p>
                    </w:tc>
                    <w:tc>
                      <w:tcPr>
                        <w:tcW w:w="1737" w:type="dxa"/>
                      </w:tcPr>
                      <w:p w:rsidR="0018722C">
                        <w:pPr>
                          <w:widowControl w:val="0"/>
                          <w:snapToGrid w:val="1"/>
                          <w:spacing w:beforeLines="0" w:afterLines="0" w:lineRule="auto" w:line="240" w:after="0" w:before="36"/>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41.3±4.2</w:t>
                        </w:r>
                      </w:p>
                    </w:tc>
                    <w:tc>
                      <w:tcPr>
                        <w:tcW w:w="1138" w:type="dxa"/>
                      </w:tcPr>
                      <w:p w:rsidR="0018722C">
                        <w:pPr>
                          <w:widowControl w:val="0"/>
                          <w:snapToGrid w:val="1"/>
                          <w:spacing w:beforeLines="0" w:afterLines="0" w:lineRule="auto" w:line="240" w:after="0" w:before="36"/>
                          <w:ind w:firstLineChars="0" w:firstLine="0" w:rightChars="0" w:right="0" w:leftChars="0" w:left="109"/>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0.634</w:t>
                        </w:r>
                      </w:p>
                    </w:tc>
                  </w:tr>
                  <w:tr>
                    <w:trPr>
                      <w:trHeight w:val="300" w:hRule="atLeast"/>
                    </w:trPr>
                    <w:tc>
                      <w:tcPr>
                        <w:tcW w:w="1702"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tabs>
                            <w:tab w:pos="852" w:val="left" w:leader="none"/>
                          </w:tabs>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Platele</w:t>
                          <w:tab/>
                          <w:t>count,</w:t>
                        </w:r>
                      </w:p>
                    </w:tc>
                    <w:tc>
                      <w:tcPr>
                        <w:tcW w:w="1764" w:type="dxa"/>
                      </w:tcPr>
                      <w:p w:rsidR="0018722C">
                        <w:pPr>
                          <w:widowControl w:val="0"/>
                          <w:snapToGrid w:val="1"/>
                          <w:spacing w:beforeLines="0" w:afterLines="0" w:lineRule="auto" w:line="240" w:after="0" w:before="36"/>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139.0(99.5-207.5)</w:t>
                        </w:r>
                      </w:p>
                    </w:tc>
                    <w:tc>
                      <w:tcPr>
                        <w:tcW w:w="1749" w:type="dxa"/>
                      </w:tcPr>
                      <w:p w:rsidR="0018722C">
                        <w:pPr>
                          <w:widowControl w:val="0"/>
                          <w:snapToGrid w:val="1"/>
                          <w:spacing w:beforeLines="0" w:afterLines="0" w:lineRule="auto" w:line="240" w:after="0" w:before="36"/>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160.0(122.3-223)</w:t>
                        </w: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after="0" w:before="36"/>
                          <w:ind w:firstLineChars="0" w:firstLine="0" w:rightChars="0" w:right="0" w:leftChars="0" w:left="3"/>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0.338</w:t>
                        </w:r>
                      </w:p>
                    </w:tc>
                    <w:tc>
                      <w:tcPr>
                        <w:tcW w:w="1524"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168(115.7-220)</w:t>
                        </w:r>
                      </w:p>
                    </w:tc>
                    <w:tc>
                      <w:tcPr>
                        <w:tcW w:w="1737" w:type="dxa"/>
                      </w:tcPr>
                      <w:p w:rsidR="0018722C">
                        <w:pPr>
                          <w:widowControl w:val="0"/>
                          <w:snapToGrid w:val="1"/>
                          <w:spacing w:beforeLines="0" w:afterLines="0" w:lineRule="auto" w:line="240" w:after="0" w:before="36"/>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154(118-207)</w:t>
                        </w:r>
                      </w:p>
                    </w:tc>
                    <w:tc>
                      <w:tcPr>
                        <w:tcW w:w="1138" w:type="dxa"/>
                      </w:tcPr>
                      <w:p w:rsidR="0018722C">
                        <w:pPr>
                          <w:widowControl w:val="0"/>
                          <w:snapToGrid w:val="1"/>
                          <w:spacing w:beforeLines="0" w:afterLines="0" w:lineRule="auto" w:line="240" w:after="0" w:before="36"/>
                          <w:ind w:firstLineChars="0" w:firstLine="0" w:rightChars="0" w:right="0" w:leftChars="0" w:left="109"/>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0.810</w:t>
                        </w:r>
                      </w:p>
                    </w:tc>
                  </w:tr>
                  <w:tr>
                    <w:trPr>
                      <w:trHeight w:val="300" w:hRule="atLeast"/>
                    </w:trPr>
                    <w:tc>
                      <w:tcPr>
                        <w:tcW w:w="1702" w:type="dxa"/>
                      </w:tcPr>
                      <w:p w:rsidR="0018722C">
                        <w:pPr>
                          <w:widowControl w:val="0"/>
                          <w:snapToGrid w:val="1"/>
                          <w:spacing w:beforeLines="0" w:afterLines="0" w:lineRule="auto" w:line="240" w:after="0" w:before="36"/>
                          <w:ind w:firstLineChars="0" w:firstLine="0" w:rightChars="0" w:right="0" w:leftChars="0" w:left="52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10</w:t>
                        </w:r>
                        <w:r>
                          <w:rPr>
                            <w:kern w:val="2"/>
                            <w:szCs w:val="22"/>
                            <w:rFonts w:cstheme="minorBidi" w:ascii="Times New Roman" w:hAnsi="Times New Roman" w:eastAsia="Times New Roman" w:cs="Times New Roman"/>
                            <w:position w:val="6"/>
                            <w:sz w:val="13"/>
                          </w:rPr>
                          <w:t>9</w:t>
                        </w:r>
                        <w:r>
                          <w:rPr>
                            <w:kern w:val="2"/>
                            <w:szCs w:val="22"/>
                            <w:rFonts w:cstheme="minorBidi" w:ascii="Times New Roman" w:hAnsi="Times New Roman" w:eastAsia="Times New Roman" w:cs="Times New Roman"/>
                            <w:sz w:val="20"/>
                          </w:rPr>
                          <w:t>/L</w:t>
                        </w:r>
                      </w:p>
                    </w:tc>
                    <w:tc>
                      <w:tcPr>
                        <w:tcW w:w="176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74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52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73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13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r>
                  <w:tr>
                    <w:trPr>
                      <w:trHeight w:val="300" w:hRule="atLeast"/>
                    </w:trPr>
                    <w:tc>
                      <w:tcPr>
                        <w:tcW w:w="1702"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AST, U/L</w:t>
                        </w:r>
                      </w:p>
                    </w:tc>
                    <w:tc>
                      <w:tcPr>
                        <w:tcW w:w="1764" w:type="dxa"/>
                      </w:tcPr>
                      <w:p w:rsidR="0018722C">
                        <w:pPr>
                          <w:widowControl w:val="0"/>
                          <w:snapToGrid w:val="1"/>
                          <w:spacing w:beforeLines="0" w:afterLines="0" w:lineRule="auto" w:line="240" w:after="0" w:before="36"/>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36(24.5-51.5)</w:t>
                        </w:r>
                      </w:p>
                    </w:tc>
                    <w:tc>
                      <w:tcPr>
                        <w:tcW w:w="1749" w:type="dxa"/>
                      </w:tcPr>
                      <w:p w:rsidR="0018722C">
                        <w:pPr>
                          <w:widowControl w:val="0"/>
                          <w:snapToGrid w:val="1"/>
                          <w:spacing w:beforeLines="0" w:afterLines="0" w:lineRule="auto" w:line="240" w:after="0" w:before="36"/>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45(26-70)</w:t>
                        </w: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after="0" w:before="36"/>
                          <w:ind w:firstLineChars="0" w:firstLine="0" w:rightChars="0" w:right="0" w:leftChars="0" w:left="3"/>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0.732</w:t>
                        </w:r>
                      </w:p>
                    </w:tc>
                    <w:tc>
                      <w:tcPr>
                        <w:tcW w:w="1524"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49(30-81.5)</w:t>
                        </w:r>
                      </w:p>
                    </w:tc>
                    <w:tc>
                      <w:tcPr>
                        <w:tcW w:w="1737" w:type="dxa"/>
                      </w:tcPr>
                      <w:p w:rsidR="0018722C">
                        <w:pPr>
                          <w:widowControl w:val="0"/>
                          <w:snapToGrid w:val="1"/>
                          <w:spacing w:beforeLines="0" w:afterLines="0" w:lineRule="auto" w:line="240" w:after="0" w:before="36"/>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37(22.5-61.0)</w:t>
                        </w:r>
                      </w:p>
                    </w:tc>
                    <w:tc>
                      <w:tcPr>
                        <w:tcW w:w="1138" w:type="dxa"/>
                      </w:tcPr>
                      <w:p w:rsidR="0018722C">
                        <w:pPr>
                          <w:widowControl w:val="0"/>
                          <w:snapToGrid w:val="1"/>
                          <w:spacing w:beforeLines="0" w:afterLines="0" w:lineRule="auto" w:line="240" w:after="0" w:before="36"/>
                          <w:ind w:firstLineChars="0" w:firstLine="0" w:rightChars="0" w:right="0" w:leftChars="0" w:left="109"/>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0.070</w:t>
                        </w:r>
                      </w:p>
                    </w:tc>
                  </w:tr>
                  <w:tr>
                    <w:trPr>
                      <w:trHeight w:val="300" w:hRule="atLeast"/>
                    </w:trPr>
                    <w:tc>
                      <w:tcPr>
                        <w:tcW w:w="1702"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ALT, U/L</w:t>
                        </w:r>
                      </w:p>
                    </w:tc>
                    <w:tc>
                      <w:tcPr>
                        <w:tcW w:w="1764" w:type="dxa"/>
                      </w:tcPr>
                      <w:p w:rsidR="0018722C">
                        <w:pPr>
                          <w:widowControl w:val="0"/>
                          <w:snapToGrid w:val="1"/>
                          <w:spacing w:beforeLines="0" w:afterLines="0" w:lineRule="auto" w:line="240" w:after="0" w:before="36"/>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37(24.3-47.3)</w:t>
                        </w:r>
                      </w:p>
                    </w:tc>
                    <w:tc>
                      <w:tcPr>
                        <w:tcW w:w="1749" w:type="dxa"/>
                      </w:tcPr>
                      <w:p w:rsidR="0018722C">
                        <w:pPr>
                          <w:widowControl w:val="0"/>
                          <w:snapToGrid w:val="1"/>
                          <w:spacing w:beforeLines="0" w:afterLines="0" w:lineRule="auto" w:line="240" w:after="0" w:before="36"/>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40(28-70)</w:t>
                        </w: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after="0" w:before="36"/>
                          <w:ind w:firstLineChars="0" w:firstLine="0" w:rightChars="0" w:right="0" w:leftChars="0" w:left="3"/>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0.105</w:t>
                        </w:r>
                      </w:p>
                    </w:tc>
                    <w:tc>
                      <w:tcPr>
                        <w:tcW w:w="1524"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49(28.7-62.0)</w:t>
                        </w:r>
                      </w:p>
                    </w:tc>
                    <w:tc>
                      <w:tcPr>
                        <w:tcW w:w="1737" w:type="dxa"/>
                      </w:tcPr>
                      <w:p w:rsidR="0018722C">
                        <w:pPr>
                          <w:widowControl w:val="0"/>
                          <w:snapToGrid w:val="1"/>
                          <w:spacing w:beforeLines="0" w:afterLines="0" w:lineRule="auto" w:line="240" w:after="0" w:before="36"/>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37(25-60.5)</w:t>
                        </w:r>
                      </w:p>
                    </w:tc>
                    <w:tc>
                      <w:tcPr>
                        <w:tcW w:w="1138" w:type="dxa"/>
                      </w:tcPr>
                      <w:p w:rsidR="0018722C">
                        <w:pPr>
                          <w:widowControl w:val="0"/>
                          <w:snapToGrid w:val="1"/>
                          <w:spacing w:beforeLines="0" w:afterLines="0" w:lineRule="auto" w:line="240" w:after="0" w:before="36"/>
                          <w:ind w:firstLineChars="0" w:firstLine="0" w:rightChars="0" w:right="0" w:leftChars="0" w:left="109"/>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0.184</w:t>
                        </w:r>
                      </w:p>
                    </w:tc>
                  </w:tr>
                  <w:tr>
                    <w:trPr>
                      <w:trHeight w:val="300" w:hRule="atLeast"/>
                    </w:trPr>
                    <w:tc>
                      <w:tcPr>
                        <w:tcW w:w="1702"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Total bilirubin,</w:t>
                        </w:r>
                      </w:p>
                    </w:tc>
                    <w:tc>
                      <w:tcPr>
                        <w:tcW w:w="1764" w:type="dxa"/>
                      </w:tcPr>
                      <w:p w:rsidR="0018722C">
                        <w:pPr>
                          <w:widowControl w:val="0"/>
                          <w:snapToGrid w:val="1"/>
                          <w:spacing w:beforeLines="0" w:afterLines="0" w:lineRule="auto" w:line="240" w:after="0" w:before="36"/>
                          <w:ind w:firstLineChars="0" w:firstLine="0" w:rightChars="0" w:right="0" w:leftChars="0" w:left="1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14.75(9.0-18.0)</w:t>
                        </w:r>
                      </w:p>
                    </w:tc>
                    <w:tc>
                      <w:tcPr>
                        <w:tcW w:w="1749" w:type="dxa"/>
                      </w:tcPr>
                      <w:p w:rsidR="0018722C">
                        <w:pPr>
                          <w:widowControl w:val="0"/>
                          <w:snapToGrid w:val="1"/>
                          <w:spacing w:beforeLines="0" w:afterLines="0" w:lineRule="auto" w:line="240" w:after="0" w:before="36"/>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11.0(8.5-16.8)</w:t>
                        </w:r>
                      </w:p>
                    </w:tc>
                    <w:tc>
                      <w:tcPr>
                        <w:tcW w:w="19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Pr>
                      <w:p w:rsidR="0018722C">
                        <w:pPr>
                          <w:widowControl w:val="0"/>
                          <w:snapToGrid w:val="1"/>
                          <w:spacing w:beforeLines="0" w:afterLines="0" w:lineRule="auto" w:line="240" w:after="0" w:before="36"/>
                          <w:ind w:firstLineChars="0" w:firstLine="0" w:rightChars="0" w:right="0" w:leftChars="0" w:left="3"/>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0.206</w:t>
                        </w:r>
                      </w:p>
                    </w:tc>
                    <w:tc>
                      <w:tcPr>
                        <w:tcW w:w="1524" w:type="dxa"/>
                      </w:tcPr>
                      <w:p w:rsidR="0018722C">
                        <w:pPr>
                          <w:widowControl w:val="0"/>
                          <w:snapToGrid w:val="1"/>
                          <w:spacing w:beforeLines="0" w:afterLines="0" w:lineRule="auto" w:line="240" w:after="0" w:before="36"/>
                          <w:ind w:firstLineChars="0" w:firstLine="0" w:rightChars="0" w:right="0" w:leftChars="0" w:left="108"/>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10.5(8.32-15.9)</w:t>
                        </w:r>
                      </w:p>
                    </w:tc>
                    <w:tc>
                      <w:tcPr>
                        <w:tcW w:w="1737" w:type="dxa"/>
                      </w:tcPr>
                      <w:p w:rsidR="0018722C">
                        <w:pPr>
                          <w:widowControl w:val="0"/>
                          <w:snapToGrid w:val="1"/>
                          <w:spacing w:beforeLines="0" w:afterLines="0" w:lineRule="auto" w:line="240" w:after="0" w:before="36"/>
                          <w:ind w:firstLineChars="0" w:firstLine="0" w:rightChars="0" w:right="0" w:leftChars="0" w:left="14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13.2(9-18.4)</w:t>
                        </w:r>
                      </w:p>
                    </w:tc>
                    <w:tc>
                      <w:tcPr>
                        <w:tcW w:w="1138" w:type="dxa"/>
                      </w:tcPr>
                      <w:p w:rsidR="0018722C">
                        <w:pPr>
                          <w:widowControl w:val="0"/>
                          <w:snapToGrid w:val="1"/>
                          <w:spacing w:beforeLines="0" w:afterLines="0" w:lineRule="auto" w:line="240" w:after="0" w:before="36"/>
                          <w:ind w:firstLineChars="0" w:firstLine="0" w:rightChars="0" w:right="0" w:leftChars="0" w:left="109"/>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0.343</w:t>
                        </w:r>
                      </w:p>
                    </w:tc>
                  </w:tr>
                  <w:tr>
                    <w:trPr>
                      <w:trHeight w:val="300" w:hRule="atLeast"/>
                    </w:trPr>
                    <w:tc>
                      <w:tcPr>
                        <w:tcW w:w="1702" w:type="dxa"/>
                        <w:tcBorders>
                          <w:bottom w:val="single" w:sz="4" w:space="0" w:color="000000"/>
                        </w:tcBorders>
                      </w:tcPr>
                      <w:p w:rsidR="0018722C">
                        <w:pPr>
                          <w:widowControl w:val="0"/>
                          <w:snapToGrid w:val="1"/>
                          <w:spacing w:beforeLines="0" w:afterLines="0" w:lineRule="auto" w:line="240" w:after="0" w:before="36"/>
                          <w:ind w:firstLineChars="0" w:firstLine="0" w:rightChars="0" w:right="0" w:leftChars="0" w:left="207"/>
                          <w:jc w:val="left"/>
                          <w:autoSpaceDE w:val="0"/>
                          <w:autoSpaceDN w:val="0"/>
                          <w:pBdr>
                            <w:bottom w:val="none" w:sz="0" w:space="0" w:color="auto"/>
                          </w:pBdr>
                          <w:rPr>
                            <w:kern w:val="2"/>
                            <w:sz w:val="20"/>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0"/>
                          </w:rPr>
                          <w:t>μmol/L</w:t>
                        </w:r>
                      </w:p>
                    </w:tc>
                    <w:tc>
                      <w:tcPr>
                        <w:tcW w:w="1764"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749"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92"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25"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524"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737"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138"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r>
                  <w:tr>
                    <w:trPr>
                      <w:trHeight w:val="260" w:hRule="atLeast"/>
                    </w:trPr>
                    <w:tc>
                      <w:tcPr>
                        <w:tcW w:w="1702"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1764"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1749"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192" w:type="dxa"/>
                        <w:tcBorders>
                          <w:top w:val="single" w:sz="4" w:space="0" w:color="000000"/>
                        </w:tcBorders>
                      </w:tcPr>
                      <w:p w:rsidR="0018722C">
                        <w:pPr>
                          <w:widowControl w:val="0"/>
                          <w:snapToGrid w:val="1"/>
                          <w:spacing w:beforeLines="0" w:afterLines="0" w:after="0" w:line="187" w:lineRule="exact" w:before="54"/>
                          <w:ind w:firstLineChars="0" w:firstLine="0" w:rightChars="0" w:right="0" w:leftChars="0" w:left="11"/>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26</w:t>
                        </w:r>
                      </w:p>
                    </w:tc>
                    <w:tc>
                      <w:tcPr>
                        <w:tcW w:w="825"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1524"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1737"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1138"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8"/>
                      <w:rFonts w:cstheme="minorBidi" w:ascii="宋体" w:hAnsi="宋体" w:eastAsia="宋体" w:cs="宋体"/>
                    </w:rPr>
                  </w:pPr>
                </w:p>
              </w:txbxContent>
            </v:textbox>
            <w10:wrap type="none"/>
          </v:shape>
        </w:pict>
      </w:r>
    </w:p>
    <w:p w:rsidR="0018722C">
      <w:pPr>
        <w:pStyle w:val="a8"/>
        <w:textAlignment w:val="center"/>
        <w:topLinePunct/>
      </w:pPr>
      <w:r>
        <w:rPr>
          <w:kern w:val="2"/>
          <w:szCs w:val="22"/>
          <w:rFonts w:cstheme="minorBidi" w:hAnsiTheme="minorHAnsi" w:eastAsiaTheme="minorHAnsi" w:asciiTheme="minorHAnsi"/>
          <w:b/>
          <w:sz w:val="20"/>
        </w:rPr>
        <w:t>Table</w:t>
      </w:r>
      <w:r>
        <w:t xml:space="preserve"> </w:t>
      </w:r>
      <w:r w:rsidRPr="00DB64CE">
        <w:rPr>
          <w:kern w:val="2"/>
          <w:szCs w:val="22"/>
          <w:rFonts w:cstheme="minorBidi" w:hAnsiTheme="minorHAnsi" w:eastAsiaTheme="minorHAnsi" w:asciiTheme="minorHAnsi"/>
          <w:b/>
          <w:sz w:val="20"/>
        </w:rPr>
        <w:t>1</w:t>
      </w:r>
      <w:r>
        <w:rPr>
          <w:kern w:val="2"/>
          <w:szCs w:val="22"/>
          <w:rFonts w:cstheme="minorBidi" w:hAnsiTheme="minorHAnsi" w:eastAsiaTheme="minorHAnsi" w:asciiTheme="minorHAnsi"/>
          <w:sz w:val="20"/>
        </w:rPr>
        <w:t>: Association of Cox-2, EP1 recepter expression with clinical pathological characteristics of 59HCC patients</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a8"/>
        <w:topLinePunct/>
      </w:pPr>
      <w:r>
        <w:rPr>
          <w:rFonts w:cstheme="minorBidi" w:hAnsiTheme="minorHAnsi" w:eastAsiaTheme="minorHAnsi" w:asciiTheme="minorHAnsi" w:ascii="宋体" w:eastAsia="宋体" w:hint="eastAsia"/>
        </w:rPr>
        <w:t>表</w:t>
      </w:r>
      <w:r>
        <w:rPr>
          <w:rFonts w:cstheme="minorBidi" w:hAnsiTheme="minorHAnsi" w:eastAsiaTheme="minorHAnsi" w:asciiTheme="minorHAnsi"/>
        </w:rPr>
        <w:t>5</w:t>
      </w:r>
      <w:r>
        <w:rPr>
          <w:rFonts w:cstheme="minorBidi" w:hAnsiTheme="minorHAnsi" w:eastAsiaTheme="minorHAnsi" w:asciiTheme="minorHAnsi"/>
        </w:rPr>
        <w:t>:</w:t>
      </w:r>
      <w:r>
        <w:rPr>
          <w:rFonts w:cstheme="minorBidi" w:hAnsiTheme="minorHAnsi" w:eastAsiaTheme="minorHAnsi" w:asciiTheme="minorHAnsi"/>
        </w:rPr>
        <w:t> 59</w:t>
      </w:r>
      <w:r>
        <w:t xml:space="preserve">  </w:t>
      </w:r>
      <w:r>
        <w:rPr>
          <w:rFonts w:ascii="宋体" w:eastAsia="宋体" w:hint="eastAsia" w:cstheme="minorBidi" w:hAnsiTheme="minorHAnsi"/>
        </w:rPr>
        <w:t>例</w:t>
      </w:r>
      <w:r>
        <w:rPr>
          <w:rFonts w:cstheme="minorBidi" w:hAnsiTheme="minorHAnsi" w:eastAsiaTheme="minorHAnsi" w:asciiTheme="minorHAnsi"/>
        </w:rPr>
        <w:t>HCC</w:t>
      </w:r>
      <w:r>
        <w:rPr>
          <w:rFonts w:ascii="宋体" w:eastAsia="宋体" w:hint="eastAsia" w:cstheme="minorBidi" w:hAnsiTheme="minorHAnsi"/>
        </w:rPr>
        <w:t>预后无瘤生存的多因素分析</w:t>
      </w:r>
    </w:p>
    <w:p w:rsidR="0018722C">
      <w:pPr>
        <w:pStyle w:val="a8"/>
        <w:topLinePunct/>
      </w:pPr>
      <w:r>
        <w:rPr>
          <w:rFonts w:cstheme="minorBidi" w:hAnsiTheme="minorHAnsi" w:eastAsiaTheme="minorHAnsi" w:asciiTheme="minorHAnsi"/>
          <w:b/>
        </w:rPr>
        <w:t>Table</w:t>
      </w:r>
      <w:r>
        <w:t xml:space="preserve"> </w:t>
      </w:r>
      <w:r w:rsidRPr="00DB64CE">
        <w:rPr>
          <w:rFonts w:cstheme="minorBidi" w:hAnsiTheme="minorHAnsi" w:eastAsiaTheme="minorHAnsi" w:asciiTheme="minorHAnsi"/>
          <w:b/>
        </w:rPr>
        <w:t>4</w:t>
      </w:r>
      <w:r>
        <w:rPr>
          <w:rFonts w:cstheme="minorBidi" w:hAnsiTheme="minorHAnsi" w:eastAsiaTheme="minorHAnsi" w:asciiTheme="minorHAnsi"/>
        </w:rPr>
        <w:t>: Multivariable analysis for disease free survival of 59 HCC patients</w:t>
      </w:r>
    </w:p>
    <w:tbl>
      <w:tblPr>
        <w:tblW w:w="5000" w:type="pct"/>
        <w:tblInd w:w="410"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053"/>
        <w:gridCol w:w="1830"/>
        <w:gridCol w:w="2034"/>
        <w:gridCol w:w="2605"/>
      </w:tblGrid>
      <w:tr>
        <w:trPr>
          <w:tblHeader/>
        </w:trPr>
        <w:tc>
          <w:tcPr>
            <w:tcW w:w="1205" w:type="pct"/>
            <w:vAlign w:val="center"/>
            <w:tcBorders>
              <w:bottom w:val="single" w:sz="4" w:space="0" w:color="auto"/>
            </w:tcBorders>
          </w:tcPr>
          <w:p w:rsidR="0018722C">
            <w:pPr>
              <w:pStyle w:val="a7"/>
              <w:topLinePunct/>
              <w:ind w:leftChars="0" w:left="0" w:rightChars="0" w:right="0" w:firstLineChars="0" w:firstLine="0"/>
              <w:spacing w:line="240" w:lineRule="atLeast"/>
            </w:pPr>
            <w:r>
              <w:t>DiseaseFree Survival</w:t>
            </w:r>
          </w:p>
        </w:tc>
        <w:tc>
          <w:tcPr>
            <w:tcW w:w="1074" w:type="pct"/>
            <w:vAlign w:val="center"/>
            <w:tcBorders>
              <w:bottom w:val="single" w:sz="4" w:space="0" w:color="auto"/>
            </w:tcBorders>
          </w:tcPr>
          <w:p w:rsidR="0018722C">
            <w:pPr>
              <w:pStyle w:val="a7"/>
              <w:topLinePunct/>
              <w:ind w:leftChars="0" w:left="0" w:rightChars="0" w:right="0" w:firstLineChars="0" w:firstLine="0"/>
              <w:spacing w:line="240" w:lineRule="atLeast"/>
            </w:pPr>
            <w:r>
              <w:t>Hazard Ratio</w:t>
            </w:r>
          </w:p>
        </w:tc>
        <w:tc>
          <w:tcPr>
            <w:tcW w:w="1193" w:type="pct"/>
            <w:vAlign w:val="center"/>
            <w:tcBorders>
              <w:bottom w:val="single" w:sz="4" w:space="0" w:color="auto"/>
            </w:tcBorders>
          </w:tcPr>
          <w:p w:rsidR="0018722C">
            <w:pPr>
              <w:pStyle w:val="a7"/>
              <w:topLinePunct/>
              <w:ind w:leftChars="0" w:left="0" w:rightChars="0" w:right="0" w:firstLineChars="0" w:firstLine="0"/>
              <w:spacing w:line="240" w:lineRule="atLeast"/>
            </w:pPr>
            <w:r>
              <w:t>95%CI</w:t>
            </w:r>
          </w:p>
        </w:tc>
        <w:tc>
          <w:tcPr>
            <w:tcW w:w="1528" w:type="pct"/>
            <w:vAlign w:val="center"/>
            <w:tcBorders>
              <w:bottom w:val="single" w:sz="4" w:space="0" w:color="auto"/>
            </w:tcBorders>
          </w:tcPr>
          <w:p w:rsidR="0018722C">
            <w:pPr>
              <w:pStyle w:val="a7"/>
              <w:topLinePunct/>
              <w:ind w:leftChars="0" w:left="0" w:rightChars="0" w:right="0" w:firstLineChars="0" w:firstLine="0"/>
              <w:spacing w:line="240" w:lineRule="atLeast"/>
            </w:pPr>
            <w:r>
              <w:t>P</w:t>
            </w:r>
          </w:p>
        </w:tc>
      </w:tr>
      <w:tr>
        <w:tc>
          <w:tcPr>
            <w:tcW w:w="1205" w:type="pct"/>
            <w:vAlign w:val="center"/>
          </w:tcPr>
          <w:p w:rsidR="0018722C">
            <w:pPr>
              <w:pStyle w:val="ac"/>
              <w:topLinePunct/>
              <w:ind w:leftChars="0" w:left="0" w:rightChars="0" w:right="0" w:firstLineChars="0" w:firstLine="0"/>
              <w:spacing w:line="240" w:lineRule="atLeast"/>
            </w:pPr>
            <w:r>
              <w:t>AFP &gt;400 ng</w:t>
            </w:r>
            <w:r>
              <w:t>/</w:t>
            </w:r>
            <w:r>
              <w:t>mL</w:t>
            </w:r>
          </w:p>
        </w:tc>
        <w:tc>
          <w:tcPr>
            <w:tcW w:w="1074" w:type="pct"/>
            <w:vAlign w:val="center"/>
          </w:tcPr>
          <w:p w:rsidR="0018722C">
            <w:pPr>
              <w:pStyle w:val="affff9"/>
              <w:topLinePunct/>
              <w:ind w:leftChars="0" w:left="0" w:rightChars="0" w:right="0" w:firstLineChars="0" w:firstLine="0"/>
              <w:spacing w:line="240" w:lineRule="atLeast"/>
            </w:pPr>
            <w:r>
              <w:t>1.419</w:t>
            </w:r>
          </w:p>
        </w:tc>
        <w:tc>
          <w:tcPr>
            <w:tcW w:w="1193" w:type="pct"/>
            <w:vAlign w:val="center"/>
          </w:tcPr>
          <w:p w:rsidR="0018722C">
            <w:pPr>
              <w:pStyle w:val="affff9"/>
              <w:topLinePunct/>
              <w:ind w:leftChars="0" w:left="0" w:rightChars="0" w:right="0" w:firstLineChars="0" w:firstLine="0"/>
              <w:spacing w:line="240" w:lineRule="atLeast"/>
            </w:pPr>
            <w:r>
              <w:t>0.753-1.872</w:t>
            </w:r>
          </w:p>
        </w:tc>
        <w:tc>
          <w:tcPr>
            <w:tcW w:w="1528" w:type="pct"/>
            <w:vAlign w:val="center"/>
          </w:tcPr>
          <w:p w:rsidR="0018722C">
            <w:pPr>
              <w:pStyle w:val="affff9"/>
              <w:topLinePunct/>
              <w:ind w:leftChars="0" w:left="0" w:rightChars="0" w:right="0" w:firstLineChars="0" w:firstLine="0"/>
              <w:spacing w:line="240" w:lineRule="atLeast"/>
            </w:pPr>
            <w:r>
              <w:t>0.431</w:t>
            </w:r>
          </w:p>
        </w:tc>
      </w:tr>
      <w:tr>
        <w:tc>
          <w:tcPr>
            <w:tcW w:w="1205" w:type="pct"/>
            <w:vAlign w:val="center"/>
          </w:tcPr>
          <w:p w:rsidR="0018722C">
            <w:pPr>
              <w:pStyle w:val="ac"/>
              <w:topLinePunct/>
              <w:ind w:leftChars="0" w:left="0" w:rightChars="0" w:right="0" w:firstLineChars="0" w:firstLine="0"/>
              <w:spacing w:line="240" w:lineRule="atLeast"/>
            </w:pPr>
            <w:r>
              <w:t>Incomplete</w:t>
            </w:r>
          </w:p>
        </w:tc>
        <w:tc>
          <w:tcPr>
            <w:tcW w:w="1074" w:type="pct"/>
            <w:vAlign w:val="center"/>
          </w:tcPr>
          <w:p w:rsidR="0018722C">
            <w:pPr>
              <w:pStyle w:val="affff9"/>
              <w:topLinePunct/>
              <w:ind w:leftChars="0" w:left="0" w:rightChars="0" w:right="0" w:firstLineChars="0" w:firstLine="0"/>
              <w:spacing w:line="240" w:lineRule="atLeast"/>
            </w:pPr>
            <w:r>
              <w:t>1.741</w:t>
            </w:r>
          </w:p>
        </w:tc>
        <w:tc>
          <w:tcPr>
            <w:tcW w:w="1193" w:type="pct"/>
            <w:vAlign w:val="center"/>
          </w:tcPr>
          <w:p w:rsidR="0018722C">
            <w:pPr>
              <w:pStyle w:val="affff9"/>
              <w:topLinePunct/>
              <w:ind w:leftChars="0" w:left="0" w:rightChars="0" w:right="0" w:firstLineChars="0" w:firstLine="0"/>
              <w:spacing w:line="240" w:lineRule="atLeast"/>
            </w:pPr>
            <w:r>
              <w:t>1.344-2.554</w:t>
            </w:r>
          </w:p>
        </w:tc>
        <w:tc>
          <w:tcPr>
            <w:tcW w:w="1528" w:type="pct"/>
            <w:vAlign w:val="center"/>
          </w:tcPr>
          <w:p w:rsidR="0018722C">
            <w:pPr>
              <w:pStyle w:val="affff9"/>
              <w:topLinePunct/>
              <w:ind w:leftChars="0" w:left="0" w:rightChars="0" w:right="0" w:firstLineChars="0" w:firstLine="0"/>
              <w:spacing w:line="240" w:lineRule="atLeast"/>
            </w:pPr>
            <w:r>
              <w:t>0.028</w:t>
            </w:r>
          </w:p>
        </w:tc>
      </w:tr>
      <w:tr>
        <w:tc>
          <w:tcPr>
            <w:tcW w:w="1205" w:type="pct"/>
            <w:vAlign w:val="center"/>
          </w:tcPr>
          <w:p w:rsidR="0018722C">
            <w:pPr>
              <w:pStyle w:val="ac"/>
              <w:topLinePunct/>
              <w:ind w:leftChars="0" w:left="0" w:rightChars="0" w:right="0" w:firstLineChars="0" w:firstLine="0"/>
              <w:spacing w:line="240" w:lineRule="atLeast"/>
            </w:pPr>
            <w:r/>
            <w:r>
              <w:t/>
            </w:r>
            <w:r>
              <w:t>T</w:t>
            </w:r>
            <w:r>
              <w:t>umor capsule</w:t>
            </w:r>
          </w:p>
        </w:tc>
        <w:tc>
          <w:tcPr>
            <w:tcW w:w="1074" w:type="pct"/>
            <w:vAlign w:val="center"/>
          </w:tcPr>
          <w:p w:rsidR="0018722C">
            <w:pPr>
              <w:pStyle w:val="a5"/>
              <w:topLinePunct/>
              <w:ind w:leftChars="0" w:left="0" w:rightChars="0" w:right="0" w:firstLineChars="0" w:firstLine="0"/>
              <w:spacing w:line="240" w:lineRule="atLeast"/>
            </w:pPr>
          </w:p>
        </w:tc>
        <w:tc>
          <w:tcPr>
            <w:tcW w:w="1193" w:type="pct"/>
            <w:vAlign w:val="center"/>
          </w:tcPr>
          <w:p w:rsidR="0018722C">
            <w:pPr>
              <w:pStyle w:val="a5"/>
              <w:topLinePunct/>
              <w:ind w:leftChars="0" w:left="0" w:rightChars="0" w:right="0" w:firstLineChars="0" w:firstLine="0"/>
              <w:spacing w:line="240" w:lineRule="atLeast"/>
            </w:pPr>
          </w:p>
        </w:tc>
        <w:tc>
          <w:tcPr>
            <w:tcW w:w="1528" w:type="pct"/>
            <w:vAlign w:val="center"/>
          </w:tcPr>
          <w:p w:rsidR="0018722C">
            <w:pPr>
              <w:pStyle w:val="ad"/>
              <w:topLinePunct/>
              <w:ind w:leftChars="0" w:left="0" w:rightChars="0" w:right="0" w:firstLineChars="0" w:firstLine="0"/>
              <w:spacing w:line="240" w:lineRule="atLeast"/>
            </w:pPr>
          </w:p>
        </w:tc>
      </w:tr>
      <w:tr>
        <w:tc>
          <w:tcPr>
            <w:tcW w:w="1205" w:type="pct"/>
            <w:vAlign w:val="center"/>
          </w:tcPr>
          <w:p w:rsidR="0018722C">
            <w:pPr>
              <w:pStyle w:val="ac"/>
              <w:topLinePunct/>
              <w:ind w:leftChars="0" w:left="0" w:rightChars="0" w:right="0" w:firstLineChars="0" w:firstLine="0"/>
              <w:spacing w:line="240" w:lineRule="atLeast"/>
            </w:pPr>
            <w:r>
              <w:t>Tumor size ≥5 cm</w:t>
            </w:r>
          </w:p>
        </w:tc>
        <w:tc>
          <w:tcPr>
            <w:tcW w:w="1074" w:type="pct"/>
            <w:vAlign w:val="center"/>
          </w:tcPr>
          <w:p w:rsidR="0018722C">
            <w:pPr>
              <w:pStyle w:val="affff9"/>
              <w:topLinePunct/>
              <w:ind w:leftChars="0" w:left="0" w:rightChars="0" w:right="0" w:firstLineChars="0" w:firstLine="0"/>
              <w:spacing w:line="240" w:lineRule="atLeast"/>
            </w:pPr>
            <w:r>
              <w:t>1.622</w:t>
            </w:r>
          </w:p>
        </w:tc>
        <w:tc>
          <w:tcPr>
            <w:tcW w:w="1193" w:type="pct"/>
            <w:vAlign w:val="center"/>
          </w:tcPr>
          <w:p w:rsidR="0018722C">
            <w:pPr>
              <w:pStyle w:val="affff9"/>
              <w:topLinePunct/>
              <w:ind w:leftChars="0" w:left="0" w:rightChars="0" w:right="0" w:firstLineChars="0" w:firstLine="0"/>
              <w:spacing w:line="240" w:lineRule="atLeast"/>
            </w:pPr>
            <w:r>
              <w:t>1.137-2.320</w:t>
            </w:r>
          </w:p>
        </w:tc>
        <w:tc>
          <w:tcPr>
            <w:tcW w:w="1528" w:type="pct"/>
            <w:vAlign w:val="center"/>
          </w:tcPr>
          <w:p w:rsidR="0018722C">
            <w:pPr>
              <w:pStyle w:val="affff9"/>
              <w:topLinePunct/>
              <w:ind w:leftChars="0" w:left="0" w:rightChars="0" w:right="0" w:firstLineChars="0" w:firstLine="0"/>
              <w:spacing w:line="240" w:lineRule="atLeast"/>
            </w:pPr>
            <w:r>
              <w:t>0.045</w:t>
            </w:r>
          </w:p>
        </w:tc>
      </w:tr>
      <w:tr>
        <w:tc>
          <w:tcPr>
            <w:tcW w:w="1205" w:type="pct"/>
            <w:vAlign w:val="center"/>
            <w:tcBorders>
              <w:top w:val="single" w:sz="4" w:space="0" w:color="auto"/>
            </w:tcBorders>
          </w:tcPr>
          <w:p w:rsidR="0018722C">
            <w:pPr>
              <w:pStyle w:val="ac"/>
              <w:topLinePunct/>
              <w:ind w:leftChars="0" w:left="0" w:rightChars="0" w:right="0" w:firstLineChars="0" w:firstLine="0"/>
              <w:spacing w:line="240" w:lineRule="atLeast"/>
            </w:pPr>
            <w:r>
              <w:t>COX-2</w:t>
            </w:r>
          </w:p>
        </w:tc>
        <w:tc>
          <w:tcPr>
            <w:tcW w:w="1074" w:type="pct"/>
            <w:vAlign w:val="center"/>
            <w:tcBorders>
              <w:top w:val="single" w:sz="4" w:space="0" w:color="auto"/>
            </w:tcBorders>
          </w:tcPr>
          <w:p w:rsidR="0018722C">
            <w:pPr>
              <w:pStyle w:val="affff9"/>
              <w:topLinePunct/>
              <w:ind w:leftChars="0" w:left="0" w:rightChars="0" w:right="0" w:firstLineChars="0" w:firstLine="0"/>
              <w:spacing w:line="240" w:lineRule="atLeast"/>
            </w:pPr>
            <w:r>
              <w:t>2.138</w:t>
            </w:r>
          </w:p>
        </w:tc>
        <w:tc>
          <w:tcPr>
            <w:tcW w:w="1193" w:type="pct"/>
            <w:vAlign w:val="center"/>
            <w:tcBorders>
              <w:top w:val="single" w:sz="4" w:space="0" w:color="auto"/>
            </w:tcBorders>
          </w:tcPr>
          <w:p w:rsidR="0018722C">
            <w:pPr>
              <w:pStyle w:val="affff9"/>
              <w:topLinePunct/>
              <w:ind w:leftChars="0" w:left="0" w:rightChars="0" w:right="0" w:firstLineChars="0" w:firstLine="0"/>
              <w:spacing w:line="240" w:lineRule="atLeast"/>
            </w:pPr>
            <w:r>
              <w:t>1.280-3.421</w:t>
            </w:r>
          </w:p>
        </w:tc>
        <w:tc>
          <w:tcPr>
            <w:tcW w:w="1528" w:type="pct"/>
            <w:vAlign w:val="center"/>
            <w:tcBorders>
              <w:top w:val="single" w:sz="4" w:space="0" w:color="auto"/>
            </w:tcBorders>
          </w:tcPr>
          <w:p w:rsidR="0018722C">
            <w:pPr>
              <w:pStyle w:val="affff9"/>
              <w:topLinePunct/>
              <w:ind w:leftChars="0" w:left="0" w:rightChars="0" w:right="0" w:firstLineChars="0" w:firstLine="0"/>
              <w:spacing w:line="240" w:lineRule="atLeast"/>
            </w:pPr>
            <w:r>
              <w:t>0.032</w:t>
            </w:r>
          </w:p>
        </w:tc>
      </w:tr>
    </w:tbl>
    <w:p w:rsidR="0018722C">
      <w:pPr>
        <w:topLinePunct/>
        <w:pStyle w:val="affa"/>
      </w:pPr>
    </w:p>
    <w:p w:rsidR="0018722C">
      <w:pPr>
        <w:pStyle w:val="aff7"/>
        <w:topLinePunct/>
      </w:pPr>
      <w:r>
        <w:rPr>
          <w:kern w:val="2"/>
          <w:sz w:val="22"/>
          <w:szCs w:val="22"/>
          <w:rFonts w:cstheme="minorBidi" w:hAnsiTheme="minorHAnsi" w:eastAsiaTheme="minorHAnsi" w:asciiTheme="minorHAnsi"/>
        </w:rPr>
        <w:drawing>
          <wp:inline>
            <wp:extent cx="6385158" cy="2451735"/>
            <wp:effectExtent l="0" t="0" r="0" b="0"/>
            <wp:docPr id="17" name="image11.jpeg" descr=""/>
            <wp:cNvGraphicFramePr>
              <a:graphicFrameLocks noChangeAspect="1"/>
            </wp:cNvGraphicFramePr>
            <a:graphic>
              <a:graphicData uri="http://schemas.openxmlformats.org/drawingml/2006/picture">
                <pic:pic>
                  <pic:nvPicPr>
                    <pic:cNvPr id="18" name="image11.jpeg"/>
                    <pic:cNvPicPr/>
                  </pic:nvPicPr>
                  <pic:blipFill>
                    <a:blip r:embed="rId19" cstate="print"/>
                    <a:stretch>
                      <a:fillRect/>
                    </a:stretch>
                  </pic:blipFill>
                  <pic:spPr>
                    <a:xfrm>
                      <a:off x="0" y="0"/>
                      <a:ext cx="6385158" cy="2451735"/>
                    </a:xfrm>
                    <a:prstGeom prst="rect">
                      <a:avLst/>
                    </a:prstGeom>
                  </pic:spPr>
                </pic:pic>
              </a:graphicData>
            </a:graphic>
          </wp:inline>
        </w:drawing>
      </w:r>
    </w:p>
    <w:p w:rsidR="0018722C">
      <w:pPr>
        <w:pStyle w:val="a9"/>
        <w:topLinePunct/>
      </w:pPr>
      <w:r>
        <w:t>图</w:t>
      </w:r>
      <w:r>
        <w:rPr>
          <w:rFonts w:ascii="Times New Roman" w:eastAsia="Times New Roman"/>
        </w:rPr>
        <w:t>6</w:t>
      </w:r>
      <w:r>
        <w:t xml:space="preserve">  </w:t>
      </w:r>
      <w:r>
        <w:rPr>
          <w:rFonts w:ascii="Times New Roman" w:eastAsia="Times New Roman"/>
        </w:rPr>
        <w:t>EP1,</w:t>
      </w:r>
      <w:r w:rsidR="004B696B">
        <w:rPr>
          <w:rFonts w:ascii="Times New Roman" w:eastAsia="Times New Roman"/>
        </w:rPr>
        <w:t xml:space="preserve"> </w:t>
      </w:r>
      <w:r w:rsidR="004B696B">
        <w:rPr>
          <w:rFonts w:ascii="Times New Roman" w:eastAsia="Times New Roman"/>
        </w:rPr>
        <w:t>COX-2</w:t>
      </w:r>
      <w:r>
        <w:t>蛋白与无瘤生存的关系</w:t>
      </w:r>
    </w:p>
    <w:p w:rsidR="0018722C">
      <w:pPr>
        <w:pStyle w:val="a9"/>
        <w:topLinePunct/>
      </w:pPr>
      <w:r>
        <w:rPr>
          <w:rFonts w:ascii="Times New Roman"/>
        </w:rPr>
        <w:t>Figure</w:t>
      </w:r>
      <w:r>
        <w:t xml:space="preserve"> </w:t>
      </w:r>
      <w:r w:rsidRPr="00DB64CE">
        <w:rPr>
          <w:rFonts w:ascii="Times New Roman"/>
        </w:rPr>
        <w:t>6</w:t>
      </w:r>
      <w:r w:rsidRPr="00DB64CE">
        <w:rPr>
          <w:rFonts w:ascii="Times New Roman"/>
        </w:rPr>
        <w:t>: The relationships between expression of EP1,</w:t>
      </w:r>
      <w:r w:rsidR="004B696B">
        <w:rPr>
          <w:rFonts w:ascii="Times New Roman"/>
        </w:rPr>
        <w:t xml:space="preserve"> </w:t>
      </w:r>
      <w:r w:rsidR="004B696B">
        <w:rPr>
          <w:rFonts w:ascii="Times New Roman"/>
        </w:rPr>
        <w:t>COX-2 protein and</w:t>
      </w:r>
    </w:p>
    <w:p w:rsidR="0018722C">
      <w:pPr>
        <w:topLinePunct/>
      </w:pPr>
      <w:r>
        <w:rPr>
          <w:rFonts w:cstheme="minorBidi" w:hAnsiTheme="minorHAnsi" w:eastAsiaTheme="minorHAnsi" w:asciiTheme="minorHAnsi"/>
        </w:rPr>
        <w:t>27</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affff1"/>
        <w:topLinePunct/>
      </w:pPr>
      <w:r>
        <w:rPr>
          <w:rFonts w:ascii="Times New Roman"/>
        </w:rPr>
        <w:t/>
      </w:r>
      <w:r>
        <w:rPr>
          <w:rFonts w:ascii="Times New Roman"/>
        </w:rPr>
        <w:t>D</w:t>
      </w:r>
      <w:r>
        <w:rPr>
          <w:rFonts w:ascii="Times New Roman"/>
        </w:rPr>
        <w:t>isease free survival</w:t>
      </w:r>
    </w:p>
    <w:p w:rsidR="0018722C">
      <w:pPr>
        <w:pStyle w:val="Heading1"/>
        <w:topLinePunct/>
      </w:pPr>
      <w:bookmarkStart w:id="227988" w:name="_Toc686227988"/>
      <w:bookmarkStart w:name="五.讨论 " w:id="34"/>
      <w:bookmarkEnd w:id="34"/>
      <w:bookmarkStart w:name="_bookmark6" w:id="35"/>
      <w:bookmarkEnd w:id="35"/>
      <w:r>
        <w:t>五.</w:t>
      </w:r>
      <w:r>
        <w:t xml:space="preserve"> </w:t>
      </w:r>
      <w:r w:rsidRPr="00DB64CE">
        <w:t>讨论</w:t>
      </w:r>
      <w:bookmarkEnd w:id="227988"/>
    </w:p>
    <w:p w:rsidR="0018722C">
      <w:pPr>
        <w:topLinePunct/>
      </w:pPr>
      <w:r>
        <w:t>HCC</w:t>
      </w:r>
      <w:r/>
      <w:r w:rsidR="001852F3">
        <w:t xml:space="preserve">发病率在全世界的肿瘤中排名第六位，死亡人数排名第三位。2012</w:t>
      </w:r>
      <w:r/>
      <w:r w:rsidR="001852F3">
        <w:t xml:space="preserve">年全球约有</w:t>
      </w:r>
      <w:r>
        <w:t>782500</w:t>
      </w:r>
      <w:r/>
      <w:r w:rsidR="001852F3">
        <w:t xml:space="preserve">的</w:t>
      </w:r>
      <w:r>
        <w:t>HCC</w:t>
      </w:r>
      <w:r/>
      <w:r w:rsidR="001852F3">
        <w:t xml:space="preserve">新发病例，约有</w:t>
      </w:r>
      <w:r>
        <w:t>745500</w:t>
      </w:r>
      <w:r/>
      <w:r w:rsidR="001852F3">
        <w:t xml:space="preserve">人死于此病，中国</w:t>
      </w:r>
      <w:r>
        <w:t>占到了死亡人数的一半，已逐渐成为全球</w:t>
      </w:r>
      <w:r>
        <w:t>HCC</w:t>
      </w:r>
      <w:r/>
      <w:r w:rsidR="001852F3">
        <w:t xml:space="preserve">发病率最高的国家</w:t>
      </w:r>
      <w:r>
        <w:rPr>
          <w:vertAlign w:val="superscript"/>
        </w:rPr>
        <w:t>[</w:t>
      </w:r>
      <w:r>
        <w:rPr>
          <w:color w:val="080000"/>
          <w:vertAlign w:val="superscript"/>
          <w:position w:val="8"/>
        </w:rPr>
        <w:t xml:space="preserve">1</w:t>
      </w:r>
      <w:r>
        <w:rPr>
          <w:vertAlign w:val="superscript"/>
        </w:rPr>
        <w:t>]</w:t>
      </w:r>
      <w:r>
        <w:t>。HCC</w:t>
      </w:r>
      <w:r w:rsidR="001852F3">
        <w:t xml:space="preserve">预后较差，早期症状不明显，患者出现症状时，大多数已属肿瘤晚期。随</w:t>
      </w:r>
      <w:r>
        <w:t>着</w:t>
      </w:r>
      <w:r>
        <w:t>HCC</w:t>
      </w:r>
      <w:r/>
      <w:r w:rsidR="001852F3">
        <w:t xml:space="preserve">的早期诊断、早期治疗和相关基础研究的进展，其术后总生存率取得了一定的提高，已从“不治之病</w:t>
      </w:r>
      <w:r>
        <w:rPr>
          <w:rFonts w:hint="eastAsia"/>
        </w:rPr>
        <w:t>”</w:t>
      </w:r>
      <w:r>
        <w:t>转变成“部分可治之病”</w:t>
      </w:r>
      <w:r>
        <w:rPr>
          <w:vertAlign w:val="superscript"/>
        </w:rPr>
        <w:t>[</w:t>
      </w:r>
      <w:r>
        <w:rPr>
          <w:color w:val="080000"/>
          <w:vertAlign w:val="superscript"/>
          <w:position w:val="8"/>
        </w:rPr>
        <w:t xml:space="preserve">28-31</w:t>
      </w:r>
      <w:r>
        <w:rPr>
          <w:vertAlign w:val="superscript"/>
        </w:rPr>
        <w:t>]</w:t>
      </w:r>
      <w:r>
        <w:t>，</w:t>
      </w:r>
      <w:r>
        <w:t>但</w:t>
      </w:r>
    </w:p>
    <w:p w:rsidR="0018722C">
      <w:pPr>
        <w:topLinePunct/>
      </w:pPr>
      <w:r>
        <w:t>HCC</w:t>
      </w:r>
      <w:r/>
      <w:r w:rsidR="001852F3">
        <w:t xml:space="preserve">的总体疗效仍然难以令人满意，患者的总体</w:t>
      </w:r>
      <w:r>
        <w:t>5</w:t>
      </w:r>
      <w:r/>
      <w:r w:rsidR="001852F3">
        <w:t xml:space="preserve">年生存率仍然不足</w:t>
      </w:r>
      <w:r>
        <w:t>5％，</w:t>
      </w:r>
      <w:r>
        <w:t>发病率与病死率之比达</w:t>
      </w:r>
      <w:r>
        <w:t>1</w:t>
      </w:r>
      <w:r>
        <w:t xml:space="preserve">: </w:t>
      </w:r>
      <w:r>
        <w:t>0.98</w:t>
      </w:r>
      <w:r>
        <w:rPr>
          <w:vertAlign w:val="superscript"/>
        </w:rPr>
        <w:t>[</w:t>
      </w:r>
      <w:r>
        <w:rPr>
          <w:vertAlign w:val="superscript"/>
        </w:rPr>
        <w:t xml:space="preserve">32</w:t>
      </w:r>
      <w:r>
        <w:rPr>
          <w:vertAlign w:val="superscript"/>
        </w:rPr>
        <w:t>]</w:t>
      </w:r>
      <w:r>
        <w:t>。因此研究</w:t>
      </w:r>
      <w:r>
        <w:t>HCC</w:t>
      </w:r>
      <w:r/>
      <w:r w:rsidR="001852F3">
        <w:t xml:space="preserve">的发病机制，发现新的</w:t>
      </w:r>
      <w:r>
        <w:t>诊断和治疗肝细胞癌的方法对提高</w:t>
      </w:r>
      <w:r>
        <w:t>HCC</w:t>
      </w:r>
      <w:r/>
      <w:r w:rsidR="001852F3">
        <w:t xml:space="preserve">的疗效至关重要。</w:t>
      </w:r>
    </w:p>
    <w:p w:rsidR="0018722C">
      <w:pPr>
        <w:topLinePunct/>
      </w:pPr>
      <w:r>
        <w:t>与</w:t>
      </w:r>
      <w:r/>
      <w:r>
        <w:t>Breinig</w:t>
      </w:r>
      <w:r w:rsidRPr="00000000">
        <w:tab/>
        <w:t>M</w:t>
      </w:r>
      <w:r/>
      <w:r>
        <w:t>等</w:t>
      </w:r>
      <w:r>
        <w:t>[</w:t>
      </w:r>
      <w:r>
        <w:t xml:space="preserve">19</w:t>
      </w:r>
      <w:r>
        <w:t>]</w:t>
      </w:r>
      <w:r>
        <w:t>的研究结果一致，我们发现</w:t>
      </w:r>
      <w:r/>
      <w:r>
        <w:t>EP</w:t>
      </w:r>
      <w:r>
        <w:t>1</w:t>
      </w:r>
      <w:r/>
      <w:r>
        <w:t>受体在高分化的</w:t>
      </w:r>
    </w:p>
    <w:p w:rsidR="0018722C">
      <w:pPr>
        <w:topLinePunct/>
      </w:pPr>
      <w:r>
        <w:t>HCC</w:t>
      </w:r>
      <w:r w:rsidR="001852F3">
        <w:t xml:space="preserve">组织中低表达，低分化的</w:t>
      </w:r>
      <w:r w:rsidR="001852F3">
        <w:t xml:space="preserve">HCC</w:t>
      </w:r>
      <w:r w:rsidR="001852F3">
        <w:t xml:space="preserve">组织中高表达；并且我们进一步发现</w:t>
      </w:r>
    </w:p>
    <w:p w:rsidR="0018722C">
      <w:pPr>
        <w:topLinePunct/>
      </w:pPr>
      <w:r>
        <w:t>EP</w:t>
      </w:r>
      <w:r>
        <w:t>1</w:t>
      </w:r>
      <w:r/>
      <w:r>
        <w:t>的高表达是患者累积生存时间的独立危险因素。以上研究可能为我们预防或治疗</w:t>
      </w:r>
      <w:r/>
      <w:r>
        <w:t>HCC</w:t>
      </w:r>
      <w:r/>
      <w:r>
        <w:t>提够一个新的靶点；并且相比</w:t>
      </w:r>
      <w:r/>
      <w:r>
        <w:t>COX-2</w:t>
      </w:r>
      <w:r/>
      <w:r>
        <w:t>抑制剂，EP</w:t>
      </w:r>
      <w:r>
        <w:t>1</w:t>
      </w:r>
      <w:r/>
      <w:r>
        <w:t>抑制剂副作用更少</w:t>
      </w:r>
      <w:r>
        <w:rPr>
          <w:vertAlign w:val="superscript"/>
        </w:rPr>
        <w:t>[</w:t>
      </w:r>
      <w:r>
        <w:rPr>
          <w:vertAlign w:val="superscript"/>
        </w:rPr>
        <w:t xml:space="preserve">19</w:t>
      </w:r>
      <w:r>
        <w:rPr>
          <w:vertAlign w:val="superscript"/>
        </w:rPr>
        <w:t>]</w:t>
      </w:r>
      <w:r>
        <w:t>。但是在</w:t>
      </w:r>
      <w:r/>
      <w:r>
        <w:t>48</w:t>
      </w:r>
      <w:r/>
      <w:r>
        <w:t>例新鲜</w:t>
      </w:r>
      <w:r/>
      <w:r>
        <w:t>HCC</w:t>
      </w:r>
      <w:r/>
      <w:r>
        <w:t>组织的</w:t>
      </w:r>
      <w:r/>
      <w:r>
        <w:t>PCR</w:t>
      </w:r>
      <w:r/>
      <w:r>
        <w:t>实验中，EP</w:t>
      </w:r>
      <w:r>
        <w:t>1</w:t>
      </w:r>
      <w:r w:rsidRPr="00000000">
        <w:tab/>
      </w:r>
      <w:r>
        <w:t>mRNA</w:t>
      </w:r>
      <w:r/>
      <w:r>
        <w:t>的</w:t>
      </w:r>
      <w:r>
        <w:t>表</w:t>
      </w:r>
    </w:p>
    <w:p w:rsidR="0018722C">
      <w:pPr>
        <w:topLinePunct/>
      </w:pPr>
      <w:r>
        <w:t>达在低分化</w:t>
      </w:r>
      <w:r>
        <w:t>HCC</w:t>
      </w:r>
      <w:r/>
      <w:r w:rsidR="001852F3">
        <w:t xml:space="preserve">中比高分化</w:t>
      </w:r>
      <w:r>
        <w:t>HCC</w:t>
      </w:r>
      <w:r/>
      <w:r w:rsidR="001852F3">
        <w:t xml:space="preserve">高，但是数据没有统计学差异</w:t>
      </w:r>
      <w:r>
        <w:t>（</w:t>
      </w:r>
      <w:r>
        <w:t>P=0.087</w:t>
      </w:r>
      <w:r>
        <w:t>）</w:t>
      </w:r>
      <w:r>
        <w:t>，我们分析可能与纳入的统计样本量不足有关。</w:t>
      </w:r>
    </w:p>
    <w:p w:rsidR="0018722C">
      <w:pPr>
        <w:topLinePunct/>
      </w:pPr>
      <w:r>
        <w:t>既往研究对</w:t>
      </w:r>
      <w:r/>
      <w:r>
        <w:t>COX-2</w:t>
      </w:r>
      <w:r/>
      <w:r>
        <w:t>的表达和</w:t>
      </w:r>
      <w:r/>
      <w:r>
        <w:t>HCC</w:t>
      </w:r>
      <w:r/>
      <w:r>
        <w:t>预后的关系一直存在争议。文献</w:t>
      </w:r>
      <w:r>
        <w:t>[</w:t>
      </w:r>
      <w:r>
        <w:rPr>
          <w:color w:val="080000"/>
          <w:position w:val="8"/>
          <w:sz w:val="18"/>
        </w:rPr>
        <w:t xml:space="preserve">7-9</w:t>
      </w:r>
      <w:r>
        <w:t>]</w:t>
      </w:r>
      <w:r/>
      <w:r>
        <w:t>报道</w:t>
      </w:r>
      <w:r/>
      <w:r>
        <w:t>COX-2</w:t>
      </w:r>
      <w:r/>
      <w:r>
        <w:t>高表达组</w:t>
      </w:r>
      <w:r/>
      <w:r>
        <w:t>HCC</w:t>
      </w:r>
      <w:r/>
      <w:r>
        <w:t>患者的累积生存时间与低表达组相比，没有统计学差别，提示</w:t>
      </w:r>
      <w:r/>
      <w:r>
        <w:t>COX-2</w:t>
      </w:r>
      <w:r/>
      <w:r>
        <w:t>的高表达对患者的累积生存时间没有影响。但是，亦有文献</w:t>
      </w:r>
      <w:r>
        <w:t>[</w:t>
      </w:r>
      <w:r>
        <w:t>10</w:t>
      </w:r>
      <w:r>
        <w:t xml:space="preserve">, </w:t>
      </w:r>
      <w:r w:rsidR="001852F3">
        <w:t>11</w:t>
      </w:r>
      <w:r>
        <w:t>]</w:t>
      </w:r>
      <w:r>
        <w:t>报道</w:t>
      </w:r>
      <w:r/>
      <w:r>
        <w:t>COX-2</w:t>
      </w:r>
      <w:r/>
      <w:r>
        <w:t>高表达组</w:t>
      </w:r>
      <w:r/>
      <w:r>
        <w:t>HCC</w:t>
      </w:r>
      <w:r/>
      <w:r>
        <w:t>患者的累积生存时间明显优于低表达组。甚至有文献</w:t>
      </w:r>
      <w:r>
        <w:t>[</w:t>
      </w:r>
      <w:r>
        <w:t>12</w:t>
      </w:r>
      <w:r>
        <w:t xml:space="preserve">, </w:t>
      </w:r>
      <w:r w:rsidR="001852F3">
        <w:t>13</w:t>
      </w:r>
      <w:r>
        <w:t>]</w:t>
      </w:r>
      <w:r>
        <w:t>报道</w:t>
      </w:r>
      <w:r/>
      <w:r>
        <w:t>COX-2</w:t>
      </w:r>
      <w:r/>
      <w:r>
        <w:t>低表达组</w:t>
      </w:r>
      <w:r/>
      <w:r>
        <w:t>HCC</w:t>
      </w:r>
      <w:r/>
      <w:r>
        <w:t>患者的累积生存时间</w:t>
      </w:r>
      <w:r>
        <w:t>明</w:t>
      </w:r>
    </w:p>
    <w:p w:rsidR="0018722C">
      <w:pPr>
        <w:topLinePunct/>
      </w:pPr>
      <w:r>
        <w:rPr>
          <w:rFonts w:cstheme="minorBidi" w:hAnsiTheme="minorHAnsi" w:eastAsiaTheme="minorHAnsi" w:asciiTheme="minorHAnsi"/>
        </w:rPr>
        <w:t>28</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topLinePunct/>
      </w:pPr>
      <w:r>
        <w:t>显优于高表达组。我们推测，COX-2</w:t>
      </w:r>
      <w:r/>
      <w:r>
        <w:t>的表达与</w:t>
      </w:r>
      <w:r/>
      <w:r>
        <w:t>HCC</w:t>
      </w:r>
      <w:r/>
      <w:r>
        <w:t>的预后存在争议可能与COX-2</w:t>
      </w:r>
      <w:r>
        <w:t>/</w:t>
      </w:r>
      <w:r>
        <w:t>PGE2</w:t>
      </w:r>
      <w:r>
        <w:t>/</w:t>
      </w:r>
      <w:r>
        <w:t>EP</w:t>
      </w:r>
      <w:r>
        <w:t>1</w:t>
      </w:r>
      <w:r>
        <w:t>信号轴的下游信号</w:t>
      </w:r>
      <w:r/>
      <w:r>
        <w:t>EP</w:t>
      </w:r>
      <w:r>
        <w:t>1</w:t>
      </w:r>
      <w:r/>
      <w:r>
        <w:t>是否被激活有关。并且，Breinig等</w:t>
      </w:r>
      <w:r>
        <w:rPr>
          <w:vertAlign w:val="superscript"/>
        </w:rPr>
        <w:t>[</w:t>
      </w:r>
      <w:r>
        <w:rPr>
          <w:vertAlign w:val="superscript"/>
        </w:rPr>
        <w:t xml:space="preserve">14</w:t>
      </w:r>
      <w:r>
        <w:rPr>
          <w:vertAlign w:val="superscript"/>
        </w:rPr>
        <w:t>]</w:t>
      </w:r>
      <w:r>
        <w:t>发现，在</w:t>
      </w:r>
      <w:r/>
      <w:r>
        <w:t>COX-2</w:t>
      </w:r>
      <w:r/>
      <w:r>
        <w:t>高表达的</w:t>
      </w:r>
      <w:r/>
      <w:r>
        <w:t>HCC</w:t>
      </w:r>
      <w:r/>
      <w:r>
        <w:t>组织中，EP</w:t>
      </w:r>
      <w:r>
        <w:t>1</w:t>
      </w:r>
      <w:r/>
      <w:r>
        <w:t>是低表达的</w:t>
      </w:r>
      <w:r>
        <w:rPr>
          <w:rFonts w:hint="eastAsia"/>
        </w:rPr>
        <w:t>；</w:t>
      </w:r>
      <w:r>
        <w:t>而在</w:t>
      </w:r>
      <w:r/>
      <w:r>
        <w:t>COX-2</w:t>
      </w:r>
      <w:r/>
      <w:r>
        <w:t>低表达的</w:t>
      </w:r>
      <w:r/>
      <w:r>
        <w:t>HCC</w:t>
      </w:r>
      <w:r/>
      <w:r>
        <w:t>组织中，EP</w:t>
      </w:r>
      <w:r>
        <w:t>1</w:t>
      </w:r>
      <w:r/>
      <w:r>
        <w:t>是高表达的。我们知道</w:t>
      </w:r>
      <w:r/>
      <w:r>
        <w:t>COX-2</w:t>
      </w:r>
      <w:r/>
      <w:r>
        <w:t>发挥促癌作用主</w:t>
      </w:r>
      <w:r>
        <w:t>要</w:t>
      </w:r>
    </w:p>
    <w:p w:rsidR="0018722C">
      <w:pPr>
        <w:topLinePunct/>
      </w:pPr>
      <w:r>
        <w:t>是通过其合成的</w:t>
      </w:r>
      <w:r/>
      <w:r>
        <w:t>PGE2, 而</w:t>
      </w:r>
      <w:r/>
      <w:r>
        <w:t>PGE2</w:t>
      </w:r>
      <w:r/>
      <w:r>
        <w:t>发挥促癌作用主要是通过</w:t>
      </w:r>
      <w:r/>
      <w:r>
        <w:t>G</w:t>
      </w:r>
      <w:r/>
      <w:r>
        <w:t>蛋白偶联的</w:t>
      </w:r>
      <w:r/>
      <w:r>
        <w:t>EP</w:t>
      </w:r>
      <w:r>
        <w:t>1</w:t>
      </w:r>
      <w:r>
        <w:t>。因此我们推测，在</w:t>
      </w:r>
      <w:r/>
      <w:r>
        <w:t>COX-2</w:t>
      </w:r>
      <w:r>
        <w:t>/</w:t>
      </w:r>
      <w:r>
        <w:t>PGE2</w:t>
      </w:r>
      <w:r>
        <w:t>/</w:t>
      </w:r>
      <w:r>
        <w:t>EP</w:t>
      </w:r>
      <w:r>
        <w:t>1</w:t>
      </w:r>
      <w:r>
        <w:t>信号轴中真正对预后起提示作用的是</w:t>
      </w:r>
      <w:r w:rsidR="001852F3">
        <w:t xml:space="preserve">EP</w:t>
      </w:r>
      <w:r>
        <w:t>1</w:t>
      </w:r>
      <w:r/>
      <w:r>
        <w:t>受体的表达。</w:t>
      </w:r>
    </w:p>
    <w:p w:rsidR="0018722C">
      <w:pPr>
        <w:topLinePunct/>
      </w:pPr>
      <w:r>
        <w:rPr>
          <w:rFonts w:cstheme="minorBidi" w:hAnsiTheme="minorHAnsi" w:eastAsiaTheme="minorHAnsi" w:asciiTheme="minorHAnsi" w:ascii="宋体" w:eastAsia="宋体" w:hint="eastAsia"/>
        </w:rPr>
        <w:t>对于</w:t>
      </w:r>
      <w:r>
        <w:rPr>
          <w:rFonts w:ascii="宋体" w:eastAsia="宋体" w:hint="eastAsia" w:cstheme="minorBidi" w:hAnsiTheme="minorHAnsi"/>
        </w:rPr>
        <w:t>EP</w:t>
      </w:r>
      <w:r>
        <w:rPr>
          <w:rFonts w:ascii="宋体" w:eastAsia="宋体" w:hint="eastAsia" w:cstheme="minorBidi" w:hAnsiTheme="minorHAnsi"/>
        </w:rPr>
        <w:t>1</w:t>
      </w:r>
      <w:r>
        <w:rPr>
          <w:rFonts w:ascii="宋体" w:eastAsia="宋体" w:hint="eastAsia" w:cstheme="minorBidi" w:hAnsiTheme="minorHAnsi"/>
        </w:rPr>
        <w:t>在</w:t>
      </w:r>
      <w:r>
        <w:rPr>
          <w:rFonts w:ascii="宋体" w:eastAsia="宋体" w:hint="eastAsia" w:cstheme="minorBidi" w:hAnsiTheme="minorHAnsi"/>
        </w:rPr>
        <w:t>HCC</w:t>
      </w:r>
      <w:r w:rsidR="001852F3">
        <w:rPr>
          <w:rFonts w:ascii="宋体" w:eastAsia="宋体" w:hint="eastAsia" w:cstheme="minorBidi" w:hAnsiTheme="minorHAnsi"/>
        </w:rPr>
        <w:t xml:space="preserve">中发挥促癌的作用，可能与以下几点有关。首先</w:t>
      </w:r>
      <w:r>
        <w:rPr>
          <w:rFonts w:ascii="宋体" w:eastAsia="宋体" w:hint="eastAsia" w:cstheme="minorBidi" w:hAnsiTheme="minorHAnsi"/>
        </w:rPr>
        <w:t>，EP</w:t>
      </w:r>
      <w:r>
        <w:rPr>
          <w:rFonts w:ascii="宋体" w:eastAsia="宋体" w:hint="eastAsia" w:cstheme="minorBidi" w:hAnsiTheme="minorHAnsi"/>
        </w:rPr>
        <w:t>1</w:t>
      </w:r>
      <w:r>
        <w:rPr>
          <w:rFonts w:ascii="宋体" w:eastAsia="宋体" w:hint="eastAsia" w:cstheme="minorBidi" w:hAnsiTheme="minorHAnsi"/>
        </w:rPr>
        <w:t>可以增强肿瘤细胞的增殖，侵袭，转移的潜能</w:t>
      </w:r>
      <w:r>
        <w:rPr>
          <w:rFonts w:ascii="宋体" w:eastAsia="宋体" w:hint="eastAsia" w:cstheme="minorBidi" w:hAnsiTheme="minorHAnsi"/>
          <w:vertAlign w:val="superscript"/>
        </w:rPr>
        <w:t>[</w:t>
      </w:r>
      <w:r>
        <w:rPr>
          <w:color w:val="080000"/>
          <w:rFonts w:ascii="宋体" w:eastAsia="宋体" w:hint="eastAsia" w:cstheme="minorBidi" w:hAnsiTheme="minorHAnsi"/>
          <w:vertAlign w:val="superscript"/>
          <w:position w:val="8"/>
        </w:rPr>
        <w:t xml:space="preserve">53-55</w:t>
      </w:r>
      <w:r>
        <w:rPr>
          <w:rFonts w:ascii="宋体" w:eastAsia="宋体" w:hint="eastAsia" w:cstheme="minorBidi" w:hAnsiTheme="minorHAnsi"/>
          <w:vertAlign w:val="superscript"/>
        </w:rPr>
        <w:t>]</w:t>
      </w:r>
      <w:r>
        <w:rPr>
          <w:rFonts w:ascii="宋体" w:eastAsia="宋体" w:hint="eastAsia" w:cstheme="minorBidi" w:hAnsiTheme="minorHAnsi"/>
        </w:rPr>
        <w:t>；其次，EP</w:t>
      </w:r>
      <w:r>
        <w:rPr>
          <w:rFonts w:ascii="宋体" w:eastAsia="宋体" w:hint="eastAsia" w:cstheme="minorBidi" w:hAnsiTheme="minorHAnsi"/>
        </w:rPr>
        <w:t>1</w:t>
      </w:r>
      <w:r>
        <w:rPr>
          <w:rFonts w:ascii="宋体" w:eastAsia="宋体" w:hint="eastAsia" w:cstheme="minorBidi" w:hAnsiTheme="minorHAnsi"/>
        </w:rPr>
        <w:t>还能帮助肿瘤细胞适应无氧的环境</w:t>
      </w:r>
      <w:r>
        <w:rPr>
          <w:rFonts w:ascii="宋体" w:eastAsia="宋体" w:hint="eastAsia" w:cstheme="minorBidi" w:hAnsiTheme="minorHAnsi"/>
        </w:rPr>
        <w:t>[</w:t>
      </w:r>
      <w:r>
        <w:rPr>
          <w:kern w:val="2"/>
          <w:szCs w:val="22"/>
          <w:rFonts w:ascii="宋体" w:eastAsia="宋体" w:hint="eastAsia" w:cstheme="minorBidi" w:hAnsiTheme="minorHAnsi"/>
          <w:color w:val="080000"/>
          <w:position w:val="8"/>
          <w:sz w:val="18"/>
        </w:rPr>
        <w:t xml:space="preserve">56</w:t>
      </w:r>
      <w:r>
        <w:rPr>
          <w:kern w:val="2"/>
          <w:szCs w:val="22"/>
          <w:rFonts w:ascii="宋体" w:eastAsia="宋体" w:hint="eastAsia" w:cstheme="minorBidi" w:hAnsiTheme="minorHAnsi"/>
          <w:color w:val="080000"/>
          <w:position w:val="8"/>
          <w:sz w:val="18"/>
        </w:rPr>
        <w:t>,</w:t>
      </w:r>
      <w:r>
        <w:rPr>
          <w:kern w:val="2"/>
          <w:szCs w:val="22"/>
          <w:rFonts w:ascii="宋体" w:eastAsia="宋体" w:hint="eastAsia" w:cstheme="minorBidi" w:hAnsiTheme="minorHAnsi"/>
          <w:color w:val="080000"/>
          <w:position w:val="8"/>
          <w:sz w:val="18"/>
        </w:rPr>
        <w:t xml:space="preserve"> 57</w:t>
      </w:r>
      <w:r>
        <w:rPr>
          <w:rFonts w:ascii="宋体" w:eastAsia="宋体" w:hint="eastAsia" w:cstheme="minorBidi" w:hAnsiTheme="minorHAnsi"/>
        </w:rPr>
        <w:t>]</w:t>
      </w:r>
      <w:r>
        <w:rPr>
          <w:rFonts w:ascii="宋体" w:eastAsia="宋体" w:hint="eastAsia" w:cstheme="minorBidi" w:hAnsiTheme="minorHAnsi"/>
        </w:rPr>
        <w:t>，最后</w:t>
      </w:r>
      <w:r>
        <w:rPr>
          <w:rFonts w:ascii="宋体" w:eastAsia="宋体" w:hint="eastAsia" w:cstheme="minorBidi" w:hAnsiTheme="minorHAnsi"/>
        </w:rPr>
        <w:t>EP</w:t>
      </w:r>
      <w:r>
        <w:rPr>
          <w:rFonts w:ascii="宋体" w:eastAsia="宋体" w:hint="eastAsia" w:cstheme="minorBidi" w:hAnsiTheme="minorHAnsi"/>
        </w:rPr>
        <w:t>1</w:t>
      </w:r>
      <w:r>
        <w:rPr>
          <w:rFonts w:ascii="宋体" w:eastAsia="宋体" w:hint="eastAsia" w:cstheme="minorBidi" w:hAnsiTheme="minorHAnsi"/>
        </w:rPr>
        <w:t>还能抑制免疫细胞的功能</w:t>
      </w:r>
      <w:r>
        <w:rPr>
          <w:rFonts w:ascii="宋体" w:eastAsia="宋体" w:hint="eastAsia" w:cstheme="minorBidi" w:hAnsiTheme="minorHAnsi"/>
        </w:rPr>
        <w:t>[</w:t>
      </w:r>
      <w:r>
        <w:rPr>
          <w:kern w:val="2"/>
          <w:szCs w:val="22"/>
          <w:rFonts w:ascii="宋体" w:eastAsia="宋体" w:hint="eastAsia" w:cstheme="minorBidi" w:hAnsiTheme="minorHAnsi"/>
          <w:color w:val="080000"/>
          <w:position w:val="8"/>
          <w:sz w:val="18"/>
        </w:rPr>
        <w:t xml:space="preserve">58</w:t>
      </w:r>
      <w:r>
        <w:rPr>
          <w:kern w:val="2"/>
          <w:szCs w:val="22"/>
          <w:rFonts w:ascii="宋体" w:eastAsia="宋体" w:hint="eastAsia" w:cstheme="minorBidi" w:hAnsiTheme="minorHAnsi"/>
          <w:color w:val="080000"/>
          <w:position w:val="8"/>
          <w:sz w:val="18"/>
        </w:rPr>
        <w:t>,</w:t>
      </w:r>
      <w:r>
        <w:rPr>
          <w:kern w:val="2"/>
          <w:szCs w:val="22"/>
          <w:rFonts w:ascii="宋体" w:eastAsia="宋体" w:hint="eastAsia" w:cstheme="minorBidi" w:hAnsiTheme="minorHAnsi"/>
          <w:color w:val="080000"/>
          <w:position w:val="8"/>
          <w:sz w:val="18"/>
        </w:rPr>
        <w:t xml:space="preserve"> 59</w:t>
      </w:r>
      <w:r>
        <w:rPr>
          <w:rFonts w:ascii="宋体" w:eastAsia="宋体" w:hint="eastAsia" w:cstheme="minorBidi" w:hAnsiTheme="minorHAnsi"/>
        </w:rPr>
        <w:t>]</w:t>
      </w:r>
      <w:r>
        <w:rPr>
          <w:rFonts w:ascii="宋体" w:eastAsia="宋体" w:hint="eastAsia" w:cstheme="minorBidi" w:hAnsiTheme="minorHAnsi"/>
        </w:rPr>
        <w:t>。</w:t>
      </w:r>
    </w:p>
    <w:p w:rsidR="0018722C">
      <w:pPr>
        <w:topLinePunct/>
      </w:pPr>
      <w:r>
        <w:t>在对</w:t>
      </w:r>
      <w:r>
        <w:t>59</w:t>
      </w:r>
      <w:r/>
      <w:r w:rsidR="001852F3">
        <w:t xml:space="preserve">例癌旁组织的研究分析中，我们发现</w:t>
      </w:r>
      <w:r>
        <w:t>COX-2</w:t>
      </w:r>
      <w:r/>
      <w:r w:rsidR="001852F3">
        <w:t xml:space="preserve">的高表达是无瘤生存的独立危险因素。可能与下面几个因素有关；1.</w:t>
      </w:r>
      <w:r>
        <w:t>在癌旁组织中</w:t>
      </w:r>
      <w:r>
        <w:t>COX-2</w:t>
      </w:r>
      <w:r w:rsidR="001852F3">
        <w:t xml:space="preserve">的高表达能导致术后抗病毒药产生耐药性</w:t>
      </w:r>
      <w:r>
        <w:rPr>
          <w:vertAlign w:val="superscript"/>
        </w:rPr>
        <w:t>[</w:t>
      </w:r>
      <w:r>
        <w:rPr>
          <w:vertAlign w:val="superscript"/>
        </w:rPr>
        <w:t xml:space="preserve">60</w:t>
      </w:r>
      <w:r>
        <w:rPr>
          <w:vertAlign w:val="superscript"/>
        </w:rPr>
        <w:t>]</w:t>
      </w:r>
      <w:r>
        <w:t xml:space="preserve">，导致残肝组织更容易炎症激活，从而更容易复发。2.</w:t>
      </w:r>
      <w:r w:rsidR="001852F3">
        <w:t xml:space="preserve"> </w:t>
      </w:r>
      <w:r w:rsidR="001852F3">
        <w:t xml:space="preserve">COX-2</w:t>
      </w:r>
      <w:r/>
      <w:r w:rsidR="001852F3">
        <w:t xml:space="preserve">自身能够通过催化花生四烯酸产生炎症因子，比如前列腺素；炎症的激活则更容易导致肿瘤的复发。</w:t>
      </w:r>
    </w:p>
    <w:p w:rsidR="0018722C">
      <w:pPr>
        <w:topLinePunct/>
      </w:pPr>
      <w:r>
        <w:t>综上所述，我们的研究发现</w:t>
      </w:r>
      <w:r>
        <w:t>COX-2</w:t>
      </w:r>
      <w:r/>
      <w:r w:rsidR="001852F3">
        <w:t xml:space="preserve">在高分化的</w:t>
      </w:r>
      <w:r>
        <w:t>HCC</w:t>
      </w:r>
      <w:r/>
      <w:r w:rsidR="001852F3">
        <w:t xml:space="preserve">中高表达</w:t>
      </w:r>
      <w:r>
        <w:t>，EP</w:t>
      </w:r>
      <w:r>
        <w:t>1</w:t>
      </w:r>
      <w:r>
        <w:t>在高</w:t>
      </w:r>
      <w:r>
        <w:t>分化的</w:t>
      </w:r>
      <w:r>
        <w:t>HCC</w:t>
      </w:r>
      <w:r/>
      <w:r w:rsidR="001852F3">
        <w:t xml:space="preserve">中低表达。癌组织中</w:t>
      </w:r>
      <w:r>
        <w:t>EP</w:t>
      </w:r>
      <w:r>
        <w:t>1</w:t>
      </w:r>
      <w:r>
        <w:t>的高表达是决定</w:t>
      </w:r>
      <w:r>
        <w:t>HCC</w:t>
      </w:r>
      <w:r/>
      <w:r w:rsidR="001852F3">
        <w:t xml:space="preserve">患者累积生存时</w:t>
      </w:r>
      <w:r>
        <w:t>间的独立危险因素，癌旁组织中</w:t>
      </w:r>
      <w:r>
        <w:t>COX-2</w:t>
      </w:r>
      <w:r/>
      <w:r w:rsidR="001852F3">
        <w:t xml:space="preserve">的高表达是</w:t>
      </w:r>
      <w:r>
        <w:t>HCC</w:t>
      </w:r>
      <w:r/>
      <w:r w:rsidR="001852F3">
        <w:t xml:space="preserve">患者无瘤生存的独立危险因素。</w:t>
      </w:r>
    </w:p>
    <w:p w:rsidR="0018722C">
      <w:pPr>
        <w:topLinePunct/>
      </w:pPr>
      <w:r>
        <w:rPr>
          <w:rFonts w:cstheme="minorBidi" w:hAnsiTheme="minorHAnsi" w:eastAsiaTheme="minorHAnsi" w:asciiTheme="minorHAnsi"/>
        </w:rPr>
        <w:t>29</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spacing w:beforeLines="0" w:before="0" w:afterLines="0" w:after="0" w:line="440" w:lineRule="auto"/>
      <w:pPr>
        <w:sectPr w:rsidR="00556256">
          <w:type w:val="continuous"/>
          <w:pgSz w:w="11910" w:h="16840"/>
          <w:pgMar w:header="976" w:footer="272" w:top="1160" w:bottom="460" w:left="900" w:right="1300"/>
        </w:sectPr>
        <w:topLinePunct/>
      </w:pPr>
    </w:p>
    <w:p w:rsidR="0018722C">
      <w:pPr>
        <w:pStyle w:val="Heading2"/>
        <w:topLinePunct/>
        <w:ind w:left="171" w:hangingChars="171" w:hanging="171"/>
      </w:pPr>
      <w:bookmarkStart w:name="全文小结 " w:id="36"/>
      <w:bookmarkEnd w:id="36"/>
      <w:r/>
      <w:bookmarkStart w:name="1.结论 " w:id="37"/>
      <w:bookmarkEnd w:id="37"/>
      <w:r/>
      <w:r>
        <w:rPr>
          <w:b/>
        </w:rPr>
        <w:t>1.</w:t>
      </w:r>
      <w:r>
        <w:t xml:space="preserve"> </w:t>
      </w:r>
      <w:r>
        <w:t>结论</w:t>
      </w:r>
    </w:p>
    <w:p w:rsidR="0018722C">
      <w:pPr>
        <w:pStyle w:val="Heading1"/>
        <w:topLinePunct/>
      </w:pPr>
      <w:bookmarkStart w:id="227989" w:name="_Toc686227989"/>
      <w:r/>
      <w:bookmarkStart w:name="_bookmark7" w:id="38"/>
      <w:bookmarkEnd w:id="38"/>
      <w:r/>
      <w:r>
        <w:t>全文小结</w:t>
      </w:r>
      <w:bookmarkEnd w:id="227989"/>
    </w:p>
    <w:p w:rsidR="0018722C">
      <w:spacing w:beforeLines="0" w:before="0" w:afterLines="0" w:after="0" w:line="440" w:lineRule="auto"/>
      <w:pPr>
        <w:sectPr w:rsidR="00556256">
          <w:type w:val="continuous"/>
          <w:pgSz w:w="11910" w:h="16840"/>
          <w:pgMar w:top="1060" w:bottom="460" w:left="900" w:right="1300"/>
          <w:cols w:num="2" w:equalWidth="0">
            <w:col w:w="1406" w:space="2489"/>
            <w:col w:w="5815"/>
          </w:cols>
        </w:sectPr>
        <w:topLinePunct/>
      </w:pPr>
    </w:p>
    <w:p w:rsidR="0018722C">
      <w:pPr>
        <w:topLinePunct/>
      </w:pPr>
      <w:r>
        <w:rPr>
          <w:rFonts w:ascii="Times New Roman" w:eastAsia="Times New Roman"/>
        </w:rPr>
        <w:t>1.1</w:t>
      </w:r>
      <w:r>
        <w:rPr>
          <w:rFonts w:ascii="Times New Roman" w:eastAsia="Times New Roman"/>
          <w:b/>
        </w:rPr>
        <w:t>.</w:t>
      </w:r>
      <w:r w:rsidRPr="00000000">
        <w:tab/>
      </w:r>
      <w:r>
        <w:rPr>
          <w:rFonts w:ascii="Times New Roman" w:eastAsia="Times New Roman"/>
        </w:rPr>
        <w:t>COX-2</w:t>
      </w:r>
      <w:r>
        <w:t>在高分化组</w:t>
      </w:r>
      <w:r>
        <w:rPr>
          <w:rFonts w:ascii="Times New Roman" w:eastAsia="Times New Roman"/>
        </w:rPr>
        <w:t>HCC</w:t>
      </w:r>
      <w:r>
        <w:t>中高表达，低分化组</w:t>
      </w:r>
      <w:r>
        <w:rPr>
          <w:rFonts w:ascii="Times New Roman" w:eastAsia="Times New Roman"/>
        </w:rPr>
        <w:t>HCC</w:t>
      </w:r>
      <w:r>
        <w:t>组织中低表达；</w:t>
      </w:r>
      <w:r>
        <w:rPr>
          <w:rFonts w:ascii="Times New Roman" w:eastAsia="Times New Roman"/>
        </w:rPr>
        <w:t>EP</w:t>
      </w:r>
      <w:r>
        <w:rPr>
          <w:rFonts w:ascii="Times New Roman" w:eastAsia="Times New Roman"/>
        </w:rPr>
        <w:t>1</w:t>
      </w:r>
      <w:r>
        <w:t>在高分化组</w:t>
      </w:r>
      <w:r>
        <w:rPr>
          <w:rFonts w:ascii="Times New Roman" w:eastAsia="Times New Roman"/>
        </w:rPr>
        <w:t>HCC</w:t>
      </w:r>
      <w:r>
        <w:t>中低表达，低分化组</w:t>
      </w:r>
      <w:r>
        <w:rPr>
          <w:rFonts w:ascii="Times New Roman" w:eastAsia="Times New Roman"/>
        </w:rPr>
        <w:t>HCC</w:t>
      </w:r>
      <w:r>
        <w:t>中高表达。</w:t>
      </w:r>
      <w:r>
        <w:rPr>
          <w:rFonts w:ascii="Times New Roman" w:eastAsia="Times New Roman"/>
        </w:rPr>
        <w:t>EP</w:t>
      </w:r>
      <w:r>
        <w:rPr>
          <w:rFonts w:ascii="Times New Roman" w:eastAsia="Times New Roman"/>
        </w:rPr>
        <w:t>1</w:t>
      </w:r>
      <w:r>
        <w:t>的表达才</w:t>
      </w:r>
      <w:r>
        <w:t>是提示</w:t>
      </w:r>
      <w:r>
        <w:rPr>
          <w:rFonts w:ascii="Times New Roman" w:eastAsia="Times New Roman"/>
        </w:rPr>
        <w:t>HCC</w:t>
      </w:r>
      <w:r>
        <w:t>患者累积生存时间的独立危险因素。</w:t>
      </w:r>
    </w:p>
    <w:p w:rsidR="0018722C">
      <w:pPr>
        <w:topLinePunct/>
      </w:pPr>
      <w:r>
        <w:rPr>
          <w:rFonts w:ascii="Times New Roman" w:eastAsia="Times New Roman"/>
        </w:rPr>
        <w:t>1.2</w:t>
      </w:r>
      <w:r>
        <w:t>癌旁组织中，</w:t>
      </w:r>
      <w:r>
        <w:rPr>
          <w:rFonts w:ascii="Times New Roman" w:eastAsia="Times New Roman"/>
        </w:rPr>
        <w:t>COX-2</w:t>
      </w:r>
      <w:r>
        <w:t>的表达是提示</w:t>
      </w:r>
      <w:r>
        <w:rPr>
          <w:rFonts w:ascii="Times New Roman" w:eastAsia="Times New Roman"/>
        </w:rPr>
        <w:t>HCC</w:t>
      </w:r>
      <w:r>
        <w:t>患者无瘤生存时间的独立危险因素。</w:t>
      </w:r>
    </w:p>
    <w:p w:rsidR="0018722C">
      <w:pPr>
        <w:pStyle w:val="Heading2"/>
        <w:topLinePunct/>
        <w:ind w:left="171" w:hangingChars="171" w:hanging="171"/>
      </w:pPr>
      <w:bookmarkStart w:name="2.创新之处 " w:id="39"/>
      <w:bookmarkEnd w:id="39"/>
      <w:r/>
      <w:r>
        <w:rPr>
          <w:b/>
        </w:rPr>
        <w:t>2.</w:t>
      </w:r>
      <w:r>
        <w:t xml:space="preserve"> </w:t>
      </w:r>
      <w:r>
        <w:t>创新之处</w:t>
      </w:r>
    </w:p>
    <w:p w:rsidR="0018722C">
      <w:pPr>
        <w:topLinePunct/>
      </w:pPr>
      <w:r>
        <w:t>既往研究主要集中在</w:t>
      </w:r>
      <w:r>
        <w:rPr>
          <w:rFonts w:ascii="Times New Roman" w:eastAsia="Times New Roman"/>
        </w:rPr>
        <w:t xml:space="preserve">COX-2,</w:t>
      </w:r>
      <w:r w:rsidR="001852F3">
        <w:rPr>
          <w:rFonts w:ascii="Times New Roman" w:eastAsia="Times New Roman"/>
        </w:rPr>
        <w:t xml:space="preserve"> </w:t>
      </w:r>
      <w:r w:rsidR="001852F3">
        <w:rPr>
          <w:rFonts w:ascii="Times New Roman" w:eastAsia="Times New Roman"/>
        </w:rPr>
        <w:t xml:space="preserve">EP</w:t>
      </w:r>
      <w:r>
        <w:rPr>
          <w:rFonts w:ascii="Times New Roman" w:eastAsia="Times New Roman"/>
        </w:rPr>
        <w:t>1</w:t>
      </w:r>
      <w:r>
        <w:t>与</w:t>
      </w:r>
      <w:r>
        <w:rPr>
          <w:rFonts w:ascii="Times New Roman" w:eastAsia="Times New Roman"/>
        </w:rPr>
        <w:t>HCC</w:t>
      </w:r>
      <w:r>
        <w:t>患者分化等级的关系，对</w:t>
      </w:r>
    </w:p>
    <w:p w:rsidR="0018722C">
      <w:pPr>
        <w:topLinePunct/>
      </w:pPr>
      <w:r>
        <w:rPr>
          <w:rFonts w:ascii="Times New Roman" w:eastAsia="Times New Roman"/>
        </w:rPr>
        <w:t>EP</w:t>
      </w:r>
      <w:r>
        <w:rPr>
          <w:rFonts w:ascii="Times New Roman" w:eastAsia="Times New Roman"/>
        </w:rPr>
        <w:t>1</w:t>
      </w:r>
      <w:r>
        <w:t>与</w:t>
      </w:r>
      <w:r>
        <w:rPr>
          <w:rFonts w:ascii="Times New Roman" w:eastAsia="Times New Roman"/>
        </w:rPr>
        <w:t>HCC</w:t>
      </w:r>
      <w:r>
        <w:t>预后的关系很少报道，本实验进一步研究了</w:t>
      </w:r>
      <w:r>
        <w:rPr>
          <w:rFonts w:ascii="Times New Roman" w:eastAsia="Times New Roman"/>
        </w:rPr>
        <w:t>EP</w:t>
      </w:r>
      <w:r>
        <w:rPr>
          <w:rFonts w:ascii="Times New Roman" w:eastAsia="Times New Roman"/>
        </w:rPr>
        <w:t>1</w:t>
      </w:r>
      <w:r>
        <w:t>与</w:t>
      </w:r>
      <w:r>
        <w:rPr>
          <w:rFonts w:ascii="Times New Roman" w:eastAsia="Times New Roman"/>
        </w:rPr>
        <w:t>HCC</w:t>
      </w:r>
      <w:r>
        <w:t>患者预后的关系。</w:t>
      </w:r>
    </w:p>
    <w:p w:rsidR="0018722C">
      <w:pPr>
        <w:pStyle w:val="Heading2"/>
        <w:topLinePunct/>
        <w:ind w:left="171" w:hangingChars="171" w:hanging="171"/>
      </w:pPr>
      <w:bookmarkStart w:name="3.不足之处 " w:id="40"/>
      <w:bookmarkEnd w:id="40"/>
      <w:r/>
      <w:r>
        <w:rPr>
          <w:b/>
        </w:rPr>
        <w:t>3.</w:t>
      </w:r>
      <w:r>
        <w:t xml:space="preserve"> </w:t>
      </w:r>
      <w:r>
        <w:t>不足之处</w:t>
      </w:r>
    </w:p>
    <w:p w:rsidR="0018722C">
      <w:pPr>
        <w:topLinePunct/>
      </w:pPr>
      <w:r>
        <w:t>本实验研究了</w:t>
      </w:r>
      <w:r>
        <w:rPr>
          <w:rFonts w:ascii="Times New Roman" w:eastAsia="Times New Roman"/>
        </w:rPr>
        <w:t xml:space="preserve">COX-2,</w:t>
      </w:r>
      <w:r w:rsidR="001852F3">
        <w:rPr>
          <w:rFonts w:ascii="Times New Roman" w:eastAsia="Times New Roman"/>
        </w:rPr>
        <w:t xml:space="preserve"> </w:t>
      </w:r>
      <w:r w:rsidR="001852F3">
        <w:rPr>
          <w:rFonts w:ascii="Times New Roman" w:eastAsia="Times New Roman"/>
        </w:rPr>
        <w:t xml:space="preserve">EP</w:t>
      </w:r>
      <w:r>
        <w:rPr>
          <w:rFonts w:ascii="Times New Roman" w:eastAsia="Times New Roman"/>
        </w:rPr>
        <w:t>1</w:t>
      </w:r>
      <w:r>
        <w:t>与</w:t>
      </w:r>
      <w:r>
        <w:rPr>
          <w:rFonts w:ascii="Times New Roman" w:eastAsia="Times New Roman"/>
        </w:rPr>
        <w:t>HCC</w:t>
      </w:r>
      <w:r>
        <w:t>患者预后的关系，但是缺乏体外实验和对机制的探讨。</w:t>
      </w:r>
    </w:p>
    <w:p w:rsidR="0018722C">
      <w:pPr>
        <w:topLinePunct/>
      </w:pPr>
      <w:r>
        <w:rPr>
          <w:rFonts w:cstheme="minorBidi" w:hAnsiTheme="minorHAnsi" w:eastAsiaTheme="minorHAnsi" w:asciiTheme="minorHAnsi"/>
        </w:rPr>
        <w:t>30</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Heading1"/>
        <w:topLinePunct/>
      </w:pPr>
      <w:bookmarkStart w:id="227990" w:name="_Toc686227990"/>
      <w:bookmarkStart w:name="六.文献综述:环氧化酶-2，前列腺素受体1与HCC关系的研究进展 " w:id="41"/>
      <w:bookmarkEnd w:id="41"/>
      <w:r/>
      <w:bookmarkStart w:name="_bookmark8" w:id="42"/>
      <w:bookmarkEnd w:id="42"/>
      <w:r/>
      <w:r>
        <w:t>六.</w:t>
      </w:r>
      <w:r>
        <w:t xml:space="preserve"> </w:t>
      </w:r>
      <w:r w:rsidRPr="00DB64CE">
        <w:t>文献综述</w:t>
      </w:r>
      <w:bookmarkEnd w:id="227990"/>
    </w:p>
    <w:p w:rsidR="0018722C">
      <w:pPr>
        <w:topLinePunct/>
      </w:pPr>
      <w:r>
        <w:t>环氧化酶-2，前列腺素受体</w:t>
      </w:r>
      <w:r/>
      <w:r>
        <w:t>1</w:t>
      </w:r>
      <w:r/>
      <w:r>
        <w:t>与</w:t>
      </w:r>
      <w:r/>
      <w:r>
        <w:t>HCC</w:t>
      </w:r>
      <w:r/>
      <w:r>
        <w:t>关系的研究进展HCC</w:t>
      </w:r>
      <w:r>
        <w:t>(</w:t>
      </w:r>
      <w:r>
        <w:t>hepatocellular</w:t>
      </w:r>
      <w:r w:rsidRPr="00000000">
        <w:tab/>
      </w:r>
      <w:r>
        <w:t>carcinoma</w:t>
      </w:r>
      <w:r>
        <w:t xml:space="preserve">, </w:t>
      </w:r>
      <w:r>
        <w:t>HCC</w:t>
      </w:r>
      <w:r>
        <w:t>)</w:t>
      </w:r>
      <w:r>
        <w:t>的发病率在全世界的肿瘤中</w:t>
      </w:r>
      <w:r>
        <w:t>排</w:t>
      </w:r>
    </w:p>
    <w:p w:rsidR="0018722C">
      <w:pPr>
        <w:topLinePunct/>
      </w:pPr>
      <w:r>
        <w:t>名第六位，死亡人数排名第三位，据估计，在</w:t>
      </w:r>
      <w:r w:rsidR="001852F3">
        <w:t xml:space="preserve">2012</w:t>
      </w:r>
      <w:r w:rsidR="001852F3">
        <w:t xml:space="preserve">年全球约有</w:t>
      </w:r>
      <w:r w:rsidR="001852F3">
        <w:t xml:space="preserve">782500 的</w:t>
      </w:r>
    </w:p>
    <w:p w:rsidR="0018722C">
      <w:pPr>
        <w:topLinePunct/>
      </w:pPr>
      <w:r>
        <w:t>HCC</w:t>
      </w:r>
      <w:r/>
      <w:r w:rsidR="001852F3">
        <w:t xml:space="preserve">新发病例，约有</w:t>
      </w:r>
      <w:r>
        <w:t>745500</w:t>
      </w:r>
      <w:r/>
      <w:r w:rsidR="001852F3">
        <w:t xml:space="preserve">人死于此病，中国占到了死亡人数的一半</w:t>
      </w:r>
      <w:r>
        <w:rPr>
          <w:vertAlign w:val="superscript"/>
        </w:rPr>
        <w:t>[</w:t>
      </w:r>
      <w:r>
        <w:rPr>
          <w:color w:val="080000"/>
          <w:vertAlign w:val="superscript"/>
          <w:position w:val="8"/>
        </w:rPr>
        <w:t xml:space="preserve">1</w:t>
      </w:r>
      <w:r>
        <w:rPr>
          <w:vertAlign w:val="superscript"/>
        </w:rPr>
        <w:t>]</w:t>
      </w:r>
      <w:r>
        <w:t>，</w:t>
      </w:r>
      <w:r>
        <w:t>成为全球</w:t>
      </w:r>
      <w:r>
        <w:t>HCC</w:t>
      </w:r>
      <w:r/>
      <w:r w:rsidR="001852F3">
        <w:t xml:space="preserve">发病率最高的国家。</w:t>
      </w:r>
      <w:r>
        <w:t>HCC</w:t>
      </w:r>
      <w:r/>
      <w:r w:rsidR="001852F3">
        <w:t xml:space="preserve">不仅预后较差，早期症状也不明显，</w:t>
      </w:r>
      <w:r>
        <w:t>患者出现症状时，大多数已属肿瘤晚期。随着</w:t>
      </w:r>
      <w:r>
        <w:t>HCC</w:t>
      </w:r>
      <w:r/>
      <w:r w:rsidR="001852F3">
        <w:t xml:space="preserve">的早期诊断、早期治疗和相关基础研究的进展，HCC</w:t>
      </w:r>
      <w:r/>
      <w:r w:rsidR="001852F3">
        <w:t xml:space="preserve">术后总生存率已取得了一定的提高</w:t>
      </w:r>
      <w:r>
        <w:t>，HCC</w:t>
      </w:r>
      <w:r/>
      <w:r w:rsidR="001852F3">
        <w:t xml:space="preserve">已从“不治之病”转变成“部分可治之病”</w:t>
      </w:r>
      <w:r>
        <w:rPr>
          <w:vertAlign w:val="superscript"/>
        </w:rPr>
        <w:t>[</w:t>
      </w:r>
      <w:r>
        <w:rPr>
          <w:color w:val="080000"/>
          <w:vertAlign w:val="superscript"/>
          <w:position w:val="8"/>
        </w:rPr>
        <w:t xml:space="preserve">28-31</w:t>
      </w:r>
      <w:r>
        <w:rPr>
          <w:vertAlign w:val="superscript"/>
        </w:rPr>
        <w:t>]</w:t>
      </w:r>
      <w:r>
        <w:t>。尽管</w:t>
      </w:r>
      <w:r>
        <w:t>HCC</w:t>
      </w:r>
      <w:r/>
      <w:r w:rsidR="001852F3">
        <w:t xml:space="preserve">的预后已经取得了</w:t>
      </w:r>
      <w:r>
        <w:t>一定的改善，但是</w:t>
      </w:r>
      <w:r>
        <w:t>HCC</w:t>
      </w:r>
      <w:r/>
      <w:r w:rsidR="001852F3">
        <w:t xml:space="preserve">的总体疗效仍然难以令大家满意，患者的总体</w:t>
      </w:r>
      <w:r>
        <w:t>5</w:t>
      </w:r>
      <w:r w:rsidR="001852F3">
        <w:t xml:space="preserve">年</w:t>
      </w:r>
      <w:r>
        <w:t>生存率仍然不足</w:t>
      </w:r>
      <w:r>
        <w:t>5％，</w:t>
      </w:r>
      <w:r>
        <w:t>发病率与病死率之比达</w:t>
      </w:r>
      <w:r>
        <w:t>1</w:t>
      </w:r>
      <w:r>
        <w:t xml:space="preserve">: </w:t>
      </w:r>
      <w:r>
        <w:t>0.98</w:t>
      </w:r>
      <w:r>
        <w:rPr>
          <w:vertAlign w:val="superscript"/>
        </w:rPr>
        <w:t>[</w:t>
      </w:r>
      <w:r>
        <w:rPr>
          <w:color w:val="080000"/>
          <w:vertAlign w:val="superscript"/>
          <w:position w:val="8"/>
        </w:rPr>
        <w:t xml:space="preserve">32</w:t>
      </w:r>
      <w:r>
        <w:rPr>
          <w:vertAlign w:val="superscript"/>
        </w:rPr>
        <w:t>]</w:t>
      </w:r>
      <w:r>
        <w:t>。</w:t>
      </w:r>
    </w:p>
    <w:p w:rsidR="0018722C">
      <w:pPr>
        <w:topLinePunct/>
      </w:pPr>
      <w:r>
        <w:t>环氧化酶</w:t>
      </w:r>
      <w:r>
        <w:t>（</w:t>
      </w:r>
      <w:r w:rsidR="001852F3">
        <w:t xml:space="preserve">cyclooxygenase</w:t>
      </w:r>
      <w:r>
        <w:t xml:space="preserve">,</w:t>
      </w:r>
      <w:r>
        <w:t xml:space="preserve"> COX</w:t>
      </w:r>
      <w:r>
        <w:t>）</w:t>
      </w:r>
      <w:r>
        <w:t>是一种膜结合蛋白酶，又称前列腺素内过氧化物合成酶，同时具备过氧化物合成酶和环氧合酶活性，可催化花生四烯酸</w:t>
      </w:r>
      <w:r>
        <w:t>（</w:t>
      </w:r>
      <w:r>
        <w:t>arachidonic</w:t>
      </w:r>
      <w:r>
        <w:rPr>
          <w:spacing w:val="-52"/>
        </w:rPr>
        <w:t> </w:t>
      </w:r>
      <w:r>
        <w:t>acid</w:t>
      </w:r>
      <w:r>
        <w:t>,</w:t>
      </w:r>
      <w:r>
        <w:rPr>
          <w:spacing w:val="-52"/>
        </w:rPr>
        <w:t> </w:t>
      </w:r>
      <w:r>
        <w:t>AA</w:t>
      </w:r>
      <w:r>
        <w:t>）</w:t>
      </w:r>
      <w:r>
        <w:t>生成前列腺素</w:t>
      </w:r>
      <w:r>
        <w:t>（</w:t>
      </w:r>
      <w:r/>
      <w:r>
        <w:t>prostaglandin</w:t>
      </w:r>
      <w:r>
        <w:t>，</w:t>
      </w:r>
    </w:p>
    <w:p w:rsidR="0018722C">
      <w:pPr>
        <w:topLinePunct/>
      </w:pPr>
      <w:r>
        <w:t>PG</w:t>
      </w:r>
      <w:r>
        <w:t>）</w:t>
      </w:r>
      <w:r>
        <w:t>。在人体组织细胞中，COX</w:t>
      </w:r>
      <w:r/>
      <w:r w:rsidR="001852F3">
        <w:t xml:space="preserve">有两种亚型，分别是</w:t>
      </w:r>
      <w:r>
        <w:t>COX-1</w:t>
      </w:r>
      <w:r/>
      <w:r w:rsidR="001852F3">
        <w:t xml:space="preserve">和</w:t>
      </w:r>
      <w:r>
        <w:t>COX-2，其中</w:t>
      </w:r>
      <w:r w:rsidR="001852F3">
        <w:t xml:space="preserve">COX-1</w:t>
      </w:r>
      <w:r/>
      <w:r w:rsidR="001852F3">
        <w:t xml:space="preserve">是结构型酶，存在于多种组织细胞中，参与调节机体各项生理活动，</w:t>
      </w:r>
      <w:r>
        <w:t>并且是稳定表达状态；而</w:t>
      </w:r>
      <w:r>
        <w:t>COX-2</w:t>
      </w:r>
      <w:r/>
      <w:r w:rsidR="001852F3">
        <w:t xml:space="preserve">是诱导型酶，在生理状态下，组织细胞内一般不表达，但在某些炎症介质、细胞因子、促癌因子等的刺激下则可大量表达，参与组织与细胞的各种生理及病理过程</w:t>
      </w:r>
      <w:r>
        <w:t>[</w:t>
      </w:r>
      <w:r>
        <w:rPr>
          <w:color w:val="080000"/>
          <w:spacing w:val="-4"/>
          <w:position w:val="8"/>
          <w:sz w:val="18"/>
        </w:rPr>
        <w:t xml:space="preserve">61, </w:t>
      </w:r>
      <w:r>
        <w:rPr>
          <w:color w:val="080000"/>
          <w:position w:val="8"/>
          <w:sz w:val="18"/>
        </w:rPr>
        <w:t>62</w:t>
      </w:r>
      <w:r>
        <w:t>]</w:t>
      </w:r>
      <w:r>
        <w:t>。COX-2</w:t>
      </w:r>
      <w:r/>
      <w:r w:rsidR="001852F3">
        <w:t xml:space="preserve">在包括</w:t>
      </w:r>
      <w:r>
        <w:t>HCC</w:t>
      </w:r>
      <w:r w:rsidR="001852F3">
        <w:t xml:space="preserve">等</w:t>
      </w:r>
      <w:r>
        <w:rPr>
          <w:vertAlign w:val="superscript"/>
        </w:rPr>
        <w:t>[</w:t>
      </w:r>
      <w:r>
        <w:rPr>
          <w:color w:val="080000"/>
          <w:vertAlign w:val="superscript"/>
          <w:position w:val="8"/>
        </w:rPr>
        <w:t>51,</w:t>
      </w:r>
      <w:r>
        <w:rPr>
          <w:color w:val="080000"/>
          <w:vertAlign w:val="superscript"/>
          <w:position w:val="8"/>
        </w:rPr>
        <w:t> </w:t>
      </w:r>
      <w:r>
        <w:rPr>
          <w:color w:val="080000"/>
          <w:vertAlign w:val="superscript"/>
          <w:position w:val="8"/>
        </w:rPr>
        <w:t>63</w:t>
      </w:r>
      <w:r>
        <w:rPr>
          <w:color w:val="080000"/>
          <w:vertAlign w:val="superscript"/>
          <w:position w:val="8"/>
        </w:rPr>
        <w:t>,</w:t>
      </w:r>
      <w:r>
        <w:rPr>
          <w:color w:val="080000"/>
          <w:vertAlign w:val="superscript"/>
          <w:position w:val="8"/>
        </w:rPr>
        <w:t> </w:t>
      </w:r>
      <w:r>
        <w:rPr>
          <w:color w:val="080000"/>
          <w:vertAlign w:val="superscript"/>
          <w:position w:val="8"/>
        </w:rPr>
        <w:t>64</w:t>
      </w:r>
      <w:r>
        <w:rPr>
          <w:vertAlign w:val="superscript"/>
        </w:rPr>
        <w:t>]</w:t>
      </w:r>
      <w:r>
        <w:t>多种恶性肿瘤中高表达，在</w:t>
      </w:r>
      <w:r>
        <w:t>HCC</w:t>
      </w:r>
      <w:r/>
      <w:r w:rsidR="001852F3">
        <w:t xml:space="preserve">的发生发展过程中扮演着重要的角色。</w:t>
      </w:r>
    </w:p>
    <w:p w:rsidR="0018722C">
      <w:pPr>
        <w:topLinePunct/>
      </w:pPr>
      <w:r>
        <w:t>前列腺素受体</w:t>
      </w:r>
      <w:r>
        <w:t>（</w:t>
      </w:r>
      <w:r>
        <w:t>Prostaglandin</w:t>
      </w:r>
      <w:r>
        <w:rPr>
          <w:spacing w:val="-10"/>
        </w:rPr>
        <w:t> </w:t>
      </w:r>
      <w:r>
        <w:t>receptor</w:t>
      </w:r>
      <w:r>
        <w:rPr>
          <w:spacing w:val="-10"/>
        </w:rPr>
        <w:t> </w:t>
      </w:r>
      <w:r>
        <w:t>EP</w:t>
      </w:r>
      <w:r>
        <w:t>）</w:t>
      </w:r>
      <w:r>
        <w:t>有四种亚型，包括前列</w:t>
      </w:r>
      <w:r>
        <w:t>腺素受体</w:t>
      </w:r>
      <w:r>
        <w:t>1</w:t>
      </w:r>
      <w:r>
        <w:t>（</w:t>
      </w:r>
      <w:r>
        <w:t>Prostaglandin</w:t>
      </w:r>
      <w:r>
        <w:rPr>
          <w:spacing w:val="6"/>
        </w:rPr>
        <w:t>    </w:t>
      </w:r>
      <w:r>
        <w:t>receptor1</w:t>
      </w:r>
      <w:r>
        <w:rPr>
          <w:spacing w:val="-2"/>
        </w:rPr>
        <w:t>         </w:t>
      </w:r>
      <w:r>
        <w:t>EP</w:t>
      </w:r>
      <w:r>
        <w:rPr>
          <w:position w:val="-3"/>
          <w:sz w:val="18"/>
        </w:rPr>
        <w:t>1</w:t>
      </w:r>
      <w:r>
        <w:t>）</w:t>
      </w:r>
      <w:r>
        <w:t>、前列腺素受体</w:t>
      </w:r>
      <w:r w:rsidR="001852F3">
        <w:t xml:space="preserve">2</w:t>
      </w:r>
      <w:r>
        <w:t>（</w:t>
      </w:r>
      <w:r>
        <w:t>Prostaglandin</w:t>
      </w:r>
      <w:r w:rsidR="001852F3">
        <w:rPr>
          <w:spacing w:val="-4"/>
        </w:rPr>
        <w:t xml:space="preserve"> </w:t>
      </w:r>
      <w:r>
        <w:t>receptor2</w:t>
      </w:r>
      <w:r>
        <w:rPr>
          <w:spacing w:val="-4"/>
        </w:rPr>
        <w:t>    </w:t>
      </w:r>
      <w:r>
        <w:t>EP</w:t>
      </w:r>
      <w:r>
        <w:rPr>
          <w:position w:val="-3"/>
          <w:sz w:val="18"/>
        </w:rPr>
        <w:t>2</w:t>
      </w:r>
      <w:r>
        <w:t>）</w:t>
      </w:r>
      <w:r>
        <w:t>、前列腺素受体</w:t>
      </w:r>
      <w:r>
        <w:t>3</w:t>
      </w:r>
      <w:r>
        <w:t>（</w:t>
      </w:r>
      <w:r>
        <w:t>Prostaglandin receptor3</w:t>
      </w:r>
      <w:r w:rsidR="001852F3">
        <w:t xml:space="preserve"> EP</w:t>
      </w:r>
      <w:r>
        <w:rPr>
          <w:position w:val="-3"/>
          <w:sz w:val="18"/>
        </w:rPr>
        <w:t>3</w:t>
      </w:r>
      <w:r>
        <w:t>）</w:t>
      </w:r>
      <w:r>
        <w:t>、前列腺素受体</w:t>
      </w:r>
      <w:r>
        <w:t>4</w:t>
      </w:r>
      <w:r>
        <w:t>（</w:t>
      </w:r>
      <w:r>
        <w:t>Prostaglandin receptor4</w:t>
      </w:r>
      <w:r w:rsidR="001852F3">
        <w:t xml:space="preserve"> EP</w:t>
      </w:r>
      <w:r>
        <w:rPr>
          <w:position w:val="-3"/>
          <w:sz w:val="18"/>
        </w:rPr>
        <w:t>4</w:t>
      </w:r>
      <w:r>
        <w:t>）</w:t>
      </w:r>
      <w:r>
        <w:t>；</w:t>
      </w:r>
      <w:r>
        <w:t>这</w:t>
      </w:r>
    </w:p>
    <w:p w:rsidR="0018722C">
      <w:pPr>
        <w:topLinePunct/>
      </w:pPr>
      <w:r>
        <w:rPr>
          <w:rFonts w:cstheme="minorBidi" w:hAnsiTheme="minorHAnsi" w:eastAsiaTheme="minorHAnsi" w:asciiTheme="minorHAnsi"/>
        </w:rPr>
        <w:t>31</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topLinePunct/>
      </w:pPr>
      <w:r>
        <w:t>四种亚型分布于各种细胞和组织中，当</w:t>
      </w:r>
      <w:r>
        <w:t>PGE2</w:t>
      </w:r>
      <w:r w:rsidR="001852F3">
        <w:t xml:space="preserve">与之结合后被激活，通过与</w:t>
      </w:r>
      <w:r>
        <w:t>细胞膜上的</w:t>
      </w:r>
      <w:r>
        <w:t>G</w:t>
      </w:r>
      <w:r/>
      <w:r w:rsidR="001852F3">
        <w:t xml:space="preserve">蛋白偶联转变为第二信使，通过第二信使使细胞外的生物信</w:t>
      </w:r>
      <w:r>
        <w:t>号传到细胞内，从而引起一系列病理或生理反应。人的</w:t>
      </w:r>
      <w:r>
        <w:t>HCC</w:t>
      </w:r>
      <w:r/>
      <w:r w:rsidR="001852F3">
        <w:t xml:space="preserve">细胞株</w:t>
      </w:r>
      <w:r>
        <w:t>（</w:t>
      </w:r>
      <w:r>
        <w:rPr>
          <w:spacing w:val="-2"/>
        </w:rPr>
        <w:t xml:space="preserve">Huh7, </w:t>
      </w:r>
      <w:r>
        <w:t>Hep3B</w:t>
      </w:r>
      <w:r w:rsidR="004B696B">
        <w:rPr>
          <w:spacing w:val="-28"/>
        </w:rPr>
        <w:t>, </w:t>
      </w:r>
      <w:r>
        <w:t>HepG2</w:t>
      </w:r>
      <w:r>
        <w:t>）</w:t>
      </w:r>
      <w:r>
        <w:t>中</w:t>
      </w:r>
      <w:r>
        <w:t>EP</w:t>
      </w:r>
      <w:r>
        <w:t>1</w:t>
      </w:r>
      <w:r>
        <w:t>受体的</w:t>
      </w:r>
      <w:r>
        <w:t>mRNA</w:t>
      </w:r>
      <w:r/>
      <w:r w:rsidR="001852F3">
        <w:t xml:space="preserve">和蛋白质表达最为丰富</w:t>
      </w:r>
      <w:r>
        <w:rPr>
          <w:vertAlign w:val="superscript"/>
        </w:rPr>
        <w:t>[</w:t>
      </w:r>
      <w:r>
        <w:rPr>
          <w:color w:val="080000"/>
          <w:vertAlign w:val="superscript"/>
          <w:position w:val="8"/>
        </w:rPr>
        <w:t xml:space="preserve">18</w:t>
      </w:r>
      <w:r>
        <w:rPr>
          <w:vertAlign w:val="superscript"/>
        </w:rPr>
        <w:t>]</w:t>
      </w:r>
      <w:r>
        <w:t>；Marco</w:t>
      </w:r>
      <w:r/>
      <w:r w:rsidR="001852F3">
        <w:t xml:space="preserve">等</w:t>
      </w:r>
      <w:r>
        <w:t>[</w:t>
      </w:r>
      <w:r>
        <w:rPr>
          <w:color w:val="080000"/>
          <w:position w:val="8"/>
          <w:sz w:val="18"/>
        </w:rPr>
        <w:t xml:space="preserve">19</w:t>
      </w:r>
      <w:r>
        <w:t>]</w:t>
      </w:r>
      <w:r/>
      <w:r>
        <w:t>研究发现，选择性</w:t>
      </w:r>
      <w:r>
        <w:t>EP</w:t>
      </w:r>
      <w:r>
        <w:t>3</w:t>
      </w:r>
      <w:r>
        <w:t>拮抗剂和选择性</w:t>
      </w:r>
      <w:r>
        <w:t>EP</w:t>
      </w:r>
      <w:r>
        <w:t>1</w:t>
      </w:r>
      <w:r>
        <w:t>拮抗剂与</w:t>
      </w:r>
      <w:r>
        <w:t>COX-2</w:t>
      </w:r>
      <w:r w:rsidR="001852F3">
        <w:t xml:space="preserve">抑制剂的抑癌作用相近，都能明显减少</w:t>
      </w:r>
      <w:r w:rsidR="001852F3">
        <w:t xml:space="preserve">肿瘤细胞的活性，并且还能诱导肿瘤细胞调亡。</w:t>
      </w:r>
    </w:p>
    <w:p w:rsidR="0018722C">
      <w:pPr>
        <w:topLinePunct/>
      </w:pPr>
      <w:r>
        <w:t>Kawamori</w:t>
      </w:r>
      <w:r/>
      <w:r w:rsidR="001852F3">
        <w:t xml:space="preserve">等</w:t>
      </w:r>
      <w:r>
        <w:t>[</w:t>
      </w:r>
      <w:r>
        <w:rPr>
          <w:color w:val="080000"/>
          <w:position w:val="8"/>
          <w:sz w:val="18"/>
        </w:rPr>
        <w:t xml:space="preserve">48</w:t>
      </w:r>
      <w:r>
        <w:t>]</w:t>
      </w:r>
      <w:r>
        <w:t>的研究也证明了选择性</w:t>
      </w:r>
      <w:r>
        <w:t>EP</w:t>
      </w:r>
      <w:r>
        <w:t>1</w:t>
      </w:r>
      <w:r/>
      <w:r>
        <w:t>受体拮抗剂通过诱导大鼠乳腺肿</w:t>
      </w:r>
      <w:r>
        <w:t>瘤细胞的调亡而产生抗肿瘤的作用；并且研究发现</w:t>
      </w:r>
      <w:r>
        <w:t>EP</w:t>
      </w:r>
      <w:r>
        <w:t>1</w:t>
      </w:r>
      <w:r/>
      <w:r>
        <w:t>受体缺陷的小鼠结直肠癌的发病率显著低于野生型小鼠</w:t>
      </w:r>
      <w:r>
        <w:rPr>
          <w:vertAlign w:val="superscript"/>
        </w:rPr>
        <w:t>[</w:t>
      </w:r>
      <w:r>
        <w:rPr>
          <w:color w:val="080000"/>
          <w:vertAlign w:val="superscript"/>
          <w:position w:val="8"/>
        </w:rPr>
        <w:t xml:space="preserve">49</w:t>
      </w:r>
      <w:r>
        <w:rPr>
          <w:vertAlign w:val="superscript"/>
        </w:rPr>
        <w:t>]</w:t>
      </w:r>
      <w:r>
        <w:t>。以上研究结果提示，EP</w:t>
      </w:r>
      <w:r>
        <w:t>1</w:t>
      </w:r>
      <w:r/>
      <w:r>
        <w:t>受体在肿瘤疾病的发生发展中发挥着重要的作用。</w:t>
      </w:r>
    </w:p>
    <w:p w:rsidR="0018722C">
      <w:pPr>
        <w:topLinePunct/>
      </w:pPr>
      <w:r>
        <w:t>现结合已有资料对</w:t>
      </w:r>
      <w:r w:rsidR="001852F3">
        <w:t xml:space="preserve">COX-2</w:t>
      </w:r>
      <w:r>
        <w:t xml:space="preserve">, </w:t>
      </w:r>
      <w:r>
        <w:t>EP</w:t>
      </w:r>
      <w:r>
        <w:t>1</w:t>
      </w:r>
      <w:r>
        <w:t>生物学特征及其与</w:t>
      </w:r>
      <w:r w:rsidR="001852F3">
        <w:t xml:space="preserve">HCC</w:t>
      </w:r>
      <w:r w:rsidR="001852F3">
        <w:t xml:space="preserve">的关系作一综述。</w:t>
      </w:r>
    </w:p>
    <w:p w:rsidR="0018722C">
      <w:pPr>
        <w:pStyle w:val="Heading2"/>
        <w:topLinePunct/>
        <w:ind w:left="171" w:hangingChars="171" w:hanging="171"/>
      </w:pPr>
      <w:r>
        <w:rPr>
          <w:b/>
        </w:rPr>
        <w:t>1.</w:t>
      </w:r>
      <w:r>
        <w:t xml:space="preserve"> </w:t>
      </w:r>
      <w:r>
        <w:rPr>
          <w:b/>
        </w:rPr>
        <w:t>COX-2</w:t>
      </w:r>
      <w:r w:rsidR="001852F3">
        <w:t xml:space="preserve">的生物学特征</w:t>
      </w:r>
    </w:p>
    <w:p w:rsidR="0018722C">
      <w:pPr>
        <w:topLinePunct/>
      </w:pPr>
      <w:r>
        <w:t>COX-2</w:t>
      </w:r>
      <w:r/>
      <w:r w:rsidR="001852F3">
        <w:t xml:space="preserve">基因位于人类第</w:t>
      </w:r>
      <w:r>
        <w:t>1</w:t>
      </w:r>
      <w:r/>
      <w:r w:rsidR="001852F3">
        <w:t xml:space="preserve">号染色体</w:t>
      </w:r>
      <w:r>
        <w:t>q25.2～q25.3，</w:t>
      </w:r>
      <w:r>
        <w:t>全长</w:t>
      </w:r>
      <w:r>
        <w:t>8</w:t>
      </w:r>
      <w:r>
        <w:t>.</w:t>
      </w:r>
      <w:r>
        <w:t>3kb，</w:t>
      </w:r>
      <w:r>
        <w:t>由</w:t>
      </w:r>
      <w:r>
        <w:t>6kb</w:t>
      </w:r>
      <w:r w:rsidR="001852F3">
        <w:t xml:space="preserve">的蛋白编码区</w:t>
      </w:r>
      <w:r>
        <w:t>（</w:t>
      </w:r>
      <w:r>
        <w:t>9</w:t>
      </w:r>
      <w:r/>
      <w:r w:rsidR="001852F3">
        <w:t xml:space="preserve">个内含子和</w:t>
      </w:r>
      <w:r>
        <w:t>10</w:t>
      </w:r>
      <w:r/>
      <w:r w:rsidR="001852F3">
        <w:t xml:space="preserve">个外显子</w:t>
      </w:r>
      <w:r>
        <w:t>）</w:t>
      </w:r>
      <w:r>
        <w:t>、5’</w:t>
      </w:r>
      <w:r>
        <w:t>端的</w:t>
      </w:r>
      <w:r>
        <w:t>0</w:t>
      </w:r>
      <w:r>
        <w:t>.</w:t>
      </w:r>
      <w:r>
        <w:t>8kb</w:t>
      </w:r>
      <w:r/>
      <w:r w:rsidR="001852F3">
        <w:t xml:space="preserve">的转录起始点</w:t>
      </w:r>
      <w:r>
        <w:t>上游区以及</w:t>
      </w:r>
      <w:r>
        <w:t>2</w:t>
      </w:r>
      <w:r>
        <w:t>.</w:t>
      </w:r>
      <w:r>
        <w:t>5kb</w:t>
      </w:r>
      <w:r/>
      <w:r w:rsidR="001852F3">
        <w:t xml:space="preserve">的</w:t>
      </w:r>
      <w:r>
        <w:t>3’</w:t>
      </w:r>
      <w:r>
        <w:t>非编码区组合而成。转录后形成</w:t>
      </w:r>
      <w:r>
        <w:t>4</w:t>
      </w:r>
      <w:r>
        <w:t>.</w:t>
      </w:r>
      <w:r>
        <w:t>5kb mRNA，编</w:t>
      </w:r>
      <w:r>
        <w:t>码</w:t>
      </w:r>
      <w:r>
        <w:t>604</w:t>
      </w:r>
      <w:r/>
      <w:r w:rsidR="001852F3">
        <w:t xml:space="preserve">个或</w:t>
      </w:r>
      <w:r>
        <w:t>603</w:t>
      </w:r>
      <w:r/>
      <w:r w:rsidR="001852F3">
        <w:t xml:space="preserve">个氨基酸，包含了</w:t>
      </w:r>
      <w:r>
        <w:t>17</w:t>
      </w:r>
      <w:r/>
      <w:r w:rsidR="001852F3">
        <w:t xml:space="preserve">个氨基酸残基的信号肽。</w:t>
      </w:r>
      <w:r>
        <w:t>COX-2</w:t>
      </w:r>
      <w:r/>
      <w:r w:rsidR="001852F3">
        <w:t xml:space="preserve">在细胞膜或细胞外网状结构上起作用。正常人体生理状态下，COX-2</w:t>
      </w:r>
      <w:r/>
      <w:r w:rsidR="001852F3">
        <w:t xml:space="preserve">在大多数组织细胞中均不表达，当在炎症介质、某些细胞因子、促肿瘤因子等因</w:t>
      </w:r>
      <w:r w:rsidR="001852F3">
        <w:t>素</w:t>
      </w:r>
    </w:p>
    <w:p w:rsidR="0018722C">
      <w:pPr>
        <w:topLinePunct/>
      </w:pPr>
      <w:r>
        <w:t>的刺激下，其表达可迅速上调，这种现象可能与</w:t>
      </w:r>
      <w:r>
        <w:t>TPA</w:t>
      </w:r>
      <w:r/>
      <w:r w:rsidR="001852F3">
        <w:t xml:space="preserve">活化的蛋白酶激酶</w:t>
      </w:r>
      <w:r>
        <w:t>C、G</w:t>
      </w:r>
    </w:p>
    <w:p w:rsidR="0018722C">
      <w:pPr>
        <w:topLinePunct/>
      </w:pPr>
      <w:r>
        <w:t>蛋白偶联机制、以及酪氨酸激酶介导的通路被激活有关系。COX-2</w:t>
      </w:r>
      <w:r w:rsidR="001852F3">
        <w:t xml:space="preserve">可催化</w:t>
      </w:r>
    </w:p>
    <w:p w:rsidR="0018722C">
      <w:pPr>
        <w:topLinePunct/>
      </w:pPr>
      <w:r>
        <w:t>AA</w:t>
      </w:r>
      <w:r w:rsidR="001852F3">
        <w:t xml:space="preserve">产生多种</w:t>
      </w:r>
      <w:r w:rsidR="001852F3">
        <w:t xml:space="preserve">PG，参与机体组织细胞的生理及病理过程</w:t>
      </w:r>
      <w:r>
        <w:rPr>
          <w:vertAlign w:val="superscript"/>
        </w:rPr>
        <w:t>[</w:t>
      </w:r>
      <w:r>
        <w:rPr>
          <w:vertAlign w:val="superscript"/>
        </w:rPr>
        <w:t xml:space="preserve">61</w:t>
      </w:r>
      <w:r>
        <w:rPr>
          <w:vertAlign w:val="superscript"/>
        </w:rPr>
        <w:t>]</w:t>
      </w:r>
      <w:r>
        <w:t>，与炎症及肿瘤的发生与发展关系紧密。</w:t>
      </w:r>
    </w:p>
    <w:p w:rsidR="0018722C">
      <w:pPr>
        <w:pStyle w:val="Heading2"/>
        <w:topLinePunct/>
        <w:ind w:left="171" w:hangingChars="171" w:hanging="171"/>
      </w:pPr>
      <w:r>
        <w:rPr>
          <w:b/>
        </w:rPr>
        <w:t>2.</w:t>
      </w:r>
      <w:r>
        <w:t xml:space="preserve"> </w:t>
      </w:r>
      <w:r>
        <w:rPr>
          <w:b/>
        </w:rPr>
        <w:t>COX-2</w:t>
      </w:r>
      <w:r w:rsidR="001852F3">
        <w:t xml:space="preserve">在</w:t>
      </w:r>
      <w:r>
        <w:rPr>
          <w:b/>
        </w:rPr>
        <w:t>HCC</w:t>
      </w:r>
      <w:r w:rsidR="001852F3">
        <w:t xml:space="preserve">中表达及临床意义</w:t>
      </w:r>
    </w:p>
    <w:p w:rsidR="0018722C">
      <w:pPr>
        <w:topLinePunct/>
      </w:pPr>
      <w:r>
        <w:t>研究发现在结肠癌</w:t>
      </w:r>
      <w:r>
        <w:t>[</w:t>
      </w:r>
      <w:r>
        <w:rPr>
          <w:color w:val="080000"/>
          <w:position w:val="8"/>
          <w:sz w:val="18"/>
        </w:rPr>
        <w:t xml:space="preserve">65</w:t>
      </w:r>
      <w:r>
        <w:rPr>
          <w:color w:val="080000"/>
          <w:position w:val="8"/>
          <w:sz w:val="18"/>
        </w:rPr>
        <w:t>,</w:t>
      </w:r>
      <w:r>
        <w:rPr>
          <w:color w:val="080000"/>
          <w:position w:val="8"/>
          <w:sz w:val="18"/>
        </w:rPr>
        <w:t xml:space="preserve"> 66</w:t>
      </w:r>
      <w:r>
        <w:t>]</w:t>
      </w:r>
      <w:r>
        <w:t>、前列腺癌</w:t>
      </w:r>
      <w:r>
        <w:t>[</w:t>
      </w:r>
      <w:r>
        <w:rPr>
          <w:color w:val="080000"/>
          <w:position w:val="8"/>
          <w:sz w:val="18"/>
        </w:rPr>
        <w:t xml:space="preserve">67</w:t>
      </w:r>
      <w:r>
        <w:t>]</w:t>
      </w:r>
      <w:r>
        <w:t>、乳腺癌</w:t>
      </w:r>
      <w:r>
        <w:t>[</w:t>
      </w:r>
      <w:r>
        <w:rPr>
          <w:color w:val="080000"/>
          <w:position w:val="8"/>
          <w:sz w:val="18"/>
        </w:rPr>
        <w:t xml:space="preserve">68</w:t>
      </w:r>
      <w:r>
        <w:t>]</w:t>
      </w:r>
      <w:r>
        <w:t>、肺癌</w:t>
      </w:r>
      <w:r>
        <w:t>[</w:t>
      </w:r>
      <w:r>
        <w:rPr>
          <w:color w:val="080000"/>
          <w:position w:val="8"/>
          <w:sz w:val="18"/>
        </w:rPr>
        <w:t xml:space="preserve">69</w:t>
      </w:r>
      <w:r>
        <w:t>]</w:t>
      </w:r>
      <w:r>
        <w:t>等多种肿</w:t>
      </w:r>
      <w:r>
        <w:t>瘤组织中</w:t>
      </w:r>
      <w:r>
        <w:t>COX-2</w:t>
      </w:r>
      <w:r/>
      <w:r w:rsidR="001852F3">
        <w:t xml:space="preserve">呈高表达状态。并且</w:t>
      </w:r>
      <w:r>
        <w:t>HCC</w:t>
      </w:r>
      <w:r/>
      <w:r w:rsidR="001852F3">
        <w:t xml:space="preserve">组织中</w:t>
      </w:r>
      <w:r>
        <w:t>COX-2</w:t>
      </w:r>
      <w:r/>
      <w:r w:rsidR="001852F3">
        <w:t xml:space="preserve">的表达量与</w:t>
      </w:r>
      <w:r>
        <w:t>HCC</w:t>
      </w:r>
      <w:r/>
      <w:r w:rsidR="001852F3">
        <w:t xml:space="preserve">的</w:t>
      </w:r>
      <w:r>
        <w:t>分化程度密切有关，高分化</w:t>
      </w:r>
      <w:r>
        <w:t>HCC</w:t>
      </w:r>
      <w:r/>
      <w:r w:rsidR="001852F3">
        <w:t xml:space="preserve">组织及肝硬化组织中</w:t>
      </w:r>
      <w:r>
        <w:t>COX-2</w:t>
      </w:r>
      <w:r/>
      <w:r w:rsidR="001852F3">
        <w:t xml:space="preserve">的表达量最高</w:t>
      </w:r>
      <w:r w:rsidR="001852F3">
        <w:t>，</w:t>
      </w:r>
    </w:p>
    <w:p w:rsidR="0018722C">
      <w:pPr>
        <w:topLinePunct/>
      </w:pPr>
      <w:r>
        <w:rPr>
          <w:rFonts w:cstheme="minorBidi" w:hAnsiTheme="minorHAnsi" w:eastAsiaTheme="minorHAnsi" w:asciiTheme="minorHAnsi"/>
        </w:rPr>
        <w:t>32</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topLinePunct/>
      </w:pPr>
      <w:r>
        <w:t>随着分化程度的降低，其表达量也降低，提示</w:t>
      </w:r>
      <w:r/>
      <w:r>
        <w:t>COX-2</w:t>
      </w:r>
      <w:r/>
      <w:r>
        <w:t>可能在</w:t>
      </w:r>
      <w:r/>
      <w:r>
        <w:t>HCC</w:t>
      </w:r>
      <w:r/>
      <w:r>
        <w:t>的发生与发展的早期阶段发挥重要作用</w:t>
      </w:r>
      <w:r>
        <w:t>[</w:t>
      </w:r>
      <w:r>
        <w:rPr>
          <w:color w:val="080000"/>
          <w:position w:val="8"/>
          <w:sz w:val="18"/>
        </w:rPr>
        <w:t>70,</w:t>
      </w:r>
      <w:r>
        <w:rPr>
          <w:color w:val="080000"/>
          <w:spacing w:val="40"/>
          <w:position w:val="8"/>
          <w:sz w:val="18"/>
        </w:rPr>
        <w:t> </w:t>
      </w:r>
      <w:r>
        <w:rPr>
          <w:color w:val="080000"/>
          <w:position w:val="8"/>
          <w:sz w:val="18"/>
        </w:rPr>
        <w:t>71</w:t>
      </w:r>
      <w:r>
        <w:t>]</w:t>
      </w:r>
      <w:r>
        <w:t>；Tang</w:t>
      </w:r>
      <w:r/>
      <w:r>
        <w:t>等</w:t>
      </w:r>
      <w:r>
        <w:rPr>
          <w:vertAlign w:val="superscript"/>
        </w:rPr>
        <w:t>[</w:t>
      </w:r>
      <w:r>
        <w:rPr>
          <w:color w:val="080000"/>
          <w:vertAlign w:val="superscript"/>
          <w:position w:val="8"/>
        </w:rPr>
        <w:t xml:space="preserve">52</w:t>
      </w:r>
      <w:r>
        <w:rPr>
          <w:vertAlign w:val="superscript"/>
        </w:rPr>
        <w:t>]</w:t>
      </w:r>
      <w:r>
        <w:t>的研究发现当</w:t>
      </w:r>
      <w:r/>
      <w:r>
        <w:t>HCC</w:t>
      </w:r>
      <w:r/>
      <w:r>
        <w:t>组织伴有子灶、多个结节或血管被侵犯时，COX-2</w:t>
      </w:r>
      <w:r/>
      <w:r>
        <w:t>的表达明显增高，这一发现提示</w:t>
      </w:r>
      <w:r/>
      <w:r>
        <w:t>COX-2</w:t>
      </w:r>
      <w:r w:rsidR="001852F3">
        <w:t>与</w:t>
      </w:r>
      <w:r/>
      <w:r>
        <w:t>HCC</w:t>
      </w:r>
      <w:r/>
      <w:r>
        <w:t>的侵袭性有关。并且，HCC</w:t>
      </w:r>
      <w:r/>
      <w:r>
        <w:t>癌旁组织中高表达</w:t>
      </w:r>
      <w:r/>
      <w:r>
        <w:t>COX-2</w:t>
      </w:r>
      <w:r>
        <w:t> </w:t>
      </w:r>
      <w:r>
        <w:t>的</w:t>
      </w:r>
    </w:p>
    <w:p w:rsidR="0018722C">
      <w:pPr>
        <w:topLinePunct/>
      </w:pPr>
      <w:r>
        <w:t>HCC</w:t>
      </w:r>
      <w:r w:rsidR="001852F3">
        <w:t xml:space="preserve">患者术后复发的概率也会升高，说明</w:t>
      </w:r>
      <w:r w:rsidR="001852F3">
        <w:t xml:space="preserve">COX-2</w:t>
      </w:r>
      <w:r w:rsidR="001852F3">
        <w:t xml:space="preserve">可能参与了</w:t>
      </w:r>
      <w:r w:rsidR="001852F3">
        <w:t xml:space="preserve">HCC</w:t>
      </w:r>
      <w:r w:rsidR="001852F3">
        <w:t xml:space="preserve">的复发</w:t>
      </w:r>
      <w:r>
        <w:t>[</w:t>
      </w:r>
      <w:r>
        <w:t>72,</w:t>
      </w:r>
    </w:p>
    <w:p w:rsidR="0018722C">
      <w:pPr>
        <w:topLinePunct/>
      </w:pPr>
      <w:r>
        <w:rPr>
          <w:rFonts w:cstheme="minorBidi" w:hAnsiTheme="minorHAnsi" w:eastAsiaTheme="minorHAnsi" w:asciiTheme="minorHAnsi" w:ascii="宋体" w:eastAsia="宋体" w:hint="eastAsia"/>
        </w:rPr>
        <w:t>73</w:t>
      </w:r>
      <w:r>
        <w:rPr>
          <w:rFonts w:cstheme="minorBidi" w:hAnsiTheme="minorHAnsi" w:eastAsiaTheme="minorHAnsi" w:asciiTheme="minorHAnsi" w:ascii="宋体" w:eastAsia="宋体" w:hint="eastAsia"/>
        </w:rPr>
        <w:t>]</w:t>
      </w:r>
      <w:r>
        <w:rPr>
          <w:rFonts w:ascii="宋体" w:eastAsia="宋体" w:hint="eastAsia" w:cstheme="minorBidi" w:hAnsiTheme="minorHAnsi"/>
        </w:rPr>
        <w:t>。</w:t>
      </w:r>
    </w:p>
    <w:p w:rsidR="0018722C">
      <w:pPr>
        <w:pStyle w:val="Heading2"/>
        <w:topLinePunct/>
        <w:ind w:left="171" w:hangingChars="171" w:hanging="171"/>
      </w:pPr>
      <w:r>
        <w:rPr>
          <w:b/>
        </w:rPr>
        <w:t>3.</w:t>
      </w:r>
      <w:r>
        <w:t xml:space="preserve"> </w:t>
      </w:r>
      <w:r>
        <w:rPr>
          <w:b/>
        </w:rPr>
        <w:t>COX-2</w:t>
      </w:r>
      <w:r w:rsidR="001852F3">
        <w:t xml:space="preserve">在</w:t>
      </w:r>
      <w:r>
        <w:rPr>
          <w:b/>
        </w:rPr>
        <w:t>HCC</w:t>
      </w:r>
      <w:r w:rsidR="001852F3">
        <w:t xml:space="preserve">发生发展中的作用</w:t>
      </w:r>
    </w:p>
    <w:p w:rsidR="0018722C">
      <w:pPr>
        <w:topLinePunct/>
      </w:pPr>
      <w:r>
        <w:t>HCC</w:t>
      </w:r>
      <w:r/>
      <w:r w:rsidR="001852F3">
        <w:t xml:space="preserve">的发生及发展是外界与自身多阶段多因素相互作用的病理过程，</w:t>
      </w:r>
      <w:r>
        <w:t>研究报道</w:t>
      </w:r>
      <w:r>
        <w:t>COX-2</w:t>
      </w:r>
      <w:r w:rsidR="001852F3">
        <w:t xml:space="preserve">主要可以通过以下方式参与该过程。</w:t>
      </w:r>
    </w:p>
    <w:p w:rsidR="0018722C">
      <w:pPr>
        <w:pStyle w:val="Heading3"/>
        <w:topLinePunct/>
        <w:ind w:left="200" w:hangingChars="200" w:hanging="200"/>
      </w:pPr>
      <w:r>
        <w:rPr>
          <w:b/>
        </w:rPr>
        <w:t>3.1</w:t>
      </w:r>
      <w:r>
        <w:t xml:space="preserve"> </w:t>
      </w:r>
      <w:r>
        <w:t>促进细胞增殖、抑制细胞凋亡</w:t>
      </w:r>
    </w:p>
    <w:p w:rsidR="0018722C">
      <w:pPr>
        <w:topLinePunct/>
      </w:pPr>
      <w:r>
        <w:t>COX-2</w:t>
      </w:r>
      <w:r/>
      <w:r w:rsidR="001852F3">
        <w:t xml:space="preserve">能促进肿瘤细胞分泌大量</w:t>
      </w:r>
      <w:r>
        <w:t>PGE2</w:t>
      </w:r>
      <w:r>
        <w:t xml:space="preserve">, </w:t>
      </w:r>
      <w:r>
        <w:t>PGE2</w:t>
      </w:r>
      <w:r/>
      <w:r w:rsidR="001852F3">
        <w:t xml:space="preserve">能选择性的与细胞膜表面的前列腺素受体结合，通过信号的传导，继而调控组织细胞的增殖与凋亡，</w:t>
      </w:r>
      <w:r w:rsidR="001852F3">
        <w:t xml:space="preserve">最终发挥抑制细胞凋亡及促细胞增殖的作用。Leng</w:t>
      </w:r>
      <w:r/>
      <w:r w:rsidR="001852F3">
        <w:t xml:space="preserve">等</w:t>
      </w:r>
      <w:r>
        <w:rPr>
          <w:vertAlign w:val="superscript"/>
        </w:rPr>
        <w:t>[</w:t>
      </w:r>
      <w:r>
        <w:rPr>
          <w:vertAlign w:val="superscript"/>
        </w:rPr>
        <w:t xml:space="preserve">74</w:t>
      </w:r>
      <w:r>
        <w:rPr>
          <w:vertAlign w:val="superscript"/>
        </w:rPr>
        <w:t>]</w:t>
      </w:r>
      <w:r>
        <w:t>在实验研究中</w:t>
      </w:r>
      <w:r>
        <w:t>发</w:t>
      </w:r>
    </w:p>
    <w:p w:rsidR="0018722C">
      <w:pPr>
        <w:topLinePunct/>
      </w:pPr>
      <w:r>
        <w:t>现</w:t>
      </w:r>
      <w:r w:rsidR="001852F3">
        <w:t xml:space="preserve">HepG2</w:t>
      </w:r>
      <w:r/>
      <w:r w:rsidR="001852F3">
        <w:t xml:space="preserve">及</w:t>
      </w:r>
      <w:r>
        <w:t>Hep3B HCC</w:t>
      </w:r>
      <w:r/>
      <w:r w:rsidR="001852F3">
        <w:t xml:space="preserve">细胞系被转染</w:t>
      </w:r>
      <w:r>
        <w:t>COX-2</w:t>
      </w:r>
      <w:r/>
      <w:r w:rsidR="001852F3">
        <w:t xml:space="preserve">后，细胞的增殖能力显著增强，</w:t>
      </w:r>
      <w:r>
        <w:t>并且能够减弱</w:t>
      </w:r>
      <w:r>
        <w:t>COX-2</w:t>
      </w:r>
      <w:r/>
      <w:r w:rsidR="001852F3">
        <w:t xml:space="preserve">抑制剂塞来昔布诱导的</w:t>
      </w:r>
      <w:r>
        <w:t>HCC</w:t>
      </w:r>
      <w:r/>
      <w:r w:rsidR="001852F3">
        <w:t xml:space="preserve">细胞系的凋亡。</w:t>
      </w:r>
      <w:r>
        <w:t>Leng</w:t>
      </w:r>
      <w:r/>
      <w:r w:rsidR="001852F3">
        <w:t xml:space="preserve">等</w:t>
      </w:r>
      <w:r>
        <w:rPr>
          <w:vertAlign w:val="superscript"/>
        </w:rPr>
        <w:t>[</w:t>
      </w:r>
      <w:r>
        <w:rPr>
          <w:vertAlign w:val="superscript"/>
        </w:rPr>
        <w:t xml:space="preserve">74</w:t>
      </w:r>
      <w:r>
        <w:rPr>
          <w:vertAlign w:val="superscript"/>
        </w:rPr>
        <w:t>]</w:t>
      </w:r>
      <w:r/>
      <w:r>
        <w:t>还证实了</w:t>
      </w:r>
      <w:r>
        <w:t>COX-2</w:t>
      </w:r>
      <w:r/>
      <w:r w:rsidR="001852F3">
        <w:t xml:space="preserve">的这种促进细胞增殖能力可能与信号通路中磷酸化的丝氨酸</w:t>
      </w:r>
      <w:r>
        <w:t>/</w:t>
      </w:r>
      <w:r>
        <w:t>苏氨酸蛋白激酶</w:t>
      </w:r>
      <w:r w:rsidR="001852F3">
        <w:t xml:space="preserve">B</w:t>
      </w:r>
      <w:r/>
      <w:r w:rsidR="001852F3">
        <w:t xml:space="preserve">的活化增强有关。</w:t>
      </w:r>
    </w:p>
    <w:p w:rsidR="0018722C">
      <w:pPr>
        <w:pStyle w:val="Heading3"/>
        <w:topLinePunct/>
        <w:ind w:left="200" w:hangingChars="200" w:hanging="200"/>
      </w:pPr>
      <w:r>
        <w:rPr>
          <w:b/>
        </w:rPr>
        <w:t>3.2</w:t>
      </w:r>
      <w:r>
        <w:t xml:space="preserve"> </w:t>
      </w:r>
      <w:r>
        <w:t>促进肿瘤血管形成</w:t>
      </w:r>
    </w:p>
    <w:p w:rsidR="0018722C">
      <w:pPr>
        <w:topLinePunct/>
      </w:pPr>
      <w:r>
        <w:t>肿瘤的血管密度在肿瘤的进展过程中发挥着重要作用，并且肿瘤的血管生成与组织细胞分泌的多种生长因子的刺激关系密切，相关研究证实血管内皮生长因子</w:t>
      </w:r>
      <w:r>
        <w:t>（</w:t>
      </w:r>
      <w:r>
        <w:t>vascular</w:t>
      </w:r>
      <w:r>
        <w:rPr>
          <w:spacing w:val="-17"/>
        </w:rPr>
        <w:t> </w:t>
      </w:r>
      <w:r>
        <w:t>endothelial</w:t>
      </w:r>
      <w:r>
        <w:rPr>
          <w:spacing w:val="-17"/>
        </w:rPr>
        <w:t> </w:t>
      </w:r>
      <w:r>
        <w:t>growth</w:t>
      </w:r>
      <w:r>
        <w:rPr>
          <w:spacing w:val="-17"/>
        </w:rPr>
        <w:t> </w:t>
      </w:r>
      <w:r>
        <w:t>factor</w:t>
      </w:r>
      <w:r>
        <w:t>,</w:t>
      </w:r>
      <w:r>
        <w:rPr>
          <w:spacing w:val="-17"/>
        </w:rPr>
        <w:t> </w:t>
      </w:r>
      <w:r>
        <w:t>VEGF</w:t>
      </w:r>
      <w:r>
        <w:t>）</w:t>
      </w:r>
      <w:r>
        <w:t>在肿瘤的血管生成中发挥了重要的作用。Cheng</w:t>
      </w:r>
      <w:r/>
      <w:r w:rsidR="001852F3">
        <w:t xml:space="preserve">等</w:t>
      </w:r>
      <w:r>
        <w:rPr>
          <w:vertAlign w:val="superscript"/>
        </w:rPr>
        <w:t>[</w:t>
      </w:r>
      <w:r>
        <w:rPr>
          <w:color w:val="080000"/>
          <w:vertAlign w:val="superscript"/>
          <w:position w:val="8"/>
        </w:rPr>
        <w:t xml:space="preserve">75</w:t>
      </w:r>
      <w:r>
        <w:rPr>
          <w:vertAlign w:val="superscript"/>
        </w:rPr>
        <w:t>]</w:t>
      </w:r>
      <w:r>
        <w:t>在研究过程中发现</w:t>
      </w:r>
      <w:r>
        <w:t>HCC</w:t>
      </w:r>
      <w:r/>
      <w:r w:rsidR="001852F3">
        <w:t xml:space="preserve">细胞</w:t>
      </w:r>
      <w:r>
        <w:t>经转染</w:t>
      </w:r>
      <w:r>
        <w:t>COX-2</w:t>
      </w:r>
      <w:r/>
      <w:r w:rsidR="001852F3">
        <w:t xml:space="preserve">基因后，细胞中</w:t>
      </w:r>
      <w:r>
        <w:t>VEGF</w:t>
      </w:r>
      <w:r/>
      <w:r w:rsidR="001852F3">
        <w:t xml:space="preserve">基因的表达明显增强，并且当在细胞培</w:t>
      </w:r>
      <w:r>
        <w:t>养液中加入</w:t>
      </w:r>
      <w:r>
        <w:t>COX-2</w:t>
      </w:r>
      <w:r/>
      <w:r w:rsidR="001852F3">
        <w:t xml:space="preserve">选择性抑制剂后，细胞中的</w:t>
      </w:r>
      <w:r>
        <w:t>VEGF</w:t>
      </w:r>
      <w:r/>
      <w:r w:rsidR="001852F3">
        <w:t xml:space="preserve">基因表达则会降低。在随后的免疫组化试验中，HCC</w:t>
      </w:r>
      <w:r/>
      <w:r w:rsidR="001852F3">
        <w:t xml:space="preserve">组织中</w:t>
      </w:r>
      <w:r>
        <w:t>COX-2</w:t>
      </w:r>
      <w:r/>
      <w:r w:rsidR="001852F3">
        <w:t xml:space="preserve">及</w:t>
      </w:r>
      <w:r>
        <w:t>VEGF</w:t>
      </w:r>
      <w:r/>
      <w:r w:rsidR="001852F3">
        <w:t xml:space="preserve">的表达与微血管密度呈</w:t>
      </w:r>
      <w:r>
        <w:t>正相关。提示</w:t>
      </w:r>
      <w:r>
        <w:t>COX-2</w:t>
      </w:r>
      <w:r/>
      <w:r w:rsidR="001852F3">
        <w:t xml:space="preserve">可能参与调节</w:t>
      </w:r>
      <w:r>
        <w:t>VEGF</w:t>
      </w:r>
      <w:r/>
      <w:r w:rsidR="001852F3">
        <w:t xml:space="preserve">的表达，并促进肿瘤血管生成。</w:t>
      </w:r>
    </w:p>
    <w:p w:rsidR="0018722C">
      <w:pPr>
        <w:topLinePunct/>
      </w:pPr>
      <w:r>
        <w:rPr>
          <w:rFonts w:cstheme="minorBidi" w:hAnsiTheme="minorHAnsi" w:eastAsiaTheme="minorHAnsi" w:asciiTheme="minorHAnsi"/>
        </w:rPr>
        <w:t>33</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Heading3"/>
        <w:topLinePunct/>
        <w:ind w:left="200" w:hangingChars="200" w:hanging="200"/>
      </w:pPr>
      <w:r>
        <w:rPr>
          <w:b/>
        </w:rPr>
        <w:t>3.3</w:t>
      </w:r>
      <w:r>
        <w:t xml:space="preserve"> </w:t>
      </w:r>
      <w:r>
        <w:t>抑制免疫应答</w:t>
      </w:r>
    </w:p>
    <w:p w:rsidR="0018722C">
      <w:pPr>
        <w:topLinePunct/>
      </w:pPr>
      <w:r>
        <w:t>研究表明</w:t>
      </w:r>
      <w:r/>
      <w:r>
        <w:t>COX-2</w:t>
      </w:r>
      <w:r/>
      <w:r>
        <w:t>可通过</w:t>
      </w:r>
      <w:r/>
      <w:r>
        <w:t>PG</w:t>
      </w:r>
      <w:r/>
      <w:r>
        <w:t>途径实现抑制肿瘤免疫。COX-2</w:t>
      </w:r>
      <w:r/>
      <w:r>
        <w:t>的催化产物诺前列酮可通过环腺苷酸介导抑制自然杀伤细胞的活性和</w:t>
      </w:r>
      <w:r/>
      <w:r>
        <w:t>B、T</w:t>
      </w:r>
      <w:r/>
      <w:r>
        <w:t>淋巴细胞的增殖，减少</w:t>
      </w:r>
      <w:r/>
      <w:r>
        <w:t>Th1</w:t>
      </w:r>
      <w:r/>
      <w:r>
        <w:t>淋巴细胞产生肿瘤坏死因子、IL-2</w:t>
      </w:r>
      <w:r/>
      <w:r>
        <w:t>和干扰素，诱导产生具有免疫抑制功能的</w:t>
      </w:r>
      <w:r w:rsidR="001852F3">
        <w:t>IL-10</w:t>
      </w:r>
      <w:r/>
      <w:r>
        <w:t>和</w:t>
      </w:r>
      <w:r/>
      <w:r>
        <w:t>IL-6，使肿瘤细胞躲避免疫系统的监视</w:t>
      </w:r>
      <w:r>
        <w:rPr>
          <w:vertAlign w:val="superscript"/>
        </w:rPr>
        <w:t>[</w:t>
      </w:r>
      <w:r>
        <w:rPr>
          <w:color w:val="080000"/>
          <w:vertAlign w:val="superscript"/>
          <w:position w:val="8"/>
        </w:rPr>
        <w:t xml:space="preserve">76</w:t>
      </w:r>
      <w:r>
        <w:rPr>
          <w:vertAlign w:val="superscript"/>
        </w:rPr>
        <w:t>]</w:t>
      </w:r>
      <w:r>
        <w:t>。</w:t>
      </w:r>
      <w:r>
        <w:t>Gao</w:t>
      </w:r>
      <w:r>
        <w:t>等</w:t>
      </w:r>
      <w:r>
        <w:t>[</w:t>
      </w:r>
      <w:r>
        <w:rPr>
          <w:color w:val="080000"/>
          <w:position w:val="8"/>
          <w:sz w:val="18"/>
        </w:rPr>
        <w:t xml:space="preserve">77</w:t>
      </w:r>
      <w:r>
        <w:t>]</w:t>
      </w:r>
      <w:r>
        <w:t>在研究中发现在</w:t>
      </w:r>
      <w:r/>
      <w:r>
        <w:t>COX-2</w:t>
      </w:r>
      <w:r/>
      <w:r>
        <w:t>高表达的</w:t>
      </w:r>
      <w:r/>
      <w:r>
        <w:t>HCC</w:t>
      </w:r>
      <w:r/>
      <w:r>
        <w:t>组织中，Foxp3+调节</w:t>
      </w:r>
      <w:r>
        <w:t>性</w:t>
      </w:r>
    </w:p>
    <w:p w:rsidR="0018722C">
      <w:pPr>
        <w:topLinePunct/>
      </w:pPr>
      <w:r>
        <w:t>T</w:t>
      </w:r>
      <w:r/>
      <w:r w:rsidR="001852F3">
        <w:t xml:space="preserve">淋巴细胞的数量显著增多，两者的表达呈正相关，而在</w:t>
      </w:r>
      <w:r>
        <w:t>COX-2</w:t>
      </w:r>
      <w:r/>
      <w:r w:rsidR="001852F3">
        <w:t xml:space="preserve">高表达的HCC</w:t>
      </w:r>
      <w:r w:rsidR="001852F3">
        <w:t xml:space="preserve">组织中</w:t>
      </w:r>
      <w:r>
        <w:t>CD4+ T</w:t>
      </w:r>
      <w:r w:rsidR="001852F3">
        <w:t xml:space="preserve">淋巴细胞数量却明显减少，并且两者的表达呈负相关，</w:t>
      </w:r>
      <w:r>
        <w:t>提示</w:t>
      </w:r>
      <w:r>
        <w:t>COX-2</w:t>
      </w:r>
      <w:r/>
      <w:r w:rsidR="001852F3">
        <w:t xml:space="preserve">可能通过减少</w:t>
      </w:r>
      <w:r>
        <w:t>CD4+</w:t>
      </w:r>
      <w:r>
        <w:t> </w:t>
      </w:r>
      <w:r>
        <w:t>T</w:t>
      </w:r>
      <w:r/>
      <w:r w:rsidR="001852F3">
        <w:t xml:space="preserve">淋巴细胞的分泌，减弱其对肿瘤细胞的杀</w:t>
      </w:r>
      <w:r>
        <w:t>伤作用。同时</w:t>
      </w:r>
      <w:r>
        <w:t>COX-2</w:t>
      </w:r>
      <w:r/>
      <w:r w:rsidR="001852F3">
        <w:t xml:space="preserve">也可以通过增加</w:t>
      </w:r>
      <w:r>
        <w:t>Foxp3+</w:t>
      </w:r>
      <w:r>
        <w:t>调节性</w:t>
      </w:r>
      <w:r>
        <w:t>T</w:t>
      </w:r>
      <w:r/>
      <w:r w:rsidR="001852F3">
        <w:t xml:space="preserve">淋巴细胞的分泌，削弱机体对肿瘤细胞的免疫监视。</w:t>
      </w:r>
    </w:p>
    <w:p w:rsidR="0018722C">
      <w:pPr>
        <w:pStyle w:val="Heading3"/>
        <w:topLinePunct/>
        <w:ind w:left="200" w:hangingChars="200" w:hanging="200"/>
      </w:pPr>
      <w:r>
        <w:rPr>
          <w:b/>
        </w:rPr>
        <w:t>3.4</w:t>
      </w:r>
      <w:r>
        <w:t xml:space="preserve"> </w:t>
      </w:r>
      <w:r>
        <w:t>促进侵袭和转移</w:t>
      </w:r>
    </w:p>
    <w:p w:rsidR="0018722C">
      <w:pPr>
        <w:topLinePunct/>
      </w:pPr>
      <w:r>
        <w:t>肿瘤的侵袭和转移被认为是恶性肿瘤的重要生物学特性。Tang</w:t>
      </w:r>
      <w:r w:rsidR="001852F3">
        <w:t>等</w:t>
      </w:r>
      <w:r>
        <w:rPr>
          <w:vertAlign w:val="superscript"/>
        </w:rPr>
        <w:t>[</w:t>
      </w:r>
      <w:r>
        <w:rPr>
          <w:color w:val="080000"/>
          <w:vertAlign w:val="superscript"/>
          <w:position w:val="8"/>
        </w:rPr>
        <w:t xml:space="preserve">52</w:t>
      </w:r>
      <w:r>
        <w:rPr>
          <w:vertAlign w:val="superscript"/>
        </w:rPr>
        <w:t>]</w:t>
      </w:r>
      <w:r>
        <w:t>研究发现在多个结节、伴有血管侵犯或子灶的</w:t>
      </w:r>
      <w:r/>
      <w:r>
        <w:t>HCC</w:t>
      </w:r>
      <w:r/>
      <w:r>
        <w:t>组织中，COX-2</w:t>
      </w:r>
      <w:r/>
      <w:r>
        <w:t>的表达显著增强，提示</w:t>
      </w:r>
      <w:r/>
      <w:r>
        <w:t>COX-2</w:t>
      </w:r>
      <w:r/>
      <w:r>
        <w:t>的表达与</w:t>
      </w:r>
      <w:r/>
      <w:r>
        <w:t>HCC</w:t>
      </w:r>
      <w:r/>
      <w:r>
        <w:t>侵袭密切相关。</w:t>
      </w:r>
      <w:r/>
      <w:r>
        <w:t>Liang</w:t>
      </w:r>
      <w:r/>
      <w:r>
        <w:t>等</w:t>
      </w:r>
      <w:r>
        <w:rPr>
          <w:vertAlign w:val="superscript"/>
        </w:rPr>
        <w:t>[</w:t>
      </w:r>
      <w:r>
        <w:rPr>
          <w:color w:val="080000"/>
          <w:vertAlign w:val="superscript"/>
          <w:position w:val="8"/>
        </w:rPr>
        <w:t xml:space="preserve">78</w:t>
      </w:r>
      <w:r>
        <w:rPr>
          <w:vertAlign w:val="superscript"/>
        </w:rPr>
        <w:t>]</w:t>
      </w:r>
      <w:r>
        <w:t>在具有不同转移潜能的</w:t>
      </w:r>
      <w:r/>
      <w:r>
        <w:t>HCC</w:t>
      </w:r>
      <w:r/>
      <w:r>
        <w:t>细胞株中，采用免疫印迹法检测了</w:t>
      </w:r>
      <w:r/>
      <w:r>
        <w:t>COX-2</w:t>
      </w:r>
      <w:r/>
      <w:r>
        <w:t>蛋白的表达情况，发现与正常肝细胞相比，HCC</w:t>
      </w:r>
      <w:r/>
      <w:r>
        <w:t>细胞株均显著高表达</w:t>
      </w:r>
      <w:r/>
      <w:r>
        <w:t>COX-2</w:t>
      </w:r>
      <w:r/>
      <w:r>
        <w:t>蛋白，并且COX-2</w:t>
      </w:r>
      <w:r/>
      <w:r>
        <w:t>蛋白的表达随着细胞株转移潜能的升高而增强。</w:t>
      </w:r>
      <w:r w:rsidR="001852F3">
        <w:t>COX-2</w:t>
      </w:r>
      <w:r/>
      <w:r>
        <w:t>抑制剂也可显著降低</w:t>
      </w:r>
      <w:r/>
      <w:r>
        <w:t>HCC</w:t>
      </w:r>
      <w:r/>
      <w:r>
        <w:t>细胞的侵袭和迁移能力，提示</w:t>
      </w:r>
      <w:r/>
      <w:r>
        <w:t>COX-2</w:t>
      </w:r>
      <w:r/>
      <w:r>
        <w:t>的表达可能与</w:t>
      </w:r>
      <w:r/>
      <w:r>
        <w:t>HCC</w:t>
      </w:r>
      <w:r/>
      <w:r>
        <w:t>的转移密切相关。</w:t>
      </w:r>
    </w:p>
    <w:p w:rsidR="0018722C">
      <w:pPr>
        <w:pStyle w:val="Heading2"/>
        <w:topLinePunct/>
        <w:ind w:left="171" w:hangingChars="171" w:hanging="171"/>
      </w:pPr>
      <w:r>
        <w:rPr>
          <w:b/>
        </w:rPr>
        <w:t>4.</w:t>
      </w:r>
      <w:r>
        <w:t xml:space="preserve"> </w:t>
      </w:r>
      <w:r>
        <w:rPr>
          <w:b/>
        </w:rPr>
        <w:t>PGE</w:t>
      </w:r>
      <w:r w:rsidR="001852F3">
        <w:t xml:space="preserve"> 及其受体对肝脏功能的调节</w:t>
      </w:r>
    </w:p>
    <w:p w:rsidR="0018722C">
      <w:pPr>
        <w:pStyle w:val="Heading3"/>
        <w:topLinePunct/>
        <w:ind w:left="200" w:hangingChars="200" w:hanging="200"/>
      </w:pPr>
      <w:r>
        <w:rPr>
          <w:b/>
        </w:rPr>
        <w:t>4.1</w:t>
      </w:r>
      <w:r>
        <w:t xml:space="preserve"> </w:t>
      </w:r>
      <w:r>
        <w:t>对肝脏生理的调节</w:t>
      </w:r>
    </w:p>
    <w:p w:rsidR="0018722C">
      <w:pPr>
        <w:topLinePunct/>
      </w:pPr>
      <w:r>
        <w:t>PG</w:t>
      </w:r>
      <w:r/>
      <w:r w:rsidR="001852F3">
        <w:t xml:space="preserve">合成的限速酶是</w:t>
      </w:r>
      <w:r>
        <w:t>COX</w:t>
      </w:r>
      <w:r>
        <w:t xml:space="preserve">, </w:t>
      </w:r>
      <w:r>
        <w:t>COX</w:t>
      </w:r>
      <w:r/>
      <w:r w:rsidR="001852F3">
        <w:t xml:space="preserve">可催化花生四烯酸</w:t>
      </w:r>
      <w:r>
        <w:t>（</w:t>
      </w:r>
      <w:r w:rsidR="001852F3">
        <w:t xml:space="preserve">arachidonic acid</w:t>
      </w:r>
      <w:r>
        <w:t xml:space="preserve">,</w:t>
      </w:r>
      <w:r>
        <w:t xml:space="preserve"> AA</w:t>
      </w:r>
      <w:r>
        <w:t>）</w:t>
      </w:r>
      <w:r>
        <w:t>转化为稳定性较差的</w:t>
      </w:r>
      <w:r>
        <w:t>PGH2</w:t>
      </w:r>
      <w:r>
        <w:t xml:space="preserve">; </w:t>
      </w:r>
      <w:r>
        <w:t>PGH2</w:t>
      </w:r>
      <w:r/>
      <w:r w:rsidR="001852F3">
        <w:t xml:space="preserve">在特定的组织和细胞中依靠特异</w:t>
      </w:r>
      <w:r w:rsidR="001852F3">
        <w:t>性</w:t>
      </w:r>
    </w:p>
    <w:p w:rsidR="0018722C">
      <w:pPr>
        <w:topLinePunct/>
      </w:pPr>
      <w:r>
        <w:t>较高的</w:t>
      </w:r>
      <w:r>
        <w:t>PG</w:t>
      </w:r>
      <w:r/>
      <w:r w:rsidR="001852F3">
        <w:t xml:space="preserve">合酶合成一系列的</w:t>
      </w:r>
      <w:r>
        <w:t>PG；PG</w:t>
      </w:r>
      <w:r/>
      <w:r w:rsidR="001852F3">
        <w:t xml:space="preserve">具有多种生物学功能，在体内广泛分</w:t>
      </w:r>
      <w:r>
        <w:t>布，不同类型的</w:t>
      </w:r>
      <w:r>
        <w:t>PG</w:t>
      </w:r>
      <w:r/>
      <w:r w:rsidR="001852F3">
        <w:t xml:space="preserve">在组织细胞中发挥不同的生物学功能。其中</w:t>
      </w:r>
      <w:r>
        <w:t>PGE</w:t>
      </w:r>
      <w:r/>
      <w:r w:rsidR="001852F3">
        <w:t xml:space="preserve">在</w:t>
      </w:r>
      <w:r w:rsidR="001852F3">
        <w:t>肝</w:t>
      </w:r>
    </w:p>
    <w:p w:rsidR="0018722C">
      <w:pPr>
        <w:topLinePunct/>
      </w:pPr>
      <w:r>
        <w:rPr>
          <w:rFonts w:cstheme="minorBidi" w:hAnsiTheme="minorHAnsi" w:eastAsiaTheme="minorHAnsi" w:asciiTheme="minorHAnsi"/>
        </w:rPr>
        <w:t>34</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affff1"/>
        <w:topLinePunct/>
      </w:pPr>
      <w:r>
        <w:t>脏生理机能的调节过程中发挥着重要作用，主要包括如下几点：</w:t>
      </w:r>
    </w:p>
    <w:p w:rsidR="0018722C">
      <w:pPr>
        <w:topLinePunct/>
      </w:pPr>
      <w:r>
        <w:t>改善肝血流：PGE</w:t>
      </w:r>
      <w:r w:rsidR="001852F3">
        <w:t xml:space="preserve">类物质可通过松弛血管平滑肌发挥的舒血管作用来调节全身血液循环，从而改善肝血流。</w:t>
      </w:r>
    </w:p>
    <w:p w:rsidR="0018722C">
      <w:pPr>
        <w:topLinePunct/>
      </w:pPr>
      <w:r>
        <w:t>促进肝再生：在部分肝切除的组织中，PGE</w:t>
      </w:r>
      <w:r w:rsidR="001852F3">
        <w:t>能通过降低透明质酸酶和丙氨酸转氨酶的表达水平来促进肝细胞的再生</w:t>
      </w:r>
      <w:r>
        <w:rPr>
          <w:vertAlign w:val="superscript"/>
        </w:rPr>
        <w:t>[</w:t>
      </w:r>
      <w:r>
        <w:rPr>
          <w:vertAlign w:val="superscript"/>
        </w:rPr>
        <w:t xml:space="preserve">79</w:t>
      </w:r>
      <w:r>
        <w:rPr>
          <w:vertAlign w:val="superscript"/>
        </w:rPr>
        <w:t>]</w:t>
      </w:r>
      <w:r>
        <w:t>。而且肝内合成的</w:t>
      </w:r>
      <w:r/>
      <w:r>
        <w:t>PGE2</w:t>
      </w:r>
      <w:r w:rsidR="001852F3">
        <w:t xml:space="preserve">能刺激邻近肝细胞的再生和肝细胞中</w:t>
      </w:r>
      <w:r/>
      <w:r>
        <w:t>DNA</w:t>
      </w:r>
      <w:r/>
      <w:r>
        <w:t>的合成。</w:t>
      </w:r>
    </w:p>
    <w:p w:rsidR="0018722C">
      <w:pPr>
        <w:pStyle w:val="Heading3"/>
        <w:topLinePunct/>
        <w:ind w:left="200" w:hangingChars="200" w:hanging="200"/>
      </w:pPr>
      <w:r>
        <w:rPr>
          <w:b/>
        </w:rPr>
        <w:t>4.2</w:t>
      </w:r>
      <w:r>
        <w:t xml:space="preserve"> </w:t>
      </w:r>
      <w:r>
        <w:t>在肝脏病理生理中的作用</w:t>
      </w:r>
    </w:p>
    <w:p w:rsidR="0018722C">
      <w:pPr>
        <w:topLinePunct/>
      </w:pPr>
      <w:r>
        <w:t>不同种类的肝脏疾病中，PGE</w:t>
      </w:r>
      <w:r/>
      <w:r w:rsidR="001852F3">
        <w:t xml:space="preserve">类物质可发挥保护肝细胞、抑制肝纤维化、阻止肝细胞坏死、调节免疫病理反应、改善局部微循环等作用。目前认为，PGE</w:t>
      </w:r>
      <w:r w:rsidR="001852F3">
        <w:t xml:space="preserve">对肝损伤的这种保护作用主要与下列因素有关：</w:t>
      </w:r>
    </w:p>
    <w:p w:rsidR="0018722C">
      <w:pPr>
        <w:topLinePunct/>
      </w:pPr>
      <w:r>
        <w:t>（</w:t>
      </w:r>
      <w:r>
        <w:t>1</w:t>
      </w:r>
      <w:r>
        <w:t>）</w:t>
      </w:r>
      <w:r>
        <w:t>PGE</w:t>
      </w:r>
      <w:r/>
      <w:r w:rsidR="001852F3">
        <w:t xml:space="preserve">可通过改善肝细胞膜的流动性来抵抗各种致病因子对肝细胞</w:t>
      </w:r>
      <w:r>
        <w:t>的损伤。</w:t>
      </w:r>
      <w:r>
        <w:t>（</w:t>
      </w:r>
      <w:r>
        <w:t>2</w:t>
      </w:r>
      <w:r>
        <w:t>）</w:t>
      </w:r>
      <w:r>
        <w:t>PGE</w:t>
      </w:r>
      <w:r/>
      <w:r w:rsidR="001852F3">
        <w:t xml:space="preserve">可通过与肝细胞膜上特异受体结合，激活下游信号腺苷</w:t>
      </w:r>
      <w:r>
        <w:t>酸环化酶，引起肝细胞内</w:t>
      </w:r>
      <w:r>
        <w:t>cAMP</w:t>
      </w:r>
      <w:r/>
      <w:r w:rsidR="001852F3">
        <w:t xml:space="preserve">含量增多，</w:t>
      </w:r>
      <w:r>
        <w:t>cAMP</w:t>
      </w:r>
      <w:r/>
      <w:r w:rsidR="001852F3">
        <w:t xml:space="preserve">含量的增加可发挥抑制磷酸酯酶活性的作用，保护溶酶体膜及肝细胞膜的作用，防止肝细胞破坏。</w:t>
      </w:r>
    </w:p>
    <w:p w:rsidR="0018722C">
      <w:pPr>
        <w:topLinePunct/>
      </w:pPr>
      <w:r>
        <w:t>PGE2</w:t>
      </w:r>
      <w:r/>
      <w:r w:rsidR="001852F3">
        <w:t xml:space="preserve">的表达量随着</w:t>
      </w:r>
      <w:r>
        <w:t>COX-2</w:t>
      </w:r>
      <w:r/>
      <w:r w:rsidR="001852F3">
        <w:t xml:space="preserve">的表达水平的升高而升高</w:t>
      </w:r>
      <w:r>
        <w:rPr>
          <w:vertAlign w:val="superscript"/>
        </w:rPr>
        <w:t>[</w:t>
      </w:r>
      <w:r>
        <w:rPr>
          <w:color w:val="080000"/>
          <w:vertAlign w:val="superscript"/>
          <w:position w:val="8"/>
        </w:rPr>
        <w:t xml:space="preserve">80</w:t>
      </w:r>
      <w:r>
        <w:rPr>
          <w:vertAlign w:val="superscript"/>
        </w:rPr>
        <w:t>]</w:t>
      </w:r>
      <w:r>
        <w:t>。体外实验证明，PGE2</w:t>
      </w:r>
      <w:r/>
      <w:r w:rsidR="001852F3">
        <w:t xml:space="preserve">能逆转</w:t>
      </w:r>
      <w:r>
        <w:t>COX-2</w:t>
      </w:r>
      <w:r/>
      <w:r w:rsidR="001852F3">
        <w:t xml:space="preserve">抑制剂的抗肿瘤作用</w:t>
      </w:r>
      <w:r>
        <w:rPr>
          <w:vertAlign w:val="superscript"/>
        </w:rPr>
        <w:t>[</w:t>
      </w:r>
      <w:r>
        <w:rPr>
          <w:color w:val="080000"/>
          <w:vertAlign w:val="superscript"/>
          <w:position w:val="8"/>
        </w:rPr>
        <w:t xml:space="preserve">81</w:t>
      </w:r>
      <w:r>
        <w:rPr>
          <w:vertAlign w:val="superscript"/>
        </w:rPr>
        <w:t>]</w:t>
      </w:r>
      <w:r>
        <w:t>。Hag</w:t>
      </w:r>
      <w:r/>
      <w:r w:rsidR="001852F3">
        <w:t xml:space="preserve">等</w:t>
      </w:r>
      <w:r>
        <w:t>[</w:t>
      </w:r>
      <w:r>
        <w:rPr>
          <w:color w:val="080000"/>
          <w:position w:val="8"/>
          <w:sz w:val="18"/>
        </w:rPr>
        <w:t xml:space="preserve">49</w:t>
      </w:r>
      <w:r>
        <w:t>]</w:t>
      </w:r>
      <w:r>
        <w:t>也发现</w:t>
      </w:r>
      <w:r>
        <w:t>，</w:t>
      </w:r>
    </w:p>
    <w:p w:rsidR="0018722C">
      <w:pPr>
        <w:topLinePunct/>
      </w:pPr>
      <w:r>
        <w:t>PGE2</w:t>
      </w:r>
      <w:r/>
      <w:r w:rsidR="001852F3">
        <w:t xml:space="preserve">能逆转鱼油制成的乳剂对</w:t>
      </w:r>
      <w:r>
        <w:t>HCC</w:t>
      </w:r>
      <w:r/>
      <w:r w:rsidR="001852F3">
        <w:t xml:space="preserve">的抗侵袭性作用。</w:t>
      </w:r>
      <w:r>
        <w:t>PGE</w:t>
      </w:r>
      <w:r/>
      <w:r w:rsidR="001852F3">
        <w:t xml:space="preserve">类物质还在治疗肝硬化、重型肝炎和肝肾综合症等疾病的试验中获得了良好的效果</w:t>
      </w:r>
      <w:r>
        <w:rPr>
          <w:vertAlign w:val="superscript"/>
        </w:rPr>
        <w:t>[</w:t>
      </w:r>
      <w:r>
        <w:rPr>
          <w:vertAlign w:val="superscript"/>
        </w:rPr>
        <w:t xml:space="preserve">82</w:t>
      </w:r>
      <w:r>
        <w:rPr>
          <w:vertAlign w:val="superscript"/>
        </w:rPr>
        <w:t>]</w:t>
      </w:r>
      <w:r>
        <w:t>。</w:t>
      </w:r>
    </w:p>
    <w:p w:rsidR="0018722C">
      <w:pPr>
        <w:pStyle w:val="Heading2"/>
        <w:topLinePunct/>
        <w:ind w:left="171" w:hangingChars="171" w:hanging="171"/>
      </w:pPr>
      <w:r>
        <w:rPr>
          <w:b/>
        </w:rPr>
        <w:t>4.</w:t>
      </w:r>
      <w:r>
        <w:t xml:space="preserve"> </w:t>
      </w:r>
      <w:r>
        <w:rPr>
          <w:b/>
        </w:rPr>
        <w:t>EP</w:t>
      </w:r>
      <w:r w:rsidR="001852F3">
        <w:t xml:space="preserve">与</w:t>
      </w:r>
      <w:r>
        <w:rPr>
          <w:b/>
        </w:rPr>
        <w:t>HCC</w:t>
      </w:r>
      <w:r w:rsidR="001852F3">
        <w:t xml:space="preserve">的关系。</w:t>
      </w:r>
    </w:p>
    <w:p w:rsidR="0018722C">
      <w:pPr>
        <w:topLinePunct/>
      </w:pPr>
      <w:r>
        <w:t>在细胞的膜表面有四种前列腺素受体</w:t>
      </w:r>
      <w:r>
        <w:t>（</w:t>
      </w:r>
      <w:r>
        <w:t>EP</w:t>
      </w:r>
      <w:r>
        <w:rPr>
          <w:position w:val="-3"/>
          <w:sz w:val="18"/>
        </w:rPr>
        <w:t>1-4</w:t>
      </w:r>
      <w:r>
        <w:t>）</w:t>
      </w:r>
      <w:r>
        <w:t>亚型，这四种亚型分别分布于机体不同的细胞和组织中，通过与特定</w:t>
      </w:r>
      <w:r/>
      <w:r>
        <w:t>G</w:t>
      </w:r>
      <w:r/>
      <w:r>
        <w:t>蛋白偶联而传导多种不同生物学信号，从而产生多种不同的生物学反应。EP</w:t>
      </w:r>
      <w:r>
        <w:t>1</w:t>
      </w:r>
      <w:r/>
      <w:r>
        <w:t>可通过与</w:t>
      </w:r>
      <w:r/>
      <w:r>
        <w:t>Gq</w:t>
      </w:r>
      <w:r/>
      <w:r>
        <w:t>偶联而激发活化细胞内</w:t>
      </w:r>
      <w:r w:rsidR="001852F3">
        <w:t>Ca</w:t>
      </w:r>
      <w:r>
        <w:t>2+</w:t>
      </w:r>
      <w:r>
        <w:t>以及</w:t>
      </w:r>
      <w:r/>
      <w:r>
        <w:t>PLC</w:t>
      </w:r>
      <w:r/>
      <w:r>
        <w:t>通路，从而激活蛋白激酶</w:t>
      </w:r>
      <w:r w:rsidR="001852F3">
        <w:t>C</w:t>
      </w:r>
      <w:r>
        <w:t>（</w:t>
      </w:r>
      <w:r w:rsidR="001852F3">
        <w:t>protein kinase</w:t>
      </w:r>
      <w:r>
        <w:t> </w:t>
      </w:r>
      <w:r>
        <w:t xml:space="preserve">C,</w:t>
      </w:r>
      <w:r w:rsidR="001852F3">
        <w:t xml:space="preserve"> </w:t>
      </w:r>
      <w:r w:rsidR="001852F3">
        <w:t xml:space="preserve">PKC</w:t>
      </w:r>
      <w:r>
        <w:t>）</w:t>
      </w:r>
      <w:r>
        <w:t>的信号通路反应；</w:t>
      </w:r>
      <w:r/>
      <w:r>
        <w:t>而</w:t>
      </w:r>
      <w:r/>
      <w:r>
        <w:t>EP</w:t>
      </w:r>
      <w:r>
        <w:t>4</w:t>
      </w:r>
      <w:r/>
      <w:r>
        <w:t>和</w:t>
      </w:r>
      <w:r/>
      <w:r>
        <w:t>EP</w:t>
      </w:r>
      <w:r>
        <w:t>2</w:t>
      </w:r>
      <w:r/>
      <w:r>
        <w:t>则可与</w:t>
      </w:r>
      <w:r/>
      <w:r>
        <w:t>Gs</w:t>
      </w:r>
      <w:r/>
      <w:r>
        <w:t>偶联，通过增加组织细胞内</w:t>
      </w:r>
      <w:r/>
      <w:r>
        <w:t>cAMP</w:t>
      </w:r>
      <w:r/>
      <w:r>
        <w:t>的蓄积水平，激活蛋白激酶</w:t>
      </w:r>
      <w:r/>
      <w:r>
        <w:t>A</w:t>
      </w:r>
      <w:r>
        <w:t>（</w:t>
      </w:r>
      <w:r>
        <w:t>protein</w:t>
      </w:r>
      <w:r>
        <w:rPr>
          <w:spacing w:val="-32"/>
        </w:rPr>
        <w:t> </w:t>
      </w:r>
      <w:r>
        <w:t>kinase</w:t>
      </w:r>
      <w:r>
        <w:rPr>
          <w:spacing w:val="-32"/>
        </w:rPr>
        <w:t> </w:t>
      </w:r>
      <w:r>
        <w:t>A,</w:t>
      </w:r>
      <w:r>
        <w:rPr>
          <w:spacing w:val="-32"/>
        </w:rPr>
        <w:t> </w:t>
      </w:r>
      <w:r>
        <w:t>PKA</w:t>
      </w:r>
      <w:r>
        <w:t>）</w:t>
      </w:r>
      <w:r w:rsidR="001852F3">
        <w:t xml:space="preserve">通路，EP</w:t>
      </w:r>
      <w:r>
        <w:t>3</w:t>
      </w:r>
      <w:r/>
      <w:r>
        <w:t>则可通过与</w:t>
      </w:r>
      <w:r/>
      <w:r>
        <w:t>Gi、Gs</w:t>
      </w:r>
      <w:r/>
      <w:r>
        <w:t>和</w:t>
      </w:r>
      <w:r/>
      <w:r>
        <w:t>Gq</w:t>
      </w:r>
      <w:r/>
      <w:r>
        <w:t>等偶联反应，导致组织细胞内</w:t>
      </w:r>
      <w:r/>
      <w:r>
        <w:t>cAMP</w:t>
      </w:r>
      <w:r>
        <w:t> </w:t>
      </w:r>
      <w:r>
        <w:t>和</w:t>
      </w:r>
    </w:p>
    <w:p w:rsidR="0018722C">
      <w:pPr>
        <w:topLinePunct/>
      </w:pPr>
      <w:r>
        <w:rPr>
          <w:rFonts w:cstheme="minorBidi" w:hAnsiTheme="minorHAnsi" w:eastAsiaTheme="minorHAnsi" w:asciiTheme="minorHAnsi"/>
        </w:rPr>
        <w:t>35</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topLinePunct/>
      </w:pPr>
      <w:r>
        <w:t>Ca</w:t>
      </w:r>
      <w:r>
        <w:t>2+</w:t>
      </w:r>
      <w:r>
        <w:t>水平升高。在</w:t>
      </w:r>
      <w:r w:rsidR="001852F3">
        <w:t xml:space="preserve">HCC</w:t>
      </w:r>
      <w:r w:rsidR="001852F3">
        <w:t xml:space="preserve">中，目前研究较多的是</w:t>
      </w:r>
      <w:r w:rsidR="001852F3">
        <w:t xml:space="preserve">EP1</w:t>
      </w:r>
      <w:r w:rsidR="001852F3">
        <w:t xml:space="preserve">和</w:t>
      </w:r>
      <w:r w:rsidR="001852F3">
        <w:t xml:space="preserve">EP3。</w:t>
      </w:r>
    </w:p>
    <w:p w:rsidR="0018722C">
      <w:pPr>
        <w:pStyle w:val="Heading3"/>
        <w:topLinePunct/>
        <w:ind w:left="200" w:hangingChars="200" w:hanging="200"/>
      </w:pPr>
      <w:r>
        <w:rPr>
          <w:b/>
        </w:rPr>
        <w:t>4.1</w:t>
      </w:r>
      <w:r>
        <w:t xml:space="preserve"> </w:t>
      </w:r>
      <w:r>
        <w:rPr>
          <w:b/>
        </w:rPr>
        <w:t>EP1</w:t>
      </w:r>
      <w:r w:rsidR="001852F3">
        <w:t xml:space="preserve">与</w:t>
      </w:r>
      <w:r>
        <w:rPr>
          <w:b/>
        </w:rPr>
        <w:t>HCC</w:t>
      </w:r>
      <w:r w:rsidR="001852F3">
        <w:t xml:space="preserve">的关系</w:t>
      </w:r>
    </w:p>
    <w:p w:rsidR="0018722C">
      <w:pPr>
        <w:topLinePunct/>
      </w:pPr>
      <w:r>
        <w:t>研究发现在人的</w:t>
      </w:r>
      <w:r/>
      <w:r>
        <w:t>HCC</w:t>
      </w:r>
      <w:r/>
      <w:r>
        <w:t>细胞株</w:t>
      </w:r>
      <w:r>
        <w:t>（</w:t>
      </w:r>
      <w:r w:rsidR="001852F3">
        <w:t>Huh7,</w:t>
      </w:r>
      <w:r w:rsidRPr="00000000">
        <w:tab/>
        <w:t>Hep3B</w:t>
      </w:r>
      <w:r w:rsidR="004B696B">
        <w:t>,</w:t>
      </w:r>
      <w:r w:rsidRPr="00000000">
        <w:tab/>
        <w:t>HepG2</w:t>
      </w:r>
      <w:r>
        <w:t>）</w:t>
      </w:r>
      <w:r>
        <w:t>中</w:t>
      </w:r>
      <w:r/>
      <w:r>
        <w:t>EP</w:t>
      </w:r>
      <w:r>
        <w:t>1</w:t>
      </w:r>
      <w:r/>
      <w:r>
        <w:t>受体的</w:t>
      </w:r>
    </w:p>
    <w:p w:rsidR="0018722C">
      <w:pPr>
        <w:topLinePunct/>
      </w:pPr>
      <w:r>
        <w:t>mRNA</w:t>
      </w:r>
      <w:r/>
      <w:r>
        <w:t>和蛋白质表达最为丰富</w:t>
      </w:r>
      <w:r>
        <w:rPr>
          <w:vertAlign w:val="superscript"/>
        </w:rPr>
        <w:t>[</w:t>
      </w:r>
      <w:r>
        <w:rPr>
          <w:vertAlign w:val="superscript"/>
        </w:rPr>
        <w:t xml:space="preserve">18</w:t>
      </w:r>
      <w:r>
        <w:rPr>
          <w:vertAlign w:val="superscript"/>
        </w:rPr>
        <w:t>]</w:t>
      </w:r>
      <w:r>
        <w:t>，并且</w:t>
      </w:r>
      <w:r/>
      <w:r>
        <w:t>Marco</w:t>
      </w:r>
      <w:r w:rsidR="001852F3">
        <w:t>等研究发现</w:t>
      </w:r>
      <w:r>
        <w:rPr>
          <w:vertAlign w:val="superscript"/>
        </w:rPr>
        <w:t>[</w:t>
      </w:r>
      <w:r>
        <w:rPr>
          <w:vertAlign w:val="superscript"/>
        </w:rPr>
        <w:t xml:space="preserve">19</w:t>
      </w:r>
      <w:r>
        <w:rPr>
          <w:vertAlign w:val="superscript"/>
        </w:rPr>
        <w:t>]</w:t>
      </w:r>
      <w:r>
        <w:t>，选择性</w:t>
      </w:r>
      <w:r/>
      <w:r>
        <w:t>EP</w:t>
      </w:r>
      <w:r>
        <w:t>3</w:t>
      </w:r>
      <w:r>
        <w:t>拮抗剂和选择性</w:t>
      </w:r>
      <w:r/>
      <w:r>
        <w:t>EP</w:t>
      </w:r>
      <w:r>
        <w:t>1</w:t>
      </w:r>
      <w:r/>
      <w:r>
        <w:t>拮抗剂与</w:t>
      </w:r>
      <w:r/>
      <w:r>
        <w:t>COX-2</w:t>
      </w:r>
      <w:r/>
      <w:r>
        <w:t>抑制剂的抑癌作用相近，明显减少肿瘤细胞的活性，诱导肿瘤细胞调亡，而</w:t>
      </w:r>
      <w:r/>
      <w:r>
        <w:t>EP</w:t>
      </w:r>
      <w:r>
        <w:t>4</w:t>
      </w:r>
      <w:r/>
      <w:r>
        <w:t>拮抗剂和</w:t>
      </w:r>
      <w:r/>
      <w:r>
        <w:t>EP</w:t>
      </w:r>
      <w:r>
        <w:t>2</w:t>
      </w:r>
      <w:r/>
      <w:r>
        <w:t>拮抗剂对</w:t>
      </w:r>
      <w:r/>
      <w:r>
        <w:t>HCC</w:t>
      </w:r>
      <w:r/>
      <w:r>
        <w:t>细胞活性的影响甚微</w:t>
      </w:r>
      <w:r>
        <w:rPr>
          <w:vertAlign w:val="superscript"/>
        </w:rPr>
        <w:t>[</w:t>
      </w:r>
      <w:r>
        <w:rPr>
          <w:vertAlign w:val="superscript"/>
        </w:rPr>
        <w:t xml:space="preserve">19</w:t>
      </w:r>
      <w:r>
        <w:rPr>
          <w:vertAlign w:val="superscript"/>
        </w:rPr>
        <w:t>]</w:t>
      </w:r>
      <w:r>
        <w:t>。Han</w:t>
      </w:r>
      <w:r/>
      <w:r>
        <w:t>等</w:t>
      </w:r>
      <w:r>
        <w:t>[</w:t>
      </w:r>
      <w:r>
        <w:t xml:space="preserve">31</w:t>
      </w:r>
      <w:r>
        <w:t>]</w:t>
      </w:r>
      <w:r>
        <w:t>研究发现，EP</w:t>
      </w:r>
      <w:r>
        <w:t>1</w:t>
      </w:r>
      <w:r/>
      <w:r>
        <w:t>可通过</w:t>
      </w:r>
      <w:r/>
      <w:r>
        <w:t>HCC</w:t>
      </w:r>
      <w:r/>
      <w:r>
        <w:t>中的原癌基因Src</w:t>
      </w:r>
      <w:r/>
      <w:r>
        <w:t>与表皮生长因子受体</w:t>
      </w:r>
      <w:r>
        <w:t>(</w:t>
      </w:r>
      <w:r>
        <w:t>Epidemal</w:t>
      </w:r>
      <w:r>
        <w:t> </w:t>
      </w:r>
      <w:r>
        <w:t>growth</w:t>
      </w:r>
      <w:r>
        <w:t> </w:t>
      </w:r>
      <w:r>
        <w:t>factor</w:t>
      </w:r>
      <w:r>
        <w:t> </w:t>
      </w:r>
      <w:r>
        <w:t>receptor,</w:t>
      </w:r>
      <w:r>
        <w:t> </w:t>
      </w:r>
      <w:r>
        <w:t>EGFR</w:t>
      </w:r>
      <w:r>
        <w:t>)</w:t>
      </w:r>
      <w:r>
        <w:t>之间相互激活。选择性</w:t>
      </w:r>
      <w:r/>
      <w:r>
        <w:t>EP</w:t>
      </w:r>
      <w:r>
        <w:t>1</w:t>
      </w:r>
      <w:r/>
      <w:r>
        <w:t>激动剂能通过促进</w:t>
      </w:r>
      <w:r/>
      <w:r>
        <w:t>EGFR</w:t>
      </w:r>
      <w:r/>
      <w:r>
        <w:t>磷酸化来达到增强肿瘤细胞侵袭性的目的，并且两种</w:t>
      </w:r>
      <w:r/>
      <w:r>
        <w:t>EGFR</w:t>
      </w:r>
      <w:r/>
      <w:r>
        <w:t>酪氨酸激酶抑制剂和</w:t>
      </w:r>
      <w:r/>
      <w:r>
        <w:t>EP</w:t>
      </w:r>
      <w:r>
        <w:t>1</w:t>
      </w:r>
      <w:r/>
      <w:r>
        <w:t>拮抗剂均能通过抑</w:t>
      </w:r>
      <w:r>
        <w:t>制</w:t>
      </w:r>
    </w:p>
    <w:p w:rsidR="0018722C">
      <w:pPr>
        <w:topLinePunct/>
      </w:pPr>
      <w:r>
        <w:t>PGE2</w:t>
      </w:r>
      <w:r/>
      <w:r>
        <w:t>诱导的</w:t>
      </w:r>
      <w:r/>
      <w:r>
        <w:t>EGFR</w:t>
      </w:r>
      <w:r/>
      <w:r>
        <w:t>磷酸化而达到抑制肿瘤细胞侵袭性的目的。Kawamori</w:t>
      </w:r>
      <w:r/>
      <w:r>
        <w:t>等</w:t>
      </w:r>
      <w:r>
        <w:rPr>
          <w:vertAlign w:val="superscript"/>
        </w:rPr>
        <w:t>[</w:t>
      </w:r>
      <w:r>
        <w:rPr>
          <w:color w:val="080000"/>
          <w:vertAlign w:val="superscript"/>
          <w:position w:val="8"/>
        </w:rPr>
        <w:t xml:space="preserve">48</w:t>
      </w:r>
      <w:r>
        <w:rPr>
          <w:vertAlign w:val="superscript"/>
        </w:rPr>
        <w:t>]</w:t>
      </w:r>
      <w:r>
        <w:t>的研究也证明了选择性</w:t>
      </w:r>
      <w:r/>
      <w:r>
        <w:t>EP</w:t>
      </w:r>
      <w:r>
        <w:t>1</w:t>
      </w:r>
      <w:r/>
      <w:r>
        <w:t>受体拮抗剂能通过诱导大鼠乳腺肿瘤细胞的调亡而产生抗肿瘤的作用；EP</w:t>
      </w:r>
      <w:r>
        <w:t>1</w:t>
      </w:r>
      <w:r>
        <w:t>受体缺陷的小鼠结直肠癌的发病率显著低于野生型小鼠</w:t>
      </w:r>
      <w:r>
        <w:rPr>
          <w:vertAlign w:val="superscript"/>
        </w:rPr>
        <w:t>[</w:t>
      </w:r>
      <w:r>
        <w:rPr>
          <w:color w:val="080000"/>
          <w:vertAlign w:val="superscript"/>
          <w:position w:val="8"/>
        </w:rPr>
        <w:t xml:space="preserve">49</w:t>
      </w:r>
      <w:r>
        <w:rPr>
          <w:vertAlign w:val="superscript"/>
        </w:rPr>
        <w:t>]</w:t>
      </w:r>
      <w:r>
        <w:t>。Niho</w:t>
      </w:r>
      <w:r/>
      <w:r>
        <w:t>等</w:t>
      </w:r>
      <w:r>
        <w:t>[</w:t>
      </w:r>
      <w:r>
        <w:rPr>
          <w:color w:val="080000"/>
          <w:position w:val="8"/>
          <w:sz w:val="18"/>
        </w:rPr>
        <w:t xml:space="preserve">83</w:t>
      </w:r>
      <w:r>
        <w:t>]</w:t>
      </w:r>
      <w:r>
        <w:t>的研究也证实，EP</w:t>
      </w:r>
      <w:r>
        <w:t>1</w:t>
      </w:r>
      <w:r/>
      <w:r>
        <w:t>拮抗剂可拮抗氧化偶氮甲烷诱导的结肠癌的发生与发展。综上所述，EP</w:t>
      </w:r>
      <w:r>
        <w:t>1</w:t>
      </w:r>
      <w:r/>
      <w:r>
        <w:t>拮抗剂与肿瘤的发生、发展密切相关，提示</w:t>
      </w:r>
      <w:r/>
      <w:r>
        <w:t>EP</w:t>
      </w:r>
      <w:r>
        <w:t>1</w:t>
      </w:r>
      <w:r/>
      <w:r>
        <w:t>拮抗剂有可能成为下一代的抗肿瘤化学治疗药物。</w:t>
      </w:r>
    </w:p>
    <w:p w:rsidR="0018722C">
      <w:pPr>
        <w:pStyle w:val="Heading3"/>
        <w:topLinePunct/>
        <w:ind w:left="200" w:hangingChars="200" w:hanging="200"/>
      </w:pPr>
      <w:r>
        <w:rPr>
          <w:b/>
        </w:rPr>
        <w:t>4.2</w:t>
      </w:r>
      <w:r>
        <w:t xml:space="preserve"> </w:t>
      </w:r>
      <w:r>
        <w:rPr>
          <w:b/>
        </w:rPr>
        <w:t>EP</w:t>
      </w:r>
      <w:r>
        <w:rPr>
          <w:b/>
        </w:rPr>
        <w:t>3</w:t>
      </w:r>
      <w:r>
        <w:t>与</w:t>
      </w:r>
      <w:r>
        <w:rPr>
          <w:b/>
        </w:rPr>
        <w:t>HCC</w:t>
      </w:r>
      <w:r w:rsidR="001852F3">
        <w:t xml:space="preserve">的关系</w:t>
      </w:r>
    </w:p>
    <w:p w:rsidR="0018722C">
      <w:pPr>
        <w:topLinePunct/>
      </w:pPr>
      <w:r>
        <w:t>在组织细胞中</w:t>
      </w:r>
      <w:r/>
      <w:r>
        <w:t>EP</w:t>
      </w:r>
      <w:r>
        <w:t>3</w:t>
      </w:r>
      <w:r/>
      <w:r>
        <w:t>有八种亚型，这八种亚型唯一不同的是尾部的氨基酸序列。目前，关于</w:t>
      </w:r>
      <w:r/>
      <w:r>
        <w:t>EP</w:t>
      </w:r>
      <w:r>
        <w:t>3</w:t>
      </w:r>
      <w:r>
        <w:t>在肿瘤的发生发展中的作用还不确定。体内</w:t>
      </w:r>
      <w:r/>
      <w:r>
        <w:t>EP</w:t>
      </w:r>
      <w:r>
        <w:t>3</w:t>
      </w:r>
      <w:r/>
      <w:r>
        <w:t>的多种亚基有促进</w:t>
      </w:r>
      <w:r/>
      <w:r>
        <w:t>PGE2</w:t>
      </w:r>
      <w:r/>
      <w:r>
        <w:t>发挥促肿瘤的作用</w:t>
      </w:r>
      <w:r>
        <w:rPr>
          <w:vertAlign w:val="superscript"/>
        </w:rPr>
        <w:t>[</w:t>
      </w:r>
      <w:r>
        <w:rPr>
          <w:vertAlign w:val="superscript"/>
        </w:rPr>
        <w:t xml:space="preserve">84</w:t>
      </w:r>
      <w:r>
        <w:rPr>
          <w:vertAlign w:val="superscript"/>
        </w:rPr>
        <w:t>]</w:t>
      </w:r>
      <w:r>
        <w:t>。在对肺癌的研究过程中，学者发现</w:t>
      </w:r>
      <w:r/>
      <w:r>
        <w:t>EP</w:t>
      </w:r>
      <w:r>
        <w:t>3</w:t>
      </w:r>
      <w:r/>
      <w:r>
        <w:t>基因的激活有助于下游信号</w:t>
      </w:r>
      <w:r/>
      <w:r>
        <w:t>Src</w:t>
      </w:r>
      <w:r/>
      <w:r>
        <w:t>蛋白和</w:t>
      </w:r>
      <w:r/>
      <w:r>
        <w:t>Ras</w:t>
      </w:r>
      <w:r w:rsidR="001852F3">
        <w:t>蛋白的激活，促进细胞增殖的</w:t>
      </w:r>
      <w:r>
        <w:t>[</w:t>
      </w:r>
      <w:r>
        <w:t>85,</w:t>
      </w:r>
      <w:r>
        <w:t> </w:t>
      </w:r>
      <w:r>
        <w:t>86</w:t>
      </w:r>
      <w:r>
        <w:t>]</w:t>
      </w:r>
      <w:r>
        <w:t>。在进一步的研究发现，与野生型小鼠相比，EP</w:t>
      </w:r>
      <w:r>
        <w:t>3</w:t>
      </w:r>
      <w:r/>
      <w:r>
        <w:t>基因敲除的野生型小鼠患大肠癌的概率明显降低</w:t>
      </w:r>
      <w:r>
        <w:rPr>
          <w:vertAlign w:val="superscript"/>
        </w:rPr>
        <w:t>[</w:t>
      </w:r>
      <w:r>
        <w:rPr>
          <w:vertAlign w:val="superscript"/>
        </w:rPr>
        <w:t xml:space="preserve">87</w:t>
      </w:r>
      <w:r>
        <w:rPr>
          <w:vertAlign w:val="superscript"/>
        </w:rPr>
        <w:t>]</w:t>
      </w:r>
      <w:r>
        <w:t>。基质金属蛋白酶</w:t>
      </w:r>
      <w:r>
        <w:t>(</w:t>
      </w:r>
      <w:r>
        <w:t>matrix metalloproteinases,</w:t>
      </w:r>
      <w:r>
        <w:rPr>
          <w:spacing w:val="10"/>
        </w:rPr>
        <w:t> </w:t>
      </w:r>
      <w:r>
        <w:t>MMPs</w:t>
      </w:r>
      <w:r>
        <w:t>)</w:t>
      </w:r>
      <w:r>
        <w:t>可通过降解</w:t>
      </w:r>
      <w:r/>
      <w:r>
        <w:t>ECM</w:t>
      </w:r>
      <w:r/>
      <w:r>
        <w:t>中的各种胶原蛋白</w:t>
      </w:r>
      <w:r>
        <w:rPr>
          <w:rFonts w:hint="eastAsia"/>
        </w:rPr>
        <w:t>，</w:t>
      </w:r>
      <w:r>
        <w:t>为肿瘤细胞的侵袭扫清组织学屏障，因此</w:t>
      </w:r>
      <w:r/>
      <w:r>
        <w:t>MMPs</w:t>
      </w:r>
      <w:r/>
      <w:r>
        <w:t>在肿瘤的侵袭转移的过程中起发挥着重要作用，Gomez等</w:t>
      </w:r>
      <w:r>
        <w:t>[</w:t>
      </w:r>
      <w:r>
        <w:rPr>
          <w:color w:val="080000"/>
          <w:position w:val="8"/>
          <w:sz w:val="18"/>
        </w:rPr>
        <w:t xml:space="preserve">88</w:t>
      </w:r>
      <w:r>
        <w:t>]</w:t>
      </w:r>
      <w:r>
        <w:t>的研究发现，PGE2可通过与细胞膜上的</w:t>
      </w:r>
      <w:r/>
      <w:r>
        <w:t>EP</w:t>
      </w:r>
      <w:r>
        <w:t>3</w:t>
      </w:r>
      <w:r>
        <w:t>结合</w:t>
      </w:r>
      <w:r>
        <w:t>，</w:t>
      </w:r>
    </w:p>
    <w:p w:rsidR="0018722C">
      <w:pPr>
        <w:topLinePunct/>
      </w:pPr>
      <w:r>
        <w:rPr>
          <w:rFonts w:cstheme="minorBidi" w:hAnsiTheme="minorHAnsi" w:eastAsiaTheme="minorHAnsi" w:asciiTheme="minorHAnsi"/>
        </w:rPr>
        <w:t>36</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topLinePunct/>
      </w:pPr>
      <w:r>
        <w:t>促进</w:t>
      </w:r>
      <w:r w:rsidR="001852F3">
        <w:t xml:space="preserve">MMP-9</w:t>
      </w:r>
      <w:r w:rsidR="001852F3">
        <w:t xml:space="preserve">的分泌。已有体外实验表明，EP</w:t>
      </w:r>
      <w:r>
        <w:t>3</w:t>
      </w:r>
      <w:r>
        <w:t>拮抗剂可诱导</w:t>
      </w:r>
      <w:r w:rsidR="001852F3">
        <w:t xml:space="preserve">HCC</w:t>
      </w:r>
      <w:r w:rsidR="001852F3">
        <w:t xml:space="preserve">细胞的调</w:t>
      </w:r>
      <w:r>
        <w:t>亡</w:t>
      </w:r>
      <w:r>
        <w:rPr>
          <w:vertAlign w:val="superscript"/>
        </w:rPr>
        <w:t>[</w:t>
      </w:r>
      <w:r>
        <w:rPr>
          <w:vertAlign w:val="superscript"/>
        </w:rPr>
        <w:t xml:space="preserve">19</w:t>
      </w:r>
      <w:r>
        <w:rPr>
          <w:vertAlign w:val="superscript"/>
        </w:rPr>
        <w:t>]</w:t>
      </w:r>
      <w:r>
        <w:t>。</w:t>
      </w:r>
    </w:p>
    <w:p w:rsidR="0018722C">
      <w:pPr>
        <w:topLinePunct/>
      </w:pPr>
      <w:r>
        <w:rPr>
          <w:rFonts w:cstheme="minorBidi" w:hAnsiTheme="minorHAnsi" w:eastAsiaTheme="minorHAnsi" w:asciiTheme="minorHAnsi"/>
        </w:rPr>
        <w:t>37</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afff1"/>
        <w:topLinePunct/>
      </w:pPr>
      <w:bookmarkStart w:id="227991" w:name="_Toc686227991"/>
      <w:r>
        <w:t>参考文献</w:t>
      </w:r>
      <w:bookmarkEnd w:id="227991"/>
    </w:p>
    <w:p w:rsidR="0018722C">
      <w:pPr>
        <w:pStyle w:val="ab"/>
        <w:topLinePunct/>
        <w:ind w:left="200" w:hangingChars="200" w:hanging="200"/>
      </w:pPr>
      <w:r>
        <w:t>[</w:t>
      </w:r>
      <w:r>
        <w:t xml:space="preserve">1</w:t>
      </w:r>
      <w:r>
        <w:t>]</w:t>
      </w:r>
      <w:r w:rsidRPr="00281126">
        <w:t xml:space="preserve">  </w:t>
      </w:r>
      <w:r/>
      <w:r>
        <w:t>Torre L A, Bray F, Siegel R L, et al. Global cancer statistics, 2012</w:t>
      </w:r>
      <w:r>
        <w:t>[</w:t>
      </w:r>
      <w:r>
        <w:t>J</w:t>
      </w:r>
      <w:r>
        <w:t>]</w:t>
      </w:r>
      <w:r>
        <w:t xml:space="preserve">. CA: A Cancer Journal for Clinicians,</w:t>
      </w:r>
      <w:r>
        <w:t xml:space="preserve"> </w:t>
      </w:r>
      <w:r>
        <w:t>2015,</w:t>
      </w:r>
      <w:r>
        <w:t xml:space="preserve"> </w:t>
      </w:r>
      <w:r>
        <w:t>65</w:t>
      </w:r>
      <w:r>
        <w:t>(</w:t>
      </w:r>
      <w:r>
        <w:t>2</w:t>
      </w:r>
      <w:r>
        <w:t>)</w:t>
      </w:r>
      <w:r>
        <w:t xml:space="preserve">:</w:t>
      </w:r>
      <w:r>
        <w:t xml:space="preserve"> </w:t>
      </w:r>
      <w:r>
        <w:t>87-108.</w:t>
      </w:r>
    </w:p>
    <w:p w:rsidR="0018722C">
      <w:pPr>
        <w:pStyle w:val="ab"/>
        <w:topLinePunct/>
        <w:ind w:left="200" w:hangingChars="200" w:hanging="200"/>
      </w:pPr>
      <w:r>
        <w:t>[</w:t>
      </w:r>
      <w:r>
        <w:t xml:space="preserve">2</w:t>
      </w:r>
      <w:r>
        <w:t>]</w:t>
      </w:r>
      <w:r w:rsidRPr="00281126">
        <w:t xml:space="preserve">  </w:t>
      </w:r>
      <w:r/>
      <w:r>
        <w:t>Balkwill</w:t>
      </w:r>
      <w:r>
        <w:t> </w:t>
      </w:r>
      <w:r>
        <w:t>F,</w:t>
      </w:r>
      <w:r>
        <w:t> </w:t>
      </w:r>
      <w:r>
        <w:t>Mantovani</w:t>
      </w:r>
      <w:r>
        <w:t> </w:t>
      </w:r>
      <w:r>
        <w:t>A.</w:t>
      </w:r>
      <w:r>
        <w:t> </w:t>
      </w:r>
      <w:r>
        <w:t>Inflammation</w:t>
      </w:r>
      <w:r>
        <w:t> </w:t>
      </w:r>
      <w:r>
        <w:t>and</w:t>
      </w:r>
      <w:r>
        <w:t> </w:t>
      </w:r>
      <w:r>
        <w:t>cancer:</w:t>
      </w:r>
      <w:r>
        <w:t> </w:t>
      </w:r>
      <w:r>
        <w:t>back</w:t>
      </w:r>
      <w:r>
        <w:t> </w:t>
      </w:r>
      <w:r>
        <w:t>to</w:t>
      </w:r>
      <w:r>
        <w:t> </w:t>
      </w:r>
      <w:r>
        <w:t>Virchow</w:t>
      </w:r>
      <w:r/>
      <w:r>
        <w:t>[</w:t>
      </w:r>
      <w:r>
        <w:t>J</w:t>
      </w:r>
      <w:r>
        <w:t>]</w:t>
      </w:r>
      <w:r>
        <w:t>.</w:t>
      </w:r>
      <w:r>
        <w:t> </w:t>
      </w:r>
      <w:r>
        <w:t xml:space="preserve">Lancet,</w:t>
      </w:r>
      <w:r>
        <w:t xml:space="preserve"> </w:t>
      </w:r>
      <w:r>
        <w:t>2001,</w:t>
      </w:r>
      <w:r>
        <w:t xml:space="preserve"> </w:t>
      </w:r>
      <w:r>
        <w:t>357</w:t>
      </w:r>
      <w:r>
        <w:t>(</w:t>
      </w:r>
      <w:r>
        <w:t>9255</w:t>
      </w:r>
      <w:r>
        <w:t>)</w:t>
      </w:r>
      <w:r>
        <w:t xml:space="preserve">:</w:t>
      </w:r>
      <w:r>
        <w:t xml:space="preserve"> </w:t>
      </w:r>
      <w:r>
        <w:t>539-545.</w:t>
      </w:r>
    </w:p>
    <w:p w:rsidR="0018722C">
      <w:pPr>
        <w:pStyle w:val="ab"/>
        <w:topLinePunct/>
        <w:ind w:left="200" w:hangingChars="200" w:hanging="200"/>
      </w:pPr>
      <w:r>
        <w:t>[</w:t>
      </w:r>
      <w:r>
        <w:t xml:space="preserve">3</w:t>
      </w:r>
      <w:r>
        <w:t>]</w:t>
      </w:r>
      <w:r w:rsidRPr="00281126">
        <w:t xml:space="preserve">  </w:t>
      </w:r>
      <w:r/>
      <w:r>
        <w:t>Llorente-Izquierdo C, Mayoral R, Cucarella C, et al. Progression of liver oncogenesis in the double transgenic mice c-myc</w:t>
      </w:r>
      <w:r>
        <w:t>/</w:t>
      </w:r>
      <w:r>
        <w:t>TGF alpha is not enhanced by cyclooxygenase-2 expression</w:t>
      </w:r>
      <w:r>
        <w:t>[</w:t>
      </w:r>
      <w:r>
        <w:rPr>
          <w:sz w:val="20"/>
        </w:rPr>
        <w:t>J</w:t>
      </w:r>
      <w:r>
        <w:t>]</w:t>
      </w:r>
      <w:r>
        <w:t>. Prostaglandins Other Lipid</w:t>
      </w:r>
      <w:r>
        <w:t> </w:t>
      </w:r>
      <w:r>
        <w:t xml:space="preserve">Mediat,</w:t>
      </w:r>
      <w:r>
        <w:t xml:space="preserve"> </w:t>
      </w:r>
      <w:r>
        <w:t>2013,</w:t>
      </w:r>
      <w:r>
        <w:t xml:space="preserve"> </w:t>
      </w:r>
      <w:r>
        <w:t>106:</w:t>
      </w:r>
      <w:r>
        <w:t xml:space="preserve"> </w:t>
      </w:r>
      <w:r>
        <w:t>106-115.</w:t>
      </w:r>
    </w:p>
    <w:p w:rsidR="0018722C">
      <w:pPr>
        <w:pStyle w:val="ab"/>
        <w:topLinePunct/>
        <w:ind w:left="200" w:hangingChars="200" w:hanging="200"/>
      </w:pPr>
      <w:r>
        <w:t>[</w:t>
      </w:r>
      <w:r>
        <w:t xml:space="preserve">4</w:t>
      </w:r>
      <w:r>
        <w:t>]</w:t>
      </w:r>
      <w:r w:rsidRPr="00281126">
        <w:t xml:space="preserve">  </w:t>
      </w:r>
      <w:r/>
      <w:r>
        <w:t>Aggarwal B B, Shishodia S, Sandur S K, et al. Inflammation and cancer: how hot is the link</w:t>
      </w:r>
      <w:r/>
      <w:r>
        <w:t>[</w:t>
      </w:r>
      <w:r>
        <w:t>J</w:t>
      </w:r>
      <w:r>
        <w:t>]</w:t>
      </w:r>
      <w:r>
        <w:t>. Biochem</w:t>
      </w:r>
      <w:r w:rsidR="001852F3">
        <w:t xml:space="preserve">Pharmacol,</w:t>
      </w:r>
      <w:r w:rsidR="001852F3">
        <w:t xml:space="preserve"> </w:t>
      </w:r>
      <w:r w:rsidR="001852F3">
        <w:t>2006,</w:t>
      </w:r>
      <w:r w:rsidR="001852F3">
        <w:t xml:space="preserve"> </w:t>
      </w:r>
      <w:r w:rsidR="001852F3">
        <w:t>72</w:t>
      </w:r>
      <w:r>
        <w:t>(</w:t>
      </w:r>
      <w:r>
        <w:t>11</w:t>
      </w:r>
      <w:r>
        <w:t>)</w:t>
      </w:r>
      <w:r>
        <w:t xml:space="preserve">:</w:t>
      </w:r>
      <w:r>
        <w:t xml:space="preserve"> </w:t>
      </w:r>
      <w:r>
        <w:t>1605-1621.</w:t>
      </w:r>
    </w:p>
    <w:p w:rsidR="0018722C">
      <w:pPr>
        <w:pStyle w:val="ab"/>
        <w:topLinePunct/>
        <w:ind w:left="200" w:hangingChars="200" w:hanging="200"/>
      </w:pPr>
      <w:r>
        <w:t xml:space="preserve">[</w:t>
      </w:r>
      <w:r>
        <w:t xml:space="preserve">5</w:t>
      </w:r>
      <w:r>
        <w:t xml:space="preserve">]</w:t>
      </w:r>
      <w:r w:rsidRPr="00281126">
        <w:t xml:space="preserve">  </w:t>
      </w:r>
      <w:r/>
      <w:r>
        <w:t xml:space="preserve">Fosslien E. Biochemistry of cyclooxygenase </w:t>
      </w:r>
      <w:r>
        <w:t xml:space="preserve">(</w:t>
      </w:r>
      <w:r>
        <w:rPr>
          <w:sz w:val="20"/>
        </w:rPr>
        <w:t xml:space="preserve">COX</w:t>
      </w:r>
      <w:r>
        <w:t xml:space="preserve">)</w:t>
      </w:r>
      <w:r w:rsidR="004B696B">
        <w:t xml:space="preserve"> </w:t>
      </w:r>
      <w:r>
        <w:t xml:space="preserve">-2 inhibitors and molecular pathology of COX-2 in neoplasia</w:t>
      </w:r>
      <w:r>
        <w:t xml:space="preserve">[</w:t>
      </w:r>
      <w:r>
        <w:t xml:space="preserve">J</w:t>
      </w:r>
      <w:r>
        <w:t xml:space="preserve">]</w:t>
      </w:r>
      <w:r>
        <w:t xml:space="preserve">. Crit Rev Clin Lab</w:t>
      </w:r>
      <w:r>
        <w:t xml:space="preserve"> </w:t>
      </w:r>
      <w:r>
        <w:t xml:space="preserve">Sci,</w:t>
      </w:r>
      <w:r>
        <w:t xml:space="preserve"> </w:t>
      </w:r>
      <w:r>
        <w:t>2000,</w:t>
      </w:r>
      <w:r>
        <w:t xml:space="preserve"> </w:t>
      </w:r>
      <w:r>
        <w:t>37</w:t>
      </w:r>
      <w:r>
        <w:t xml:space="preserve">(</w:t>
      </w:r>
      <w:r>
        <w:rPr>
          <w:sz w:val="20"/>
        </w:rPr>
        <w:t xml:space="preserve">5</w:t>
      </w:r>
      <w:r>
        <w:t xml:space="preserve">)</w:t>
      </w:r>
      <w:r>
        <w:t xml:space="preserve">:</w:t>
      </w:r>
      <w:r>
        <w:t xml:space="preserve"> </w:t>
      </w:r>
      <w:r>
        <w:t>431-502.</w:t>
      </w:r>
    </w:p>
    <w:p w:rsidR="0018722C">
      <w:pPr>
        <w:pStyle w:val="ab"/>
        <w:topLinePunct/>
        <w:ind w:left="200" w:hangingChars="200" w:hanging="200"/>
      </w:pPr>
      <w:r>
        <w:t>[</w:t>
      </w:r>
      <w:r>
        <w:t xml:space="preserve">6</w:t>
      </w:r>
      <w:r>
        <w:t>]</w:t>
      </w:r>
      <w:r w:rsidRPr="00281126">
        <w:t xml:space="preserve">  </w:t>
      </w:r>
      <w:r/>
      <w:r>
        <w:t>Greenhough A, Smartt H J, Moore A E, et al. The COX-2</w:t>
      </w:r>
      <w:r>
        <w:t>/</w:t>
      </w:r>
      <w:r>
        <w:t>PGE2 pathway: key roles in the hallmarks of cancer</w:t>
      </w:r>
      <w:r>
        <w:t> </w:t>
      </w:r>
      <w:r>
        <w:t>and</w:t>
      </w:r>
      <w:r>
        <w:t> </w:t>
      </w:r>
      <w:r>
        <w:t>adaptation</w:t>
      </w:r>
      <w:r>
        <w:t> </w:t>
      </w:r>
      <w:r>
        <w:t>to</w:t>
      </w:r>
      <w:r>
        <w:t> </w:t>
      </w:r>
      <w:r>
        <w:t>the</w:t>
      </w:r>
      <w:r>
        <w:t> </w:t>
      </w:r>
      <w:r>
        <w:t>tumour</w:t>
      </w:r>
      <w:r>
        <w:t> </w:t>
      </w:r>
      <w:r>
        <w:t>microenvironment</w:t>
      </w:r>
      <w:r>
        <w:t>[</w:t>
      </w:r>
      <w:r>
        <w:t>J</w:t>
      </w:r>
      <w:r>
        <w:t>]</w:t>
      </w:r>
      <w:r>
        <w:t>.</w:t>
      </w:r>
      <w:r>
        <w:t> </w:t>
      </w:r>
      <w:r>
        <w:t xml:space="preserve">Carcinogenesis,</w:t>
      </w:r>
      <w:r>
        <w:t xml:space="preserve"> </w:t>
      </w:r>
      <w:r>
        <w:t>2009,</w:t>
      </w:r>
      <w:r>
        <w:t xml:space="preserve"> </w:t>
      </w:r>
      <w:r>
        <w:t>30</w:t>
      </w:r>
      <w:r>
        <w:t>(</w:t>
      </w:r>
      <w:r>
        <w:t>3</w:t>
      </w:r>
      <w:r>
        <w:t>)</w:t>
      </w:r>
      <w:r>
        <w:t xml:space="preserve">:</w:t>
      </w:r>
      <w:r>
        <w:t xml:space="preserve"> </w:t>
      </w:r>
      <w:r>
        <w:t>377-386.</w:t>
      </w:r>
    </w:p>
    <w:p w:rsidR="0018722C">
      <w:pPr>
        <w:pStyle w:val="ab"/>
        <w:topLinePunct/>
        <w:ind w:left="200" w:hangingChars="200" w:hanging="200"/>
      </w:pPr>
      <w:r>
        <w:t>[</w:t>
      </w:r>
      <w:r>
        <w:t xml:space="preserve">7</w:t>
      </w:r>
      <w:r>
        <w:t>]</w:t>
      </w:r>
      <w:r w:rsidRPr="00281126">
        <w:t xml:space="preserve">  </w:t>
      </w:r>
      <w:r/>
      <w:r>
        <w:rPr>
          <w:rFonts w:ascii="宋体" w:eastAsia="宋体" w:hint="eastAsia"/>
        </w:rPr>
        <w:t>何友钊</w:t>
      </w:r>
      <w:r>
        <w:rPr>
          <w:rFonts w:ascii="宋体" w:eastAsia="宋体" w:hint="eastAsia"/>
        </w:rPr>
        <w:t xml:space="preserve">, </w:t>
      </w:r>
      <w:r>
        <w:rPr>
          <w:rFonts w:ascii="宋体" w:eastAsia="宋体" w:hint="eastAsia"/>
        </w:rPr>
        <w:t>李波</w:t>
      </w:r>
      <w:r>
        <w:rPr>
          <w:rFonts w:ascii="宋体" w:eastAsia="宋体" w:hint="eastAsia"/>
        </w:rPr>
        <w:t xml:space="preserve">, </w:t>
      </w:r>
      <w:r>
        <w:rPr>
          <w:rFonts w:ascii="宋体" w:eastAsia="宋体" w:hint="eastAsia"/>
        </w:rPr>
        <w:t>刘勇</w:t>
      </w:r>
      <w:r>
        <w:rPr>
          <w:rFonts w:ascii="宋体" w:eastAsia="宋体" w:hint="eastAsia"/>
        </w:rPr>
        <w:t xml:space="preserve">, </w:t>
      </w:r>
      <w:r>
        <w:rPr>
          <w:rFonts w:ascii="宋体" w:eastAsia="宋体" w:hint="eastAsia"/>
        </w:rPr>
        <w:t>等</w:t>
      </w:r>
      <w:r>
        <w:t>. </w:t>
      </w:r>
      <w:r>
        <w:t>COX-2</w:t>
      </w:r>
      <w:r>
        <w:rPr>
          <w:rFonts w:ascii="宋体" w:eastAsia="宋体" w:hint="eastAsia"/>
        </w:rPr>
        <w:t>在人肝细胞癌中的表达及其对耐药性的影响</w:t>
      </w:r>
      <w:r>
        <w:t>[</w:t>
      </w:r>
      <w:r>
        <w:rPr>
          <w:sz w:val="20"/>
        </w:rPr>
        <w:t xml:space="preserve">J</w:t>
      </w:r>
      <w:r>
        <w:t>]</w:t>
      </w:r>
      <w:r>
        <w:t>.</w:t>
      </w:r>
      <w:r>
        <w:t> </w:t>
      </w:r>
      <w:r>
        <w:rPr>
          <w:rFonts w:ascii="宋体" w:eastAsia="宋体" w:hint="eastAsia"/>
        </w:rPr>
        <w:t>实用临床医药杂志</w:t>
      </w:r>
      <w:r>
        <w:t xml:space="preserve">,</w:t>
      </w:r>
      <w:r>
        <w:t xml:space="preserve"> </w:t>
      </w:r>
      <w:r/>
      <w:r>
        <w:rPr>
          <w:rFonts w:cstheme="minorBidi" w:hAnsiTheme="minorHAnsi" w:eastAsiaTheme="minorHAnsi" w:asciiTheme="minorHAnsi"/>
        </w:rPr>
        <w:t xml:space="preserve">2011, 15</w:t>
      </w:r>
      <w:r>
        <w:rPr>
          <w:rFonts w:cstheme="minorBidi" w:hAnsiTheme="minorHAnsi" w:eastAsiaTheme="minorHAnsi" w:asciiTheme="minorHAnsi"/>
        </w:rPr>
        <w:t>(</w:t>
      </w:r>
      <w:r>
        <w:rPr>
          <w:rFonts w:cstheme="minorBidi" w:hAnsiTheme="minorHAnsi" w:eastAsiaTheme="minorHAnsi" w:asciiTheme="minorHAnsi"/>
        </w:rPr>
        <w:t>1</w:t>
      </w:r>
      <w:r>
        <w:rPr>
          <w:rFonts w:cstheme="minorBidi" w:hAnsiTheme="minorHAnsi" w:eastAsiaTheme="minorHAnsi" w:asciiTheme="minorHAnsi"/>
        </w:rPr>
        <w:t>)</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26-29, 38.</w:t>
      </w:r>
    </w:p>
    <w:p w:rsidR="0018722C">
      <w:pPr>
        <w:pStyle w:val="ab"/>
        <w:topLinePunct/>
        <w:ind w:left="200" w:hangingChars="200" w:hanging="200"/>
      </w:pPr>
      <w:r>
        <w:t>[</w:t>
      </w:r>
      <w:r>
        <w:t xml:space="preserve">8</w:t>
      </w:r>
      <w:r>
        <w:t>]</w:t>
      </w:r>
      <w:r w:rsidRPr="00281126">
        <w:t xml:space="preserve">  </w:t>
      </w:r>
      <w:r/>
      <w:r>
        <w:rPr>
          <w:rFonts w:ascii="宋体" w:eastAsia="宋体" w:hint="eastAsia"/>
        </w:rPr>
        <w:t>李波</w:t>
      </w:r>
      <w:r>
        <w:rPr>
          <w:rFonts w:ascii="宋体" w:eastAsia="宋体" w:hint="eastAsia"/>
        </w:rPr>
        <w:t xml:space="preserve">, </w:t>
      </w:r>
      <w:r>
        <w:rPr>
          <w:rFonts w:ascii="宋体" w:eastAsia="宋体" w:hint="eastAsia"/>
        </w:rPr>
        <w:t>刘勇</w:t>
      </w:r>
      <w:r>
        <w:rPr>
          <w:rFonts w:ascii="宋体" w:eastAsia="宋体" w:hint="eastAsia"/>
        </w:rPr>
        <w:t xml:space="preserve">, </w:t>
      </w:r>
      <w:r>
        <w:rPr>
          <w:rFonts w:ascii="宋体" w:eastAsia="宋体" w:hint="eastAsia"/>
        </w:rPr>
        <w:t>苏松</w:t>
      </w:r>
      <w:r>
        <w:rPr>
          <w:rFonts w:ascii="宋体" w:eastAsia="宋体" w:hint="eastAsia"/>
        </w:rPr>
        <w:t xml:space="preserve">, </w:t>
      </w:r>
      <w:r>
        <w:rPr>
          <w:rFonts w:ascii="宋体" w:eastAsia="宋体" w:hint="eastAsia"/>
        </w:rPr>
        <w:t>等</w:t>
      </w:r>
      <w:r>
        <w:t>. </w:t>
      </w:r>
      <w:r>
        <w:rPr>
          <w:rFonts w:ascii="宋体" w:eastAsia="宋体" w:hint="eastAsia"/>
        </w:rPr>
        <w:t>环氧合酶</w:t>
      </w:r>
      <w:r>
        <w:t>-2</w:t>
      </w:r>
      <w:r>
        <w:rPr>
          <w:rFonts w:ascii="宋体" w:eastAsia="宋体" w:hint="eastAsia"/>
        </w:rPr>
        <w:t>与</w:t>
      </w:r>
      <w:r>
        <w:t>P-</w:t>
      </w:r>
      <w:r>
        <w:rPr>
          <w:rFonts w:ascii="宋体" w:eastAsia="宋体" w:hint="eastAsia"/>
        </w:rPr>
        <w:t>糖蛋白在人肝癌细胞中的表达及其意义</w:t>
      </w:r>
      <w:r>
        <w:t>[</w:t>
      </w:r>
      <w:r>
        <w:t xml:space="preserve">J</w:t>
      </w:r>
      <w:r>
        <w:t>]</w:t>
      </w:r>
      <w:r>
        <w:t>.</w:t>
      </w:r>
      <w:r>
        <w:t> </w:t>
      </w:r>
      <w:r>
        <w:rPr>
          <w:rFonts w:ascii="宋体" w:eastAsia="宋体" w:hint="eastAsia"/>
        </w:rPr>
        <w:t>中华肝脏病杂志</w:t>
      </w:r>
      <w:r>
        <w:t xml:space="preserve">, 2011,</w:t>
      </w:r>
      <w:r>
        <w:t xml:space="preserve"> </w:t>
      </w:r>
      <w:r>
        <w:t>19</w:t>
      </w:r>
      <w:r>
        <w:t>(</w:t>
      </w:r>
      <w:r>
        <w:t>10</w:t>
      </w:r>
      <w:r>
        <w:t>)</w:t>
      </w:r>
      <w:r>
        <w:t xml:space="preserve">:</w:t>
      </w:r>
      <w:r>
        <w:t xml:space="preserve"> </w:t>
      </w:r>
      <w:r>
        <w:t>755-758.</w:t>
      </w:r>
    </w:p>
    <w:p w:rsidR="0018722C">
      <w:pPr>
        <w:pStyle w:val="ab"/>
        <w:topLinePunct/>
        <w:ind w:left="200" w:hangingChars="200" w:hanging="200"/>
      </w:pPr>
      <w:r>
        <w:t>[</w:t>
      </w:r>
      <w:r>
        <w:t xml:space="preserve">9</w:t>
      </w:r>
      <w:r>
        <w:t>]</w:t>
      </w:r>
      <w:r w:rsidRPr="00281126">
        <w:t xml:space="preserve">  </w:t>
      </w:r>
      <w:r/>
      <w:r>
        <w:t>Yildirim Y, Ozyilkan O, Bilezikci B, et al. Lack of influence of cyclooxygenese-2 expression in hepatocellular</w:t>
      </w:r>
      <w:r>
        <w:t> </w:t>
      </w:r>
      <w:r>
        <w:t>carcinomas</w:t>
      </w:r>
      <w:r>
        <w:t> </w:t>
      </w:r>
      <w:r>
        <w:t>on</w:t>
      </w:r>
      <w:r>
        <w:t>patient</w:t>
      </w:r>
      <w:r>
        <w:t> </w:t>
      </w:r>
      <w:r>
        <w:t>survival</w:t>
      </w:r>
      <w:r>
        <w:t>[</w:t>
      </w:r>
      <w:r>
        <w:t>J</w:t>
      </w:r>
      <w:r>
        <w:t>]</w:t>
      </w:r>
      <w:r>
        <w:t>.</w:t>
      </w:r>
      <w:r>
        <w:t> </w:t>
      </w:r>
      <w:r>
        <w:t>Asian</w:t>
      </w:r>
      <w:r>
        <w:t> </w:t>
      </w:r>
      <w:r>
        <w:t>Pac</w:t>
      </w:r>
      <w:r>
        <w:t> </w:t>
      </w:r>
      <w:r>
        <w:t>J</w:t>
      </w:r>
      <w:r>
        <w:t> </w:t>
      </w:r>
      <w:r>
        <w:t>Cancer</w:t>
      </w:r>
      <w:r>
        <w:t> </w:t>
      </w:r>
      <w:r>
        <w:t xml:space="preserve">Prev,</w:t>
      </w:r>
      <w:r>
        <w:t xml:space="preserve"> </w:t>
      </w:r>
      <w:r>
        <w:t>2008,</w:t>
      </w:r>
      <w:r>
        <w:t xml:space="preserve"> </w:t>
      </w:r>
      <w:r>
        <w:t>9</w:t>
      </w:r>
      <w:r>
        <w:t>(</w:t>
      </w:r>
      <w:r>
        <w:t>2</w:t>
      </w:r>
      <w:r>
        <w:t>)</w:t>
      </w:r>
      <w:r>
        <w:t xml:space="preserve">:</w:t>
      </w:r>
      <w:r>
        <w:t xml:space="preserve"> </w:t>
      </w:r>
      <w:r>
        <w:t>295-298.</w:t>
      </w:r>
    </w:p>
    <w:p w:rsidR="0018722C">
      <w:pPr>
        <w:pStyle w:val="ab"/>
        <w:topLinePunct/>
        <w:ind w:left="200" w:hangingChars="200" w:hanging="200"/>
      </w:pPr>
      <w:r>
        <w:t>[</w:t>
      </w:r>
      <w:r>
        <w:t xml:space="preserve">10</w:t>
      </w:r>
      <w:r>
        <w:t>]</w:t>
      </w:r>
      <w:r w:rsidRPr="00281126">
        <w:t xml:space="preserve"> </w:t>
      </w:r>
      <w:r/>
      <w:r>
        <w:t>Kwon S H, Jeong S W, Jang J Y, et al. Cyclooxygenase-2 and vascular endothelial growth factor in chronic hepatitis,</w:t>
      </w:r>
      <w:r>
        <w:t> </w:t>
      </w:r>
      <w:r>
        <w:t>cirrhosis</w:t>
      </w:r>
      <w:r>
        <w:t> </w:t>
      </w:r>
      <w:r>
        <w:t>and</w:t>
      </w:r>
      <w:r>
        <w:t> </w:t>
      </w:r>
      <w:r>
        <w:t>hepatocellular</w:t>
      </w:r>
      <w:r>
        <w:t> </w:t>
      </w:r>
      <w:r>
        <w:t>carcinoma</w:t>
      </w:r>
      <w:r>
        <w:t>[</w:t>
      </w:r>
      <w:r>
        <w:t>J</w:t>
      </w:r>
      <w:r>
        <w:t>]</w:t>
      </w:r>
      <w:r>
        <w:t>.</w:t>
      </w:r>
      <w:r>
        <w:t> </w:t>
      </w:r>
      <w:r>
        <w:t>Clin</w:t>
      </w:r>
      <w:r>
        <w:t> </w:t>
      </w:r>
      <w:r>
        <w:t>Mol</w:t>
      </w:r>
      <w:r>
        <w:t> </w:t>
      </w:r>
      <w:r>
        <w:t xml:space="preserve">Hepatol,</w:t>
      </w:r>
      <w:r>
        <w:t xml:space="preserve"> </w:t>
      </w:r>
      <w:r>
        <w:t>2012,</w:t>
      </w:r>
      <w:r>
        <w:t xml:space="preserve"> </w:t>
      </w:r>
      <w:r>
        <w:t>18</w:t>
      </w:r>
      <w:r>
        <w:t>(</w:t>
      </w:r>
      <w:r>
        <w:t>3</w:t>
      </w:r>
      <w:r>
        <w:t>)</w:t>
      </w:r>
      <w:r>
        <w:t xml:space="preserve">:</w:t>
      </w:r>
      <w:r>
        <w:t xml:space="preserve"> </w:t>
      </w:r>
      <w:r>
        <w:t>287-294.</w:t>
      </w:r>
    </w:p>
    <w:p w:rsidR="0018722C">
      <w:pPr>
        <w:pStyle w:val="ab"/>
        <w:topLinePunct/>
        <w:ind w:left="200" w:hangingChars="200" w:hanging="200"/>
      </w:pPr>
      <w:bookmarkStart w:id="915016" w:name="_cwCmt7"/>
      <w:r>
        <w:t>[</w:t>
      </w:r>
      <w:r>
        <w:t xml:space="preserve">11</w:t>
      </w:r>
      <w:r>
        <w:t>]</w:t>
      </w:r>
      <w:r w:rsidRPr="00281126">
        <w:t xml:space="preserve"> </w:t>
      </w:r>
      <w:r/>
      <w:r>
        <w:t>Schmitz K J, Wohlschlaeger J, Lang H, et al. Cyclo-oxygenase-2 overexpression is a feature of early and well-differentiated</w:t>
      </w:r>
      <w:r>
        <w:t> </w:t>
      </w:r>
      <w:r>
        <w:t>hepatocellular</w:t>
      </w:r>
      <w:r>
        <w:t> </w:t>
      </w:r>
      <w:r>
        <w:t>carcinoma</w:t>
      </w:r>
      <w:r>
        <w:t> </w:t>
      </w:r>
      <w:r>
        <w:t>with</w:t>
      </w:r>
      <w:r>
        <w:t> </w:t>
      </w:r>
      <w:r>
        <w:t>a</w:t>
      </w:r>
      <w:r>
        <w:t> </w:t>
      </w:r>
      <w:r>
        <w:t>favourable</w:t>
      </w:r>
      <w:r>
        <w:t> </w:t>
      </w:r>
      <w:r>
        <w:t>prognosis</w:t>
      </w:r>
      <w:r>
        <w:t>[</w:t>
      </w:r>
      <w:r>
        <w:t>J</w:t>
      </w:r>
      <w:r>
        <w:t>]</w:t>
      </w:r>
      <w:r>
        <w:t>.</w:t>
      </w:r>
      <w:r>
        <w:t> </w:t>
      </w:r>
      <w:r>
        <w:t>J</w:t>
      </w:r>
      <w:r>
        <w:t> </w:t>
      </w:r>
      <w:r>
        <w:t>Clin</w:t>
      </w:r>
      <w:r>
        <w:t> </w:t>
      </w:r>
      <w:r>
        <w:t xml:space="preserve">Pathol,</w:t>
      </w:r>
      <w:r>
        <w:t xml:space="preserve"> </w:t>
      </w:r>
      <w:r>
        <w:t>2009,</w:t>
      </w:r>
      <w:r>
        <w:t xml:space="preserve"> </w:t>
      </w:r>
      <w:r>
        <w:t>62</w:t>
      </w:r>
      <w:r>
        <w:t>(</w:t>
      </w:r>
      <w:r>
        <w:t>8</w:t>
      </w:r>
      <w:r>
        <w:t>)</w:t>
      </w:r>
      <w:r>
        <w:t xml:space="preserve">:</w:t>
      </w:r>
      <w:r>
        <w:t xml:space="preserve"> </w:t>
      </w:r>
      <w:r>
        <w:t>690-693.</w:t>
      </w:r>
      <w:bookmarkEnd w:id="915016"/>
    </w:p>
    <w:p w:rsidR="0018722C">
      <w:pPr>
        <w:pStyle w:val="ab"/>
        <w:topLinePunct/>
        <w:ind w:left="200" w:hangingChars="200" w:hanging="200"/>
      </w:pPr>
      <w:bookmarkStart w:id="915013" w:name="_cwCmt4"/>
      <w:r>
        <w:t xml:space="preserve">[</w:t>
      </w:r>
      <w:r>
        <w:t xml:space="preserve">12</w:t>
      </w:r>
      <w:r>
        <w:t xml:space="preserve">]</w:t>
      </w:r>
      <w:r w:rsidRPr="00281126">
        <w:t xml:space="preserve"> </w:t>
      </w:r>
      <w:r/>
      <w:r>
        <w:t xml:space="preserve">Yang Y, Zhu J, Gou H, et al. Clinical significance of Cox-2, Survivin and Bcl-2 expression in hepatocellular carcinoma </w:t>
      </w:r>
      <w:r>
        <w:t xml:space="preserve">(</w:t>
      </w:r>
      <w:r>
        <w:rPr>
          <w:sz w:val="20"/>
        </w:rPr>
        <w:t xml:space="preserve">HCC</w:t>
      </w:r>
      <w:r>
        <w:t xml:space="preserve">)</w:t>
      </w:r>
      <w:r/>
      <w:r>
        <w:t xml:space="preserve">[</w:t>
      </w:r>
      <w:r>
        <w:t xml:space="preserve">J</w:t>
      </w:r>
      <w:r>
        <w:t xml:space="preserve">]</w:t>
      </w:r>
      <w:r>
        <w:t xml:space="preserve">. Med</w:t>
      </w:r>
      <w:r>
        <w:t xml:space="preserve"> </w:t>
      </w:r>
      <w:r>
        <w:t xml:space="preserve">Oncol,</w:t>
      </w:r>
      <w:r>
        <w:t xml:space="preserve"> </w:t>
      </w:r>
      <w:r>
        <w:t>2011,</w:t>
      </w:r>
      <w:r>
        <w:t xml:space="preserve"> </w:t>
      </w:r>
      <w:r>
        <w:t>28</w:t>
      </w:r>
      <w:r>
        <w:t xml:space="preserve">(</w:t>
      </w:r>
      <w:r>
        <w:rPr>
          <w:sz w:val="20"/>
        </w:rPr>
        <w:t xml:space="preserve">3</w:t>
      </w:r>
      <w:r>
        <w:t xml:space="preserve">)</w:t>
      </w:r>
      <w:r>
        <w:t xml:space="preserve">:</w:t>
      </w:r>
      <w:r>
        <w:t xml:space="preserve"> </w:t>
      </w:r>
      <w:r>
        <w:t>796-803.</w:t>
      </w:r>
      <w:bookmarkEnd w:id="915013"/>
    </w:p>
    <w:p w:rsidR="0018722C">
      <w:pPr>
        <w:pStyle w:val="ab"/>
        <w:topLinePunct/>
        <w:ind w:left="200" w:hangingChars="200" w:hanging="200"/>
      </w:pPr>
      <w:bookmarkStart w:id="915014" w:name="_cwCmt5"/>
      <w:r>
        <w:t>[</w:t>
      </w:r>
      <w:r>
        <w:t xml:space="preserve">13</w:t>
      </w:r>
      <w:r>
        <w:t>]</w:t>
      </w:r>
      <w:r w:rsidRPr="00281126">
        <w:t xml:space="preserve"> </w:t>
      </w:r>
      <w:r/>
      <w:r>
        <w:t>Tang T C, Poon R T, Lau C P, et al. Tumor cyclooxygenase-2 levels correlate with tumor invasiveness in human</w:t>
      </w:r>
      <w:r>
        <w:t> </w:t>
      </w:r>
      <w:r>
        <w:t>hepatocellular</w:t>
      </w:r>
      <w:r>
        <w:t> </w:t>
      </w:r>
      <w:r>
        <w:t>carcinoma</w:t>
      </w:r>
      <w:r>
        <w:t>[</w:t>
      </w:r>
      <w:r>
        <w:t>J</w:t>
      </w:r>
      <w:r>
        <w:t>]</w:t>
      </w:r>
      <w:r>
        <w:t>.</w:t>
      </w:r>
      <w:r>
        <w:t> </w:t>
      </w:r>
      <w:r>
        <w:t>World</w:t>
      </w:r>
      <w:r>
        <w:t> </w:t>
      </w:r>
      <w:r>
        <w:t>J</w:t>
      </w:r>
      <w:r>
        <w:t> </w:t>
      </w:r>
      <w:r>
        <w:t xml:space="preserve">Gastroenterol,</w:t>
      </w:r>
      <w:r>
        <w:t xml:space="preserve"> </w:t>
      </w:r>
      <w:r>
        <w:t>2005,</w:t>
      </w:r>
      <w:r>
        <w:t xml:space="preserve"> </w:t>
      </w:r>
      <w:r>
        <w:t>11</w:t>
      </w:r>
      <w:r>
        <w:t>(</w:t>
      </w:r>
      <w:r>
        <w:t>13</w:t>
      </w:r>
      <w:r>
        <w:t>)</w:t>
      </w:r>
      <w:r>
        <w:t xml:space="preserve">:</w:t>
      </w:r>
      <w:r>
        <w:t xml:space="preserve"> </w:t>
      </w:r>
      <w:r>
        <w:t>1896-1902.</w:t>
      </w:r>
      <w:bookmarkEnd w:id="915014"/>
    </w:p>
    <w:p w:rsidR="0018722C">
      <w:pPr>
        <w:pStyle w:val="ab"/>
        <w:topLinePunct/>
        <w:ind w:left="200" w:hangingChars="200" w:hanging="200"/>
      </w:pPr>
      <w:bookmarkStart w:id="915018" w:name="_cwCmt9"/>
      <w:bookmarkStart w:id="915012" w:name="_cwCmt3"/>
      <w:r>
        <w:t>[</w:t>
      </w:r>
      <w:r>
        <w:t xml:space="preserve">14</w:t>
      </w:r>
      <w:r>
        <w:t>]</w:t>
      </w:r>
      <w:r w:rsidRPr="00281126">
        <w:t xml:space="preserve"> </w:t>
      </w:r>
      <w:r/>
      <w:r>
        <w:t>Breinig M, Rieker R, Eiteneuer E, et al. Differential expression of E-prostanoid receptors in human hepatocellular</w:t>
      </w:r>
      <w:r>
        <w:t> </w:t>
      </w:r>
      <w:r>
        <w:t>carcinoma</w:t>
      </w:r>
      <w:r>
        <w:t>[</w:t>
      </w:r>
      <w:r>
        <w:t>J</w:t>
      </w:r>
      <w:r>
        <w:t>]</w:t>
      </w:r>
      <w:r>
        <w:t>.</w:t>
      </w:r>
      <w:r>
        <w:t> </w:t>
      </w:r>
      <w:r>
        <w:t>International</w:t>
      </w:r>
      <w:r>
        <w:t> </w:t>
      </w:r>
      <w:r>
        <w:t>Journal</w:t>
      </w:r>
      <w:r>
        <w:t> </w:t>
      </w:r>
      <w:r>
        <w:t>of</w:t>
      </w:r>
      <w:r>
        <w:t> </w:t>
      </w:r>
      <w:r>
        <w:t xml:space="preserve">Cancer,</w:t>
      </w:r>
      <w:r>
        <w:t xml:space="preserve"> </w:t>
      </w:r>
      <w:r>
        <w:t>2008,</w:t>
      </w:r>
      <w:r>
        <w:t xml:space="preserve"> </w:t>
      </w:r>
      <w:r>
        <w:t>122</w:t>
      </w:r>
      <w:r>
        <w:t>(</w:t>
      </w:r>
      <w:r>
        <w:t>3</w:t>
      </w:r>
      <w:r>
        <w:t>)</w:t>
      </w:r>
      <w:r>
        <w:t xml:space="preserve">:</w:t>
      </w:r>
      <w:r>
        <w:t xml:space="preserve"> </w:t>
      </w:r>
      <w:r>
        <w:t>547-557.</w:t>
      </w:r>
      <w:bookmarkEnd w:id="915012"/>
      <w:bookmarkEnd w:id="915018"/>
    </w:p>
    <w:p w:rsidR="0018722C">
      <w:pPr>
        <w:pStyle w:val="ab"/>
        <w:topLinePunct/>
        <w:ind w:left="200" w:hangingChars="200" w:hanging="200"/>
      </w:pPr>
      <w:r>
        <w:t>[</w:t>
      </w:r>
      <w:r>
        <w:t xml:space="preserve">15</w:t>
      </w:r>
      <w:r>
        <w:t>]</w:t>
      </w:r>
      <w:r w:rsidRPr="00281126">
        <w:t xml:space="preserve"> </w:t>
      </w:r>
      <w:r/>
      <w:r>
        <w:t>O'Callaghan G, Kelly J, Shanahan F, et al. Prostaglandin E2 stimulates Fas ligand expression via the EP1 receptor</w:t>
      </w:r>
      <w:r>
        <w:t> </w:t>
      </w:r>
      <w:r>
        <w:t>in</w:t>
      </w:r>
      <w:r>
        <w:t> </w:t>
      </w:r>
      <w:r>
        <w:t>colon</w:t>
      </w:r>
      <w:r>
        <w:t> </w:t>
      </w:r>
      <w:r>
        <w:t>cancer</w:t>
      </w:r>
      <w:r>
        <w:t> </w:t>
      </w:r>
      <w:r>
        <w:t>cells</w:t>
      </w:r>
      <w:r>
        <w:t>[</w:t>
      </w:r>
      <w:r>
        <w:t>J</w:t>
      </w:r>
      <w:r>
        <w:t>]</w:t>
      </w:r>
      <w:r>
        <w:t>.</w:t>
      </w:r>
      <w:r>
        <w:t> </w:t>
      </w:r>
      <w:r>
        <w:t>Br</w:t>
      </w:r>
      <w:r>
        <w:t> </w:t>
      </w:r>
      <w:r>
        <w:t>J</w:t>
      </w:r>
      <w:r>
        <w:t> </w:t>
      </w:r>
      <w:r>
        <w:t xml:space="preserve">Cancer,</w:t>
      </w:r>
      <w:r>
        <w:t xml:space="preserve"> </w:t>
      </w:r>
      <w:r>
        <w:t>2008,</w:t>
      </w:r>
      <w:r>
        <w:t xml:space="preserve"> </w:t>
      </w:r>
      <w:r>
        <w:t>99</w:t>
      </w:r>
      <w:r>
        <w:t>(</w:t>
      </w:r>
      <w:r>
        <w:t>3</w:t>
      </w:r>
      <w:r>
        <w:t>)</w:t>
      </w:r>
      <w:r>
        <w:t xml:space="preserve">:</w:t>
      </w:r>
      <w:r>
        <w:t xml:space="preserve"> </w:t>
      </w:r>
      <w:r>
        <w:t>502-512.</w:t>
      </w:r>
    </w:p>
    <w:p w:rsidR="0018722C">
      <w:pPr>
        <w:pStyle w:val="ab"/>
        <w:topLinePunct/>
        <w:ind w:left="200" w:hangingChars="200" w:hanging="200"/>
      </w:pPr>
      <w:r>
        <w:t>[</w:t>
      </w:r>
      <w:r>
        <w:t xml:space="preserve">16</w:t>
      </w:r>
      <w:r>
        <w:t>]</w:t>
      </w:r>
      <w:r w:rsidRPr="00281126">
        <w:t xml:space="preserve"> </w:t>
      </w:r>
      <w:r/>
      <w:r>
        <w:t>Rundhaug J E, Simper M S, Surh I, et al. The role of the EP receptors for prostaglandin E2 in skin and skin cancer</w:t>
      </w:r>
      <w:r>
        <w:t>[</w:t>
      </w:r>
      <w:r>
        <w:t>J</w:t>
      </w:r>
      <w:r>
        <w:t>]</w:t>
      </w:r>
      <w:r>
        <w:t>.</w:t>
      </w:r>
      <w:r>
        <w:t> </w:t>
      </w:r>
      <w:r>
        <w:t>Cancer</w:t>
      </w:r>
      <w:r>
        <w:t> </w:t>
      </w:r>
      <w:r>
        <w:t>Metastasis</w:t>
      </w:r>
      <w:r>
        <w:t> </w:t>
      </w:r>
      <w:r>
        <w:t xml:space="preserve">Rev,</w:t>
      </w:r>
      <w:r>
        <w:t xml:space="preserve"> </w:t>
      </w:r>
      <w:r>
        <w:t>2011,</w:t>
      </w:r>
      <w:r>
        <w:t xml:space="preserve"> </w:t>
      </w:r>
      <w:r>
        <w:t>30</w:t>
      </w:r>
      <w:r>
        <w:t>(</w:t>
      </w:r>
      <w:r>
        <w:t>3-4</w:t>
      </w:r>
      <w:r>
        <w:t>)</w:t>
      </w:r>
      <w:r>
        <w:t xml:space="preserve">:</w:t>
      </w:r>
      <w:r>
        <w:t xml:space="preserve"> </w:t>
      </w:r>
      <w:r>
        <w:t>465-480.</w:t>
      </w:r>
    </w:p>
    <w:p w:rsidR="0018722C">
      <w:pPr>
        <w:pStyle w:val="ab"/>
        <w:topLinePunct/>
        <w:ind w:left="200" w:hangingChars="200" w:hanging="200"/>
      </w:pPr>
      <w:r>
        <w:t>[</w:t>
      </w:r>
      <w:r>
        <w:t xml:space="preserve">17</w:t>
      </w:r>
      <w:r>
        <w:t>]</w:t>
      </w:r>
      <w:r w:rsidRPr="00281126">
        <w:t xml:space="preserve"> </w:t>
      </w:r>
      <w:r/>
      <w:r>
        <w:t>Liu H, Xiao J, Yang Y, et al. COX-2 expression is correlated with VEGF-C, lymphangiogenesis and lymph node</w:t>
      </w:r>
      <w:r>
        <w:t> </w:t>
      </w:r>
      <w:r>
        <w:t>metastasis</w:t>
      </w:r>
      <w:r>
        <w:t> </w:t>
      </w:r>
      <w:r>
        <w:t>in</w:t>
      </w:r>
      <w:r>
        <w:t> </w:t>
      </w:r>
      <w:r>
        <w:t>human</w:t>
      </w:r>
      <w:r>
        <w:t> </w:t>
      </w:r>
      <w:r>
        <w:t>cervical</w:t>
      </w:r>
      <w:r>
        <w:t> </w:t>
      </w:r>
      <w:r>
        <w:t>cancer</w:t>
      </w:r>
      <w:r>
        <w:t>[</w:t>
      </w:r>
      <w:r>
        <w:t>J</w:t>
      </w:r>
      <w:r>
        <w:t>]</w:t>
      </w:r>
      <w:r>
        <w:t>.</w:t>
      </w:r>
      <w:r>
        <w:t> </w:t>
      </w:r>
      <w:r>
        <w:t>Microvasc</w:t>
      </w:r>
      <w:r>
        <w:t> </w:t>
      </w:r>
      <w:r>
        <w:t xml:space="preserve">Res,</w:t>
      </w:r>
      <w:r>
        <w:t xml:space="preserve"> </w:t>
      </w:r>
      <w:r>
        <w:t>2011,</w:t>
      </w:r>
      <w:r>
        <w:t xml:space="preserve"> </w:t>
      </w:r>
      <w:r>
        <w:t>82</w:t>
      </w:r>
      <w:r>
        <w:t>(</w:t>
      </w:r>
      <w:r>
        <w:t>2</w:t>
      </w:r>
      <w:r>
        <w:t>)</w:t>
      </w:r>
      <w:r>
        <w:t xml:space="preserve">:</w:t>
      </w:r>
      <w:r>
        <w:t xml:space="preserve"> </w:t>
      </w:r>
      <w:r>
        <w:t>131-140.</w:t>
      </w:r>
    </w:p>
    <w:p w:rsidR="0018722C">
      <w:pPr>
        <w:pStyle w:val="ab"/>
        <w:topLinePunct/>
        <w:ind w:left="200" w:hangingChars="200" w:hanging="200"/>
      </w:pPr>
      <w:bookmarkStart w:id="915017" w:name="_cwCmt8"/>
      <w:r>
        <w:t>[</w:t>
      </w:r>
      <w:r>
        <w:t xml:space="preserve">18</w:t>
      </w:r>
      <w:r>
        <w:t>]</w:t>
      </w:r>
      <w:r w:rsidRPr="00281126">
        <w:t xml:space="preserve"> </w:t>
      </w:r>
      <w:r/>
      <w:r>
        <w:t>Williams C S, Mann M, Dubois R N. The role of cyclooxygenases in inflammation, cancer, and development</w:t>
      </w:r>
      <w:r>
        <w:t>[</w:t>
      </w:r>
      <w:r>
        <w:t>J</w:t>
      </w:r>
      <w:r>
        <w:t>]</w:t>
      </w:r>
      <w:r>
        <w:t>.</w:t>
      </w:r>
      <w:r>
        <w:t> </w:t>
      </w:r>
      <w:r>
        <w:t xml:space="preserve">Oncogene,</w:t>
      </w:r>
      <w:r>
        <w:t xml:space="preserve"> </w:t>
      </w:r>
      <w:r>
        <w:t>1999,</w:t>
      </w:r>
      <w:r>
        <w:t xml:space="preserve"> </w:t>
      </w:r>
      <w:r>
        <w:t>18</w:t>
      </w:r>
      <w:r>
        <w:t>(</w:t>
      </w:r>
      <w:r>
        <w:t>55</w:t>
      </w:r>
      <w:r>
        <w:t>)</w:t>
      </w:r>
      <w:r>
        <w:t xml:space="preserve">:</w:t>
      </w:r>
      <w:r>
        <w:t xml:space="preserve"> </w:t>
      </w:r>
      <w:r>
        <w:t>7908-7916.</w:t>
      </w:r>
      <w:bookmarkEnd w:id="915017"/>
    </w:p>
    <w:p w:rsidR="0018722C">
      <w:pPr>
        <w:pStyle w:val="ab"/>
        <w:topLinePunct/>
        <w:ind w:left="200" w:hangingChars="200" w:hanging="200"/>
      </w:pPr>
      <w:r>
        <w:t>[</w:t>
      </w:r>
      <w:r>
        <w:t xml:space="preserve">19</w:t>
      </w:r>
      <w:r>
        <w:t>]</w:t>
      </w:r>
      <w:r w:rsidRPr="00281126">
        <w:t xml:space="preserve"> </w:t>
      </w:r>
      <w:r/>
      <w:r>
        <w:t>Breinig M, Rieker R, Eiteneuer E, et al. Differential expression of E-prostanoid receptors in human hepatocellular</w:t>
      </w:r>
      <w:r>
        <w:t> </w:t>
      </w:r>
      <w:r>
        <w:t>carcinoma</w:t>
      </w:r>
      <w:r>
        <w:t>[</w:t>
      </w:r>
      <w:r>
        <w:t>J</w:t>
      </w:r>
      <w:r>
        <w:t>]</w:t>
      </w:r>
      <w:r>
        <w:t>.</w:t>
      </w:r>
      <w:r>
        <w:t> </w:t>
      </w:r>
      <w:r>
        <w:t>Int</w:t>
      </w:r>
      <w:r>
        <w:t> </w:t>
      </w:r>
      <w:r>
        <w:t>J</w:t>
      </w:r>
      <w:r>
        <w:t> </w:t>
      </w:r>
      <w:r>
        <w:t xml:space="preserve">Cancer,</w:t>
      </w:r>
      <w:r>
        <w:t xml:space="preserve"> </w:t>
      </w:r>
      <w:r>
        <w:t>2008,</w:t>
      </w:r>
      <w:r>
        <w:t xml:space="preserve"> </w:t>
      </w:r>
      <w:r>
        <w:t>122</w:t>
      </w:r>
      <w:r>
        <w:t>(</w:t>
      </w:r>
      <w:r>
        <w:t>3</w:t>
      </w:r>
      <w:r>
        <w:t>)</w:t>
      </w:r>
      <w:r>
        <w:t xml:space="preserve">:</w:t>
      </w:r>
      <w:r>
        <w:t xml:space="preserve"> </w:t>
      </w:r>
      <w:r>
        <w:t>547-557.</w:t>
      </w:r>
    </w:p>
    <w:p w:rsidR="0018722C">
      <w:pPr>
        <w:topLinePunct/>
      </w:pPr>
      <w:r>
        <w:rPr>
          <w:rFonts w:cstheme="minorBidi" w:hAnsiTheme="minorHAnsi" w:eastAsiaTheme="minorHAnsi" w:asciiTheme="minorHAnsi"/>
        </w:rPr>
        <w:t>38</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ab"/>
        <w:topLinePunct/>
        <w:ind w:left="200" w:hangingChars="200" w:hanging="200"/>
      </w:pPr>
      <w:r>
        <w:t>[</w:t>
      </w:r>
      <w:r>
        <w:t xml:space="preserve">20</w:t>
      </w:r>
      <w:r>
        <w:t>]</w:t>
      </w:r>
      <w:r w:rsidRPr="00281126">
        <w:t xml:space="preserve"> </w:t>
      </w:r>
      <w:r/>
      <w:r>
        <w:t>Poon R T, Fan S T, Ng I O, et al. Different risk factors and prognosis for early and late intrahepatic recurrence</w:t>
      </w:r>
      <w:r>
        <w:t> </w:t>
      </w:r>
      <w:r>
        <w:t>after</w:t>
      </w:r>
      <w:r>
        <w:t> </w:t>
      </w:r>
      <w:r>
        <w:t>resection</w:t>
      </w:r>
      <w:r>
        <w:t> </w:t>
      </w:r>
      <w:r>
        <w:t>of</w:t>
      </w:r>
      <w:r>
        <w:t> </w:t>
      </w:r>
      <w:r>
        <w:t>hepatocellular</w:t>
      </w:r>
      <w:r>
        <w:t> </w:t>
      </w:r>
      <w:r>
        <w:t>carcinoma</w:t>
      </w:r>
      <w:r>
        <w:t>[</w:t>
      </w:r>
      <w:r>
        <w:t>J</w:t>
      </w:r>
      <w:r>
        <w:t>]</w:t>
      </w:r>
      <w:r>
        <w:t>.</w:t>
      </w:r>
      <w:r>
        <w:t> </w:t>
      </w:r>
      <w:r>
        <w:t xml:space="preserve">Cancer,</w:t>
      </w:r>
      <w:r>
        <w:t xml:space="preserve"> </w:t>
      </w:r>
      <w:r>
        <w:t>2000,</w:t>
      </w:r>
      <w:r>
        <w:t xml:space="preserve"> </w:t>
      </w:r>
      <w:r>
        <w:t>89</w:t>
      </w:r>
      <w:r>
        <w:t>(</w:t>
      </w:r>
      <w:r>
        <w:t>3</w:t>
      </w:r>
      <w:r>
        <w:t>)</w:t>
      </w:r>
      <w:r>
        <w:t xml:space="preserve">:</w:t>
      </w:r>
      <w:r>
        <w:t xml:space="preserve"> </w:t>
      </w:r>
      <w:r>
        <w:t>500-507.</w:t>
      </w:r>
    </w:p>
    <w:p w:rsidR="0018722C">
      <w:pPr>
        <w:pStyle w:val="ab"/>
        <w:topLinePunct/>
        <w:ind w:left="200" w:hangingChars="200" w:hanging="200"/>
      </w:pPr>
      <w:r>
        <w:t>[</w:t>
      </w:r>
      <w:r>
        <w:t xml:space="preserve">21</w:t>
      </w:r>
      <w:r>
        <w:t>]</w:t>
      </w:r>
      <w:r w:rsidRPr="00281126">
        <w:t xml:space="preserve"> </w:t>
      </w:r>
      <w:r/>
      <w:r>
        <w:t>Sun H C, Zhang W, Qin L X, et al. Positive serum hepatitis B e antigen is associated with higher risk of early recurrence and poorer survival in patients after curative resection of hepatitis B-related hepatocellular carcinoma</w:t>
      </w:r>
      <w:r>
        <w:t>[</w:t>
      </w:r>
      <w:r>
        <w:t>J</w:t>
      </w:r>
      <w:r>
        <w:t>]</w:t>
      </w:r>
      <w:r>
        <w:t>. J</w:t>
      </w:r>
      <w:r>
        <w:t> </w:t>
      </w:r>
      <w:r>
        <w:t xml:space="preserve">Hepatol,</w:t>
      </w:r>
      <w:r>
        <w:t xml:space="preserve"> </w:t>
      </w:r>
      <w:r>
        <w:t>2007,</w:t>
      </w:r>
      <w:r>
        <w:t xml:space="preserve"> </w:t>
      </w:r>
      <w:r>
        <w:t>47</w:t>
      </w:r>
      <w:r>
        <w:t>(</w:t>
      </w:r>
      <w:r>
        <w:t>5</w:t>
      </w:r>
      <w:r>
        <w:t>)</w:t>
      </w:r>
      <w:r>
        <w:t xml:space="preserve">:</w:t>
      </w:r>
      <w:r>
        <w:t xml:space="preserve"> </w:t>
      </w:r>
      <w:r>
        <w:t>684-690.</w:t>
      </w:r>
    </w:p>
    <w:p w:rsidR="0018722C">
      <w:pPr>
        <w:pStyle w:val="ab"/>
        <w:topLinePunct/>
        <w:ind w:left="200" w:hangingChars="200" w:hanging="200"/>
      </w:pPr>
      <w:r>
        <w:t>[</w:t>
      </w:r>
      <w:r>
        <w:t xml:space="preserve">22</w:t>
      </w:r>
      <w:r>
        <w:t>]</w:t>
      </w:r>
      <w:r w:rsidRPr="00281126">
        <w:t xml:space="preserve"> </w:t>
      </w:r>
      <w:r/>
      <w:r>
        <w:t>Nagasue N, Kohno H, Chang Y C, et al. Liver resection for hepatocellular carcinoma. Results of 229 consecutive</w:t>
      </w:r>
      <w:r>
        <w:t> </w:t>
      </w:r>
      <w:r>
        <w:t>patients</w:t>
      </w:r>
      <w:r>
        <w:t> </w:t>
      </w:r>
      <w:r>
        <w:t>during</w:t>
      </w:r>
      <w:r>
        <w:t> </w:t>
      </w:r>
      <w:r>
        <w:t>11</w:t>
      </w:r>
      <w:r>
        <w:t> </w:t>
      </w:r>
      <w:r>
        <w:t>years</w:t>
      </w:r>
      <w:r>
        <w:t>[</w:t>
      </w:r>
      <w:r>
        <w:t>J</w:t>
      </w:r>
      <w:r>
        <w:t>]</w:t>
      </w:r>
      <w:r>
        <w:t>.</w:t>
      </w:r>
      <w:r>
        <w:t> </w:t>
      </w:r>
      <w:r>
        <w:t>Ann</w:t>
      </w:r>
      <w:r>
        <w:t> </w:t>
      </w:r>
      <w:r>
        <w:t xml:space="preserve">Surg,</w:t>
      </w:r>
      <w:r>
        <w:t xml:space="preserve"> </w:t>
      </w:r>
      <w:r>
        <w:t>1993,</w:t>
      </w:r>
      <w:r>
        <w:t xml:space="preserve"> </w:t>
      </w:r>
      <w:r>
        <w:t>217</w:t>
      </w:r>
      <w:r>
        <w:t>(</w:t>
      </w:r>
      <w:r>
        <w:t>4</w:t>
      </w:r>
      <w:r>
        <w:t>)</w:t>
      </w:r>
      <w:r>
        <w:t xml:space="preserve">:</w:t>
      </w:r>
      <w:r>
        <w:t xml:space="preserve"> </w:t>
      </w:r>
      <w:r>
        <w:t>375-384.</w:t>
      </w:r>
    </w:p>
    <w:p w:rsidR="0018722C">
      <w:pPr>
        <w:pStyle w:val="ab"/>
        <w:topLinePunct/>
        <w:ind w:left="200" w:hangingChars="200" w:hanging="200"/>
      </w:pPr>
      <w:r>
        <w:t>[</w:t>
      </w:r>
      <w:r>
        <w:t xml:space="preserve">23</w:t>
      </w:r>
      <w:r>
        <w:t>]</w:t>
      </w:r>
      <w:r w:rsidRPr="00281126">
        <w:t xml:space="preserve"> </w:t>
      </w:r>
      <w:r/>
      <w:r>
        <w:t xml:space="preserve">Edmondson H A, Steiner P E. Primary carcinoma of the liver: a study of 100 cases among 48,</w:t>
      </w:r>
      <w:r>
        <w:t xml:space="preserve"> </w:t>
      </w:r>
      <w:r>
        <w:t xml:space="preserve">900 necropsies</w:t>
      </w:r>
      <w:r>
        <w:t>[</w:t>
      </w:r>
      <w:r>
        <w:t>J</w:t>
      </w:r>
      <w:r>
        <w:t>]</w:t>
      </w:r>
      <w:r>
        <w:t>.</w:t>
      </w:r>
      <w:r>
        <w:t> </w:t>
      </w:r>
      <w:r>
        <w:t xml:space="preserve">Cancer,</w:t>
      </w:r>
      <w:r>
        <w:t xml:space="preserve"> </w:t>
      </w:r>
      <w:r>
        <w:t>1954,</w:t>
      </w:r>
      <w:r>
        <w:t xml:space="preserve"> </w:t>
      </w:r>
      <w:r>
        <w:t>7</w:t>
      </w:r>
      <w:r>
        <w:t>(</w:t>
      </w:r>
      <w:r>
        <w:t>3</w:t>
      </w:r>
      <w:r>
        <w:t>)</w:t>
      </w:r>
      <w:r>
        <w:t xml:space="preserve">:</w:t>
      </w:r>
      <w:r>
        <w:t xml:space="preserve"> </w:t>
      </w:r>
      <w:r>
        <w:t>462-503.</w:t>
      </w:r>
    </w:p>
    <w:p w:rsidR="0018722C">
      <w:pPr>
        <w:pStyle w:val="ab"/>
        <w:topLinePunct/>
        <w:ind w:left="200" w:hangingChars="200" w:hanging="200"/>
      </w:pPr>
      <w:r>
        <w:t>[</w:t>
      </w:r>
      <w:r>
        <w:t xml:space="preserve">24</w:t>
      </w:r>
      <w:r>
        <w:t>]</w:t>
      </w:r>
      <w:r w:rsidRPr="00281126">
        <w:t xml:space="preserve"> </w:t>
      </w:r>
      <w:r/>
      <w:r>
        <w:t>Kobayashi N, Hiraoka N, Yamagami W, et al. FOXP3+ regulatory T cells affect the development and progression of hepatocarcinogenesis</w:t>
      </w:r>
      <w:r>
        <w:t>[</w:t>
      </w:r>
      <w:r>
        <w:t>J</w:t>
      </w:r>
      <w:r>
        <w:t>]</w:t>
      </w:r>
      <w:r>
        <w:t>. Clin Cancer</w:t>
      </w:r>
      <w:r>
        <w:t> </w:t>
      </w:r>
      <w:r>
        <w:t xml:space="preserve">Res,</w:t>
      </w:r>
      <w:r>
        <w:t xml:space="preserve"> </w:t>
      </w:r>
      <w:r>
        <w:t>2007,</w:t>
      </w:r>
      <w:r>
        <w:t xml:space="preserve"> </w:t>
      </w:r>
      <w:r>
        <w:t>13</w:t>
      </w:r>
      <w:r>
        <w:t>(</w:t>
      </w:r>
      <w:r>
        <w:t>3</w:t>
      </w:r>
      <w:r>
        <w:t>)</w:t>
      </w:r>
      <w:r>
        <w:t xml:space="preserve">:</w:t>
      </w:r>
      <w:r>
        <w:t xml:space="preserve"> </w:t>
      </w:r>
      <w:r>
        <w:t>902-911.</w:t>
      </w:r>
    </w:p>
    <w:p w:rsidR="0018722C">
      <w:pPr>
        <w:pStyle w:val="ab"/>
        <w:topLinePunct/>
        <w:ind w:left="200" w:hangingChars="200" w:hanging="200"/>
      </w:pPr>
      <w:r>
        <w:t>[</w:t>
      </w:r>
      <w:r>
        <w:t xml:space="preserve">25</w:t>
      </w:r>
      <w:r>
        <w:t>]</w:t>
      </w:r>
      <w:r w:rsidRPr="00281126">
        <w:t xml:space="preserve"> </w:t>
      </w:r>
      <w:r/>
      <w:r>
        <w:t>Llovet J M, Bru C, Bruix J. Prognosis of hepatocellular carcinoma: the BCLC staging classification</w:t>
      </w:r>
      <w:r>
        <w:t>[</w:t>
      </w:r>
      <w:r>
        <w:t>J</w:t>
      </w:r>
      <w:r>
        <w:t>]</w:t>
      </w:r>
      <w:r>
        <w:t>. Semin Liver</w:t>
      </w:r>
      <w:r>
        <w:t> </w:t>
      </w:r>
      <w:r>
        <w:t xml:space="preserve">Dis,</w:t>
      </w:r>
      <w:r>
        <w:t xml:space="preserve"> </w:t>
      </w:r>
      <w:r>
        <w:t>1999,</w:t>
      </w:r>
      <w:r>
        <w:t xml:space="preserve"> </w:t>
      </w:r>
      <w:r>
        <w:t>19</w:t>
      </w:r>
      <w:r>
        <w:t>(</w:t>
      </w:r>
      <w:r>
        <w:t>3</w:t>
      </w:r>
      <w:r>
        <w:t>)</w:t>
      </w:r>
      <w:r>
        <w:t xml:space="preserve">:</w:t>
      </w:r>
      <w:r>
        <w:t xml:space="preserve"> </w:t>
      </w:r>
      <w:r>
        <w:t>329-338.</w:t>
      </w:r>
    </w:p>
    <w:p w:rsidR="0018722C">
      <w:pPr>
        <w:pStyle w:val="ab"/>
        <w:topLinePunct/>
        <w:ind w:left="200" w:hangingChars="200" w:hanging="200"/>
      </w:pPr>
      <w:r>
        <w:rPr>
          <w:rFonts w:ascii="宋体" w:eastAsia="宋体" w:hint="eastAsia"/>
        </w:rPr>
        <w:t>[</w:t>
      </w:r>
      <w:r>
        <w:rPr>
          <w:rFonts w:ascii="宋体" w:eastAsia="宋体" w:hint="eastAsia"/>
        </w:rPr>
        <w:t xml:space="preserve">26</w:t>
      </w:r>
      <w:r>
        <w:rPr>
          <w:rFonts w:ascii="宋体" w:eastAsia="宋体" w:hint="eastAsia"/>
        </w:rPr>
        <w:t>]</w:t>
      </w:r>
      <w:r w:rsidRPr="00281126">
        <w:t xml:space="preserve"> </w:t>
      </w:r>
      <w:r>
        <w:rPr>
          <w:rFonts w:ascii="宋体" w:eastAsia="宋体" w:hint="eastAsia"/>
        </w:rPr>
        <w:t>中国抗癌协会肝癌专业委员会</w:t>
      </w:r>
      <w:r>
        <w:rPr>
          <w:rFonts w:ascii="宋体" w:eastAsia="宋体" w:hint="eastAsia"/>
        </w:rPr>
        <w:t xml:space="preserve">, </w:t>
      </w:r>
      <w:r>
        <w:rPr>
          <w:rFonts w:ascii="宋体" w:eastAsia="宋体" w:hint="eastAsia"/>
        </w:rPr>
        <w:t>中华医学会肝病学分会肝癌学组</w:t>
      </w:r>
      <w:r>
        <w:rPr>
          <w:rFonts w:ascii="宋体" w:eastAsia="宋体" w:hint="eastAsia"/>
        </w:rPr>
        <w:t xml:space="preserve">, </w:t>
      </w:r>
      <w:r>
        <w:rPr>
          <w:rFonts w:ascii="宋体" w:eastAsia="宋体" w:hint="eastAsia"/>
        </w:rPr>
        <w:t>中国抗癌协会病理专业委员会</w:t>
      </w:r>
      <w:r>
        <w:rPr>
          <w:rFonts w:ascii="宋体" w:eastAsia="宋体" w:hint="eastAsia"/>
        </w:rPr>
        <w:t xml:space="preserve">, </w:t>
      </w:r>
      <w:r>
        <w:rPr>
          <w:rFonts w:cstheme="minorBidi" w:hAnsiTheme="minorHAnsi" w:eastAsiaTheme="minorHAnsi" w:asciiTheme="minorHAnsi" w:ascii="宋体" w:eastAsia="宋体" w:hint="eastAsia"/>
        </w:rPr>
        <w:t>等</w:t>
      </w:r>
      <w:r>
        <w:rPr>
          <w:rFonts w:cstheme="minorBidi" w:hAnsiTheme="minorHAnsi" w:eastAsiaTheme="minorHAnsi" w:asciiTheme="minorHAnsi"/>
        </w:rPr>
        <w:t>. </w:t>
      </w:r>
      <w:r>
        <w:rPr>
          <w:rFonts w:ascii="宋体" w:eastAsia="宋体" w:hint="eastAsia" w:cstheme="minorBidi" w:hAnsiTheme="minorHAnsi"/>
        </w:rPr>
        <w:t>原发性肝癌规范化病理诊断指南</w:t>
      </w:r>
      <w:r>
        <w:rPr>
          <w:rFonts w:cstheme="minorBidi" w:hAnsiTheme="minorHAnsi" w:eastAsiaTheme="minorHAnsi" w:asciiTheme="minorHAnsi"/>
        </w:rPr>
        <w:t>(</w:t>
      </w:r>
      <w:r>
        <w:rPr>
          <w:kern w:val="2"/>
          <w:szCs w:val="22"/>
          <w:rFonts w:cstheme="minorBidi" w:hAnsiTheme="minorHAnsi" w:eastAsiaTheme="minorHAnsi" w:asciiTheme="minorHAnsi"/>
          <w:sz w:val="20"/>
        </w:rPr>
        <w:t>2015</w:t>
      </w:r>
      <w:r>
        <w:rPr>
          <w:kern w:val="2"/>
          <w:szCs w:val="22"/>
          <w:rFonts w:ascii="宋体" w:eastAsia="宋体" w:hint="eastAsia" w:cstheme="minorBidi" w:hAnsiTheme="minorHAnsi"/>
          <w:sz w:val="20"/>
        </w:rPr>
        <w:t>年版</w:t>
      </w:r>
      <w:r>
        <w:rPr>
          <w:rFonts w:cstheme="minorBidi" w:hAnsiTheme="minorHAnsi" w:eastAsiaTheme="minorHAnsi" w:asciiTheme="minorHAnsi"/>
        </w:rPr>
        <w:t>)</w:t>
      </w:r>
      <w:r>
        <w:rPr>
          <w:rFonts w:cstheme="minorBidi" w:hAnsiTheme="minorHAnsi" w:eastAsiaTheme="minorHAnsi" w:asciiTheme="minorHAnsi"/>
        </w:rPr>
        <w:t>[</w:t>
      </w:r>
      <w:r>
        <w:rPr>
          <w:rFonts w:cstheme="minorBidi" w:hAnsiTheme="minorHAnsi" w:eastAsiaTheme="minorHAnsi" w:asciiTheme="minorHAnsi"/>
        </w:rPr>
        <w:t xml:space="preserve">J</w:t>
      </w:r>
      <w:r>
        <w:rPr>
          <w:rFonts w:cstheme="minorBidi" w:hAnsiTheme="minorHAnsi" w:eastAsiaTheme="minorHAnsi" w:asciiTheme="minorHAnsi"/>
        </w:rPr>
        <w:t>]</w:t>
      </w:r>
      <w:r>
        <w:rPr>
          <w:rFonts w:cstheme="minorBidi" w:hAnsiTheme="minorHAnsi" w:eastAsiaTheme="minorHAnsi" w:asciiTheme="minorHAnsi"/>
        </w:rPr>
        <w:t xml:space="preserve">. </w:t>
      </w:r>
      <w:r>
        <w:rPr>
          <w:rFonts w:ascii="宋体" w:eastAsia="宋体" w:hint="eastAsia" w:cstheme="minorBidi" w:hAnsiTheme="minorHAnsi"/>
        </w:rPr>
        <w:t>中华肝胆外科杂志</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2015,</w:t>
      </w:r>
      <w:r>
        <w:rPr>
          <w:rFonts w:cstheme="minorBidi" w:hAnsiTheme="minorHAnsi" w:eastAsiaTheme="minorHAnsi" w:asciiTheme="minorHAnsi"/>
        </w:rPr>
        <w:t xml:space="preserve"> </w:t>
      </w:r>
      <w:r>
        <w:rPr>
          <w:rFonts w:cstheme="minorBidi" w:hAnsiTheme="minorHAnsi" w:eastAsiaTheme="minorHAnsi" w:asciiTheme="minorHAnsi"/>
        </w:rPr>
        <w:t>21</w:t>
      </w:r>
      <w:r>
        <w:rPr>
          <w:rFonts w:cstheme="minorBidi" w:hAnsiTheme="minorHAnsi" w:eastAsiaTheme="minorHAnsi" w:asciiTheme="minorHAnsi"/>
        </w:rPr>
        <w:t>(</w:t>
      </w:r>
      <w:r>
        <w:rPr>
          <w:kern w:val="2"/>
          <w:szCs w:val="22"/>
          <w:rFonts w:cstheme="minorBidi" w:hAnsiTheme="minorHAnsi" w:eastAsiaTheme="minorHAnsi" w:asciiTheme="minorHAnsi"/>
          <w:sz w:val="20"/>
        </w:rPr>
        <w:t>3</w:t>
      </w:r>
      <w:r>
        <w:rPr>
          <w:rFonts w:cstheme="minorBidi" w:hAnsiTheme="minorHAnsi" w:eastAsiaTheme="minorHAnsi" w:asciiTheme="minorHAnsi"/>
        </w:rPr>
        <w:t>)</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145-151.</w:t>
      </w:r>
    </w:p>
    <w:p w:rsidR="0018722C">
      <w:pPr>
        <w:pStyle w:val="ab"/>
        <w:topLinePunct/>
        <w:ind w:left="200" w:hangingChars="200" w:hanging="200"/>
      </w:pPr>
      <w:r>
        <w:t>[</w:t>
      </w:r>
      <w:r>
        <w:t xml:space="preserve">27</w:t>
      </w:r>
      <w:r>
        <w:t>]</w:t>
      </w:r>
      <w:r w:rsidRPr="00281126">
        <w:t xml:space="preserve"> </w:t>
      </w:r>
      <w:r/>
      <w:r>
        <w:t>Baker A M, Bird D, Welti J C, et al. Lysyl oxidase plays a critical role in endothelial cell stimulation to drive</w:t>
      </w:r>
      <w:r>
        <w:t> </w:t>
      </w:r>
      <w:r>
        <w:t>tumor</w:t>
      </w:r>
      <w:r>
        <w:t> </w:t>
      </w:r>
      <w:r>
        <w:t>angiogenesis</w:t>
      </w:r>
      <w:r>
        <w:t>[</w:t>
      </w:r>
      <w:r>
        <w:t>J</w:t>
      </w:r>
      <w:r>
        <w:t>]</w:t>
      </w:r>
      <w:r>
        <w:t>.</w:t>
      </w:r>
      <w:r>
        <w:t> </w:t>
      </w:r>
      <w:r>
        <w:t>Cancer</w:t>
      </w:r>
      <w:r>
        <w:t> </w:t>
      </w:r>
      <w:r>
        <w:t xml:space="preserve">Res,</w:t>
      </w:r>
      <w:r>
        <w:t xml:space="preserve"> </w:t>
      </w:r>
      <w:r>
        <w:t>2013,</w:t>
      </w:r>
      <w:r>
        <w:t xml:space="preserve"> </w:t>
      </w:r>
      <w:r>
        <w:t>73</w:t>
      </w:r>
      <w:r>
        <w:t>(</w:t>
      </w:r>
      <w:r>
        <w:t>2</w:t>
      </w:r>
      <w:r>
        <w:t>)</w:t>
      </w:r>
      <w:r>
        <w:t xml:space="preserve">:</w:t>
      </w:r>
      <w:r>
        <w:t xml:space="preserve"> </w:t>
      </w:r>
      <w:r>
        <w:t>583-594.</w:t>
      </w:r>
    </w:p>
    <w:p w:rsidR="0018722C">
      <w:pPr>
        <w:pStyle w:val="ab"/>
        <w:topLinePunct/>
        <w:ind w:left="200" w:hangingChars="200" w:hanging="200"/>
      </w:pPr>
      <w:r>
        <w:t>[</w:t>
      </w:r>
      <w:r>
        <w:t xml:space="preserve">28</w:t>
      </w:r>
      <w:r>
        <w:t>]</w:t>
      </w:r>
      <w:r w:rsidRPr="00281126">
        <w:t xml:space="preserve"> </w:t>
      </w:r>
      <w:r/>
      <w:r>
        <w:t>Stravitz R T, Heuman D M, Chand N, et al. Surveillance for hepatocellular carcinoma in patients with cirrhosis</w:t>
      </w:r>
      <w:r>
        <w:t> </w:t>
      </w:r>
      <w:r>
        <w:t>improves</w:t>
      </w:r>
      <w:r>
        <w:t> </w:t>
      </w:r>
      <w:r>
        <w:t>outcome</w:t>
      </w:r>
      <w:r>
        <w:t>[</w:t>
      </w:r>
      <w:r>
        <w:t>J</w:t>
      </w:r>
      <w:r>
        <w:t>]</w:t>
      </w:r>
      <w:r>
        <w:t>.</w:t>
      </w:r>
      <w:r>
        <w:t> </w:t>
      </w:r>
      <w:r>
        <w:t>Am</w:t>
      </w:r>
      <w:r>
        <w:t> </w:t>
      </w:r>
      <w:r>
        <w:t>J</w:t>
      </w:r>
      <w:r>
        <w:t> </w:t>
      </w:r>
      <w:r>
        <w:t xml:space="preserve">Med,</w:t>
      </w:r>
      <w:r>
        <w:t xml:space="preserve"> </w:t>
      </w:r>
      <w:r>
        <w:t>2008,</w:t>
      </w:r>
      <w:r>
        <w:t xml:space="preserve"> </w:t>
      </w:r>
      <w:r>
        <w:t>121</w:t>
      </w:r>
      <w:r>
        <w:t>(</w:t>
      </w:r>
      <w:r>
        <w:t>2</w:t>
      </w:r>
      <w:r>
        <w:t>)</w:t>
      </w:r>
      <w:r>
        <w:t xml:space="preserve">:</w:t>
      </w:r>
      <w:r>
        <w:t xml:space="preserve"> </w:t>
      </w:r>
      <w:r>
        <w:t>119-126.</w:t>
      </w:r>
    </w:p>
    <w:p w:rsidR="0018722C">
      <w:pPr>
        <w:pStyle w:val="ab"/>
        <w:topLinePunct/>
        <w:ind w:left="200" w:hangingChars="200" w:hanging="200"/>
      </w:pPr>
      <w:r>
        <w:t>[</w:t>
      </w:r>
      <w:r>
        <w:t xml:space="preserve">29</w:t>
      </w:r>
      <w:r>
        <w:t>]</w:t>
      </w:r>
      <w:r w:rsidRPr="00281126">
        <w:t xml:space="preserve"> </w:t>
      </w:r>
      <w:r/>
      <w:r>
        <w:t>Forner A, Vilana R, Ayuso C, et al. Diagnosis of hepatic nodules 20 mm or smaller in cirrhosis: Prospective validation</w:t>
      </w:r>
      <w:r>
        <w:t> </w:t>
      </w:r>
      <w:r>
        <w:t>of</w:t>
      </w:r>
      <w:r>
        <w:t> </w:t>
      </w:r>
      <w:r>
        <w:t>the</w:t>
      </w:r>
      <w:r>
        <w:t> </w:t>
      </w:r>
      <w:r>
        <w:t>noninvasive</w:t>
      </w:r>
      <w:r>
        <w:t> </w:t>
      </w:r>
      <w:r>
        <w:t>diagnostic</w:t>
      </w:r>
      <w:r>
        <w:t> </w:t>
      </w:r>
      <w:r>
        <w:t>criteria</w:t>
      </w:r>
      <w:r>
        <w:t> </w:t>
      </w:r>
      <w:r>
        <w:t>for</w:t>
      </w:r>
      <w:r>
        <w:t> </w:t>
      </w:r>
      <w:r>
        <w:t>hepatocellular</w:t>
      </w:r>
      <w:r>
        <w:t> </w:t>
      </w:r>
      <w:r>
        <w:t>carcinoma</w:t>
      </w:r>
      <w:r>
        <w:t>[</w:t>
      </w:r>
      <w:r>
        <w:t>J</w:t>
      </w:r>
      <w:r>
        <w:t>]</w:t>
      </w:r>
      <w:r>
        <w:t>.</w:t>
      </w:r>
      <w:r>
        <w:t> </w:t>
      </w:r>
      <w:r>
        <w:t xml:space="preserve">Hepatology,</w:t>
      </w:r>
      <w:r>
        <w:t xml:space="preserve"> </w:t>
      </w:r>
      <w:r>
        <w:t>2008,</w:t>
      </w:r>
      <w:r>
        <w:t xml:space="preserve"> </w:t>
      </w:r>
      <w:r>
        <w:t>47</w:t>
      </w:r>
      <w:r>
        <w:t>(</w:t>
      </w:r>
      <w:r>
        <w:t>1</w:t>
      </w:r>
      <w:r>
        <w:t>)</w:t>
      </w:r>
      <w:r>
        <w:t xml:space="preserve">:</w:t>
      </w:r>
      <w:r>
        <w:t xml:space="preserve"> </w:t>
      </w:r>
      <w:r>
        <w:t>97-104.</w:t>
      </w:r>
    </w:p>
    <w:p w:rsidR="0018722C">
      <w:pPr>
        <w:pStyle w:val="ab"/>
        <w:topLinePunct/>
        <w:ind w:left="200" w:hangingChars="200" w:hanging="200"/>
      </w:pPr>
      <w:r>
        <w:t>[</w:t>
      </w:r>
      <w:r>
        <w:t xml:space="preserve">30</w:t>
      </w:r>
      <w:r>
        <w:t>]</w:t>
      </w:r>
      <w:r w:rsidRPr="00281126">
        <w:t xml:space="preserve"> </w:t>
      </w:r>
      <w:r/>
      <w:r>
        <w:t>Itamoto T, Nakahara H, Amano H, et al. Repeat hepatectomy for recurrent hepatocellular carcinoma</w:t>
      </w:r>
      <w:r>
        <w:t>[</w:t>
      </w:r>
      <w:r>
        <w:t>J</w:t>
      </w:r>
      <w:r>
        <w:t>]</w:t>
      </w:r>
      <w:r>
        <w:t xml:space="preserve">. Surgery,</w:t>
      </w:r>
      <w:r>
        <w:t xml:space="preserve"> </w:t>
      </w:r>
      <w:r>
        <w:t>2007,</w:t>
      </w:r>
      <w:r>
        <w:t xml:space="preserve"> </w:t>
      </w:r>
      <w:r>
        <w:t>141</w:t>
      </w:r>
      <w:r>
        <w:t>(</w:t>
      </w:r>
      <w:r>
        <w:t>5</w:t>
      </w:r>
      <w:r>
        <w:t>)</w:t>
      </w:r>
      <w:r>
        <w:t xml:space="preserve">:</w:t>
      </w:r>
      <w:r>
        <w:t xml:space="preserve"> </w:t>
      </w:r>
      <w:r>
        <w:t>589-597.</w:t>
      </w:r>
    </w:p>
    <w:p w:rsidR="0018722C">
      <w:pPr>
        <w:pStyle w:val="ab"/>
        <w:topLinePunct/>
        <w:ind w:left="200" w:hangingChars="200" w:hanging="200"/>
      </w:pPr>
      <w:r>
        <w:t>[</w:t>
      </w:r>
      <w:r>
        <w:t xml:space="preserve">31</w:t>
      </w:r>
      <w:r>
        <w:t>]</w:t>
      </w:r>
      <w:r w:rsidRPr="00281126">
        <w:t xml:space="preserve"> </w:t>
      </w:r>
      <w:r/>
      <w:r>
        <w:t>Llovet J M. Clinical and molecular classification of hepatocellular carcinoma</w:t>
      </w:r>
      <w:r>
        <w:t>[</w:t>
      </w:r>
      <w:r>
        <w:t>J</w:t>
      </w:r>
      <w:r>
        <w:t>]</w:t>
      </w:r>
      <w:r>
        <w:t xml:space="preserve">. Liver Transpl,</w:t>
      </w:r>
      <w:r>
        <w:t xml:space="preserve"> </w:t>
      </w:r>
      <w:r>
        <w:t>2007,</w:t>
      </w:r>
      <w:r>
        <w:t xml:space="preserve"> </w:t>
      </w:r>
      <w:r>
        <w:t>13</w:t>
      </w:r>
      <w:r>
        <w:t>(</w:t>
      </w:r>
      <w:r>
        <w:t>11 Suppl</w:t>
      </w:r>
      <w:r>
        <w:t> </w:t>
      </w:r>
      <w:r>
        <w:t>2</w:t>
      </w:r>
      <w:r>
        <w:t>)</w:t>
      </w:r>
      <w:r>
        <w:t xml:space="preserve">:</w:t>
      </w:r>
      <w:r>
        <w:t xml:space="preserve"> </w:t>
      </w:r>
      <w:r>
        <w:t>S13-S16.</w:t>
      </w:r>
    </w:p>
    <w:p w:rsidR="0018722C">
      <w:pPr>
        <w:pStyle w:val="ab"/>
        <w:topLinePunct/>
        <w:ind w:left="200" w:hangingChars="200" w:hanging="200"/>
      </w:pPr>
      <w:r>
        <w:t>[</w:t>
      </w:r>
      <w:r>
        <w:t xml:space="preserve">32</w:t>
      </w:r>
      <w:r>
        <w:t>]</w:t>
      </w:r>
      <w:r w:rsidRPr="00281126">
        <w:t xml:space="preserve"> </w:t>
      </w:r>
      <w:r/>
      <w:r>
        <w:t>Llovet</w:t>
      </w:r>
      <w:r>
        <w:t> </w:t>
      </w:r>
      <w:r>
        <w:t>J</w:t>
      </w:r>
      <w:r>
        <w:t> </w:t>
      </w:r>
      <w:r>
        <w:t>M,</w:t>
      </w:r>
      <w:r>
        <w:t> </w:t>
      </w:r>
      <w:r>
        <w:t>Burroughs</w:t>
      </w:r>
      <w:r>
        <w:t> </w:t>
      </w:r>
      <w:r>
        <w:t>A,</w:t>
      </w:r>
      <w:r>
        <w:t> </w:t>
      </w:r>
      <w:r>
        <w:t>Bruix</w:t>
      </w:r>
      <w:r>
        <w:t> </w:t>
      </w:r>
      <w:r>
        <w:t>J.</w:t>
      </w:r>
      <w:r>
        <w:t> </w:t>
      </w:r>
      <w:r>
        <w:t>Hepatocellular</w:t>
      </w:r>
      <w:r>
        <w:t> </w:t>
      </w:r>
      <w:r>
        <w:t>carcinoma</w:t>
      </w:r>
      <w:r>
        <w:t>[</w:t>
      </w:r>
      <w:r>
        <w:t>J</w:t>
      </w:r>
      <w:r>
        <w:t>]</w:t>
      </w:r>
      <w:r>
        <w:t>.</w:t>
      </w:r>
      <w:r>
        <w:t> </w:t>
      </w:r>
      <w:r>
        <w:t xml:space="preserve">Lancet,</w:t>
      </w:r>
      <w:r>
        <w:t xml:space="preserve"> </w:t>
      </w:r>
      <w:r>
        <w:t>2003,</w:t>
      </w:r>
      <w:r>
        <w:t xml:space="preserve"> </w:t>
      </w:r>
      <w:r>
        <w:t>362</w:t>
      </w:r>
      <w:r>
        <w:t>(</w:t>
      </w:r>
      <w:r>
        <w:t>9399</w:t>
      </w:r>
      <w:r>
        <w:t>)</w:t>
      </w:r>
      <w:r>
        <w:t xml:space="preserve">:</w:t>
      </w:r>
      <w:r>
        <w:t xml:space="preserve"> </w:t>
      </w:r>
      <w:r>
        <w:t>1907-1917.</w:t>
      </w:r>
    </w:p>
    <w:p w:rsidR="0018722C">
      <w:pPr>
        <w:pStyle w:val="ab"/>
        <w:topLinePunct/>
        <w:ind w:left="200" w:hangingChars="200" w:hanging="200"/>
      </w:pPr>
      <w:r>
        <w:t>[</w:t>
      </w:r>
      <w:r>
        <w:t xml:space="preserve">33</w:t>
      </w:r>
      <w:r>
        <w:t>]</w:t>
      </w:r>
      <w:r w:rsidRPr="00281126">
        <w:t xml:space="preserve"> </w:t>
      </w:r>
      <w:r/>
      <w:r>
        <w:t>Foster J, Black J, Levea C, et al. COX-2 expression in hepatocellular carcinoma is an initiation event; while EGF receptor expression with downstream pathway activation</w:t>
      </w:r>
      <w:r w:rsidR="001852F3">
        <w:t xml:space="preserve"> is a prognostic predictor</w:t>
      </w:r>
      <w:r w:rsidR="001852F3">
        <w:t xml:space="preserve"> of survival</w:t>
      </w:r>
      <w:r>
        <w:t>[</w:t>
      </w:r>
      <w:r>
        <w:t>J</w:t>
      </w:r>
      <w:r>
        <w:t>]</w:t>
      </w:r>
      <w:r>
        <w:t>. Ann</w:t>
      </w:r>
      <w:r w:rsidR="001852F3">
        <w:t xml:space="preserve"> Surg</w:t>
      </w:r>
      <w:r>
        <w:t> </w:t>
      </w:r>
      <w:r>
        <w:t xml:space="preserve">Oncol,</w:t>
      </w:r>
      <w:r>
        <w:t xml:space="preserve"> </w:t>
      </w:r>
      <w:r>
        <w:t>2007,</w:t>
      </w:r>
      <w:r>
        <w:t xml:space="preserve"> </w:t>
      </w:r>
      <w:r>
        <w:t>14</w:t>
      </w:r>
      <w:r>
        <w:t>(</w:t>
      </w:r>
      <w:r>
        <w:t>2</w:t>
      </w:r>
      <w:r>
        <w:t>)</w:t>
      </w:r>
      <w:r>
        <w:t xml:space="preserve">:</w:t>
      </w:r>
      <w:r>
        <w:t xml:space="preserve"> </w:t>
      </w:r>
      <w:r>
        <w:t>752-758.</w:t>
      </w:r>
    </w:p>
    <w:p w:rsidR="0018722C">
      <w:pPr>
        <w:pStyle w:val="ab"/>
        <w:topLinePunct/>
        <w:ind w:left="200" w:hangingChars="200" w:hanging="200"/>
      </w:pPr>
      <w:r>
        <w:t xml:space="preserve">[</w:t>
      </w:r>
      <w:r>
        <w:t xml:space="preserve">34</w:t>
      </w:r>
      <w:r>
        <w:t xml:space="preserve">]</w:t>
      </w:r>
      <w:r w:rsidRPr="00281126">
        <w:t xml:space="preserve"> </w:t>
      </w:r>
      <w:r/>
      <w:r>
        <w:t xml:space="preserve">Yang Y, Zhu J, Gou H, et al. Clinical significance of Cox-2, Survivin and Bcl-2 expression in hepatocellular carcinoma </w:t>
      </w:r>
      <w:r>
        <w:t xml:space="preserve">(</w:t>
      </w:r>
      <w:r>
        <w:rPr>
          <w:sz w:val="20"/>
        </w:rPr>
        <w:t xml:space="preserve">HCC</w:t>
      </w:r>
      <w:r>
        <w:t xml:space="preserve">)</w:t>
      </w:r>
      <w:r/>
      <w:r>
        <w:t xml:space="preserve">[</w:t>
      </w:r>
      <w:r>
        <w:t xml:space="preserve">J</w:t>
      </w:r>
      <w:r>
        <w:t xml:space="preserve">]</w:t>
      </w:r>
      <w:r>
        <w:t xml:space="preserve">. Med</w:t>
      </w:r>
      <w:r>
        <w:t xml:space="preserve"> </w:t>
      </w:r>
      <w:r>
        <w:t xml:space="preserve">Oncol,</w:t>
      </w:r>
      <w:r>
        <w:t xml:space="preserve"> </w:t>
      </w:r>
      <w:r>
        <w:t>2011,</w:t>
      </w:r>
      <w:r>
        <w:t xml:space="preserve"> </w:t>
      </w:r>
      <w:r>
        <w:t>28</w:t>
      </w:r>
      <w:r>
        <w:t xml:space="preserve">(</w:t>
      </w:r>
      <w:r>
        <w:rPr>
          <w:sz w:val="20"/>
        </w:rPr>
        <w:t xml:space="preserve">3</w:t>
      </w:r>
      <w:r>
        <w:t xml:space="preserve">)</w:t>
      </w:r>
      <w:r>
        <w:t xml:space="preserve">:</w:t>
      </w:r>
      <w:r>
        <w:t xml:space="preserve"> </w:t>
      </w:r>
      <w:r>
        <w:t>796-803.</w:t>
      </w:r>
    </w:p>
    <w:p w:rsidR="0018722C">
      <w:pPr>
        <w:pStyle w:val="ab"/>
        <w:topLinePunct/>
        <w:ind w:left="200" w:hangingChars="200" w:hanging="200"/>
      </w:pPr>
      <w:r>
        <w:t>[</w:t>
      </w:r>
      <w:r>
        <w:t xml:space="preserve">35</w:t>
      </w:r>
      <w:r>
        <w:t>]</w:t>
      </w:r>
      <w:r w:rsidRPr="00281126">
        <w:t xml:space="preserve"> </w:t>
      </w:r>
      <w:r/>
      <w:r>
        <w:t>Tang T C, Poon R T, Lau C P, et al. Tumor cyclooxygenase-2 levels correlate with tumor invasiveness in human</w:t>
      </w:r>
      <w:r>
        <w:t> </w:t>
      </w:r>
      <w:r>
        <w:t>hepatocellular</w:t>
      </w:r>
      <w:r>
        <w:t> </w:t>
      </w:r>
      <w:r>
        <w:t>carcinoma</w:t>
      </w:r>
      <w:r>
        <w:t>[</w:t>
      </w:r>
      <w:r>
        <w:t>J</w:t>
      </w:r>
      <w:r>
        <w:t>]</w:t>
      </w:r>
      <w:r>
        <w:t>.</w:t>
      </w:r>
      <w:r>
        <w:t> </w:t>
      </w:r>
      <w:r>
        <w:t>World</w:t>
      </w:r>
      <w:r>
        <w:t> </w:t>
      </w:r>
      <w:r>
        <w:t>J</w:t>
      </w:r>
      <w:r>
        <w:t> </w:t>
      </w:r>
      <w:r>
        <w:t xml:space="preserve">Gastroenterol,</w:t>
      </w:r>
      <w:r>
        <w:t xml:space="preserve"> </w:t>
      </w:r>
      <w:r>
        <w:t>2005,</w:t>
      </w:r>
      <w:r>
        <w:t xml:space="preserve"> </w:t>
      </w:r>
      <w:r>
        <w:t>11</w:t>
      </w:r>
      <w:r>
        <w:t>(</w:t>
      </w:r>
      <w:r>
        <w:t>13</w:t>
      </w:r>
      <w:r>
        <w:t>)</w:t>
      </w:r>
      <w:r>
        <w:t xml:space="preserve">:</w:t>
      </w:r>
      <w:r>
        <w:t xml:space="preserve"> </w:t>
      </w:r>
      <w:r>
        <w:t>1896-1902.</w:t>
      </w:r>
    </w:p>
    <w:p w:rsidR="0018722C">
      <w:pPr>
        <w:pStyle w:val="ab"/>
        <w:topLinePunct/>
        <w:ind w:left="200" w:hangingChars="200" w:hanging="200"/>
      </w:pPr>
      <w:r>
        <w:t>[</w:t>
      </w:r>
      <w:r>
        <w:t xml:space="preserve">36</w:t>
      </w:r>
      <w:r>
        <w:t>]</w:t>
      </w:r>
      <w:r w:rsidRPr="00281126">
        <w:t xml:space="preserve"> </w:t>
      </w:r>
      <w:r/>
      <w:r>
        <w:t>Zhang H, Cheng S, Zhang M, et al. Prostaglandin E2 promotes hepatocellular carcinoma cell invasion through</w:t>
      </w:r>
      <w:r>
        <w:t> </w:t>
      </w:r>
      <w:r>
        <w:t>upregulation</w:t>
      </w:r>
      <w:r>
        <w:t> </w:t>
      </w:r>
      <w:r>
        <w:t>of</w:t>
      </w:r>
      <w:r>
        <w:t> </w:t>
      </w:r>
      <w:r>
        <w:t>YB-1</w:t>
      </w:r>
      <w:r>
        <w:t> </w:t>
      </w:r>
      <w:r>
        <w:t>protein</w:t>
      </w:r>
      <w:r>
        <w:t> </w:t>
      </w:r>
      <w:r>
        <w:t>expression</w:t>
      </w:r>
      <w:r>
        <w:t>[</w:t>
      </w:r>
      <w:r>
        <w:t>J</w:t>
      </w:r>
      <w:r>
        <w:t>]</w:t>
      </w:r>
      <w:r>
        <w:t>.</w:t>
      </w:r>
      <w:r>
        <w:t> </w:t>
      </w:r>
      <w:r>
        <w:t>Int</w:t>
      </w:r>
      <w:r>
        <w:t> </w:t>
      </w:r>
      <w:r>
        <w:t>J</w:t>
      </w:r>
      <w:r>
        <w:t> </w:t>
      </w:r>
      <w:r>
        <w:t xml:space="preserve">Oncol,</w:t>
      </w:r>
      <w:r>
        <w:t xml:space="preserve"> </w:t>
      </w:r>
      <w:r>
        <w:t>2014,</w:t>
      </w:r>
      <w:r>
        <w:t xml:space="preserve"> </w:t>
      </w:r>
      <w:r>
        <w:t>44</w:t>
      </w:r>
      <w:r>
        <w:t>(</w:t>
      </w:r>
      <w:r>
        <w:t>3</w:t>
      </w:r>
      <w:r>
        <w:t>)</w:t>
      </w:r>
      <w:r>
        <w:t xml:space="preserve">:</w:t>
      </w:r>
      <w:r>
        <w:t xml:space="preserve"> </w:t>
      </w:r>
      <w:r>
        <w:t>769-780.</w:t>
      </w:r>
    </w:p>
    <w:p w:rsidR="0018722C">
      <w:pPr>
        <w:pStyle w:val="ab"/>
        <w:topLinePunct/>
        <w:ind w:left="200" w:hangingChars="200" w:hanging="200"/>
      </w:pPr>
      <w:r>
        <w:t>[</w:t>
      </w:r>
      <w:r>
        <w:t xml:space="preserve">37</w:t>
      </w:r>
      <w:r>
        <w:t>]</w:t>
      </w:r>
      <w:r w:rsidRPr="00281126">
        <w:t xml:space="preserve"> </w:t>
      </w:r>
      <w:r/>
      <w:r>
        <w:t>Bai X, Wang J, Zhang L, et al. Prostaglandin E</w:t>
      </w:r>
      <w:r>
        <w:t>(</w:t>
      </w:r>
      <w:r>
        <w:rPr>
          <w:sz w:val="20"/>
        </w:rPr>
        <w:t>2</w:t>
      </w:r>
      <w:r>
        <w:t>)</w:t>
      </w:r>
      <w:r>
        <w:t xml:space="preserve"> receptor EP1-mediated phosphorylation of focal adhesion kinase enhances cell adhesion and migration in hepatocellular carcinoma cells</w:t>
      </w:r>
      <w:r>
        <w:t>[</w:t>
      </w:r>
      <w:r>
        <w:t>J</w:t>
      </w:r>
      <w:r>
        <w:t>]</w:t>
      </w:r>
      <w:r>
        <w:t xml:space="preserve">. Int J Oncol,</w:t>
      </w:r>
      <w:r>
        <w:t xml:space="preserve"> </w:t>
      </w:r>
      <w:r>
        <w:t>2013,</w:t>
      </w:r>
      <w:r>
        <w:t xml:space="preserve"> </w:t>
      </w:r>
      <w:r>
        <w:t>42</w:t>
      </w:r>
      <w:r>
        <w:t>(</w:t>
      </w:r>
      <w:r>
        <w:rPr>
          <w:sz w:val="20"/>
        </w:rPr>
        <w:t>5</w:t>
      </w:r>
      <w:r>
        <w:t>)</w:t>
      </w:r>
      <w:r>
        <w:t xml:space="preserve">:</w:t>
      </w:r>
      <w:r>
        <w:t xml:space="preserve"> </w:t>
      </w:r>
      <w:r>
        <w:t xml:space="preserve">1833- 1841.</w:t>
      </w:r>
    </w:p>
    <w:p w:rsidR="0018722C">
      <w:pPr>
        <w:pStyle w:val="ab"/>
        <w:topLinePunct/>
        <w:ind w:left="200" w:hangingChars="200" w:hanging="200"/>
      </w:pPr>
      <w:bookmarkStart w:id="915015" w:name="_cwCmt6"/>
      <w:r>
        <w:t>[</w:t>
      </w:r>
      <w:r>
        <w:t xml:space="preserve">38</w:t>
      </w:r>
      <w:r>
        <w:t>]</w:t>
      </w:r>
      <w:r w:rsidRPr="00281126">
        <w:t xml:space="preserve"> </w:t>
      </w:r>
      <w:r/>
      <w:r>
        <w:t>Kim S H, Park Y Y, Kim S W, et al. ANGPTL4 induction by prostaglandin E2 under hypoxic conditions promotes</w:t>
      </w:r>
      <w:r>
        <w:t> </w:t>
      </w:r>
      <w:r>
        <w:t>colorectal</w:t>
      </w:r>
      <w:r>
        <w:t> </w:t>
      </w:r>
      <w:r>
        <w:t>cancer</w:t>
      </w:r>
      <w:r>
        <w:t> </w:t>
      </w:r>
      <w:r>
        <w:t>progression</w:t>
      </w:r>
      <w:r>
        <w:t>[</w:t>
      </w:r>
      <w:r>
        <w:t>J</w:t>
      </w:r>
      <w:r>
        <w:t>]</w:t>
      </w:r>
      <w:r>
        <w:t>.</w:t>
      </w:r>
      <w:r>
        <w:t> </w:t>
      </w:r>
      <w:r>
        <w:t>Cancer</w:t>
      </w:r>
      <w:r>
        <w:t> </w:t>
      </w:r>
      <w:r>
        <w:t xml:space="preserve">Res,</w:t>
      </w:r>
      <w:r>
        <w:t xml:space="preserve"> </w:t>
      </w:r>
      <w:r>
        <w:t>2011,</w:t>
      </w:r>
      <w:r>
        <w:t xml:space="preserve"> </w:t>
      </w:r>
      <w:r>
        <w:t>71</w:t>
      </w:r>
      <w:r>
        <w:t>(</w:t>
      </w:r>
      <w:r>
        <w:t>22</w:t>
      </w:r>
      <w:r>
        <w:t>)</w:t>
      </w:r>
      <w:r>
        <w:t xml:space="preserve">:</w:t>
      </w:r>
      <w:r>
        <w:t xml:space="preserve"> </w:t>
      </w:r>
      <w:r>
        <w:t>7010-7020.</w:t>
      </w:r>
      <w:bookmarkEnd w:id="915015"/>
    </w:p>
    <w:p w:rsidR="0018722C">
      <w:pPr>
        <w:pStyle w:val="ab"/>
        <w:topLinePunct/>
        <w:ind w:left="200" w:hangingChars="200" w:hanging="200"/>
      </w:pPr>
      <w:r>
        <w:t>[</w:t>
      </w:r>
      <w:r>
        <w:t xml:space="preserve">39</w:t>
      </w:r>
      <w:r>
        <w:t>]</w:t>
      </w:r>
      <w:r w:rsidRPr="00281126">
        <w:t xml:space="preserve"> </w:t>
      </w:r>
      <w:r/>
      <w:r>
        <w:t>Kim S H, Park Y Y, Kim S W, et al. ANGPTL4 induction by prostaglandin E2 under hypoxic conditions promotes</w:t>
      </w:r>
      <w:r>
        <w:t> </w:t>
      </w:r>
      <w:r>
        <w:t>colorectal</w:t>
      </w:r>
      <w:r>
        <w:t> </w:t>
      </w:r>
      <w:r>
        <w:t>cancer</w:t>
      </w:r>
      <w:r>
        <w:t> </w:t>
      </w:r>
      <w:r>
        <w:t>progression</w:t>
      </w:r>
      <w:r>
        <w:t>[</w:t>
      </w:r>
      <w:r>
        <w:t>J</w:t>
      </w:r>
      <w:r>
        <w:t>]</w:t>
      </w:r>
      <w:r>
        <w:t>.</w:t>
      </w:r>
      <w:r>
        <w:t> </w:t>
      </w:r>
      <w:r>
        <w:t>Cancer</w:t>
      </w:r>
      <w:r>
        <w:t> </w:t>
      </w:r>
      <w:r>
        <w:t xml:space="preserve">Res,</w:t>
      </w:r>
      <w:r>
        <w:t xml:space="preserve"> </w:t>
      </w:r>
      <w:r>
        <w:t>2011,</w:t>
      </w:r>
      <w:r>
        <w:t xml:space="preserve"> </w:t>
      </w:r>
      <w:r>
        <w:t>71</w:t>
      </w:r>
      <w:r>
        <w:t>(</w:t>
      </w:r>
      <w:r>
        <w:t>22</w:t>
      </w:r>
      <w:r>
        <w:t>)</w:t>
      </w:r>
      <w:r>
        <w:t xml:space="preserve">:</w:t>
      </w:r>
      <w:r>
        <w:t xml:space="preserve"> </w:t>
      </w:r>
      <w:r>
        <w:t>7010-7020.</w:t>
      </w:r>
    </w:p>
    <w:p w:rsidR="0018722C">
      <w:pPr>
        <w:pStyle w:val="ab"/>
        <w:topLinePunct/>
        <w:ind w:left="200" w:hangingChars="200" w:hanging="200"/>
      </w:pPr>
      <w:r>
        <w:t>[</w:t>
      </w:r>
      <w:r>
        <w:t xml:space="preserve">40</w:t>
      </w:r>
      <w:r>
        <w:t>]</w:t>
      </w:r>
      <w:r w:rsidRPr="00281126">
        <w:t xml:space="preserve"> </w:t>
      </w:r>
      <w:r/>
      <w:r>
        <w:t>Kaidi A, Qualtrough D, Williams A C, et al. Direct transcriptional up-regulation of cyclooxygenase-2 by hypoxia-inducible</w:t>
      </w:r>
      <w:r>
        <w:t> </w:t>
      </w:r>
      <w:r>
        <w:t>factor</w:t>
      </w:r>
      <w:r>
        <w:t> </w:t>
      </w:r>
      <w:r>
        <w:t>(</w:t>
      </w:r>
      <w:r>
        <w:t xml:space="preserve">HIF</w:t>
      </w:r>
      <w:r>
        <w:t>)</w:t>
      </w:r>
      <w:r w:rsidR="004B696B">
        <w:t xml:space="preserve"> </w:t>
      </w:r>
      <w:r>
        <w:t>-1</w:t>
      </w:r>
      <w:r>
        <w:t> </w:t>
      </w:r>
      <w:r>
        <w:t>promotes</w:t>
      </w:r>
      <w:r>
        <w:t> </w:t>
      </w:r>
      <w:r>
        <w:t>colorectal</w:t>
      </w:r>
      <w:r>
        <w:t> </w:t>
      </w:r>
      <w:r>
        <w:t>tumor</w:t>
      </w:r>
      <w:r>
        <w:t> </w:t>
      </w:r>
      <w:r>
        <w:t>cell</w:t>
      </w:r>
      <w:r>
        <w:t> </w:t>
      </w:r>
      <w:r>
        <w:t>survival</w:t>
      </w:r>
      <w:r>
        <w:t> </w:t>
      </w:r>
      <w:r>
        <w:t>and</w:t>
      </w:r>
      <w:r>
        <w:t> </w:t>
      </w:r>
      <w:r>
        <w:t>enhances</w:t>
      </w:r>
      <w:r>
        <w:t> </w:t>
      </w:r>
      <w:r>
        <w:t>HIF-1</w:t>
      </w:r>
      <w:r>
        <w:t> </w:t>
      </w:r>
      <w:r>
        <w:t>transcriptional</w:t>
      </w:r>
    </w:p>
    <w:p w:rsidR="0018722C">
      <w:pPr>
        <w:topLinePunct/>
      </w:pPr>
      <w:r>
        <w:rPr>
          <w:rFonts w:cstheme="minorBidi" w:hAnsiTheme="minorHAnsi" w:eastAsiaTheme="minorHAnsi" w:asciiTheme="minorHAnsi"/>
        </w:rPr>
        <w:t>39</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08784" from="70.900002pt,-.028125pt" to="516.400002pt,-.028125pt" stroked="true" strokeweight=".45pt" strokecolor="#000000">
            <v:stroke dashstyle="solid"/>
            <w10:wrap type="none"/>
          </v:line>
        </w:pict>
      </w:r>
      <w:r>
        <w:rPr>
          <w:kern w:val="2"/>
          <w:szCs w:val="22"/>
          <w:rFonts w:ascii="宋体" w:eastAsia="宋体" w:hint="eastAsia" w:cstheme="minorBidi" w:hAnsiTheme="minorHAnsi"/>
          <w:sz w:val="18"/>
          <w:u w:val="single"/>
        </w:rPr>
        <w:t>文</w:t>
      </w:r>
    </w:p>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rPr>
        <w:t>ctivity during hypoxia</w:t>
      </w:r>
      <w:r>
        <w:rPr>
          <w:rFonts w:cstheme="minorBidi" w:hAnsiTheme="minorHAnsi" w:eastAsiaTheme="minorHAnsi" w:asciiTheme="minorHAnsi"/>
        </w:rPr>
        <w:t>[</w:t>
      </w:r>
      <w:r>
        <w:rPr>
          <w:rFonts w:cstheme="minorBidi" w:hAnsiTheme="minorHAnsi" w:eastAsiaTheme="minorHAnsi" w:asciiTheme="minorHAnsi"/>
        </w:rPr>
        <w:t>J</w:t>
      </w:r>
      <w:r>
        <w:rPr>
          <w:rFonts w:cstheme="minorBidi" w:hAnsiTheme="minorHAnsi" w:eastAsiaTheme="minorHAnsi" w:asciiTheme="minorHAnsi"/>
        </w:rPr>
        <w:t>]</w:t>
      </w:r>
      <w:r>
        <w:rPr>
          <w:rFonts w:cstheme="minorBidi" w:hAnsiTheme="minorHAnsi" w:eastAsiaTheme="minorHAnsi" w:asciiTheme="minorHAnsi"/>
        </w:rPr>
        <w:t>. Cancer Res,2006,66</w:t>
      </w:r>
      <w:r>
        <w:rPr>
          <w:rFonts w:cstheme="minorBidi" w:hAnsiTheme="minorHAnsi" w:eastAsiaTheme="minorHAnsi" w:asciiTheme="minorHAnsi"/>
        </w:rPr>
        <w:t>(</w:t>
      </w:r>
      <w:r>
        <w:rPr>
          <w:rFonts w:cstheme="minorBidi" w:hAnsiTheme="minorHAnsi" w:eastAsiaTheme="minorHAnsi" w:asciiTheme="minorHAnsi"/>
        </w:rPr>
        <w:t>13</w:t>
      </w:r>
      <w:r>
        <w:rPr>
          <w:rFonts w:cstheme="minorBidi" w:hAnsiTheme="minorHAnsi" w:eastAsiaTheme="minorHAnsi" w:asciiTheme="minorHAnsi"/>
        </w:rPr>
        <w:t>)</w:t>
      </w:r>
      <w:r>
        <w:rPr>
          <w:rFonts w:cstheme="minorBidi" w:hAnsiTheme="minorHAnsi" w:eastAsiaTheme="minorHAnsi" w:asciiTheme="minorHAnsi"/>
        </w:rPr>
        <w:t>:6683-6691.</w:t>
      </w:r>
    </w:p>
    <w:p w:rsidR="0018722C">
      <w:pPr>
        <w:pStyle w:val="ab"/>
        <w:topLinePunct/>
        <w:ind w:left="200" w:hangingChars="200" w:hanging="200"/>
      </w:pPr>
      <w:r>
        <w:t>[</w:t>
      </w:r>
      <w:r>
        <w:t xml:space="preserve">41</w:t>
      </w:r>
      <w:r>
        <w:t>]</w:t>
      </w:r>
      <w:r w:rsidRPr="00281126">
        <w:t xml:space="preserve"> </w:t>
      </w:r>
      <w:r/>
      <w:r>
        <w:t>O'Callaghan G, Ryan A, Neary P, et al. Targeting the EP1 receptor reduces Fas ligand expression and increases the antitumor immune response in an in vivo model of colon cancer</w:t>
      </w:r>
      <w:r>
        <w:t>[</w:t>
      </w:r>
      <w:r>
        <w:t>J</w:t>
      </w:r>
      <w:r>
        <w:t>]</w:t>
      </w:r>
      <w:r>
        <w:t xml:space="preserve">. Int J Cancer,</w:t>
      </w:r>
      <w:r>
        <w:t xml:space="preserve"> </w:t>
      </w:r>
      <w:r>
        <w:t>2013,</w:t>
      </w:r>
      <w:r>
        <w:t xml:space="preserve"> </w:t>
      </w:r>
      <w:r>
        <w:t>133</w:t>
      </w:r>
      <w:r>
        <w:t>(</w:t>
      </w:r>
      <w:r>
        <w:t>4</w:t>
      </w:r>
      <w:r>
        <w:t>)</w:t>
      </w:r>
      <w:r>
        <w:t xml:space="preserve">:</w:t>
      </w:r>
      <w:r>
        <w:t xml:space="preserve"> </w:t>
      </w:r>
      <w:r>
        <w:t xml:space="preserve">825- 834.</w:t>
      </w:r>
    </w:p>
    <w:p w:rsidR="0018722C">
      <w:pPr>
        <w:pStyle w:val="ab"/>
        <w:topLinePunct/>
        <w:ind w:left="200" w:hangingChars="200" w:hanging="200"/>
      </w:pPr>
      <w:r>
        <w:t>[</w:t>
      </w:r>
      <w:r>
        <w:t xml:space="preserve">42</w:t>
      </w:r>
      <w:r>
        <w:t>]</w:t>
      </w:r>
      <w:r w:rsidRPr="00281126">
        <w:t xml:space="preserve"> </w:t>
      </w:r>
      <w:r/>
      <w:r>
        <w:t>Zhang Y, Liu Q, Zhang M, et al. Fas signal promotes lung cancer growth by recruiting myeloid-derived suppressor</w:t>
      </w:r>
      <w:r>
        <w:t> </w:t>
      </w:r>
      <w:r>
        <w:t>cells</w:t>
      </w:r>
      <w:r>
        <w:t> </w:t>
      </w:r>
      <w:r>
        <w:t>via</w:t>
      </w:r>
      <w:r>
        <w:t> </w:t>
      </w:r>
      <w:r>
        <w:t>cancer</w:t>
      </w:r>
      <w:r>
        <w:t> </w:t>
      </w:r>
      <w:r>
        <w:t>cell-derived</w:t>
      </w:r>
      <w:r>
        <w:t> </w:t>
      </w:r>
      <w:r>
        <w:t>PGE2</w:t>
      </w:r>
      <w:r>
        <w:t>[</w:t>
      </w:r>
      <w:r>
        <w:t>J</w:t>
      </w:r>
      <w:r>
        <w:t>]</w:t>
      </w:r>
      <w:r>
        <w:t>.</w:t>
      </w:r>
      <w:r>
        <w:t> </w:t>
      </w:r>
      <w:r>
        <w:t>J</w:t>
      </w:r>
      <w:r>
        <w:t> </w:t>
      </w:r>
      <w:r>
        <w:t xml:space="preserve">Immunol,</w:t>
      </w:r>
      <w:r>
        <w:t xml:space="preserve"> </w:t>
      </w:r>
      <w:r>
        <w:t>2009,</w:t>
      </w:r>
      <w:r>
        <w:t xml:space="preserve"> </w:t>
      </w:r>
      <w:r>
        <w:t>182</w:t>
      </w:r>
      <w:r>
        <w:t>(</w:t>
      </w:r>
      <w:r>
        <w:t>6</w:t>
      </w:r>
      <w:r>
        <w:t>)</w:t>
      </w:r>
      <w:r>
        <w:t xml:space="preserve">:</w:t>
      </w:r>
      <w:r>
        <w:t xml:space="preserve"> </w:t>
      </w:r>
      <w:r>
        <w:t>3801-3808.</w:t>
      </w:r>
    </w:p>
    <w:p w:rsidR="0018722C">
      <w:pPr>
        <w:pStyle w:val="ab"/>
        <w:topLinePunct/>
        <w:ind w:left="200" w:hangingChars="200" w:hanging="200"/>
      </w:pPr>
      <w:r>
        <w:t>[</w:t>
      </w:r>
      <w:r>
        <w:t xml:space="preserve">43</w:t>
      </w:r>
      <w:r>
        <w:t>]</w:t>
      </w:r>
      <w:r w:rsidRPr="00281126">
        <w:t xml:space="preserve"> </w:t>
      </w:r>
      <w:r/>
      <w:r>
        <w:t>Morinaga S, Tarao K, Yamamoto Y, et al. Overexpressed cyclo-oxygenase-2 in the background liver is associated with the clinical course of hepatitis C virus-related cirrhosis patients after curative surgery for hepatocellular</w:t>
      </w:r>
      <w:r>
        <w:t> </w:t>
      </w:r>
      <w:r>
        <w:t>carcinoma</w:t>
      </w:r>
      <w:r>
        <w:t>[</w:t>
      </w:r>
      <w:r>
        <w:t>J</w:t>
      </w:r>
      <w:r>
        <w:t>]</w:t>
      </w:r>
      <w:r>
        <w:t>.</w:t>
      </w:r>
      <w:r>
        <w:t> </w:t>
      </w:r>
      <w:r>
        <w:t>J</w:t>
      </w:r>
      <w:r>
        <w:t> </w:t>
      </w:r>
      <w:r>
        <w:t>Gastroenterol</w:t>
      </w:r>
      <w:r>
        <w:t> </w:t>
      </w:r>
      <w:r>
        <w:t xml:space="preserve">Hepatol,</w:t>
      </w:r>
      <w:r>
        <w:t xml:space="preserve"> </w:t>
      </w:r>
      <w:r>
        <w:t>2007,</w:t>
      </w:r>
      <w:r>
        <w:t xml:space="preserve"> </w:t>
      </w:r>
      <w:r>
        <w:t>22</w:t>
      </w:r>
      <w:r>
        <w:t>(</w:t>
      </w:r>
      <w:r>
        <w:t>8</w:t>
      </w:r>
      <w:r>
        <w:t>)</w:t>
      </w:r>
      <w:r>
        <w:t xml:space="preserve">:</w:t>
      </w:r>
      <w:r>
        <w:t xml:space="preserve"> </w:t>
      </w:r>
      <w:r>
        <w:t>1249-1255.</w:t>
      </w:r>
    </w:p>
    <w:p w:rsidR="0018722C">
      <w:pPr>
        <w:pStyle w:val="ab"/>
        <w:topLinePunct/>
        <w:ind w:left="200" w:hangingChars="200" w:hanging="200"/>
      </w:pPr>
      <w:r>
        <w:t>[</w:t>
      </w:r>
      <w:r>
        <w:t xml:space="preserve">44</w:t>
      </w:r>
      <w:r>
        <w:t>]</w:t>
      </w:r>
      <w:r w:rsidRPr="00281126">
        <w:t xml:space="preserve"> </w:t>
      </w:r>
      <w:r/>
      <w:r>
        <w:t>Jemal</w:t>
      </w:r>
      <w:r>
        <w:t> </w:t>
      </w:r>
      <w:r>
        <w:t>A,</w:t>
      </w:r>
      <w:r>
        <w:t> </w:t>
      </w:r>
      <w:r>
        <w:t>Bray</w:t>
      </w:r>
      <w:r>
        <w:t> </w:t>
      </w:r>
      <w:r>
        <w:t>F,</w:t>
      </w:r>
      <w:r>
        <w:t> </w:t>
      </w:r>
      <w:r>
        <w:t>Center</w:t>
      </w:r>
      <w:r>
        <w:t> </w:t>
      </w:r>
      <w:r>
        <w:t>M</w:t>
      </w:r>
      <w:r>
        <w:t> </w:t>
      </w:r>
      <w:r>
        <w:t>M,</w:t>
      </w:r>
      <w:r>
        <w:t> </w:t>
      </w:r>
      <w:r>
        <w:t>et</w:t>
      </w:r>
      <w:r>
        <w:t> </w:t>
      </w:r>
      <w:r>
        <w:t>al.</w:t>
      </w:r>
      <w:r>
        <w:t> </w:t>
      </w:r>
      <w:r>
        <w:t>Global</w:t>
      </w:r>
      <w:r>
        <w:t> </w:t>
      </w:r>
      <w:r>
        <w:t>cancer</w:t>
      </w:r>
      <w:r>
        <w:t> </w:t>
      </w:r>
      <w:r>
        <w:t>statistics</w:t>
      </w:r>
      <w:r>
        <w:t>[</w:t>
      </w:r>
      <w:r>
        <w:t>J</w:t>
      </w:r>
      <w:r>
        <w:t>]</w:t>
      </w:r>
      <w:r>
        <w:t>.</w:t>
      </w:r>
      <w:r>
        <w:t> </w:t>
      </w:r>
      <w:r>
        <w:t>CA</w:t>
      </w:r>
      <w:r>
        <w:t> </w:t>
      </w:r>
      <w:r>
        <w:t>Cancer</w:t>
      </w:r>
      <w:r>
        <w:t> </w:t>
      </w:r>
      <w:r>
        <w:t>J</w:t>
      </w:r>
      <w:r>
        <w:t> </w:t>
      </w:r>
      <w:r>
        <w:t xml:space="preserve">Clin,</w:t>
      </w:r>
      <w:r>
        <w:t xml:space="preserve"> </w:t>
      </w:r>
      <w:r>
        <w:t>2011,</w:t>
      </w:r>
      <w:r>
        <w:t xml:space="preserve"> </w:t>
      </w:r>
      <w:r>
        <w:t>61</w:t>
      </w:r>
      <w:r>
        <w:t>(</w:t>
      </w:r>
      <w:r>
        <w:t>2</w:t>
      </w:r>
      <w:r>
        <w:t>)</w:t>
      </w:r>
      <w:r>
        <w:t xml:space="preserve">:</w:t>
      </w:r>
      <w:r>
        <w:t xml:space="preserve"> </w:t>
      </w:r>
      <w:r>
        <w:t>69-90.</w:t>
      </w:r>
    </w:p>
    <w:p w:rsidR="0018722C">
      <w:pPr>
        <w:pStyle w:val="ab"/>
        <w:topLinePunct/>
        <w:ind w:left="200" w:hangingChars="200" w:hanging="200"/>
      </w:pPr>
      <w:r>
        <w:t>[</w:t>
      </w:r>
      <w:r>
        <w:t xml:space="preserve">45</w:t>
      </w:r>
      <w:r>
        <w:t>]</w:t>
      </w:r>
      <w:r w:rsidRPr="00281126">
        <w:t xml:space="preserve"> </w:t>
      </w:r>
      <w:r/>
      <w:r>
        <w:t>Morita I. Distinct functions of COX-1 and COX-2</w:t>
      </w:r>
      <w:r>
        <w:t>[</w:t>
      </w:r>
      <w:r>
        <w:rPr>
          <w:sz w:val="20"/>
        </w:rPr>
        <w:t>J</w:t>
      </w:r>
      <w:r>
        <w:t>]</w:t>
      </w:r>
      <w:r>
        <w:t xml:space="preserve">. Prostaglandins Other Lipid Mediat,</w:t>
      </w:r>
      <w:r>
        <w:t xml:space="preserve"> </w:t>
      </w:r>
      <w:r>
        <w:t>2002,</w:t>
      </w:r>
      <w:r>
        <w:t xml:space="preserve"> </w:t>
      </w:r>
      <w:r>
        <w:t>68-69:</w:t>
      </w:r>
      <w:r>
        <w:t xml:space="preserve"> </w:t>
      </w:r>
      <w:r>
        <w:t xml:space="preserve">165- 175.</w:t>
      </w:r>
    </w:p>
    <w:p w:rsidR="0018722C">
      <w:pPr>
        <w:pStyle w:val="ab"/>
        <w:topLinePunct/>
        <w:ind w:left="200" w:hangingChars="200" w:hanging="200"/>
      </w:pPr>
      <w:r>
        <w:t>[</w:t>
      </w:r>
      <w:r>
        <w:t xml:space="preserve">46</w:t>
      </w:r>
      <w:r>
        <w:t>]</w:t>
      </w:r>
      <w:r w:rsidRPr="00281126">
        <w:t xml:space="preserve"> </w:t>
      </w:r>
      <w:r/>
      <w:r>
        <w:t>Ferlay J, Shin H R, Bray F, et al. Estimates of worldwide burden of cancer in 2008: GLOBOCAN 2008</w:t>
      </w:r>
      <w:r>
        <w:t>[</w:t>
      </w:r>
      <w:r>
        <w:t>J</w:t>
      </w:r>
      <w:r>
        <w:t>]</w:t>
      </w:r>
      <w:r>
        <w:t>. Int J</w:t>
      </w:r>
      <w:r>
        <w:t> </w:t>
      </w:r>
      <w:r>
        <w:t xml:space="preserve">Cancer,</w:t>
      </w:r>
      <w:r>
        <w:t xml:space="preserve"> </w:t>
      </w:r>
      <w:r>
        <w:t>2010,</w:t>
      </w:r>
      <w:r>
        <w:t xml:space="preserve"> </w:t>
      </w:r>
      <w:r>
        <w:t>127</w:t>
      </w:r>
      <w:r>
        <w:t>(</w:t>
      </w:r>
      <w:r>
        <w:t>12</w:t>
      </w:r>
      <w:r>
        <w:t>)</w:t>
      </w:r>
      <w:r>
        <w:t xml:space="preserve">:</w:t>
      </w:r>
      <w:r>
        <w:t xml:space="preserve"> </w:t>
      </w:r>
      <w:r>
        <w:t>2893-2917.</w:t>
      </w:r>
    </w:p>
    <w:p w:rsidR="0018722C">
      <w:pPr>
        <w:pStyle w:val="ab"/>
        <w:topLinePunct/>
        <w:ind w:left="200" w:hangingChars="200" w:hanging="200"/>
      </w:pPr>
      <w:r>
        <w:t>[</w:t>
      </w:r>
      <w:r>
        <w:t xml:space="preserve">47</w:t>
      </w:r>
      <w:r>
        <w:t>]</w:t>
      </w:r>
      <w:r w:rsidRPr="00281126">
        <w:t xml:space="preserve"> </w:t>
      </w:r>
      <w:r/>
      <w:r>
        <w:t>Mazzaferro V, Regalia E, Doci R, et al. Liver transplantation for the treatment of small hepatocellular carcinomas</w:t>
      </w:r>
      <w:r>
        <w:t> </w:t>
      </w:r>
      <w:r>
        <w:t>in</w:t>
      </w:r>
      <w:r>
        <w:t> </w:t>
      </w:r>
      <w:r>
        <w:t>patients</w:t>
      </w:r>
      <w:r>
        <w:t> </w:t>
      </w:r>
      <w:r>
        <w:t>with</w:t>
      </w:r>
      <w:r>
        <w:t> </w:t>
      </w:r>
      <w:r>
        <w:t>cirrhosis</w:t>
      </w:r>
      <w:r>
        <w:t>[</w:t>
      </w:r>
      <w:r>
        <w:t>J</w:t>
      </w:r>
      <w:r>
        <w:t>]</w:t>
      </w:r>
      <w:r>
        <w:t>.</w:t>
      </w:r>
      <w:r>
        <w:t> </w:t>
      </w:r>
      <w:r>
        <w:t>N</w:t>
      </w:r>
      <w:r>
        <w:t> </w:t>
      </w:r>
      <w:r>
        <w:t>Engl</w:t>
      </w:r>
      <w:r>
        <w:t> </w:t>
      </w:r>
      <w:r>
        <w:t>J</w:t>
      </w:r>
      <w:r>
        <w:t> </w:t>
      </w:r>
      <w:r>
        <w:t xml:space="preserve">Med,</w:t>
      </w:r>
      <w:r>
        <w:t xml:space="preserve"> </w:t>
      </w:r>
      <w:r>
        <w:t>1996,</w:t>
      </w:r>
      <w:r>
        <w:t xml:space="preserve"> </w:t>
      </w:r>
      <w:r>
        <w:t>334</w:t>
      </w:r>
      <w:r>
        <w:t>(</w:t>
      </w:r>
      <w:r>
        <w:t>11</w:t>
      </w:r>
      <w:r>
        <w:t>)</w:t>
      </w:r>
      <w:r>
        <w:t xml:space="preserve">:</w:t>
      </w:r>
      <w:r>
        <w:t xml:space="preserve"> </w:t>
      </w:r>
      <w:r>
        <w:t>693-699.</w:t>
      </w:r>
    </w:p>
    <w:p w:rsidR="0018722C">
      <w:pPr>
        <w:pStyle w:val="ab"/>
        <w:topLinePunct/>
        <w:ind w:left="200" w:hangingChars="200" w:hanging="200"/>
      </w:pPr>
      <w:r>
        <w:t>[</w:t>
      </w:r>
      <w:r>
        <w:t xml:space="preserve">48</w:t>
      </w:r>
      <w:r>
        <w:t>]</w:t>
      </w:r>
      <w:r w:rsidRPr="00281126">
        <w:t xml:space="preserve"> </w:t>
      </w:r>
      <w:r/>
      <w:r>
        <w:t>Han C, Demetris A J, Michalopoulos G, et al. 85-kDa cPLA</w:t>
      </w:r>
      <w:r>
        <w:t>(</w:t>
      </w:r>
      <w:r>
        <w:rPr>
          <w:sz w:val="20"/>
        </w:rPr>
        <w:t>2</w:t>
      </w:r>
      <w:r>
        <w:t>)</w:t>
      </w:r>
      <w:r>
        <w:t xml:space="preserve"> plays a critical role in PPAR-mediated gene transcription</w:t>
      </w:r>
      <w:r>
        <w:t> </w:t>
      </w:r>
      <w:r>
        <w:t>in</w:t>
      </w:r>
      <w:r>
        <w:t> </w:t>
      </w:r>
      <w:r>
        <w:t>human</w:t>
      </w:r>
      <w:r>
        <w:t> </w:t>
      </w:r>
      <w:r>
        <w:t>hepatoma</w:t>
      </w:r>
      <w:r>
        <w:t> </w:t>
      </w:r>
      <w:r>
        <w:t>cells</w:t>
      </w:r>
      <w:r>
        <w:t>[</w:t>
      </w:r>
      <w:r>
        <w:t>J</w:t>
      </w:r>
      <w:r>
        <w:t>]</w:t>
      </w:r>
      <w:r>
        <w:t>.</w:t>
      </w:r>
      <w:r>
        <w:t> </w:t>
      </w:r>
      <w:r>
        <w:t>Am</w:t>
      </w:r>
      <w:r>
        <w:t> </w:t>
      </w:r>
      <w:r>
        <w:t>J</w:t>
      </w:r>
      <w:r>
        <w:t> </w:t>
      </w:r>
      <w:r>
        <w:t>Physiol</w:t>
      </w:r>
      <w:r>
        <w:t> </w:t>
      </w:r>
      <w:r>
        <w:t>Gastrointest</w:t>
      </w:r>
      <w:r>
        <w:t> </w:t>
      </w:r>
      <w:r>
        <w:t>Liver</w:t>
      </w:r>
      <w:r>
        <w:t> </w:t>
      </w:r>
      <w:r>
        <w:t xml:space="preserve">Physiol,</w:t>
      </w:r>
      <w:r>
        <w:t xml:space="preserve"> </w:t>
      </w:r>
      <w:r>
        <w:t>2002,</w:t>
      </w:r>
      <w:r>
        <w:t xml:space="preserve"> </w:t>
      </w:r>
      <w:r>
        <w:t>282</w:t>
      </w:r>
      <w:r>
        <w:t>(</w:t>
      </w:r>
      <w:r>
        <w:rPr>
          <w:sz w:val="20"/>
        </w:rPr>
        <w:t>4</w:t>
      </w:r>
      <w:r>
        <w:t>)</w:t>
      </w:r>
      <w:r>
        <w:t xml:space="preserve">:</w:t>
      </w:r>
      <w:r>
        <w:t xml:space="preserve"> </w:t>
      </w:r>
      <w:r>
        <w:t>G586-G597.</w:t>
      </w:r>
    </w:p>
    <w:p w:rsidR="0018722C">
      <w:pPr>
        <w:pStyle w:val="ab"/>
        <w:topLinePunct/>
        <w:ind w:left="200" w:hangingChars="200" w:hanging="200"/>
      </w:pPr>
      <w:r>
        <w:t>[</w:t>
      </w:r>
      <w:r>
        <w:t xml:space="preserve">49</w:t>
      </w:r>
      <w:r>
        <w:t>]</w:t>
      </w:r>
      <w:r w:rsidRPr="00281126">
        <w:t xml:space="preserve"> </w:t>
      </w:r>
      <w:r/>
      <w:r>
        <w:t>Hagi A, Nakayama M, Miura Y, et al. Effects of a fish oil-based emulsion on rat hepatoma cell invasion in </w:t>
      </w:r>
      <w:r>
        <w:t>culture</w:t>
      </w:r>
      <w:r>
        <w:t>[</w:t>
      </w:r>
      <w:r>
        <w:t>J</w:t>
      </w:r>
      <w:r>
        <w:t>]</w:t>
      </w:r>
      <w:r>
        <w:t>.</w:t>
      </w:r>
      <w:r>
        <w:t> </w:t>
      </w:r>
      <w:r>
        <w:t xml:space="preserve">Nutrition,</w:t>
      </w:r>
      <w:r>
        <w:t xml:space="preserve"> </w:t>
      </w:r>
      <w:r>
        <w:t>2007,</w:t>
      </w:r>
      <w:r>
        <w:t xml:space="preserve"> </w:t>
      </w:r>
      <w:r>
        <w:t>23</w:t>
      </w:r>
      <w:r>
        <w:t>(</w:t>
      </w:r>
      <w:r>
        <w:t>11-12</w:t>
      </w:r>
      <w:r>
        <w:t>)</w:t>
      </w:r>
      <w:r>
        <w:t xml:space="preserve">:</w:t>
      </w:r>
      <w:r>
        <w:t xml:space="preserve"> </w:t>
      </w:r>
      <w:r>
        <w:t>871-877.</w:t>
      </w:r>
    </w:p>
    <w:p w:rsidR="0018722C">
      <w:pPr>
        <w:pStyle w:val="ab"/>
        <w:topLinePunct/>
        <w:ind w:left="200" w:hangingChars="200" w:hanging="200"/>
      </w:pPr>
      <w:r>
        <w:t>[</w:t>
      </w:r>
      <w:r>
        <w:t xml:space="preserve">50</w:t>
      </w:r>
      <w:r>
        <w:t>]</w:t>
      </w:r>
      <w:r w:rsidRPr="00281126">
        <w:t xml:space="preserve"> </w:t>
      </w:r>
      <w:r/>
      <w:r>
        <w:t>Lin K, Zou R, Lin F, et al. Expression and effect of CXCL14 in colorectal carcinoma</w:t>
      </w:r>
      <w:r>
        <w:t>[</w:t>
      </w:r>
      <w:r>
        <w:t>J</w:t>
      </w:r>
      <w:r>
        <w:t>]</w:t>
      </w:r>
      <w:r>
        <w:t xml:space="preserve">. Mol Med Rep,</w:t>
      </w:r>
      <w:r>
        <w:t xml:space="preserve"> </w:t>
      </w:r>
      <w:r>
        <w:t>2014,</w:t>
      </w:r>
      <w:r>
        <w:t xml:space="preserve"> </w:t>
      </w:r>
      <w:r>
        <w:t>10</w:t>
      </w:r>
      <w:r>
        <w:t>(</w:t>
      </w:r>
      <w:r>
        <w:t>3</w:t>
      </w:r>
      <w:r>
        <w:t>)</w:t>
      </w:r>
      <w:r>
        <w:t xml:space="preserve">:</w:t>
      </w:r>
      <w:r>
        <w:t xml:space="preserve"> </w:t>
      </w:r>
      <w:r>
        <w:t>1561-1568.</w:t>
      </w:r>
    </w:p>
    <w:p w:rsidR="0018722C">
      <w:pPr>
        <w:pStyle w:val="ab"/>
        <w:topLinePunct/>
        <w:ind w:left="200" w:hangingChars="200" w:hanging="200"/>
      </w:pPr>
      <w:r>
        <w:t xml:space="preserve">[</w:t>
      </w:r>
      <w:r>
        <w:t xml:space="preserve">51</w:t>
      </w:r>
      <w:r>
        <w:t xml:space="preserve">]</w:t>
      </w:r>
      <w:r w:rsidRPr="00281126">
        <w:t xml:space="preserve"> </w:t>
      </w:r>
      <w:r/>
      <w:r>
        <w:t xml:space="preserve">Kunzmann A T, Murray L J, Cardwell C R, et al. PTGS2 </w:t>
      </w:r>
      <w:r>
        <w:t xml:space="preserve">(</w:t>
      </w:r>
      <w:r>
        <w:rPr>
          <w:sz w:val="20"/>
        </w:rPr>
        <w:t xml:space="preserve">Cyclooxygenase-2</w:t>
      </w:r>
      <w:r>
        <w:t xml:space="preserve">)</w:t>
      </w:r>
      <w:r>
        <w:t xml:space="preserve"> expression and survival among colorectal cancer patients: a systematic review</w:t>
      </w:r>
      <w:r>
        <w:t xml:space="preserve">[</w:t>
      </w:r>
      <w:r>
        <w:t xml:space="preserve">J</w:t>
      </w:r>
      <w:r>
        <w:t xml:space="preserve">]</w:t>
      </w:r>
      <w:r>
        <w:t xml:space="preserve">. Cancer Epidemiol Biomarkers Prev,</w:t>
      </w:r>
      <w:r>
        <w:t xml:space="preserve"> </w:t>
      </w:r>
      <w:r>
        <w:t>2013,</w:t>
      </w:r>
      <w:r>
        <w:t xml:space="preserve"> </w:t>
      </w:r>
      <w:r>
        <w:t>22</w:t>
      </w:r>
      <w:r>
        <w:t xml:space="preserve">(</w:t>
      </w:r>
      <w:r>
        <w:rPr>
          <w:sz w:val="20"/>
        </w:rPr>
        <w:t xml:space="preserve">9</w:t>
      </w:r>
      <w:r>
        <w:t xml:space="preserve">)</w:t>
      </w:r>
      <w:r>
        <w:t xml:space="preserve">:</w:t>
      </w:r>
      <w:r>
        <w:t xml:space="preserve"> </w:t>
      </w:r>
      <w:r>
        <w:t xml:space="preserve">1490- 1497.</w:t>
      </w:r>
    </w:p>
    <w:p w:rsidR="0018722C">
      <w:pPr>
        <w:pStyle w:val="ab"/>
        <w:topLinePunct/>
        <w:ind w:left="200" w:hangingChars="200" w:hanging="200"/>
      </w:pPr>
      <w:r>
        <w:t>[</w:t>
      </w:r>
      <w:r>
        <w:t xml:space="preserve">52</w:t>
      </w:r>
      <w:r>
        <w:t>]</w:t>
      </w:r>
      <w:r w:rsidRPr="00281126">
        <w:t xml:space="preserve"> </w:t>
      </w:r>
      <w:r/>
      <w:r>
        <w:t>Fernandez-Martinez A B, Carmena M J, Arenas M I, et al. Overexpression of vasoactive intestinal peptide receptors and cyclooxygenase-2 in human prostate cancer. Analysis of potential prognostic relevance</w:t>
      </w:r>
      <w:r>
        <w:t>[</w:t>
      </w:r>
      <w:r>
        <w:t>J</w:t>
      </w:r>
      <w:r>
        <w:t>]</w:t>
      </w:r>
      <w:r>
        <w:t xml:space="preserve">. Histol Histopathol,</w:t>
      </w:r>
      <w:r>
        <w:t xml:space="preserve"> </w:t>
      </w:r>
      <w:r>
        <w:t>2012,</w:t>
      </w:r>
      <w:r>
        <w:t xml:space="preserve"> </w:t>
      </w:r>
      <w:r>
        <w:t>27</w:t>
      </w:r>
      <w:r>
        <w:t>(</w:t>
      </w:r>
      <w:r>
        <w:t>8</w:t>
      </w:r>
      <w:r>
        <w:t>)</w:t>
      </w:r>
      <w:r>
        <w:t xml:space="preserve">:</w:t>
      </w:r>
      <w:r>
        <w:t xml:space="preserve"> </w:t>
      </w:r>
      <w:r>
        <w:t>1093-1101.</w:t>
      </w:r>
    </w:p>
    <w:p w:rsidR="0018722C">
      <w:pPr>
        <w:pStyle w:val="ab"/>
        <w:topLinePunct/>
        <w:ind w:left="200" w:hangingChars="200" w:hanging="200"/>
      </w:pPr>
      <w:r>
        <w:t>[</w:t>
      </w:r>
      <w:r>
        <w:t xml:space="preserve">53</w:t>
      </w:r>
      <w:r>
        <w:t>]</w:t>
      </w:r>
      <w:r w:rsidRPr="00281126">
        <w:t xml:space="preserve"> </w:t>
      </w:r>
      <w:r/>
      <w:r>
        <w:t>Kim H S, Moon H G, Han W, et al. COX2 overexpression is a prognostic marker for Stage III breast cancer</w:t>
      </w:r>
      <w:r>
        <w:t>[</w:t>
      </w:r>
      <w:r>
        <w:t>J</w:t>
      </w:r>
      <w:r>
        <w:t>]</w:t>
      </w:r>
      <w:r>
        <w:t>.</w:t>
      </w:r>
      <w:r>
        <w:t> </w:t>
      </w:r>
      <w:r>
        <w:t>Breast</w:t>
      </w:r>
      <w:r>
        <w:t> </w:t>
      </w:r>
      <w:r>
        <w:t>Cancer</w:t>
      </w:r>
      <w:r>
        <w:t> </w:t>
      </w:r>
      <w:r>
        <w:t>Res</w:t>
      </w:r>
      <w:r>
        <w:t> </w:t>
      </w:r>
      <w:r>
        <w:t xml:space="preserve">Treat,</w:t>
      </w:r>
      <w:r>
        <w:t xml:space="preserve"> </w:t>
      </w:r>
      <w:r>
        <w:t>2012,</w:t>
      </w:r>
      <w:r>
        <w:t xml:space="preserve"> </w:t>
      </w:r>
      <w:r>
        <w:t>132</w:t>
      </w:r>
      <w:r>
        <w:t>(</w:t>
      </w:r>
      <w:r>
        <w:t>1</w:t>
      </w:r>
      <w:r>
        <w:t>)</w:t>
      </w:r>
      <w:r>
        <w:t xml:space="preserve">:</w:t>
      </w:r>
      <w:r>
        <w:t xml:space="preserve"> </w:t>
      </w:r>
      <w:r>
        <w:t>51-59.</w:t>
      </w:r>
    </w:p>
    <w:p w:rsidR="0018722C">
      <w:pPr>
        <w:pStyle w:val="ab"/>
        <w:topLinePunct/>
        <w:ind w:left="200" w:hangingChars="200" w:hanging="200"/>
      </w:pPr>
      <w:r>
        <w:t>[</w:t>
      </w:r>
      <w:r>
        <w:t xml:space="preserve">54</w:t>
      </w:r>
      <w:r>
        <w:t>]</w:t>
      </w:r>
      <w:r w:rsidRPr="00281126">
        <w:t xml:space="preserve"> </w:t>
      </w:r>
      <w:r/>
      <w:r>
        <w:t>Li F, Liu Y, Chen H, et al. EGFR and COX-2 protein expression in non-small cell lung cancer and the correlation</w:t>
      </w:r>
      <w:r>
        <w:t> </w:t>
      </w:r>
      <w:r>
        <w:t>with</w:t>
      </w:r>
      <w:r>
        <w:t> </w:t>
      </w:r>
      <w:r>
        <w:t>clinical</w:t>
      </w:r>
      <w:r>
        <w:t> </w:t>
      </w:r>
      <w:r>
        <w:t>features</w:t>
      </w:r>
      <w:r>
        <w:t>[</w:t>
      </w:r>
      <w:r>
        <w:rPr>
          <w:sz w:val="20"/>
        </w:rPr>
        <w:t>J</w:t>
      </w:r>
      <w:r>
        <w:t>]</w:t>
      </w:r>
      <w:r>
        <w:t>.</w:t>
      </w:r>
      <w:r>
        <w:t> </w:t>
      </w:r>
      <w:r>
        <w:t>J</w:t>
      </w:r>
      <w:r>
        <w:t> </w:t>
      </w:r>
      <w:r>
        <w:t>Exp</w:t>
      </w:r>
      <w:r>
        <w:t> </w:t>
      </w:r>
      <w:r>
        <w:t>Clin</w:t>
      </w:r>
      <w:r>
        <w:t> </w:t>
      </w:r>
      <w:r>
        <w:t>Cancer</w:t>
      </w:r>
      <w:r>
        <w:t> </w:t>
      </w:r>
      <w:r>
        <w:t xml:space="preserve">Res,</w:t>
      </w:r>
      <w:r>
        <w:t xml:space="preserve"> </w:t>
      </w:r>
      <w:r>
        <w:t>2011,</w:t>
      </w:r>
      <w:r>
        <w:t xml:space="preserve"> </w:t>
      </w:r>
      <w:r>
        <w:t>30:</w:t>
      </w:r>
      <w:r>
        <w:t xml:space="preserve"> </w:t>
      </w:r>
      <w:r>
        <w:t>27.</w:t>
      </w:r>
    </w:p>
    <w:p w:rsidR="0018722C">
      <w:pPr>
        <w:pStyle w:val="ab"/>
        <w:topLinePunct/>
        <w:ind w:left="200" w:hangingChars="200" w:hanging="200"/>
      </w:pPr>
      <w:r>
        <w:t>[</w:t>
      </w:r>
      <w:r>
        <w:t xml:space="preserve">55</w:t>
      </w:r>
      <w:r>
        <w:t>]</w:t>
      </w:r>
      <w:r w:rsidRPr="00281126">
        <w:t xml:space="preserve"> </w:t>
      </w:r>
      <w:r/>
      <w:r>
        <w:t>Schmitz K J, Wohlschlaeger J, Lang H, et al. Cyclo-oxygenase-2 overexpression is a feature of early and well-differentiated</w:t>
      </w:r>
      <w:r>
        <w:t> </w:t>
      </w:r>
      <w:r>
        <w:t>hepatocellular</w:t>
      </w:r>
      <w:r>
        <w:t> </w:t>
      </w:r>
      <w:r>
        <w:t>carcinoma</w:t>
      </w:r>
      <w:r>
        <w:t> </w:t>
      </w:r>
      <w:r>
        <w:t>with</w:t>
      </w:r>
      <w:r>
        <w:t> </w:t>
      </w:r>
      <w:r>
        <w:t>a</w:t>
      </w:r>
      <w:r>
        <w:t> </w:t>
      </w:r>
      <w:r>
        <w:t>favourable</w:t>
      </w:r>
      <w:r>
        <w:t> </w:t>
      </w:r>
      <w:r>
        <w:t>prognosis</w:t>
      </w:r>
      <w:r>
        <w:t>[</w:t>
      </w:r>
      <w:r>
        <w:t>J</w:t>
      </w:r>
      <w:r>
        <w:t>]</w:t>
      </w:r>
      <w:r>
        <w:t>.</w:t>
      </w:r>
      <w:r>
        <w:t> </w:t>
      </w:r>
      <w:r>
        <w:t>J</w:t>
      </w:r>
      <w:r>
        <w:t> </w:t>
      </w:r>
      <w:r>
        <w:t>Clin</w:t>
      </w:r>
      <w:r>
        <w:t> </w:t>
      </w:r>
      <w:r>
        <w:t xml:space="preserve">Pathol,</w:t>
      </w:r>
      <w:r>
        <w:t xml:space="preserve"> </w:t>
      </w:r>
      <w:r>
        <w:t>2009,</w:t>
      </w:r>
      <w:r>
        <w:t xml:space="preserve"> </w:t>
      </w:r>
      <w:r>
        <w:t>62</w:t>
      </w:r>
      <w:r>
        <w:t>(</w:t>
      </w:r>
      <w:r>
        <w:t>8</w:t>
      </w:r>
      <w:r>
        <w:t>)</w:t>
      </w:r>
      <w:r>
        <w:t xml:space="preserve">:</w:t>
      </w:r>
      <w:r>
        <w:t xml:space="preserve"> </w:t>
      </w:r>
      <w:r>
        <w:t>690-693.</w:t>
      </w:r>
    </w:p>
    <w:p w:rsidR="0018722C">
      <w:pPr>
        <w:pStyle w:val="ab"/>
        <w:topLinePunct/>
        <w:ind w:left="200" w:hangingChars="200" w:hanging="200"/>
      </w:pPr>
      <w:r>
        <w:t>[</w:t>
      </w:r>
      <w:r>
        <w:t xml:space="preserve">56</w:t>
      </w:r>
      <w:r>
        <w:t>]</w:t>
      </w:r>
      <w:r w:rsidRPr="00281126">
        <w:t xml:space="preserve"> </w:t>
      </w:r>
      <w:r/>
      <w:r>
        <w:t>Akkiz H, Bayram S, Bekar A, et al. Functional polymorphisms of cyclooxygenase-2 gene and risk for hepatocellular</w:t>
      </w:r>
      <w:r>
        <w:t> </w:t>
      </w:r>
      <w:r>
        <w:t>carcinoma</w:t>
      </w:r>
      <w:r>
        <w:t>[</w:t>
      </w:r>
      <w:r>
        <w:t>J</w:t>
      </w:r>
      <w:r>
        <w:t>]</w:t>
      </w:r>
      <w:r>
        <w:t>.</w:t>
      </w:r>
      <w:r>
        <w:t> </w:t>
      </w:r>
      <w:r>
        <w:t>Mol</w:t>
      </w:r>
      <w:r>
        <w:t> </w:t>
      </w:r>
      <w:r>
        <w:t>Cell</w:t>
      </w:r>
      <w:r>
        <w:t> </w:t>
      </w:r>
      <w:r>
        <w:t xml:space="preserve">Biochem,</w:t>
      </w:r>
      <w:r>
        <w:t xml:space="preserve"> </w:t>
      </w:r>
      <w:r>
        <w:t>2011,</w:t>
      </w:r>
      <w:r>
        <w:t xml:space="preserve"> </w:t>
      </w:r>
      <w:r>
        <w:t>347</w:t>
      </w:r>
      <w:r>
        <w:t>(</w:t>
      </w:r>
      <w:r>
        <w:t>1-2</w:t>
      </w:r>
      <w:r>
        <w:t>)</w:t>
      </w:r>
      <w:r>
        <w:t xml:space="preserve">:</w:t>
      </w:r>
      <w:r>
        <w:t xml:space="preserve"> </w:t>
      </w:r>
      <w:r>
        <w:t>201-208.</w:t>
      </w:r>
    </w:p>
    <w:p w:rsidR="0018722C">
      <w:pPr>
        <w:pStyle w:val="ab"/>
        <w:topLinePunct/>
        <w:ind w:left="200" w:hangingChars="200" w:hanging="200"/>
      </w:pPr>
      <w:r>
        <w:t>[</w:t>
      </w:r>
      <w:r>
        <w:t xml:space="preserve">57</w:t>
      </w:r>
      <w:r>
        <w:t>]</w:t>
      </w:r>
      <w:r w:rsidRPr="00281126">
        <w:t xml:space="preserve"> </w:t>
      </w:r>
      <w:r/>
      <w:r>
        <w:t>He Y F, Jin J, Wei W, et al. Overexpression of cyclooxygenase-2 in noncancerous liver tissue increases the postoperative recurrence of hepatocellular carcinoma in patients with hepatitis B virus-related cirrhosis</w:t>
      </w:r>
      <w:r>
        <w:t>[</w:t>
      </w:r>
      <w:r>
        <w:t>J</w:t>
      </w:r>
      <w:r>
        <w:t>]</w:t>
      </w:r>
      <w:r>
        <w:t xml:space="preserve">. Can J Gastroenterol,</w:t>
      </w:r>
      <w:r>
        <w:t xml:space="preserve"> </w:t>
      </w:r>
      <w:r>
        <w:t>2010,</w:t>
      </w:r>
      <w:r>
        <w:t xml:space="preserve"> </w:t>
      </w:r>
      <w:r>
        <w:t>24</w:t>
      </w:r>
      <w:r>
        <w:t>(</w:t>
      </w:r>
      <w:r>
        <w:t>7</w:t>
      </w:r>
      <w:r>
        <w:t>)</w:t>
      </w:r>
      <w:r>
        <w:t xml:space="preserve">:</w:t>
      </w:r>
      <w:r>
        <w:t xml:space="preserve"> </w:t>
      </w:r>
      <w:r>
        <w:t>435-440.</w:t>
      </w:r>
    </w:p>
    <w:p w:rsidR="0018722C">
      <w:pPr>
        <w:pStyle w:val="ab"/>
        <w:topLinePunct/>
        <w:ind w:left="200" w:hangingChars="200" w:hanging="200"/>
      </w:pPr>
      <w:r>
        <w:t>[</w:t>
      </w:r>
      <w:r>
        <w:t xml:space="preserve">58</w:t>
      </w:r>
      <w:r>
        <w:t>]</w:t>
      </w:r>
      <w:r w:rsidRPr="00281126">
        <w:t xml:space="preserve"> </w:t>
      </w:r>
      <w:r/>
      <w:r>
        <w:t>Kondo M, Yamamoto H, Nagano H, et al. Increased expression of COX-2 in nontumor liver tissue is associated with shorter disease-free survival in patients with hepatocellular carcinoma</w:t>
      </w:r>
      <w:r>
        <w:t>[</w:t>
      </w:r>
      <w:r>
        <w:t>J</w:t>
      </w:r>
      <w:r>
        <w:t>]</w:t>
      </w:r>
      <w:r>
        <w:t xml:space="preserve">. Clin Cancer Res,</w:t>
      </w:r>
      <w:r>
        <w:t xml:space="preserve"> </w:t>
      </w:r>
      <w:r>
        <w:t>1999,</w:t>
      </w:r>
      <w:r>
        <w:t xml:space="preserve"> </w:t>
      </w:r>
      <w:r>
        <w:t>5</w:t>
      </w:r>
      <w:r>
        <w:t>(</w:t>
      </w:r>
      <w:r>
        <w:t>12</w:t>
      </w:r>
      <w:r>
        <w:t>)</w:t>
      </w:r>
      <w:r>
        <w:t xml:space="preserve">:</w:t>
      </w:r>
      <w:r>
        <w:t xml:space="preserve"> </w:t>
      </w:r>
      <w:r>
        <w:t>4005-4012.</w:t>
      </w:r>
    </w:p>
    <w:p w:rsidR="0018722C">
      <w:pPr>
        <w:pStyle w:val="ab"/>
        <w:topLinePunct/>
        <w:ind w:left="200" w:hangingChars="200" w:hanging="200"/>
      </w:pPr>
      <w:r>
        <w:t>[</w:t>
      </w:r>
      <w:r>
        <w:t xml:space="preserve">59</w:t>
      </w:r>
      <w:r>
        <w:t>]</w:t>
      </w:r>
      <w:r w:rsidRPr="00281126">
        <w:t xml:space="preserve"> </w:t>
      </w:r>
      <w:r/>
      <w:r>
        <w:t>Leng J, Han C, Demetris A J, et al. Cyclooxygenase-2 promotes hepatocellular carcinoma cell growth through</w:t>
      </w:r>
      <w:r w:rsidR="001852F3">
        <w:t xml:space="preserve">     Akt</w:t>
      </w:r>
      <w:r w:rsidR="001852F3">
        <w:t xml:space="preserve">     activation: </w:t>
      </w:r>
      <w:r w:rsidR="001852F3">
        <w:t xml:space="preserve">    evidence</w:t>
      </w:r>
      <w:r w:rsidR="001852F3">
        <w:t xml:space="preserve">     for</w:t>
      </w:r>
      <w:r w:rsidR="001852F3">
        <w:t xml:space="preserve">     Akt</w:t>
      </w:r>
      <w:r w:rsidR="001852F3">
        <w:t xml:space="preserve">     inhibition</w:t>
      </w:r>
      <w:r w:rsidR="001852F3">
        <w:t xml:space="preserve">     in</w:t>
      </w:r>
      <w:r w:rsidR="001852F3">
        <w:t xml:space="preserve">     celecoxib-induced</w:t>
      </w:r>
      <w:r w:rsidR="001852F3">
        <w:t xml:space="preserve"> </w:t>
      </w:r>
      <w:r>
        <w:t> </w:t>
      </w:r>
      <w:r>
        <w:t>apoptosis</w:t>
      </w:r>
      <w:r>
        <w:t>[</w:t>
      </w:r>
      <w:r>
        <w:rPr>
          <w:sz w:val="20"/>
        </w:rPr>
        <w:t>J</w:t>
      </w:r>
      <w:r>
        <w:t>]</w:t>
      </w:r>
      <w:r>
        <w:t>.</w:t>
      </w:r>
    </w:p>
    <w:p w:rsidR="0018722C">
      <w:pPr>
        <w:topLinePunct/>
      </w:pPr>
      <w:r>
        <w:rPr>
          <w:rFonts w:cstheme="minorBidi" w:hAnsiTheme="minorHAnsi" w:eastAsiaTheme="minorHAnsi" w:asciiTheme="minorHAnsi"/>
        </w:rPr>
        <w:t>40</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topLinePunct/>
      </w:pPr>
      <w:r>
        <w:rPr>
          <w:rFonts w:cstheme="minorBidi" w:hAnsiTheme="minorHAnsi" w:eastAsiaTheme="minorHAnsi" w:asciiTheme="minorHAnsi"/>
        </w:rPr>
        <w:t>Hepatology,2003,38</w:t>
      </w:r>
      <w:r>
        <w:rPr>
          <w:rFonts w:cstheme="minorBidi" w:hAnsiTheme="minorHAnsi" w:eastAsiaTheme="minorHAnsi" w:asciiTheme="minorHAnsi"/>
        </w:rPr>
        <w:t>(</w:t>
      </w:r>
      <w:r>
        <w:rPr>
          <w:rFonts w:cstheme="minorBidi" w:hAnsiTheme="minorHAnsi" w:eastAsiaTheme="minorHAnsi" w:asciiTheme="minorHAnsi"/>
        </w:rPr>
        <w:t>3</w:t>
      </w:r>
      <w:r>
        <w:rPr>
          <w:rFonts w:cstheme="minorBidi" w:hAnsiTheme="minorHAnsi" w:eastAsiaTheme="minorHAnsi" w:asciiTheme="minorHAnsi"/>
        </w:rPr>
        <w:t>)</w:t>
      </w:r>
      <w:r>
        <w:rPr>
          <w:rFonts w:cstheme="minorBidi" w:hAnsiTheme="minorHAnsi" w:eastAsiaTheme="minorHAnsi" w:asciiTheme="minorHAnsi"/>
        </w:rPr>
        <w:t>:756-768.</w:t>
      </w:r>
    </w:p>
    <w:p w:rsidR="0018722C">
      <w:pPr>
        <w:pStyle w:val="ab"/>
        <w:topLinePunct/>
        <w:ind w:left="200" w:hangingChars="200" w:hanging="200"/>
      </w:pPr>
      <w:r>
        <w:t>[</w:t>
      </w:r>
      <w:r>
        <w:t xml:space="preserve">60</w:t>
      </w:r>
      <w:r>
        <w:t>]</w:t>
      </w:r>
      <w:r w:rsidRPr="00281126">
        <w:t xml:space="preserve"> </w:t>
      </w:r>
      <w:r/>
      <w:r>
        <w:t>Cheng A S, Chan H L, To K F, et al. Cyclooxygenase-2 pathway correlates with vascular endothelial growth factor expression</w:t>
      </w:r>
      <w:r w:rsidR="001852F3">
        <w:t xml:space="preserve"> and tumor angiogenesis</w:t>
      </w:r>
      <w:r w:rsidR="001852F3">
        <w:t xml:space="preserve"> in hepatitis B virus-associated hepatocellular</w:t>
      </w:r>
      <w:r w:rsidR="001852F3">
        <w:t xml:space="preserve"> carcinoma</w:t>
      </w:r>
      <w:r>
        <w:t>[</w:t>
      </w:r>
      <w:r>
        <w:t>J</w:t>
      </w:r>
      <w:r>
        <w:t>]</w:t>
      </w:r>
      <w:r>
        <w:t>. Int J</w:t>
      </w:r>
      <w:r>
        <w:t> </w:t>
      </w:r>
      <w:r>
        <w:t xml:space="preserve">Oncol,</w:t>
      </w:r>
      <w:r>
        <w:t xml:space="preserve"> </w:t>
      </w:r>
      <w:r>
        <w:t>2004,</w:t>
      </w:r>
      <w:r>
        <w:t xml:space="preserve"> </w:t>
      </w:r>
      <w:r>
        <w:t>24</w:t>
      </w:r>
      <w:r>
        <w:t>(</w:t>
      </w:r>
      <w:r>
        <w:t>4</w:t>
      </w:r>
      <w:r>
        <w:t>)</w:t>
      </w:r>
      <w:r>
        <w:t xml:space="preserve">:</w:t>
      </w:r>
      <w:r>
        <w:t xml:space="preserve"> </w:t>
      </w:r>
      <w:r>
        <w:t>853-860.</w:t>
      </w:r>
    </w:p>
    <w:p w:rsidR="0018722C">
      <w:pPr>
        <w:pStyle w:val="ab"/>
        <w:topLinePunct/>
        <w:ind w:left="200" w:hangingChars="200" w:hanging="200"/>
      </w:pPr>
      <w:r>
        <w:t>[</w:t>
      </w:r>
      <w:r>
        <w:t xml:space="preserve">61</w:t>
      </w:r>
      <w:r>
        <w:t>]</w:t>
      </w:r>
      <w:r w:rsidRPr="00281126">
        <w:t xml:space="preserve"> </w:t>
      </w:r>
      <w:r/>
      <w:r>
        <w:t>Harris S G, Padilla J, Koumas L, et al. Prostaglandins as modulators of immunity</w:t>
      </w:r>
      <w:r>
        <w:t>[</w:t>
      </w:r>
      <w:r>
        <w:t>J</w:t>
      </w:r>
      <w:r>
        <w:t>]</w:t>
      </w:r>
      <w:r>
        <w:t xml:space="preserve">. Trends Immunol,</w:t>
      </w:r>
      <w:r>
        <w:t xml:space="preserve"> </w:t>
      </w:r>
      <w:r>
        <w:t>2002,</w:t>
      </w:r>
      <w:r>
        <w:t xml:space="preserve"> </w:t>
      </w:r>
      <w:r>
        <w:t>23</w:t>
      </w:r>
      <w:r>
        <w:t>(</w:t>
      </w:r>
      <w:r>
        <w:t>3</w:t>
      </w:r>
      <w:r>
        <w:t>)</w:t>
      </w:r>
      <w:r>
        <w:t xml:space="preserve">:</w:t>
      </w:r>
      <w:r>
        <w:t xml:space="preserve"> </w:t>
      </w:r>
      <w:r>
        <w:t>144-150.</w:t>
      </w:r>
    </w:p>
    <w:p w:rsidR="0018722C">
      <w:pPr>
        <w:pStyle w:val="ab"/>
        <w:topLinePunct/>
        <w:ind w:left="200" w:hangingChars="200" w:hanging="200"/>
      </w:pPr>
      <w:r>
        <w:t>[</w:t>
      </w:r>
      <w:r>
        <w:t xml:space="preserve">62</w:t>
      </w:r>
      <w:r>
        <w:t>]</w:t>
      </w:r>
      <w:r w:rsidRPr="00281126">
        <w:t xml:space="preserve"> </w:t>
      </w:r>
      <w:r/>
      <w:r>
        <w:t>Gao Y W, Chen Y X, Wang Z M, et al. Increased expression of cyclooxygenase-2 and increased infiltration of</w:t>
      </w:r>
      <w:r>
        <w:t> </w:t>
      </w:r>
      <w:r>
        <w:t>regulatory</w:t>
      </w:r>
      <w:r>
        <w:t> </w:t>
      </w:r>
      <w:r>
        <w:t>T</w:t>
      </w:r>
      <w:r>
        <w:t> </w:t>
      </w:r>
      <w:r>
        <w:t>cells</w:t>
      </w:r>
      <w:r>
        <w:t> </w:t>
      </w:r>
      <w:r>
        <w:t>in</w:t>
      </w:r>
      <w:r>
        <w:t> </w:t>
      </w:r>
      <w:r>
        <w:t>tumors</w:t>
      </w:r>
      <w:r>
        <w:t> </w:t>
      </w:r>
      <w:r>
        <w:t>of</w:t>
      </w:r>
      <w:r>
        <w:t> </w:t>
      </w:r>
      <w:r>
        <w:t>patients</w:t>
      </w:r>
      <w:r>
        <w:t> </w:t>
      </w:r>
      <w:r>
        <w:t>with</w:t>
      </w:r>
      <w:r>
        <w:t> </w:t>
      </w:r>
      <w:r>
        <w:t>hepatocellular</w:t>
      </w:r>
      <w:r>
        <w:t> </w:t>
      </w:r>
      <w:r>
        <w:t>carcinoma</w:t>
      </w:r>
      <w:r>
        <w:t>[</w:t>
      </w:r>
      <w:r>
        <w:t>J</w:t>
      </w:r>
      <w:r>
        <w:t>]</w:t>
      </w:r>
      <w:r>
        <w:t>.</w:t>
      </w:r>
      <w:r>
        <w:t> </w:t>
      </w:r>
      <w:r>
        <w:t xml:space="preserve">Digestion,</w:t>
      </w:r>
      <w:r>
        <w:t xml:space="preserve"> </w:t>
      </w:r>
      <w:r>
        <w:t>2009,</w:t>
      </w:r>
      <w:r>
        <w:t xml:space="preserve"> </w:t>
      </w:r>
      <w:r>
        <w:t>79</w:t>
      </w:r>
      <w:r>
        <w:t>(</w:t>
      </w:r>
      <w:r>
        <w:t>3</w:t>
      </w:r>
      <w:r>
        <w:t>)</w:t>
      </w:r>
      <w:r>
        <w:t xml:space="preserve">:</w:t>
      </w:r>
      <w:r>
        <w:t xml:space="preserve"> </w:t>
      </w:r>
      <w:r>
        <w:t>169-176.</w:t>
      </w:r>
    </w:p>
    <w:p w:rsidR="0018722C">
      <w:pPr>
        <w:pStyle w:val="ab"/>
        <w:topLinePunct/>
        <w:ind w:left="200" w:hangingChars="200" w:hanging="200"/>
      </w:pPr>
      <w:r>
        <w:t>[</w:t>
      </w:r>
      <w:r>
        <w:t xml:space="preserve">63</w:t>
      </w:r>
      <w:r>
        <w:t>]</w:t>
      </w:r>
      <w:r w:rsidRPr="00281126">
        <w:t xml:space="preserve"> </w:t>
      </w:r>
      <w:r/>
      <w:r>
        <w:t>Zhou L, Wang D S, Li Q J, et al. The down-regulation of Notch1 inhibits the invasion and migration of hepatocellular carcinoma cells by inactivating the cyclooxygenase-2</w:t>
      </w:r>
      <w:r>
        <w:t>/</w:t>
      </w:r>
      <w:r>
        <w:t>Snail</w:t>
      </w:r>
      <w:r>
        <w:t>/</w:t>
      </w:r>
      <w:r>
        <w:t>E-cadherin pathway in vitro</w:t>
      </w:r>
      <w:r>
        <w:t>[</w:t>
      </w:r>
      <w:r>
        <w:t>J</w:t>
      </w:r>
      <w:r>
        <w:t>]</w:t>
      </w:r>
      <w:r>
        <w:t>. Dig Dis</w:t>
      </w:r>
      <w:r>
        <w:t> </w:t>
      </w:r>
      <w:r>
        <w:t xml:space="preserve">Sci,</w:t>
      </w:r>
      <w:r>
        <w:t xml:space="preserve"> </w:t>
      </w:r>
      <w:r>
        <w:t>2013,</w:t>
      </w:r>
      <w:r>
        <w:t xml:space="preserve"> </w:t>
      </w:r>
      <w:r>
        <w:t>58</w:t>
      </w:r>
      <w:r>
        <w:t>(</w:t>
      </w:r>
      <w:r>
        <w:t>4</w:t>
      </w:r>
      <w:r>
        <w:t>)</w:t>
      </w:r>
      <w:r>
        <w:t xml:space="preserve">:</w:t>
      </w:r>
      <w:r>
        <w:t xml:space="preserve"> </w:t>
      </w:r>
      <w:r>
        <w:t>1016-1025.</w:t>
      </w:r>
    </w:p>
    <w:p w:rsidR="0018722C">
      <w:pPr>
        <w:pStyle w:val="ab"/>
        <w:topLinePunct/>
        <w:ind w:left="200" w:hangingChars="200" w:hanging="200"/>
      </w:pPr>
      <w:r>
        <w:t>[</w:t>
      </w:r>
      <w:r>
        <w:t xml:space="preserve">64</w:t>
      </w:r>
      <w:r>
        <w:t>]</w:t>
      </w:r>
      <w:r w:rsidRPr="00281126">
        <w:t xml:space="preserve"> </w:t>
      </w:r>
      <w:r/>
      <w:r>
        <w:t>Togo S, Chen H, Takahashi T, et al. Prostaglandin E1 improves survival rate after 95% hepatectomy in rats</w:t>
      </w:r>
      <w:r>
        <w:t>[</w:t>
      </w:r>
      <w:r>
        <w:t>J</w:t>
      </w:r>
      <w:r>
        <w:t>]</w:t>
      </w:r>
      <w:r>
        <w:t>. J Surg</w:t>
      </w:r>
      <w:r>
        <w:t> </w:t>
      </w:r>
      <w:r>
        <w:t xml:space="preserve">Res,</w:t>
      </w:r>
      <w:r>
        <w:t xml:space="preserve"> </w:t>
      </w:r>
      <w:r>
        <w:t>2008,</w:t>
      </w:r>
      <w:r>
        <w:t xml:space="preserve"> </w:t>
      </w:r>
      <w:r>
        <w:t>146</w:t>
      </w:r>
      <w:r>
        <w:t>(</w:t>
      </w:r>
      <w:r>
        <w:t>1</w:t>
      </w:r>
      <w:r>
        <w:t>)</w:t>
      </w:r>
      <w:r>
        <w:t xml:space="preserve">:</w:t>
      </w:r>
      <w:r>
        <w:t xml:space="preserve"> </w:t>
      </w:r>
      <w:r>
        <w:t>66-72.</w:t>
      </w:r>
    </w:p>
    <w:p w:rsidR="0018722C">
      <w:pPr>
        <w:pStyle w:val="ab"/>
        <w:topLinePunct/>
        <w:ind w:left="200" w:hangingChars="200" w:hanging="200"/>
      </w:pPr>
      <w:r>
        <w:t>[</w:t>
      </w:r>
      <w:r>
        <w:t xml:space="preserve">65</w:t>
      </w:r>
      <w:r>
        <w:t>]</w:t>
      </w:r>
      <w:r w:rsidRPr="00281126">
        <w:t xml:space="preserve"> </w:t>
      </w:r>
      <w:r/>
      <w:r>
        <w:t>Williams C S, Mann M, Dubois R N. The role of cyclooxygenases in inflammation, cancer, and development</w:t>
      </w:r>
      <w:r>
        <w:t>[</w:t>
      </w:r>
      <w:r>
        <w:t>J</w:t>
      </w:r>
      <w:r>
        <w:t>]</w:t>
      </w:r>
      <w:r>
        <w:t>.</w:t>
      </w:r>
      <w:r>
        <w:t> </w:t>
      </w:r>
      <w:r>
        <w:t xml:space="preserve">Oncogene,</w:t>
      </w:r>
      <w:r>
        <w:t xml:space="preserve"> </w:t>
      </w:r>
      <w:r>
        <w:t>1999,</w:t>
      </w:r>
      <w:r>
        <w:t xml:space="preserve"> </w:t>
      </w:r>
      <w:r>
        <w:t>18</w:t>
      </w:r>
      <w:r>
        <w:t>(</w:t>
      </w:r>
      <w:r>
        <w:t>55</w:t>
      </w:r>
      <w:r>
        <w:t>)</w:t>
      </w:r>
      <w:r>
        <w:t xml:space="preserve">:</w:t>
      </w:r>
      <w:r>
        <w:t xml:space="preserve"> </w:t>
      </w:r>
      <w:r>
        <w:t>7908-7916.</w:t>
      </w:r>
    </w:p>
    <w:p w:rsidR="0018722C">
      <w:pPr>
        <w:pStyle w:val="ab"/>
        <w:topLinePunct/>
        <w:ind w:left="200" w:hangingChars="200" w:hanging="200"/>
      </w:pPr>
      <w:r>
        <w:t>[</w:t>
      </w:r>
      <w:r>
        <w:t xml:space="preserve">66</w:t>
      </w:r>
      <w:r>
        <w:t>]</w:t>
      </w:r>
      <w:r w:rsidRPr="00281126">
        <w:t xml:space="preserve"> </w:t>
      </w:r>
      <w:r/>
      <w:r>
        <w:t>Breinig M, Rieker R, Eiteneuer E, et al. Differential expression of E-prostanoid receptors in human hepatocellular</w:t>
      </w:r>
      <w:r>
        <w:t> </w:t>
      </w:r>
      <w:r>
        <w:t>carcinoma</w:t>
      </w:r>
      <w:r>
        <w:t>[</w:t>
      </w:r>
      <w:r>
        <w:t>J</w:t>
      </w:r>
      <w:r>
        <w:t>]</w:t>
      </w:r>
      <w:r>
        <w:t>.</w:t>
      </w:r>
      <w:r>
        <w:t> </w:t>
      </w:r>
      <w:r>
        <w:t>Int</w:t>
      </w:r>
      <w:r>
        <w:t> </w:t>
      </w:r>
      <w:r>
        <w:t>J</w:t>
      </w:r>
      <w:r>
        <w:t> </w:t>
      </w:r>
      <w:r>
        <w:t xml:space="preserve">Cancer,</w:t>
      </w:r>
      <w:r>
        <w:t xml:space="preserve"> </w:t>
      </w:r>
      <w:r>
        <w:t>2008,</w:t>
      </w:r>
      <w:r>
        <w:t xml:space="preserve"> </w:t>
      </w:r>
      <w:r>
        <w:t>122</w:t>
      </w:r>
      <w:r>
        <w:t>(</w:t>
      </w:r>
      <w:r>
        <w:t>3</w:t>
      </w:r>
      <w:r>
        <w:t>)</w:t>
      </w:r>
      <w:r>
        <w:t xml:space="preserve">:</w:t>
      </w:r>
      <w:r>
        <w:t xml:space="preserve"> </w:t>
      </w:r>
      <w:r>
        <w:t>547-557.</w:t>
      </w:r>
    </w:p>
    <w:p w:rsidR="0018722C">
      <w:pPr>
        <w:pStyle w:val="ab"/>
        <w:topLinePunct/>
        <w:ind w:left="200" w:hangingChars="200" w:hanging="200"/>
      </w:pPr>
      <w:r>
        <w:t>[</w:t>
      </w:r>
      <w:r>
        <w:t xml:space="preserve">67</w:t>
      </w:r>
      <w:r>
        <w:t>]</w:t>
      </w:r>
      <w:r w:rsidRPr="00281126">
        <w:t xml:space="preserve"> </w:t>
      </w:r>
      <w:r/>
      <w:r>
        <w:rPr>
          <w:rFonts w:ascii="宋体" w:eastAsia="宋体" w:hint="eastAsia"/>
        </w:rPr>
        <w:t>朱东</w:t>
      </w:r>
      <w:r>
        <w:rPr>
          <w:rFonts w:ascii="宋体" w:eastAsia="宋体" w:hint="eastAsia"/>
        </w:rPr>
        <w:t xml:space="preserve">, </w:t>
      </w:r>
      <w:r>
        <w:rPr>
          <w:rFonts w:ascii="宋体" w:eastAsia="宋体" w:hint="eastAsia"/>
        </w:rPr>
        <w:t>叶蕾</w:t>
      </w:r>
      <w:r>
        <w:rPr>
          <w:rFonts w:ascii="宋体" w:eastAsia="宋体" w:hint="eastAsia"/>
        </w:rPr>
        <w:t xml:space="preserve">, </w:t>
      </w:r>
      <w:r>
        <w:rPr>
          <w:rFonts w:ascii="宋体" w:eastAsia="宋体" w:hint="eastAsia"/>
        </w:rPr>
        <w:t>朱肖鸿</w:t>
      </w:r>
      <w:r>
        <w:rPr>
          <w:rFonts w:ascii="宋体" w:eastAsia="宋体" w:hint="eastAsia"/>
        </w:rPr>
        <w:t xml:space="preserve">, </w:t>
      </w:r>
      <w:r>
        <w:rPr>
          <w:rFonts w:ascii="宋体" w:eastAsia="宋体" w:hint="eastAsia"/>
        </w:rPr>
        <w:t>等</w:t>
      </w:r>
      <w:r>
        <w:t>. </w:t>
      </w:r>
      <w:r w:rsidR="001852F3">
        <w:t xml:space="preserve">   </w:t>
      </w:r>
      <w:r>
        <w:rPr>
          <w:rFonts w:ascii="宋体" w:eastAsia="宋体" w:hint="eastAsia"/>
        </w:rPr>
        <w:t>前列腺素</w:t>
      </w:r>
      <w:r>
        <w:t>E1</w:t>
      </w:r>
      <w:r>
        <w:rPr>
          <w:rFonts w:ascii="宋体" w:eastAsia="宋体" w:hint="eastAsia"/>
        </w:rPr>
        <w:t>治疗高黄疸慢性乙型肝炎</w:t>
      </w:r>
      <w:r>
        <w:t>36</w:t>
      </w:r>
      <w:r>
        <w:rPr>
          <w:rFonts w:ascii="宋体" w:eastAsia="宋体" w:hint="eastAsia"/>
        </w:rPr>
        <w:t>例</w:t>
      </w:r>
      <w:r>
        <w:t>[</w:t>
      </w:r>
      <w:r>
        <w:rPr>
          <w:sz w:val="20"/>
        </w:rPr>
        <w:t xml:space="preserve">J</w:t>
      </w:r>
      <w:r>
        <w:t>]</w:t>
      </w:r>
      <w:r>
        <w:t>.</w:t>
      </w:r>
      <w:r>
        <w:t> </w:t>
      </w:r>
      <w:r w:rsidR="001852F3">
        <w:t xml:space="preserve">   </w:t>
      </w:r>
      <w:r>
        <w:rPr>
          <w:rFonts w:ascii="宋体" w:eastAsia="宋体" w:hint="eastAsia"/>
        </w:rPr>
        <w:t>浙江中西医结合杂志</w:t>
      </w:r>
      <w:r>
        <w:t xml:space="preserve">,</w:t>
      </w:r>
      <w:r>
        <w:t xml:space="preserve"> </w:t>
      </w:r>
      <w:r/>
      <w:r>
        <w:rPr>
          <w:rFonts w:cstheme="minorBidi" w:hAnsiTheme="minorHAnsi" w:eastAsiaTheme="minorHAnsi" w:asciiTheme="minorHAnsi"/>
        </w:rPr>
        <w:t xml:space="preserve">2005, 15</w:t>
      </w:r>
      <w:r>
        <w:rPr>
          <w:rFonts w:cstheme="minorBidi" w:hAnsiTheme="minorHAnsi" w:eastAsiaTheme="minorHAnsi" w:asciiTheme="minorHAnsi"/>
        </w:rPr>
        <w:t>(</w:t>
      </w:r>
      <w:r>
        <w:rPr>
          <w:rFonts w:cstheme="minorBidi" w:hAnsiTheme="minorHAnsi" w:eastAsiaTheme="minorHAnsi" w:asciiTheme="minorHAnsi"/>
        </w:rPr>
        <w:t>7</w:t>
      </w:r>
      <w:r>
        <w:rPr>
          <w:rFonts w:cstheme="minorBidi" w:hAnsiTheme="minorHAnsi" w:eastAsiaTheme="minorHAnsi" w:asciiTheme="minorHAnsi"/>
        </w:rPr>
        <w:t>)</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439, 447.</w:t>
      </w:r>
    </w:p>
    <w:p w:rsidR="0018722C">
      <w:pPr>
        <w:pStyle w:val="ab"/>
        <w:topLinePunct/>
        <w:ind w:left="200" w:hangingChars="200" w:hanging="200"/>
      </w:pPr>
      <w:r>
        <w:t>[</w:t>
      </w:r>
      <w:r>
        <w:t xml:space="preserve">68</w:t>
      </w:r>
      <w:r>
        <w:t>]</w:t>
      </w:r>
      <w:r w:rsidRPr="00281126">
        <w:t xml:space="preserve"> </w:t>
      </w:r>
      <w:r/>
      <w:r>
        <w:t>Niho N, Mutoh M, Kitamura T, et al. Suppression of azoxymethane-induced colon cancer development in rats</w:t>
      </w:r>
      <w:r>
        <w:t> </w:t>
      </w:r>
      <w:r>
        <w:t>by</w:t>
      </w:r>
      <w:r>
        <w:t> </w:t>
      </w:r>
      <w:r>
        <w:t>a</w:t>
      </w:r>
      <w:r>
        <w:t> </w:t>
      </w:r>
      <w:r>
        <w:t>prostaglandin</w:t>
      </w:r>
      <w:r>
        <w:t> </w:t>
      </w:r>
      <w:r>
        <w:t>E</w:t>
      </w:r>
      <w:r>
        <w:t> </w:t>
      </w:r>
      <w:r>
        <w:t>receptor</w:t>
      </w:r>
      <w:r>
        <w:t> </w:t>
      </w:r>
      <w:r>
        <w:t>EP1-selective</w:t>
      </w:r>
      <w:r>
        <w:t> </w:t>
      </w:r>
      <w:r>
        <w:t>antagonist</w:t>
      </w:r>
      <w:r>
        <w:t>[</w:t>
      </w:r>
      <w:r>
        <w:t>J</w:t>
      </w:r>
      <w:r>
        <w:t>]</w:t>
      </w:r>
      <w:r>
        <w:t>.</w:t>
      </w:r>
      <w:r>
        <w:t> </w:t>
      </w:r>
      <w:r>
        <w:t>Cancer</w:t>
      </w:r>
      <w:r>
        <w:t> </w:t>
      </w:r>
      <w:r>
        <w:t xml:space="preserve">Sci,</w:t>
      </w:r>
      <w:r>
        <w:t xml:space="preserve"> </w:t>
      </w:r>
      <w:r>
        <w:t>2005,</w:t>
      </w:r>
      <w:r>
        <w:t xml:space="preserve"> </w:t>
      </w:r>
      <w:r>
        <w:t>96</w:t>
      </w:r>
      <w:r>
        <w:t>(</w:t>
      </w:r>
      <w:r>
        <w:t>5</w:t>
      </w:r>
      <w:r>
        <w:t>)</w:t>
      </w:r>
      <w:r>
        <w:t xml:space="preserve">:</w:t>
      </w:r>
      <w:r>
        <w:t xml:space="preserve"> </w:t>
      </w:r>
      <w:r>
        <w:t>260-264.</w:t>
      </w:r>
    </w:p>
    <w:p w:rsidR="0018722C">
      <w:pPr>
        <w:pStyle w:val="ab"/>
        <w:topLinePunct/>
        <w:ind w:left="200" w:hangingChars="200" w:hanging="200"/>
      </w:pPr>
      <w:r>
        <w:t>[</w:t>
      </w:r>
      <w:r>
        <w:t xml:space="preserve">69</w:t>
      </w:r>
      <w:r>
        <w:t>]</w:t>
      </w:r>
      <w:r w:rsidRPr="00281126">
        <w:t xml:space="preserve"> </w:t>
      </w:r>
      <w:r/>
      <w:r>
        <w:t>Bilson H A, Mitchell D L, Ashby B. Human prostaglandin EP3 receptor isoforms show different agonist- induced</w:t>
      </w:r>
      <w:r>
        <w:t> </w:t>
      </w:r>
      <w:r>
        <w:t>internalization</w:t>
      </w:r>
      <w:r>
        <w:t> </w:t>
      </w:r>
      <w:r>
        <w:t>patterns</w:t>
      </w:r>
      <w:r>
        <w:t>[</w:t>
      </w:r>
      <w:r>
        <w:t>J</w:t>
      </w:r>
      <w:r>
        <w:t>]</w:t>
      </w:r>
      <w:r>
        <w:t>.</w:t>
      </w:r>
      <w:r>
        <w:t> </w:t>
      </w:r>
      <w:r>
        <w:t>FEBS</w:t>
      </w:r>
      <w:r>
        <w:t> </w:t>
      </w:r>
      <w:r>
        <w:t xml:space="preserve">Lett,</w:t>
      </w:r>
      <w:r>
        <w:t xml:space="preserve"> </w:t>
      </w:r>
      <w:r>
        <w:t>2004,</w:t>
      </w:r>
      <w:r>
        <w:t xml:space="preserve"> </w:t>
      </w:r>
      <w:r>
        <w:t>572</w:t>
      </w:r>
      <w:r>
        <w:t>(</w:t>
      </w:r>
      <w:r>
        <w:t>1-3</w:t>
      </w:r>
      <w:r>
        <w:t>)</w:t>
      </w:r>
      <w:r>
        <w:t xml:space="preserve">:</w:t>
      </w:r>
      <w:r>
        <w:t xml:space="preserve"> </w:t>
      </w:r>
      <w:r>
        <w:t>271-275.</w:t>
      </w:r>
    </w:p>
    <w:p w:rsidR="0018722C">
      <w:pPr>
        <w:pStyle w:val="ab"/>
        <w:topLinePunct/>
        <w:ind w:left="200" w:hangingChars="200" w:hanging="200"/>
      </w:pPr>
      <w:r>
        <w:t>[</w:t>
      </w:r>
      <w:r>
        <w:t xml:space="preserve">70</w:t>
      </w:r>
      <w:r>
        <w:t>]</w:t>
      </w:r>
      <w:r w:rsidRPr="00281126">
        <w:t xml:space="preserve"> </w:t>
      </w:r>
      <w:r/>
      <w:r>
        <w:t>Yamaki T, Endoh K, Miyahara M, et al. Prostaglandin E2 activates Src signaling in lung adenocarcinoma cell</w:t>
      </w:r>
      <w:r>
        <w:t> </w:t>
      </w:r>
      <w:r>
        <w:t>via</w:t>
      </w:r>
      <w:r>
        <w:t> </w:t>
      </w:r>
      <w:r>
        <w:t>EP3</w:t>
      </w:r>
      <w:r>
        <w:t>[</w:t>
      </w:r>
      <w:r>
        <w:t>J</w:t>
      </w:r>
      <w:r>
        <w:t>]</w:t>
      </w:r>
      <w:r>
        <w:t>.</w:t>
      </w:r>
      <w:r>
        <w:t> </w:t>
      </w:r>
      <w:r>
        <w:t>Cancer</w:t>
      </w:r>
      <w:r>
        <w:t> </w:t>
      </w:r>
      <w:r>
        <w:t xml:space="preserve">Lett,</w:t>
      </w:r>
      <w:r>
        <w:t xml:space="preserve"> </w:t>
      </w:r>
      <w:r>
        <w:t>2004,</w:t>
      </w:r>
      <w:r>
        <w:t xml:space="preserve"> </w:t>
      </w:r>
      <w:r>
        <w:t>214</w:t>
      </w:r>
      <w:r>
        <w:t>(</w:t>
      </w:r>
      <w:r>
        <w:t>1</w:t>
      </w:r>
      <w:r>
        <w:t>)</w:t>
      </w:r>
      <w:r>
        <w:t xml:space="preserve">:</w:t>
      </w:r>
      <w:r>
        <w:t xml:space="preserve"> </w:t>
      </w:r>
      <w:r>
        <w:t>115-120.</w:t>
      </w:r>
    </w:p>
    <w:p w:rsidR="0018722C">
      <w:pPr>
        <w:pStyle w:val="ab"/>
        <w:topLinePunct/>
        <w:ind w:left="200" w:hangingChars="200" w:hanging="200"/>
      </w:pPr>
      <w:r>
        <w:t>[</w:t>
      </w:r>
      <w:r>
        <w:t xml:space="preserve">71</w:t>
      </w:r>
      <w:r>
        <w:t>]</w:t>
      </w:r>
      <w:r w:rsidRPr="00281126">
        <w:t xml:space="preserve"> </w:t>
      </w:r>
      <w:r/>
      <w:r>
        <w:t>Yano T, Zissel G, Muller-Qernheim J, et al. Prostaglandin E2 reinforces the activation of Ras signal pathway</w:t>
      </w:r>
      <w:r>
        <w:t> </w:t>
      </w:r>
      <w:r>
        <w:t>in</w:t>
      </w:r>
      <w:r>
        <w:t> </w:t>
      </w:r>
      <w:r>
        <w:t>lung</w:t>
      </w:r>
      <w:r>
        <w:t> </w:t>
      </w:r>
      <w:r>
        <w:t>adenocarcinoma</w:t>
      </w:r>
      <w:r>
        <w:t> </w:t>
      </w:r>
      <w:r>
        <w:t>cells</w:t>
      </w:r>
      <w:r>
        <w:t> </w:t>
      </w:r>
      <w:r>
        <w:t>via</w:t>
      </w:r>
      <w:r>
        <w:t> </w:t>
      </w:r>
      <w:r>
        <w:t>EP3</w:t>
      </w:r>
      <w:r>
        <w:t>[</w:t>
      </w:r>
      <w:r>
        <w:t>J</w:t>
      </w:r>
      <w:r>
        <w:t>]</w:t>
      </w:r>
      <w:r>
        <w:t>.</w:t>
      </w:r>
      <w:r>
        <w:t> </w:t>
      </w:r>
      <w:r>
        <w:t>FEBS</w:t>
      </w:r>
      <w:r>
        <w:t> </w:t>
      </w:r>
      <w:r>
        <w:t xml:space="preserve">Lett,</w:t>
      </w:r>
      <w:r>
        <w:t xml:space="preserve"> </w:t>
      </w:r>
      <w:r>
        <w:t>2002,</w:t>
      </w:r>
      <w:r>
        <w:t xml:space="preserve"> </w:t>
      </w:r>
      <w:r>
        <w:t>518</w:t>
      </w:r>
      <w:r>
        <w:t>(</w:t>
      </w:r>
      <w:r>
        <w:t>1-3</w:t>
      </w:r>
      <w:r>
        <w:t>)</w:t>
      </w:r>
      <w:r>
        <w:t xml:space="preserve">:</w:t>
      </w:r>
      <w:r>
        <w:t xml:space="preserve"> </w:t>
      </w:r>
      <w:r>
        <w:t>154-158.</w:t>
      </w:r>
    </w:p>
    <w:p w:rsidR="0018722C">
      <w:pPr>
        <w:pStyle w:val="ab"/>
        <w:topLinePunct/>
        <w:ind w:left="200" w:hangingChars="200" w:hanging="200"/>
      </w:pPr>
      <w:r>
        <w:t>[</w:t>
      </w:r>
      <w:r>
        <w:t xml:space="preserve">72</w:t>
      </w:r>
      <w:r>
        <w:t>]</w:t>
      </w:r>
      <w:r w:rsidRPr="00281126">
        <w:t xml:space="preserve"> </w:t>
      </w:r>
      <w:r/>
      <w:r>
        <w:t>Shoji Y, Takahashi M, Kitamura T, et al. Downregulation of prostaglandin E receptor subtype EP3 during colon cancer development</w:t>
      </w:r>
      <w:r>
        <w:t>[</w:t>
      </w:r>
      <w:r>
        <w:t>J</w:t>
      </w:r>
      <w:r>
        <w:t>]</w:t>
      </w:r>
      <w:r>
        <w:t>.</w:t>
      </w:r>
      <w:r>
        <w:t> </w:t>
      </w:r>
      <w:r>
        <w:t xml:space="preserve">Gut,</w:t>
      </w:r>
      <w:r>
        <w:t xml:space="preserve"> </w:t>
      </w:r>
      <w:r>
        <w:t>2004,</w:t>
      </w:r>
      <w:r>
        <w:t xml:space="preserve"> </w:t>
      </w:r>
      <w:r>
        <w:t>53</w:t>
      </w:r>
      <w:r>
        <w:t>(</w:t>
      </w:r>
      <w:r>
        <w:t>8</w:t>
      </w:r>
      <w:r>
        <w:t>)</w:t>
      </w:r>
      <w:r>
        <w:t xml:space="preserve">:</w:t>
      </w:r>
      <w:r>
        <w:t xml:space="preserve"> </w:t>
      </w:r>
      <w:r>
        <w:t>1151-1158.</w:t>
      </w:r>
    </w:p>
    <w:p w:rsidR="0018722C">
      <w:pPr>
        <w:pStyle w:val="ab"/>
        <w:topLinePunct/>
        <w:ind w:left="200" w:hangingChars="200" w:hanging="200"/>
      </w:pPr>
      <w:r>
        <w:t>[</w:t>
      </w:r>
      <w:r>
        <w:t xml:space="preserve">73</w:t>
      </w:r>
      <w:r>
        <w:t>]</w:t>
      </w:r>
      <w:r w:rsidRPr="00281126">
        <w:t xml:space="preserve"> </w:t>
      </w:r>
      <w:r/>
      <w:r>
        <w:t>Gomez-Hernandez A, Martin-Ventura J L, Sanchez-Galan E, et al. Overexpression of COX-2, Prostaglandin E synthase-1 and prostaglandin E receptors in blood mononuclear cells and plaque of patients with carotid</w:t>
      </w:r>
      <w:r>
        <w:t> </w:t>
      </w:r>
      <w:r>
        <w:t>atherosclerosis:</w:t>
      </w:r>
      <w:r>
        <w:t> </w:t>
      </w:r>
      <w:r>
        <w:t>regulation</w:t>
      </w:r>
      <w:r>
        <w:t> </w:t>
      </w:r>
      <w:r>
        <w:t>by</w:t>
      </w:r>
      <w:r>
        <w:t> </w:t>
      </w:r>
      <w:r>
        <w:t>nuclear</w:t>
      </w:r>
      <w:r>
        <w:t> </w:t>
      </w:r>
      <w:r>
        <w:t>factor-kappaB</w:t>
      </w:r>
      <w:r>
        <w:t>[</w:t>
      </w:r>
      <w:r>
        <w:t>J</w:t>
      </w:r>
      <w:r>
        <w:t>]</w:t>
      </w:r>
      <w:r>
        <w:t>.</w:t>
      </w:r>
      <w:r>
        <w:t> </w:t>
      </w:r>
      <w:r>
        <w:t xml:space="preserve">Atherosclerosis,</w:t>
      </w:r>
      <w:r>
        <w:t xml:space="preserve"> </w:t>
      </w:r>
      <w:r>
        <w:t>2006,</w:t>
      </w:r>
      <w:r>
        <w:t xml:space="preserve"> </w:t>
      </w:r>
      <w:r>
        <w:t>187</w:t>
      </w:r>
      <w:r>
        <w:t>(</w:t>
      </w:r>
      <w:r>
        <w:t>1</w:t>
      </w:r>
      <w:r>
        <w:t>)</w:t>
      </w:r>
      <w:r>
        <w:t xml:space="preserve">:</w:t>
      </w:r>
      <w:r>
        <w:t xml:space="preserve"> </w:t>
      </w:r>
      <w:r>
        <w:t>139-149.</w:t>
      </w:r>
    </w:p>
    <w:p w:rsidR="0018722C">
      <w:pPr>
        <w:pStyle w:val="Heading1"/>
        <w:topLinePunct/>
      </w:pPr>
      <w:bookmarkStart w:id="227992" w:name="_Toc686227992"/>
      <w:bookmarkStart w:name="_bookmark9" w:id="43"/>
      <w:bookmarkEnd w:id="43"/>
      <w:r/>
      <w:r>
        <w:t>41</w:t>
      </w:r>
      <w:bookmarkEnd w:id="227992"/>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aff2"/>
        <w:topLinePunct/>
      </w:pPr>
      <w:bookmarkStart w:name="致谢 " w:id="44"/>
      <w:bookmarkEnd w:id="44"/>
      <w:r/>
      <w:r>
        <w:t>致</w:t>
      </w:r>
      <w:r w:rsidR="004F241D">
        <w:t xml:space="preserve">  </w:t>
      </w:r>
      <w:r w:rsidR="004F241D">
        <w:t xml:space="preserve">谢</w:t>
      </w:r>
    </w:p>
    <w:p w:rsidR="0018722C">
      <w:pPr>
        <w:topLinePunct/>
      </w:pPr>
      <w:r>
        <w:t>在即将毕业之季，我衷心的感谢那些关心帮助过我的老师、亲人、朋友以及同学们。</w:t>
      </w:r>
    </w:p>
    <w:p w:rsidR="0018722C">
      <w:pPr>
        <w:topLinePunct/>
      </w:pPr>
      <w:r>
        <w:t>首先，衷心感谢我的恩师向邦德教授！能成为向老师的学生是我一生都觉得幸运的事情。在我攻读硕士学位的三年时间里</w:t>
      </w:r>
      <w:r>
        <w:rPr>
          <w:rFonts w:ascii="Times New Roman" w:eastAsia="Times New Roman"/>
          <w:rFonts w:hint="eastAsia"/>
        </w:rPr>
        <w:t>，</w:t>
      </w:r>
      <w:r>
        <w:t>是向老师的耐心教诲和悉心指导，使我得以圆满而顺利地完成硕士研究生的科研和临床任务。老师对待临床工作敏捷的思维和严谨的工作态度，让我对肝胆外科理论，</w:t>
      </w:r>
      <w:r w:rsidR="001852F3">
        <w:t xml:space="preserve">手术有关操作都有所掌握，使我有了一定的临床思维；老师对待科研方面严谨的治学态度，深厚的学术造诣，激励着我对待科研永远保持一种求新的欲望；老师崇高的医德，激励着我以病人为本。在老师和师母无微不至的关心，让我感受到家的温暖。</w:t>
      </w:r>
    </w:p>
    <w:p w:rsidR="0018722C">
      <w:pPr>
        <w:topLinePunct/>
      </w:pPr>
      <w:r>
        <w:t>向老师严谨求实的工作作风、精益求精的治学态度、乐观向上的人生理念、豁达的高尚人格魅力令我受益匪浅，也使我明白了许多为人处世与待人接物的道理。每每想起向老师深夜给我回复邮件的情形，想起向老师在我第一篇论文上字句斟酌的修改……都让我有一种油然而生的敬意，都使我如沐春风、倍感温暖，万语千言也很难表达此刻我的感受，衷心祝愿向老师事业顺心，健康快乐！再次深深的感谢你们，与你们相处的每时每刻都值得我留恋。</w:t>
      </w:r>
    </w:p>
    <w:p w:rsidR="0018722C">
      <w:pPr>
        <w:topLinePunct/>
      </w:pPr>
      <w:r>
        <w:rPr>
          <w:rFonts w:cstheme="minorBidi" w:hAnsiTheme="minorHAnsi" w:eastAsiaTheme="minorHAnsi" w:asciiTheme="minorHAnsi" w:ascii="宋体" w:eastAsia="宋体" w:hint="eastAsia"/>
        </w:rPr>
        <w:t>其次，</w:t>
      </w:r>
      <w:r>
        <w:rPr>
          <w:rFonts w:ascii="宋体" w:eastAsia="宋体" w:hint="eastAsia" w:cstheme="minorBidi" w:hAnsiTheme="minorHAnsi"/>
        </w:rPr>
        <w:t>感谢医学实验中心钟艳平老师、苏节老师以及医院病理科李春君老师、骆成飘医师在实验工作中给予的支持和帮助。</w:t>
      </w:r>
    </w:p>
    <w:p w:rsidR="0018722C">
      <w:pPr>
        <w:topLinePunct/>
      </w:pPr>
      <w:r>
        <w:t>感谢肝胆外科黎乐群院长，赵荫农教授、袁卫平教授、刘剑勇教授、</w:t>
      </w:r>
      <w:r w:rsidR="001852F3">
        <w:t xml:space="preserve">吴飞翔副教授、邬国斌副教授、张志明副教授、马良副教授、彭宁福博士、齐鲁楠博士、叶甲舟博士、白涛博士，黄ft、陈祖瞬、龚文峰老师以及肝</w:t>
      </w:r>
      <w:r w:rsidR="001852F3">
        <w:t xml:space="preserve">胆外科全体医护人员，感谢你们对我临床轮转的教导和帮助。</w:t>
      </w:r>
    </w:p>
    <w:p w:rsidR="0018722C">
      <w:pPr>
        <w:topLinePunct/>
      </w:pPr>
      <w:r>
        <w:rPr>
          <w:rFonts w:cstheme="minorBidi" w:hAnsiTheme="minorHAnsi" w:eastAsiaTheme="minorHAnsi" w:asciiTheme="minorHAnsi"/>
        </w:rPr>
        <w:t>42</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topLinePunct/>
      </w:pPr>
      <w:r>
        <w:t>感谢我的师兄郭哲，姜经航对我实验、科研论文的指导和生活上的关</w:t>
      </w:r>
      <w:r w:rsidR="001852F3">
        <w:t xml:space="preserve">心；感谢我的师弟齐亚鹏、邱警锋、冯旭卓、李济佳等；感谢我的朋友林</w:t>
      </w:r>
      <w:r w:rsidR="001852F3">
        <w:t xml:space="preserve">家耀、陈兆飞、付艳龙、曾祥林等以及一起奋斗在实验第一线的同学们；</w:t>
      </w:r>
      <w:r w:rsidR="001852F3">
        <w:t xml:space="preserve">感谢对我生活和学习帮助过的所有人。感谢母校以及肿瘤医院对我的培养。</w:t>
      </w:r>
    </w:p>
    <w:p w:rsidR="0018722C">
      <w:pPr>
        <w:topLinePunct/>
      </w:pPr>
      <w:r>
        <w:t>感谢给予我最无私爱的父母和</w:t>
      </w:r>
      <w:r>
        <w:t>兄弟</w:t>
      </w:r>
      <w:r>
        <w:t>，你们是我人生道路上永远的坚强后盾，是你们激励我不断前进。同时感谢我的女朋友杨玉婷，谢谢你陪我走完研究生生活，这三年里我们经历了很多，是你的理解与支持让我更加坚强。</w:t>
      </w:r>
    </w:p>
    <w:p w:rsidR="0018722C">
      <w:pPr>
        <w:topLinePunct/>
      </w:pPr>
      <w:r>
        <w:t>感谢</w:t>
      </w:r>
      <w:r>
        <w:rPr>
          <w:rFonts w:ascii="Times New Roman" w:eastAsia="Times New Roman"/>
        </w:rPr>
        <w:t>2014</w:t>
      </w:r>
      <w:r>
        <w:t>年国家自然科学基金</w:t>
      </w:r>
      <w:r>
        <w:t>（</w:t>
      </w:r>
      <w:r>
        <w:t>编号</w:t>
      </w:r>
      <w:r>
        <w:t xml:space="preserve">: </w:t>
      </w:r>
      <w:r>
        <w:rPr>
          <w:rFonts w:ascii="Times New Roman" w:eastAsia="Times New Roman"/>
        </w:rPr>
        <w:t>81260331</w:t>
      </w:r>
      <w:r>
        <w:t>）</w:t>
      </w:r>
      <w:r>
        <w:t>及</w:t>
      </w:r>
      <w:r>
        <w:rPr>
          <w:rFonts w:ascii="Times New Roman" w:eastAsia="Times New Roman"/>
        </w:rPr>
        <w:t>2015</w:t>
      </w:r>
      <w:r>
        <w:t>年地区自</w:t>
      </w:r>
      <w:r>
        <w:t>然科学基金</w:t>
      </w:r>
      <w:r>
        <w:t>（</w:t>
      </w:r>
      <w:r>
        <w:rPr>
          <w:spacing w:val="0"/>
        </w:rPr>
        <w:t>编号</w:t>
      </w:r>
      <w:r>
        <w:rPr>
          <w:spacing w:val="0"/>
        </w:rPr>
        <w:t xml:space="preserve">: </w:t>
      </w:r>
      <w:r>
        <w:rPr>
          <w:rFonts w:ascii="Times New Roman" w:eastAsia="Times New Roman"/>
          <w:spacing w:val="0"/>
        </w:rPr>
        <w:t>GKE2015-ZZ05</w:t>
      </w:r>
      <w:r>
        <w:t>）</w:t>
      </w:r>
      <w:r>
        <w:t>的资助。</w:t>
      </w:r>
    </w:p>
    <w:p w:rsidR="0018722C">
      <w:pPr>
        <w:topLinePunct/>
      </w:pPr>
      <w:r>
        <w:t>最后，衷心的感谢各位专家和教授在百忙之中评审该论文。</w:t>
      </w:r>
    </w:p>
    <w:p w:rsidR="0018722C">
      <w:pPr>
        <w:topLinePunct/>
      </w:pPr>
      <w:r>
        <w:rPr>
          <w:rFonts w:cstheme="minorBidi" w:hAnsiTheme="minorHAnsi" w:eastAsiaTheme="minorHAnsi" w:asciiTheme="minorHAnsi"/>
        </w:rPr>
        <w:t>43</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a4"/>
        <w:topLinePunct/>
      </w:pPr>
      <w:bookmarkStart w:id="227993" w:name="_Toc686227993"/>
      <w:bookmarkStart w:name="附录一：中英文缩写词对照 " w:id="45"/>
      <w:bookmarkEnd w:id="45"/>
      <w:r/>
      <w:bookmarkStart w:name="_bookmark10" w:id="46"/>
      <w:bookmarkEnd w:id="46"/>
      <w:r/>
      <w:r>
        <w:t>附录一：中英文缩写词对照</w:t>
      </w:r>
      <w:bookmarkEnd w:id="227993"/>
    </w:p>
    <w:tbl>
      <w:tblPr>
        <w:tblW w:w="0" w:type="auto"/>
        <w:tblInd w:w="7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2"/>
        <w:gridCol w:w="3511"/>
        <w:gridCol w:w="4134"/>
      </w:tblGrid>
      <w:tr>
        <w:trPr>
          <w:trHeight w:val="440" w:hRule="atLeast"/>
        </w:trPr>
        <w:tc>
          <w:tcPr>
            <w:tcW w:w="942" w:type="dxa"/>
            <w:tcBorders>
              <w:top w:val="single" w:sz="12" w:space="0" w:color="000000"/>
              <w:bottom w:val="single" w:sz="12" w:space="0" w:color="000000"/>
            </w:tcBorders>
          </w:tcPr>
          <w:p w:rsidR="0018722C">
            <w:pPr>
              <w:topLinePunct/>
              <w:ind w:leftChars="0" w:left="0" w:rightChars="0" w:right="0" w:firstLineChars="0" w:firstLine="0"/>
              <w:spacing w:line="240" w:lineRule="atLeast"/>
            </w:pPr>
            <w:r>
              <w:rPr>
                <w:rFonts w:ascii="微软雅黑" w:eastAsia="微软雅黑" w:hint="eastAsia"/>
                <w:b/>
              </w:rPr>
              <w:t>缩略词</w:t>
            </w:r>
          </w:p>
        </w:tc>
        <w:tc>
          <w:tcPr>
            <w:tcW w:w="3511" w:type="dxa"/>
            <w:tcBorders>
              <w:top w:val="single" w:sz="12" w:space="0" w:color="000000"/>
              <w:bottom w:val="single" w:sz="12" w:space="0" w:color="000000"/>
            </w:tcBorders>
          </w:tcPr>
          <w:p w:rsidR="0018722C">
            <w:pPr>
              <w:topLinePunct/>
              <w:ind w:leftChars="0" w:left="0" w:rightChars="0" w:right="0" w:firstLineChars="0" w:firstLine="0"/>
              <w:spacing w:line="240" w:lineRule="atLeast"/>
            </w:pPr>
            <w:r>
              <w:rPr>
                <w:rFonts w:ascii="微软雅黑" w:eastAsia="微软雅黑" w:hint="eastAsia"/>
                <w:b/>
              </w:rPr>
              <w:t>英文全称</w:t>
            </w:r>
          </w:p>
        </w:tc>
        <w:tc>
          <w:tcPr>
            <w:tcW w:w="4134" w:type="dxa"/>
            <w:tcBorders>
              <w:top w:val="single" w:sz="12" w:space="0" w:color="000000"/>
              <w:bottom w:val="single" w:sz="12" w:space="0" w:color="000000"/>
            </w:tcBorders>
          </w:tcPr>
          <w:p w:rsidR="0018722C">
            <w:pPr>
              <w:topLinePunct/>
              <w:ind w:leftChars="0" w:left="0" w:rightChars="0" w:right="0" w:firstLineChars="0" w:firstLine="0"/>
              <w:spacing w:line="240" w:lineRule="atLeast"/>
            </w:pPr>
            <w:r>
              <w:rPr>
                <w:rFonts w:ascii="微软雅黑" w:eastAsia="微软雅黑" w:hint="eastAsia"/>
                <w:b/>
              </w:rPr>
              <w:t>中文全称</w:t>
            </w:r>
          </w:p>
        </w:tc>
      </w:tr>
      <w:tr>
        <w:trPr>
          <w:trHeight w:val="460" w:hRule="atLeast"/>
        </w:trPr>
        <w:tc>
          <w:tcPr>
            <w:tcW w:w="942" w:type="dxa"/>
            <w:tcBorders>
              <w:top w:val="single" w:sz="12" w:space="0" w:color="000000"/>
            </w:tcBorders>
          </w:tcPr>
          <w:p w:rsidR="0018722C">
            <w:pPr>
              <w:topLinePunct/>
              <w:ind w:leftChars="0" w:left="0" w:rightChars="0" w:right="0" w:firstLineChars="0" w:firstLine="0"/>
              <w:spacing w:line="240" w:lineRule="atLeast"/>
            </w:pPr>
            <w:r>
              <w:t>COX-2</w:t>
            </w:r>
          </w:p>
        </w:tc>
        <w:tc>
          <w:tcPr>
            <w:tcW w:w="3511" w:type="dxa"/>
            <w:tcBorders>
              <w:top w:val="single" w:sz="12" w:space="0" w:color="000000"/>
            </w:tcBorders>
          </w:tcPr>
          <w:p w:rsidR="0018722C">
            <w:pPr>
              <w:topLinePunct/>
              <w:ind w:leftChars="0" w:left="0" w:rightChars="0" w:right="0" w:firstLineChars="0" w:firstLine="0"/>
              <w:spacing w:line="240" w:lineRule="atLeast"/>
            </w:pPr>
            <w:r/>
            <w:r>
              <w:t/>
            </w:r>
            <w:r>
              <w:t>C</w:t>
            </w:r>
            <w:r>
              <w:t xml:space="preserve">yclooxygenase </w:t>
            </w:r>
            <w:r>
              <w:t xml:space="preserve">(</w:t>
            </w:r>
            <w:r>
              <w:t xml:space="preserve">cox</w:t>
            </w:r>
            <w:r>
              <w:t xml:space="preserve">)</w:t>
            </w:r>
            <w:r>
              <w:t xml:space="preserve">-2</w:t>
            </w:r>
          </w:p>
        </w:tc>
        <w:tc>
          <w:tcPr>
            <w:tcW w:w="4134" w:type="dxa"/>
            <w:tcBorders>
              <w:top w:val="single" w:sz="12" w:space="0" w:color="000000"/>
            </w:tcBorders>
          </w:tcPr>
          <w:p w:rsidR="0018722C">
            <w:pPr>
              <w:topLinePunct/>
              <w:ind w:leftChars="0" w:left="0" w:rightChars="0" w:right="0" w:firstLineChars="0" w:firstLine="0"/>
              <w:spacing w:line="240" w:lineRule="atLeast"/>
            </w:pPr>
            <w:r>
              <w:rPr>
                <w:rFonts w:ascii="宋体" w:eastAsia="宋体" w:hint="eastAsia"/>
              </w:rPr>
              <w:t>环氧合酶</w:t>
            </w:r>
            <w:r>
              <w:t>2</w:t>
            </w:r>
          </w:p>
        </w:tc>
      </w:tr>
      <w:tr>
        <w:trPr>
          <w:trHeight w:val="460" w:hRule="atLeast"/>
        </w:trPr>
        <w:tc>
          <w:tcPr>
            <w:tcW w:w="942" w:type="dxa"/>
          </w:tcPr>
          <w:p w:rsidR="0018722C">
            <w:pPr>
              <w:topLinePunct/>
              <w:ind w:leftChars="0" w:left="0" w:rightChars="0" w:right="0" w:firstLineChars="0" w:firstLine="0"/>
              <w:spacing w:line="240" w:lineRule="atLeast"/>
            </w:pPr>
            <w:r>
              <w:t>HCC</w:t>
            </w:r>
          </w:p>
        </w:tc>
        <w:tc>
          <w:tcPr>
            <w:tcW w:w="3511" w:type="dxa"/>
          </w:tcPr>
          <w:p w:rsidR="0018722C">
            <w:pPr>
              <w:topLinePunct/>
              <w:ind w:leftChars="0" w:left="0" w:rightChars="0" w:right="0" w:firstLineChars="0" w:firstLine="0"/>
              <w:spacing w:line="240" w:lineRule="atLeast"/>
            </w:pPr>
            <w:r/>
            <w:r>
              <w:t/>
            </w:r>
            <w:r>
              <w:t>H</w:t>
            </w:r>
            <w:r>
              <w:t>epatocellular carcinoma</w:t>
            </w:r>
          </w:p>
        </w:tc>
        <w:tc>
          <w:tcPr>
            <w:tcW w:w="4134" w:type="dxa"/>
          </w:tcPr>
          <w:p w:rsidR="0018722C">
            <w:pPr>
              <w:topLinePunct/>
              <w:ind w:leftChars="0" w:left="0" w:rightChars="0" w:right="0" w:firstLineChars="0" w:firstLine="0"/>
              <w:spacing w:line="240" w:lineRule="atLeast"/>
            </w:pPr>
            <w:r>
              <w:t>HCC</w:t>
            </w:r>
          </w:p>
        </w:tc>
      </w:tr>
      <w:tr>
        <w:trPr>
          <w:trHeight w:val="460" w:hRule="atLeast"/>
        </w:trPr>
        <w:tc>
          <w:tcPr>
            <w:tcW w:w="942" w:type="dxa"/>
          </w:tcPr>
          <w:p w:rsidR="0018722C">
            <w:pPr>
              <w:topLinePunct/>
              <w:ind w:leftChars="0" w:left="0" w:rightChars="0" w:right="0" w:firstLineChars="0" w:firstLine="0"/>
              <w:spacing w:line="240" w:lineRule="atLeast"/>
            </w:pPr>
            <w:r>
              <w:t>EP1</w:t>
            </w:r>
          </w:p>
        </w:tc>
        <w:tc>
          <w:tcPr>
            <w:tcW w:w="3511" w:type="dxa"/>
          </w:tcPr>
          <w:p w:rsidR="0018722C">
            <w:pPr>
              <w:topLinePunct/>
              <w:ind w:leftChars="0" w:left="0" w:rightChars="0" w:right="0" w:firstLineChars="0" w:firstLine="0"/>
              <w:spacing w:line="240" w:lineRule="atLeast"/>
            </w:pPr>
            <w:r>
              <w:t>Prostaglandin receptor 1</w:t>
            </w:r>
          </w:p>
        </w:tc>
        <w:tc>
          <w:tcPr>
            <w:tcW w:w="4134" w:type="dxa"/>
          </w:tcPr>
          <w:p w:rsidR="0018722C">
            <w:pPr>
              <w:topLinePunct/>
              <w:ind w:leftChars="0" w:left="0" w:rightChars="0" w:right="0" w:firstLineChars="0" w:firstLine="0"/>
              <w:spacing w:line="240" w:lineRule="atLeast"/>
            </w:pPr>
            <w:r>
              <w:rPr>
                <w:rFonts w:ascii="宋体" w:eastAsia="宋体" w:hint="eastAsia"/>
              </w:rPr>
              <w:t>前列腺素受体 </w:t>
            </w:r>
            <w:r>
              <w:t>1</w:t>
            </w:r>
          </w:p>
        </w:tc>
      </w:tr>
      <w:tr>
        <w:trPr>
          <w:trHeight w:val="440" w:hRule="atLeast"/>
        </w:trPr>
        <w:tc>
          <w:tcPr>
            <w:tcW w:w="942" w:type="dxa"/>
          </w:tcPr>
          <w:p w:rsidR="0018722C">
            <w:pPr>
              <w:topLinePunct/>
              <w:ind w:leftChars="0" w:left="0" w:rightChars="0" w:right="0" w:firstLineChars="0" w:firstLine="0"/>
              <w:spacing w:line="240" w:lineRule="atLeast"/>
            </w:pPr>
            <w:r>
              <w:t>WB</w:t>
            </w:r>
          </w:p>
        </w:tc>
        <w:tc>
          <w:tcPr>
            <w:tcW w:w="3511" w:type="dxa"/>
          </w:tcPr>
          <w:p w:rsidR="0018722C">
            <w:pPr>
              <w:topLinePunct/>
              <w:ind w:leftChars="0" w:left="0" w:rightChars="0" w:right="0" w:firstLineChars="0" w:firstLine="0"/>
              <w:spacing w:line="240" w:lineRule="atLeast"/>
            </w:pPr>
            <w:r>
              <w:t>Western blot</w:t>
            </w:r>
          </w:p>
        </w:tc>
        <w:tc>
          <w:tcPr>
            <w:tcW w:w="4134" w:type="dxa"/>
          </w:tcPr>
          <w:p w:rsidR="0018722C">
            <w:pPr>
              <w:topLinePunct/>
              <w:ind w:leftChars="0" w:left="0" w:rightChars="0" w:right="0" w:firstLineChars="0" w:firstLine="0"/>
              <w:spacing w:line="240" w:lineRule="atLeast"/>
            </w:pPr>
            <w:r>
              <w:rPr>
                <w:rFonts w:ascii="宋体" w:eastAsia="宋体" w:hint="eastAsia"/>
              </w:rPr>
              <w:t>蛋白印记</w:t>
            </w:r>
          </w:p>
        </w:tc>
      </w:tr>
      <w:tr>
        <w:trPr>
          <w:trHeight w:val="440" w:hRule="atLeast"/>
        </w:trPr>
        <w:tc>
          <w:tcPr>
            <w:tcW w:w="942" w:type="dxa"/>
          </w:tcPr>
          <w:p w:rsidR="0018722C">
            <w:pPr>
              <w:topLinePunct/>
              <w:ind w:leftChars="0" w:left="0" w:rightChars="0" w:right="0" w:firstLineChars="0" w:firstLine="0"/>
              <w:spacing w:line="240" w:lineRule="atLeast"/>
            </w:pPr>
            <w:r>
              <w:t>PCR</w:t>
            </w:r>
          </w:p>
        </w:tc>
        <w:tc>
          <w:tcPr>
            <w:tcW w:w="3511" w:type="dxa"/>
          </w:tcPr>
          <w:p w:rsidR="0018722C">
            <w:pPr>
              <w:topLinePunct/>
              <w:ind w:leftChars="0" w:left="0" w:rightChars="0" w:right="0" w:firstLineChars="0" w:firstLine="0"/>
              <w:spacing w:line="240" w:lineRule="atLeast"/>
            </w:pPr>
            <w:r/>
            <w:r>
              <w:t/>
            </w:r>
            <w:r>
              <w:t>P</w:t>
            </w:r>
            <w:r>
              <w:t>olymerase chain reaction</w:t>
            </w:r>
          </w:p>
        </w:tc>
        <w:tc>
          <w:tcPr>
            <w:tcW w:w="4134" w:type="dxa"/>
          </w:tcPr>
          <w:p w:rsidR="0018722C">
            <w:pPr>
              <w:topLinePunct/>
              <w:ind w:leftChars="0" w:left="0" w:rightChars="0" w:right="0" w:firstLineChars="0" w:firstLine="0"/>
              <w:spacing w:line="240" w:lineRule="atLeast"/>
            </w:pPr>
            <w:r>
              <w:rPr>
                <w:rFonts w:ascii="宋体" w:eastAsia="宋体" w:hint="eastAsia"/>
              </w:rPr>
              <w:t>聚合酶链反应</w:t>
            </w:r>
          </w:p>
        </w:tc>
      </w:tr>
      <w:tr>
        <w:trPr>
          <w:trHeight w:val="340" w:hRule="atLeast"/>
        </w:trPr>
        <w:tc>
          <w:tcPr>
            <w:tcW w:w="942" w:type="dxa"/>
          </w:tcPr>
          <w:p w:rsidR="0018722C">
            <w:pPr>
              <w:topLinePunct/>
              <w:ind w:leftChars="0" w:left="0" w:rightChars="0" w:right="0" w:firstLineChars="0" w:firstLine="0"/>
              <w:spacing w:line="240" w:lineRule="atLeast"/>
            </w:pPr>
            <w:r>
              <w:t>HRP</w:t>
            </w:r>
          </w:p>
        </w:tc>
        <w:tc>
          <w:tcPr>
            <w:tcW w:w="3511" w:type="dxa"/>
          </w:tcPr>
          <w:p w:rsidR="0018722C">
            <w:pPr>
              <w:topLinePunct/>
              <w:ind w:leftChars="0" w:left="0" w:rightChars="0" w:right="0" w:firstLineChars="0" w:firstLine="0"/>
              <w:spacing w:line="240" w:lineRule="atLeast"/>
            </w:pPr>
            <w:r>
              <w:t>Horseradish peroxidase</w:t>
            </w:r>
          </w:p>
        </w:tc>
        <w:tc>
          <w:tcPr>
            <w:tcW w:w="4134" w:type="dxa"/>
          </w:tcPr>
          <w:p w:rsidR="0018722C">
            <w:pPr>
              <w:topLinePunct/>
              <w:ind w:leftChars="0" w:left="0" w:rightChars="0" w:right="0" w:firstLineChars="0" w:firstLine="0"/>
              <w:spacing w:line="240" w:lineRule="atLeast"/>
            </w:pPr>
            <w:r>
              <w:rPr>
                <w:rFonts w:ascii="宋体" w:eastAsia="宋体" w:hint="eastAsia"/>
              </w:rPr>
              <w:t>辣根过氧化物酶</w:t>
            </w:r>
          </w:p>
        </w:tc>
      </w:tr>
    </w:tbl>
    <w:p w:rsidR="0018722C">
      <w:pPr>
        <w:topLinePunct/>
        <w:pStyle w:val="affa"/>
      </w:pPr>
    </w:p>
    <w:p w:rsidR="0018722C">
      <w:spacing w:beforeLines="0" w:before="0" w:afterLines="0" w:after="0" w:line="440" w:lineRule="auto"/>
      <w:pPr>
        <w:sectPr w:rsidR="00556256">
          <w:type w:val="continuous"/>
          <w:pgSz w:w="11910" w:h="16840"/>
          <w:pgMar w:header="976" w:footer="272" w:top="1160" w:bottom="460" w:left="900" w:right="1460"/>
        </w:sectPr>
        <w:topLinePunct/>
      </w:pPr>
    </w:p>
    <w:p w:rsidR="0018722C">
      <w:pPr>
        <w:topLinePunct/>
      </w:pPr>
      <w:r>
        <w:rPr>
          <w:rFonts w:cstheme="minorBidi" w:hAnsiTheme="minorHAnsi" w:eastAsiaTheme="minorHAnsi" w:asciiTheme="minorHAnsi"/>
        </w:rPr>
        <w:t>RECK</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
      </w:r>
      <w:r>
        <w:rPr>
          <w:rFonts w:cstheme="minorBidi" w:hAnsiTheme="minorHAnsi" w:eastAsiaTheme="minorHAnsi" w:asciiTheme="minorHAnsi"/>
        </w:rPr>
        <w:t>R</w:t>
      </w:r>
      <w:r>
        <w:rPr>
          <w:rFonts w:cstheme="minorBidi" w:hAnsiTheme="minorHAnsi" w:eastAsiaTheme="minorHAnsi" w:asciiTheme="minorHAnsi"/>
        </w:rPr>
        <w:t>eversion inducing cysteine rich protein with Kazal motifs</w:t>
      </w:r>
    </w:p>
    <w:p w:rsidR="0018722C">
      <w:pPr>
        <w:spacing w:before="0"/>
        <w:ind w:leftChars="0" w:left="608" w:rightChars="0" w:right="0" w:firstLineChars="0" w:firstLine="0"/>
        <w:jc w:val="left"/>
        <w:topLinePunct/>
      </w:pPr>
      <w:r>
        <w:rPr>
          <w:kern w:val="2"/>
          <w:sz w:val="21"/>
          <w:szCs w:val="22"/>
          <w:rFonts w:cstheme="minorBidi" w:hAnsiTheme="minorHAnsi" w:eastAsiaTheme="minorHAnsi" w:asciiTheme="minorHAnsi" w:ascii="宋体" w:eastAsia="宋体" w:hint="eastAsia"/>
        </w:rPr>
        <w:t>新型基质金属蛋白酶抑制剂</w:t>
      </w:r>
    </w:p>
    <w:p w:rsidR="0018722C">
      <w:spacing w:beforeLines="0" w:before="0" w:afterLines="0" w:after="0" w:line="440" w:lineRule="auto"/>
      <w:pPr>
        <w:sectPr w:rsidR="00556256">
          <w:type w:val="continuous"/>
          <w:pgSz w:w="11910" w:h="16840"/>
          <w:pgMar w:top="1060" w:bottom="460" w:left="900" w:right="1460"/>
          <w:cols w:num="3" w:equalWidth="0">
            <w:col w:w="1428" w:space="40"/>
            <w:col w:w="4201" w:space="39"/>
            <w:col w:w="3842"/>
          </w:cols>
        </w:sectPr>
        <w:topLinePunct/>
      </w:pPr>
    </w:p>
    <w:p w:rsidR="0018722C">
      <w:pPr>
        <w:topLinePunct/>
      </w:pPr>
      <w:r>
        <w:rPr>
          <w:rFonts w:cstheme="minorBidi" w:hAnsiTheme="minorHAnsi" w:eastAsiaTheme="minorHAnsi" w:asciiTheme="minorHAnsi"/>
        </w:rPr>
        <w:t>mRNA</w:t>
      </w:r>
      <w:r w:rsidRPr="00000000">
        <w:rPr>
          <w:rFonts w:cstheme="minorBidi" w:hAnsiTheme="minorHAnsi" w:eastAsiaTheme="minorHAnsi" w:asciiTheme="minorHAnsi"/>
        </w:rPr>
        <w:tab/>
        <w:t>messenger</w:t>
      </w:r>
      <w:r>
        <w:rPr>
          <w:rFonts w:cstheme="minorBidi" w:hAnsiTheme="minorHAnsi" w:eastAsiaTheme="minorHAnsi" w:asciiTheme="minorHAnsi"/>
        </w:rPr>
        <w:t> </w:t>
      </w:r>
      <w:r>
        <w:rPr>
          <w:rFonts w:cstheme="minorBidi" w:hAnsiTheme="minorHAnsi" w:eastAsiaTheme="minorHAnsi" w:asciiTheme="minorHAnsi"/>
        </w:rPr>
        <w:t>ribonucleic</w:t>
      </w:r>
      <w:r>
        <w:rPr>
          <w:rFonts w:cstheme="minorBidi" w:hAnsiTheme="minorHAnsi" w:eastAsiaTheme="minorHAnsi" w:asciiTheme="minorHAnsi"/>
        </w:rPr>
        <w:t> </w:t>
      </w:r>
      <w:r>
        <w:rPr>
          <w:rFonts w:cstheme="minorBidi" w:hAnsiTheme="minorHAnsi" w:eastAsiaTheme="minorHAnsi" w:asciiTheme="minorHAnsi"/>
        </w:rPr>
        <w:t>acid</w:t>
      </w:r>
      <w:r w:rsidRPr="00000000">
        <w:rPr>
          <w:rFonts w:cstheme="minorBidi" w:hAnsiTheme="minorHAnsi" w:eastAsiaTheme="minorHAnsi" w:asciiTheme="minorHAnsi"/>
        </w:rPr>
        <w:tab/>
      </w:r>
      <w:r>
        <w:rPr>
          <w:rFonts w:ascii="宋体" w:eastAsia="宋体" w:hint="eastAsia" w:cstheme="minorBidi" w:hAnsiTheme="minorHAnsi"/>
        </w:rPr>
        <w:t>信使核糖核酸</w:t>
      </w:r>
    </w:p>
    <w:p w:rsidR="0018722C">
      <w:pPr>
        <w:topLinePunct/>
      </w:pPr>
      <w:r>
        <w:rPr>
          <w:rFonts w:cstheme="minorBidi" w:hAnsiTheme="minorHAnsi" w:eastAsiaTheme="minorHAnsi" w:asciiTheme="minorHAnsi"/>
        </w:rPr>
        <w:t>DMSO</w:t>
      </w:r>
      <w:r w:rsidRPr="00000000">
        <w:rPr>
          <w:rFonts w:cstheme="minorBidi" w:hAnsiTheme="minorHAnsi" w:eastAsiaTheme="minorHAnsi" w:asciiTheme="minorHAnsi"/>
        </w:rPr>
        <w:tab/>
        <w:t>dimethyl</w:t>
      </w:r>
      <w:r>
        <w:rPr>
          <w:rFonts w:cstheme="minorBidi" w:hAnsiTheme="minorHAnsi" w:eastAsiaTheme="minorHAnsi" w:asciiTheme="minorHAnsi"/>
        </w:rPr>
        <w:t> </w:t>
      </w:r>
      <w:r>
        <w:rPr>
          <w:rFonts w:cstheme="minorBidi" w:hAnsiTheme="minorHAnsi" w:eastAsiaTheme="minorHAnsi" w:asciiTheme="minorHAnsi"/>
        </w:rPr>
        <w:t>sulfoxide</w:t>
      </w:r>
      <w:r w:rsidRPr="00000000">
        <w:rPr>
          <w:rFonts w:cstheme="minorBidi" w:hAnsiTheme="minorHAnsi" w:eastAsiaTheme="minorHAnsi" w:asciiTheme="minorHAnsi"/>
        </w:rPr>
        <w:tab/>
      </w:r>
      <w:r>
        <w:rPr>
          <w:rFonts w:ascii="宋体" w:eastAsia="宋体" w:hint="eastAsia" w:cstheme="minorBidi" w:hAnsiTheme="minorHAnsi"/>
        </w:rPr>
        <w:t>二甲基亚砜</w:t>
      </w:r>
    </w:p>
    <w:p w:rsidR="0018722C">
      <w:pPr>
        <w:topLinePunct/>
      </w:pPr>
      <w:r>
        <w:rPr>
          <w:rFonts w:cstheme="minorBidi" w:hAnsiTheme="minorHAnsi" w:eastAsiaTheme="minorHAnsi" w:asciiTheme="minorHAnsi"/>
        </w:rPr>
        <w:t>PBS</w:t>
      </w:r>
      <w:r w:rsidRPr="00000000">
        <w:rPr>
          <w:rFonts w:cstheme="minorBidi" w:hAnsiTheme="minorHAnsi" w:eastAsiaTheme="minorHAnsi" w:asciiTheme="minorHAnsi"/>
        </w:rPr>
        <w:tab/>
        <w:t>phosphate</w:t>
      </w:r>
      <w:r>
        <w:rPr>
          <w:rFonts w:cstheme="minorBidi" w:hAnsiTheme="minorHAnsi" w:eastAsiaTheme="minorHAnsi" w:asciiTheme="minorHAnsi"/>
        </w:rPr>
        <w:t> </w:t>
      </w:r>
      <w:r>
        <w:rPr>
          <w:rFonts w:cstheme="minorBidi" w:hAnsiTheme="minorHAnsi" w:eastAsiaTheme="minorHAnsi" w:asciiTheme="minorHAnsi"/>
        </w:rPr>
        <w:t>buffered</w:t>
      </w:r>
      <w:r>
        <w:rPr>
          <w:rFonts w:cstheme="minorBidi" w:hAnsiTheme="minorHAnsi" w:eastAsiaTheme="minorHAnsi" w:asciiTheme="minorHAnsi"/>
        </w:rPr>
        <w:t> </w:t>
      </w:r>
      <w:r>
        <w:rPr>
          <w:rFonts w:cstheme="minorBidi" w:hAnsiTheme="minorHAnsi" w:eastAsiaTheme="minorHAnsi" w:asciiTheme="minorHAnsi"/>
        </w:rPr>
        <w:t>saline</w:t>
      </w:r>
      <w:r w:rsidRPr="00000000">
        <w:rPr>
          <w:rFonts w:cstheme="minorBidi" w:hAnsiTheme="minorHAnsi" w:eastAsiaTheme="minorHAnsi" w:asciiTheme="minorHAnsi"/>
        </w:rPr>
        <w:tab/>
      </w:r>
      <w:r>
        <w:rPr>
          <w:rFonts w:ascii="宋体" w:eastAsia="宋体" w:hint="eastAsia" w:cstheme="minorBidi" w:hAnsiTheme="minorHAnsi"/>
        </w:rPr>
        <w:t>磷酸盐缓冲液</w:t>
      </w:r>
    </w:p>
    <w:p w:rsidR="0018722C">
      <w:pPr>
        <w:topLinePunct/>
      </w:pPr>
      <w:r>
        <w:rPr>
          <w:rFonts w:cstheme="minorBidi" w:hAnsiTheme="minorHAnsi" w:eastAsiaTheme="minorHAnsi" w:asciiTheme="minorHAnsi"/>
        </w:rPr>
        <w:t>DEPC</w:t>
      </w:r>
      <w:r w:rsidRPr="00000000">
        <w:rPr>
          <w:rFonts w:cstheme="minorBidi" w:hAnsiTheme="minorHAnsi" w:eastAsiaTheme="minorHAnsi" w:asciiTheme="minorHAnsi"/>
        </w:rPr>
        <w:tab/>
        <w:t>diethyl pyrocarbonate</w:t>
      </w:r>
      <w:r w:rsidRPr="00000000">
        <w:rPr>
          <w:rFonts w:cstheme="minorBidi" w:hAnsiTheme="minorHAnsi" w:eastAsiaTheme="minorHAnsi" w:asciiTheme="minorHAnsi"/>
        </w:rPr>
        <w:tab/>
      </w:r>
      <w:r>
        <w:rPr>
          <w:rFonts w:ascii="宋体" w:eastAsia="宋体" w:hint="eastAsia" w:cstheme="minorBidi" w:hAnsiTheme="minorHAnsi"/>
        </w:rPr>
        <w:t>焦碳酸二乙酯</w:t>
      </w:r>
    </w:p>
    <w:p w:rsidR="0018722C">
      <w:pPr>
        <w:topLinePunct/>
      </w:pPr>
      <w:r>
        <w:rPr>
          <w:rFonts w:cstheme="minorBidi" w:hAnsiTheme="minorHAnsi" w:eastAsiaTheme="minorHAnsi" w:asciiTheme="minorHAnsi"/>
        </w:rPr>
        <w:t>Amp</w:t>
      </w:r>
      <w:r w:rsidRPr="00000000">
        <w:rPr>
          <w:rFonts w:cstheme="minorBidi" w:hAnsiTheme="minorHAnsi" w:eastAsiaTheme="minorHAnsi" w:asciiTheme="minorHAnsi"/>
        </w:rPr>
        <w:tab/>
        <w:t>ampicillin</w:t>
      </w:r>
      <w:r w:rsidRPr="00000000">
        <w:rPr>
          <w:rFonts w:cstheme="minorBidi" w:hAnsiTheme="minorHAnsi" w:eastAsiaTheme="minorHAnsi" w:asciiTheme="minorHAnsi"/>
        </w:rPr>
        <w:tab/>
      </w:r>
      <w:r>
        <w:rPr>
          <w:rFonts w:ascii="宋体" w:eastAsia="宋体" w:hint="eastAsia" w:cstheme="minorBidi" w:hAnsiTheme="minorHAnsi"/>
        </w:rPr>
        <w:t>氨苄青霉素</w:t>
      </w:r>
    </w:p>
    <w:p w:rsidR="0018722C">
      <w:pPr>
        <w:topLinePunct/>
      </w:pPr>
      <w:r>
        <w:rPr>
          <w:rFonts w:cstheme="minorBidi" w:hAnsiTheme="minorHAnsi" w:eastAsiaTheme="minorHAnsi" w:asciiTheme="minorHAnsi"/>
        </w:rPr>
        <w:t>RT-PCR</w:t>
      </w:r>
      <w:r w:rsidRPr="00000000">
        <w:rPr>
          <w:rFonts w:cstheme="minorBidi" w:hAnsiTheme="minorHAnsi" w:eastAsiaTheme="minorHAnsi" w:asciiTheme="minorHAnsi"/>
        </w:rPr>
        <w:tab/>
        <w:t>quantitative real-time</w:t>
      </w:r>
      <w:r>
        <w:rPr>
          <w:rFonts w:cstheme="minorBidi" w:hAnsiTheme="minorHAnsi" w:eastAsiaTheme="minorHAnsi" w:asciiTheme="minorHAnsi"/>
        </w:rPr>
        <w:t> </w:t>
      </w:r>
      <w:r>
        <w:rPr>
          <w:rFonts w:cstheme="minorBidi" w:hAnsiTheme="minorHAnsi" w:eastAsiaTheme="minorHAnsi" w:asciiTheme="minorHAnsi"/>
        </w:rPr>
        <w:t>reverse</w:t>
      </w:r>
      <w:r>
        <w:rPr>
          <w:rFonts w:cstheme="minorBidi" w:hAnsiTheme="minorHAnsi" w:eastAsiaTheme="minorHAnsi" w:asciiTheme="minorHAnsi"/>
        </w:rPr>
        <w:t> </w:t>
      </w:r>
      <w:r>
        <w:rPr>
          <w:rFonts w:cstheme="minorBidi" w:hAnsiTheme="minorHAnsi" w:eastAsiaTheme="minorHAnsi" w:asciiTheme="minorHAnsi"/>
        </w:rPr>
        <w:t>transcription-PCR</w:t>
      </w:r>
      <w:r w:rsidRPr="00000000">
        <w:rPr>
          <w:rFonts w:cstheme="minorBidi" w:hAnsiTheme="minorHAnsi" w:eastAsiaTheme="minorHAnsi" w:asciiTheme="minorHAnsi"/>
        </w:rPr>
        <w:tab/>
      </w:r>
      <w:r>
        <w:rPr>
          <w:rFonts w:ascii="宋体" w:eastAsia="宋体" w:hint="eastAsia" w:cstheme="minorBidi" w:hAnsiTheme="minorHAnsi"/>
        </w:rPr>
        <w:t>实时定量聚合酶链反应</w:t>
      </w:r>
    </w:p>
    <w:p w:rsidR="0018722C">
      <w:pPr>
        <w:topLinePunct/>
      </w:pPr>
      <w:r>
        <w:rPr>
          <w:rFonts w:cstheme="minorBidi" w:hAnsiTheme="minorHAnsi" w:eastAsiaTheme="minorHAnsi" w:asciiTheme="minorHAnsi"/>
        </w:rPr>
        <w:t>PMSF</w:t>
      </w:r>
      <w:r w:rsidRPr="00000000">
        <w:rPr>
          <w:rFonts w:cstheme="minorBidi" w:hAnsiTheme="minorHAnsi" w:eastAsiaTheme="minorHAnsi" w:asciiTheme="minorHAnsi"/>
        </w:rPr>
        <w:tab/>
        <w:t>phenylmethanesulfonyl fluoride</w:t>
      </w:r>
      <w:r w:rsidRPr="00000000">
        <w:rPr>
          <w:rFonts w:cstheme="minorBidi" w:hAnsiTheme="minorHAnsi" w:eastAsiaTheme="minorHAnsi" w:asciiTheme="minorHAnsi"/>
        </w:rPr>
        <w:tab/>
      </w:r>
      <w:r>
        <w:rPr>
          <w:rFonts w:ascii="宋体" w:eastAsia="宋体" w:hint="eastAsia" w:cstheme="minorBidi" w:hAnsiTheme="minorHAnsi"/>
        </w:rPr>
        <w:t>苯甲基磺酰氟</w:t>
      </w:r>
    </w:p>
    <w:p w:rsidR="0018722C">
      <w:pPr>
        <w:topLinePunct/>
      </w:pPr>
      <w:r>
        <w:rPr>
          <w:rFonts w:cstheme="minorBidi" w:hAnsiTheme="minorHAnsi" w:eastAsiaTheme="minorHAnsi" w:asciiTheme="minorHAnsi"/>
        </w:rPr>
        <w:t>AP</w:t>
      </w:r>
      <w:r w:rsidRPr="00000000">
        <w:rPr>
          <w:rFonts w:cstheme="minorBidi" w:hAnsiTheme="minorHAnsi" w:eastAsiaTheme="minorHAnsi" w:asciiTheme="minorHAnsi"/>
        </w:rPr>
        <w:tab/>
        <w:t>ammonium</w:t>
      </w:r>
      <w:r>
        <w:rPr>
          <w:rFonts w:cstheme="minorBidi" w:hAnsiTheme="minorHAnsi" w:eastAsiaTheme="minorHAnsi" w:asciiTheme="minorHAnsi"/>
        </w:rPr>
        <w:t> </w:t>
      </w:r>
      <w:r>
        <w:rPr>
          <w:rFonts w:cstheme="minorBidi" w:hAnsiTheme="minorHAnsi" w:eastAsiaTheme="minorHAnsi" w:asciiTheme="minorHAnsi"/>
        </w:rPr>
        <w:t>persulfate</w:t>
      </w:r>
      <w:r w:rsidRPr="00000000">
        <w:rPr>
          <w:rFonts w:cstheme="minorBidi" w:hAnsiTheme="minorHAnsi" w:eastAsiaTheme="minorHAnsi" w:asciiTheme="minorHAnsi"/>
        </w:rPr>
        <w:tab/>
      </w:r>
      <w:r>
        <w:rPr>
          <w:rFonts w:ascii="宋体" w:eastAsia="宋体" w:hint="eastAsia" w:cstheme="minorBidi" w:hAnsiTheme="minorHAnsi"/>
        </w:rPr>
        <w:t>过硫酸铵</w:t>
      </w:r>
    </w:p>
    <w:p w:rsidR="0018722C">
      <w:pPr>
        <w:topLinePunct/>
      </w:pPr>
      <w:r>
        <w:rPr>
          <w:rFonts w:cstheme="minorBidi" w:hAnsiTheme="minorHAnsi" w:eastAsiaTheme="minorHAnsi" w:asciiTheme="minorHAnsi"/>
        </w:rPr>
        <w:t>PVDF</w:t>
      </w:r>
      <w:r w:rsidRPr="00000000">
        <w:rPr>
          <w:rFonts w:cstheme="minorBidi" w:hAnsiTheme="minorHAnsi" w:eastAsiaTheme="minorHAnsi" w:asciiTheme="minorHAnsi"/>
        </w:rPr>
        <w:tab/>
        <w:t>polyvinylidene</w:t>
      </w:r>
      <w:r>
        <w:rPr>
          <w:rFonts w:cstheme="minorBidi" w:hAnsiTheme="minorHAnsi" w:eastAsiaTheme="minorHAnsi" w:asciiTheme="minorHAnsi"/>
        </w:rPr>
        <w:t> </w:t>
      </w:r>
      <w:r>
        <w:rPr>
          <w:rFonts w:cstheme="minorBidi" w:hAnsiTheme="minorHAnsi" w:eastAsiaTheme="minorHAnsi" w:asciiTheme="minorHAnsi"/>
        </w:rPr>
        <w:t>Fluoride</w:t>
      </w:r>
      <w:r w:rsidRPr="00000000">
        <w:rPr>
          <w:rFonts w:cstheme="minorBidi" w:hAnsiTheme="minorHAnsi" w:eastAsiaTheme="minorHAnsi" w:asciiTheme="minorHAnsi"/>
        </w:rPr>
        <w:tab/>
      </w:r>
      <w:r>
        <w:rPr>
          <w:rFonts w:ascii="宋体" w:eastAsia="宋体" w:hint="eastAsia" w:cstheme="minorBidi" w:hAnsiTheme="minorHAnsi"/>
        </w:rPr>
        <w:t>聚偏二氟乙烯</w:t>
      </w:r>
    </w:p>
    <w:p w:rsidR="0018722C">
      <w:pPr>
        <w:topLinePunct/>
      </w:pPr>
      <w:r>
        <w:rPr>
          <w:rFonts w:cstheme="minorBidi" w:hAnsiTheme="minorHAnsi" w:eastAsiaTheme="minorHAnsi" w:asciiTheme="minorHAnsi"/>
        </w:rPr>
        <w:t>SDS</w:t>
      </w:r>
      <w:r w:rsidRPr="00000000">
        <w:rPr>
          <w:rFonts w:cstheme="minorBidi" w:hAnsiTheme="minorHAnsi" w:eastAsiaTheme="minorHAnsi" w:asciiTheme="minorHAnsi"/>
        </w:rPr>
        <w:tab/>
      </w:r>
      <w:r>
        <w:t>sodium</w:t>
      </w:r>
      <w:r>
        <w:rPr>
          <w:rFonts w:cstheme="minorBidi" w:hAnsiTheme="minorHAnsi" w:eastAsiaTheme="minorHAnsi" w:asciiTheme="minorHAnsi"/>
        </w:rPr>
        <w:t> </w:t>
      </w:r>
      <w:r>
        <w:rPr>
          <w:rFonts w:cstheme="minorBidi" w:hAnsiTheme="minorHAnsi" w:eastAsiaTheme="minorHAnsi" w:asciiTheme="minorHAnsi"/>
        </w:rPr>
        <w:t>dodecyl</w:t>
      </w:r>
      <w:r>
        <w:rPr>
          <w:rFonts w:cstheme="minorBidi" w:hAnsiTheme="minorHAnsi" w:eastAsiaTheme="minorHAnsi" w:asciiTheme="minorHAnsi"/>
        </w:rPr>
        <w:t> </w:t>
      </w:r>
      <w:r>
        <w:rPr>
          <w:rFonts w:cstheme="minorBidi" w:hAnsiTheme="minorHAnsi" w:eastAsiaTheme="minorHAnsi" w:asciiTheme="minorHAnsi"/>
        </w:rPr>
        <w:t>sulfate</w:t>
      </w:r>
      <w:r>
        <w:rPr>
          <w:rFonts w:ascii="宋体" w:hAnsi="宋体" w:eastAsia="宋体" w:hint="eastAsia" w:cstheme="minorBidi"/>
        </w:rPr>
        <w:t>十二烷基硫酸钠</w:t>
      </w:r>
      <w:r>
        <w:rPr>
          <w:rFonts w:cstheme="minorBidi" w:hAnsiTheme="minorHAnsi" w:eastAsiaTheme="minorHAnsi" w:asciiTheme="minorHAnsi"/>
        </w:rPr>
        <w:t>TEMED</w:t>
      </w:r>
      <w:r w:rsidRPr="00000000">
        <w:rPr>
          <w:rFonts w:cstheme="minorBidi" w:hAnsiTheme="minorHAnsi" w:eastAsiaTheme="minorHAnsi" w:asciiTheme="minorHAnsi"/>
        </w:rPr>
        <w:tab/>
      </w:r>
      <w:r>
        <w:t xml:space="preserve">N,</w:t>
      </w:r>
      <w:r w:rsidR="001852F3">
        <w:t xml:space="preserve"> </w:t>
      </w:r>
      <w:r w:rsidR="001852F3">
        <w:t xml:space="preserve">N,</w:t>
      </w:r>
      <w:r w:rsidR="001852F3">
        <w:t xml:space="preserve"> </w:t>
      </w:r>
      <w:r w:rsidR="001852F3">
        <w:t xml:space="preserve">N</w:t>
      </w:r>
      <w:r>
        <w:t>'</w:t>
      </w:r>
      <w:r>
        <w:t xml:space="preserve">,</w:t>
      </w:r>
      <w:r w:rsidR="001852F3">
        <w:t xml:space="preserve"> </w:t>
      </w:r>
      <w:r w:rsidR="001852F3">
        <w:t xml:space="preserve">N</w:t>
      </w:r>
      <w:r>
        <w:t>'</w:t>
      </w:r>
      <w:r>
        <w:t>-Tetramethylenediamine</w:t>
      </w:r>
      <w:r w:rsidRPr="00000000">
        <w:rPr>
          <w:rFonts w:cstheme="minorBidi" w:hAnsiTheme="minorHAnsi" w:eastAsiaTheme="minorHAnsi" w:asciiTheme="minorHAnsi"/>
        </w:rPr>
        <w:tab/>
      </w:r>
      <w:r>
        <w:rPr>
          <w:rFonts w:cstheme="minorBidi" w:hAnsiTheme="minorHAnsi" w:eastAsiaTheme="minorHAnsi" w:asciiTheme="minorHAnsi"/>
        </w:rPr>
        <w:t xml:space="preserve">N,</w:t>
      </w:r>
      <w:r w:rsidR="001852F3">
        <w:rPr>
          <w:rFonts w:cstheme="minorBidi" w:hAnsiTheme="minorHAnsi" w:eastAsiaTheme="minorHAnsi" w:asciiTheme="minorHAnsi"/>
        </w:rPr>
        <w:t xml:space="preserve"> </w:t>
      </w:r>
      <w:r w:rsidR="001852F3">
        <w:rPr>
          <w:rFonts w:cstheme="minorBidi" w:hAnsiTheme="minorHAnsi" w:eastAsiaTheme="minorHAnsi" w:asciiTheme="minorHAnsi"/>
        </w:rPr>
        <w:t xml:space="preserve">N,</w:t>
      </w:r>
      <w:r w:rsidR="001852F3">
        <w:rPr>
          <w:rFonts w:cstheme="minorBidi" w:hAnsiTheme="minorHAnsi" w:eastAsiaTheme="minorHAnsi" w:asciiTheme="minorHAnsi"/>
        </w:rPr>
        <w:t xml:space="preserve"> </w:t>
      </w:r>
      <w:r w:rsidR="001852F3">
        <w:rPr>
          <w:rFonts w:cstheme="minorBidi" w:hAnsiTheme="minorHAnsi" w:eastAsiaTheme="minorHAnsi" w:asciiTheme="minorHAnsi"/>
        </w:rPr>
        <w:t xml:space="preserve">N</w:t>
      </w:r>
      <w:r>
        <w:rPr>
          <w:rFonts w:cstheme="minorBidi" w:hAnsiTheme="minorHAnsi" w:eastAsiaTheme="minorHAnsi" w:asciiTheme="minorHAnsi"/>
        </w:rPr>
        <w:t>'</w:t>
      </w:r>
      <w:r>
        <w:rPr>
          <w:rFonts w:cstheme="minorBidi" w:hAnsiTheme="minorHAnsi" w:eastAsiaTheme="minorHAnsi" w:asciiTheme="minorHAnsi"/>
        </w:rPr>
        <w:t xml:space="preserve">,</w:t>
      </w:r>
      <w:r w:rsidR="001852F3">
        <w:rPr>
          <w:rFonts w:cstheme="minorBidi" w:hAnsiTheme="minorHAnsi" w:eastAsiaTheme="minorHAnsi" w:asciiTheme="minorHAnsi"/>
        </w:rPr>
        <w:t xml:space="preserve"> </w:t>
      </w:r>
      <w:r w:rsidR="001852F3">
        <w:rPr>
          <w:rFonts w:cstheme="minorBidi" w:hAnsiTheme="minorHAnsi" w:eastAsiaTheme="minorHAnsi" w:asciiTheme="minorHAnsi"/>
        </w:rPr>
        <w:t xml:space="preserve">N</w:t>
      </w:r>
      <w:r>
        <w:rPr>
          <w:rFonts w:cstheme="minorBidi" w:hAnsiTheme="minorHAnsi" w:eastAsiaTheme="minorHAnsi" w:asciiTheme="minorHAnsi"/>
        </w:rPr>
        <w:t>'</w:t>
      </w:r>
      <w:r>
        <w:rPr>
          <w:rFonts w:cstheme="minorBidi" w:hAnsiTheme="minorHAnsi" w:eastAsiaTheme="minorHAnsi" w:asciiTheme="minorHAnsi"/>
        </w:rPr>
        <w:t>-</w:t>
      </w:r>
      <w:r>
        <w:rPr>
          <w:rFonts w:ascii="宋体" w:hAnsi="宋体" w:eastAsia="宋体" w:hint="eastAsia" w:cstheme="minorBidi"/>
        </w:rPr>
        <w:t>四甲基二乙胺</w:t>
      </w:r>
      <w:r>
        <w:rPr>
          <w:rFonts w:cstheme="minorBidi" w:hAnsiTheme="minorHAnsi" w:eastAsiaTheme="minorHAnsi" w:asciiTheme="minorHAnsi"/>
        </w:rPr>
        <w:t>GAPDH</w:t>
      </w:r>
      <w:r w:rsidRPr="00000000">
        <w:rPr>
          <w:rFonts w:cstheme="minorBidi" w:hAnsiTheme="minorHAnsi" w:eastAsiaTheme="minorHAnsi" w:asciiTheme="minorHAnsi"/>
        </w:rPr>
        <w:tab/>
      </w:r>
      <w:r>
        <w:t>glyceraldehyde phosphate dehydrogenase</w:t>
      </w:r>
      <w:r>
        <w:rPr>
          <w:rFonts w:ascii="宋体" w:hAnsi="宋体" w:eastAsia="宋体" w:hint="eastAsia" w:cstheme="minorBidi"/>
        </w:rPr>
        <w:t>磷酸甘油醛脱氢酶</w:t>
      </w:r>
      <w:r>
        <w:rPr>
          <w:rFonts w:cstheme="minorBidi" w:hAnsiTheme="minorHAnsi" w:eastAsiaTheme="minorHAnsi" w:asciiTheme="minorHAnsi"/>
        </w:rPr>
        <w:t>OCT4</w:t>
      </w:r>
      <w:r w:rsidRPr="00000000">
        <w:rPr>
          <w:rFonts w:cstheme="minorBidi" w:hAnsiTheme="minorHAnsi" w:eastAsiaTheme="minorHAnsi" w:asciiTheme="minorHAnsi"/>
        </w:rPr>
        <w:tab/>
      </w:r>
      <w:r>
        <w:t>octamer-binding transcription</w:t>
      </w:r>
      <w:r>
        <w:rPr>
          <w:rFonts w:cstheme="minorBidi" w:hAnsiTheme="minorHAnsi" w:eastAsiaTheme="minorHAnsi" w:asciiTheme="minorHAnsi"/>
        </w:rPr>
        <w:t> </w:t>
      </w:r>
      <w:r>
        <w:rPr>
          <w:rFonts w:cstheme="minorBidi" w:hAnsiTheme="minorHAnsi" w:eastAsiaTheme="minorHAnsi" w:asciiTheme="minorHAnsi"/>
        </w:rPr>
        <w:t>factor</w:t>
      </w:r>
      <w:r>
        <w:rPr>
          <w:rFonts w:cstheme="minorBidi" w:hAnsiTheme="minorHAnsi" w:eastAsiaTheme="minorHAnsi" w:asciiTheme="minorHAnsi"/>
        </w:rPr>
        <w:t> </w:t>
      </w:r>
      <w:r>
        <w:rPr>
          <w:rFonts w:cstheme="minorBidi" w:hAnsiTheme="minorHAnsi" w:eastAsiaTheme="minorHAnsi" w:asciiTheme="minorHAnsi"/>
        </w:rPr>
        <w:t>4</w:t>
      </w:r>
      <w:r w:rsidRPr="00000000">
        <w:rPr>
          <w:rFonts w:cstheme="minorBidi" w:hAnsiTheme="minorHAnsi" w:eastAsiaTheme="minorHAnsi" w:asciiTheme="minorHAnsi"/>
        </w:rPr>
        <w:tab/>
      </w:r>
      <w:r>
        <w:rPr>
          <w:rFonts w:ascii="宋体" w:hAnsi="宋体" w:eastAsia="宋体" w:hint="eastAsia" w:cstheme="minorBidi"/>
        </w:rPr>
        <w:t>八聚体结合转录因子</w:t>
      </w:r>
      <w:r>
        <w:rPr>
          <w:rFonts w:cstheme="minorBidi" w:hAnsiTheme="minorHAnsi" w:eastAsiaTheme="minorHAnsi" w:asciiTheme="minorHAnsi"/>
        </w:rPr>
        <w:t>4 cDNA</w:t>
      </w:r>
      <w:r w:rsidRPr="00000000">
        <w:rPr>
          <w:rFonts w:cstheme="minorBidi" w:hAnsiTheme="minorHAnsi" w:eastAsiaTheme="minorHAnsi" w:asciiTheme="minorHAnsi"/>
        </w:rPr>
        <w:tab/>
      </w:r>
      <w:r>
        <w:t>complementary</w:t>
      </w:r>
      <w:r>
        <w:rPr>
          <w:rFonts w:cstheme="minorBidi" w:hAnsiTheme="minorHAnsi" w:eastAsiaTheme="minorHAnsi" w:asciiTheme="minorHAnsi"/>
        </w:rPr>
        <w:t> </w:t>
      </w:r>
      <w:r>
        <w:rPr>
          <w:rFonts w:cstheme="minorBidi" w:hAnsiTheme="minorHAnsi" w:eastAsiaTheme="minorHAnsi" w:asciiTheme="minorHAnsi"/>
        </w:rPr>
        <w:t>deoxyribonucleic</w:t>
      </w:r>
      <w:r>
        <w:rPr>
          <w:rFonts w:cstheme="minorBidi" w:hAnsiTheme="minorHAnsi" w:eastAsiaTheme="minorHAnsi" w:asciiTheme="minorHAnsi"/>
        </w:rPr>
        <w:t> </w:t>
      </w:r>
      <w:r>
        <w:rPr>
          <w:rFonts w:cstheme="minorBidi" w:hAnsiTheme="minorHAnsi" w:eastAsiaTheme="minorHAnsi" w:asciiTheme="minorHAnsi"/>
        </w:rPr>
        <w:t>acid</w:t>
      </w:r>
      <w:r w:rsidRPr="00000000">
        <w:rPr>
          <w:rFonts w:cstheme="minorBidi" w:hAnsiTheme="minorHAnsi" w:eastAsiaTheme="minorHAnsi" w:asciiTheme="minorHAnsi"/>
        </w:rPr>
        <w:tab/>
      </w:r>
      <w:r>
        <w:rPr>
          <w:rFonts w:ascii="宋体" w:hAnsi="宋体" w:eastAsia="宋体" w:hint="eastAsia" w:cstheme="minorBidi"/>
        </w:rPr>
        <w:t>互</w:t>
      </w:r>
      <w:r>
        <w:rPr>
          <w:rFonts w:ascii="宋体" w:hAnsi="宋体" w:eastAsia="宋体" w:hint="eastAsia" w:cstheme="minorBidi"/>
        </w:rPr>
        <w:t>补</w:t>
      </w:r>
      <w:r>
        <w:rPr>
          <w:rFonts w:ascii="宋体" w:hAnsi="宋体" w:eastAsia="宋体" w:hint="eastAsia" w:cstheme="minorBidi"/>
        </w:rPr>
        <w:t>脱氧核糖核酸</w:t>
      </w:r>
    </w:p>
    <w:p w:rsidR="0018722C">
      <w:pPr>
        <w:topLinePunct/>
      </w:pPr>
      <w:r>
        <w:rPr>
          <w:rFonts w:cstheme="minorBidi" w:hAnsiTheme="minorHAnsi" w:eastAsiaTheme="minorHAnsi" w:asciiTheme="minorHAnsi"/>
        </w:rPr>
        <w:t>Ct</w:t>
      </w:r>
      <w:r w:rsidRPr="00000000">
        <w:rPr>
          <w:rFonts w:cstheme="minorBidi" w:hAnsiTheme="minorHAnsi" w:eastAsiaTheme="minorHAnsi" w:asciiTheme="minorHAnsi"/>
        </w:rPr>
        <w:tab/>
        <w:t>cycle</w:t>
      </w:r>
      <w:r>
        <w:rPr>
          <w:rFonts w:cstheme="minorBidi" w:hAnsiTheme="minorHAnsi" w:eastAsiaTheme="minorHAnsi" w:asciiTheme="minorHAnsi"/>
        </w:rPr>
        <w:t> </w:t>
      </w:r>
      <w:r>
        <w:rPr>
          <w:rFonts w:cstheme="minorBidi" w:hAnsiTheme="minorHAnsi" w:eastAsiaTheme="minorHAnsi" w:asciiTheme="minorHAnsi"/>
        </w:rPr>
        <w:t>threshold</w:t>
      </w:r>
      <w:r>
        <w:rPr>
          <w:rFonts w:ascii="宋体" w:eastAsia="宋体" w:hint="eastAsia" w:cstheme="minorBidi" w:hAnsiTheme="minorHAnsi"/>
        </w:rPr>
        <w:t>循环阈值</w:t>
      </w:r>
    </w:p>
    <w:p w:rsidR="0018722C">
      <w:pPr>
        <w:topLinePunct/>
      </w:pPr>
      <w:r>
        <w:rPr>
          <w:rFonts w:cstheme="minorBidi" w:hAnsiTheme="minorHAnsi" w:eastAsiaTheme="minorHAnsi" w:asciiTheme="minorHAnsi"/>
        </w:rPr>
        <w:t>NC</w:t>
      </w:r>
      <w:r w:rsidRPr="00000000">
        <w:rPr>
          <w:rFonts w:cstheme="minorBidi" w:hAnsiTheme="minorHAnsi" w:eastAsiaTheme="minorHAnsi" w:asciiTheme="minorHAnsi"/>
        </w:rPr>
        <w:tab/>
        <w:t>negative</w:t>
      </w:r>
      <w:r>
        <w:rPr>
          <w:rFonts w:cstheme="minorBidi" w:hAnsiTheme="minorHAnsi" w:eastAsiaTheme="minorHAnsi" w:asciiTheme="minorHAnsi"/>
        </w:rPr>
        <w:t> </w:t>
      </w:r>
      <w:r>
        <w:rPr>
          <w:rFonts w:cstheme="minorBidi" w:hAnsiTheme="minorHAnsi" w:eastAsiaTheme="minorHAnsi" w:asciiTheme="minorHAnsi"/>
        </w:rPr>
        <w:t>control</w:t>
      </w:r>
      <w:r>
        <w:rPr>
          <w:rFonts w:ascii="宋体" w:eastAsia="宋体" w:hint="eastAsia" w:cstheme="minorBidi" w:hAnsiTheme="minorHAnsi"/>
        </w:rPr>
        <w:t>阴性对照</w:t>
      </w:r>
    </w:p>
    <w:p w:rsidR="0018722C">
      <w:pPr>
        <w:topLinePunct/>
      </w:pPr>
      <w:r>
        <w:rPr>
          <w:rFonts w:cstheme="minorBidi" w:hAnsiTheme="minorHAnsi" w:eastAsiaTheme="minorHAnsi" w:asciiTheme="minorHAnsi"/>
        </w:rPr>
        <w:t>44</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a4"/>
        <w:topLinePunct/>
      </w:pPr>
      <w:bookmarkStart w:id="227994" w:name="_Toc686227994"/>
      <w:bookmarkStart w:name="附录二：在读硕士期间的科研情况 " w:id="47"/>
      <w:bookmarkEnd w:id="47"/>
      <w:r/>
      <w:bookmarkStart w:name="_bookmark11" w:id="48"/>
      <w:bookmarkEnd w:id="48"/>
      <w:r/>
      <w:r>
        <w:t>附录二：在读硕士期间的科研情况</w:t>
      </w:r>
      <w:bookmarkEnd w:id="227994"/>
    </w:p>
    <w:p w:rsidR="0018722C">
      <w:pPr>
        <w:pStyle w:val="cw18"/>
        <w:topLinePunct/>
      </w:pPr>
      <w:r>
        <w:t>1</w:t>
      </w:r>
      <w:r>
        <w:rPr>
          <w:sz w:val="28"/>
        </w:rPr>
        <w:t>）</w:t>
      </w:r>
      <w:r/>
      <w:r>
        <w:rPr>
          <w:rFonts w:ascii="微软雅黑" w:eastAsia="微软雅黑" w:hint="eastAsia"/>
          <w:b/>
        </w:rPr>
        <w:t>杨浩洁</w:t>
      </w:r>
      <w:r>
        <w:rPr>
          <w:rFonts w:ascii="宋体" w:eastAsia="宋体" w:hint="eastAsia"/>
        </w:rPr>
        <w:t>，郭哲，姜经航，等</w:t>
      </w:r>
      <w:r>
        <w:t>. </w:t>
      </w:r>
      <w:r>
        <w:t>274</w:t>
      </w:r>
      <w:r>
        <w:rPr>
          <w:rFonts w:ascii="宋体" w:eastAsia="宋体" w:hint="eastAsia"/>
        </w:rPr>
        <w:t>例巴塞罗那</w:t>
      </w:r>
      <w:r>
        <w:t>A</w:t>
      </w:r>
      <w:r>
        <w:rPr>
          <w:rFonts w:ascii="宋体" w:eastAsia="宋体" w:hint="eastAsia"/>
        </w:rPr>
        <w:t>期</w:t>
      </w:r>
      <w:r>
        <w:t>HCC</w:t>
      </w:r>
      <w:r>
        <w:rPr>
          <w:rFonts w:ascii="宋体" w:eastAsia="宋体" w:hint="eastAsia"/>
        </w:rPr>
        <w:t>经肝动脉化疗栓塞治疗的预后分析</w:t>
      </w:r>
      <w:r>
        <w:t>[</w:t>
      </w:r>
      <w:r>
        <w:t xml:space="preserve">J</w:t>
      </w:r>
      <w:r>
        <w:t>]</w:t>
      </w:r>
      <w:r>
        <w:t>. </w:t>
      </w:r>
      <w:r>
        <w:rPr>
          <w:rFonts w:ascii="微软雅黑" w:eastAsia="微软雅黑" w:hint="eastAsia"/>
          <w:b/>
        </w:rPr>
        <w:t>中华普通外科杂志</w:t>
      </w:r>
      <w:r>
        <w:rPr>
          <w:sz w:val="28"/>
          <w:rFonts w:hint="eastAsia"/>
        </w:rPr>
        <w:t>，</w:t>
      </w:r>
      <w:r>
        <w:t>2015,30</w:t>
      </w:r>
      <w:r>
        <w:t>(</w:t>
      </w:r>
      <w:r>
        <w:t>3</w:t>
      </w:r>
      <w:r>
        <w:t>)</w:t>
      </w:r>
      <w:r>
        <w:rPr>
          <w:sz w:val="28"/>
          <w:rFonts w:hint="eastAsia"/>
        </w:rPr>
        <w:t>：</w:t>
      </w:r>
      <w:r>
        <w:t>185-188.</w:t>
      </w:r>
    </w:p>
    <w:p w:rsidR="0018722C">
      <w:pPr>
        <w:pStyle w:val="cw18"/>
        <w:topLinePunct/>
      </w:pPr>
      <w:r>
        <w:t>2</w:t>
      </w:r>
      <w:r>
        <w:t>)</w:t>
      </w:r>
      <w:r>
        <w:t xml:space="preserve"> </w:t>
      </w:r>
      <w:r>
        <w:rPr>
          <w:b/>
        </w:rPr>
        <w:t>Hao-Jie</w:t>
      </w:r>
      <w:r>
        <w:rPr>
          <w:b/>
        </w:rPr>
        <w:t> </w:t>
      </w:r>
      <w:r>
        <w:rPr>
          <w:b/>
        </w:rPr>
        <w:t>Yang</w:t>
      </w:r>
      <w:r>
        <w:t>,</w:t>
      </w:r>
      <w:r w:rsidR="004B696B">
        <w:t xml:space="preserve"> </w:t>
      </w:r>
      <w:r w:rsidR="004B696B">
        <w:t>Zhe</w:t>
      </w:r>
      <w:r>
        <w:t> </w:t>
      </w:r>
      <w:r>
        <w:t>Guo,</w:t>
      </w:r>
      <w:r w:rsidR="004B696B">
        <w:t xml:space="preserve"> </w:t>
      </w:r>
      <w:r w:rsidR="004B696B">
        <w:t>Yu-ting</w:t>
      </w:r>
      <w:r>
        <w:t> </w:t>
      </w:r>
      <w:r>
        <w:t>Yang,</w:t>
      </w:r>
      <w:r>
        <w:t> </w:t>
      </w:r>
      <w:r>
        <w:t>Jing-Hang</w:t>
      </w:r>
      <w:r>
        <w:t> </w:t>
      </w:r>
      <w:r>
        <w:t>Jiang,</w:t>
      </w:r>
      <w:r>
        <w:t> </w:t>
      </w:r>
      <w:r>
        <w:t>Ya-Peng</w:t>
      </w:r>
      <w:r>
        <w:t> </w:t>
      </w:r>
      <w:r>
        <w:t>Qi,</w:t>
      </w:r>
      <w:r>
        <w:t> </w:t>
      </w:r>
      <w:r>
        <w:t>Ji-Jia</w:t>
      </w:r>
    </w:p>
    <w:p w:rsidR="0018722C">
      <w:pPr>
        <w:topLinePunct/>
      </w:pPr>
      <w:r>
        <w:rPr>
          <w:rFonts w:ascii="Times New Roman" w:hAnsi="Times New Roman" w:eastAsia="Times New Roman"/>
        </w:rPr>
        <w:t>Li, Le-Qun Li, Bang-De Xiang*. Blood neutrophil</w:t>
      </w:r>
      <w:r>
        <w:t>–</w:t>
      </w:r>
      <w:r>
        <w:rPr>
          <w:rFonts w:ascii="Times New Roman" w:hAnsi="Times New Roman" w:eastAsia="Times New Roman"/>
        </w:rPr>
        <w:t>lymphocyte ratio predicts survival after hepatectomy for hepatocellular carcinoma</w:t>
      </w:r>
      <w:r>
        <w:t xml:space="preserve">: </w:t>
      </w:r>
      <w:r>
        <w:rPr>
          <w:rFonts w:ascii="Times New Roman" w:hAnsi="Times New Roman" w:eastAsia="Times New Roman"/>
        </w:rPr>
        <w:t>a propensity score-base</w:t>
      </w:r>
      <w:r>
        <w:rPr>
          <w:rFonts w:ascii="Times New Roman" w:hAnsi="Times New Roman" w:eastAsia="Times New Roman"/>
        </w:rPr>
        <w:t>d</w:t>
      </w:r>
    </w:p>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rPr>
        <w:t xml:space="preserve">nalysis. </w:t>
      </w:r>
      <w:r>
        <w:rPr>
          <w:rFonts w:cstheme="minorBidi" w:hAnsiTheme="minorHAnsi" w:eastAsiaTheme="minorHAnsi" w:asciiTheme="minorHAnsi"/>
          <w:b/>
        </w:rPr>
        <w:t>w</w:t>
      </w:r>
      <w:r>
        <w:rPr>
          <w:rFonts w:cstheme="minorBidi" w:hAnsiTheme="minorHAnsi" w:eastAsiaTheme="minorHAnsi" w:asciiTheme="minorHAnsi"/>
          <w:b/>
        </w:rPr>
        <w:t xml:space="preserve">orld journal of gastroenterology</w:t>
      </w:r>
      <w:r>
        <w:rPr>
          <w:rFonts w:cstheme="minorBidi" w:hAnsiTheme="minorHAnsi" w:eastAsiaTheme="minorHAnsi" w:asciiTheme="minorHAnsi"/>
        </w:rPr>
        <w:t xml:space="preserve">. </w:t>
      </w:r>
      <w:r>
        <w:rPr>
          <w:rFonts w:cstheme="minorBidi" w:hAnsiTheme="minorHAnsi" w:eastAsiaTheme="minorHAnsi" w:asciiTheme="minorHAnsi"/>
          <w:b/>
        </w:rPr>
        <w:t>(</w:t>
      </w:r>
      <w:r>
        <w:rPr>
          <w:kern w:val="2"/>
          <w:szCs w:val="22"/>
          <w:rFonts w:cstheme="minorBidi" w:hAnsiTheme="minorHAnsi" w:eastAsiaTheme="minorHAnsi" w:asciiTheme="minorHAnsi"/>
          <w:b/>
          <w:sz w:val="28"/>
        </w:rPr>
        <w:t>Accepted</w:t>
      </w:r>
      <w:r>
        <w:rPr>
          <w:rFonts w:cstheme="minorBidi" w:hAnsiTheme="minorHAnsi" w:eastAsiaTheme="minorHAnsi" w:asciiTheme="minorHAnsi"/>
        </w:rPr>
        <w:t>)</w:t>
      </w:r>
      <w:r>
        <w:rPr>
          <w:rFonts w:cstheme="minorBidi" w:hAnsiTheme="minorHAnsi" w:eastAsiaTheme="minorHAnsi" w:asciiTheme="minorHAnsi"/>
        </w:rPr>
        <w:t xml:space="preserve"> </w:t>
      </w:r>
      <w:r>
        <w:rPr>
          <w:rFonts w:cstheme="minorBidi" w:hAnsiTheme="minorHAnsi" w:eastAsiaTheme="minorHAnsi" w:asciiTheme="minorHAnsi"/>
          <w:b/>
        </w:rPr>
        <w:t>(</w:t>
      </w:r>
      <w:r>
        <w:rPr>
          <w:kern w:val="2"/>
          <w:szCs w:val="22"/>
          <w:rFonts w:cstheme="minorBidi" w:hAnsiTheme="minorHAnsi" w:eastAsiaTheme="minorHAnsi" w:asciiTheme="minorHAnsi"/>
          <w:b/>
          <w:sz w:val="28"/>
        </w:rPr>
        <w:t xml:space="preserve">IF: 2.369</w:t>
      </w:r>
      <w:r>
        <w:rPr>
          <w:rFonts w:cstheme="minorBidi" w:hAnsiTheme="minorHAnsi" w:eastAsiaTheme="minorHAnsi" w:asciiTheme="minorHAnsi"/>
          <w:b/>
        </w:rPr>
        <w:t>)</w:t>
      </w:r>
    </w:p>
    <w:p w:rsidR="0018722C">
      <w:pPr>
        <w:pStyle w:val="cw18"/>
        <w:topLinePunct/>
      </w:pPr>
      <w:r>
        <w:rPr>
          <w:b/>
        </w:rPr>
        <w:t>3</w:t>
      </w:r>
      <w:r>
        <w:rPr>
          <w:b/>
          <w:b/>
          <w:sz w:val="28"/>
        </w:rPr>
        <w:t>）</w:t>
      </w:r>
      <w:r>
        <w:rPr>
          <w:rFonts w:ascii="宋体" w:eastAsia="宋体" w:hint="eastAsia"/>
        </w:rPr>
        <w:t>郭哲</w:t>
      </w:r>
      <w:r>
        <w:rPr>
          <w:sz w:val="28"/>
          <w:rFonts w:hint="eastAsia"/>
        </w:rPr>
        <w:t>，</w:t>
      </w:r>
      <w:r/>
      <w:r>
        <w:rPr>
          <w:rFonts w:ascii="宋体" w:eastAsia="宋体" w:hint="eastAsia"/>
        </w:rPr>
        <w:t>向邦德</w:t>
      </w:r>
      <w:r>
        <w:rPr>
          <w:sz w:val="28"/>
          <w:rFonts w:hint="eastAsia"/>
        </w:rPr>
        <w:t>，</w:t>
      </w:r>
      <w:r/>
      <w:r>
        <w:rPr>
          <w:rFonts w:ascii="宋体" w:eastAsia="宋体" w:hint="eastAsia"/>
        </w:rPr>
        <w:t>姜经航</w:t>
      </w:r>
      <w:r>
        <w:rPr>
          <w:sz w:val="28"/>
          <w:rFonts w:hint="eastAsia"/>
        </w:rPr>
        <w:t>，</w:t>
      </w:r>
      <w:r/>
      <w:r>
        <w:rPr>
          <w:rFonts w:ascii="微软雅黑" w:eastAsia="微软雅黑" w:hint="eastAsia"/>
          <w:b/>
        </w:rPr>
        <w:t>杨浩洁</w:t>
      </w:r>
      <w:r>
        <w:rPr>
          <w:sz w:val="28"/>
          <w:rFonts w:hint="eastAsia"/>
        </w:rPr>
        <w:t>，</w:t>
      </w:r>
      <w:r/>
      <w:r/>
      <w:r>
        <w:rPr>
          <w:rFonts w:ascii="宋体" w:eastAsia="宋体" w:hint="eastAsia"/>
        </w:rPr>
        <w:t>齐亚鹏</w:t>
      </w:r>
      <w:r>
        <w:rPr>
          <w:sz w:val="28"/>
          <w:rFonts w:hint="eastAsia"/>
        </w:rPr>
        <w:t>，</w:t>
      </w:r>
      <w:r/>
      <w:r/>
      <w:r>
        <w:rPr>
          <w:rFonts w:ascii="宋体" w:eastAsia="宋体" w:hint="eastAsia"/>
        </w:rPr>
        <w:t>杨富权</w:t>
      </w:r>
      <w:r>
        <w:rPr>
          <w:sz w:val="28"/>
          <w:rFonts w:hint="eastAsia"/>
        </w:rPr>
        <w:t>，</w:t>
      </w:r>
      <w:r/>
      <w:r/>
      <w:r>
        <w:rPr>
          <w:rFonts w:ascii="宋体" w:eastAsia="宋体" w:hint="eastAsia"/>
        </w:rPr>
        <w:t>鲍思扬</w:t>
      </w:r>
      <w:r>
        <w:rPr>
          <w:sz w:val="28"/>
          <w:rFonts w:hint="eastAsia"/>
        </w:rPr>
        <w:t>，</w:t>
      </w:r>
      <w:r/>
      <w:r/>
      <w:r>
        <w:rPr>
          <w:rFonts w:ascii="宋体" w:eastAsia="宋体" w:hint="eastAsia"/>
        </w:rPr>
        <w:t>黎乐群</w:t>
      </w:r>
      <w:r>
        <w:rPr>
          <w:sz w:val="28"/>
          <w:rFonts w:hint="eastAsia"/>
        </w:rPr>
        <w:t>：</w:t>
      </w:r>
      <w:r/>
      <w:r/>
      <w:r>
        <w:rPr>
          <w:rFonts w:ascii="宋体" w:eastAsia="宋体" w:hint="eastAsia"/>
        </w:rPr>
        <w:t>肝切除与肝动脉化疗栓塞治疗大</w:t>
      </w:r>
      <w:r>
        <w:t>HCC</w:t>
      </w:r>
      <w:r>
        <w:rPr>
          <w:rFonts w:ascii="宋体" w:eastAsia="宋体" w:hint="eastAsia"/>
        </w:rPr>
        <w:t>的疗效比较</w:t>
      </w:r>
      <w:r>
        <w:t>.</w:t>
      </w:r>
      <w:r>
        <w:rPr>
          <w:rFonts w:ascii="微软雅黑" w:eastAsia="微软雅黑" w:hint="eastAsia"/>
          <w:b/>
        </w:rPr>
        <w:t>中华普通外科杂志</w:t>
      </w:r>
    </w:p>
    <w:p w:rsidR="0018722C">
      <w:pPr>
        <w:topLinePunct/>
      </w:pPr>
      <w:r>
        <w:rPr>
          <w:rFonts w:ascii="Times New Roman"/>
        </w:rPr>
        <w:t>2015;30:290-293.</w:t>
      </w:r>
    </w:p>
    <w:p w:rsidR="0018722C">
      <w:pPr>
        <w:pStyle w:val="cw18"/>
        <w:topLinePunct/>
      </w:pPr>
      <w:r>
        <w:rPr>
          <w:b/>
        </w:rPr>
        <w:t>4</w:t>
      </w:r>
      <w:r>
        <w:rPr>
          <w:b/>
        </w:rPr>
        <w:t>)</w:t>
      </w:r>
      <w:r>
        <w:rPr>
          <w:b/>
        </w:rPr>
        <w:t xml:space="preserve"> </w:t>
      </w:r>
      <w:r>
        <w:t>Jiang JH, Guo Z, Lu HF, Wang XB, </w:t>
      </w:r>
      <w:r>
        <w:rPr>
          <w:b/>
        </w:rPr>
        <w:t>Yang HJ</w:t>
      </w:r>
      <w:r>
        <w:t>, Yang FQ, Bao SY, Zhong JH, Li LQ, Yang RR, Xiang BD: Adjuvant transarterial chemoembolization after curative resection of hepatocellular carcinoma: Propensity score analysis. </w:t>
      </w:r>
      <w:r>
        <w:rPr>
          <w:b/>
        </w:rPr>
        <w:t>World J Gastroenterol </w:t>
      </w:r>
      <w:r>
        <w:t>2015;21:4627-4634. </w:t>
      </w:r>
      <w:r>
        <w:rPr>
          <w:b/>
        </w:rPr>
        <w:t>(</w:t>
      </w:r>
      <w:r>
        <w:rPr>
          <w:b/>
        </w:rPr>
        <w:t>IF:</w:t>
      </w:r>
      <w:r>
        <w:rPr>
          <w:b/>
        </w:rPr>
        <w:t> </w:t>
      </w:r>
      <w:r>
        <w:rPr>
          <w:b/>
        </w:rPr>
        <w:t>2.369</w:t>
      </w:r>
      <w:r>
        <w:rPr>
          <w:b/>
        </w:rPr>
        <w:t>)</w:t>
      </w:r>
    </w:p>
    <w:p w:rsidR="0018722C">
      <w:pPr>
        <w:pStyle w:val="cw18"/>
        <w:topLinePunct/>
      </w:pPr>
      <w:r>
        <w:t xml:space="preserve">5</w:t>
      </w:r>
      <w:r>
        <w:t xml:space="preserve">)</w:t>
      </w:r>
      <w:r>
        <w:t xml:space="preserve"> </w:t>
      </w:r>
      <w:r>
        <w:rPr>
          <w:rFonts w:ascii="Calibri"/>
        </w:rPr>
        <w:t xml:space="preserve">Guo Z, Jiang JH, Zhang J, </w:t>
      </w:r>
      <w:r>
        <w:rPr>
          <w:rFonts w:ascii="Calibri"/>
          <w:b/>
        </w:rPr>
        <w:t xml:space="preserve">Yang HJ</w:t>
      </w:r>
      <w:r>
        <w:rPr>
          <w:rFonts w:ascii="Calibri"/>
        </w:rPr>
        <w:t xml:space="preserve">, Yang FQ, Qi YP, Zhong YP, Su J, Yang RR, Li LQ, Xiang BD: Cox-2 promotes migration and invasion by the side population of cancer stem cell-like hepatocellular carcinoma cells. Medicine </w:t>
      </w:r>
      <w:r>
        <w:rPr>
          <w:rFonts w:ascii="Calibri"/>
        </w:rPr>
        <w:t xml:space="preserve">(</w:t>
      </w:r>
      <w:r>
        <w:rPr>
          <w:rFonts w:ascii="Calibri"/>
        </w:rPr>
        <w:t xml:space="preserve">Baltimore</w:t>
      </w:r>
      <w:r>
        <w:rPr>
          <w:rFonts w:ascii="Calibri"/>
        </w:rPr>
        <w:t xml:space="preserve">)</w:t>
      </w:r>
      <w:r>
        <w:rPr>
          <w:rFonts w:ascii="Calibri"/>
        </w:rPr>
        <w:t xml:space="preserve"> 2015;94:</w:t>
      </w:r>
      <w:r w:rsidR="004B696B">
        <w:rPr>
          <w:rFonts w:ascii="Calibri"/>
        </w:rPr>
        <w:t xml:space="preserve"> </w:t>
      </w:r>
      <w:r w:rsidR="004B696B">
        <w:rPr>
          <w:rFonts w:ascii="Calibri"/>
        </w:rPr>
        <w:t xml:space="preserve">e1806</w:t>
      </w:r>
    </w:p>
    <w:p w:rsidR="0018722C">
      <w:pPr>
        <w:topLinePunct/>
      </w:pPr>
      <w:r>
        <w:rPr>
          <w:rFonts w:cstheme="minorBidi" w:hAnsiTheme="minorHAnsi" w:eastAsiaTheme="minorHAnsi" w:asciiTheme="minorHAnsi"/>
        </w:rPr>
        <w:t>45</w:t>
      </w:r>
    </w:p>
    <w:p w:rsidR="0018722C">
      <w:pPr>
        <w:pStyle w:val="aff7"/>
        <w:topLinePunct/>
      </w:pPr>
      <w:r>
        <w:rPr>
          <w:kern w:val="2"/>
          <w:sz w:val="2"/>
          <w:szCs w:val="22"/>
          <w:rFonts w:cstheme="minorBidi" w:hAnsiTheme="minorHAnsi" w:eastAsiaTheme="minorHAnsi" w:asciiTheme="minorHAnsi"/>
        </w:rPr>
        <w:pict>
          <v:group style="width:445.5pt;height:.45pt;mso-position-horizontal-relative:char;mso-position-vertical-relative:line" coordorigin="0,0" coordsize="8910,9">
            <v:line style="position:absolute" from="0,5" to="8910,5" stroked="true" strokeweight=".45pt" strokecolor="#000000">
              <v:stroke dashstyle="solid"/>
            </v:line>
          </v:group>
        </w:pict>
      </w:r>
    </w:p>
    <w:p w:rsidR="0018722C">
      <w:pPr>
        <w:pStyle w:val="affff1"/>
        <w:spacing w:line="460" w:lineRule="exact" w:before="0"/>
        <w:ind w:leftChars="0" w:left="3198" w:rightChars="0" w:right="0" w:firstLineChars="0" w:firstLine="0"/>
        <w:jc w:val="left"/>
        <w:topLinePunct/>
      </w:pPr>
      <w:r>
        <w:rPr>
          <w:kern w:val="2"/>
          <w:sz w:val="36"/>
          <w:szCs w:val="22"/>
          <w:rFonts w:cstheme="minorBidi" w:hAnsiTheme="minorHAnsi" w:eastAsiaTheme="minorHAnsi" w:asciiTheme="minorHAnsi" w:ascii="黑体" w:eastAsia="黑体" w:hint="eastAsia"/>
        </w:rPr>
        <w:t>以下基金资助了本课题</w:t>
      </w:r>
    </w:p>
    <w:p w:rsidR="0018722C">
      <w:pPr>
        <w:topLinePunct/>
      </w:pPr>
      <w:r>
        <w:t>（</w:t>
      </w:r>
      <w:r>
        <w:rPr>
          <w:rFonts w:ascii="Calibri" w:eastAsia="Calibri"/>
        </w:rPr>
        <w:t>1</w:t>
      </w:r>
      <w:r>
        <w:t>）</w:t>
      </w:r>
      <w:r>
        <w:t>区域性高发肿瘤早期防治研究教育部重点实验室：环氧化酶</w:t>
      </w:r>
      <w:r>
        <w:rPr>
          <w:rFonts w:ascii="Calibri" w:eastAsia="Calibri"/>
        </w:rPr>
        <w:t>-2</w:t>
      </w:r>
      <w:r>
        <w:rPr>
          <w:rFonts w:ascii="Calibri" w:eastAsia="Calibri"/>
        </w:rPr>
        <w:t>/</w:t>
      </w:r>
      <w:r>
        <w:t>前列腺素受体</w:t>
      </w:r>
      <w:r>
        <w:rPr>
          <w:rFonts w:ascii="Calibri" w:eastAsia="Calibri"/>
        </w:rPr>
        <w:t>1</w:t>
      </w:r>
      <w:r>
        <w:t>与</w:t>
      </w:r>
      <w:r>
        <w:rPr>
          <w:rFonts w:ascii="Calibri" w:eastAsia="Calibri"/>
        </w:rPr>
        <w:t>HCC</w:t>
      </w:r>
      <w:r>
        <w:t>预后相关性及机制研究项目</w:t>
      </w:r>
      <w:r>
        <w:t>（</w:t>
      </w:r>
      <w:r>
        <w:t>编号</w:t>
      </w:r>
      <w:r>
        <w:rPr>
          <w:rFonts w:ascii="Calibri" w:eastAsia="Calibri"/>
          <w:spacing w:val="0"/>
        </w:rPr>
        <w:t>GKE2015-ZZ0</w:t>
      </w:r>
      <w:r>
        <w:rPr>
          <w:rFonts w:ascii="Calibri" w:eastAsia="Calibri"/>
          <w:spacing w:val="0"/>
        </w:rPr>
        <w:t>5</w:t>
      </w:r>
      <w:r>
        <w:t>）</w:t>
      </w:r>
      <w:r>
        <w:t>（</w:t>
      </w:r>
      <w:r>
        <w:rPr>
          <w:rFonts w:ascii="微软雅黑" w:eastAsia="微软雅黑" w:hint="eastAsia"/>
          <w:b/>
        </w:rPr>
        <w:t>参与者</w:t>
      </w:r>
      <w:r>
        <w:rPr>
          <w:rFonts w:ascii="微软雅黑" w:eastAsia="微软雅黑" w:hint="eastAsia"/>
          <w:b/>
        </w:rPr>
        <w:t>）</w:t>
      </w:r>
    </w:p>
    <w:p w:rsidR="0018722C">
      <w:pPr>
        <w:topLinePunct/>
      </w:pPr>
      <w:r>
        <w:t>（</w:t>
      </w:r>
      <w:r>
        <w:rPr>
          <w:rFonts w:ascii="Calibri" w:eastAsia="Calibri"/>
        </w:rPr>
        <w:t>2</w:t>
      </w:r>
      <w:r>
        <w:t>）</w:t>
      </w:r>
      <w:r>
        <w:t>国家自然科学基金：</w:t>
      </w:r>
      <w:r>
        <w:rPr>
          <w:rFonts w:ascii="Calibri" w:eastAsia="Calibri"/>
        </w:rPr>
        <w:t>COX-2</w:t>
      </w:r>
      <w:r>
        <w:t>调控</w:t>
      </w:r>
      <w:r>
        <w:rPr>
          <w:rFonts w:ascii="Calibri" w:eastAsia="Calibri"/>
        </w:rPr>
        <w:t>microRNA-21</w:t>
      </w:r>
      <w:r>
        <w:t>影响</w:t>
      </w:r>
      <w:r>
        <w:rPr>
          <w:rFonts w:ascii="Calibri" w:eastAsia="Calibri"/>
        </w:rPr>
        <w:t>HCC</w:t>
      </w:r>
      <w:r>
        <w:t>干细胞生物学特性及机制研究；</w:t>
      </w:r>
      <w:r>
        <w:t>（</w:t>
      </w:r>
      <w:r>
        <w:t>项目编号</w:t>
      </w:r>
      <w:r>
        <w:rPr>
          <w:rFonts w:ascii="Calibri" w:eastAsia="Calibri"/>
          <w:spacing w:val="0"/>
        </w:rPr>
        <w:t>8126033</w:t>
      </w:r>
      <w:r>
        <w:rPr>
          <w:rFonts w:ascii="Calibri" w:eastAsia="Calibri"/>
          <w:spacing w:val="0"/>
        </w:rPr>
        <w:t>1</w:t>
      </w:r>
      <w:r>
        <w:t>）</w:t>
      </w:r>
      <w:r>
        <w:t>（</w:t>
      </w:r>
      <w:r>
        <w:rPr>
          <w:rFonts w:ascii="微软雅黑" w:eastAsia="微软雅黑" w:hint="eastAsia"/>
          <w:b/>
        </w:rPr>
        <w:t>参与者</w:t>
      </w:r>
      <w:r>
        <w:t>）</w:t>
      </w:r>
    </w:p>
    <w:p w:rsidR="0018722C">
      <w:pPr>
        <w:topLinePunct/>
      </w:pPr>
      <w:r>
        <w:rPr>
          <w:rFonts w:cstheme="minorBidi" w:hAnsiTheme="minorHAnsi" w:eastAsiaTheme="minorHAnsi" w:asciiTheme="minorHAnsi"/>
        </w:rPr>
        <w:t>46</w:t>
      </w:r>
    </w:p>
    <w:sectPr w:rsidR="00556256">
      <w:type w:val="continuous"/>
      <w:pgSz w:w="11906" w:h="16838" w:code="9"/>
      <w:pgMar w:top="1418" w:right="1134" w:bottom="1134" w:left="1418" w:header="851" w:footer="907" w:gutter="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微软雅黑">
    <w:altName w:val="微软雅黑"/>
    <w:charset w:val="86"/>
    <w:family w:val="swiss"/>
    <w:pitch w:val="variable"/>
  </w:font>
  <w:font w:name="黑体">
    <w:altName w:val="黑体"/>
    <w:charset w:val="86"/>
    <w:family w:val="modern"/>
    <w:pitch w:val="fixed"/>
  </w:font>
  <w:font w:name="Tw Cen MT">
    <w:altName w:val="Tw Cen MT"/>
    <w:charset w:val="0"/>
    <w:family w:val="swiss"/>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306274pt;width:42pt;height:12pt;mso-position-horizontal-relative:page;mso-position-vertical-relative:page;z-index:-110656"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69.900002pt;margin-top:42.955624pt;width:179.75pt;height:22.7pt;mso-position-horizontal-relative:page;mso-position-vertical-relative:page;z-index:-110704" type="#_x0000_t202" filled="false" stroked="false">
          <v:textbox inset="0,0,0,0">
            <w:txbxContent>
              <w:p>
                <w:pPr>
                  <w:spacing w:line="199" w:lineRule="exact" w:before="0"/>
                  <w:ind w:left="20" w:right="0" w:firstLine="0"/>
                  <w:jc w:val="left"/>
                  <w:rPr>
                    <w:rFonts w:ascii="宋体" w:eastAsia="宋体" w:hint="eastAsia"/>
                    <w:sz w:val="18"/>
                  </w:rPr>
                </w:pPr>
                <w:r>
                  <w:rPr>
                    <w:rFonts w:ascii="宋体" w:eastAsia="宋体" w:hint="eastAsia"/>
                    <w:sz w:val="18"/>
                  </w:rPr>
                  <w:t>COX-2</w:t>
                </w:r>
                <w:r>
                  <w:rPr>
                    <w:rFonts w:ascii="宋体" w:eastAsia="宋体" w:hint="eastAsia"/>
                    <w:spacing w:val="-31"/>
                    <w:sz w:val="18"/>
                  </w:rPr>
                  <w:t> 和 </w:t>
                </w:r>
                <w:r>
                  <w:rPr>
                    <w:rFonts w:ascii="宋体" w:eastAsia="宋体" w:hint="eastAsia"/>
                    <w:sz w:val="18"/>
                  </w:rPr>
                  <w:t>EP1</w:t>
                </w:r>
                <w:r>
                  <w:rPr>
                    <w:rFonts w:ascii="宋体" w:eastAsia="宋体" w:hint="eastAsia"/>
                    <w:spacing w:val="-7"/>
                    <w:sz w:val="18"/>
                  </w:rPr>
                  <w:t> 在肝细胞癌组织中的表达及意义</w:t>
                </w:r>
              </w:p>
              <w:p>
                <w:pPr>
                  <w:spacing w:line="234" w:lineRule="exact" w:before="0"/>
                  <w:ind w:left="20" w:right="0" w:firstLine="0"/>
                  <w:jc w:val="left"/>
                  <w:rPr>
                    <w:rFonts w:ascii="宋体" w:eastAsia="宋体" w:hint="eastAsia"/>
                    <w:sz w:val="18"/>
                  </w:rPr>
                </w:pPr>
                <w:r>
                  <w:rPr>
                    <w:rFonts w:ascii="宋体" w:eastAsia="宋体" w:hint="eastAsia"/>
                    <w:sz w:val="18"/>
                    <w:u w:val="single"/>
                  </w:rPr>
                  <w:t>文</w:t>
                </w:r>
              </w:p>
            </w:txbxContent>
          </v:textbox>
          <w10:wrap type="none"/>
        </v:shape>
      </w:pict>
    </w:r>
    <w:r>
      <w:rPr/>
      <w:pict>
        <v:shape style="position:absolute;margin-left:405.150024pt;margin-top:42.955624pt;width:112.25pt;height:11pt;mso-position-horizontal-relative:page;mso-position-vertical-relative:page;z-index:-110680"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2013</w:t>
                </w:r>
                <w:r>
                  <w:rPr>
                    <w:rFonts w:ascii="宋体" w:eastAsia="宋体" w:hint="eastAsia"/>
                    <w:spacing w:val="-7"/>
                    <w:sz w:val="18"/>
                  </w:rPr>
                  <w:t> 级学术型研究生学位论</w:t>
                </w:r>
              </w:p>
            </w:txbxContent>
          </v:textbox>
          <w10:wrap type="non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_Ref665915008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 xml:space="preserve">目    录</w:t>
    </w:r>
    <w:r>
      <w:rPr>
        <w:kern w:val="2"/>
        <w:sz w:val="21"/>
        <w:szCs w:val="21"/>
        <w:rFonts w:eastAsia="华文中宋"/>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_Ref665915009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 xml:space="preserve">摘  要</w:t>
    </w:r>
    <w:r>
      <w:rPr>
        <w:kern w:val="2"/>
        <w:sz w:val="21"/>
        <w:szCs w:val="24"/>
        <w:rFonts w:eastAsia="华文中宋"/>
      </w:rPr>
      <w:fldChar w:fldCharType="end"/>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900002pt;margin-top:48.605625pt;width:179.75pt;height:22.7pt;mso-position-horizontal-relative:page;mso-position-vertical-relative:page;z-index:-110632" type="#_x0000_t202" filled="false" stroked="false">
          <v:textbox inset="0,0,0,0">
            <w:txbxContent>
              <w:p>
                <w:pPr>
                  <w:spacing w:line="199" w:lineRule="exact" w:before="0"/>
                  <w:ind w:left="20" w:right="0" w:firstLine="0"/>
                  <w:jc w:val="left"/>
                  <w:rPr>
                    <w:rFonts w:ascii="宋体" w:eastAsia="宋体" w:hint="eastAsia"/>
                    <w:sz w:val="18"/>
                  </w:rPr>
                </w:pPr>
                <w:r>
                  <w:rPr>
                    <w:rFonts w:ascii="宋体" w:eastAsia="宋体" w:hint="eastAsia"/>
                    <w:sz w:val="18"/>
                  </w:rPr>
                  <w:t>COX-2</w:t>
                </w:r>
                <w:r>
                  <w:rPr>
                    <w:rFonts w:ascii="宋体" w:eastAsia="宋体" w:hint="eastAsia"/>
                    <w:spacing w:val="-31"/>
                    <w:sz w:val="18"/>
                  </w:rPr>
                  <w:t> 和 </w:t>
                </w:r>
                <w:r>
                  <w:rPr>
                    <w:rFonts w:ascii="宋体" w:eastAsia="宋体" w:hint="eastAsia"/>
                    <w:sz w:val="18"/>
                  </w:rPr>
                  <w:t>EP1</w:t>
                </w:r>
                <w:r>
                  <w:rPr>
                    <w:rFonts w:ascii="宋体" w:eastAsia="宋体" w:hint="eastAsia"/>
                    <w:spacing w:val="-7"/>
                    <w:sz w:val="18"/>
                  </w:rPr>
                  <w:t> 在肝细胞癌组织中的表达及意义</w:t>
                </w:r>
              </w:p>
              <w:p>
                <w:pPr>
                  <w:spacing w:line="234" w:lineRule="exact" w:before="0"/>
                  <w:ind w:left="20" w:right="0" w:firstLine="0"/>
                  <w:jc w:val="left"/>
                  <w:rPr>
                    <w:rFonts w:ascii="宋体" w:eastAsia="宋体" w:hint="eastAsia"/>
                    <w:sz w:val="18"/>
                  </w:rPr>
                </w:pPr>
                <w:r>
                  <w:rPr>
                    <w:rFonts w:ascii="宋体" w:eastAsia="宋体" w:hint="eastAsia"/>
                    <w:sz w:val="18"/>
                    <w:u w:val="single"/>
                  </w:rPr>
                  <w:t>文</w:t>
                </w:r>
              </w:p>
            </w:txbxContent>
          </v:textbox>
          <w10:wrap type="none"/>
        </v:shape>
      </w:pict>
    </w:r>
    <w:r>
      <w:rPr/>
      <w:pict>
        <v:shape style="position:absolute;margin-left:405.150024pt;margin-top:48.605625pt;width:112.25pt;height:11pt;mso-position-horizontal-relative:page;mso-position-vertical-relative:page;z-index:-110608"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2013</w:t>
                </w:r>
                <w:r>
                  <w:rPr>
                    <w:rFonts w:ascii="宋体" w:eastAsia="宋体" w:hint="eastAsia"/>
                    <w:spacing w:val="-7"/>
                    <w:sz w:val="18"/>
                  </w:rPr>
                  <w:t> 级学术型研究生学位论</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900002pt;margin-top:48.605625pt;width:179.75pt;height:22.7pt;mso-position-horizontal-relative:page;mso-position-vertical-relative:page;z-index:-110584" type="#_x0000_t202" filled="false" stroked="false">
          <v:textbox inset="0,0,0,0">
            <w:txbxContent>
              <w:p>
                <w:pPr>
                  <w:spacing w:line="199" w:lineRule="exact" w:before="0"/>
                  <w:ind w:left="20" w:right="0" w:firstLine="0"/>
                  <w:jc w:val="left"/>
                  <w:rPr>
                    <w:rFonts w:ascii="宋体" w:eastAsia="宋体" w:hint="eastAsia"/>
                    <w:sz w:val="18"/>
                  </w:rPr>
                </w:pPr>
                <w:r>
                  <w:rPr>
                    <w:rFonts w:ascii="宋体" w:eastAsia="宋体" w:hint="eastAsia"/>
                    <w:sz w:val="18"/>
                  </w:rPr>
                  <w:t>COX-2</w:t>
                </w:r>
                <w:r>
                  <w:rPr>
                    <w:rFonts w:ascii="宋体" w:eastAsia="宋体" w:hint="eastAsia"/>
                    <w:spacing w:val="-31"/>
                    <w:sz w:val="18"/>
                  </w:rPr>
                  <w:t> 和 </w:t>
                </w:r>
                <w:r>
                  <w:rPr>
                    <w:rFonts w:ascii="宋体" w:eastAsia="宋体" w:hint="eastAsia"/>
                    <w:sz w:val="18"/>
                  </w:rPr>
                  <w:t>EP1</w:t>
                </w:r>
                <w:r>
                  <w:rPr>
                    <w:rFonts w:ascii="宋体" w:eastAsia="宋体" w:hint="eastAsia"/>
                    <w:spacing w:val="-7"/>
                    <w:sz w:val="18"/>
                  </w:rPr>
                  <w:t> 在肝细胞癌组织中的表达及意义</w:t>
                </w:r>
              </w:p>
              <w:p>
                <w:pPr>
                  <w:spacing w:line="234" w:lineRule="exact" w:before="0"/>
                  <w:ind w:left="20" w:right="0" w:firstLine="0"/>
                  <w:jc w:val="left"/>
                  <w:rPr>
                    <w:rFonts w:ascii="宋体" w:eastAsia="宋体" w:hint="eastAsia"/>
                    <w:sz w:val="18"/>
                  </w:rPr>
                </w:pPr>
                <w:r>
                  <w:rPr>
                    <w:rFonts w:ascii="宋体" w:eastAsia="宋体" w:hint="eastAsia"/>
                    <w:sz w:val="18"/>
                    <w:u w:val="single"/>
                  </w:rPr>
                  <w:t>文</w:t>
                </w:r>
              </w:p>
            </w:txbxContent>
          </v:textbox>
          <w10:wrap type="none"/>
        </v:shape>
      </w:pict>
    </w:r>
    <w:r>
      <w:rPr/>
      <w:pict>
        <v:shape style="position:absolute;margin-left:405.150024pt;margin-top:48.605625pt;width:112.25pt;height:11pt;mso-position-horizontal-relative:page;mso-position-vertical-relative:page;z-index:-110560"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2013</w:t>
                </w:r>
                <w:r>
                  <w:rPr>
                    <w:rFonts w:ascii="宋体" w:eastAsia="宋体" w:hint="eastAsia"/>
                    <w:spacing w:val="-7"/>
                    <w:sz w:val="18"/>
                  </w:rPr>
                  <w:t> 级学术型研究生学位论</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900002pt;margin-top:48.605625pt;width:179.75pt;height:11pt;mso-position-horizontal-relative:page;mso-position-vertical-relative:page;z-index:-110536"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COX-2</w:t>
                </w:r>
                <w:r>
                  <w:rPr>
                    <w:rFonts w:ascii="宋体" w:eastAsia="宋体" w:hint="eastAsia"/>
                    <w:spacing w:val="-31"/>
                    <w:sz w:val="18"/>
                  </w:rPr>
                  <w:t> 和 </w:t>
                </w:r>
                <w:r>
                  <w:rPr>
                    <w:rFonts w:ascii="宋体" w:eastAsia="宋体" w:hint="eastAsia"/>
                    <w:sz w:val="18"/>
                  </w:rPr>
                  <w:t>EP1</w:t>
                </w:r>
                <w:r>
                  <w:rPr>
                    <w:rFonts w:ascii="宋体" w:eastAsia="宋体" w:hint="eastAsia"/>
                    <w:spacing w:val="-7"/>
                    <w:sz w:val="18"/>
                  </w:rPr>
                  <w:t> 在肝细胞癌组织中的表达及意义</w:t>
                </w:r>
              </w:p>
            </w:txbxContent>
          </v:textbox>
          <w10:wrap type="none"/>
        </v:shape>
      </w:pict>
    </w:r>
    <w:r>
      <w:rPr/>
      <w:pict>
        <v:shape style="position:absolute;margin-left:405.150024pt;margin-top:48.605625pt;width:112.25pt;height:11pt;mso-position-horizontal-relative:page;mso-position-vertical-relative:page;z-index:-110512"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2013</w:t>
                </w:r>
                <w:r>
                  <w:rPr>
                    <w:rFonts w:ascii="宋体" w:eastAsia="宋体" w:hint="eastAsia"/>
                    <w:spacing w:val="-7"/>
                    <w:sz w:val="18"/>
                  </w:rPr>
                  <w:t> 级学术型研究生学位论</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900002pt;margin-top:48.605625pt;width:179.75pt;height:22.7pt;mso-position-horizontal-relative:page;mso-position-vertical-relative:page;z-index:-110488" type="#_x0000_t202" filled="false" stroked="false">
          <v:textbox inset="0,0,0,0">
            <w:txbxContent>
              <w:p>
                <w:pPr>
                  <w:spacing w:line="199" w:lineRule="exact" w:before="0"/>
                  <w:ind w:left="20" w:right="0" w:firstLine="0"/>
                  <w:jc w:val="left"/>
                  <w:rPr>
                    <w:rFonts w:ascii="宋体" w:eastAsia="宋体" w:hint="eastAsia"/>
                    <w:sz w:val="18"/>
                  </w:rPr>
                </w:pPr>
                <w:r>
                  <w:rPr>
                    <w:rFonts w:ascii="宋体" w:eastAsia="宋体" w:hint="eastAsia"/>
                    <w:sz w:val="18"/>
                  </w:rPr>
                  <w:t>COX-2</w:t>
                </w:r>
                <w:r>
                  <w:rPr>
                    <w:rFonts w:ascii="宋体" w:eastAsia="宋体" w:hint="eastAsia"/>
                    <w:spacing w:val="-31"/>
                    <w:sz w:val="18"/>
                  </w:rPr>
                  <w:t> 和 </w:t>
                </w:r>
                <w:r>
                  <w:rPr>
                    <w:rFonts w:ascii="宋体" w:eastAsia="宋体" w:hint="eastAsia"/>
                    <w:sz w:val="18"/>
                  </w:rPr>
                  <w:t>EP1</w:t>
                </w:r>
                <w:r>
                  <w:rPr>
                    <w:rFonts w:ascii="宋体" w:eastAsia="宋体" w:hint="eastAsia"/>
                    <w:spacing w:val="-7"/>
                    <w:sz w:val="18"/>
                  </w:rPr>
                  <w:t> 在肝细胞癌组织中的表达及意义</w:t>
                </w:r>
              </w:p>
              <w:p>
                <w:pPr>
                  <w:spacing w:line="234" w:lineRule="exact" w:before="0"/>
                  <w:ind w:left="20" w:right="0" w:firstLine="0"/>
                  <w:jc w:val="left"/>
                  <w:rPr>
                    <w:rFonts w:ascii="宋体" w:eastAsia="宋体" w:hint="eastAsia"/>
                    <w:sz w:val="18"/>
                  </w:rPr>
                </w:pPr>
                <w:r>
                  <w:rPr>
                    <w:rFonts w:ascii="宋体" w:eastAsia="宋体" w:hint="eastAsia"/>
                    <w:sz w:val="18"/>
                    <w:u w:val="single"/>
                  </w:rPr>
                  <w:t>文</w:t>
                </w:r>
              </w:p>
            </w:txbxContent>
          </v:textbox>
          <w10:wrap type="none"/>
        </v:shape>
      </w:pict>
    </w:r>
    <w:r>
      <w:rPr/>
      <w:pict>
        <v:shape style="position:absolute;margin-left:405.150024pt;margin-top:48.605625pt;width:112.25pt;height:11pt;mso-position-horizontal-relative:page;mso-position-vertical-relative:page;z-index:-110464"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2013</w:t>
                </w:r>
                <w:r>
                  <w:rPr>
                    <w:rFonts w:ascii="宋体" w:eastAsia="宋体" w:hint="eastAsia"/>
                    <w:spacing w:val="-7"/>
                    <w:sz w:val="18"/>
                  </w:rPr>
                  <w:t> 级学术型研究生学位论</w:t>
                </w:r>
              </w:p>
            </w:txbxContent>
          </v:textbox>
          <w10:wrap type="none"/>
        </v:shape>
      </w:pic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900002pt;margin-top:48.605625pt;width:179.75pt;height:22.7pt;mso-position-horizontal-relative:page;mso-position-vertical-relative:page;z-index:-110584" type="#_x0000_t202" filled="false" stroked="false">
          <v:textbox inset="0,0,0,0">
            <w:txbxContent>
              <w:p>
                <w:pPr>
                  <w:spacing w:line="199" w:lineRule="exact" w:before="0"/>
                  <w:ind w:left="20" w:right="0" w:firstLine="0"/>
                  <w:jc w:val="left"/>
                  <w:rPr>
                    <w:rFonts w:ascii="宋体" w:eastAsia="宋体" w:hint="eastAsia"/>
                    <w:sz w:val="18"/>
                  </w:rPr>
                </w:pPr>
                <w:r>
                  <w:rPr>
                    <w:rFonts w:ascii="宋体" w:eastAsia="宋体" w:hint="eastAsia"/>
                    <w:sz w:val="18"/>
                  </w:rPr>
                  <w:t>COX-2</w:t>
                </w:r>
                <w:r>
                  <w:rPr>
                    <w:rFonts w:ascii="宋体" w:eastAsia="宋体" w:hint="eastAsia"/>
                    <w:spacing w:val="-31"/>
                    <w:sz w:val="18"/>
                  </w:rPr>
                  <w:t> 和 </w:t>
                </w:r>
                <w:r>
                  <w:rPr>
                    <w:rFonts w:ascii="宋体" w:eastAsia="宋体" w:hint="eastAsia"/>
                    <w:sz w:val="18"/>
                  </w:rPr>
                  <w:t>EP1</w:t>
                </w:r>
                <w:r>
                  <w:rPr>
                    <w:rFonts w:ascii="宋体" w:eastAsia="宋体" w:hint="eastAsia"/>
                    <w:spacing w:val="-7"/>
                    <w:sz w:val="18"/>
                  </w:rPr>
                  <w:t> 在肝细胞癌组织中的表达及意义</w:t>
                </w:r>
              </w:p>
              <w:p>
                <w:pPr>
                  <w:spacing w:line="234" w:lineRule="exact" w:before="0"/>
                  <w:ind w:left="20" w:right="0" w:firstLine="0"/>
                  <w:jc w:val="left"/>
                  <w:rPr>
                    <w:rFonts w:ascii="宋体" w:eastAsia="宋体" w:hint="eastAsia"/>
                    <w:sz w:val="18"/>
                  </w:rPr>
                </w:pPr>
                <w:r>
                  <w:rPr>
                    <w:rFonts w:ascii="宋体" w:eastAsia="宋体" w:hint="eastAsia"/>
                    <w:sz w:val="18"/>
                    <w:u w:val="single"/>
                  </w:rPr>
                  <w:t>文</w:t>
                </w:r>
              </w:p>
            </w:txbxContent>
          </v:textbox>
          <w10:wrap type="none"/>
        </v:shape>
      </w:pict>
    </w:r>
    <w:r>
      <w:rPr/>
      <w:pict>
        <v:shape style="position:absolute;margin-left:405.150024pt;margin-top:48.605625pt;width:112.25pt;height:11pt;mso-position-horizontal-relative:page;mso-position-vertical-relative:page;z-index:-110560"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2013</w:t>
                </w:r>
                <w:r>
                  <w:rPr>
                    <w:rFonts w:ascii="宋体" w:eastAsia="宋体" w:hint="eastAsia"/>
                    <w:spacing w:val="-7"/>
                    <w:sz w:val="18"/>
                  </w:rPr>
                  <w:t> 级学术型研究生学位论</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900002pt;margin-top:48.605625pt;width:179.75pt;height:22.7pt;mso-position-horizontal-relative:page;mso-position-vertical-relative:page;z-index:-110488" type="#_x0000_t202" filled="false" stroked="false">
          <v:textbox inset="0,0,0,0">
            <w:txbxContent>
              <w:p>
                <w:pPr>
                  <w:spacing w:line="199" w:lineRule="exact" w:before="0"/>
                  <w:ind w:left="20" w:right="0" w:firstLine="0"/>
                  <w:jc w:val="left"/>
                  <w:rPr>
                    <w:rFonts w:ascii="宋体" w:eastAsia="宋体" w:hint="eastAsia"/>
                    <w:sz w:val="18"/>
                  </w:rPr>
                </w:pPr>
                <w:r>
                  <w:rPr>
                    <w:rFonts w:ascii="宋体" w:eastAsia="宋体" w:hint="eastAsia"/>
                    <w:sz w:val="18"/>
                  </w:rPr>
                  <w:t>COX-2</w:t>
                </w:r>
                <w:r>
                  <w:rPr>
                    <w:rFonts w:ascii="宋体" w:eastAsia="宋体" w:hint="eastAsia"/>
                    <w:spacing w:val="-31"/>
                    <w:sz w:val="18"/>
                  </w:rPr>
                  <w:t> 和 </w:t>
                </w:r>
                <w:r>
                  <w:rPr>
                    <w:rFonts w:ascii="宋体" w:eastAsia="宋体" w:hint="eastAsia"/>
                    <w:sz w:val="18"/>
                  </w:rPr>
                  <w:t>EP1</w:t>
                </w:r>
                <w:r>
                  <w:rPr>
                    <w:rFonts w:ascii="宋体" w:eastAsia="宋体" w:hint="eastAsia"/>
                    <w:spacing w:val="-7"/>
                    <w:sz w:val="18"/>
                  </w:rPr>
                  <w:t> 在肝细胞癌组织中的表达及意义</w:t>
                </w:r>
              </w:p>
              <w:p>
                <w:pPr>
                  <w:spacing w:line="234" w:lineRule="exact" w:before="0"/>
                  <w:ind w:left="20" w:right="0" w:firstLine="0"/>
                  <w:jc w:val="left"/>
                  <w:rPr>
                    <w:rFonts w:ascii="宋体" w:eastAsia="宋体" w:hint="eastAsia"/>
                    <w:sz w:val="18"/>
                  </w:rPr>
                </w:pPr>
                <w:r>
                  <w:rPr>
                    <w:rFonts w:ascii="宋体" w:eastAsia="宋体" w:hint="eastAsia"/>
                    <w:sz w:val="18"/>
                    <w:u w:val="single"/>
                  </w:rPr>
                  <w:t>文</w:t>
                </w:r>
              </w:p>
            </w:txbxContent>
          </v:textbox>
          <w10:wrap type="none"/>
        </v:shape>
      </w:pict>
    </w:r>
    <w:r>
      <w:rPr/>
      <w:pict>
        <v:shape style="position:absolute;margin-left:405.150024pt;margin-top:48.605625pt;width:112.25pt;height:11pt;mso-position-horizontal-relative:page;mso-position-vertical-relative:page;z-index:-110464"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2013</w:t>
                </w:r>
                <w:r>
                  <w:rPr>
                    <w:rFonts w:ascii="宋体" w:eastAsia="宋体" w:hint="eastAsia"/>
                    <w:spacing w:val="-7"/>
                    <w:sz w:val="18"/>
                  </w:rPr>
                  <w:t> 级学术型研究生学位论</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
      <w:numFmt w:val="decimal"/>
      <w:lvlText w:val="%1)"/>
      <w:lvlJc w:val="left"/>
      <w:pPr>
        <w:ind w:left="378" w:hanging="560"/>
        <w:jc w:val="left"/>
      </w:pPr>
      <w:rPr>
        <w:rFonts w:hint="default"/>
        <w:spacing w:val="-24"/>
        <w:w w:val="100"/>
      </w:rPr>
    </w:lvl>
    <w:lvl w:ilvl="1">
      <w:start w:val="0"/>
      <w:numFmt w:val="bullet"/>
      <w:lvlText w:val="•"/>
      <w:lvlJc w:val="left"/>
      <w:pPr>
        <w:ind w:left="1326" w:hanging="560"/>
      </w:pPr>
      <w:rPr>
        <w:rFonts w:hint="default"/>
      </w:rPr>
    </w:lvl>
    <w:lvl w:ilvl="2">
      <w:start w:val="0"/>
      <w:numFmt w:val="bullet"/>
      <w:lvlText w:val="•"/>
      <w:lvlJc w:val="left"/>
      <w:pPr>
        <w:ind w:left="2273" w:hanging="560"/>
      </w:pPr>
      <w:rPr>
        <w:rFonts w:hint="default"/>
      </w:rPr>
    </w:lvl>
    <w:lvl w:ilvl="3">
      <w:start w:val="0"/>
      <w:numFmt w:val="bullet"/>
      <w:lvlText w:val="•"/>
      <w:lvlJc w:val="left"/>
      <w:pPr>
        <w:ind w:left="3219" w:hanging="560"/>
      </w:pPr>
      <w:rPr>
        <w:rFonts w:hint="default"/>
      </w:rPr>
    </w:lvl>
    <w:lvl w:ilvl="4">
      <w:start w:val="0"/>
      <w:numFmt w:val="bullet"/>
      <w:lvlText w:val="•"/>
      <w:lvlJc w:val="left"/>
      <w:pPr>
        <w:ind w:left="4166" w:hanging="560"/>
      </w:pPr>
      <w:rPr>
        <w:rFonts w:hint="default"/>
      </w:rPr>
    </w:lvl>
    <w:lvl w:ilvl="5">
      <w:start w:val="0"/>
      <w:numFmt w:val="bullet"/>
      <w:lvlText w:val="•"/>
      <w:lvlJc w:val="left"/>
      <w:pPr>
        <w:ind w:left="5113" w:hanging="560"/>
      </w:pPr>
      <w:rPr>
        <w:rFonts w:hint="default"/>
      </w:rPr>
    </w:lvl>
    <w:lvl w:ilvl="6">
      <w:start w:val="0"/>
      <w:numFmt w:val="bullet"/>
      <w:lvlText w:val="•"/>
      <w:lvlJc w:val="left"/>
      <w:pPr>
        <w:ind w:left="6059" w:hanging="560"/>
      </w:pPr>
      <w:rPr>
        <w:rFonts w:hint="default"/>
      </w:rPr>
    </w:lvl>
    <w:lvl w:ilvl="7">
      <w:start w:val="0"/>
      <w:numFmt w:val="bullet"/>
      <w:lvlText w:val="•"/>
      <w:lvlJc w:val="left"/>
      <w:pPr>
        <w:ind w:left="7006" w:hanging="560"/>
      </w:pPr>
      <w:rPr>
        <w:rFonts w:hint="default"/>
      </w:rPr>
    </w:lvl>
    <w:lvl w:ilvl="8">
      <w:start w:val="0"/>
      <w:numFmt w:val="bullet"/>
      <w:lvlText w:val="•"/>
      <w:lvlJc w:val="left"/>
      <w:pPr>
        <w:ind w:left="7952" w:hanging="560"/>
      </w:pPr>
      <w:rPr>
        <w:rFonts w:hint="default"/>
      </w:rPr>
    </w:lvl>
  </w:abstractNum>
  <w:abstractNum w:abstractNumId="12">
    <w:multiLevelType w:val="hybridMultilevel"/>
    <w:lvl w:ilvl="0">
      <w:start w:val="1"/>
      <w:numFmt w:val="decimal"/>
      <w:lvlText w:val="[%1]"/>
      <w:lvlJc w:val="left"/>
      <w:pPr>
        <w:ind w:left="518" w:hanging="336"/>
        <w:jc w:val="right"/>
      </w:pPr>
      <w:rPr>
        <w:rFonts w:hint="default" w:ascii="Times New Roman" w:hAnsi="Times New Roman" w:eastAsia="Times New Roman" w:cs="Times New Roman"/>
        <w:spacing w:val="-1"/>
        <w:w w:val="100"/>
        <w:sz w:val="20"/>
        <w:szCs w:val="20"/>
      </w:rPr>
    </w:lvl>
    <w:lvl w:ilvl="1">
      <w:start w:val="0"/>
      <w:numFmt w:val="bullet"/>
      <w:lvlText w:val="•"/>
      <w:lvlJc w:val="left"/>
      <w:pPr>
        <w:ind w:left="1440" w:hanging="336"/>
      </w:pPr>
      <w:rPr>
        <w:rFonts w:hint="default"/>
      </w:rPr>
    </w:lvl>
    <w:lvl w:ilvl="2">
      <w:start w:val="0"/>
      <w:numFmt w:val="bullet"/>
      <w:lvlText w:val="•"/>
      <w:lvlJc w:val="left"/>
      <w:pPr>
        <w:ind w:left="2361" w:hanging="336"/>
      </w:pPr>
      <w:rPr>
        <w:rFonts w:hint="default"/>
      </w:rPr>
    </w:lvl>
    <w:lvl w:ilvl="3">
      <w:start w:val="0"/>
      <w:numFmt w:val="bullet"/>
      <w:lvlText w:val="•"/>
      <w:lvlJc w:val="left"/>
      <w:pPr>
        <w:ind w:left="3281" w:hanging="336"/>
      </w:pPr>
      <w:rPr>
        <w:rFonts w:hint="default"/>
      </w:rPr>
    </w:lvl>
    <w:lvl w:ilvl="4">
      <w:start w:val="0"/>
      <w:numFmt w:val="bullet"/>
      <w:lvlText w:val="•"/>
      <w:lvlJc w:val="left"/>
      <w:pPr>
        <w:ind w:left="4202" w:hanging="336"/>
      </w:pPr>
      <w:rPr>
        <w:rFonts w:hint="default"/>
      </w:rPr>
    </w:lvl>
    <w:lvl w:ilvl="5">
      <w:start w:val="0"/>
      <w:numFmt w:val="bullet"/>
      <w:lvlText w:val="•"/>
      <w:lvlJc w:val="left"/>
      <w:pPr>
        <w:ind w:left="5123" w:hanging="336"/>
      </w:pPr>
      <w:rPr>
        <w:rFonts w:hint="default"/>
      </w:rPr>
    </w:lvl>
    <w:lvl w:ilvl="6">
      <w:start w:val="0"/>
      <w:numFmt w:val="bullet"/>
      <w:lvlText w:val="•"/>
      <w:lvlJc w:val="left"/>
      <w:pPr>
        <w:ind w:left="6043" w:hanging="336"/>
      </w:pPr>
      <w:rPr>
        <w:rFonts w:hint="default"/>
      </w:rPr>
    </w:lvl>
    <w:lvl w:ilvl="7">
      <w:start w:val="0"/>
      <w:numFmt w:val="bullet"/>
      <w:lvlText w:val="•"/>
      <w:lvlJc w:val="left"/>
      <w:pPr>
        <w:ind w:left="6964" w:hanging="336"/>
      </w:pPr>
      <w:rPr>
        <w:rFonts w:hint="default"/>
      </w:rPr>
    </w:lvl>
    <w:lvl w:ilvl="8">
      <w:start w:val="0"/>
      <w:numFmt w:val="bullet"/>
      <w:lvlText w:val="•"/>
      <w:lvlJc w:val="left"/>
      <w:pPr>
        <w:ind w:left="7884" w:hanging="336"/>
      </w:pPr>
      <w:rPr>
        <w:rFonts w:hint="default"/>
      </w:rPr>
    </w:lvl>
  </w:abstractNum>
  <w:abstractNum w:abstractNumId="11">
    <w:multiLevelType w:val="hybridMultilevel"/>
    <w:lvl w:ilvl="0">
      <w:start w:val="4"/>
      <w:numFmt w:val="decimal"/>
      <w:lvlText w:val="%1."/>
      <w:lvlJc w:val="left"/>
      <w:pPr>
        <w:ind w:left="1498" w:hanging="420"/>
        <w:jc w:val="left"/>
      </w:pPr>
      <w:rPr>
        <w:rFonts w:hint="default" w:ascii="微软雅黑" w:hAnsi="微软雅黑" w:eastAsia="微软雅黑" w:cs="微软雅黑"/>
        <w:b/>
        <w:bCs/>
        <w:w w:val="110"/>
        <w:sz w:val="28"/>
        <w:szCs w:val="28"/>
      </w:rPr>
    </w:lvl>
    <w:lvl w:ilvl="1">
      <w:start w:val="1"/>
      <w:numFmt w:val="decimal"/>
      <w:lvlText w:val="%1.%2"/>
      <w:lvlJc w:val="left"/>
      <w:pPr>
        <w:ind w:left="1489" w:hanging="560"/>
        <w:jc w:val="left"/>
      </w:pPr>
      <w:rPr>
        <w:rFonts w:hint="default" w:ascii="微软雅黑" w:hAnsi="微软雅黑" w:eastAsia="微软雅黑" w:cs="微软雅黑"/>
        <w:b/>
        <w:bCs/>
        <w:w w:val="98"/>
        <w:sz w:val="28"/>
        <w:szCs w:val="28"/>
      </w:rPr>
    </w:lvl>
    <w:lvl w:ilvl="2">
      <w:start w:val="0"/>
      <w:numFmt w:val="bullet"/>
      <w:lvlText w:val="•"/>
      <w:lvlJc w:val="left"/>
      <w:pPr>
        <w:ind w:left="2411" w:hanging="560"/>
      </w:pPr>
      <w:rPr>
        <w:rFonts w:hint="default"/>
      </w:rPr>
    </w:lvl>
    <w:lvl w:ilvl="3">
      <w:start w:val="0"/>
      <w:numFmt w:val="bullet"/>
      <w:lvlText w:val="•"/>
      <w:lvlJc w:val="left"/>
      <w:pPr>
        <w:ind w:left="3323" w:hanging="560"/>
      </w:pPr>
      <w:rPr>
        <w:rFonts w:hint="default"/>
      </w:rPr>
    </w:lvl>
    <w:lvl w:ilvl="4">
      <w:start w:val="0"/>
      <w:numFmt w:val="bullet"/>
      <w:lvlText w:val="•"/>
      <w:lvlJc w:val="left"/>
      <w:pPr>
        <w:ind w:left="4235" w:hanging="560"/>
      </w:pPr>
      <w:rPr>
        <w:rFonts w:hint="default"/>
      </w:rPr>
    </w:lvl>
    <w:lvl w:ilvl="5">
      <w:start w:val="0"/>
      <w:numFmt w:val="bullet"/>
      <w:lvlText w:val="•"/>
      <w:lvlJc w:val="left"/>
      <w:pPr>
        <w:ind w:left="5147" w:hanging="560"/>
      </w:pPr>
      <w:rPr>
        <w:rFonts w:hint="default"/>
      </w:rPr>
    </w:lvl>
    <w:lvl w:ilvl="6">
      <w:start w:val="0"/>
      <w:numFmt w:val="bullet"/>
      <w:lvlText w:val="•"/>
      <w:lvlJc w:val="left"/>
      <w:pPr>
        <w:ind w:left="6058" w:hanging="560"/>
      </w:pPr>
      <w:rPr>
        <w:rFonts w:hint="default"/>
      </w:rPr>
    </w:lvl>
    <w:lvl w:ilvl="7">
      <w:start w:val="0"/>
      <w:numFmt w:val="bullet"/>
      <w:lvlText w:val="•"/>
      <w:lvlJc w:val="left"/>
      <w:pPr>
        <w:ind w:left="6970" w:hanging="560"/>
      </w:pPr>
      <w:rPr>
        <w:rFonts w:hint="default"/>
      </w:rPr>
    </w:lvl>
    <w:lvl w:ilvl="8">
      <w:start w:val="0"/>
      <w:numFmt w:val="bullet"/>
      <w:lvlText w:val="•"/>
      <w:lvlJc w:val="left"/>
      <w:pPr>
        <w:ind w:left="7882" w:hanging="560"/>
      </w:pPr>
      <w:rPr>
        <w:rFonts w:hint="default"/>
      </w:rPr>
    </w:lvl>
  </w:abstractNum>
  <w:abstractNum w:abstractNumId="10">
    <w:multiLevelType w:val="hybridMultilevel"/>
    <w:lvl w:ilvl="0">
      <w:start w:val="1"/>
      <w:numFmt w:val="decimal"/>
      <w:lvlText w:val="%1."/>
      <w:lvlJc w:val="left"/>
      <w:pPr>
        <w:ind w:left="799" w:hanging="281"/>
        <w:jc w:val="right"/>
      </w:pPr>
      <w:rPr>
        <w:rFonts w:hint="default" w:ascii="微软雅黑" w:hAnsi="微软雅黑" w:eastAsia="微软雅黑" w:cs="微软雅黑"/>
        <w:b/>
        <w:bCs/>
        <w:w w:val="110"/>
        <w:sz w:val="26"/>
        <w:szCs w:val="26"/>
      </w:rPr>
    </w:lvl>
    <w:lvl w:ilvl="1">
      <w:start w:val="1"/>
      <w:numFmt w:val="decimal"/>
      <w:lvlText w:val="%1.%2"/>
      <w:lvlJc w:val="left"/>
      <w:pPr>
        <w:ind w:left="1376" w:hanging="560"/>
        <w:jc w:val="right"/>
      </w:pPr>
      <w:rPr>
        <w:rFonts w:hint="default" w:ascii="微软雅黑" w:hAnsi="微软雅黑" w:eastAsia="微软雅黑" w:cs="微软雅黑"/>
        <w:b/>
        <w:bCs/>
        <w:w w:val="98"/>
        <w:sz w:val="28"/>
        <w:szCs w:val="28"/>
      </w:rPr>
    </w:lvl>
    <w:lvl w:ilvl="2">
      <w:start w:val="0"/>
      <w:numFmt w:val="bullet"/>
      <w:lvlText w:val="•"/>
      <w:lvlJc w:val="left"/>
      <w:pPr>
        <w:ind w:left="1640" w:hanging="560"/>
      </w:pPr>
      <w:rPr>
        <w:rFonts w:hint="default"/>
      </w:rPr>
    </w:lvl>
    <w:lvl w:ilvl="3">
      <w:start w:val="0"/>
      <w:numFmt w:val="bullet"/>
      <w:lvlText w:val="•"/>
      <w:lvlJc w:val="left"/>
      <w:pPr>
        <w:ind w:left="2678" w:hanging="560"/>
      </w:pPr>
      <w:rPr>
        <w:rFonts w:hint="default"/>
      </w:rPr>
    </w:lvl>
    <w:lvl w:ilvl="4">
      <w:start w:val="0"/>
      <w:numFmt w:val="bullet"/>
      <w:lvlText w:val="•"/>
      <w:lvlJc w:val="left"/>
      <w:pPr>
        <w:ind w:left="3716" w:hanging="560"/>
      </w:pPr>
      <w:rPr>
        <w:rFonts w:hint="default"/>
      </w:rPr>
    </w:lvl>
    <w:lvl w:ilvl="5">
      <w:start w:val="0"/>
      <w:numFmt w:val="bullet"/>
      <w:lvlText w:val="•"/>
      <w:lvlJc w:val="left"/>
      <w:pPr>
        <w:ind w:left="4754" w:hanging="560"/>
      </w:pPr>
      <w:rPr>
        <w:rFonts w:hint="default"/>
      </w:rPr>
    </w:lvl>
    <w:lvl w:ilvl="6">
      <w:start w:val="0"/>
      <w:numFmt w:val="bullet"/>
      <w:lvlText w:val="•"/>
      <w:lvlJc w:val="left"/>
      <w:pPr>
        <w:ind w:left="5793" w:hanging="560"/>
      </w:pPr>
      <w:rPr>
        <w:rFonts w:hint="default"/>
      </w:rPr>
    </w:lvl>
    <w:lvl w:ilvl="7">
      <w:start w:val="0"/>
      <w:numFmt w:val="bullet"/>
      <w:lvlText w:val="•"/>
      <w:lvlJc w:val="left"/>
      <w:pPr>
        <w:ind w:left="6831" w:hanging="560"/>
      </w:pPr>
      <w:rPr>
        <w:rFonts w:hint="default"/>
      </w:rPr>
    </w:lvl>
    <w:lvl w:ilvl="8">
      <w:start w:val="0"/>
      <w:numFmt w:val="bullet"/>
      <w:lvlText w:val="•"/>
      <w:lvlJc w:val="left"/>
      <w:pPr>
        <w:ind w:left="7869" w:hanging="560"/>
      </w:pPr>
      <w:rPr>
        <w:rFonts w:hint="default"/>
      </w:rPr>
    </w:lvl>
  </w:abstractNum>
  <w:abstractNum w:abstractNumId="9">
    <w:multiLevelType w:val="hybridMultilevel"/>
    <w:lvl w:ilvl="0">
      <w:start w:val="2"/>
      <w:numFmt w:val="decimal"/>
      <w:lvlText w:val="%1"/>
      <w:lvlJc w:val="left"/>
      <w:pPr>
        <w:ind w:left="1079" w:hanging="561"/>
        <w:jc w:val="left"/>
      </w:pPr>
      <w:rPr>
        <w:rFonts w:hint="default"/>
      </w:rPr>
    </w:lvl>
    <w:lvl w:ilvl="1">
      <w:start w:val="3"/>
      <w:numFmt w:val="decimal"/>
      <w:lvlText w:val="%1.%2."/>
      <w:lvlJc w:val="left"/>
      <w:pPr>
        <w:ind w:left="1079" w:hanging="561"/>
        <w:jc w:val="left"/>
      </w:pPr>
      <w:rPr>
        <w:rFonts w:hint="default" w:ascii="微软雅黑" w:hAnsi="微软雅黑" w:eastAsia="微软雅黑" w:cs="微软雅黑"/>
        <w:b/>
        <w:bCs/>
        <w:w w:val="110"/>
        <w:sz w:val="26"/>
        <w:szCs w:val="26"/>
      </w:rPr>
    </w:lvl>
    <w:lvl w:ilvl="2">
      <w:start w:val="1"/>
      <w:numFmt w:val="decimal"/>
      <w:lvlText w:val="%1.%2.%3"/>
      <w:lvlJc w:val="left"/>
      <w:pPr>
        <w:ind w:left="1639" w:hanging="701"/>
        <w:jc w:val="right"/>
      </w:pPr>
      <w:rPr>
        <w:rFonts w:hint="default" w:ascii="微软雅黑" w:hAnsi="微软雅黑" w:eastAsia="微软雅黑" w:cs="微软雅黑"/>
        <w:b/>
        <w:bCs/>
        <w:w w:val="103"/>
        <w:sz w:val="26"/>
        <w:szCs w:val="26"/>
      </w:rPr>
    </w:lvl>
    <w:lvl w:ilvl="3">
      <w:start w:val="0"/>
      <w:numFmt w:val="bullet"/>
      <w:lvlText w:val="•"/>
      <w:lvlJc w:val="left"/>
      <w:pPr>
        <w:ind w:left="3432" w:hanging="701"/>
      </w:pPr>
      <w:rPr>
        <w:rFonts w:hint="default"/>
      </w:rPr>
    </w:lvl>
    <w:lvl w:ilvl="4">
      <w:start w:val="0"/>
      <w:numFmt w:val="bullet"/>
      <w:lvlText w:val="•"/>
      <w:lvlJc w:val="left"/>
      <w:pPr>
        <w:ind w:left="4328" w:hanging="701"/>
      </w:pPr>
      <w:rPr>
        <w:rFonts w:hint="default"/>
      </w:rPr>
    </w:lvl>
    <w:lvl w:ilvl="5">
      <w:start w:val="0"/>
      <w:numFmt w:val="bullet"/>
      <w:lvlText w:val="•"/>
      <w:lvlJc w:val="left"/>
      <w:pPr>
        <w:ind w:left="5224" w:hanging="701"/>
      </w:pPr>
      <w:rPr>
        <w:rFonts w:hint="default"/>
      </w:rPr>
    </w:lvl>
    <w:lvl w:ilvl="6">
      <w:start w:val="0"/>
      <w:numFmt w:val="bullet"/>
      <w:lvlText w:val="•"/>
      <w:lvlJc w:val="left"/>
      <w:pPr>
        <w:ind w:left="6121" w:hanging="701"/>
      </w:pPr>
      <w:rPr>
        <w:rFonts w:hint="default"/>
      </w:rPr>
    </w:lvl>
    <w:lvl w:ilvl="7">
      <w:start w:val="0"/>
      <w:numFmt w:val="bullet"/>
      <w:lvlText w:val="•"/>
      <w:lvlJc w:val="left"/>
      <w:pPr>
        <w:ind w:left="7017" w:hanging="701"/>
      </w:pPr>
      <w:rPr>
        <w:rFonts w:hint="default"/>
      </w:rPr>
    </w:lvl>
    <w:lvl w:ilvl="8">
      <w:start w:val="0"/>
      <w:numFmt w:val="bullet"/>
      <w:lvlText w:val="•"/>
      <w:lvlJc w:val="left"/>
      <w:pPr>
        <w:ind w:left="7913" w:hanging="701"/>
      </w:pPr>
      <w:rPr>
        <w:rFonts w:hint="default"/>
      </w:rPr>
    </w:lvl>
  </w:abstractNum>
  <w:abstractNum w:abstractNumId="8">
    <w:multiLevelType w:val="hybridMultilevel"/>
    <w:lvl w:ilvl="0">
      <w:start w:val="1"/>
      <w:numFmt w:val="decimal"/>
      <w:lvlText w:val="%1."/>
      <w:lvlJc w:val="left"/>
      <w:pPr>
        <w:ind w:left="799" w:hanging="281"/>
        <w:jc w:val="left"/>
      </w:pPr>
      <w:rPr>
        <w:rFonts w:hint="default" w:ascii="微软雅黑" w:hAnsi="微软雅黑" w:eastAsia="微软雅黑" w:cs="微软雅黑"/>
        <w:b/>
        <w:bCs/>
        <w:w w:val="110"/>
        <w:sz w:val="26"/>
        <w:szCs w:val="26"/>
      </w:rPr>
    </w:lvl>
    <w:lvl w:ilvl="1">
      <w:start w:val="1"/>
      <w:numFmt w:val="decimal"/>
      <w:lvlText w:val="%1.%2"/>
      <w:lvlJc w:val="left"/>
      <w:pPr>
        <w:ind w:left="1078" w:hanging="560"/>
        <w:jc w:val="left"/>
      </w:pPr>
      <w:rPr>
        <w:rFonts w:hint="default" w:ascii="微软雅黑" w:hAnsi="微软雅黑" w:eastAsia="微软雅黑" w:cs="微软雅黑"/>
        <w:b/>
        <w:bCs/>
        <w:w w:val="98"/>
        <w:sz w:val="28"/>
        <w:szCs w:val="28"/>
      </w:rPr>
    </w:lvl>
    <w:lvl w:ilvl="2">
      <w:start w:val="0"/>
      <w:numFmt w:val="bullet"/>
      <w:lvlText w:val="•"/>
      <w:lvlJc w:val="left"/>
      <w:pPr>
        <w:ind w:left="2038" w:hanging="560"/>
      </w:pPr>
      <w:rPr>
        <w:rFonts w:hint="default"/>
      </w:rPr>
    </w:lvl>
    <w:lvl w:ilvl="3">
      <w:start w:val="0"/>
      <w:numFmt w:val="bullet"/>
      <w:lvlText w:val="•"/>
      <w:lvlJc w:val="left"/>
      <w:pPr>
        <w:ind w:left="2996" w:hanging="560"/>
      </w:pPr>
      <w:rPr>
        <w:rFonts w:hint="default"/>
      </w:rPr>
    </w:lvl>
    <w:lvl w:ilvl="4">
      <w:start w:val="0"/>
      <w:numFmt w:val="bullet"/>
      <w:lvlText w:val="•"/>
      <w:lvlJc w:val="left"/>
      <w:pPr>
        <w:ind w:left="3955" w:hanging="560"/>
      </w:pPr>
      <w:rPr>
        <w:rFonts w:hint="default"/>
      </w:rPr>
    </w:lvl>
    <w:lvl w:ilvl="5">
      <w:start w:val="0"/>
      <w:numFmt w:val="bullet"/>
      <w:lvlText w:val="•"/>
      <w:lvlJc w:val="left"/>
      <w:pPr>
        <w:ind w:left="4913" w:hanging="560"/>
      </w:pPr>
      <w:rPr>
        <w:rFonts w:hint="default"/>
      </w:rPr>
    </w:lvl>
    <w:lvl w:ilvl="6">
      <w:start w:val="0"/>
      <w:numFmt w:val="bullet"/>
      <w:lvlText w:val="•"/>
      <w:lvlJc w:val="left"/>
      <w:pPr>
        <w:ind w:left="5872" w:hanging="560"/>
      </w:pPr>
      <w:rPr>
        <w:rFonts w:hint="default"/>
      </w:rPr>
    </w:lvl>
    <w:lvl w:ilvl="7">
      <w:start w:val="0"/>
      <w:numFmt w:val="bullet"/>
      <w:lvlText w:val="•"/>
      <w:lvlJc w:val="left"/>
      <w:pPr>
        <w:ind w:left="6830" w:hanging="560"/>
      </w:pPr>
      <w:rPr>
        <w:rFonts w:hint="default"/>
      </w:rPr>
    </w:lvl>
    <w:lvl w:ilvl="8">
      <w:start w:val="0"/>
      <w:numFmt w:val="bullet"/>
      <w:lvlText w:val="•"/>
      <w:lvlJc w:val="left"/>
      <w:pPr>
        <w:ind w:left="7789" w:hanging="560"/>
      </w:pPr>
      <w:rPr>
        <w:rFonts w:hint="default"/>
      </w:rPr>
    </w:lvl>
  </w:abstractNum>
  <w:abstractNum w:abstractNumId="7">
    <w:multiLevelType w:val="hybridMultilevel"/>
    <w:lvl w:ilvl="0">
      <w:start w:val="3"/>
      <w:numFmt w:val="decimal"/>
      <w:lvlText w:val="%1"/>
      <w:lvlJc w:val="left"/>
      <w:pPr>
        <w:ind w:left="1078" w:hanging="560"/>
        <w:jc w:val="left"/>
      </w:pPr>
      <w:rPr>
        <w:rFonts w:hint="default"/>
      </w:rPr>
    </w:lvl>
    <w:lvl w:ilvl="1">
      <w:start w:val="4"/>
      <w:numFmt w:val="decimal"/>
      <w:lvlText w:val="%1.%2"/>
      <w:lvlJc w:val="left"/>
      <w:pPr>
        <w:ind w:left="1078" w:hanging="560"/>
        <w:jc w:val="left"/>
      </w:pPr>
      <w:rPr>
        <w:rFonts w:hint="default" w:ascii="微软雅黑" w:hAnsi="微软雅黑" w:eastAsia="微软雅黑" w:cs="微软雅黑"/>
        <w:b/>
        <w:bCs/>
        <w:w w:val="98"/>
        <w:sz w:val="28"/>
        <w:szCs w:val="28"/>
      </w:rPr>
    </w:lvl>
    <w:lvl w:ilvl="2">
      <w:start w:val="0"/>
      <w:numFmt w:val="bullet"/>
      <w:lvlText w:val="•"/>
      <w:lvlJc w:val="left"/>
      <w:pPr>
        <w:ind w:left="2797" w:hanging="560"/>
      </w:pPr>
      <w:rPr>
        <w:rFonts w:hint="default"/>
      </w:rPr>
    </w:lvl>
    <w:lvl w:ilvl="3">
      <w:start w:val="0"/>
      <w:numFmt w:val="bullet"/>
      <w:lvlText w:val="•"/>
      <w:lvlJc w:val="left"/>
      <w:pPr>
        <w:ind w:left="3655" w:hanging="560"/>
      </w:pPr>
      <w:rPr>
        <w:rFonts w:hint="default"/>
      </w:rPr>
    </w:lvl>
    <w:lvl w:ilvl="4">
      <w:start w:val="0"/>
      <w:numFmt w:val="bullet"/>
      <w:lvlText w:val="•"/>
      <w:lvlJc w:val="left"/>
      <w:pPr>
        <w:ind w:left="4514" w:hanging="560"/>
      </w:pPr>
      <w:rPr>
        <w:rFonts w:hint="default"/>
      </w:rPr>
    </w:lvl>
    <w:lvl w:ilvl="5">
      <w:start w:val="0"/>
      <w:numFmt w:val="bullet"/>
      <w:lvlText w:val="•"/>
      <w:lvlJc w:val="left"/>
      <w:pPr>
        <w:ind w:left="5373" w:hanging="560"/>
      </w:pPr>
      <w:rPr>
        <w:rFonts w:hint="default"/>
      </w:rPr>
    </w:lvl>
    <w:lvl w:ilvl="6">
      <w:start w:val="0"/>
      <w:numFmt w:val="bullet"/>
      <w:lvlText w:val="•"/>
      <w:lvlJc w:val="left"/>
      <w:pPr>
        <w:ind w:left="6231" w:hanging="560"/>
      </w:pPr>
      <w:rPr>
        <w:rFonts w:hint="default"/>
      </w:rPr>
    </w:lvl>
    <w:lvl w:ilvl="7">
      <w:start w:val="0"/>
      <w:numFmt w:val="bullet"/>
      <w:lvlText w:val="•"/>
      <w:lvlJc w:val="left"/>
      <w:pPr>
        <w:ind w:left="7090" w:hanging="560"/>
      </w:pPr>
      <w:rPr>
        <w:rFonts w:hint="default"/>
      </w:rPr>
    </w:lvl>
    <w:lvl w:ilvl="8">
      <w:start w:val="0"/>
      <w:numFmt w:val="bullet"/>
      <w:lvlText w:val="•"/>
      <w:lvlJc w:val="left"/>
      <w:pPr>
        <w:ind w:left="7948" w:hanging="560"/>
      </w:pPr>
      <w:rPr>
        <w:rFonts w:hint="default"/>
      </w:rPr>
    </w:lvl>
  </w:abstractNum>
  <w:abstractNum w:abstractNumId="6">
    <w:multiLevelType w:val="hybridMultilevel"/>
    <w:lvl w:ilvl="0">
      <w:start w:val="2"/>
      <w:numFmt w:val="decimal"/>
      <w:lvlText w:val="%1"/>
      <w:lvlJc w:val="left"/>
      <w:pPr>
        <w:ind w:left="728" w:hanging="210"/>
        <w:jc w:val="left"/>
      </w:pPr>
      <w:rPr>
        <w:rFonts w:hint="default" w:ascii="微软雅黑" w:hAnsi="微软雅黑" w:eastAsia="微软雅黑" w:cs="微软雅黑"/>
        <w:b/>
        <w:bCs/>
        <w:w w:val="81"/>
        <w:sz w:val="28"/>
        <w:szCs w:val="28"/>
      </w:rPr>
    </w:lvl>
    <w:lvl w:ilvl="1">
      <w:start w:val="1"/>
      <w:numFmt w:val="decimal"/>
      <w:lvlText w:val="%1.%2"/>
      <w:lvlJc w:val="left"/>
      <w:pPr>
        <w:ind w:left="1078" w:hanging="560"/>
        <w:jc w:val="left"/>
      </w:pPr>
      <w:rPr>
        <w:rFonts w:hint="default" w:ascii="微软雅黑" w:hAnsi="微软雅黑" w:eastAsia="微软雅黑" w:cs="微软雅黑"/>
        <w:b/>
        <w:bCs/>
        <w:w w:val="98"/>
        <w:sz w:val="28"/>
        <w:szCs w:val="28"/>
      </w:rPr>
    </w:lvl>
    <w:lvl w:ilvl="2">
      <w:start w:val="0"/>
      <w:numFmt w:val="bullet"/>
      <w:lvlText w:val="•"/>
      <w:lvlJc w:val="left"/>
      <w:pPr>
        <w:ind w:left="2020" w:hanging="560"/>
      </w:pPr>
      <w:rPr>
        <w:rFonts w:hint="default"/>
      </w:rPr>
    </w:lvl>
    <w:lvl w:ilvl="3">
      <w:start w:val="0"/>
      <w:numFmt w:val="bullet"/>
      <w:lvlText w:val="•"/>
      <w:lvlJc w:val="left"/>
      <w:pPr>
        <w:ind w:left="2961" w:hanging="560"/>
      </w:pPr>
      <w:rPr>
        <w:rFonts w:hint="default"/>
      </w:rPr>
    </w:lvl>
    <w:lvl w:ilvl="4">
      <w:start w:val="0"/>
      <w:numFmt w:val="bullet"/>
      <w:lvlText w:val="•"/>
      <w:lvlJc w:val="left"/>
      <w:pPr>
        <w:ind w:left="3902" w:hanging="560"/>
      </w:pPr>
      <w:rPr>
        <w:rFonts w:hint="default"/>
      </w:rPr>
    </w:lvl>
    <w:lvl w:ilvl="5">
      <w:start w:val="0"/>
      <w:numFmt w:val="bullet"/>
      <w:lvlText w:val="•"/>
      <w:lvlJc w:val="left"/>
      <w:pPr>
        <w:ind w:left="4842" w:hanging="560"/>
      </w:pPr>
      <w:rPr>
        <w:rFonts w:hint="default"/>
      </w:rPr>
    </w:lvl>
    <w:lvl w:ilvl="6">
      <w:start w:val="0"/>
      <w:numFmt w:val="bullet"/>
      <w:lvlText w:val="•"/>
      <w:lvlJc w:val="left"/>
      <w:pPr>
        <w:ind w:left="5783" w:hanging="560"/>
      </w:pPr>
      <w:rPr>
        <w:rFonts w:hint="default"/>
      </w:rPr>
    </w:lvl>
    <w:lvl w:ilvl="7">
      <w:start w:val="0"/>
      <w:numFmt w:val="bullet"/>
      <w:lvlText w:val="•"/>
      <w:lvlJc w:val="left"/>
      <w:pPr>
        <w:ind w:left="6724" w:hanging="560"/>
      </w:pPr>
      <w:rPr>
        <w:rFonts w:hint="default"/>
      </w:rPr>
    </w:lvl>
    <w:lvl w:ilvl="8">
      <w:start w:val="0"/>
      <w:numFmt w:val="bullet"/>
      <w:lvlText w:val="•"/>
      <w:lvlJc w:val="left"/>
      <w:pPr>
        <w:ind w:left="7664" w:hanging="560"/>
      </w:pPr>
      <w:rPr>
        <w:rFonts w:hint="default"/>
      </w:rPr>
    </w:lvl>
  </w:abstractNum>
  <w:abstractNum w:abstractNumId="5">
    <w:multiLevelType w:val="hybridMultilevel"/>
    <w:lvl w:ilvl="0">
      <w:start w:val="8"/>
      <w:numFmt w:val="decimal"/>
      <w:lvlText w:val="（%1）"/>
      <w:lvlJc w:val="left"/>
      <w:pPr>
        <w:ind w:left="518" w:hanging="701"/>
        <w:jc w:val="left"/>
      </w:pPr>
      <w:rPr>
        <w:rFonts w:hint="default" w:ascii="宋体" w:hAnsi="宋体" w:eastAsia="宋体" w:cs="宋体"/>
        <w:spacing w:val="-70"/>
        <w:w w:val="100"/>
        <w:sz w:val="26"/>
        <w:szCs w:val="26"/>
      </w:rPr>
    </w:lvl>
    <w:lvl w:ilvl="1">
      <w:start w:val="0"/>
      <w:numFmt w:val="bullet"/>
      <w:lvlText w:val="•"/>
      <w:lvlJc w:val="left"/>
      <w:pPr>
        <w:ind w:left="1454" w:hanging="701"/>
      </w:pPr>
      <w:rPr>
        <w:rFonts w:hint="default"/>
      </w:rPr>
    </w:lvl>
    <w:lvl w:ilvl="2">
      <w:start w:val="0"/>
      <w:numFmt w:val="bullet"/>
      <w:lvlText w:val="•"/>
      <w:lvlJc w:val="left"/>
      <w:pPr>
        <w:ind w:left="2389" w:hanging="701"/>
      </w:pPr>
      <w:rPr>
        <w:rFonts w:hint="default"/>
      </w:rPr>
    </w:lvl>
    <w:lvl w:ilvl="3">
      <w:start w:val="0"/>
      <w:numFmt w:val="bullet"/>
      <w:lvlText w:val="•"/>
      <w:lvlJc w:val="left"/>
      <w:pPr>
        <w:ind w:left="3323" w:hanging="701"/>
      </w:pPr>
      <w:rPr>
        <w:rFonts w:hint="default"/>
      </w:rPr>
    </w:lvl>
    <w:lvl w:ilvl="4">
      <w:start w:val="0"/>
      <w:numFmt w:val="bullet"/>
      <w:lvlText w:val="•"/>
      <w:lvlJc w:val="left"/>
      <w:pPr>
        <w:ind w:left="4258" w:hanging="701"/>
      </w:pPr>
      <w:rPr>
        <w:rFonts w:hint="default"/>
      </w:rPr>
    </w:lvl>
    <w:lvl w:ilvl="5">
      <w:start w:val="0"/>
      <w:numFmt w:val="bullet"/>
      <w:lvlText w:val="•"/>
      <w:lvlJc w:val="left"/>
      <w:pPr>
        <w:ind w:left="5193" w:hanging="701"/>
      </w:pPr>
      <w:rPr>
        <w:rFonts w:hint="default"/>
      </w:rPr>
    </w:lvl>
    <w:lvl w:ilvl="6">
      <w:start w:val="0"/>
      <w:numFmt w:val="bullet"/>
      <w:lvlText w:val="•"/>
      <w:lvlJc w:val="left"/>
      <w:pPr>
        <w:ind w:left="6127" w:hanging="701"/>
      </w:pPr>
      <w:rPr>
        <w:rFonts w:hint="default"/>
      </w:rPr>
    </w:lvl>
    <w:lvl w:ilvl="7">
      <w:start w:val="0"/>
      <w:numFmt w:val="bullet"/>
      <w:lvlText w:val="•"/>
      <w:lvlJc w:val="left"/>
      <w:pPr>
        <w:ind w:left="7062" w:hanging="701"/>
      </w:pPr>
      <w:rPr>
        <w:rFonts w:hint="default"/>
      </w:rPr>
    </w:lvl>
    <w:lvl w:ilvl="8">
      <w:start w:val="0"/>
      <w:numFmt w:val="bullet"/>
      <w:lvlText w:val="•"/>
      <w:lvlJc w:val="left"/>
      <w:pPr>
        <w:ind w:left="7996" w:hanging="701"/>
      </w:pPr>
      <w:rPr>
        <w:rFonts w:hint="default"/>
      </w:rPr>
    </w:lvl>
  </w:abstractNum>
  <w:abstractNum w:abstractNumId="4">
    <w:multiLevelType w:val="hybridMultilevel"/>
    <w:lvl w:ilvl="0">
      <w:start w:val="1"/>
      <w:numFmt w:val="decimal"/>
      <w:lvlText w:val="%1."/>
      <w:lvlJc w:val="left"/>
      <w:pPr>
        <w:ind w:left="799" w:hanging="281"/>
        <w:jc w:val="left"/>
      </w:pPr>
      <w:rPr>
        <w:rFonts w:hint="default" w:ascii="微软雅黑" w:hAnsi="微软雅黑" w:eastAsia="微软雅黑" w:cs="微软雅黑"/>
        <w:b/>
        <w:bCs/>
        <w:w w:val="110"/>
        <w:sz w:val="26"/>
        <w:szCs w:val="26"/>
      </w:rPr>
    </w:lvl>
    <w:lvl w:ilvl="1">
      <w:start w:val="1"/>
      <w:numFmt w:val="decimal"/>
      <w:lvlText w:val="%1.%2"/>
      <w:lvlJc w:val="left"/>
      <w:pPr>
        <w:ind w:left="1078" w:hanging="560"/>
        <w:jc w:val="left"/>
      </w:pPr>
      <w:rPr>
        <w:rFonts w:hint="default" w:ascii="微软雅黑" w:hAnsi="微软雅黑" w:eastAsia="微软雅黑" w:cs="微软雅黑"/>
        <w:b/>
        <w:bCs/>
        <w:w w:val="98"/>
        <w:sz w:val="28"/>
        <w:szCs w:val="28"/>
      </w:rPr>
    </w:lvl>
    <w:lvl w:ilvl="2">
      <w:start w:val="0"/>
      <w:numFmt w:val="bullet"/>
      <w:lvlText w:val="•"/>
      <w:lvlJc w:val="left"/>
      <w:pPr>
        <w:ind w:left="2056" w:hanging="560"/>
      </w:pPr>
      <w:rPr>
        <w:rFonts w:hint="default"/>
      </w:rPr>
    </w:lvl>
    <w:lvl w:ilvl="3">
      <w:start w:val="0"/>
      <w:numFmt w:val="bullet"/>
      <w:lvlText w:val="•"/>
      <w:lvlJc w:val="left"/>
      <w:pPr>
        <w:ind w:left="3032" w:hanging="560"/>
      </w:pPr>
      <w:rPr>
        <w:rFonts w:hint="default"/>
      </w:rPr>
    </w:lvl>
    <w:lvl w:ilvl="4">
      <w:start w:val="0"/>
      <w:numFmt w:val="bullet"/>
      <w:lvlText w:val="•"/>
      <w:lvlJc w:val="left"/>
      <w:pPr>
        <w:ind w:left="4008" w:hanging="560"/>
      </w:pPr>
      <w:rPr>
        <w:rFonts w:hint="default"/>
      </w:rPr>
    </w:lvl>
    <w:lvl w:ilvl="5">
      <w:start w:val="0"/>
      <w:numFmt w:val="bullet"/>
      <w:lvlText w:val="•"/>
      <w:lvlJc w:val="left"/>
      <w:pPr>
        <w:ind w:left="4984" w:hanging="560"/>
      </w:pPr>
      <w:rPr>
        <w:rFonts w:hint="default"/>
      </w:rPr>
    </w:lvl>
    <w:lvl w:ilvl="6">
      <w:start w:val="0"/>
      <w:numFmt w:val="bullet"/>
      <w:lvlText w:val="•"/>
      <w:lvlJc w:val="left"/>
      <w:pPr>
        <w:ind w:left="5961" w:hanging="560"/>
      </w:pPr>
      <w:rPr>
        <w:rFonts w:hint="default"/>
      </w:rPr>
    </w:lvl>
    <w:lvl w:ilvl="7">
      <w:start w:val="0"/>
      <w:numFmt w:val="bullet"/>
      <w:lvlText w:val="•"/>
      <w:lvlJc w:val="left"/>
      <w:pPr>
        <w:ind w:left="6937" w:hanging="560"/>
      </w:pPr>
      <w:rPr>
        <w:rFonts w:hint="default"/>
      </w:rPr>
    </w:lvl>
    <w:lvl w:ilvl="8">
      <w:start w:val="0"/>
      <w:numFmt w:val="bullet"/>
      <w:lvlText w:val="•"/>
      <w:lvlJc w:val="left"/>
      <w:pPr>
        <w:ind w:left="7913" w:hanging="560"/>
      </w:pPr>
      <w:rPr>
        <w:rFonts w:hint="default"/>
      </w:rPr>
    </w:lvl>
  </w:abstractNum>
  <w:abstractNum w:abstractNumId="3">
    <w:multiLevelType w:val="hybridMultilevel"/>
    <w:lvl w:ilvl="0">
      <w:start w:val="2"/>
      <w:numFmt w:val="decimal"/>
      <w:lvlText w:val="%1"/>
      <w:lvlJc w:val="left"/>
      <w:pPr>
        <w:ind w:left="1008" w:hanging="490"/>
        <w:jc w:val="left"/>
      </w:pPr>
      <w:rPr>
        <w:rFonts w:hint="default"/>
      </w:rPr>
    </w:lvl>
    <w:lvl w:ilvl="1">
      <w:start w:val="1"/>
      <w:numFmt w:val="decimal"/>
      <w:lvlText w:val="%1.%2"/>
      <w:lvlJc w:val="left"/>
      <w:pPr>
        <w:ind w:left="1008" w:hanging="490"/>
        <w:jc w:val="left"/>
      </w:pPr>
      <w:rPr>
        <w:rFonts w:hint="default" w:ascii="微软雅黑" w:hAnsi="微软雅黑" w:eastAsia="微软雅黑" w:cs="微软雅黑"/>
        <w:b/>
        <w:bCs/>
        <w:w w:val="98"/>
        <w:sz w:val="28"/>
        <w:szCs w:val="28"/>
      </w:rPr>
    </w:lvl>
    <w:lvl w:ilvl="2">
      <w:start w:val="0"/>
      <w:numFmt w:val="bullet"/>
      <w:lvlText w:val="•"/>
      <w:lvlJc w:val="left"/>
      <w:pPr>
        <w:ind w:left="1949" w:hanging="490"/>
      </w:pPr>
      <w:rPr>
        <w:rFonts w:hint="default"/>
      </w:rPr>
    </w:lvl>
    <w:lvl w:ilvl="3">
      <w:start w:val="0"/>
      <w:numFmt w:val="bullet"/>
      <w:lvlText w:val="•"/>
      <w:lvlJc w:val="left"/>
      <w:pPr>
        <w:ind w:left="2899" w:hanging="490"/>
      </w:pPr>
      <w:rPr>
        <w:rFonts w:hint="default"/>
      </w:rPr>
    </w:lvl>
    <w:lvl w:ilvl="4">
      <w:start w:val="0"/>
      <w:numFmt w:val="bullet"/>
      <w:lvlText w:val="•"/>
      <w:lvlJc w:val="left"/>
      <w:pPr>
        <w:ind w:left="3848" w:hanging="490"/>
      </w:pPr>
      <w:rPr>
        <w:rFonts w:hint="default"/>
      </w:rPr>
    </w:lvl>
    <w:lvl w:ilvl="5">
      <w:start w:val="0"/>
      <w:numFmt w:val="bullet"/>
      <w:lvlText w:val="•"/>
      <w:lvlJc w:val="left"/>
      <w:pPr>
        <w:ind w:left="4798" w:hanging="490"/>
      </w:pPr>
      <w:rPr>
        <w:rFonts w:hint="default"/>
      </w:rPr>
    </w:lvl>
    <w:lvl w:ilvl="6">
      <w:start w:val="0"/>
      <w:numFmt w:val="bullet"/>
      <w:lvlText w:val="•"/>
      <w:lvlJc w:val="left"/>
      <w:pPr>
        <w:ind w:left="5747" w:hanging="490"/>
      </w:pPr>
      <w:rPr>
        <w:rFonts w:hint="default"/>
      </w:rPr>
    </w:lvl>
    <w:lvl w:ilvl="7">
      <w:start w:val="0"/>
      <w:numFmt w:val="bullet"/>
      <w:lvlText w:val="•"/>
      <w:lvlJc w:val="left"/>
      <w:pPr>
        <w:ind w:left="6697" w:hanging="490"/>
      </w:pPr>
      <w:rPr>
        <w:rFonts w:hint="default"/>
      </w:rPr>
    </w:lvl>
    <w:lvl w:ilvl="8">
      <w:start w:val="0"/>
      <w:numFmt w:val="bullet"/>
      <w:lvlText w:val="•"/>
      <w:lvlJc w:val="left"/>
      <w:pPr>
        <w:ind w:left="7646" w:hanging="490"/>
      </w:pPr>
      <w:rPr>
        <w:rFonts w:hint="default"/>
      </w:rPr>
    </w:lvl>
  </w:abstractNum>
  <w:abstractNum w:abstractNumId="2">
    <w:multiLevelType w:val="hybridMultilevel"/>
    <w:lvl w:ilvl="0">
      <w:start w:val="1"/>
      <w:numFmt w:val="decimal"/>
      <w:lvlText w:val="%1"/>
      <w:lvlJc w:val="left"/>
      <w:pPr>
        <w:ind w:left="939" w:hanging="421"/>
        <w:jc w:val="left"/>
      </w:pPr>
      <w:rPr>
        <w:rFonts w:hint="default"/>
      </w:rPr>
    </w:lvl>
    <w:lvl w:ilvl="1">
      <w:start w:val="3"/>
      <w:numFmt w:val="decimal"/>
      <w:lvlText w:val="%1.%2"/>
      <w:lvlJc w:val="left"/>
      <w:pPr>
        <w:ind w:left="939" w:hanging="421"/>
        <w:jc w:val="left"/>
      </w:pPr>
      <w:rPr>
        <w:rFonts w:hint="default" w:ascii="微软雅黑" w:hAnsi="微软雅黑" w:eastAsia="微软雅黑" w:cs="微软雅黑"/>
        <w:b/>
        <w:bCs/>
        <w:w w:val="98"/>
        <w:sz w:val="26"/>
        <w:szCs w:val="26"/>
      </w:rPr>
    </w:lvl>
    <w:lvl w:ilvl="2">
      <w:start w:val="0"/>
      <w:numFmt w:val="bullet"/>
      <w:lvlText w:val="•"/>
      <w:lvlJc w:val="left"/>
      <w:pPr>
        <w:ind w:left="2701" w:hanging="421"/>
      </w:pPr>
      <w:rPr>
        <w:rFonts w:hint="default"/>
      </w:rPr>
    </w:lvl>
    <w:lvl w:ilvl="3">
      <w:start w:val="0"/>
      <w:numFmt w:val="bullet"/>
      <w:lvlText w:val="•"/>
      <w:lvlJc w:val="left"/>
      <w:pPr>
        <w:ind w:left="3581" w:hanging="421"/>
      </w:pPr>
      <w:rPr>
        <w:rFonts w:hint="default"/>
      </w:rPr>
    </w:lvl>
    <w:lvl w:ilvl="4">
      <w:start w:val="0"/>
      <w:numFmt w:val="bullet"/>
      <w:lvlText w:val="•"/>
      <w:lvlJc w:val="left"/>
      <w:pPr>
        <w:ind w:left="4462" w:hanging="421"/>
      </w:pPr>
      <w:rPr>
        <w:rFonts w:hint="default"/>
      </w:rPr>
    </w:lvl>
    <w:lvl w:ilvl="5">
      <w:start w:val="0"/>
      <w:numFmt w:val="bullet"/>
      <w:lvlText w:val="•"/>
      <w:lvlJc w:val="left"/>
      <w:pPr>
        <w:ind w:left="5343" w:hanging="421"/>
      </w:pPr>
      <w:rPr>
        <w:rFonts w:hint="default"/>
      </w:rPr>
    </w:lvl>
    <w:lvl w:ilvl="6">
      <w:start w:val="0"/>
      <w:numFmt w:val="bullet"/>
      <w:lvlText w:val="•"/>
      <w:lvlJc w:val="left"/>
      <w:pPr>
        <w:ind w:left="6223" w:hanging="421"/>
      </w:pPr>
      <w:rPr>
        <w:rFonts w:hint="default"/>
      </w:rPr>
    </w:lvl>
    <w:lvl w:ilvl="7">
      <w:start w:val="0"/>
      <w:numFmt w:val="bullet"/>
      <w:lvlText w:val="•"/>
      <w:lvlJc w:val="left"/>
      <w:pPr>
        <w:ind w:left="7104" w:hanging="421"/>
      </w:pPr>
      <w:rPr>
        <w:rFonts w:hint="default"/>
      </w:rPr>
    </w:lvl>
    <w:lvl w:ilvl="8">
      <w:start w:val="0"/>
      <w:numFmt w:val="bullet"/>
      <w:lvlText w:val="•"/>
      <w:lvlJc w:val="left"/>
      <w:pPr>
        <w:ind w:left="7984" w:hanging="421"/>
      </w:pPr>
      <w:rPr>
        <w:rFonts w:hint="default"/>
      </w:rPr>
    </w:lvl>
  </w:abstractNum>
  <w:abstractNum w:abstractNumId="1">
    <w:multiLevelType w:val="hybridMultilevel"/>
    <w:lvl w:ilvl="0">
      <w:start w:val="1"/>
      <w:numFmt w:val="decimal"/>
      <w:lvlText w:val="%1"/>
      <w:lvlJc w:val="left"/>
      <w:pPr>
        <w:ind w:left="518" w:hanging="810"/>
        <w:jc w:val="left"/>
      </w:pPr>
      <w:rPr>
        <w:rFonts w:hint="default"/>
      </w:rPr>
    </w:lvl>
    <w:lvl w:ilvl="1">
      <w:start w:val="1"/>
      <w:numFmt w:val="decimal"/>
      <w:lvlText w:val="%1.%2."/>
      <w:lvlJc w:val="left"/>
      <w:pPr>
        <w:ind w:left="518" w:hanging="810"/>
        <w:jc w:val="left"/>
      </w:pPr>
      <w:rPr>
        <w:rFonts w:hint="default" w:ascii="微软雅黑" w:hAnsi="微软雅黑" w:eastAsia="微软雅黑" w:cs="微软雅黑"/>
        <w:b/>
        <w:bCs/>
        <w:w w:val="110"/>
        <w:sz w:val="28"/>
        <w:szCs w:val="28"/>
      </w:rPr>
    </w:lvl>
    <w:lvl w:ilvl="2">
      <w:start w:val="0"/>
      <w:numFmt w:val="bullet"/>
      <w:lvlText w:val="•"/>
      <w:lvlJc w:val="left"/>
      <w:pPr>
        <w:ind w:left="2405" w:hanging="810"/>
      </w:pPr>
      <w:rPr>
        <w:rFonts w:hint="default"/>
      </w:rPr>
    </w:lvl>
    <w:lvl w:ilvl="3">
      <w:start w:val="0"/>
      <w:numFmt w:val="bullet"/>
      <w:lvlText w:val="•"/>
      <w:lvlJc w:val="left"/>
      <w:pPr>
        <w:ind w:left="3347" w:hanging="810"/>
      </w:pPr>
      <w:rPr>
        <w:rFonts w:hint="default"/>
      </w:rPr>
    </w:lvl>
    <w:lvl w:ilvl="4">
      <w:start w:val="0"/>
      <w:numFmt w:val="bullet"/>
      <w:lvlText w:val="•"/>
      <w:lvlJc w:val="left"/>
      <w:pPr>
        <w:ind w:left="4290" w:hanging="810"/>
      </w:pPr>
      <w:rPr>
        <w:rFonts w:hint="default"/>
      </w:rPr>
    </w:lvl>
    <w:lvl w:ilvl="5">
      <w:start w:val="0"/>
      <w:numFmt w:val="bullet"/>
      <w:lvlText w:val="•"/>
      <w:lvlJc w:val="left"/>
      <w:pPr>
        <w:ind w:left="5233" w:hanging="810"/>
      </w:pPr>
      <w:rPr>
        <w:rFonts w:hint="default"/>
      </w:rPr>
    </w:lvl>
    <w:lvl w:ilvl="6">
      <w:start w:val="0"/>
      <w:numFmt w:val="bullet"/>
      <w:lvlText w:val="•"/>
      <w:lvlJc w:val="left"/>
      <w:pPr>
        <w:ind w:left="6175" w:hanging="810"/>
      </w:pPr>
      <w:rPr>
        <w:rFonts w:hint="default"/>
      </w:rPr>
    </w:lvl>
    <w:lvl w:ilvl="7">
      <w:start w:val="0"/>
      <w:numFmt w:val="bullet"/>
      <w:lvlText w:val="•"/>
      <w:lvlJc w:val="left"/>
      <w:pPr>
        <w:ind w:left="7118" w:hanging="810"/>
      </w:pPr>
      <w:rPr>
        <w:rFonts w:hint="default"/>
      </w:rPr>
    </w:lvl>
    <w:lvl w:ilvl="8">
      <w:start w:val="0"/>
      <w:numFmt w:val="bullet"/>
      <w:lvlText w:val="•"/>
      <w:lvlJc w:val="left"/>
      <w:pPr>
        <w:ind w:left="8060" w:hanging="810"/>
      </w:pPr>
      <w:rPr>
        <w:rFonts w:hint="default"/>
      </w:rPr>
    </w:lvl>
  </w:abstractNum>
  <w:abstractNum w:abstractNumId="0">
    <w:multiLevelType w:val="hybridMultilevel"/>
    <w:lvl w:ilvl="0">
      <w:start w:val="1"/>
      <w:numFmt w:val="decimal"/>
      <w:lvlText w:val="%1."/>
      <w:lvlJc w:val="left"/>
      <w:pPr>
        <w:ind w:left="518" w:hanging="211"/>
        <w:jc w:val="left"/>
      </w:pPr>
      <w:rPr>
        <w:rFonts w:hint="default"/>
        <w:b/>
        <w:bCs/>
        <w:w w:val="100"/>
      </w:rPr>
    </w:lvl>
    <w:lvl w:ilvl="1">
      <w:start w:val="0"/>
      <w:numFmt w:val="bullet"/>
      <w:lvlText w:val="•"/>
      <w:lvlJc w:val="left"/>
      <w:pPr>
        <w:ind w:left="2280" w:hanging="211"/>
      </w:pPr>
      <w:rPr>
        <w:rFonts w:hint="default"/>
      </w:rPr>
    </w:lvl>
    <w:lvl w:ilvl="2">
      <w:start w:val="0"/>
      <w:numFmt w:val="bullet"/>
      <w:lvlText w:val="•"/>
      <w:lvlJc w:val="left"/>
      <w:pPr>
        <w:ind w:left="3105" w:hanging="211"/>
      </w:pPr>
      <w:rPr>
        <w:rFonts w:hint="default"/>
      </w:rPr>
    </w:lvl>
    <w:lvl w:ilvl="3">
      <w:start w:val="0"/>
      <w:numFmt w:val="bullet"/>
      <w:lvlText w:val="•"/>
      <w:lvlJc w:val="left"/>
      <w:pPr>
        <w:ind w:left="3930" w:hanging="211"/>
      </w:pPr>
      <w:rPr>
        <w:rFonts w:hint="default"/>
      </w:rPr>
    </w:lvl>
    <w:lvl w:ilvl="4">
      <w:start w:val="0"/>
      <w:numFmt w:val="bullet"/>
      <w:lvlText w:val="•"/>
      <w:lvlJc w:val="left"/>
      <w:pPr>
        <w:ind w:left="4755" w:hanging="211"/>
      </w:pPr>
      <w:rPr>
        <w:rFonts w:hint="default"/>
      </w:rPr>
    </w:lvl>
    <w:lvl w:ilvl="5">
      <w:start w:val="0"/>
      <w:numFmt w:val="bullet"/>
      <w:lvlText w:val="•"/>
      <w:lvlJc w:val="left"/>
      <w:pPr>
        <w:ind w:left="5580" w:hanging="211"/>
      </w:pPr>
      <w:rPr>
        <w:rFonts w:hint="default"/>
      </w:rPr>
    </w:lvl>
    <w:lvl w:ilvl="6">
      <w:start w:val="0"/>
      <w:numFmt w:val="bullet"/>
      <w:lvlText w:val="•"/>
      <w:lvlJc w:val="left"/>
      <w:pPr>
        <w:ind w:left="6405" w:hanging="211"/>
      </w:pPr>
      <w:rPr>
        <w:rFonts w:hint="default"/>
      </w:rPr>
    </w:lvl>
    <w:lvl w:ilvl="7">
      <w:start w:val="0"/>
      <w:numFmt w:val="bullet"/>
      <w:lvlText w:val="•"/>
      <w:lvlJc w:val="left"/>
      <w:pPr>
        <w:ind w:left="7230" w:hanging="211"/>
      </w:pPr>
      <w:rPr>
        <w:rFonts w:hint="default"/>
      </w:rPr>
    </w:lvl>
    <w:lvl w:ilvl="8">
      <w:start w:val="0"/>
      <w:numFmt w:val="bullet"/>
      <w:lvlText w:val="•"/>
      <w:lvlJc w:val="left"/>
      <w:pPr>
        <w:ind w:left="8055" w:hanging="211"/>
      </w:pPr>
      <w:rPr>
        <w:rFonts w:hint="default"/>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styleId="BodyText" w:type="paragraph">
    <w:name w:val="Body Text"/>
    <w:basedOn w:val="Normal"/>
    <w:uiPriority w:val="1"/>
    <w:qFormat/>
    <w:pPr/>
    <w:rPr>
      <w:rFonts w:ascii="宋体" w:hAnsi="宋体" w:eastAsia="宋体" w:cs="宋体"/>
      <w:sz w:val="28"/>
      <w:szCs w:val="28"/>
    </w:rPr>
  </w:style>
  <w:style w:type="paragraph" w:styleId="Heading1">
    <w:name w:val="heading 1"/>
    <w:link w:val="10"/>
    <w:autoRedefine/>
    <w:qFormat/>
    <w:pPr>
      <w:keepNext/>
      <w:keepLines/>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styleId="ListParagraph" w:type="paragraph">
    <w:name w:val="List Paragraph"/>
    <w:basedOn w:val="Normal"/>
    <w:uiPriority w:val="1"/>
    <w:qFormat/>
    <w:pPr>
      <w:spacing w:before="2"/>
      <w:ind w:leftChars="0" w:left="518"/>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 w:type="paragraph" w:styleId="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styleId="TOC3">
    <w:name w:val="toc 3"/>
    <w:autoRedefine/>
    <w:uiPriority w:val="39"/>
    <w:pPr>
      <w:tabs>
        <w:tab w:val="right" w:leader="middleDot" w:pos="9120"/>
      </w:tabs>
      <w:topLinePunct/>
      <w:snapToGrid w:val="0"/>
      <w:spacing w:before="120" w:after="120" w:line="360" w:lineRule="atLeast"/>
      <w:jc w:val="both"/>
      <w:textAlignment w:val="baseline"/>
    </w:pPr>
    <w:rPr>
      <w:rFonts w:eastAsia="黑体"/>
      <w:noProof/>
      <w:kern w:val="2"/>
      <w:sz w:val="28"/>
      <w:szCs w:val="24"/>
    </w:rPr>
    <w:semiHidden/>
    <w:unhideWhenUsed/>
  </w:style>
  <w:style w:type="paragraph" w:styleId="TOC2">
    <w:name w:val="toc 2"/>
    <w:autoRedefine/>
    <w:uiPriority w:val="39"/>
    <w:pPr>
      <w:tabs>
        <w:tab w:val="right" w:leader="middleDot" w:pos="9120"/>
      </w:tabs>
      <w:topLinePunct/>
      <w:adjustRightInd w:val="0"/>
      <w:snapToGrid w:val="0"/>
      <w:spacing w:before="120" w:after="120" w:line="380" w:lineRule="atLeast"/>
      <w:jc w:val="both"/>
      <w:textAlignment w:val="baseline"/>
      <w:keepNext/>
      <w:keepLines/>
    </w:pPr>
    <w:rPr>
      <w:rFonts w:eastAsia="黑体"/>
      <w:kern w:val="2"/>
      <w:sz w:val="28"/>
      <w:szCs w:val="28"/>
    </w:rPr>
    <w:semiHidden/>
    <w:unhideWhenUsed/>
  </w:style>
  <w:style w:type="paragraph" w:customStyle="1" w:styleId="a3">
    <w:name w:val="图示注解"/>
    <w:autoRedefine/>
    <w:qFormat/>
    <w:pPr>
      <w:snapToGrid w:val="0"/>
      <w:spacing w:line="240" w:lineRule="atLeast"/>
      <w:ind w:firstLineChars="0" w:firstLine="360"/>
      <w:jc w:val="both"/>
    </w:pPr>
    <w:rPr>
      <w:kern w:val="2"/>
      <w:sz w:val="18"/>
      <w:szCs w:val="21"/>
    </w:rPr>
  </w:style>
  <w:style w:type="paragraph" w:customStyle="1" w:styleId="a4">
    <w:name w:val="附录标题"/>
    <w:autoRedefine/>
    <w:qFormat/>
    <w:pPr>
      <w:keepNext/>
      <w:keepLines/>
      <w:snapToGrid w:val="0"/>
      <w:spacing w:before="231" w:after="156" w:line="500" w:lineRule="atLeast"/>
      <w:jc w:val="center"/>
      <w:outlineLvl w:val="0"/>
    </w:pPr>
    <w:rPr>
      <w:rFonts w:eastAsia="黑体"/>
      <w:b/>
      <w:bCs/>
      <w:kern w:val="2"/>
      <w:sz w:val="36"/>
      <w:szCs w:val="24"/>
    </w:rPr>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type="paragraph" w:customStyle="1" w:styleId="aa">
    <w:name w:val="标题附加"/>
    <w:autoRedefine/>
    <w:qFormat/>
    <w:pPr>
      <w:keepLines/>
      <w:topLinePunct/>
      <w:adjustRightInd w:val="0"/>
      <w:snapToGrid w:val="0"/>
      <w:spacing w:before="231" w:after="156" w:line="500" w:lineRule="atLeast"/>
      <w:jc w:val="center"/>
      <w:textAlignment w:val="baseline"/>
      <w:outlineLvl w:val="0"/>
      <w:keepNext/>
    </w:pPr>
    <w:rPr>
      <w:rFonts w:eastAsia="黑体"/>
      <w:b/>
      <w:bCs/>
      <w:kern w:val="2"/>
      <w:sz w:val="36"/>
      <w:szCs w:val="24"/>
    </w:rPr>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emiHidden/>
    <w:unhideWhenUsed/>
  </w:style>
  <w:style w:type="paragraph" w:customStyle="1" w:styleId="af6">
    <w:name w:val="中文摘要标题"/>
    <w:next w:val="Normal"/>
    <w:link w:val="af7"/>
    <w:autoRedefine/>
    <w:qFormat/>
    <w:pPr>
      <w:keepLines/>
      <w:snapToGrid w:val="0"/>
      <w:spacing w:before="231" w:after="156" w:line="500" w:lineRule="atLeast"/>
      <w:jc w:val="center"/>
      <w:outlineLvl w:val="0"/>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emiHidden/>
    <w:unhideWhenUsed/>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tyle>
  <w:style w:type="paragraph" w:customStyle="1" w:styleId="affe">
    <w:name w:val="目录标题"/>
    <w:autoRedefine/>
    <w:qFormat/>
    <w:pPr>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8">
    <w:name w:val="英文大标题"/>
    <w:basedOn w:val="Normal"/>
    <w:rsid w:val="00AB18CF"/>
    <w:pPr>
      <w:widowControl/>
    </w:pPr>
    <w:rPr>
      <w:bCs/>
    </w:rPr>
    <w:semiHidden/>
    <w:unhideWhenUsed/>
  </w:style>
  <w:style w:type="paragraph" w:customStyle="1" w:styleId="cw9">
    <w:name w:val="英文副标题"/>
    <w:basedOn w:val="Normal"/>
    <w:rsid w:val="00AB18CF"/>
    <w:pPr>
      <w:widowControl/>
    </w:pPr>
    <w:rPr>
      <w:bCs/>
    </w:rPr>
    <w:semiHidden/>
    <w:unhideWhenUsed/>
  </w:style>
  <w:style w:type="paragraph" w:customStyle="1" w:styleId="cw10">
    <w:name w:val="英文作者段"/>
    <w:basedOn w:val="Normal"/>
    <w:rsid w:val="00AB18CF"/>
    <w:pPr>
      <w:widowControl/>
    </w:pPr>
    <w:rPr>
      <w:bCs/>
    </w:rPr>
    <w:semiHidden/>
    <w:unhideWhenUsed/>
  </w:style>
  <w:style w:type="paragraph" w:customStyle="1" w:styleId="cw11">
    <w:name w:val="英文单位段"/>
    <w:basedOn w:val="Normal"/>
    <w:rsid w:val="00AB18CF"/>
    <w:pPr>
      <w:widowControl/>
    </w:pPr>
    <w:rPr>
      <w:bCs/>
    </w:rPr>
    <w:semiHidden/>
    <w:unhideWhenUsed/>
  </w:style>
  <w:style w:type="paragraph" w:customStyle="1" w:styleId="cw12">
    <w:name w:val="辅文献段落"/>
    <w:basedOn w:val="Normal"/>
    <w:rsid w:val="00AB18CF"/>
    <w:pPr>
      <w:widowControl/>
    </w:pPr>
    <w:rPr>
      <w:bCs/>
    </w:rPr>
    <w:semiHidden/>
    <w:unhideWhenUsed/>
  </w:style>
  <w:style w:type="paragraph" w:customStyle="1" w:styleId="cw13">
    <w:name w:val="多图段落"/>
    <w:basedOn w:val="Normal"/>
    <w:rsid w:val="00AB18CF"/>
    <w:pPr>
      <w:widowControl/>
    </w:pPr>
    <w:rPr>
      <w:bCs/>
    </w:rPr>
    <w:semiHidden/>
    <w:unhideWhenUsed/>
  </w:style>
  <w:style w:type="paragraph" w:customStyle="1" w:styleId="cw14">
    <w:name w:val="英文图题"/>
    <w:basedOn w:val="Normal"/>
    <w:rsid w:val="00AB18CF"/>
    <w:pPr>
      <w:widowControl/>
    </w:pPr>
    <w:rPr>
      <w:bCs/>
    </w:rPr>
    <w:semiHidden/>
    <w:unhideWhenUsed/>
  </w:style>
  <w:style w:type="paragraph" w:customStyle="1" w:styleId="cw15">
    <w:name w:val="英文表题"/>
    <w:basedOn w:val="Normal"/>
    <w:rsid w:val="00AB18CF"/>
    <w:pPr>
      <w:widowControl/>
    </w:pPr>
    <w:rPr>
      <w:bCs/>
    </w:rPr>
    <w:semiHidden/>
    <w:unhideWhenUsed/>
  </w:style>
  <w:style w:type="paragraph" w:customStyle="1" w:styleId="cw16">
    <w:name w:val="引用段落"/>
    <w:basedOn w:val="Normal"/>
    <w:rsid w:val="00AB18CF"/>
    <w:pPr>
      <w:widowControl/>
    </w:pPr>
    <w:rPr>
      <w:bCs/>
    </w:rPr>
    <w:semiHidden/>
    <w:unhideWhenUsed/>
  </w:style>
  <w:style w:type="paragraph" w:customStyle="1" w:styleId="cw17">
    <w:name w:val="说明段落"/>
    <w:basedOn w:val="Normal"/>
    <w:rsid w:val="00AB18CF"/>
    <w:pPr>
      <w:widowControl/>
    </w:pPr>
    <w:rPr>
      <w:bCs/>
    </w:rPr>
    <w:semiHidden/>
    <w:unhideWhenUsed/>
  </w:style>
  <w:style w:type="paragraph" w:customStyle="1" w:styleId="cw18">
    <w:name w:val="单级列表"/>
    <w:basedOn w:val="Normal"/>
    <w:rsid w:val="00AB18CF"/>
    <w:pPr>
      <w:widowControl/>
    </w:pPr>
    <w:rPr>
      <w:bCs/>
    </w:rPr>
  </w:style>
  <w:style w:type="paragraph" w:customStyle="1" w:styleId="cw19">
    <w:name w:val="项目列表"/>
    <w:basedOn w:val="Normal"/>
    <w:rsid w:val="00AB18CF"/>
    <w:pPr>
      <w:widowControl/>
    </w:pPr>
    <w:rPr>
      <w:bCs/>
    </w:rPr>
    <w:semiHidden/>
    <w:unhideWhenUsed/>
  </w:style>
  <w:style w:type="paragraph" w:customStyle="1" w:styleId="cw20">
    <w:name w:val="代码段落"/>
    <w:basedOn w:val="Normal"/>
    <w:rsid w:val="00AB18CF"/>
    <w:pPr>
      <w:widowControl/>
    </w:pPr>
    <w:rPr>
      <w:bCs/>
    </w:rPr>
    <w:semiHidden/>
    <w:unhideWhenUsed/>
  </w:style>
  <w:style w:type="character" w:customStyle="1" w:styleId="cw21">
    <w:name w:val="内文突出"/>
    <w:basedOn w:val="Normal"/>
    <w:rsid w:val="00AB18CF"/>
    <w:pPr>
      <w:widowControl/>
    </w:pPr>
    <w:rPr>
      <w:bCs/>
    </w:rPr>
    <w:semiHidden/>
    <w:unhideWhenUsed/>
  </w:style>
  <w:style w:type="character" w:customStyle="1" w:styleId="cw22">
    <w:name w:val="公式样式"/>
    <w:basedOn w:val="Normal"/>
    <w:rsid w:val="00AB18CF"/>
    <w:pPr>
      <w:widowControl/>
    </w:pPr>
    <w:rPr>
      <w:bCs/>
    </w:rPr>
    <w:semiHidden/>
    <w:unhideWhenUsed/>
  </w:style>
  <w:style w:type="character" w:customStyle="1" w:styleId="cw23">
    <w:name w:val="脚注编号"/>
    <w:basedOn w:val="Normal"/>
    <w:rsid w:val="00AB18CF"/>
    <w:pPr>
      <w:widowControl/>
    </w:pPr>
    <w:rPr>
      <w:bCs/>
    </w:rPr>
    <w:semiHidden/>
    <w:unhideWhenUsed/>
  </w:style>
  <w:style w:type="character" w:customStyle="1" w:styleId="cw24">
    <w:name w:val="标题括号内容"/>
    <w:basedOn w:val="Normal"/>
    <w:rsid w:val="00AB18CF"/>
    <w:pPr>
      <w:widowControl/>
    </w:pPr>
    <w:rPr>
      <w:bCs/>
    </w:rPr>
    <w:semiHidden/>
    <w:unhideWhenUsed/>
  </w:style>
  <w:style w:type="paragraph" w:customStyle="1" w:styleId="cw25">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eader" Target="header2.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eader" Target="header3.xml"/><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header" Target="header4.xml"/><Relationship Id="rId21" Type="http://schemas.openxmlformats.org/officeDocument/2006/relationships/header" Target="header5.xml"/><Relationship Id="rId22" Type="http://schemas.openxmlformats.org/officeDocument/2006/relationships/numbering" Target="numbering.xml"/><Relationship Id="rId23" Type="http://schemas.openxmlformats.org/officeDocument/2006/relationships/endnotes" Target="endnotes.xml"/><Relationship Id="rId24" Type="http://schemas.openxmlformats.org/officeDocument/2006/relationships/header" Target="header6.xml"/><Relationship Id="rId25" Type="http://schemas.openxmlformats.org/officeDocument/2006/relationships/header" Target="header7.xml"/><Relationship Id="rId26" Type="http://schemas.openxmlformats.org/officeDocument/2006/relationships/footer" Target="footer2.xml"/><Relationship Id="rId27" Type="http://schemas.openxmlformats.org/officeDocument/2006/relationships/footer" Target="footer3.xml"/><Relationship Id="rId28" Type="http://schemas.openxmlformats.org/officeDocument/2006/relationships/header" Target="header8.xml"/><Relationship Id="rId29" Type="http://schemas.openxmlformats.org/officeDocument/2006/relationships/header" Target="header9.xml"/><Relationship Id="rId31" Type="http://schemas.openxmlformats.org/officeDocument/2006/relationships/footer" Target="footer7.xml"/><Relationship Id="rId32" Type="http://schemas.openxmlformats.org/officeDocument/2006/relationships/header" Target="header10.xml"/><Relationship Id="rId33" Type="http://schemas.openxmlformats.org/officeDocument/2006/relationships/footer" Target="footer8.xml"/><Relationship Id="rId34" Type="http://schemas.openxmlformats.org/officeDocument/2006/relationships/footer" Target="footer9.xml"/><Relationship Id="rId35" Type="http://schemas.openxmlformats.org/officeDocument/2006/relationships/footer" Target="footer10.xml"/><Relationship Id="rId36" Type="http://schemas.openxmlformats.org/officeDocument/2006/relationships/footer" Target="footer11.xml"/><Relationship Id="rId37" Type="http://schemas.openxmlformats.org/officeDocument/2006/relationships/header" Target="header11.xml"/><Relationship Id="rId38" Type="http://schemas.openxmlformats.org/officeDocument/2006/relationships/header" Target="header12.xml"/><Relationship Id="rId39" Type="http://schemas.openxmlformats.org/officeDocument/2006/relationships/footer" Target="footer12.xml"/><Relationship Id="rId40" Type="http://schemas.openxmlformats.org/officeDocument/2006/relationships/header" Target="header13.xml"/><Relationship Id="rId41" Type="http://schemas.openxmlformats.org/officeDocument/2006/relationships/header" Target="header14.xml"/><Relationship Id="rId42" Type="http://schemas.openxmlformats.org/officeDocument/2006/relationships/header" Target="header15.xml"/><Relationship Id="rId43"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2017-03-15T18:00:54Z</dcterms:created>
  <dcterms:modified xsi:type="dcterms:W3CDTF">2017-03-15T18:00:54Z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2016-07-11T00:00:00Z</vt:filetime>
  </property>
  <property fmtid="{D5CDD505-2E9C-101B-9397-08002B2CF9AE}" pid="3" name="Creator">
    <vt:lpwstr>Aspose Ltd.</vt:lpwstr>
  </property>
  <property fmtid="{D5CDD505-2E9C-101B-9397-08002B2CF9AE}" pid="4" name="LastSaved">
    <vt:filetime>2017-03-15T00:00:00Z</vt:filetime>
  </property>
</Properties>
</file>