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7615" w:val="left" w:leader="none"/>
        </w:tabs>
        <w:spacing w:before="38"/>
        <w:ind w:leftChars="0" w:left="111" w:rightChars="0" w:right="0" w:firstLineChars="0" w:firstLine="0"/>
        <w:jc w:val="left"/>
        <w:topLinePunct/>
      </w:pPr>
      <w:r>
        <w:rPr>
          <w:kern w:val="2"/>
          <w:sz w:val="20"/>
          <w:szCs w:val="22"/>
          <w:rFonts w:cstheme="minorBidi" w:hAnsiTheme="minorHAnsi" w:eastAsiaTheme="minorHAnsi" w:asciiTheme="minorHAnsi"/>
        </w:rPr>
        <w:t>中图分类号</w:t>
      </w:r>
      <w:r>
        <w:rPr>
          <w:kern w:val="2"/>
          <w:sz w:val="20"/>
          <w:szCs w:val="22"/>
          <w:rFonts w:hint="eastAsia"/>
        </w:rPr>
        <w:t>：</w:t>
      </w:r>
      <w:r>
        <w:rPr>
          <w:kern w:val="2"/>
          <w:szCs w:val="22"/>
          <w:rFonts w:cstheme="minorBidi" w:hAnsiTheme="minorHAnsi" w:eastAsiaTheme="minorHAnsi" w:asciiTheme="minorHAnsi"/>
          <w:spacing w:val="0"/>
          <w:sz w:val="20"/>
        </w:rPr>
        <w:t>编号:20110127</w:t>
      </w:r>
    </w:p>
    <w:p w:rsidR="0018722C">
      <w:pPr>
        <w:topLinePunct/>
      </w:pPr>
      <w:bookmarkStart w:name="封面 " w:id="1"/>
      <w:bookmarkEnd w:id="1"/>
      <w:r>
        <w:rPr>
          <w:rFonts w:cstheme="minorBidi" w:hAnsiTheme="minorHAnsi" w:eastAsiaTheme="minorHAnsi" w:asciiTheme="minorHAnsi"/>
          <w:b/>
        </w:rPr>
        <w:t>承</w:t>
      </w:r>
      <w:r w:rsidR="001852F3">
        <w:rPr>
          <w:rFonts w:cstheme="minorBidi" w:hAnsiTheme="minorHAnsi" w:eastAsiaTheme="minorHAnsi" w:asciiTheme="minorHAnsi"/>
          <w:b/>
        </w:rPr>
        <w:t xml:space="preserve">德</w:t>
      </w:r>
      <w:r w:rsidR="001852F3">
        <w:rPr>
          <w:rFonts w:cstheme="minorBidi" w:hAnsiTheme="minorHAnsi" w:eastAsiaTheme="minorHAnsi" w:asciiTheme="minorHAnsi"/>
          <w:b/>
        </w:rPr>
        <w:t xml:space="preserve">医</w:t>
      </w:r>
      <w:r w:rsidR="001852F3">
        <w:rPr>
          <w:rFonts w:cstheme="minorBidi" w:hAnsiTheme="minorHAnsi" w:eastAsiaTheme="minorHAnsi" w:asciiTheme="minorHAnsi"/>
          <w:b/>
        </w:rPr>
        <w:t xml:space="preserve">学</w:t>
      </w:r>
      <w:r w:rsidR="001852F3">
        <w:rPr>
          <w:rFonts w:cstheme="minorBidi" w:hAnsiTheme="minorHAnsi" w:eastAsiaTheme="minorHAnsi" w:asciiTheme="minorHAnsi"/>
          <w:b/>
        </w:rPr>
        <w:t xml:space="preserve">院</w:t>
      </w:r>
      <w:r>
        <w:rPr>
          <w:rFonts w:cstheme="minorBidi" w:hAnsiTheme="minorHAnsi" w:eastAsiaTheme="minorHAnsi" w:asciiTheme="minorHAnsi"/>
        </w:rPr>
        <w:t>硕士研究生毕业论文</w:t>
      </w:r>
    </w:p>
    <w:p w:rsidR="0018722C">
      <w:pPr>
        <w:topLinePunct/>
      </w:pPr>
      <w:r>
        <w:rPr>
          <w:rFonts w:cstheme="minorBidi" w:hAnsiTheme="minorHAnsi" w:eastAsiaTheme="minorHAnsi" w:asciiTheme="minorHAnsi" w:ascii="宋体" w:hAnsi="宋体" w:eastAsia="宋体" w:cs="Times New Roman" w:hint="eastAsia"/>
          <w:b/>
        </w:rPr>
        <w:t>NF-κB</w:t>
      </w:r>
      <w:r w:rsidR="001852F3">
        <w:rPr>
          <w:b/>
          <w:rFonts w:ascii="宋体" w:hAnsi="宋体" w:eastAsia="宋体" w:hint="eastAsia" w:cstheme="minorBidi" w:cs="Times New Roman"/>
        </w:rPr>
        <w:t xml:space="preserve">在胃癌组织中的表达及其与</w:t>
      </w:r>
      <w:r>
        <w:rPr>
          <w:b/>
          <w:rFonts w:ascii="宋体" w:hAnsi="宋体" w:eastAsia="宋体" w:hint="eastAsia" w:cstheme="minorBidi" w:cs="Times New Roman"/>
        </w:rPr>
        <w:t>TOPO</w:t>
      </w:r>
      <w:r>
        <w:rPr>
          <w:b/>
          <w:rFonts w:ascii="宋体" w:hAnsi="宋体" w:eastAsia="宋体" w:hint="eastAsia" w:cstheme="minorBidi" w:cs="Times New Roman"/>
        </w:rPr>
        <w:t> </w:t>
      </w:r>
      <w:r>
        <w:rPr>
          <w:b/>
          <w:rFonts w:ascii="宋体" w:hAnsi="宋体" w:eastAsia="宋体" w:hint="eastAsia" w:cstheme="minorBidi" w:cs="Times New Roman"/>
        </w:rPr>
        <w:t>II</w:t>
      </w:r>
      <w:r>
        <w:rPr>
          <w:b/>
          <w:rFonts w:ascii="宋体" w:hAnsi="宋体" w:eastAsia="宋体" w:hint="eastAsia" w:cstheme="minorBidi" w:cs="Times New Roman"/>
        </w:rPr>
        <w:t>、Ki-67</w:t>
      </w:r>
      <w:r w:rsidR="001852F3">
        <w:rPr>
          <w:b/>
          <w:rFonts w:ascii="宋体" w:hAnsi="宋体" w:eastAsia="宋体" w:hint="eastAsia" w:cstheme="minorBidi" w:cs="Times New Roman"/>
        </w:rPr>
        <w:t xml:space="preserve">的关系</w:t>
      </w:r>
    </w:p>
    <w:p w:rsidR="0018722C">
      <w:pPr>
        <w:topLinePunct/>
      </w:pPr>
      <w:r>
        <w:rPr>
          <w:rFonts w:cstheme="minorBidi" w:hAnsiTheme="minorHAnsi" w:eastAsiaTheme="minorHAnsi" w:asciiTheme="minorHAnsi" w:ascii="Times New Roman" w:hAnsi="Times New Roman" w:eastAsia="Times New Roman" w:cs="Times New Roman"/>
        </w:rPr>
        <w:t>Expression of NF-κB in gastric carcinoma and its relationship with TOPO</w:t>
      </w:r>
      <w:r>
        <w:rPr>
          <w:rFonts w:ascii="宋体" w:hAnsi="宋体" w:cstheme="minorBidi" w:eastAsiaTheme="minorHAnsi" w:eastAsia="Times New Roman" w:cs="Times New Roman"/>
        </w:rPr>
        <w:t>Ⅱ</w:t>
      </w:r>
      <w:r>
        <w:rPr>
          <w:rFonts w:cstheme="minorBidi" w:hAnsiTheme="minorHAnsi" w:eastAsiaTheme="minorHAnsi" w:asciiTheme="minorHAnsi" w:ascii="Times New Roman" w:hAnsi="Times New Roman" w:eastAsia="Times New Roman" w:cs="Times New Roman"/>
        </w:rPr>
        <w:t>and Ki-67</w:t>
      </w:r>
    </w:p>
    <w:p w:rsidR="0018722C">
      <w:pPr>
        <w:pStyle w:val="BodyText"/>
        <w:spacing w:before="1"/>
        <w:ind w:leftChars="0" w:left="1510"/>
        <w:topLinePunct/>
      </w:pPr>
      <w:r>
        <w:t>研</w:t>
      </w:r>
      <w:r w:rsidR="001852F3">
        <w:t xml:space="preserve">究</w:t>
      </w:r>
      <w:r w:rsidR="001852F3">
        <w:t xml:space="preserve">生: 李常洲</w:t>
      </w:r>
    </w:p>
    <w:p w:rsidR="0018722C">
      <w:pPr>
        <w:topLinePunct/>
      </w:pPr>
      <w:r>
        <w:t>导</w:t>
      </w:r>
      <w:r>
        <w:t>师</w:t>
      </w:r>
      <w:r>
        <w:t>:</w:t>
      </w:r>
      <w:r>
        <w:t> </w:t>
      </w:r>
      <w:r>
        <w:t>李</w:t>
      </w:r>
      <w:r>
        <w:t>建</w:t>
      </w:r>
      <w:r>
        <w:t>辉</w:t>
      </w:r>
      <w:r/>
      <w:r>
        <w:t>教授学科专</w:t>
      </w:r>
      <w:r>
        <w:t>业</w:t>
      </w:r>
      <w:r>
        <w:t>：肿</w:t>
      </w:r>
      <w:r>
        <w:t>瘤</w:t>
      </w:r>
      <w:r>
        <w:t>学</w:t>
      </w:r>
    </w:p>
    <w:p w:rsidR="0018722C">
      <w:pPr>
        <w:pStyle w:val="BodyText"/>
        <w:spacing w:before="61"/>
        <w:ind w:leftChars="0" w:left="1513"/>
        <w:topLinePunct/>
      </w:pPr>
      <w:r>
        <w:t>所在部系：临床学院</w:t>
      </w:r>
    </w:p>
    <w:p w:rsidR="0018722C">
      <w:pPr>
        <w:topLinePunct/>
      </w:pPr>
      <w:r>
        <w:t>研究起止日期</w:t>
      </w:r>
      <w:r>
        <w:t>：2012</w:t>
      </w:r>
      <w:r/>
      <w:r w:rsidR="001852F3">
        <w:t xml:space="preserve">年</w:t>
      </w:r>
      <w:r>
        <w:t>9</w:t>
      </w:r>
      <w:r/>
      <w:r w:rsidR="001852F3">
        <w:t xml:space="preserve">月</w:t>
      </w:r>
      <w:r>
        <w:rPr>
          <w:rFonts w:ascii="Times New Roman" w:eastAsia="宋体"/>
        </w:rPr>
        <w:t>~</w:t>
      </w:r>
      <w:r>
        <w:t>2014</w:t>
      </w:r>
      <w:r/>
      <w:r w:rsidR="001852F3">
        <w:t xml:space="preserve">年</w:t>
      </w:r>
      <w:r>
        <w:t>3</w:t>
      </w:r>
      <w:r/>
      <w:r w:rsidR="001852F3">
        <w:t xml:space="preserve">月</w:t>
      </w:r>
      <w:r>
        <w:t>论文提交日期</w:t>
      </w:r>
      <w:r>
        <w:t>：2014</w:t>
      </w:r>
      <w:r/>
      <w:r w:rsidR="001852F3">
        <w:t xml:space="preserve">年</w:t>
      </w:r>
      <w:r>
        <w:t>3</w:t>
      </w:r>
      <w:r>
        <w:t> 月</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rPr>
        <w:t>承</w:t>
      </w:r>
      <w:r w:rsidR="001852F3">
        <w:rPr>
          <w:kern w:val="2"/>
          <w:sz w:val="32"/>
          <w:szCs w:val="32"/>
          <w:rFonts w:cstheme="minorBidi" w:hAnsiTheme="minorHAnsi" w:eastAsiaTheme="minorHAnsi" w:asciiTheme="minorHAnsi" w:ascii="宋体" w:hAnsi="Times New Roman" w:eastAsia="宋体" w:cs="Times New Roman" w:hint="eastAsia"/>
          <w:b/>
          <w:bCs/>
        </w:rPr>
        <w:t xml:space="preserve">德</w:t>
      </w:r>
      <w:r w:rsidR="001852F3">
        <w:rPr>
          <w:kern w:val="2"/>
          <w:sz w:val="32"/>
          <w:szCs w:val="32"/>
          <w:rFonts w:cstheme="minorBidi" w:hAnsiTheme="minorHAnsi" w:eastAsiaTheme="minorHAnsi" w:asciiTheme="minorHAnsi" w:ascii="宋体" w:hAnsi="Times New Roman" w:eastAsia="宋体" w:cs="Times New Roman" w:hint="eastAsia"/>
          <w:b/>
          <w:bCs/>
        </w:rPr>
        <w:t xml:space="preserve">医</w:t>
      </w:r>
      <w:r w:rsidR="001852F3">
        <w:rPr>
          <w:kern w:val="2"/>
          <w:sz w:val="32"/>
          <w:szCs w:val="32"/>
          <w:rFonts w:cstheme="minorBidi" w:hAnsiTheme="minorHAnsi" w:eastAsiaTheme="minorHAnsi" w:asciiTheme="minorHAnsi" w:ascii="宋体" w:hAnsi="Times New Roman" w:eastAsia="宋体" w:cs="Times New Roman" w:hint="eastAsia"/>
          <w:b/>
          <w:bCs/>
        </w:rPr>
        <w:t xml:space="preserve">学 院</w:t>
      </w:r>
    </w:p>
    <w:p w:rsidR="0018722C">
      <w:pPr>
        <w:topLinePunct/>
      </w:pPr>
      <w:r>
        <w:rPr>
          <w:rFonts w:cstheme="minorBidi" w:hAnsiTheme="minorHAnsi" w:eastAsiaTheme="minorHAnsi" w:asciiTheme="minorHAnsi"/>
          <w:b/>
        </w:rPr>
        <w:t>学位论文使用授权及知识产权归属承诺</w:t>
      </w:r>
    </w:p>
    <w:p w:rsidR="0018722C">
      <w:pPr>
        <w:topLinePunct/>
      </w:pPr>
      <w:bookmarkStart w:name="声明 " w:id="2"/>
      <w:bookmarkEnd w:id="2"/>
      <w:r/>
      <w:r>
        <w:t>本学位论文在导师</w:t>
      </w:r>
      <w:r>
        <w:t>（</w:t>
      </w:r>
      <w:r>
        <w:t>或指导小组</w:t>
      </w:r>
      <w:r>
        <w:t>）</w:t>
      </w:r>
      <w:r>
        <w:t>的指导下，由本人独立完成。本学</w:t>
      </w:r>
      <w:r>
        <w:t>位论文研究所获的研究成果，其知识产权归承德医学院所有。承德医学院</w:t>
      </w:r>
      <w:r>
        <w:t>有权对本学位论文进行交流、公开和使用。凡发表与学位论文主要内容相关的论文，第一署名单位为承德医学院，试验材料、原始数据、申报的专</w:t>
      </w:r>
      <w:r>
        <w:t>利等知识产权均归承德医学院所有。否则，承担相应的法律责任。</w:t>
      </w:r>
    </w:p>
    <w:p w:rsidR="0018722C">
      <w:pPr>
        <w:topLinePunct/>
      </w:pPr>
      <w:r>
        <w:t>研究生</w:t>
      </w:r>
      <w:r>
        <w:t>签</w:t>
      </w:r>
      <w:r>
        <w:t>名：</w:t>
      </w:r>
      <w:r w:rsidR="001852F3">
        <w:t>导师签章：</w:t>
      </w:r>
    </w:p>
    <w:p w:rsidR="0018722C">
      <w:pPr>
        <w:pStyle w:val="BodyText"/>
        <w:tabs>
          <w:tab w:pos="701" w:val="left" w:leader="none"/>
          <w:tab w:pos="1402" w:val="left" w:leader="none"/>
        </w:tabs>
        <w:spacing w:before="1"/>
        <w:ind w:rightChars="0" w:right="676"/>
        <w:jc w:val="right"/>
        <w:topLinePunct/>
      </w:pPr>
      <w:r>
        <w:t>年</w:t>
      </w:r>
      <w:r w:rsidR="001852F3">
        <w:t>月</w:t>
      </w:r>
      <w:r w:rsidR="001852F3">
        <w:t>日</w:t>
      </w:r>
    </w:p>
    <w:p w:rsidR="0018722C">
      <w:pPr>
        <w:outlineLvl w:val="9"/>
        <w:topLinePunct/>
      </w:pPr>
      <w:r>
        <w:rPr>
          <w:kern w:val="2"/>
          <w:sz w:val="32"/>
          <w:szCs w:val="32"/>
          <w:rFonts w:cstheme="minorBidi" w:hAnsiTheme="minorHAnsi" w:eastAsiaTheme="minorHAnsi" w:asciiTheme="minorHAnsi" w:ascii="宋体" w:hAnsi="Times New Roman" w:eastAsia="宋体" w:cs="Times New Roman" w:hint="eastAsia"/>
          <w:b/>
          <w:bCs/>
          <w:w w:val="95"/>
        </w:rPr>
        <w:t>承德医学院</w:t>
      </w:r>
    </w:p>
    <w:p w:rsidR="0018722C">
      <w:pPr>
        <w:spacing w:before="19"/>
        <w:ind w:leftChars="0" w:left="679" w:rightChars="0" w:right="245" w:firstLineChars="0" w:firstLine="0"/>
        <w:jc w:val="center"/>
        <w:topLinePunct/>
      </w:pPr>
      <w:r>
        <w:rPr>
          <w:kern w:val="2"/>
          <w:sz w:val="32"/>
          <w:szCs w:val="22"/>
          <w:rFonts w:cstheme="minorBidi" w:hAnsiTheme="minorHAnsi" w:eastAsiaTheme="minorHAnsi" w:asciiTheme="minorHAnsi"/>
          <w:b/>
          <w:w w:val="95"/>
        </w:rPr>
        <w:t>研究生学位论文独创性声明</w:t>
      </w:r>
    </w:p>
    <w:p w:rsidR="0018722C">
      <w:pPr>
        <w:topLinePunct/>
      </w:pPr>
      <w:r>
        <w:t>本论文是在导师指导下进行的研究工作及取得的研究成果，除了文中</w:t>
      </w:r>
      <w:r>
        <w:t>特别加以标注和致谢等内容外，文中不包含其他人已经发表或撰写的研究</w:t>
      </w:r>
      <w:r>
        <w:t>成果，指导教师对此进行了审定。本论文由本人独立撰写，文责自负。</w:t>
      </w:r>
    </w:p>
    <w:p w:rsidR="0018722C">
      <w:pPr>
        <w:topLinePunct/>
      </w:pPr>
      <w:r>
        <w:t>研究生</w:t>
      </w:r>
      <w:r>
        <w:t>签</w:t>
      </w:r>
      <w:r>
        <w:t>名：</w:t>
      </w:r>
      <w:r w:rsidR="001852F3">
        <w:t>导师签章：</w:t>
      </w:r>
    </w:p>
    <w:p w:rsidR="0018722C">
      <w:pPr>
        <w:pStyle w:val="BodyText"/>
        <w:tabs>
          <w:tab w:pos="701" w:val="left" w:leader="none"/>
          <w:tab w:pos="1399" w:val="left" w:leader="none"/>
        </w:tabs>
        <w:spacing w:before="205"/>
        <w:ind w:rightChars="0" w:right="551"/>
        <w:jc w:val="right"/>
        <w:topLinePunct/>
      </w:pPr>
      <w:r>
        <w:t>年</w:t>
      </w:r>
      <w:r w:rsidR="001852F3">
        <w:t>月</w:t>
      </w:r>
      <w:r>
        <w:rPr>
          <w:spacing w:val="0"/>
        </w:rPr>
        <w:t>日</w:t>
      </w:r>
    </w:p>
    <w:p w:rsidR="0018722C">
      <w:pPr>
        <w:topLinePunct/>
      </w:pPr>
      <w:r>
        <w:rPr>
          <w:rFonts w:cstheme="minorBidi" w:hAnsiTheme="minorHAnsi" w:eastAsiaTheme="minorHAnsi" w:asciiTheme="minorHAnsi" w:ascii="Times New Roman" w:hAnsi="Times New Roman" w:eastAsia="Times New Roman" w:cs="Times New Roman"/>
          <w:b/>
        </w:rPr>
        <w:t>NF-</w:t>
      </w:r>
      <w:r>
        <w:rPr>
          <w:b/>
          <w:rFonts w:ascii="宋体" w:hAnsi="宋体" w:eastAsia="宋体" w:hint="eastAsia" w:cstheme="minorBidi" w:cs="Times New Roman"/>
        </w:rPr>
        <w:t>κ</w:t>
      </w:r>
      <w:r>
        <w:rPr>
          <w:rFonts w:cstheme="minorBidi" w:hAnsiTheme="minorHAnsi" w:eastAsiaTheme="minorHAnsi" w:asciiTheme="minorHAnsi" w:ascii="Times New Roman" w:hAnsi="Times New Roman" w:eastAsia="Times New Roman" w:cs="Times New Roman"/>
          <w:b/>
        </w:rPr>
        <w:t>B</w:t>
      </w:r>
      <w:r>
        <w:rPr>
          <w:b/>
          <w:rFonts w:ascii="宋体" w:hAnsi="宋体" w:eastAsia="宋体" w:hint="eastAsia" w:cstheme="minorBidi" w:cs="Times New Roman"/>
        </w:rPr>
        <w:t>在胃癌组织中的表达及其与</w:t>
      </w:r>
      <w:r>
        <w:rPr>
          <w:rFonts w:cstheme="minorBidi" w:hAnsiTheme="minorHAnsi" w:eastAsiaTheme="minorHAnsi" w:asciiTheme="minorHAnsi" w:ascii="Times New Roman" w:hAnsi="Times New Roman" w:eastAsia="Times New Roman" w:cs="Times New Roman"/>
          <w:b/>
        </w:rPr>
        <w:t>TOPO II</w:t>
      </w:r>
      <w:r>
        <w:rPr>
          <w:b/>
          <w:rFonts w:ascii="宋体" w:hAnsi="宋体" w:eastAsia="宋体" w:hint="eastAsia" w:cstheme="minorBidi" w:cs="Times New Roman"/>
        </w:rPr>
        <w:t>、</w:t>
      </w:r>
      <w:r>
        <w:rPr>
          <w:rFonts w:cstheme="minorBidi" w:hAnsiTheme="minorHAnsi" w:eastAsiaTheme="minorHAnsi" w:asciiTheme="minorHAnsi" w:ascii="Times New Roman" w:hAnsi="Times New Roman" w:eastAsia="Times New Roman" w:cs="Times New Roman"/>
          <w:b/>
        </w:rPr>
        <w:t>Ki-67</w:t>
      </w:r>
      <w:r>
        <w:rPr>
          <w:b/>
          <w:rFonts w:ascii="宋体" w:hAnsi="宋体" w:eastAsia="宋体" w:hint="eastAsia" w:cstheme="minorBidi" w:cs="Times New Roman"/>
        </w:rPr>
        <w:t>的关系</w:t>
      </w:r>
    </w:p>
    <w:p w:rsidR="0018722C">
      <w:pPr>
        <w:topLinePunct/>
      </w:pPr>
      <w:r>
        <w:rPr>
          <w:rFonts w:cstheme="minorBidi" w:hAnsiTheme="minorHAnsi" w:eastAsiaTheme="minorHAnsi" w:asciiTheme="minorHAnsi" w:ascii="Times New Roman" w:hAnsi="Times New Roman" w:eastAsia="Times New Roman" w:cs="Times New Roman"/>
        </w:rPr>
        <w:t>Expression of NF-κB in gastric carcinoma and its relationship with TOPO</w:t>
      </w:r>
      <w:r>
        <w:rPr>
          <w:rFonts w:ascii="宋体" w:hAnsi="宋体" w:cstheme="minorBidi" w:eastAsiaTheme="minorHAnsi" w:eastAsia="Times New Roman" w:cs="Times New Roman"/>
        </w:rPr>
        <w:t>Ⅱ</w:t>
      </w:r>
      <w:r>
        <w:rPr>
          <w:rFonts w:cstheme="minorBidi" w:hAnsiTheme="minorHAnsi" w:eastAsiaTheme="minorHAnsi" w:asciiTheme="minorHAnsi" w:ascii="Times New Roman" w:hAnsi="Times New Roman" w:eastAsia="Times New Roman" w:cs="Times New Roman"/>
        </w:rPr>
        <w:t>and Ki-67</w:t>
      </w:r>
    </w:p>
    <w:p w:rsidR="0018722C">
      <w:pPr>
        <w:topLinePunct/>
      </w:pPr>
      <w:r>
        <w:t>研</w:t>
      </w:r>
      <w:r w:rsidR="001852F3">
        <w:t xml:space="preserve">究</w:t>
      </w:r>
      <w:r w:rsidR="001852F3">
        <w:t xml:space="preserve">生</w:t>
      </w:r>
      <w:r w:rsidR="001852F3">
        <w:t xml:space="preserve">：</w:t>
      </w:r>
      <w:r w:rsidR="001852F3">
        <w:t xml:space="preserve">李</w:t>
      </w:r>
      <w:r>
        <w:t>常</w:t>
      </w:r>
      <w:r>
        <w:t>洲</w:t>
      </w:r>
      <w:r w:rsidR="001852F3">
        <w:t xml:space="preserve">学</w:t>
      </w:r>
      <w:r w:rsidR="001852F3">
        <w:t>号</w:t>
      </w:r>
      <w:r/>
      <w:r>
        <w:t>:</w:t>
      </w:r>
      <w:r w:rsidRPr="00000000">
        <w:tab/>
        <w:t>20110127</w:t>
      </w:r>
    </w:p>
    <w:p w:rsidR="0018722C">
      <w:pPr>
        <w:pStyle w:val="BodyText"/>
        <w:tabs>
          <w:tab w:pos="2211" w:val="left" w:leader="none"/>
        </w:tabs>
        <w:spacing w:before="61"/>
        <w:ind w:leftChars="0" w:left="1373"/>
        <w:topLinePunct/>
      </w:pPr>
      <w:r>
        <w:t>年</w:t>
      </w:r>
      <w:r w:rsidR="001852F3">
        <w:t>级</w:t>
      </w:r>
      <w:r w:rsidR="001852F3">
        <w:t xml:space="preserve">：</w:t>
      </w:r>
      <w:r w:rsidR="001852F3">
        <w:t xml:space="preserve">2011</w:t>
      </w:r>
      <w:r>
        <w:rPr>
          <w:spacing w:val="-36"/>
        </w:rPr>
        <w:t> </w:t>
      </w:r>
      <w:r>
        <w:t>级</w:t>
      </w:r>
    </w:p>
    <w:p w:rsidR="0018722C">
      <w:pPr>
        <w:topLinePunct/>
      </w:pPr>
      <w:r>
        <w:t>导</w:t>
      </w:r>
      <w:r w:rsidR="001852F3">
        <w:t>师</w:t>
      </w:r>
      <w:r/>
      <w:r>
        <w:t>：</w:t>
      </w:r>
      <w:r>
        <w:t>李</w:t>
      </w:r>
      <w:r>
        <w:t>建辉</w:t>
      </w:r>
      <w:r w:rsidR="001852F3">
        <w:t xml:space="preserve">教授学</w:t>
      </w:r>
      <w:r>
        <w:t>科专</w:t>
      </w:r>
      <w:r>
        <w:t>业</w:t>
      </w:r>
      <w:r/>
      <w:r>
        <w:t>：</w:t>
      </w:r>
      <w:r/>
      <w:r>
        <w:t>肿</w:t>
      </w:r>
      <w:r>
        <w:t>瘤学</w:t>
      </w:r>
    </w:p>
    <w:p w:rsidR="0018722C">
      <w:pPr>
        <w:pStyle w:val="ae"/>
        <w:topLinePunct/>
      </w:pPr>
      <w:r>
        <w:pict>
          <v:group style="margin-left:223.25pt;margin-top:37.401573pt;width:309.650pt;height:16.3500pt;mso-position-horizontal-relative:page;mso-position-vertical-relative:paragraph;z-index:-47920" coordorigin="4465,748" coordsize="6193,327">
            <v:shape style="position:absolute;left:4465;top:748;width:533;height:327" type="#_x0000_t75" stroked="false">
              <v:imagedata r:id="rId5" o:title=""/>
            </v:shape>
            <v:shape style="position:absolute;left:4820;top:748;width:212;height:327" type="#_x0000_t75" stroked="false">
              <v:imagedata r:id="rId6" o:title=""/>
            </v:shape>
            <v:shape style="position:absolute;left:4925;top:748;width:557;height:327" type="#_x0000_t75" stroked="false">
              <v:imagedata r:id="rId7" o:title=""/>
            </v:shape>
            <v:shape style="position:absolute;left:5204;top:748;width:312;height:327" type="#_x0000_t75" stroked="false">
              <v:imagedata r:id="rId8" o:title=""/>
            </v:shape>
            <v:shape style="position:absolute;left:5360;top:748;width:538;height:327" type="#_x0000_t75" stroked="false">
              <v:imagedata r:id="rId9" o:title=""/>
            </v:shape>
            <v:shape style="position:absolute;left:5629;top:748;width:1133;height:327" type="#_x0000_t75" stroked="false">
              <v:imagedata r:id="rId10" o:title=""/>
            </v:shape>
            <v:shape style="position:absolute;left:6620;top:748;width:538;height:327" type="#_x0000_t75" stroked="false">
              <v:imagedata r:id="rId9" o:title=""/>
            </v:shape>
            <v:shape style="position:absolute;left:6889;top:748;width:382;height:327" type="#_x0000_t75" stroked="false">
              <v:imagedata r:id="rId11" o:title=""/>
            </v:shape>
            <v:shape style="position:absolute;left:7143;top:748;width:212;height:327" type="#_x0000_t75" stroked="false">
              <v:imagedata r:id="rId6" o:title=""/>
            </v:shape>
            <v:shape style="position:absolute;left:7249;top:748;width:494;height:327" type="#_x0000_t75" stroked="false">
              <v:imagedata r:id="rId12" o:title=""/>
            </v:shape>
            <v:shape style="position:absolute;left:7578;top:748;width:562;height:327" type="#_x0000_t75" stroked="false">
              <v:imagedata r:id="rId13" o:title=""/>
            </v:shape>
            <v:shape style="position:absolute;left:7859;top:748;width:843;height:327" type="#_x0000_t75" stroked="false">
              <v:imagedata r:id="rId14" o:title=""/>
            </v:shape>
            <v:shape style="position:absolute;left:8421;top:748;width:2236;height:327" type="#_x0000_t75" stroked="false">
              <v:imagedata r:id="rId15" o:title=""/>
            </v:shape>
            <w10:wrap type="none"/>
          </v:group>
        </w:pict>
      </w:r>
      <w:r>
        <w:t>所在部系</w:t>
      </w:r>
      <w:r w:rsidR="001852F3">
        <w:t xml:space="preserve">：</w:t>
      </w:r>
      <w:r w:rsidR="001852F3">
        <w:t xml:space="preserve">临床学院研究方向 ：</w:t>
      </w:r>
    </w:p>
    <w:p w:rsidR="0018722C">
      <w:pPr>
        <w:pStyle w:val="aff7"/>
        <w:topLinePunct/>
      </w:pPr>
      <w:r>
        <w:pict>
          <v:group style="margin-left:223.610001pt;margin-top:6.995022pt;width:56pt;height:16.3500pt;mso-position-horizontal-relative:page;mso-position-vertical-relative:paragraph;z-index:0;mso-wrap-distance-left:0;mso-wrap-distance-right:0" coordorigin="4472,140" coordsize="1120,327">
            <v:shape style="position:absolute;left:4472;top:139;width:562;height:327" type="#_x0000_t75" stroked="false">
              <v:imagedata r:id="rId16" o:title=""/>
            </v:shape>
            <v:shape style="position:absolute;left:4753;top:139;width:839;height:327" type="#_x0000_t75" stroked="false">
              <v:imagedata r:id="rId17" o:title=""/>
            </v:shape>
            <w10:wrap type="topAndBottom"/>
          </v:group>
        </w:pict>
      </w:r>
    </w:p>
    <w:p w:rsidR="0018722C">
      <w:pPr>
        <w:topLinePunct/>
      </w:pPr>
      <w:r>
        <w:t>研究起止日期</w:t>
      </w:r>
      <w:r>
        <w:t>：2012</w:t>
      </w:r>
      <w:r/>
      <w:r w:rsidR="001852F3">
        <w:t xml:space="preserve">年</w:t>
      </w:r>
      <w:r>
        <w:t>9</w:t>
      </w:r>
      <w:r/>
      <w:r w:rsidR="001852F3">
        <w:t xml:space="preserve">月</w:t>
      </w:r>
      <w:r>
        <w:rPr>
          <w:rFonts w:ascii="Times New Roman" w:eastAsia="宋体"/>
        </w:rPr>
        <w:t>~</w:t>
      </w:r>
      <w:r>
        <w:t>2014</w:t>
      </w:r>
      <w:r/>
      <w:r w:rsidR="001852F3">
        <w:t xml:space="preserve">年</w:t>
      </w:r>
      <w:r>
        <w:t>3</w:t>
      </w:r>
      <w:r/>
      <w:r w:rsidR="001852F3">
        <w:t xml:space="preserve">月</w:t>
      </w:r>
      <w:r>
        <w:t>论文提交日期</w:t>
      </w:r>
      <w:r>
        <w:t>：2014</w:t>
      </w:r>
      <w:r/>
      <w:r w:rsidR="001852F3">
        <w:t xml:space="preserve">年</w:t>
      </w:r>
      <w:r>
        <w:t>3</w:t>
      </w:r>
      <w:r>
        <w:t> 月</w:t>
      </w:r>
    </w:p>
    <w:p w:rsidR="0018722C">
      <w:pPr>
        <w:pStyle w:val="affe"/>
        <w:topLinePunct/>
      </w:pPr>
      <w:bookmarkStart w:id="577335" w:name="_Ref665577335"/>
      <w:r>
        <w:t>目    录</w:t>
      </w:r>
    </w:p>
    <w:bookmarkEnd w:id="577335"/>
    <w:p w:rsidR="0018722C">
      <w:pPr>
        <w:pStyle w:val="TOC1"/>
        <w:topLinePunct/>
      </w:pPr>
      <w:r>
        <w:fldChar w:fldCharType="begin"/>
      </w:r>
      <w:r>
        <w:instrText> TOC \o "1-1" \h \z \u </w:instrText>
      </w:r>
      <w:r>
        <w:fldChar w:fldCharType="separate"/>
      </w:r>
      <w:r>
        <w:fldChar w:fldCharType="begin"/>
      </w:r>
      <w:r>
        <w:instrText>HYPERLINK \l "_Toc686273654"</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_Toc686273654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"_Toc686273655"</w:instrText>
      </w:r>
      <w:r>
        <w:fldChar w:fldCharType="separate"/>
      </w:r>
      <w:r>
        <w:t>（</w:t>
      </w:r>
      <w:r>
        <w:t xml:space="preserve">3</w:t>
      </w:r>
      <w:r>
        <w:t>）</w:t>
      </w:r>
      <w:r>
        <w:t xml:space="preserve">  </w:t>
      </w:r>
      <w:r>
        <w:t>102</w:t>
      </w:r>
      <w:r w:rsidR="001852F3">
        <w:t xml:space="preserve">例胃癌组织标本中，</w:t>
      </w:r>
      <w:r>
        <w:t>Ki-67</w:t>
      </w:r>
      <w:r>
        <w:t>阳性表达者</w:t>
      </w:r>
      <w:r>
        <w:t>88</w:t>
      </w:r>
      <w:r>
        <w:t>例，阳性表达率</w:t>
      </w:r>
      <w:r>
        <w:fldChar w:fldCharType="end"/>
      </w:r>
      <w:r>
        <w:rPr>
          <w:noProof/>
          <w:webHidden/>
        </w:rPr>
        <w:tab/>
      </w:r>
      <w:r>
        <w:rPr>
          <w:noProof/>
          <w:webHidden/>
        </w:rPr>
        <w:fldChar w:fldCharType="begin"/>
      </w:r>
      <w:r>
        <w:rPr>
          <w:noProof/>
          <w:webHidden/>
        </w:rPr>
        <w:instrText> PAGEREF _Toc686273655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"_Toc686273656"</w:instrText>
      </w:r>
      <w:r>
        <w:fldChar w:fldCharType="separate"/>
      </w:r>
      <w:r>
        <w:t>（</w:t>
      </w:r>
      <w:r>
        <w:t>4</w:t>
      </w:r>
      <w:r>
        <w:t>）</w:t>
      </w:r>
      <w:r>
        <w:t xml:space="preserve">  </w:t>
      </w:r>
      <w:r>
        <w:t>3</w:t>
      </w:r>
      <w:r>
        <w:t>个指标在胃癌组织中的阳性表达例数分别为</w:t>
      </w:r>
      <w:r>
        <w:t>72</w:t>
      </w:r>
      <w:r>
        <w:t>例、</w:t>
      </w:r>
      <w:r>
        <w:t>55</w:t>
      </w:r>
      <w:r>
        <w:t>例和</w:t>
      </w:r>
      <w:r>
        <w:fldChar w:fldCharType="end"/>
      </w:r>
      <w:r>
        <w:rPr>
          <w:noProof/>
          <w:webHidden/>
        </w:rPr>
        <w:tab/>
      </w:r>
      <w:r>
        <w:rPr>
          <w:noProof/>
          <w:webHidden/>
        </w:rPr>
        <w:fldChar w:fldCharType="begin"/>
      </w:r>
      <w:r>
        <w:rPr>
          <w:noProof/>
          <w:webHidden/>
        </w:rPr>
        <w:instrText> PAGEREF _Toc686273656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"_Toc686273657"</w:instrText>
      </w:r>
      <w:r>
        <w:fldChar w:fldCharType="separate"/>
      </w:r>
      <w:r>
        <w:rPr>
          <w:b/>
        </w:rPr>
        <w:t>Abstract</w:t>
      </w:r>
      <w:r>
        <w:fldChar w:fldCharType="end"/>
      </w:r>
      <w:r>
        <w:rPr>
          <w:noProof/>
          <w:webHidden/>
        </w:rPr>
        <w:tab/>
      </w:r>
      <w:r>
        <w:rPr>
          <w:noProof/>
          <w:webHidden/>
        </w:rPr>
        <w:fldChar w:fldCharType="begin"/>
      </w:r>
      <w:r>
        <w:rPr>
          <w:noProof/>
          <w:webHidden/>
        </w:rPr>
        <w:instrText> PAGEREF _Toc686273657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"_Toc686273658"</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_Toc686273658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"_Toc686273659"</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_Toc686273659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"_Toc686273660"</w:instrText>
      </w:r>
      <w:r>
        <w:fldChar w:fldCharType="separate"/>
      </w:r>
      <w:r>
        <w:t>参 考 文 献</w:t>
      </w:r>
      <w:r>
        <w:fldChar w:fldCharType="end"/>
      </w:r>
      <w:r>
        <w:rPr>
          <w:noProof/>
          <w:webHidden/>
        </w:rPr>
        <w:tab/>
      </w:r>
      <w:r>
        <w:rPr>
          <w:noProof/>
          <w:webHidden/>
        </w:rPr>
        <w:fldChar w:fldCharType="begin"/>
      </w:r>
      <w:r>
        <w:rPr>
          <w:noProof/>
          <w:webHidden/>
        </w:rPr>
        <w:instrText> PAGEREF _Toc686273660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"_Toc686273661"</w:instrText>
      </w:r>
      <w:r>
        <w:fldChar w:fldCharType="separate"/>
      </w:r>
      <w:r>
        <w:t>参考文献</w:t>
      </w:r>
      <w:r>
        <w:fldChar w:fldCharType="end"/>
      </w:r>
      <w:r>
        <w:rPr>
          <w:noProof/>
          <w:webHidden/>
        </w:rPr>
        <w:tab/>
      </w:r>
      <w:r>
        <w:rPr>
          <w:noProof/>
          <w:webHidden/>
        </w:rPr>
        <w:fldChar w:fldCharType="begin"/>
      </w:r>
      <w:r>
        <w:rPr>
          <w:noProof/>
          <w:webHidden/>
        </w:rPr>
        <w:instrText> PAGEREF _Toc686273661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"_Toc686273662"</w:instrText>
      </w:r>
      <w:r>
        <w:fldChar w:fldCharType="separate"/>
      </w:r>
      <w:r>
        <w:t>参  考  文 献</w:t>
      </w:r>
      <w:r>
        <w:fldChar w:fldCharType="end"/>
      </w:r>
      <w:r>
        <w:rPr>
          <w:noProof/>
          <w:webHidden/>
        </w:rPr>
        <w:tab/>
      </w:r>
      <w:r>
        <w:rPr>
          <w:noProof/>
          <w:webHidden/>
        </w:rPr>
        <w:fldChar w:fldCharType="begin"/>
      </w:r>
      <w:r>
        <w:rPr>
          <w:noProof/>
          <w:webHidden/>
        </w:rPr>
        <w:instrText> PAGEREF _Toc686273662 \h </w:instrText>
      </w:r>
      <w:r>
        <w:rPr>
          <w:noProof/>
          <w:webHidden/>
        </w:rPr>
        <w:fldChar w:fldCharType="separate"/>
      </w:r>
      <w:r>
        <w:rPr>
          <w:noProof/>
          <w:webHidden/>
        </w:rPr>
        <w:t>15</w:t>
      </w:r>
      <w:r>
        <w:rPr>
          <w:noProof/>
          <w:webHidden/>
        </w:rPr>
        <w:fldChar w:fldCharType="end"/>
      </w:r>
      <w:r>
        <w:fldChar w:fldCharType="end"/>
      </w:r>
    </w:p>
    <w:p w:rsidR="009F338D">
      <w:pPr>
        <w:sectPr w:rsidR="00556256">
          <w:headerReference w:type="even" r:id="rId53"/>
          <w:headerReference w:type="default" r:id="rId51"/>
          <w:footerReference w:type="even" r:id="rId49"/>
          <w:footerReference w:type="default" r:id="rId46"/>
          <w:footerReference w:type="first" r:id="rId44"/>
          <w:headerReference w:type="first" r:id="rId55"/>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黑体" w:hAnsi="黑体" w:eastAsia="黑体" w:cs="Times New Roman" w:hint="eastAsia"/>
          <w:b/>
        </w:rPr>
        <w:t>NF-κB</w:t>
      </w:r>
      <w:r w:rsidR="001852F3">
        <w:rPr>
          <w:rFonts w:cstheme="minorBidi" w:hAnsiTheme="minorHAnsi" w:eastAsiaTheme="minorHAnsi" w:asciiTheme="minorHAnsi" w:ascii="黑体" w:hAnsi="黑体" w:eastAsia="黑体" w:cs="Times New Roman" w:hint="eastAsia"/>
          <w:b/>
        </w:rPr>
        <w:t xml:space="preserve">在胃癌组织中的表达及其与</w:t>
      </w:r>
      <w:r w:rsidR="001852F3">
        <w:rPr>
          <w:rFonts w:cstheme="minorBidi" w:hAnsiTheme="minorHAnsi" w:eastAsiaTheme="minorHAnsi" w:asciiTheme="minorHAnsi" w:ascii="黑体" w:hAnsi="黑体" w:eastAsia="黑体" w:cs="Times New Roman" w:hint="eastAsia"/>
          <w:b/>
        </w:rPr>
        <w:t xml:space="preserve">TOPO II、Ki-67</w:t>
      </w:r>
      <w:r w:rsidR="001852F3">
        <w:rPr>
          <w:rFonts w:cstheme="minorBidi" w:hAnsiTheme="minorHAnsi" w:eastAsiaTheme="minorHAnsi" w:asciiTheme="minorHAnsi" w:ascii="黑体" w:hAnsi="黑体" w:eastAsia="黑体" w:cs="Times New Roman" w:hint="eastAsia"/>
          <w:b/>
        </w:rPr>
        <w:t xml:space="preserve">的关系</w:t>
      </w:r>
    </w:p>
    <w:p w:rsidR="0018722C">
      <w:pPr>
        <w:pStyle w:val="af6"/>
        <w:topLinePunct/>
      </w:pPr>
      <w:bookmarkStart w:id="577336" w:name="_Ref665577336"/>
      <w:bookmarkStart w:id="273654" w:name="_Toc686273654"/>
      <w:r>
        <w:t>摘</w:t>
      </w:r>
      <w:r w:rsidRPr="00000000">
        <w:rPr>
          <w:b/>
        </w:rPr>
        <w:t>要</w:t>
      </w:r>
      <w:bookmarkEnd w:id="273654"/>
    </w:p>
    <w:bookmarkEnd w:id="577336"/>
    <w:p w:rsidR="0018722C">
      <w:pPr>
        <w:topLinePunct/>
      </w:pPr>
      <w:bookmarkStart w:name="中文摘要 " w:id="4"/>
      <w:bookmarkEnd w:id="4"/>
      <w:r>
        <w:t>胃癌是恶性占位性疾病，在中国各种恶性肿瘤中位居前列，好发于高龄患者，50</w:t>
      </w:r>
      <w:r>
        <w:t>岁以上者发病率明显升高，男女发病率之比为</w:t>
      </w:r>
      <w:r>
        <w:t>2</w:t>
      </w:r>
      <w:r>
        <w:t xml:space="preserve">: </w:t>
      </w:r>
      <w:r>
        <w:t>1</w:t>
      </w:r>
      <w:r>
        <w:t>，但因该病</w:t>
      </w:r>
      <w:r>
        <w:t>起病隐匿，恶性程度高，预后极差，是我国乃至世界人民的重要健康威胁。</w:t>
      </w:r>
      <w:r>
        <w:t>当前对胃癌研究的方法较多，肿瘤分子生物学的研究是认识胃癌的重要途</w:t>
      </w:r>
      <w:r>
        <w:t>径之一，其中对核转录因子</w:t>
      </w:r>
      <w:r>
        <w:t>kappa B</w:t>
      </w:r>
      <w:r>
        <w:t>(</w:t>
      </w:r>
      <w:r>
        <w:t>nuclear transcription factor</w:t>
      </w:r>
      <w:r>
        <w:t>κB, NF-κB</w:t>
      </w:r>
      <w:r>
        <w:t>)</w:t>
      </w:r>
      <w:r>
        <w:t>的研究为众多研究的热点之一，并且已经逐渐认识到</w:t>
      </w:r>
      <w:r>
        <w:t>NF-κB</w:t>
      </w:r>
      <w:r>
        <w:t>与多</w:t>
      </w:r>
      <w:r>
        <w:t>种实体肿瘤均有相关性，其可以调控炎症因子、细胞的凋亡及肿瘤组织的血管、淋巴管的生成，在肿瘤的发生、发展中有多种作用。目前关于</w:t>
      </w:r>
      <w:r>
        <w:t>NF</w:t>
      </w:r>
      <w:r>
        <w:t>-</w:t>
      </w:r>
    </w:p>
    <w:p w:rsidR="0018722C">
      <w:pPr>
        <w:topLinePunct/>
      </w:pPr>
      <w:r>
        <w:t>κB</w:t>
      </w:r>
      <w:r>
        <w:t>在多种癌症中的研究虽然较多，但研究</w:t>
      </w:r>
      <w:r>
        <w:t>NF-κB p</w:t>
      </w:r>
      <w:r>
        <w:rPr>
          <w:vertAlign w:val="superscript"/>
          /&gt;
        </w:rPr>
        <w:t>50</w:t>
      </w:r>
      <w:r>
        <w:t>在胃粘膜组织的不同临床分期中的表达意义及其与Ki-67、</w:t>
      </w:r>
      <w:r>
        <w:t>TOPOⅡ的关系的研究少见，已有研究结果证实</w:t>
      </w:r>
      <w:r>
        <w:t>Ki-67、</w:t>
      </w:r>
      <w:r>
        <w:t>TOPO</w:t>
      </w:r>
      <w:r>
        <w:t>Ⅱ与各种良恶性肿瘤</w:t>
      </w:r>
      <w:r>
        <w:rPr>
          <w:spacing w:val="0"/>
        </w:rPr>
        <w:t>（</w:t>
      </w:r>
      <w:r>
        <w:t>包括胃癌等多种肿瘤</w:t>
      </w:r>
      <w:r>
        <w:rPr>
          <w:spacing w:val="0"/>
        </w:rPr>
        <w:t>）</w:t>
      </w:r>
      <w:r>
        <w:t>有密</w:t>
      </w:r>
      <w:r>
        <w:t>切关系，进一步探讨三者与胃癌的生物学行为及三者之间的关系具有一定</w:t>
      </w:r>
      <w:r>
        <w:t>的临床意义。</w:t>
      </w:r>
    </w:p>
    <w:p w:rsidR="0018722C">
      <w:pPr>
        <w:topLinePunct/>
      </w:pPr>
      <w:r>
        <w:t>NF-κB</w:t>
      </w:r>
      <w:r>
        <w:t>不仅可以通过多种途径参与肿瘤的发生、发展过程，与此同时</w:t>
      </w:r>
      <w:r>
        <w:t>在评估胃癌的化疗等治疗效果、肿瘤预后及耐药等多方面存在一定的意</w:t>
      </w:r>
      <w:r>
        <w:t>义，通过对三者的探讨，以期为胃癌的研究、防治及肿瘤临床生物学行为</w:t>
      </w:r>
      <w:r>
        <w:t>和预后的评估提供理论依据。</w:t>
      </w:r>
    </w:p>
    <w:p w:rsidR="0018722C">
      <w:pPr>
        <w:topLinePunct/>
      </w:pPr>
      <w:r>
        <w:rPr>
          <w:rFonts w:cstheme="minorBidi" w:hAnsiTheme="minorHAnsi" w:eastAsiaTheme="minorHAnsi" w:asciiTheme="minorHAnsi" w:ascii="宋体" w:hAnsi="黑体" w:eastAsia="宋体" w:cs="黑体" w:hint="eastAsia"/>
          <w:b/>
        </w:rPr>
        <w:t>目的：</w:t>
      </w:r>
    </w:p>
    <w:p w:rsidR="0018722C">
      <w:pPr>
        <w:topLinePunct/>
      </w:pPr>
      <w:r>
        <w:t>通过对</w:t>
      </w:r>
      <w:r>
        <w:t>NF-κB</w:t>
      </w:r>
      <w:r>
        <w:t>、</w:t>
      </w:r>
      <w:r>
        <w:t>Ki-67</w:t>
      </w:r>
      <w:r>
        <w:t>、</w:t>
      </w:r>
      <w:r>
        <w:t>TOPO</w:t>
      </w:r>
      <w:r>
        <w:t>Ⅱ在胃粘膜不同临床分期组织中的研究，</w:t>
      </w:r>
      <w:r>
        <w:t>了解三者在胃癌组织中的表达及其与胃癌生物学行为之间的关系，以期为</w:t>
      </w:r>
      <w:r>
        <w:t>胃癌的生物学行为、预后的评估提供依据。</w:t>
      </w:r>
    </w:p>
    <w:p w:rsidR="0018722C">
      <w:pPr>
        <w:topLinePunct/>
      </w:pPr>
      <w:r>
        <w:rPr>
          <w:rFonts w:cstheme="minorBidi" w:hAnsiTheme="minorHAnsi" w:eastAsiaTheme="minorHAnsi" w:asciiTheme="minorHAnsi" w:ascii="宋体" w:hAnsi="黑体" w:eastAsia="宋体" w:cs="黑体" w:hint="eastAsia"/>
          <w:b/>
        </w:rPr>
        <w:t>方法：</w:t>
      </w:r>
    </w:p>
    <w:p w:rsidR="0018722C">
      <w:pPr>
        <w:topLinePunct/>
      </w:pPr>
      <w:r>
        <w:t>1</w:t>
      </w:r>
      <w:r w:rsidR="001852F3">
        <w:t xml:space="preserve">研究对象</w:t>
      </w:r>
      <w:r w:rsidR="001852F3">
        <w:t xml:space="preserve">胃癌组</w:t>
      </w:r>
      <w:r w:rsidR="001852F3">
        <w:t xml:space="preserve">102</w:t>
      </w:r>
      <w:r w:rsidR="001852F3">
        <w:t xml:space="preserve">例，均为胃腺癌，标本来自于承德市中心医</w:t>
      </w:r>
    </w:p>
    <w:p w:rsidR="0018722C">
      <w:pPr>
        <w:topLinePunct/>
      </w:pPr>
      <w:r>
        <w:t>院</w:t>
      </w:r>
      <w:r>
        <w:t>2011</w:t>
      </w:r>
      <w:r/>
      <w:r w:rsidR="001852F3">
        <w:t xml:space="preserve">年-</w:t>
      </w:r>
      <w:r>
        <w:t>2013</w:t>
      </w:r>
      <w:r/>
      <w:r w:rsidR="001852F3">
        <w:t xml:space="preserve">年肿瘤科手术术后患者，其中男性</w:t>
      </w:r>
      <w:r>
        <w:t>72</w:t>
      </w:r>
      <w:r/>
      <w:r w:rsidR="001852F3">
        <w:t xml:space="preserve">例，女性</w:t>
      </w:r>
      <w:r>
        <w:t>30</w:t>
      </w:r>
      <w:r/>
      <w:r w:rsidR="001852F3">
        <w:t xml:space="preserve">例，</w:t>
      </w:r>
      <w:r>
        <w:t>年龄</w:t>
      </w:r>
      <w:r>
        <w:t>42-78</w:t>
      </w:r>
      <w:r/>
      <w:r w:rsidR="001852F3">
        <w:t xml:space="preserve">岁，</w:t>
      </w:r>
      <w:r w:rsidR="001852F3">
        <w:t xml:space="preserve">中位年龄</w:t>
      </w:r>
      <w:r>
        <w:t>59</w:t>
      </w:r>
      <w:r/>
      <w:r w:rsidR="001852F3">
        <w:t xml:space="preserve">岁，其中年龄≥</w:t>
      </w:r>
      <w:r>
        <w:t>55</w:t>
      </w:r>
      <w:r/>
      <w:r w:rsidR="001852F3">
        <w:t xml:space="preserve">岁者</w:t>
      </w:r>
      <w:r>
        <w:t>69</w:t>
      </w:r>
      <w:r/>
      <w:r w:rsidR="001852F3">
        <w:t xml:space="preserve">例，＜</w:t>
      </w:r>
      <w:r>
        <w:t>55</w:t>
      </w:r>
      <w:r/>
      <w:r w:rsidR="001852F3">
        <w:t xml:space="preserve">岁</w:t>
      </w:r>
      <w:r w:rsidR="001852F3">
        <w:t>者</w:t>
      </w:r>
    </w:p>
    <w:p w:rsidR="0018722C">
      <w:spacing w:beforeLines="0" w:before="0" w:afterLines="0" w:after="0" w:line="440" w:lineRule="auto"/>
      <w:pPr>
        <w:sectPr w:rsidR="00556256">
          <w:headerReference w:type="even" r:id="rId54"/>
          <w:headerReference w:type="default" r:id="rId50"/>
          <w:footerReference w:type="even" r:id="rId48"/>
          <w:footerReference w:type="default" r:id="rId47"/>
          <w:headerReference w:type="first" r:id="rId45"/>
          <w:footerReference w:type="first" r:id="rId52"/>
          <w:pgSz w:w="11906" w:h="16838" w:code="9"/>
          <w:pgMar w:top="1418" w:right="1134" w:bottom="1134" w:left="1418" w:header="851" w:footer="907" w:gutter="0"/>
          <w:pgNumType w:start="1"/>
          <w:cols w:space="720"/>
          <w:titlePg/>
          <w:docGrid w:type="lines" w:linePitch="326"/>
        </w:sectPr>
        <w:topLinePunct/>
      </w:pPr>
    </w:p>
    <w:p w:rsidR="0018722C">
      <w:pPr>
        <w:pStyle w:val="cw19"/>
        <w:topLinePunct/>
      </w:pPr>
      <w:r>
        <w:rPr>
          <w:rFonts w:ascii="宋体" w:eastAsia="宋体" w:hint="eastAsia"/>
        </w:rPr>
        <w:t>33</w:t>
      </w:r>
      <w:r>
        <w:rPr>
          <w:rFonts w:ascii="宋体" w:eastAsia="宋体" w:hint="eastAsia"/>
        </w:rPr>
        <w:t>例，术前均未行放化疗，术后病理证实均为腺癌，其中高、中分化腺</w:t>
      </w:r>
    </w:p>
    <w:p w:rsidR="0018722C">
      <w:pPr>
        <w:topLinePunct/>
      </w:pPr>
      <w:r>
        <w:t>癌</w:t>
      </w:r>
      <w:r>
        <w:t>33</w:t>
      </w:r>
      <w:r/>
      <w:r w:rsidR="001852F3">
        <w:t xml:space="preserve">例，低分化腺癌</w:t>
      </w:r>
      <w:r>
        <w:t>69</w:t>
      </w:r>
      <w:r/>
      <w:r w:rsidR="001852F3">
        <w:t xml:space="preserve">例；未侵及浆膜层者</w:t>
      </w:r>
      <w:r>
        <w:t>36</w:t>
      </w:r>
      <w:r/>
      <w:r w:rsidR="001852F3">
        <w:t xml:space="preserve">例，侵及浆膜层者</w:t>
      </w:r>
      <w:r>
        <w:t>66</w:t>
      </w:r>
    </w:p>
    <w:p w:rsidR="0018722C">
      <w:pPr>
        <w:topLinePunct/>
      </w:pPr>
      <w:r>
        <w:t>例，胃癌标本中无淋巴结转移者</w:t>
      </w:r>
      <w:r>
        <w:t>42</w:t>
      </w:r>
      <w:r/>
      <w:r w:rsidR="001852F3">
        <w:t xml:space="preserve">例，有淋巴结转移者</w:t>
      </w:r>
      <w:r>
        <w:t>60</w:t>
      </w:r>
      <w:r/>
      <w:r w:rsidR="001852F3">
        <w:t xml:space="preserve">例。另选取癌</w:t>
      </w:r>
      <w:r>
        <w:t>旁增生组织组</w:t>
      </w:r>
      <w:r>
        <w:rPr>
          <w:spacing w:val="-7"/>
        </w:rPr>
        <w:t>（</w:t>
      </w:r>
      <w:r>
        <w:rPr>
          <w:spacing w:val="-7"/>
        </w:rPr>
        <w:t xml:space="preserve">距离肿瘤灶</w:t>
      </w:r>
      <w:r>
        <w:rPr>
          <w:rFonts w:ascii="Times New Roman" w:eastAsia="宋体"/>
        </w:rPr>
        <w:t>5cm-10cm</w:t>
      </w:r>
      <w:r>
        <w:rPr>
          <w:spacing w:val="-2"/>
        </w:rPr>
        <w:t>之间、结合镜下特点证实为癌旁增生组织</w:t>
      </w:r>
      <w:r>
        <w:rPr>
          <w:spacing w:val="-2"/>
        </w:rPr>
        <w:t>）</w:t>
      </w:r>
      <w:r>
        <w:rPr>
          <w:rFonts w:ascii="Times New Roman" w:eastAsia="宋体"/>
        </w:rPr>
        <w:t>45</w:t>
      </w:r>
      <w:r>
        <w:t>例，正常胃黏膜</w:t>
      </w:r>
      <w:r>
        <w:t>（</w:t>
      </w:r>
      <w:r>
        <w:rPr>
          <w:spacing w:val="-6"/>
        </w:rPr>
        <w:t>距离肿瘤灶</w:t>
      </w:r>
      <w:r>
        <w:t>10</w:t>
      </w:r>
      <w:r>
        <w:rPr>
          <w:rFonts w:ascii="Times New Roman" w:eastAsia="宋体"/>
        </w:rPr>
        <w:t>cm</w:t>
      </w:r>
      <w:r>
        <w:rPr>
          <w:spacing w:val="0"/>
        </w:rPr>
        <w:t>以外、结合镜下特点证实</w:t>
      </w:r>
      <w:r>
        <w:rPr>
          <w:spacing w:val="-2"/>
        </w:rPr>
        <w:t>为正常胃粘膜组织</w:t>
      </w:r>
      <w:r>
        <w:t>）</w:t>
      </w:r>
      <w:r>
        <w:t>组织者</w:t>
      </w:r>
      <w:r>
        <w:t>34</w:t>
      </w:r>
      <w:r/>
      <w:r w:rsidR="001852F3">
        <w:t xml:space="preserve">例作为对照研究。</w:t>
      </w:r>
    </w:p>
    <w:p w:rsidR="0018722C">
      <w:pPr>
        <w:topLinePunct/>
      </w:pPr>
      <w:r>
        <w:t>2</w:t>
      </w:r>
      <w:r/>
      <w:r w:rsidR="001852F3">
        <w:t xml:space="preserve">标本的处理</w:t>
      </w:r>
      <w:r w:rsidR="001852F3">
        <w:t xml:space="preserve">收集承德市中心医院</w:t>
      </w:r>
      <w:r>
        <w:t>2011</w:t>
      </w:r>
      <w:r/>
      <w:r w:rsidR="001852F3">
        <w:t xml:space="preserve">年-</w:t>
      </w:r>
      <w:r>
        <w:t>2013</w:t>
      </w:r>
      <w:r/>
      <w:r w:rsidR="001852F3">
        <w:t xml:space="preserve">年肿瘤科手术术后</w:t>
      </w:r>
    </w:p>
    <w:p w:rsidR="0018722C">
      <w:pPr>
        <w:topLinePunct/>
      </w:pPr>
      <w:r>
        <w:t>患者标本，术后病理证实为胃腺癌的蜡块共</w:t>
      </w:r>
      <w:r>
        <w:t>102</w:t>
      </w:r>
      <w:r/>
      <w:r w:rsidR="001852F3">
        <w:t xml:space="preserve">例，癌旁增生组织，正常</w:t>
      </w:r>
      <w:r>
        <w:t>胃粘膜组织，取下的术后组织应尽量防止其弯曲、扭转，平展于草纸上粘</w:t>
      </w:r>
      <w:r>
        <w:t>着以后，慢慢地放入</w:t>
      </w:r>
      <w:r>
        <w:t>10</w:t>
      </w:r>
      <w:r>
        <w:t>％的中性福尔马林溶液固定，固定液的量为固定</w:t>
      </w:r>
      <w:r>
        <w:t>组织的</w:t>
      </w:r>
      <w:r>
        <w:t>10</w:t>
      </w:r>
      <w:r/>
      <w:r w:rsidR="001852F3">
        <w:t xml:space="preserve">倍，组织固定时间为</w:t>
      </w:r>
      <w:r>
        <w:t>12</w:t>
      </w:r>
      <w:r/>
      <w:r w:rsidR="001852F3">
        <w:t xml:space="preserve">小时，进行石蜡包埋，</w:t>
      </w:r>
      <w:r>
        <w:t>4</w:t>
      </w:r>
      <w:r>
        <w:rPr>
          <w:rFonts w:ascii="Times New Roman" w:hAnsi="Times New Roman" w:eastAsia="宋体"/>
        </w:rPr>
        <w:t>μm</w:t>
      </w:r>
      <w:r>
        <w:t>连续切片，</w:t>
      </w:r>
      <w:r>
        <w:t>经脱蜡、脱二甲苯、水化后利用免疫组织化学方法中的链霉素抗生物素蛋</w:t>
      </w:r>
      <w:r>
        <w:t>白-过氧化物酶</w:t>
      </w:r>
      <w:r>
        <w:t>(</w:t>
      </w:r>
      <w:r>
        <w:t>streptavidin-peroxidase</w:t>
      </w:r>
      <w:r>
        <w:t xml:space="preserve">, </w:t>
      </w:r>
      <w:r>
        <w:rPr>
          <w:rFonts w:ascii="Times New Roman" w:hAnsi="Times New Roman" w:eastAsia="宋体"/>
        </w:rPr>
        <w:t>S-P</w:t>
      </w:r>
      <w:r>
        <w:t>)</w:t>
      </w:r>
      <w:r>
        <w:t xml:space="preserve">法检测标本中</w:t>
      </w:r>
      <w:r>
        <w:rPr>
          <w:rFonts w:ascii="Times New Roman" w:hAnsi="Times New Roman" w:eastAsia="宋体"/>
        </w:rPr>
        <w:t>NF-κB</w:t>
      </w:r>
      <w:r>
        <w:t>、</w:t>
      </w:r>
      <w:r>
        <w:rPr>
          <w:rFonts w:ascii="Times New Roman" w:hAnsi="Times New Roman" w:eastAsia="宋体"/>
        </w:rPr>
        <w:t>Ki-67</w:t>
      </w:r>
      <w:r>
        <w:t>、</w:t>
      </w:r>
      <w:r>
        <w:rPr>
          <w:rFonts w:ascii="Times New Roman" w:hAnsi="Times New Roman" w:eastAsia="宋体"/>
        </w:rPr>
        <w:t>TOPO</w:t>
      </w:r>
      <w:r>
        <w:t>Ⅱ的表达情况，以</w:t>
      </w:r>
      <w:r>
        <w:rPr>
          <w:rFonts w:ascii="Times New Roman" w:hAnsi="Times New Roman" w:eastAsia="宋体"/>
        </w:rPr>
        <w:t>PBS</w:t>
      </w:r>
      <w:r>
        <w:t>代替一抗进行阴性对照，所有操作均严格按照仪器和试剂盒说明书进行</w:t>
      </w:r>
      <w:r>
        <w:rPr>
          <w:rFonts w:hint="eastAsia"/>
        </w:rPr>
        <w:t>，</w:t>
      </w:r>
      <w:r>
        <w:t>结果由两位病理科副主任以上医师</w:t>
      </w:r>
      <w:r>
        <w:t>于镜下判读，检测其在胃癌组织、癌旁增生组织及正常胃粘膜组织中的表</w:t>
      </w:r>
      <w:r>
        <w:t>达情况，结合病理学资料对其实验数据进行统计学分析。</w:t>
      </w:r>
    </w:p>
    <w:p w:rsidR="0018722C">
      <w:pPr>
        <w:topLinePunct/>
      </w:pPr>
      <w:bookmarkStart w:name="_TOC_250007" w:id="5"/>
      <w:bookmarkEnd w:id="5"/>
      <w:r>
        <w:rPr>
          <w:rFonts w:cstheme="minorBidi" w:hAnsiTheme="minorHAnsi" w:eastAsiaTheme="minorHAnsi" w:asciiTheme="minorHAnsi" w:ascii="宋体" w:hAnsi="黑体" w:eastAsia="宋体" w:cs="黑体" w:hint="eastAsia"/>
          <w:b/>
        </w:rPr>
        <w:t>结果：</w:t>
      </w:r>
    </w:p>
    <w:p w:rsidR="0018722C">
      <w:pPr>
        <w:topLinePunct/>
      </w:pPr>
      <w:r>
        <w:t>（</w:t>
      </w:r>
      <w:r>
        <w:rPr>
          <w:rFonts w:ascii="Times New Roman" w:hAnsi="Times New Roman" w:eastAsia="宋体"/>
        </w:rPr>
        <w:t>1</w:t>
      </w:r>
      <w:r>
        <w:t>）</w:t>
      </w:r>
      <w:r>
        <w:t>102</w:t>
      </w:r>
      <w:r/>
      <w:r w:rsidR="001852F3">
        <w:t xml:space="preserve">例胃癌组织标本中，</w:t>
      </w:r>
      <w:r>
        <w:rPr>
          <w:rFonts w:ascii="Times New Roman" w:hAnsi="Times New Roman" w:eastAsia="宋体"/>
        </w:rPr>
        <w:t>NF-</w:t>
      </w:r>
      <w:r>
        <w:t>κ</w:t>
      </w:r>
      <w:r>
        <w:rPr>
          <w:rFonts w:ascii="Times New Roman" w:hAnsi="Times New Roman" w:eastAsia="宋体"/>
        </w:rPr>
        <w:t>B</w:t>
      </w:r>
      <w:r>
        <w:t>阳性表达数为</w:t>
      </w:r>
      <w:r>
        <w:rPr>
          <w:rFonts w:ascii="Times New Roman" w:hAnsi="Times New Roman" w:eastAsia="宋体"/>
        </w:rPr>
        <w:t>72</w:t>
      </w:r>
      <w:r>
        <w:t>例，阳性表</w:t>
      </w:r>
      <w:r>
        <w:t>达率为</w:t>
      </w:r>
      <w:r>
        <w:rPr>
          <w:rFonts w:ascii="Times New Roman" w:hAnsi="Times New Roman" w:eastAsia="宋体"/>
        </w:rPr>
        <w:t>70</w:t>
      </w:r>
      <w:r>
        <w:rPr>
          <w:rFonts w:ascii="Times New Roman" w:hAnsi="Times New Roman" w:eastAsia="宋体"/>
        </w:rPr>
        <w:t>.</w:t>
      </w:r>
      <w:r>
        <w:rPr>
          <w:rFonts w:ascii="Times New Roman" w:hAnsi="Times New Roman" w:eastAsia="宋体"/>
        </w:rPr>
        <w:t>59%</w:t>
      </w:r>
      <w:r>
        <w:t>；</w:t>
      </w:r>
      <w:r>
        <w:rPr>
          <w:rFonts w:ascii="Times New Roman" w:hAnsi="Times New Roman" w:eastAsia="宋体"/>
        </w:rPr>
        <w:t>45</w:t>
      </w:r>
      <w:r>
        <w:t>例癌旁增生组织组阳性表达数为</w:t>
      </w:r>
      <w:r>
        <w:rPr>
          <w:rFonts w:ascii="Times New Roman" w:hAnsi="Times New Roman" w:eastAsia="宋体"/>
        </w:rPr>
        <w:t>10</w:t>
      </w:r>
      <w:r>
        <w:t>例，阳性表达率</w:t>
      </w:r>
      <w:r>
        <w:t>为</w:t>
      </w:r>
    </w:p>
    <w:p w:rsidR="0018722C">
      <w:pPr>
        <w:topLinePunct/>
      </w:pPr>
      <w:r>
        <w:rPr>
          <w:rFonts w:ascii="Times New Roman" w:hAnsi="Times New Roman" w:eastAsia="宋体"/>
        </w:rPr>
        <w:t>22.22%</w:t>
      </w:r>
      <w:r>
        <w:t>；</w:t>
      </w:r>
      <w:r>
        <w:rPr>
          <w:rFonts w:ascii="Times New Roman" w:hAnsi="Times New Roman" w:eastAsia="宋体"/>
        </w:rPr>
        <w:t>34</w:t>
      </w:r>
      <w:r>
        <w:t>例正常胃黏膜组织阳性表达数为</w:t>
      </w:r>
      <w:r>
        <w:rPr>
          <w:rFonts w:ascii="Times New Roman" w:hAnsi="Times New Roman" w:eastAsia="宋体"/>
        </w:rPr>
        <w:t>2</w:t>
      </w:r>
      <w:r>
        <w:t>例，阳性表达率为</w:t>
      </w:r>
      <w:r>
        <w:rPr>
          <w:rFonts w:ascii="Times New Roman" w:hAnsi="Times New Roman" w:eastAsia="宋体"/>
        </w:rPr>
        <w:t>5</w:t>
      </w:r>
      <w:r>
        <w:rPr>
          <w:rFonts w:ascii="Times New Roman" w:hAnsi="Times New Roman" w:eastAsia="宋体"/>
        </w:rPr>
        <w:t>.</w:t>
      </w:r>
      <w:r>
        <w:rPr>
          <w:rFonts w:ascii="Times New Roman" w:hAnsi="Times New Roman" w:eastAsia="宋体"/>
        </w:rPr>
        <w:t>88%</w:t>
      </w:r>
      <w:r>
        <w:t>，</w:t>
      </w:r>
      <w:r>
        <w:t>癌旁增生组织及正常胃粘膜组织中的</w:t>
      </w:r>
      <w:r>
        <w:rPr>
          <w:rFonts w:ascii="Times New Roman" w:hAnsi="Times New Roman" w:eastAsia="宋体"/>
        </w:rPr>
        <w:t>NF-</w:t>
      </w:r>
      <w:r>
        <w:t>κ</w:t>
      </w:r>
      <w:r>
        <w:rPr>
          <w:rFonts w:ascii="Times New Roman" w:hAnsi="Times New Roman" w:eastAsia="宋体"/>
        </w:rPr>
        <w:t>B</w:t>
      </w:r>
      <w:r>
        <w:t>表达率明显低于胃癌组织。</w:t>
      </w:r>
      <w:r>
        <w:t>经</w:t>
      </w:r>
      <w:r>
        <w:rPr>
          <w:rFonts w:ascii="Symbol" w:hAnsi="Symbol" w:eastAsia="Symbol"/>
          <w:i/>
        </w:rPr>
        <w:t></w:t>
      </w:r>
      <w:r>
        <w:rPr>
          <w:rFonts w:ascii="Times New Roman" w:hAnsi="Times New Roman" w:eastAsia="宋体"/>
        </w:rPr>
        <w:t>2</w:t>
      </w:r>
      <w:r>
        <w:t>检验，三者之间有统计学差异</w:t>
      </w:r>
      <w:r>
        <w:rPr>
          <w:rFonts w:ascii="Times New Roman" w:hAnsi="Times New Roman" w:eastAsia="宋体"/>
        </w:rPr>
        <w:t>(</w:t>
      </w:r>
      <w:r>
        <w:rPr>
          <w:rFonts w:ascii="Symbol" w:hAnsi="Symbol" w:eastAsia="Symbol"/>
          <w:i/>
        </w:rPr>
        <w:t></w:t>
      </w:r>
      <w:r>
        <w:rPr>
          <w:rFonts w:ascii="Times New Roman" w:hAnsi="Times New Roman" w:eastAsia="宋体"/>
        </w:rPr>
        <w:t>2</w:t>
      </w:r>
      <w:r>
        <w:rPr>
          <w:rFonts w:ascii="Times New Roman" w:hAnsi="Times New Roman" w:eastAsia="宋体"/>
        </w:rPr>
        <w:t>=57.104</w:t>
      </w:r>
      <w:r>
        <w:t xml:space="preserve">, </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Tab 2</w:t>
      </w:r>
      <w:r>
        <w:t>。</w:t>
      </w:r>
    </w:p>
    <w:p w:rsidR="0018722C">
      <w:pPr>
        <w:topLinePunct/>
      </w:pPr>
      <w:r>
        <w:t>（</w:t>
      </w:r>
      <w:r>
        <w:t>2</w:t>
      </w:r>
      <w:r>
        <w:t>）</w:t>
      </w:r>
      <w:r>
        <w:t>102</w:t>
      </w:r>
      <w:r/>
      <w:r w:rsidR="001852F3">
        <w:t xml:space="preserve">例胃癌组织标本中，</w:t>
      </w:r>
      <w:r>
        <w:rPr>
          <w:rFonts w:ascii="Times New Roman" w:hAnsi="Times New Roman" w:eastAsia="宋体"/>
        </w:rPr>
        <w:t>TOPO</w:t>
      </w:r>
      <w:r>
        <w:t>Ⅱ阳性表达者</w:t>
      </w:r>
      <w:r>
        <w:rPr>
          <w:rFonts w:ascii="Times New Roman" w:hAnsi="Times New Roman" w:eastAsia="宋体"/>
        </w:rPr>
        <w:t>55</w:t>
      </w:r>
      <w:r>
        <w:t>例，阳性表达</w:t>
      </w:r>
      <w:r>
        <w:t>率</w:t>
      </w:r>
      <w:r>
        <w:rPr>
          <w:rFonts w:ascii="Times New Roman" w:hAnsi="Times New Roman" w:eastAsia="宋体"/>
        </w:rPr>
        <w:t>53</w:t>
      </w:r>
      <w:r>
        <w:rPr>
          <w:rFonts w:ascii="Times New Roman" w:hAnsi="Times New Roman" w:eastAsia="宋体"/>
        </w:rPr>
        <w:t>.</w:t>
      </w:r>
      <w:r>
        <w:rPr>
          <w:rFonts w:ascii="Times New Roman" w:hAnsi="Times New Roman" w:eastAsia="宋体"/>
        </w:rPr>
        <w:t>92%</w:t>
      </w:r>
      <w:r>
        <w:t>，</w:t>
      </w:r>
      <w:r>
        <w:rPr>
          <w:rFonts w:ascii="Times New Roman" w:hAnsi="Times New Roman" w:eastAsia="宋体"/>
        </w:rPr>
        <w:t>45</w:t>
      </w:r>
      <w:r>
        <w:t>例癌旁增生组织阳性表达者</w:t>
      </w:r>
      <w:r>
        <w:rPr>
          <w:rFonts w:ascii="Times New Roman" w:hAnsi="Times New Roman" w:eastAsia="宋体"/>
        </w:rPr>
        <w:t>24</w:t>
      </w:r>
      <w:r>
        <w:t>例，阳性表达率</w:t>
      </w:r>
      <w:r>
        <w:rPr>
          <w:rFonts w:ascii="Times New Roman" w:hAnsi="Times New Roman" w:eastAsia="宋体"/>
        </w:rPr>
        <w:t>53</w:t>
      </w:r>
      <w:r>
        <w:rPr>
          <w:rFonts w:ascii="Times New Roman" w:hAnsi="Times New Roman" w:eastAsia="宋体"/>
        </w:rPr>
        <w:t>.</w:t>
      </w:r>
      <w:r>
        <w:rPr>
          <w:rFonts w:ascii="Times New Roman" w:hAnsi="Times New Roman" w:eastAsia="宋体"/>
        </w:rPr>
        <w:t>33%</w:t>
      </w:r>
      <w:r>
        <w:t>，</w:t>
      </w:r>
    </w:p>
    <w:p w:rsidR="0018722C">
      <w:pPr>
        <w:pStyle w:val="cw19"/>
        <w:topLinePunct/>
      </w:pPr>
      <w:r>
        <w:t>34</w:t>
      </w:r>
      <w:r>
        <w:rPr>
          <w:rFonts w:ascii="宋体" w:hAnsi="宋体" w:eastAsia="宋体" w:hint="eastAsia"/>
        </w:rPr>
        <w:t>例正常胃粘膜组织中阳性表达者</w:t>
      </w:r>
      <w:r>
        <w:t>10</w:t>
      </w:r>
      <w:r/>
      <w:r>
        <w:rPr>
          <w:rFonts w:ascii="宋体" w:hAnsi="宋体" w:eastAsia="宋体" w:hint="eastAsia"/>
        </w:rPr>
        <w:t>例，阳性表达率</w:t>
      </w:r>
      <w:r>
        <w:t>29</w:t>
      </w:r>
      <w:r>
        <w:t>.</w:t>
      </w:r>
      <w:r>
        <w:t>41%</w:t>
      </w:r>
      <w:r>
        <w:rPr>
          <w:rFonts w:ascii="宋体" w:hAnsi="宋体" w:eastAsia="宋体" w:hint="eastAsia"/>
        </w:rPr>
        <w:t>，经</w:t>
      </w:r>
      <w:r>
        <w:rPr>
          <w:rFonts w:ascii="Symbol" w:hAnsi="Symbol" w:eastAsia="Symbol"/>
          <w:i/>
        </w:rPr>
        <w:t></w:t>
      </w:r>
      <w:r>
        <w:t>2</w:t>
      </w:r>
      <w:r/>
      <w:r>
        <w:rPr>
          <w:rFonts w:ascii="宋体" w:hAnsi="宋体" w:eastAsia="宋体" w:hint="eastAsia"/>
        </w:rPr>
        <w:t>检</w:t>
      </w:r>
      <w:r>
        <w:rPr>
          <w:rFonts w:ascii="宋体" w:hAnsi="宋体" w:eastAsia="宋体" w:hint="eastAsia"/>
        </w:rPr>
        <w:t>验，三者之间有统计学差异</w:t>
      </w:r>
      <w:r>
        <w:t>(</w:t>
      </w:r>
      <w:r>
        <w:rPr>
          <w:rFonts w:ascii="Symbol" w:hAnsi="Symbol" w:eastAsia="Symbol"/>
          <w:i/>
        </w:rPr>
        <w:t></w:t>
      </w:r>
      <w:r>
        <w:t>2</w:t>
      </w:r>
      <w:r>
        <w:t>=6.281</w:t>
      </w:r>
      <w:r>
        <w:rPr>
          <w:rFonts w:ascii="宋体" w:hAnsi="宋体" w:eastAsia="宋体" w:hint="eastAsia"/>
          <w:rFonts w:ascii="宋体" w:hAnsi="宋体" w:eastAsia="宋体" w:hint="eastAsia"/>
          <w:sz w:val="28"/>
        </w:rPr>
        <w:t xml:space="preserve">, </w:t>
      </w:r>
      <w:r>
        <w:rPr>
          <w:i/>
        </w:rPr>
        <w:t>P</w:t>
      </w:r>
      <w:r>
        <w:rPr>
          <w:rFonts w:ascii="宋体" w:hAnsi="宋体" w:eastAsia="宋体" w:hint="eastAsia"/>
        </w:rPr>
        <w:t>＜</w:t>
      </w:r>
      <w:r>
        <w:t>0.05</w:t>
      </w:r>
      <w:r>
        <w:t>)</w:t>
      </w:r>
      <w:r w:rsidR="001852F3">
        <w:t xml:space="preserve"> </w:t>
      </w:r>
      <w:r>
        <w:t>Tab</w:t>
      </w:r>
      <w:r>
        <w:t> </w:t>
      </w:r>
      <w:r>
        <w:t>3</w:t>
      </w:r>
      <w:r>
        <w:rPr>
          <w:rFonts w:ascii="宋体" w:hAnsi="宋体" w:eastAsia="宋体" w:hint="eastAsia"/>
        </w:rPr>
        <w:t>。</w:t>
      </w:r>
    </w:p>
    <w:p w:rsidR="0018722C">
      <w:pPr>
        <w:pStyle w:val="Heading1"/>
        <w:topLinePunct/>
      </w:pPr>
      <w:bookmarkStart w:id="273655" w:name="_Toc686273655"/>
      <w:r>
        <w:t>（</w:t>
      </w:r>
      <w:r>
        <w:t xml:space="preserve">3</w:t>
      </w:r>
      <w:r>
        <w:t>）</w:t>
      </w:r>
      <w:r>
        <w:t xml:space="preserve">  </w:t>
      </w:r>
      <w:r>
        <w:t>102</w:t>
      </w:r>
      <w:r w:rsidR="001852F3">
        <w:t xml:space="preserve">例胃癌组织标本中，</w:t>
      </w:r>
      <w:r>
        <w:t>Ki-67</w:t>
      </w:r>
      <w:r>
        <w:t>阳性表达者</w:t>
      </w:r>
      <w:r>
        <w:t>88</w:t>
      </w:r>
      <w:r>
        <w:t>例，阳性表达率</w:t>
      </w:r>
      <w:bookmarkEnd w:id="273655"/>
    </w:p>
    <w:p w:rsidR="0018722C">
      <w:pPr>
        <w:pStyle w:val="cw19"/>
        <w:topLinePunct/>
      </w:pPr>
      <w:r>
        <w:rPr>
          <w:rFonts w:ascii="宋体" w:hAnsi="宋体" w:eastAsia="宋体" w:hint="eastAsia"/>
        </w:rPr>
        <w:t>86.27 </w:t>
      </w:r>
      <w:r>
        <w:t>%</w:t>
      </w:r>
      <w:r>
        <w:rPr>
          <w:rFonts w:ascii="宋体" w:hAnsi="宋体" w:eastAsia="宋体" w:hint="eastAsia"/>
        </w:rPr>
        <w:t>，</w:t>
      </w:r>
      <w:r>
        <w:t>45</w:t>
      </w:r>
      <w:r/>
      <w:r>
        <w:rPr>
          <w:rFonts w:ascii="宋体" w:hAnsi="宋体" w:eastAsia="宋体" w:hint="eastAsia"/>
        </w:rPr>
        <w:t>例癌旁增生组织阳性表达者</w:t>
      </w:r>
      <w:r>
        <w:t>31</w:t>
      </w:r>
      <w:r/>
      <w:r>
        <w:rPr>
          <w:rFonts w:ascii="宋体" w:hAnsi="宋体" w:eastAsia="宋体" w:hint="eastAsia"/>
        </w:rPr>
        <w:t>例，阳性表达率</w:t>
      </w:r>
      <w:r>
        <w:t>68</w:t>
      </w:r>
      <w:r>
        <w:t>.</w:t>
      </w:r>
      <w:r>
        <w:t>89%</w:t>
      </w:r>
      <w:r>
        <w:rPr>
          <w:rFonts w:ascii="宋体" w:hAnsi="宋体" w:eastAsia="宋体" w:hint="eastAsia"/>
        </w:rPr>
        <w:t>，</w:t>
      </w:r>
      <w:r>
        <w:t>34</w:t>
      </w:r>
      <w:r>
        <w:rPr>
          <w:rFonts w:ascii="宋体" w:hAnsi="宋体" w:eastAsia="宋体" w:hint="eastAsia"/>
        </w:rPr>
        <w:t>例正常胃粘膜组织中阳性表达者</w:t>
      </w:r>
      <w:r>
        <w:t>11</w:t>
      </w:r>
      <w:r/>
      <w:r>
        <w:rPr>
          <w:rFonts w:ascii="宋体" w:hAnsi="宋体" w:eastAsia="宋体" w:hint="eastAsia"/>
        </w:rPr>
        <w:t>例，阳性表达率</w:t>
      </w:r>
      <w:r>
        <w:t>32</w:t>
      </w:r>
      <w:r>
        <w:t>.</w:t>
      </w:r>
      <w:r>
        <w:t>35%</w:t>
      </w:r>
      <w:r>
        <w:rPr>
          <w:rFonts w:ascii="宋体" w:hAnsi="宋体" w:eastAsia="宋体" w:hint="eastAsia"/>
        </w:rPr>
        <w:t>，经</w:t>
      </w:r>
      <w:r>
        <w:rPr>
          <w:rFonts w:ascii="Symbol" w:hAnsi="Symbol" w:eastAsia="Symbol"/>
          <w:i/>
        </w:rPr>
        <w:t></w:t>
      </w:r>
      <w:r>
        <w:t>2</w:t>
      </w:r>
      <w:r/>
      <w:r>
        <w:rPr>
          <w:rFonts w:ascii="宋体" w:hAnsi="宋体" w:eastAsia="宋体" w:hint="eastAsia"/>
        </w:rPr>
        <w:t>检验，</w:t>
      </w:r>
      <w:r>
        <w:rPr>
          <w:rFonts w:ascii="宋体" w:hAnsi="宋体" w:eastAsia="宋体" w:hint="eastAsia"/>
        </w:rPr>
        <w:t>三者之间有统计学差异</w:t>
      </w:r>
      <w:r>
        <w:t>(</w:t>
      </w:r>
      <w:r>
        <w:rPr>
          <w:rFonts w:ascii="Symbol" w:hAnsi="Symbol" w:eastAsia="Symbol"/>
          <w:i/>
        </w:rPr>
        <w:t></w:t>
      </w:r>
      <w:r>
        <w:t>2</w:t>
      </w:r>
      <w:r>
        <w:t>=36.83</w:t>
      </w:r>
      <w:r>
        <w:rPr>
          <w:rFonts w:ascii="宋体" w:hAnsi="宋体" w:eastAsia="宋体" w:hint="eastAsia"/>
          <w:rFonts w:ascii="宋体" w:hAnsi="宋体" w:eastAsia="宋体" w:hint="eastAsia"/>
          <w:sz w:val="28"/>
        </w:rPr>
        <w:t xml:space="preserve">, </w:t>
      </w:r>
      <w:r>
        <w:rPr>
          <w:i/>
        </w:rPr>
        <w:t>P</w:t>
      </w:r>
      <w:r>
        <w:rPr>
          <w:rFonts w:ascii="宋体" w:hAnsi="宋体" w:eastAsia="宋体" w:hint="eastAsia"/>
        </w:rPr>
        <w:t>＜</w:t>
      </w:r>
      <w:r>
        <w:t>0.05</w:t>
      </w:r>
      <w:r>
        <w:t>)</w:t>
      </w:r>
      <w:r w:rsidR="001852F3">
        <w:t xml:space="preserve"> </w:t>
      </w:r>
      <w:r>
        <w:t>Tab</w:t>
      </w:r>
      <w:r>
        <w:t> </w:t>
      </w:r>
      <w:r>
        <w:t>4</w:t>
      </w:r>
      <w:r>
        <w:rPr>
          <w:rFonts w:ascii="宋体" w:hAnsi="宋体" w:eastAsia="宋体" w:hint="eastAsia"/>
        </w:rPr>
        <w:t>。</w:t>
      </w:r>
    </w:p>
    <w:p w:rsidR="0018722C">
      <w:pPr>
        <w:pStyle w:val="Heading1"/>
        <w:topLinePunct/>
      </w:pPr>
      <w:bookmarkStart w:id="273656" w:name="_Toc686273656"/>
      <w:r>
        <w:t>（</w:t>
      </w:r>
      <w:r>
        <w:t>4</w:t>
      </w:r>
      <w:r>
        <w:t>）</w:t>
      </w:r>
      <w:r>
        <w:t xml:space="preserve">  </w:t>
      </w:r>
      <w:r>
        <w:t>3</w:t>
      </w:r>
      <w:r>
        <w:t>个指标在胃癌组织中的阳性表达例数分别为</w:t>
      </w:r>
      <w:r>
        <w:t>72</w:t>
      </w:r>
      <w:r>
        <w:t>例、</w:t>
      </w:r>
      <w:r>
        <w:t>55</w:t>
      </w:r>
      <w:r>
        <w:t>例和</w:t>
      </w:r>
      <w:bookmarkEnd w:id="273656"/>
    </w:p>
    <w:p w:rsidR="0018722C">
      <w:pPr>
        <w:topLinePunct/>
      </w:pPr>
      <w:r>
        <w:rPr>
          <w:rFonts w:ascii="Times New Roman" w:hAnsi="Times New Roman" w:eastAsia="宋体"/>
        </w:rPr>
        <w:t>88</w:t>
      </w:r>
      <w:r>
        <w:t>例，经</w:t>
      </w:r>
      <w:r>
        <w:rPr>
          <w:rFonts w:ascii="Symbol" w:hAnsi="Symbol" w:eastAsia="Symbol"/>
          <w:i/>
        </w:rPr>
        <w:t></w:t>
      </w:r>
      <w:r>
        <w:rPr>
          <w:rFonts w:ascii="Times New Roman" w:hAnsi="Times New Roman" w:eastAsia="宋体"/>
        </w:rPr>
        <w:t>2</w:t>
      </w:r>
      <w:r>
        <w:t>检验提示三者之间统计结果有差异</w:t>
      </w:r>
      <w:r>
        <w:rPr>
          <w:rFonts w:ascii="Times New Roman" w:hAnsi="Times New Roman" w:eastAsia="宋体"/>
        </w:rPr>
        <w:t>(</w:t>
      </w:r>
      <w:r>
        <w:rPr>
          <w:rFonts w:ascii="Symbol" w:hAnsi="Symbol" w:eastAsia="Symbol"/>
          <w:i/>
        </w:rPr>
        <w:t></w:t>
      </w:r>
      <w:r>
        <w:rPr>
          <w:rFonts w:ascii="Times New Roman" w:hAnsi="Times New Roman" w:eastAsia="宋体"/>
        </w:rPr>
        <w:t>2</w:t>
      </w:r>
      <w:r>
        <w:rPr>
          <w:rFonts w:ascii="Times New Roman" w:hAnsi="Times New Roman" w:eastAsia="宋体"/>
        </w:rPr>
        <w:t>=25.556</w:t>
      </w:r>
      <w:r>
        <w:t xml:space="preserve">, </w:t>
      </w:r>
      <w:r>
        <w:rPr>
          <w:rFonts w:ascii="Times New Roman" w:hAnsi="Times New Roman" w:eastAsia="宋体"/>
          <w:i/>
        </w:rPr>
        <w:t>P</w:t>
      </w:r>
      <w:r>
        <w:t>＜</w:t>
      </w:r>
      <w:r>
        <w:rPr>
          <w:rFonts w:ascii="Times New Roman" w:hAnsi="Times New Roman" w:eastAsia="宋体"/>
        </w:rPr>
        <w:t>0.05</w:t>
      </w:r>
      <w:r>
        <w:rPr>
          <w:rFonts w:ascii="Times New Roman" w:hAnsi="Times New Roman" w:eastAsia="宋体"/>
        </w:rPr>
        <w:t>)</w:t>
      </w:r>
    </w:p>
    <w:p w:rsidR="0018722C">
      <w:pPr>
        <w:topLinePunct/>
      </w:pPr>
      <w:r>
        <w:rPr>
          <w:rFonts w:ascii="Times New Roman" w:eastAsia="Times New Roman"/>
        </w:rPr>
        <w:t>Tab 5</w:t>
      </w:r>
      <w:r>
        <w:t>，进一步行卡方分割检验，三者两两之间仍有统计学差异。</w:t>
      </w:r>
      <w:r>
        <w:rPr>
          <w:b/>
        </w:rPr>
        <w:t>结论</w:t>
      </w:r>
      <w:r>
        <w:rPr>
          <w:b/>
          <w:rFonts w:ascii="Times New Roman" w:eastAsia="Times New Roman"/>
          <w:b/>
          <w:rFonts w:hint="eastAsia"/>
        </w:rPr>
        <w:t>：</w:t>
      </w:r>
    </w:p>
    <w:p w:rsidR="0018722C">
      <w:pPr>
        <w:pStyle w:val="cw19"/>
        <w:topLinePunct/>
      </w:pPr>
      <w:r>
        <w:rPr>
          <w:rFonts w:ascii="宋体" w:hAnsi="宋体" w:eastAsia="宋体" w:hint="eastAsia"/>
        </w:rPr>
        <w:t>1 </w:t>
      </w:r>
      <w:r>
        <w:t>NF-</w:t>
      </w:r>
      <w:r>
        <w:rPr>
          <w:rFonts w:ascii="宋体" w:hAnsi="宋体" w:eastAsia="宋体" w:hint="eastAsia"/>
        </w:rPr>
        <w:t>κ</w:t>
      </w:r>
      <w:r>
        <w:t>B</w:t>
      </w:r>
      <w:r>
        <w:rPr>
          <w:rFonts w:ascii="宋体" w:hAnsi="宋体" w:eastAsia="宋体" w:hint="eastAsia"/>
        </w:rPr>
        <w:t>在不同粘膜分期中的表达有明显的统计学意义，在伴有淋巴</w:t>
      </w:r>
      <w:r>
        <w:rPr>
          <w:rFonts w:ascii="宋体" w:hAnsi="宋体" w:eastAsia="宋体" w:hint="eastAsia"/>
        </w:rPr>
        <w:t>结转移、浸润深度逐渐增加和临床分期逐步恶化的标本中，阳性表达明显</w:t>
      </w:r>
      <w:r>
        <w:rPr>
          <w:rFonts w:ascii="宋体" w:hAnsi="宋体" w:eastAsia="宋体" w:hint="eastAsia"/>
        </w:rPr>
        <w:t>增加，提示</w:t>
      </w:r>
      <w:r>
        <w:t>NF-</w:t>
      </w:r>
      <w:r>
        <w:rPr>
          <w:rFonts w:ascii="宋体" w:hAnsi="宋体" w:eastAsia="宋体" w:hint="eastAsia"/>
        </w:rPr>
        <w:t>κ</w:t>
      </w:r>
      <w:r>
        <w:t>B</w:t>
      </w:r>
      <w:r>
        <w:rPr>
          <w:rFonts w:ascii="宋体" w:hAnsi="宋体" w:eastAsia="宋体" w:hint="eastAsia"/>
        </w:rPr>
        <w:t>与胃癌的临床分期密切相关。</w:t>
      </w:r>
    </w:p>
    <w:p w:rsidR="0018722C">
      <w:pPr>
        <w:pStyle w:val="cw19"/>
        <w:topLinePunct/>
      </w:pPr>
      <w:r>
        <w:rPr>
          <w:rFonts w:ascii="宋体" w:hAnsi="宋体" w:eastAsia="宋体" w:hint="eastAsia"/>
        </w:rPr>
        <w:t>2</w:t>
      </w:r>
      <w:r>
        <w:rPr>
          <w:rFonts w:ascii="宋体" w:hAnsi="宋体" w:eastAsia="宋体" w:hint="eastAsia"/>
        </w:rPr>
        <w:t>在正常胃粘膜及癌前病变组织中，均检测到</w:t>
      </w:r>
      <w:r>
        <w:t>NF-</w:t>
      </w:r>
      <w:r>
        <w:rPr>
          <w:rFonts w:ascii="宋体" w:hAnsi="宋体" w:eastAsia="宋体" w:hint="eastAsia"/>
        </w:rPr>
        <w:t>κ</w:t>
      </w:r>
      <w:r>
        <w:t>B</w:t>
      </w:r>
      <w:r>
        <w:rPr>
          <w:rFonts w:ascii="宋体" w:hAnsi="宋体" w:eastAsia="宋体" w:hint="eastAsia"/>
        </w:rPr>
        <w:t>的表达，提示</w:t>
      </w:r>
      <w:r>
        <w:t>NF-</w:t>
      </w:r>
      <w:r>
        <w:rPr>
          <w:rFonts w:ascii="宋体" w:hAnsi="宋体" w:eastAsia="宋体" w:hint="eastAsia"/>
        </w:rPr>
        <w:t>κ</w:t>
      </w:r>
      <w:r>
        <w:t>B</w:t>
      </w:r>
      <w:r>
        <w:rPr>
          <w:rFonts w:ascii="宋体" w:hAnsi="宋体" w:eastAsia="宋体" w:hint="eastAsia"/>
        </w:rPr>
        <w:t>可能参与了胃癌的启动；此外，随着粘膜病变进程的恶化进展，</w:t>
      </w:r>
      <w:r>
        <w:t>NF-</w:t>
      </w:r>
      <w:r>
        <w:rPr>
          <w:rFonts w:ascii="宋体" w:hAnsi="宋体" w:eastAsia="宋体" w:hint="eastAsia"/>
        </w:rPr>
        <w:t>κ</w:t>
      </w:r>
      <w:r>
        <w:t>B</w:t>
      </w:r>
      <w:r>
        <w:rPr>
          <w:rFonts w:ascii="宋体" w:hAnsi="宋体" w:eastAsia="宋体" w:hint="eastAsia"/>
        </w:rPr>
        <w:t>的表达呈逐渐增加的趋势，提示</w:t>
      </w:r>
      <w:r>
        <w:t>NF-</w:t>
      </w:r>
      <w:r>
        <w:rPr>
          <w:rFonts w:ascii="宋体" w:hAnsi="宋体" w:eastAsia="宋体" w:hint="eastAsia"/>
        </w:rPr>
        <w:t>κ</w:t>
      </w:r>
      <w:r>
        <w:t>B</w:t>
      </w:r>
      <w:r>
        <w:rPr>
          <w:rFonts w:ascii="宋体" w:hAnsi="宋体" w:eastAsia="宋体" w:hint="eastAsia"/>
        </w:rPr>
        <w:t>可能参与了胃癌进展中的</w:t>
      </w:r>
      <w:r>
        <w:rPr>
          <w:rFonts w:ascii="宋体" w:hAnsi="宋体" w:eastAsia="宋体" w:hint="eastAsia"/>
        </w:rPr>
        <w:t>各粘膜阶段的病变进程。</w:t>
      </w:r>
    </w:p>
    <w:p w:rsidR="0018722C">
      <w:pPr>
        <w:pStyle w:val="cw19"/>
        <w:topLinePunct/>
      </w:pPr>
      <w:r>
        <w:rPr>
          <w:rFonts w:ascii="宋体" w:hAnsi="宋体" w:eastAsia="宋体" w:hint="eastAsia"/>
        </w:rPr>
        <w:t>3 </w:t>
      </w:r>
      <w:r>
        <w:t>TOPO</w:t>
      </w:r>
      <w:r>
        <w:rPr>
          <w:rFonts w:ascii="宋体" w:hAnsi="宋体" w:eastAsia="宋体" w:hint="eastAsia"/>
        </w:rPr>
        <w:t>Ⅱ及</w:t>
      </w:r>
      <w:r>
        <w:t>Ki-67</w:t>
      </w:r>
      <w:r>
        <w:rPr>
          <w:rFonts w:ascii="宋体" w:hAnsi="宋体" w:eastAsia="宋体" w:hint="eastAsia"/>
        </w:rPr>
        <w:t>在胃粘膜不同组织分期中均有表达，且阳性表达率随胃粘膜恶性程度的加深及</w:t>
      </w:r>
      <w:r>
        <w:t>NF-</w:t>
      </w:r>
      <w:r>
        <w:rPr>
          <w:rFonts w:ascii="宋体" w:hAnsi="宋体" w:eastAsia="宋体" w:hint="eastAsia"/>
        </w:rPr>
        <w:t>κ</w:t>
      </w:r>
      <w:r>
        <w:t>B</w:t>
      </w:r>
      <w:r>
        <w:rPr>
          <w:rFonts w:ascii="宋体" w:hAnsi="宋体" w:eastAsia="宋体" w:hint="eastAsia"/>
        </w:rPr>
        <w:t>表达的增加而有逐渐增加趋势，提示</w:t>
      </w:r>
      <w:r>
        <w:rPr>
          <w:rFonts w:ascii="宋体" w:hAnsi="宋体" w:eastAsia="宋体" w:hint="eastAsia"/>
        </w:rPr>
        <w:t>与</w:t>
      </w:r>
      <w:r>
        <w:t>NF-</w:t>
      </w:r>
      <w:r>
        <w:rPr>
          <w:rFonts w:ascii="宋体" w:hAnsi="宋体" w:eastAsia="宋体" w:hint="eastAsia"/>
        </w:rPr>
        <w:t>κ</w:t>
      </w:r>
      <w:r>
        <w:t>B</w:t>
      </w:r>
      <w:r>
        <w:rPr>
          <w:rFonts w:ascii="宋体" w:hAnsi="宋体" w:eastAsia="宋体" w:hint="eastAsia"/>
        </w:rPr>
        <w:t>的表达存在相关性。</w:t>
      </w:r>
    </w:p>
    <w:p w:rsidR="0018722C">
      <w:pPr>
        <w:pStyle w:val="aff"/>
        <w:topLinePunct/>
      </w:pPr>
      <w:r>
        <w:rPr>
          <w:rFonts w:eastAsia="黑体" w:ascii="Times New Roman"/>
          <w:rStyle w:val="afe"/>
          <w:b/>
        </w:rPr>
        <w:t>关键词</w:t>
      </w:r>
      <w:r>
        <w:rPr>
          <w:rStyle w:val="afe"/>
          <w:b/>
          <w:rFonts w:eastAsia="黑体" w:ascii="Times New Roman" w:hint="eastAsia"/>
        </w:rPr>
        <w:t>：</w:t>
      </w:r>
      <w:r>
        <w:t>胃癌；NF-κB p</w:t>
      </w:r>
      <w:r>
        <w:t xml:space="preserve"> </w:t>
      </w:r>
      <w:r/>
      <w:r>
        <w:rPr>
          <w:vertAlign w:val="superscript"/>
          /&gt;
        </w:rPr>
        <w:t>50</w:t>
      </w:r>
      <w:r>
        <w:t>；TOPOII；Ki-67；免疫组织化学法</w:t>
      </w:r>
      <w:r>
        <w:t xml:space="preserve"> </w:t>
      </w:r>
      <w:r/>
      <w:r>
        <w:t xml:space="preserve"> </w:t>
      </w:r>
      <w:r/>
      <w:r>
        <w:t xml:space="preserve"> </w:t>
      </w:r>
      <w:r/>
    </w:p>
    <w:p w:rsidR="0018722C">
      <w:pPr>
        <w:topLinePunct/>
      </w:pPr>
      <w:r>
        <w:rPr>
          <w:rFonts w:cstheme="minorBidi" w:hAnsiTheme="minorHAnsi" w:eastAsiaTheme="minorHAnsi" w:asciiTheme="minorHAnsi" w:ascii="Times New Roman" w:hAnsi="Times New Roman" w:eastAsia="Times New Roman" w:cs="Times New Roman"/>
          <w:b/>
        </w:rPr>
        <w:t>Expression of NF-κB in gastric carcinoma and its relationship with TOPO II, Ki-67</w:t>
      </w:r>
    </w:p>
    <w:p w:rsidR="0018722C">
      <w:pPr>
        <w:pStyle w:val="afff2"/>
        <w:topLinePunct/>
      </w:pPr>
      <w:bookmarkStart w:id="273657" w:name="_Toc686273657"/>
      <w:r>
        <w:rPr>
          <w:b/>
        </w:rPr>
        <w:t>Abstract</w:t>
      </w:r>
      <w:bookmarkEnd w:id="273657"/>
    </w:p>
    <w:p w:rsidR="0018722C">
      <w:pPr>
        <w:pStyle w:val="afc"/>
        <w:topLinePunct/>
      </w:pPr>
      <w:bookmarkStart w:name="英文摘要 " w:id="6"/>
      <w:bookmarkEnd w:id="6"/>
      <w:r>
        <w:rPr>
          <w:rFonts w:ascii="Times New Roman" w:hAnsi="Times New Roman"/>
        </w:rPr>
        <w:t xml:space="preserve">Gastric cancer is a malignant mass lesion topped various malignant</w:t>
      </w:r>
      <w:r w:rsidR="001852F3">
        <w:rPr>
          <w:rFonts w:ascii="Times New Roman" w:hAnsi="Times New Roman"/>
        </w:rPr>
        <w:t xml:space="preserve"> tumors in China, which occurs in elderly patients</w:t>
      </w:r>
      <w:r w:rsidR="004B696B">
        <w:rPr>
          <w:rFonts w:ascii="Times New Roman" w:hAnsi="Times New Roman"/>
        </w:rPr>
        <w:t xml:space="preserve">, and after the age of 50</w:t>
      </w:r>
      <w:r w:rsidR="004B696B">
        <w:rPr>
          <w:rFonts w:ascii="Times New Roman" w:hAnsi="Times New Roman"/>
        </w:rPr>
        <w:t xml:space="preserve">, the incidence is significantly higher.</w:t>
      </w:r>
      <w:r w:rsidR="001852F3">
        <w:rPr>
          <w:rFonts w:ascii="Times New Roman" w:hAnsi="Times New Roman"/>
        </w:rPr>
        <w:t xml:space="preserve"> </w:t>
      </w:r>
      <w:r w:rsidR="001852F3">
        <w:rPr>
          <w:rFonts w:ascii="Times New Roman" w:hAnsi="Times New Roman"/>
        </w:rPr>
        <w:t xml:space="preserve">The incidence of male and female is 2:1</w:t>
      </w:r>
      <w:r w:rsidR="004B696B">
        <w:rPr>
          <w:rFonts w:ascii="Times New Roman" w:hAnsi="Times New Roman"/>
        </w:rPr>
        <w:t xml:space="preserve">, but the disease is insidious onset high degree of clinical malignancy</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the prognosis is poor</w:t>
      </w:r>
      <w:r w:rsidR="004B696B">
        <w:rPr>
          <w:rFonts w:ascii="Times New Roman" w:hAnsi="Times New Roman"/>
        </w:rPr>
        <w:t xml:space="preserve">, and is an important health threat bote in China and the world</w:t>
      </w:r>
      <w:r w:rsidR="004B696B">
        <w:rPr>
          <w:rFonts w:ascii="Times New Roman" w:hAnsi="Times New Roman"/>
        </w:rPr>
        <w:t xml:space="preserve">. The current study is one of the molecular biology of </w:t>
      </w:r>
      <w:r>
        <w:rPr>
          <w:rFonts w:ascii="Times New Roman" w:hAnsi="Times New Roman"/>
        </w:rPr>
        <w:t xml:space="preserve">tumor,</w:t>
      </w:r>
      <w:r w:rsidR="001852F3">
        <w:rPr>
          <w:rFonts w:ascii="Times New Roman" w:hAnsi="Times New Roman"/>
        </w:rPr>
        <w:t xml:space="preserve"> </w:t>
      </w:r>
      <w:r w:rsidR="001852F3">
        <w:rPr>
          <w:rFonts w:ascii="Times New Roman" w:hAnsi="Times New Roman"/>
        </w:rPr>
        <w:t xml:space="preserve">which </w:t>
      </w:r>
      <w:r>
        <w:rPr>
          <w:rFonts w:ascii="Times New Roman" w:hAnsi="Times New Roman"/>
        </w:rPr>
        <w:t xml:space="preserve">has awareness that it is an important method of treatment to gastric cancer</w:t>
      </w:r>
      <w:r w:rsidR="004B696B">
        <w:rPr>
          <w:rFonts w:ascii="Times New Roman" w:hAnsi="Times New Roman"/>
        </w:rPr>
        <w:t xml:space="preserve">, in which tumors the study of molecular biology research on nuclear transcription factor kappa</w:t>
      </w:r>
      <w:r w:rsidR="001852F3">
        <w:rPr>
          <w:rFonts w:ascii="Times New Roman" w:hAnsi="Times New Roman"/>
        </w:rPr>
        <w:t xml:space="preserve"> B </w:t>
      </w:r>
      <w:r>
        <w:rPr>
          <w:rFonts w:ascii="Times New Roman" w:hAnsi="Times New Roman"/>
        </w:rPr>
        <w:t xml:space="preserve">(</w:t>
      </w:r>
      <w:r>
        <w:rPr>
          <w:rFonts w:ascii="Times New Roman" w:hAnsi="Times New Roman"/>
        </w:rPr>
        <w:t xml:space="preserve">Nuclear transcription factor</w:t>
      </w:r>
      <w:r w:rsidR="001852F3">
        <w:rPr>
          <w:rFonts w:ascii="Times New Roman" w:hAnsi="Times New Roman"/>
        </w:rPr>
        <w:t xml:space="preserve">κB, NF-κB</w:t>
      </w:r>
      <w:r>
        <w:rPr>
          <w:rFonts w:ascii="Times New Roman" w:hAnsi="Times New Roman"/>
        </w:rPr>
        <w:t xml:space="preserve">)</w:t>
      </w:r>
      <w:r>
        <w:rPr>
          <w:rFonts w:ascii="Times New Roman" w:hAnsi="Times New Roman"/>
        </w:rPr>
        <w:t xml:space="preserve"> is a research focus of many one</w:t>
      </w:r>
      <w:r w:rsidR="004B696B">
        <w:rPr>
          <w:rFonts w:ascii="Times New Roman" w:hAnsi="Times New Roman"/>
        </w:rPr>
        <w:t xml:space="preserve">, and has come to realize the NF-κB is correlated with a variety of solid tumors,</w:t>
      </w:r>
      <w:r w:rsidR="001852F3">
        <w:rPr>
          <w:rFonts w:ascii="Times New Roman" w:hAnsi="Times New Roman"/>
        </w:rPr>
        <w:t xml:space="preserve"> </w:t>
      </w:r>
      <w:r w:rsidR="001852F3">
        <w:rPr>
          <w:rFonts w:ascii="Times New Roman" w:hAnsi="Times New Roman"/>
        </w:rPr>
        <w:t xml:space="preserve">and can modulate inflammatory cytokines, vascular apoptosis and tumor cells</w:t>
      </w:r>
      <w:r w:rsidR="004B696B">
        <w:rPr>
          <w:rFonts w:ascii="Times New Roman" w:hAnsi="Times New Roman"/>
        </w:rPr>
        <w:t xml:space="preserve">, lymphangiogenesis in tumor occurrence and development of a variety of the role of the current research on NF-κB in a variety of cancers more, but modern biological research has shows that its expression is significant in different clinical stages of the gastric mucosa and its relationship with Ki-67, the relationship between TOPO II study of rare, It has been confirmed that Ki-67, TOPO II with a variety of benign and malignant tumors </w:t>
      </w:r>
      <w:r>
        <w:rPr>
          <w:rFonts w:ascii="Times New Roman" w:hAnsi="Times New Roman"/>
        </w:rPr>
        <w:t xml:space="preserve">(</w:t>
      </w:r>
      <w:r>
        <w:rPr>
          <w:rFonts w:ascii="Times New Roman" w:hAnsi="Times New Roman"/>
        </w:rPr>
        <w:t xml:space="preserve"> including gastric cancer and other tumors</w:t>
      </w:r>
      <w:r>
        <w:rPr>
          <w:rFonts w:ascii="Times New Roman" w:hAnsi="Times New Roman"/>
        </w:rPr>
        <w:t xml:space="preserve">)</w:t>
      </w:r>
      <w:r>
        <w:rPr>
          <w:rFonts w:ascii="Times New Roman" w:hAnsi="Times New Roman"/>
        </w:rPr>
        <w:t xml:space="preserve"> is closely related to further explore the relationship among the three and biological behavior of gastric cancer and between the has some clinical</w:t>
      </w:r>
      <w:r>
        <w:rPr>
          <w:rFonts w:ascii="Times New Roman" w:hAnsi="Times New Roman"/>
        </w:rPr>
        <w:t xml:space="preserve"> </w:t>
      </w:r>
      <w:r>
        <w:rPr>
          <w:rFonts w:ascii="Times New Roman" w:hAnsi="Times New Roman"/>
        </w:rPr>
        <w:t xml:space="preserve">significance.</w:t>
      </w:r>
    </w:p>
    <w:p w:rsidR="0018722C">
      <w:pPr>
        <w:pStyle w:val="afc"/>
        <w:topLinePunct/>
      </w:pPr>
      <w:r>
        <w:rPr>
          <w:rFonts w:ascii="Times New Roman" w:hAnsi="Times New Roman"/>
        </w:rPr>
        <w:t>NF-κB is not only involved in the development of a variety of tumors by NF-κB pathway, while there is a clear relationship between the biological behavior of gastric cancer chemotherapy affect treatment outcomes, drug, etc. </w:t>
      </w:r>
      <w:r>
        <w:rPr>
          <w:rFonts w:ascii="Times New Roman" w:hAnsi="Times New Roman"/>
        </w:rPr>
        <w:t xml:space="preserve">f</w:t>
      </w:r>
      <w:r>
        <w:rPr>
          <w:rFonts w:ascii="Times New Roman" w:hAnsi="Times New Roman"/>
        </w:rPr>
        <w:t xml:space="preserve">or gastric cancer research, prevention and treatment of clinical biological behavior and prognosis assessment and provide a theoretical basis.</w:t>
      </w:r>
    </w:p>
    <w:p w:rsidR="0018722C">
      <w:pPr>
        <w:pStyle w:val="afc"/>
        <w:topLinePunct/>
      </w:pPr>
      <w:r>
        <w:rPr>
          <w:rFonts w:cstheme="minorBidi" w:hAnsiTheme="minorHAnsi" w:eastAsiaTheme="minorHAnsi" w:asciiTheme="minorHAnsi" w:ascii="Times New Roman" w:hAnsi="黑体" w:eastAsia="黑体" w:cs="黑体"/>
          <w:b/>
        </w:rPr>
        <w:t>Objective:</w:t>
      </w:r>
    </w:p>
    <w:p w:rsidR="0018722C">
      <w:pPr>
        <w:pStyle w:val="afc"/>
        <w:topLinePunct/>
      </w:pPr>
      <w:r>
        <w:rPr>
          <w:rFonts w:ascii="Times New Roman" w:hAnsi="Times New Roman"/>
        </w:rPr>
        <w:t>By studying NF-κB, Ki-67, TOPO II in gastric tissue in different clinical stages, understanding the relationship between their expression and biological behavior of gastric cancer in gastric cancer between order for the biological behavior of gastric cancer</w:t>
      </w:r>
      <w:r w:rsidR="004B696B">
        <w:rPr>
          <w:rFonts w:ascii="Times New Roman" w:hAnsi="Times New Roman"/>
        </w:rPr>
        <w:t>, provide the basis for assessing prognosis.</w:t>
      </w:r>
    </w:p>
    <w:p w:rsidR="0018722C">
      <w:pPr>
        <w:pStyle w:val="afc"/>
        <w:topLinePunct/>
      </w:pPr>
      <w:r>
        <w:rPr>
          <w:rFonts w:cstheme="minorBidi" w:hAnsiTheme="minorHAnsi" w:eastAsiaTheme="minorHAnsi" w:asciiTheme="minorHAnsi" w:ascii="Times New Roman" w:hAnsi="黑体" w:eastAsia="黑体" w:cs="黑体"/>
          <w:b/>
        </w:rPr>
        <w:t>Method:</w:t>
      </w:r>
    </w:p>
    <w:p w:rsidR="0018722C">
      <w:pPr>
        <w:pStyle w:val="afc"/>
        <w:topLinePunct/>
      </w:pPr>
      <w:r>
        <w:rPr>
          <w:rFonts w:ascii="Times New Roman"/>
        </w:rPr>
        <w:t>1</w:t>
      </w:r>
      <w:r w:rsidR="004B696B">
        <w:rPr>
          <w:rFonts w:ascii="Times New Roman"/>
        </w:rPr>
        <w:t>. Cases of gastric cancer study</w:t>
      </w:r>
      <w:r w:rsidR="001852F3">
        <w:rPr>
          <w:rFonts w:ascii="Times New Roman"/>
        </w:rPr>
        <w:t xml:space="preserve"> All</w:t>
      </w:r>
      <w:r w:rsidR="001852F3">
        <w:rPr>
          <w:rFonts w:ascii="Times New Roman"/>
        </w:rPr>
        <w:t xml:space="preserve"> gastric</w:t>
      </w:r>
      <w:r w:rsidR="001852F3">
        <w:rPr>
          <w:rFonts w:ascii="Times New Roman"/>
        </w:rPr>
        <w:t xml:space="preserve"> adenocarcinoma</w:t>
      </w:r>
      <w:r w:rsidR="001852F3">
        <w:rPr>
          <w:rFonts w:ascii="Times New Roman"/>
        </w:rPr>
        <w:t xml:space="preserve"> specimens come from Chengde Central Hospital in 2011 and 2013 surgical oncology patients, male 72 cases, female 30 cases, aged frome 42 to 78 years, median</w:t>
      </w:r>
    </w:p>
    <w:p w:rsidR="0018722C">
      <w:pPr>
        <w:pStyle w:val="afc"/>
        <w:topLinePunct/>
      </w:pPr>
      <w:r>
        <w:rPr>
          <w:rFonts w:ascii="Times New Roman" w:hAnsi="Times New Roman"/>
        </w:rPr>
        <w:t>Age 59 years, aged</w:t>
      </w:r>
      <w:r w:rsidR="001852F3">
        <w:rPr>
          <w:rFonts w:ascii="Times New Roman" w:hAnsi="Times New Roman"/>
        </w:rPr>
        <w:t xml:space="preserve"> </w:t>
      </w:r>
      <w:r>
        <w:t>≥</w:t>
      </w:r>
      <w:r/>
      <w:r>
        <w:rPr>
          <w:rFonts w:ascii="Times New Roman" w:hAnsi="Times New Roman"/>
        </w:rPr>
        <w:t>55 years old in 69 cases, &lt;55 years, 33 cases were not</w:t>
      </w:r>
    </w:p>
    <w:p w:rsidR="0018722C">
      <w:pPr>
        <w:pStyle w:val="afc"/>
        <w:topLinePunct/>
      </w:pPr>
      <w:r>
        <w:rPr>
          <w:rFonts w:ascii="Times New Roman"/>
        </w:rPr>
        <w:t/>
      </w:r>
      <w:r>
        <w:rPr>
          <w:rFonts w:ascii="Times New Roman"/>
        </w:rPr>
        <w:t>R</w:t>
      </w:r>
      <w:r>
        <w:rPr>
          <w:rFonts w:ascii="Times New Roman"/>
        </w:rPr>
        <w:t>eceived chemotherapy before surgery; pathologically confirmed adenocarcinoma, moderately differentiated adenocarcinoma, 33 cases of</w:t>
      </w:r>
      <w:r w:rsidR="001852F3">
        <w:rPr>
          <w:rFonts w:ascii="Times New Roman"/>
        </w:rPr>
        <w:t xml:space="preserve"> poorly differentiated adenocarcinoma 69 cases; not invading the serosa of gastric carcinoma were 36 cases of gastric cancer were 66 cases of serosal invasion, lymph node metastasis of gastric cancer specimens not 42 cases, there are 60 cases of gastric cancer specimens were transferred prompt, select another paracancerous hyperplasia organizational groups </w:t>
      </w:r>
      <w:r>
        <w:rPr>
          <w:rFonts w:ascii="Times New Roman"/>
        </w:rPr>
        <w:t xml:space="preserve">(</w:t>
      </w:r>
      <w:r>
        <w:rPr>
          <w:rFonts w:ascii="Times New Roman"/>
        </w:rPr>
        <w:t xml:space="preserve">from 5 cm -10 cm tumor foci between adjacent hyperplasia as cancer</w:t>
      </w:r>
      <w:r>
        <w:rPr>
          <w:rFonts w:ascii="Times New Roman"/>
        </w:rPr>
        <w:t xml:space="preserve">)</w:t>
      </w:r>
      <w:r>
        <w:rPr>
          <w:rFonts w:ascii="Times New Roman"/>
        </w:rPr>
        <w:t xml:space="preserve">, 45 cases of normal gastric mucosa </w:t>
      </w:r>
      <w:r>
        <w:rPr>
          <w:rFonts w:ascii="Times New Roman"/>
        </w:rPr>
        <w:t xml:space="preserve">(</w:t>
      </w:r>
      <w:r>
        <w:rPr>
          <w:rFonts w:ascii="Times New Roman"/>
        </w:rPr>
        <w:t xml:space="preserve">10 cm from the tumor foci outside as normal gastric mucosa</w:t>
      </w:r>
      <w:r>
        <w:rPr>
          <w:rFonts w:ascii="Times New Roman"/>
        </w:rPr>
        <w:t xml:space="preserve">)</w:t>
      </w:r>
      <w:r>
        <w:rPr>
          <w:rFonts w:ascii="Times New Roman"/>
        </w:rPr>
        <w:t xml:space="preserve"> organizers of 34 cases as a control</w:t>
      </w:r>
      <w:r>
        <w:rPr>
          <w:rFonts w:ascii="Times New Roman"/>
        </w:rPr>
        <w:t xml:space="preserve"> </w:t>
      </w:r>
      <w:r>
        <w:rPr>
          <w:rFonts w:ascii="Times New Roman"/>
        </w:rPr>
        <w:t xml:space="preserve">study.</w:t>
      </w:r>
    </w:p>
    <w:p w:rsidR="0018722C">
      <w:pPr>
        <w:pStyle w:val="afc"/>
        <w:topLinePunct/>
      </w:pPr>
      <w:r>
        <w:rPr>
          <w:rFonts w:ascii="Times New Roman" w:hAnsi="Times New Roman"/>
        </w:rPr>
        <w:t xml:space="preserve">2. Handling specimens collected specimens of Chengde Central Hospital, pathological </w:t>
      </w:r>
      <w:r>
        <w:rPr>
          <w:rFonts w:ascii="Times New Roman" w:hAnsi="Times New Roman"/>
        </w:rPr>
        <w:t xml:space="preserve">2011 </w:t>
      </w:r>
      <w:r>
        <w:rPr>
          <w:rFonts w:ascii="Times New Roman" w:hAnsi="Times New Roman"/>
        </w:rPr>
        <w:t xml:space="preserve">-2013 oncology patients after surgery paraffin blocks of 102 confirmed cases of gastric adenocarcinoma, hyperplastic tissue adjacent normal gastric tissue removed organizations should try to prevent it from bending, torsion, should be flat on the subsequent adhesion and slowly placed in 10% neutral formalin solution fixed the toilet </w:t>
      </w:r>
      <w:r>
        <w:rPr>
          <w:rFonts w:ascii="Times New Roman" w:hAnsi="Times New Roman"/>
        </w:rPr>
        <w:t xml:space="preserve">paper, </w:t>
      </w:r>
      <w:r>
        <w:rPr>
          <w:rFonts w:ascii="Times New Roman" w:hAnsi="Times New Roman"/>
        </w:rPr>
        <w:t xml:space="preserve">fixative is 10 times the amount of the fixed tissue, tissue fixation time 12 hours, embedded in paraffin, 4μm serial sections, after dewaxing, de-xylene, after hydration using immunohistochemistry method streptomycin avidin - peroxidase </w:t>
      </w:r>
      <w:r>
        <w:rPr>
          <w:rFonts w:ascii="Times New Roman" w:hAnsi="Times New Roman"/>
        </w:rPr>
        <w:t xml:space="preserve">(</w:t>
      </w:r>
      <w:r>
        <w:rPr>
          <w:rFonts w:ascii="Times New Roman" w:hAnsi="Times New Roman"/>
        </w:rPr>
        <w:t xml:space="preserve">streptavidin-peroxidase, SP</w:t>
      </w:r>
      <w:r>
        <w:rPr>
          <w:rFonts w:ascii="Times New Roman" w:hAnsi="Times New Roman"/>
        </w:rPr>
        <w:t xml:space="preserve">)</w:t>
      </w:r>
      <w:r>
        <w:rPr>
          <w:rFonts w:ascii="Times New Roman" w:hAnsi="Times New Roman"/>
        </w:rPr>
        <w:t xml:space="preserve"> method </w:t>
      </w:r>
      <w:r>
        <w:rPr>
          <w:rFonts w:ascii="Times New Roman" w:hAnsi="Times New Roman"/>
        </w:rPr>
        <w:t xml:space="preserve">Test </w:t>
      </w:r>
      <w:r>
        <w:rPr>
          <w:rFonts w:ascii="Times New Roman" w:hAnsi="Times New Roman"/>
        </w:rPr>
        <w:t xml:space="preserve">specimens in NF-κB, Ki-67, the expression of TOPO II to PBS instead of primary antibody negative control, all</w:t>
      </w:r>
      <w:r>
        <w:rPr>
          <w:rFonts w:ascii="Times New Roman" w:hAnsi="Times New Roman"/>
        </w:rPr>
        <w:t xml:space="preserve"> </w:t>
      </w:r>
      <w:r>
        <w:rPr>
          <w:rFonts w:ascii="Times New Roman" w:hAnsi="Times New Roman"/>
        </w:rPr>
        <w:t xml:space="preserve">reagents</w:t>
      </w:r>
      <w:r>
        <w:rPr>
          <w:rFonts w:ascii="Times New Roman" w:hAnsi="Times New Roman"/>
        </w:rPr>
        <w:t xml:space="preserve"> </w:t>
      </w:r>
      <w:r>
        <w:rPr>
          <w:rFonts w:ascii="Times New Roman" w:hAnsi="Times New Roman"/>
        </w:rPr>
        <w:t xml:space="preserve">are</w:t>
      </w:r>
      <w:r>
        <w:rPr>
          <w:rFonts w:ascii="Times New Roman" w:hAnsi="Times New Roman"/>
        </w:rPr>
        <w:t xml:space="preserve"> </w:t>
      </w:r>
      <w:r>
        <w:rPr>
          <w:rFonts w:ascii="Times New Roman" w:hAnsi="Times New Roman"/>
        </w:rPr>
        <w:t xml:space="preserve">instruments</w:t>
      </w:r>
      <w:r>
        <w:rPr>
          <w:rFonts w:ascii="Times New Roman" w:hAnsi="Times New Roman"/>
        </w:rPr>
        <w:t xml:space="preserve"> </w:t>
      </w:r>
      <w:r>
        <w:rPr>
          <w:rFonts w:ascii="Times New Roman" w:hAnsi="Times New Roman"/>
        </w:rPr>
        <w:t xml:space="preserve">reagents,</w:t>
      </w:r>
      <w:r>
        <w:rPr>
          <w:rFonts w:ascii="Times New Roman" w:hAnsi="Times New Roman"/>
        </w:rPr>
        <w:t xml:space="preserve"> </w:t>
      </w:r>
      <w:r>
        <w:rPr>
          <w:rFonts w:ascii="Times New Roman" w:hAnsi="Times New Roman"/>
        </w:rPr>
        <w:t xml:space="preserve">all</w:t>
      </w:r>
      <w:r>
        <w:rPr>
          <w:rFonts w:ascii="Times New Roman" w:hAnsi="Times New Roman"/>
        </w:rPr>
        <w:t xml:space="preserve"> </w:t>
      </w:r>
      <w:r>
        <w:rPr>
          <w:rFonts w:ascii="Times New Roman" w:hAnsi="Times New Roman"/>
        </w:rPr>
        <w:t xml:space="preserve">operations</w:t>
      </w:r>
      <w:r>
        <w:rPr>
          <w:rFonts w:ascii="Times New Roman" w:hAnsi="Times New Roman"/>
        </w:rPr>
        <w:t xml:space="preserve"> </w:t>
      </w:r>
      <w:r>
        <w:rPr>
          <w:rFonts w:ascii="Times New Roman" w:hAnsi="Times New Roman"/>
        </w:rPr>
        <w:t xml:space="preserve">are</w:t>
      </w:r>
      <w:r>
        <w:rPr>
          <w:rFonts w:ascii="Times New Roman" w:hAnsi="Times New Roman"/>
        </w:rPr>
        <w:t xml:space="preserve"> </w:t>
      </w:r>
      <w:r>
        <w:rPr>
          <w:rFonts w:ascii="Times New Roman" w:hAnsi="Times New Roman"/>
        </w:rPr>
        <w:t xml:space="preserve">in</w:t>
      </w:r>
      <w:r>
        <w:rPr>
          <w:rFonts w:ascii="Times New Roman" w:hAnsi="Times New Roman"/>
        </w:rPr>
        <w:t xml:space="preserve"> </w:t>
      </w:r>
      <w:r>
        <w:rPr>
          <w:rFonts w:ascii="Times New Roman" w:hAnsi="Times New Roman"/>
        </w:rPr>
        <w:t xml:space="preserve">strict</w:t>
      </w:r>
      <w:r>
        <w:rPr>
          <w:rFonts w:ascii="Times New Roman" w:hAnsi="Times New Roman"/>
        </w:rPr>
        <w:t xml:space="preserve"> </w:t>
      </w:r>
      <w:r>
        <w:rPr>
          <w:rFonts w:ascii="Times New Roman" w:hAnsi="Times New Roman"/>
        </w:rPr>
        <w:t xml:space="preserve">accordance</w:t>
      </w:r>
    </w:p>
    <w:p w:rsidR="0018722C">
      <w:pPr>
        <w:pStyle w:val="afc"/>
        <w:topLinePunct/>
      </w:pPr>
      <w:r>
        <w:rPr>
          <w:rFonts w:ascii="Times New Roman"/>
        </w:rPr>
        <w:t/>
      </w:r>
      <w:r>
        <w:rPr>
          <w:rFonts w:ascii="Times New Roman"/>
        </w:rPr>
        <w:t>W</w:t>
      </w:r>
      <w:r>
        <w:rPr>
          <w:rFonts w:ascii="Times New Roman"/>
        </w:rPr>
        <w:t>ith the instrument and kit instructions, by two disease MD, deputy director</w:t>
      </w:r>
      <w:r w:rsidR="001852F3">
        <w:rPr>
          <w:rFonts w:ascii="Times New Roman"/>
        </w:rPr>
        <w:t xml:space="preserve"> of science at the microscope more than confirmed its expression level in gastric cancer tissues and normal gastric mucosa, combined with pathological data were statistically analyzed experimental</w:t>
      </w:r>
      <w:r>
        <w:rPr>
          <w:rFonts w:ascii="Times New Roman"/>
        </w:rPr>
        <w:t xml:space="preserve"> </w:t>
      </w:r>
      <w:r>
        <w:rPr>
          <w:rFonts w:ascii="Times New Roman"/>
        </w:rPr>
        <w:t>data.</w:t>
      </w:r>
    </w:p>
    <w:p w:rsidR="0018722C">
      <w:pPr>
        <w:pStyle w:val="afc"/>
        <w:topLinePunct/>
      </w:pPr>
      <w:r>
        <w:rPr>
          <w:rFonts w:cstheme="minorBidi" w:hAnsiTheme="minorHAnsi" w:eastAsiaTheme="minorHAnsi" w:asciiTheme="minorHAnsi" w:ascii="Times New Roman" w:hAnsi="黑体" w:eastAsia="Times New Roman" w:cs="黑体"/>
          <w:b/>
        </w:rPr>
        <w:t>Result</w:t>
      </w:r>
      <w:r>
        <w:rPr>
          <w:b/>
          <w:rFonts w:ascii="宋体" w:eastAsia="宋体" w:hint="eastAsia" w:cstheme="minorBidi" w:hAnsiTheme="minorHAnsi" w:hAnsi="黑体" w:cs="黑体"/>
        </w:rPr>
        <w:t>：</w:t>
      </w:r>
    </w:p>
    <w:p w:rsidR="0018722C">
      <w:pPr>
        <w:pStyle w:val="cw19"/>
        <w:numPr>
          <w:ilvl w:val="0"/>
          <w:numId w:val="0"/>
        </w:numPr>
        <w:topLinePunct/>
      </w:pPr>
      <w:r>
        <w:t xml:space="preserve">(</w:t>
      </w:r>
      <w:r>
        <w:t xml:space="preserve">1</w:t>
      </w:r>
      <w:r>
        <w:t xml:space="preserve">)</w:t>
      </w:r>
      <w:r>
        <w:t xml:space="preserve"> </w:t>
      </w:r>
      <w:r>
        <w:t xml:space="preserve">102 cases of gastric cancer tissue specimens, Expression of NF-κB in positive tissue is 72 cases, the positive rate was 70.59%; beside the 45 cases of cancer hyperplasia positive expression group was 10 cases, the positive rate was 22.22%; 34 cases positive expression in normal tissues as two cases, the positive rate was 5.88%, hyperplastic tissue and adjacent normal gastric mucosa of NF-κB expression was significantly lower than that of gastric carcinoma. The chi-square test, there are differences </w:t>
      </w:r>
      <w:r>
        <w:t xml:space="preserve">(</w:t>
      </w:r>
      <w:r>
        <w:rPr>
          <w:rFonts w:ascii="Symbol" w:hAnsi="Symbol"/>
          <w:i/>
          <w:sz w:val="29"/>
        </w:rPr>
        <w:t xml:space="preserve"></w:t>
      </w:r>
      <w:r>
        <w:rPr>
          <w:sz w:val="28"/>
        </w:rPr>
        <w:t xml:space="preserve">2 = 57.104, p &lt;0.05</w:t>
      </w:r>
      <w:r>
        <w:t xml:space="preserve">)</w:t>
      </w:r>
      <w:r>
        <w:t xml:space="preserve"> between the three statistical</w:t>
      </w:r>
      <w:r>
        <w:t xml:space="preserve"> </w:t>
      </w:r>
      <w:r>
        <w:t xml:space="preserve">results.</w:t>
      </w:r>
    </w:p>
    <w:p w:rsidR="0018722C">
      <w:pPr>
        <w:pStyle w:val="cw19"/>
        <w:numPr>
          <w:ilvl w:val="0"/>
          <w:numId w:val="0"/>
        </w:numPr>
        <w:topLinePunct/>
      </w:pPr>
      <w:r>
        <w:t>(</w:t>
      </w:r>
      <w:r>
        <w:t xml:space="preserve">2</w:t>
      </w:r>
      <w:r>
        <w:t>)</w:t>
      </w:r>
      <w:r>
        <w:t xml:space="preserve"> </w:t>
      </w:r>
      <w:r>
        <w:t>102</w:t>
      </w:r>
      <w:r w:rsidR="001852F3">
        <w:t xml:space="preserve"> cases of gastric</w:t>
      </w:r>
      <w:r w:rsidR="001852F3">
        <w:t xml:space="preserve"> cancer tissue specimens, expression</w:t>
      </w:r>
      <w:r w:rsidR="001852F3">
        <w:t xml:space="preserve"> of</w:t>
      </w:r>
      <w:r w:rsidR="001852F3">
        <w:t xml:space="preserve"> TOPO</w:t>
      </w:r>
      <w:r w:rsidR="001852F3">
        <w:t xml:space="preserve"> </w:t>
      </w:r>
      <w:r>
        <w:rPr>
          <w:rFonts w:ascii="宋体" w:hAnsi="宋体"/>
        </w:rPr>
        <w:t>Ⅱ</w:t>
      </w:r>
      <w:r>
        <w:t>in</w:t>
      </w:r>
    </w:p>
    <w:p w:rsidR="0018722C">
      <w:pPr>
        <w:pStyle w:val="afc"/>
        <w:topLinePunct/>
      </w:pPr>
      <w:r>
        <w:rPr>
          <w:rFonts w:ascii="Times New Roman" w:hAnsi="Times New Roman"/>
        </w:rPr>
        <w:t xml:space="preserve">55 cases, the positive expression rate of 53.92%, next to the 45 cases of cancer hyperplasia expression in 24 cases, the positive rate of 53.33%, the positive expression in 34 cases of normal gastric mucosa in 10 cases, the positive rate of 29.41%, by chi-square test, there are differences </w:t>
      </w:r>
      <w:r>
        <w:rPr>
          <w:rFonts w:ascii="Times New Roman" w:hAnsi="Times New Roman"/>
        </w:rPr>
        <w:t xml:space="preserve">(</w:t>
      </w:r>
      <w:r>
        <w:rPr>
          <w:rFonts w:ascii="Symbol" w:hAnsi="Symbol"/>
          <w:i/>
        </w:rPr>
        <w:t xml:space="preserve"></w:t>
      </w:r>
      <w:r>
        <w:rPr>
          <w:rFonts w:ascii="Times New Roman" w:hAnsi="Times New Roman"/>
        </w:rPr>
        <w:t xml:space="preserve">2 = 6.281, p &lt;0.05</w:t>
      </w:r>
      <w:r>
        <w:rPr>
          <w:rFonts w:ascii="Times New Roman" w:hAnsi="Times New Roman"/>
        </w:rPr>
        <w:t xml:space="preserve">)</w:t>
      </w:r>
      <w:r>
        <w:rPr>
          <w:rFonts w:ascii="Times New Roman" w:hAnsi="Times New Roman"/>
        </w:rPr>
        <w:t xml:space="preserve"> between the three statistical results.</w:t>
      </w:r>
    </w:p>
    <w:p w:rsidR="0018722C">
      <w:pPr>
        <w:pStyle w:val="cw19"/>
        <w:numPr>
          <w:ilvl w:val="0"/>
          <w:numId w:val="0"/>
        </w:numPr>
        <w:topLinePunct/>
      </w:pPr>
      <w:r>
        <w:t xml:space="preserve">(</w:t>
      </w:r>
      <w:r>
        <w:t xml:space="preserve">3</w:t>
      </w:r>
      <w:r>
        <w:t xml:space="preserve">)</w:t>
      </w:r>
      <w:r>
        <w:t xml:space="preserve"> </w:t>
      </w:r>
      <w:r>
        <w:t xml:space="preserve">102 cases of gastric cancer tissue specimens, Ki-67 expression in 88 cases, the positive expression rate of 86.27%, next to the 45 cases of cancer hyperplasia expression in 31 cases, the positive rate of 68.89%, 34 cases of normal gastric mucosa expression in </w:t>
      </w:r>
      <w:r>
        <w:t xml:space="preserve">11 </w:t>
      </w:r>
      <w:r>
        <w:t xml:space="preserve">cases, the positive rate 32.35%, chi-square test, there are differences </w:t>
      </w:r>
      <w:r>
        <w:t xml:space="preserve">(</w:t>
      </w:r>
      <w:r>
        <w:rPr>
          <w:rFonts w:ascii="Symbol" w:hAnsi="Symbol"/>
          <w:i/>
          <w:sz w:val="29"/>
        </w:rPr>
        <w:t xml:space="preserve"></w:t>
      </w:r>
      <w:r>
        <w:rPr>
          <w:sz w:val="28"/>
        </w:rPr>
        <w:t xml:space="preserve">2= 36.83, p &lt;0.05</w:t>
      </w:r>
      <w:r>
        <w:t xml:space="preserve">)</w:t>
      </w:r>
      <w:r>
        <w:t xml:space="preserve"> between the three statistical</w:t>
      </w:r>
      <w:r>
        <w:t xml:space="preserve"> </w:t>
      </w:r>
      <w:r>
        <w:t xml:space="preserve">results.</w:t>
      </w:r>
    </w:p>
    <w:p w:rsidR="0018722C">
      <w:pPr>
        <w:pStyle w:val="cw19"/>
        <w:numPr>
          <w:ilvl w:val="0"/>
          <w:numId w:val="0"/>
        </w:numPr>
        <w:topLinePunct/>
      </w:pPr>
      <w:r>
        <w:t xml:space="preserve">(</w:t>
      </w:r>
      <w:r>
        <w:t xml:space="preserve">4</w:t>
      </w:r>
      <w:r>
        <w:t xml:space="preserve">)</w:t>
      </w:r>
      <w:r>
        <w:t xml:space="preserve"> </w:t>
      </w:r>
      <w:r>
        <w:t xml:space="preserve">Three indicators of the cases of positive expression in gastric carcinoma were 72 cases, 55 cases and 88 cases, there are differences between the statistical results of the chi-square test prompted three </w:t>
      </w:r>
      <w:r>
        <w:t xml:space="preserve">(</w:t>
      </w:r>
      <w:r>
        <w:rPr>
          <w:rFonts w:ascii="Symbol" w:hAnsi="Symbol"/>
          <w:i/>
          <w:sz w:val="29"/>
        </w:rPr>
        <w:t xml:space="preserve"></w:t>
      </w:r>
      <w:r>
        <w:rPr>
          <w:sz w:val="28"/>
        </w:rPr>
        <w:t xml:space="preserve">2 = 25.556, p &lt;0.05</w:t>
      </w:r>
      <w:r>
        <w:t xml:space="preserve">)</w:t>
      </w:r>
      <w:r>
        <w:t xml:space="preserve">, further dividing line chi-square test, there are significant differences between the three</w:t>
      </w:r>
      <w:r>
        <w:t xml:space="preserve"> </w:t>
      </w:r>
      <w:r>
        <w:t xml:space="preserve">pairwise.</w:t>
      </w:r>
    </w:p>
    <w:p w:rsidR="0018722C">
      <w:pPr>
        <w:pStyle w:val="afc"/>
        <w:topLinePunct/>
      </w:pPr>
      <w:r>
        <w:rPr>
          <w:rFonts w:cstheme="minorBidi" w:hAnsiTheme="minorHAnsi" w:eastAsiaTheme="minorHAnsi" w:asciiTheme="minorHAnsi" w:ascii="Times New Roman" w:hAnsi="黑体" w:eastAsia="黑体" w:cs="黑体"/>
          <w:b/>
        </w:rPr>
        <w:t>Conclusion:</w:t>
      </w:r>
    </w:p>
    <w:p w:rsidR="0018722C">
      <w:pPr>
        <w:pStyle w:val="cw19"/>
        <w:numPr>
          <w:ilvl w:val="0"/>
          <w:numId w:val="0"/>
        </w:numPr>
        <w:topLinePunct/>
      </w:pPr>
      <w:r>
        <w:t>1 </w:t>
      </w:r>
      <w:r>
        <w:t>NF-κB expression in different stages of the mucosa have statistically significant in lymph node metastasis, depth of invasion and clinical stage and gradually increasing deterioration of the specimen, the positive expression was significantly increased, suggesting that NF-κB and clinical gastric cancer phases are closely</w:t>
      </w:r>
      <w:r>
        <w:t> </w:t>
      </w:r>
      <w:r>
        <w:t>related.</w:t>
      </w:r>
    </w:p>
    <w:p w:rsidR="0018722C">
      <w:pPr>
        <w:pStyle w:val="cw19"/>
        <w:numPr>
          <w:ilvl w:val="0"/>
          <w:numId w:val="0"/>
        </w:numPr>
        <w:topLinePunct/>
      </w:pPr>
      <w:r>
        <w:t>2 </w:t>
      </w:r>
      <w:r>
        <w:t>In normal gastric mucosa and precancerous lesions, we detected that the expression of NF-κB, suggest that NF-κB may still be involved in gastric cancer and may paly a role in the starting of cancer; addition, mucosal lesions with the deterioration of the progress of the process, Expression of NF-κB was gradually increasing trend, suggesting that NF-κB might be involved in the progression of gastric mucosa in various stages of</w:t>
      </w:r>
      <w:r>
        <w:t> </w:t>
      </w:r>
      <w:r>
        <w:t>damage.</w:t>
      </w:r>
    </w:p>
    <w:p w:rsidR="0018722C">
      <w:pPr>
        <w:pStyle w:val="cw19"/>
        <w:numPr>
          <w:ilvl w:val="0"/>
          <w:numId w:val="0"/>
        </w:numPr>
        <w:topLinePunct/>
      </w:pPr>
      <w:r>
        <w:t>3 </w:t>
      </w:r>
      <w:r>
        <w:t>TOPO</w:t>
      </w:r>
      <w:r w:rsidR="001852F3">
        <w:t xml:space="preserve"> </w:t>
      </w:r>
      <w:r>
        <w:rPr>
          <w:rFonts w:ascii="宋体" w:hAnsi="宋体"/>
        </w:rPr>
        <w:t>Ⅱ</w:t>
      </w:r>
      <w:r>
        <w:t>and</w:t>
      </w:r>
      <w:r w:rsidR="001852F3">
        <w:t xml:space="preserve"> Ki-67</w:t>
      </w:r>
      <w:r w:rsidR="001852F3">
        <w:t xml:space="preserve"> was</w:t>
      </w:r>
      <w:r w:rsidR="001852F3">
        <w:t xml:space="preserve"> expressed in different tissues</w:t>
      </w:r>
      <w:r w:rsidR="001852F3">
        <w:t xml:space="preserve"> staging</w:t>
      </w:r>
      <w:r w:rsidR="001852F3">
        <w:t xml:space="preserve"> of</w:t>
      </w:r>
      <w:r>
        <w:t> </w:t>
      </w:r>
      <w:r>
        <w:t>gastric</w:t>
      </w:r>
    </w:p>
    <w:p w:rsidR="0018722C">
      <w:pPr>
        <w:pStyle w:val="afc"/>
        <w:topLinePunct/>
      </w:pPr>
      <w:r>
        <w:rPr>
          <w:rFonts w:ascii="Times New Roman" w:hAnsi="Times New Roman"/>
        </w:rPr>
        <w:t/>
      </w:r>
      <w:r>
        <w:rPr>
          <w:rFonts w:ascii="Times New Roman" w:hAnsi="Times New Roman"/>
        </w:rPr>
        <w:t>M</w:t>
      </w:r>
      <w:r>
        <w:rPr>
          <w:rFonts w:ascii="Times New Roman" w:hAnsi="Times New Roman"/>
        </w:rPr>
        <w:t>ucosa, and the positive expression rate increases with deepening and expression of NF-</w:t>
      </w:r>
      <w:r>
        <w:t>κ</w:t>
      </w:r>
      <w:r>
        <w:rPr>
          <w:rFonts w:ascii="Times New Roman" w:hAnsi="Times New Roman"/>
        </w:rPr>
        <w:t>B in gastric malignancy while gradually increasing trend, tips and NF-</w:t>
      </w:r>
      <w:r>
        <w:t>κ</w:t>
      </w:r>
      <w:r>
        <w:rPr>
          <w:rFonts w:ascii="Times New Roman" w:hAnsi="Times New Roman"/>
        </w:rPr>
        <w:t>B expression in the presence of relevant sex.</w:t>
      </w:r>
    </w:p>
    <w:p w:rsidR="0018722C">
      <w:pPr>
        <w:pStyle w:val="aff"/>
        <w:topLinePunct/>
      </w:pPr>
      <w:r>
        <w:rPr>
          <w:rStyle w:val="afe"/>
          <w:rFonts w:eastAsia="黑体" w:ascii="Times New Roman" w:hAnsi="Times New Roman"/>
          <w:b/>
        </w:rPr>
        <w:t xml:space="preserve">Keywords: </w:t>
      </w:r>
      <w:r>
        <w:rPr>
          <w:rFonts w:ascii="Times New Roman" w:hAnsi="Times New Roman"/>
        </w:rPr>
        <w:t>gastric cancer; NF-κB p</w:t>
      </w:r>
      <w:r>
        <w:rPr>
          <w:rFonts w:ascii="Times New Roman" w:hAnsi="Times New Roman"/>
        </w:rPr>
        <w:t>50</w:t>
      </w:r>
      <w:r>
        <w:rPr>
          <w:rFonts w:ascii="Times New Roman" w:hAnsi="Times New Roman"/>
        </w:rPr>
        <w:t xml:space="preserve">; TOPOII; Ki-67; </w:t>
      </w:r>
      <w:r>
        <w:rPr>
          <w:rFonts w:ascii="Times New Roman" w:hAnsi="Times New Roman"/>
        </w:rPr>
        <w:t>I</w:t>
      </w:r>
      <w:r>
        <w:rPr>
          <w:rFonts w:ascii="Times New Roman" w:hAnsi="Times New Roman"/>
        </w:rPr>
        <w:t>mmunohistochemistry</w:t>
      </w:r>
    </w:p>
    <w:p w:rsidR="0018722C">
      <w:pPr>
        <w:spacing w:before="27"/>
        <w:ind w:leftChars="0" w:left="314" w:rightChars="0" w:right="314" w:firstLineChars="0" w:firstLine="0"/>
        <w:jc w:val="center"/>
        <w:topLinePunct/>
      </w:pPr>
      <w:bookmarkStart w:name="英文缩写 " w:id="7"/>
      <w:bookmarkEnd w:id="7"/>
      <w:r>
        <w:rPr>
          <w:kern w:val="2"/>
          <w:szCs w:val="22"/>
          <w:rFonts w:ascii="黑体" w:eastAsia="黑体" w:hint="eastAsia" w:cstheme="minorBidi" w:hAnsiTheme="minorHAnsi"/>
          <w:b/>
          <w:sz w:val="24"/>
        </w:rPr>
        <w:t>英文缩写</w:t>
      </w:r>
    </w:p>
    <w:tbl>
      <w:tblPr>
        <w:tblW w:w="0" w:type="auto"/>
        <w:tblInd w:w="3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3888"/>
        <w:gridCol w:w="3079"/>
      </w:tblGrid>
      <w:tr>
        <w:trPr>
          <w:trHeight w:val="1060" w:hRule="atLeast"/>
        </w:trPr>
        <w:tc>
          <w:tcPr>
            <w:tcW w:w="15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NF-</w:t>
            </w:r>
            <w:r>
              <w:rPr>
                <w:rFonts w:ascii="宋体" w:hAnsi="宋体"/>
              </w:rPr>
              <w:t>κ</w:t>
            </w:r>
            <w:r>
              <w:t>B</w:t>
            </w:r>
          </w:p>
        </w:tc>
        <w:tc>
          <w:tcPr>
            <w:tcW w:w="3888" w:type="dxa"/>
          </w:tcPr>
          <w:p w:rsidR="0018722C">
            <w:pPr>
              <w:topLinePunct/>
              <w:ind w:leftChars="0" w:left="0" w:rightChars="0" w:right="0" w:firstLineChars="0" w:firstLine="0"/>
              <w:spacing w:line="240" w:lineRule="atLeast"/>
            </w:pPr>
            <w:r>
              <w:t>Nucleartranscription</w:t>
            </w:r>
          </w:p>
          <w:p w:rsidR="0018722C">
            <w:pPr>
              <w:topLinePunct/>
            </w:pPr>
          </w:p>
          <w:p w:rsidR="0018722C">
            <w:pPr>
              <w:topLinePunct/>
              <w:ind w:leftChars="0" w:left="0" w:rightChars="0" w:right="0" w:firstLineChars="0" w:firstLine="0"/>
              <w:spacing w:line="240" w:lineRule="atLeast"/>
            </w:pPr>
            <w:r>
              <w:t>factorκB, NF-κB</w:t>
            </w:r>
          </w:p>
        </w:tc>
        <w:tc>
          <w:tcPr>
            <w:tcW w:w="30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hAnsi="宋体" w:eastAsia="宋体" w:hint="eastAsia"/>
              </w:rPr>
              <w:t>核转录因子-κB</w:t>
            </w:r>
          </w:p>
        </w:tc>
      </w:tr>
      <w:tr>
        <w:trPr>
          <w:trHeight w:val="1380" w:hRule="atLeast"/>
        </w:trPr>
        <w:tc>
          <w:tcPr>
            <w:tcW w:w="1533" w:type="dxa"/>
          </w:tcPr>
          <w:p w:rsidR="0018722C">
            <w:pPr>
              <w:topLinePunct/>
              <w:ind w:leftChars="0" w:left="0" w:rightChars="0" w:right="0" w:firstLineChars="0" w:firstLine="0"/>
              <w:spacing w:line="240" w:lineRule="atLeast"/>
            </w:pPr>
            <w:r>
              <w:t>TOPO II</w:t>
            </w:r>
          </w:p>
          <w:p w:rsidR="0018722C">
            <w:pPr>
              <w:topLinePunct/>
              <w:ind w:leftChars="0" w:left="0" w:rightChars="0" w:right="0" w:firstLineChars="0" w:firstLine="0"/>
              <w:spacing w:line="240" w:lineRule="atLeast"/>
            </w:pPr>
            <w:r>
              <w:t>Ki-67 PBS</w:t>
            </w:r>
          </w:p>
        </w:tc>
        <w:tc>
          <w:tcPr>
            <w:tcW w:w="3888" w:type="dxa"/>
          </w:tcPr>
          <w:p w:rsidR="0018722C">
            <w:pPr>
              <w:topLinePunct/>
              <w:ind w:leftChars="0" w:left="0" w:rightChars="0" w:right="0" w:firstLineChars="0" w:firstLine="0"/>
              <w:spacing w:line="240" w:lineRule="atLeast"/>
            </w:pPr>
            <w:r>
              <w:t>TopoisomeraseII ,TOPO II Ki-67</w:t>
            </w:r>
          </w:p>
          <w:p w:rsidR="0018722C">
            <w:pPr>
              <w:topLinePunct/>
              <w:ind w:leftChars="0" w:left="0" w:rightChars="0" w:right="0" w:firstLineChars="0" w:firstLine="0"/>
              <w:spacing w:line="240" w:lineRule="atLeast"/>
            </w:pPr>
            <w:r>
              <w:t>Phosphate-bufferen solution</w:t>
            </w:r>
          </w:p>
        </w:tc>
        <w:tc>
          <w:tcPr>
            <w:tcW w:w="3079" w:type="dxa"/>
          </w:tcPr>
          <w:p w:rsidR="0018722C">
            <w:pPr>
              <w:topLinePunct/>
              <w:ind w:leftChars="0" w:left="0" w:rightChars="0" w:right="0" w:firstLineChars="0" w:firstLine="0"/>
              <w:spacing w:line="240" w:lineRule="atLeast"/>
            </w:pPr>
            <w:r>
              <w:rPr>
                <w:rFonts w:ascii="宋体" w:eastAsia="宋体" w:hint="eastAsia"/>
              </w:rPr>
              <w:t>拓扑异构酶 II</w:t>
            </w:r>
          </w:p>
          <w:p w:rsidR="0018722C">
            <w:pPr>
              <w:topLinePunct/>
              <w:ind w:leftChars="0" w:left="0" w:rightChars="0" w:right="0" w:firstLineChars="0" w:firstLine="0"/>
              <w:spacing w:line="240" w:lineRule="atLeast"/>
            </w:pPr>
            <w:r>
              <w:rPr>
                <w:rFonts w:ascii="宋体" w:eastAsia="宋体" w:hint="eastAsia"/>
              </w:rPr>
              <w:t>增殖细胞核抗原 Ki-67 磷酸盐缓冲液</w:t>
            </w:r>
          </w:p>
        </w:tc>
      </w:tr>
      <w:tr>
        <w:trPr>
          <w:trHeight w:val="440" w:hRule="atLeast"/>
        </w:trPr>
        <w:tc>
          <w:tcPr>
            <w:tcW w:w="1533" w:type="dxa"/>
          </w:tcPr>
          <w:p w:rsidR="0018722C">
            <w:pPr>
              <w:topLinePunct/>
              <w:ind w:leftChars="0" w:left="0" w:rightChars="0" w:right="0" w:firstLineChars="0" w:firstLine="0"/>
              <w:spacing w:line="240" w:lineRule="atLeast"/>
            </w:pPr>
            <w:r>
              <w:t>DAB</w:t>
            </w:r>
          </w:p>
        </w:tc>
        <w:tc>
          <w:tcPr>
            <w:tcW w:w="3888" w:type="dxa"/>
          </w:tcPr>
          <w:p w:rsidR="0018722C">
            <w:pPr>
              <w:topLinePunct/>
              <w:ind w:leftChars="0" w:left="0" w:rightChars="0" w:right="0" w:firstLineChars="0" w:firstLine="0"/>
              <w:spacing w:line="240" w:lineRule="atLeast"/>
            </w:pPr>
            <w:r>
              <w:t>3,3′-diaminobenzidine</w:t>
            </w:r>
          </w:p>
        </w:tc>
        <w:tc>
          <w:tcPr>
            <w:tcW w:w="3079" w:type="dxa"/>
          </w:tcPr>
          <w:p w:rsidR="0018722C">
            <w:pPr>
              <w:topLinePunct/>
              <w:ind w:leftChars="0" w:left="0" w:rightChars="0" w:right="0" w:firstLineChars="0" w:firstLine="0"/>
              <w:spacing w:line="240" w:lineRule="atLeast"/>
            </w:pPr>
            <w:r>
              <w:rPr>
                <w:rFonts w:ascii="宋体" w:eastAsia="宋体" w:hint="eastAsia"/>
              </w:rPr>
              <w:t>3,3'-二氨基联苯胺</w:t>
            </w:r>
          </w:p>
        </w:tc>
      </w:tr>
      <w:tr>
        <w:trPr>
          <w:trHeight w:val="440" w:hRule="atLeast"/>
        </w:trPr>
        <w:tc>
          <w:tcPr>
            <w:tcW w:w="1533" w:type="dxa"/>
          </w:tcPr>
          <w:p w:rsidR="0018722C">
            <w:pPr>
              <w:topLinePunct/>
              <w:ind w:leftChars="0" w:left="0" w:rightChars="0" w:right="0" w:firstLineChars="0" w:firstLine="0"/>
              <w:spacing w:line="240" w:lineRule="atLeast"/>
            </w:pPr>
            <w:r>
              <w:t>IκB</w:t>
            </w:r>
          </w:p>
        </w:tc>
        <w:tc>
          <w:tcPr>
            <w:tcW w:w="3888" w:type="dxa"/>
          </w:tcPr>
          <w:p w:rsidR="0018722C">
            <w:pPr>
              <w:topLinePunct/>
              <w:ind w:leftChars="0" w:left="0" w:rightChars="0" w:right="0" w:firstLineChars="0" w:firstLine="0"/>
              <w:spacing w:line="240" w:lineRule="atLeast"/>
            </w:pPr>
            <w:r>
              <w:t>Inhibitor of NF-κB</w:t>
            </w:r>
          </w:p>
        </w:tc>
        <w:tc>
          <w:tcPr>
            <w:tcW w:w="3079" w:type="dxa"/>
          </w:tcPr>
          <w:p w:rsidR="0018722C">
            <w:pPr>
              <w:topLinePunct/>
              <w:ind w:leftChars="0" w:left="0" w:rightChars="0" w:right="0" w:firstLineChars="0" w:firstLine="0"/>
              <w:spacing w:line="240" w:lineRule="atLeast"/>
            </w:pPr>
            <w:r>
              <w:rPr>
                <w:rFonts w:ascii="宋体" w:eastAsia="宋体" w:hint="eastAsia"/>
              </w:rPr>
              <w:t>NF-kB 抑制蛋白</w:t>
            </w:r>
          </w:p>
        </w:tc>
      </w:tr>
      <w:tr>
        <w:trPr>
          <w:trHeight w:val="420" w:hRule="atLeast"/>
        </w:trPr>
        <w:tc>
          <w:tcPr>
            <w:tcW w:w="1533" w:type="dxa"/>
          </w:tcPr>
          <w:p w:rsidR="0018722C">
            <w:pPr>
              <w:topLinePunct/>
              <w:ind w:leftChars="0" w:left="0" w:rightChars="0" w:right="0" w:firstLineChars="0" w:firstLine="0"/>
              <w:spacing w:line="240" w:lineRule="atLeast"/>
            </w:pPr>
            <w:r>
              <w:t>RHD</w:t>
            </w:r>
          </w:p>
        </w:tc>
        <w:tc>
          <w:tcPr>
            <w:tcW w:w="3888" w:type="dxa"/>
          </w:tcPr>
          <w:p w:rsidR="0018722C">
            <w:pPr>
              <w:topLinePunct/>
              <w:ind w:leftChars="0" w:left="0" w:rightChars="0" w:right="0" w:firstLineChars="0" w:firstLine="0"/>
              <w:spacing w:line="240" w:lineRule="atLeast"/>
            </w:pPr>
            <w:r>
              <w:t>Rel homogeneous domain</w:t>
            </w:r>
          </w:p>
        </w:tc>
        <w:tc>
          <w:tcPr>
            <w:tcW w:w="3079" w:type="dxa"/>
          </w:tcPr>
          <w:p w:rsidR="0018722C">
            <w:pPr>
              <w:topLinePunct/>
              <w:ind w:leftChars="0" w:left="0" w:rightChars="0" w:right="0" w:firstLineChars="0" w:firstLine="0"/>
              <w:spacing w:line="240" w:lineRule="atLeast"/>
            </w:pPr>
            <w:r>
              <w:rPr>
                <w:rFonts w:ascii="宋体" w:eastAsia="宋体" w:hint="eastAsia"/>
              </w:rPr>
              <w:t>Rel 同源区</w:t>
            </w:r>
          </w:p>
        </w:tc>
      </w:tr>
      <w:tr>
        <w:trPr>
          <w:trHeight w:val="880" w:hRule="atLeast"/>
        </w:trPr>
        <w:tc>
          <w:tcPr>
            <w:tcW w:w="153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IAPs</w:t>
            </w:r>
          </w:p>
        </w:tc>
        <w:tc>
          <w:tcPr>
            <w:tcW w:w="3888" w:type="dxa"/>
          </w:tcPr>
          <w:p w:rsidR="0018722C">
            <w:pPr>
              <w:topLinePunct/>
              <w:ind w:leftChars="0" w:left="0" w:rightChars="0" w:right="0" w:firstLineChars="0" w:firstLine="0"/>
              <w:spacing w:line="240" w:lineRule="atLeast"/>
            </w:pPr>
            <w:r>
              <w:t>Inhibitor</w:t>
            </w:r>
            <w:r w:rsidRPr="00000000">
              <w:tab/>
              <w:t>of</w:t>
            </w:r>
            <w:r w:rsidRPr="00000000">
              <w:tab/>
              <w:t>apopfosis</w:t>
            </w:r>
          </w:p>
          <w:p w:rsidR="0018722C">
            <w:pPr>
              <w:topLinePunct/>
              <w:ind w:leftChars="0" w:left="0" w:rightChars="0" w:right="0" w:firstLineChars="0" w:firstLine="0"/>
              <w:spacing w:line="240" w:lineRule="atLeast"/>
            </w:pPr>
            <w:r>
              <w:t>pmteins</w:t>
            </w:r>
          </w:p>
        </w:tc>
        <w:tc>
          <w:tcPr>
            <w:tcW w:w="3079" w:type="dxa"/>
          </w:tcPr>
          <w:p w:rsidR="0018722C">
            <w:pPr>
              <w:topLinePunct/>
              <w:ind w:leftChars="0" w:left="0" w:rightChars="0" w:right="0" w:firstLineChars="0" w:firstLine="0"/>
              <w:spacing w:line="240" w:lineRule="atLeast"/>
            </w:pPr>
            <w:r>
              <w:rPr>
                <w:rFonts w:ascii="宋体" w:eastAsia="宋体" w:hint="eastAsia"/>
              </w:rPr>
              <w:t>凋亡抑制蛋白</w:t>
            </w:r>
          </w:p>
        </w:tc>
      </w:tr>
      <w:tr>
        <w:trPr>
          <w:trHeight w:val="420" w:hRule="atLeast"/>
        </w:trPr>
        <w:tc>
          <w:tcPr>
            <w:tcW w:w="1533" w:type="dxa"/>
          </w:tcPr>
          <w:p w:rsidR="0018722C">
            <w:pPr>
              <w:topLinePunct/>
              <w:ind w:leftChars="0" w:left="0" w:rightChars="0" w:right="0" w:firstLineChars="0" w:firstLine="0"/>
              <w:spacing w:line="240" w:lineRule="atLeast"/>
            </w:pPr>
            <w:r>
              <w:t>TNF</w:t>
            </w:r>
          </w:p>
        </w:tc>
        <w:tc>
          <w:tcPr>
            <w:tcW w:w="3888" w:type="dxa"/>
          </w:tcPr>
          <w:p w:rsidR="0018722C">
            <w:pPr>
              <w:topLinePunct/>
              <w:ind w:leftChars="0" w:left="0" w:rightChars="0" w:right="0" w:firstLineChars="0" w:firstLine="0"/>
              <w:spacing w:line="240" w:lineRule="atLeast"/>
            </w:pPr>
            <w:r>
              <w:t>Tumor Necrosis Factor</w:t>
            </w:r>
          </w:p>
        </w:tc>
        <w:tc>
          <w:tcPr>
            <w:tcW w:w="3079" w:type="dxa"/>
          </w:tcPr>
          <w:p w:rsidR="0018722C">
            <w:pPr>
              <w:topLinePunct/>
              <w:ind w:leftChars="0" w:left="0" w:rightChars="0" w:right="0" w:firstLineChars="0" w:firstLine="0"/>
              <w:spacing w:line="240" w:lineRule="atLeast"/>
            </w:pPr>
            <w:r>
              <w:rPr>
                <w:rFonts w:ascii="宋体" w:eastAsia="宋体" w:hint="eastAsia"/>
              </w:rPr>
              <w:t>肿瘤坏死因子</w:t>
            </w:r>
          </w:p>
        </w:tc>
      </w:tr>
      <w:tr>
        <w:trPr>
          <w:trHeight w:val="440" w:hRule="atLeast"/>
        </w:trPr>
        <w:tc>
          <w:tcPr>
            <w:tcW w:w="1533" w:type="dxa"/>
          </w:tcPr>
          <w:p w:rsidR="0018722C">
            <w:pPr>
              <w:topLinePunct/>
              <w:ind w:leftChars="0" w:left="0" w:rightChars="0" w:right="0" w:firstLineChars="0" w:firstLine="0"/>
              <w:spacing w:line="240" w:lineRule="atLeast"/>
            </w:pPr>
            <w:r>
              <w:t>IL-1</w:t>
            </w:r>
          </w:p>
        </w:tc>
        <w:tc>
          <w:tcPr>
            <w:tcW w:w="3888" w:type="dxa"/>
          </w:tcPr>
          <w:p w:rsidR="0018722C">
            <w:pPr>
              <w:topLinePunct/>
              <w:ind w:leftChars="0" w:left="0" w:rightChars="0" w:right="0" w:firstLineChars="0" w:firstLine="0"/>
              <w:spacing w:line="240" w:lineRule="atLeast"/>
            </w:pPr>
            <w:r>
              <w:t>Interleukin-1</w:t>
            </w:r>
          </w:p>
        </w:tc>
        <w:tc>
          <w:tcPr>
            <w:tcW w:w="3079" w:type="dxa"/>
          </w:tcPr>
          <w:p w:rsidR="0018722C">
            <w:pPr>
              <w:topLinePunct/>
              <w:ind w:leftChars="0" w:left="0" w:rightChars="0" w:right="0" w:firstLineChars="0" w:firstLine="0"/>
              <w:spacing w:line="240" w:lineRule="atLeast"/>
            </w:pPr>
            <w:r>
              <w:rPr>
                <w:rFonts w:ascii="宋体" w:eastAsia="宋体" w:hint="eastAsia"/>
              </w:rPr>
              <w:t>白细胞介素-1</w:t>
            </w:r>
          </w:p>
        </w:tc>
      </w:tr>
      <w:tr>
        <w:trPr>
          <w:trHeight w:val="440" w:hRule="atLeast"/>
        </w:trPr>
        <w:tc>
          <w:tcPr>
            <w:tcW w:w="1533" w:type="dxa"/>
          </w:tcPr>
          <w:p w:rsidR="0018722C">
            <w:pPr>
              <w:topLinePunct/>
              <w:ind w:leftChars="0" w:left="0" w:rightChars="0" w:right="0" w:firstLineChars="0" w:firstLine="0"/>
              <w:spacing w:line="240" w:lineRule="atLeast"/>
            </w:pPr>
            <w:r>
              <w:t>HBV</w:t>
            </w:r>
          </w:p>
        </w:tc>
        <w:tc>
          <w:tcPr>
            <w:tcW w:w="3888" w:type="dxa"/>
          </w:tcPr>
          <w:p w:rsidR="0018722C">
            <w:pPr>
              <w:topLinePunct/>
              <w:ind w:leftChars="0" w:left="0" w:rightChars="0" w:right="0" w:firstLineChars="0" w:firstLine="0"/>
              <w:spacing w:line="240" w:lineRule="atLeast"/>
            </w:pPr>
            <w:r>
              <w:t>Hepatitis B virus</w:t>
            </w:r>
          </w:p>
        </w:tc>
        <w:tc>
          <w:tcPr>
            <w:tcW w:w="3079" w:type="dxa"/>
          </w:tcPr>
          <w:p w:rsidR="0018722C">
            <w:pPr>
              <w:topLinePunct/>
              <w:ind w:leftChars="0" w:left="0" w:rightChars="0" w:right="0" w:firstLineChars="0" w:firstLine="0"/>
              <w:spacing w:line="240" w:lineRule="atLeast"/>
            </w:pPr>
            <w:r>
              <w:rPr>
                <w:rFonts w:ascii="宋体" w:eastAsia="宋体" w:hint="eastAsia"/>
              </w:rPr>
              <w:t>乙型肝炎病毒</w:t>
            </w:r>
          </w:p>
        </w:tc>
      </w:tr>
      <w:tr>
        <w:trPr>
          <w:trHeight w:val="360" w:hRule="atLeast"/>
        </w:trPr>
        <w:tc>
          <w:tcPr>
            <w:tcW w:w="1533" w:type="dxa"/>
          </w:tcPr>
          <w:p w:rsidR="0018722C">
            <w:pPr>
              <w:topLinePunct/>
              <w:ind w:leftChars="0" w:left="0" w:rightChars="0" w:right="0" w:firstLineChars="0" w:firstLine="0"/>
              <w:spacing w:line="240" w:lineRule="atLeast"/>
            </w:pPr>
            <w:r>
              <w:t>HPV</w:t>
            </w:r>
          </w:p>
        </w:tc>
        <w:tc>
          <w:tcPr>
            <w:tcW w:w="3888" w:type="dxa"/>
          </w:tcPr>
          <w:p w:rsidR="0018722C">
            <w:pPr>
              <w:topLinePunct/>
              <w:ind w:leftChars="0" w:left="0" w:rightChars="0" w:right="0" w:firstLineChars="0" w:firstLine="0"/>
              <w:spacing w:line="240" w:lineRule="atLeast"/>
            </w:pPr>
            <w:r>
              <w:t>Human papillomavirus</w:t>
            </w:r>
          </w:p>
        </w:tc>
        <w:tc>
          <w:tcPr>
            <w:tcW w:w="3079" w:type="dxa"/>
          </w:tcPr>
          <w:p w:rsidR="0018722C">
            <w:pPr>
              <w:topLinePunct/>
              <w:ind w:leftChars="0" w:left="0" w:rightChars="0" w:right="0" w:firstLineChars="0" w:firstLine="0"/>
              <w:spacing w:line="240" w:lineRule="atLeast"/>
            </w:pPr>
            <w:r>
              <w:rPr>
                <w:rFonts w:ascii="宋体" w:eastAsia="宋体" w:hint="eastAsia"/>
              </w:rPr>
              <w:t>人乳头瘤病毒</w:t>
            </w:r>
          </w:p>
        </w:tc>
      </w:tr>
    </w:tbl>
    <w:p w:rsidR="0018722C">
      <w:pPr>
        <w:rPr/>
        <w:topLinePunct/>
        <w:pStyle w:val="affa"/>
      </w:pPr>
    </w:p>
    <w:p w:rsidR="0018722C">
      <w:pPr>
        <w:topLinePunct/>
      </w:pPr>
      <w:r>
        <w:rPr>
          <w:rFonts w:cstheme="minorBidi" w:hAnsiTheme="minorHAnsi" w:eastAsiaTheme="minorHAnsi" w:asciiTheme="minorHAnsi" w:ascii="黑体" w:hAnsi="黑体" w:eastAsia="黑体" w:cs="Times New Roman" w:hint="eastAsia"/>
          <w:b/>
        </w:rPr>
        <w:t>NF-κB</w:t>
      </w:r>
      <w:r w:rsidR="001852F3">
        <w:rPr>
          <w:rFonts w:cstheme="minorBidi" w:hAnsiTheme="minorHAnsi" w:eastAsiaTheme="minorHAnsi" w:asciiTheme="minorHAnsi" w:ascii="黑体" w:hAnsi="黑体" w:eastAsia="黑体" w:cs="Times New Roman" w:hint="eastAsia"/>
          <w:b/>
        </w:rPr>
        <w:t xml:space="preserve">在胃癌组织中的表达及其与</w:t>
      </w:r>
      <w:r w:rsidR="001852F3">
        <w:rPr>
          <w:rFonts w:cstheme="minorBidi" w:hAnsiTheme="minorHAnsi" w:eastAsiaTheme="minorHAnsi" w:asciiTheme="minorHAnsi" w:ascii="黑体" w:hAnsi="黑体" w:eastAsia="黑体" w:cs="Times New Roman" w:hint="eastAsia"/>
          <w:b/>
        </w:rPr>
        <w:t xml:space="preserve">TOPO II、Ki-67</w:t>
      </w:r>
      <w:r w:rsidR="001852F3">
        <w:rPr>
          <w:rFonts w:cstheme="minorBidi" w:hAnsiTheme="minorHAnsi" w:eastAsiaTheme="minorHAnsi" w:asciiTheme="minorHAnsi" w:ascii="黑体" w:hAnsi="黑体" w:eastAsia="黑体" w:cs="Times New Roman" w:hint="eastAsia"/>
          <w:b/>
        </w:rPr>
        <w:t xml:space="preserve">的关系</w:t>
      </w:r>
    </w:p>
    <w:p w:rsidR="0018722C">
      <w:pPr>
        <w:pStyle w:val="aa"/>
        <w:topLinePunct/>
      </w:pPr>
      <w:bookmarkStart w:id="273658" w:name="_Toc686273658"/>
      <w:bookmarkStart w:name="前言 " w:id="8"/>
      <w:bookmarkEnd w:id="8"/>
      <w:r>
        <w:t>前</w:t>
      </w:r>
      <w:r w:rsidRPr="00000000">
        <w:rPr>
          <w:b/>
        </w:rPr>
        <w:t>言</w:t>
      </w:r>
      <w:bookmarkEnd w:id="273658"/>
    </w:p>
    <w:p w:rsidR="0018722C">
      <w:pPr>
        <w:topLinePunct/>
      </w:pPr>
      <w:r>
        <w:t>胃癌已成为在全球发病率最高的癌症之一，我国胃癌患病和死亡率均</w:t>
      </w:r>
      <w:r>
        <w:t>超过世界平均水平的两倍，中国的胃癌发病已占全世界的</w:t>
      </w:r>
      <w:r>
        <w:rPr>
          <w:rFonts w:ascii="Times New Roman" w:eastAsia="Times New Roman"/>
        </w:rPr>
        <w:t>42%</w:t>
      </w:r>
      <w:r>
        <w:rPr>
          <w:rFonts w:hint="eastAsia"/>
        </w:rPr>
        <w:t>，</w:t>
      </w:r>
      <w:r>
        <w:t>每年约有</w:t>
      </w:r>
      <w:r>
        <w:rPr>
          <w:rFonts w:ascii="Times New Roman" w:eastAsia="Times New Roman"/>
        </w:rPr>
        <w:t>17</w:t>
      </w:r>
      <w:r>
        <w:t>万人死于胃癌，几乎接近全部恶性肿瘤死亡人数的</w:t>
      </w:r>
      <w:r>
        <w:rPr>
          <w:rFonts w:ascii="Times New Roman" w:eastAsia="Times New Roman"/>
        </w:rPr>
        <w:t>1</w:t>
      </w:r>
      <w:r>
        <w:rPr>
          <w:rFonts w:ascii="Times New Roman" w:eastAsia="Times New Roman"/>
        </w:rPr>
        <w:t>/</w:t>
      </w:r>
      <w:r>
        <w:rPr>
          <w:rFonts w:ascii="Times New Roman" w:eastAsia="Times New Roman"/>
        </w:rPr>
        <w:t>4</w:t>
      </w:r>
      <w:r>
        <w:t>。</w:t>
      </w:r>
    </w:p>
    <w:p w:rsidR="0018722C">
      <w:pPr>
        <w:topLinePunct/>
      </w:pPr>
      <w:r>
        <w:t>肿瘤的发生与进展是多因素所致的复杂、多步的过程，包括遗传、环</w:t>
      </w:r>
      <w:r>
        <w:t>境、生活习惯等的影响造成的多种炎症因子刺激、新生血管形成、癌基因</w:t>
      </w:r>
      <w:r>
        <w:t>与抑癌基因的失衡，并涉及一系列的基因突变，目前已经发现的癌基因和抑癌基因不下数十种，它们不仅为解释肿瘤的发生提供了重要的依据，而</w:t>
      </w:r>
      <w:r>
        <w:t>且可以通过检测这些基因的异常来早期诊断和预测某些肿瘤的发生。在众</w:t>
      </w:r>
      <w:r>
        <w:t>多的研究领域中，分子生物学的研究为胃癌病因研究的重点，其中</w:t>
      </w:r>
      <w:r>
        <w:t>NF-κB</w:t>
      </w:r>
      <w:r>
        <w:t>为研究的热点之一，多数临床研究结果显示其在胃癌等多种实体肿瘤的形</w:t>
      </w:r>
      <w:r>
        <w:t>成中扮演重要角色，其在肿瘤组织中的异常表达、细胞凋亡的失衡，可能</w:t>
      </w:r>
      <w:r>
        <w:t>是肿瘤形成的原因之一。</w:t>
      </w:r>
    </w:p>
    <w:p w:rsidR="0018722C">
      <w:pPr>
        <w:topLinePunct/>
      </w:pPr>
      <w:r>
        <w:t>TOPO</w:t>
      </w:r>
      <w:r>
        <w:t>Ⅱ是细胞基质酶蛋白，参与多种生物学过程，高表达于处于增殖</w:t>
      </w:r>
      <w:r>
        <w:t>状态的细胞中，目前作为肿瘤耐药机制评估的重要因子，并可作为肿瘤良</w:t>
      </w:r>
      <w:r>
        <w:t>恶性的评估指标；而作为增殖细胞核抗原的</w:t>
      </w:r>
      <w:r>
        <w:t>Ki67</w:t>
      </w:r>
      <w:r/>
      <w:r w:rsidR="001852F3">
        <w:t xml:space="preserve">近年</w:t>
      </w:r>
      <w:r w:rsidR="001852F3">
        <w:t>亦被广泛地应用于</w:t>
      </w:r>
      <w:r>
        <w:t>各种肿瘤的预后测定。</w:t>
      </w:r>
    </w:p>
    <w:p w:rsidR="0018722C">
      <w:pPr>
        <w:topLinePunct/>
      </w:pPr>
      <w:r>
        <w:t>三者在肿瘤的浸润、转移中起着非常重要的作用，但其作用机制目前</w:t>
      </w:r>
      <w:r>
        <w:t>尚不完全清楚。本实验通过免疫组织化学方法标记，检测正常胃粘膜组织、</w:t>
      </w:r>
      <w:r>
        <w:t>癌旁增生组织及胃癌组织中的三者的表达水平，从蛋白水平揭示三者与胃</w:t>
      </w:r>
      <w:r>
        <w:t>癌及三者之间的关系，为研究胃癌的预后的评估提供理论依据，同时对指</w:t>
      </w:r>
      <w:r>
        <w:t>导肿瘤的治疗有一定的意义。</w:t>
      </w:r>
    </w:p>
    <w:p w:rsidR="0018722C">
      <w:pPr>
        <w:outlineLvl w:val="9"/>
        <w:topLinePunct/>
      </w:pPr>
      <w:bookmarkStart w:name="材料和方法 " w:id="9"/>
      <w:bookmarkEnd w:id="9"/>
      <w:r>
        <w:rPr>
          <w:kern w:val="2"/>
          <w:sz w:val="28"/>
          <w:szCs w:val="28"/>
          <w:rFonts w:cstheme="minorBidi" w:hAnsiTheme="minorHAnsi" w:eastAsiaTheme="minorHAnsi" w:asciiTheme="minorHAnsi" w:ascii="黑体" w:hAnsi="黑体" w:eastAsia="黑体" w:cs="黑体"/>
          <w:b/>
          <w:bCs/>
        </w:rPr>
        <w:t>材料和方法</w:t>
      </w:r>
    </w:p>
    <w:p w:rsidR="0018722C">
      <w:pPr>
        <w:pStyle w:val="Heading2"/>
        <w:topLinePunct/>
        <w:ind w:left="171" w:hangingChars="171" w:hanging="171"/>
      </w:pPr>
      <w:bookmarkStart w:name="1 一般资料 " w:id="10"/>
      <w:bookmarkEnd w:id="10"/>
      <w:r>
        <w:t>1</w:t>
      </w:r>
      <w:r>
        <w:t xml:space="preserve"> </w:t>
      </w:r>
      <w:bookmarkStart w:name="1 一般资料 " w:id="11"/>
      <w:bookmarkEnd w:id="11"/>
      <w:r>
        <w:t>一般资料</w:t>
      </w:r>
    </w:p>
    <w:p w:rsidR="0018722C">
      <w:pPr>
        <w:pStyle w:val="Heading3"/>
        <w:topLinePunct/>
        <w:ind w:left="200" w:hangingChars="200" w:hanging="200"/>
      </w:pPr>
      <w:bookmarkStart w:name="1.1 实验对象 " w:id="12"/>
      <w:bookmarkEnd w:id="12"/>
      <w:r>
        <w:t>1.1</w:t>
      </w:r>
      <w:r>
        <w:t xml:space="preserve"> </w:t>
      </w:r>
      <w:bookmarkStart w:name="1.1 实验对象 " w:id="13"/>
      <w:bookmarkEnd w:id="13"/>
      <w:r>
        <w:t>实验对象</w:t>
      </w:r>
    </w:p>
    <w:p w:rsidR="0018722C">
      <w:pPr>
        <w:topLinePunct/>
      </w:pPr>
      <w:r>
        <w:t>收集来自承德市中心医院</w:t>
      </w:r>
      <w:r w:rsidR="001852F3">
        <w:t xml:space="preserve">2011</w:t>
      </w:r>
      <w:r w:rsidR="001852F3">
        <w:t xml:space="preserve">年-2013</w:t>
      </w:r>
      <w:r w:rsidR="001852F3">
        <w:t xml:space="preserve">年肿瘤外科手术术后患者标</w:t>
      </w:r>
    </w:p>
    <w:p w:rsidR="0018722C">
      <w:pPr>
        <w:topLinePunct/>
      </w:pPr>
      <w:r>
        <w:t>本，术后病理证实均为胃腺癌，共</w:t>
      </w:r>
      <w:r>
        <w:t>102</w:t>
      </w:r>
      <w:r/>
      <w:r w:rsidR="001852F3">
        <w:t xml:space="preserve">例，其中男性</w:t>
      </w:r>
      <w:r>
        <w:t>72</w:t>
      </w:r>
      <w:r/>
      <w:r w:rsidR="001852F3">
        <w:t xml:space="preserve">例，女性</w:t>
      </w:r>
      <w:r>
        <w:t>30</w:t>
      </w:r>
      <w:r/>
      <w:r w:rsidR="001852F3">
        <w:t xml:space="preserve">例，</w:t>
      </w:r>
    </w:p>
    <w:p w:rsidR="0018722C">
      <w:pPr>
        <w:topLinePunct/>
      </w:pPr>
      <w:r>
        <w:t>年龄</w:t>
      </w:r>
      <w:r>
        <w:t>42-78</w:t>
      </w:r>
      <w:r/>
      <w:r w:rsidR="001852F3">
        <w:t xml:space="preserve">岁，</w:t>
      </w:r>
      <w:r w:rsidR="001852F3">
        <w:t xml:space="preserve">中位年龄</w:t>
      </w:r>
      <w:r>
        <w:t>59</w:t>
      </w:r>
      <w:r/>
      <w:r w:rsidR="001852F3">
        <w:t xml:space="preserve">岁，年龄≥</w:t>
      </w:r>
      <w:r>
        <w:t>55</w:t>
      </w:r>
      <w:r/>
      <w:r w:rsidR="001852F3">
        <w:t xml:space="preserve">岁者</w:t>
      </w:r>
      <w:r>
        <w:t>69</w:t>
      </w:r>
      <w:r/>
      <w:r w:rsidR="001852F3">
        <w:t xml:space="preserve">例，＜</w:t>
      </w:r>
      <w:r>
        <w:t>55</w:t>
      </w:r>
      <w:r/>
      <w:r w:rsidR="001852F3">
        <w:t xml:space="preserve">岁者</w:t>
      </w:r>
      <w:r>
        <w:t>33</w:t>
      </w:r>
      <w:r/>
      <w:r w:rsidR="001852F3">
        <w:t xml:space="preserve">例，</w:t>
      </w:r>
    </w:p>
    <w:p w:rsidR="0018722C">
      <w:pPr>
        <w:topLinePunct/>
      </w:pPr>
      <w:r>
        <w:t>术前均未行放化疗，术后病理证实均为腺癌，其中高、中分化腺癌</w:t>
      </w:r>
      <w:r>
        <w:t>33</w:t>
      </w:r>
      <w:r/>
      <w:r w:rsidR="001852F3">
        <w:t xml:space="preserve">例，</w:t>
      </w:r>
    </w:p>
    <w:p w:rsidR="0018722C">
      <w:pPr>
        <w:topLinePunct/>
      </w:pPr>
      <w:r>
        <w:t>低分化腺癌</w:t>
      </w:r>
      <w:r>
        <w:t>69</w:t>
      </w:r>
      <w:r/>
      <w:r w:rsidR="001852F3">
        <w:t xml:space="preserve">例；未侵及浆膜层者</w:t>
      </w:r>
      <w:r>
        <w:t>36</w:t>
      </w:r>
      <w:r/>
      <w:r w:rsidR="001852F3">
        <w:t xml:space="preserve">例，侵及浆膜层者</w:t>
      </w:r>
      <w:r>
        <w:t>66</w:t>
      </w:r>
      <w:r/>
      <w:r w:rsidR="001852F3">
        <w:t xml:space="preserve">例；无淋巴</w:t>
      </w:r>
    </w:p>
    <w:p w:rsidR="0018722C">
      <w:pPr>
        <w:topLinePunct/>
      </w:pPr>
      <w:r>
        <w:t>结转移者</w:t>
      </w:r>
      <w:r>
        <w:t>42</w:t>
      </w:r>
      <w:r/>
      <w:r w:rsidR="001852F3">
        <w:t xml:space="preserve">例，伴有淋巴结转移者</w:t>
      </w:r>
      <w:r>
        <w:t>60</w:t>
      </w:r>
      <w:r/>
      <w:r w:rsidR="001852F3">
        <w:t xml:space="preserve">例。根据临床症状、实验室检查及</w:t>
      </w:r>
      <w:r>
        <w:t>影像学等综合检查确诊。另选取癌旁增生组织组</w:t>
      </w:r>
      <w:r>
        <w:rPr>
          <w:spacing w:val="1"/>
        </w:rPr>
        <w:t>（</w:t>
      </w:r>
      <w:r>
        <w:rPr>
          <w:spacing w:val="1"/>
        </w:rPr>
        <w:t xml:space="preserve">距离肿瘤灶</w:t>
      </w:r>
      <w:r>
        <w:t>5cm-10cm</w:t>
      </w:r>
      <w:r>
        <w:rPr>
          <w:spacing w:val="-2"/>
        </w:rPr>
        <w:t>之间的作为癌旁增生组织</w:t>
      </w:r>
      <w:r>
        <w:rPr>
          <w:spacing w:val="-2"/>
        </w:rPr>
        <w:t>）</w:t>
      </w:r>
      <w:r>
        <w:t>45</w:t>
      </w:r>
      <w:r/>
      <w:r w:rsidR="001852F3">
        <w:t xml:space="preserve">例，正常胃黏膜</w:t>
      </w:r>
      <w:r>
        <w:t>（</w:t>
      </w:r>
      <w:r>
        <w:rPr>
          <w:spacing w:val="-4"/>
        </w:rPr>
        <w:t>距离肿瘤灶</w:t>
      </w:r>
      <w:r>
        <w:t>10cm</w:t>
      </w:r>
      <w:r w:rsidR="001852F3">
        <w:rPr>
          <w:spacing w:val="-5"/>
        </w:rPr>
        <w:t xml:space="preserve">以外的</w:t>
      </w:r>
      <w:r>
        <w:rPr>
          <w:spacing w:val="-4"/>
        </w:rPr>
        <w:t>作为正常胃粘膜组织</w:t>
      </w:r>
      <w:r>
        <w:t>）</w:t>
      </w:r>
      <w:r>
        <w:t>组织者</w:t>
      </w:r>
      <w:r>
        <w:t>34</w:t>
      </w:r>
      <w:r/>
      <w:r w:rsidR="001852F3">
        <w:t xml:space="preserve">例作为对照研究。</w:t>
      </w:r>
    </w:p>
    <w:p w:rsidR="0018722C">
      <w:pPr>
        <w:pStyle w:val="Heading3"/>
        <w:topLinePunct/>
        <w:ind w:left="200" w:hangingChars="200" w:hanging="200"/>
      </w:pPr>
      <w:bookmarkStart w:name="1.2 主要试剂及抗体 " w:id="14"/>
      <w:bookmarkEnd w:id="14"/>
      <w:r>
        <w:t>1.2</w:t>
      </w:r>
      <w:r>
        <w:t xml:space="preserve"> </w:t>
      </w:r>
      <w:bookmarkStart w:name="1.2 主要试剂及抗体 " w:id="15"/>
      <w:bookmarkEnd w:id="15"/>
      <w:r>
        <w:t>主要试剂及抗体</w:t>
      </w:r>
    </w:p>
    <w:tbl>
      <w:tblPr>
        <w:tblW w:w="0" w:type="auto"/>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96"/>
        <w:gridCol w:w="4213"/>
      </w:tblGrid>
      <w:tr>
        <w:trPr>
          <w:trHeight w:val="800" w:hRule="atLeast"/>
        </w:trPr>
        <w:tc>
          <w:tcPr>
            <w:tcW w:w="4696" w:type="dxa"/>
          </w:tcPr>
          <w:p w:rsidR="0018722C">
            <w:pPr>
              <w:topLinePunct/>
              <w:ind w:leftChars="0" w:left="0" w:rightChars="0" w:right="0" w:firstLineChars="0" w:firstLine="0"/>
              <w:spacing w:line="240" w:lineRule="atLeast"/>
            </w:pPr>
            <w:r>
              <w:rPr>
                <w:rFonts w:ascii="宋体" w:eastAsia="宋体" w:hint="eastAsia"/>
              </w:rPr>
              <w:t>一抗：兔抗人多克隆抗体即用型</w:t>
            </w:r>
            <w:r>
              <w:rPr>
                <w:rFonts w:ascii="宋体" w:eastAsia="宋体" w:hint="eastAsia"/>
              </w:rPr>
              <w:t>(</w:t>
            </w:r>
            <w:r>
              <w:rPr>
                <w:rFonts w:ascii="宋体" w:eastAsia="宋体" w:hint="eastAsia"/>
              </w:rPr>
              <w:t>NF-</w:t>
            </w:r>
          </w:p>
          <w:p w:rsidR="0018722C">
            <w:pPr>
              <w:topLinePunct/>
              <w:ind w:leftChars="0" w:left="0" w:rightChars="0" w:right="0" w:firstLineChars="0" w:firstLine="0"/>
              <w:spacing w:line="240" w:lineRule="atLeast"/>
            </w:pPr>
            <w:r>
              <w:rPr>
                <w:rFonts w:ascii="宋体" w:hAnsi="宋体"/>
              </w:rPr>
              <w:t>κB</w:t>
            </w:r>
            <w:r>
              <w:rPr>
                <w:rFonts w:ascii="宋体" w:hAnsi="宋体"/>
              </w:rPr>
              <w:t>)</w:t>
            </w:r>
          </w:p>
        </w:tc>
        <w:tc>
          <w:tcPr>
            <w:tcW w:w="4213" w:type="dxa"/>
          </w:tcPr>
          <w:p w:rsidR="0018722C">
            <w:pPr>
              <w:topLinePunct/>
              <w:ind w:leftChars="0" w:left="0" w:rightChars="0" w:right="0" w:firstLineChars="0" w:firstLine="0"/>
              <w:spacing w:line="240" w:lineRule="atLeast"/>
            </w:pPr>
            <w:r>
              <w:rPr>
                <w:rFonts w:ascii="宋体" w:eastAsia="宋体" w:hint="eastAsia"/>
              </w:rPr>
              <w:t>福州迈新生物技术开发有限公司</w:t>
            </w:r>
          </w:p>
        </w:tc>
      </w:tr>
      <w:tr>
        <w:trPr>
          <w:trHeight w:val="860" w:hRule="atLeast"/>
        </w:trPr>
        <w:tc>
          <w:tcPr>
            <w:tcW w:w="4696" w:type="dxa"/>
          </w:tcPr>
          <w:p w:rsidR="0018722C">
            <w:pPr>
              <w:topLinePunct/>
              <w:ind w:leftChars="0" w:left="0" w:rightChars="0" w:right="0" w:firstLineChars="0" w:firstLine="0"/>
              <w:spacing w:line="240" w:lineRule="atLeast"/>
            </w:pPr>
            <w:r>
              <w:rPr>
                <w:rFonts w:ascii="宋体" w:hAnsi="宋体" w:eastAsia="宋体" w:hint="eastAsia"/>
              </w:rPr>
              <w:t>一抗： 兔抗人多克隆抗体即用型</w:t>
            </w:r>
            <w:r>
              <w:rPr>
                <w:rFonts w:ascii="宋体" w:hAnsi="宋体" w:eastAsia="宋体" w:hint="eastAsia"/>
              </w:rPr>
              <w:t>(</w:t>
            </w:r>
            <w:r>
              <w:rPr>
                <w:rFonts w:ascii="宋体" w:hAnsi="宋体" w:eastAsia="宋体" w:hint="eastAsia"/>
              </w:rPr>
              <w:t>TOPOⅡ</w:t>
            </w:r>
            <w:r>
              <w:rPr>
                <w:rFonts w:ascii="宋体" w:hAnsi="宋体" w:eastAsia="宋体" w:hint="eastAsia"/>
              </w:rPr>
              <w:t>)</w:t>
            </w:r>
          </w:p>
        </w:tc>
        <w:tc>
          <w:tcPr>
            <w:tcW w:w="4213" w:type="dxa"/>
          </w:tcPr>
          <w:p w:rsidR="0018722C">
            <w:pPr>
              <w:topLinePunct/>
              <w:ind w:leftChars="0" w:left="0" w:rightChars="0" w:right="0" w:firstLineChars="0" w:firstLine="0"/>
              <w:spacing w:line="240" w:lineRule="atLeast"/>
            </w:pPr>
            <w:r>
              <w:rPr>
                <w:rFonts w:ascii="宋体" w:eastAsia="宋体" w:hint="eastAsia"/>
              </w:rPr>
              <w:t>福州迈新生物技术开发有限公司</w:t>
            </w:r>
          </w:p>
        </w:tc>
      </w:tr>
      <w:tr>
        <w:trPr>
          <w:trHeight w:val="880" w:hRule="atLeast"/>
        </w:trPr>
        <w:tc>
          <w:tcPr>
            <w:tcW w:w="4696" w:type="dxa"/>
          </w:tcPr>
          <w:p w:rsidR="0018722C">
            <w:pPr>
              <w:topLinePunct/>
              <w:ind w:leftChars="0" w:left="0" w:rightChars="0" w:right="0" w:firstLineChars="0" w:firstLine="0"/>
              <w:spacing w:line="240" w:lineRule="atLeast"/>
            </w:pPr>
            <w:r>
              <w:rPr>
                <w:rFonts w:ascii="宋体" w:eastAsia="宋体" w:hint="eastAsia"/>
              </w:rPr>
              <w:t>一抗： 兔抗人多克隆抗体即用型</w:t>
            </w:r>
            <w:r>
              <w:rPr>
                <w:rFonts w:ascii="宋体" w:eastAsia="宋体" w:hint="eastAsia"/>
              </w:rPr>
              <w:t>(</w:t>
            </w:r>
            <w:r>
              <w:rPr>
                <w:rFonts w:ascii="宋体" w:eastAsia="宋体" w:hint="eastAsia"/>
              </w:rPr>
              <w:t>Ki-67</w:t>
            </w:r>
            <w:r>
              <w:rPr>
                <w:rFonts w:ascii="宋体" w:eastAsia="宋体" w:hint="eastAsia"/>
              </w:rPr>
              <w:t>)</w:t>
            </w:r>
          </w:p>
        </w:tc>
        <w:tc>
          <w:tcPr>
            <w:tcW w:w="4213" w:type="dxa"/>
          </w:tcPr>
          <w:p w:rsidR="0018722C">
            <w:pPr>
              <w:topLinePunct/>
              <w:ind w:leftChars="0" w:left="0" w:rightChars="0" w:right="0" w:firstLineChars="0" w:firstLine="0"/>
              <w:spacing w:line="240" w:lineRule="atLeast"/>
            </w:pPr>
            <w:r>
              <w:rPr>
                <w:rFonts w:ascii="宋体" w:eastAsia="宋体" w:hint="eastAsia"/>
              </w:rPr>
              <w:t>福州迈新生物技术开发有限公司</w:t>
            </w:r>
          </w:p>
        </w:tc>
      </w:tr>
      <w:tr>
        <w:trPr>
          <w:trHeight w:val="440" w:hRule="atLeast"/>
        </w:trPr>
        <w:tc>
          <w:tcPr>
            <w:tcW w:w="4696" w:type="dxa"/>
          </w:tcPr>
          <w:p w:rsidR="0018722C">
            <w:pPr>
              <w:topLinePunct/>
              <w:ind w:leftChars="0" w:left="0" w:rightChars="0" w:right="0" w:firstLineChars="0" w:firstLine="0"/>
              <w:spacing w:line="240" w:lineRule="atLeast"/>
            </w:pPr>
            <w:r>
              <w:rPr>
                <w:rFonts w:ascii="宋体" w:eastAsia="宋体" w:hint="eastAsia"/>
              </w:rPr>
              <w:t>二抗：ft羊血清</w:t>
            </w:r>
          </w:p>
        </w:tc>
        <w:tc>
          <w:tcPr>
            <w:tcW w:w="4213" w:type="dxa"/>
          </w:tcPr>
          <w:p w:rsidR="0018722C">
            <w:pPr>
              <w:topLinePunct/>
              <w:ind w:leftChars="0" w:left="0" w:rightChars="0" w:right="0" w:firstLineChars="0" w:firstLine="0"/>
              <w:spacing w:line="240" w:lineRule="atLeast"/>
            </w:pPr>
            <w:r>
              <w:rPr>
                <w:rFonts w:ascii="宋体" w:eastAsia="宋体" w:hint="eastAsia"/>
              </w:rPr>
              <w:t>福州迈新生物技术开发有限公司</w:t>
            </w:r>
          </w:p>
        </w:tc>
      </w:tr>
      <w:tr>
        <w:trPr>
          <w:trHeight w:val="380" w:hRule="atLeast"/>
        </w:trPr>
        <w:tc>
          <w:tcPr>
            <w:tcW w:w="4696" w:type="dxa"/>
          </w:tcPr>
          <w:p w:rsidR="0018722C">
            <w:pPr>
              <w:topLinePunct/>
              <w:ind w:leftChars="0" w:left="0" w:rightChars="0" w:right="0" w:firstLineChars="0" w:firstLine="0"/>
              <w:spacing w:line="240" w:lineRule="atLeast"/>
            </w:pPr>
            <w:r>
              <w:rPr>
                <w:rFonts w:ascii="宋体" w:eastAsia="宋体" w:hint="eastAsia"/>
              </w:rPr>
              <w:t>其它化学试剂</w:t>
            </w:r>
          </w:p>
        </w:tc>
        <w:tc>
          <w:tcPr>
            <w:tcW w:w="4213" w:type="dxa"/>
          </w:tcPr>
          <w:p w:rsidR="0018722C">
            <w:pPr>
              <w:topLinePunct/>
              <w:ind w:leftChars="0" w:left="0" w:rightChars="0" w:right="0" w:firstLineChars="0" w:firstLine="0"/>
              <w:spacing w:line="240" w:lineRule="atLeast"/>
            </w:pPr>
            <w:r>
              <w:rPr>
                <w:rFonts w:ascii="宋体" w:eastAsia="宋体" w:hint="eastAsia"/>
              </w:rPr>
              <w:t>进口或国产</w:t>
            </w:r>
          </w:p>
        </w:tc>
      </w:tr>
    </w:tbl>
    <w:p w:rsidR="0018722C">
      <w:pPr>
        <w:pStyle w:val="affa"/>
      </w:pPr>
    </w:p>
    <w:p w:rsidR="0018722C">
      <w:pPr>
        <w:pStyle w:val="Heading3"/>
        <w:topLinePunct/>
        <w:ind w:left="200" w:hangingChars="200" w:hanging="200"/>
      </w:pPr>
      <w:bookmarkStart w:name="1.3 主要溶液配制 " w:id="16"/>
      <w:bookmarkEnd w:id="16"/>
      <w:r>
        <w:t>1.3</w:t>
      </w:r>
      <w:r>
        <w:t xml:space="preserve"> </w:t>
      </w:r>
      <w:bookmarkStart w:name="1.3 主要溶液配制 " w:id="17"/>
      <w:bookmarkEnd w:id="17"/>
      <w:r>
        <w:t>主要溶液配制</w:t>
      </w:r>
    </w:p>
    <w:p w:rsidR="0018722C">
      <w:pPr>
        <w:topLinePunct/>
      </w:pPr>
      <w:r>
        <w:t>0.01M</w:t>
      </w:r>
      <w:r>
        <w:t> </w:t>
      </w:r>
      <w:r>
        <w:t>PBS</w:t>
      </w:r>
      <w:r>
        <w:t>(</w:t>
      </w:r>
      <w:r>
        <w:t>pH7.2-7.4</w:t>
      </w:r>
      <w:r>
        <w:t>)</w:t>
      </w:r>
      <w:r w:rsidRPr="00000000">
        <w:tab/>
        <w:t>NaCl</w:t>
      </w:r>
      <w:r w:rsidRPr="00000000">
        <w:tab/>
        <w:t>9g</w:t>
      </w:r>
    </w:p>
    <w:p w:rsidR="0018722C">
      <w:pPr>
        <w:topLinePunct/>
      </w:pPr>
      <w:r>
        <w:t>Na</w:t>
      </w:r>
      <w:r>
        <w:rPr>
          <w:vertAlign w:val="subscript"/>
          /&gt;
        </w:rPr>
        <w:t>2</w:t>
      </w:r>
      <w:r>
        <w:t>HPO</w:t>
      </w:r>
      <w:r>
        <w:rPr>
          <w:vertAlign w:val="subscript"/>
          /&gt;
        </w:rPr>
        <w:t>4</w:t>
      </w:r>
      <w:r>
        <w:t>·12H</w:t>
      </w:r>
      <w:r>
        <w:rPr>
          <w:vertAlign w:val="subscript"/>
          /&gt;
        </w:rPr>
        <w:t>2</w:t>
      </w:r>
      <w:r>
        <w:t>O</w:t>
      </w:r>
      <w:r w:rsidRPr="00000000">
        <w:tab/>
        <w:t>6g</w:t>
      </w:r>
    </w:p>
    <w:p w:rsidR="0018722C">
      <w:pPr>
        <w:topLinePunct/>
      </w:pPr>
      <w:r>
        <w:t>NaH</w:t>
      </w:r>
      <w:r>
        <w:rPr>
          <w:vertAlign w:val="subscript"/>
          /&gt;
        </w:rPr>
        <w:t>2</w:t>
      </w:r>
      <w:r>
        <w:t>PO</w:t>
      </w:r>
      <w:r>
        <w:rPr>
          <w:vertAlign w:val="subscript"/>
          /&gt;
        </w:rPr>
        <w:t>4</w:t>
      </w:r>
      <w:r>
        <w:t>·2H</w:t>
      </w:r>
      <w:r>
        <w:rPr>
          <w:vertAlign w:val="subscript"/>
          /&gt;
        </w:rPr>
        <w:t>2</w:t>
      </w:r>
      <w:r>
        <w:t>O</w:t>
      </w:r>
      <w:r w:rsidRPr="00000000">
        <w:tab/>
        <w:t>0.4g</w:t>
      </w:r>
    </w:p>
    <w:p w:rsidR="0018722C">
      <w:pPr>
        <w:pStyle w:val="BodyText"/>
        <w:tabs>
          <w:tab w:pos="7959" w:val="left" w:leader="none"/>
        </w:tabs>
        <w:spacing w:before="73"/>
        <w:ind w:leftChars="0" w:left="4392"/>
        <w:topLinePunct/>
      </w:pPr>
      <w:r>
        <w:t>加双蒸</w:t>
      </w:r>
      <w:r>
        <w:rPr>
          <w:spacing w:val="-2"/>
        </w:rPr>
        <w:t>水</w:t>
      </w:r>
      <w:r>
        <w:t>定容至</w:t>
      </w:r>
      <w:r w:rsidR="001852F3">
        <w:t>1000ml</w:t>
      </w:r>
    </w:p>
    <w:p w:rsidR="0018722C">
      <w:pPr>
        <w:topLinePunct/>
      </w:pPr>
      <w:r>
        <w:t>0.1M</w:t>
      </w:r>
      <w:r>
        <w:t> </w:t>
      </w:r>
      <w:r>
        <w:t>枸橼</w:t>
      </w:r>
      <w:r>
        <w:t>酸</w:t>
      </w:r>
      <w:r>
        <w:t>盐缓</w:t>
      </w:r>
      <w:r>
        <w:t>冲</w:t>
      </w:r>
      <w:r>
        <w:t>液</w:t>
      </w:r>
      <w:r>
        <w:t>（</w:t>
      </w:r>
      <w:r>
        <w:t>pH6.0</w:t>
      </w:r>
      <w:r>
        <w:t>）</w:t>
      </w:r>
      <w:r w:rsidRPr="00000000">
        <w:tab/>
        <w:t>C</w:t>
      </w:r>
      <w:r>
        <w:rPr>
          <w:vertAlign w:val="subscript"/>
          /&gt;
        </w:rPr>
        <w:t>6</w:t>
      </w:r>
      <w:r>
        <w:t>H</w:t>
      </w:r>
      <w:r>
        <w:rPr>
          <w:vertAlign w:val="subscript"/>
          /&gt;
        </w:rPr>
        <w:t>5</w:t>
      </w:r>
      <w:r>
        <w:t>Na</w:t>
      </w:r>
      <w:r>
        <w:rPr>
          <w:vertAlign w:val="subscript"/>
          /&gt;
        </w:rPr>
        <w:t>3</w:t>
      </w:r>
      <w:r>
        <w:t>O</w:t>
      </w:r>
      <w:r>
        <w:rPr>
          <w:vertAlign w:val="subscript"/>
          /&gt;
        </w:rPr>
        <w:t>7</w:t>
      </w:r>
      <w:r>
        <w:t>·2H</w:t>
      </w:r>
      <w:r>
        <w:rPr>
          <w:vertAlign w:val="subscript"/>
          /&gt;
        </w:rPr>
        <w:t>2</w:t>
      </w:r>
      <w:r>
        <w:t>O</w:t>
      </w:r>
      <w:r w:rsidRPr="00000000">
        <w:tab/>
        <w:t>3g</w:t>
      </w:r>
    </w:p>
    <w:p w:rsidR="0018722C">
      <w:pPr>
        <w:topLinePunct/>
      </w:pPr>
      <w:r>
        <w:rPr>
          <w:rFonts w:cstheme="minorBidi" w:hAnsiTheme="minorHAnsi" w:eastAsiaTheme="minorHAnsi" w:asciiTheme="minorHAnsi"/>
        </w:rPr>
        <w:t>C</w:t>
      </w:r>
      <w:r>
        <w:rPr>
          <w:vertAlign w:val="subscript"/>
          <w:rFonts w:cstheme="minorBidi" w:hAnsiTheme="minorHAnsi" w:eastAsiaTheme="minorHAnsi" w:asciiTheme="minorHAnsi"/>
        </w:rPr>
        <w:t>6</w:t>
      </w:r>
      <w:r>
        <w:rPr>
          <w:rFonts w:cstheme="minorBidi" w:hAnsiTheme="minorHAnsi" w:eastAsiaTheme="minorHAnsi" w:asciiTheme="minorHAnsi"/>
        </w:rPr>
        <w:t>H</w:t>
      </w:r>
      <w:r>
        <w:rPr>
          <w:vertAlign w:val="subscript"/>
          <w:rFonts w:cstheme="minorBidi" w:hAnsiTheme="minorHAnsi" w:eastAsiaTheme="minorHAnsi" w:asciiTheme="minorHAnsi"/>
        </w:rPr>
        <w:t>8</w:t>
      </w:r>
      <w:r>
        <w:rPr>
          <w:rFonts w:cstheme="minorBidi" w:hAnsiTheme="minorHAnsi" w:eastAsiaTheme="minorHAnsi" w:asciiTheme="minorHAnsi"/>
        </w:rPr>
        <w:t>O</w:t>
      </w:r>
      <w:r>
        <w:rPr>
          <w:vertAlign w:val="subscript"/>
          <w:rFonts w:cstheme="minorBidi" w:hAnsiTheme="minorHAnsi" w:eastAsiaTheme="minorHAnsi" w:asciiTheme="minorHAnsi"/>
        </w:rPr>
        <w:t>7</w:t>
      </w:r>
      <w:r>
        <w:rPr>
          <w:rFonts w:cstheme="minorBidi" w:hAnsiTheme="minorHAnsi" w:eastAsiaTheme="minorHAnsi" w:asciiTheme="minorHAnsi"/>
        </w:rPr>
        <w:t>·H</w:t>
      </w:r>
      <w:r>
        <w:rPr>
          <w:vertAlign w:val="subscript"/>
          <w:rFonts w:cstheme="minorBidi" w:hAnsiTheme="minorHAnsi" w:eastAsiaTheme="minorHAnsi" w:asciiTheme="minorHAnsi"/>
        </w:rPr>
        <w:t>2</w:t>
      </w:r>
      <w:r>
        <w:rPr>
          <w:rFonts w:cstheme="minorBidi" w:hAnsiTheme="minorHAnsi" w:eastAsiaTheme="minorHAnsi" w:asciiTheme="minorHAnsi"/>
        </w:rPr>
        <w:t>O</w:t>
      </w:r>
      <w:r w:rsidRPr="00000000">
        <w:rPr>
          <w:rFonts w:cstheme="minorBidi" w:hAnsiTheme="minorHAnsi" w:eastAsiaTheme="minorHAnsi" w:asciiTheme="minorHAnsi"/>
        </w:rPr>
        <w:tab/>
        <w:t>0.4g</w:t>
      </w:r>
    </w:p>
    <w:p w:rsidR="0018722C">
      <w:pPr>
        <w:pStyle w:val="BodyText"/>
        <w:tabs>
          <w:tab w:pos="8036" w:val="left" w:leader="none"/>
        </w:tabs>
        <w:spacing w:before="72"/>
        <w:ind w:leftChars="0" w:left="4394"/>
        <w:topLinePunct/>
      </w:pPr>
      <w:r>
        <w:t>加</w:t>
      </w:r>
      <w:r>
        <w:rPr>
          <w:spacing w:val="-2"/>
        </w:rPr>
        <w:t>双</w:t>
      </w:r>
      <w:r>
        <w:t>蒸水定</w:t>
      </w:r>
      <w:r>
        <w:rPr>
          <w:spacing w:val="-2"/>
        </w:rPr>
        <w:t>容</w:t>
      </w:r>
      <w:r>
        <w:t>至</w:t>
      </w:r>
      <w:r w:rsidR="001852F3">
        <w:t>1000ml</w:t>
      </w:r>
    </w:p>
    <w:p w:rsidR="0018722C">
      <w:pPr>
        <w:topLinePunct/>
      </w:pPr>
      <w:r>
        <w:t>0.3%甲</w:t>
      </w:r>
      <w:r>
        <w:t>醇</w:t>
      </w:r>
      <w:r>
        <w:t>双氧水</w:t>
      </w:r>
      <w:r w:rsidRPr="00000000">
        <w:tab/>
        <w:t>3%H</w:t>
      </w:r>
      <w:r>
        <w:rPr>
          <w:vertAlign w:val="subscript"/>
          /&gt;
        </w:rPr>
        <w:t>2</w:t>
      </w:r>
      <w:r>
        <w:t>O</w:t>
      </w:r>
      <w:r>
        <w:rPr>
          <w:vertAlign w:val="subscript"/>
          /&gt;
        </w:rPr>
        <w:t>2</w:t>
      </w:r>
      <w:r w:rsidRPr="00000000">
        <w:tab/>
      </w:r>
      <w:r>
        <w:t>3ml </w:t>
      </w:r>
      <w:r>
        <w:t>加</w:t>
      </w:r>
      <w:r>
        <w:t>甲</w:t>
      </w:r>
      <w:r>
        <w:t>醇至</w:t>
      </w:r>
      <w:r w:rsidRPr="00000000">
        <w:tab/>
        <w:t>30ml</w:t>
      </w:r>
    </w:p>
    <w:p w:rsidR="0018722C">
      <w:pPr>
        <w:topLinePunct/>
      </w:pPr>
      <w:r>
        <w:t>DAB</w:t>
      </w:r>
      <w:r>
        <w:t> </w:t>
      </w:r>
      <w:r>
        <w:t>显</w:t>
      </w:r>
      <w:r>
        <w:t>色</w:t>
      </w:r>
      <w:r>
        <w:t>剂</w:t>
      </w:r>
      <w:r w:rsidRPr="00000000">
        <w:tab/>
      </w:r>
      <w:r>
        <w:t>双</w:t>
      </w:r>
      <w:r>
        <w:t>蒸水</w:t>
      </w:r>
      <w:r w:rsidRPr="00000000">
        <w:tab/>
        <w:t>1ml</w:t>
      </w:r>
    </w:p>
    <w:p w:rsidR="0018722C">
      <w:pPr>
        <w:topLinePunct/>
      </w:pPr>
      <w:r>
        <w:t>A</w:t>
      </w:r>
      <w:r>
        <w:t> </w:t>
      </w:r>
      <w:r>
        <w:t>液</w:t>
      </w:r>
      <w:r w:rsidRPr="00000000">
        <w:tab/>
        <w:t>1</w:t>
      </w:r>
      <w:r>
        <w:t> </w:t>
      </w:r>
      <w:r>
        <w:t>滴</w:t>
      </w:r>
    </w:p>
    <w:p w:rsidR="0018722C">
      <w:pPr>
        <w:topLinePunct/>
      </w:pPr>
      <w:r>
        <w:t>B</w:t>
      </w:r>
      <w:r>
        <w:t> </w:t>
      </w:r>
      <w:r>
        <w:t>液</w:t>
      </w:r>
      <w:r w:rsidRPr="00000000">
        <w:tab/>
        <w:t>1</w:t>
      </w:r>
      <w:r>
        <w:t> </w:t>
      </w:r>
      <w:r>
        <w:t>滴</w:t>
      </w:r>
    </w:p>
    <w:p w:rsidR="0018722C">
      <w:pPr>
        <w:topLinePunct/>
      </w:pPr>
      <w:r>
        <w:t>C</w:t>
      </w:r>
      <w:r>
        <w:t> </w:t>
      </w:r>
      <w:r>
        <w:t>液</w:t>
      </w:r>
      <w:r w:rsidRPr="00000000">
        <w:tab/>
        <w:t>1</w:t>
      </w:r>
      <w:r>
        <w:t> </w:t>
      </w:r>
      <w:r>
        <w:t>滴</w:t>
      </w:r>
    </w:p>
    <w:p w:rsidR="0018722C">
      <w:pPr>
        <w:topLinePunct/>
      </w:pPr>
      <w:bookmarkStart w:name="1.4 标本的处理 " w:id="18"/>
      <w:bookmarkEnd w:id="18"/>
      <w:r>
        <w:t>1.4</w:t>
      </w:r>
      <w:r w:rsidR="001852F3">
        <w:t xml:space="preserve">标本的处理</w:t>
      </w:r>
    </w:p>
    <w:p w:rsidR="0018722C">
      <w:pPr>
        <w:topLinePunct/>
      </w:pPr>
      <w:r>
        <w:t>胃组织的标本在离体后一部分用于</w:t>
      </w:r>
      <w:r>
        <w:t>HE</w:t>
      </w:r>
      <w:r>
        <w:t>和免疫组织化学法染色，常规取材固定于中性甲醛溶液后，逐级脱水，进行石蜡包埋，4µm厚连续切片备用。</w:t>
      </w:r>
    </w:p>
    <w:p w:rsidR="0018722C">
      <w:pPr>
        <w:pStyle w:val="Heading3"/>
        <w:topLinePunct/>
        <w:ind w:left="200" w:hangingChars="200" w:hanging="200"/>
      </w:pPr>
      <w:r>
        <w:t>1.2</w:t>
      </w:r>
      <w:r>
        <w:t xml:space="preserve"> </w:t>
      </w:r>
      <w:r>
        <w:t>试剂</w:t>
      </w:r>
    </w:p>
    <w:p w:rsidR="0018722C">
      <w:pPr>
        <w:topLinePunct/>
      </w:pPr>
      <w:r>
        <w:t>1.2.1</w:t>
      </w:r>
      <w:r w:rsidR="001852F3">
        <w:t xml:space="preserve">免疫组织化学法试剂</w:t>
      </w:r>
    </w:p>
    <w:p w:rsidR="0018722C">
      <w:pPr>
        <w:topLinePunct/>
      </w:pPr>
      <w:r>
        <w:t>二甲苯、酒精、甲醇、</w:t>
      </w:r>
      <w:r>
        <w:t>30</w:t>
      </w:r>
      <w:r>
        <w:t>%过氧化氢、</w:t>
      </w:r>
      <w:r>
        <w:t>PBS</w:t>
      </w:r>
      <w:r>
        <w:t>、枸橼酸盐缓冲液、苏木素、</w:t>
      </w:r>
      <w:r>
        <w:t>氨水、中性树胶等由承德市中心医院病理科提供。</w:t>
      </w:r>
    </w:p>
    <w:p w:rsidR="0018722C">
      <w:pPr>
        <w:pStyle w:val="Heading3"/>
        <w:topLinePunct/>
        <w:ind w:left="200" w:hangingChars="200" w:hanging="200"/>
      </w:pPr>
      <w:r>
        <w:t>1.3</w:t>
      </w:r>
      <w:r>
        <w:t xml:space="preserve"> </w:t>
      </w:r>
      <w:r>
        <w:t>仪器</w:t>
      </w:r>
    </w:p>
    <w:p w:rsidR="0018722C">
      <w:pPr>
        <w:topLinePunct/>
      </w:pPr>
      <w:r>
        <w:t>（</w:t>
      </w:r>
      <w:r>
        <w:t xml:space="preserve">1</w:t>
      </w:r>
      <w:r>
        <w:t>）</w:t>
      </w:r>
      <w:r>
        <w:t>37℃恒温培养箱</w:t>
      </w:r>
      <w:r>
        <w:t>（</w:t>
      </w:r>
      <w:r>
        <w:t>天津中环实验电炉有限公司</w:t>
      </w:r>
      <w:r w:rsidR="001852F3">
        <w:t xml:space="preserve">DH101</w:t>
      </w:r>
      <w:r>
        <w:t>）</w:t>
      </w:r>
    </w:p>
    <w:p w:rsidR="0018722C">
      <w:pPr>
        <w:topLinePunct/>
      </w:pPr>
      <w:r>
        <w:t>（</w:t>
      </w:r>
      <w:r>
        <w:t xml:space="preserve">2</w:t>
      </w:r>
      <w:r>
        <w:t>）</w:t>
      </w:r>
      <w:r>
        <w:t>微波</w:t>
      </w:r>
      <w:r w:rsidR="001852F3">
        <w:t xml:space="preserve">动脱水机</w:t>
      </w:r>
      <w:r>
        <w:t>（</w:t>
      </w:r>
      <w:r>
        <w:t>德国</w:t>
      </w:r>
      <w:r w:rsidR="001852F3">
        <w:t xml:space="preserve">Leica ASP300S</w:t>
      </w:r>
      <w:r>
        <w:t>）</w:t>
      </w:r>
    </w:p>
    <w:p w:rsidR="0018722C">
      <w:pPr>
        <w:topLinePunct/>
      </w:pPr>
      <w:r>
        <w:t>（</w:t>
      </w:r>
      <w:r>
        <w:t>3</w:t>
      </w:r>
      <w:r>
        <w:t>）</w:t>
      </w:r>
      <w:r>
        <w:t>高</w:t>
      </w:r>
      <w:r>
        <w:t>压锅</w:t>
      </w:r>
      <w:r w:rsidR="001852F3">
        <w:t>(</w:t>
      </w:r>
      <w:r>
        <w:t>东莞</w:t>
      </w:r>
      <w:r/>
      <w:r>
        <w:t>PCT-35</w:t>
      </w:r>
      <w:r>
        <w:t>)</w:t>
      </w:r>
    </w:p>
    <w:p w:rsidR="0018722C">
      <w:pPr>
        <w:topLinePunct/>
      </w:pPr>
      <w:r>
        <w:t>（</w:t>
      </w:r>
      <w:r>
        <w:t>4</w:t>
      </w:r>
      <w:r>
        <w:t>）</w:t>
      </w:r>
      <w:r>
        <w:t>4℃</w:t>
      </w:r>
      <w:r>
        <w:t>冰</w:t>
      </w:r>
      <w:r>
        <w:t>箱</w:t>
      </w:r>
      <w:r w:rsidR="001852F3">
        <w:t>(</w:t>
      </w:r>
      <w:r>
        <w:t>Haier</w:t>
      </w:r>
      <w:r/>
      <w:r>
        <w:t>电</w:t>
      </w:r>
      <w:r>
        <w:t>器</w:t>
      </w:r>
      <w:r>
        <w:t>)</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 xml:space="preserve"> </w:t>
      </w:r>
      <w:r>
        <w:rPr>
          <w:rFonts w:ascii="宋体" w:eastAsia="宋体" w:hint="eastAsia"/>
        </w:rPr>
        <w:t>BX40F4</w:t>
      </w:r>
      <w:r w:rsidR="001852F3">
        <w:rPr>
          <w:rFonts w:ascii="宋体" w:eastAsia="宋体" w:hint="eastAsia"/>
        </w:rPr>
        <w:t xml:space="preserve">显微镜</w:t>
      </w:r>
      <w:r>
        <w:rPr>
          <w:rFonts w:ascii="宋体" w:eastAsia="宋体" w:hint="eastAsia"/>
        </w:rPr>
        <w:t>(</w:t>
      </w:r>
      <w:r>
        <w:rPr>
          <w:rFonts w:ascii="宋体" w:eastAsia="宋体" w:hint="eastAsia"/>
          <w:spacing w:val="-10"/>
          <w:sz w:val="28"/>
        </w:rPr>
        <w:t xml:space="preserve">日本</w:t>
      </w:r>
      <w:r>
        <w:rPr>
          <w:rFonts w:ascii="宋体" w:eastAsia="宋体" w:hint="eastAsia"/>
          <w:sz w:val="28"/>
        </w:rPr>
        <w:t>Olympus</w:t>
      </w:r>
      <w:r w:rsidR="001852F3">
        <w:rPr>
          <w:rFonts w:ascii="宋体" w:eastAsia="宋体" w:hint="eastAsia"/>
          <w:spacing w:val="-10"/>
          <w:sz w:val="28"/>
        </w:rPr>
        <w:t xml:space="preserve">公司</w:t>
      </w:r>
      <w:r>
        <w:rPr>
          <w:rFonts w:ascii="宋体" w:eastAsia="宋体" w:hint="eastAsia"/>
        </w:rPr>
        <w:t>)</w:t>
      </w:r>
    </w:p>
    <w:p w:rsidR="0018722C">
      <w:pPr>
        <w:topLinePunct/>
      </w:pPr>
      <w:r>
        <w:t>（</w:t>
      </w:r>
      <w:r>
        <w:t xml:space="preserve">6</w:t>
      </w:r>
      <w:r>
        <w:t>）</w:t>
      </w:r>
      <w:r>
        <w:t>显微照相系统</w:t>
      </w:r>
      <w:r>
        <w:t>(</w:t>
      </w:r>
      <w:r>
        <w:t>日本</w:t>
      </w:r>
      <w:r w:rsidR="001852F3">
        <w:t xml:space="preserve">Olympus BX40F4</w:t>
      </w:r>
      <w:r>
        <w:t>)</w:t>
      </w:r>
    </w:p>
    <w:p w:rsidR="0018722C">
      <w:pPr>
        <w:topLinePunct/>
      </w:pPr>
      <w:r>
        <w:t>（</w:t>
      </w:r>
      <w:r>
        <w:t>7</w:t>
      </w:r>
      <w:r>
        <w:t>）</w:t>
      </w:r>
      <w:r>
        <w:t>显微照相系统</w:t>
      </w:r>
      <w:r>
        <w:t>（</w:t>
      </w:r>
      <w:r>
        <w:t>麦克奥迪</w:t>
      </w:r>
      <w:r>
        <w:t>）</w:t>
      </w:r>
    </w:p>
    <w:p w:rsidR="0018722C">
      <w:pPr>
        <w:topLinePunct/>
      </w:pPr>
      <w:r>
        <w:t>（</w:t>
      </w:r>
      <w:r>
        <w:t xml:space="preserve">8</w:t>
      </w:r>
      <w:r>
        <w:t>）</w:t>
      </w:r>
      <w:r>
        <w:t>旋转式石蜡切片机</w:t>
      </w:r>
      <w:r>
        <w:t>(</w:t>
      </w:r>
      <w:r>
        <w:t>德国</w:t>
      </w:r>
      <w:r w:rsidR="001852F3">
        <w:t xml:space="preserve">Leica RM2235</w:t>
      </w:r>
      <w:r>
        <w:t>)</w:t>
      </w:r>
    </w:p>
    <w:p w:rsidR="0018722C">
      <w:pPr>
        <w:topLinePunct/>
      </w:pPr>
      <w:r>
        <w:t>（</w:t>
      </w:r>
      <w:r>
        <w:t xml:space="preserve">9</w:t>
      </w:r>
      <w:r>
        <w:t>）</w:t>
      </w:r>
      <w:r>
        <w:t>全自动脱水机</w:t>
      </w:r>
      <w:r>
        <w:t>(</w:t>
      </w:r>
      <w:r>
        <w:t>英国</w:t>
      </w:r>
      <w:r w:rsidR="001852F3">
        <w:t xml:space="preserve">Shandon Thrmo</w:t>
      </w:r>
      <w:r w:rsidR="001852F3">
        <w:t xml:space="preserve">公司</w:t>
      </w:r>
      <w:r>
        <w:t>)</w:t>
      </w:r>
    </w:p>
    <w:p w:rsidR="0018722C">
      <w:pPr>
        <w:topLinePunct/>
      </w:pPr>
      <w:r>
        <w:t xml:space="preserve">（</w:t>
      </w:r>
      <w:r>
        <w:t xml:space="preserve">10</w:t>
      </w:r>
      <w:r>
        <w:t xml:space="preserve">）</w:t>
      </w:r>
      <w:r>
        <w:t xml:space="preserve">载玻片</w:t>
      </w:r>
      <w:r>
        <w:t xml:space="preserve">（</w:t>
      </w:r>
      <w:r>
        <w:t xml:space="preserve">世泰</w:t>
      </w:r>
      <w:r w:rsidR="001852F3">
        <w:t xml:space="preserve">标准级</w:t>
      </w:r>
      <w:r w:rsidR="001852F3">
        <w:t xml:space="preserve">1000</w:t>
      </w:r>
      <w:r w:rsidR="001852F3">
        <w:t xml:space="preserve">张</w:t>
      </w:r>
      <w:r>
        <w:t xml:space="preserve">）</w:t>
      </w:r>
    </w:p>
    <w:p w:rsidR="0018722C">
      <w:pPr>
        <w:pStyle w:val="Heading2"/>
        <w:topLinePunct/>
        <w:ind w:left="171" w:hangingChars="171" w:hanging="171"/>
      </w:pPr>
      <w:bookmarkStart w:name="2 方法 " w:id="19"/>
      <w:bookmarkEnd w:id="19"/>
      <w:r>
        <w:t>2</w:t>
      </w:r>
      <w:r>
        <w:t xml:space="preserve"> </w:t>
      </w:r>
      <w:bookmarkStart w:name="2 方法 " w:id="20"/>
      <w:bookmarkEnd w:id="20"/>
      <w:r>
        <w:t>方法</w:t>
      </w:r>
    </w:p>
    <w:p w:rsidR="0018722C">
      <w:pPr>
        <w:pStyle w:val="Heading3"/>
        <w:topLinePunct/>
        <w:ind w:left="200" w:hangingChars="200" w:hanging="200"/>
      </w:pPr>
      <w:bookmarkStart w:name="2.1 免疫组织化学方法 " w:id="21"/>
      <w:bookmarkEnd w:id="21"/>
      <w:r>
        <w:t>2.1</w:t>
      </w:r>
      <w:r>
        <w:t xml:space="preserve"> </w:t>
      </w:r>
      <w:bookmarkStart w:name="2.1 免疫组织化学方法 " w:id="22"/>
      <w:bookmarkEnd w:id="22"/>
      <w:r>
        <w:t>免疫组织化学方法</w:t>
      </w:r>
    </w:p>
    <w:p w:rsidR="0018722C">
      <w:pPr>
        <w:topLinePunct/>
      </w:pPr>
      <w:r>
        <w:t>标本用</w:t>
      </w:r>
      <w:r>
        <w:t>10</w:t>
      </w:r>
      <w:r>
        <w:t>％的中性福尔马林溶液固定，进行石蜡包埋，</w:t>
      </w:r>
      <w:r>
        <w:t>4μm</w:t>
      </w:r>
      <w:r/>
      <w:r w:rsidR="001852F3">
        <w:t xml:space="preserve">连续切</w:t>
      </w:r>
      <w:r>
        <w:t>片，经脱蜡，脱二甲苯，水化后采用链霉素抗生物素蛋白-过氧化物酶</w:t>
      </w:r>
      <w:r>
        <w:t>(</w:t>
      </w:r>
      <w:r>
        <w:t>st</w:t>
      </w:r>
      <w:r>
        <w:t>r</w:t>
      </w:r>
      <w:r>
        <w:t>ep</w:t>
      </w:r>
      <w:r>
        <w:t>t</w:t>
      </w:r>
      <w:r>
        <w:t>av</w:t>
      </w:r>
      <w:r>
        <w:t>i</w:t>
      </w:r>
      <w:r>
        <w:t>di</w:t>
      </w:r>
      <w:r>
        <w:t>n</w:t>
      </w:r>
      <w:r>
        <w:t>-p</w:t>
      </w:r>
      <w:r>
        <w:t>e</w:t>
      </w:r>
      <w:r>
        <w:t>r</w:t>
      </w:r>
      <w:r>
        <w:t>o</w:t>
      </w:r>
      <w:r>
        <w:t>xi</w:t>
      </w:r>
      <w:r>
        <w:t>d</w:t>
      </w:r>
      <w:r>
        <w:t>as</w:t>
      </w:r>
      <w:r>
        <w:t>e</w:t>
      </w:r>
      <w:r>
        <w:rPr>
          <w:spacing w:val="-59"/>
          <w:w w:val="100"/>
        </w:rPr>
        <w:t xml:space="preserve">, </w:t>
      </w:r>
      <w:r>
        <w:t>S</w:t>
      </w:r>
      <w:r>
        <w:t>-</w:t>
      </w:r>
      <w:r>
        <w:t>P</w:t>
      </w:r>
      <w:r/>
      <w:r>
        <w:t>法</w:t>
      </w:r>
      <w:r>
        <w:t>)</w:t>
      </w:r>
      <w:r>
        <w:t>免疫组织化学方法检测胃癌组织</w:t>
      </w:r>
      <w:r/>
      <w:r>
        <w:t>N</w:t>
      </w:r>
      <w:r>
        <w:t>F</w:t>
      </w:r>
      <w:r>
        <w:t>-</w:t>
      </w:r>
    </w:p>
    <w:p w:rsidR="0018722C">
      <w:pPr>
        <w:topLinePunct/>
      </w:pPr>
      <w:r>
        <w:t>κB</w:t>
      </w:r>
      <w:r>
        <w:t>、</w:t>
      </w:r>
      <w:r>
        <w:t>TOPO</w:t>
      </w:r>
      <w:r>
        <w:t>Ⅱ和</w:t>
      </w:r>
      <w:r>
        <w:t>Ki-67</w:t>
      </w:r>
      <w:r/>
      <w:r w:rsidR="001852F3">
        <w:t xml:space="preserve">蛋白的表达情况。以</w:t>
      </w:r>
      <w:r>
        <w:t>PBS</w:t>
      </w:r>
      <w:r/>
      <w:r w:rsidR="001852F3">
        <w:t xml:space="preserve">代替一抗进行阴性对照，</w:t>
      </w:r>
      <w:r>
        <w:t>用已知阳性片进行阳性对照。具体如下：</w:t>
      </w:r>
    </w:p>
    <w:p w:rsidR="0018722C">
      <w:pPr>
        <w:pStyle w:val="cw19"/>
        <w:topLinePunct/>
      </w:pPr>
      <w:r>
        <w:rPr>
          <w:rFonts w:ascii="宋体" w:eastAsia="宋体" w:hint="eastAsia"/>
        </w:rPr>
        <w:t>2.1.1</w:t>
      </w:r>
      <w:r>
        <w:rPr>
          <w:rFonts w:ascii="宋体" w:eastAsia="宋体" w:hint="eastAsia"/>
        </w:rPr>
        <w:t>进行标本的脱水、透明及包埋：</w:t>
      </w:r>
    </w:p>
    <w:p w:rsidR="0018722C">
      <w:pPr>
        <w:topLinePunct/>
      </w:pPr>
      <w:r>
        <w:t>用双蒸水冲洗固定好的胃组织标本，将其表面的福尔马林液冲掉，然</w:t>
      </w:r>
      <w:r>
        <w:t>后取合适大小、正确位置的组织，做好标记后放入标本筐中，进行以下步</w:t>
      </w:r>
      <w:r>
        <w:t>骤—脱水：</w:t>
      </w:r>
      <w:r>
        <w:t>75</w:t>
      </w:r>
      <w:r>
        <w:t>%的乙醇溶液过夜，</w:t>
      </w:r>
      <w:r>
        <w:t>85</w:t>
      </w:r>
      <w:r>
        <w:t>%的乙醇→1h，90%的乙醇→1h，95%</w:t>
      </w:r>
      <w:r>
        <w:t>乙醇→</w:t>
      </w:r>
      <w:r>
        <w:t>1h</w:t>
      </w:r>
      <w:r>
        <w:t>，无水乙醇Ⅰ→</w:t>
      </w:r>
      <w:r>
        <w:t>1h</w:t>
      </w:r>
      <w:r>
        <w:t>，无水乙醇Ⅱ→</w:t>
      </w:r>
      <w:r>
        <w:t>1h；透明：二甲苯Ⅰ→1h</w:t>
      </w:r>
      <w:r>
        <w:t>，</w:t>
      </w:r>
      <w:r>
        <w:t>二</w:t>
      </w:r>
    </w:p>
    <w:p w:rsidR="0018722C">
      <w:pPr>
        <w:topLinePunct/>
      </w:pPr>
      <w:r>
        <w:t>甲苯Ⅱ→1h；浸蜡：石蜡Ⅰ→1h，石蜡Ⅱ→1h；包埋。</w:t>
      </w:r>
    </w:p>
    <w:p w:rsidR="0018722C">
      <w:pPr>
        <w:pStyle w:val="cw19"/>
        <w:topLinePunct/>
      </w:pPr>
      <w:r>
        <w:rPr>
          <w:rFonts w:ascii="宋体" w:eastAsia="宋体" w:hint="eastAsia"/>
        </w:rPr>
        <w:t>2.1.2</w:t>
      </w:r>
      <w:r>
        <w:rPr>
          <w:rFonts w:ascii="宋体" w:eastAsia="宋体" w:hint="eastAsia"/>
        </w:rPr>
        <w:t>载玻片处理：</w:t>
      </w:r>
    </w:p>
    <w:p w:rsidR="0018722C">
      <w:pPr>
        <w:topLinePunct/>
      </w:pPr>
      <w:r>
        <w:t>取一定数量的载玻片，先用洗洁精超声清洗玻片</w:t>
      </w:r>
      <w:r>
        <w:t>45min×2</w:t>
      </w:r>
      <w:r>
        <w:t>次，用自来水冲洗后，再用蒸馏水洗</w:t>
      </w:r>
      <w:r>
        <w:t>（</w:t>
      </w:r>
      <w:r>
        <w:rPr>
          <w:spacing w:val="-6"/>
        </w:rPr>
        <w:t>一张一张冲</w:t>
      </w:r>
      <w:r>
        <w:t>）</w:t>
      </w:r>
      <w:r>
        <w:t>3次，叠好烘干；将烘干的载玻</w:t>
      </w:r>
      <w:r>
        <w:t>片泡酸过夜，取出后用自来水冲洗，再用蒸馏水冲洗</w:t>
      </w:r>
      <w:r>
        <w:t>（</w:t>
      </w:r>
      <w:r>
        <w:rPr>
          <w:spacing w:val="0"/>
        </w:rPr>
        <w:t>一张一张冲</w:t>
      </w:r>
      <w:r>
        <w:t>）</w:t>
      </w:r>
      <w:r>
        <w:t>3</w:t>
      </w:r>
      <w:r>
        <w:t>次，</w:t>
      </w:r>
      <w:r>
        <w:t>叠好烘干；将烘干的玻片泡入</w:t>
      </w:r>
      <w:r>
        <w:t>95%酒精中过夜；取出晾干</w:t>
      </w:r>
      <w:r>
        <w:rPr>
          <w:rFonts w:hint="eastAsia"/>
        </w:rPr>
        <w:t>，</w:t>
      </w:r>
      <w:r>
        <w:t>将甲醇和APES</w:t>
      </w:r>
      <w:r w:rsidR="001852F3">
        <w:t xml:space="preserve">以50:1</w:t>
      </w:r>
      <w:r>
        <w:t>的比例配成工作液，载玻片在稀释的</w:t>
      </w:r>
      <w:r>
        <w:t>APES</w:t>
      </w:r>
      <w:r>
        <w:t>中浸泡</w:t>
      </w:r>
      <w:r>
        <w:t>0.5min</w:t>
      </w:r>
      <w:r>
        <w:t>，取出后置</w:t>
      </w:r>
      <w:r>
        <w:t>于玻片架上，放入</w:t>
      </w:r>
      <w:r>
        <w:t>37</w:t>
      </w:r>
      <w:r>
        <w:t>℃恒温箱内晾干装盒备用。</w:t>
      </w:r>
    </w:p>
    <w:p w:rsidR="0018722C">
      <w:pPr>
        <w:pStyle w:val="cw19"/>
        <w:topLinePunct/>
      </w:pPr>
      <w:r>
        <w:rPr>
          <w:rFonts w:ascii="宋体" w:eastAsia="宋体" w:hint="eastAsia"/>
        </w:rPr>
        <w:t>2.1.3</w:t>
      </w:r>
      <w:r>
        <w:rPr>
          <w:rFonts w:ascii="宋体" w:eastAsia="宋体" w:hint="eastAsia"/>
        </w:rPr>
        <w:t>盖玻片处理：</w:t>
      </w:r>
    </w:p>
    <w:p w:rsidR="0018722C">
      <w:pPr>
        <w:topLinePunct/>
      </w:pPr>
      <w:r>
        <w:t>将盖玻片置入硫酸清洁液中浸泡</w:t>
      </w:r>
      <w:r>
        <w:t>24h</w:t>
      </w:r>
      <w:r>
        <w:t>，取出后先用蒸馏水清洗</w:t>
      </w:r>
      <w:r>
        <w:t>3</w:t>
      </w:r>
      <w:r>
        <w:t>次，再</w:t>
      </w:r>
      <w:r>
        <w:t>用无水酒精清洗</w:t>
      </w:r>
      <w:r>
        <w:t>3</w:t>
      </w:r>
      <w:r>
        <w:t>次，最后晾干装盒备用。</w:t>
      </w:r>
    </w:p>
    <w:p w:rsidR="0018722C">
      <w:pPr>
        <w:pStyle w:val="cw19"/>
        <w:topLinePunct/>
      </w:pPr>
      <w:r>
        <w:rPr>
          <w:rFonts w:ascii="宋体" w:eastAsia="宋体" w:hint="eastAsia"/>
        </w:rPr>
        <w:t>2.1.4 </w:t>
      </w:r>
      <w:r>
        <w:rPr>
          <w:rFonts w:ascii="宋体" w:eastAsia="宋体" w:hint="eastAsia"/>
        </w:rPr>
        <w:t>HE</w:t>
      </w:r>
      <w:r>
        <w:rPr>
          <w:rFonts w:ascii="宋体" w:eastAsia="宋体" w:hint="eastAsia"/>
        </w:rPr>
        <w:t>染色预选：</w:t>
      </w:r>
    </w:p>
    <w:p w:rsidR="0018722C">
      <w:pPr>
        <w:topLinePunct/>
      </w:pPr>
      <w:r>
        <w:t>⑴切片：4μm厚的切片；</w:t>
      </w:r>
    </w:p>
    <w:p w:rsidR="0018722C">
      <w:pPr>
        <w:topLinePunct/>
      </w:pPr>
      <w:r>
        <w:t>⑵脱蜡：浸入二甲苯2×15min；</w:t>
      </w:r>
    </w:p>
    <w:p w:rsidR="0018722C">
      <w:pPr>
        <w:topLinePunct/>
      </w:pPr>
      <w:r>
        <w:t>⑶洗去二甲苯：浸入无水乙醇2×10 min；</w:t>
      </w:r>
    </w:p>
    <w:p w:rsidR="0018722C">
      <w:pPr>
        <w:topLinePunct/>
      </w:pPr>
      <w:r>
        <w:t>⑷水化：95%、80%、70%乙醇依次各5min，自来水冲洗5min；</w:t>
      </w:r>
    </w:p>
    <w:p w:rsidR="0018722C">
      <w:pPr>
        <w:topLinePunct/>
      </w:pPr>
      <w:r>
        <w:t>⑸苏木素染色4min，自来水冲洗1min；</w:t>
      </w:r>
    </w:p>
    <w:p w:rsidR="0018722C">
      <w:pPr>
        <w:topLinePunct/>
      </w:pPr>
      <w:r>
        <w:t>⑹1%盐酸酒精分化8s，自来水冲洗1min；</w:t>
      </w:r>
    </w:p>
    <w:p w:rsidR="0018722C">
      <w:pPr>
        <w:topLinePunct/>
      </w:pPr>
      <w:r>
        <w:t>⑺1%的稀氨水返蓝8s，自来水冲洗1min；</w:t>
      </w:r>
    </w:p>
    <w:p w:rsidR="0018722C">
      <w:pPr>
        <w:topLinePunct/>
      </w:pPr>
      <w:r>
        <w:t>⑻伊红染色3min，自来水冲洗1min；</w:t>
      </w:r>
    </w:p>
    <w:p w:rsidR="0018722C">
      <w:pPr>
        <w:topLinePunct/>
      </w:pPr>
      <w:r>
        <w:t>⑼脱水：</w:t>
      </w:r>
      <w:r>
        <w:t>70</w:t>
      </w:r>
      <w:r>
        <w:t>%乙醇脱水</w:t>
      </w:r>
      <w:r>
        <w:t>5min；80</w:t>
      </w:r>
      <w:r>
        <w:t>%乙醇</w:t>
      </w:r>
      <w:r>
        <w:t>5min；95</w:t>
      </w:r>
      <w:r>
        <w:t>%乙醇</w:t>
      </w:r>
      <w:r>
        <w:t>2×5min</w:t>
      </w:r>
      <w:r>
        <w:t>；无水乙</w:t>
      </w:r>
      <w:r>
        <w:t>醇2×5min；</w:t>
      </w:r>
    </w:p>
    <w:p w:rsidR="0018722C">
      <w:pPr>
        <w:topLinePunct/>
      </w:pPr>
      <w:r>
        <w:t>⑽透明：二甲苯2×10min；</w:t>
      </w:r>
    </w:p>
    <w:p w:rsidR="0018722C">
      <w:pPr>
        <w:topLinePunct/>
      </w:pPr>
      <w:r>
        <w:t>⑾中性树胶封片；</w:t>
      </w:r>
    </w:p>
    <w:p w:rsidR="0018722C">
      <w:pPr>
        <w:topLinePunct/>
      </w:pPr>
      <w:r>
        <w:t>光镜下进行观察，选出肿瘤所在的典型区域。</w:t>
      </w:r>
    </w:p>
    <w:p w:rsidR="0018722C">
      <w:pPr>
        <w:pStyle w:val="cw19"/>
        <w:topLinePunct/>
      </w:pPr>
      <w:r>
        <w:rPr>
          <w:rFonts w:ascii="宋体" w:eastAsia="宋体" w:hint="eastAsia"/>
        </w:rPr>
        <w:t>2.1.5</w:t>
      </w:r>
      <w:r>
        <w:rPr>
          <w:rFonts w:ascii="宋体" w:eastAsia="宋体" w:hint="eastAsia"/>
        </w:rPr>
        <w:t>免疫组织化学主要溶液配置：</w:t>
      </w:r>
    </w:p>
    <w:p w:rsidR="0018722C">
      <w:pPr>
        <w:topLinePunct/>
      </w:pPr>
      <w:r>
        <w:t>⑴磷酸盐缓冲液</w:t>
      </w:r>
      <w:r>
        <w:t>(</w:t>
      </w:r>
      <w:r>
        <w:t>PBS</w:t>
      </w:r>
      <w:r>
        <w:t xml:space="preserve">, </w:t>
      </w:r>
      <w:r>
        <w:t>0.01mol</w:t>
      </w:r>
      <w:r>
        <w:t>/</w:t>
      </w:r>
      <w:r>
        <w:t>L</w:t>
      </w:r>
      <w:r>
        <w:t xml:space="preserve">, </w:t>
      </w:r>
      <w:r>
        <w:t>pH7.2-7.4</w:t>
      </w:r>
      <w:r>
        <w:t>)</w:t>
      </w:r>
      <w:r>
        <w:t xml:space="preserve">: </w:t>
      </w:r>
      <w:r>
        <w:t>在1000ml蒸馏水中</w:t>
      </w:r>
      <w:r>
        <w:t>加入9g</w:t>
      </w:r>
      <w:r w:rsidR="001852F3">
        <w:t xml:space="preserve">氯化钠、2.9g</w:t>
      </w:r>
      <w:r w:rsidR="001852F3">
        <w:t xml:space="preserve">磷酸氢二钠</w:t>
      </w:r>
      <w:r>
        <w:t>(</w:t>
      </w:r>
      <w:r>
        <w:rPr>
          <w:position w:val="2"/>
        </w:rPr>
        <w:t>Na</w:t>
      </w:r>
      <w:r>
        <w:rPr>
          <w:sz w:val="14"/>
        </w:rPr>
        <w:t>2</w:t>
      </w:r>
      <w:r>
        <w:rPr>
          <w:position w:val="2"/>
        </w:rPr>
        <w:t>HP0</w:t>
      </w:r>
      <w:r>
        <w:rPr>
          <w:sz w:val="14"/>
        </w:rPr>
        <w:t>4</w:t>
      </w:r>
      <w:r>
        <w:rPr>
          <w:position w:val="2"/>
        </w:rPr>
        <w:t>·12H</w:t>
      </w:r>
      <w:r>
        <w:rPr>
          <w:sz w:val="14"/>
        </w:rPr>
        <w:t>2</w:t>
      </w:r>
      <w:r>
        <w:rPr>
          <w:position w:val="2"/>
        </w:rPr>
        <w:t>0</w:t>
      </w:r>
      <w:r>
        <w:t>)</w:t>
      </w:r>
      <w:r/>
      <w:r w:rsidR="001852F3">
        <w:t xml:space="preserve">、0.3g</w:t>
      </w:r>
      <w:r w:rsidR="001852F3">
        <w:t xml:space="preserve">磷酸二氢</w:t>
      </w:r>
      <w:r w:rsidR="001852F3">
        <w:t>钠</w:t>
      </w:r>
    </w:p>
    <w:p w:rsidR="0018722C">
      <w:pPr>
        <w:topLinePunct/>
      </w:pPr>
      <w:r>
        <w:rPr>
          <w:position w:val="2"/>
        </w:rPr>
        <w:t>（</w:t>
      </w:r>
      <w:r>
        <w:t>NaH</w:t>
      </w:r>
      <w:r>
        <w:rPr>
          <w:vertAlign w:val="subscript"/>
          /&gt;
        </w:rPr>
        <w:t>2</w:t>
      </w:r>
      <w:r>
        <w:t>P0</w:t>
      </w:r>
      <w:r>
        <w:rPr>
          <w:vertAlign w:val="subscript"/>
          /&gt;
        </w:rPr>
        <w:t>4</w:t>
      </w:r>
      <w:r>
        <w:t>·2H</w:t>
      </w:r>
      <w:r>
        <w:rPr>
          <w:vertAlign w:val="subscript"/>
          /&gt;
        </w:rPr>
        <w:t>2</w:t>
      </w:r>
      <w:r>
        <w:t>0</w:t>
      </w:r>
      <w:r>
        <w:rPr>
          <w:position w:val="2"/>
        </w:rPr>
        <w:t>）</w:t>
      </w:r>
      <w:r>
        <w:t>，调整pH值至7.2-7.4</w:t>
      </w:r>
      <w:r>
        <w:t>.</w:t>
      </w:r>
    </w:p>
    <w:p w:rsidR="0018722C">
      <w:pPr>
        <w:topLinePunct/>
      </w:pPr>
      <w:r>
        <w:t>⑵枸橼酸盐缓冲液</w:t>
      </w:r>
      <w:r>
        <w:t>(</w:t>
      </w:r>
      <w:r>
        <w:rPr>
          <w:spacing w:val="-6"/>
        </w:rPr>
        <w:t>0.01mol</w:t>
      </w:r>
      <w:r>
        <w:rPr>
          <w:spacing w:val="-6"/>
        </w:rPr>
        <w:t>/</w:t>
      </w:r>
      <w:r>
        <w:rPr>
          <w:spacing w:val="-6"/>
        </w:rPr>
        <w:t>L</w:t>
      </w:r>
      <w:r>
        <w:rPr>
          <w:spacing w:val="-6"/>
        </w:rPr>
        <w:t xml:space="preserve">, </w:t>
      </w:r>
      <w:r>
        <w:rPr>
          <w:spacing w:val="-6"/>
        </w:rPr>
        <w:t>pH6.0</w:t>
      </w:r>
      <w:r>
        <w:t>)</w:t>
      </w:r>
      <w:r>
        <w:rPr>
          <w:spacing w:val="-4"/>
        </w:rPr>
        <w:t xml:space="preserve">: </w:t>
      </w:r>
      <w:r>
        <w:t>在</w:t>
      </w:r>
      <w:r>
        <w:t>1000ml</w:t>
      </w:r>
      <w:r>
        <w:t>蒸馏水中加入</w:t>
      </w:r>
      <w:r>
        <w:t>0.4</w:t>
      </w:r>
      <w:r>
        <w:t> </w:t>
      </w:r>
      <w:r>
        <w:t>g</w:t>
      </w:r>
      <w:r>
        <w:t>枸橼酸</w:t>
      </w:r>
      <w:r>
        <w:t>(</w:t>
      </w:r>
      <w:r>
        <w:rPr>
          <w:spacing w:val="0"/>
          <w:position w:val="2"/>
        </w:rPr>
        <w:t>C</w:t>
      </w:r>
      <w:r>
        <w:rPr>
          <w:spacing w:val="0"/>
          <w:sz w:val="14"/>
        </w:rPr>
        <w:t>6</w:t>
      </w:r>
      <w:r>
        <w:rPr>
          <w:spacing w:val="0"/>
          <w:position w:val="2"/>
        </w:rPr>
        <w:t>H</w:t>
      </w:r>
      <w:r>
        <w:rPr>
          <w:spacing w:val="0"/>
          <w:sz w:val="14"/>
        </w:rPr>
        <w:t>8</w:t>
      </w:r>
      <w:r>
        <w:rPr>
          <w:spacing w:val="0"/>
          <w:position w:val="2"/>
        </w:rPr>
        <w:t>0</w:t>
      </w:r>
      <w:r>
        <w:rPr>
          <w:spacing w:val="0"/>
          <w:sz w:val="14"/>
        </w:rPr>
        <w:t>7</w:t>
      </w:r>
      <w:r>
        <w:rPr>
          <w:spacing w:val="0"/>
          <w:position w:val="2"/>
        </w:rPr>
        <w:t>·H</w:t>
      </w:r>
      <w:r>
        <w:rPr>
          <w:spacing w:val="0"/>
          <w:sz w:val="14"/>
        </w:rPr>
        <w:t>2</w:t>
      </w:r>
      <w:r>
        <w:rPr>
          <w:spacing w:val="0"/>
          <w:position w:val="2"/>
        </w:rPr>
        <w:t>0</w:t>
      </w:r>
      <w:r>
        <w:t>)</w:t>
      </w:r>
      <w:r>
        <w:t>和3.0g</w:t>
      </w:r>
      <w:r>
        <w:t>枸橼酸三钠</w:t>
      </w:r>
      <w:r>
        <w:t>(</w:t>
      </w:r>
      <w:r>
        <w:rPr>
          <w:position w:val="2"/>
        </w:rPr>
        <w:t>C</w:t>
      </w:r>
      <w:r>
        <w:rPr>
          <w:sz w:val="14"/>
        </w:rPr>
        <w:t>6</w:t>
      </w:r>
      <w:r>
        <w:rPr>
          <w:position w:val="2"/>
        </w:rPr>
        <w:t>H</w:t>
      </w:r>
      <w:r>
        <w:rPr>
          <w:sz w:val="14"/>
        </w:rPr>
        <w:t>5</w:t>
      </w:r>
      <w:r>
        <w:rPr>
          <w:position w:val="2"/>
        </w:rPr>
        <w:t>Na</w:t>
      </w:r>
      <w:r>
        <w:rPr>
          <w:sz w:val="14"/>
        </w:rPr>
        <w:t>3</w:t>
      </w:r>
      <w:r>
        <w:rPr>
          <w:position w:val="2"/>
        </w:rPr>
        <w:t>0</w:t>
      </w:r>
      <w:r>
        <w:rPr>
          <w:sz w:val="14"/>
        </w:rPr>
        <w:t>7</w:t>
      </w:r>
      <w:r>
        <w:rPr>
          <w:position w:val="2"/>
        </w:rPr>
        <w:t>·2H</w:t>
      </w:r>
      <w:r>
        <w:rPr>
          <w:sz w:val="14"/>
        </w:rPr>
        <w:t>2</w:t>
      </w:r>
      <w:r>
        <w:rPr>
          <w:position w:val="2"/>
        </w:rPr>
        <w:t>0</w:t>
      </w:r>
      <w:r>
        <w:t>)</w:t>
      </w:r>
      <w:r>
        <w:t>，调pH</w:t>
      </w:r>
      <w:r>
        <w:t>值至</w:t>
      </w:r>
      <w:r>
        <w:t>6.0</w:t>
      </w:r>
      <w:r>
        <w:t>.</w:t>
      </w:r>
    </w:p>
    <w:p w:rsidR="0018722C">
      <w:pPr>
        <w:topLinePunct/>
      </w:pPr>
      <w:r>
        <w:t>⑶3%双氧水-甲醇溶液：甲醇与30%的双氧水的比例是97</w:t>
      </w:r>
      <w:r>
        <w:t xml:space="preserve">: </w:t>
      </w:r>
      <w:r>
        <w:t>3，混匀。</w:t>
      </w:r>
    </w:p>
    <w:p w:rsidR="0018722C">
      <w:pPr>
        <w:pStyle w:val="cw19"/>
        <w:topLinePunct/>
      </w:pPr>
      <w:r>
        <w:rPr>
          <w:rFonts w:ascii="宋体" w:eastAsia="宋体" w:hint="eastAsia"/>
        </w:rPr>
        <w:t>2.1.6</w:t>
      </w:r>
      <w:r>
        <w:rPr>
          <w:rFonts w:ascii="宋体" w:eastAsia="宋体" w:hint="eastAsia"/>
        </w:rPr>
        <w:t>免疫组织化学方法检测步骤：</w:t>
      </w:r>
    </w:p>
    <w:p w:rsidR="0018722C">
      <w:pPr>
        <w:topLinePunct/>
      </w:pPr>
      <w:r>
        <w:t>⑴切片、烤片：所有标本经</w:t>
      </w:r>
      <w:r>
        <w:t>4μm</w:t>
      </w:r>
      <w:r>
        <w:t>厚连续切片，用已涂抹防脱片剂的载</w:t>
      </w:r>
      <w:r>
        <w:t>玻片将其捞出，后置于</w:t>
      </w:r>
      <w:r>
        <w:t>60</w:t>
      </w:r>
      <w:r>
        <w:t>℃烤箱中烤片</w:t>
      </w:r>
      <w:r>
        <w:t>1h</w:t>
      </w:r>
      <w:r>
        <w:t>，以使组织更紧密的贴于载玻片上；</w:t>
      </w:r>
    </w:p>
    <w:p w:rsidR="0018722C">
      <w:pPr>
        <w:topLinePunct/>
      </w:pPr>
      <w:r>
        <w:t>⑵将4μm</w:t>
      </w:r>
      <w:r>
        <w:t>厚石蜡切片脱蜡、脱二甲苯至蒸馏水：二甲苯</w:t>
      </w:r>
      <w:r>
        <w:t>2×15min</w:t>
      </w:r>
      <w:r>
        <w:t>；无</w:t>
      </w:r>
      <w:r>
        <w:t>水乙醇2×10min、95%、80</w:t>
      </w:r>
      <w:r>
        <w:t>%、</w:t>
      </w:r>
      <w:r>
        <w:t>70%乙醇依次各10min</w:t>
      </w:r>
      <w:r>
        <w:t>；蒸馏水洗</w:t>
      </w:r>
      <w:r>
        <w:t>2×5min；</w:t>
      </w:r>
      <w:r w:rsidR="001852F3">
        <w:t xml:space="preserve">0.01M PBS</w:t>
      </w:r>
      <w:r>
        <w:t>浸泡</w:t>
      </w:r>
      <w:r>
        <w:t>2×5min；</w:t>
      </w:r>
    </w:p>
    <w:p w:rsidR="0018722C">
      <w:pPr>
        <w:topLinePunct/>
      </w:pPr>
      <w:r>
        <w:t>⑶去除内源性过氧化物酶活性：</w:t>
      </w:r>
      <w:r>
        <w:t>37℃，3</w:t>
      </w:r>
      <w:r>
        <w:t>%双氧水-甲醇溶液</w:t>
      </w:r>
      <w:r>
        <w:t>30min</w:t>
      </w:r>
      <w:r>
        <w:t>，灭</w:t>
      </w:r>
      <w:r>
        <w:t>活内源性过氧化物酶；</w:t>
      </w:r>
      <w:r>
        <w:t>0.01M PBS浸泡5min×3次，37℃；</w:t>
      </w:r>
    </w:p>
    <w:p w:rsidR="0018722C">
      <w:pPr>
        <w:topLinePunct/>
      </w:pPr>
      <w:r>
        <w:t>⑷抗原修复：先将0.01M pH6.0</w:t>
      </w:r>
      <w:r>
        <w:t>的枸橼酸盐缓冲液在微波炉中加热至</w:t>
      </w:r>
      <w:r>
        <w:t>沸腾，再将切片放入已沸的枸橼酸盐缓冲液中，调至中低火</w:t>
      </w:r>
      <w:r>
        <w:t>4min</w:t>
      </w:r>
      <w:r>
        <w:t>，后低火</w:t>
      </w:r>
      <w:r>
        <w:t>4min</w:t>
      </w:r>
      <w:r>
        <w:t>，室温冷却后用</w:t>
      </w:r>
      <w:r>
        <w:t>0.01M PBS洗5min×3</w:t>
      </w:r>
      <w:r>
        <w:t>次；</w:t>
      </w:r>
    </w:p>
    <w:p w:rsidR="0018722C">
      <w:pPr>
        <w:topLinePunct/>
      </w:pPr>
      <w:r>
        <w:t>⑸滴加血清封闭液：在组织处滴加</w:t>
      </w:r>
      <w:r>
        <w:t>ft</w:t>
      </w:r>
      <w:r>
        <w:t>羊血清</w:t>
      </w:r>
      <w:r>
        <w:rPr>
          <w:spacing w:val="0"/>
        </w:rPr>
        <w:t>（</w:t>
      </w:r>
      <w:r>
        <w:t>1</w:t>
      </w:r>
      <w:r>
        <w:t xml:space="preserve">: </w:t>
      </w:r>
      <w:r>
        <w:t>10正常ft</w:t>
      </w:r>
      <w:r>
        <w:t>羊血清</w:t>
      </w:r>
      <w:r>
        <w:rPr>
          <w:spacing w:val="-6"/>
        </w:rPr>
        <w:t>）</w:t>
      </w:r>
      <w:r>
        <w:t>，放</w:t>
      </w:r>
      <w:r>
        <w:t>入湿盒，37°C</w:t>
      </w:r>
      <w:r>
        <w:t>温箱孵育半小时，封闭组织中非特异性抗原，不做冲洗；</w:t>
      </w:r>
    </w:p>
    <w:p w:rsidR="0018722C">
      <w:pPr>
        <w:topLinePunct/>
      </w:pPr>
      <w:r>
        <w:t>⑹一抗孵育：甩去玻片上多余的封闭液后滴加一抗，放入湿盒，4°C</w:t>
      </w:r>
      <w:r>
        <w:t>过夜，37°C</w:t>
      </w:r>
      <w:r>
        <w:t>温箱复温半小时后，</w:t>
      </w:r>
      <w:r>
        <w:t>0.01M PBS</w:t>
      </w:r>
      <w:r>
        <w:t>洗</w:t>
      </w:r>
      <w:r>
        <w:t>5min×3次；</w:t>
      </w:r>
    </w:p>
    <w:p w:rsidR="0018722C">
      <w:pPr>
        <w:topLinePunct/>
      </w:pPr>
      <w:r>
        <w:t>⑺二抗孵育：滴加抗兔生物素化二抗，放入湿盒，37°C温箱孵育40min，0.01M PBS洗5min×3次；</w:t>
      </w:r>
    </w:p>
    <w:p w:rsidR="0018722C">
      <w:pPr>
        <w:topLinePunct/>
      </w:pPr>
      <w:r>
        <w:t>⑻滴加</w:t>
      </w:r>
      <w:r>
        <w:t>HRP</w:t>
      </w:r>
      <w:r>
        <w:t>标记链亲和素：甩去多余液体，滴加</w:t>
      </w:r>
      <w:r>
        <w:t>HRP</w:t>
      </w:r>
      <w:r>
        <w:t>标记链亲和素，放入湿盒，37°C</w:t>
      </w:r>
      <w:r>
        <w:t>温箱孵育</w:t>
      </w:r>
      <w:r>
        <w:t>40min，0.01M PBS</w:t>
      </w:r>
      <w:r>
        <w:t>洗</w:t>
      </w:r>
      <w:r>
        <w:t>5min×3</w:t>
      </w:r>
      <w:r>
        <w:t>次；</w:t>
      </w:r>
    </w:p>
    <w:p w:rsidR="0018722C">
      <w:pPr>
        <w:topLinePunct/>
      </w:pPr>
      <w:r>
        <w:t>⑼DAB</w:t>
      </w:r>
      <w:r>
        <w:t>显色</w:t>
      </w:r>
      <w:r>
        <w:rPr>
          <w:rFonts w:hint="eastAsia"/>
        </w:rPr>
        <w:t>：</w:t>
      </w:r>
      <w:r>
        <w:t>滴加</w:t>
      </w:r>
      <w:r>
        <w:t>DAB</w:t>
      </w:r>
      <w:r>
        <w:t>显色剂于室温下显色，边显色边在显微镜下观察，</w:t>
      </w:r>
      <w:r>
        <w:t>控制好反应时间</w:t>
      </w:r>
      <w:r>
        <w:t>(</w:t>
      </w:r>
      <w:r>
        <w:t>7min</w:t>
      </w:r>
      <w:r>
        <w:t>左右</w:t>
      </w:r>
      <w:r>
        <w:t>)</w:t>
      </w:r>
      <w:r>
        <w:t>，后自来水冲洗终止反应；</w:t>
      </w:r>
    </w:p>
    <w:p w:rsidR="0018722C">
      <w:pPr>
        <w:topLinePunct/>
      </w:pPr>
      <w:r>
        <w:t>⑽苏木素复染、脱水透明、封片：将切片浸入苏木素90s，流水冲洗</w:t>
      </w:r>
      <w:r>
        <w:t>4min</w:t>
      </w:r>
      <w:r>
        <w:t>，盐酸酒精分化</w:t>
      </w:r>
      <w:r>
        <w:t>20-30s</w:t>
      </w:r>
      <w:r>
        <w:t>，再用细水流冲洗</w:t>
      </w:r>
      <w:r>
        <w:t>15min</w:t>
      </w:r>
      <w:r>
        <w:t>，梯度酒精溶液</w:t>
      </w:r>
      <w:r>
        <w:t>（</w:t>
      </w:r>
      <w:r>
        <w:t>70%</w:t>
      </w:r>
      <w:r>
        <w:t>，</w:t>
      </w:r>
    </w:p>
    <w:p w:rsidR="0018722C">
      <w:pPr>
        <w:topLinePunct/>
      </w:pPr>
      <w:r>
        <w:t>80%5min，90%5min，95%Ⅰ5min，100%Ⅰ10min，100%Ⅱ10min</w:t>
      </w:r>
      <w:r>
        <w:t>)</w:t>
      </w:r>
      <w:r w:rsidR="001852F3">
        <w:t xml:space="preserve">脱水，二甲苯透明2×15 min，最后用中性树胶封片。</w:t>
      </w:r>
    </w:p>
    <w:p w:rsidR="0018722C">
      <w:pPr>
        <w:topLinePunct/>
      </w:pPr>
      <w:r>
        <w:t>免疫组化染色以PBS代替一抗作阴性对照，阳性对照采用已知的阳性切片组织。</w:t>
      </w:r>
    </w:p>
    <w:p w:rsidR="0018722C">
      <w:pPr>
        <w:pStyle w:val="cw19"/>
        <w:topLinePunct/>
      </w:pPr>
      <w:r>
        <w:rPr>
          <w:rFonts w:ascii="宋体" w:eastAsia="宋体" w:hint="eastAsia"/>
        </w:rPr>
        <w:t>2.1.7</w:t>
      </w:r>
      <w:r>
        <w:rPr>
          <w:rFonts w:ascii="宋体" w:eastAsia="宋体" w:hint="eastAsia"/>
        </w:rPr>
        <w:t>结果判定：</w:t>
      </w:r>
    </w:p>
    <w:p w:rsidR="0018722C">
      <w:pPr>
        <w:topLinePunct/>
      </w:pPr>
      <w:r>
        <w:t>遵循可纳入统计的每一例标本均能全部判读NF-κB、Ki-67和TOPOⅡ</w:t>
      </w:r>
    </w:p>
    <w:p w:rsidR="0018722C">
      <w:pPr>
        <w:topLinePunct/>
      </w:pPr>
      <w:r>
        <w:t>的免疫组化染色情况的原则，有效统计量为102例。</w:t>
      </w:r>
    </w:p>
    <w:p w:rsidR="0018722C">
      <w:pPr>
        <w:topLinePunct/>
      </w:pPr>
      <w:r>
        <w:t>NF-κB</w:t>
      </w:r>
      <w:r/>
      <w:r w:rsidR="001852F3">
        <w:t xml:space="preserve">蛋白阳性表达主要定位于细胞浆，</w:t>
      </w:r>
      <w:r>
        <w:t>Ki-67</w:t>
      </w:r>
      <w:r/>
      <w:r w:rsidR="001852F3">
        <w:t xml:space="preserve">和</w:t>
      </w:r>
      <w:r>
        <w:t>TOPO</w:t>
      </w:r>
      <w:r>
        <w:t>Ⅱ表达于胞</w:t>
      </w:r>
      <w:r>
        <w:t>核，呈棕黄色颗粒或团块状，弥漫分布，选择组织切片中癌细胞密集的区</w:t>
      </w:r>
      <w:r>
        <w:t>域高倍镜下观察</w:t>
      </w:r>
      <w:r>
        <w:rPr>
          <w:spacing w:val="-4"/>
        </w:rPr>
        <w:t>（</w:t>
      </w:r>
      <w:r>
        <w:rPr>
          <w:spacing w:val="-4"/>
        </w:rPr>
        <w:t>×</w:t>
      </w:r>
      <w:r>
        <w:t>400</w:t>
      </w:r>
      <w:r>
        <w:rPr>
          <w:spacing w:val="-4"/>
        </w:rPr>
        <w:t>）</w:t>
      </w:r>
      <w:r>
        <w:t xml:space="preserve">，随机选择</w:t>
      </w:r>
      <w:r>
        <w:t>5</w:t>
      </w:r>
      <w:r/>
      <w:r w:rsidR="001852F3">
        <w:t xml:space="preserve">个视野，按染色强度和阳性细胞数</w:t>
      </w:r>
      <w:r>
        <w:t>占肿瘤细胞总数的百分比进行综合计分。染色强度：未着色</w:t>
      </w:r>
      <w:r>
        <w:rPr>
          <w:spacing w:val="-4"/>
        </w:rPr>
        <w:t>（</w:t>
      </w:r>
      <w:r>
        <w:t>0</w:t>
      </w:r>
      <w:r w:rsidR="001852F3">
        <w:rPr>
          <w:spacing w:val="-8"/>
        </w:rPr>
        <w:t xml:space="preserve">分</w:t>
      </w:r>
      <w:r>
        <w:rPr>
          <w:spacing w:val="-8"/>
        </w:rPr>
        <w:t>）</w:t>
      </w:r>
      <w:r>
        <w:t>，浅黄</w:t>
      </w:r>
      <w:r>
        <w:t>色</w:t>
      </w:r>
      <w:r>
        <w:rPr>
          <w:spacing w:val="-4"/>
          <w:w w:val="100"/>
        </w:rPr>
        <w:t>（</w:t>
      </w:r>
      <w:r>
        <w:rPr>
          <w:w w:val="100"/>
        </w:rPr>
        <w:t>1</w:t>
      </w:r>
      <w:r>
        <w:rPr>
          <w:spacing w:val="-11"/>
          <w:w w:val="100"/>
        </w:rPr>
        <w:t>分</w:t>
      </w:r>
      <w:r>
        <w:rPr>
          <w:spacing w:val="-11"/>
          <w:w w:val="100"/>
        </w:rPr>
        <w:t>）</w:t>
      </w:r>
      <w:r>
        <w:t>，棕黄色</w:t>
      </w:r>
      <w:r>
        <w:rPr>
          <w:spacing w:val="-11"/>
          <w:w w:val="100"/>
        </w:rPr>
        <w:t>（</w:t>
      </w:r>
      <w:r>
        <w:rPr>
          <w:w w:val="100"/>
        </w:rPr>
        <w:t>2</w:t>
      </w:r>
      <w:r>
        <w:rPr>
          <w:spacing w:val="-11"/>
          <w:w w:val="100"/>
        </w:rPr>
        <w:t>分</w:t>
      </w:r>
      <w:r>
        <w:rPr>
          <w:spacing w:val="-11"/>
          <w:w w:val="100"/>
        </w:rPr>
        <w:t>）</w:t>
      </w:r>
      <w:r>
        <w:t>，棕褐色</w:t>
      </w:r>
      <w:r>
        <w:rPr>
          <w:spacing w:val="-11"/>
          <w:w w:val="100"/>
        </w:rPr>
        <w:t>（</w:t>
      </w:r>
      <w:r>
        <w:rPr>
          <w:w w:val="100"/>
        </w:rPr>
        <w:t>3</w:t>
      </w:r>
      <w:r>
        <w:rPr>
          <w:spacing w:val="-16"/>
          <w:w w:val="100"/>
        </w:rPr>
        <w:t>分</w:t>
      </w:r>
      <w:r>
        <w:rPr>
          <w:spacing w:val="-16"/>
          <w:w w:val="100"/>
        </w:rPr>
        <w:t>）</w:t>
      </w:r>
      <w:r>
        <w:t>；阳性细胞数：＜</w:t>
      </w:r>
      <w:r/>
      <w:r>
        <w:t>5</w:t>
      </w:r>
      <w:r>
        <w:t>%</w:t>
      </w:r>
      <w:r>
        <w:t>(</w:t>
      </w:r>
      <w:r>
        <w:rPr>
          <w:w w:val="100"/>
        </w:rPr>
        <w:t>0</w:t>
      </w:r>
      <w:r>
        <w:rPr>
          <w:spacing w:val="-24"/>
          <w:w w:val="100"/>
        </w:rPr>
        <w:t>分</w:t>
      </w:r>
      <w:r>
        <w:t>)</w:t>
      </w:r>
      <w:r>
        <w:t>，</w:t>
      </w:r>
      <w:r>
        <w:t>6</w:t>
      </w:r>
      <w:r>
        <w:t>%</w:t>
      </w:r>
      <w:r>
        <w:t>-2</w:t>
      </w:r>
      <w:r>
        <w:t>5</w:t>
      </w:r>
      <w:r>
        <w:t>%</w:t>
      </w:r>
      <w:r>
        <w:t>(</w:t>
      </w:r>
      <w:r>
        <w:rPr>
          <w:w w:val="100"/>
        </w:rPr>
        <w:t>1</w:t>
      </w:r>
      <w:r>
        <w:rPr>
          <w:spacing w:val="-2"/>
        </w:rPr>
        <w:t>分</w:t>
      </w:r>
      <w:r>
        <w:t>)</w:t>
      </w:r>
      <w:r>
        <w:t>，26%-50%</w:t>
      </w:r>
      <w:r>
        <w:t>(</w:t>
      </w:r>
      <w:r>
        <w:rPr>
          <w:spacing w:val="-2"/>
        </w:rPr>
        <w:t>2</w:t>
      </w:r>
      <w:r w:rsidR="001852F3">
        <w:rPr>
          <w:spacing w:val="-6"/>
        </w:rPr>
        <w:t xml:space="preserve">分</w:t>
      </w:r>
      <w:r>
        <w:t>)</w:t>
      </w:r>
      <w:r>
        <w:t xml:space="preserve">，＞</w:t>
      </w:r>
      <w:r>
        <w:t>50%</w:t>
      </w:r>
      <w:r>
        <w:t>(</w:t>
      </w:r>
      <w:r>
        <w:t>3</w:t>
      </w:r>
      <w:r w:rsidR="001852F3">
        <w:rPr>
          <w:spacing w:val="-4"/>
        </w:rPr>
        <w:t xml:space="preserve">分</w:t>
      </w:r>
      <w:r>
        <w:t>)</w:t>
      </w:r>
      <w:r>
        <w:t xml:space="preserve">。两项分值之积：＜</w:t>
      </w:r>
      <w:r>
        <w:t>3</w:t>
      </w:r>
      <w:r/>
      <w:r w:rsidR="001852F3">
        <w:t xml:space="preserve">计为阴性</w:t>
      </w:r>
      <w:r>
        <w:t>(</w:t>
      </w:r>
      <w:r>
        <w:rPr>
          <w:spacing w:val="-5"/>
        </w:rPr>
        <w:t>-</w:t>
      </w:r>
      <w:r>
        <w:t>)</w:t>
      </w:r>
      <w:r>
        <w:t>，</w:t>
      </w:r>
    </w:p>
    <w:p w:rsidR="0018722C">
      <w:pPr>
        <w:topLinePunct/>
      </w:pPr>
      <w:r>
        <w:t>3-5</w:t>
      </w:r>
      <w:r w:rsidR="001852F3">
        <w:t xml:space="preserve">分计为阳性</w:t>
      </w:r>
      <w:r>
        <w:t>(</w:t>
      </w:r>
      <w:r>
        <w:t>+</w:t>
      </w:r>
      <w:r>
        <w:t>)</w:t>
      </w:r>
      <w:r>
        <w:t>，＞</w:t>
      </w:r>
      <w:r w:rsidR="001852F3">
        <w:t xml:space="preserve">5</w:t>
      </w:r>
      <w:r w:rsidR="001852F3">
        <w:t xml:space="preserve">为强阳性</w:t>
      </w:r>
      <w:r>
        <w:t>(</w:t>
      </w:r>
      <w:r>
        <w:t>++</w:t>
      </w:r>
      <w:r>
        <w:t>)</w:t>
      </w:r>
      <w:r>
        <w:t>。</w:t>
      </w:r>
    </w:p>
    <w:p w:rsidR="0018722C">
      <w:pPr>
        <w:pStyle w:val="Heading2"/>
        <w:topLinePunct/>
        <w:ind w:left="171" w:hangingChars="171" w:hanging="171"/>
      </w:pPr>
      <w:bookmarkStart w:name="3 统计方法 " w:id="23"/>
      <w:bookmarkEnd w:id="23"/>
      <w:r>
        <w:t>3</w:t>
      </w:r>
      <w:r>
        <w:t xml:space="preserve"> </w:t>
      </w:r>
      <w:bookmarkStart w:name="3 统计方法 " w:id="24"/>
      <w:bookmarkEnd w:id="24"/>
      <w:r>
        <w:t>统计方法</w:t>
      </w:r>
    </w:p>
    <w:p w:rsidR="0018722C">
      <w:pPr>
        <w:topLinePunct/>
      </w:pPr>
      <w:r>
        <w:t>采用</w:t>
      </w:r>
      <w:r>
        <w:t>SPSS17.0</w:t>
      </w:r>
      <w:r/>
      <w:r w:rsidR="001852F3">
        <w:t xml:space="preserve">统计软件对数据进行分析，计数资料采用</w:t>
      </w:r>
      <w:r>
        <w:rPr>
          <w:rFonts w:ascii="Symbol" w:hAnsi="Symbol" w:eastAsia="Symbol"/>
          <w:i/>
        </w:rPr>
        <w:t></w:t>
      </w:r>
      <w:r>
        <w:rPr>
          <w:vertAlign w:val="superscript"/>
          /&gt;
        </w:rPr>
        <w:t>2</w:t>
      </w:r>
      <w:r>
        <w:t>检验和</w:t>
      </w:r>
      <w:r>
        <w:t>四格表精确概率法，相关性分析采用</w:t>
      </w:r>
      <w:r>
        <w:t>Spearmen</w:t>
      </w:r>
      <w:r/>
      <w:r w:rsidR="001852F3">
        <w:t xml:space="preserve">等级相关分析，以</w:t>
      </w:r>
      <w:r>
        <w:rPr>
          <w:i/>
        </w:rPr>
        <w:t>P</w:t>
      </w:r>
      <w:r>
        <w:t>＜0.05</w:t>
      </w:r>
      <w:r>
        <w:t>作为差异有显著统计学意义。</w:t>
      </w:r>
    </w:p>
    <w:p w:rsidR="0018722C">
      <w:pPr>
        <w:outlineLvl w:val="9"/>
        <w:topLinePunct/>
      </w:pPr>
      <w:bookmarkStart w:name="结果 " w:id="25"/>
      <w:bookmarkEnd w:id="25"/>
      <w:r>
        <w:rPr>
          <w:kern w:val="2"/>
          <w:sz w:val="28"/>
          <w:szCs w:val="28"/>
          <w:rFonts w:cstheme="minorBidi" w:hAnsiTheme="minorHAnsi" w:eastAsiaTheme="minorHAnsi" w:asciiTheme="minorHAnsi" w:ascii="黑体" w:hAnsi="黑体" w:eastAsia="黑体" w:cs="黑体"/>
          <w:b/>
          <w:bCs/>
        </w:rPr>
        <w:t>结</w:t>
      </w:r>
      <w:r w:rsidR="001852F3">
        <w:rPr>
          <w:kern w:val="2"/>
          <w:sz w:val="28"/>
          <w:szCs w:val="28"/>
          <w:rFonts w:cstheme="minorBidi" w:hAnsiTheme="minorHAnsi" w:eastAsiaTheme="minorHAnsi" w:asciiTheme="minorHAnsi" w:ascii="黑体" w:hAnsi="黑体" w:eastAsia="黑体" w:cs="黑体"/>
          <w:b/>
          <w:bCs/>
        </w:rPr>
        <w:t>果</w:t>
      </w:r>
    </w:p>
    <w:p w:rsidR="0018722C">
      <w:pPr>
        <w:pStyle w:val="Heading2"/>
        <w:topLinePunct/>
        <w:ind w:left="171" w:hangingChars="171" w:hanging="171"/>
      </w:pPr>
      <w:bookmarkStart w:name="1 NF-κB在胃癌组织、癌旁增生组织及正常胃粘膜组织中的表达 " w:id="26"/>
      <w:bookmarkEnd w:id="26"/>
      <w:r>
        <w:t>1</w:t>
      </w:r>
      <w:r>
        <w:t xml:space="preserve"> </w:t>
      </w:r>
      <w:bookmarkStart w:name="1 NF-κB在胃癌组织、癌旁增生组织及正常胃粘膜组织中的表达 " w:id="27"/>
      <w:bookmarkEnd w:id="27"/>
      <w:r>
        <w:t>N</w:t>
      </w:r>
      <w:r>
        <w:t>F-κB</w:t>
      </w:r>
      <w:r/>
      <w:r w:rsidR="001852F3">
        <w:t xml:space="preserve">在胃癌组织、癌旁增生组织及正常胃粘膜组织中的表达</w:t>
      </w:r>
    </w:p>
    <w:p w:rsidR="0018722C">
      <w:pPr>
        <w:topLinePunct/>
      </w:pPr>
      <w:r>
        <w:t>NF-κB</w:t>
      </w:r>
      <w:r w:rsidR="001852F3">
        <w:t xml:space="preserve">蛋白在阴性对照组中无表达。阳性产物主要定位于细胞浆，</w:t>
      </w:r>
      <w:r>
        <w:t>在胞核亦有少量阳性表达，呈棕黄色颗粒状，在</w:t>
      </w:r>
      <w:r>
        <w:t>102</w:t>
      </w:r>
      <w:r/>
      <w:r w:rsidR="001852F3">
        <w:t xml:space="preserve">例胃癌组织中，</w:t>
      </w:r>
      <w:r>
        <w:t>NF</w:t>
      </w:r>
      <w:r>
        <w:t>-</w:t>
      </w:r>
    </w:p>
    <w:p w:rsidR="0018722C">
      <w:pPr>
        <w:topLinePunct/>
      </w:pPr>
      <w:r>
        <w:t>κB</w:t>
      </w:r>
      <w:r/>
      <w:r w:rsidR="001852F3">
        <w:t xml:space="preserve">的阳性表达例数为</w:t>
      </w:r>
      <w:r>
        <w:t>72</w:t>
      </w:r>
      <w:r/>
      <w:r w:rsidR="001852F3">
        <w:t xml:space="preserve">例，阳性表达率为</w:t>
      </w:r>
      <w:r>
        <w:t>70</w:t>
      </w:r>
      <w:r>
        <w:t>.</w:t>
      </w:r>
      <w:r>
        <w:t>59%</w:t>
      </w:r>
      <w:r>
        <w:t>(</w:t>
      </w:r>
      <w:r>
        <w:rPr>
          <w:spacing w:val="-2"/>
        </w:rPr>
        <w:t>72</w:t>
      </w:r>
      <w:r>
        <w:rPr>
          <w:spacing w:val="-2"/>
        </w:rPr>
        <w:t>/</w:t>
      </w:r>
      <w:r>
        <w:rPr>
          <w:spacing w:val="-2"/>
        </w:rPr>
        <w:t>102</w:t>
      </w:r>
      <w:r>
        <w:t>)</w:t>
      </w:r>
      <w:r>
        <w:t xml:space="preserve">；在</w:t>
      </w:r>
      <w:r>
        <w:t>45</w:t>
      </w:r>
      <w:r/>
      <w:r w:rsidR="001852F3">
        <w:t xml:space="preserve">例癌</w:t>
      </w:r>
      <w:r>
        <w:t>旁增生组织中，</w:t>
      </w:r>
      <w:r>
        <w:t>N</w:t>
      </w:r>
      <w:r>
        <w:t>F</w:t>
      </w:r>
      <w:r>
        <w:t>-</w:t>
      </w:r>
      <w:r>
        <w:t>κB</w:t>
      </w:r>
      <w:r/>
      <w:r>
        <w:t>的阳性表达率为</w:t>
      </w:r>
      <w:r>
        <w:t>1</w:t>
      </w:r>
      <w:r>
        <w:t>0</w:t>
      </w:r>
      <w:r/>
      <w:r>
        <w:t>例，阳性表达率</w:t>
      </w:r>
      <w:r>
        <w:t>2</w:t>
      </w:r>
      <w:r>
        <w:t>2</w:t>
      </w:r>
      <w:r>
        <w:t>.</w:t>
      </w:r>
      <w:r>
        <w:t>2</w:t>
      </w:r>
      <w:r>
        <w:t>2</w:t>
      </w:r>
      <w:r>
        <w:t>%</w:t>
      </w:r>
      <w:r>
        <w:t>(</w:t>
      </w:r>
      <w:r>
        <w:rPr>
          <w:w w:val="100"/>
        </w:rPr>
        <w:t>1</w:t>
      </w:r>
      <w:r>
        <w:rPr>
          <w:spacing w:val="-1"/>
          <w:w w:val="100"/>
        </w:rPr>
        <w:t>0</w:t>
      </w:r>
      <w:r>
        <w:rPr>
          <w:spacing w:val="-1"/>
          <w:w w:val="100"/>
        </w:rPr>
        <w:t>/</w:t>
      </w:r>
      <w:r>
        <w:rPr>
          <w:w w:val="100"/>
        </w:rPr>
        <w:t>4</w:t>
      </w:r>
      <w:r>
        <w:rPr>
          <w:spacing w:val="-1"/>
          <w:w w:val="100"/>
        </w:rPr>
        <w:t>5</w:t>
      </w:r>
      <w:r>
        <w:t>)</w:t>
      </w:r>
      <w:r>
        <w:t>；</w:t>
      </w:r>
      <w:r>
        <w:t>在</w:t>
      </w:r>
      <w:r>
        <w:t>34</w:t>
      </w:r>
      <w:r/>
      <w:r w:rsidR="001852F3">
        <w:t xml:space="preserve">例正常胃粘膜组织中，</w:t>
      </w:r>
      <w:r>
        <w:t>NF-κB</w:t>
      </w:r>
      <w:r/>
      <w:r w:rsidR="001852F3">
        <w:t xml:space="preserve">的阳性表达者</w:t>
      </w:r>
      <w:r>
        <w:t>2</w:t>
      </w:r>
      <w:r/>
      <w:r w:rsidR="001852F3">
        <w:t xml:space="preserve">例，阳性表</w:t>
      </w:r>
      <w:r w:rsidR="001852F3">
        <w:t>达</w:t>
      </w:r>
    </w:p>
    <w:p w:rsidR="0018722C">
      <w:pPr>
        <w:topLinePunct/>
      </w:pPr>
      <w:r>
        <w:t>5.88%</w:t>
      </w:r>
      <w:r>
        <w:t>(</w:t>
      </w:r>
      <w:r>
        <w:t>2</w:t>
      </w:r>
      <w:r>
        <w:t>/</w:t>
      </w:r>
      <w:r>
        <w:t>34</w:t>
      </w:r>
      <w:r>
        <w:t>)</w:t>
      </w:r>
      <w:r>
        <w:rPr>
          <w:spacing w:val="-12"/>
        </w:rPr>
        <w:t xml:space="preserve">. </w:t>
      </w:r>
      <w:r>
        <w:t>NF-κB</w:t>
      </w:r>
      <w:r/>
      <w:r w:rsidR="001852F3">
        <w:t xml:space="preserve">的阳性表达水平在胃癌组织中明显高于癌旁组织及</w:t>
      </w:r>
      <w:r>
        <w:t>正常胃粘膜组织，经</w:t>
      </w:r>
      <w:r>
        <w:rPr>
          <w:rFonts w:ascii="Symbol" w:hAnsi="Symbol" w:eastAsia="Symbol"/>
          <w:i/>
        </w:rPr>
        <w:t></w:t>
      </w:r>
      <w:r>
        <w:rPr>
          <w:rFonts w:ascii="Times New Roman" w:hAnsi="Times New Roman" w:eastAsia="宋体"/>
        </w:rPr>
        <w:t>2</w:t>
      </w:r>
      <w:r>
        <w:t>检验，三者两两之间差异有显著性</w:t>
      </w:r>
      <w:r>
        <w:rPr>
          <w:spacing w:val="-4"/>
        </w:rPr>
        <w:t>（</w:t>
      </w:r>
      <w:r>
        <w:rPr>
          <w:i/>
        </w:rPr>
        <w:t>P</w:t>
      </w:r>
      <w:r>
        <w:t>＜</w:t>
      </w:r>
      <w:r>
        <w:t>0.05，</w:t>
      </w:r>
      <w:r>
        <w:rPr>
          <w:i/>
        </w:rPr>
        <w:t>P</w:t>
      </w:r>
    </w:p>
    <w:p w:rsidR="0018722C">
      <w:pPr>
        <w:topLinePunct/>
      </w:pPr>
      <w:r>
        <w:t>＜</w:t>
      </w:r>
      <w:r w:rsidR="001852F3">
        <w:t xml:space="preserve">0</w:t>
      </w:r>
      <w:r>
        <w:t>.</w:t>
      </w:r>
      <w:r>
        <w:t>05，</w:t>
      </w:r>
      <w:r>
        <w:rPr>
          <w:i/>
        </w:rPr>
        <w:t>P</w:t>
      </w:r>
      <w:r>
        <w:t>＜</w:t>
      </w:r>
      <w:r w:rsidR="001852F3">
        <w:t xml:space="preserve">0.05</w:t>
      </w:r>
      <w:r>
        <w:t>)</w:t>
      </w:r>
      <w:r>
        <w:t>。</w:t>
      </w:r>
    </w:p>
    <w:p w:rsidR="0018722C">
      <w:pPr>
        <w:pStyle w:val="Heading2"/>
        <w:topLinePunct/>
        <w:ind w:left="171" w:hangingChars="171" w:hanging="171"/>
      </w:pPr>
      <w:bookmarkStart w:name="2 TOPOⅡ在胃癌组织、癌旁增生组织及正常胃粘膜组织中的表达 " w:id="28"/>
      <w:bookmarkEnd w:id="28"/>
      <w:r>
        <w:t>2</w:t>
      </w:r>
      <w:r>
        <w:t xml:space="preserve"> </w:t>
      </w:r>
      <w:bookmarkStart w:name="2 TOPOⅡ在胃癌组织、癌旁增生组织及正常胃粘膜组织中的表达 " w:id="29"/>
      <w:bookmarkEnd w:id="29"/>
      <w:r>
        <w:t>T</w:t>
      </w:r>
      <w:r>
        <w:t>OPO</w:t>
      </w:r>
      <w:r>
        <w:t>Ⅱ在胃癌组织、癌旁增生组织及正常胃粘膜组织中的表达</w:t>
      </w:r>
    </w:p>
    <w:p w:rsidR="0018722C">
      <w:pPr>
        <w:topLinePunct/>
      </w:pPr>
      <w:r>
        <w:t>TOPO</w:t>
      </w:r>
      <w:r>
        <w:t>Ⅱ在阴性对照组中无表达。阳性产物主要定位于细胞核，呈棕黄</w:t>
      </w:r>
      <w:r>
        <w:t>色颗粒，强阳性表达者颜色明显加深。在</w:t>
      </w:r>
      <w:r>
        <w:t>102</w:t>
      </w:r>
      <w:r/>
      <w:r w:rsidR="001852F3">
        <w:t xml:space="preserve">例胃癌组织中，</w:t>
      </w:r>
      <w:r>
        <w:t>TOPO</w:t>
      </w:r>
      <w:r>
        <w:t>Ⅱ的</w:t>
      </w:r>
      <w:r>
        <w:t>阳</w:t>
      </w:r>
    </w:p>
    <w:p w:rsidR="0018722C">
      <w:pPr>
        <w:topLinePunct/>
      </w:pPr>
      <w:r>
        <w:t>性表达例数为</w:t>
      </w:r>
      <w:r>
        <w:t>55</w:t>
      </w:r>
      <w:r/>
      <w:r w:rsidR="001852F3">
        <w:t xml:space="preserve">例，阳性表达率为</w:t>
      </w:r>
      <w:r>
        <w:t>53</w:t>
      </w:r>
      <w:r>
        <w:t>.</w:t>
      </w:r>
      <w:r>
        <w:t>92%</w:t>
      </w:r>
      <w:r>
        <w:t>(</w:t>
      </w:r>
      <w:r>
        <w:t>55</w:t>
      </w:r>
      <w:r>
        <w:t>/</w:t>
      </w:r>
      <w:r>
        <w:t>102</w:t>
      </w:r>
      <w:r>
        <w:t>)</w:t>
      </w:r>
      <w:r>
        <w:t xml:space="preserve">；在</w:t>
      </w:r>
      <w:r>
        <w:t>45</w:t>
      </w:r>
      <w:r/>
      <w:r w:rsidR="001852F3">
        <w:t xml:space="preserve">例癌旁增生组织中，TOPO</w:t>
      </w:r>
      <w:r>
        <w:t>Ⅱ的阳性表达率为</w:t>
      </w:r>
      <w:r>
        <w:t>24</w:t>
      </w:r>
      <w:r/>
      <w:r w:rsidR="001852F3">
        <w:t xml:space="preserve">例，阳性表达率</w:t>
      </w:r>
      <w:r>
        <w:t>53</w:t>
      </w:r>
      <w:r>
        <w:t>.</w:t>
      </w:r>
      <w:r>
        <w:t>33%</w:t>
      </w:r>
      <w:r>
        <w:t>(</w:t>
      </w:r>
      <w:r>
        <w:t>24</w:t>
      </w:r>
      <w:r>
        <w:t>/</w:t>
      </w:r>
      <w:r>
        <w:t>45</w:t>
      </w:r>
      <w:r>
        <w:t>)</w:t>
      </w:r>
      <w:r>
        <w:t>；</w:t>
      </w:r>
      <w:r>
        <w:t>在</w:t>
      </w:r>
    </w:p>
    <w:p w:rsidR="0018722C">
      <w:pPr>
        <w:topLinePunct/>
      </w:pPr>
      <w:r>
        <w:t>34</w:t>
      </w:r>
      <w:r w:rsidR="001852F3">
        <w:t xml:space="preserve">例正常胃粘膜组织中，</w:t>
      </w:r>
      <w:r w:rsidR="001852F3">
        <w:t xml:space="preserve">TOPO</w:t>
      </w:r>
      <w:r w:rsidR="001852F3">
        <w:t xml:space="preserve">Ⅱ</w:t>
      </w:r>
      <w:r w:rsidR="001852F3">
        <w:t xml:space="preserve">的阳性表达者</w:t>
      </w:r>
      <w:r w:rsidR="001852F3">
        <w:t xml:space="preserve">10</w:t>
      </w:r>
      <w:r w:rsidR="001852F3">
        <w:t xml:space="preserve">例，阳性表达</w:t>
      </w:r>
    </w:p>
    <w:p w:rsidR="0018722C">
      <w:pPr>
        <w:topLinePunct/>
      </w:pPr>
      <w:r>
        <w:t>29.41%</w:t>
      </w:r>
      <w:r>
        <w:t>(</w:t>
      </w:r>
      <w:r>
        <w:t xml:space="preserve">10</w:t>
      </w:r>
      <w:r>
        <w:t>/</w:t>
      </w:r>
      <w:r>
        <w:t xml:space="preserve">34</w:t>
      </w:r>
      <w:r>
        <w:t>)</w:t>
      </w:r>
      <w:r>
        <w:t xml:space="preserve">。经</w:t>
      </w:r>
      <w:r>
        <w:rPr>
          <w:rFonts w:ascii="Symbol" w:hAnsi="Symbol" w:eastAsia="Symbol"/>
          <w:i/>
        </w:rPr>
        <w:t></w:t>
      </w:r>
      <w:r>
        <w:rPr>
          <w:rFonts w:ascii="Times New Roman" w:hAnsi="Times New Roman" w:eastAsia="宋体"/>
        </w:rPr>
        <w:t>2</w:t>
      </w:r>
      <w:r>
        <w:t>检验提示，三者之间有统计学意义</w:t>
      </w:r>
      <w:r>
        <w:t>(</w:t>
      </w:r>
      <w:r>
        <w:rPr>
          <w:i/>
          <w:sz w:val="29"/>
        </w:rPr>
        <w:t>P</w:t>
      </w:r>
      <w:r>
        <w:t>＜</w:t>
      </w:r>
      <w:r w:rsidR="001852F3">
        <w:t xml:space="preserve">0.05</w:t>
      </w:r>
      <w:r>
        <w:t>)</w:t>
      </w:r>
      <w:r>
        <w:t>，</w:t>
      </w:r>
    </w:p>
    <w:p w:rsidR="0018722C">
      <w:pPr>
        <w:topLinePunct/>
      </w:pPr>
      <w:r>
        <w:t>进一步行</w:t>
      </w:r>
      <w:r>
        <w:rPr>
          <w:rFonts w:ascii="Symbol" w:hAnsi="Symbol" w:eastAsia="Symbol"/>
          <w:i/>
        </w:rPr>
        <w:t></w:t>
      </w:r>
      <w:r>
        <w:rPr>
          <w:rFonts w:ascii="Times New Roman" w:hAnsi="Times New Roman" w:eastAsia="宋体"/>
        </w:rPr>
        <w:t>2</w:t>
      </w:r>
      <w:r>
        <w:t>分割检验，</w:t>
      </w:r>
      <w:r>
        <w:t>TOPO</w:t>
      </w:r>
      <w:r>
        <w:t>Ⅱ的阳性表达水平在胃癌组织、癌旁组织中</w:t>
      </w:r>
      <w:r>
        <w:t>的表达分别与正常胃粘膜组织中的表达均具有统计学有意义，两两之间差异有显著性</w:t>
      </w:r>
      <w:r>
        <w:t>(</w:t>
      </w:r>
      <w:r>
        <w:rPr>
          <w:i/>
          <w:spacing w:val="-4"/>
          <w:sz w:val="29"/>
        </w:rPr>
        <w:t>P</w:t>
      </w:r>
      <w:r>
        <w:rPr>
          <w:spacing w:val="0"/>
        </w:rPr>
        <w:t>＜</w:t>
      </w:r>
      <w:r>
        <w:t>0.05</w:t>
      </w:r>
      <w:r>
        <w:t>,</w:t>
      </w:r>
      <w:r>
        <w:t> </w:t>
      </w:r>
      <w:r>
        <w:rPr>
          <w:i/>
          <w:sz w:val="29"/>
        </w:rPr>
        <w:t>P</w:t>
      </w:r>
      <w:r>
        <w:t>＜</w:t>
      </w:r>
      <w:r w:rsidR="001852F3">
        <w:t xml:space="preserve">0.05</w:t>
      </w:r>
      <w:r>
        <w:t>)</w:t>
      </w:r>
      <w:r>
        <w:t>，但在胃癌组织及癌旁增生组织中</w:t>
      </w:r>
      <w:r>
        <w:t>的表达中经</w:t>
      </w:r>
      <w:r>
        <w:rPr>
          <w:rFonts w:ascii="Symbol" w:hAnsi="Symbol" w:eastAsia="Symbol"/>
          <w:i/>
        </w:rPr>
        <w:t></w:t>
      </w:r>
      <w:r>
        <w:rPr>
          <w:rFonts w:ascii="Times New Roman" w:hAnsi="Times New Roman" w:eastAsia="宋体"/>
        </w:rPr>
        <w:t>2</w:t>
      </w:r>
      <w:r>
        <w:t>检验，两者之间差异无统计学意义</w:t>
      </w:r>
      <w:r>
        <w:t>(</w:t>
      </w:r>
      <w:r>
        <w:rPr>
          <w:i/>
          <w:sz w:val="29"/>
        </w:rPr>
        <w:t>P</w:t>
      </w:r>
      <w:r>
        <w:t>＞</w:t>
      </w:r>
      <w:r w:rsidR="001852F3">
        <w:t xml:space="preserve">0.05</w:t>
      </w:r>
      <w:r>
        <w:t>)</w:t>
      </w:r>
      <w:r>
        <w:t>。</w:t>
      </w:r>
    </w:p>
    <w:p w:rsidR="0018722C">
      <w:pPr>
        <w:pStyle w:val="Heading2"/>
        <w:topLinePunct/>
        <w:ind w:left="171" w:hangingChars="171" w:hanging="171"/>
      </w:pPr>
      <w:bookmarkStart w:name="3 Ki-67在胃癌组织、癌旁增生组织及正常胃粘膜组织中的表达 " w:id="30"/>
      <w:bookmarkEnd w:id="30"/>
      <w:r>
        <w:t>3</w:t>
      </w:r>
      <w:r>
        <w:t xml:space="preserve"> </w:t>
      </w:r>
      <w:r w:rsidRPr="00DB64CE">
        <w:t>Ki-67</w:t>
      </w:r>
      <w:r w:rsidR="001852F3">
        <w:t xml:space="preserve">在胃癌组织、癌旁增生组织及正常胃粘膜组织中的表达</w:t>
      </w:r>
    </w:p>
    <w:p w:rsidR="0018722C">
      <w:pPr>
        <w:topLinePunct/>
      </w:pPr>
      <w:r>
        <w:t>Ki-67</w:t>
      </w:r>
      <w:r/>
      <w:r w:rsidR="001852F3">
        <w:t xml:space="preserve">在阴性对照组中无表达。阳性产物主要定位于细胞核，呈棕黄</w:t>
      </w:r>
      <w:r>
        <w:t>色颗粒，强阳性表达者颜色明显加深。在</w:t>
      </w:r>
      <w:r>
        <w:t>102</w:t>
      </w:r>
      <w:r/>
      <w:r w:rsidR="001852F3">
        <w:t xml:space="preserve">例胃癌组织中，</w:t>
      </w:r>
      <w:r>
        <w:t>Ki-67</w:t>
      </w:r>
      <w:r/>
      <w:r w:rsidR="001852F3">
        <w:t xml:space="preserve">的阳</w:t>
      </w:r>
      <w:r>
        <w:t>性表达例数为</w:t>
      </w:r>
      <w:r>
        <w:t>88</w:t>
      </w:r>
      <w:r/>
      <w:r w:rsidR="001852F3">
        <w:t xml:space="preserve">例，阳性表达率为</w:t>
      </w:r>
      <w:r>
        <w:t>86</w:t>
      </w:r>
      <w:r>
        <w:t>.</w:t>
      </w:r>
      <w:r>
        <w:t>27%</w:t>
      </w:r>
      <w:r>
        <w:t>(</w:t>
      </w:r>
      <w:r>
        <w:t>88</w:t>
      </w:r>
      <w:r>
        <w:t>/</w:t>
      </w:r>
      <w:r>
        <w:t>102</w:t>
      </w:r>
      <w:r>
        <w:t>)</w:t>
      </w:r>
      <w:r>
        <w:t xml:space="preserve">；在</w:t>
      </w:r>
      <w:r>
        <w:t>45</w:t>
      </w:r>
      <w:r/>
      <w:r w:rsidR="001852F3">
        <w:t xml:space="preserve">例癌旁增生组织中，Ki-67</w:t>
      </w:r>
      <w:r w:rsidR="001852F3">
        <w:t xml:space="preserve">的阳性表达率为</w:t>
      </w:r>
      <w:r>
        <w:t>31</w:t>
      </w:r>
      <w:r/>
      <w:r w:rsidR="001852F3">
        <w:t xml:space="preserve">例，阳性表达率</w:t>
      </w:r>
      <w:r>
        <w:t>68</w:t>
      </w:r>
      <w:r>
        <w:t>.</w:t>
      </w:r>
      <w:r>
        <w:t>89%</w:t>
      </w:r>
      <w:r>
        <w:t>(</w:t>
      </w:r>
      <w:r>
        <w:t>31</w:t>
      </w:r>
      <w:r>
        <w:t>/</w:t>
      </w:r>
      <w:r>
        <w:t>45</w:t>
      </w:r>
      <w:r>
        <w:t>)</w:t>
      </w:r>
      <w:r>
        <w:t>；</w:t>
      </w:r>
      <w:r>
        <w:t>在</w:t>
      </w:r>
    </w:p>
    <w:p w:rsidR="0018722C">
      <w:pPr>
        <w:topLinePunct/>
      </w:pPr>
      <w:r>
        <w:t>34</w:t>
      </w:r>
      <w:r w:rsidR="001852F3">
        <w:t xml:space="preserve">例正常胃粘膜组织中，</w:t>
      </w:r>
      <w:r w:rsidR="001852F3">
        <w:t xml:space="preserve">Ki-67</w:t>
      </w:r>
      <w:r w:rsidR="001852F3">
        <w:t xml:space="preserve">的阳性表达者</w:t>
      </w:r>
      <w:r w:rsidR="001852F3">
        <w:t xml:space="preserve">11</w:t>
      </w:r>
      <w:r w:rsidR="001852F3">
        <w:t xml:space="preserve">例，</w:t>
      </w:r>
      <w:r w:rsidR="001852F3">
        <w:t xml:space="preserve">阳性表达</w:t>
      </w:r>
    </w:p>
    <w:p w:rsidR="0018722C">
      <w:pPr>
        <w:topLinePunct/>
      </w:pPr>
      <w:r>
        <w:t>32.35%</w:t>
      </w:r>
      <w:r>
        <w:t>(</w:t>
      </w:r>
      <w:r>
        <w:t>11</w:t>
      </w:r>
      <w:r>
        <w:t>/</w:t>
      </w:r>
      <w:r>
        <w:t>34</w:t>
      </w:r>
      <w:r>
        <w:t>)</w:t>
      </w:r>
      <w:r>
        <w:t xml:space="preserve">。经</w:t>
      </w:r>
      <w:r>
        <w:rPr>
          <w:rFonts w:ascii="Symbol" w:hAnsi="Symbol" w:eastAsia="Symbol"/>
          <w:i/>
        </w:rPr>
        <w:t></w:t>
      </w:r>
      <w:r>
        <w:rPr>
          <w:rFonts w:ascii="Times New Roman" w:hAnsi="Times New Roman" w:eastAsia="宋体"/>
        </w:rPr>
        <w:t>2</w:t>
      </w:r>
      <w:r>
        <w:t>检验，三者之间有统计学意义</w:t>
      </w:r>
      <w:r>
        <w:t>(</w:t>
      </w:r>
      <w:r>
        <w:rPr>
          <w:i/>
          <w:sz w:val="29"/>
        </w:rPr>
        <w:t>P</w:t>
      </w:r>
      <w:r>
        <w:rPr>
          <w:spacing w:val="-1"/>
        </w:rPr>
        <w:t>＜</w:t>
      </w:r>
      <w:r>
        <w:t>0.05</w:t>
      </w:r>
      <w:r>
        <w:t>)</w:t>
      </w:r>
      <w:r>
        <w:t>，进一</w:t>
      </w:r>
      <w:r>
        <w:t>步行</w:t>
      </w:r>
      <w:r>
        <w:rPr>
          <w:rFonts w:ascii="Symbol" w:hAnsi="Symbol" w:eastAsia="Symbol"/>
          <w:i/>
        </w:rPr>
        <w:t></w:t>
      </w:r>
      <w:r>
        <w:rPr>
          <w:rFonts w:ascii="Times New Roman" w:hAnsi="Times New Roman" w:eastAsia="宋体"/>
        </w:rPr>
        <w:t>2</w:t>
      </w:r>
      <w:r>
        <w:t>分割检验，胃癌组、癌旁增生组明显高于正常胃粘膜组</w:t>
      </w:r>
      <w:r>
        <w:t>(</w:t>
      </w:r>
      <w:r>
        <w:rPr>
          <w:i/>
          <w:sz w:val="29"/>
        </w:rPr>
        <w:t>P</w:t>
      </w:r>
      <w:r>
        <w:t>＜</w:t>
      </w:r>
      <w:r>
        <w:rPr>
          <w:spacing w:val="-4"/>
        </w:rPr>
        <w:t>0.05</w:t>
      </w:r>
      <w:r>
        <w:rPr>
          <w:spacing w:val="-4"/>
        </w:rPr>
        <w:t xml:space="preserve">, </w:t>
      </w:r>
      <w:r>
        <w:rPr>
          <w:i/>
          <w:spacing w:val="-4"/>
          <w:sz w:val="29"/>
        </w:rPr>
        <w:t>P</w:t>
      </w:r>
      <w:r>
        <w:rPr>
          <w:spacing w:val="2"/>
        </w:rPr>
        <w:t>＜</w:t>
      </w:r>
      <w:r>
        <w:rPr>
          <w:spacing w:val="-4"/>
        </w:rPr>
        <w:t>0.05</w:t>
      </w:r>
      <w:r>
        <w:t>)</w:t>
      </w:r>
      <w:r>
        <w:t>，但癌旁增生组织与正常胃粘膜组，两者之间差异无统</w:t>
      </w:r>
      <w:r>
        <w:t>计学意义</w:t>
      </w:r>
      <w:r>
        <w:t>(</w:t>
      </w:r>
      <w:r>
        <w:rPr>
          <w:i/>
          <w:sz w:val="29"/>
        </w:rPr>
        <w:t>P</w:t>
      </w:r>
      <w:r>
        <w:rPr>
          <w:spacing w:val="-1"/>
        </w:rPr>
        <w:t>＞</w:t>
      </w:r>
      <w:r>
        <w:t>0.05</w:t>
      </w:r>
      <w:r>
        <w:t>)</w:t>
      </w:r>
      <w:r>
        <w:t>。</w:t>
      </w:r>
    </w:p>
    <w:p w:rsidR="0018722C">
      <w:pPr>
        <w:pStyle w:val="Heading2"/>
        <w:topLinePunct/>
        <w:ind w:left="171" w:hangingChars="171" w:hanging="171"/>
      </w:pPr>
      <w:bookmarkStart w:name="4 NF-κB蛋白表达与胃癌生物学行为的关系 " w:id="31"/>
      <w:bookmarkEnd w:id="31"/>
      <w:r>
        <w:t>4</w:t>
      </w:r>
      <w:r>
        <w:t xml:space="preserve"> </w:t>
      </w:r>
      <w:bookmarkStart w:name="4 NF-κB蛋白表达与胃癌生物学行为的关系 " w:id="32"/>
      <w:bookmarkEnd w:id="32"/>
      <w:r>
        <w:t>N</w:t>
      </w:r>
      <w:r>
        <w:t>F-κB</w:t>
      </w:r>
      <w:r/>
      <w:r w:rsidR="001852F3">
        <w:t xml:space="preserve">蛋白表达与胃癌生物学行为的关系</w:t>
      </w:r>
    </w:p>
    <w:p w:rsidR="0018722C">
      <w:pPr>
        <w:topLinePunct/>
      </w:pPr>
      <w:r>
        <w:t>102</w:t>
      </w:r>
      <w:r/>
      <w:r w:rsidR="001852F3">
        <w:t xml:space="preserve">例胃癌组织标本中，高、中分化</w:t>
      </w:r>
      <w:r>
        <w:t>33</w:t>
      </w:r>
      <w:r/>
      <w:r w:rsidR="001852F3">
        <w:t xml:space="preserve">例，低分化</w:t>
      </w:r>
      <w:r>
        <w:t>69</w:t>
      </w:r>
      <w:r/>
      <w:r w:rsidR="001852F3">
        <w:t xml:space="preserve">例，</w:t>
      </w:r>
      <w:r>
        <w:t>NF-κB</w:t>
      </w:r>
      <w:r>
        <w:t>的表达率为</w:t>
      </w:r>
      <w:r>
        <w:t>67</w:t>
      </w:r>
      <w:r>
        <w:t>.</w:t>
      </w:r>
      <w:r>
        <w:t>65</w:t>
      </w:r>
      <w:r>
        <w:t>%，高于高、中分化</w:t>
      </w:r>
      <w:r>
        <w:t>32</w:t>
      </w:r>
      <w:r>
        <w:t>.</w:t>
      </w:r>
      <w:r>
        <w:t>35</w:t>
      </w:r>
      <w:r>
        <w:t>%，经</w:t>
      </w:r>
      <w:r>
        <w:rPr>
          <w:rFonts w:ascii="Symbol" w:hAnsi="Symbol" w:eastAsia="Symbol"/>
          <w:i/>
        </w:rPr>
        <w:t></w:t>
      </w:r>
      <w:r>
        <w:rPr>
          <w:rFonts w:ascii="Times New Roman" w:hAnsi="Times New Roman" w:eastAsia="宋体"/>
        </w:rPr>
        <w:t>2</w:t>
      </w:r>
      <w:r>
        <w:t>检验两组间无显著差异</w:t>
      </w:r>
      <w:r>
        <w:t>(</w:t>
      </w:r>
      <w:r>
        <w:rPr>
          <w:i/>
          <w:spacing w:val="-2"/>
          <w:sz w:val="29"/>
        </w:rPr>
        <w:t>P</w:t>
      </w:r>
      <w:r>
        <w:rPr>
          <w:spacing w:val="0"/>
        </w:rPr>
        <w:t>＞</w:t>
      </w:r>
      <w:r>
        <w:t>0.05</w:t>
      </w:r>
      <w:r>
        <w:t>)</w:t>
      </w:r>
      <w:r>
        <w:t>，或可进一步增加样本量证实之。</w:t>
      </w:r>
      <w:r>
        <w:t>TNM</w:t>
      </w:r>
      <w:r/>
      <w:r w:rsidR="001852F3">
        <w:t xml:space="preserve">分期中</w:t>
      </w:r>
      <w:r>
        <w:t>III、IV</w:t>
      </w:r>
      <w:r/>
      <w:r w:rsidR="001852F3">
        <w:t xml:space="preserve">期</w:t>
      </w:r>
      <w:r>
        <w:t>组</w:t>
      </w:r>
      <w:r>
        <w:t>66</w:t>
      </w:r>
      <w:r/>
      <w:r w:rsidR="001852F3">
        <w:t xml:space="preserve">例，其中阳性组</w:t>
      </w:r>
      <w:r>
        <w:t>56</w:t>
      </w:r>
      <w:r/>
      <w:r w:rsidR="001852F3">
        <w:t xml:space="preserve">例</w:t>
      </w:r>
      <w:r>
        <w:t>(</w:t>
      </w:r>
      <w:r>
        <w:rPr>
          <w:spacing w:val="-2"/>
        </w:rPr>
        <w:t>84.85</w:t>
      </w:r>
      <w:r>
        <w:rPr>
          <w:spacing w:val="-6"/>
        </w:rPr>
        <w:t>%</w:t>
      </w:r>
      <w:r>
        <w:t>)</w:t>
      </w:r>
      <w:r>
        <w:t xml:space="preserve">，明显高于</w:t>
      </w:r>
      <w:r>
        <w:t>I</w:t>
      </w:r>
      <w:r>
        <w:t>、</w:t>
      </w:r>
      <w:r>
        <w:t>II</w:t>
      </w:r>
      <w:r/>
      <w:r w:rsidR="001852F3">
        <w:t xml:space="preserve">期组</w:t>
      </w:r>
      <w:r>
        <w:t>(</w:t>
      </w:r>
      <w:r>
        <w:rPr>
          <w:spacing w:val="-2"/>
        </w:rPr>
        <w:t>44.44%</w:t>
      </w:r>
      <w:r>
        <w:t>)</w:t>
      </w:r>
      <w:r>
        <w:t>，</w:t>
      </w:r>
      <w:r>
        <w:t>经</w:t>
      </w:r>
    </w:p>
    <w:p w:rsidR="0018722C">
      <w:pPr>
        <w:topLinePunct/>
      </w:pPr>
      <w:r>
        <w:rPr>
          <w:rFonts w:ascii="Symbol" w:hAnsi="Symbol" w:eastAsia="Symbol"/>
          <w:i/>
        </w:rPr>
        <w:t xml:space="preserve"></w:t>
      </w:r>
      <w:r>
        <w:rPr>
          <w:rFonts w:ascii="Times New Roman" w:hAnsi="Times New Roman" w:eastAsia="Times New Roman"/>
        </w:rPr>
        <w:t xml:space="preserve">2</w:t>
      </w:r>
      <w:r>
        <w:t xml:space="preserve">检验两组间差异有显著统计学意义</w:t>
      </w:r>
      <w:r>
        <w:t xml:space="preserve">(</w:t>
      </w:r>
      <w:r>
        <w:rPr>
          <w:i/>
          <w:sz w:val="29"/>
        </w:rPr>
        <w:t xml:space="preserve">P</w:t>
      </w:r>
      <w:r>
        <w:rPr>
          <w:spacing w:val="0"/>
        </w:rPr>
        <w:t xml:space="preserve">＜</w:t>
      </w:r>
      <w:r>
        <w:t xml:space="preserve">0.05</w:t>
      </w:r>
      <w:r>
        <w:t xml:space="preserve">)</w:t>
      </w:r>
      <w:r>
        <w:t xml:space="preserve">。有淋巴结转移组</w:t>
      </w:r>
      <w:r>
        <w:t xml:space="preserve">60</w:t>
      </w:r>
      <w:r>
        <w:t xml:space="preserve">例，阳性率为</w:t>
      </w:r>
      <w:r>
        <w:t xml:space="preserve">81</w:t>
      </w:r>
      <w:r>
        <w:t>.</w:t>
      </w:r>
      <w:r>
        <w:t xml:space="preserve">67</w:t>
      </w:r>
      <w:r>
        <w:t xml:space="preserve">%，明显高于无淋巴结转移组</w:t>
      </w:r>
      <w:r>
        <w:t xml:space="preserve">54</w:t>
      </w:r>
      <w:r>
        <w:t>.</w:t>
      </w:r>
      <w:r>
        <w:t xml:space="preserve">76</w:t>
      </w:r>
      <w:r>
        <w:t xml:space="preserve">%，经</w:t>
      </w:r>
      <w:r>
        <w:rPr>
          <w:rFonts w:ascii="Symbol" w:hAnsi="Symbol" w:eastAsia="Symbol"/>
          <w:i/>
        </w:rPr>
        <w:t xml:space="preserve"></w:t>
      </w:r>
      <w:r>
        <w:rPr>
          <w:rFonts w:ascii="Times New Roman" w:hAnsi="Times New Roman" w:eastAsia="Times New Roman"/>
        </w:rPr>
        <w:t xml:space="preserve">2</w:t>
      </w:r>
      <w:r>
        <w:t xml:space="preserve">检验两组</w:t>
      </w:r>
      <w:r>
        <w:t xml:space="preserve">有显著统计学意义</w:t>
      </w:r>
      <w:r>
        <w:t xml:space="preserve">(</w:t>
      </w:r>
      <w:r>
        <w:rPr>
          <w:i/>
          <w:sz w:val="29"/>
        </w:rPr>
        <w:t xml:space="preserve">P</w:t>
      </w:r>
      <w:r>
        <w:rPr>
          <w:spacing w:val="4"/>
        </w:rPr>
        <w:t xml:space="preserve">＜</w:t>
      </w:r>
      <w:r>
        <w:t xml:space="preserve">0.05</w:t>
      </w:r>
      <w:r>
        <w:t xml:space="preserve">)</w:t>
      </w:r>
      <w:r>
        <w:t xml:space="preserve">。侵及浆膜层者</w:t>
      </w:r>
      <w:r>
        <w:t xml:space="preserve">66</w:t>
      </w:r>
      <w:r/>
      <w:r w:rsidR="001852F3">
        <w:t xml:space="preserve">例，阳性表达率</w:t>
      </w:r>
      <w:r w:rsidR="001852F3">
        <w:t>为</w:t>
      </w:r>
    </w:p>
    <w:p w:rsidR="0018722C">
      <w:pPr>
        <w:topLinePunct/>
      </w:pPr>
      <w:r>
        <w:t>77.27</w:t>
      </w:r>
      <w:r>
        <w:t>%，明显高于未侵及浆膜层</w:t>
      </w:r>
      <w:r>
        <w:t>58</w:t>
      </w:r>
      <w:r>
        <w:t>.</w:t>
      </w:r>
      <w:r>
        <w:t>33</w:t>
      </w:r>
      <w:r>
        <w:t>%，经</w:t>
      </w:r>
      <w:r>
        <w:rPr>
          <w:rFonts w:ascii="Symbol" w:hAnsi="Symbol" w:eastAsia="Symbol"/>
          <w:i/>
        </w:rPr>
        <w:t></w:t>
      </w:r>
      <w:r>
        <w:rPr>
          <w:rFonts w:ascii="Times New Roman" w:hAnsi="Times New Roman" w:eastAsia="宋体"/>
        </w:rPr>
        <w:t>2</w:t>
      </w:r>
      <w:r>
        <w:t>检验两组有显著统计学意义</w:t>
      </w:r>
      <w:r>
        <w:t>(</w:t>
      </w:r>
      <w:r>
        <w:rPr>
          <w:i/>
        </w:rPr>
        <w:t>P</w:t>
      </w:r>
      <w:r>
        <w:t>＜</w:t>
      </w:r>
      <w:r>
        <w:t>0.05</w:t>
      </w:r>
      <w:r>
        <w:t>)</w:t>
      </w:r>
      <w:r>
        <w:t>。</w:t>
      </w:r>
    </w:p>
    <w:p w:rsidR="0018722C">
      <w:pPr>
        <w:topLinePunct/>
      </w:pPr>
      <w:r>
        <w:t>NF-κB</w:t>
      </w:r>
      <w:r w:rsidR="001852F3">
        <w:t xml:space="preserve">蛋白的表达在不同性别、年龄、肿瘤大小分组中无明显差异</w:t>
      </w:r>
      <w:r>
        <w:t>(</w:t>
      </w:r>
      <w:r>
        <w:rPr>
          <w:i/>
        </w:rPr>
        <w:t>P</w:t>
      </w:r>
      <w:r>
        <w:t>＞</w:t>
      </w:r>
      <w:r w:rsidR="001852F3">
        <w:t xml:space="preserve">0.05</w:t>
      </w:r>
      <w:r>
        <w:t xml:space="preserve">, </w:t>
      </w:r>
      <w:r>
        <w:rPr>
          <w:i/>
        </w:rPr>
        <w:t>P</w:t>
      </w:r>
      <w:r>
        <w:t>＞</w:t>
      </w:r>
      <w:r w:rsidR="001852F3">
        <w:t xml:space="preserve">0.05</w:t>
      </w:r>
      <w:r>
        <w:t xml:space="preserve">, </w:t>
      </w:r>
      <w:r>
        <w:rPr>
          <w:i/>
        </w:rPr>
        <w:t>P</w:t>
      </w:r>
      <w:r>
        <w:t>＞</w:t>
      </w:r>
      <w:r w:rsidR="001852F3">
        <w:t xml:space="preserve">0.05</w:t>
      </w:r>
      <w:r>
        <w:t>)</w:t>
      </w:r>
      <w:r>
        <w:t>。</w:t>
      </w:r>
    </w:p>
    <w:p w:rsidR="0018722C">
      <w:pPr>
        <w:pStyle w:val="Heading2"/>
        <w:topLinePunct/>
        <w:ind w:left="171" w:hangingChars="171" w:hanging="171"/>
      </w:pPr>
      <w:bookmarkStart w:name="5 TOPOⅡ蛋白表达与胃癌生物学行为之间的关系 " w:id="33"/>
      <w:bookmarkEnd w:id="33"/>
      <w:r>
        <w:t>5</w:t>
      </w:r>
      <w:r>
        <w:t xml:space="preserve"> </w:t>
      </w:r>
      <w:bookmarkStart w:name="5 TOPOⅡ蛋白表达与胃癌生物学行为之间的关系 " w:id="34"/>
      <w:bookmarkEnd w:id="34"/>
      <w:r>
        <w:t>T</w:t>
      </w:r>
      <w:r>
        <w:t>OPO</w:t>
      </w:r>
      <w:r>
        <w:t>Ⅱ蛋白表达与胃癌生物学行为之间的关系</w:t>
      </w:r>
    </w:p>
    <w:p w:rsidR="0018722C">
      <w:pPr>
        <w:topLinePunct/>
      </w:pPr>
      <w:r>
        <w:t>102</w:t>
      </w:r>
      <w:r/>
      <w:r w:rsidR="001852F3">
        <w:t xml:space="preserve">例胃癌组织标本中，高、中分化</w:t>
      </w:r>
      <w:r>
        <w:t>33</w:t>
      </w:r>
      <w:r/>
      <w:r w:rsidR="001852F3">
        <w:t xml:space="preserve">例，低分化者</w:t>
      </w:r>
      <w:r>
        <w:t>55</w:t>
      </w:r>
      <w:r/>
      <w:r w:rsidR="001852F3">
        <w:t xml:space="preserve">例，</w:t>
      </w:r>
      <w:r>
        <w:t>TOPOⅡ</w:t>
      </w:r>
      <w:r>
        <w:t>的阳性表达率为</w:t>
      </w:r>
      <w:r>
        <w:t>67</w:t>
      </w:r>
      <w:r>
        <w:t>.</w:t>
      </w:r>
      <w:r>
        <w:t>65</w:t>
      </w:r>
      <w:r>
        <w:t>%，明显高于高、中分化</w:t>
      </w:r>
      <w:r>
        <w:t>32</w:t>
      </w:r>
      <w:r>
        <w:t>.</w:t>
      </w:r>
      <w:r>
        <w:t>35</w:t>
      </w:r>
      <w:r>
        <w:t>%，经</w:t>
      </w:r>
      <w:r>
        <w:rPr>
          <w:rFonts w:ascii="Symbol" w:hAnsi="Symbol" w:eastAsia="Symbol"/>
          <w:i/>
        </w:rPr>
        <w:t></w:t>
      </w:r>
      <w:r>
        <w:rPr>
          <w:rFonts w:ascii="Times New Roman" w:hAnsi="Times New Roman" w:eastAsia="宋体"/>
        </w:rPr>
        <w:t>2</w:t>
      </w:r>
      <w:r>
        <w:t>检验两组具</w:t>
      </w:r>
      <w:r>
        <w:t>有显著差异</w:t>
      </w:r>
      <w:r>
        <w:t>(</w:t>
      </w:r>
      <w:r>
        <w:rPr>
          <w:i/>
        </w:rPr>
        <w:t>P</w:t>
      </w:r>
      <w:r>
        <w:t>＜</w:t>
      </w:r>
      <w:r>
        <w:t>0.05</w:t>
      </w:r>
      <w:r>
        <w:t>)</w:t>
      </w:r>
      <w:r>
        <w:t>。</w:t>
      </w:r>
      <w:r>
        <w:t>TNM</w:t>
      </w:r>
      <w:r/>
      <w:r w:rsidR="001852F3">
        <w:t xml:space="preserve">分期中</w:t>
      </w:r>
      <w:r>
        <w:t>III</w:t>
      </w:r>
      <w:r>
        <w:t>、</w:t>
      </w:r>
      <w:r>
        <w:t>IV</w:t>
      </w:r>
      <w:r/>
      <w:r w:rsidR="001852F3">
        <w:t xml:space="preserve">期组</w:t>
      </w:r>
      <w:r>
        <w:t>66</w:t>
      </w:r>
      <w:r/>
      <w:r w:rsidR="001852F3">
        <w:t xml:space="preserve">例，其中阳性组</w:t>
      </w:r>
      <w:r>
        <w:t>30</w:t>
      </w:r>
      <w:r>
        <w:t>例</w:t>
      </w:r>
      <w:r>
        <w:t>45.45</w:t>
      </w:r>
      <w:r>
        <w:t>%，低于</w:t>
      </w:r>
      <w:r>
        <w:t>I</w:t>
      </w:r>
      <w:r>
        <w:t>、</w:t>
      </w:r>
      <w:r>
        <w:t>II</w:t>
      </w:r>
      <w:r/>
      <w:r w:rsidR="001852F3">
        <w:t xml:space="preserve">期组</w:t>
      </w:r>
      <w:r>
        <w:t>69</w:t>
      </w:r>
      <w:r>
        <w:t>.</w:t>
      </w:r>
      <w:r>
        <w:t>44</w:t>
      </w:r>
      <w:r>
        <w:t>%，进一步经</w:t>
      </w:r>
      <w:r>
        <w:rPr>
          <w:rFonts w:ascii="Symbol" w:hAnsi="Symbol" w:eastAsia="Symbol"/>
          <w:i/>
        </w:rPr>
        <w:t></w:t>
      </w:r>
      <w:r>
        <w:rPr>
          <w:rFonts w:ascii="Times New Roman" w:hAnsi="Times New Roman" w:eastAsia="宋体"/>
        </w:rPr>
        <w:t>2</w:t>
      </w:r>
      <w:r>
        <w:t>检验，两组有显著统</w:t>
      </w:r>
      <w:r>
        <w:t>计</w:t>
      </w:r>
    </w:p>
    <w:p w:rsidR="0018722C">
      <w:pPr>
        <w:topLinePunct/>
      </w:pPr>
      <w:r>
        <w:t>学意义</w:t>
      </w:r>
      <w:r>
        <w:t>(</w:t>
      </w:r>
      <w:r>
        <w:rPr>
          <w:i/>
          <w:sz w:val="29"/>
        </w:rPr>
        <w:t>P</w:t>
      </w:r>
      <w:r>
        <w:rPr>
          <w:spacing w:val="0"/>
        </w:rPr>
        <w:t>＜</w:t>
      </w:r>
      <w:r>
        <w:t>0.05</w:t>
      </w:r>
      <w:r>
        <w:t>)</w:t>
      </w:r>
      <w:r>
        <w:t xml:space="preserve">。有淋巴结转移组</w:t>
      </w:r>
      <w:r>
        <w:t>60</w:t>
      </w:r>
      <w:r/>
      <w:r w:rsidR="001852F3">
        <w:t xml:space="preserve">例，阳性率为</w:t>
      </w:r>
      <w:r>
        <w:t>58</w:t>
      </w:r>
      <w:r>
        <w:t>.</w:t>
      </w:r>
      <w:r>
        <w:t>82</w:t>
      </w:r>
      <w:r>
        <w:t>%，高于无</w:t>
      </w:r>
      <w:r>
        <w:t>淋巴结转移组</w:t>
      </w:r>
      <w:r>
        <w:t>41</w:t>
      </w:r>
      <w:r>
        <w:t>.</w:t>
      </w:r>
      <w:r>
        <w:t>12</w:t>
      </w:r>
      <w:r>
        <w:t>%，经</w:t>
      </w:r>
      <w:r>
        <w:rPr>
          <w:rFonts w:ascii="Symbol" w:hAnsi="Symbol" w:eastAsia="Symbol"/>
          <w:i/>
        </w:rPr>
        <w:t></w:t>
      </w:r>
      <w:r>
        <w:rPr>
          <w:rFonts w:ascii="Times New Roman" w:hAnsi="Times New Roman" w:eastAsia="宋体"/>
        </w:rPr>
        <w:t>2</w:t>
      </w:r>
      <w:r>
        <w:t>检验两组有显著统计学意义</w:t>
      </w:r>
      <w:r>
        <w:t>(</w:t>
      </w:r>
      <w:r>
        <w:rPr>
          <w:i/>
          <w:sz w:val="29"/>
        </w:rPr>
        <w:t>P</w:t>
      </w:r>
      <w:r>
        <w:rPr>
          <w:spacing w:val="-2"/>
        </w:rPr>
        <w:t>＜</w:t>
      </w:r>
      <w:r>
        <w:t>0.05</w:t>
      </w:r>
      <w:r>
        <w:t>)</w:t>
      </w:r>
      <w:r>
        <w:t>。</w:t>
      </w:r>
      <w:r>
        <w:t>侵及浆膜层者</w:t>
      </w:r>
      <w:r>
        <w:t>66</w:t>
      </w:r>
      <w:r/>
      <w:r w:rsidR="001852F3">
        <w:t xml:space="preserve">例，阳性表达率为</w:t>
      </w:r>
      <w:r>
        <w:t>64</w:t>
      </w:r>
      <w:r>
        <w:t>.</w:t>
      </w:r>
      <w:r>
        <w:t>71</w:t>
      </w:r>
      <w:r>
        <w:t>%，明显高于未侵及浆膜层</w:t>
      </w:r>
      <w:r>
        <w:t>(</w:t>
      </w:r>
      <w:r>
        <w:rPr>
          <w:spacing w:val="1"/>
        </w:rPr>
        <w:t>35.29</w:t>
      </w:r>
      <w:r>
        <w:rPr>
          <w:spacing w:val="-6"/>
        </w:rPr>
        <w:t>%</w:t>
      </w:r>
      <w:r>
        <w:t>)</w:t>
      </w:r>
      <w:r>
        <w:t xml:space="preserve">，经</w:t>
      </w:r>
      <w:r>
        <w:rPr>
          <w:rFonts w:ascii="Symbol" w:hAnsi="Symbol" w:eastAsia="Symbol"/>
          <w:i/>
        </w:rPr>
        <w:t></w:t>
      </w:r>
      <w:r>
        <w:rPr>
          <w:rFonts w:ascii="Times New Roman" w:hAnsi="Times New Roman" w:eastAsia="宋体"/>
        </w:rPr>
        <w:t>2</w:t>
      </w:r>
      <w:r>
        <w:t>检验两组有显著统计学意义</w:t>
      </w:r>
      <w:r>
        <w:t>(</w:t>
      </w:r>
      <w:r>
        <w:rPr>
          <w:i/>
          <w:sz w:val="29"/>
        </w:rPr>
        <w:t>P</w:t>
      </w:r>
      <w:r>
        <w:rPr>
          <w:spacing w:val="-2"/>
        </w:rPr>
        <w:t>＜</w:t>
      </w:r>
      <w:r>
        <w:t>0.05</w:t>
      </w:r>
      <w:r>
        <w:t>)</w:t>
      </w:r>
      <w:r>
        <w:t>。</w:t>
      </w:r>
    </w:p>
    <w:p w:rsidR="0018722C">
      <w:pPr>
        <w:topLinePunct/>
      </w:pPr>
      <w:r>
        <w:t>TOPOⅡ蛋白的表达在不同性别、年龄、肿瘤大小分组中无明显差异</w:t>
      </w:r>
      <w:r>
        <w:t>（</w:t>
      </w:r>
      <w:r>
        <w:rPr>
          <w:i/>
        </w:rPr>
        <w:t>P</w:t>
      </w:r>
    </w:p>
    <w:p w:rsidR="0018722C">
      <w:pPr>
        <w:topLinePunct/>
      </w:pPr>
      <w:r>
        <w:t>＞</w:t>
      </w:r>
      <w:r w:rsidR="001852F3">
        <w:t xml:space="preserve">0</w:t>
      </w:r>
      <w:r>
        <w:t>.</w:t>
      </w:r>
      <w:r>
        <w:t>05，</w:t>
      </w:r>
      <w:r>
        <w:rPr>
          <w:i/>
        </w:rPr>
        <w:t>P</w:t>
      </w:r>
      <w:r>
        <w:t>＞</w:t>
      </w:r>
      <w:r w:rsidR="001852F3">
        <w:t xml:space="preserve">0.05，</w:t>
      </w:r>
      <w:r>
        <w:rPr>
          <w:i/>
        </w:rPr>
        <w:t>P</w:t>
      </w:r>
      <w:r>
        <w:t>＞</w:t>
      </w:r>
      <w:r w:rsidR="001852F3">
        <w:t xml:space="preserve">0.05</w:t>
      </w:r>
      <w:r>
        <w:t>)</w:t>
      </w:r>
      <w:r>
        <w:t>。</w:t>
      </w:r>
    </w:p>
    <w:p w:rsidR="0018722C">
      <w:pPr>
        <w:pStyle w:val="Heading2"/>
        <w:topLinePunct/>
        <w:ind w:left="171" w:hangingChars="171" w:hanging="171"/>
      </w:pPr>
      <w:bookmarkStart w:name="6 Ki-67蛋白表达与胃癌生物学行为之间的关系 " w:id="35"/>
      <w:bookmarkEnd w:id="35"/>
      <w:r>
        <w:t>6</w:t>
      </w:r>
      <w:r>
        <w:t xml:space="preserve"> </w:t>
      </w:r>
      <w:bookmarkStart w:name="6 Ki-67蛋白表达与胃癌生物学行为之间的关系 " w:id="36"/>
      <w:bookmarkEnd w:id="36"/>
      <w:r>
        <w:t>K</w:t>
      </w:r>
      <w:r>
        <w:t>i-67</w:t>
      </w:r>
      <w:r/>
      <w:r w:rsidR="001852F3">
        <w:t xml:space="preserve">蛋白表达与胃癌生物学行为之间的关系</w:t>
      </w:r>
    </w:p>
    <w:p w:rsidR="0018722C">
      <w:pPr>
        <w:topLinePunct/>
      </w:pPr>
      <w:r>
        <w:t>102</w:t>
      </w:r>
      <w:r/>
      <w:r w:rsidR="001852F3">
        <w:t xml:space="preserve">例胃癌组织标本中，高、中分化</w:t>
      </w:r>
      <w:r>
        <w:t>22</w:t>
      </w:r>
      <w:r/>
      <w:r w:rsidR="001852F3">
        <w:t xml:space="preserve">例，低分化者</w:t>
      </w:r>
      <w:r>
        <w:t>66</w:t>
      </w:r>
      <w:r/>
      <w:r w:rsidR="001852F3">
        <w:t xml:space="preserve">例，</w:t>
      </w:r>
      <w:r>
        <w:t>Ki-67</w:t>
      </w:r>
      <w:r>
        <w:t>的阳性表达率为</w:t>
      </w:r>
      <w:r w:rsidR="001852F3">
        <w:t xml:space="preserve">86</w:t>
      </w:r>
      <w:r>
        <w:t>.</w:t>
      </w:r>
      <w:r>
        <w:t>27</w:t>
      </w:r>
      <w:r>
        <w:t>%，明显高于阴性组</w:t>
      </w:r>
      <w:r>
        <w:t>13</w:t>
      </w:r>
      <w:r>
        <w:t>.</w:t>
      </w:r>
      <w:r>
        <w:t>73</w:t>
      </w:r>
      <w:r>
        <w:t>%，经</w:t>
      </w:r>
      <w:r>
        <w:rPr>
          <w:rFonts w:ascii="Symbol" w:hAnsi="Symbol" w:eastAsia="Symbol"/>
          <w:i/>
        </w:rPr>
        <w:t></w:t>
      </w:r>
      <w:r>
        <w:rPr>
          <w:rFonts w:ascii="Times New Roman" w:hAnsi="Times New Roman" w:eastAsia="宋体"/>
        </w:rPr>
        <w:t>2</w:t>
      </w:r>
      <w:r>
        <w:t>检验两组具有显著差异</w:t>
      </w:r>
      <w:r>
        <w:t>(</w:t>
      </w:r>
      <w:r>
        <w:rPr>
          <w:i/>
        </w:rPr>
        <w:t>P</w:t>
      </w:r>
      <w:r>
        <w:t>＜</w:t>
      </w:r>
      <w:r>
        <w:t>0.05</w:t>
      </w:r>
      <w:r>
        <w:t>)</w:t>
      </w:r>
      <w:r>
        <w:t>。TNM</w:t>
      </w:r>
      <w:r/>
      <w:r w:rsidR="001852F3">
        <w:t xml:space="preserve">分期中</w:t>
      </w:r>
      <w:r>
        <w:t>III</w:t>
      </w:r>
      <w:r>
        <w:t>、</w:t>
      </w:r>
      <w:r>
        <w:t>IV</w:t>
      </w:r>
      <w:r/>
      <w:r w:rsidR="001852F3">
        <w:t xml:space="preserve">期组</w:t>
      </w:r>
      <w:r>
        <w:t>66</w:t>
      </w:r>
      <w:r/>
      <w:r w:rsidR="001852F3">
        <w:t xml:space="preserve">例，其中阳性组</w:t>
      </w:r>
      <w:r>
        <w:t>61</w:t>
      </w:r>
      <w:r>
        <w:t> </w:t>
      </w:r>
      <w:r>
        <w:t>例</w:t>
      </w:r>
    </w:p>
    <w:p w:rsidR="0018722C">
      <w:pPr>
        <w:pStyle w:val="cw19"/>
        <w:topLinePunct/>
      </w:pPr>
      <w:r>
        <w:rPr>
          <w:rFonts w:ascii="宋体" w:hAnsi="宋体" w:eastAsia="宋体" w:hint="eastAsia"/>
        </w:rPr>
        <w:t>92.42 </w:t>
      </w:r>
      <w:r>
        <w:rPr>
          <w:rFonts w:ascii="宋体" w:hAnsi="宋体" w:eastAsia="宋体" w:hint="eastAsia"/>
        </w:rPr>
        <w:t>%，明显高于</w:t>
      </w:r>
      <w:r>
        <w:rPr>
          <w:rFonts w:ascii="宋体" w:hAnsi="宋体" w:eastAsia="宋体" w:hint="eastAsia"/>
        </w:rPr>
        <w:t>I</w:t>
      </w:r>
      <w:r>
        <w:rPr>
          <w:rFonts w:ascii="宋体" w:hAnsi="宋体" w:eastAsia="宋体" w:hint="eastAsia"/>
        </w:rPr>
        <w:t>、</w:t>
      </w:r>
      <w:r>
        <w:rPr>
          <w:rFonts w:ascii="宋体" w:hAnsi="宋体" w:eastAsia="宋体" w:hint="eastAsia"/>
        </w:rPr>
        <w:t>II</w:t>
      </w:r>
      <w:r w:rsidR="001852F3">
        <w:rPr>
          <w:rFonts w:ascii="宋体" w:hAnsi="宋体" w:eastAsia="宋体" w:hint="eastAsia"/>
        </w:rPr>
        <w:t xml:space="preserve">期组</w:t>
      </w:r>
      <w:r>
        <w:rPr>
          <w:rFonts w:ascii="宋体" w:hAnsi="宋体" w:eastAsia="宋体" w:hint="eastAsia"/>
        </w:rPr>
        <w:t>75</w:t>
      </w:r>
      <w:r>
        <w:rPr>
          <w:rFonts w:ascii="宋体" w:hAnsi="宋体" w:eastAsia="宋体" w:hint="eastAsia"/>
        </w:rPr>
        <w:t>.</w:t>
      </w:r>
      <w:r>
        <w:rPr>
          <w:rFonts w:ascii="宋体" w:hAnsi="宋体" w:eastAsia="宋体" w:hint="eastAsia"/>
        </w:rPr>
        <w:t>00</w:t>
      </w:r>
      <w:r>
        <w:rPr>
          <w:rFonts w:ascii="宋体" w:hAnsi="宋体" w:eastAsia="宋体" w:hint="eastAsia"/>
        </w:rPr>
        <w:t>%，经</w:t>
      </w:r>
      <w:r>
        <w:rPr>
          <w:rFonts w:ascii="Symbol" w:hAnsi="Symbol" w:eastAsia="Symbol"/>
          <w:i/>
        </w:rPr>
        <w:t></w:t>
      </w:r>
      <w:r>
        <w:t>2</w:t>
      </w:r>
      <w:r/>
      <w:r>
        <w:rPr>
          <w:rFonts w:ascii="宋体" w:hAnsi="宋体" w:eastAsia="宋体" w:hint="eastAsia"/>
        </w:rPr>
        <w:t>检验两组有显著统计学意义</w:t>
      </w:r>
      <w:r>
        <w:rPr>
          <w:rFonts w:ascii="宋体" w:hAnsi="宋体" w:eastAsia="宋体" w:hint="eastAsia"/>
        </w:rPr>
        <w:t>(</w:t>
      </w:r>
      <w:r>
        <w:rPr>
          <w:rFonts w:ascii="宋体" w:hAnsi="宋体" w:eastAsia="宋体" w:hint="eastAsia"/>
          <w:i/>
          <w:spacing w:val="-2"/>
          <w:sz w:val="29"/>
        </w:rPr>
        <w:t>P</w:t>
      </w:r>
      <w:r>
        <w:rPr>
          <w:rFonts w:ascii="宋体" w:hAnsi="宋体" w:eastAsia="宋体" w:hint="eastAsia"/>
          <w:spacing w:val="-1"/>
          <w:sz w:val="28"/>
        </w:rPr>
        <w:t>＜</w:t>
      </w:r>
      <w:r>
        <w:rPr>
          <w:rFonts w:ascii="宋体" w:hAnsi="宋体" w:eastAsia="宋体" w:hint="eastAsia"/>
          <w:sz w:val="28"/>
        </w:rPr>
        <w:t>0.05</w:t>
      </w:r>
      <w:r>
        <w:rPr>
          <w:rFonts w:ascii="宋体" w:hAnsi="宋体" w:eastAsia="宋体" w:hint="eastAsia"/>
        </w:rPr>
        <w:t>)</w:t>
      </w:r>
      <w:r>
        <w:rPr>
          <w:rFonts w:ascii="宋体" w:hAnsi="宋体" w:eastAsia="宋体" w:hint="eastAsia"/>
        </w:rPr>
        <w:t xml:space="preserve">。有淋巴结转移组</w:t>
      </w:r>
      <w:r>
        <w:rPr>
          <w:rFonts w:ascii="宋体" w:hAnsi="宋体" w:eastAsia="宋体" w:hint="eastAsia"/>
        </w:rPr>
        <w:t>60</w:t>
      </w:r>
      <w:r w:rsidR="001852F3">
        <w:rPr>
          <w:rFonts w:ascii="宋体" w:hAnsi="宋体" w:eastAsia="宋体" w:hint="eastAsia"/>
        </w:rPr>
        <w:t xml:space="preserve">例，阳性率为</w:t>
      </w:r>
      <w:r>
        <w:rPr>
          <w:rFonts w:ascii="宋体" w:hAnsi="宋体" w:eastAsia="宋体" w:hint="eastAsia"/>
        </w:rPr>
        <w:t>93</w:t>
      </w:r>
      <w:r>
        <w:rPr>
          <w:rFonts w:ascii="宋体" w:hAnsi="宋体" w:eastAsia="宋体" w:hint="eastAsia"/>
        </w:rPr>
        <w:t>.</w:t>
      </w:r>
      <w:r>
        <w:rPr>
          <w:rFonts w:ascii="宋体" w:hAnsi="宋体" w:eastAsia="宋体" w:hint="eastAsia"/>
        </w:rPr>
        <w:t>33</w:t>
      </w:r>
      <w:r>
        <w:rPr>
          <w:rFonts w:ascii="宋体" w:hAnsi="宋体" w:eastAsia="宋体" w:hint="eastAsia"/>
        </w:rPr>
        <w:t>%，明显高于无淋</w:t>
      </w:r>
      <w:r>
        <w:rPr>
          <w:rFonts w:ascii="宋体" w:hAnsi="宋体" w:eastAsia="宋体" w:hint="eastAsia"/>
        </w:rPr>
        <w:t>巴结转移组</w:t>
      </w:r>
      <w:r>
        <w:rPr>
          <w:rFonts w:ascii="宋体" w:hAnsi="宋体" w:eastAsia="宋体" w:hint="eastAsia"/>
        </w:rPr>
        <w:t>76</w:t>
      </w:r>
      <w:r>
        <w:rPr>
          <w:rFonts w:ascii="宋体" w:hAnsi="宋体" w:eastAsia="宋体" w:hint="eastAsia"/>
        </w:rPr>
        <w:t>.</w:t>
      </w:r>
      <w:r>
        <w:rPr>
          <w:rFonts w:ascii="宋体" w:hAnsi="宋体" w:eastAsia="宋体" w:hint="eastAsia"/>
        </w:rPr>
        <w:t>19</w:t>
      </w:r>
      <w:r>
        <w:rPr>
          <w:rFonts w:ascii="宋体" w:hAnsi="宋体" w:eastAsia="宋体" w:hint="eastAsia"/>
        </w:rPr>
        <w:t>%，经</w:t>
      </w:r>
      <w:r>
        <w:rPr>
          <w:rFonts w:ascii="Symbol" w:hAnsi="Symbol" w:eastAsia="Symbol"/>
          <w:i/>
        </w:rPr>
        <w:t></w:t>
      </w:r>
      <w:r>
        <w:t>2</w:t>
      </w:r>
      <w:r/>
      <w:r>
        <w:rPr>
          <w:rFonts w:ascii="宋体" w:hAnsi="宋体" w:eastAsia="宋体" w:hint="eastAsia"/>
        </w:rPr>
        <w:t>检验两组有显著统计学意义</w:t>
      </w:r>
      <w:r>
        <w:rPr>
          <w:rFonts w:ascii="宋体" w:hAnsi="宋体" w:eastAsia="宋体" w:hint="eastAsia"/>
        </w:rPr>
        <w:t>(</w:t>
      </w:r>
      <w:r>
        <w:rPr>
          <w:rFonts w:ascii="宋体" w:hAnsi="宋体" w:eastAsia="宋体" w:hint="eastAsia"/>
          <w:i/>
          <w:sz w:val="29"/>
        </w:rPr>
        <w:t>P</w:t>
      </w:r>
      <w:r>
        <w:rPr>
          <w:rFonts w:ascii="宋体" w:hAnsi="宋体" w:eastAsia="宋体" w:hint="eastAsia"/>
          <w:spacing w:val="-2"/>
          <w:sz w:val="28"/>
        </w:rPr>
        <w:t>＜</w:t>
      </w:r>
      <w:r>
        <w:rPr>
          <w:rFonts w:ascii="宋体" w:hAnsi="宋体" w:eastAsia="宋体" w:hint="eastAsia"/>
          <w:sz w:val="28"/>
        </w:rPr>
        <w:t>0.05</w:t>
      </w:r>
      <w:r>
        <w:rPr>
          <w:rFonts w:ascii="宋体" w:hAnsi="宋体" w:eastAsia="宋体" w:hint="eastAsia"/>
        </w:rPr>
        <w:t>)</w:t>
      </w:r>
      <w:r>
        <w:rPr>
          <w:rFonts w:ascii="宋体" w:hAnsi="宋体" w:eastAsia="宋体" w:hint="eastAsia"/>
        </w:rPr>
        <w:t>。侵</w:t>
      </w:r>
      <w:r>
        <w:rPr>
          <w:rFonts w:ascii="宋体" w:hAnsi="宋体" w:eastAsia="宋体" w:hint="eastAsia"/>
        </w:rPr>
        <w:t>及浆膜层者</w:t>
      </w:r>
      <w:r>
        <w:rPr>
          <w:rFonts w:ascii="宋体" w:hAnsi="宋体" w:eastAsia="宋体" w:hint="eastAsia"/>
        </w:rPr>
        <w:t>6</w:t>
      </w:r>
      <w:r>
        <w:rPr>
          <w:rFonts w:ascii="宋体" w:hAnsi="宋体" w:eastAsia="宋体" w:hint="eastAsia"/>
        </w:rPr>
        <w:t>6</w:t>
      </w:r>
      <w:r>
        <w:rPr>
          <w:rFonts w:ascii="宋体" w:hAnsi="宋体" w:eastAsia="宋体" w:hint="eastAsia"/>
        </w:rPr>
        <w:t>例，阳性表达率为</w:t>
      </w:r>
      <w:r>
        <w:rPr>
          <w:rFonts w:ascii="宋体" w:hAnsi="宋体" w:eastAsia="宋体" w:hint="eastAsia"/>
        </w:rPr>
        <w:t>92</w:t>
      </w:r>
      <w:r>
        <w:rPr>
          <w:rFonts w:ascii="宋体" w:hAnsi="宋体" w:eastAsia="宋体" w:hint="eastAsia"/>
        </w:rPr>
        <w:t>.</w:t>
      </w:r>
      <w:r>
        <w:rPr>
          <w:rFonts w:ascii="宋体" w:hAnsi="宋体" w:eastAsia="宋体" w:hint="eastAsia"/>
        </w:rPr>
        <w:t>42</w:t>
      </w:r>
      <w:r>
        <w:rPr>
          <w:rFonts w:ascii="宋体" w:hAnsi="宋体" w:eastAsia="宋体" w:hint="eastAsia"/>
        </w:rPr>
        <w:t>%，明显高于未侵及浆膜层</w:t>
      </w:r>
      <w:r>
        <w:rPr>
          <w:rFonts w:ascii="宋体" w:hAnsi="宋体" w:eastAsia="宋体" w:hint="eastAsia"/>
        </w:rPr>
        <w:t>75</w:t>
      </w:r>
      <w:r>
        <w:rPr>
          <w:rFonts w:ascii="宋体" w:hAnsi="宋体" w:eastAsia="宋体" w:hint="eastAsia"/>
        </w:rPr>
        <w:t>.</w:t>
      </w:r>
      <w:r>
        <w:rPr>
          <w:rFonts w:ascii="宋体" w:hAnsi="宋体" w:eastAsia="宋体" w:hint="eastAsia"/>
        </w:rPr>
        <w:t>00</w:t>
      </w:r>
      <w:r>
        <w:rPr>
          <w:rFonts w:ascii="宋体" w:hAnsi="宋体" w:eastAsia="宋体" w:hint="eastAsia"/>
        </w:rPr>
        <w:t>%，</w:t>
      </w:r>
      <w:r>
        <w:rPr>
          <w:rFonts w:ascii="宋体" w:hAnsi="宋体" w:eastAsia="宋体" w:hint="eastAsia"/>
        </w:rPr>
        <w:t>经</w:t>
      </w:r>
      <w:r>
        <w:rPr>
          <w:rFonts w:ascii="Symbol" w:hAnsi="Symbol" w:eastAsia="Symbol"/>
          <w:i/>
        </w:rPr>
        <w:t></w:t>
      </w:r>
      <w:r>
        <w:t>2</w:t>
      </w:r>
      <w:r>
        <w:rPr>
          <w:rFonts w:ascii="宋体" w:hAnsi="宋体" w:eastAsia="宋体" w:hint="eastAsia"/>
        </w:rPr>
        <w:t>检验两组有显著统计学意义</w:t>
      </w:r>
      <w:r>
        <w:rPr>
          <w:rFonts w:ascii="宋体" w:hAnsi="宋体" w:eastAsia="宋体" w:hint="eastAsia"/>
        </w:rPr>
        <w:t>(</w:t>
      </w:r>
      <w:r>
        <w:rPr>
          <w:rFonts w:ascii="宋体" w:hAnsi="宋体" w:eastAsia="宋体" w:hint="eastAsia"/>
          <w:i/>
          <w:sz w:val="29"/>
        </w:rPr>
        <w:t>P</w:t>
      </w:r>
      <w:r>
        <w:rPr>
          <w:rFonts w:ascii="宋体" w:hAnsi="宋体" w:eastAsia="宋体" w:hint="eastAsia"/>
          <w:spacing w:val="0"/>
          <w:sz w:val="28"/>
        </w:rPr>
        <w:t>＜</w:t>
      </w:r>
      <w:r>
        <w:rPr>
          <w:rFonts w:ascii="宋体" w:hAnsi="宋体" w:eastAsia="宋体" w:hint="eastAsia"/>
          <w:sz w:val="28"/>
        </w:rPr>
        <w:t>0.05</w:t>
      </w:r>
      <w:r>
        <w:rPr>
          <w:rFonts w:ascii="宋体" w:hAnsi="宋体" w:eastAsia="宋体" w:hint="eastAsia"/>
        </w:rPr>
        <w:t>)</w:t>
      </w:r>
      <w:r>
        <w:rPr>
          <w:rFonts w:ascii="宋体" w:hAnsi="宋体" w:eastAsia="宋体" w:hint="eastAsia"/>
        </w:rPr>
        <w:t>。</w:t>
      </w:r>
    </w:p>
    <w:p w:rsidR="0018722C">
      <w:pPr>
        <w:topLinePunct/>
      </w:pPr>
      <w:r>
        <w:t>Ki-67</w:t>
      </w:r>
      <w:r w:rsidR="001852F3">
        <w:t xml:space="preserve">蛋白的表达在不同性别、年龄、肿瘤大小分组中无明显差异</w:t>
      </w:r>
      <w:r>
        <w:t>（</w:t>
      </w:r>
      <w:r>
        <w:rPr>
          <w:i/>
        </w:rPr>
        <w:t>P</w:t>
      </w:r>
    </w:p>
    <w:p w:rsidR="0018722C">
      <w:pPr>
        <w:topLinePunct/>
      </w:pPr>
      <w:r>
        <w:t>＞</w:t>
      </w:r>
      <w:r w:rsidR="001852F3">
        <w:t xml:space="preserve">0</w:t>
      </w:r>
      <w:r>
        <w:t>.</w:t>
      </w:r>
      <w:r>
        <w:t>05，</w:t>
      </w:r>
      <w:r>
        <w:rPr>
          <w:i/>
        </w:rPr>
        <w:t>P</w:t>
      </w:r>
      <w:r>
        <w:t>＞</w:t>
      </w:r>
      <w:r w:rsidR="001852F3">
        <w:t xml:space="preserve">0.05，</w:t>
      </w:r>
      <w:r>
        <w:rPr>
          <w:i/>
        </w:rPr>
        <w:t>P</w:t>
      </w:r>
      <w:r>
        <w:t>＞</w:t>
      </w:r>
      <w:r w:rsidR="001852F3">
        <w:t xml:space="preserve">0.05</w:t>
      </w:r>
      <w:r>
        <w:t>)</w:t>
      </w:r>
      <w:r>
        <w:t>。</w:t>
      </w:r>
    </w:p>
    <w:p w:rsidR="0018722C">
      <w:pPr>
        <w:outlineLvl w:val="9"/>
        <w:topLinePunct/>
      </w:pPr>
      <w:bookmarkStart w:name="_TOC_250006" w:id="37"/>
      <w:bookmarkEnd w:id="37"/>
      <w:r>
        <w:rPr>
          <w:kern w:val="2"/>
          <w:sz w:val="28"/>
          <w:szCs w:val="28"/>
          <w:rFonts w:cstheme="minorBidi" w:hAnsiTheme="minorHAnsi" w:eastAsiaTheme="minorHAnsi" w:asciiTheme="minorHAnsi" w:ascii="黑体" w:hAnsi="黑体" w:eastAsia="黑体" w:cs="黑体"/>
          <w:b/>
          <w:bCs/>
        </w:rPr>
        <w:t>附</w:t>
      </w:r>
      <w:r w:rsidR="001852F3">
        <w:rPr>
          <w:kern w:val="2"/>
          <w:sz w:val="28"/>
          <w:szCs w:val="28"/>
          <w:rFonts w:cstheme="minorBidi" w:hAnsiTheme="minorHAnsi" w:eastAsiaTheme="minorHAnsi" w:asciiTheme="minorHAnsi" w:ascii="黑体" w:hAnsi="黑体" w:eastAsia="黑体" w:cs="黑体"/>
          <w:b/>
          <w:bCs/>
        </w:rPr>
        <w:t>图</w:t>
      </w:r>
    </w:p>
    <w:p w:rsidR="0018722C">
      <w:pPr>
        <w:pStyle w:val="aff7"/>
        <w:topLinePunct/>
      </w:pPr>
      <w:r>
        <w:drawing>
          <wp:inline>
            <wp:extent cx="4545403" cy="3218688"/>
            <wp:effectExtent l="0" t="0" r="0" b="0"/>
            <wp:docPr id="1" name="image14.jpeg" descr=""/>
            <wp:cNvGraphicFramePr>
              <a:graphicFrameLocks noChangeAspect="1"/>
            </wp:cNvGraphicFramePr>
            <a:graphic>
              <a:graphicData uri="http://schemas.openxmlformats.org/drawingml/2006/picture">
                <pic:pic>
                  <pic:nvPicPr>
                    <pic:cNvPr id="2" name="image14.jpeg"/>
                    <pic:cNvPicPr/>
                  </pic:nvPicPr>
                  <pic:blipFill>
                    <a:blip r:embed="rId23" cstate="print"/>
                    <a:stretch>
                      <a:fillRect/>
                    </a:stretch>
                  </pic:blipFill>
                  <pic:spPr>
                    <a:xfrm>
                      <a:off x="0" y="0"/>
                      <a:ext cx="4545403" cy="3218688"/>
                    </a:xfrm>
                    <a:prstGeom prst="rect">
                      <a:avLst/>
                    </a:prstGeom>
                  </pic:spPr>
                </pic:pic>
              </a:graphicData>
            </a:graphic>
          </wp:inline>
        </w:drawing>
      </w:r>
    </w:p>
    <w:p w:rsidR="0018722C">
      <w:pPr>
        <w:pStyle w:val="a9"/>
        <w:topLinePunct/>
      </w:pPr>
      <w:r>
        <w:rPr>
          <w:rFonts w:ascii="Times New Roman"/>
        </w:rPr>
        <w:t>Fig.</w:t>
      </w:r>
      <w:r>
        <w:t xml:space="preserve"> </w:t>
      </w:r>
      <w:r w:rsidRPr="00DB64CE">
        <w:rPr>
          <w:rFonts w:ascii="Times New Roman"/>
        </w:rPr>
        <w:t>1</w:t>
      </w:r>
      <w:r>
        <w:t xml:space="preserve">  </w:t>
      </w:r>
      <w:r>
        <w:t>Adjacent</w:t>
      </w:r>
      <w:r>
        <w:rPr>
          <w:rFonts w:ascii="Times New Roman"/>
        </w:rPr>
        <w:t> </w:t>
      </w:r>
      <w:r>
        <w:rPr>
          <w:rFonts w:ascii="Times New Roman"/>
        </w:rPr>
        <w:t>tissue</w:t>
      </w:r>
    </w:p>
    <w:p w:rsidR="0018722C">
      <w:pPr>
        <w:pStyle w:val="aff7"/>
        <w:topLinePunct/>
      </w:pPr>
      <w:r>
        <w:drawing>
          <wp:inline>
            <wp:extent cx="4545403" cy="3218688"/>
            <wp:effectExtent l="0" t="0" r="0" b="0"/>
            <wp:docPr id="3" name="image15.jpeg" descr=""/>
            <wp:cNvGraphicFramePr>
              <a:graphicFrameLocks noChangeAspect="1"/>
            </wp:cNvGraphicFramePr>
            <a:graphic>
              <a:graphicData uri="http://schemas.openxmlformats.org/drawingml/2006/picture">
                <pic:pic>
                  <pic:nvPicPr>
                    <pic:cNvPr id="4" name="image15.jpeg"/>
                    <pic:cNvPicPr/>
                  </pic:nvPicPr>
                  <pic:blipFill>
                    <a:blip r:embed="rId24" cstate="print"/>
                    <a:stretch>
                      <a:fillRect/>
                    </a:stretch>
                  </pic:blipFill>
                  <pic:spPr>
                    <a:xfrm>
                      <a:off x="0" y="0"/>
                      <a:ext cx="4545403" cy="3218688"/>
                    </a:xfrm>
                    <a:prstGeom prst="rect">
                      <a:avLst/>
                    </a:prstGeom>
                  </pic:spPr>
                </pic:pic>
              </a:graphicData>
            </a:graphic>
          </wp:inline>
        </w:drawing>
      </w:r>
    </w:p>
    <w:p w:rsidR="0018722C">
      <w:pPr>
        <w:pStyle w:val="a9"/>
        <w:topLinePunct/>
      </w:pPr>
      <w:r>
        <w:rPr>
          <w:rFonts w:ascii="Times New Roman"/>
        </w:rPr>
        <w:t>Fig.</w:t>
      </w:r>
      <w:r>
        <w:t xml:space="preserve"> </w:t>
      </w:r>
      <w:r w:rsidRPr="00DB64CE">
        <w:rPr>
          <w:rFonts w:ascii="Times New Roman"/>
        </w:rPr>
        <w:t>2</w:t>
      </w:r>
      <w:r>
        <w:t xml:space="preserve">  </w:t>
      </w:r>
      <w:r>
        <w:t>Gastric</w:t>
      </w:r>
      <w:r>
        <w:rPr>
          <w:rFonts w:ascii="Times New Roman"/>
        </w:rPr>
        <w:t> </w:t>
      </w:r>
      <w:r>
        <w:rPr>
          <w:rFonts w:ascii="Times New Roman"/>
        </w:rPr>
        <w:t>carcinoma</w:t>
      </w:r>
    </w:p>
    <w:p w:rsidR="0018722C">
      <w:pPr>
        <w:pStyle w:val="affff5"/>
        <w:keepNext/>
        <w:topLinePunct/>
      </w:pPr>
      <w:r>
        <w:rPr>
          <w:rFonts w:ascii="Times New Roman"/>
          <w:sz w:val="20"/>
        </w:rPr>
        <w:drawing>
          <wp:inline distT="0" distB="0" distL="0" distR="0">
            <wp:extent cx="4515555" cy="3200400"/>
            <wp:effectExtent l="0" t="0" r="0" b="0"/>
            <wp:docPr id="5" name="image16.jpeg" descr=""/>
            <wp:cNvGraphicFramePr>
              <a:graphicFrameLocks noChangeAspect="1"/>
            </wp:cNvGraphicFramePr>
            <a:graphic>
              <a:graphicData uri="http://schemas.openxmlformats.org/drawingml/2006/picture">
                <pic:pic>
                  <pic:nvPicPr>
                    <pic:cNvPr id="6" name="image16.jpeg"/>
                    <pic:cNvPicPr/>
                  </pic:nvPicPr>
                  <pic:blipFill>
                    <a:blip r:embed="rId25" cstate="print"/>
                    <a:stretch>
                      <a:fillRect/>
                    </a:stretch>
                  </pic:blipFill>
                  <pic:spPr>
                    <a:xfrm>
                      <a:off x="0" y="0"/>
                      <a:ext cx="4515555" cy="3200400"/>
                    </a:xfrm>
                    <a:prstGeom prst="rect">
                      <a:avLst/>
                    </a:prstGeom>
                  </pic:spPr>
                </pic:pic>
              </a:graphicData>
            </a:graphic>
          </wp:inline>
        </w:drawing>
      </w:r>
      <w:r/>
    </w:p>
    <w:p w:rsidR="0018722C">
      <w:pPr>
        <w:pStyle w:val="a9"/>
        <w:topLinePunct/>
      </w:pPr>
      <w:r>
        <w:rPr>
          <w:rFonts w:ascii="Times New Roman" w:hAnsi="Times New Roman"/>
        </w:rPr>
        <w:t>Fig.</w:t>
      </w:r>
      <w:r>
        <w:t xml:space="preserve"> </w:t>
      </w:r>
      <w:r w:rsidRPr="00DB64CE">
        <w:rPr>
          <w:rFonts w:ascii="Times New Roman" w:hAnsi="Times New Roman"/>
        </w:rPr>
        <w:t>3</w:t>
      </w:r>
      <w:r>
        <w:t xml:space="preserve">  </w:t>
      </w:r>
      <w:r>
        <w:t>Expression of NF-κB in</w:t>
      </w:r>
      <w:r>
        <w:rPr>
          <w:rFonts w:ascii="Times New Roman" w:hAnsi="Times New Roman"/>
        </w:rPr>
        <w:t> </w:t>
      </w:r>
      <w:r>
        <w:rPr>
          <w:rFonts w:ascii="Times New Roman" w:hAnsi="Times New Roman"/>
        </w:rPr>
        <w:t>normal</w:t>
      </w:r>
      <w:r>
        <w:rPr>
          <w:rFonts w:ascii="Times New Roman" w:hAnsi="Times New Roman"/>
        </w:rPr>
        <w:t> </w:t>
      </w:r>
      <w:r>
        <w:rPr>
          <w:rFonts w:ascii="Times New Roman" w:hAnsi="Times New Roman"/>
        </w:rPr>
        <w:t>tissue</w:t>
      </w:r>
      <w:r>
        <w:rPr>
          <w:rFonts w:ascii="Times New Roman" w:hAnsi="Times New Roman"/>
        </w:rPr>
        <w:t>×100</w:t>
      </w:r>
    </w:p>
    <w:p w:rsidR="0018722C">
      <w:pPr>
        <w:pStyle w:val="aff7"/>
        <w:topLinePunct/>
      </w:pPr>
      <w:r>
        <w:drawing>
          <wp:inline>
            <wp:extent cx="4515555" cy="3200400"/>
            <wp:effectExtent l="0" t="0" r="0" b="0"/>
            <wp:docPr id="7" name="image17.jpeg" descr=""/>
            <wp:cNvGraphicFramePr>
              <a:graphicFrameLocks noChangeAspect="1"/>
            </wp:cNvGraphicFramePr>
            <a:graphic>
              <a:graphicData uri="http://schemas.openxmlformats.org/drawingml/2006/picture">
                <pic:pic>
                  <pic:nvPicPr>
                    <pic:cNvPr id="8" name="image17.jpeg"/>
                    <pic:cNvPicPr/>
                  </pic:nvPicPr>
                  <pic:blipFill>
                    <a:blip r:embed="rId26" cstate="print"/>
                    <a:stretch>
                      <a:fillRect/>
                    </a:stretch>
                  </pic:blipFill>
                  <pic:spPr>
                    <a:xfrm>
                      <a:off x="0" y="0"/>
                      <a:ext cx="4515555" cy="3200400"/>
                    </a:xfrm>
                    <a:prstGeom prst="rect">
                      <a:avLst/>
                    </a:prstGeom>
                  </pic:spPr>
                </pic:pic>
              </a:graphicData>
            </a:graphic>
          </wp:inline>
        </w:drawing>
      </w:r>
    </w:p>
    <w:p w:rsidR="0018722C">
      <w:pPr>
        <w:pStyle w:val="a9"/>
        <w:topLinePunct/>
      </w:pPr>
      <w:r>
        <w:rPr>
          <w:rFonts w:ascii="Times New Roman" w:hAnsi="Times New Roman"/>
        </w:rPr>
        <w:t>Fig.</w:t>
      </w:r>
      <w:r>
        <w:t xml:space="preserve"> </w:t>
      </w:r>
      <w:r w:rsidRPr="00DB64CE">
        <w:rPr>
          <w:rFonts w:ascii="Times New Roman" w:hAnsi="Times New Roman"/>
        </w:rPr>
        <w:t>4</w:t>
      </w:r>
      <w:r>
        <w:t xml:space="preserve">  </w:t>
      </w:r>
      <w:r>
        <w:t>Expression of NF-κB in</w:t>
      </w:r>
      <w:r>
        <w:rPr>
          <w:rFonts w:ascii="Times New Roman" w:hAnsi="Times New Roman"/>
        </w:rPr>
        <w:t> </w:t>
      </w:r>
      <w:r>
        <w:rPr>
          <w:rFonts w:ascii="Times New Roman" w:hAnsi="Times New Roman"/>
        </w:rPr>
        <w:t>adjacent</w:t>
      </w:r>
      <w:r>
        <w:rPr>
          <w:rFonts w:ascii="Times New Roman" w:hAnsi="Times New Roman"/>
        </w:rPr>
        <w:t> </w:t>
      </w:r>
      <w:r>
        <w:rPr>
          <w:rFonts w:ascii="Times New Roman" w:hAnsi="Times New Roman"/>
        </w:rPr>
        <w:t>tissue</w:t>
      </w:r>
      <w:r>
        <w:rPr>
          <w:rFonts w:ascii="Times New Roman" w:hAnsi="Times New Roman"/>
        </w:rPr>
        <w:t>×100</w:t>
      </w:r>
    </w:p>
    <w:p w:rsidR="0018722C">
      <w:pPr>
        <w:pStyle w:val="affff5"/>
        <w:keepNext/>
        <w:topLinePunct/>
      </w:pPr>
      <w:r>
        <w:rPr>
          <w:rFonts w:ascii="Times New Roman"/>
          <w:sz w:val="20"/>
        </w:rPr>
        <w:drawing>
          <wp:inline distT="0" distB="0" distL="0" distR="0">
            <wp:extent cx="4515555" cy="3200400"/>
            <wp:effectExtent l="0" t="0" r="0" b="0"/>
            <wp:docPr id="9" name="image18.jpeg" descr=""/>
            <wp:cNvGraphicFramePr>
              <a:graphicFrameLocks noChangeAspect="1"/>
            </wp:cNvGraphicFramePr>
            <a:graphic>
              <a:graphicData uri="http://schemas.openxmlformats.org/drawingml/2006/picture">
                <pic:pic>
                  <pic:nvPicPr>
                    <pic:cNvPr id="10" name="image18.jpeg"/>
                    <pic:cNvPicPr/>
                  </pic:nvPicPr>
                  <pic:blipFill>
                    <a:blip r:embed="rId27" cstate="print"/>
                    <a:stretch>
                      <a:fillRect/>
                    </a:stretch>
                  </pic:blipFill>
                  <pic:spPr>
                    <a:xfrm>
                      <a:off x="0" y="0"/>
                      <a:ext cx="4515555" cy="3200400"/>
                    </a:xfrm>
                    <a:prstGeom prst="rect">
                      <a:avLst/>
                    </a:prstGeom>
                  </pic:spPr>
                </pic:pic>
              </a:graphicData>
            </a:graphic>
          </wp:inline>
        </w:drawing>
      </w:r>
      <w:r/>
    </w:p>
    <w:p w:rsidR="0018722C">
      <w:pPr>
        <w:pStyle w:val="a9"/>
        <w:topLinePunct/>
      </w:pPr>
      <w:r>
        <w:rPr>
          <w:rFonts w:ascii="Times New Roman" w:hAnsi="Times New Roman"/>
        </w:rPr>
        <w:t>Fig.</w:t>
      </w:r>
      <w:r>
        <w:t xml:space="preserve"> </w:t>
      </w:r>
      <w:r w:rsidRPr="00DB64CE">
        <w:rPr>
          <w:rFonts w:ascii="Times New Roman" w:hAnsi="Times New Roman"/>
        </w:rPr>
        <w:t>5</w:t>
      </w:r>
      <w:r>
        <w:t xml:space="preserve">  </w:t>
      </w:r>
      <w:r>
        <w:t>Expression of NF-κB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×100</w:t>
      </w:r>
    </w:p>
    <w:p w:rsidR="0018722C">
      <w:pPr>
        <w:pStyle w:val="aff7"/>
        <w:topLinePunct/>
      </w:pPr>
      <w:r>
        <w:drawing>
          <wp:inline>
            <wp:extent cx="4556023" cy="3227736"/>
            <wp:effectExtent l="0" t="0" r="0" b="0"/>
            <wp:docPr id="11" name="image19.jpeg" descr=""/>
            <wp:cNvGraphicFramePr>
              <a:graphicFrameLocks noChangeAspect="1"/>
            </wp:cNvGraphicFramePr>
            <a:graphic>
              <a:graphicData uri="http://schemas.openxmlformats.org/drawingml/2006/picture">
                <pic:pic>
                  <pic:nvPicPr>
                    <pic:cNvPr id="12" name="image19.jpeg"/>
                    <pic:cNvPicPr/>
                  </pic:nvPicPr>
                  <pic:blipFill>
                    <a:blip r:embed="rId28" cstate="print"/>
                    <a:stretch>
                      <a:fillRect/>
                    </a:stretch>
                  </pic:blipFill>
                  <pic:spPr>
                    <a:xfrm>
                      <a:off x="0" y="0"/>
                      <a:ext cx="4556023" cy="3227736"/>
                    </a:xfrm>
                    <a:prstGeom prst="rect">
                      <a:avLst/>
                    </a:prstGeom>
                  </pic:spPr>
                </pic:pic>
              </a:graphicData>
            </a:graphic>
          </wp:inline>
        </w:drawing>
      </w:r>
    </w:p>
    <w:p w:rsidR="0018722C">
      <w:pPr>
        <w:pStyle w:val="a9"/>
        <w:topLinePunct/>
      </w:pPr>
      <w:r>
        <w:rPr>
          <w:rFonts w:ascii="Times New Roman" w:hAnsi="Times New Roman"/>
        </w:rPr>
        <w:t>Fig.</w:t>
      </w:r>
      <w:r>
        <w:t xml:space="preserve"> </w:t>
      </w:r>
      <w:r w:rsidRPr="00DB64CE">
        <w:rPr>
          <w:rFonts w:ascii="Times New Roman" w:hAnsi="Times New Roman"/>
        </w:rPr>
        <w:t>6</w:t>
      </w:r>
      <w:r>
        <w:t xml:space="preserve">  </w:t>
      </w:r>
      <w:r>
        <w:t>Expression of NF-κB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×100</w:t>
      </w:r>
    </w:p>
    <w:p w:rsidR="0018722C">
      <w:pPr>
        <w:pStyle w:val="affff5"/>
        <w:keepNext/>
        <w:topLinePunct/>
      </w:pPr>
      <w:r>
        <w:rPr>
          <w:rFonts w:ascii="Times New Roman"/>
          <w:sz w:val="20"/>
        </w:rPr>
        <w:drawing>
          <wp:inline distT="0" distB="0" distL="0" distR="0">
            <wp:extent cx="4572291" cy="3239262"/>
            <wp:effectExtent l="0" t="0" r="0" b="0"/>
            <wp:docPr id="13" name="image20.jpeg" descr=""/>
            <wp:cNvGraphicFramePr>
              <a:graphicFrameLocks noChangeAspect="1"/>
            </wp:cNvGraphicFramePr>
            <a:graphic>
              <a:graphicData uri="http://schemas.openxmlformats.org/drawingml/2006/picture">
                <pic:pic>
                  <pic:nvPicPr>
                    <pic:cNvPr id="14" name="image20.jpeg"/>
                    <pic:cNvPicPr/>
                  </pic:nvPicPr>
                  <pic:blipFill>
                    <a:blip r:embed="rId29" cstate="print"/>
                    <a:stretch>
                      <a:fillRect/>
                    </a:stretch>
                  </pic:blipFill>
                  <pic:spPr>
                    <a:xfrm>
                      <a:off x="0" y="0"/>
                      <a:ext cx="4572291" cy="3239262"/>
                    </a:xfrm>
                    <a:prstGeom prst="rect">
                      <a:avLst/>
                    </a:prstGeom>
                  </pic:spPr>
                </pic:pic>
              </a:graphicData>
            </a:graphic>
          </wp:inline>
        </w:drawing>
      </w:r>
      <w:r/>
    </w:p>
    <w:p w:rsidR="0018722C">
      <w:pPr>
        <w:pStyle w:val="a9"/>
        <w:topLinePunct/>
      </w:pPr>
      <w:r>
        <w:rPr>
          <w:rFonts w:ascii="Times New Roman" w:hAnsi="Times New Roman"/>
        </w:rPr>
        <w:t>Fig.</w:t>
      </w:r>
      <w:r>
        <w:t xml:space="preserve"> </w:t>
      </w:r>
      <w:r w:rsidRPr="00DB64CE">
        <w:rPr>
          <w:rFonts w:ascii="Times New Roman" w:hAnsi="Times New Roman"/>
        </w:rPr>
        <w:t>7</w:t>
      </w:r>
      <w:r>
        <w:t xml:space="preserve">  </w:t>
      </w:r>
      <w:r>
        <w:t>Expression of NF-κB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×400</w:t>
      </w:r>
    </w:p>
    <w:p w:rsidR="0018722C">
      <w:pPr>
        <w:pStyle w:val="aff7"/>
        <w:topLinePunct/>
      </w:pPr>
      <w:r>
        <w:drawing>
          <wp:inline>
            <wp:extent cx="4515555" cy="3200400"/>
            <wp:effectExtent l="0" t="0" r="0" b="0"/>
            <wp:docPr id="15" name="image21.jpeg" descr=""/>
            <wp:cNvGraphicFramePr>
              <a:graphicFrameLocks noChangeAspect="1"/>
            </wp:cNvGraphicFramePr>
            <a:graphic>
              <a:graphicData uri="http://schemas.openxmlformats.org/drawingml/2006/picture">
                <pic:pic>
                  <pic:nvPicPr>
                    <pic:cNvPr id="16" name="image21.jpeg"/>
                    <pic:cNvPicPr/>
                  </pic:nvPicPr>
                  <pic:blipFill>
                    <a:blip r:embed="rId30" cstate="print"/>
                    <a:stretch>
                      <a:fillRect/>
                    </a:stretch>
                  </pic:blipFill>
                  <pic:spPr>
                    <a:xfrm>
                      <a:off x="0" y="0"/>
                      <a:ext cx="4515555" cy="3200400"/>
                    </a:xfrm>
                    <a:prstGeom prst="rect">
                      <a:avLst/>
                    </a:prstGeom>
                  </pic:spPr>
                </pic:pic>
              </a:graphicData>
            </a:graphic>
          </wp:inline>
        </w:drawing>
      </w:r>
    </w:p>
    <w:p w:rsidR="0018722C">
      <w:pPr>
        <w:pStyle w:val="a9"/>
        <w:topLinePunct/>
      </w:pPr>
      <w:r>
        <w:rPr>
          <w:rFonts w:ascii="Times New Roman" w:hAnsi="Times New Roman"/>
        </w:rPr>
        <w:t>Fig.</w:t>
      </w:r>
      <w:r>
        <w:t xml:space="preserve"> </w:t>
      </w:r>
      <w:r w:rsidRPr="00DB64CE">
        <w:rPr>
          <w:rFonts w:ascii="Times New Roman" w:hAnsi="Times New Roman"/>
        </w:rPr>
        <w:t>8</w:t>
      </w:r>
      <w:r>
        <w:t xml:space="preserve">  </w:t>
      </w:r>
      <w:r>
        <w:t>Expression of NF-κB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×400</w:t>
      </w:r>
    </w:p>
    <w:p w:rsidR="0018722C">
      <w:pPr>
        <w:pStyle w:val="affff5"/>
        <w:keepNext/>
        <w:topLinePunct/>
      </w:pPr>
      <w:r>
        <w:rPr>
          <w:rFonts w:ascii="Times New Roman"/>
          <w:sz w:val="20"/>
        </w:rPr>
        <w:drawing>
          <wp:inline distT="0" distB="0" distL="0" distR="0">
            <wp:extent cx="4585587" cy="3250406"/>
            <wp:effectExtent l="0" t="0" r="0" b="0"/>
            <wp:docPr id="17" name="image22.jpeg" descr=""/>
            <wp:cNvGraphicFramePr>
              <a:graphicFrameLocks noChangeAspect="1"/>
            </wp:cNvGraphicFramePr>
            <a:graphic>
              <a:graphicData uri="http://schemas.openxmlformats.org/drawingml/2006/picture">
                <pic:pic>
                  <pic:nvPicPr>
                    <pic:cNvPr id="18" name="image22.jpeg"/>
                    <pic:cNvPicPr/>
                  </pic:nvPicPr>
                  <pic:blipFill>
                    <a:blip r:embed="rId31" cstate="print"/>
                    <a:stretch>
                      <a:fillRect/>
                    </a:stretch>
                  </pic:blipFill>
                  <pic:spPr>
                    <a:xfrm>
                      <a:off x="0" y="0"/>
                      <a:ext cx="4585587" cy="3250406"/>
                    </a:xfrm>
                    <a:prstGeom prst="rect">
                      <a:avLst/>
                    </a:prstGeom>
                  </pic:spPr>
                </pic:pic>
              </a:graphicData>
            </a:graphic>
          </wp:inline>
        </w:drawing>
      </w:r>
      <w:r/>
    </w:p>
    <w:p w:rsidR="0018722C">
      <w:pPr>
        <w:pStyle w:val="a9"/>
        <w:topLinePunct/>
      </w:pPr>
      <w:r>
        <w:rPr>
          <w:rFonts w:ascii="Times New Roman" w:hAnsi="Times New Roman"/>
        </w:rPr>
        <w:t>Fig.</w:t>
      </w:r>
      <w:r>
        <w:t xml:space="preserve"> </w:t>
      </w:r>
      <w:r w:rsidRPr="00DB64CE">
        <w:rPr>
          <w:rFonts w:ascii="Times New Roman" w:hAnsi="Times New Roman"/>
        </w:rPr>
        <w:t>9</w:t>
      </w:r>
      <w:r>
        <w:t xml:space="preserve">  </w:t>
      </w:r>
      <w:r>
        <w:t>Expression of TOPOII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×100</w:t>
      </w:r>
    </w:p>
    <w:p w:rsidR="0018722C">
      <w:pPr>
        <w:pStyle w:val="aff7"/>
        <w:topLinePunct/>
      </w:pPr>
      <w:r>
        <w:drawing>
          <wp:inline>
            <wp:extent cx="4515555" cy="3200400"/>
            <wp:effectExtent l="0" t="0" r="0" b="0"/>
            <wp:docPr id="19" name="image23.jpeg" descr=""/>
            <wp:cNvGraphicFramePr>
              <a:graphicFrameLocks noChangeAspect="1"/>
            </wp:cNvGraphicFramePr>
            <a:graphic>
              <a:graphicData uri="http://schemas.openxmlformats.org/drawingml/2006/picture">
                <pic:pic>
                  <pic:nvPicPr>
                    <pic:cNvPr id="20" name="image23.jpeg"/>
                    <pic:cNvPicPr/>
                  </pic:nvPicPr>
                  <pic:blipFill>
                    <a:blip r:embed="rId32" cstate="print"/>
                    <a:stretch>
                      <a:fillRect/>
                    </a:stretch>
                  </pic:blipFill>
                  <pic:spPr>
                    <a:xfrm>
                      <a:off x="0" y="0"/>
                      <a:ext cx="4515555" cy="3200400"/>
                    </a:xfrm>
                    <a:prstGeom prst="rect">
                      <a:avLst/>
                    </a:prstGeom>
                  </pic:spPr>
                </pic:pic>
              </a:graphicData>
            </a:graphic>
          </wp:inline>
        </w:drawing>
      </w:r>
    </w:p>
    <w:p w:rsidR="0018722C">
      <w:pPr>
        <w:pStyle w:val="a9"/>
        <w:topLinePunct/>
      </w:pPr>
      <w:r>
        <w:rPr>
          <w:rFonts w:ascii="Times New Roman" w:hAnsi="Times New Roman"/>
        </w:rPr>
        <w:t>Fig.</w:t>
      </w:r>
      <w:r>
        <w:t xml:space="preserve"> </w:t>
      </w:r>
      <w:r w:rsidRPr="00DB64CE">
        <w:rPr>
          <w:rFonts w:ascii="Times New Roman" w:hAnsi="Times New Roman"/>
        </w:rPr>
        <w:t>10</w:t>
      </w:r>
      <w:r>
        <w:t xml:space="preserve">  </w:t>
      </w:r>
      <w:r>
        <w:t>Expression of TOPOII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×400</w:t>
      </w:r>
    </w:p>
    <w:p w:rsidR="0018722C">
      <w:pPr>
        <w:pStyle w:val="affff5"/>
        <w:keepNext/>
        <w:topLinePunct/>
      </w:pPr>
      <w:r>
        <w:rPr>
          <w:rFonts w:ascii="Times New Roman"/>
          <w:sz w:val="20"/>
        </w:rPr>
        <w:drawing>
          <wp:inline distT="0" distB="0" distL="0" distR="0">
            <wp:extent cx="4559090" cy="3229355"/>
            <wp:effectExtent l="0" t="0" r="0" b="0"/>
            <wp:docPr id="21" name="image24.jpeg" descr=""/>
            <wp:cNvGraphicFramePr>
              <a:graphicFrameLocks noChangeAspect="1"/>
            </wp:cNvGraphicFramePr>
            <a:graphic>
              <a:graphicData uri="http://schemas.openxmlformats.org/drawingml/2006/picture">
                <pic:pic>
                  <pic:nvPicPr>
                    <pic:cNvPr id="22" name="image24.jpeg"/>
                    <pic:cNvPicPr/>
                  </pic:nvPicPr>
                  <pic:blipFill>
                    <a:blip r:embed="rId33" cstate="print"/>
                    <a:stretch>
                      <a:fillRect/>
                    </a:stretch>
                  </pic:blipFill>
                  <pic:spPr>
                    <a:xfrm>
                      <a:off x="0" y="0"/>
                      <a:ext cx="4559090" cy="3229355"/>
                    </a:xfrm>
                    <a:prstGeom prst="rect">
                      <a:avLst/>
                    </a:prstGeom>
                  </pic:spPr>
                </pic:pic>
              </a:graphicData>
            </a:graphic>
          </wp:inline>
        </w:drawing>
      </w:r>
      <w:r/>
    </w:p>
    <w:p w:rsidR="0018722C">
      <w:pPr>
        <w:pStyle w:val="a9"/>
        <w:topLinePunct/>
      </w:pPr>
      <w:r>
        <w:rPr>
          <w:rFonts w:ascii="Times New Roman" w:hAnsi="Times New Roman"/>
        </w:rPr>
        <w:t>Fig.</w:t>
      </w:r>
      <w:r>
        <w:t xml:space="preserve"> </w:t>
      </w:r>
      <w:r w:rsidRPr="00DB64CE">
        <w:rPr>
          <w:rFonts w:ascii="Times New Roman" w:hAnsi="Times New Roman"/>
        </w:rPr>
        <w:t>11</w:t>
      </w:r>
      <w:r>
        <w:t xml:space="preserve">  </w:t>
      </w:r>
      <w:r>
        <w:rPr>
          <w:rFonts w:ascii="Times New Roman" w:hAnsi="Times New Roman"/>
        </w:rPr>
        <w:t>Expression of Ki-67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rPr>
          <w:rFonts w:ascii="Times New Roman" w:hAnsi="Times New Roman"/>
        </w:rPr>
        <w:t>×100</w:t>
      </w:r>
    </w:p>
    <w:p w:rsidR="0018722C">
      <w:pPr>
        <w:pStyle w:val="aff7"/>
        <w:topLinePunct/>
      </w:pPr>
      <w:r>
        <w:drawing>
          <wp:inline>
            <wp:extent cx="4515555" cy="3200400"/>
            <wp:effectExtent l="0" t="0" r="0" b="0"/>
            <wp:docPr id="23" name="image25.jpeg" descr=""/>
            <wp:cNvGraphicFramePr>
              <a:graphicFrameLocks noChangeAspect="1"/>
            </wp:cNvGraphicFramePr>
            <a:graphic>
              <a:graphicData uri="http://schemas.openxmlformats.org/drawingml/2006/picture">
                <pic:pic>
                  <pic:nvPicPr>
                    <pic:cNvPr id="24" name="image25.jpeg"/>
                    <pic:cNvPicPr/>
                  </pic:nvPicPr>
                  <pic:blipFill>
                    <a:blip r:embed="rId34" cstate="print"/>
                    <a:stretch>
                      <a:fillRect/>
                    </a:stretch>
                  </pic:blipFill>
                  <pic:spPr>
                    <a:xfrm>
                      <a:off x="0" y="0"/>
                      <a:ext cx="4515555" cy="3200400"/>
                    </a:xfrm>
                    <a:prstGeom prst="rect">
                      <a:avLst/>
                    </a:prstGeom>
                  </pic:spPr>
                </pic:pic>
              </a:graphicData>
            </a:graphic>
          </wp:inline>
        </w:drawing>
      </w:r>
    </w:p>
    <w:p w:rsidR="0018722C">
      <w:pPr>
        <w:pStyle w:val="a9"/>
        <w:topLinePunct/>
      </w:pPr>
      <w:r>
        <w:rPr>
          <w:rFonts w:ascii="Times New Roman" w:hAnsi="Times New Roman"/>
        </w:rPr>
        <w:t>Fig.</w:t>
      </w:r>
      <w:r>
        <w:t xml:space="preserve"> </w:t>
      </w:r>
      <w:r w:rsidRPr="00DB64CE">
        <w:rPr>
          <w:rFonts w:ascii="Times New Roman" w:hAnsi="Times New Roman"/>
        </w:rPr>
        <w:t>12</w:t>
      </w:r>
      <w:r>
        <w:t xml:space="preserve">  </w:t>
      </w:r>
      <w:r>
        <w:t>Expression of Ki-67 in gastric</w:t>
      </w:r>
      <w:r>
        <w:rPr>
          <w:rFonts w:ascii="Times New Roman" w:hAnsi="Times New Roman"/>
        </w:rPr>
        <w:t> </w:t>
      </w:r>
      <w:r>
        <w:rPr>
          <w:rFonts w:ascii="Times New Roman" w:hAnsi="Times New Roman"/>
        </w:rPr>
        <w:t>cancer</w:t>
      </w:r>
      <w:r>
        <w:rPr>
          <w:rFonts w:ascii="Times New Roman" w:hAnsi="Times New Roman"/>
        </w:rPr>
        <w:t> </w:t>
      </w:r>
      <w:r>
        <w:rPr>
          <w:rFonts w:ascii="Times New Roman" w:hAnsi="Times New Roman"/>
        </w:rPr>
        <w:t>tissue</w:t>
      </w:r>
      <w:r>
        <w:t>×</w:t>
      </w:r>
      <w:r>
        <w:rPr>
          <w:rFonts w:ascii="Times New Roman" w:hAnsi="Times New Roman"/>
        </w:rPr>
        <w:t>400</w:t>
      </w:r>
    </w:p>
    <w:p w:rsidR="0018722C">
      <w:pPr>
        <w:outlineLvl w:val="9"/>
        <w:topLinePunct/>
      </w:pPr>
      <w:bookmarkStart w:name="_TOC_250005" w:id="38"/>
      <w:bookmarkEnd w:id="38"/>
      <w:r>
        <w:rPr>
          <w:kern w:val="2"/>
          <w:sz w:val="28"/>
          <w:szCs w:val="28"/>
          <w:rFonts w:cstheme="minorBidi" w:hAnsiTheme="minorHAnsi" w:eastAsiaTheme="minorHAnsi" w:asciiTheme="minorHAnsi" w:ascii="宋体" w:hAnsi="黑体" w:eastAsia="宋体" w:cs="黑体" w:hint="eastAsia"/>
          <w:b/>
          <w:bCs/>
        </w:rPr>
        <w:t>附</w:t>
      </w:r>
      <w:r w:rsidR="001852F3">
        <w:rPr>
          <w:kern w:val="2"/>
          <w:sz w:val="28"/>
          <w:szCs w:val="28"/>
          <w:rFonts w:cstheme="minorBidi" w:hAnsiTheme="minorHAnsi" w:eastAsiaTheme="minorHAnsi" w:asciiTheme="minorHAnsi" w:ascii="黑体" w:hAnsi="黑体" w:eastAsia="黑体" w:cs="黑体"/>
          <w:b/>
          <w:bCs/>
        </w:rPr>
        <w:t>表</w:t>
      </w:r>
    </w:p>
    <w:p w:rsidR="0018722C">
      <w:pPr>
        <w:pStyle w:val="ae"/>
        <w:topLinePunct/>
      </w:pPr>
      <w:r>
        <w:pict>
          <v:shape style="margin-left:33.959999pt;margin-top:52.601566pt;width:411.58pt;height:321.68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4"/>
                    <w:gridCol w:w="1009"/>
                    <w:gridCol w:w="1301"/>
                    <w:gridCol w:w="1358"/>
                    <w:gridCol w:w="1211"/>
                    <w:gridCol w:w="1352"/>
                    <w:gridCol w:w="1302"/>
                    <w:gridCol w:w="1311"/>
                  </w:tblGrid>
                  <w:tr>
                    <w:trPr>
                      <w:trHeight w:val="420" w:hRule="atLeast"/>
                    </w:trPr>
                    <w:tc>
                      <w:tcPr>
                        <w:tcW w:w="1794" w:type="dxa"/>
                        <w:tcBorders>
                          <w:top w:val="single" w:sz="12" w:space="0" w:color="000000"/>
                        </w:tcBorders>
                      </w:tcPr>
                      <w:p w:rsidR="0018722C">
                        <w:pPr>
                          <w:widowControl w:val="0"/>
                          <w:snapToGrid w:val="1"/>
                          <w:spacing w:beforeLines="0" w:afterLines="0" w:lineRule="auto" w:line="240" w:after="0" w:before="53"/>
                          <w:ind w:firstLineChars="0" w:firstLine="0" w:rightChars="0" w:right="0" w:leftChars="0" w:left="55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Grope</w:t>
                        </w:r>
                      </w:p>
                    </w:tc>
                    <w:tc>
                      <w:tcPr>
                        <w:tcW w:w="1009" w:type="dxa"/>
                        <w:tcBorders>
                          <w:top w:val="single" w:sz="12" w:space="0" w:color="000000"/>
                        </w:tcBorders>
                      </w:tcPr>
                      <w:p w:rsidR="0018722C">
                        <w:pPr>
                          <w:widowControl w:val="0"/>
                          <w:snapToGrid w:val="1"/>
                          <w:spacing w:beforeLines="0" w:afterLines="0" w:lineRule="auto" w:line="240" w:after="0" w:before="53"/>
                          <w:ind w:firstLineChars="0" w:firstLine="0" w:rightChars="0" w:right="0" w:leftChars="0" w:left="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Number</w:t>
                        </w:r>
                      </w:p>
                    </w:tc>
                    <w:tc>
                      <w:tcPr>
                        <w:tcW w:w="2659" w:type="dxa"/>
                        <w:gridSpan w:val="2"/>
                        <w:tcBorders>
                          <w:top w:val="single" w:sz="12" w:space="0" w:color="000000"/>
                        </w:tcBorders>
                      </w:tcPr>
                      <w:p w:rsidR="0018722C">
                        <w:pPr>
                          <w:widowControl w:val="0"/>
                          <w:snapToGrid w:val="1"/>
                          <w:spacing w:beforeLines="0" w:afterLines="0" w:lineRule="auto" w:line="240" w:after="0" w:before="53"/>
                          <w:ind w:firstLineChars="0" w:firstLine="0" w:leftChars="0" w:left="1055" w:rightChars="0" w:right="89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NF-κB</w:t>
                        </w:r>
                      </w:p>
                    </w:tc>
                    <w:tc>
                      <w:tcPr>
                        <w:tcW w:w="2563" w:type="dxa"/>
                        <w:gridSpan w:val="2"/>
                        <w:tcBorders>
                          <w:top w:val="single" w:sz="12" w:space="0" w:color="000000"/>
                        </w:tcBorders>
                      </w:tcPr>
                      <w:p w:rsidR="0018722C">
                        <w:pPr>
                          <w:widowControl w:val="0"/>
                          <w:snapToGrid w:val="1"/>
                          <w:spacing w:beforeLines="0" w:afterLines="0" w:lineRule="auto" w:line="240" w:before="0" w:after="0"/>
                          <w:ind w:firstLineChars="0" w:firstLine="0" w:rightChars="0" w:right="0" w:leftChars="0" w:left="767"/>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cstheme="minorBidi" w:ascii="Times New Roman" w:hAnsi="Times New Roman" w:eastAsia="Times New Roman" w:cs="Times New Roman"/>
                            <w:sz w:val="24"/>
                          </w:rPr>
                          <w:t>Topo</w:t>
                        </w:r>
                        <w:r>
                          <w:rPr>
                            <w:kern w:val="2"/>
                            <w:szCs w:val="22"/>
                            <w:rFonts w:ascii="宋体" w:hAnsi="宋体" w:cstheme="minorBidi" w:eastAsia="Times New Roman" w:cs="Times New Roman"/>
                            <w:sz w:val="24"/>
                          </w:rPr>
                          <w:t>Ⅱ</w:t>
                        </w:r>
                      </w:p>
                    </w:tc>
                    <w:tc>
                      <w:tcPr>
                        <w:tcW w:w="2613" w:type="dxa"/>
                        <w:gridSpan w:val="2"/>
                        <w:tcBorders>
                          <w:top w:val="single" w:sz="12" w:space="0" w:color="000000"/>
                        </w:tcBorders>
                      </w:tcPr>
                      <w:p w:rsidR="0018722C">
                        <w:pPr>
                          <w:widowControl w:val="0"/>
                          <w:snapToGrid w:val="1"/>
                          <w:spacing w:beforeLines="0" w:afterLines="0" w:lineRule="auto" w:line="240" w:after="0" w:before="53"/>
                          <w:ind w:firstLineChars="0" w:firstLine="0" w:rightChars="0" w:right="0" w:leftChars="0" w:left="8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Ki-67</w:t>
                        </w:r>
                      </w:p>
                    </w:tc>
                  </w:tr>
                  <w:tr>
                    <w:trPr>
                      <w:trHeight w:val="480" w:hRule="atLeast"/>
                    </w:trPr>
                    <w:tc>
                      <w:tcPr>
                        <w:tcW w:w="1794"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009" w:type="dxa"/>
                        <w:tcBorders>
                          <w:bottom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Borders>
                          <w:bottom w:val="single" w:sz="2" w:space="0" w:color="000000"/>
                        </w:tcBorders>
                      </w:tcPr>
                      <w:p w:rsidR="0018722C">
                        <w:pPr>
                          <w:widowControl w:val="0"/>
                          <w:snapToGrid w:val="1"/>
                          <w:spacing w:beforeLines="0" w:afterLines="0" w:lineRule="auto" w:line="240" w:after="0" w:before="40"/>
                          <w:ind w:firstLineChars="0" w:firstLine="0" w:leftChars="0" w:left="0" w:rightChars="0" w:right="17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58" w:type="dxa"/>
                        <w:tcBorders>
                          <w:bottom w:val="single" w:sz="2" w:space="0" w:color="000000"/>
                        </w:tcBorders>
                      </w:tcPr>
                      <w:p w:rsidR="0018722C">
                        <w:pPr>
                          <w:widowControl w:val="0"/>
                          <w:snapToGrid w:val="1"/>
                          <w:spacing w:beforeLines="0" w:afterLines="0" w:lineRule="auto" w:line="240" w:after="0" w:before="94"/>
                          <w:ind w:firstLineChars="0" w:firstLine="0" w:rightChars="0" w:right="0" w:leftChars="0" w:left="35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w:t>
                        </w:r>
                      </w:p>
                    </w:tc>
                    <w:tc>
                      <w:tcPr>
                        <w:tcW w:w="1211" w:type="dxa"/>
                        <w:tcBorders>
                          <w:bottom w:val="single" w:sz="2" w:space="0" w:color="000000"/>
                        </w:tcBorders>
                      </w:tcPr>
                      <w:p w:rsidR="0018722C">
                        <w:pPr>
                          <w:widowControl w:val="0"/>
                          <w:snapToGrid w:val="1"/>
                          <w:spacing w:beforeLines="0" w:afterLines="0" w:lineRule="auto" w:line="240" w:after="0" w:before="40"/>
                          <w:ind w:firstLineChars="0" w:firstLine="0" w:leftChars="0" w:left="0" w:rightChars="0" w:right="13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52" w:type="dxa"/>
                        <w:tcBorders>
                          <w:bottom w:val="single" w:sz="2" w:space="0" w:color="000000"/>
                        </w:tcBorders>
                      </w:tcPr>
                      <w:p w:rsidR="0018722C">
                        <w:pPr>
                          <w:widowControl w:val="0"/>
                          <w:snapToGrid w:val="1"/>
                          <w:spacing w:beforeLines="0" w:afterLines="0" w:lineRule="auto" w:line="240" w:after="0" w:before="40"/>
                          <w:ind w:firstLineChars="0" w:firstLine="0" w:rightChars="0" w:right="0" w:leftChars="0" w:left="9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w:t>
                        </w:r>
                      </w:p>
                    </w:tc>
                    <w:tc>
                      <w:tcPr>
                        <w:tcW w:w="1302" w:type="dxa"/>
                        <w:tcBorders>
                          <w:bottom w:val="single" w:sz="2" w:space="0" w:color="000000"/>
                        </w:tcBorders>
                      </w:tcPr>
                      <w:p w:rsidR="0018722C">
                        <w:pPr>
                          <w:widowControl w:val="0"/>
                          <w:snapToGrid w:val="1"/>
                          <w:spacing w:beforeLines="0" w:afterLines="0" w:lineRule="auto" w:line="240" w:after="0" w:before="40"/>
                          <w:ind w:firstLineChars="0" w:firstLine="0" w:leftChars="0" w:left="0" w:rightChars="0" w:right="13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w:t>
                        </w:r>
                      </w:p>
                    </w:tc>
                    <w:tc>
                      <w:tcPr>
                        <w:tcW w:w="1311" w:type="dxa"/>
                        <w:tcBorders>
                          <w:bottom w:val="single" w:sz="2" w:space="0" w:color="000000"/>
                        </w:tcBorders>
                      </w:tcPr>
                      <w:p w:rsidR="0018722C">
                        <w:pPr>
                          <w:widowControl w:val="0"/>
                          <w:snapToGrid w:val="1"/>
                          <w:spacing w:beforeLines="0" w:afterLines="0" w:lineRule="auto" w:line="240" w:after="0" w:before="40"/>
                          <w:ind w:firstLineChars="0" w:firstLine="0" w:rightChars="0" w:right="0" w:leftChars="0" w:left="35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w:t>
                        </w:r>
                      </w:p>
                    </w:tc>
                  </w:tr>
                  <w:tr>
                    <w:trPr>
                      <w:trHeight w:val="380" w:hRule="atLeast"/>
                    </w:trPr>
                    <w:tc>
                      <w:tcPr>
                        <w:tcW w:w="1794" w:type="dxa"/>
                        <w:tcBorders>
                          <w:top w:val="single" w:sz="2" w:space="0" w:color="000000"/>
                        </w:tcBorders>
                      </w:tcPr>
                      <w:p w:rsidR="0018722C">
                        <w:pPr>
                          <w:widowControl w:val="0"/>
                          <w:snapToGrid w:val="1"/>
                          <w:spacing w:beforeLines="0" w:afterLines="0" w:lineRule="auto" w:line="240" w:after="0" w:before="54"/>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Age</w:t>
                        </w:r>
                      </w:p>
                    </w:tc>
                    <w:tc>
                      <w:tcPr>
                        <w:tcW w:w="1009"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8"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211"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2"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2"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11" w:type="dxa"/>
                        <w:tcBorders>
                          <w:top w:val="single" w:sz="2"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380" w:hRule="atLeast"/>
                    </w:trPr>
                    <w:tc>
                      <w:tcPr>
                        <w:tcW w:w="1794" w:type="dxa"/>
                      </w:tcPr>
                      <w:p w:rsidR="0018722C">
                        <w:pPr>
                          <w:widowControl w:val="0"/>
                          <w:snapToGrid w:val="1"/>
                          <w:spacing w:beforeLines="0" w:afterLines="0" w:before="0" w:after="0" w:line="330" w:lineRule="exact"/>
                          <w:ind w:firstLineChars="0" w:firstLine="0" w:rightChars="0" w:right="0" w:leftChars="0" w:left="81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55</w:t>
                        </w:r>
                      </w:p>
                    </w:tc>
                    <w:tc>
                      <w:tcPr>
                        <w:tcW w:w="1009" w:type="dxa"/>
                      </w:tcPr>
                      <w:p w:rsidR="0018722C">
                        <w:pPr>
                          <w:widowControl w:val="0"/>
                          <w:snapToGrid w:val="1"/>
                          <w:spacing w:beforeLines="0" w:afterLines="0" w:lineRule="auto" w:line="240" w:after="0" w:before="5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w:t>
                        </w:r>
                      </w:p>
                    </w:tc>
                    <w:tc>
                      <w:tcPr>
                        <w:tcW w:w="1301" w:type="dxa"/>
                      </w:tcPr>
                      <w:p w:rsidR="0018722C">
                        <w:pPr>
                          <w:widowControl w:val="0"/>
                          <w:snapToGrid w:val="1"/>
                          <w:spacing w:beforeLines="0" w:afterLines="0" w:lineRule="auto" w:line="240" w:after="0" w:before="51"/>
                          <w:ind w:firstLineChars="0" w:firstLine="0" w:rightChars="0" w:right="0" w:leftChars="0" w:left="24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12(36.36)</w:t>
                        </w:r>
                      </w:p>
                    </w:tc>
                    <w:tc>
                      <w:tcPr>
                        <w:tcW w:w="1358"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21(63.64)</w:t>
                        </w:r>
                      </w:p>
                    </w:tc>
                    <w:tc>
                      <w:tcPr>
                        <w:tcW w:w="1211" w:type="dxa"/>
                      </w:tcPr>
                      <w:p w:rsidR="0018722C">
                        <w:pPr>
                          <w:widowControl w:val="0"/>
                          <w:snapToGrid w:val="1"/>
                          <w:spacing w:beforeLines="0" w:afterLines="0" w:lineRule="auto" w:line="240" w:after="0" w:before="5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12(36.36)</w:t>
                        </w:r>
                      </w:p>
                    </w:tc>
                    <w:tc>
                      <w:tcPr>
                        <w:tcW w:w="1352" w:type="dxa"/>
                      </w:tcPr>
                      <w:p w:rsidR="0018722C">
                        <w:pPr>
                          <w:widowControl w:val="0"/>
                          <w:snapToGrid w:val="1"/>
                          <w:spacing w:beforeLines="0" w:afterLines="0" w:lineRule="auto" w:line="240" w:after="0" w:before="5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21(63.64)</w:t>
                        </w:r>
                      </w:p>
                    </w:tc>
                    <w:tc>
                      <w:tcPr>
                        <w:tcW w:w="1302" w:type="dxa"/>
                      </w:tcPr>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4(12.12)</w:t>
                        </w:r>
                      </w:p>
                    </w:tc>
                    <w:tc>
                      <w:tcPr>
                        <w:tcW w:w="1311" w:type="dxa"/>
                      </w:tcPr>
                      <w:p w:rsidR="0018722C">
                        <w:pPr>
                          <w:widowControl w:val="0"/>
                          <w:snapToGrid w:val="1"/>
                          <w:spacing w:beforeLines="0" w:afterLines="0" w:lineRule="auto" w:line="240" w:after="0" w:before="5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29(87.88)</w:t>
                        </w:r>
                      </w:p>
                    </w:tc>
                  </w:tr>
                  <w:tr>
                    <w:trPr>
                      <w:trHeight w:val="380" w:hRule="atLeast"/>
                    </w:trPr>
                    <w:tc>
                      <w:tcPr>
                        <w:tcW w:w="1794" w:type="dxa"/>
                      </w:tcPr>
                      <w:p w:rsidR="0018722C">
                        <w:pPr>
                          <w:widowControl w:val="0"/>
                          <w:snapToGrid w:val="1"/>
                          <w:spacing w:beforeLines="0" w:afterLines="0" w:lineRule="auto" w:line="240" w:after="0" w:before="51"/>
                          <w:ind w:firstLineChars="0" w:firstLine="0" w:rightChars="0" w:right="0" w:leftChars="0" w:left="8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≥55</w:t>
                        </w:r>
                      </w:p>
                    </w:tc>
                    <w:tc>
                      <w:tcPr>
                        <w:tcW w:w="1009" w:type="dxa"/>
                      </w:tcPr>
                      <w:p w:rsidR="0018722C">
                        <w:pPr>
                          <w:widowControl w:val="0"/>
                          <w:snapToGrid w:val="1"/>
                          <w:spacing w:beforeLines="0" w:afterLines="0" w:lineRule="auto" w:line="240" w:after="0" w:before="5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w:t>
                        </w:r>
                      </w:p>
                    </w:tc>
                    <w:tc>
                      <w:tcPr>
                        <w:tcW w:w="1301" w:type="dxa"/>
                      </w:tcPr>
                      <w:p w:rsidR="0018722C">
                        <w:pPr>
                          <w:widowControl w:val="0"/>
                          <w:snapToGrid w:val="1"/>
                          <w:spacing w:beforeLines="0" w:afterLines="0" w:lineRule="auto" w:line="240" w:after="0" w:before="5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18(26.09)</w:t>
                        </w:r>
                      </w:p>
                    </w:tc>
                    <w:tc>
                      <w:tcPr>
                        <w:tcW w:w="1358"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51(73.91)</w:t>
                        </w:r>
                      </w:p>
                    </w:tc>
                    <w:tc>
                      <w:tcPr>
                        <w:tcW w:w="1211" w:type="dxa"/>
                      </w:tcPr>
                      <w:p w:rsidR="0018722C">
                        <w:pPr>
                          <w:widowControl w:val="0"/>
                          <w:snapToGrid w:val="1"/>
                          <w:spacing w:beforeLines="0" w:afterLines="0" w:lineRule="auto" w:line="240" w:after="0" w:before="5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35(50.72)</w:t>
                        </w:r>
                      </w:p>
                    </w:tc>
                    <w:tc>
                      <w:tcPr>
                        <w:tcW w:w="1352" w:type="dxa"/>
                      </w:tcPr>
                      <w:p w:rsidR="0018722C">
                        <w:pPr>
                          <w:widowControl w:val="0"/>
                          <w:snapToGrid w:val="1"/>
                          <w:spacing w:beforeLines="0" w:afterLines="0" w:lineRule="auto" w:line="240" w:after="0" w:before="5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34(49.28)</w:t>
                        </w:r>
                      </w:p>
                    </w:tc>
                    <w:tc>
                      <w:tcPr>
                        <w:tcW w:w="1302" w:type="dxa"/>
                      </w:tcPr>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10(14.49)</w:t>
                        </w:r>
                      </w:p>
                    </w:tc>
                    <w:tc>
                      <w:tcPr>
                        <w:tcW w:w="1311" w:type="dxa"/>
                      </w:tcPr>
                      <w:p w:rsidR="0018722C">
                        <w:pPr>
                          <w:widowControl w:val="0"/>
                          <w:snapToGrid w:val="1"/>
                          <w:spacing w:beforeLines="0" w:afterLines="0" w:lineRule="auto" w:line="240" w:after="0" w:before="5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59(85.51)</w:t>
                        </w:r>
                      </w:p>
                    </w:tc>
                  </w:tr>
                  <w:tr>
                    <w:trPr>
                      <w:trHeight w:val="380" w:hRule="atLeast"/>
                    </w:trPr>
                    <w:tc>
                      <w:tcPr>
                        <w:tcW w:w="1794" w:type="dxa"/>
                      </w:tcPr>
                      <w:p w:rsidR="0018722C">
                        <w:pPr>
                          <w:widowControl w:val="0"/>
                          <w:snapToGrid w:val="1"/>
                          <w:spacing w:beforeLines="0" w:afterLines="0" w:lineRule="auto" w:line="240" w:after="0" w:before="51"/>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Gender</w:t>
                        </w: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380" w:hRule="atLeast"/>
                    </w:trPr>
                    <w:tc>
                      <w:tcPr>
                        <w:tcW w:w="1794" w:type="dxa"/>
                      </w:tcPr>
                      <w:p w:rsidR="0018722C">
                        <w:pPr>
                          <w:widowControl w:val="0"/>
                          <w:snapToGrid w:val="1"/>
                          <w:spacing w:beforeLines="0" w:afterLines="0" w:lineRule="auto" w:line="240" w:after="0" w:before="52"/>
                          <w:ind w:firstLineChars="0" w:firstLine="0" w:rightChars="0" w:right="0" w:leftChars="0" w:left="82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male</w:t>
                        </w:r>
                      </w:p>
                    </w:tc>
                    <w:tc>
                      <w:tcPr>
                        <w:tcW w:w="1009" w:type="dxa"/>
                      </w:tcPr>
                      <w:p w:rsidR="0018722C">
                        <w:pPr>
                          <w:widowControl w:val="0"/>
                          <w:snapToGrid w:val="1"/>
                          <w:spacing w:beforeLines="0" w:afterLines="0" w:lineRule="auto" w:line="240" w:after="0" w:before="52"/>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w:t>
                        </w:r>
                      </w:p>
                    </w:tc>
                    <w:tc>
                      <w:tcPr>
                        <w:tcW w:w="1301" w:type="dxa"/>
                      </w:tcPr>
                      <w:p w:rsidR="0018722C">
                        <w:pPr>
                          <w:widowControl w:val="0"/>
                          <w:snapToGrid w:val="1"/>
                          <w:spacing w:beforeLines="0" w:afterLines="0" w:lineRule="auto" w:line="240" w:after="0" w:before="52"/>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20(27.78)</w:t>
                        </w:r>
                      </w:p>
                    </w:tc>
                    <w:tc>
                      <w:tcPr>
                        <w:tcW w:w="1358"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52(72.22)</w:t>
                        </w:r>
                      </w:p>
                    </w:tc>
                    <w:tc>
                      <w:tcPr>
                        <w:tcW w:w="1211" w:type="dxa"/>
                      </w:tcPr>
                      <w:p w:rsidR="0018722C">
                        <w:pPr>
                          <w:widowControl w:val="0"/>
                          <w:snapToGrid w:val="1"/>
                          <w:spacing w:beforeLines="0" w:afterLines="0" w:lineRule="auto" w:line="240" w:after="0" w:before="52"/>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33(45.83)</w:t>
                        </w:r>
                      </w:p>
                    </w:tc>
                    <w:tc>
                      <w:tcPr>
                        <w:tcW w:w="1352" w:type="dxa"/>
                      </w:tcPr>
                      <w:p w:rsidR="0018722C">
                        <w:pPr>
                          <w:widowControl w:val="0"/>
                          <w:snapToGrid w:val="1"/>
                          <w:spacing w:beforeLines="0" w:afterLines="0" w:lineRule="auto" w:line="240" w:after="0" w:before="52"/>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39(54.17)</w:t>
                        </w:r>
                      </w:p>
                    </w:tc>
                    <w:tc>
                      <w:tcPr>
                        <w:tcW w:w="1302" w:type="dxa"/>
                      </w:tcPr>
                      <w:p w:rsidR="0018722C">
                        <w:pPr>
                          <w:widowControl w:val="0"/>
                          <w:snapToGrid w:val="1"/>
                          <w:spacing w:beforeLines="0" w:afterLines="0" w:lineRule="auto" w:line="240" w:after="0" w:before="52"/>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7(9.72)</w:t>
                        </w:r>
                      </w:p>
                    </w:tc>
                    <w:tc>
                      <w:tcPr>
                        <w:tcW w:w="1311" w:type="dxa"/>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65(90.28)</w:t>
                        </w:r>
                      </w:p>
                    </w:tc>
                  </w:tr>
                  <w:tr>
                    <w:trPr>
                      <w:trHeight w:val="380" w:hRule="atLeast"/>
                    </w:trPr>
                    <w:tc>
                      <w:tcPr>
                        <w:tcW w:w="1794" w:type="dxa"/>
                      </w:tcPr>
                      <w:p w:rsidR="0018722C">
                        <w:pPr>
                          <w:widowControl w:val="0"/>
                          <w:snapToGrid w:val="1"/>
                          <w:spacing w:beforeLines="0" w:afterLines="0" w:lineRule="auto" w:line="240" w:after="0" w:before="51"/>
                          <w:ind w:firstLineChars="0" w:firstLine="0" w:rightChars="0" w:right="0" w:leftChars="0" w:left="7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female</w:t>
                        </w:r>
                      </w:p>
                    </w:tc>
                    <w:tc>
                      <w:tcPr>
                        <w:tcW w:w="1009" w:type="dxa"/>
                      </w:tcPr>
                      <w:p w:rsidR="0018722C">
                        <w:pPr>
                          <w:widowControl w:val="0"/>
                          <w:snapToGrid w:val="1"/>
                          <w:spacing w:beforeLines="0" w:afterLines="0" w:lineRule="auto" w:line="240" w:after="0" w:before="5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w:t>
                        </w:r>
                      </w:p>
                    </w:tc>
                    <w:tc>
                      <w:tcPr>
                        <w:tcW w:w="1301" w:type="dxa"/>
                      </w:tcPr>
                      <w:p w:rsidR="0018722C">
                        <w:pPr>
                          <w:widowControl w:val="0"/>
                          <w:snapToGrid w:val="1"/>
                          <w:spacing w:beforeLines="0" w:afterLines="0" w:lineRule="auto" w:line="240" w:after="0" w:before="5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10(33.33)</w:t>
                        </w:r>
                      </w:p>
                    </w:tc>
                    <w:tc>
                      <w:tcPr>
                        <w:tcW w:w="1358"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20(66.67)</w:t>
                        </w:r>
                      </w:p>
                    </w:tc>
                    <w:tc>
                      <w:tcPr>
                        <w:tcW w:w="1211" w:type="dxa"/>
                      </w:tcPr>
                      <w:p w:rsidR="0018722C">
                        <w:pPr>
                          <w:widowControl w:val="0"/>
                          <w:snapToGrid w:val="1"/>
                          <w:spacing w:beforeLines="0" w:afterLines="0" w:lineRule="auto" w:line="240" w:after="0" w:before="5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14(46.67)</w:t>
                        </w:r>
                      </w:p>
                    </w:tc>
                    <w:tc>
                      <w:tcPr>
                        <w:tcW w:w="1352" w:type="dxa"/>
                      </w:tcPr>
                      <w:p w:rsidR="0018722C">
                        <w:pPr>
                          <w:widowControl w:val="0"/>
                          <w:snapToGrid w:val="1"/>
                          <w:spacing w:beforeLines="0" w:afterLines="0" w:lineRule="auto" w:line="240" w:after="0" w:before="5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16(53.33)</w:t>
                        </w:r>
                      </w:p>
                    </w:tc>
                    <w:tc>
                      <w:tcPr>
                        <w:tcW w:w="1302" w:type="dxa"/>
                      </w:tcPr>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7(23.33)</w:t>
                        </w:r>
                      </w:p>
                    </w:tc>
                    <w:tc>
                      <w:tcPr>
                        <w:tcW w:w="1311" w:type="dxa"/>
                      </w:tcPr>
                      <w:p w:rsidR="0018722C">
                        <w:pPr>
                          <w:widowControl w:val="0"/>
                          <w:snapToGrid w:val="1"/>
                          <w:spacing w:beforeLines="0" w:afterLines="0" w:lineRule="auto" w:line="240" w:after="0" w:before="5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23(76.67)</w:t>
                        </w:r>
                      </w:p>
                    </w:tc>
                  </w:tr>
                  <w:tr>
                    <w:trPr>
                      <w:trHeight w:val="380" w:hRule="atLeast"/>
                    </w:trPr>
                    <w:tc>
                      <w:tcPr>
                        <w:tcW w:w="1794" w:type="dxa"/>
                      </w:tcPr>
                      <w:p w:rsidR="0018722C">
                        <w:pPr>
                          <w:widowControl w:val="0"/>
                          <w:snapToGrid w:val="1"/>
                          <w:spacing w:beforeLines="0" w:afterLines="0" w:lineRule="auto" w:line="240" w:after="0" w:before="52"/>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Grades</w:t>
                        </w: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380" w:hRule="atLeast"/>
                    </w:trPr>
                    <w:tc>
                      <w:tcPr>
                        <w:tcW w:w="1794" w:type="dxa"/>
                      </w:tcPr>
                      <w:p w:rsidR="0018722C">
                        <w:pPr>
                          <w:widowControl w:val="0"/>
                          <w:snapToGrid w:val="1"/>
                          <w:spacing w:beforeLines="0" w:afterLines="0" w:lineRule="auto" w:line="240" w:after="0" w:before="51"/>
                          <w:ind w:firstLineChars="0" w:firstLine="0" w:leftChars="0" w:left="0" w:rightChars="0" w:right="1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High+Medium</w:t>
                        </w:r>
                      </w:p>
                    </w:tc>
                    <w:tc>
                      <w:tcPr>
                        <w:tcW w:w="1009" w:type="dxa"/>
                      </w:tcPr>
                      <w:p w:rsidR="0018722C">
                        <w:pPr>
                          <w:widowControl w:val="0"/>
                          <w:snapToGrid w:val="1"/>
                          <w:spacing w:beforeLines="0" w:afterLines="0" w:lineRule="auto" w:line="240" w:after="0" w:before="5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33</w:t>
                        </w:r>
                      </w:p>
                    </w:tc>
                    <w:tc>
                      <w:tcPr>
                        <w:tcW w:w="1301" w:type="dxa"/>
                      </w:tcPr>
                      <w:p w:rsidR="0018722C">
                        <w:pPr>
                          <w:widowControl w:val="0"/>
                          <w:snapToGrid w:val="1"/>
                          <w:spacing w:beforeLines="0" w:afterLines="0" w:lineRule="auto" w:line="240" w:after="0" w:before="5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9(27.27)</w:t>
                        </w:r>
                      </w:p>
                    </w:tc>
                    <w:tc>
                      <w:tcPr>
                        <w:tcW w:w="1358"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24(72.73)</w:t>
                        </w:r>
                      </w:p>
                    </w:tc>
                    <w:tc>
                      <w:tcPr>
                        <w:tcW w:w="1211" w:type="dxa"/>
                      </w:tcPr>
                      <w:p w:rsidR="0018722C">
                        <w:pPr>
                          <w:widowControl w:val="0"/>
                          <w:snapToGrid w:val="1"/>
                          <w:spacing w:beforeLines="0" w:afterLines="0" w:lineRule="auto" w:line="240" w:after="0" w:before="5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6(18.18)</w:t>
                        </w:r>
                      </w:p>
                    </w:tc>
                    <w:tc>
                      <w:tcPr>
                        <w:tcW w:w="1352" w:type="dxa"/>
                      </w:tcPr>
                      <w:p w:rsidR="0018722C">
                        <w:pPr>
                          <w:widowControl w:val="0"/>
                          <w:snapToGrid w:val="1"/>
                          <w:spacing w:beforeLines="0" w:afterLines="0" w:lineRule="auto" w:line="240" w:after="0" w:before="5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27(81.82)</w:t>
                        </w:r>
                      </w:p>
                    </w:tc>
                    <w:tc>
                      <w:tcPr>
                        <w:tcW w:w="1302" w:type="dxa"/>
                      </w:tcPr>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11(33.33)</w:t>
                        </w:r>
                      </w:p>
                    </w:tc>
                    <w:tc>
                      <w:tcPr>
                        <w:tcW w:w="1311" w:type="dxa"/>
                      </w:tcPr>
                      <w:p w:rsidR="0018722C">
                        <w:pPr>
                          <w:widowControl w:val="0"/>
                          <w:snapToGrid w:val="1"/>
                          <w:spacing w:beforeLines="0" w:afterLines="0" w:lineRule="auto" w:line="240" w:after="0" w:before="5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22(66.67)</w:t>
                        </w:r>
                      </w:p>
                    </w:tc>
                  </w:tr>
                  <w:tr>
                    <w:trPr>
                      <w:trHeight w:val="380" w:hRule="atLeast"/>
                    </w:trPr>
                    <w:tc>
                      <w:tcPr>
                        <w:tcW w:w="1794" w:type="dxa"/>
                      </w:tcPr>
                      <w:p w:rsidR="0018722C">
                        <w:pPr>
                          <w:widowControl w:val="0"/>
                          <w:snapToGrid w:val="1"/>
                          <w:spacing w:beforeLines="0" w:afterLines="0" w:lineRule="auto" w:line="240" w:after="0" w:before="52"/>
                          <w:ind w:firstLineChars="0" w:firstLine="0" w:leftChars="0" w:left="88" w:rightChars="0" w:right="2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Low</w:t>
                        </w:r>
                      </w:p>
                    </w:tc>
                    <w:tc>
                      <w:tcPr>
                        <w:tcW w:w="1009" w:type="dxa"/>
                      </w:tcPr>
                      <w:p w:rsidR="0018722C">
                        <w:pPr>
                          <w:widowControl w:val="0"/>
                          <w:snapToGrid w:val="1"/>
                          <w:spacing w:beforeLines="0" w:afterLines="0" w:lineRule="auto" w:line="240" w:after="0" w:before="52"/>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w:t>
                        </w:r>
                      </w:p>
                    </w:tc>
                    <w:tc>
                      <w:tcPr>
                        <w:tcW w:w="1301" w:type="dxa"/>
                      </w:tcPr>
                      <w:p w:rsidR="0018722C">
                        <w:pPr>
                          <w:widowControl w:val="0"/>
                          <w:snapToGrid w:val="1"/>
                          <w:spacing w:beforeLines="0" w:afterLines="0" w:lineRule="auto" w:line="240" w:after="0" w:before="52"/>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21(30.43)</w:t>
                        </w:r>
                      </w:p>
                    </w:tc>
                    <w:tc>
                      <w:tcPr>
                        <w:tcW w:w="1358"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48(69.57)</w:t>
                        </w:r>
                      </w:p>
                    </w:tc>
                    <w:tc>
                      <w:tcPr>
                        <w:tcW w:w="1211" w:type="dxa"/>
                      </w:tcPr>
                      <w:p w:rsidR="0018722C">
                        <w:pPr>
                          <w:widowControl w:val="0"/>
                          <w:snapToGrid w:val="1"/>
                          <w:spacing w:beforeLines="0" w:afterLines="0" w:lineRule="auto" w:line="240" w:after="0" w:before="52"/>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41(59.42)</w:t>
                        </w:r>
                      </w:p>
                    </w:tc>
                    <w:tc>
                      <w:tcPr>
                        <w:tcW w:w="1352" w:type="dxa"/>
                      </w:tcPr>
                      <w:p w:rsidR="0018722C">
                        <w:pPr>
                          <w:widowControl w:val="0"/>
                          <w:snapToGrid w:val="1"/>
                          <w:spacing w:beforeLines="0" w:afterLines="0" w:lineRule="auto" w:line="240" w:after="0" w:before="52"/>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28(40.58)</w:t>
                        </w:r>
                      </w:p>
                    </w:tc>
                    <w:tc>
                      <w:tcPr>
                        <w:tcW w:w="1302" w:type="dxa"/>
                      </w:tcPr>
                      <w:p w:rsidR="0018722C">
                        <w:pPr>
                          <w:widowControl w:val="0"/>
                          <w:snapToGrid w:val="1"/>
                          <w:spacing w:beforeLines="0" w:afterLines="0" w:lineRule="auto" w:line="240" w:after="0" w:before="52"/>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3(4.35)</w:t>
                        </w:r>
                      </w:p>
                    </w:tc>
                    <w:tc>
                      <w:tcPr>
                        <w:tcW w:w="1311" w:type="dxa"/>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66(95.65)</w:t>
                        </w:r>
                      </w:p>
                    </w:tc>
                  </w:tr>
                  <w:tr>
                    <w:trPr>
                      <w:trHeight w:val="380" w:hRule="atLeast"/>
                    </w:trPr>
                    <w:tc>
                      <w:tcPr>
                        <w:tcW w:w="1794" w:type="dxa"/>
                      </w:tcPr>
                      <w:p w:rsidR="0018722C">
                        <w:pPr>
                          <w:widowControl w:val="0"/>
                          <w:snapToGrid w:val="1"/>
                          <w:spacing w:beforeLines="0" w:afterLines="0" w:lineRule="auto" w:line="240" w:after="0" w:before="51"/>
                          <w:ind w:firstLineChars="0" w:firstLine="0" w:leftChars="0" w:left="0" w:rightChars="0" w:right="-4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Depth of invasion</w:t>
                        </w: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360" w:hRule="atLeast"/>
                    </w:trPr>
                    <w:tc>
                      <w:tcPr>
                        <w:tcW w:w="1794" w:type="dxa"/>
                      </w:tcPr>
                      <w:p w:rsidR="0018722C">
                        <w:pPr>
                          <w:widowControl w:val="0"/>
                          <w:snapToGrid w:val="1"/>
                          <w:spacing w:beforeLines="0" w:afterLines="0" w:lineRule="auto" w:line="240" w:after="0" w:before="52"/>
                          <w:ind w:firstLineChars="0" w:firstLine="0" w:leftChars="0" w:left="0" w:rightChars="0" w:right="43"/>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Not to serosa</w:t>
                        </w:r>
                      </w:p>
                    </w:tc>
                    <w:tc>
                      <w:tcPr>
                        <w:tcW w:w="1009" w:type="dxa"/>
                      </w:tcPr>
                      <w:p w:rsidR="0018722C">
                        <w:pPr>
                          <w:widowControl w:val="0"/>
                          <w:snapToGrid w:val="1"/>
                          <w:spacing w:beforeLines="0" w:afterLines="0" w:lineRule="auto" w:line="240" w:after="0" w:before="52"/>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w:t>
                        </w:r>
                      </w:p>
                    </w:tc>
                    <w:tc>
                      <w:tcPr>
                        <w:tcW w:w="1301" w:type="dxa"/>
                      </w:tcPr>
                      <w:p w:rsidR="0018722C">
                        <w:pPr>
                          <w:widowControl w:val="0"/>
                          <w:snapToGrid w:val="1"/>
                          <w:spacing w:beforeLines="0" w:afterLines="0" w:lineRule="auto" w:line="240" w:after="0" w:before="52"/>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15(41.67)</w:t>
                        </w:r>
                      </w:p>
                    </w:tc>
                    <w:tc>
                      <w:tcPr>
                        <w:tcW w:w="1358" w:type="dxa"/>
                      </w:tcPr>
                      <w:p w:rsidR="0018722C">
                        <w:pPr>
                          <w:widowControl w:val="0"/>
                          <w:snapToGrid w:val="1"/>
                          <w:spacing w:beforeLines="0" w:afterLines="0" w:lineRule="auto" w:line="240" w:after="0" w:before="52"/>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21(58.33)</w:t>
                        </w:r>
                      </w:p>
                    </w:tc>
                    <w:tc>
                      <w:tcPr>
                        <w:tcW w:w="1211" w:type="dxa"/>
                      </w:tcPr>
                      <w:p w:rsidR="0018722C">
                        <w:pPr>
                          <w:widowControl w:val="0"/>
                          <w:snapToGrid w:val="1"/>
                          <w:spacing w:beforeLines="0" w:afterLines="0" w:lineRule="auto" w:line="240" w:after="0" w:before="52"/>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22(61,11)</w:t>
                        </w:r>
                      </w:p>
                    </w:tc>
                    <w:tc>
                      <w:tcPr>
                        <w:tcW w:w="1352" w:type="dxa"/>
                      </w:tcPr>
                      <w:p w:rsidR="0018722C">
                        <w:pPr>
                          <w:widowControl w:val="0"/>
                          <w:snapToGrid w:val="1"/>
                          <w:spacing w:beforeLines="0" w:afterLines="0" w:lineRule="auto" w:line="240" w:after="0" w:before="52"/>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14(38.89)</w:t>
                        </w:r>
                      </w:p>
                    </w:tc>
                    <w:tc>
                      <w:tcPr>
                        <w:tcW w:w="1302" w:type="dxa"/>
                      </w:tcPr>
                      <w:p w:rsidR="0018722C">
                        <w:pPr>
                          <w:widowControl w:val="0"/>
                          <w:snapToGrid w:val="1"/>
                          <w:spacing w:beforeLines="0" w:afterLines="0" w:lineRule="auto" w:line="240" w:after="0" w:before="52"/>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 (30.56)</w:t>
                        </w:r>
                      </w:p>
                    </w:tc>
                    <w:tc>
                      <w:tcPr>
                        <w:tcW w:w="1311" w:type="dxa"/>
                      </w:tcPr>
                      <w:p w:rsidR="0018722C">
                        <w:pPr>
                          <w:widowControl w:val="0"/>
                          <w:snapToGrid w:val="1"/>
                          <w:spacing w:beforeLines="0" w:afterLines="0" w:lineRule="auto" w:line="240" w:after="0" w:before="52"/>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25(69.44)</w:t>
                        </w:r>
                      </w:p>
                    </w:tc>
                  </w:tr>
                  <w:tr>
                    <w:trPr>
                      <w:trHeight w:val="400" w:hRule="atLeast"/>
                    </w:trPr>
                    <w:tc>
                      <w:tcPr>
                        <w:tcW w:w="1794" w:type="dxa"/>
                      </w:tcPr>
                      <w:p w:rsidR="0018722C">
                        <w:pPr>
                          <w:widowControl w:val="0"/>
                          <w:snapToGrid w:val="1"/>
                          <w:spacing w:beforeLines="0" w:afterLines="0" w:lineRule="auto" w:line="240" w:after="0" w:before="71"/>
                          <w:ind w:firstLineChars="0" w:firstLine="0" w:rightChars="0" w:right="0" w:leftChars="0" w:left="60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To serosa</w:t>
                        </w:r>
                      </w:p>
                    </w:tc>
                    <w:tc>
                      <w:tcPr>
                        <w:tcW w:w="1009" w:type="dxa"/>
                      </w:tcPr>
                      <w:p w:rsidR="0018722C">
                        <w:pPr>
                          <w:widowControl w:val="0"/>
                          <w:snapToGrid w:val="1"/>
                          <w:spacing w:beforeLines="0" w:afterLines="0" w:lineRule="auto" w:line="240" w:after="0" w:before="7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w:t>
                        </w:r>
                      </w:p>
                    </w:tc>
                    <w:tc>
                      <w:tcPr>
                        <w:tcW w:w="1301" w:type="dxa"/>
                      </w:tcPr>
                      <w:p w:rsidR="0018722C">
                        <w:pPr>
                          <w:widowControl w:val="0"/>
                          <w:snapToGrid w:val="1"/>
                          <w:spacing w:beforeLines="0" w:afterLines="0" w:lineRule="auto" w:line="240" w:after="0" w:before="7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15(22.73)</w:t>
                        </w:r>
                      </w:p>
                    </w:tc>
                    <w:tc>
                      <w:tcPr>
                        <w:tcW w:w="1358" w:type="dxa"/>
                      </w:tcPr>
                      <w:p w:rsidR="0018722C">
                        <w:pPr>
                          <w:widowControl w:val="0"/>
                          <w:snapToGrid w:val="1"/>
                          <w:spacing w:beforeLines="0" w:afterLines="0" w:lineRule="auto" w:line="240" w:after="0" w:before="36"/>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51(77.27</w:t>
                        </w:r>
                        <w:r>
                          <w:rPr>
                            <w:kern w:val="2"/>
                            <w:szCs w:val="22"/>
                            <w:rFonts w:cstheme="minorBidi" w:ascii="Times New Roman" w:hAnsi="Times New Roman" w:eastAsia="Times New Roman" w:cs="Times New Roman"/>
                            <w:position w:val="11"/>
                            <w:sz w:val="16"/>
                          </w:rPr>
                          <w:t>a</w:t>
                        </w:r>
                        <w:r>
                          <w:rPr>
                            <w:kern w:val="2"/>
                            <w:szCs w:val="22"/>
                            <w:rFonts w:cstheme="minorBidi" w:ascii="Times New Roman" w:hAnsi="Times New Roman" w:eastAsia="Times New Roman" w:cs="Times New Roman"/>
                            <w:sz w:val="24"/>
                          </w:rPr>
                          <w:t>)</w:t>
                        </w:r>
                      </w:p>
                    </w:tc>
                    <w:tc>
                      <w:tcPr>
                        <w:tcW w:w="1211" w:type="dxa"/>
                      </w:tcPr>
                      <w:p w:rsidR="0018722C">
                        <w:pPr>
                          <w:widowControl w:val="0"/>
                          <w:snapToGrid w:val="1"/>
                          <w:spacing w:beforeLines="0" w:afterLines="0" w:lineRule="auto" w:line="240" w:after="0" w:before="7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25(38.88)</w:t>
                        </w:r>
                      </w:p>
                    </w:tc>
                    <w:tc>
                      <w:tcPr>
                        <w:tcW w:w="1352" w:type="dxa"/>
                      </w:tcPr>
                      <w:p w:rsidR="0018722C">
                        <w:pPr>
                          <w:widowControl w:val="0"/>
                          <w:snapToGrid w:val="1"/>
                          <w:spacing w:beforeLines="0" w:afterLines="0" w:lineRule="auto" w:line="240" w:after="0" w:before="7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41(62.12)</w:t>
                        </w:r>
                      </w:p>
                    </w:tc>
                    <w:tc>
                      <w:tcPr>
                        <w:tcW w:w="1302" w:type="dxa"/>
                      </w:tcPr>
                      <w:p w:rsidR="0018722C">
                        <w:pPr>
                          <w:widowControl w:val="0"/>
                          <w:snapToGrid w:val="1"/>
                          <w:spacing w:beforeLines="0" w:afterLines="0" w:lineRule="auto" w:line="240" w:after="0" w:before="7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3(4.55)</w:t>
                        </w:r>
                      </w:p>
                    </w:tc>
                    <w:tc>
                      <w:tcPr>
                        <w:tcW w:w="1311" w:type="dxa"/>
                      </w:tcPr>
                      <w:p w:rsidR="0018722C">
                        <w:pPr>
                          <w:widowControl w:val="0"/>
                          <w:snapToGrid w:val="1"/>
                          <w:spacing w:beforeLines="0" w:afterLines="0" w:lineRule="auto" w:line="240" w:after="0" w:before="7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63(95.45)</w:t>
                        </w:r>
                      </w:p>
                    </w:tc>
                  </w:tr>
                  <w:tr>
                    <w:trPr>
                      <w:trHeight w:val="380" w:hRule="atLeast"/>
                    </w:trPr>
                    <w:tc>
                      <w:tcPr>
                        <w:tcW w:w="1794" w:type="dxa"/>
                      </w:tcPr>
                      <w:p w:rsidR="0018722C">
                        <w:pPr>
                          <w:widowControl w:val="0"/>
                          <w:snapToGrid w:val="1"/>
                          <w:spacing w:beforeLines="0" w:afterLines="0" w:lineRule="auto" w:line="240" w:after="0" w:before="52"/>
                          <w:ind w:firstLineChars="0" w:firstLine="0" w:rightChars="0" w:right="0" w:leftChars="0" w:left="10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TNM stage</w:t>
                        </w: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360" w:hRule="atLeast"/>
                    </w:trPr>
                    <w:tc>
                      <w:tcPr>
                        <w:tcW w:w="1794" w:type="dxa"/>
                      </w:tcPr>
                      <w:p w:rsidR="0018722C">
                        <w:pPr>
                          <w:widowControl w:val="0"/>
                          <w:snapToGrid w:val="1"/>
                          <w:spacing w:beforeLines="0" w:afterLines="0" w:before="0" w:after="0" w:line="330" w:lineRule="exact"/>
                          <w:ind w:firstLineChars="0" w:firstLine="0" w:rightChars="0" w:right="0" w:leftChars="0" w:left="588"/>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Ⅰ</w:t>
                        </w:r>
                        <w:r>
                          <w:rPr>
                            <w:kern w:val="2"/>
                            <w:szCs w:val="22"/>
                            <w:rFonts w:cstheme="minorBidi" w:ascii="Times New Roman" w:hAnsi="Times New Roman" w:eastAsia="Times New Roman" w:cs="Times New Roman"/>
                            <w:sz w:val="24"/>
                          </w:rPr>
                          <w:t>+</w:t>
                        </w:r>
                        <w:r>
                          <w:rPr>
                            <w:kern w:val="2"/>
                            <w:szCs w:val="22"/>
                            <w:rFonts w:ascii="宋体" w:hAnsi="宋体" w:cstheme="minorBidi" w:eastAsia="Times New Roman" w:cs="Times New Roman"/>
                            <w:sz w:val="24"/>
                          </w:rPr>
                          <w:t>Ⅱ</w:t>
                        </w:r>
                      </w:p>
                    </w:tc>
                    <w:tc>
                      <w:tcPr>
                        <w:tcW w:w="1009" w:type="dxa"/>
                      </w:tcPr>
                      <w:p w:rsidR="0018722C">
                        <w:pPr>
                          <w:widowControl w:val="0"/>
                          <w:snapToGrid w:val="1"/>
                          <w:spacing w:beforeLines="0" w:afterLines="0" w:lineRule="auto" w:line="240" w:after="0" w:before="5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w:t>
                        </w:r>
                      </w:p>
                    </w:tc>
                    <w:tc>
                      <w:tcPr>
                        <w:tcW w:w="1301" w:type="dxa"/>
                      </w:tcPr>
                      <w:p w:rsidR="0018722C">
                        <w:pPr>
                          <w:widowControl w:val="0"/>
                          <w:snapToGrid w:val="1"/>
                          <w:spacing w:beforeLines="0" w:afterLines="0" w:lineRule="auto" w:line="240" w:after="0" w:before="5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20(55.56)</w:t>
                        </w:r>
                      </w:p>
                    </w:tc>
                    <w:tc>
                      <w:tcPr>
                        <w:tcW w:w="1358"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16(44.44)</w:t>
                        </w:r>
                      </w:p>
                    </w:tc>
                    <w:tc>
                      <w:tcPr>
                        <w:tcW w:w="1211" w:type="dxa"/>
                      </w:tcPr>
                      <w:p w:rsidR="0018722C">
                        <w:pPr>
                          <w:widowControl w:val="0"/>
                          <w:snapToGrid w:val="1"/>
                          <w:spacing w:beforeLines="0" w:afterLines="0" w:lineRule="auto" w:line="240" w:after="0" w:before="5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11(30.56)</w:t>
                        </w:r>
                      </w:p>
                    </w:tc>
                    <w:tc>
                      <w:tcPr>
                        <w:tcW w:w="1352" w:type="dxa"/>
                      </w:tcPr>
                      <w:p w:rsidR="0018722C">
                        <w:pPr>
                          <w:widowControl w:val="0"/>
                          <w:snapToGrid w:val="1"/>
                          <w:spacing w:beforeLines="0" w:afterLines="0" w:lineRule="auto" w:line="240" w:after="0" w:before="5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25(69.44)</w:t>
                        </w:r>
                      </w:p>
                    </w:tc>
                    <w:tc>
                      <w:tcPr>
                        <w:tcW w:w="1302" w:type="dxa"/>
                      </w:tcPr>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9(25.00)</w:t>
                        </w:r>
                      </w:p>
                    </w:tc>
                    <w:tc>
                      <w:tcPr>
                        <w:tcW w:w="1311" w:type="dxa"/>
                      </w:tcPr>
                      <w:p w:rsidR="0018722C">
                        <w:pPr>
                          <w:widowControl w:val="0"/>
                          <w:snapToGrid w:val="1"/>
                          <w:spacing w:beforeLines="0" w:afterLines="0" w:lineRule="auto" w:line="240" w:after="0" w:before="5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27(75.00)</w:t>
                        </w:r>
                      </w:p>
                    </w:tc>
                  </w:tr>
                  <w:tr>
                    <w:trPr>
                      <w:trHeight w:val="400" w:hRule="atLeast"/>
                    </w:trPr>
                    <w:tc>
                      <w:tcPr>
                        <w:tcW w:w="1794" w:type="dxa"/>
                      </w:tcPr>
                      <w:p w:rsidR="0018722C">
                        <w:pPr>
                          <w:widowControl w:val="0"/>
                          <w:snapToGrid w:val="1"/>
                          <w:spacing w:beforeLines="0" w:afterLines="0" w:lineRule="auto" w:line="240" w:after="0" w:before="17"/>
                          <w:ind w:firstLineChars="0" w:firstLine="0" w:rightChars="0" w:right="0" w:leftChars="0" w:left="588"/>
                          <w:jc w:val="left"/>
                          <w:autoSpaceDE w:val="0"/>
                          <w:autoSpaceDN w:val="0"/>
                          <w:pBdr>
                            <w:bottom w:val="none" w:sz="0" w:space="0" w:color="auto"/>
                          </w:pBdr>
                          <w:rPr>
                            <w:kern w:val="2"/>
                            <w:sz w:val="24"/>
                            <w:szCs w:val="22"/>
                            <w:rFonts w:cstheme="minorBidi" w:ascii="宋体" w:hAnsi="宋体" w:eastAsia="Times New Roman" w:cs="Times New Roman"/>
                          </w:rPr>
                        </w:pPr>
                        <w:r>
                          <w:rPr>
                            <w:kern w:val="2"/>
                            <w:szCs w:val="22"/>
                            <w:rFonts w:ascii="宋体" w:hAnsi="宋体" w:cstheme="minorBidi" w:eastAsia="Times New Roman" w:cs="Times New Roman"/>
                            <w:sz w:val="24"/>
                          </w:rPr>
                          <w:t>Ⅲ</w:t>
                        </w:r>
                        <w:r>
                          <w:rPr>
                            <w:kern w:val="2"/>
                            <w:szCs w:val="22"/>
                            <w:rFonts w:cstheme="minorBidi" w:ascii="Times New Roman" w:hAnsi="Times New Roman" w:eastAsia="Times New Roman" w:cs="Times New Roman"/>
                            <w:sz w:val="24"/>
                          </w:rPr>
                          <w:t>+</w:t>
                        </w:r>
                        <w:r>
                          <w:rPr>
                            <w:kern w:val="2"/>
                            <w:szCs w:val="22"/>
                            <w:rFonts w:ascii="宋体" w:hAnsi="宋体" w:cstheme="minorBidi" w:eastAsia="Times New Roman" w:cs="Times New Roman"/>
                            <w:sz w:val="24"/>
                          </w:rPr>
                          <w:t>Ⅳ</w:t>
                        </w:r>
                      </w:p>
                    </w:tc>
                    <w:tc>
                      <w:tcPr>
                        <w:tcW w:w="1009" w:type="dxa"/>
                      </w:tcPr>
                      <w:p w:rsidR="0018722C">
                        <w:pPr>
                          <w:widowControl w:val="0"/>
                          <w:snapToGrid w:val="1"/>
                          <w:spacing w:beforeLines="0" w:afterLines="0" w:lineRule="auto" w:line="240" w:after="0" w:before="7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w:t>
                        </w:r>
                      </w:p>
                    </w:tc>
                    <w:tc>
                      <w:tcPr>
                        <w:tcW w:w="1301" w:type="dxa"/>
                      </w:tcPr>
                      <w:p w:rsidR="0018722C">
                        <w:pPr>
                          <w:widowControl w:val="0"/>
                          <w:snapToGrid w:val="1"/>
                          <w:spacing w:beforeLines="0" w:afterLines="0" w:lineRule="auto" w:line="240" w:after="0" w:before="7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10(15.15)</w:t>
                        </w:r>
                      </w:p>
                    </w:tc>
                    <w:tc>
                      <w:tcPr>
                        <w:tcW w:w="1358" w:type="dxa"/>
                      </w:tcPr>
                      <w:p w:rsidR="0018722C">
                        <w:pPr>
                          <w:widowControl w:val="0"/>
                          <w:snapToGrid w:val="1"/>
                          <w:spacing w:beforeLines="0" w:afterLines="0" w:lineRule="auto" w:line="240" w:after="0" w:before="36"/>
                          <w:ind w:firstLineChars="0" w:firstLine="0" w:rightChars="0" w:right="0" w:leftChars="0" w:left="11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56(84.85) </w:t>
                        </w:r>
                        <w:r>
                          <w:rPr>
                            <w:kern w:val="2"/>
                            <w:szCs w:val="22"/>
                            <w:rFonts w:cstheme="minorBidi" w:ascii="Times New Roman" w:hAnsi="Times New Roman" w:eastAsia="Times New Roman" w:cs="Times New Roman"/>
                            <w:position w:val="11"/>
                            <w:sz w:val="16"/>
                          </w:rPr>
                          <w:t>b</w:t>
                        </w:r>
                      </w:p>
                    </w:tc>
                    <w:tc>
                      <w:tcPr>
                        <w:tcW w:w="1211" w:type="dxa"/>
                      </w:tcPr>
                      <w:p w:rsidR="0018722C">
                        <w:pPr>
                          <w:widowControl w:val="0"/>
                          <w:snapToGrid w:val="1"/>
                          <w:spacing w:beforeLines="0" w:afterLines="0" w:lineRule="auto" w:line="240" w:after="0" w:before="7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36(54.55)</w:t>
                        </w:r>
                      </w:p>
                    </w:tc>
                    <w:tc>
                      <w:tcPr>
                        <w:tcW w:w="1352" w:type="dxa"/>
                      </w:tcPr>
                      <w:p w:rsidR="0018722C">
                        <w:pPr>
                          <w:widowControl w:val="0"/>
                          <w:snapToGrid w:val="1"/>
                          <w:spacing w:beforeLines="0" w:afterLines="0" w:lineRule="auto" w:line="240" w:after="0" w:before="7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30(45.45)</w:t>
                        </w:r>
                      </w:p>
                    </w:tc>
                    <w:tc>
                      <w:tcPr>
                        <w:tcW w:w="1302" w:type="dxa"/>
                      </w:tcPr>
                      <w:p w:rsidR="0018722C">
                        <w:pPr>
                          <w:widowControl w:val="0"/>
                          <w:snapToGrid w:val="1"/>
                          <w:spacing w:beforeLines="0" w:afterLines="0" w:lineRule="auto" w:line="240" w:after="0" w:before="7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5(7.58)</w:t>
                        </w:r>
                      </w:p>
                    </w:tc>
                    <w:tc>
                      <w:tcPr>
                        <w:tcW w:w="1311" w:type="dxa"/>
                      </w:tcPr>
                      <w:p w:rsidR="0018722C">
                        <w:pPr>
                          <w:widowControl w:val="0"/>
                          <w:snapToGrid w:val="1"/>
                          <w:spacing w:beforeLines="0" w:afterLines="0" w:lineRule="auto" w:line="240" w:after="0" w:before="7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61(92.42)</w:t>
                        </w:r>
                      </w:p>
                    </w:tc>
                  </w:tr>
                  <w:tr>
                    <w:trPr>
                      <w:trHeight w:val="760" w:hRule="atLeast"/>
                    </w:trPr>
                    <w:tc>
                      <w:tcPr>
                        <w:tcW w:w="1794" w:type="dxa"/>
                      </w:tcPr>
                      <w:p w:rsidR="0018722C">
                        <w:pPr>
                          <w:widowControl w:val="0"/>
                          <w:snapToGrid w:val="1"/>
                          <w:spacing w:beforeLines="0" w:afterLines="0" w:lineRule="auto" w:line="240" w:after="0" w:before="50"/>
                          <w:ind w:firstLineChars="0" w:firstLine="0" w:leftChars="0" w:left="88" w:rightChars="0" w:right="50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Lymphnode</w:t>
                        </w:r>
                      </w:p>
                      <w:p w:rsidR="0018722C">
                        <w:pPr>
                          <w:widowControl w:val="0"/>
                          <w:snapToGrid w:val="1"/>
                          <w:spacing w:beforeLines="0" w:afterLines="0" w:lineRule="auto" w:line="240" w:after="0" w:before="115"/>
                          <w:ind w:firstLineChars="0" w:firstLine="0" w:leftChars="0" w:left="88" w:rightChars="0" w:right="4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metastasis</w:t>
                        </w:r>
                      </w:p>
                    </w:tc>
                    <w:tc>
                      <w:tcPr>
                        <w:tcW w:w="100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2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5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0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13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360" w:hRule="atLeast"/>
                    </w:trPr>
                    <w:tc>
                      <w:tcPr>
                        <w:tcW w:w="1794" w:type="dxa"/>
                      </w:tcPr>
                      <w:p w:rsidR="0018722C">
                        <w:pPr>
                          <w:widowControl w:val="0"/>
                          <w:snapToGrid w:val="1"/>
                          <w:spacing w:beforeLines="0" w:afterLines="0" w:lineRule="auto" w:line="240" w:after="0" w:before="51"/>
                          <w:ind w:firstLineChars="0" w:firstLine="0" w:rightChars="0" w:right="0" w:leftChars="0" w:left="46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No</w:t>
                        </w:r>
                      </w:p>
                    </w:tc>
                    <w:tc>
                      <w:tcPr>
                        <w:tcW w:w="1009" w:type="dxa"/>
                      </w:tcPr>
                      <w:p w:rsidR="0018722C">
                        <w:pPr>
                          <w:widowControl w:val="0"/>
                          <w:snapToGrid w:val="1"/>
                          <w:spacing w:beforeLines="0" w:afterLines="0" w:lineRule="auto" w:line="240" w:after="0" w:before="51"/>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w:t>
                        </w:r>
                      </w:p>
                    </w:tc>
                    <w:tc>
                      <w:tcPr>
                        <w:tcW w:w="1301" w:type="dxa"/>
                      </w:tcPr>
                      <w:p w:rsidR="0018722C">
                        <w:pPr>
                          <w:widowControl w:val="0"/>
                          <w:snapToGrid w:val="1"/>
                          <w:spacing w:beforeLines="0" w:afterLines="0" w:lineRule="auto" w:line="240" w:after="0" w:before="51"/>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19(45.24)</w:t>
                        </w:r>
                      </w:p>
                    </w:tc>
                    <w:tc>
                      <w:tcPr>
                        <w:tcW w:w="1358" w:type="dxa"/>
                      </w:tcPr>
                      <w:p w:rsidR="0018722C">
                        <w:pPr>
                          <w:widowControl w:val="0"/>
                          <w:snapToGrid w:val="1"/>
                          <w:spacing w:beforeLines="0" w:afterLines="0" w:lineRule="auto" w:line="240" w:after="0" w:before="51"/>
                          <w:ind w:firstLineChars="0" w:firstLine="0" w:rightChars="0" w:right="0" w:leftChars="0" w:left="11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23(54.76)</w:t>
                        </w:r>
                      </w:p>
                    </w:tc>
                    <w:tc>
                      <w:tcPr>
                        <w:tcW w:w="1211" w:type="dxa"/>
                      </w:tcPr>
                      <w:p w:rsidR="0018722C">
                        <w:pPr>
                          <w:widowControl w:val="0"/>
                          <w:snapToGrid w:val="1"/>
                          <w:spacing w:beforeLines="0" w:afterLines="0" w:lineRule="auto" w:line="240" w:after="0" w:before="51"/>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25(59.52)</w:t>
                        </w:r>
                      </w:p>
                    </w:tc>
                    <w:tc>
                      <w:tcPr>
                        <w:tcW w:w="1352" w:type="dxa"/>
                      </w:tcPr>
                      <w:p w:rsidR="0018722C">
                        <w:pPr>
                          <w:widowControl w:val="0"/>
                          <w:snapToGrid w:val="1"/>
                          <w:spacing w:beforeLines="0" w:afterLines="0" w:lineRule="auto" w:line="240" w:after="0" w:before="51"/>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17(40.48)</w:t>
                        </w:r>
                      </w:p>
                    </w:tc>
                    <w:tc>
                      <w:tcPr>
                        <w:tcW w:w="1302" w:type="dxa"/>
                      </w:tcPr>
                      <w:p w:rsidR="0018722C">
                        <w:pPr>
                          <w:widowControl w:val="0"/>
                          <w:snapToGrid w:val="1"/>
                          <w:spacing w:beforeLines="0" w:afterLines="0" w:lineRule="auto" w:line="240" w:after="0" w:before="51"/>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10(23.81)</w:t>
                        </w:r>
                      </w:p>
                    </w:tc>
                    <w:tc>
                      <w:tcPr>
                        <w:tcW w:w="1311" w:type="dxa"/>
                      </w:tcPr>
                      <w:p w:rsidR="0018722C">
                        <w:pPr>
                          <w:widowControl w:val="0"/>
                          <w:snapToGrid w:val="1"/>
                          <w:spacing w:beforeLines="0" w:afterLines="0" w:lineRule="auto" w:line="240" w:after="0" w:before="51"/>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32(76.19)</w:t>
                        </w:r>
                      </w:p>
                    </w:tc>
                  </w:tr>
                  <w:tr>
                    <w:trPr>
                      <w:trHeight w:val="340" w:hRule="atLeast"/>
                    </w:trPr>
                    <w:tc>
                      <w:tcPr>
                        <w:tcW w:w="1794" w:type="dxa"/>
                      </w:tcPr>
                      <w:p w:rsidR="0018722C">
                        <w:pPr>
                          <w:widowControl w:val="0"/>
                          <w:snapToGrid w:val="1"/>
                          <w:spacing w:beforeLines="0" w:afterLines="0" w:after="0" w:line="256" w:lineRule="exact" w:before="72"/>
                          <w:ind w:firstLineChars="0" w:firstLine="0" w:rightChars="0" w:right="0" w:leftChars="0" w:left="46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Yes</w:t>
                        </w:r>
                      </w:p>
                    </w:tc>
                    <w:tc>
                      <w:tcPr>
                        <w:tcW w:w="1009" w:type="dxa"/>
                      </w:tcPr>
                      <w:p w:rsidR="0018722C">
                        <w:pPr>
                          <w:widowControl w:val="0"/>
                          <w:snapToGrid w:val="1"/>
                          <w:spacing w:beforeLines="0" w:afterLines="0" w:after="0" w:line="256" w:lineRule="exact" w:before="72"/>
                          <w:ind w:firstLineChars="0" w:firstLine="0" w:leftChars="0" w:left="406" w:rightChars="0" w:right="32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60</w:t>
                        </w:r>
                      </w:p>
                    </w:tc>
                    <w:tc>
                      <w:tcPr>
                        <w:tcW w:w="1301" w:type="dxa"/>
                      </w:tcPr>
                      <w:p w:rsidR="0018722C">
                        <w:pPr>
                          <w:widowControl w:val="0"/>
                          <w:snapToGrid w:val="1"/>
                          <w:spacing w:beforeLines="0" w:afterLines="0" w:after="0" w:line="256" w:lineRule="exact" w:before="72"/>
                          <w:ind w:firstLineChars="0" w:firstLine="0" w:rightChars="0" w:right="0" w:leftChars="0" w:left="20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11(18.33)</w:t>
                        </w:r>
                      </w:p>
                    </w:tc>
                    <w:tc>
                      <w:tcPr>
                        <w:tcW w:w="1358" w:type="dxa"/>
                      </w:tcPr>
                      <w:p w:rsidR="0018722C">
                        <w:pPr>
                          <w:widowControl w:val="0"/>
                          <w:snapToGrid w:val="1"/>
                          <w:spacing w:beforeLines="0" w:afterLines="0" w:after="0" w:line="291" w:lineRule="exact" w:before="37"/>
                          <w:ind w:firstLineChars="0" w:firstLine="0" w:rightChars="0" w:right="0" w:leftChars="0" w:left="118"/>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49(81.67)</w:t>
                        </w:r>
                        <w:r>
                          <w:rPr>
                            <w:kern w:val="2"/>
                            <w:szCs w:val="22"/>
                            <w:rFonts w:cstheme="minorBidi" w:ascii="Times New Roman" w:hAnsi="Times New Roman" w:eastAsia="Times New Roman" w:cs="Times New Roman"/>
                            <w:position w:val="11"/>
                            <w:sz w:val="16"/>
                          </w:rPr>
                          <w:t>b</w:t>
                        </w:r>
                      </w:p>
                    </w:tc>
                    <w:tc>
                      <w:tcPr>
                        <w:tcW w:w="1211" w:type="dxa"/>
                      </w:tcPr>
                      <w:p w:rsidR="0018722C">
                        <w:pPr>
                          <w:widowControl w:val="0"/>
                          <w:snapToGrid w:val="1"/>
                          <w:spacing w:beforeLines="0" w:afterLines="0" w:after="0" w:line="256" w:lineRule="exact" w:before="72"/>
                          <w:ind w:firstLineChars="0" w:firstLine="0" w:rightChars="0" w:right="0" w:leftChars="0" w:left="17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22(36.67)</w:t>
                        </w:r>
                      </w:p>
                    </w:tc>
                    <w:tc>
                      <w:tcPr>
                        <w:tcW w:w="1352" w:type="dxa"/>
                      </w:tcPr>
                      <w:p w:rsidR="0018722C">
                        <w:pPr>
                          <w:widowControl w:val="0"/>
                          <w:snapToGrid w:val="1"/>
                          <w:spacing w:beforeLines="0" w:afterLines="0" w:after="0" w:line="256" w:lineRule="exact" w:before="72"/>
                          <w:ind w:firstLineChars="0" w:firstLine="0" w:leftChars="0" w:left="0" w:rightChars="0" w:right="16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38(63.33)</w:t>
                        </w:r>
                      </w:p>
                    </w:tc>
                    <w:tc>
                      <w:tcPr>
                        <w:tcW w:w="1302" w:type="dxa"/>
                      </w:tcPr>
                      <w:p w:rsidR="0018722C">
                        <w:pPr>
                          <w:widowControl w:val="0"/>
                          <w:snapToGrid w:val="1"/>
                          <w:spacing w:beforeLines="0" w:afterLines="0" w:after="0" w:line="256" w:lineRule="exact" w:before="72"/>
                          <w:ind w:firstLineChars="0" w:firstLine="0" w:rightChars="0" w:right="0" w:leftChars="0" w:left="16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4(6.67)</w:t>
                        </w:r>
                      </w:p>
                    </w:tc>
                    <w:tc>
                      <w:tcPr>
                        <w:tcW w:w="1311" w:type="dxa"/>
                      </w:tcPr>
                      <w:p w:rsidR="0018722C">
                        <w:pPr>
                          <w:widowControl w:val="0"/>
                          <w:snapToGrid w:val="1"/>
                          <w:spacing w:beforeLines="0" w:afterLines="0" w:after="0" w:line="256" w:lineRule="exact" w:before="72"/>
                          <w:ind w:firstLineChars="0" w:firstLine="0" w:rightChars="0" w:right="0" w:leftChars="0" w:left="14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56(93.33)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e"/>
        <w:topLinePunct/>
      </w:pPr>
      <w:r>
        <w:rPr>
          <w:rFonts w:ascii="Times New Roman" w:hAnsi="Times New Roman"/>
        </w:rPr>
        <w:t>Tab1 Expression of NF-κB, TOPO</w:t>
      </w:r>
      <w:r>
        <w:t>Ⅱ</w:t>
      </w:r>
      <w:r>
        <w:rPr>
          <w:rFonts w:ascii="Times New Roman" w:hAnsi="Times New Roman"/>
        </w:rPr>
        <w:t>, Ki-67 and their clinicopathologic characteristics in gastric carcinoma</w:t>
      </w:r>
    </w:p>
    <w:p w:rsidR="0018722C">
      <w:pPr>
        <w:pStyle w:val="aff7"/>
        <w:topLinePunct/>
      </w:pPr>
      <w:r>
        <w:pict>
          <v:group style="margin-left:33.240002pt;margin-top:17.031174pt;width:532.450pt;height:1.45pt;mso-position-horizontal-relative:page;mso-position-vertical-relative:paragraph;z-index:1240;mso-wrap-distance-left:0;mso-wrap-distance-right:0" coordorigin="665,341" coordsize="10649,29">
            <v:line style="position:absolute" from="665,355" to="2792,355" stroked="true" strokeweight="1.44pt" strokecolor="#000000">
              <v:stroke dashstyle="solid"/>
            </v:line>
            <v:rect style="position:absolute;left:2777;top:340;width:29;height:29" filled="true" fillcolor="#000000" stroked="false">
              <v:fill type="solid"/>
            </v:rect>
            <v:line style="position:absolute" from="2806,355" to="3579,355" stroked="true" strokeweight="1.44pt" strokecolor="#000000">
              <v:stroke dashstyle="solid"/>
            </v:line>
            <v:rect style="position:absolute;left:3564;top:340;width:30;height:29" filled="true" fillcolor="#000000" stroked="false">
              <v:fill type="solid"/>
            </v:rect>
            <v:line style="position:absolute" from="3594,355" to="4794,355" stroked="true" strokeweight="1.44pt" strokecolor="#000000">
              <v:stroke dashstyle="solid"/>
            </v:line>
            <v:rect style="position:absolute;left:4779;top:340;width:29;height:29" filled="true" fillcolor="#000000" stroked="false">
              <v:fill type="solid"/>
            </v:rect>
            <v:line style="position:absolute" from="4808,355" to="6210,355" stroked="true" strokeweight="1.44pt" strokecolor="#000000">
              <v:stroke dashstyle="solid"/>
            </v:line>
            <v:rect style="position:absolute;left:6195;top:340;width:29;height:29" filled="true" fillcolor="#000000" stroked="false">
              <v:fill type="solid"/>
            </v:rect>
            <v:line style="position:absolute" from="6225,355" to="7487,355" stroked="true" strokeweight="1.44pt" strokecolor="#000000">
              <v:stroke dashstyle="solid"/>
            </v:line>
            <v:rect style="position:absolute;left:7472;top:340;width:29;height:29" filled="true" fillcolor="#000000" stroked="false">
              <v:fill type="solid"/>
            </v:rect>
            <v:line style="position:absolute" from="7501,355" to="8764,355" stroked="true" strokeweight="1.44pt" strokecolor="#000000">
              <v:stroke dashstyle="solid"/>
            </v:line>
            <v:rect style="position:absolute;left:8750;top:340;width:29;height:29" filled="true" fillcolor="#000000" stroked="false">
              <v:fill type="solid"/>
            </v:rect>
            <v:line style="position:absolute" from="8779,355" to="10039,355" stroked="true" strokeweight="1.44pt" strokecolor="#000000">
              <v:stroke dashstyle="solid"/>
            </v:line>
            <v:rect style="position:absolute;left:10024;top:340;width:29;height:29" filled="true" fillcolor="#000000" stroked="false">
              <v:fill type="solid"/>
            </v:rect>
            <v:line style="position:absolute" from="10053,355" to="11314,355" stroked="true" strokeweight="1.44pt" strokecolor="#000000">
              <v:stroke dashstyle="solid"/>
            </v:line>
            <w10:wrap type="topAndBottom"/>
          </v:group>
        </w:pict>
      </w:r>
    </w:p>
    <w:p w:rsidR="0018722C">
      <w:pPr>
        <w:pStyle w:val="affff1"/>
        <w:spacing w:before="0"/>
        <w:ind w:leftChars="0" w:left="971" w:rightChars="0" w:right="0" w:firstLineChars="0" w:firstLine="0"/>
        <w:jc w:val="left"/>
        <w:topLinePunct/>
      </w:pPr>
      <w:r>
        <w:rPr>
          <w:kern w:val="2"/>
          <w:sz w:val="21"/>
          <w:szCs w:val="22"/>
          <w:rFonts w:cstheme="minorBidi" w:hAnsiTheme="minorHAnsi" w:eastAsiaTheme="minorHAnsi" w:asciiTheme="minorHAnsi"/>
        </w:rPr>
        <w:t>注</w:t>
      </w:r>
      <w:r w:rsidR="001852F3">
        <w:rPr>
          <w:kern w:val="2"/>
          <w:sz w:val="21"/>
          <w:szCs w:val="22"/>
          <w:rFonts w:cstheme="minorBidi" w:hAnsiTheme="minorHAnsi" w:eastAsiaTheme="minorHAnsi" w:asciiTheme="minorHAnsi"/>
        </w:rPr>
        <w:t xml:space="preserve">：</w:t>
      </w:r>
      <w:r>
        <w:rPr>
          <w:kern w:val="2"/>
          <w:szCs w:val="22"/>
          <w:rFonts w:ascii="Times New Roman" w:eastAsia="Times New Roman" w:cstheme="minorBidi" w:hAnsiTheme="minorHAnsi"/>
          <w:sz w:val="21"/>
        </w:rPr>
        <w:t>a</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i/>
          <w:sz w:val="21"/>
        </w:rPr>
        <w:t>P</w:t>
      </w:r>
      <w:r w:rsidR="001852F3">
        <w:rPr>
          <w:kern w:val="2"/>
          <w:szCs w:val="22"/>
          <w:rFonts w:ascii="Times New Roman" w:eastAsia="Times New Roman" w:cstheme="minorBidi" w:hAnsiTheme="minorHAnsi"/>
          <w:i/>
          <w:sz w:val="21"/>
        </w:rPr>
        <w:t xml:space="preserve"> </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0.05</w:t>
      </w:r>
      <w:r>
        <w:rPr>
          <w:kern w:val="2"/>
          <w:szCs w:val="22"/>
          <w:rFonts w:cstheme="minorBidi" w:hAnsiTheme="minorHAnsi" w:eastAsiaTheme="minorHAnsi" w:asciiTheme="minorHAnsi"/>
          <w:sz w:val="21"/>
        </w:rPr>
        <w:t>；</w:t>
      </w:r>
      <w:r>
        <w:rPr>
          <w:kern w:val="2"/>
          <w:szCs w:val="22"/>
          <w:rFonts w:ascii="Times New Roman" w:eastAsia="Times New Roman" w:cstheme="minorBidi" w:hAnsiTheme="minorHAnsi"/>
          <w:sz w:val="21"/>
        </w:rPr>
        <w:t>b</w:t>
      </w:r>
      <w:r>
        <w:rPr>
          <w:kern w:val="2"/>
          <w:szCs w:val="22"/>
          <w:rFonts w:cstheme="minorBidi" w:hAnsiTheme="minorHAnsi" w:eastAsiaTheme="minorHAnsi" w:asciiTheme="minorHAnsi"/>
          <w:sz w:val="21"/>
        </w:rPr>
        <w:t xml:space="preserve">: </w:t>
      </w:r>
      <w:r>
        <w:rPr>
          <w:kern w:val="2"/>
          <w:szCs w:val="22"/>
          <w:rFonts w:ascii="Times New Roman" w:eastAsia="Times New Roman" w:cstheme="minorBidi" w:hAnsiTheme="minorHAnsi"/>
          <w:i/>
          <w:sz w:val="21"/>
        </w:rPr>
        <w:t>P</w:t>
      </w:r>
      <w:r>
        <w:rPr>
          <w:kern w:val="2"/>
          <w:szCs w:val="22"/>
          <w:rFonts w:cstheme="minorBidi" w:hAnsiTheme="minorHAnsi" w:eastAsiaTheme="minorHAnsi" w:asciiTheme="minorHAnsi"/>
          <w:i/>
          <w:sz w:val="22"/>
        </w:rPr>
        <w:t>＜</w:t>
      </w:r>
      <w:r>
        <w:rPr>
          <w:kern w:val="2"/>
          <w:szCs w:val="22"/>
          <w:rFonts w:ascii="Times New Roman" w:eastAsia="Times New Roman" w:cstheme="minorBidi" w:hAnsiTheme="minorHAnsi"/>
          <w:sz w:val="21"/>
        </w:rPr>
        <w:t>0.01</w:t>
      </w:r>
    </w:p>
    <w:p w:rsidR="0018722C">
      <w:pPr>
        <w:pStyle w:val="ae"/>
        <w:topLinePunct/>
      </w:pPr>
      <w:r>
        <w:pict>
          <v:shape style="margin-left:92.903999pt;margin-top:43.92033pt;width:399.7pt;height:190.25pt;mso-position-horizontal-relative:page;mso-position-vertical-relative:paragraph;z-index:13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085"/>
                    <w:gridCol w:w="1842"/>
                    <w:gridCol w:w="2690"/>
                  </w:tblGrid>
                  <w:tr>
                    <w:trPr>
                      <w:trHeight w:val="460" w:hRule="atLeast"/>
                    </w:trPr>
                    <w:tc>
                      <w:tcPr>
                        <w:tcW w:w="2375" w:type="dxa"/>
                        <w:tcBorders>
                          <w:top w:val="single" w:sz="4" w:space="0" w:color="000000"/>
                        </w:tcBorders>
                      </w:tcPr>
                      <w:p w:rsidR="0018722C">
                        <w:pPr>
                          <w:widowControl w:val="0"/>
                          <w:snapToGrid w:val="1"/>
                          <w:spacing w:beforeLines="0" w:afterLines="0" w:after="0" w:line="303" w:lineRule="exact" w:before="151"/>
                          <w:ind w:firstLineChars="0" w:firstLine="0" w:leftChars="0" w:left="175" w:rightChars="0" w:right="328"/>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Grope</w:t>
                        </w:r>
                      </w:p>
                    </w:tc>
                    <w:tc>
                      <w:tcPr>
                        <w:tcW w:w="108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84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690" w:type="dxa"/>
                        <w:tcBorders>
                          <w:top w:val="single" w:sz="4" w:space="0" w:color="000000"/>
                        </w:tcBorders>
                      </w:tcPr>
                      <w:p w:rsidR="0018722C">
                        <w:pPr>
                          <w:widowControl w:val="0"/>
                          <w:snapToGrid w:val="1"/>
                          <w:spacing w:beforeLines="0" w:afterLines="0" w:after="0" w:line="307" w:lineRule="exact" w:before="146"/>
                          <w:ind w:firstLineChars="0" w:firstLine="0" w:rightChars="0" w:right="0" w:leftChars="0" w:left="132"/>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NF-κB</w:t>
                        </w:r>
                      </w:p>
                    </w:tc>
                  </w:tr>
                  <w:tr>
                    <w:trPr>
                      <w:trHeight w:val="280" w:hRule="atLeast"/>
                    </w:trPr>
                    <w:tc>
                      <w:tcPr>
                        <w:tcW w:w="23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85" w:type="dxa"/>
                      </w:tcPr>
                      <w:p w:rsidR="0018722C">
                        <w:pPr>
                          <w:widowControl w:val="0"/>
                          <w:snapToGrid w:val="1"/>
                          <w:spacing w:beforeLines="0" w:afterLines="0" w:before="0" w:after="0" w:line="273" w:lineRule="exact"/>
                          <w:ind w:firstLineChars="0" w:firstLine="0" w:rightChars="0" w:right="0" w:leftChars="0" w:left="4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n</w:t>
                        </w:r>
                      </w:p>
                    </w:tc>
                    <w:tc>
                      <w:tcPr>
                        <w:tcW w:w="453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80" w:hRule="atLeast"/>
                    </w:trPr>
                    <w:tc>
                      <w:tcPr>
                        <w:tcW w:w="7992" w:type="dxa"/>
                        <w:gridSpan w:val="4"/>
                        <w:tcBorders>
                          <w:bottom w:val="single" w:sz="4" w:space="0" w:color="000000"/>
                        </w:tcBorders>
                      </w:tcPr>
                      <w:p w:rsidR="0018722C">
                        <w:pPr>
                          <w:widowControl w:val="0"/>
                          <w:snapToGrid w:val="1"/>
                          <w:spacing w:beforeLines="0" w:afterLines="0" w:before="0" w:after="0" w:line="343" w:lineRule="exact"/>
                          <w:ind w:firstLineChars="0" w:firstLine="0" w:rightChars="0" w:right="0" w:leftChars="0" w:left="3770"/>
                          <w:jc w:val="left"/>
                          <w:autoSpaceDE w:val="0"/>
                          <w:autoSpaceDN w:val="0"/>
                          <w:tabs>
                            <w:tab w:pos="5748" w:val="left" w:leader="none"/>
                            <w:tab w:pos="7230" w:val="left" w:leader="none"/>
                          </w:tabs>
                          <w:pBdr>
                            <w:bottom w:val="none" w:sz="0" w:space="0" w:color="auto"/>
                          </w:pBdr>
                          <w:rPr>
                            <w:kern w:val="2"/>
                            <w:sz w:val="2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8"/>
                          </w:rPr>
                          <w:t>Positive</w:t>
                        </w:r>
                        <w:r>
                          <w:rPr>
                            <w:kern w:val="2"/>
                            <w:szCs w:val="22"/>
                            <w:rFonts w:ascii="宋体" w:hAnsi="宋体" w:cstheme="minorBidi" w:eastAsia="Times New Roman" w:cs="Times New Roman"/>
                            <w:sz w:val="28"/>
                          </w:rPr>
                          <w:t>（</w:t>
                        </w:r>
                        <w:r>
                          <w:rPr>
                            <w:kern w:val="2"/>
                            <w:szCs w:val="22"/>
                            <w:rFonts w:cstheme="minorBidi" w:ascii="Times New Roman" w:hAnsi="Times New Roman" w:eastAsia="Times New Roman" w:cs="Times New Roman"/>
                            <w:sz w:val="28"/>
                          </w:rPr>
                          <w:t>%</w:t>
                        </w:r>
                        <w:r>
                          <w:rPr>
                            <w:kern w:val="2"/>
                            <w:szCs w:val="22"/>
                            <w:rFonts w:ascii="宋体" w:hAnsi="宋体" w:cstheme="minorBidi" w:eastAsia="Times New Roman" w:cs="Times New Roman"/>
                            <w:sz w:val="28"/>
                          </w:rPr>
                          <w:t>）</w:t>
                          <w:tab/>
                        </w:r>
                        <w:r>
                          <w:rPr>
                            <w:kern w:val="2"/>
                            <w:szCs w:val="22"/>
                            <w:rFonts w:ascii="Symbol" w:hAnsi="Symbol" w:cstheme="minorBidi" w:eastAsia="Times New Roman" w:cs="Times New Roman"/>
                            <w:i/>
                            <w:sz w:val="29"/>
                          </w:rPr>
                          <w:t></w:t>
                        </w:r>
                        <w:r>
                          <w:rPr>
                            <w:kern w:val="2"/>
                            <w:szCs w:val="22"/>
                            <w:rFonts w:cstheme="minorBidi" w:ascii="Times New Roman" w:hAnsi="Times New Roman" w:eastAsia="Times New Roman" w:cs="Times New Roman"/>
                            <w:i/>
                            <w:spacing w:val="-6"/>
                            <w:sz w:val="29"/>
                          </w:rPr>
                          <w:t> </w:t>
                        </w:r>
                        <w:r>
                          <w:rPr>
                            <w:kern w:val="2"/>
                            <w:szCs w:val="22"/>
                            <w:rFonts w:cstheme="minorBidi" w:ascii="Times New Roman" w:hAnsi="Times New Roman" w:eastAsia="Times New Roman" w:cs="Times New Roman"/>
                            <w:sz w:val="28"/>
                          </w:rPr>
                          <w:t>2</w:t>
                          <w:tab/>
                        </w:r>
                        <w:r>
                          <w:rPr>
                            <w:kern w:val="2"/>
                            <w:szCs w:val="22"/>
                            <w:rFonts w:cstheme="minorBidi" w:ascii="Times New Roman" w:hAnsi="Times New Roman" w:eastAsia="Times New Roman" w:cs="Times New Roman"/>
                            <w:i/>
                            <w:sz w:val="28"/>
                          </w:rPr>
                          <w:t>P</w:t>
                        </w:r>
                      </w:p>
                    </w:tc>
                  </w:tr>
                  <w:tr>
                    <w:trPr>
                      <w:trHeight w:val="1240" w:hRule="atLeast"/>
                    </w:trPr>
                    <w:tc>
                      <w:tcPr>
                        <w:tcW w:w="2375" w:type="dxa"/>
                        <w:tcBorders>
                          <w:top w:val="single" w:sz="4" w:space="0" w:color="000000"/>
                        </w:tcBorders>
                      </w:tcPr>
                      <w:p w:rsidR="0018722C">
                        <w:pPr>
                          <w:widowControl w:val="0"/>
                          <w:snapToGrid w:val="1"/>
                          <w:spacing w:beforeLines="0" w:afterLines="0" w:lineRule="auto" w:line="240" w:after="0" w:before="146"/>
                          <w:ind w:rightChars="0" w:right="0" w:leftChars="0" w:left="391" w:firstLineChars="0" w:firstLine="28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Gastric</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9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carcinoma</w:t>
                        </w:r>
                      </w:p>
                    </w:tc>
                    <w:tc>
                      <w:tcPr>
                        <w:tcW w:w="1085"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334" w:rightChars="0" w:right="29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w:t>
                        </w:r>
                      </w:p>
                    </w:tc>
                    <w:tc>
                      <w:tcPr>
                        <w:tcW w:w="1842"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31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72(70.59)</w:t>
                        </w:r>
                      </w:p>
                    </w:tc>
                    <w:tc>
                      <w:tcPr>
                        <w:tcW w:w="269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r>
                    <w:trPr>
                      <w:trHeight w:val="620" w:hRule="atLeast"/>
                    </w:trPr>
                    <w:tc>
                      <w:tcPr>
                        <w:tcW w:w="2375" w:type="dxa"/>
                      </w:tcPr>
                      <w:p w:rsidR="0018722C">
                        <w:pPr>
                          <w:widowControl w:val="0"/>
                          <w:snapToGrid w:val="1"/>
                          <w:spacing w:beforeLines="0" w:afterLines="0" w:lineRule="auto" w:line="240" w:after="0" w:before="150"/>
                          <w:ind w:firstLineChars="0" w:firstLine="0" w:leftChars="0" w:left="175" w:rightChars="0" w:right="33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Adjacent tissues</w:t>
                        </w:r>
                      </w:p>
                    </w:tc>
                    <w:tc>
                      <w:tcPr>
                        <w:tcW w:w="1085" w:type="dxa"/>
                      </w:tcPr>
                      <w:p w:rsidR="0018722C">
                        <w:pPr>
                          <w:widowControl w:val="0"/>
                          <w:snapToGrid w:val="1"/>
                          <w:spacing w:beforeLines="0" w:afterLines="0" w:lineRule="auto" w:line="240" w:after="0" w:before="150"/>
                          <w:ind w:firstLineChars="0" w:firstLine="0" w:leftChars="0" w:left="329" w:rightChars="0" w:right="29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45</w:t>
                        </w:r>
                      </w:p>
                    </w:tc>
                    <w:tc>
                      <w:tcPr>
                        <w:tcW w:w="1842" w:type="dxa"/>
                      </w:tcPr>
                      <w:p w:rsidR="0018722C">
                        <w:pPr>
                          <w:widowControl w:val="0"/>
                          <w:snapToGrid w:val="1"/>
                          <w:spacing w:beforeLines="0" w:afterLines="0" w:lineRule="auto" w:line="240" w:after="0" w:before="150"/>
                          <w:ind w:firstLineChars="0" w:firstLine="0" w:rightChars="0" w:right="0" w:leftChars="0" w:left="31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10(22.22)</w:t>
                        </w:r>
                      </w:p>
                    </w:tc>
                    <w:tc>
                      <w:tcPr>
                        <w:tcW w:w="2690" w:type="dxa"/>
                      </w:tcPr>
                      <w:p w:rsidR="0018722C">
                        <w:pPr>
                          <w:widowControl w:val="0"/>
                          <w:snapToGrid w:val="1"/>
                          <w:spacing w:beforeLines="0" w:afterLines="0" w:lineRule="auto" w:line="240" w:after="0" w:before="89"/>
                          <w:ind w:firstLineChars="0" w:firstLine="0" w:rightChars="0" w:right="0" w:leftChars="0" w:left="434"/>
                          <w:jc w:val="left"/>
                          <w:autoSpaceDE w:val="0"/>
                          <w:autoSpaceDN w:val="0"/>
                          <w:tabs>
                            <w:tab w:pos="1625"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57.104</w:t>
                          <w:tab/>
                        </w:r>
                        <w:r>
                          <w:rPr>
                            <w:kern w:val="2"/>
                            <w:szCs w:val="22"/>
                            <w:rFonts w:ascii="宋体" w:eastAsia="宋体" w:hint="eastAsia" w:cstheme="minorBidi" w:hAnsi="Times New Roman" w:cs="Times New Roman"/>
                            <w:sz w:val="28"/>
                          </w:rPr>
                          <w:t>＜</w:t>
                        </w:r>
                        <w:r>
                          <w:rPr>
                            <w:kern w:val="2"/>
                            <w:szCs w:val="22"/>
                            <w:rFonts w:cstheme="minorBidi" w:ascii="Times New Roman" w:hAnsi="Times New Roman" w:eastAsia="Times New Roman" w:cs="Times New Roman"/>
                            <w:sz w:val="28"/>
                          </w:rPr>
                          <w:t>0.05</w:t>
                        </w:r>
                      </w:p>
                    </w:tc>
                  </w:tr>
                  <w:tr>
                    <w:trPr>
                      <w:trHeight w:val="620" w:hRule="atLeast"/>
                    </w:trPr>
                    <w:tc>
                      <w:tcPr>
                        <w:tcW w:w="2375" w:type="dxa"/>
                        <w:tcBorders>
                          <w:bottom w:val="single" w:sz="4" w:space="0" w:color="000000"/>
                        </w:tcBorders>
                      </w:tcPr>
                      <w:p w:rsidR="0018722C">
                        <w:pPr>
                          <w:widowControl w:val="0"/>
                          <w:snapToGrid w:val="1"/>
                          <w:spacing w:beforeLines="0" w:afterLines="0" w:lineRule="auto" w:line="240" w:after="0" w:before="149"/>
                          <w:ind w:firstLineChars="0" w:firstLine="0" w:leftChars="0" w:left="175" w:rightChars="0" w:right="33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Normal tissue</w:t>
                        </w:r>
                      </w:p>
                    </w:tc>
                    <w:tc>
                      <w:tcPr>
                        <w:tcW w:w="1085" w:type="dxa"/>
                        <w:tcBorders>
                          <w:bottom w:val="single" w:sz="4" w:space="0" w:color="000000"/>
                        </w:tcBorders>
                      </w:tcPr>
                      <w:p w:rsidR="0018722C">
                        <w:pPr>
                          <w:widowControl w:val="0"/>
                          <w:snapToGrid w:val="1"/>
                          <w:spacing w:beforeLines="0" w:afterLines="0" w:lineRule="auto" w:line="240" w:after="0" w:before="149"/>
                          <w:ind w:firstLineChars="0" w:firstLine="0" w:leftChars="0" w:left="329" w:rightChars="0" w:right="29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34</w:t>
                        </w:r>
                      </w:p>
                    </w:tc>
                    <w:tc>
                      <w:tcPr>
                        <w:tcW w:w="1842" w:type="dxa"/>
                        <w:tcBorders>
                          <w:bottom w:val="single" w:sz="4" w:space="0" w:color="000000"/>
                        </w:tcBorders>
                      </w:tcPr>
                      <w:p w:rsidR="0018722C">
                        <w:pPr>
                          <w:widowControl w:val="0"/>
                          <w:snapToGrid w:val="1"/>
                          <w:spacing w:beforeLines="0" w:afterLines="0" w:lineRule="auto" w:line="240" w:after="0" w:before="149"/>
                          <w:ind w:firstLineChars="0" w:firstLine="0" w:rightChars="0" w:right="0" w:leftChars="0" w:left="31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2(5.88)</w:t>
                        </w:r>
                      </w:p>
                    </w:tc>
                    <w:tc>
                      <w:tcPr>
                        <w:tcW w:w="2690"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e"/>
        <w:topLinePunct/>
      </w:pPr>
      <w:r>
        <w:rPr>
          <w:rFonts w:ascii="Times New Roman"/>
        </w:rPr>
        <w:t>Tab2 Expression of NF-kB in gastric cancer tissues,</w:t>
      </w:r>
      <w:r w:rsidR="004B696B">
        <w:rPr>
          <w:rFonts w:ascii="Times New Roman"/>
        </w:rPr>
        <w:t xml:space="preserve"> </w:t>
      </w:r>
      <w:r w:rsidR="004B696B">
        <w:rPr>
          <w:rFonts w:ascii="Times New Roman"/>
        </w:rPr>
        <w:t>adjacent and normal gastric mucosa</w:t>
      </w:r>
    </w:p>
    <w:p w:rsidR="0018722C">
      <w:pPr>
        <w:pStyle w:val="aff7"/>
        <w:topLinePunct/>
      </w:pPr>
      <w:r>
        <w:pict>
          <v:group style="margin-left:275.929993pt;margin-top:15.976038pt;width:216.65pt;height:.5pt;mso-position-horizontal-relative:page;mso-position-vertical-relative:paragraph;z-index:1288;mso-wrap-distance-left:0;mso-wrap-distance-right:0" coordorigin="5519,320" coordsize="4333,10">
            <v:rect style="position:absolute;left:5518;top:319;width:10;height:10" filled="true" fillcolor="#000000" stroked="false">
              <v:fill type="solid"/>
            </v:rect>
            <v:line style="position:absolute" from="5528,324" to="9842,324" stroked="true" strokeweight=".48pt" strokecolor="#000000">
              <v:stroke dashstyle="solid"/>
            </v:line>
            <v:rect style="position:absolute;left:9842;top:319;width:10;height:10" filled="true" fillcolor="#000000" stroked="false">
              <v:fill type="solid"/>
            </v:rect>
            <w10:wrap type="topAndBottom"/>
          </v:group>
        </w:pict>
      </w:r>
    </w:p>
    <w:p w:rsidR="0018722C">
      <w:pPr>
        <w:pStyle w:val="affff1"/>
        <w:topLinePunct/>
      </w:pPr>
      <w:r>
        <w:pict>
          <v:shape style="margin-left:92.903999pt;margin-top:39.350338pt;width:399.7pt;height:190.25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9"/>
                    <w:gridCol w:w="1034"/>
                    <w:gridCol w:w="1780"/>
                    <w:gridCol w:w="2832"/>
                  </w:tblGrid>
                  <w:tr>
                    <w:trPr>
                      <w:trHeight w:val="460" w:hRule="atLeast"/>
                    </w:trPr>
                    <w:tc>
                      <w:tcPr>
                        <w:tcW w:w="2349" w:type="dxa"/>
                        <w:tcBorders>
                          <w:top w:val="single" w:sz="4" w:space="0" w:color="000000"/>
                        </w:tcBorders>
                      </w:tcPr>
                      <w:p w:rsidR="0018722C">
                        <w:pPr>
                          <w:widowControl w:val="0"/>
                          <w:snapToGrid w:val="1"/>
                          <w:spacing w:beforeLines="0" w:afterLines="0" w:after="0" w:line="303" w:lineRule="exact" w:before="154"/>
                          <w:ind w:firstLineChars="0" w:firstLine="0" w:leftChars="0" w:left="175" w:rightChars="0" w:right="30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Grope</w:t>
                        </w:r>
                      </w:p>
                    </w:tc>
                    <w:tc>
                      <w:tcPr>
                        <w:tcW w:w="1034"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780"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832" w:type="dxa"/>
                        <w:tcBorders>
                          <w:top w:val="single" w:sz="4" w:space="0" w:color="000000"/>
                        </w:tcBorders>
                      </w:tcPr>
                      <w:p w:rsidR="0018722C">
                        <w:pPr>
                          <w:widowControl w:val="0"/>
                          <w:snapToGrid w:val="1"/>
                          <w:spacing w:beforeLines="0" w:afterLines="0" w:after="0" w:line="368" w:lineRule="exact" w:before="88"/>
                          <w:ind w:firstLineChars="0" w:firstLine="0" w:rightChars="0" w:right="0" w:leftChars="0" w:left="182"/>
                          <w:jc w:val="left"/>
                          <w:autoSpaceDE w:val="0"/>
                          <w:autoSpaceDN w:val="0"/>
                          <w:pBdr>
                            <w:bottom w:val="none" w:sz="0" w:space="0" w:color="auto"/>
                          </w:pBdr>
                          <w:rPr>
                            <w:kern w:val="2"/>
                            <w:sz w:val="28"/>
                            <w:szCs w:val="22"/>
                            <w:rFonts w:cstheme="minorBidi" w:ascii="宋体" w:hAnsi="宋体" w:eastAsia="Times New Roman" w:cs="Times New Roman"/>
                          </w:rPr>
                        </w:pPr>
                        <w:r>
                          <w:rPr>
                            <w:kern w:val="2"/>
                            <w:szCs w:val="22"/>
                            <w:rFonts w:cstheme="minorBidi" w:ascii="Times New Roman" w:hAnsi="Times New Roman" w:eastAsia="Times New Roman" w:cs="Times New Roman"/>
                            <w:sz w:val="28"/>
                          </w:rPr>
                          <w:t>Topo</w:t>
                        </w:r>
                        <w:r>
                          <w:rPr>
                            <w:kern w:val="2"/>
                            <w:szCs w:val="22"/>
                            <w:rFonts w:ascii="宋体" w:hAnsi="宋体" w:cstheme="minorBidi" w:eastAsia="Times New Roman" w:cs="Times New Roman"/>
                            <w:sz w:val="28"/>
                          </w:rPr>
                          <w:t>Ⅱ</w:t>
                        </w:r>
                      </w:p>
                    </w:tc>
                  </w:tr>
                  <w:tr>
                    <w:trPr>
                      <w:trHeight w:val="280" w:hRule="atLeast"/>
                    </w:trPr>
                    <w:tc>
                      <w:tcPr>
                        <w:tcW w:w="2349"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34" w:type="dxa"/>
                      </w:tcPr>
                      <w:p w:rsidR="0018722C">
                        <w:pPr>
                          <w:widowControl w:val="0"/>
                          <w:snapToGrid w:val="1"/>
                          <w:spacing w:beforeLines="0" w:afterLines="0" w:before="0" w:after="0" w:line="273" w:lineRule="exact"/>
                          <w:ind w:firstLineChars="0" w:firstLine="0" w:rightChars="0" w:right="0" w:leftChars="0" w:left="3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n</w:t>
                        </w:r>
                      </w:p>
                    </w:tc>
                    <w:tc>
                      <w:tcPr>
                        <w:tcW w:w="4612"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80" w:hRule="atLeast"/>
                    </w:trPr>
                    <w:tc>
                      <w:tcPr>
                        <w:tcW w:w="7995" w:type="dxa"/>
                        <w:gridSpan w:val="4"/>
                        <w:tcBorders>
                          <w:bottom w:val="single" w:sz="4" w:space="0" w:color="000000"/>
                        </w:tcBorders>
                      </w:tcPr>
                      <w:p w:rsidR="0018722C">
                        <w:pPr>
                          <w:widowControl w:val="0"/>
                          <w:snapToGrid w:val="1"/>
                          <w:spacing w:beforeLines="0" w:afterLines="0" w:before="0" w:after="0" w:line="343" w:lineRule="exact"/>
                          <w:ind w:firstLineChars="0" w:firstLine="0" w:rightChars="0" w:right="0" w:leftChars="0" w:left="3667"/>
                          <w:jc w:val="left"/>
                          <w:autoSpaceDE w:val="0"/>
                          <w:autoSpaceDN w:val="0"/>
                          <w:tabs>
                            <w:tab w:pos="5784" w:val="left" w:leader="none"/>
                            <w:tab w:pos="7127" w:val="left" w:leader="none"/>
                          </w:tabs>
                          <w:pBdr>
                            <w:bottom w:val="none" w:sz="0" w:space="0" w:color="auto"/>
                          </w:pBdr>
                          <w:rPr>
                            <w:kern w:val="2"/>
                            <w:sz w:val="2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8"/>
                          </w:rPr>
                          <w:t>Positive</w:t>
                        </w:r>
                        <w:r>
                          <w:rPr>
                            <w:kern w:val="2"/>
                            <w:szCs w:val="22"/>
                            <w:rFonts w:ascii="宋体" w:hAnsi="宋体" w:cstheme="minorBidi" w:eastAsia="Times New Roman" w:cs="Times New Roman"/>
                            <w:sz w:val="28"/>
                          </w:rPr>
                          <w:t>（</w:t>
                        </w:r>
                        <w:r>
                          <w:rPr>
                            <w:kern w:val="2"/>
                            <w:szCs w:val="22"/>
                            <w:rFonts w:cstheme="minorBidi" w:ascii="Times New Roman" w:hAnsi="Times New Roman" w:eastAsia="Times New Roman" w:cs="Times New Roman"/>
                            <w:sz w:val="28"/>
                          </w:rPr>
                          <w:t>%</w:t>
                        </w:r>
                        <w:r>
                          <w:rPr>
                            <w:kern w:val="2"/>
                            <w:szCs w:val="22"/>
                            <w:rFonts w:ascii="宋体" w:hAnsi="宋体" w:cstheme="minorBidi" w:eastAsia="Times New Roman" w:cs="Times New Roman"/>
                            <w:sz w:val="28"/>
                          </w:rPr>
                          <w:t>）</w:t>
                          <w:tab/>
                        </w:r>
                        <w:r>
                          <w:rPr>
                            <w:kern w:val="2"/>
                            <w:szCs w:val="22"/>
                            <w:rFonts w:ascii="Symbol" w:hAnsi="Symbol" w:cstheme="minorBidi" w:eastAsia="Times New Roman" w:cs="Times New Roman"/>
                            <w:i/>
                            <w:sz w:val="29"/>
                          </w:rPr>
                          <w:t></w:t>
                        </w:r>
                        <w:r>
                          <w:rPr>
                            <w:kern w:val="2"/>
                            <w:szCs w:val="22"/>
                            <w:rFonts w:cstheme="minorBidi" w:ascii="Times New Roman" w:hAnsi="Times New Roman" w:eastAsia="Times New Roman" w:cs="Times New Roman"/>
                            <w:i/>
                            <w:spacing w:val="-6"/>
                            <w:sz w:val="29"/>
                          </w:rPr>
                          <w:t> </w:t>
                        </w:r>
                        <w:r>
                          <w:rPr>
                            <w:kern w:val="2"/>
                            <w:szCs w:val="22"/>
                            <w:rFonts w:cstheme="minorBidi" w:ascii="Times New Roman" w:hAnsi="Times New Roman" w:eastAsia="Times New Roman" w:cs="Times New Roman"/>
                            <w:sz w:val="28"/>
                          </w:rPr>
                          <w:t>2</w:t>
                          <w:tab/>
                        </w:r>
                        <w:r>
                          <w:rPr>
                            <w:kern w:val="2"/>
                            <w:szCs w:val="22"/>
                            <w:rFonts w:cstheme="minorBidi" w:ascii="Times New Roman" w:hAnsi="Times New Roman" w:eastAsia="Times New Roman" w:cs="Times New Roman"/>
                            <w:i/>
                            <w:sz w:val="28"/>
                          </w:rPr>
                          <w:t>P</w:t>
                        </w:r>
                      </w:p>
                    </w:tc>
                  </w:tr>
                  <w:tr>
                    <w:trPr>
                      <w:trHeight w:val="1240" w:hRule="atLeast"/>
                    </w:trPr>
                    <w:tc>
                      <w:tcPr>
                        <w:tcW w:w="2349" w:type="dxa"/>
                        <w:tcBorders>
                          <w:top w:val="single" w:sz="4" w:space="0" w:color="000000"/>
                        </w:tcBorders>
                      </w:tcPr>
                      <w:p w:rsidR="0018722C">
                        <w:pPr>
                          <w:widowControl w:val="0"/>
                          <w:snapToGrid w:val="1"/>
                          <w:spacing w:beforeLines="0" w:afterLines="0" w:lineRule="auto" w:line="240" w:after="0" w:before="146"/>
                          <w:ind w:firstLineChars="0" w:firstLine="0" w:leftChars="0" w:left="114" w:rightChars="0" w:right="306"/>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Gastric</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75" w:rightChars="0" w:right="293"/>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carcinoma</w:t>
                        </w:r>
                      </w:p>
                    </w:tc>
                    <w:tc>
                      <w:tcPr>
                        <w:tcW w:w="1034"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0" w:rightChars="0" w:right="283"/>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w:t>
                        </w:r>
                      </w:p>
                    </w:tc>
                    <w:tc>
                      <w:tcPr>
                        <w:tcW w:w="1780"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84"/>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55(53.92)</w:t>
                        </w:r>
                      </w:p>
                    </w:tc>
                    <w:tc>
                      <w:tcPr>
                        <w:tcW w:w="283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r>
                    <w:trPr>
                      <w:trHeight w:val="620" w:hRule="atLeast"/>
                    </w:trPr>
                    <w:tc>
                      <w:tcPr>
                        <w:tcW w:w="2349" w:type="dxa"/>
                      </w:tcPr>
                      <w:p w:rsidR="0018722C">
                        <w:pPr>
                          <w:widowControl w:val="0"/>
                          <w:snapToGrid w:val="1"/>
                          <w:spacing w:beforeLines="0" w:afterLines="0" w:lineRule="auto" w:line="240" w:after="0" w:before="150"/>
                          <w:ind w:firstLineChars="0" w:firstLine="0" w:leftChars="0" w:left="175" w:rightChars="0" w:right="306"/>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Adjacent tissues</w:t>
                        </w:r>
                      </w:p>
                    </w:tc>
                    <w:tc>
                      <w:tcPr>
                        <w:tcW w:w="1034" w:type="dxa"/>
                      </w:tcPr>
                      <w:p w:rsidR="0018722C">
                        <w:pPr>
                          <w:widowControl w:val="0"/>
                          <w:snapToGrid w:val="1"/>
                          <w:spacing w:beforeLines="0" w:afterLines="0" w:lineRule="auto" w:line="240" w:after="0" w:before="150"/>
                          <w:ind w:firstLineChars="0" w:firstLine="0" w:leftChars="0" w:left="0" w:rightChars="0" w:right="355"/>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45</w:t>
                        </w:r>
                      </w:p>
                    </w:tc>
                    <w:tc>
                      <w:tcPr>
                        <w:tcW w:w="1780" w:type="dxa"/>
                      </w:tcPr>
                      <w:p w:rsidR="0018722C">
                        <w:pPr>
                          <w:widowControl w:val="0"/>
                          <w:snapToGrid w:val="1"/>
                          <w:spacing w:beforeLines="0" w:afterLines="0" w:lineRule="auto" w:line="240" w:after="0" w:before="150"/>
                          <w:ind w:firstLineChars="0" w:firstLine="0" w:rightChars="0" w:right="0" w:leftChars="0" w:left="284"/>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24(53.33)</w:t>
                        </w:r>
                      </w:p>
                    </w:tc>
                    <w:tc>
                      <w:tcPr>
                        <w:tcW w:w="2832" w:type="dxa"/>
                      </w:tcPr>
                      <w:p w:rsidR="0018722C">
                        <w:pPr>
                          <w:widowControl w:val="0"/>
                          <w:snapToGrid w:val="1"/>
                          <w:spacing w:beforeLines="0" w:afterLines="0" w:lineRule="auto" w:line="240" w:after="0" w:before="89"/>
                          <w:ind w:firstLineChars="0" w:firstLine="0" w:rightChars="0" w:right="0" w:leftChars="0" w:left="393"/>
                          <w:jc w:val="left"/>
                          <w:autoSpaceDE w:val="0"/>
                          <w:autoSpaceDN w:val="0"/>
                          <w:tabs>
                            <w:tab w:pos="1584"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6.281</w:t>
                          <w:tab/>
                        </w:r>
                        <w:r>
                          <w:rPr>
                            <w:kern w:val="2"/>
                            <w:szCs w:val="22"/>
                            <w:rFonts w:ascii="宋体" w:eastAsia="宋体" w:hint="eastAsia" w:cstheme="minorBidi" w:hAnsi="Times New Roman" w:cs="Times New Roman"/>
                            <w:sz w:val="28"/>
                          </w:rPr>
                          <w:t>＜</w:t>
                        </w:r>
                        <w:r>
                          <w:rPr>
                            <w:kern w:val="2"/>
                            <w:szCs w:val="22"/>
                            <w:rFonts w:cstheme="minorBidi" w:ascii="Times New Roman" w:hAnsi="Times New Roman" w:eastAsia="Times New Roman" w:cs="Times New Roman"/>
                            <w:sz w:val="28"/>
                          </w:rPr>
                          <w:t>0.05</w:t>
                        </w:r>
                      </w:p>
                    </w:tc>
                  </w:tr>
                  <w:tr>
                    <w:trPr>
                      <w:trHeight w:val="620" w:hRule="atLeast"/>
                    </w:trPr>
                    <w:tc>
                      <w:tcPr>
                        <w:tcW w:w="2349" w:type="dxa"/>
                        <w:tcBorders>
                          <w:bottom w:val="single" w:sz="4" w:space="0" w:color="000000"/>
                        </w:tcBorders>
                      </w:tcPr>
                      <w:p w:rsidR="0018722C">
                        <w:pPr>
                          <w:widowControl w:val="0"/>
                          <w:snapToGrid w:val="1"/>
                          <w:spacing w:beforeLines="0" w:afterLines="0" w:lineRule="auto" w:line="240" w:after="0" w:before="148"/>
                          <w:ind w:firstLineChars="0" w:firstLine="0" w:leftChars="0" w:left="175" w:rightChars="0" w:right="306"/>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Normal tissue</w:t>
                        </w:r>
                      </w:p>
                    </w:tc>
                    <w:tc>
                      <w:tcPr>
                        <w:tcW w:w="1034" w:type="dxa"/>
                        <w:tcBorders>
                          <w:bottom w:val="single" w:sz="4" w:space="0" w:color="000000"/>
                        </w:tcBorders>
                      </w:tcPr>
                      <w:p w:rsidR="0018722C">
                        <w:pPr>
                          <w:widowControl w:val="0"/>
                          <w:snapToGrid w:val="1"/>
                          <w:spacing w:beforeLines="0" w:afterLines="0" w:lineRule="auto" w:line="240" w:after="0" w:before="148"/>
                          <w:ind w:firstLineChars="0" w:firstLine="0" w:leftChars="0" w:left="0" w:rightChars="0" w:right="355"/>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34</w:t>
                        </w:r>
                      </w:p>
                    </w:tc>
                    <w:tc>
                      <w:tcPr>
                        <w:tcW w:w="1780" w:type="dxa"/>
                        <w:tcBorders>
                          <w:bottom w:val="single" w:sz="4" w:space="0" w:color="000000"/>
                        </w:tcBorders>
                      </w:tcPr>
                      <w:p w:rsidR="0018722C">
                        <w:pPr>
                          <w:widowControl w:val="0"/>
                          <w:snapToGrid w:val="1"/>
                          <w:spacing w:beforeLines="0" w:afterLines="0" w:lineRule="auto" w:line="240" w:after="0" w:before="148"/>
                          <w:ind w:firstLineChars="0" w:firstLine="0" w:rightChars="0" w:right="0" w:leftChars="0" w:left="284"/>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10(29.41)</w:t>
                        </w:r>
                      </w:p>
                    </w:tc>
                    <w:tc>
                      <w:tcPr>
                        <w:tcW w:w="283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ffff1"/>
        <w:topLinePunct/>
      </w:pPr>
      <w:r>
        <w:rPr>
          <w:rFonts w:ascii="Times New Roman"/>
        </w:rPr>
        <w:t>Tab3 Expression of TopoII in gastric cancer tissues,</w:t>
      </w:r>
      <w:r w:rsidR="004B696B">
        <w:rPr>
          <w:rFonts w:ascii="Times New Roman"/>
        </w:rPr>
        <w:t xml:space="preserve"> </w:t>
      </w:r>
      <w:r w:rsidR="004B696B">
        <w:rPr>
          <w:rFonts w:ascii="Times New Roman"/>
        </w:rPr>
        <w:t>adjacent and normal gastric mucosa</w:t>
      </w:r>
    </w:p>
    <w:p w:rsidR="0018722C">
      <w:pPr>
        <w:pStyle w:val="aff7"/>
        <w:topLinePunct/>
      </w:pPr>
      <w:r>
        <w:pict>
          <v:group style="margin-left:270.649994pt;margin-top:16.022654pt;width:221.95pt;height:.5pt;mso-position-horizontal-relative:page;mso-position-vertical-relative:paragraph;z-index:1312;mso-wrap-distance-left:0;mso-wrap-distance-right:0" coordorigin="5413,320" coordsize="4439,10">
            <v:rect style="position:absolute;left:5413;top:320;width:10;height:10" filled="true" fillcolor="#000000" stroked="false">
              <v:fill type="solid"/>
            </v:rect>
            <v:line style="position:absolute" from="5423,325" to="9842,325" stroked="true" strokeweight=".47998pt" strokecolor="#000000">
              <v:stroke dashstyle="solid"/>
            </v:line>
            <v:rect style="position:absolute;left:9842;top:320;width:10;height:10" filled="true" fillcolor="#000000" stroked="false">
              <v:fill type="solid"/>
            </v:rect>
            <w10:wrap type="topAndBottom"/>
          </v:group>
        </w:pict>
      </w:r>
    </w:p>
    <w:p w:rsidR="0018722C">
      <w:pPr>
        <w:rPr/>
        <w:topLinePunct/>
      </w:pPr>
    </w:p>
    <w:p w:rsidR="0018722C">
      <w:pPr>
        <w:pStyle w:val="affff1"/>
        <w:topLinePunct/>
      </w:pPr>
      <w:r>
        <w:pict>
          <v:shape style="margin-left:92.903999pt;margin-top:43.92033pt;width:404pt;height:190.25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981"/>
                    <w:gridCol w:w="1883"/>
                    <w:gridCol w:w="2893"/>
                  </w:tblGrid>
                  <w:tr>
                    <w:trPr>
                      <w:trHeight w:val="460" w:hRule="atLeast"/>
                    </w:trPr>
                    <w:tc>
                      <w:tcPr>
                        <w:tcW w:w="2322" w:type="dxa"/>
                        <w:tcBorders>
                          <w:top w:val="single" w:sz="4" w:space="0" w:color="000000"/>
                        </w:tcBorders>
                      </w:tcPr>
                      <w:p w:rsidR="0018722C">
                        <w:pPr>
                          <w:widowControl w:val="0"/>
                          <w:snapToGrid w:val="1"/>
                          <w:spacing w:beforeLines="0" w:afterLines="0" w:after="0" w:line="303" w:lineRule="exact" w:before="151"/>
                          <w:ind w:firstLineChars="0" w:firstLine="0" w:leftChars="0" w:left="175" w:rightChars="0" w:right="27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Grope</w:t>
                        </w:r>
                      </w:p>
                    </w:tc>
                    <w:tc>
                      <w:tcPr>
                        <w:tcW w:w="98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88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2893" w:type="dxa"/>
                        <w:tcBorders>
                          <w:top w:val="single" w:sz="4" w:space="0" w:color="000000"/>
                        </w:tcBorders>
                      </w:tcPr>
                      <w:p w:rsidR="0018722C">
                        <w:pPr>
                          <w:widowControl w:val="0"/>
                          <w:snapToGrid w:val="1"/>
                          <w:spacing w:beforeLines="0" w:afterLines="0" w:after="0" w:line="307" w:lineRule="exact" w:before="146"/>
                          <w:ind w:firstLineChars="0" w:firstLine="0" w:rightChars="0" w:right="0" w:leftChars="0" w:left="274"/>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Ki-67</w:t>
                        </w:r>
                      </w:p>
                    </w:tc>
                  </w:tr>
                  <w:tr>
                    <w:trPr>
                      <w:trHeight w:val="280" w:hRule="atLeast"/>
                    </w:trPr>
                    <w:tc>
                      <w:tcPr>
                        <w:tcW w:w="232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981" w:type="dxa"/>
                      </w:tcPr>
                      <w:p w:rsidR="0018722C">
                        <w:pPr>
                          <w:widowControl w:val="0"/>
                          <w:snapToGrid w:val="1"/>
                          <w:spacing w:beforeLines="0" w:afterLines="0" w:before="0" w:after="0" w:line="273" w:lineRule="exact"/>
                          <w:ind w:firstLineChars="0" w:firstLine="0" w:rightChars="0" w:right="0" w:leftChars="0" w:left="8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n</w:t>
                        </w:r>
                      </w:p>
                    </w:tc>
                    <w:tc>
                      <w:tcPr>
                        <w:tcW w:w="477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80" w:hRule="atLeast"/>
                    </w:trPr>
                    <w:tc>
                      <w:tcPr>
                        <w:tcW w:w="8079" w:type="dxa"/>
                        <w:gridSpan w:val="4"/>
                        <w:tcBorders>
                          <w:bottom w:val="single" w:sz="4" w:space="0" w:color="000000"/>
                        </w:tcBorders>
                      </w:tcPr>
                      <w:p w:rsidR="0018722C">
                        <w:pPr>
                          <w:widowControl w:val="0"/>
                          <w:snapToGrid w:val="1"/>
                          <w:spacing w:beforeLines="0" w:afterLines="0" w:before="0" w:after="0" w:line="343" w:lineRule="exact"/>
                          <w:ind w:firstLineChars="0" w:firstLine="0" w:rightChars="0" w:right="0" w:leftChars="0" w:left="3610"/>
                          <w:jc w:val="left"/>
                          <w:autoSpaceDE w:val="0"/>
                          <w:autoSpaceDN w:val="0"/>
                          <w:tabs>
                            <w:tab w:pos="5866" w:val="left" w:leader="none"/>
                            <w:tab w:pos="7347" w:val="left" w:leader="none"/>
                          </w:tabs>
                          <w:pBdr>
                            <w:bottom w:val="none" w:sz="0" w:space="0" w:color="auto"/>
                          </w:pBdr>
                          <w:rPr>
                            <w:kern w:val="2"/>
                            <w:sz w:val="2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8"/>
                          </w:rPr>
                          <w:t>Positive</w:t>
                        </w:r>
                        <w:r>
                          <w:rPr>
                            <w:kern w:val="2"/>
                            <w:szCs w:val="22"/>
                            <w:rFonts w:ascii="宋体" w:hAnsi="宋体" w:cstheme="minorBidi" w:eastAsia="Times New Roman" w:cs="Times New Roman"/>
                            <w:sz w:val="28"/>
                          </w:rPr>
                          <w:t>（</w:t>
                        </w:r>
                        <w:r>
                          <w:rPr>
                            <w:kern w:val="2"/>
                            <w:szCs w:val="22"/>
                            <w:rFonts w:cstheme="minorBidi" w:ascii="Times New Roman" w:hAnsi="Times New Roman" w:eastAsia="Times New Roman" w:cs="Times New Roman"/>
                            <w:sz w:val="28"/>
                          </w:rPr>
                          <w:t>%</w:t>
                        </w:r>
                        <w:r>
                          <w:rPr>
                            <w:kern w:val="2"/>
                            <w:szCs w:val="22"/>
                            <w:rFonts w:ascii="宋体" w:hAnsi="宋体" w:cstheme="minorBidi" w:eastAsia="Times New Roman" w:cs="Times New Roman"/>
                            <w:sz w:val="28"/>
                          </w:rPr>
                          <w:t>）</w:t>
                          <w:tab/>
                        </w:r>
                        <w:r>
                          <w:rPr>
                            <w:kern w:val="2"/>
                            <w:szCs w:val="22"/>
                            <w:rFonts w:ascii="Symbol" w:hAnsi="Symbol" w:cstheme="minorBidi" w:eastAsia="Times New Roman" w:cs="Times New Roman"/>
                            <w:i/>
                            <w:sz w:val="29"/>
                          </w:rPr>
                          <w:t></w:t>
                        </w:r>
                        <w:r>
                          <w:rPr>
                            <w:kern w:val="2"/>
                            <w:szCs w:val="22"/>
                            <w:rFonts w:cstheme="minorBidi" w:ascii="Times New Roman" w:hAnsi="Times New Roman" w:eastAsia="Times New Roman" w:cs="Times New Roman"/>
                            <w:i/>
                            <w:spacing w:val="-6"/>
                            <w:sz w:val="29"/>
                          </w:rPr>
                          <w:t> </w:t>
                        </w:r>
                        <w:r>
                          <w:rPr>
                            <w:kern w:val="2"/>
                            <w:szCs w:val="22"/>
                            <w:rFonts w:cstheme="minorBidi" w:ascii="Times New Roman" w:hAnsi="Times New Roman" w:eastAsia="Times New Roman" w:cs="Times New Roman"/>
                            <w:sz w:val="28"/>
                          </w:rPr>
                          <w:t>2</w:t>
                          <w:tab/>
                        </w:r>
                        <w:r>
                          <w:rPr>
                            <w:kern w:val="2"/>
                            <w:szCs w:val="22"/>
                            <w:rFonts w:cstheme="minorBidi" w:ascii="Times New Roman" w:hAnsi="Times New Roman" w:eastAsia="Times New Roman" w:cs="Times New Roman"/>
                            <w:i/>
                            <w:sz w:val="28"/>
                          </w:rPr>
                          <w:t>P</w:t>
                        </w:r>
                      </w:p>
                    </w:tc>
                  </w:tr>
                  <w:tr>
                    <w:trPr>
                      <w:trHeight w:val="1240" w:hRule="atLeast"/>
                    </w:trPr>
                    <w:tc>
                      <w:tcPr>
                        <w:tcW w:w="2322" w:type="dxa"/>
                        <w:tcBorders>
                          <w:top w:val="single" w:sz="4" w:space="0" w:color="000000"/>
                        </w:tcBorders>
                      </w:tcPr>
                      <w:p w:rsidR="0018722C">
                        <w:pPr>
                          <w:widowControl w:val="0"/>
                          <w:snapToGrid w:val="1"/>
                          <w:spacing w:beforeLines="0" w:afterLines="0" w:lineRule="auto" w:line="240" w:after="0" w:before="146"/>
                          <w:ind w:firstLineChars="0" w:firstLine="0" w:leftChars="0" w:left="175" w:rightChars="0" w:right="61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Gastric</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175" w:rightChars="0" w:right="544"/>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carcinoma</w:t>
                        </w:r>
                      </w:p>
                    </w:tc>
                    <w:tc>
                      <w:tcPr>
                        <w:tcW w:w="981"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leftChars="0" w:left="282" w:rightChars="0" w:right="23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w:t>
                        </w:r>
                      </w:p>
                    </w:tc>
                    <w:tc>
                      <w:tcPr>
                        <w:tcW w:w="1883" w:type="dxa"/>
                        <w:tcBorders>
                          <w:top w:val="single" w:sz="4" w:space="0" w:color="000000"/>
                        </w:tcBorders>
                      </w:tcPr>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9"/>
                            <w:szCs w:val="22"/>
                            <w:rFonts w:cstheme="minorBidi" w:ascii="Times New Roman"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259"/>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88(86.27)</w:t>
                        </w:r>
                      </w:p>
                    </w:tc>
                    <w:tc>
                      <w:tcPr>
                        <w:tcW w:w="2893"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r>
                    <w:trPr>
                      <w:trHeight w:val="620" w:hRule="atLeast"/>
                    </w:trPr>
                    <w:tc>
                      <w:tcPr>
                        <w:tcW w:w="2322" w:type="dxa"/>
                      </w:tcPr>
                      <w:p w:rsidR="0018722C">
                        <w:pPr>
                          <w:widowControl w:val="0"/>
                          <w:snapToGrid w:val="1"/>
                          <w:spacing w:beforeLines="0" w:afterLines="0" w:lineRule="auto" w:line="240" w:after="0" w:before="150"/>
                          <w:ind w:firstLineChars="0" w:firstLine="0" w:leftChars="0" w:left="175" w:rightChars="0" w:right="27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Adjacent tissues</w:t>
                        </w:r>
                      </w:p>
                    </w:tc>
                    <w:tc>
                      <w:tcPr>
                        <w:tcW w:w="981" w:type="dxa"/>
                      </w:tcPr>
                      <w:p w:rsidR="0018722C">
                        <w:pPr>
                          <w:widowControl w:val="0"/>
                          <w:snapToGrid w:val="1"/>
                          <w:spacing w:beforeLines="0" w:afterLines="0" w:lineRule="auto" w:line="240" w:after="0" w:before="150"/>
                          <w:ind w:firstLineChars="0" w:firstLine="0" w:leftChars="0" w:left="282" w:rightChars="0" w:right="238"/>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45</w:t>
                        </w:r>
                      </w:p>
                    </w:tc>
                    <w:tc>
                      <w:tcPr>
                        <w:tcW w:w="1883" w:type="dxa"/>
                      </w:tcPr>
                      <w:p w:rsidR="0018722C">
                        <w:pPr>
                          <w:widowControl w:val="0"/>
                          <w:snapToGrid w:val="1"/>
                          <w:spacing w:beforeLines="0" w:afterLines="0" w:lineRule="auto" w:line="240" w:after="0" w:before="150"/>
                          <w:ind w:firstLineChars="0" w:firstLine="0" w:rightChars="0" w:right="0" w:leftChars="0" w:left="259"/>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31(68.89)</w:t>
                        </w:r>
                      </w:p>
                    </w:tc>
                    <w:tc>
                      <w:tcPr>
                        <w:tcW w:w="2893" w:type="dxa"/>
                      </w:tcPr>
                      <w:p w:rsidR="0018722C">
                        <w:pPr>
                          <w:widowControl w:val="0"/>
                          <w:snapToGrid w:val="1"/>
                          <w:spacing w:beforeLines="0" w:afterLines="0" w:lineRule="auto" w:line="240" w:after="0" w:before="89"/>
                          <w:ind w:firstLineChars="0" w:firstLine="0" w:rightChars="0" w:right="0" w:leftChars="0" w:left="526"/>
                          <w:jc w:val="left"/>
                          <w:autoSpaceDE w:val="0"/>
                          <w:autoSpaceDN w:val="0"/>
                          <w:tabs>
                            <w:tab w:pos="1720"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36.83</w:t>
                          <w:tab/>
                        </w:r>
                        <w:r>
                          <w:rPr>
                            <w:kern w:val="2"/>
                            <w:szCs w:val="22"/>
                            <w:rFonts w:ascii="宋体" w:eastAsia="宋体" w:hint="eastAsia" w:cstheme="minorBidi" w:hAnsi="Times New Roman" w:cs="Times New Roman"/>
                            <w:sz w:val="28"/>
                          </w:rPr>
                          <w:t>＜</w:t>
                        </w:r>
                        <w:r>
                          <w:rPr>
                            <w:kern w:val="2"/>
                            <w:szCs w:val="22"/>
                            <w:rFonts w:cstheme="minorBidi" w:ascii="Times New Roman" w:hAnsi="Times New Roman" w:eastAsia="Times New Roman" w:cs="Times New Roman"/>
                            <w:sz w:val="28"/>
                          </w:rPr>
                          <w:t>0.05</w:t>
                        </w:r>
                      </w:p>
                    </w:tc>
                  </w:tr>
                  <w:tr>
                    <w:trPr>
                      <w:trHeight w:val="620" w:hRule="atLeast"/>
                    </w:trPr>
                    <w:tc>
                      <w:tcPr>
                        <w:tcW w:w="2322" w:type="dxa"/>
                        <w:tcBorders>
                          <w:bottom w:val="single" w:sz="4" w:space="0" w:color="000000"/>
                        </w:tcBorders>
                      </w:tcPr>
                      <w:p w:rsidR="0018722C">
                        <w:pPr>
                          <w:widowControl w:val="0"/>
                          <w:snapToGrid w:val="1"/>
                          <w:spacing w:beforeLines="0" w:afterLines="0" w:lineRule="auto" w:line="240" w:after="0" w:before="149"/>
                          <w:ind w:firstLineChars="0" w:firstLine="0" w:leftChars="0" w:left="175" w:rightChars="0" w:right="279"/>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Normal tissue</w:t>
                        </w:r>
                      </w:p>
                    </w:tc>
                    <w:tc>
                      <w:tcPr>
                        <w:tcW w:w="981" w:type="dxa"/>
                        <w:tcBorders>
                          <w:bottom w:val="single" w:sz="4" w:space="0" w:color="000000"/>
                        </w:tcBorders>
                      </w:tcPr>
                      <w:p w:rsidR="0018722C">
                        <w:pPr>
                          <w:widowControl w:val="0"/>
                          <w:snapToGrid w:val="1"/>
                          <w:spacing w:beforeLines="0" w:afterLines="0" w:lineRule="auto" w:line="240" w:after="0" w:before="149"/>
                          <w:ind w:firstLineChars="0" w:firstLine="0" w:leftChars="0" w:left="282" w:rightChars="0" w:right="238"/>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34</w:t>
                        </w:r>
                      </w:p>
                    </w:tc>
                    <w:tc>
                      <w:tcPr>
                        <w:tcW w:w="1883" w:type="dxa"/>
                        <w:tcBorders>
                          <w:bottom w:val="single" w:sz="4" w:space="0" w:color="000000"/>
                        </w:tcBorders>
                      </w:tcPr>
                      <w:p w:rsidR="0018722C">
                        <w:pPr>
                          <w:widowControl w:val="0"/>
                          <w:snapToGrid w:val="1"/>
                          <w:spacing w:beforeLines="0" w:afterLines="0" w:lineRule="auto" w:line="240" w:after="0" w:before="149"/>
                          <w:ind w:firstLineChars="0" w:firstLine="0" w:rightChars="0" w:right="0" w:leftChars="0" w:left="259"/>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11(32.35)</w:t>
                        </w:r>
                      </w:p>
                    </w:tc>
                    <w:tc>
                      <w:tcPr>
                        <w:tcW w:w="2893"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ffff1"/>
        <w:topLinePunct/>
      </w:pPr>
      <w:r>
        <w:rPr>
          <w:rFonts w:ascii="Times New Roman"/>
        </w:rPr>
        <w:t>Tab4 Expression of Ki-67 in gastric cancer tissues,</w:t>
      </w:r>
      <w:r w:rsidR="004B696B">
        <w:rPr>
          <w:rFonts w:ascii="Times New Roman"/>
        </w:rPr>
        <w:t xml:space="preserve"> </w:t>
      </w:r>
      <w:r w:rsidR="004B696B">
        <w:rPr>
          <w:rFonts w:ascii="Times New Roman"/>
        </w:rPr>
        <w:t>adjacent and normal gastric mucosa</w:t>
      </w:r>
    </w:p>
    <w:p w:rsidR="0018722C">
      <w:pPr>
        <w:pStyle w:val="aff7"/>
        <w:topLinePunct/>
      </w:pPr>
      <w:r>
        <w:pict>
          <v:group style="margin-left:267.769989pt;margin-top:15.976038pt;width:229.15pt;height:.5pt;mso-position-horizontal-relative:page;mso-position-vertical-relative:paragraph;z-index:1384;mso-wrap-distance-left:0;mso-wrap-distance-right:0" coordorigin="5355,320" coordsize="4583,10">
            <v:rect style="position:absolute;left:5355;top:319;width:10;height:10" filled="true" fillcolor="#000000" stroked="false">
              <v:fill type="solid"/>
            </v:rect>
            <v:line style="position:absolute" from="5365,324" to="9928,324" stroked="true" strokeweight=".48pt" strokecolor="#000000">
              <v:stroke dashstyle="solid"/>
            </v:line>
            <v:rect style="position:absolute;left:9928;top:319;width:10;height:10" filled="true" fillcolor="#000000" stroked="false">
              <v:fill type="solid"/>
            </v:rect>
            <w10:wrap type="topAndBottom"/>
          </v:group>
        </w:pict>
      </w:r>
    </w:p>
    <w:p w:rsidR="0018722C">
      <w:pPr>
        <w:pStyle w:val="affff1"/>
        <w:topLinePunct/>
      </w:pPr>
      <w:r>
        <w:pict>
          <v:shape style="margin-left:92.903999pt;margin-top:39.470318pt;width:411.58pt;height:159.050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4"/>
                    <w:gridCol w:w="1411"/>
                    <w:gridCol w:w="1412"/>
                    <w:gridCol w:w="3772"/>
                  </w:tblGrid>
                  <w:tr>
                    <w:trPr>
                      <w:trHeight w:val="460" w:hRule="atLeast"/>
                    </w:trPr>
                    <w:tc>
                      <w:tcPr>
                        <w:tcW w:w="1904" w:type="dxa"/>
                        <w:tcBorders>
                          <w:top w:val="single" w:sz="4" w:space="0" w:color="000000"/>
                        </w:tcBorders>
                      </w:tcPr>
                      <w:p w:rsidR="0018722C">
                        <w:pPr>
                          <w:widowControl w:val="0"/>
                          <w:snapToGrid w:val="1"/>
                          <w:spacing w:beforeLines="0" w:afterLines="0" w:after="0" w:line="303" w:lineRule="exact" w:before="151"/>
                          <w:ind w:firstLineChars="0" w:firstLine="0" w:leftChars="0" w:left="0" w:rightChars="0" w:right="441"/>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Grope</w:t>
                        </w:r>
                      </w:p>
                    </w:tc>
                    <w:tc>
                      <w:tcPr>
                        <w:tcW w:w="1411"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141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2"/>
                            <w:rFonts w:cstheme="minorBidi" w:ascii="Times New Roman" w:hAnsi="Times New Roman" w:eastAsia="Times New Roman" w:cs="Times New Roman"/>
                          </w:rPr>
                        </w:pPr>
                      </w:p>
                    </w:tc>
                    <w:tc>
                      <w:tcPr>
                        <w:tcW w:w="3772" w:type="dxa"/>
                        <w:tcBorders>
                          <w:top w:val="single" w:sz="4" w:space="0" w:color="000000"/>
                        </w:tcBorders>
                      </w:tcPr>
                      <w:p w:rsidR="0018722C">
                        <w:pPr>
                          <w:widowControl w:val="0"/>
                          <w:snapToGrid w:val="1"/>
                          <w:spacing w:beforeLines="0" w:afterLines="0" w:after="0" w:line="308" w:lineRule="exact" w:before="146"/>
                          <w:ind w:firstLineChars="0" w:firstLine="0" w:rightChars="0" w:right="0" w:leftChars="0" w:left="841"/>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Result</w:t>
                        </w:r>
                      </w:p>
                    </w:tc>
                  </w:tr>
                  <w:tr>
                    <w:trPr>
                      <w:trHeight w:val="280" w:hRule="atLeast"/>
                    </w:trPr>
                    <w:tc>
                      <w:tcPr>
                        <w:tcW w:w="190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11" w:type="dxa"/>
                      </w:tcPr>
                      <w:p w:rsidR="0018722C">
                        <w:pPr>
                          <w:widowControl w:val="0"/>
                          <w:snapToGrid w:val="1"/>
                          <w:spacing w:beforeLines="0" w:afterLines="0" w:before="0" w:after="0" w:line="277" w:lineRule="exact"/>
                          <w:ind w:firstLineChars="0" w:firstLine="0" w:leftChars="0" w:left="0" w:rightChars="0" w:right="155"/>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8"/>
                          </w:rPr>
                          <w:t>n</w:t>
                        </w:r>
                      </w:p>
                    </w:tc>
                    <w:tc>
                      <w:tcPr>
                        <w:tcW w:w="518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80" w:hRule="atLeast"/>
                    </w:trPr>
                    <w:tc>
                      <w:tcPr>
                        <w:tcW w:w="8499" w:type="dxa"/>
                        <w:gridSpan w:val="4"/>
                        <w:tcBorders>
                          <w:bottom w:val="single" w:sz="4" w:space="0" w:color="000000"/>
                        </w:tcBorders>
                      </w:tcPr>
                      <w:p w:rsidR="0018722C">
                        <w:pPr>
                          <w:widowControl w:val="0"/>
                          <w:snapToGrid w:val="1"/>
                          <w:spacing w:beforeLines="0" w:afterLines="0" w:before="0" w:after="0" w:line="347" w:lineRule="exact"/>
                          <w:ind w:firstLineChars="0" w:firstLine="0" w:rightChars="0" w:right="0" w:leftChars="0" w:left="3468"/>
                          <w:jc w:val="left"/>
                          <w:autoSpaceDE w:val="0"/>
                          <w:autoSpaceDN w:val="0"/>
                          <w:tabs>
                            <w:tab w:pos="4899" w:val="left" w:leader="none"/>
                            <w:tab w:pos="6080" w:val="left" w:leader="none"/>
                            <w:tab w:pos="7143" w:val="left" w:leader="none"/>
                          </w:tabs>
                          <w:pBdr>
                            <w:bottom w:val="none" w:sz="0" w:space="0" w:color="auto"/>
                          </w:pBdr>
                          <w:rPr>
                            <w:kern w:val="2"/>
                            <w:sz w:val="28"/>
                            <w:szCs w:val="22"/>
                            <w:rFonts w:cstheme="minorBidi" w:ascii="Times New Roman" w:hAnsi="Times New Roman" w:eastAsia="Times New Roman" w:cs="Times New Roman"/>
                            <w:i/>
                          </w:rPr>
                        </w:pPr>
                        <w:r>
                          <w:rPr>
                            <w:kern w:val="2"/>
                            <w:szCs w:val="22"/>
                            <w:rFonts w:cstheme="minorBidi" w:ascii="Times New Roman" w:hAnsi="Times New Roman" w:eastAsia="Times New Roman" w:cs="Times New Roman"/>
                            <w:sz w:val="28"/>
                          </w:rPr>
                          <w:t>Negative</w:t>
                          <w:tab/>
                          <w:t>Positive</w:t>
                          <w:tab/>
                        </w:r>
                        <w:r>
                          <w:rPr>
                            <w:kern w:val="2"/>
                            <w:szCs w:val="22"/>
                            <w:rFonts w:ascii="Symbol" w:hAnsi="Symbol" w:cstheme="minorBidi" w:eastAsia="Times New Roman" w:cs="Times New Roman"/>
                            <w:i/>
                            <w:sz w:val="29"/>
                          </w:rPr>
                          <w:t></w:t>
                        </w:r>
                        <w:r>
                          <w:rPr>
                            <w:kern w:val="2"/>
                            <w:szCs w:val="22"/>
                            <w:rFonts w:cstheme="minorBidi" w:ascii="Times New Roman" w:hAnsi="Times New Roman" w:eastAsia="Times New Roman" w:cs="Times New Roman"/>
                            <w:i/>
                            <w:spacing w:val="-6"/>
                            <w:sz w:val="29"/>
                          </w:rPr>
                          <w:t> </w:t>
                        </w:r>
                        <w:r>
                          <w:rPr>
                            <w:kern w:val="2"/>
                            <w:szCs w:val="22"/>
                            <w:rFonts w:cstheme="minorBidi" w:ascii="Times New Roman" w:hAnsi="Times New Roman" w:eastAsia="Times New Roman" w:cs="Times New Roman"/>
                            <w:sz w:val="28"/>
                          </w:rPr>
                          <w:t>2</w:t>
                          <w:tab/>
                        </w:r>
                        <w:r>
                          <w:rPr>
                            <w:kern w:val="2"/>
                            <w:szCs w:val="22"/>
                            <w:rFonts w:cstheme="minorBidi" w:ascii="Times New Roman" w:hAnsi="Times New Roman" w:eastAsia="Times New Roman" w:cs="Times New Roman"/>
                            <w:i/>
                            <w:sz w:val="28"/>
                          </w:rPr>
                          <w:t>P</w:t>
                        </w:r>
                      </w:p>
                    </w:tc>
                  </w:tr>
                  <w:tr>
                    <w:trPr>
                      <w:trHeight w:val="620" w:hRule="atLeast"/>
                    </w:trPr>
                    <w:tc>
                      <w:tcPr>
                        <w:tcW w:w="1904" w:type="dxa"/>
                        <w:tcBorders>
                          <w:top w:val="single" w:sz="4" w:space="0" w:color="000000"/>
                        </w:tcBorders>
                      </w:tcPr>
                      <w:p w:rsidR="0018722C">
                        <w:pPr>
                          <w:widowControl w:val="0"/>
                          <w:snapToGrid w:val="1"/>
                          <w:spacing w:beforeLines="0" w:afterLines="0" w:lineRule="auto" w:line="240" w:after="0" w:before="148"/>
                          <w:ind w:firstLineChars="0" w:firstLine="0" w:leftChars="0" w:left="0" w:rightChars="0" w:right="449"/>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NF-κB</w:t>
                        </w:r>
                      </w:p>
                    </w:tc>
                    <w:tc>
                      <w:tcPr>
                        <w:tcW w:w="1411" w:type="dxa"/>
                        <w:tcBorders>
                          <w:top w:val="single" w:sz="4" w:space="0" w:color="000000"/>
                        </w:tcBorders>
                      </w:tcPr>
                      <w:p w:rsidR="0018722C">
                        <w:pPr>
                          <w:widowControl w:val="0"/>
                          <w:snapToGrid w:val="1"/>
                          <w:spacing w:beforeLines="0" w:afterLines="0" w:lineRule="auto" w:line="240" w:after="0" w:before="148"/>
                          <w:ind w:firstLineChars="0" w:firstLine="0" w:leftChars="0" w:left="399" w:rightChars="0" w:right="55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w:t>
                        </w:r>
                      </w:p>
                    </w:tc>
                    <w:tc>
                      <w:tcPr>
                        <w:tcW w:w="1412" w:type="dxa"/>
                        <w:tcBorders>
                          <w:top w:val="single" w:sz="4" w:space="0" w:color="000000"/>
                        </w:tcBorders>
                      </w:tcPr>
                      <w:p w:rsidR="0018722C">
                        <w:pPr>
                          <w:widowControl w:val="0"/>
                          <w:snapToGrid w:val="1"/>
                          <w:spacing w:beforeLines="0" w:afterLines="0" w:lineRule="auto" w:line="240" w:after="0" w:before="148"/>
                          <w:ind w:firstLineChars="0" w:firstLine="0" w:leftChars="0" w:left="553" w:rightChars="0" w:right="537"/>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30</w:t>
                        </w:r>
                      </w:p>
                    </w:tc>
                    <w:tc>
                      <w:tcPr>
                        <w:tcW w:w="3772" w:type="dxa"/>
                        <w:tcBorders>
                          <w:top w:val="single" w:sz="4" w:space="0" w:color="000000"/>
                        </w:tcBorders>
                      </w:tcPr>
                      <w:p w:rsidR="0018722C">
                        <w:pPr>
                          <w:widowControl w:val="0"/>
                          <w:snapToGrid w:val="1"/>
                          <w:spacing w:beforeLines="0" w:afterLines="0" w:lineRule="auto" w:line="240" w:after="0" w:before="148"/>
                          <w:ind w:firstLineChars="0" w:firstLine="0" w:rightChars="0" w:right="0" w:leftChars="0" w:left="556"/>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72</w:t>
                        </w:r>
                      </w:p>
                    </w:tc>
                  </w:tr>
                  <w:tr>
                    <w:trPr>
                      <w:trHeight w:val="620" w:hRule="atLeast"/>
                    </w:trPr>
                    <w:tc>
                      <w:tcPr>
                        <w:tcW w:w="1904" w:type="dxa"/>
                      </w:tcPr>
                      <w:p w:rsidR="0018722C">
                        <w:pPr>
                          <w:widowControl w:val="0"/>
                          <w:snapToGrid w:val="1"/>
                          <w:spacing w:beforeLines="0" w:afterLines="0" w:lineRule="auto" w:line="240" w:after="0" w:before="150"/>
                          <w:ind w:firstLineChars="0" w:firstLine="0" w:leftChars="0" w:left="0" w:rightChars="0" w:right="414"/>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TopoII</w:t>
                        </w:r>
                      </w:p>
                    </w:tc>
                    <w:tc>
                      <w:tcPr>
                        <w:tcW w:w="1411" w:type="dxa"/>
                      </w:tcPr>
                      <w:p w:rsidR="0018722C">
                        <w:pPr>
                          <w:widowControl w:val="0"/>
                          <w:snapToGrid w:val="1"/>
                          <w:spacing w:beforeLines="0" w:afterLines="0" w:lineRule="auto" w:line="240" w:after="0" w:before="150"/>
                          <w:ind w:firstLineChars="0" w:firstLine="0" w:leftChars="0" w:left="399" w:rightChars="0" w:right="55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w:t>
                        </w:r>
                      </w:p>
                    </w:tc>
                    <w:tc>
                      <w:tcPr>
                        <w:tcW w:w="1412" w:type="dxa"/>
                      </w:tcPr>
                      <w:p w:rsidR="0018722C">
                        <w:pPr>
                          <w:widowControl w:val="0"/>
                          <w:snapToGrid w:val="1"/>
                          <w:spacing w:beforeLines="0" w:afterLines="0" w:lineRule="auto" w:line="240" w:after="0" w:before="150"/>
                          <w:ind w:firstLineChars="0" w:firstLine="0" w:leftChars="0" w:left="554" w:rightChars="0" w:right="536"/>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47</w:t>
                        </w:r>
                      </w:p>
                    </w:tc>
                    <w:tc>
                      <w:tcPr>
                        <w:tcW w:w="3772" w:type="dxa"/>
                      </w:tcPr>
                      <w:p w:rsidR="0018722C">
                        <w:pPr>
                          <w:widowControl w:val="0"/>
                          <w:snapToGrid w:val="1"/>
                          <w:spacing w:beforeLines="0" w:afterLines="0" w:lineRule="auto" w:line="240" w:after="0" w:before="89"/>
                          <w:ind w:firstLineChars="0" w:firstLine="0" w:rightChars="0" w:right="0" w:leftChars="0" w:left="585"/>
                          <w:jc w:val="left"/>
                          <w:autoSpaceDE w:val="0"/>
                          <w:autoSpaceDN w:val="0"/>
                          <w:tabs>
                            <w:tab w:pos="1425" w:val="left" w:leader="none"/>
                            <w:tab w:pos="2476" w:val="left" w:leader="none"/>
                          </w:tabs>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55</w:t>
                          <w:tab/>
                          <w:t>25.556</w:t>
                          <w:tab/>
                        </w:r>
                        <w:r>
                          <w:rPr>
                            <w:kern w:val="2"/>
                            <w:szCs w:val="22"/>
                            <w:rFonts w:ascii="宋体" w:eastAsia="宋体" w:hint="eastAsia" w:cstheme="minorBidi" w:hAnsi="Times New Roman" w:cs="Times New Roman"/>
                            <w:sz w:val="28"/>
                          </w:rPr>
                          <w:t>＜</w:t>
                        </w:r>
                        <w:r>
                          <w:rPr>
                            <w:kern w:val="2"/>
                            <w:szCs w:val="22"/>
                            <w:rFonts w:cstheme="minorBidi" w:ascii="Times New Roman" w:hAnsi="Times New Roman" w:eastAsia="Times New Roman" w:cs="Times New Roman"/>
                            <w:sz w:val="28"/>
                          </w:rPr>
                          <w:t>0.05</w:t>
                        </w:r>
                      </w:p>
                    </w:tc>
                  </w:tr>
                  <w:tr>
                    <w:trPr>
                      <w:trHeight w:val="620" w:hRule="atLeast"/>
                    </w:trPr>
                    <w:tc>
                      <w:tcPr>
                        <w:tcW w:w="1904" w:type="dxa"/>
                        <w:tcBorders>
                          <w:bottom w:val="single" w:sz="4" w:space="0" w:color="000000"/>
                        </w:tcBorders>
                      </w:tcPr>
                      <w:p w:rsidR="0018722C">
                        <w:pPr>
                          <w:widowControl w:val="0"/>
                          <w:snapToGrid w:val="1"/>
                          <w:spacing w:beforeLines="0" w:afterLines="0" w:lineRule="auto" w:line="240" w:after="0" w:before="147"/>
                          <w:ind w:firstLineChars="0" w:firstLine="0" w:leftChars="0" w:left="0" w:rightChars="0" w:right="469"/>
                          <w:jc w:val="righ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Ki-67</w:t>
                        </w:r>
                      </w:p>
                    </w:tc>
                    <w:tc>
                      <w:tcPr>
                        <w:tcW w:w="1411" w:type="dxa"/>
                        <w:tcBorders>
                          <w:bottom w:val="single" w:sz="4" w:space="0" w:color="000000"/>
                        </w:tcBorders>
                      </w:tcPr>
                      <w:p w:rsidR="0018722C">
                        <w:pPr>
                          <w:widowControl w:val="0"/>
                          <w:snapToGrid w:val="1"/>
                          <w:spacing w:beforeLines="0" w:afterLines="0" w:lineRule="auto" w:line="240" w:after="0" w:before="147"/>
                          <w:ind w:firstLineChars="0" w:firstLine="0" w:leftChars="0" w:left="399" w:rightChars="0" w:right="552"/>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102</w:t>
                        </w:r>
                      </w:p>
                    </w:tc>
                    <w:tc>
                      <w:tcPr>
                        <w:tcW w:w="1412" w:type="dxa"/>
                        <w:tcBorders>
                          <w:bottom w:val="single" w:sz="4" w:space="0" w:color="000000"/>
                        </w:tcBorders>
                      </w:tcPr>
                      <w:p w:rsidR="0018722C">
                        <w:pPr>
                          <w:widowControl w:val="0"/>
                          <w:snapToGrid w:val="1"/>
                          <w:spacing w:beforeLines="0" w:afterLines="0" w:lineRule="auto" w:line="240" w:after="0" w:before="147"/>
                          <w:ind w:firstLineChars="0" w:firstLine="0" w:leftChars="0" w:left="553" w:rightChars="0" w:right="537"/>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14</w:t>
                        </w:r>
                      </w:p>
                    </w:tc>
                    <w:tc>
                      <w:tcPr>
                        <w:tcW w:w="3772" w:type="dxa"/>
                        <w:tcBorders>
                          <w:bottom w:val="single" w:sz="4" w:space="0" w:color="000000"/>
                        </w:tcBorders>
                      </w:tcPr>
                      <w:p w:rsidR="0018722C">
                        <w:pPr>
                          <w:widowControl w:val="0"/>
                          <w:snapToGrid w:val="1"/>
                          <w:spacing w:beforeLines="0" w:afterLines="0" w:lineRule="auto" w:line="240" w:after="0" w:before="147"/>
                          <w:ind w:firstLineChars="0" w:firstLine="0" w:rightChars="0" w:right="0" w:leftChars="0" w:left="585"/>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88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宋体" w:eastAsia="宋体" w:cs="宋体"/>
                    </w:rPr>
                  </w:pPr>
                </w:p>
              </w:txbxContent>
            </v:textbox>
            <w10:wrap type="none"/>
          </v:shape>
        </w:pict>
      </w:r>
    </w:p>
    <w:p w:rsidR="0018722C">
      <w:pPr>
        <w:pStyle w:val="affff1"/>
        <w:topLinePunct/>
      </w:pPr>
      <w:r>
        <w:rPr>
          <w:rFonts w:ascii="Times New Roman"/>
        </w:rPr>
        <w:t>Tab5 Expression of NF-kB,</w:t>
      </w:r>
      <w:r w:rsidR="004B696B">
        <w:rPr>
          <w:rFonts w:ascii="Times New Roman"/>
        </w:rPr>
        <w:t xml:space="preserve"> </w:t>
      </w:r>
      <w:r w:rsidR="004B696B">
        <w:rPr>
          <w:rFonts w:ascii="Times New Roman"/>
        </w:rPr>
        <w:t>TopoII and Ki-67 in gastric cancer tissues and their relationship</w:t>
      </w:r>
    </w:p>
    <w:p w:rsidR="0018722C">
      <w:pPr>
        <w:pStyle w:val="aff7"/>
        <w:topLinePunct/>
      </w:pPr>
      <w:r>
        <w:pict>
          <v:group style="margin-left:260.690002pt;margin-top:15.729143pt;width:257.25pt;height:.5pt;mso-position-horizontal-relative:page;mso-position-vertical-relative:paragraph;z-index:1408;mso-wrap-distance-left:0;mso-wrap-distance-right:0" coordorigin="5214,315" coordsize="5145,10">
            <v:rect style="position:absolute;left:5213;top:314;width:10;height:10" filled="true" fillcolor="#000000" stroked="false">
              <v:fill type="solid"/>
            </v:rect>
            <v:line style="position:absolute" from="5223,319" to="10348,319" stroked="true" strokeweight=".48001pt" strokecolor="#000000">
              <v:stroke dashstyle="solid"/>
            </v:line>
            <v:rect style="position:absolute;left:10348;top:314;width:10;height:10" filled="true" fillcolor="#000000" stroked="false">
              <v:fill type="solid"/>
            </v:rect>
            <w10:wrap type="topAndBottom"/>
          </v:group>
        </w:pict>
      </w:r>
    </w:p>
    <w:p w:rsidR="0018722C">
      <w:pPr>
        <w:rPr/>
        <w:topLinePunct/>
      </w:pPr>
    </w:p>
    <w:p w:rsidR="0018722C">
      <w:pPr>
        <w:pStyle w:val="affff1"/>
        <w:outlineLvl w:val="9"/>
        <w:topLinePunct/>
      </w:pPr>
      <w:bookmarkStart w:name="_TOC_250004" w:id="39"/>
      <w:bookmarkStart w:name="讨论 " w:id="40"/>
      <w:bookmarkEnd w:id="39"/>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r>
        <w:t>胃癌是危害我国乃至世界人民的重要恶性肿瘤，</w:t>
      </w:r>
      <w:r>
        <w:t>近年</w:t>
      </w:r>
      <w:r>
        <w:t>来虽对胃癌的研</w:t>
      </w:r>
      <w:r>
        <w:t>究在早期检测方法及早期胃癌的诊断率方面有了一定成绩，但对胃癌的研</w:t>
      </w:r>
      <w:r>
        <w:t>究仍有巨大认知盲区，关于胃癌的探索仍继续得到国内外学者的普遍关</w:t>
      </w:r>
      <w:r>
        <w:t>注，并发现至少有六个标志性的细胞病理的改变发生在肿瘤细胞中：细胞</w:t>
      </w:r>
      <w:r>
        <w:t>能量的自我供给、凋亡的逃避、对生长抑制信号不敏感、逃避凋亡、血管</w:t>
      </w:r>
      <w:r>
        <w:t>形成、无限增殖、组织侵袭和转移</w:t>
      </w:r>
      <w:r>
        <w:rPr>
          <w:vertAlign w:val="superscript"/>
          /&gt;
        </w:rPr>
        <w:t>[</w:t>
      </w:r>
      <w:r>
        <w:rPr>
          <w:vertAlign w:val="superscript"/>
          <w:position w:val="14"/>
        </w:rPr>
        <w:t xml:space="preserve">1</w:t>
      </w:r>
      <w:r>
        <w:rPr>
          <w:vertAlign w:val="superscript"/>
          /&gt;
        </w:rPr>
        <w:t>]</w:t>
      </w:r>
      <w:r>
        <w:t>。研究认为，</w:t>
      </w:r>
      <w:r>
        <w:t>NF-κB</w:t>
      </w:r>
      <w:r/>
      <w:r w:rsidR="001852F3">
        <w:t xml:space="preserve">在诸多疾病包括诸如急性胰腺炎、急性肝损伤、心肌梗死等相关</w:t>
      </w:r>
      <w:r>
        <w:rPr>
          <w:vertAlign w:val="superscript"/>
          /&gt;
        </w:rPr>
        <w:t>[</w:t>
      </w:r>
      <w:r>
        <w:rPr>
          <w:spacing w:val="-4"/>
          <w:position w:val="14"/>
          <w:sz w:val="14"/>
        </w:rPr>
        <w:t xml:space="preserve">2</w:t>
      </w:r>
      <w:r>
        <w:rPr>
          <w:spacing w:val="-4"/>
          <w:position w:val="14"/>
          <w:sz w:val="14"/>
        </w:rPr>
        <w:t xml:space="preserve">, </w:t>
      </w:r>
      <w:r>
        <w:rPr>
          <w:spacing w:val="-4"/>
          <w:position w:val="14"/>
          <w:sz w:val="14"/>
        </w:rPr>
        <w:t xml:space="preserve">3</w:t>
      </w:r>
      <w:r>
        <w:rPr>
          <w:vertAlign w:val="superscript"/>
          /&gt;
        </w:rPr>
        <w:t>]</w:t>
      </w:r>
      <w:r>
        <w:t>，并在多种实体肿瘤中</w:t>
      </w:r>
      <w:r>
        <w:rPr>
          <w:vertAlign w:val="superscript"/>
          /&gt;
        </w:rPr>
        <w:t>[</w:t>
      </w:r>
      <w:r>
        <w:rPr>
          <w:vertAlign w:val="superscript"/>
          <w:position w:val="14"/>
        </w:rPr>
        <w:t xml:space="preserve">4</w:t>
      </w:r>
      <w:r>
        <w:rPr>
          <w:vertAlign w:val="superscript"/>
          /&gt;
        </w:rPr>
        <w:t>]</w:t>
      </w:r>
      <w:r>
        <w:t>有异常表达，</w:t>
      </w:r>
      <w:r>
        <w:t>NF-κB</w:t>
      </w:r>
      <w:r>
        <w:t>、</w:t>
      </w:r>
      <w:r>
        <w:t>TOPO</w:t>
      </w:r>
      <w:r>
        <w:t>Ⅱ、</w:t>
      </w:r>
      <w:r>
        <w:t>Ki-67</w:t>
      </w:r>
      <w:r/>
      <w:r w:rsidR="001852F3">
        <w:t xml:space="preserve">在恶性占位性病变中的作用机</w:t>
      </w:r>
      <w:r>
        <w:t>制越来越受到学者的重视。</w:t>
      </w:r>
    </w:p>
    <w:p w:rsidR="0018722C">
      <w:pPr>
        <w:pStyle w:val="cw19"/>
        <w:topLinePunct/>
      </w:pPr>
      <w:r>
        <w:rPr>
          <w:rFonts w:ascii="宋体" w:hAnsi="宋体" w:eastAsia="宋体" w:hint="eastAsia"/>
        </w:rPr>
        <w:t>1 </w:t>
      </w:r>
      <w:r>
        <w:rPr>
          <w:rFonts w:ascii="宋体" w:hAnsi="宋体" w:eastAsia="宋体" w:hint="eastAsia"/>
        </w:rPr>
        <w:t>NF-κB</w:t>
      </w:r>
      <w:r w:rsidR="001852F3">
        <w:rPr>
          <w:rFonts w:ascii="宋体" w:hAnsi="宋体" w:eastAsia="宋体" w:hint="eastAsia"/>
        </w:rPr>
        <w:t xml:space="preserve">与胃癌</w:t>
      </w:r>
    </w:p>
    <w:p w:rsidR="0018722C">
      <w:pPr>
        <w:topLinePunct/>
      </w:pPr>
      <w:r>
        <w:t>NF-κB</w:t>
      </w:r>
      <w:r/>
      <w:r w:rsidR="001852F3">
        <w:t xml:space="preserve">是最先由</w:t>
      </w:r>
      <w:r>
        <w:t>Sen</w:t>
      </w:r>
      <w:r/>
      <w:r w:rsidR="001852F3">
        <w:t xml:space="preserve">等在</w:t>
      </w:r>
      <w:r>
        <w:t>1986</w:t>
      </w:r>
      <w:r/>
      <w:r w:rsidR="001852F3">
        <w:t xml:space="preserve">年从鼠</w:t>
      </w:r>
      <w:r>
        <w:t>B</w:t>
      </w:r>
      <w:r/>
      <w:r w:rsidR="001852F3">
        <w:t xml:space="preserve">淋巴细胞中发现的一种核转</w:t>
      </w:r>
      <w:r>
        <w:t>录调节因子，它介入到多种生理病理过程，存在于体内各种细胞，最初发</w:t>
      </w:r>
      <w:r>
        <w:t>现其与免疫反应及炎症相关，但逐渐发现其通过信号传导通路在细胞恶化</w:t>
      </w:r>
      <w:r>
        <w:t>的过程中也起着重要作用</w:t>
      </w:r>
      <w:r>
        <w:rPr>
          <w:vertAlign w:val="superscript"/>
          /&gt;
        </w:rPr>
        <w:t>[</w:t>
      </w:r>
      <w:r>
        <w:rPr>
          <w:vertAlign w:val="superscript"/>
          <w:position w:val="14"/>
        </w:rPr>
        <w:t xml:space="preserve">5</w:t>
      </w:r>
      <w:r>
        <w:rPr>
          <w:vertAlign w:val="superscript"/>
          /&gt;
        </w:rPr>
        <w:t>]</w:t>
      </w:r>
      <w:r>
        <w:t>。在没有外界刺激时，大多数</w:t>
      </w:r>
      <w:r>
        <w:t>NF-κB</w:t>
      </w:r>
      <w:r/>
      <w:r w:rsidR="001852F3">
        <w:t xml:space="preserve">二聚体</w:t>
      </w:r>
      <w:r>
        <w:t>和</w:t>
      </w:r>
      <w:r>
        <w:t>IκB</w:t>
      </w:r>
      <w:r/>
      <w:r w:rsidR="001852F3">
        <w:t xml:space="preserve">结合成复杂的无活性物自由穿梭于细胞质和细胞核之间，但被激</w:t>
      </w:r>
      <w:r>
        <w:t>活后则进入细胞核，严重干扰细胞的正常的途径，同时干扰细胞的凋亡，</w:t>
      </w:r>
      <w:r w:rsidR="001852F3">
        <w:t xml:space="preserve">而具有癌变发展倾向</w:t>
      </w:r>
      <w:r>
        <w:rPr>
          <w:vertAlign w:val="superscript"/>
          /&gt;
        </w:rPr>
        <w:t>[</w:t>
      </w:r>
      <w:r>
        <w:rPr>
          <w:vertAlign w:val="superscript"/>
          <w:position w:val="14"/>
        </w:rPr>
        <w:t xml:space="preserve">6</w:t>
      </w:r>
      <w:r>
        <w:rPr>
          <w:vertAlign w:val="superscript"/>
          /&gt;
        </w:rPr>
        <w:t>]</w:t>
      </w:r>
      <w:r>
        <w:t>。而更多的研究发现</w:t>
      </w:r>
      <w:r>
        <w:rPr>
          <w:vertAlign w:val="superscript"/>
          /&gt;
        </w:rPr>
        <w:t>[</w:t>
      </w:r>
      <w:r>
        <w:rPr>
          <w:vertAlign w:val="superscript"/>
          <w:position w:val="14"/>
        </w:rPr>
        <w:t xml:space="preserve">7</w:t>
      </w:r>
      <w:r>
        <w:rPr>
          <w:vertAlign w:val="superscript"/>
          <w:position w:val="14"/>
        </w:rPr>
        <w:t xml:space="preserve">, </w:t>
      </w:r>
      <w:r>
        <w:rPr>
          <w:vertAlign w:val="superscript"/>
          <w:position w:val="14"/>
        </w:rPr>
        <w:t xml:space="preserve">8</w:t>
      </w:r>
      <w:r>
        <w:rPr>
          <w:vertAlign w:val="superscript"/>
          <w:position w:val="14"/>
        </w:rPr>
        <w:t xml:space="preserve">, </w:t>
      </w:r>
      <w:r>
        <w:rPr>
          <w:vertAlign w:val="superscript"/>
          <w:position w:val="14"/>
        </w:rPr>
        <w:t xml:space="preserve">9</w:t>
      </w:r>
      <w:r>
        <w:rPr>
          <w:vertAlign w:val="superscript"/>
          /&gt;
        </w:rPr>
        <w:t>]</w:t>
      </w:r>
      <w:r>
        <w:t>，NF-κB</w:t>
      </w:r>
      <w:r w:rsidR="001852F3">
        <w:t xml:space="preserve">与肿瘤密切相关。</w:t>
      </w:r>
    </w:p>
    <w:p w:rsidR="0018722C">
      <w:pPr>
        <w:topLinePunct/>
      </w:pPr>
      <w:r>
        <w:t>关于肿瘤的形成是否是由于机体为应对外来或内在刺激产生的炎症</w:t>
      </w:r>
      <w:r>
        <w:t>相关，19</w:t>
      </w:r>
      <w:r/>
      <w:r w:rsidR="001852F3">
        <w:t xml:space="preserve">世纪学者</w:t>
      </w:r>
      <w:r>
        <w:t>Virchow</w:t>
      </w:r>
      <w:r/>
      <w:r w:rsidR="001852F3">
        <w:t xml:space="preserve">认为两者之间存在相关性，而现代医学对此已有证实，并发现多种因子在炎症刺激后相应产生，NF-κB</w:t>
      </w:r>
      <w:r w:rsidR="001852F3">
        <w:t xml:space="preserve">是多种因子</w:t>
      </w:r>
      <w:r>
        <w:t>之一并有研究证实其是架接在炎症和肿瘤之间的桥梁</w:t>
      </w:r>
      <w:r>
        <w:rPr>
          <w:vertAlign w:val="superscript"/>
          /&gt;
        </w:rPr>
        <w:t>[</w:t>
      </w:r>
      <w:r>
        <w:rPr>
          <w:vertAlign w:val="superscript"/>
          /&gt;
        </w:rPr>
        <w:t>10</w:t>
      </w:r>
      <w:r>
        <w:rPr>
          <w:vertAlign w:val="superscript"/>
          /&gt;
        </w:rPr>
        <w:t>]</w:t>
      </w:r>
      <w:r>
        <w:t>，而慢性、多发致</w:t>
      </w:r>
      <w:r>
        <w:t>病因素所形成的慢性炎症及在此基础上形成的瀑布效应是肿瘤发生重要</w:t>
      </w:r>
      <w:r>
        <w:t>因素之一，慢性炎症可能促进基因组的不稳定性增加，从而引起机体细胞</w:t>
      </w:r>
      <w:r>
        <w:t>中</w:t>
      </w:r>
      <w:r>
        <w:t>DNA</w:t>
      </w:r>
      <w:r/>
      <w:r w:rsidR="001852F3">
        <w:t xml:space="preserve">分子的毁伤，引起肿瘤微环境的改变，而肿瘤微环境改变进一步促</w:t>
      </w:r>
      <w:r>
        <w:t>进肿瘤细胞的增殖，促进肿瘤血管生成和转移，有证据表明，其在多种肿</w:t>
      </w:r>
      <w:r>
        <w:t>瘤的发生进展和转移潜能中发挥致病性作用。如长期慢性</w:t>
      </w:r>
      <w:r>
        <w:t>HBV</w:t>
      </w:r>
      <w:r/>
      <w:r w:rsidR="001852F3">
        <w:t xml:space="preserve">感染者并发</w:t>
      </w:r>
      <w:r>
        <w:t>肝癌、幽门螺杆菌感染与胃癌之间的密切关系、</w:t>
      </w:r>
      <w:r>
        <w:t>HPV</w:t>
      </w:r>
      <w:r/>
      <w:r w:rsidR="001852F3">
        <w:t xml:space="preserve">感染与宫颈癌的关系</w:t>
      </w:r>
      <w:r>
        <w:t>等，我们有充足的证据，根除某些炎症因素可以阻止甚至治愈某些癌症</w:t>
      </w:r>
      <w:r>
        <w:t>，</w:t>
      </w:r>
    </w:p>
    <w:p w:rsidR="0018722C">
      <w:pPr>
        <w:topLinePunct/>
      </w:pPr>
      <w:r>
        <w:t>长期应用非甾体抗炎药却能降低肿瘤的发生风险，而机体长期存在慢性炎</w:t>
      </w:r>
      <w:r>
        <w:t>症反应时，形成癌症的机率会增加，这从</w:t>
      </w:r>
      <w:r>
        <w:t>近年</w:t>
      </w:r>
      <w:r>
        <w:t>来的关于非甾体抗炎药与肿</w:t>
      </w:r>
      <w:r>
        <w:t>瘤疾患的发病因素研究中可以得到佐证</w:t>
      </w:r>
      <w:r>
        <w:rPr>
          <w:vertAlign w:val="superscript"/>
          /&gt;
        </w:rPr>
        <w:t>[</w:t>
      </w:r>
      <w:r>
        <w:rPr>
          <w:vertAlign w:val="superscript"/>
          <w:position w:val="14"/>
        </w:rPr>
        <w:t xml:space="preserve">11</w:t>
      </w:r>
      <w:r>
        <w:rPr>
          <w:vertAlign w:val="superscript"/>
          /&gt;
        </w:rPr>
        <w:t>]</w:t>
      </w:r>
      <w:r>
        <w:t>。如持续的炎症导致</w:t>
      </w:r>
      <w:r>
        <w:t>NF-κB</w:t>
      </w:r>
      <w:r/>
      <w:r w:rsidR="001852F3">
        <w:t xml:space="preserve">通</w:t>
      </w:r>
      <w:r>
        <w:t>路的激活，导致核转录因子靶基因的异常表达，这从动物实验中进一步得以证实，IL-1</w:t>
      </w:r>
      <w:r/>
      <w:r w:rsidR="001852F3">
        <w:t xml:space="preserve">的过度表达的转基因小鼠，在其体内的</w:t>
      </w:r>
      <w:r>
        <w:t>IL-1</w:t>
      </w:r>
      <w:r/>
      <w:r w:rsidR="001852F3">
        <w:t xml:space="preserve">与</w:t>
      </w:r>
      <w:r>
        <w:t>IL-1</w:t>
      </w:r>
      <w:r/>
      <w:r w:rsidR="001852F3">
        <w:t xml:space="preserve">受体</w:t>
      </w:r>
      <w:r>
        <w:t>的结合，会激活炎症细胞和胃粘膜上皮细胞中的</w:t>
      </w:r>
      <w:r>
        <w:t>NF-κB</w:t>
      </w:r>
      <w:r/>
      <w:r w:rsidR="001852F3">
        <w:t xml:space="preserve">通道，进而导致</w:t>
      </w:r>
      <w:r>
        <w:t>炎症和胃癌发病率的升高，而阻断本通路的激活则会抑制炎症和降低胃癌</w:t>
      </w:r>
      <w:r>
        <w:t>的发生</w:t>
      </w:r>
      <w:r>
        <w:rPr>
          <w:vertAlign w:val="subscript"/>
          /&gt;
        </w:rPr>
        <w:t>[</w:t>
      </w:r>
      <w:r>
        <w:rPr>
          <w:vertAlign w:val="superscript"/>
        </w:rPr>
        <w:t xml:space="preserve">12</w:t>
      </w:r>
      <w:r>
        <w:rPr>
          <w:vertAlign w:val="subscript"/>
          /&gt;
        </w:rPr>
        <w:t>]</w:t>
      </w:r>
      <w:r>
        <w:t>。</w:t>
      </w:r>
    </w:p>
    <w:p w:rsidR="0018722C">
      <w:pPr>
        <w:topLinePunct/>
      </w:pPr>
      <w:r>
        <w:t>肿瘤的发生不仅与慢性炎症相关，而且与细胞增殖、分化及凋亡异常</w:t>
      </w:r>
      <w:r>
        <w:t>相关，消化系统粘膜增生快、更新周期短，但出于动态平衡之中，若平衡</w:t>
      </w:r>
      <w:r>
        <w:t>失调即细胞的永生化则是肿瘤发生的重要前提</w:t>
      </w:r>
      <w:r>
        <w:rPr>
          <w:vertAlign w:val="superscript"/>
          /&gt;
        </w:rPr>
        <w:t>[</w:t>
      </w:r>
      <w:r>
        <w:rPr>
          <w:vertAlign w:val="superscript"/>
          /&gt;
        </w:rPr>
        <w:t xml:space="preserve">13</w:t>
      </w:r>
      <w:r>
        <w:rPr>
          <w:vertAlign w:val="superscript"/>
          /&gt;
        </w:rPr>
        <w:t>]</w:t>
      </w:r>
      <w:r>
        <w:t>，</w:t>
      </w:r>
      <w:r>
        <w:t>近年</w:t>
      </w:r>
      <w:r>
        <w:t>的研究发现NF-κB</w:t>
      </w:r>
      <w:r w:rsidR="001852F3">
        <w:t xml:space="preserve">的失控导致许多肿瘤的发生</w:t>
      </w:r>
      <w:r>
        <w:rPr>
          <w:vertAlign w:val="superscript"/>
          /&gt;
        </w:rPr>
        <w:t>[</w:t>
      </w:r>
      <w:r>
        <w:t xml:space="preserve">14</w:t>
      </w:r>
      <w:r>
        <w:t xml:space="preserve">, </w:t>
      </w:r>
      <w:r>
        <w:t xml:space="preserve">15</w:t>
      </w:r>
      <w:r>
        <w:rPr>
          <w:vertAlign w:val="superscript"/>
          /&gt;
        </w:rPr>
        <w:t>]</w:t>
      </w:r>
      <w:r>
        <w:t>，当它被激活后，可以产生较强</w:t>
      </w:r>
      <w:r>
        <w:t>的抗凋亡信号，从而加快肿瘤的发生，目前发现</w:t>
      </w:r>
      <w:r>
        <w:t>NF-κB</w:t>
      </w:r>
      <w:r/>
      <w:r w:rsidR="001852F3">
        <w:t xml:space="preserve">诱导凋亡基因包</w:t>
      </w:r>
      <w:r>
        <w:t>括抑制因子</w:t>
      </w:r>
      <w:r>
        <w:t>（</w:t>
      </w:r>
      <w:r>
        <w:rPr>
          <w:w w:val="100"/>
        </w:rPr>
        <w:t>I</w:t>
      </w:r>
      <w:r>
        <w:rPr>
          <w:spacing w:val="-1"/>
          <w:w w:val="100"/>
        </w:rPr>
        <w:t>AP</w:t>
      </w:r>
      <w:r>
        <w:rPr>
          <w:spacing w:val="0"/>
          <w:w w:val="100"/>
        </w:rPr>
        <w:t>s</w:t>
      </w:r>
      <w:r>
        <w:t>）</w:t>
      </w:r>
      <w:r>
        <w:t>，</w:t>
      </w:r>
      <w:r>
        <w:t>c</w:t>
      </w:r>
      <w:r>
        <w:t>l</w:t>
      </w:r>
      <w:r>
        <w:t>-</w:t>
      </w:r>
      <w:r>
        <w:t>2</w:t>
      </w:r>
      <w:r/>
      <w:r>
        <w:t>样因子、</w:t>
      </w:r>
      <w:r>
        <w:t>TN</w:t>
      </w:r>
      <w:r>
        <w:t>F</w:t>
      </w:r>
      <w:r/>
      <w:r>
        <w:t>受体结合因子</w:t>
      </w:r>
      <w:r/>
      <w:r>
        <w:t>1</w:t>
      </w:r>
      <w:r/>
      <w:r>
        <w:t>和</w:t>
      </w:r>
      <w:r/>
      <w:r>
        <w:t>2</w:t>
      </w:r>
      <w:r>
        <w:rPr>
          <w:w w:val="100"/>
        </w:rPr>
        <w:t>(</w:t>
      </w:r>
      <w:r>
        <w:rPr>
          <w:spacing w:val="-1"/>
          <w:w w:val="100"/>
        </w:rPr>
        <w:t>TR</w:t>
      </w:r>
      <w:r>
        <w:rPr>
          <w:w w:val="100"/>
        </w:rPr>
        <w:t>A</w:t>
      </w:r>
      <w:r>
        <w:rPr>
          <w:spacing w:val="-1"/>
          <w:w w:val="100"/>
        </w:rPr>
        <w:t>F</w:t>
      </w:r>
      <w:r>
        <w:rPr>
          <w:w w:val="100"/>
        </w:rPr>
        <w:t>1</w:t>
      </w:r>
      <w:r>
        <w:rPr>
          <w:w w:val="100"/>
        </w:rPr>
        <w:t>和</w:t>
      </w:r>
      <w:r w:rsidR="001852F3">
        <w:rPr>
          <w:w w:val="100"/>
        </w:rPr>
        <w:t xml:space="preserve">T</w:t>
      </w:r>
      <w:r>
        <w:rPr>
          <w:spacing w:val="-1"/>
          <w:w w:val="100"/>
        </w:rPr>
        <w:t>RA</w:t>
      </w:r>
      <w:r>
        <w:rPr>
          <w:w w:val="100"/>
        </w:rPr>
        <w:t>F</w:t>
      </w:r>
      <w:r>
        <w:rPr>
          <w:spacing w:val="0"/>
          <w:w w:val="100"/>
        </w:rPr>
        <w:t>2</w:t>
      </w:r>
      <w:r>
        <w:rPr>
          <w:spacing w:val="-70"/>
          <w:w w:val="100"/>
        </w:rPr>
        <w:t>)</w:t>
      </w:r>
      <w:r>
        <w:t>、</w:t>
      </w:r>
      <w:r>
        <w:t>A</w:t>
      </w:r>
      <w:r>
        <w:t>2</w:t>
      </w:r>
      <w:r>
        <w:t>0D</w:t>
      </w:r>
      <w:r/>
      <w:r>
        <w:t>等，同时</w:t>
      </w:r>
      <w:r/>
      <w:r>
        <w:t>N</w:t>
      </w:r>
      <w:r>
        <w:t>F</w:t>
      </w:r>
      <w:r>
        <w:t>-</w:t>
      </w:r>
      <w:r>
        <w:t>κB</w:t>
      </w:r>
      <w:r/>
      <w:r>
        <w:t>还可以通过非凋亡的形式来促进肿瘤的形</w:t>
      </w:r>
      <w:r>
        <w:t>成，即通过激活原癌基因</w:t>
      </w:r>
      <w:r>
        <w:rPr>
          <w:rFonts w:ascii="Times New Roman" w:hAnsi="Times New Roman" w:eastAsia="宋体"/>
        </w:rPr>
        <w:t>c-myc</w:t>
      </w:r>
      <w:r>
        <w:t>的表达刺激肿瘤细胞的增生</w:t>
      </w:r>
      <w:r>
        <w:rPr>
          <w:vertAlign w:val="superscript"/>
          /&gt;
        </w:rPr>
        <w:t>[</w:t>
      </w:r>
      <w:r>
        <w:rPr>
          <w:vertAlign w:val="superscript"/>
          <w:position w:val="14"/>
        </w:rPr>
        <w:t xml:space="preserve">16</w:t>
      </w:r>
      <w:r>
        <w:rPr>
          <w:vertAlign w:val="superscript"/>
          /&gt;
        </w:rPr>
        <w:t>]</w:t>
      </w:r>
      <w:r>
        <w:t>。但令人遗</w:t>
      </w:r>
      <w:r>
        <w:t>憾的是</w:t>
      </w:r>
      <w:r>
        <w:rPr>
          <w:rFonts w:hint="eastAsia"/>
        </w:rPr>
        <w:t>，</w:t>
      </w:r>
      <w:r>
        <w:t>如今的研究仍不清楚是哪些机制最终决定了</w:t>
      </w:r>
      <w:r w:rsidR="001852F3">
        <w:t xml:space="preserve">NF-κB</w:t>
      </w:r>
      <w:r w:rsidR="001852F3">
        <w:t xml:space="preserve">活化后而产</w:t>
      </w:r>
      <w:r>
        <w:t>生的生物学效应。</w:t>
      </w:r>
    </w:p>
    <w:p w:rsidR="0018722C">
      <w:pPr>
        <w:topLinePunct/>
      </w:pPr>
      <w:r>
        <w:t>大量的研究表明</w:t>
      </w:r>
      <w:r>
        <w:rPr>
          <w:vertAlign w:val="superscript"/>
          /&gt;
        </w:rPr>
        <w:t>[</w:t>
      </w:r>
      <w:r>
        <w:t xml:space="preserve">17</w:t>
      </w:r>
      <w:r>
        <w:t xml:space="preserve">, </w:t>
      </w:r>
      <w:r>
        <w:t xml:space="preserve">18</w:t>
      </w:r>
      <w:r>
        <w:rPr>
          <w:vertAlign w:val="superscript"/>
          /&gt;
        </w:rPr>
        <w:t>]</w:t>
      </w:r>
      <w:r>
        <w:t>，在胃黏膜不同组织中的</w:t>
      </w:r>
      <w:r>
        <w:t>NF-κB</w:t>
      </w:r>
      <w:r/>
      <w:r w:rsidR="001852F3">
        <w:t xml:space="preserve">的表达与胃癌</w:t>
      </w:r>
      <w:r>
        <w:t>组织中的表达有显著差异，本研究显示，随着胃黏膜上皮异型程度的加深，</w:t>
      </w:r>
      <w:r w:rsidR="001852F3">
        <w:t xml:space="preserve">NF-κB</w:t>
      </w:r>
      <w:r w:rsidR="001852F3">
        <w:t xml:space="preserve">的表达亦逐渐增加，在正常黏膜、癌旁增生组织及癌组织中的阳</w:t>
      </w:r>
      <w:r>
        <w:t>性表达分别为</w:t>
      </w:r>
      <w:r>
        <w:t>5</w:t>
      </w:r>
      <w:r>
        <w:t>.</w:t>
      </w:r>
      <w:r>
        <w:t>88</w:t>
      </w:r>
      <w:r>
        <w:t>%、</w:t>
      </w:r>
      <w:r>
        <w:t>22.22</w:t>
      </w:r>
      <w:r>
        <w:t>%、</w:t>
      </w:r>
      <w:r>
        <w:t>70.59</w:t>
      </w:r>
      <w:r>
        <w:t>%，随着浸润深度、淋巴结转移及临</w:t>
      </w:r>
      <w:r>
        <w:t>床分期的出现，阳性表达亦相应增加，提示</w:t>
      </w:r>
      <w:r>
        <w:t>NF-κB</w:t>
      </w:r>
      <w:r/>
      <w:r w:rsidR="001852F3">
        <w:t xml:space="preserve">可能参与了胃黏膜进</w:t>
      </w:r>
      <w:r>
        <w:t>展的整个过程，故</w:t>
      </w:r>
      <w:r>
        <w:t>NF-κB</w:t>
      </w:r>
      <w:r/>
      <w:r w:rsidR="001852F3">
        <w:t xml:space="preserve">可能作为胃癌预后及治疗评估的临床指标之一。</w:t>
      </w:r>
    </w:p>
    <w:p w:rsidR="0018722C">
      <w:pPr>
        <w:pStyle w:val="cw19"/>
        <w:topLinePunct/>
      </w:pPr>
      <w:r>
        <w:rPr>
          <w:rFonts w:ascii="宋体" w:hAnsi="宋体" w:eastAsia="宋体" w:hint="eastAsia"/>
        </w:rPr>
        <w:t>2 </w:t>
      </w:r>
      <w:r>
        <w:rPr>
          <w:rFonts w:ascii="宋体" w:hAnsi="宋体" w:eastAsia="宋体" w:hint="eastAsia"/>
        </w:rPr>
        <w:t>TOPOⅡ、Ki-67</w:t>
      </w:r>
      <w:r w:rsidR="001852F3">
        <w:rPr>
          <w:rFonts w:ascii="宋体" w:hAnsi="宋体" w:eastAsia="宋体" w:hint="eastAsia"/>
        </w:rPr>
        <w:t xml:space="preserve">与胃癌</w:t>
      </w:r>
    </w:p>
    <w:p w:rsidR="0018722C">
      <w:pPr>
        <w:topLinePunct/>
      </w:pPr>
      <w:r>
        <w:t>DNATOPOⅡ是细胞基质酶蛋白，普遍存在于多种细胞中，是一种调节</w:t>
      </w:r>
      <w:r>
        <w:t>核酸空间结构动态变化的、控制核酸生理功能的关键酶，直接参与</w:t>
      </w:r>
      <w:r>
        <w:t>DNA</w:t>
      </w:r>
      <w:r>
        <w:t>重组、复制、转录及调节打结、超螺旋状态和解结</w:t>
      </w:r>
      <w:r>
        <w:rPr>
          <w:vertAlign w:val="superscript"/>
          /&gt;
        </w:rPr>
        <w:t>[</w:t>
      </w:r>
      <w:r>
        <w:rPr>
          <w:vertAlign w:val="superscript"/>
          /&gt;
        </w:rPr>
        <w:t xml:space="preserve">19</w:t>
      </w:r>
      <w:r>
        <w:rPr>
          <w:vertAlign w:val="superscript"/>
          /&gt;
        </w:rPr>
        <w:t>]</w:t>
      </w:r>
      <w:r>
        <w:t>，高表达于处于增殖</w:t>
      </w:r>
      <w:r>
        <w:t>状态的细胞中，在</w:t>
      </w:r>
      <w:r>
        <w:t>DNA</w:t>
      </w:r>
      <w:r/>
      <w:r w:rsidR="001852F3">
        <w:t xml:space="preserve">复制后期和有丝分裂期为高表达期，而进入静止期</w:t>
      </w:r>
      <w:r>
        <w:t>或分化后期则降至最低水平，</w:t>
      </w:r>
      <w:r>
        <w:t>TOPOⅡ相关表达文献国内外均少见，在消</w:t>
      </w:r>
      <w:r>
        <w:t>化道肿瘤的研究中仅限于食管癌，有关实验表明，</w:t>
      </w:r>
      <w:r>
        <w:t>TOPO</w:t>
      </w:r>
      <w:r>
        <w:t>Ⅱ下降可能是多</w:t>
      </w:r>
      <w:r>
        <w:t>药</w:t>
      </w:r>
    </w:p>
    <w:p w:rsidR="0018722C">
      <w:pPr>
        <w:topLinePunct/>
      </w:pPr>
      <w:r>
        <w:t>的耐药机制之一，国外文献报道，</w:t>
      </w:r>
      <w:r>
        <w:t>TOPO</w:t>
      </w:r>
      <w:r>
        <w:t>Ⅱ的高表达对化疗药物的敏感性高于低表达或不表达组，且预后也较好，故</w:t>
      </w:r>
      <w:r>
        <w:t>近年</w:t>
      </w:r>
      <w:r>
        <w:t>来的研究常把</w:t>
      </w:r>
      <w:r>
        <w:t>TOPO</w:t>
      </w:r>
      <w:r>
        <w:t>Ⅱ作为</w:t>
      </w:r>
      <w:r>
        <w:t>细胞或肿瘤增殖程度的标志酶</w:t>
      </w:r>
      <w:r>
        <w:rPr>
          <w:vertAlign w:val="superscript"/>
          /&gt;
        </w:rPr>
        <w:t>[</w:t>
      </w:r>
      <w:r>
        <w:rPr>
          <w:vertAlign w:val="superscript"/>
          <w:position w:val="14"/>
        </w:rPr>
        <w:t xml:space="preserve">20</w:t>
      </w:r>
      <w:r>
        <w:rPr>
          <w:vertAlign w:val="superscript"/>
          <w:position w:val="14"/>
        </w:rPr>
        <w:t xml:space="preserve">, </w:t>
      </w:r>
      <w:r>
        <w:rPr>
          <w:vertAlign w:val="superscript"/>
          <w:position w:val="14"/>
        </w:rPr>
        <w:t xml:space="preserve">21</w:t>
      </w:r>
      <w:r>
        <w:rPr>
          <w:vertAlign w:val="superscript"/>
          <w:position w:val="14"/>
        </w:rPr>
        <w:t xml:space="preserve">, </w:t>
      </w:r>
      <w:r>
        <w:rPr>
          <w:vertAlign w:val="superscript"/>
          <w:position w:val="14"/>
        </w:rPr>
        <w:t xml:space="preserve">22</w:t>
      </w:r>
      <w:r>
        <w:rPr>
          <w:vertAlign w:val="superscript"/>
          /&gt;
        </w:rPr>
        <w:t>]</w:t>
      </w:r>
      <w:r>
        <w:t>。并有许多发现</w:t>
      </w:r>
      <w:r>
        <w:t>TOPO</w:t>
      </w:r>
      <w:r>
        <w:t>Ⅱ的表达水平</w:t>
      </w:r>
      <w:r>
        <w:t>与患者的预后相关，并且其指标高低可以作为衡量肿瘤恶性程度的指标之</w:t>
      </w:r>
      <w:r>
        <w:t>一</w:t>
      </w:r>
      <w:r>
        <w:rPr>
          <w:vertAlign w:val="subscript"/>
          /&gt;
        </w:rPr>
        <w:t>[</w:t>
      </w:r>
      <w:r>
        <w:rPr>
          <w:vertAlign w:val="superscript"/>
        </w:rPr>
        <w:t xml:space="preserve">23</w:t>
      </w:r>
      <w:r>
        <w:rPr>
          <w:vertAlign w:val="subscript"/>
          /&gt;
        </w:rPr>
        <w:t>]</w:t>
      </w:r>
      <w:r>
        <w:t>。</w:t>
      </w:r>
    </w:p>
    <w:p w:rsidR="0018722C">
      <w:pPr>
        <w:topLinePunct/>
      </w:pPr>
      <w:r>
        <w:t>Ki-67</w:t>
      </w:r>
      <w:r/>
      <w:r w:rsidR="001852F3">
        <w:t xml:space="preserve">是与细胞周期相关增殖细胞核抗原，是于</w:t>
      </w:r>
      <w:r>
        <w:t>1983</w:t>
      </w:r>
      <w:r/>
      <w:r w:rsidR="001852F3">
        <w:t xml:space="preserve">年</w:t>
      </w:r>
      <w:r>
        <w:t>Gerdes</w:t>
      </w:r>
      <w:r/>
      <w:r w:rsidR="001852F3">
        <w:t xml:space="preserve">研究</w:t>
      </w:r>
      <w:r>
        <w:t>霍奇金淋巴瘤时发现的，其分子量约为</w:t>
      </w:r>
      <w:r>
        <w:t>345kd</w:t>
      </w:r>
      <w:r>
        <w:t>、</w:t>
      </w:r>
      <w:r>
        <w:t>395kd2</w:t>
      </w:r>
      <w:r>
        <w:t>，它所编码的基因</w:t>
      </w:r>
      <w:r>
        <w:t>处于第</w:t>
      </w:r>
      <w:r>
        <w:t>10</w:t>
      </w:r>
      <w:r/>
      <w:r w:rsidR="001852F3">
        <w:t xml:space="preserve">号染色体上，研究发现其具备蛋白连接特征的重要结构，在维</w:t>
      </w:r>
      <w:r>
        <w:t>持</w:t>
      </w:r>
      <w:r>
        <w:t>DNA</w:t>
      </w:r>
      <w:r/>
      <w:r w:rsidR="001852F3">
        <w:t xml:space="preserve">结构方面起着重要作用，仅在</w:t>
      </w:r>
      <w:r>
        <w:t>G0</w:t>
      </w:r>
      <w:r/>
      <w:r w:rsidR="001852F3">
        <w:t xml:space="preserve">期无表达，而在细胞周期的其他周期均可检测到，研究发现高表达于</w:t>
      </w:r>
      <w:r>
        <w:t>S</w:t>
      </w:r>
      <w:r/>
      <w:r w:rsidR="001852F3">
        <w:t xml:space="preserve">期、</w:t>
      </w:r>
      <w:r>
        <w:t>G2</w:t>
      </w:r>
      <w:r/>
      <w:r w:rsidR="001852F3">
        <w:t xml:space="preserve">期和</w:t>
      </w:r>
      <w:r>
        <w:t>M</w:t>
      </w:r>
      <w:r/>
      <w:r w:rsidR="001852F3">
        <w:t xml:space="preserve">期，在细胞增殖的</w:t>
      </w:r>
      <w:r>
        <w:t>后期表达量迅速下降，表达部位因细胞周期而有所不同，其中在</w:t>
      </w:r>
      <w:r>
        <w:t>M</w:t>
      </w:r>
      <w:r/>
      <w:r w:rsidR="001852F3">
        <w:t xml:space="preserve">早期，</w:t>
      </w:r>
      <w:r>
        <w:t>主要分布于细胞的染色体上，而在细胞增殖的中期可在染色体周围的网状</w:t>
      </w:r>
      <w:r>
        <w:t>结构中有大量明显表达。现已有大量的研究</w:t>
      </w:r>
      <w:r>
        <w:rPr>
          <w:vertAlign w:val="superscript"/>
          /&gt;
        </w:rPr>
        <w:t>[</w:t>
      </w:r>
      <w:r>
        <w:rPr>
          <w:spacing w:val="-2"/>
          <w:position w:val="14"/>
          <w:sz w:val="14"/>
        </w:rPr>
        <w:t xml:space="preserve">24</w:t>
      </w:r>
      <w:r>
        <w:rPr>
          <w:spacing w:val="-2"/>
          <w:position w:val="14"/>
          <w:sz w:val="14"/>
        </w:rPr>
        <w:t xml:space="preserve">, </w:t>
      </w:r>
      <w:r>
        <w:rPr>
          <w:spacing w:val="-2"/>
          <w:position w:val="14"/>
          <w:sz w:val="14"/>
        </w:rPr>
        <w:t xml:space="preserve">25</w:t>
      </w:r>
      <w:r>
        <w:rPr>
          <w:vertAlign w:val="superscript"/>
          /&gt;
        </w:rPr>
        <w:t>]</w:t>
      </w:r>
      <w:r>
        <w:t>证实</w:t>
      </w:r>
      <w:r>
        <w:t>Ki-67</w:t>
      </w:r>
      <w:r/>
      <w:r w:rsidR="001852F3">
        <w:t xml:space="preserve">在在乳腺癌、</w:t>
      </w:r>
      <w:r>
        <w:t>肺癌、子宫内膜癌等多种实体肿瘤中被广泛地应用于测定各种肿瘤预后的</w:t>
      </w:r>
      <w:r>
        <w:t>测定</w:t>
      </w:r>
      <w:r>
        <w:rPr>
          <w:vertAlign w:val="subscript"/>
          /&gt;
        </w:rPr>
        <w:t>[</w:t>
      </w:r>
      <w:r>
        <w:rPr>
          <w:w w:val="95"/>
          <w:sz w:val="14"/>
        </w:rPr>
        <w:t xml:space="preserve">26</w:t>
      </w:r>
      <w:r>
        <w:rPr>
          <w:w w:val="95"/>
          <w:sz w:val="14"/>
        </w:rPr>
        <w:t xml:space="preserve">, </w:t>
      </w:r>
      <w:r>
        <w:rPr>
          <w:w w:val="95"/>
          <w:sz w:val="14"/>
        </w:rPr>
        <w:t xml:space="preserve">27</w:t>
      </w:r>
      <w:r>
        <w:rPr>
          <w:vertAlign w:val="subscript"/>
          /&gt;
        </w:rPr>
        <w:t>]</w:t>
      </w:r>
      <w:r>
        <w:t>。</w:t>
      </w:r>
    </w:p>
    <w:p w:rsidR="0018722C">
      <w:pPr>
        <w:topLinePunct/>
      </w:pPr>
      <w:r>
        <w:t>细胞的凋亡对维持细胞的正常形态和机能起着重要作用，但多种原因</w:t>
      </w:r>
      <w:r>
        <w:t>诸如慢性炎症及感染引起细胞的永生化是肿瘤形成的重要前提</w:t>
      </w:r>
      <w:r>
        <w:rPr>
          <w:vertAlign w:val="superscript"/>
          /&gt;
        </w:rPr>
        <w:t>[</w:t>
      </w:r>
      <w:r>
        <w:rPr>
          <w:vertAlign w:val="superscript"/>
          <w:position w:val="14"/>
        </w:rPr>
        <w:t xml:space="preserve">13</w:t>
      </w:r>
      <w:r>
        <w:rPr>
          <w:vertAlign w:val="superscript"/>
          /&gt;
        </w:rPr>
        <w:t>]</w:t>
      </w:r>
      <w:r>
        <w:t>，一方面</w:t>
      </w:r>
      <w:r>
        <w:t>造成细胞的新陈代谢周期延长，另一方面在此基础上形成的炎症的瀑布效</w:t>
      </w:r>
      <w:r>
        <w:t>应，又是肿瘤形成的重要因素之一；此外仍有研究显示</w:t>
      </w:r>
      <w:r>
        <w:rPr>
          <w:vertAlign w:val="superscript"/>
          /&gt;
        </w:rPr>
        <w:t>[</w:t>
      </w:r>
      <w:r>
        <w:rPr>
          <w:vertAlign w:val="superscript"/>
          <w:position w:val="14"/>
        </w:rPr>
        <w:t xml:space="preserve">28</w:t>
      </w:r>
      <w:r>
        <w:rPr>
          <w:vertAlign w:val="superscript"/>
          /&gt;
        </w:rPr>
        <w:t>]</w:t>
      </w:r>
      <w:r>
        <w:t>Ki-67</w:t>
      </w:r>
      <w:r/>
      <w:r w:rsidR="001852F3">
        <w:t xml:space="preserve">与血管内</w:t>
      </w:r>
      <w:r>
        <w:t>皮生长因子和微血管密度有正相关关系，医学研究显示肿瘤的生长和转移</w:t>
      </w:r>
      <w:r>
        <w:t>依赖于血管的生成，</w:t>
      </w:r>
      <w:r w:rsidR="001852F3">
        <w:t xml:space="preserve">但仍和细胞外基质的形成相关，对细胞存活率有影</w:t>
      </w:r>
      <w:r>
        <w:t>响，如参与细胞的生长和死亡，决定细胞的形状、分化和迁移的重要作用。</w:t>
      </w:r>
      <w:r>
        <w:t>而新文献报道</w:t>
      </w:r>
      <w:r>
        <w:rPr>
          <w:vertAlign w:val="superscript"/>
          /&gt;
        </w:rPr>
        <w:t>[</w:t>
      </w:r>
      <w:r>
        <w:rPr>
          <w:position w:val="14"/>
          <w:sz w:val="14"/>
        </w:rPr>
        <w:t xml:space="preserve">29</w:t>
      </w:r>
      <w:r>
        <w:rPr>
          <w:position w:val="14"/>
          <w:sz w:val="14"/>
        </w:rPr>
        <w:t xml:space="preserve">, </w:t>
      </w:r>
      <w:r>
        <w:rPr>
          <w:position w:val="14"/>
          <w:sz w:val="14"/>
        </w:rPr>
        <w:t xml:space="preserve">30</w:t>
      </w:r>
      <w:r>
        <w:rPr>
          <w:vertAlign w:val="superscript"/>
          /&gt;
        </w:rPr>
        <w:t>]</w:t>
      </w:r>
      <w:r>
        <w:t>，在一些肿瘤中</w:t>
      </w:r>
      <w:r>
        <w:t>Ki-67</w:t>
      </w:r>
      <w:r/>
      <w:r w:rsidR="001852F3">
        <w:t xml:space="preserve">的表达与</w:t>
      </w:r>
      <w:r>
        <w:t>MMPs</w:t>
      </w:r>
      <w:r/>
      <w:r w:rsidR="001852F3">
        <w:t xml:space="preserve">呈正相关，这说</w:t>
      </w:r>
      <w:r>
        <w:t>明两者可能有相互促进作用，共同完成对细胞外基质及基底膜的破坏及重</w:t>
      </w:r>
      <w:r>
        <w:t>塑，但机理仍不详。而对</w:t>
      </w:r>
      <w:r>
        <w:t>Ki-67</w:t>
      </w:r>
      <w:r/>
      <w:r w:rsidR="001852F3">
        <w:t xml:space="preserve">在人体诸多恶性疾病中的明显升高，一种</w:t>
      </w:r>
      <w:r>
        <w:t>认为是原癌基因</w:t>
      </w:r>
      <w:r>
        <w:t>Ki-67</w:t>
      </w:r>
      <w:r/>
      <w:r w:rsidR="001852F3">
        <w:t xml:space="preserve">的过度表达导致细胞无限制增生，或是肿瘤细胞的</w:t>
      </w:r>
      <w:r>
        <w:t>异常表达导致</w:t>
      </w:r>
      <w:r>
        <w:t>Ki-67</w:t>
      </w:r>
      <w:r/>
      <w:r w:rsidR="001852F3">
        <w:t xml:space="preserve">的明显升高。本研究也显示，两者在胃癌组织中均为</w:t>
      </w:r>
      <w:r>
        <w:t>阳性表达，敏感性高，并且在癌旁增生组织及正常组织中亦有阳性，考虑</w:t>
      </w:r>
      <w:r>
        <w:t>与消化道黏膜更新周期短及癌组织增生明显相关，但随着分化和恶性程度</w:t>
      </w:r>
      <w:r>
        <w:t>的加深，其增殖活性有增高趋势，且</w:t>
      </w:r>
      <w:r>
        <w:t>Ki-67</w:t>
      </w:r>
      <w:r/>
      <w:r w:rsidR="001852F3">
        <w:t xml:space="preserve">随着淋巴结转移和临床分期的</w:t>
      </w:r>
      <w:r>
        <w:t>恶化，阳性表达明显增加，这与以往报道基本一致</w:t>
      </w:r>
      <w:r>
        <w:rPr>
          <w:vertAlign w:val="superscript"/>
          /&gt;
        </w:rPr>
        <w:t>[</w:t>
      </w:r>
      <w:r>
        <w:rPr>
          <w:vertAlign w:val="superscript"/>
          <w:position w:val="14"/>
        </w:rPr>
        <w:t xml:space="preserve">31</w:t>
      </w:r>
      <w:r>
        <w:rPr>
          <w:vertAlign w:val="superscript"/>
          /&gt;
        </w:rPr>
        <w:t>]</w:t>
      </w:r>
      <w:r>
        <w:t>，且随着胃黏膜不</w:t>
      </w:r>
      <w:r>
        <w:t>同</w:t>
      </w:r>
    </w:p>
    <w:p w:rsidR="0018722C">
      <w:pPr>
        <w:topLinePunct/>
      </w:pPr>
      <w:r>
        <w:t>分期中的</w:t>
      </w:r>
      <w:r>
        <w:t>NF-κB</w:t>
      </w:r>
      <w:r/>
      <w:r w:rsidR="001852F3">
        <w:t xml:space="preserve">表达水平的逐步提高，</w:t>
      </w:r>
      <w:r>
        <w:t>TOPO</w:t>
      </w:r>
      <w:r>
        <w:t>Ⅱ和</w:t>
      </w:r>
      <w:r>
        <w:t>Ki-67</w:t>
      </w:r>
      <w:r/>
      <w:r w:rsidR="001852F3">
        <w:t xml:space="preserve">的阳性表达率亦有增加。</w:t>
      </w:r>
    </w:p>
    <w:p w:rsidR="0018722C">
      <w:pPr>
        <w:topLinePunct/>
      </w:pPr>
      <w:r>
        <w:t>目前，关于胃癌预后评估的指标很多，多指标的联合检查有助于提高</w:t>
      </w:r>
      <w:r>
        <w:t>肿瘤预后及治疗效果评价的准确性，为临床治疗提供一定的指导。我们的</w:t>
      </w:r>
      <w:r>
        <w:t>实验研究发现</w:t>
      </w:r>
      <w:r>
        <w:t>NF-κB</w:t>
      </w:r>
      <w:r>
        <w:t>、</w:t>
      </w:r>
      <w:r>
        <w:t>TOPOⅡ</w:t>
      </w:r>
      <w:r>
        <w:t>和</w:t>
      </w:r>
      <w:r>
        <w:t>Ki-67</w:t>
      </w:r>
      <w:r/>
      <w:r w:rsidR="001852F3">
        <w:t xml:space="preserve">三者与胃癌的预后密切相关，三</w:t>
      </w:r>
      <w:r>
        <w:t>者在胃癌组织中的表达呈显著正相关，或许联合检测三者可以作为评估胃</w:t>
      </w:r>
      <w:r>
        <w:t>癌的愈后及胃癌治疗效果的一种方法，同时，我们也相信，在我们医学科</w:t>
      </w:r>
      <w:r>
        <w:t>学工作者的研究基础之上，伴随着分子生物学技术及理论的进步，</w:t>
      </w:r>
      <w:r w:rsidR="001852F3">
        <w:t xml:space="preserve">调节NF-κB</w:t>
      </w:r>
      <w:r w:rsidR="001852F3">
        <w:t xml:space="preserve">表达的药物研究也会有新的进展，同时也能为胃癌的早期诊断、</w:t>
      </w:r>
      <w:r>
        <w:t>治疗提供新的方法和思路。</w:t>
      </w:r>
    </w:p>
    <w:p w:rsidR="0018722C">
      <w:pPr>
        <w:pStyle w:val="affd"/>
        <w:topLinePunct/>
      </w:pPr>
      <w:bookmarkStart w:id="273659" w:name="_Toc686273659"/>
      <w:bookmarkStart w:name="_TOC_250003" w:id="41"/>
      <w:bookmarkStart w:name="结论 " w:id="42"/>
      <w:bookmarkEnd w:id="41"/>
      <w:r>
        <w:t>结</w:t>
      </w:r>
      <w:r w:rsidRPr="00000000">
        <w:rPr>
          <w:b/>
        </w:rPr>
        <w:t>论</w:t>
      </w:r>
      <w:bookmarkEnd w:id="273659"/>
    </w:p>
    <w:p w:rsidR="0018722C">
      <w:pPr>
        <w:topLinePunct/>
      </w:pPr>
      <w:r>
        <w:t>本试验采用免疫组织化学法检测了胃癌标本、癌旁增生标本及正常胃</w:t>
      </w:r>
      <w:r>
        <w:t>粘膜标本中的</w:t>
      </w:r>
      <w:r>
        <w:t>NF-κB</w:t>
      </w:r>
      <w:r>
        <w:t>、</w:t>
      </w:r>
      <w:r>
        <w:t>TOPOⅡ</w:t>
      </w:r>
      <w:r>
        <w:t>和</w:t>
      </w:r>
      <w:r>
        <w:t>Ki-67</w:t>
      </w:r>
      <w:r/>
      <w:r w:rsidR="001852F3">
        <w:t xml:space="preserve">蛋白的表达，讨论三个因子在胃</w:t>
      </w:r>
      <w:r>
        <w:t>癌的发生、发展和在肿瘤侵袭转移的变化之间的关系，并探讨其与胃癌生</w:t>
      </w:r>
      <w:r>
        <w:t>物学行为变化中的意义。</w:t>
      </w:r>
    </w:p>
    <w:p w:rsidR="0018722C">
      <w:pPr>
        <w:pStyle w:val="cw19"/>
        <w:topLinePunct/>
      </w:pPr>
      <w:r>
        <w:rPr>
          <w:rFonts w:ascii="宋体" w:hAnsi="宋体" w:eastAsia="宋体" w:hint="eastAsia"/>
        </w:rPr>
        <w:t>1 </w:t>
      </w:r>
      <w:r>
        <w:rPr>
          <w:rFonts w:ascii="宋体" w:hAnsi="宋体" w:eastAsia="宋体" w:hint="eastAsia"/>
        </w:rPr>
        <w:t>NF-κB、TOPO</w:t>
      </w:r>
      <w:r>
        <w:rPr>
          <w:rFonts w:ascii="宋体" w:hAnsi="宋体" w:eastAsia="宋体" w:hint="eastAsia"/>
        </w:rPr>
        <w:t>Ⅱ和</w:t>
      </w:r>
      <w:r>
        <w:rPr>
          <w:rFonts w:ascii="宋体" w:hAnsi="宋体" w:eastAsia="宋体" w:hint="eastAsia"/>
        </w:rPr>
        <w:t>Ki-67</w:t>
      </w:r>
      <w:r w:rsidR="001852F3">
        <w:rPr>
          <w:rFonts w:ascii="宋体" w:hAnsi="宋体" w:eastAsia="宋体" w:hint="eastAsia"/>
        </w:rPr>
        <w:t xml:space="preserve">在胃癌标本中的表达显着高于癌旁增生标</w:t>
      </w:r>
      <w:r>
        <w:rPr>
          <w:rFonts w:ascii="宋体" w:hAnsi="宋体" w:eastAsia="宋体" w:hint="eastAsia"/>
        </w:rPr>
        <w:t>本及正常胃粘膜标本，再次从蛋白水平上提示，其可能参与了胃癌的发生</w:t>
      </w:r>
      <w:r>
        <w:rPr>
          <w:rFonts w:ascii="宋体" w:hAnsi="宋体" w:eastAsia="宋体" w:hint="eastAsia"/>
        </w:rPr>
        <w:t>和发展过程。</w:t>
      </w:r>
    </w:p>
    <w:p w:rsidR="0018722C">
      <w:pPr>
        <w:pStyle w:val="cw19"/>
        <w:topLinePunct/>
      </w:pPr>
      <w:r>
        <w:rPr>
          <w:rFonts w:ascii="宋体" w:hAnsi="宋体" w:eastAsia="宋体" w:hint="eastAsia"/>
        </w:rPr>
        <w:t>2 </w:t>
      </w:r>
      <w:r>
        <w:rPr>
          <w:rFonts w:ascii="宋体" w:hAnsi="宋体" w:eastAsia="宋体" w:hint="eastAsia"/>
        </w:rPr>
        <w:t>NF-κB、TOPO</w:t>
      </w:r>
      <w:r>
        <w:rPr>
          <w:rFonts w:ascii="宋体" w:hAnsi="宋体" w:eastAsia="宋体" w:hint="eastAsia"/>
        </w:rPr>
        <w:t>Ⅱ和</w:t>
      </w:r>
      <w:r>
        <w:rPr>
          <w:rFonts w:ascii="宋体" w:hAnsi="宋体" w:eastAsia="宋体" w:hint="eastAsia"/>
        </w:rPr>
        <w:t>Ki-67</w:t>
      </w:r>
      <w:r w:rsidR="001852F3">
        <w:rPr>
          <w:rFonts w:ascii="宋体" w:hAnsi="宋体" w:eastAsia="宋体" w:hint="eastAsia"/>
        </w:rPr>
        <w:t xml:space="preserve">的表达水平与胃癌的浸润深度、淋巴结转</w:t>
      </w:r>
      <w:r>
        <w:rPr>
          <w:rFonts w:ascii="宋体" w:hAnsi="宋体" w:eastAsia="宋体" w:hint="eastAsia"/>
        </w:rPr>
        <w:t>移和</w:t>
      </w:r>
      <w:r>
        <w:rPr>
          <w:rFonts w:ascii="宋体" w:hAnsi="宋体" w:eastAsia="宋体" w:hint="eastAsia"/>
        </w:rPr>
        <w:t>TNM</w:t>
      </w:r>
      <w:r w:rsidR="001852F3">
        <w:rPr>
          <w:rFonts w:ascii="宋体" w:hAnsi="宋体" w:eastAsia="宋体" w:hint="eastAsia"/>
        </w:rPr>
        <w:t xml:space="preserve">分期显著相关，提示这三个因子对胃癌的侵袭和转移有一定的作</w:t>
      </w:r>
      <w:r>
        <w:rPr>
          <w:rFonts w:ascii="宋体" w:hAnsi="宋体" w:eastAsia="宋体" w:hint="eastAsia"/>
        </w:rPr>
        <w:t>用。并随胃粘膜恶性程度加深而逐渐增加，可作为胃癌浸润、转移及预后</w:t>
      </w:r>
      <w:r>
        <w:rPr>
          <w:rFonts w:ascii="宋体" w:hAnsi="宋体" w:eastAsia="宋体" w:hint="eastAsia"/>
        </w:rPr>
        <w:t>的预测因子，但在临床分期的研究结果与以往略有差异，或可进一步扩大</w:t>
      </w:r>
      <w:r>
        <w:rPr>
          <w:rFonts w:ascii="宋体" w:hAnsi="宋体" w:eastAsia="宋体" w:hint="eastAsia"/>
        </w:rPr>
        <w:t>样本量证实之。</w:t>
      </w:r>
    </w:p>
    <w:p w:rsidR="0018722C">
      <w:pPr>
        <w:pStyle w:val="cw19"/>
        <w:topLinePunct/>
      </w:pPr>
      <w:r>
        <w:rPr>
          <w:rFonts w:ascii="宋体" w:hAnsi="宋体" w:eastAsia="宋体" w:hint="eastAsia"/>
        </w:rPr>
        <w:t>3 </w:t>
      </w:r>
      <w:r>
        <w:rPr>
          <w:rFonts w:ascii="宋体" w:hAnsi="宋体" w:eastAsia="宋体" w:hint="eastAsia"/>
        </w:rPr>
        <w:t>NF-κB、TOPO</w:t>
      </w:r>
      <w:r>
        <w:rPr>
          <w:rFonts w:ascii="宋体" w:hAnsi="宋体" w:eastAsia="宋体" w:hint="eastAsia"/>
        </w:rPr>
        <w:t>Ⅱ和</w:t>
      </w:r>
      <w:r>
        <w:rPr>
          <w:rFonts w:ascii="宋体" w:hAnsi="宋体" w:eastAsia="宋体" w:hint="eastAsia"/>
        </w:rPr>
        <w:t>Ki-67</w:t>
      </w:r>
      <w:r w:rsidR="001852F3">
        <w:rPr>
          <w:rFonts w:ascii="宋体" w:hAnsi="宋体" w:eastAsia="宋体" w:hint="eastAsia"/>
        </w:rPr>
        <w:t xml:space="preserve">三者在胃癌标本中的表达呈正相关，提示</w:t>
      </w:r>
      <w:r>
        <w:rPr>
          <w:rFonts w:ascii="宋体" w:hAnsi="宋体" w:eastAsia="宋体" w:hint="eastAsia"/>
        </w:rPr>
        <w:t>三者共同影响胃癌的发生、发展且三者之间有相互作用。</w:t>
      </w:r>
    </w:p>
    <w:p w:rsidR="0018722C">
      <w:pPr>
        <w:topLinePunct/>
      </w:pPr>
      <w:r>
        <w:t>NF-κB</w:t>
      </w:r>
      <w:r>
        <w:t>、</w:t>
      </w:r>
      <w:r>
        <w:t>TOPO</w:t>
      </w:r>
      <w:r>
        <w:t>Ⅱ和</w:t>
      </w:r>
      <w:r>
        <w:t>Ki-67</w:t>
      </w:r>
      <w:r/>
      <w:r w:rsidR="001852F3">
        <w:t xml:space="preserve">三者影响着胃癌的发生和发展，并在胃癌的</w:t>
      </w:r>
      <w:r>
        <w:t>生物学行为诸如浸润、转移等过程中扮演着重要角色，故检测此三指标可</w:t>
      </w:r>
      <w:r>
        <w:t>以为胃癌的预后及治疗效果的评估提供依据并在一定程度上有助于早期</w:t>
      </w:r>
      <w:r>
        <w:t>胃癌的诊断。</w:t>
      </w:r>
    </w:p>
    <w:p w:rsidR="0018722C">
      <w:pPr>
        <w:pStyle w:val="afff1"/>
        <w:topLinePunct/>
      </w:pPr>
      <w:bookmarkStart w:id="273660" w:name="_Toc686273660"/>
      <w:bookmarkStart w:name="_TOC_250002" w:id="43"/>
      <w:bookmarkStart w:name="参 考 文 献 " w:id="44"/>
      <w:bookmarkEnd w:id="43"/>
      <w:r>
        <w:t>参 考 文 献</w:t>
      </w:r>
      <w:bookmarkEnd w:id="273660"/>
    </w:p>
    <w:p w:rsidR="0018722C">
      <w:pPr>
        <w:pStyle w:val="ab"/>
        <w:topLinePunct/>
        <w:ind w:left="200" w:hangingChars="200" w:hanging="200"/>
      </w:pPr>
      <w:r>
        <w:t>[</w:t>
      </w:r>
      <w:r>
        <w:t xml:space="preserve">1</w:t>
      </w:r>
      <w:r>
        <w:t>]</w:t>
      </w:r>
      <w:r w:rsidRPr="00281126">
        <w:t xml:space="preserve">  </w:t>
      </w:r>
      <w:r w:rsidR="001852F3">
        <w:t xml:space="preserve">赵蔚然. NF-κB</w:t>
      </w:r>
      <w:r w:rsidR="001852F3">
        <w:t xml:space="preserve">与肿瘤生成.</w:t>
      </w:r>
      <w:r w:rsidR="001852F3">
        <w:t xml:space="preserve"> </w:t>
      </w:r>
      <w:r w:rsidR="001852F3">
        <w:t>西部医学</w:t>
      </w:r>
      <w:r>
        <w:t>[</w:t>
      </w:r>
      <w:r>
        <w:t>J</w:t>
      </w:r>
      <w:r>
        <w:t>]</w:t>
      </w:r>
      <w:r>
        <w:t xml:space="preserve">.</w:t>
      </w:r>
      <w:r>
        <w:t xml:space="preserve"> </w:t>
      </w:r>
      <w:r>
        <w:t>2010,</w:t>
      </w:r>
      <w:r>
        <w:t xml:space="preserve"> </w:t>
      </w:r>
      <w:r>
        <w:t>22</w:t>
      </w:r>
      <w:r>
        <w:t>(</w:t>
      </w:r>
      <w:r>
        <w:t>9</w:t>
      </w:r>
      <w:r>
        <w:t>)</w:t>
      </w:r>
      <w:r>
        <w:t xml:space="preserve">:</w:t>
      </w:r>
      <w:r>
        <w:t xml:space="preserve"> </w:t>
      </w:r>
      <w:r>
        <w:t>1729-1731.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sidRPr="00281126">
        <w:t xml:space="preserve">  </w:t>
      </w:r>
      <w:r>
        <w:rPr>
          <w:rFonts w:ascii="宋体" w:hAnsi="宋体" w:eastAsia="宋体" w:hint="eastAsia"/>
        </w:rPr>
        <w:t xml:space="preserve">饶春燕,</w:t>
      </w:r>
      <w:r>
        <w:rPr>
          <w:rFonts w:ascii="宋体" w:hAnsi="宋体" w:eastAsia="宋体" w:hint="eastAsia"/>
        </w:rPr>
        <w:t xml:space="preserve"> </w:t>
      </w:r>
      <w:r>
        <w:rPr>
          <w:rFonts w:ascii="宋体" w:hAnsi="宋体" w:eastAsia="宋体" w:hint="eastAsia"/>
        </w:rPr>
        <w:t xml:space="preserve">乐湘华. </w:t>
      </w:r>
      <w:r>
        <w:rPr>
          <w:rFonts w:ascii="宋体" w:hAnsi="宋体" w:eastAsia="宋体" w:hint="eastAsia"/>
        </w:rPr>
        <w:t>NF-κB</w:t>
      </w:r>
      <w:r w:rsidR="001852F3">
        <w:rPr>
          <w:rFonts w:ascii="宋体" w:hAnsi="宋体" w:eastAsia="宋体" w:hint="eastAsia"/>
        </w:rPr>
        <w:t xml:space="preserve">与急性坏死性胰腺炎.</w:t>
      </w:r>
      <w:r w:rsidR="001852F3">
        <w:rPr>
          <w:rFonts w:ascii="宋体" w:hAnsi="宋体" w:eastAsia="宋体" w:hint="eastAsia"/>
        </w:rPr>
        <w:t xml:space="preserve"> </w:t>
      </w:r>
      <w:r w:rsidR="001852F3">
        <w:rPr>
          <w:rFonts w:ascii="宋体" w:hAnsi="宋体" w:eastAsia="宋体" w:hint="eastAsia"/>
        </w:rPr>
        <w:t>重庆医学</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2012, 41</w:t>
      </w:r>
      <w:r>
        <w:rPr>
          <w:rFonts w:ascii="宋体" w:hAnsi="宋体" w:eastAsia="宋体" w:hint="eastAsia"/>
        </w:rPr>
        <w:t>(</w:t>
      </w:r>
      <w:r>
        <w:rPr>
          <w:rFonts w:ascii="宋体" w:hAnsi="宋体" w:eastAsia="宋体" w:hint="eastAsia"/>
        </w:rPr>
        <w:t>10</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1019-1021.</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sidRPr="00281126">
        <w:t xml:space="preserve">  </w:t>
      </w:r>
      <w:r>
        <w:rPr>
          <w:rFonts w:ascii="宋体" w:hAnsi="宋体" w:eastAsia="宋体" w:hint="eastAsia"/>
        </w:rPr>
        <w:t xml:space="preserve">张艰,</w:t>
      </w:r>
      <w:r>
        <w:rPr>
          <w:rFonts w:ascii="宋体" w:hAnsi="宋体" w:eastAsia="宋体" w:hint="eastAsia"/>
        </w:rPr>
        <w:t xml:space="preserve"> </w:t>
      </w:r>
      <w:r>
        <w:rPr>
          <w:rFonts w:ascii="宋体" w:hAnsi="宋体" w:eastAsia="宋体" w:hint="eastAsia"/>
        </w:rPr>
        <w:t>李圣青,</w:t>
      </w:r>
      <w:r>
        <w:rPr>
          <w:rFonts w:ascii="宋体" w:hAnsi="宋体" w:eastAsia="宋体" w:hint="eastAsia"/>
        </w:rPr>
        <w:t xml:space="preserve"> </w:t>
      </w:r>
      <w:r>
        <w:rPr>
          <w:rFonts w:ascii="宋体" w:hAnsi="宋体" w:eastAsia="宋体" w:hint="eastAsia"/>
        </w:rPr>
        <w:t>李焕章,</w:t>
      </w:r>
      <w:r>
        <w:rPr>
          <w:rFonts w:ascii="宋体" w:hAnsi="宋体" w:eastAsia="宋体" w:hint="eastAsia"/>
        </w:rPr>
        <w:t xml:space="preserve"> </w:t>
      </w:r>
      <w:r>
        <w:rPr>
          <w:rFonts w:ascii="宋体" w:hAnsi="宋体" w:eastAsia="宋体" w:hint="eastAsia"/>
        </w:rPr>
        <w:t>等.</w:t>
      </w:r>
      <w:r>
        <w:rPr>
          <w:rFonts w:ascii="宋体" w:hAnsi="宋体" w:eastAsia="宋体" w:hint="eastAsia"/>
        </w:rPr>
        <w:t xml:space="preserve"> </w:t>
      </w:r>
      <w:r>
        <w:rPr>
          <w:rFonts w:ascii="宋体" w:hAnsi="宋体" w:eastAsia="宋体" w:hint="eastAsia"/>
        </w:rPr>
        <w:t>NF-κB</w:t>
      </w:r>
      <w:r w:rsidR="001852F3">
        <w:rPr>
          <w:rFonts w:ascii="宋体" w:hAnsi="宋体" w:eastAsia="宋体" w:hint="eastAsia"/>
        </w:rPr>
        <w:t xml:space="preserve">在大鼠急性肺损伤模型肺组织中的</w:t>
      </w:r>
      <w:r>
        <w:rPr>
          <w:rFonts w:ascii="宋体" w:hAnsi="宋体" w:eastAsia="宋体" w:hint="eastAsia"/>
        </w:rPr>
        <w:t>表达及</w:t>
      </w:r>
      <w:r>
        <w:rPr>
          <w:rFonts w:ascii="宋体" w:hAnsi="宋体" w:eastAsia="宋体" w:hint="eastAsia"/>
        </w:rPr>
        <w:t>N</w:t>
      </w:r>
      <w:r>
        <w:rPr>
          <w:rFonts w:ascii="宋体" w:hAnsi="宋体" w:eastAsia="宋体" w:hint="eastAsia"/>
        </w:rPr>
        <w:t>-</w:t>
      </w:r>
      <w:r w:rsidR="001852F3">
        <w:rPr>
          <w:rFonts w:ascii="宋体" w:hAnsi="宋体" w:eastAsia="宋体" w:hint="eastAsia"/>
        </w:rPr>
        <w:t xml:space="preserve">乙</w:t>
      </w:r>
      <w:r w:rsidR="001852F3">
        <w:rPr>
          <w:rFonts w:ascii="宋体" w:hAnsi="宋体" w:eastAsia="宋体" w:hint="eastAsia"/>
        </w:rPr>
        <w:t xml:space="preserve">酰</w:t>
      </w:r>
      <w:r w:rsidR="001852F3">
        <w:rPr>
          <w:rFonts w:ascii="宋体" w:hAnsi="宋体" w:eastAsia="宋体" w:hint="eastAsia"/>
        </w:rPr>
        <w:t xml:space="preserve">半</w:t>
      </w:r>
      <w:r w:rsidR="001852F3">
        <w:rPr>
          <w:rFonts w:ascii="宋体" w:hAnsi="宋体" w:eastAsia="宋体" w:hint="eastAsia"/>
        </w:rPr>
        <w:t xml:space="preserve">胱</w:t>
      </w:r>
      <w:r w:rsidR="001852F3">
        <w:rPr>
          <w:rFonts w:ascii="宋体" w:hAnsi="宋体" w:eastAsia="宋体" w:hint="eastAsia"/>
        </w:rPr>
        <w:t xml:space="preserve">氨</w:t>
      </w:r>
      <w:r w:rsidR="001852F3">
        <w:rPr>
          <w:rFonts w:ascii="宋体" w:hAnsi="宋体" w:eastAsia="宋体" w:hint="eastAsia"/>
        </w:rPr>
        <w:t xml:space="preserve">酸</w:t>
      </w:r>
      <w:r w:rsidR="001852F3">
        <w:rPr>
          <w:rFonts w:ascii="宋体" w:hAnsi="宋体" w:eastAsia="宋体" w:hint="eastAsia"/>
        </w:rPr>
        <w:t xml:space="preserve">的</w:t>
      </w:r>
      <w:r w:rsidR="001852F3">
        <w:rPr>
          <w:rFonts w:ascii="宋体" w:hAnsi="宋体" w:eastAsia="宋体" w:hint="eastAsia"/>
        </w:rPr>
        <w:t xml:space="preserve">影</w:t>
      </w:r>
      <w:r w:rsidR="001852F3">
        <w:rPr>
          <w:rFonts w:ascii="宋体" w:hAnsi="宋体" w:eastAsia="宋体" w:hint="eastAsia"/>
        </w:rPr>
        <w:t xml:space="preserve">响</w:t>
      </w:r>
      <w:r w:rsidR="001852F3">
        <w:rPr>
          <w:rFonts w:ascii="宋体" w:hAnsi="宋体" w:eastAsia="宋体" w:hint="eastAsia"/>
        </w:rPr>
        <w:t xml:space="preserve">. 细</w:t>
      </w:r>
      <w:r w:rsidR="001852F3">
        <w:rPr>
          <w:rFonts w:ascii="宋体" w:hAnsi="宋体" w:eastAsia="宋体" w:hint="eastAsia"/>
        </w:rPr>
        <w:t xml:space="preserve">胞</w:t>
      </w:r>
      <w:r w:rsidR="001852F3">
        <w:rPr>
          <w:rFonts w:ascii="宋体" w:hAnsi="宋体" w:eastAsia="宋体" w:hint="eastAsia"/>
        </w:rPr>
        <w:t xml:space="preserve">与</w:t>
      </w:r>
      <w:r w:rsidR="001852F3">
        <w:rPr>
          <w:rFonts w:ascii="宋体" w:hAnsi="宋体" w:eastAsia="宋体" w:hint="eastAsia"/>
        </w:rPr>
        <w:t xml:space="preserve">分</w:t>
      </w:r>
      <w:r w:rsidR="001852F3">
        <w:rPr>
          <w:rFonts w:ascii="宋体" w:hAnsi="宋体" w:eastAsia="宋体" w:hint="eastAsia"/>
        </w:rPr>
        <w:t xml:space="preserve">子</w:t>
      </w:r>
      <w:r w:rsidR="001852F3">
        <w:rPr>
          <w:rFonts w:ascii="宋体" w:hAnsi="宋体" w:eastAsia="宋体" w:hint="eastAsia"/>
        </w:rPr>
        <w:t xml:space="preserve">免</w:t>
      </w:r>
      <w:r w:rsidR="001852F3">
        <w:rPr>
          <w:rFonts w:ascii="宋体" w:hAnsi="宋体" w:eastAsia="宋体" w:hint="eastAsia"/>
        </w:rPr>
        <w:t xml:space="preserve">疫</w:t>
      </w:r>
      <w:r w:rsidR="001852F3">
        <w:rPr>
          <w:rFonts w:ascii="宋体" w:hAnsi="宋体" w:eastAsia="宋体" w:hint="eastAsia"/>
        </w:rPr>
        <w:t xml:space="preserve">学</w:t>
      </w:r>
      <w:r w:rsidR="001852F3">
        <w:rPr>
          <w:rFonts w:ascii="宋体" w:hAnsi="宋体" w:eastAsia="宋体" w:hint="eastAsia"/>
        </w:rPr>
        <w:t xml:space="preserve">杂</w:t>
      </w:r>
      <w:r w:rsidR="001852F3">
        <w:rPr>
          <w:rFonts w:ascii="宋体" w:hAnsi="宋体" w:eastAsia="宋体" w:hint="eastAsia"/>
        </w:rPr>
        <w:t xml:space="preserve">志</w:t>
      </w:r>
      <w:r>
        <w:rPr>
          <w:rFonts w:ascii="宋体" w:hAnsi="宋体" w:eastAsia="宋体" w:hint="eastAsia"/>
        </w:rPr>
        <w:t>[</w:t>
      </w:r>
      <w:r>
        <w:rPr>
          <w:rFonts w:ascii="宋体" w:hAnsi="宋体" w:eastAsia="宋体" w:hint="eastAsia"/>
          <w:spacing w:val="-22"/>
          <w:sz w:val="28"/>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712-715.</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sidRPr="00281126">
        <w:t xml:space="preserve">  </w:t>
      </w:r>
      <w:r>
        <w:rPr>
          <w:rFonts w:ascii="宋体" w:hAnsi="宋体" w:eastAsia="宋体" w:hint="eastAsia"/>
        </w:rPr>
        <w:t>周永芹, 韩莉. </w:t>
      </w:r>
      <w:r>
        <w:rPr>
          <w:rFonts w:ascii="宋体" w:hAnsi="宋体" w:eastAsia="宋体" w:hint="eastAsia"/>
        </w:rPr>
        <w:t>NF-κB</w:t>
      </w:r>
      <w:r w:rsidR="001852F3">
        <w:rPr>
          <w:rFonts w:ascii="宋体" w:hAnsi="宋体" w:eastAsia="宋体" w:hint="eastAsia"/>
        </w:rPr>
        <w:t xml:space="preserve">与肿瘤关系的研究进展. 现代肿瘤医学</w:t>
      </w:r>
      <w:r>
        <w:rPr>
          <w:rFonts w:ascii="宋体" w:hAnsi="宋体" w:eastAsia="宋体" w:hint="eastAsia"/>
        </w:rPr>
        <w:t>[</w:t>
      </w:r>
      <w:r>
        <w:rPr>
          <w:rFonts w:ascii="宋体" w:hAnsi="宋体" w:eastAsia="宋体" w:hint="eastAsia"/>
        </w:rPr>
        <w:t xml:space="preserve">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2008,</w:t>
      </w:r>
      <w:r>
        <w:rPr>
          <w:rFonts w:ascii="宋体" w:hAnsi="宋体" w:eastAsia="宋体" w:hint="eastAsia"/>
        </w:rPr>
        <w:t xml:space="preserve"> </w:t>
      </w:r>
      <w:r>
        <w:rPr>
          <w:rFonts w:ascii="宋体" w:hAnsi="宋体" w:eastAsia="宋体" w:hint="eastAsia"/>
        </w:rPr>
        <w:t>16</w:t>
      </w:r>
      <w:r>
        <w:rPr>
          <w:rFonts w:ascii="宋体" w:hAnsi="宋体" w:eastAsia="宋体" w:hint="eastAsia"/>
        </w:rPr>
        <w:t>(</w:t>
      </w:r>
      <w:r>
        <w:rPr>
          <w:rFonts w:ascii="宋体" w:hAnsi="宋体" w:eastAsia="宋体" w:hint="eastAsia"/>
        </w:rPr>
        <w:t>5</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855-858.</w:t>
      </w:r>
    </w:p>
    <w:p w:rsidR="0018722C">
      <w:pPr>
        <w:pStyle w:val="ab"/>
        <w:topLinePunct/>
        <w:ind w:left="200" w:hangingChars="200" w:hanging="200"/>
      </w:pPr>
      <w:r>
        <w:t>[</w:t>
      </w:r>
      <w:r>
        <w:t xml:space="preserve">5</w:t>
      </w:r>
      <w:r>
        <w:t>]</w:t>
      </w:r>
      <w:r w:rsidRPr="00281126">
        <w:t xml:space="preserve">  </w:t>
      </w:r>
      <w:r/>
      <w:r>
        <w:t>Einberg</w:t>
      </w:r>
      <w:r w:rsidRPr="00000000">
        <w:t xml:space="preserve">RA,</w:t>
      </w:r>
      <w:r w:rsidRPr="00000000">
        <w:t xml:space="preserve"> </w:t>
      </w:r>
      <w:r w:rsidRPr="00000000">
        <w:t>E2F</w:t>
      </w:r>
      <w:r>
        <w:t>and</w:t>
      </w:r>
      <w:r>
        <w:t>cell</w:t>
      </w:r>
      <w:r>
        <w:t>proliferation</w:t>
      </w:r>
      <w:r w:rsidRPr="00000000">
        <w:t xml:space="preserve">:</w:t>
      </w:r>
      <w:r w:rsidRPr="00000000">
        <w:t xml:space="preserve"> </w:t>
      </w:r>
      <w:r w:rsidRPr="00000000">
        <w:t>a</w:t>
      </w:r>
      <w:r>
        <w:t>world</w:t>
      </w:r>
      <w:r>
        <w:t>turned</w:t>
      </w:r>
      <w:r>
        <w:t>upside down</w:t>
      </w:r>
      <w:r>
        <w:t>[</w:t>
      </w:r>
      <w:r>
        <w:t>J</w:t>
      </w:r>
      <w:r>
        <w:t>]</w:t>
      </w:r>
      <w:r>
        <w:t xml:space="preserve">.</w:t>
      </w:r>
      <w:r>
        <w:t xml:space="preserve"> </w:t>
      </w:r>
      <w:r>
        <w:t>Cell,</w:t>
      </w:r>
      <w:r>
        <w:t xml:space="preserve"> </w:t>
      </w:r>
      <w:r>
        <w:t>1996,</w:t>
      </w:r>
      <w:r>
        <w:t xml:space="preserve"> </w:t>
      </w:r>
      <w:r>
        <w:t>85</w:t>
      </w:r>
      <w:r>
        <w:t>(</w:t>
      </w:r>
      <w:r>
        <w:t>4</w:t>
      </w:r>
      <w:r>
        <w:t>)</w:t>
      </w:r>
      <w:r>
        <w:t xml:space="preserve">:</w:t>
      </w:r>
      <w:r>
        <w:t xml:space="preserve"> </w:t>
      </w:r>
      <w:r>
        <w:t>457-459.</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sidRPr="00281126">
        <w:t xml:space="preserve">  </w:t>
      </w:r>
      <w:r>
        <w:rPr>
          <w:rFonts w:ascii="宋体" w:hAnsi="宋体" w:eastAsia="宋体" w:hint="eastAsia"/>
        </w:rPr>
        <w:t xml:space="preserve">吴继雄,</w:t>
      </w:r>
      <w:r>
        <w:rPr>
          <w:rFonts w:ascii="宋体" w:hAnsi="宋体" w:eastAsia="宋体" w:hint="eastAsia"/>
        </w:rPr>
        <w:t xml:space="preserve"> </w:t>
      </w:r>
      <w:r>
        <w:rPr>
          <w:rFonts w:ascii="宋体" w:hAnsi="宋体" w:eastAsia="宋体" w:hint="eastAsia"/>
        </w:rPr>
        <w:t>邓亚芳,</w:t>
      </w:r>
      <w:r>
        <w:rPr>
          <w:rFonts w:ascii="宋体" w:hAnsi="宋体" w:eastAsia="宋体" w:hint="eastAsia"/>
        </w:rPr>
        <w:t xml:space="preserve"> </w:t>
      </w:r>
      <w:r>
        <w:rPr>
          <w:rFonts w:ascii="宋体" w:hAnsi="宋体" w:eastAsia="宋体" w:hint="eastAsia"/>
        </w:rPr>
        <w:t>方亮.</w:t>
      </w:r>
      <w:r>
        <w:rPr>
          <w:rFonts w:ascii="宋体" w:hAnsi="宋体" w:eastAsia="宋体" w:hint="eastAsia"/>
        </w:rPr>
        <w:t xml:space="preserve"> </w:t>
      </w:r>
      <w:r>
        <w:rPr>
          <w:rFonts w:ascii="宋体" w:hAnsi="宋体" w:eastAsia="宋体" w:hint="eastAsia"/>
        </w:rPr>
        <w:t>慢性萎缩性胃炎患者体内</w:t>
      </w:r>
      <w:r>
        <w:rPr>
          <w:rFonts w:ascii="宋体" w:hAnsi="宋体" w:eastAsia="宋体" w:hint="eastAsia"/>
        </w:rPr>
        <w:t>NF-κB</w:t>
      </w:r>
      <w:r w:rsidR="001852F3">
        <w:rPr>
          <w:rFonts w:ascii="宋体" w:hAnsi="宋体" w:eastAsia="宋体" w:hint="eastAsia"/>
        </w:rPr>
        <w:t xml:space="preserve">和</w:t>
      </w:r>
      <w:r>
        <w:rPr>
          <w:rFonts w:ascii="宋体" w:hAnsi="宋体" w:eastAsia="宋体" w:hint="eastAsia"/>
        </w:rPr>
        <w:t>Bcl-2</w:t>
      </w:r>
      <w:r w:rsidR="001852F3">
        <w:rPr>
          <w:rFonts w:ascii="宋体" w:hAnsi="宋体" w:eastAsia="宋体" w:hint="eastAsia"/>
        </w:rPr>
        <w:t xml:space="preserve">的表</w:t>
      </w:r>
      <w:r>
        <w:t>达及意义</w:t>
      </w:r>
      <w:r>
        <w:t>[</w:t>
      </w:r>
      <w:r>
        <w:t>J</w:t>
      </w:r>
      <w:r>
        <w:t>]</w:t>
      </w:r>
      <w:r>
        <w:t xml:space="preserve">.</w:t>
      </w:r>
      <w:r>
        <w:t xml:space="preserve"> </w:t>
      </w:r>
      <w:r>
        <w:t xml:space="preserve">海南医学院学报. 2013,</w:t>
      </w:r>
      <w:r>
        <w:t xml:space="preserve"> </w:t>
      </w:r>
      <w:r>
        <w:t>7:</w:t>
      </w:r>
      <w:r>
        <w:t xml:space="preserve"> </w:t>
      </w:r>
      <w:r>
        <w:t>895-897,</w:t>
      </w:r>
      <w:r>
        <w:t xml:space="preserve"> </w:t>
      </w:r>
      <w:r>
        <w:t>900.</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sidRPr="00281126">
        <w:t xml:space="preserve">  </w:t>
      </w:r>
      <w:r>
        <w:rPr>
          <w:rFonts w:ascii="宋体" w:hAnsi="宋体" w:eastAsia="宋体" w:hint="eastAsia"/>
        </w:rPr>
        <w:t xml:space="preserve">黄培林,</w:t>
      </w:r>
      <w:r>
        <w:rPr>
          <w:rFonts w:ascii="宋体" w:hAnsi="宋体" w:eastAsia="宋体" w:hint="eastAsia"/>
        </w:rPr>
        <w:t xml:space="preserve"> </w:t>
      </w:r>
      <w:r>
        <w:rPr>
          <w:rFonts w:ascii="宋体" w:hAnsi="宋体" w:eastAsia="宋体" w:hint="eastAsia"/>
        </w:rPr>
        <w:t>朱世能,</w:t>
      </w:r>
      <w:r>
        <w:rPr>
          <w:rFonts w:ascii="宋体" w:hAnsi="宋体" w:eastAsia="宋体" w:hint="eastAsia"/>
        </w:rPr>
        <w:t xml:space="preserve"> </w:t>
      </w:r>
      <w:r>
        <w:rPr>
          <w:rFonts w:ascii="宋体" w:hAnsi="宋体" w:eastAsia="宋体" w:hint="eastAsia"/>
        </w:rPr>
        <w:t>陆世伦.</w:t>
      </w:r>
      <w:r>
        <w:rPr>
          <w:rFonts w:ascii="宋体" w:hAnsi="宋体" w:eastAsia="宋体" w:hint="eastAsia"/>
        </w:rPr>
        <w:t xml:space="preserve"> </w:t>
      </w:r>
      <w:r>
        <w:rPr>
          <w:rFonts w:ascii="宋体" w:hAnsi="宋体" w:eastAsia="宋体" w:hint="eastAsia"/>
        </w:rPr>
        <w:t>NF-κB、IκB</w:t>
      </w:r>
      <w:r w:rsidR="001852F3">
        <w:rPr>
          <w:rFonts w:ascii="宋体" w:hAnsi="宋体" w:eastAsia="宋体" w:hint="eastAsia"/>
        </w:rPr>
        <w:t xml:space="preserve">与肿瘤细胞凋亡.</w:t>
      </w:r>
      <w:r w:rsidR="001852F3">
        <w:rPr>
          <w:rFonts w:ascii="宋体" w:hAnsi="宋体" w:eastAsia="宋体" w:hint="eastAsia"/>
        </w:rPr>
        <w:t xml:space="preserve"> </w:t>
      </w:r>
      <w:r w:rsidR="001852F3">
        <w:rPr>
          <w:rFonts w:ascii="宋体" w:hAnsi="宋体" w:eastAsia="宋体" w:hint="eastAsia"/>
        </w:rPr>
        <w:t>实用癌症杂</w:t>
      </w:r>
      <w:r>
        <w:rPr>
          <w:rFonts w:ascii="宋体" w:hAnsi="宋体" w:eastAsia="宋体" w:hint="eastAsia"/>
        </w:rPr>
        <w:t>志</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2001,</w:t>
      </w:r>
      <w:r>
        <w:rPr>
          <w:rFonts w:ascii="宋体" w:hAnsi="宋体" w:eastAsia="宋体" w:hint="eastAsia"/>
        </w:rPr>
        <w:t xml:space="preserve"> </w:t>
      </w:r>
      <w:r>
        <w:rPr>
          <w:rFonts w:ascii="宋体" w:hAnsi="宋体" w:eastAsia="宋体" w:hint="eastAsia"/>
        </w:rPr>
        <w:t>16</w:t>
      </w:r>
      <w:r>
        <w:rPr>
          <w:rFonts w:ascii="宋体" w:hAnsi="宋体" w:eastAsia="宋体" w:hint="eastAsia"/>
        </w:rPr>
        <w:t>(</w:t>
      </w:r>
      <w:r>
        <w:rPr>
          <w:rFonts w:ascii="宋体" w:hAnsi="宋体" w:eastAsia="宋体" w:hint="eastAsia"/>
        </w:rPr>
        <w:t>1</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103-104.</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sidRPr="00281126">
        <w:t xml:space="preserve">  </w:t>
      </w:r>
      <w:r>
        <w:rPr>
          <w:rFonts w:ascii="宋体" w:hAnsi="宋体" w:eastAsia="宋体" w:hint="eastAsia"/>
        </w:rPr>
        <w:t xml:space="preserve">李建业,</w:t>
      </w:r>
      <w:r>
        <w:rPr>
          <w:rFonts w:ascii="宋体" w:hAnsi="宋体" w:eastAsia="宋体" w:hint="eastAsia"/>
        </w:rPr>
        <w:t xml:space="preserve"> </w:t>
      </w:r>
      <w:r>
        <w:rPr>
          <w:rFonts w:ascii="宋体" w:hAnsi="宋体" w:eastAsia="宋体" w:hint="eastAsia"/>
        </w:rPr>
        <w:t>任元满.</w:t>
      </w:r>
      <w:r>
        <w:rPr>
          <w:rFonts w:ascii="宋体" w:hAnsi="宋体" w:eastAsia="宋体" w:hint="eastAsia"/>
        </w:rPr>
        <w:t xml:space="preserve"> </w:t>
      </w:r>
      <w:r>
        <w:rPr>
          <w:rFonts w:ascii="宋体" w:hAnsi="宋体" w:eastAsia="宋体" w:hint="eastAsia"/>
        </w:rPr>
        <w:t>核因子</w:t>
      </w:r>
      <w:r>
        <w:rPr>
          <w:rFonts w:ascii="宋体" w:hAnsi="宋体" w:eastAsia="宋体" w:hint="eastAsia"/>
        </w:rPr>
        <w:t>κB</w:t>
      </w:r>
      <w:r w:rsidR="001852F3">
        <w:rPr>
          <w:rFonts w:ascii="宋体" w:hAnsi="宋体" w:eastAsia="宋体" w:hint="eastAsia"/>
        </w:rPr>
        <w:t xml:space="preserve">与恶性肿瘤的相关性研究.</w:t>
      </w:r>
      <w:r w:rsidR="001852F3">
        <w:rPr>
          <w:rFonts w:ascii="宋体" w:hAnsi="宋体" w:eastAsia="宋体" w:hint="eastAsia"/>
        </w:rPr>
        <w:t xml:space="preserve"> </w:t>
      </w:r>
      <w:r w:rsidR="001852F3">
        <w:rPr>
          <w:rFonts w:ascii="宋体" w:hAnsi="宋体" w:eastAsia="宋体" w:hint="eastAsia"/>
        </w:rPr>
        <w:t>亚太传统医药</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2007,</w:t>
      </w:r>
      <w:r>
        <w:rPr>
          <w:rFonts w:ascii="宋体" w:hAnsi="宋体" w:eastAsia="宋体" w:hint="eastAsia"/>
        </w:rPr>
        <w:t xml:space="preserve"> </w:t>
      </w:r>
      <w:r>
        <w:rPr>
          <w:rFonts w:ascii="宋体" w:hAnsi="宋体" w:eastAsia="宋体" w:hint="eastAsia"/>
        </w:rPr>
        <w:t>3</w:t>
      </w:r>
      <w:r>
        <w:rPr>
          <w:rFonts w:ascii="宋体" w:hAnsi="宋体" w:eastAsia="宋体" w:hint="eastAsia"/>
        </w:rPr>
        <w:t>(</w:t>
      </w:r>
      <w:r>
        <w:rPr>
          <w:rFonts w:ascii="宋体" w:hAnsi="宋体" w:eastAsia="宋体" w:hint="eastAsia"/>
        </w:rPr>
        <w:t>11</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30-33.</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rsidRPr="00281126">
        <w:t xml:space="preserve">  </w:t>
      </w:r>
      <w:r>
        <w:rPr>
          <w:rFonts w:ascii="宋体" w:hAnsi="宋体" w:eastAsia="宋体" w:hint="eastAsia"/>
        </w:rPr>
        <w:t>刘晓, 邢丽娜. 核转录因子</w:t>
      </w:r>
      <w:r>
        <w:rPr>
          <w:rFonts w:ascii="宋体" w:hAnsi="宋体" w:eastAsia="宋体" w:hint="eastAsia"/>
        </w:rPr>
        <w:t>NF-κB</w:t>
      </w:r>
      <w:r w:rsidR="001852F3">
        <w:rPr>
          <w:rFonts w:ascii="宋体" w:hAnsi="宋体" w:eastAsia="宋体" w:hint="eastAsia"/>
        </w:rPr>
        <w:t xml:space="preserve">与肿瘤. 实用肿瘤学杂志</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2007,</w:t>
      </w:r>
      <w:r>
        <w:rPr>
          <w:rFonts w:ascii="宋体" w:hAnsi="宋体" w:eastAsia="宋体" w:hint="eastAsia"/>
        </w:rPr>
        <w:t xml:space="preserve"> </w:t>
      </w:r>
      <w:r>
        <w:rPr>
          <w:rFonts w:ascii="宋体" w:hAnsi="宋体" w:eastAsia="宋体" w:hint="eastAsia"/>
        </w:rPr>
        <w:t>21</w:t>
      </w:r>
      <w:r>
        <w:rPr>
          <w:rFonts w:ascii="宋体" w:hAnsi="宋体" w:eastAsia="宋体" w:hint="eastAsia"/>
        </w:rPr>
        <w:t>(</w:t>
      </w:r>
      <w:r>
        <w:rPr>
          <w:rFonts w:ascii="宋体" w:hAnsi="宋体" w:eastAsia="宋体" w:hint="eastAsia"/>
        </w:rPr>
        <w:t>2</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191-193.</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10</w:t>
      </w:r>
      <w:r>
        <w:rPr>
          <w:rFonts w:ascii="宋体" w:hAnsi="宋体" w:eastAsia="宋体" w:hint="eastAsia"/>
        </w:rPr>
        <w:t>]</w:t>
      </w:r>
      <w:r w:rsidRPr="00281126">
        <w:t xml:space="preserve"> </w:t>
      </w:r>
      <w:r>
        <w:rPr>
          <w:rFonts w:ascii="宋体" w:hAnsi="宋体" w:eastAsia="宋体" w:hint="eastAsia"/>
        </w:rPr>
        <w:t>黄小兵, </w:t>
      </w:r>
      <w:r>
        <w:rPr>
          <w:rFonts w:ascii="宋体" w:hAnsi="宋体" w:eastAsia="宋体" w:hint="eastAsia"/>
        </w:rPr>
        <w:t>NF-κB</w:t>
      </w:r>
      <w:r w:rsidR="001852F3">
        <w:rPr>
          <w:rFonts w:ascii="宋体" w:hAnsi="宋体" w:eastAsia="宋体" w:hint="eastAsia"/>
        </w:rPr>
        <w:t xml:space="preserve">在感染和炎症促进肿瘤发生及发展中的作用</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重</w:t>
      </w:r>
      <w:r>
        <w:rPr>
          <w:rFonts w:ascii="宋体" w:hAnsi="宋体" w:eastAsia="宋体" w:hint="eastAsia"/>
        </w:rPr>
        <w:t>庆医学. </w:t>
      </w:r>
      <w:r>
        <w:rPr>
          <w:rFonts w:ascii="宋体" w:hAnsi="宋体" w:eastAsia="宋体" w:hint="eastAsia"/>
        </w:rPr>
        <w:t xml:space="preserve">2008,</w:t>
      </w:r>
      <w:r>
        <w:rPr>
          <w:rFonts w:ascii="宋体" w:hAnsi="宋体" w:eastAsia="宋体" w:hint="eastAsia"/>
        </w:rPr>
        <w:t xml:space="preserve"> </w:t>
      </w:r>
      <w:r>
        <w:rPr>
          <w:rFonts w:ascii="宋体" w:hAnsi="宋体" w:eastAsia="宋体" w:hint="eastAsia"/>
        </w:rPr>
        <w:t>37</w:t>
      </w:r>
      <w:r>
        <w:rPr>
          <w:rFonts w:ascii="宋体" w:hAnsi="宋体" w:eastAsia="宋体" w:hint="eastAsia"/>
        </w:rPr>
        <w:t>(</w:t>
      </w:r>
      <w:r>
        <w:rPr>
          <w:rFonts w:ascii="宋体" w:hAnsi="宋体" w:eastAsia="宋体" w:hint="eastAsia"/>
        </w:rPr>
        <w:t>23</w:t>
      </w:r>
      <w:r>
        <w:rPr>
          <w:rFonts w:ascii="宋体" w:hAnsi="宋体" w:eastAsia="宋体" w:hint="eastAsia"/>
        </w:rP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2741-2743.</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任海霞. 非甾体类抗炎药抗肿瘤作用研究进展</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中国药业. 2012,</w:t>
      </w:r>
      <w:r>
        <w:rPr>
          <w:rFonts w:ascii="宋体" w:eastAsia="宋体" w:hint="eastAsia"/>
        </w:rPr>
        <w:t xml:space="preserve"> </w:t>
      </w:r>
      <w:r>
        <w:rPr>
          <w:rFonts w:ascii="宋体" w:eastAsia="宋体" w:hint="eastAsia"/>
        </w:rPr>
        <w:t>21</w:t>
      </w:r>
      <w:r>
        <w:rPr>
          <w:rFonts w:ascii="宋体" w:eastAsia="宋体" w:hint="eastAsia"/>
        </w:rPr>
        <w:t>(</w:t>
      </w:r>
      <w:r>
        <w:rPr>
          <w:rFonts w:ascii="宋体" w:eastAsia="宋体" w:hint="eastAsia"/>
        </w:rPr>
        <w:t>6</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86-88.</w:t>
      </w:r>
    </w:p>
    <w:p w:rsidR="0018722C">
      <w:pPr>
        <w:pStyle w:val="ab"/>
        <w:topLinePunct/>
        <w:ind w:left="200" w:hangingChars="200" w:hanging="200"/>
      </w:pPr>
      <w:r>
        <w:rPr>
          <w:rFonts w:ascii="宋体" w:hAnsi="宋体" w:eastAsia="宋体" w:hint="eastAsia"/>
        </w:rPr>
        <w:t xml:space="preserve">[</w:t>
      </w:r>
      <w:r>
        <w:rPr>
          <w:rFonts w:ascii="宋体" w:hAnsi="宋体" w:eastAsia="宋体" w:hint="eastAsia"/>
        </w:rPr>
        <w:t xml:space="preserve">12</w:t>
      </w:r>
      <w:r>
        <w:rPr>
          <w:rFonts w:ascii="宋体" w:hAnsi="宋体" w:eastAsia="宋体" w:hint="eastAsia"/>
        </w:rPr>
        <w:t xml:space="preserve">]</w:t>
      </w:r>
      <w:r w:rsidRPr="00281126">
        <w:t xml:space="preserve"> </w:t>
      </w:r>
      <w:r>
        <w:rPr>
          <w:rFonts w:ascii="宋体" w:hAnsi="宋体" w:eastAsia="宋体" w:hint="eastAsia"/>
        </w:rPr>
        <w:t xml:space="preserve">王康玮,</w:t>
      </w:r>
      <w:r>
        <w:rPr>
          <w:rFonts w:ascii="宋体" w:hAnsi="宋体" w:eastAsia="宋体" w:hint="eastAsia"/>
        </w:rPr>
        <w:t xml:space="preserve"> </w:t>
      </w:r>
      <w:r>
        <w:rPr>
          <w:rFonts w:ascii="宋体" w:hAnsi="宋体" w:eastAsia="宋体" w:hint="eastAsia"/>
        </w:rPr>
        <w:t>曹清华,</w:t>
      </w:r>
      <w:r>
        <w:rPr>
          <w:rFonts w:ascii="宋体" w:hAnsi="宋体" w:eastAsia="宋体" w:hint="eastAsia"/>
        </w:rPr>
        <w:t xml:space="preserve"> </w:t>
      </w:r>
      <w:r>
        <w:rPr>
          <w:rFonts w:ascii="宋体" w:hAnsi="宋体" w:eastAsia="宋体" w:hint="eastAsia"/>
        </w:rPr>
        <w:t>林原,</w:t>
      </w:r>
      <w:r>
        <w:rPr>
          <w:rFonts w:ascii="宋体" w:hAnsi="宋体" w:eastAsia="宋体" w:hint="eastAsia"/>
        </w:rPr>
        <w:t xml:space="preserve"> </w:t>
      </w:r>
      <w:r>
        <w:rPr>
          <w:rFonts w:ascii="宋体" w:hAnsi="宋体" w:eastAsia="宋体" w:hint="eastAsia"/>
        </w:rPr>
        <w:t>等</w:t>
      </w:r>
      <w:r>
        <w:rPr>
          <w:rFonts w:ascii="宋体" w:hAnsi="宋体" w:eastAsia="宋体" w:hint="eastAsia"/>
        </w:rPr>
        <w:t xml:space="preserve">.</w:t>
      </w:r>
      <w:r w:rsidR="001852F3">
        <w:rPr>
          <w:rFonts w:ascii="宋体" w:hAnsi="宋体" w:eastAsia="宋体" w:hint="eastAsia"/>
        </w:rPr>
        <w:t xml:space="preserve"> </w:t>
      </w:r>
      <w:r w:rsidR="001852F3">
        <w:rPr>
          <w:rFonts w:ascii="宋体" w:hAnsi="宋体" w:eastAsia="宋体" w:hint="eastAsia"/>
        </w:rPr>
        <w:t xml:space="preserve">NF-κB</w:t>
      </w:r>
      <w:r w:rsidR="001852F3">
        <w:rPr>
          <w:rFonts w:ascii="宋体" w:hAnsi="宋体" w:eastAsia="宋体" w:hint="eastAsia"/>
        </w:rPr>
        <w:t xml:space="preserve">及</w:t>
      </w:r>
      <w:r>
        <w:rPr>
          <w:rFonts w:ascii="宋体" w:hAnsi="宋体" w:eastAsia="宋体" w:hint="eastAsia"/>
        </w:rPr>
        <w:t xml:space="preserve">IL-1ra</w:t>
      </w:r>
      <w:r w:rsidR="001852F3">
        <w:rPr>
          <w:rFonts w:ascii="宋体" w:hAnsi="宋体" w:eastAsia="宋体" w:hint="eastAsia"/>
        </w:rPr>
        <w:t xml:space="preserve">在胃癌中的表达及其意</w:t>
      </w:r>
      <w:r>
        <w:rPr>
          <w:rFonts w:ascii="宋体" w:hAnsi="宋体" w:eastAsia="宋体" w:hint="eastAsia"/>
        </w:rPr>
        <w:t xml:space="preserve">义.</w:t>
      </w:r>
      <w:r>
        <w:rPr>
          <w:rFonts w:ascii="宋体" w:hAnsi="宋体" w:eastAsia="宋体" w:hint="eastAsia"/>
        </w:rPr>
        <w:t xml:space="preserve"> </w:t>
      </w:r>
      <w:r>
        <w:rPr>
          <w:rFonts w:ascii="宋体" w:hAnsi="宋体" w:eastAsia="宋体" w:hint="eastAsia"/>
        </w:rPr>
        <w:t>中</w:t>
      </w:r>
      <w:r>
        <w:rPr>
          <w:rFonts w:ascii="宋体" w:hAnsi="宋体" w:eastAsia="宋体" w:hint="eastAsia"/>
        </w:rPr>
        <w:t xml:space="preserve">ft</w:t>
      </w:r>
      <w:r>
        <w:rPr>
          <w:rFonts w:ascii="宋体" w:hAnsi="宋体" w:eastAsia="宋体" w:hint="eastAsia"/>
        </w:rPr>
        <w:t xml:space="preserve">大学学报</w:t>
      </w:r>
      <w:r>
        <w:rPr>
          <w:rFonts w:ascii="宋体" w:hAnsi="宋体" w:eastAsia="宋体" w:hint="eastAsia"/>
        </w:rPr>
        <w:t xml:space="preserve">(</w:t>
      </w:r>
      <w:r>
        <w:rPr>
          <w:rFonts w:ascii="宋体" w:hAnsi="宋体" w:eastAsia="宋体" w:hint="eastAsia"/>
          <w:spacing w:val="-2"/>
          <w:sz w:val="28"/>
        </w:rPr>
        <w:t xml:space="preserve">医学科学版</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 xml:space="preserve">[</w:t>
      </w:r>
      <w:r>
        <w:rPr>
          <w:rFonts w:ascii="宋体" w:hAnsi="宋体" w:eastAsia="宋体" w:hint="eastAsia"/>
        </w:rPr>
        <w:t xml:space="preserve">J</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2010,</w:t>
      </w:r>
      <w:r>
        <w:rPr>
          <w:rFonts w:ascii="宋体" w:hAnsi="宋体" w:eastAsia="宋体" w:hint="eastAsia"/>
        </w:rPr>
        <w:t xml:space="preserve"> </w:t>
      </w:r>
      <w:r>
        <w:rPr>
          <w:rFonts w:ascii="宋体" w:hAnsi="宋体" w:eastAsia="宋体" w:hint="eastAsia"/>
        </w:rPr>
        <w:t>31</w:t>
      </w:r>
      <w:r>
        <w:rPr>
          <w:rFonts w:ascii="宋体" w:hAnsi="宋体" w:eastAsia="宋体" w:hint="eastAsia"/>
        </w:rPr>
        <w:t xml:space="preserve">(</w:t>
      </w:r>
      <w:r>
        <w:rPr>
          <w:rFonts w:ascii="宋体" w:hAnsi="宋体" w:eastAsia="宋体" w:hint="eastAsia"/>
          <w:sz w:val="28"/>
        </w:rPr>
        <w:t xml:space="preserve">1</w:t>
      </w:r>
      <w:r>
        <w:rPr>
          <w:rFonts w:ascii="宋体" w:hAnsi="宋体" w:eastAsia="宋体" w:hint="eastAsia"/>
        </w:rPr>
        <w:t xml:space="preserve">)</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95-99.</w:t>
      </w:r>
    </w:p>
    <w:p w:rsidR="0018722C">
      <w:pPr>
        <w:pStyle w:val="ab"/>
        <w:topLinePunct/>
        <w:ind w:left="200" w:hangingChars="200" w:hanging="200"/>
      </w:pPr>
      <w:r>
        <w:rPr>
          <w:rFonts w:ascii="宋体" w:eastAsia="宋体" w:hint="eastAsia"/>
        </w:rPr>
        <w:t>[</w:t>
      </w:r>
      <w:r>
        <w:rPr>
          <w:rFonts w:ascii="宋体" w:eastAsia="宋体" w:hint="eastAsia"/>
        </w:rPr>
        <w:t xml:space="preserve">13</w:t>
      </w:r>
      <w:r>
        <w:rPr>
          <w:rFonts w:ascii="宋体" w:eastAsia="宋体" w:hint="eastAsia"/>
        </w:rPr>
        <w:t>]</w:t>
      </w:r>
      <w:r w:rsidRPr="00281126">
        <w:t xml:space="preserve"> </w:t>
      </w:r>
      <w:r>
        <w:rPr>
          <w:rFonts w:ascii="宋体" w:eastAsia="宋体" w:hint="eastAsia"/>
        </w:rPr>
        <w:t>曹亚. 细胞周期与肿瘤. 国外医学. 生理、病理科学与临床分册</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2002,</w:t>
      </w:r>
      <w:r>
        <w:rPr>
          <w:rFonts w:ascii="宋体" w:eastAsia="宋体" w:hint="eastAsia"/>
        </w:rPr>
        <w:t xml:space="preserve"> </w:t>
      </w:r>
      <w:r>
        <w:rPr>
          <w:rFonts w:ascii="宋体" w:eastAsia="宋体" w:hint="eastAsia"/>
        </w:rPr>
        <w:t>22</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Fonts w:ascii="宋体" w:eastAsia="宋体" w:hint="eastAsia"/>
          <w:sz w:val="28"/>
        </w:rPr>
        <w:t xml:space="preserve">: </w:t>
      </w:r>
      <w:r>
        <w:rPr>
          <w:rFonts w:ascii="宋体" w:eastAsia="宋体" w:hint="eastAsia"/>
        </w:rPr>
        <w:t>103-105.</w:t>
      </w:r>
    </w:p>
    <w:p w:rsidR="0018722C">
      <w:pPr>
        <w:pStyle w:val="ab"/>
        <w:topLinePunct/>
        <w:ind w:left="200" w:hangingChars="200" w:hanging="200"/>
      </w:pPr>
      <w:r>
        <w:t>[</w:t>
      </w:r>
      <w:r>
        <w:t xml:space="preserve">14</w:t>
      </w:r>
      <w:r>
        <w:t>]</w:t>
      </w:r>
      <w:r w:rsidRPr="00281126">
        <w:t xml:space="preserve"> </w:t>
      </w:r>
      <w:r/>
      <w:r>
        <w:t>Scaife</w:t>
      </w:r>
      <w:r>
        <w:t> </w:t>
      </w:r>
      <w:r>
        <w:t xml:space="preserve">CL,</w:t>
      </w:r>
      <w:r>
        <w:t xml:space="preserve"> </w:t>
      </w:r>
      <w:r>
        <w:t>Kuang</w:t>
      </w:r>
      <w:r>
        <w:t> </w:t>
      </w:r>
      <w:r>
        <w:t xml:space="preserve">J,</w:t>
      </w:r>
      <w:r>
        <w:t xml:space="preserve"> </w:t>
      </w:r>
      <w:r>
        <w:t>et</w:t>
      </w:r>
      <w:r>
        <w:t> </w:t>
      </w:r>
      <w:r>
        <w:t xml:space="preserve">al.</w:t>
      </w:r>
      <w:r>
        <w:t xml:space="preserve"> </w:t>
      </w:r>
      <w:r>
        <w:t>Nuclear</w:t>
      </w:r>
      <w:r>
        <w:t> </w:t>
      </w:r>
      <w:r>
        <w:t>factor</w:t>
      </w:r>
      <w:r>
        <w:t> </w:t>
      </w:r>
      <w:r>
        <w:t>kappaB</w:t>
      </w:r>
      <w:r>
        <w:t> </w:t>
      </w:r>
      <w:r>
        <w:t>inhibition</w:t>
      </w:r>
      <w:r>
        <w:t> </w:t>
      </w:r>
      <w:r>
        <w:t>induce</w:t>
      </w:r>
      <w:r>
        <w:t> </w:t>
      </w:r>
      <w:r>
        <w:t>adhesion </w:t>
      </w:r>
      <w:r>
        <w:t xml:space="preserve">dependent colon cancer apoptosis.</w:t>
      </w:r>
      <w:r>
        <w:t xml:space="preserve"> </w:t>
      </w:r>
      <w:r>
        <w:t>Caccer</w:t>
      </w:r>
      <w:r>
        <w:t> </w:t>
      </w:r>
      <w:r>
        <w:t xml:space="preserve">Res,</w:t>
      </w:r>
      <w:r>
        <w:t xml:space="preserve"> </w:t>
      </w:r>
      <w:r>
        <w:t>2002,</w:t>
      </w:r>
      <w:r>
        <w:t xml:space="preserve"> </w:t>
      </w:r>
      <w:r>
        <w:t>62:</w:t>
      </w:r>
      <w:r>
        <w:t xml:space="preserve"> </w:t>
      </w:r>
      <w:r>
        <w:t>6870-6878.</w:t>
      </w:r>
    </w:p>
    <w:p w:rsidR="0018722C">
      <w:pPr>
        <w:pStyle w:val="ab"/>
        <w:topLinePunct/>
        <w:ind w:left="200" w:hangingChars="200" w:hanging="200"/>
      </w:pPr>
      <w:r>
        <w:t>[</w:t>
      </w:r>
      <w:r>
        <w:t xml:space="preserve">15</w:t>
      </w:r>
      <w:r>
        <w:t>]</w:t>
      </w:r>
      <w:r w:rsidRPr="00281126">
        <w:t xml:space="preserve"> </w:t>
      </w:r>
      <w:r/>
      <w:r>
        <w:t xml:space="preserve">Dejardin E,</w:t>
      </w:r>
      <w:r>
        <w:t xml:space="preserve"> </w:t>
      </w:r>
      <w:r>
        <w:t xml:space="preserve">Deregowski </w:t>
      </w:r>
      <w:r>
        <w:t xml:space="preserve">V,</w:t>
      </w:r>
      <w:r>
        <w:t xml:space="preserve"> </w:t>
      </w:r>
      <w:r>
        <w:t xml:space="preserve">Chepelier </w:t>
      </w:r>
      <w:r>
        <w:t xml:space="preserve">M,</w:t>
      </w:r>
      <w:r>
        <w:t xml:space="preserve"> </w:t>
      </w:r>
      <w:r>
        <w:t xml:space="preserve">et al.</w:t>
      </w:r>
      <w:r>
        <w:t xml:space="preserve"> </w:t>
      </w:r>
      <w:r>
        <w:t xml:space="preserve">The nuclear</w:t>
      </w:r>
      <w:r>
        <w:t> </w:t>
      </w:r>
      <w:r>
        <w:t xml:space="preserve">factor-kappaB:</w:t>
      </w:r>
      <w:r>
        <w:t xml:space="preserve"> </w:t>
      </w:r>
      <w:r>
        <w:t>a</w:t>
      </w:r>
      <w:r>
        <w:rPr>
          <w:rFonts w:ascii="Times New Roman"/>
        </w:rPr>
        <w:t>protential therapeutic leukemial</w:t>
      </w:r>
      <w:r>
        <w:rPr>
          <w:rFonts w:ascii="Times New Roman"/>
        </w:rPr>
        <w:t>[</w:t>
      </w:r>
      <w:r>
        <w:rPr>
          <w:rFonts w:ascii="Times New Roman"/>
        </w:rPr>
        <w:t>J</w:t>
      </w:r>
      <w:r>
        <w:rPr>
          <w:rFonts w:ascii="Times New Roman"/>
        </w:rPr>
        <w:t>]</w:t>
      </w:r>
      <w:r>
        <w:rPr>
          <w:rFonts w:ascii="Times New Roman"/>
        </w:rPr>
        <w:t xml:space="preserve">.</w:t>
      </w:r>
      <w:r>
        <w:rPr>
          <w:rFonts w:ascii="Times New Roman"/>
        </w:rPr>
        <w:t xml:space="preserve"> </w:t>
      </w:r>
      <w:r>
        <w:rPr>
          <w:rFonts w:ascii="Times New Roman"/>
        </w:rPr>
        <w:t>Oncogene,</w:t>
      </w:r>
      <w:r>
        <w:rPr>
          <w:rFonts w:ascii="Times New Roman"/>
        </w:rPr>
        <w:t xml:space="preserve"> </w:t>
      </w:r>
      <w:r>
        <w:rPr>
          <w:rFonts w:ascii="Times New Roman"/>
        </w:rPr>
        <w:t>2001,</w:t>
      </w:r>
      <w:r>
        <w:rPr>
          <w:rFonts w:ascii="Times New Roman"/>
        </w:rPr>
        <w:t xml:space="preserve"> </w:t>
      </w:r>
      <w:r>
        <w:rPr>
          <w:rFonts w:ascii="Times New Roman"/>
        </w:rPr>
        <w:t>20</w:t>
      </w:r>
      <w:r>
        <w:rPr>
          <w:rFonts w:ascii="Times New Roman"/>
        </w:rPr>
        <w:t>(</w:t>
      </w:r>
      <w:r>
        <w:rPr>
          <w:rFonts w:ascii="Times New Roman"/>
        </w:rPr>
        <w:t>16</w:t>
      </w:r>
      <w:r>
        <w:rPr>
          <w:rFonts w:ascii="Times New Roman"/>
        </w:rPr>
        <w:t>)</w:t>
      </w:r>
      <w:r>
        <w:rPr>
          <w:rFonts w:ascii="Times New Roman"/>
        </w:rPr>
        <w:t xml:space="preserve">:</w:t>
      </w:r>
      <w:r>
        <w:rPr>
          <w:rFonts w:ascii="Times New Roman"/>
        </w:rPr>
        <w:t xml:space="preserve"> </w:t>
      </w:r>
      <w:r>
        <w:rPr>
          <w:rFonts w:ascii="Times New Roman"/>
        </w:rPr>
        <w:t>2131-2139.</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 xml:space="preserve">邓景岳,</w:t>
      </w:r>
      <w:r>
        <w:rPr>
          <w:rFonts w:ascii="宋体" w:eastAsia="宋体" w:hint="eastAsia"/>
        </w:rPr>
        <w:t xml:space="preserve"> </w:t>
      </w:r>
      <w:r>
        <w:rPr>
          <w:rFonts w:ascii="宋体" w:eastAsia="宋体" w:hint="eastAsia"/>
        </w:rPr>
        <w:t>毕明刚.</w:t>
      </w:r>
      <w:r>
        <w:rPr>
          <w:rFonts w:ascii="宋体" w:eastAsia="宋体" w:hint="eastAsia"/>
        </w:rPr>
        <w:t xml:space="preserve"> </w:t>
      </w:r>
      <w:r>
        <w:rPr>
          <w:rFonts w:ascii="宋体" w:eastAsia="宋体" w:hint="eastAsia"/>
        </w:rPr>
        <w:t>影响原癌基因</w:t>
      </w:r>
      <w:r>
        <w:rPr>
          <w:rFonts w:ascii="宋体" w:eastAsia="宋体" w:hint="eastAsia"/>
        </w:rPr>
        <w:t>c-myc</w:t>
      </w:r>
      <w:r w:rsidR="001852F3">
        <w:rPr>
          <w:rFonts w:ascii="宋体" w:eastAsia="宋体" w:hint="eastAsia"/>
        </w:rPr>
        <w:t xml:space="preserve">作用因素的研究进展.肿</w:t>
      </w:r>
      <w:r>
        <w:rPr>
          <w:rFonts w:ascii="宋体" w:eastAsia="宋体" w:hint="eastAsia"/>
        </w:rPr>
        <w:t xml:space="preserve">瘤.</w:t>
      </w:r>
      <w:r>
        <w:rPr>
          <w:rFonts w:ascii="宋体" w:eastAsia="宋体" w:hint="eastAsia"/>
        </w:rPr>
        <w:t xml:space="preserve"> </w:t>
      </w:r>
      <w:r>
        <w:rPr>
          <w:rFonts w:ascii="宋体" w:eastAsia="宋体" w:hint="eastAsia"/>
        </w:rPr>
        <w:t>2009,</w:t>
      </w:r>
      <w:r>
        <w:rPr>
          <w:rFonts w:ascii="宋体" w:eastAsia="宋体" w:hint="eastAsia"/>
        </w:rPr>
        <w:t xml:space="preserve"> </w:t>
      </w:r>
      <w:r>
        <w:rPr>
          <w:rFonts w:ascii="宋体" w:eastAsia="宋体" w:hint="eastAsia"/>
        </w:rPr>
        <w:t>29</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1176-1179.</w:t>
      </w:r>
    </w:p>
    <w:p w:rsidR="0018722C">
      <w:pPr>
        <w:pStyle w:val="ab"/>
        <w:topLinePunct/>
        <w:ind w:left="200" w:hangingChars="200" w:hanging="200"/>
      </w:pPr>
      <w:r>
        <w:t>[</w:t>
      </w:r>
      <w:r>
        <w:t xml:space="preserve">17</w:t>
      </w:r>
      <w:r>
        <w:t>]</w:t>
      </w:r>
      <w:r w:rsidRPr="00281126">
        <w:t xml:space="preserve"> </w:t>
      </w:r>
      <w:r/>
      <w:r>
        <w:t xml:space="preserve">Mayo MW,</w:t>
      </w:r>
      <w:r>
        <w:t xml:space="preserve"> </w:t>
      </w:r>
      <w:r>
        <w:t xml:space="preserve">Baldwin AS.</w:t>
      </w:r>
      <w:r>
        <w:t xml:space="preserve"> </w:t>
      </w:r>
      <w:r>
        <w:t xml:space="preserve">The transcription factor NF-kappa B:</w:t>
      </w:r>
      <w:r>
        <w:t xml:space="preserve"> </w:t>
      </w:r>
      <w:r>
        <w:t xml:space="preserve">control of oncogenesis and cancer therapy resistance</w:t>
      </w:r>
      <w:r>
        <w:t>[</w:t>
      </w:r>
      <w:r>
        <w:t>J</w:t>
      </w:r>
      <w:r>
        <w:t>]</w:t>
      </w:r>
      <w:r>
        <w:t xml:space="preserve">.</w:t>
      </w:r>
      <w:r>
        <w:t xml:space="preserve"> </w:t>
      </w:r>
      <w:r>
        <w:t xml:space="preserve">Biochim Biophys Acta,</w:t>
      </w:r>
      <w:r>
        <w:t xml:space="preserve"> </w:t>
      </w:r>
      <w:r>
        <w:t>2000,</w:t>
      </w:r>
      <w:r>
        <w:t xml:space="preserve"> </w:t>
      </w:r>
      <w:r>
        <w:t>1470</w:t>
      </w:r>
      <w:r>
        <w:t>(</w:t>
      </w:r>
      <w:r>
        <w:t>2</w:t>
      </w:r>
      <w:r>
        <w:t>)</w:t>
      </w:r>
      <w:r>
        <w:t xml:space="preserve">:</w:t>
      </w:r>
      <w:r>
        <w:t xml:space="preserve"> </w:t>
      </w:r>
      <w:r>
        <w:t>M55-62.</w:t>
      </w:r>
    </w:p>
    <w:p w:rsidR="0018722C">
      <w:pPr>
        <w:pStyle w:val="ab"/>
        <w:topLinePunct/>
        <w:ind w:left="200" w:hangingChars="200" w:hanging="200"/>
      </w:pPr>
      <w:r>
        <w:t>[</w:t>
      </w:r>
      <w:r>
        <w:t xml:space="preserve">18</w:t>
      </w:r>
      <w:r>
        <w:t>]</w:t>
      </w:r>
      <w:r w:rsidRPr="00281126">
        <w:t xml:space="preserve"> </w:t>
      </w:r>
      <w:r/>
      <w:r>
        <w:t>Zhang</w:t>
      </w:r>
      <w:r>
        <w:t> </w:t>
      </w:r>
      <w:r>
        <w:t xml:space="preserve">X,</w:t>
      </w:r>
      <w:r>
        <w:t xml:space="preserve"> </w:t>
      </w:r>
      <w:r>
        <w:t>Nie</w:t>
      </w:r>
      <w:r>
        <w:t> </w:t>
      </w:r>
      <w:r>
        <w:t xml:space="preserve">D,</w:t>
      </w:r>
      <w:r>
        <w:t xml:space="preserve"> </w:t>
      </w:r>
      <w:r>
        <w:t>Chakrabarty</w:t>
      </w:r>
      <w:r>
        <w:t> </w:t>
      </w:r>
      <w:r>
        <w:t xml:space="preserve">S.</w:t>
      </w:r>
      <w:r>
        <w:t xml:space="preserve"> </w:t>
      </w:r>
      <w:r>
        <w:t>Groth</w:t>
      </w:r>
      <w:r>
        <w:t> </w:t>
      </w:r>
      <w:r>
        <w:t>factors</w:t>
      </w:r>
      <w:r>
        <w:t> </w:t>
      </w:r>
      <w:r>
        <w:t>in</w:t>
      </w:r>
      <w:r>
        <w:t> </w:t>
      </w:r>
      <w:r>
        <w:t>tumor</w:t>
      </w:r>
      <w:r>
        <w:t> </w:t>
      </w:r>
      <w:r>
        <w:t xml:space="preserve">microenvironment.</w:t>
      </w:r>
      <w:r>
        <w:t xml:space="preserve"> </w:t>
      </w:r>
      <w:r>
        <w:t>Front</w:t>
      </w:r>
      <w:r>
        <w:rPr>
          <w:rFonts w:ascii="Times New Roman"/>
        </w:rPr>
        <w:t xml:space="preserve">Biosci, 2010, 15: 151-165.</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 xml:space="preserve">陈军,</w:t>
      </w:r>
      <w:r>
        <w:rPr>
          <w:rFonts w:ascii="宋体" w:eastAsia="宋体" w:hint="eastAsia"/>
        </w:rPr>
        <w:t xml:space="preserve"> </w:t>
      </w:r>
      <w:r>
        <w:rPr>
          <w:rFonts w:ascii="宋体" w:eastAsia="宋体" w:hint="eastAsia"/>
        </w:rPr>
        <w:t>王纳.</w:t>
      </w:r>
      <w:r>
        <w:rPr>
          <w:rFonts w:ascii="宋体" w:eastAsia="宋体" w:hint="eastAsia"/>
        </w:rPr>
        <w:t xml:space="preserve"> </w:t>
      </w:r>
      <w:r>
        <w:rPr>
          <w:rFonts w:ascii="宋体" w:eastAsia="宋体" w:hint="eastAsia"/>
        </w:rPr>
        <w:t>抗肿瘤药物作用的重要靶点-</w:t>
      </w:r>
      <w:r>
        <w:rPr>
          <w:rFonts w:ascii="宋体" w:eastAsia="宋体" w:hint="eastAsia"/>
        </w:rPr>
        <w:t>DNA</w:t>
      </w:r>
      <w:r w:rsidR="001852F3">
        <w:rPr>
          <w:rFonts w:ascii="宋体" w:eastAsia="宋体" w:hint="eastAsia"/>
        </w:rPr>
        <w:t xml:space="preserve">拓扑异构酶.</w:t>
      </w:r>
      <w:r w:rsidR="001852F3">
        <w:rPr>
          <w:rFonts w:ascii="宋体" w:eastAsia="宋体" w:hint="eastAsia"/>
        </w:rPr>
        <w:t xml:space="preserve"> </w:t>
      </w:r>
      <w:r w:rsidR="001852F3">
        <w:rPr>
          <w:rFonts w:ascii="宋体" w:eastAsia="宋体" w:hint="eastAsia"/>
        </w:rPr>
        <w:t>国外医学</w:t>
      </w:r>
      <w:r>
        <w:rPr>
          <w:rFonts w:ascii="宋体" w:eastAsia="宋体" w:hint="eastAsia"/>
        </w:rPr>
        <w:t>肿瘤分册</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 </w:t>
      </w:r>
      <w:r>
        <w:rPr>
          <w:rFonts w:ascii="宋体" w:eastAsia="宋体" w:hint="eastAsia"/>
        </w:rPr>
        <w:t xml:space="preserve">1995,</w:t>
      </w:r>
      <w:r>
        <w:rPr>
          <w:rFonts w:ascii="宋体" w:eastAsia="宋体" w:hint="eastAsia"/>
        </w:rPr>
        <w:t xml:space="preserve"> </w:t>
      </w:r>
      <w:r>
        <w:rPr>
          <w:rFonts w:ascii="宋体" w:eastAsia="宋体" w:hint="eastAsia"/>
        </w:rPr>
        <w:t>10,</w:t>
      </w:r>
      <w:r>
        <w:rPr>
          <w:rFonts w:ascii="宋体" w:eastAsia="宋体" w:hint="eastAsia"/>
        </w:rPr>
        <w:t xml:space="preserve"> </w:t>
      </w:r>
      <w:r>
        <w:rPr>
          <w:rFonts w:ascii="宋体" w:eastAsia="宋体" w:hint="eastAsia"/>
        </w:rPr>
        <w:t>22</w:t>
      </w:r>
      <w:r>
        <w:rPr>
          <w:rFonts w:ascii="宋体" w:eastAsia="宋体" w:hint="eastAsia"/>
        </w:rPr>
        <w:t>(</w:t>
      </w:r>
      <w:r>
        <w:rPr>
          <w:rFonts w:ascii="宋体" w:eastAsia="宋体" w:hint="eastAsia"/>
        </w:rPr>
        <w:t>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271-273.</w:t>
      </w:r>
    </w:p>
    <w:p w:rsidR="0018722C">
      <w:pPr>
        <w:pStyle w:val="ab"/>
        <w:topLinePunct/>
        <w:ind w:left="200" w:hangingChars="200" w:hanging="200"/>
      </w:pPr>
      <w:r>
        <w:t>[</w:t>
      </w:r>
      <w:r>
        <w:t xml:space="preserve">20</w:t>
      </w:r>
      <w:r>
        <w:t>]</w:t>
      </w:r>
      <w:r w:rsidRPr="00281126">
        <w:t xml:space="preserve"> </w:t>
      </w:r>
      <w:r/>
      <w:r>
        <w:t xml:space="preserve">Yabuki-N,</w:t>
      </w:r>
      <w:r w:rsidR="001852F3">
        <w:t xml:space="preserve"> </w:t>
      </w:r>
      <w:r w:rsidR="001852F3">
        <w:t xml:space="preserve">Sasane</w:t>
      </w:r>
      <w:r>
        <w:t xml:space="preserve">H,</w:t>
      </w:r>
      <w:r w:rsidR="001852F3">
        <w:t xml:space="preserve"> </w:t>
      </w:r>
      <w:r w:rsidR="001852F3">
        <w:t xml:space="preserve">Kate</w:t>
      </w:r>
      <w:r>
        <w:t xml:space="preserve">K,</w:t>
      </w:r>
      <w:r w:rsidR="001852F3">
        <w:t xml:space="preserve"> </w:t>
      </w:r>
      <w:r w:rsidR="001852F3">
        <w:t xml:space="preserve">et</w:t>
      </w:r>
      <w:r>
        <w:t xml:space="preserve">al.</w:t>
      </w:r>
      <w:r w:rsidR="001852F3">
        <w:t xml:space="preserve"> </w:t>
      </w:r>
      <w:r w:rsidR="001852F3">
        <w:t xml:space="preserve">Immunohistochemical</w:t>
      </w:r>
      <w:r>
        <w:t>study</w:t>
      </w:r>
      <w:r>
        <w:t>of</w:t>
      </w:r>
      <w:r>
        <w:t>DNA topoisomerase II in</w:t>
      </w:r>
      <w:r w:rsidR="001852F3">
        <w:t xml:space="preserve"> human</w:t>
      </w:r>
      <w:r w:rsidR="001852F3">
        <w:t xml:space="preserve"> gastric disorders</w:t>
      </w:r>
      <w:r>
        <w:t>[</w:t>
      </w:r>
      <w:r>
        <w:t>J</w:t>
      </w:r>
      <w:r>
        <w:t>]</w:t>
      </w:r>
      <w:r>
        <w:t xml:space="preserve">.</w:t>
      </w:r>
      <w:r>
        <w:t xml:space="preserve"> </w:t>
      </w:r>
      <w:r>
        <w:t>Am</w:t>
      </w:r>
      <w:r w:rsidR="001852F3">
        <w:t xml:space="preserve"> J</w:t>
      </w:r>
      <w:r>
        <w:t> </w:t>
      </w:r>
      <w:r>
        <w:t xml:space="preserve">Pathol,</w:t>
      </w:r>
      <w:r>
        <w:t xml:space="preserve"> </w:t>
      </w:r>
      <w:r>
        <w:t>1996,</w:t>
      </w:r>
      <w:r>
        <w:t xml:space="preserve"> </w:t>
      </w:r>
      <w:r>
        <w:t>149</w:t>
      </w:r>
      <w:r>
        <w:t>(</w:t>
      </w:r>
      <w:r>
        <w:t>3</w:t>
      </w:r>
      <w:r>
        <w:t>)</w:t>
      </w:r>
      <w:r>
        <w:t xml:space="preserve">:</w:t>
      </w:r>
      <w:r>
        <w:t xml:space="preserve"> </w:t>
      </w:r>
      <w:r>
        <w:t>997-1007.</w:t>
      </w:r>
    </w:p>
    <w:p w:rsidR="0018722C">
      <w:pPr>
        <w:pStyle w:val="ab"/>
        <w:topLinePunct/>
        <w:ind w:left="200" w:hangingChars="200" w:hanging="200"/>
      </w:pPr>
      <w:r>
        <w:t>[</w:t>
      </w:r>
      <w:r>
        <w:t xml:space="preserve">21</w:t>
      </w:r>
      <w:r>
        <w:t>]</w:t>
      </w:r>
      <w:r w:rsidRPr="00281126">
        <w:t xml:space="preserve"> </w:t>
      </w:r>
      <w:r/>
      <w:r>
        <w:t>Willman</w:t>
      </w:r>
      <w:r w:rsidR="001852F3">
        <w:t xml:space="preserve"> </w:t>
      </w:r>
      <w:r>
        <w:t>JH</w:t>
      </w:r>
      <w:r>
        <w:rPr>
          <w:rFonts w:ascii="宋体" w:eastAsia="宋体" w:hint="eastAsia"/>
          <w:rFonts w:ascii="宋体" w:eastAsia="宋体" w:hint="eastAsia"/>
          <w:sz w:val="28"/>
        </w:rPr>
        <w:t xml:space="preserve">, </w:t>
      </w:r>
      <w:r>
        <w:t>Holden</w:t>
      </w:r>
      <w:r w:rsidR="001852F3">
        <w:t xml:space="preserve"> JA</w:t>
      </w:r>
      <w:r>
        <w:rPr>
          <w:rFonts w:ascii="宋体" w:eastAsia="宋体" w:hint="eastAsia"/>
        </w:rPr>
        <w:t xml:space="preserve">．</w:t>
      </w:r>
      <w:r>
        <w:rPr>
          <w:rFonts w:ascii="宋体" w:eastAsia="宋体" w:hint="eastAsia"/>
        </w:rPr>
        <w:t xml:space="preserve"> </w:t>
      </w:r>
      <w:r>
        <w:t>Immunohistochemical</w:t>
      </w:r>
      <w:r w:rsidR="001852F3">
        <w:t xml:space="preserve"> staining</w:t>
      </w:r>
      <w:r w:rsidR="001852F3">
        <w:t xml:space="preserve"> for</w:t>
      </w:r>
      <w:r>
        <w:t> </w:t>
      </w:r>
      <w:r>
        <w:t>DNA</w:t>
      </w:r>
      <w:r>
        <w:rPr>
          <w:rFonts w:ascii="Times New Roman" w:eastAsia="Times New Roman"/>
        </w:rPr>
        <w:t>T</w:t>
      </w:r>
      <w:r>
        <w:rPr>
          <w:rFonts w:ascii="Times New Roman" w:eastAsia="Times New Roman"/>
        </w:rPr>
        <w:t>o</w:t>
      </w:r>
      <w:r>
        <w:rPr>
          <w:rFonts w:ascii="Times New Roman" w:eastAsia="Times New Roman"/>
        </w:rPr>
        <w:t>p</w:t>
      </w:r>
      <w:r>
        <w:rPr>
          <w:rFonts w:ascii="Times New Roman" w:eastAsia="Times New Roman"/>
        </w:rPr>
        <w:t>o</w:t>
      </w:r>
      <w:r>
        <w:rPr>
          <w:rFonts w:ascii="Times New Roman" w:eastAsia="Times New Roman"/>
        </w:rPr>
        <w:t>i</w:t>
      </w:r>
      <w:r>
        <w:rPr>
          <w:rFonts w:ascii="Times New Roman" w:eastAsia="Times New Roman"/>
        </w:rPr>
        <w:t>s</w:t>
      </w:r>
      <w:r>
        <w:rPr>
          <w:rFonts w:ascii="Times New Roman" w:eastAsia="Times New Roman"/>
        </w:rPr>
        <w:t>o</w:t>
      </w:r>
      <w:r>
        <w:rPr>
          <w:rFonts w:ascii="Times New Roman" w:eastAsia="Times New Roman"/>
        </w:rPr>
        <w:t>m</w:t>
      </w:r>
      <w:r>
        <w:rPr>
          <w:rFonts w:ascii="Times New Roman" w:eastAsia="Times New Roman"/>
        </w:rPr>
        <w:t>era</w:t>
      </w:r>
      <w:r>
        <w:rPr>
          <w:rFonts w:ascii="Times New Roman" w:eastAsia="Times New Roman"/>
        </w:rPr>
        <w:t>s</w:t>
      </w:r>
      <w:r>
        <w:rPr>
          <w:rFonts w:ascii="Times New Roman" w:eastAsia="Times New Roman"/>
        </w:rPr>
        <w:t>e</w:t>
      </w:r>
      <w:r>
        <w:rPr>
          <w:rFonts w:ascii="Times New Roman" w:eastAsia="Times New Roman"/>
        </w:rPr>
        <w:t> </w:t>
      </w:r>
      <w:r>
        <w:rPr>
          <w:rFonts w:ascii="Times New Roman" w:eastAsia="Times New Roman"/>
        </w:rPr>
        <w:t>II-a</w:t>
      </w:r>
      <w:r>
        <w:rPr>
          <w:rFonts w:ascii="Times New Roman" w:eastAsia="Times New Roman"/>
        </w:rPr>
        <w:t>lp</w:t>
      </w:r>
      <w:r>
        <w:rPr>
          <w:rFonts w:ascii="Times New Roman" w:eastAsia="Times New Roman"/>
        </w:rPr>
        <w:t>ha</w:t>
      </w:r>
      <w:r>
        <w:rPr>
          <w:rFonts w:ascii="Times New Roman" w:eastAsia="Times New Roman"/>
        </w:rPr>
        <w:t> </w:t>
      </w:r>
      <w:r>
        <w:rPr>
          <w:rFonts w:ascii="Times New Roman" w:eastAsia="Times New Roman"/>
        </w:rPr>
        <w:t>i</w:t>
      </w:r>
      <w:r>
        <w:rPr>
          <w:rFonts w:ascii="Times New Roman" w:eastAsia="Times New Roman"/>
        </w:rPr>
        <w:t>n</w:t>
      </w:r>
      <w:r>
        <w:rPr>
          <w:rFonts w:ascii="Times New Roman" w:eastAsia="Times New Roman"/>
        </w:rPr>
        <w:t> </w:t>
      </w:r>
      <w:r>
        <w:rPr>
          <w:rFonts w:ascii="Times New Roman" w:eastAsia="Times New Roman"/>
        </w:rPr>
        <w:t>b</w:t>
      </w:r>
      <w:r>
        <w:rPr>
          <w:rFonts w:ascii="Times New Roman" w:eastAsia="Times New Roman"/>
        </w:rPr>
        <w:t>e</w:t>
      </w:r>
      <w:r>
        <w:rPr>
          <w:rFonts w:ascii="Times New Roman" w:eastAsia="Times New Roman"/>
        </w:rPr>
        <w:t>ni</w:t>
      </w:r>
      <w:r>
        <w:rPr>
          <w:rFonts w:ascii="Times New Roman" w:eastAsia="Times New Roman"/>
        </w:rPr>
        <w:t>g</w:t>
      </w:r>
      <w:r>
        <w:rPr>
          <w:rFonts w:ascii="Times New Roman" w:eastAsia="Times New Roman"/>
        </w:rPr>
        <w:t>n</w:t>
      </w:r>
      <w:r>
        <w:rPr>
          <w:spacing w:val="-66"/>
          <w:w w:val="100"/>
        </w:rPr>
        <w:t xml:space="preserve">, </w:t>
      </w:r>
      <w:r>
        <w:rPr>
          <w:rFonts w:ascii="Times New Roman" w:eastAsia="Times New Roman"/>
        </w:rPr>
        <w:t>p</w:t>
      </w:r>
      <w:r>
        <w:rPr>
          <w:rFonts w:ascii="Times New Roman" w:eastAsia="Times New Roman"/>
        </w:rPr>
        <w:t>re</w:t>
      </w:r>
      <w:r>
        <w:rPr>
          <w:rFonts w:ascii="Times New Roman" w:eastAsia="Times New Roman"/>
        </w:rPr>
        <w:t>m</w:t>
      </w:r>
      <w:r>
        <w:rPr>
          <w:rFonts w:ascii="Times New Roman" w:eastAsia="Times New Roman"/>
        </w:rPr>
        <w:t>alig</w:t>
      </w:r>
      <w:r>
        <w:rPr>
          <w:rFonts w:ascii="Times New Roman" w:eastAsia="Times New Roman"/>
        </w:rPr>
        <w:t>n</w:t>
      </w:r>
      <w:r>
        <w:rPr>
          <w:rFonts w:ascii="Times New Roman" w:eastAsia="Times New Roman"/>
        </w:rPr>
        <w:t>a</w:t>
      </w:r>
      <w:r>
        <w:rPr>
          <w:rFonts w:ascii="Times New Roman" w:eastAsia="Times New Roman"/>
        </w:rPr>
        <w:t>n</w:t>
      </w:r>
      <w:r>
        <w:rPr>
          <w:rFonts w:ascii="Times New Roman" w:eastAsia="Times New Roman"/>
        </w:rPr>
        <w:t>t</w:t>
      </w:r>
      <w:r>
        <w:rPr>
          <w:spacing w:val="-68"/>
          <w:w w:val="100"/>
        </w:rPr>
        <w:t xml:space="preserve">, </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 </w:t>
      </w:r>
      <w:r>
        <w:rPr>
          <w:rFonts w:ascii="Times New Roman" w:eastAsia="Times New Roman"/>
        </w:rPr>
        <w:t>m</w:t>
      </w:r>
      <w:r>
        <w:rPr>
          <w:rFonts w:ascii="Times New Roman" w:eastAsia="Times New Roman"/>
        </w:rPr>
        <w:t>ali</w:t>
      </w:r>
      <w:r>
        <w:rPr>
          <w:rFonts w:ascii="Times New Roman" w:eastAsia="Times New Roman"/>
        </w:rPr>
        <w:t>g</w:t>
      </w:r>
      <w:r>
        <w:rPr>
          <w:rFonts w:ascii="Times New Roman" w:eastAsia="Times New Roman"/>
        </w:rPr>
        <w:t>n</w:t>
      </w:r>
      <w:r>
        <w:rPr>
          <w:rFonts w:ascii="Times New Roman" w:eastAsia="Times New Roman"/>
        </w:rPr>
        <w:t>a</w:t>
      </w:r>
      <w:r>
        <w:rPr>
          <w:rFonts w:ascii="Times New Roman" w:eastAsia="Times New Roman"/>
        </w:rPr>
        <w:t>nt</w:t>
      </w:r>
      <w:r>
        <w:rPr>
          <w:rFonts w:ascii="Times New Roman" w:eastAsia="Times New Roman"/>
        </w:rPr>
        <w:t> </w:t>
      </w:r>
      <w:r>
        <w:rPr>
          <w:rFonts w:ascii="Times New Roman" w:eastAsia="Times New Roman"/>
        </w:rPr>
        <w:t>l</w:t>
      </w:r>
      <w:r>
        <w:rPr>
          <w:rFonts w:ascii="Times New Roman" w:eastAsia="Times New Roman"/>
        </w:rPr>
        <w:t>e</w:t>
      </w:r>
      <w:r>
        <w:rPr>
          <w:rFonts w:ascii="Times New Roman" w:eastAsia="Times New Roman"/>
        </w:rPr>
        <w:t>s</w:t>
      </w:r>
      <w:r>
        <w:rPr>
          <w:rFonts w:ascii="Times New Roman" w:eastAsia="Times New Roman"/>
        </w:rPr>
        <w:t>i</w:t>
      </w:r>
      <w:r>
        <w:rPr>
          <w:rFonts w:ascii="Times New Roman" w:eastAsia="Times New Roman"/>
        </w:rPr>
        <w:t>o</w:t>
      </w:r>
      <w:r>
        <w:rPr>
          <w:rFonts w:ascii="Times New Roman" w:eastAsia="Times New Roman"/>
        </w:rPr>
        <w:t>n</w:t>
      </w:r>
      <w:r>
        <w:rPr>
          <w:rFonts w:ascii="Times New Roman" w:eastAsia="Times New Roman"/>
        </w:rPr>
        <w:t>s</w:t>
      </w:r>
      <w:r>
        <w:rPr>
          <w:rFonts w:ascii="Times New Roman" w:eastAsia="Times New Roman"/>
        </w:rPr>
        <w:t> </w:t>
      </w:r>
      <w:r>
        <w:rPr>
          <w:rFonts w:ascii="Times New Roman" w:eastAsia="Times New Roman"/>
        </w:rPr>
        <w:t>o</w:t>
      </w:r>
      <w:r>
        <w:rPr>
          <w:rFonts w:ascii="Times New Roman" w:eastAsia="Times New Roman"/>
        </w:rPr>
        <w:t>f </w:t>
      </w:r>
      <w:r>
        <w:rPr>
          <w:rFonts w:ascii="Times New Roman" w:eastAsia="Times New Roman"/>
        </w:rPr>
        <w:t>the prostate</w:t>
      </w:r>
      <w:r>
        <w:t xml:space="preserve">．</w:t>
      </w:r>
      <w:r>
        <w:t xml:space="preserve"> </w:t>
      </w:r>
      <w:r>
        <w:rPr>
          <w:rFonts w:ascii="Times New Roman" w:eastAsia="Times New Roman"/>
        </w:rPr>
        <w:t>Prostate</w:t>
      </w:r>
      <w:r>
        <w:t xml:space="preserve">, </w:t>
      </w:r>
      <w:r>
        <w:rPr>
          <w:rFonts w:ascii="Times New Roman" w:eastAsia="Times New Roman"/>
        </w:rPr>
        <w:t>2000</w:t>
      </w:r>
      <w:r>
        <w:t xml:space="preserve">, </w:t>
      </w:r>
      <w:r>
        <w:rPr>
          <w:rFonts w:ascii="Times New Roman" w:eastAsia="Times New Roman"/>
        </w:rPr>
        <w:t>42</w:t>
      </w:r>
      <w:r>
        <w:rPr>
          <w:rFonts w:ascii="Times New Roman" w:eastAsia="Times New Roman"/>
        </w:rPr>
        <w:t>(</w:t>
      </w:r>
      <w:r>
        <w:rPr>
          <w:rFonts w:ascii="Times New Roman" w:eastAsia="Times New Roman"/>
        </w:rPr>
        <w:t xml:space="preserve"> 4</w:t>
      </w:r>
      <w:r>
        <w:rPr>
          <w:rFonts w:ascii="Times New Roman" w:eastAsia="Times New Roman"/>
        </w:rPr>
        <w:t>)</w:t>
      </w:r>
      <w:r>
        <w:rPr>
          <w:rFonts w:ascii="Times New Roman" w:eastAsia="Times New Roman"/>
        </w:rPr>
        <w:t xml:space="preserve"> : 280-286</w:t>
      </w:r>
      <w:r>
        <w:t>．</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t>S</w:t>
      </w:r>
      <w:r>
        <w:t>t</w:t>
      </w:r>
      <w:r>
        <w:t>a</w:t>
      </w:r>
      <w:r>
        <w:t>t</w:t>
      </w:r>
      <w:r>
        <w:t>h</w:t>
      </w:r>
      <w:r>
        <w:t>op</w:t>
      </w:r>
      <w:r>
        <w:t>o</w:t>
      </w:r>
      <w:r>
        <w:t>ul</w:t>
      </w:r>
      <w:r>
        <w:t>o</w:t>
      </w:r>
      <w:r>
        <w:t>s</w:t>
      </w:r>
      <w:r>
        <w:t> </w:t>
      </w:r>
      <w:r>
        <w:t>G</w:t>
      </w:r>
      <w:r>
        <w:t> </w:t>
      </w:r>
      <w:r>
        <w:t>P</w:t>
      </w:r>
      <w:r>
        <w:rPr>
          <w:rFonts w:ascii="宋体" w:eastAsia="宋体" w:hint="eastAsia"/>
          <w:rFonts w:ascii="宋体" w:eastAsia="宋体" w:hint="eastAsia"/>
          <w:spacing w:val="-70"/>
          <w:w w:val="100"/>
          <w:sz w:val="28"/>
        </w:rPr>
        <w:t xml:space="preserve">, </w:t>
      </w:r>
      <w:r>
        <w:t>K</w:t>
      </w:r>
      <w:r>
        <w:t>a</w:t>
      </w:r>
      <w:r>
        <w:t>p</w:t>
      </w:r>
      <w:r>
        <w:t>r</w:t>
      </w:r>
      <w:r>
        <w:t>a</w:t>
      </w:r>
      <w:r>
        <w:t>n</w:t>
      </w:r>
      <w:r>
        <w:t>o</w:t>
      </w:r>
      <w:r>
        <w:t>s</w:t>
      </w:r>
      <w:r>
        <w:t> </w:t>
      </w:r>
      <w:r>
        <w:t>N</w:t>
      </w:r>
      <w:r>
        <w:rPr>
          <w:rFonts w:ascii="宋体" w:eastAsia="宋体" w:hint="eastAsia"/>
          <w:rFonts w:ascii="宋体" w:eastAsia="宋体" w:hint="eastAsia"/>
          <w:spacing w:val="-71"/>
          <w:w w:val="100"/>
          <w:sz w:val="28"/>
        </w:rPr>
        <w:t xml:space="preserve">, </w:t>
      </w:r>
      <w:r>
        <w:t>Ma</w:t>
      </w:r>
      <w:r>
        <w:t>no</w:t>
      </w:r>
      <w:r>
        <w:t>l</w:t>
      </w:r>
      <w:r>
        <w:t>op</w:t>
      </w:r>
      <w:r>
        <w:t>o</w:t>
      </w:r>
      <w:r>
        <w:t>u</w:t>
      </w:r>
      <w:r>
        <w:t>l</w:t>
      </w:r>
      <w:r>
        <w:t>o</w:t>
      </w:r>
      <w:r>
        <w:t>s</w:t>
      </w:r>
      <w:r>
        <w:t> </w:t>
      </w:r>
      <w:r>
        <w:t>L</w:t>
      </w:r>
      <w:r>
        <w:rPr>
          <w:rFonts w:ascii="宋体" w:eastAsia="宋体" w:hint="eastAsia"/>
          <w:rFonts w:ascii="宋体" w:eastAsia="宋体" w:hint="eastAsia"/>
          <w:spacing w:val="-70"/>
          <w:w w:val="100"/>
          <w:sz w:val="28"/>
        </w:rPr>
        <w:t xml:space="preserve">, </w:t>
      </w:r>
      <w:r>
        <w:t>e</w:t>
      </w:r>
      <w:r>
        <w:t>t</w:t>
      </w:r>
      <w:r>
        <w:t> </w:t>
      </w:r>
      <w:r>
        <w:t>a</w:t>
      </w:r>
      <w:r>
        <w:t>l</w:t>
      </w:r>
      <w:r>
        <w:rPr>
          <w:rFonts w:ascii="宋体" w:eastAsia="宋体" w:hint="eastAsia"/>
        </w:rPr>
        <w:t xml:space="preserve">．</w:t>
      </w:r>
      <w:r>
        <w:rPr>
          <w:rFonts w:ascii="宋体" w:eastAsia="宋体" w:hint="eastAsia"/>
        </w:rPr>
        <w:t xml:space="preserve"> </w:t>
      </w:r>
      <w:r>
        <w:t>T</w:t>
      </w:r>
      <w:r>
        <w:t>o</w:t>
      </w:r>
      <w:r>
        <w:t>p</w:t>
      </w:r>
      <w:r>
        <w:t>oi</w:t>
      </w:r>
      <w:r>
        <w:t>s</w:t>
      </w:r>
      <w:r>
        <w:t>o</w:t>
      </w:r>
      <w:r>
        <w:t>m</w:t>
      </w:r>
      <w:r>
        <w:t>era</w:t>
      </w:r>
      <w:r>
        <w:t>s</w:t>
      </w:r>
      <w:r>
        <w:t>eII </w:t>
      </w:r>
      <w:r>
        <w:t>alpha expression</w:t>
      </w:r>
      <w:r w:rsidR="001852F3">
        <w:t xml:space="preserve"> in</w:t>
      </w:r>
      <w:r w:rsidR="001852F3">
        <w:t xml:space="preserve"> squamous</w:t>
      </w:r>
      <w:r w:rsidR="001852F3">
        <w:t xml:space="preserve"> cell</w:t>
      </w:r>
      <w:r w:rsidR="001852F3">
        <w:t xml:space="preserve"> carcinomas</w:t>
      </w:r>
      <w:r w:rsidR="001852F3">
        <w:t xml:space="preserve"> of</w:t>
      </w:r>
      <w:r w:rsidR="001852F3">
        <w:t xml:space="preserve"> the</w:t>
      </w:r>
      <w:r w:rsidR="001852F3">
        <w:t xml:space="preserve"> head</w:t>
      </w:r>
      <w:r w:rsidR="001852F3">
        <w:t xml:space="preserve"> and neck</w:t>
      </w:r>
      <w:r>
        <w:rPr>
          <w:rFonts w:ascii="宋体" w:eastAsia="宋体" w:hint="eastAsia"/>
        </w:rPr>
        <w:t xml:space="preserve">．</w:t>
      </w:r>
      <w:r>
        <w:rPr>
          <w:rFonts w:ascii="宋体" w:eastAsia="宋体" w:hint="eastAsia"/>
        </w:rPr>
        <w:t xml:space="preserve"> </w:t>
      </w:r>
      <w:r>
        <w:t>Anticancer Res</w:t>
      </w:r>
      <w:r>
        <w:rPr>
          <w:rFonts w:ascii="宋体" w:eastAsia="宋体" w:hint="eastAsia"/>
          <w:rFonts w:ascii="宋体" w:eastAsia="宋体" w:hint="eastAsia"/>
          <w:sz w:val="28"/>
        </w:rPr>
        <w:t xml:space="preserve">, </w:t>
      </w:r>
      <w:r>
        <w:t>2000</w:t>
      </w:r>
      <w:r>
        <w:rPr>
          <w:rFonts w:ascii="宋体" w:eastAsia="宋体" w:hint="eastAsia"/>
          <w:rFonts w:ascii="宋体" w:eastAsia="宋体" w:hint="eastAsia"/>
          <w:sz w:val="28"/>
        </w:rPr>
        <w:t>,</w:t>
      </w:r>
      <w:r>
        <w:rPr>
          <w:rFonts w:ascii="宋体" w:eastAsia="宋体" w:hint="eastAsia"/>
        </w:rPr>
        <w:t> </w:t>
      </w:r>
      <w:r>
        <w:t>20:</w:t>
      </w:r>
      <w:r>
        <w:t> </w:t>
      </w:r>
      <w:r>
        <w:t>177-182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 xml:space="preserve">欧希龙,</w:t>
      </w:r>
      <w:r>
        <w:rPr>
          <w:rFonts w:ascii="宋体" w:eastAsia="宋体" w:hint="eastAsia"/>
        </w:rPr>
        <w:t xml:space="preserve"> </w:t>
      </w:r>
      <w:r>
        <w:rPr>
          <w:rFonts w:ascii="宋体" w:eastAsia="宋体" w:hint="eastAsia"/>
        </w:rPr>
        <w:t>胥名,</w:t>
      </w:r>
      <w:r>
        <w:rPr>
          <w:rFonts w:ascii="宋体" w:eastAsia="宋体" w:hint="eastAsia"/>
        </w:rPr>
        <w:t xml:space="preserve"> </w:t>
      </w:r>
      <w:r>
        <w:rPr>
          <w:rFonts w:ascii="宋体" w:eastAsia="宋体" w:hint="eastAsia"/>
        </w:rPr>
        <w:t>刘顺英.</w:t>
      </w:r>
      <w:r w:rsidR="001852F3">
        <w:rPr>
          <w:rFonts w:ascii="宋体" w:eastAsia="宋体" w:hint="eastAsia"/>
        </w:rPr>
        <w:t xml:space="preserve"> </w:t>
      </w:r>
      <w:r w:rsidR="001852F3">
        <w:rPr>
          <w:rFonts w:ascii="宋体" w:eastAsia="宋体" w:hint="eastAsia"/>
        </w:rPr>
        <w:t xml:space="preserve">T</w:t>
      </w:r>
      <w:r>
        <w:rPr>
          <w:rFonts w:ascii="宋体" w:eastAsia="宋体" w:hint="eastAsia"/>
        </w:rPr>
        <w:t> </w:t>
      </w:r>
      <w:r>
        <w:rPr>
          <w:rFonts w:ascii="宋体" w:eastAsia="宋体" w:hint="eastAsia"/>
        </w:rPr>
        <w:t>opoisomeraseII-a</w:t>
      </w:r>
      <w:r w:rsidR="001852F3">
        <w:rPr>
          <w:rFonts w:ascii="宋体" w:eastAsia="宋体" w:hint="eastAsia"/>
        </w:rPr>
        <w:t xml:space="preserve">在大肠癌中的表达和临</w:t>
      </w:r>
      <w:r>
        <w:t xml:space="preserve">床意义. 中国肿瘤临床与康复</w:t>
      </w:r>
      <w:r>
        <w:t>[</w:t>
      </w:r>
      <w:r>
        <w:t>J</w:t>
      </w:r>
      <w:r>
        <w:t>]</w:t>
      </w:r>
      <w:r>
        <w:t xml:space="preserve">.</w:t>
      </w:r>
      <w:r>
        <w:t xml:space="preserve"> </w:t>
      </w:r>
      <w:r>
        <w:t>2002,</w:t>
      </w:r>
      <w:r>
        <w:t xml:space="preserve"> </w:t>
      </w:r>
      <w:r>
        <w:t>9</w:t>
      </w:r>
      <w:r>
        <w:t>(</w:t>
      </w:r>
      <w:r>
        <w:t>6</w:t>
      </w:r>
      <w:r>
        <w:t>)</w:t>
      </w:r>
      <w:r>
        <w:t xml:space="preserve">:</w:t>
      </w:r>
      <w:r>
        <w:t xml:space="preserve"> </w:t>
      </w:r>
      <w:r>
        <w:t>14-15.</w:t>
      </w:r>
    </w:p>
    <w:p w:rsidR="0018722C">
      <w:pPr>
        <w:pStyle w:val="ab"/>
        <w:topLinePunct/>
        <w:ind w:left="200" w:hangingChars="200" w:hanging="200"/>
      </w:pPr>
      <w:r>
        <w:t>[</w:t>
      </w:r>
      <w:r>
        <w:t xml:space="preserve">24</w:t>
      </w:r>
      <w:r>
        <w:t>]</w:t>
      </w:r>
      <w:r w:rsidRPr="00281126">
        <w:t xml:space="preserve"> </w:t>
      </w:r>
      <w:r/>
      <w:r>
        <w:t>Ogata DC, Marcondes </w:t>
      </w:r>
      <w:r>
        <w:t>CA,</w:t>
      </w:r>
      <w:r w:rsidR="001852F3">
        <w:t xml:space="preserve"> </w:t>
      </w:r>
      <w:r w:rsidR="001852F3">
        <w:t xml:space="preserve">Tuon </w:t>
      </w:r>
      <w:r>
        <w:t>FF,</w:t>
      </w:r>
      <w:r w:rsidR="001852F3">
        <w:t xml:space="preserve"> </w:t>
      </w:r>
      <w:r w:rsidR="001852F3">
        <w:t xml:space="preserve">et </w:t>
      </w:r>
      <w:r>
        <w:t xml:space="preserve">al.</w:t>
      </w:r>
      <w:r>
        <w:t xml:space="preserve"> </w:t>
      </w:r>
      <w:r>
        <w:t xml:space="preserve">Sperfical papillary urothelial neoplasmas</w:t>
      </w:r>
      <w:r>
        <w:t> </w:t>
      </w:r>
      <w:r>
        <w:t>of</w:t>
      </w:r>
      <w:r>
        <w:t> </w:t>
      </w:r>
      <w:r>
        <w:t>the</w:t>
      </w:r>
      <w:r>
        <w:t> </w:t>
      </w:r>
      <w:r>
        <w:t>bladder</w:t>
      </w:r>
      <w:r>
        <w:t>(</w:t>
      </w:r>
      <w:r>
        <w:t xml:space="preserve">PTA</w:t>
      </w:r>
      <w:r>
        <w:t> </w:t>
      </w:r>
      <w:r>
        <w:t>E</w:t>
      </w:r>
      <w:r>
        <w:t> </w:t>
      </w:r>
      <w:r>
        <w:t>PT1</w:t>
      </w:r>
      <w:r>
        <w:t>)</w:t>
      </w:r>
      <w:r>
        <w:t xml:space="preserve">:</w:t>
      </w:r>
      <w:r>
        <w:t xml:space="preserve"> </w:t>
      </w:r>
      <w:r>
        <w:t>correlation</w:t>
      </w:r>
      <w:r>
        <w:t> </w:t>
      </w:r>
      <w:r>
        <w:t>of</w:t>
      </w:r>
      <w:r>
        <w:t> </w:t>
      </w:r>
      <w:r>
        <w:t>expression</w:t>
      </w:r>
      <w:r>
        <w:t> </w:t>
      </w:r>
      <w:r>
        <w:t>of</w:t>
      </w:r>
      <w:r>
        <w:rPr>
          <w:rFonts w:ascii="Times New Roman" w:eastAsia="Times New Roman"/>
        </w:rPr>
        <w:t xml:space="preserve">p53, ki-67</w:t>
      </w:r>
      <w:r w:rsidRPr="00000000">
        <w:t>	</w:t>
        <w:t>and</w:t>
      </w:r>
      <w:r w:rsidRPr="00000000">
        <w:t>	</w:t>
        <w:t>CK20</w:t>
      </w:r>
      <w:r w:rsidRPr="00000000">
        <w:t>	</w:t>
        <w:t>with</w:t>
      </w:r>
      <w:r w:rsidRPr="00000000">
        <w:t>	</w:t>
        <w:t>histologic</w:t>
      </w:r>
      <w:r w:rsidRPr="00000000">
        <w:t>	</w:t>
        <w:t xml:space="preserve">grade,</w:t>
      </w:r>
      <w:r>
        <w:rPr>
          <w:rFonts w:ascii="Times New Roman" w:eastAsia="Times New Roman"/>
        </w:rPr>
        <w:t xml:space="preserve"> </w:t>
      </w:r>
      <w:r>
        <w:rPr>
          <w:rFonts w:ascii="Times New Roman" w:eastAsia="Times New Roman"/>
        </w:rPr>
        <w:t>recurrence</w:t>
      </w:r>
      <w:r w:rsidRPr="00000000">
        <w:t>	</w:t>
        <w:t>and</w:t>
      </w:r>
      <w:r w:rsidRPr="00000000">
        <w:t>	</w:t>
        <w:t>tumor progression</w:t>
      </w:r>
      <w:r>
        <w:t>[</w:t>
      </w:r>
      <w:r>
        <w:rPr>
          <w:rFonts w:ascii="Times New Roman" w:eastAsia="Times New Roman"/>
        </w:rPr>
        <w:t>J</w:t>
      </w:r>
      <w: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Rev Col Bras</w:t>
      </w:r>
      <w:r>
        <w:rPr>
          <w:rFonts w:ascii="Times New Roman" w:eastAsia="Times New Roman"/>
        </w:rPr>
        <w:t> </w:t>
      </w:r>
      <w:r>
        <w:rPr>
          <w:rFonts w:ascii="Times New Roman" w:eastAsia="Times New Roman"/>
        </w:rPr>
        <w:t xml:space="preserve">Cir,</w:t>
      </w:r>
      <w:r>
        <w:rPr>
          <w:rFonts w:ascii="Times New Roman" w:eastAsia="Times New Roman"/>
        </w:rPr>
        <w:t xml:space="preserve"> </w:t>
      </w:r>
      <w:r>
        <w:rPr>
          <w:rFonts w:ascii="Times New Roman" w:eastAsia="Times New Roman"/>
        </w:rPr>
        <w:t>2012,</w:t>
      </w:r>
      <w:r>
        <w:rPr>
          <w:rFonts w:ascii="Times New Roman" w:eastAsia="Times New Roman"/>
        </w:rPr>
        <w:t xml:space="preserve"> </w:t>
      </w:r>
      <w:r>
        <w:rPr>
          <w:rFonts w:ascii="Times New Roman" w:eastAsia="Times New Roman"/>
        </w:rPr>
        <w:t>39</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394-400.</w:t>
      </w:r>
    </w:p>
    <w:p w:rsidR="0018722C">
      <w:pPr>
        <w:pStyle w:val="ab"/>
        <w:topLinePunct/>
        <w:ind w:left="200" w:hangingChars="200" w:hanging="200"/>
      </w:pPr>
      <w:r>
        <w:t>[</w:t>
      </w:r>
      <w:r>
        <w:t xml:space="preserve">25</w:t>
      </w:r>
      <w:r>
        <w:t>]</w:t>
      </w:r>
      <w:r w:rsidRPr="00281126">
        <w:t xml:space="preserve"> </w:t>
      </w:r>
      <w:r/>
      <w:r>
        <w:t>Vilar</w:t>
      </w:r>
      <w:r w:rsidR="001852F3">
        <w:t xml:space="preserve"> </w:t>
      </w:r>
      <w:r>
        <w:t xml:space="preserve">E,</w:t>
      </w:r>
      <w:r>
        <w:t xml:space="preserve"> </w:t>
      </w:r>
      <w:r>
        <w:t>Salazar</w:t>
      </w:r>
      <w:r w:rsidR="001852F3">
        <w:t xml:space="preserve"> R,</w:t>
      </w:r>
      <w:r w:rsidR="001852F3">
        <w:t xml:space="preserve"> </w:t>
      </w:r>
      <w:r w:rsidR="001852F3">
        <w:t>Perez-Garcia</w:t>
      </w:r>
      <w:r w:rsidR="001852F3">
        <w:t xml:space="preserve"> J,</w:t>
      </w:r>
      <w:r w:rsidR="001852F3">
        <w:t xml:space="preserve"> </w:t>
      </w:r>
      <w:r w:rsidR="001852F3">
        <w:t>et</w:t>
      </w:r>
      <w:r w:rsidR="001852F3">
        <w:t xml:space="preserve"> al.</w:t>
      </w:r>
      <w:r w:rsidR="001852F3">
        <w:t xml:space="preserve"> </w:t>
      </w:r>
      <w:r w:rsidR="001852F3">
        <w:t>Chemotherapy</w:t>
      </w:r>
      <w:r w:rsidR="001852F3">
        <w:t xml:space="preserve"> and</w:t>
      </w:r>
      <w:r w:rsidR="001852F3">
        <w:t xml:space="preserve"> role</w:t>
      </w:r>
      <w:r w:rsidR="001852F3">
        <w:t xml:space="preserve"> of</w:t>
      </w:r>
      <w:r>
        <w:t> </w:t>
      </w:r>
      <w:r>
        <w:t>the</w:t>
      </w:r>
    </w:p>
    <w:p w:rsidR="0018722C">
      <w:spacing w:beforeLines="0" w:before="0" w:afterLines="0" w:after="0" w:line="440" w:lineRule="auto"/>
      <w:pPr>
        <w:sectPr w:rsidR="00556256">
          <w:pgSz w:w="11910" w:h="16840"/>
          <w:pgMar w:header="1027" w:footer="995" w:top="1320" w:bottom="1180" w:left="1400" w:right="1400"/>
          <w:pgNumType w:start="1"/>
        </w:sectPr>
        <w:topLinePunct/>
      </w:pPr>
    </w:p>
    <w:p w:rsidR="0018722C">
      <w:pPr>
        <w:topLinePunct/>
      </w:pPr>
      <w:r>
        <w:rPr>
          <w:rFonts w:ascii="Times New Roman" w:eastAsia="宋体"/>
        </w:rPr>
        <w:t/>
      </w:r>
      <w:r>
        <w:rPr>
          <w:rFonts w:ascii="Times New Roman" w:eastAsia="宋体"/>
        </w:rPr>
        <w:t>P</w:t>
      </w:r>
      <w:r>
        <w:rPr>
          <w:rFonts w:ascii="Times New Roman" w:eastAsia="宋体"/>
        </w:rPr>
        <w:t>r</w:t>
      </w:r>
      <w:r>
        <w:rPr>
          <w:rFonts w:ascii="Times New Roman" w:eastAsia="宋体"/>
        </w:rPr>
        <w:t>ol</w:t>
      </w:r>
      <w:r>
        <w:rPr>
          <w:rFonts w:ascii="Times New Roman" w:eastAsia="宋体"/>
        </w:rPr>
        <w:t>ifer</w:t>
      </w:r>
      <w:r>
        <w:rPr>
          <w:rFonts w:ascii="Times New Roman" w:eastAsia="宋体"/>
        </w:rPr>
        <w:t>at</w:t>
      </w:r>
      <w:r>
        <w:rPr>
          <w:rFonts w:ascii="Times New Roman" w:eastAsia="宋体"/>
        </w:rPr>
        <w:t>i</w:t>
      </w:r>
      <w:r>
        <w:rPr>
          <w:rFonts w:ascii="Times New Roman" w:eastAsia="宋体"/>
        </w:rPr>
        <w:t>o</w:t>
      </w:r>
      <w:r>
        <w:rPr>
          <w:rFonts w:ascii="Times New Roman" w:eastAsia="宋体"/>
        </w:rPr>
        <w:t>n</w:t>
      </w:r>
      <w:r>
        <w:rPr>
          <w:rFonts w:ascii="Times New Roman" w:eastAsia="宋体"/>
        </w:rPr>
        <w:t xml:space="preserve"> </w:t>
      </w:r>
      <w:r>
        <w:rPr>
          <w:rFonts w:ascii="Times New Roman" w:eastAsia="宋体"/>
        </w:rPr>
        <w:t>m</w:t>
      </w:r>
      <w:r>
        <w:rPr>
          <w:rFonts w:ascii="Times New Roman" w:eastAsia="宋体"/>
        </w:rPr>
        <w:t>ar</w:t>
      </w:r>
      <w:r>
        <w:rPr>
          <w:rFonts w:ascii="Times New Roman" w:eastAsia="宋体"/>
        </w:rPr>
        <w:t>k</w:t>
      </w:r>
      <w:r>
        <w:rPr>
          <w:rFonts w:ascii="Times New Roman" w:eastAsia="宋体"/>
        </w:rPr>
        <w:t>er</w:t>
      </w:r>
      <w:r>
        <w:rPr>
          <w:rFonts w:ascii="Times New Roman" w:eastAsia="宋体"/>
        </w:rPr>
        <w:t xml:space="preserve"> </w:t>
      </w:r>
      <w:r>
        <w:rPr>
          <w:rFonts w:ascii="Times New Roman" w:eastAsia="宋体"/>
        </w:rPr>
        <w:t>K</w:t>
      </w:r>
      <w:r>
        <w:rPr>
          <w:rFonts w:ascii="Times New Roman" w:eastAsia="宋体"/>
        </w:rPr>
        <w:t>i</w:t>
      </w:r>
      <w:r>
        <w:rPr>
          <w:rFonts w:ascii="Times New Roman" w:eastAsia="宋体"/>
        </w:rPr>
        <w:t>-</w:t>
      </w:r>
      <w:r>
        <w:rPr>
          <w:rFonts w:ascii="Times New Roman" w:eastAsia="宋体"/>
        </w:rPr>
        <w:t>6</w:t>
      </w:r>
      <w:r>
        <w:rPr>
          <w:rFonts w:ascii="Times New Roman" w:eastAsia="宋体"/>
        </w:rPr>
        <w:t>7</w:t>
      </w:r>
      <w:r>
        <w:rPr>
          <w:rFonts w:ascii="Times New Roman" w:eastAsia="宋体"/>
        </w:rPr>
        <w:t xml:space="preserve"> </w:t>
      </w:r>
      <w:r>
        <w:rPr>
          <w:rFonts w:ascii="Times New Roman" w:eastAsia="宋体"/>
        </w:rPr>
        <w:t>i</w:t>
      </w:r>
      <w:r>
        <w:rPr>
          <w:rFonts w:ascii="Times New Roman" w:eastAsia="宋体"/>
        </w:rPr>
        <w:t>n</w:t>
      </w:r>
      <w:r>
        <w:rPr>
          <w:rFonts w:ascii="Times New Roman" w:eastAsia="宋体"/>
        </w:rPr>
        <w:t xml:space="preserve"> </w:t>
      </w:r>
      <w:r>
        <w:rPr>
          <w:rFonts w:ascii="Times New Roman" w:eastAsia="宋体"/>
        </w:rPr>
        <w:t>di</w:t>
      </w:r>
      <w:r>
        <w:rPr>
          <w:rFonts w:ascii="Times New Roman" w:eastAsia="宋体"/>
        </w:rPr>
        <w:t>g</w:t>
      </w:r>
      <w:r>
        <w:rPr>
          <w:rFonts w:ascii="Times New Roman" w:eastAsia="宋体"/>
        </w:rPr>
        <w:t>e</w:t>
      </w:r>
      <w:r>
        <w:rPr>
          <w:rFonts w:ascii="Times New Roman" w:eastAsia="宋体"/>
        </w:rPr>
        <w:t>s</w:t>
      </w:r>
      <w:r>
        <w:rPr>
          <w:rFonts w:ascii="Times New Roman" w:eastAsia="宋体"/>
        </w:rPr>
        <w:t>t</w:t>
      </w:r>
      <w:r>
        <w:rPr>
          <w:rFonts w:ascii="Times New Roman" w:eastAsia="宋体"/>
        </w:rPr>
        <w:t>ive</w:t>
      </w:r>
      <w:r>
        <w:rPr>
          <w:rFonts w:ascii="Times New Roman" w:eastAsia="宋体"/>
        </w:rPr>
        <w:t xml:space="preserve"> </w:t>
      </w:r>
      <w:r>
        <w:rPr>
          <w:rFonts w:ascii="Times New Roman" w:eastAsia="宋体"/>
        </w:rPr>
        <w:t>n</w:t>
      </w:r>
      <w:r>
        <w:rPr>
          <w:rFonts w:ascii="Times New Roman" w:eastAsia="宋体"/>
        </w:rPr>
        <w:t>e</w:t>
      </w:r>
      <w:r>
        <w:rPr>
          <w:rFonts w:ascii="Times New Roman" w:eastAsia="宋体"/>
        </w:rPr>
        <w:t>ur</w:t>
      </w:r>
      <w:r>
        <w:rPr>
          <w:rFonts w:ascii="Times New Roman" w:eastAsia="宋体"/>
        </w:rPr>
        <w:t>o</w:t>
      </w:r>
      <w:r>
        <w:rPr>
          <w:rFonts w:ascii="Times New Roman" w:eastAsia="宋体"/>
        </w:rPr>
        <w:t>e</w:t>
      </w:r>
      <w:r>
        <w:rPr>
          <w:rFonts w:ascii="Times New Roman" w:eastAsia="宋体"/>
        </w:rPr>
        <w:t>nd</w:t>
      </w:r>
      <w:r>
        <w:rPr>
          <w:rFonts w:ascii="Times New Roman" w:eastAsia="宋体"/>
        </w:rPr>
        <w:t>oc</w:t>
      </w:r>
      <w:r>
        <w:rPr>
          <w:rFonts w:ascii="Times New Roman" w:eastAsia="宋体"/>
        </w:rPr>
        <w:t>r</w:t>
      </w:r>
      <w:r>
        <w:rPr>
          <w:rFonts w:ascii="Times New Roman" w:eastAsia="宋体"/>
        </w:rPr>
        <w:t>ine</w:t>
      </w:r>
      <w:r>
        <w:rPr>
          <w:rFonts w:ascii="Times New Roman" w:eastAsia="宋体"/>
        </w:rPr>
        <w:t xml:space="preserve"> </w:t>
      </w:r>
      <w:r>
        <w:rPr>
          <w:rFonts w:ascii="Times New Roman" w:eastAsia="宋体"/>
        </w:rPr>
        <w:t>t</w:t>
      </w:r>
      <w:r>
        <w:rPr>
          <w:rFonts w:ascii="Times New Roman" w:eastAsia="宋体"/>
        </w:rPr>
        <w:t>u</w:t>
      </w:r>
      <w:r>
        <w:rPr>
          <w:rFonts w:ascii="Times New Roman" w:eastAsia="宋体"/>
        </w:rPr>
        <w:t>m</w:t>
      </w:r>
      <w:r>
        <w:rPr>
          <w:rFonts w:ascii="Times New Roman" w:eastAsia="宋体"/>
        </w:rPr>
        <w:t>o</w:t>
      </w:r>
      <w:r>
        <w:rPr>
          <w:rFonts w:ascii="Times New Roman" w:eastAsia="宋体"/>
        </w:rPr>
        <w:t>r</w:t>
      </w:r>
      <w:r>
        <w:t>[</w:t>
      </w:r>
      <w:r>
        <w:rPr>
          <w:rFonts w:ascii="Times New Roman" w:eastAsia="宋体"/>
        </w:rPr>
        <w:t xml:space="preserve">s </w:t>
      </w:r>
      <w:r>
        <w:rPr>
          <w:rFonts w:ascii="Times New Roman" w:eastAsia="宋体"/>
        </w:rPr>
        <w:t>Relat Cancer,2007,14</w:t>
      </w:r>
      <w:r>
        <w:rPr>
          <w:rFonts w:ascii="Times New Roman" w:eastAsia="宋体"/>
        </w:rPr>
        <w:t>(</w:t>
      </w:r>
      <w:r>
        <w:rPr>
          <w:rFonts w:ascii="Times New Roman" w:eastAsia="宋体"/>
        </w:rPr>
        <w:t>2</w:t>
      </w:r>
      <w:r>
        <w:rPr>
          <w:rFonts w:ascii="Times New Roman" w:eastAsia="宋体"/>
        </w:rPr>
        <w:t>)</w:t>
      </w:r>
      <w:r>
        <w:rPr>
          <w:rFonts w:ascii="Times New Roman" w:eastAsia="宋体"/>
        </w:rPr>
        <w:t>:221-232.</w:t>
      </w:r>
    </w:p>
    <w:p w:rsidR="0018722C">
      <w:pPr>
        <w:topLinePunct/>
      </w:pPr>
      <w:r>
        <w:br w:type="column"/>
      </w:r>
      <w:r>
        <w:rPr>
          <w:rFonts w:ascii="Times New Roman" w:eastAsia="Times New Roman"/>
        </w:rPr>
        <w:t>J</w:t>
      </w:r>
      <w:r/>
      <w:r>
        <w:t>]</w:t>
      </w:r>
      <w:r>
        <w:rPr>
          <w:rFonts w:ascii="Times New Roman" w:eastAsia="Times New Roman"/>
        </w:rPr>
        <w:t>.</w:t>
      </w:r>
      <w:r w:rsidR="001852F3">
        <w:rPr>
          <w:rFonts w:ascii="Times New Roman" w:eastAsia="Times New Roman"/>
        </w:rPr>
        <w:t xml:space="preserve"> </w:t>
      </w:r>
      <w:r>
        <w:rPr>
          <w:rFonts w:ascii="Times New Roman" w:eastAsia="Times New Roman"/>
        </w:rPr>
        <w:t>En</w:t>
      </w:r>
      <w:r>
        <w:rPr>
          <w:rFonts w:ascii="Times New Roman" w:eastAsia="Times New Roman"/>
        </w:rPr>
        <w:t>do</w:t>
      </w:r>
      <w:r>
        <w:rPr>
          <w:rFonts w:ascii="Times New Roman" w:eastAsia="Times New Roman"/>
        </w:rPr>
        <w:t>c</w:t>
      </w:r>
      <w:r>
        <w:rPr>
          <w:rFonts w:ascii="Times New Roman" w:eastAsia="Times New Roman"/>
        </w:rPr>
        <w:t>r</w:t>
      </w:r>
    </w:p>
    <w:p w:rsidR="0018722C">
      <w:spacing w:beforeLines="0" w:before="0" w:afterLines="0" w:after="0" w:line="440" w:lineRule="auto"/>
      <w:pPr>
        <w:sectPr w:rsidR="00556256">
          <w:type w:val="continuous"/>
          <w:pgSz w:w="11910" w:h="16840"/>
          <w:pgMar w:top="1580" w:bottom="280" w:left="1400" w:right="1400"/>
          <w:cols w:num="2" w:equalWidth="0">
            <w:col w:w="7702" w:space="40"/>
            <w:col w:w="1368"/>
          </w:cols>
        </w:sectPr>
        <w:topLinePunct/>
      </w:pPr>
    </w:p>
    <w:p w:rsidR="0018722C">
      <w:pPr>
        <w:pStyle w:val="ab"/>
        <w:topLinePunct/>
        <w:ind w:left="200" w:hangingChars="200" w:hanging="200"/>
      </w:pPr>
      <w:r>
        <w:rPr>
          <w:rFonts w:ascii="宋体" w:eastAsia="宋体" w:hint="eastAsia"/>
        </w:rPr>
        <w:t>[</w:t>
      </w:r>
      <w:r>
        <w:rPr>
          <w:rFonts w:ascii="宋体" w:eastAsia="宋体" w:hint="eastAsia"/>
        </w:rPr>
        <w:t xml:space="preserve">26</w:t>
      </w:r>
      <w:r>
        <w:rPr>
          <w:rFonts w:ascii="宋体" w:eastAsia="宋体" w:hint="eastAsia"/>
        </w:rPr>
        <w:t>]</w:t>
      </w:r>
      <w:r w:rsidRPr="00281126">
        <w:t xml:space="preserve"> </w:t>
      </w:r>
      <w:r>
        <w:rPr>
          <w:rFonts w:ascii="宋体" w:eastAsia="宋体" w:hint="eastAsia"/>
        </w:rPr>
        <w:t xml:space="preserve">李智,</w:t>
      </w:r>
      <w:r>
        <w:rPr>
          <w:rFonts w:ascii="宋体" w:eastAsia="宋体" w:hint="eastAsia"/>
        </w:rPr>
        <w:t xml:space="preserve"> </w:t>
      </w:r>
      <w:r>
        <w:rPr>
          <w:rFonts w:ascii="宋体" w:eastAsia="宋体" w:hint="eastAsia"/>
        </w:rPr>
        <w:t>段建敏,</w:t>
      </w:r>
      <w:r>
        <w:rPr>
          <w:rFonts w:ascii="宋体" w:eastAsia="宋体" w:hint="eastAsia"/>
        </w:rPr>
        <w:t xml:space="preserve"> </w:t>
      </w:r>
      <w:r>
        <w:rPr>
          <w:rFonts w:ascii="宋体" w:eastAsia="宋体" w:hint="eastAsia"/>
        </w:rPr>
        <w:t>范维柯,</w:t>
      </w:r>
      <w:r>
        <w:rPr>
          <w:rFonts w:ascii="宋体" w:eastAsia="宋体" w:hint="eastAsia"/>
        </w:rPr>
        <w:t xml:space="preserve"> </w:t>
      </w:r>
      <w:r>
        <w:rPr>
          <w:rFonts w:ascii="宋体" w:eastAsia="宋体" w:hint="eastAsia"/>
        </w:rPr>
        <w:t>Ki-67</w:t>
      </w:r>
      <w:r w:rsidR="001852F3">
        <w:rPr>
          <w:rFonts w:ascii="宋体" w:eastAsia="宋体" w:hint="eastAsia"/>
        </w:rPr>
        <w:t xml:space="preserve">与恶性肿瘤预后的相关性.</w:t>
      </w:r>
      <w:r w:rsidR="001852F3">
        <w:rPr>
          <w:rFonts w:ascii="宋体" w:eastAsia="宋体" w:hint="eastAsia"/>
        </w:rPr>
        <w:t xml:space="preserve"> </w:t>
      </w:r>
      <w:r w:rsidR="001852F3">
        <w:rPr>
          <w:rFonts w:ascii="宋体" w:eastAsia="宋体" w:hint="eastAsia"/>
        </w:rPr>
        <w:t>国外医学临</w:t>
      </w:r>
      <w:r>
        <w:t>床生物化学与检验学分册</w:t>
      </w:r>
      <w:r>
        <w:t>[</w:t>
      </w:r>
      <w:r>
        <w:t xml:space="preserve">J</w:t>
      </w:r>
      <w:r>
        <w:t>]</w:t>
      </w:r>
      <w:r>
        <w:t xml:space="preserve">,</w:t>
      </w:r>
      <w:r>
        <w:t xml:space="preserve"> </w:t>
      </w:r>
      <w:r>
        <w:t>2000,</w:t>
      </w:r>
      <w:r>
        <w:t xml:space="preserve"> </w:t>
      </w:r>
      <w:r>
        <w:t>21</w:t>
      </w:r>
      <w:r>
        <w:t>(</w:t>
      </w:r>
      <w:r>
        <w:t>6</w:t>
      </w:r>
      <w:r>
        <w:t>)</w:t>
      </w:r>
      <w:r>
        <w:t xml:space="preserve">:</w:t>
      </w:r>
      <w:r>
        <w:t xml:space="preserve"> </w:t>
      </w:r>
      <w:r>
        <w:t>312-313.</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 xml:space="preserve">刘大为,</w:t>
      </w:r>
      <w:r>
        <w:rPr>
          <w:rFonts w:ascii="宋体" w:eastAsia="宋体" w:hint="eastAsia"/>
        </w:rPr>
        <w:t xml:space="preserve"> </w:t>
      </w:r>
      <w:r>
        <w:rPr>
          <w:rFonts w:ascii="宋体" w:eastAsia="宋体" w:hint="eastAsia"/>
        </w:rPr>
        <w:t>刘星,</w:t>
      </w:r>
      <w:r>
        <w:rPr>
          <w:rFonts w:ascii="宋体" w:eastAsia="宋体" w:hint="eastAsia"/>
        </w:rPr>
        <w:t xml:space="preserve"> </w:t>
      </w:r>
      <w:r>
        <w:rPr>
          <w:rFonts w:ascii="宋体" w:eastAsia="宋体" w:hint="eastAsia"/>
        </w:rPr>
        <w:t>刘初晴,</w:t>
      </w:r>
      <w:r>
        <w:rPr>
          <w:rFonts w:ascii="宋体" w:eastAsia="宋体" w:hint="eastAsia"/>
        </w:rPr>
        <w:t xml:space="preserve"> </w:t>
      </w:r>
      <w:r>
        <w:rPr>
          <w:rFonts w:ascii="宋体" w:eastAsia="宋体" w:hint="eastAsia"/>
        </w:rPr>
        <w:t>Ki-67</w:t>
      </w:r>
      <w:r w:rsidR="001852F3">
        <w:rPr>
          <w:rFonts w:ascii="宋体" w:eastAsia="宋体" w:hint="eastAsia"/>
        </w:rPr>
        <w:t xml:space="preserve">在不同肿瘤中的表达及意义.</w:t>
      </w:r>
      <w:r w:rsidR="001852F3">
        <w:rPr>
          <w:rFonts w:ascii="宋体" w:eastAsia="宋体" w:hint="eastAsia"/>
        </w:rPr>
        <w:t xml:space="preserve"> </w:t>
      </w:r>
      <w:r w:rsidR="001852F3">
        <w:rPr>
          <w:rFonts w:ascii="宋体" w:eastAsia="宋体" w:hint="eastAsia"/>
        </w:rPr>
        <w:t>中国保健</w:t>
      </w:r>
      <w:r>
        <w:rPr>
          <w:rFonts w:ascii="宋体" w:eastAsia="宋体" w:hint="eastAsia"/>
        </w:rPr>
        <w:t>营养</w:t>
      </w:r>
      <w:r>
        <w:rPr>
          <w:rFonts w:ascii="宋体" w:eastAsia="宋体" w:hint="eastAsia"/>
        </w:rPr>
        <w:t>(</w:t>
      </w:r>
      <w:r>
        <w:rPr>
          <w:rFonts w:ascii="宋体" w:eastAsia="宋体" w:hint="eastAsia"/>
          <w:spacing w:val="-1"/>
          <w:w w:val="100"/>
          <w:sz w:val="28"/>
        </w:rPr>
        <w:t>中旬刊</w:t>
      </w:r>
      <w:r>
        <w:rPr>
          <w:rFonts w:ascii="宋体" w:eastAsia="宋体" w:hint="eastAsia"/>
        </w:rPr>
        <w:t>)</w:t>
      </w:r>
      <w:r>
        <w:rPr>
          <w:rFonts w:ascii="宋体" w:eastAsia="宋体" w:hint="eastAsia"/>
        </w:rPr>
        <w:t> </w:t>
      </w:r>
      <w:r>
        <w:t>[</w:t>
      </w:r>
      <w:r>
        <w:rPr>
          <w:rFonts w:ascii="宋体" w:eastAsia="宋体" w:hint="eastAsia"/>
        </w:rPr>
        <w:t>J</w:t>
      </w:r>
      <w:r>
        <w:t>]</w:t>
      </w:r>
      <w:r>
        <w:rPr>
          <w:rFonts w:ascii="宋体" w:eastAsia="宋体" w:hint="eastAsia"/>
          <w:rFonts w:ascii="宋体" w:eastAsia="宋体" w:hint="eastAsia"/>
          <w:w w:val="100"/>
          <w:sz w:val="28"/>
        </w:rPr>
        <w:t xml:space="preserve">. </w:t>
      </w:r>
      <w:r>
        <w:rPr>
          <w:rFonts w:ascii="宋体" w:eastAsia="宋体" w:hint="eastAsia"/>
        </w:rPr>
        <w:t>2</w:t>
      </w:r>
      <w:r>
        <w:rPr>
          <w:rFonts w:ascii="宋体" w:eastAsia="宋体" w:hint="eastAsia"/>
        </w:rPr>
        <w:t>0</w:t>
      </w:r>
      <w:r>
        <w:rPr>
          <w:rFonts w:ascii="宋体" w:eastAsia="宋体" w:hint="eastAsia"/>
        </w:rPr>
        <w:t>12</w:t>
      </w:r>
      <w:r>
        <w:rPr>
          <w:rFonts w:ascii="宋体" w:eastAsia="宋体" w:hint="eastAsia"/>
        </w:rPr>
        <w:t xml:space="preserve">,</w:t>
      </w:r>
      <w:r>
        <w:rPr>
          <w:rFonts w:ascii="宋体" w:eastAsia="宋体" w:hint="eastAsia"/>
        </w:rPr>
        <w:t xml:space="preserve"> </w:t>
      </w:r>
      <w:r>
        <w:rPr>
          <w:rFonts w:ascii="宋体" w:eastAsia="宋体" w:hint="eastAsia"/>
        </w:rPr>
        <w:t>(</w:t>
      </w:r>
      <w:r>
        <w:rPr>
          <w:rFonts w:ascii="宋体" w:eastAsia="宋体" w:hint="eastAsia"/>
          <w:spacing w:val="-1"/>
          <w:w w:val="100"/>
          <w:sz w:val="28"/>
        </w:rPr>
        <w:t>8</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5</w:t>
      </w:r>
      <w:r>
        <w:rPr>
          <w:rFonts w:ascii="宋体" w:eastAsia="宋体" w:hint="eastAsia"/>
        </w:rPr>
        <w:t>8</w:t>
      </w:r>
      <w:r>
        <w:rPr>
          <w:rFonts w:ascii="宋体" w:eastAsia="宋体" w:hint="eastAsia"/>
        </w:rPr>
        <w:t>3</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28</w:t>
      </w:r>
      <w:r>
        <w:rPr>
          <w:rFonts w:ascii="宋体" w:eastAsia="宋体" w:hint="eastAsia"/>
        </w:rPr>
        <w:t>]</w:t>
      </w:r>
      <w:r w:rsidRPr="00281126">
        <w:t xml:space="preserve"> </w:t>
      </w:r>
      <w:r>
        <w:rPr>
          <w:rFonts w:ascii="宋体" w:eastAsia="宋体" w:hint="eastAsia"/>
        </w:rPr>
        <w:t xml:space="preserve">关鉴.</w:t>
      </w:r>
      <w:r>
        <w:rPr>
          <w:rFonts w:ascii="宋体" w:eastAsia="宋体" w:hint="eastAsia"/>
        </w:rPr>
        <w:t xml:space="preserve"> </w:t>
      </w:r>
      <w:r>
        <w:rPr>
          <w:rFonts w:ascii="宋体" w:eastAsia="宋体" w:hint="eastAsia"/>
        </w:rPr>
        <w:t>脑膜瘤组织中</w:t>
      </w:r>
      <w:r>
        <w:rPr>
          <w:rFonts w:ascii="宋体" w:eastAsia="宋体" w:hint="eastAsia"/>
        </w:rPr>
        <w:t>VEGF、Ki-67</w:t>
      </w:r>
      <w:r w:rsidR="001852F3">
        <w:rPr>
          <w:rFonts w:ascii="宋体" w:eastAsia="宋体" w:hint="eastAsia"/>
        </w:rPr>
        <w:t xml:space="preserve">表达及其与肿瘤血管生成的关系. </w:t>
      </w:r>
      <w:r>
        <w:rPr>
          <w:rFonts w:ascii="宋体" w:eastAsia="宋体" w:hint="eastAsia"/>
        </w:rPr>
        <w:t>ft</w:t>
      </w:r>
      <w:r>
        <w:rPr>
          <w:rFonts w:ascii="宋体" w:eastAsia="宋体" w:hint="eastAsia"/>
        </w:rPr>
        <w:t>东医药</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2013,</w:t>
      </w:r>
      <w:r>
        <w:rPr>
          <w:rFonts w:ascii="宋体" w:eastAsia="宋体" w:hint="eastAsia"/>
        </w:rPr>
        <w:t xml:space="preserve"> </w:t>
      </w:r>
      <w:r>
        <w:rPr>
          <w:rFonts w:ascii="宋体" w:eastAsia="宋体" w:hint="eastAsia"/>
        </w:rPr>
        <w:t>53</w:t>
      </w: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47-49.</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 xml:space="preserve">吴子旭,</w:t>
      </w:r>
      <w:r>
        <w:rPr>
          <w:rFonts w:ascii="宋体" w:eastAsia="宋体" w:hint="eastAsia"/>
        </w:rPr>
        <w:t xml:space="preserve"> </w:t>
      </w:r>
      <w:r>
        <w:rPr>
          <w:rFonts w:ascii="宋体" w:eastAsia="宋体" w:hint="eastAsia"/>
        </w:rPr>
        <w:t>王炳彦,</w:t>
      </w:r>
      <w:r>
        <w:rPr>
          <w:rFonts w:ascii="宋体" w:eastAsia="宋体" w:hint="eastAsia"/>
        </w:rPr>
        <w:t xml:space="preserve"> </w:t>
      </w:r>
      <w:r>
        <w:rPr>
          <w:rFonts w:ascii="宋体" w:eastAsia="宋体" w:hint="eastAsia"/>
        </w:rPr>
        <w:t>姚宏.</w:t>
      </w:r>
      <w:r>
        <w:rPr>
          <w:rFonts w:ascii="宋体" w:eastAsia="宋体" w:hint="eastAsia"/>
        </w:rPr>
        <w:t xml:space="preserve"> </w:t>
      </w:r>
      <w:r>
        <w:rPr>
          <w:rFonts w:ascii="宋体" w:eastAsia="宋体" w:hint="eastAsia"/>
        </w:rPr>
        <w:t>基质金属蛋白酶-</w:t>
      </w:r>
      <w:r>
        <w:rPr>
          <w:rFonts w:ascii="宋体" w:eastAsia="宋体" w:hint="eastAsia"/>
        </w:rPr>
        <w:t>9和Ki-67</w:t>
      </w:r>
      <w:r>
        <w:rPr>
          <w:rFonts w:ascii="宋体" w:eastAsia="宋体" w:hint="eastAsia"/>
        </w:rPr>
        <w:t>在视网膜母细胞瘤</w:t>
      </w:r>
      <w:r>
        <w:rPr>
          <w:rFonts w:ascii="宋体" w:eastAsia="宋体" w:hint="eastAsia"/>
        </w:rPr>
        <w:t xml:space="preserve">中的表达和意义.</w:t>
      </w:r>
      <w:r>
        <w:rPr>
          <w:rFonts w:ascii="宋体" w:eastAsia="宋体" w:hint="eastAsia"/>
        </w:rPr>
        <w:t xml:space="preserve"> </w:t>
      </w:r>
      <w:r>
        <w:rPr>
          <w:rFonts w:ascii="宋体" w:eastAsia="宋体" w:hint="eastAsia"/>
        </w:rPr>
        <w:t>ft</w:t>
      </w:r>
      <w:r>
        <w:rPr>
          <w:rFonts w:ascii="宋体" w:eastAsia="宋体" w:hint="eastAsia"/>
        </w:rPr>
        <w:t>西医药杂志</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2011,</w:t>
      </w:r>
      <w:r>
        <w:rPr>
          <w:rFonts w:ascii="宋体" w:eastAsia="宋体" w:hint="eastAsia"/>
        </w:rPr>
        <w:t xml:space="preserve"> </w:t>
      </w:r>
      <w:r>
        <w:rPr>
          <w:rFonts w:ascii="宋体" w:eastAsia="宋体" w:hint="eastAsia"/>
        </w:rPr>
        <w:t>40</w:t>
      </w: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1195-1196.</w:t>
      </w:r>
    </w:p>
    <w:p w:rsidR="0018722C">
      <w:pPr>
        <w:pStyle w:val="ab"/>
        <w:topLinePunct/>
        <w:ind w:left="200" w:hangingChars="200" w:hanging="200"/>
      </w:pPr>
      <w:r>
        <w:rPr>
          <w:rFonts w:ascii="宋体" w:eastAsia="宋体" w:hint="eastAsia"/>
        </w:rPr>
        <w:t>[</w:t>
      </w:r>
      <w:r>
        <w:rPr>
          <w:rFonts w:ascii="宋体" w:eastAsia="宋体" w:hint="eastAsia"/>
        </w:rPr>
        <w:t xml:space="preserve">30</w:t>
      </w:r>
      <w:r>
        <w:rPr>
          <w:rFonts w:ascii="宋体" w:eastAsia="宋体" w:hint="eastAsia"/>
        </w:rPr>
        <w:t>]</w:t>
      </w:r>
      <w:r w:rsidRPr="00281126">
        <w:t xml:space="preserve"> </w:t>
      </w:r>
      <w:r>
        <w:rPr>
          <w:rFonts w:ascii="宋体" w:eastAsia="宋体" w:hint="eastAsia"/>
        </w:rPr>
        <w:t xml:space="preserve">付静,</w:t>
      </w:r>
      <w:r>
        <w:rPr>
          <w:rFonts w:ascii="宋体" w:eastAsia="宋体" w:hint="eastAsia"/>
        </w:rPr>
        <w:t xml:space="preserve"> </w:t>
      </w:r>
      <w:r>
        <w:rPr>
          <w:rFonts w:ascii="宋体" w:eastAsia="宋体" w:hint="eastAsia"/>
        </w:rPr>
        <w:t>姚宏.</w:t>
      </w:r>
      <w:r>
        <w:rPr>
          <w:rFonts w:ascii="宋体" w:eastAsia="宋体" w:hint="eastAsia"/>
        </w:rPr>
        <w:t xml:space="preserve"> </w:t>
      </w:r>
      <w:r>
        <w:rPr>
          <w:rFonts w:ascii="宋体" w:eastAsia="宋体" w:hint="eastAsia"/>
        </w:rPr>
        <w:t>KISS-1</w:t>
      </w:r>
      <w:r>
        <w:rPr>
          <w:rFonts w:ascii="宋体" w:eastAsia="宋体" w:hint="eastAsia"/>
        </w:rPr>
        <w:t>基质蛋白酶-</w:t>
      </w:r>
      <w:r>
        <w:rPr>
          <w:rFonts w:ascii="宋体" w:eastAsia="宋体" w:hint="eastAsia"/>
        </w:rPr>
        <w:t>9和Ki-67</w:t>
      </w:r>
      <w:r>
        <w:rPr>
          <w:rFonts w:ascii="宋体" w:eastAsia="宋体" w:hint="eastAsia"/>
        </w:rPr>
        <w:t xml:space="preserve">在宫颈鳞癌组织中的表达和意义.</w:t>
      </w:r>
      <w:r>
        <w:rPr>
          <w:rFonts w:ascii="宋体" w:eastAsia="宋体" w:hint="eastAsia"/>
        </w:rPr>
        <w:t xml:space="preserve"> </w:t>
      </w:r>
      <w:r>
        <w:rPr>
          <w:rFonts w:ascii="宋体" w:eastAsia="宋体" w:hint="eastAsia"/>
        </w:rPr>
        <w:t>中国药物与临床</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2011.11</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160-162.</w:t>
      </w:r>
    </w:p>
    <w:p w:rsidR="0018722C">
      <w:pPr>
        <w:pStyle w:val="ab"/>
        <w:topLinePunct/>
        <w:ind w:left="200" w:hangingChars="200" w:hanging="200"/>
      </w:pPr>
      <w:r>
        <w:t xml:space="preserve">[</w:t>
      </w:r>
      <w:r>
        <w:t xml:space="preserve">31</w:t>
      </w:r>
      <w:r>
        <w:t xml:space="preserve">]</w:t>
      </w:r>
      <w:r w:rsidRPr="00281126">
        <w:t xml:space="preserve"> </w:t>
      </w:r>
      <w:r/>
      <w:r>
        <w:t xml:space="preserve">Liu </w:t>
      </w:r>
      <w:r>
        <w:t xml:space="preserve">W, </w:t>
      </w:r>
      <w:r>
        <w:t xml:space="preserve">Yu </w:t>
      </w:r>
      <w:r>
        <w:t xml:space="preserve">Y, </w:t>
      </w:r>
      <w:r>
        <w:t xml:space="preserve">Ouyang X. Expression of P53 and Ki67 and clinical significance in gastric cancer </w:t>
      </w:r>
      <w:r>
        <w:t xml:space="preserve">[</w:t>
      </w:r>
      <w:r>
        <w:t xml:space="preserve">J</w:t>
      </w:r>
      <w:r>
        <w:t xml:space="preserve">]</w:t>
      </w:r>
      <w:r>
        <w:t xml:space="preserve"> </w:t>
      </w:r>
      <w:r>
        <w:t xml:space="preserve">World </w:t>
      </w:r>
      <w:r>
        <w:t xml:space="preserve">Chinese Journal of </w:t>
      </w:r>
      <w:r>
        <w:t xml:space="preserve">Digestology, </w:t>
      </w:r>
      <w:r>
        <w:t xml:space="preserve">2011,</w:t>
      </w:r>
      <w:r>
        <w:t xml:space="preserve"> </w:t>
      </w:r>
      <w:r>
        <w:t>19</w:t>
      </w:r>
      <w:r>
        <w:t xml:space="preserve">(</w:t>
      </w:r>
      <w:r>
        <w:t xml:space="preserve">4</w:t>
      </w:r>
      <w:r>
        <w:t xml:space="preserve">)</w:t>
      </w:r>
      <w:r>
        <w:t xml:space="preserve">:</w:t>
      </w:r>
      <w:r>
        <w:t xml:space="preserve"> </w:t>
      </w:r>
      <w:r>
        <w:t>367-373.</w:t>
      </w:r>
    </w:p>
    <w:p w:rsidR="0018722C">
      <w:pPr>
        <w:pStyle w:val="4"/>
        <w:topLinePunct/>
        <w:ind w:left="200" w:hangingChars="200" w:hanging="200"/>
      </w:pPr>
      <w:bookmarkStart w:name="综述一 " w:id="45"/>
      <w:bookmarkEnd w:id="45"/>
      <w:r>
        <w:t>综述一</w:t>
      </w:r>
    </w:p>
    <w:p w:rsidR="0018722C">
      <w:pPr>
        <w:topLinePunct/>
      </w:pPr>
      <w:r>
        <w:rPr>
          <w:rFonts w:cstheme="minorBidi" w:hAnsiTheme="minorHAnsi" w:eastAsiaTheme="minorHAnsi" w:asciiTheme="minorHAnsi" w:ascii="黑体" w:hAnsi="黑体" w:eastAsia="黑体" w:cs="Times New Roman" w:hint="eastAsia"/>
        </w:rPr>
        <w:t>NF-κB</w:t>
      </w:r>
      <w:r w:rsidR="001852F3">
        <w:rPr>
          <w:rFonts w:cstheme="minorBidi" w:hAnsiTheme="minorHAnsi" w:eastAsiaTheme="minorHAnsi" w:asciiTheme="minorHAnsi" w:ascii="黑体" w:hAnsi="黑体" w:eastAsia="黑体" w:cs="Times New Roman" w:hint="eastAsia"/>
        </w:rPr>
        <w:t xml:space="preserve">在胃癌中的研究进展</w:t>
      </w:r>
    </w:p>
    <w:p w:rsidR="0018722C">
      <w:pPr>
        <w:topLinePunct/>
      </w:pPr>
      <w:r>
        <w:t>肿瘤严重危害着世界人民的生命和健康，近</w:t>
      </w:r>
      <w:r>
        <w:t>20</w:t>
      </w:r>
      <w:r/>
      <w:r w:rsidR="001852F3">
        <w:t xml:space="preserve">年来肿瘤的发病年龄</w:t>
      </w:r>
      <w:r>
        <w:t>日趋年轻化</w:t>
      </w:r>
      <w:r>
        <w:rPr>
          <w:vertAlign w:val="superscript"/>
          /&gt;
        </w:rPr>
        <w:t>[</w:t>
      </w:r>
      <w:r>
        <w:rPr>
          <w:vertAlign w:val="superscript"/>
          /&gt;
        </w:rPr>
        <w:t xml:space="preserve">1</w:t>
      </w:r>
      <w:r>
        <w:rPr>
          <w:vertAlign w:val="superscript"/>
          /&gt;
        </w:rPr>
        <w:t>]</w:t>
      </w:r>
      <w:r>
        <w:t>，同时发病率及死亡率总体仍在上升，且在</w:t>
      </w:r>
      <w:r>
        <w:t>死因谱中高居</w:t>
      </w:r>
      <w:r>
        <w:t>第</w:t>
      </w:r>
    </w:p>
    <w:p w:rsidR="0018722C">
      <w:pPr>
        <w:topLinePunct/>
      </w:pPr>
      <w:r>
        <w:t>2</w:t>
      </w:r>
      <w:r/>
      <w:r w:rsidR="001852F3">
        <w:t xml:space="preserve">位。在机体恶性肿瘤引起的死亡的病因谱中，胃癌仍位居前列。但当前</w:t>
      </w:r>
      <w:r>
        <w:t>对胃癌的发病原因、发病特点及病程进展、转归仍不完全清楚。随着医学</w:t>
      </w:r>
      <w:r>
        <w:t>技术及理论的进步，逐步认识到胃癌是多种因素的结果，</w:t>
      </w:r>
      <w:r>
        <w:t>近年</w:t>
      </w:r>
      <w:r>
        <w:t>来的对其在</w:t>
      </w:r>
      <w:r>
        <w:t>内镜、组织病理、体液标本、蛋白、基因等更高水平的研究，越来越发现</w:t>
      </w:r>
      <w:r>
        <w:t>众多与胃癌病因及进展相关的因子，并从多角度分析、探讨早期胃癌的诊断及检测方法和胃癌预后的评估，但因为肿瘤发病早起特点的隐匿性及早</w:t>
      </w:r>
      <w:r>
        <w:t>期转移特点，及浸润、转移后的治疗的棘手性，早起诊断显得越来越关键。</w:t>
      </w:r>
    </w:p>
    <w:p w:rsidR="0018722C">
      <w:pPr>
        <w:topLinePunct/>
      </w:pPr>
      <w:r>
        <w:t/>
      </w:r>
      <w:r>
        <w:t>近年</w:t>
      </w:r>
      <w:r>
        <w:t>来，由于在各种肿瘤中的</w:t>
      </w:r>
      <w:r>
        <w:t>NF-κB</w:t>
      </w:r>
      <w:r/>
      <w:r w:rsidR="001852F3">
        <w:t xml:space="preserve">的高表达引起的许多研究人员</w:t>
      </w:r>
      <w:r>
        <w:t>的广泛关注，当前研究认为肿瘤的发生、发展涉及肿瘤基因及抑癌基因的失衡、一系列的炎症因子的激活、新生血管的形成、浸润深度的增加及转移的发生</w:t>
      </w:r>
      <w:r>
        <w:rPr>
          <w:vertAlign w:val="superscript"/>
          /&gt;
        </w:rPr>
        <w:t>[</w:t>
      </w:r>
      <w:r>
        <w:rPr>
          <w:spacing w:val="-2"/>
          <w:position w:val="14"/>
          <w:sz w:val="14"/>
        </w:rPr>
        <w:t xml:space="preserve">3,4</w:t>
      </w:r>
      <w:r>
        <w:rPr>
          <w:vertAlign w:val="superscript"/>
          /&gt;
        </w:rPr>
        <w:t>]</w:t>
      </w:r>
      <w:r>
        <w:t>，NF-κB</w:t>
      </w:r>
      <w:r/>
      <w:r w:rsidR="001852F3">
        <w:t xml:space="preserve">作为信号传导通路中的重要因子</w:t>
      </w:r>
      <w:r>
        <w:rPr>
          <w:vertAlign w:val="superscript"/>
          /&gt;
        </w:rPr>
        <w:t>[</w:t>
      </w:r>
      <w:r>
        <w:rPr>
          <w:vertAlign w:val="superscript"/>
          <w:position w:val="14"/>
        </w:rPr>
        <w:t xml:space="preserve">5</w:t>
      </w:r>
      <w:r>
        <w:rPr>
          <w:vertAlign w:val="superscript"/>
          /&gt;
        </w:rPr>
        <w:t>]</w:t>
      </w:r>
      <w:r>
        <w:rPr>
          <w:spacing w:val="-2"/>
          <w:rFonts w:hint="eastAsia"/>
        </w:rPr>
        <w:t>，</w:t>
      </w:r>
      <w:r>
        <w:t>具有多种生物学</w:t>
      </w:r>
      <w:r>
        <w:t>作用，涉及炎症、肿瘤、免疫及细胞的增殖和细胞凋亡等多种机体的调节</w:t>
      </w:r>
      <w:r>
        <w:t>过程。本文将从以下几个方面探讨</w:t>
      </w:r>
      <w:r>
        <w:t>NF-κB</w:t>
      </w:r>
      <w:r/>
      <w:r w:rsidR="001852F3">
        <w:t xml:space="preserve">在肿瘤发生及进展中的作用及</w:t>
      </w:r>
      <w:r>
        <w:t>多种生物学行为之间的关系。</w:t>
      </w:r>
    </w:p>
    <w:p w:rsidR="0018722C">
      <w:pPr>
        <w:pStyle w:val="cw19"/>
        <w:topLinePunct/>
      </w:pPr>
      <w:r>
        <w:rPr>
          <w:rFonts w:ascii="宋体" w:hAnsi="宋体" w:eastAsia="宋体" w:hint="eastAsia"/>
        </w:rPr>
        <w:t>1</w:t>
      </w:r>
      <w:r>
        <w:rPr>
          <w:rFonts w:ascii="宋体" w:hAnsi="宋体" w:eastAsia="宋体" w:hint="eastAsia"/>
        </w:rPr>
        <w:t>关于</w:t>
      </w:r>
      <w:r>
        <w:rPr>
          <w:rFonts w:ascii="宋体" w:hAnsi="宋体" w:eastAsia="宋体" w:hint="eastAsia"/>
        </w:rPr>
        <w:t>NF-κB</w:t>
      </w:r>
    </w:p>
    <w:p w:rsidR="0018722C">
      <w:pPr>
        <w:topLinePunct/>
      </w:pPr>
      <w:r>
        <w:t>NF-κB</w:t>
      </w:r>
      <w:r/>
      <w:r w:rsidR="001852F3">
        <w:t xml:space="preserve">是几乎存在于所有细胞的转录因子</w:t>
      </w:r>
      <w:r>
        <w:rPr>
          <w:vertAlign w:val="superscript"/>
          /&gt;
        </w:rPr>
        <w:t>[</w:t>
      </w:r>
      <w:r>
        <w:rPr>
          <w:vertAlign w:val="superscript"/>
          /&gt;
        </w:rPr>
        <w:t xml:space="preserve">6</w:t>
      </w:r>
      <w:r>
        <w:rPr>
          <w:vertAlign w:val="superscript"/>
          /&gt;
        </w:rPr>
        <w:t>]</w:t>
      </w:r>
      <w:r>
        <w:t>，主要调节机体的炎症</w:t>
      </w:r>
      <w:r>
        <w:t>和自身免疫反应，同时，亦有研究发现其在控制细胞及癌变、调控细胞周</w:t>
      </w:r>
      <w:r>
        <w:t>期和凋亡、影响细胞的分化进程和肿瘤组织的转移中发挥重要作用</w:t>
      </w:r>
      <w:r>
        <w:rPr>
          <w:vertAlign w:val="superscript"/>
          /&gt;
        </w:rPr>
        <w:t>[</w:t>
      </w:r>
      <w:r>
        <w:rPr>
          <w:vertAlign w:val="superscript"/>
          /&gt;
        </w:rPr>
        <w:t xml:space="preserve">7</w:t>
      </w:r>
      <w:r>
        <w:rPr>
          <w:vertAlign w:val="superscript"/>
          /&gt;
        </w:rPr>
        <w:t>]</w:t>
      </w:r>
      <w:r>
        <w:t>，在</w:t>
      </w:r>
      <w:r>
        <w:t>多种实体肿瘤中有表达。它在</w:t>
      </w:r>
      <w:r>
        <w:t>1986</w:t>
      </w:r>
      <w:r/>
      <w:r w:rsidR="001852F3">
        <w:t xml:space="preserve">年是由</w:t>
      </w:r>
      <w:r>
        <w:t>Sen</w:t>
      </w:r>
      <w:r/>
      <w:r w:rsidR="001852F3">
        <w:t xml:space="preserve">在淋巴细胞中首次发现，</w:t>
      </w:r>
      <w:r>
        <w:t>作为一种普遍存在的转录因子，其能调节免疫反应、炎症反应和细胞的生长和分化</w:t>
      </w:r>
      <w:r>
        <w:rPr>
          <w:vertAlign w:val="superscript"/>
          /&gt;
        </w:rPr>
        <w:t>[</w:t>
      </w:r>
      <w:r>
        <w:rPr>
          <w:vertAlign w:val="superscript"/>
          /&gt;
        </w:rPr>
        <w:t xml:space="preserve">8</w:t>
      </w:r>
      <w:r>
        <w:rPr>
          <w:vertAlign w:val="superscript"/>
          /&gt;
        </w:rPr>
        <w:t>]</w:t>
      </w:r>
      <w:r>
        <w:t>，并在细胞的凋亡</w:t>
      </w:r>
      <w:r>
        <w:rPr>
          <w:vertAlign w:val="superscript"/>
          /&gt;
        </w:rPr>
        <w:t>[</w:t>
      </w:r>
      <w:r>
        <w:rPr>
          <w:vertAlign w:val="superscript"/>
          /&gt;
        </w:rPr>
        <w:t xml:space="preserve">9</w:t>
      </w:r>
      <w:r>
        <w:rPr>
          <w:vertAlign w:val="superscript"/>
          /&gt;
        </w:rPr>
        <w:t>]</w:t>
      </w:r>
      <w:r>
        <w:t>及粘附等中发挥一定影响</w:t>
      </w:r>
      <w:r>
        <w:t>，</w:t>
      </w:r>
      <w:r>
        <w:t>其家族成员主</w:t>
      </w:r>
      <w:r>
        <w:t>要有</w:t>
      </w:r>
      <w:r>
        <w:t>RelA</w:t>
      </w:r>
      <w:r>
        <w:t>(</w:t>
      </w:r>
      <w:r>
        <w:t>p65</w:t>
      </w:r>
      <w:r>
        <w:t>)</w:t>
      </w:r>
      <w:r>
        <w:t>、RelB、c-Rel</w:t>
      </w:r>
      <w:r>
        <w:t>、</w:t>
      </w:r>
      <w:r>
        <w:t>NF-κB1</w:t>
      </w:r>
      <w:r>
        <w:t>(</w:t>
      </w:r>
      <w:r>
        <w:t>p50</w:t>
      </w:r>
      <w:r>
        <w:t>)</w:t>
      </w:r>
      <w:r>
        <w:t>、</w:t>
      </w:r>
      <w:r>
        <w:t>NF-κB</w:t>
      </w:r>
      <w:r>
        <w:t> </w:t>
      </w:r>
      <w:r>
        <w:t>2</w:t>
      </w:r>
      <w:r>
        <w:t>(</w:t>
      </w:r>
      <w:r>
        <w:t>p52</w:t>
      </w:r>
      <w:r>
        <w:t>)</w:t>
      </w:r>
      <w:r>
        <w:t>等，这些</w:t>
      </w:r>
      <w:r>
        <w:t>成员的共同点是在</w:t>
      </w:r>
      <w:r>
        <w:t>N</w:t>
      </w:r>
      <w:r/>
      <w:r w:rsidR="001852F3">
        <w:t xml:space="preserve">端有一个约</w:t>
      </w:r>
      <w:r>
        <w:t>300</w:t>
      </w:r>
      <w:r/>
      <w:r w:rsidR="001852F3">
        <w:t xml:space="preserve">个氨基酸残基</w:t>
      </w:r>
      <w:r>
        <w:t>Rel</w:t>
      </w:r>
      <w:r/>
      <w:r w:rsidR="001852F3">
        <w:t xml:space="preserve">同源区</w:t>
      </w:r>
      <w:r>
        <w:t>(</w:t>
      </w:r>
      <w:r>
        <w:t>RHD</w:t>
      </w:r>
      <w:r>
        <w:t>)</w:t>
      </w:r>
      <w:r>
        <w:rPr>
          <w:rFonts w:hint="eastAsia"/>
        </w:rPr>
        <w:t>，</w:t>
      </w:r>
      <w:r>
        <w:t>并且</w:t>
      </w:r>
      <w:r>
        <w:t>高度保守；在</w:t>
      </w:r>
      <w:r>
        <w:t>C</w:t>
      </w:r>
      <w:r/>
      <w:r w:rsidR="001852F3">
        <w:t xml:space="preserve">端，据其结构和功能的差异将</w:t>
      </w:r>
      <w:r>
        <w:t>NF-κB</w:t>
      </w:r>
      <w:r/>
      <w:r w:rsidR="001852F3">
        <w:t xml:space="preserve">分成两组，第一组</w:t>
      </w:r>
      <w:r>
        <w:t>包括第</w:t>
      </w:r>
      <w:r>
        <w:t>RelA</w:t>
      </w:r>
      <w:r>
        <w:t>、</w:t>
      </w:r>
      <w:r>
        <w:t>RelB</w:t>
      </w:r>
      <w:r>
        <w:t>、</w:t>
      </w:r>
      <w:r>
        <w:t>c-Rel</w:t>
      </w:r>
      <w:r/>
      <w:r w:rsidR="001852F3">
        <w:t xml:space="preserve">等，它们具有转录激活作用；第二组包</w:t>
      </w:r>
      <w:r w:rsidR="001852F3">
        <w:t>括</w:t>
      </w:r>
    </w:p>
    <w:p w:rsidR="0018722C">
      <w:pPr>
        <w:topLinePunct/>
      </w:pPr>
      <w:r>
        <w:t>NF-κB1</w:t>
      </w:r>
      <w:r>
        <w:t>、</w:t>
      </w:r>
      <w:r>
        <w:t>NF-κB2</w:t>
      </w:r>
      <w:r w:rsidR="001852F3">
        <w:t xml:space="preserve">等，一般不具有转录激活作用，它们的主要功能是结</w:t>
      </w:r>
      <w:r>
        <w:t>合</w:t>
      </w:r>
      <w:r>
        <w:t>DNA</w:t>
      </w:r>
      <w:r>
        <w:t>。但</w:t>
      </w:r>
      <w:r>
        <w:t>NF-κB</w:t>
      </w:r>
      <w:r/>
      <w:r w:rsidR="001852F3">
        <w:t xml:space="preserve">活性的活性受</w:t>
      </w:r>
      <w:r>
        <w:t>IκB</w:t>
      </w:r>
      <w:r/>
      <w:r w:rsidR="001852F3">
        <w:t xml:space="preserve">的调控。</w:t>
      </w:r>
      <w:r>
        <w:t>IκB</w:t>
      </w:r>
      <w:r/>
      <w:r w:rsidR="001852F3">
        <w:t xml:space="preserve">的家族由多个成员构</w:t>
      </w:r>
      <w:r>
        <w:t>成，包含</w:t>
      </w:r>
      <w:r>
        <w:t>IκBa、IκBb</w:t>
      </w:r>
      <w:r/>
      <w:r w:rsidR="001852F3">
        <w:t xml:space="preserve">等。静息状态的</w:t>
      </w:r>
      <w:r>
        <w:t>NF-κB</w:t>
      </w:r>
      <w:r/>
      <w:r w:rsidR="001852F3">
        <w:t xml:space="preserve">通常与</w:t>
      </w:r>
      <w:r>
        <w:t>IκB</w:t>
      </w:r>
      <w:r/>
      <w:r w:rsidR="001852F3">
        <w:t xml:space="preserve">直接结合的</w:t>
      </w:r>
      <w:r>
        <w:t>三聚体在细胞质中存在。而</w:t>
      </w:r>
      <w:r>
        <w:t>NF-κB</w:t>
      </w:r>
      <w:r/>
      <w:r w:rsidR="001852F3">
        <w:t xml:space="preserve">是受多种因素的影响，目前有超过</w:t>
      </w:r>
      <w:r>
        <w:t>150</w:t>
      </w:r>
      <w:r w:rsidR="001852F3">
        <w:t xml:space="preserve">中，如肿瘤坏死因子</w:t>
      </w:r>
      <w:r>
        <w:t>(</w:t>
      </w:r>
      <w:r>
        <w:t>tumor necrosis factor;</w:t>
      </w:r>
      <w:r w:rsidR="001852F3">
        <w:t xml:space="preserve"> </w:t>
      </w:r>
      <w:r w:rsidR="001852F3">
        <w:t xml:space="preserve">TNF</w:t>
      </w:r>
      <w:r>
        <w:t>)</w:t>
      </w:r>
      <w:r>
        <w:t>、白细胞介素</w:t>
      </w:r>
      <w:r w:rsidR="001852F3">
        <w:t xml:space="preserve">1、脂</w:t>
      </w:r>
      <w:r>
        <w:t>多糖、生长因子和病毒等。</w:t>
      </w:r>
      <w:r>
        <w:t>NF-κB</w:t>
      </w:r>
      <w:r/>
      <w:r w:rsidR="001852F3">
        <w:t xml:space="preserve">的活化要解离</w:t>
      </w:r>
      <w:r>
        <w:t>IκB</w:t>
      </w:r>
      <w:r>
        <w:t>，令核定位序列的</w:t>
      </w:r>
      <w:r>
        <w:t>曝光，然后结合具体的</w:t>
      </w:r>
      <w:r>
        <w:t>κB</w:t>
      </w:r>
      <w:r/>
      <w:r w:rsidR="001852F3">
        <w:t xml:space="preserve">序列，从而调节相应基因的表达，而被激活的NF-κB</w:t>
      </w:r>
      <w:r w:rsidR="001852F3">
        <w:t xml:space="preserve">可增加</w:t>
      </w:r>
      <w:r w:rsidR="001852F3">
        <w:t xml:space="preserve">TNF、IL-1</w:t>
      </w:r>
      <w:r w:rsidR="001852F3">
        <w:t xml:space="preserve">的转录，后者又正反馈调节</w:t>
      </w:r>
      <w:r w:rsidR="001852F3">
        <w:t xml:space="preserve">NF-κB，激活的NF-κB</w:t>
      </w:r>
      <w:r w:rsidR="001852F3">
        <w:t xml:space="preserve">参与多种肿瘤的发生、发展及浸润、转移，并参与肿瘤细胞抵制</w:t>
      </w:r>
      <w:r>
        <w:t>放化疗的作用机制</w:t>
      </w:r>
      <w:r>
        <w:rPr>
          <w:vertAlign w:val="superscript"/>
          /&gt;
        </w:rPr>
        <w:t>[</w:t>
      </w:r>
      <w:r>
        <w:rPr>
          <w:spacing w:val="-2"/>
          <w:position w:val="14"/>
          <w:sz w:val="14"/>
        </w:rPr>
        <w:t xml:space="preserve">10,11</w:t>
      </w:r>
      <w:r>
        <w:rPr>
          <w:vertAlign w:val="superscript"/>
          /&gt;
        </w:rPr>
        <w:t>]</w:t>
      </w:r>
      <w:r>
        <w:t>，通常，</w:t>
      </w:r>
      <w:r>
        <w:t>NF-κB</w:t>
      </w:r>
      <w:r/>
      <w:r w:rsidR="001852F3">
        <w:t xml:space="preserve">主要存在于胞质中，维持一定量的</w:t>
      </w:r>
      <w:r>
        <w:t>水平，但在被激活后进入细胞核，转录功能明显提升，严重妨碍细胞的正</w:t>
      </w:r>
      <w:r>
        <w:t>常信号通路，同时干扰细胞的凋亡，而具有癌变发展倾向</w:t>
      </w:r>
      <w:r>
        <w:rPr>
          <w:vertAlign w:val="superscript"/>
          /&gt;
        </w:rPr>
        <w:t>[</w:t>
      </w:r>
      <w:r>
        <w:rPr>
          <w:vertAlign w:val="superscript"/>
          <w:position w:val="14"/>
        </w:rPr>
        <w:t xml:space="preserve">9</w:t>
      </w:r>
      <w:r>
        <w:rPr>
          <w:vertAlign w:val="superscript"/>
          /&gt;
        </w:rPr>
        <w:t>]</w:t>
      </w:r>
      <w:r>
        <w:t>。</w:t>
      </w:r>
    </w:p>
    <w:p w:rsidR="0018722C">
      <w:pPr>
        <w:pStyle w:val="cw19"/>
        <w:topLinePunct/>
      </w:pPr>
      <w:r>
        <w:rPr>
          <w:rFonts w:ascii="宋体" w:hAnsi="宋体" w:eastAsia="宋体" w:hint="eastAsia"/>
        </w:rPr>
        <w:t>2 </w:t>
      </w:r>
      <w:r>
        <w:rPr>
          <w:rFonts w:ascii="宋体" w:hAnsi="宋体" w:eastAsia="宋体" w:hint="eastAsia"/>
        </w:rPr>
        <w:t>NF-κB</w:t>
      </w:r>
      <w:r w:rsidR="001852F3">
        <w:rPr>
          <w:rFonts w:ascii="宋体" w:hAnsi="宋体" w:eastAsia="宋体" w:hint="eastAsia"/>
        </w:rPr>
        <w:t xml:space="preserve">与炎症</w:t>
      </w:r>
    </w:p>
    <w:p w:rsidR="0018722C">
      <w:pPr>
        <w:topLinePunct/>
      </w:pPr>
      <w:r>
        <w:t>肿瘤微环境在肿瘤的发生和发展过程中发挥着关键的作用</w:t>
      </w:r>
      <w:r>
        <w:rPr>
          <w:vertAlign w:val="superscript"/>
          /&gt;
        </w:rPr>
        <w:t>[</w:t>
      </w:r>
      <w:r>
        <w:rPr>
          <w:vertAlign w:val="superscript"/>
          <w:position w:val="14"/>
        </w:rPr>
        <w:t xml:space="preserve">12</w:t>
      </w:r>
      <w:r>
        <w:rPr>
          <w:vertAlign w:val="superscript"/>
          /&gt;
        </w:rPr>
        <w:t>]</w:t>
      </w:r>
      <w:r>
        <w:t>，而炎症</w:t>
      </w:r>
      <w:r>
        <w:t>常在肿瘤发生之前出现，有研究认为炎症细胞和信号促进肿瘤的发生</w:t>
      </w:r>
      <w:r>
        <w:rPr>
          <w:vertAlign w:val="superscript"/>
          /&gt;
        </w:rPr>
        <w:t>[</w:t>
      </w:r>
      <w:r>
        <w:rPr>
          <w:vertAlign w:val="superscript"/>
          <w:position w:val="14"/>
        </w:rPr>
        <w:t xml:space="preserve">13</w:t>
      </w:r>
      <w:r>
        <w:rPr>
          <w:vertAlign w:val="superscript"/>
          /&gt;
        </w:rPr>
        <w:t>]</w:t>
      </w:r>
      <w:r>
        <w:t>，</w:t>
      </w:r>
      <w:r>
        <w:t>那么炎症或炎症因子与肿瘤之间究竟有着什么样的关系？</w:t>
      </w:r>
    </w:p>
    <w:p w:rsidR="0018722C">
      <w:pPr>
        <w:topLinePunct/>
      </w:pPr>
      <w:r>
        <w:t>我们知道肿瘤的发生、发展是慢性、多因素致病，包括长期的细胞因</w:t>
      </w:r>
      <w:r>
        <w:t>子、射线、自由基等的刺激，这些课引起炎症因子的过量表达，他们对于炎症的发生和维持并由此而形成的瀑布效应有重要作用。相关研究结果提</w:t>
      </w:r>
      <w:r>
        <w:t>示急性炎症能够抑制甚至消除隐匿性癌</w:t>
      </w:r>
      <w:r>
        <w:rPr>
          <w:vertAlign w:val="superscript"/>
          /&gt;
        </w:rPr>
        <w:t>[</w:t>
      </w:r>
      <w:r>
        <w:rPr>
          <w:vertAlign w:val="superscript"/>
          <w:position w:val="14"/>
        </w:rPr>
        <w:t xml:space="preserve">14</w:t>
      </w:r>
      <w:r>
        <w:rPr>
          <w:vertAlign w:val="superscript"/>
          /&gt;
        </w:rPr>
        <w:t>]</w:t>
      </w:r>
      <w:r>
        <w:t>，但机体的消除肿瘤因素的机制</w:t>
      </w:r>
      <w:r>
        <w:t>无法完全清楚肿瘤细胞</w:t>
      </w:r>
      <w:r>
        <w:rPr>
          <w:vertAlign w:val="superscript"/>
          /&gt;
        </w:rPr>
        <w:t>[</w:t>
      </w:r>
      <w:r>
        <w:rPr>
          <w:vertAlign w:val="superscript"/>
          <w:position w:val="14"/>
        </w:rPr>
        <w:t xml:space="preserve">15</w:t>
      </w:r>
      <w:r>
        <w:rPr>
          <w:vertAlign w:val="superscript"/>
          /&gt;
        </w:rPr>
        <w:t>]</w:t>
      </w:r>
      <w:r>
        <w:t>，而慢性炎症的持续存在和逐渐加剧还可以促成</w:t>
      </w:r>
      <w:r>
        <w:t>基因组不稳定性的增长，原癌基因与抑癌基因之间的不平衡造成</w:t>
      </w:r>
      <w:r>
        <w:t>DNA</w:t>
      </w:r>
      <w:r/>
      <w:r w:rsidR="001852F3">
        <w:t xml:space="preserve">的损</w:t>
      </w:r>
      <w:r>
        <w:t>伤，在瘤体微环境改变的同时，肿瘤的发展进一步促进肿瘤细胞的增殖，</w:t>
      </w:r>
      <w:r>
        <w:t>并促进肿瘤血管的生成和转移，有证据表明，在多种肿瘤的发生中，慢性炎症有促进肿瘤进展和转移潜能中发挥致病性作用，而炎细胞刺激产生的</w:t>
      </w:r>
      <w:r>
        <w:t>自由基致使</w:t>
      </w:r>
      <w:r>
        <w:t>DNA</w:t>
      </w:r>
      <w:r/>
      <w:r w:rsidR="001852F3">
        <w:t xml:space="preserve">的毁伤，再次加剧肿瘤发展倾向。如长期慢性</w:t>
      </w:r>
      <w:r>
        <w:t>HBV</w:t>
      </w:r>
      <w:r/>
      <w:r w:rsidR="001852F3">
        <w:t xml:space="preserve">感染者</w:t>
      </w:r>
      <w:r>
        <w:t>并发肝癌、幽门螺杆菌感染与胃癌之间的密切关系、</w:t>
      </w:r>
      <w:r>
        <w:t>HPV</w:t>
      </w:r>
      <w:r/>
      <w:r w:rsidR="001852F3">
        <w:t xml:space="preserve">感染与宫颈癌的</w:t>
      </w:r>
      <w:r>
        <w:t>关系等，我们有充足的证据提示，根除某些炎症因素可以阻止甚至治愈某</w:t>
      </w:r>
      <w:r>
        <w:t>些癌症，</w:t>
      </w:r>
      <w:r>
        <w:t>N</w:t>
      </w:r>
      <w:r>
        <w:t>F</w:t>
      </w:r>
      <w:r>
        <w:t>-</w:t>
      </w:r>
      <w:r>
        <w:t>κB</w:t>
      </w:r>
      <w:r/>
      <w:r>
        <w:t>被认为是架接慢性炎症与肿瘤之间的桥梁</w:t>
      </w:r>
      <w:r>
        <w:rPr>
          <w:vertAlign w:val="superscript"/>
          /&gt;
        </w:rPr>
        <w:t>[</w:t>
      </w:r>
      <w:r>
        <w:rPr>
          <w:vertAlign w:val="superscript"/>
          <w:position w:val="14"/>
        </w:rPr>
        <w:t xml:space="preserve">3</w:t>
      </w:r>
      <w:r>
        <w:rPr>
          <w:vertAlign w:val="superscript"/>
          /&gt;
        </w:rPr>
        <w:t>]</w:t>
      </w:r>
      <w:r>
        <w:t>，胃粘膜细胞</w:t>
      </w:r>
      <w:r>
        <w:t>中的</w:t>
      </w:r>
      <w:r>
        <w:t>NF-κB</w:t>
      </w:r>
      <w:r/>
      <w:r w:rsidR="001852F3">
        <w:t xml:space="preserve">的激活，诱导多种因子的活化，如</w:t>
      </w:r>
      <w:r>
        <w:t>TNF-a</w:t>
      </w:r>
      <w:r>
        <w:t>、</w:t>
      </w:r>
      <w:r>
        <w:t>IL-1</w:t>
      </w:r>
      <w:r>
        <w:t>、</w:t>
      </w:r>
      <w:r>
        <w:t>IL-8</w:t>
      </w:r>
      <w:r>
        <w:rPr>
          <w:vertAlign w:val="superscript"/>
          /&gt;
        </w:rPr>
        <w:t>[</w:t>
      </w:r>
      <w:r>
        <w:rPr>
          <w:vertAlign w:val="superscript"/>
          <w:position w:val="14"/>
        </w:rPr>
        <w:t xml:space="preserve">16</w:t>
      </w:r>
      <w:r>
        <w:rPr>
          <w:vertAlign w:val="superscript"/>
          /&gt;
        </w:rPr>
        <w:t>]</w:t>
      </w:r>
      <w:r>
        <w:t>等，</w:t>
      </w:r>
      <w:r>
        <w:t>这些生长因子可以通过内分泌和旁分泌的途径，进而启动炎症细胞而大</w:t>
      </w:r>
      <w:r>
        <w:t>量</w:t>
      </w:r>
    </w:p>
    <w:p w:rsidR="0018722C">
      <w:pPr>
        <w:topLinePunct/>
      </w:pPr>
      <w:r>
        <w:t>增殖，当然并不是所有的炎症都具有致瘤性。但在肿瘤微环境改变的同时，</w:t>
      </w:r>
      <w:r>
        <w:t>微环境中的成分同时能够调节细胞生长，这些生长因子或受体的失调驱动</w:t>
      </w:r>
      <w:r>
        <w:t>着细胞恶性转化，如持续的炎症导致</w:t>
      </w:r>
      <w:r>
        <w:t>NF-κB</w:t>
      </w:r>
      <w:r/>
      <w:r w:rsidR="001852F3">
        <w:t xml:space="preserve">通路的激活，导致核转录因子靶基因的异常表达，这从动物实验中进一步得以证实，IL-1</w:t>
      </w:r>
      <w:r/>
      <w:r w:rsidR="001852F3">
        <w:t xml:space="preserve">的过度表</w:t>
      </w:r>
      <w:r>
        <w:t>达的转基因小鼠，在其体内的</w:t>
      </w:r>
      <w:r>
        <w:t>IL-1</w:t>
      </w:r>
      <w:r/>
      <w:r w:rsidR="001852F3">
        <w:t xml:space="preserve">与</w:t>
      </w:r>
      <w:r>
        <w:t>IL-1</w:t>
      </w:r>
      <w:r/>
      <w:r w:rsidR="001852F3">
        <w:t xml:space="preserve">受体的结合，会激活炎症细胞和胃粘膜上皮细胞中的</w:t>
      </w:r>
      <w:r>
        <w:t>NF-κB</w:t>
      </w:r>
      <w:r/>
      <w:r w:rsidR="001852F3">
        <w:t xml:space="preserve">通道，进而导致炎症和胃癌发病率的升高，</w:t>
      </w:r>
      <w:r>
        <w:t>而阻断本通路的激活会抑制炎症和降低胃癌的发生</w:t>
      </w:r>
      <w:r>
        <w:rPr>
          <w:vertAlign w:val="superscript"/>
          /&gt;
        </w:rPr>
        <w:t>[</w:t>
      </w:r>
      <w:r>
        <w:rPr>
          <w:vertAlign w:val="superscript"/>
          <w:position w:val="14"/>
        </w:rPr>
        <w:t xml:space="preserve">16</w:t>
      </w:r>
      <w:r>
        <w:rPr>
          <w:vertAlign w:val="superscript"/>
          /&gt;
        </w:rPr>
        <w:t>]</w:t>
      </w:r>
      <w:r>
        <w:t>，长期应用非甾体抗</w:t>
      </w:r>
      <w:r>
        <w:t>炎药却能降低肿瘤的发生风险，而机体长期存在慢性炎症反应时，形成癌症的机率会增加，这从</w:t>
      </w:r>
      <w:r>
        <w:t>近年</w:t>
      </w:r>
      <w:r>
        <w:t>来的关于非甾体抗炎药与肿瘤疾患的发病因素</w:t>
      </w:r>
      <w:r>
        <w:t>研究中可以得到佐证</w:t>
      </w:r>
      <w:r>
        <w:rPr>
          <w:vertAlign w:val="superscript"/>
          /&gt;
        </w:rPr>
        <w:t>[</w:t>
      </w:r>
      <w:r>
        <w:rPr>
          <w:vertAlign w:val="superscript"/>
          <w:position w:val="14"/>
        </w:rPr>
        <w:t xml:space="preserve">17</w:t>
      </w:r>
      <w:r>
        <w:rPr>
          <w:vertAlign w:val="superscript"/>
          /&gt;
        </w:rPr>
        <w:t>]</w:t>
      </w:r>
      <w:r>
        <w:t>。</w:t>
      </w:r>
    </w:p>
    <w:p w:rsidR="0018722C">
      <w:pPr>
        <w:pStyle w:val="cw19"/>
        <w:topLinePunct/>
      </w:pPr>
      <w:r>
        <w:rPr>
          <w:rFonts w:ascii="宋体" w:hAnsi="宋体" w:eastAsia="宋体" w:hint="eastAsia"/>
        </w:rPr>
        <w:t>3 </w:t>
      </w:r>
      <w:r>
        <w:rPr>
          <w:rFonts w:ascii="宋体" w:hAnsi="宋体" w:eastAsia="宋体" w:hint="eastAsia"/>
        </w:rPr>
        <w:t>NF-κB</w:t>
      </w:r>
      <w:r w:rsidR="001852F3">
        <w:rPr>
          <w:rFonts w:ascii="宋体" w:hAnsi="宋体" w:eastAsia="宋体" w:hint="eastAsia"/>
        </w:rPr>
        <w:t xml:space="preserve">与细胞凋亡</w:t>
      </w:r>
    </w:p>
    <w:p w:rsidR="0018722C">
      <w:pPr>
        <w:topLinePunct/>
      </w:pPr>
      <w:r>
        <w:t>肿瘤的产生不单于肿瘤细胞的反常增殖和分化相关，也与细胞的凋亡</w:t>
      </w:r>
      <w:r>
        <w:t>系统紊乱有关，若维持机体正常生理机能的系统紊乱，就有可能致使疾病</w:t>
      </w:r>
      <w:r>
        <w:t>的发生，而细胞的用永生化是肿瘤发生的重要前提</w:t>
      </w:r>
      <w:r>
        <w:rPr>
          <w:vertAlign w:val="superscript"/>
          /&gt;
        </w:rPr>
        <w:t>[</w:t>
      </w:r>
      <w:r>
        <w:rPr>
          <w:vertAlign w:val="superscript"/>
          /&gt;
        </w:rPr>
        <w:t xml:space="preserve">18</w:t>
      </w:r>
      <w:r>
        <w:rPr>
          <w:vertAlign w:val="superscript"/>
          /&gt;
        </w:rPr>
        <w:t>]</w:t>
      </w:r>
      <w:r>
        <w:t>。近些年有学者的探讨发现，</w:t>
      </w:r>
      <w:r>
        <w:t>NF-κB</w:t>
      </w:r>
      <w:r/>
      <w:r w:rsidR="001852F3">
        <w:t xml:space="preserve">的失控，会导致许多肿瘤的发生</w:t>
      </w:r>
      <w:r>
        <w:rPr>
          <w:vertAlign w:val="superscript"/>
          /&gt;
        </w:rPr>
        <w:t>[</w:t>
      </w:r>
      <w:r>
        <w:rPr>
          <w:vertAlign w:val="superscript"/>
          /&gt;
        </w:rPr>
        <w:t xml:space="preserve">19</w:t>
      </w:r>
      <w:r>
        <w:rPr>
          <w:vertAlign w:val="superscript"/>
          /&gt;
        </w:rPr>
        <w:t xml:space="preserve">, </w:t>
      </w:r>
      <w:r>
        <w:rPr>
          <w:vertAlign w:val="superscript"/>
          /&gt;
        </w:rPr>
        <w:t xml:space="preserve">20</w:t>
      </w:r>
      <w:r>
        <w:rPr>
          <w:vertAlign w:val="superscript"/>
          /&gt;
        </w:rPr>
        <w:t>]</w:t>
      </w:r>
      <w:r>
        <w:t>，当它被激活后可以产生较强的抗凋亡信号，从而加速肿瘤的生物学进程。目前发现</w:t>
      </w:r>
      <w:r>
        <w:t>NF-κB</w:t>
      </w:r>
      <w:r>
        <w:t>诱导凋亡基因包括抑制因子</w:t>
      </w:r>
      <w:r>
        <w:t>（</w:t>
      </w:r>
      <w:r>
        <w:rPr>
          <w:spacing w:val="-2"/>
        </w:rPr>
        <w:t>IAPs</w:t>
      </w:r>
      <w:r>
        <w:t>）</w:t>
      </w:r>
      <w:r>
        <w:t>，cl-2</w:t>
      </w:r>
      <w:r/>
      <w:r w:rsidR="001852F3">
        <w:t xml:space="preserve">样因子、</w:t>
      </w:r>
      <w:r>
        <w:t>TNF</w:t>
      </w:r>
      <w:r/>
      <w:r w:rsidR="001852F3">
        <w:t xml:space="preserve">受体结合因子</w:t>
      </w:r>
      <w:r>
        <w:t>1</w:t>
      </w:r>
      <w:r>
        <w:t>和</w:t>
      </w:r>
      <w:r>
        <w:t>2</w:t>
      </w:r>
      <w:r>
        <w:rPr>
          <w:spacing w:val="-2"/>
        </w:rPr>
        <w:t>(</w:t>
      </w:r>
      <w:r>
        <w:rPr>
          <w:spacing w:val="-2"/>
        </w:rPr>
        <w:t>TRAF1</w:t>
      </w:r>
      <w:r w:rsidR="001852F3">
        <w:rPr>
          <w:spacing w:val="-23"/>
        </w:rPr>
        <w:t xml:space="preserve">和</w:t>
      </w:r>
      <w:r>
        <w:rPr>
          <w:spacing w:val="-3"/>
        </w:rPr>
        <w:t>TRAF2</w:t>
      </w:r>
      <w:r>
        <w:rPr>
          <w:spacing w:val="-3"/>
        </w:rPr>
        <w:t>)</w:t>
      </w:r>
      <w:r>
        <w:t>、</w:t>
      </w:r>
      <w:r>
        <w:t>A20D</w:t>
      </w:r>
      <w:r/>
      <w:r w:rsidR="001852F3">
        <w:t xml:space="preserve">等，同时</w:t>
      </w:r>
      <w:r>
        <w:t>NF-κB</w:t>
      </w:r>
      <w:r/>
      <w:r w:rsidR="001852F3">
        <w:t xml:space="preserve">还可以通过非凋亡的形式来促进肿瘤的形成，即通过激活原癌基因</w:t>
      </w:r>
      <w:r>
        <w:t>c-myc</w:t>
      </w:r>
      <w:r w:rsidR="001852F3">
        <w:t xml:space="preserve">而刺激增生</w:t>
      </w:r>
      <w:r>
        <w:rPr>
          <w:vertAlign w:val="superscript"/>
          /&gt;
        </w:rPr>
        <w:t>[</w:t>
      </w:r>
      <w:r>
        <w:rPr>
          <w:vertAlign w:val="superscript"/>
          <w:position w:val="14"/>
        </w:rPr>
        <w:t xml:space="preserve">21</w:t>
      </w:r>
      <w:r>
        <w:rPr>
          <w:vertAlign w:val="superscript"/>
          /&gt;
        </w:rPr>
        <w:t>]</w:t>
      </w:r>
      <w:r>
        <w:t>。NF-κB</w:t>
      </w:r>
      <w:r>
        <w:t>活化后可引起抗细胞凋亡基因的表达增加，继而发挥此类因子在调节线粒</w:t>
      </w:r>
      <w:r>
        <w:t>体去极化过程和细胞色素</w:t>
      </w:r>
      <w:r>
        <w:t>C</w:t>
      </w:r>
      <w:r/>
      <w:r w:rsidR="001852F3">
        <w:t xml:space="preserve">生理释放中的抗凋亡功能。其他抗凋亡基因大多也是通过诱导或者上调抗凋亡基因的表达实现的，但令人遗憾的是</w:t>
      </w:r>
      <w:r>
        <w:rPr>
          <w:rFonts w:hint="eastAsia"/>
        </w:rPr>
        <w:t>，</w:t>
      </w:r>
      <w:r>
        <w:t>如</w:t>
      </w:r>
      <w:r>
        <w:t>今的研究仍不清楚是哪些机制最终决定了</w:t>
      </w:r>
      <w:r>
        <w:t>NF-κB</w:t>
      </w:r>
      <w:r/>
      <w:r w:rsidR="001852F3">
        <w:t xml:space="preserve">活化后而产生的生物学效应。</w:t>
      </w:r>
    </w:p>
    <w:p w:rsidR="0018722C">
      <w:pPr>
        <w:pStyle w:val="cw19"/>
        <w:topLinePunct/>
      </w:pPr>
      <w:r>
        <w:rPr>
          <w:rFonts w:ascii="宋体" w:hAnsi="宋体" w:eastAsia="宋体" w:hint="eastAsia"/>
        </w:rPr>
        <w:t>4 </w:t>
      </w:r>
      <w:r>
        <w:rPr>
          <w:rFonts w:ascii="宋体" w:hAnsi="宋体" w:eastAsia="宋体" w:hint="eastAsia"/>
        </w:rPr>
        <w:t>NF-κB</w:t>
      </w:r>
      <w:r w:rsidR="001852F3">
        <w:rPr>
          <w:rFonts w:ascii="宋体" w:hAnsi="宋体" w:eastAsia="宋体" w:hint="eastAsia"/>
        </w:rPr>
        <w:t xml:space="preserve">与耐药</w:t>
      </w:r>
    </w:p>
    <w:p w:rsidR="0018722C">
      <w:pPr>
        <w:topLinePunct/>
      </w:pPr>
      <w:r>
        <w:t>我们已知道，NF-κB</w:t>
      </w:r>
      <w:r w:rsidR="001852F3">
        <w:t xml:space="preserve">在多种实体肿瘤异常表达并多次调控某些效应</w:t>
      </w:r>
      <w:r>
        <w:t>基因的转录，诸如乳腺癌、胰腺癌、结肠癌等，且</w:t>
      </w:r>
      <w:r>
        <w:t>NF-κB</w:t>
      </w:r>
      <w:r/>
      <w:r w:rsidR="001852F3">
        <w:t xml:space="preserve">的活性很高，</w:t>
      </w:r>
      <w:r>
        <w:t>那么究竟是怎样的机制引起了肿瘤的发生与发展，侵袭和转移？研究发现肿瘤的发生、发展及恶化、进展与慢性、长期炎症刺激、细胞凋亡与抗凋</w:t>
      </w:r>
      <w:r>
        <w:t>亡的失衡、肿瘤组织血管和淋巴管的形成相关，还与肿瘤组织的粘附及令人棘手的肿瘤耐药密不可分</w:t>
      </w:r>
      <w:r>
        <w:rPr>
          <w:vertAlign w:val="superscript"/>
          /&gt;
        </w:rPr>
        <w:t>[</w:t>
      </w:r>
      <w:r>
        <w:rPr>
          <w:vertAlign w:val="superscript"/>
          /&gt;
        </w:rPr>
        <w:t xml:space="preserve">22</w:t>
      </w:r>
      <w:r>
        <w:rPr>
          <w:vertAlign w:val="superscript"/>
          /&gt;
        </w:rPr>
        <w:t>]</w:t>
      </w:r>
      <w:r>
        <w:t>，如</w:t>
      </w:r>
      <w:r>
        <w:t>NF-κB</w:t>
      </w:r>
      <w:r/>
      <w:r w:rsidR="001852F3">
        <w:t xml:space="preserve">可激活多种耐药基因的表达</w:t>
      </w:r>
      <w:r>
        <w:rPr>
          <w:rFonts w:hint="eastAsia"/>
        </w:rPr>
        <w:t>，</w:t>
      </w:r>
    </w:p>
    <w:p w:rsidR="0018722C">
      <w:pPr>
        <w:topLinePunct/>
      </w:pPr>
      <w:r>
        <w:t>而多耐药基因的表达产物可组织细胞间毒性药物的堆积</w:t>
      </w:r>
      <w:r>
        <w:rPr>
          <w:vertAlign w:val="superscript"/>
          /&gt;
        </w:rPr>
        <w:t>[</w:t>
      </w:r>
      <w:r>
        <w:rPr>
          <w:vertAlign w:val="superscript"/>
          <w:position w:val="14"/>
        </w:rPr>
        <w:t xml:space="preserve">23</w:t>
      </w:r>
      <w:r>
        <w:rPr>
          <w:vertAlign w:val="superscript"/>
          /&gt;
        </w:rPr>
        <w:t>]</w:t>
      </w:r>
      <w:r>
        <w:t>，据</w:t>
      </w:r>
      <w:r>
        <w:t>NF-κB</w:t>
      </w:r>
      <w:r/>
      <w:r w:rsidR="001852F3">
        <w:t xml:space="preserve">在</w:t>
      </w:r>
      <w:r>
        <w:t>肿瘤组织的高表达和耐药基因中影响的结论，可否通过抑制</w:t>
      </w:r>
      <w:r>
        <w:t>NF-κB</w:t>
      </w:r>
      <w:r/>
      <w:r w:rsidR="001852F3">
        <w:t xml:space="preserve">来抑</w:t>
      </w:r>
      <w:r>
        <w:t>制肿瘤的进展，此外亦有报道究证实，多种</w:t>
      </w:r>
      <w:r>
        <w:t>NF-κB</w:t>
      </w:r>
      <w:r/>
      <w:r w:rsidR="001852F3">
        <w:t xml:space="preserve">通路抑制剂、多肽等</w:t>
      </w:r>
      <w:r>
        <w:t>已经开始应用于临床</w:t>
      </w:r>
      <w:r>
        <w:rPr>
          <w:vertAlign w:val="superscript"/>
          /&gt;
        </w:rPr>
        <w:t>[</w:t>
      </w:r>
      <w:r>
        <w:rPr>
          <w:vertAlign w:val="superscript"/>
          <w:position w:val="14"/>
        </w:rPr>
        <w:t xml:space="preserve">24</w:t>
      </w:r>
      <w:r>
        <w:rPr>
          <w:vertAlign w:val="superscript"/>
          /&gt;
        </w:rPr>
        <w:t>]</w:t>
      </w:r>
      <w:r>
        <w:t>，并且干扰素</w:t>
      </w:r>
      <w:r>
        <w:t>a</w:t>
      </w:r>
      <w:r>
        <w:t>、干扰素</w:t>
      </w:r>
      <w:r>
        <w:t>b</w:t>
      </w:r>
      <w:r>
        <w:t>、白细胞介素</w:t>
      </w:r>
      <w:r>
        <w:t>2</w:t>
      </w:r>
      <w:r/>
      <w:r w:rsidR="001852F3">
        <w:t xml:space="preserve">等被应</w:t>
      </w:r>
      <w:r>
        <w:t>用于治疗肿瘤，其多为</w:t>
      </w:r>
      <w:r>
        <w:t>NF-κB</w:t>
      </w:r>
      <w:r/>
      <w:r w:rsidR="001852F3">
        <w:t xml:space="preserve">的调控因子或是</w:t>
      </w:r>
      <w:r>
        <w:t>NF-κB</w:t>
      </w:r>
      <w:r/>
      <w:r w:rsidR="001852F3">
        <w:t xml:space="preserve">的激活因子。</w:t>
      </w:r>
    </w:p>
    <w:p w:rsidR="0018722C">
      <w:pPr>
        <w:pStyle w:val="cw19"/>
        <w:topLinePunct/>
      </w:pPr>
      <w:r>
        <w:rPr>
          <w:rFonts w:ascii="宋体" w:eastAsia="宋体" w:hint="eastAsia"/>
        </w:rPr>
        <w:t>5</w:t>
      </w:r>
      <w:r>
        <w:rPr>
          <w:rFonts w:ascii="宋体" w:eastAsia="宋体" w:hint="eastAsia"/>
        </w:rPr>
        <w:t>小结与展望</w:t>
      </w:r>
    </w:p>
    <w:p w:rsidR="0018722C">
      <w:pPr>
        <w:topLinePunct/>
      </w:pPr>
      <w:r>
        <w:t>胃癌是我国乃至世界的病死率较高恶性肿瘤，研究发现其发生和发展</w:t>
      </w:r>
      <w:r>
        <w:t>是一个极其复杂的、多步骤的过程，涉及一系列的基因的变化，包括炎症因子的长期、大量的生成</w:t>
      </w:r>
      <w:r>
        <w:rPr>
          <w:rFonts w:hint="eastAsia"/>
        </w:rPr>
        <w:t>，</w:t>
      </w:r>
      <w:r>
        <w:t>免疫因素的改变、组织细胞的凋亡与抗凋亡的</w:t>
      </w:r>
      <w:r>
        <w:t>失衡及基因的突变等多方面的变化，</w:t>
      </w:r>
      <w:r>
        <w:t>近年</w:t>
      </w:r>
      <w:r>
        <w:t>来，大量的研究发现</w:t>
      </w:r>
      <w:r>
        <w:t>NF-κB</w:t>
      </w:r>
      <w:r/>
      <w:r w:rsidR="001852F3">
        <w:t xml:space="preserve">与</w:t>
      </w:r>
      <w:r>
        <w:t>多种实体肿瘤的关系密切，其参与了肿瘤的形成、治疗中的耐药等多方面</w:t>
      </w:r>
      <w:r>
        <w:t>的作用，应用特异性方法进行抑制或者切断其传道通路机制中的某个环</w:t>
      </w:r>
      <w:r>
        <w:t>节，有可能阻滞或控制肿瘤的生长及进展，自</w:t>
      </w:r>
      <w:r>
        <w:t>1986</w:t>
      </w:r>
      <w:r/>
      <w:r w:rsidR="001852F3">
        <w:t xml:space="preserve">年</w:t>
      </w:r>
      <w:r>
        <w:t>NF-κB</w:t>
      </w:r>
      <w:r/>
      <w:r w:rsidR="001852F3">
        <w:t xml:space="preserve">被发现以来，</w:t>
      </w:r>
      <w:r>
        <w:t>对其的深入研究已经取得了一系列的进展，但深入研究其在胃癌等多种实</w:t>
      </w:r>
      <w:r>
        <w:t>体肿瘤的作用及开发出调节</w:t>
      </w:r>
      <w:r>
        <w:t>NF-κB</w:t>
      </w:r>
      <w:r/>
      <w:r w:rsidR="001852F3">
        <w:t xml:space="preserve">的有效药物，同时对机体的副作用进</w:t>
      </w:r>
      <w:r>
        <w:t>一步降低的挑战仍然任重道远。</w:t>
      </w:r>
    </w:p>
    <w:p w:rsidR="0018722C">
      <w:pPr>
        <w:pStyle w:val="afff1"/>
        <w:topLinePunct/>
      </w:pPr>
      <w:bookmarkStart w:id="273661" w:name="_Toc686273661"/>
      <w:bookmarkStart w:name="参考文献 " w:id="46"/>
      <w:bookmarkEnd w:id="46"/>
      <w:r>
        <w:t>参考文献</w:t>
      </w:r>
      <w:bookmarkEnd w:id="273661"/>
    </w:p>
    <w:p w:rsidR="0018722C">
      <w:pPr>
        <w:pStyle w:val="cw19"/>
        <w:topLinePunct/>
      </w:pPr>
      <w:r>
        <w:t xml:space="preserve">[</w:t>
      </w:r>
      <w:r>
        <w:t xml:space="preserve">1</w:t>
      </w:r>
      <w:r>
        <w:t xml:space="preserve">]</w:t>
      </w:r>
      <w:r>
        <w:t xml:space="preserve"> </w:t>
      </w:r>
      <w:r>
        <w:t xml:space="preserve">SiegelR,</w:t>
      </w:r>
      <w:r w:rsidR="004B696B">
        <w:t xml:space="preserve"> </w:t>
      </w:r>
      <w:r w:rsidR="004B696B">
        <w:t xml:space="preserve">Ward </w:t>
      </w:r>
      <w:r>
        <w:t xml:space="preserve">E,</w:t>
      </w:r>
      <w:r w:rsidR="004B696B">
        <w:t xml:space="preserve"> </w:t>
      </w:r>
      <w:r w:rsidR="004B696B">
        <w:t xml:space="preserve">Brawley O,</w:t>
      </w:r>
      <w:r w:rsidR="004B696B">
        <w:t xml:space="preserve"> </w:t>
      </w:r>
      <w:r w:rsidR="004B696B">
        <w:t xml:space="preserve">et al,</w:t>
      </w:r>
      <w:r w:rsidR="004B696B">
        <w:t xml:space="preserve"> </w:t>
      </w:r>
      <w:r w:rsidR="004B696B">
        <w:t xml:space="preserve">Cancer statistics,2001:</w:t>
      </w:r>
      <w:r w:rsidR="004B696B">
        <w:t xml:space="preserve"> </w:t>
      </w:r>
      <w:r w:rsidR="004B696B">
        <w:t xml:space="preserve">the impact of eliminating socioeconomic and racial disparities on premature cancer deaths </w:t>
      </w:r>
      <w:r>
        <w:t xml:space="preserve">[</w:t>
      </w:r>
      <w:r>
        <w:t xml:space="preserve">J</w:t>
      </w:r>
      <w:r>
        <w:t xml:space="preserve">]</w:t>
      </w:r>
      <w:r>
        <w:t xml:space="preserve">.</w:t>
      </w:r>
      <w:r w:rsidR="004B696B">
        <w:t xml:space="preserve"> </w:t>
      </w:r>
      <w:r w:rsidR="004B696B">
        <w:t xml:space="preserve">CA Cancer J</w:t>
      </w:r>
      <w:r>
        <w:t xml:space="preserve"> </w:t>
      </w:r>
      <w:r>
        <w:t xml:space="preserve">Clin,2001,61</w:t>
      </w:r>
      <w:r>
        <w:t xml:space="preserve">(</w:t>
      </w:r>
      <w:r>
        <w:t xml:space="preserve">4</w:t>
      </w:r>
      <w:r>
        <w:t xml:space="preserve">)</w:t>
      </w:r>
      <w:r>
        <w:t xml:space="preserve">:212-236.</w:t>
      </w:r>
    </w:p>
    <w:p w:rsidR="0018722C">
      <w:pPr>
        <w:pStyle w:val="cw19"/>
        <w:topLinePunct/>
      </w:pPr>
      <w:r>
        <w:t>[</w:t>
      </w:r>
      <w:r>
        <w:t xml:space="preserve">2</w:t>
      </w:r>
      <w:r>
        <w:t>]</w:t>
      </w:r>
      <w:r>
        <w:t xml:space="preserve"> </w:t>
      </w:r>
      <w:r>
        <w:t>Scaife CL,</w:t>
      </w:r>
      <w:r w:rsidR="004B696B">
        <w:t xml:space="preserve"> </w:t>
      </w:r>
      <w:r w:rsidR="004B696B">
        <w:t>Kuang </w:t>
      </w:r>
      <w:r>
        <w:t>J,</w:t>
      </w:r>
      <w:r w:rsidR="004B696B">
        <w:t xml:space="preserve"> </w:t>
      </w:r>
      <w:r w:rsidR="004B696B">
        <w:t>Wills </w:t>
      </w:r>
      <w:r>
        <w:t>Jc,</w:t>
      </w:r>
      <w:r w:rsidR="004B696B">
        <w:t xml:space="preserve"> </w:t>
      </w:r>
      <w:r w:rsidR="004B696B">
        <w:t>et al.</w:t>
      </w:r>
      <w:r w:rsidR="004B696B">
        <w:t xml:space="preserve"> </w:t>
      </w:r>
      <w:r w:rsidR="004B696B">
        <w:t>Nuclear factor kappaB inhibition</w:t>
      </w:r>
      <w:r>
        <w:t> </w:t>
      </w:r>
      <w:r>
        <w:t>induce</w:t>
      </w:r>
    </w:p>
    <w:p w:rsidR="0018722C">
      <w:pPr>
        <w:topLinePunct/>
      </w:pPr>
      <w:r>
        <w:rPr>
          <w:rFonts w:ascii="Times New Roman"/>
        </w:rPr>
        <w:t/>
      </w:r>
      <w:r>
        <w:rPr>
          <w:rFonts w:ascii="Times New Roman"/>
        </w:rPr>
        <w:t>A</w:t>
      </w:r>
      <w:r>
        <w:rPr>
          <w:rFonts w:ascii="Times New Roman"/>
        </w:rPr>
        <w:t>dhesion</w:t>
      </w:r>
      <w:r w:rsidR="001852F3">
        <w:rPr>
          <w:rFonts w:ascii="Times New Roman"/>
        </w:rPr>
        <w:t xml:space="preserve"> dependent colon cancer apoptosis.</w:t>
      </w:r>
      <w:r w:rsidR="004B696B">
        <w:rPr>
          <w:rFonts w:ascii="Times New Roman"/>
        </w:rPr>
        <w:t xml:space="preserve"> </w:t>
      </w:r>
      <w:r w:rsidR="004B696B">
        <w:rPr>
          <w:rFonts w:ascii="Times New Roman"/>
        </w:rPr>
        <w:t xml:space="preserve">Cancer Res,2002,62:6870-6878.</w:t>
      </w:r>
    </w:p>
    <w:p w:rsidR="0018722C">
      <w:pPr>
        <w:pStyle w:val="cw19"/>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黄小兵. </w:t>
      </w:r>
      <w:r>
        <w:rPr>
          <w:rFonts w:ascii="宋体" w:hAnsi="宋体" w:eastAsia="宋体" w:hint="eastAsia"/>
        </w:rPr>
        <w:t>NF-κB</w:t>
      </w:r>
      <w:r w:rsidR="001852F3">
        <w:rPr>
          <w:rFonts w:ascii="宋体" w:hAnsi="宋体" w:eastAsia="宋体" w:hint="eastAsia"/>
        </w:rPr>
        <w:t xml:space="preserve">在感染和炎症促进肿瘤发生及发展中的作用.重庆医</w:t>
      </w:r>
      <w:r>
        <w:rPr>
          <w:rFonts w:ascii="宋体" w:hAnsi="宋体" w:eastAsia="宋体" w:hint="eastAsia"/>
        </w:rPr>
        <w:t>学</w:t>
      </w:r>
      <w:r>
        <w:t>[</w:t>
      </w:r>
      <w:r>
        <w:t xml:space="preserve">J</w:t>
      </w:r>
      <w:r>
        <w:t>]</w:t>
      </w:r>
      <w:r>
        <w:t xml:space="preserve">.2008,37</w:t>
      </w:r>
      <w:r>
        <w:t>(</w:t>
      </w:r>
      <w:r>
        <w:t>23</w:t>
      </w:r>
      <w:r>
        <w:t>)</w:t>
      </w:r>
      <w:r>
        <w:t>:2741-2743.</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李菁</w:t>
      </w:r>
      <w:r>
        <w:rPr>
          <w:rFonts w:ascii="宋体" w:eastAsia="宋体" w:hint="eastAsia"/>
        </w:rPr>
        <w:t>，</w:t>
      </w:r>
      <w:r w:rsidR="001852F3">
        <w:rPr>
          <w:rFonts w:ascii="宋体" w:eastAsia="宋体" w:hint="eastAsia"/>
        </w:rPr>
        <w:t xml:space="preserve">朱元民</w:t>
      </w:r>
      <w:r>
        <w:rPr>
          <w:rFonts w:ascii="宋体" w:eastAsia="宋体" w:hint="eastAsia"/>
        </w:rPr>
        <w:t>，</w:t>
      </w:r>
      <w:r>
        <w:rPr>
          <w:rFonts w:ascii="宋体" w:eastAsia="宋体" w:hint="eastAsia"/>
        </w:rPr>
        <w:t>刘玉兰. 炎症与肿瘤关系研究进展. 中国医药导刊</w:t>
      </w:r>
    </w:p>
    <w:p w:rsidR="0018722C">
      <w:pPr>
        <w:topLinePunct/>
      </w:pPr>
      <w:r>
        <w:t>[</w:t>
      </w:r>
      <w:r>
        <w:t xml:space="preserve">J</w:t>
      </w:r>
      <w:r>
        <w:t>]</w:t>
      </w:r>
      <w:r>
        <w:t xml:space="preserve">,2007,9</w:t>
      </w:r>
      <w:r>
        <w:t>(</w:t>
      </w:r>
      <w:r>
        <w:t>3</w:t>
      </w:r>
      <w:r>
        <w:t>)</w:t>
      </w:r>
      <w:r>
        <w:t>.217-219.</w:t>
      </w:r>
    </w:p>
    <w:p w:rsidR="0018722C">
      <w:pPr>
        <w:pStyle w:val="cw19"/>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韩竞春</w:t>
      </w:r>
      <w:r>
        <w:rPr>
          <w:rFonts w:ascii="宋体" w:hAnsi="宋体" w:eastAsia="宋体" w:hint="eastAsia"/>
        </w:rPr>
        <w:t>，</w:t>
      </w:r>
      <w:r>
        <w:rPr>
          <w:rFonts w:ascii="宋体" w:hAnsi="宋体" w:eastAsia="宋体" w:hint="eastAsia"/>
        </w:rPr>
        <w:t>黄磊</w:t>
      </w:r>
      <w:r>
        <w:rPr>
          <w:rFonts w:ascii="宋体" w:hAnsi="宋体" w:eastAsia="宋体" w:hint="eastAsia"/>
        </w:rPr>
        <w:t>，</w:t>
      </w:r>
      <w:r>
        <w:rPr>
          <w:rFonts w:ascii="宋体" w:hAnsi="宋体" w:eastAsia="宋体" w:hint="eastAsia"/>
        </w:rPr>
        <w:t>张开立等. </w:t>
      </w:r>
      <w:r>
        <w:rPr>
          <w:rFonts w:ascii="宋体" w:hAnsi="宋体" w:eastAsia="宋体" w:hint="eastAsia"/>
        </w:rPr>
        <w:t>NF-κB</w:t>
      </w:r>
      <w:r w:rsidR="001852F3">
        <w:rPr>
          <w:rFonts w:ascii="宋体" w:hAnsi="宋体" w:eastAsia="宋体" w:hint="eastAsia"/>
        </w:rPr>
        <w:t xml:space="preserve">和</w:t>
      </w:r>
      <w:r>
        <w:rPr>
          <w:rFonts w:ascii="宋体" w:hAnsi="宋体" w:eastAsia="宋体" w:hint="eastAsia"/>
        </w:rPr>
        <w:t>Stat3</w:t>
      </w:r>
      <w:r w:rsidR="001852F3">
        <w:rPr>
          <w:rFonts w:ascii="宋体" w:hAnsi="宋体" w:eastAsia="宋体" w:hint="eastAsia"/>
        </w:rPr>
        <w:t xml:space="preserve">信号途径在胃癌组织和细</w:t>
      </w:r>
      <w:r>
        <w:rPr>
          <w:rFonts w:ascii="宋体" w:hAnsi="宋体" w:eastAsia="宋体" w:hint="eastAsia"/>
        </w:rPr>
        <w:t>胞系中的活化.临床军医杂志</w:t>
      </w:r>
      <w:r>
        <w:t>[</w:t>
      </w:r>
      <w:r>
        <w:t xml:space="preserve">J</w:t>
      </w:r>
      <w:r>
        <w:t>]</w:t>
      </w:r>
      <w:r>
        <w:t xml:space="preserve">.2008,36</w:t>
      </w:r>
      <w:r>
        <w:t>(</w:t>
      </w:r>
      <w:r>
        <w:t>2</w:t>
      </w:r>
      <w:r>
        <w:t>)</w:t>
      </w:r>
      <w:r>
        <w:t>:166-168.</w:t>
      </w:r>
    </w:p>
    <w:p w:rsidR="0018722C">
      <w:pPr>
        <w:pStyle w:val="cw19"/>
        <w:topLinePunct/>
      </w:pPr>
      <w:r>
        <w:rPr>
          <w:rFonts w:ascii="宋体" w:hAnsi="宋体" w:eastAsia="宋体" w:hint="eastAsia"/>
        </w:rPr>
        <w:t>[</w:t>
      </w:r>
      <w:r>
        <w:rPr>
          <w:rFonts w:ascii="宋体" w:hAnsi="宋体" w:eastAsia="宋体" w:hint="eastAsia"/>
        </w:rPr>
        <w:t xml:space="preserve">6</w:t>
      </w:r>
      <w:r>
        <w:rPr>
          <w:rFonts w:ascii="宋体" w:hAnsi="宋体" w:eastAsia="宋体" w:hint="eastAsia"/>
        </w:rPr>
        <w:t>]</w:t>
      </w:r>
      <w:r>
        <w:rPr>
          <w:rFonts w:ascii="宋体" w:hAnsi="宋体" w:eastAsia="宋体" w:hint="eastAsia"/>
        </w:rPr>
        <w:t>李利.核因子-</w:t>
      </w:r>
      <w:r>
        <w:rPr>
          <w:rFonts w:ascii="宋体" w:hAnsi="宋体" w:eastAsia="宋体" w:hint="eastAsia"/>
        </w:rPr>
        <w:t>κB</w:t>
      </w:r>
      <w:r w:rsidR="001852F3">
        <w:rPr>
          <w:rFonts w:ascii="宋体" w:hAnsi="宋体" w:eastAsia="宋体" w:hint="eastAsia"/>
        </w:rPr>
        <w:t xml:space="preserve">的结构和功能研究及与全身炎症反应综合征的关</w:t>
      </w:r>
      <w:r>
        <w:rPr>
          <w:rFonts w:ascii="宋体" w:hAnsi="宋体" w:eastAsia="宋体" w:hint="eastAsia"/>
        </w:rPr>
        <w:t>系.国外医学临床生物化学与检验学分册</w:t>
      </w:r>
      <w:r>
        <w:t>[</w:t>
      </w:r>
      <w:r>
        <w:rPr>
          <w:rFonts w:ascii="宋体" w:hAnsi="宋体" w:eastAsia="宋体" w:hint="eastAsia"/>
        </w:rPr>
        <w:t>J</w:t>
      </w:r>
      <w:r>
        <w:t>]</w:t>
      </w:r>
      <w:r>
        <w:rPr>
          <w:rFonts w:ascii="宋体" w:hAnsi="宋体" w:eastAsia="宋体" w:hint="eastAsia"/>
        </w:rPr>
        <w:t>.</w:t>
      </w:r>
      <w:r>
        <w:rPr>
          <w:rFonts w:ascii="宋体" w:hAnsi="宋体" w:eastAsia="宋体" w:hint="eastAsia"/>
        </w:rPr>
        <w:t>2</w:t>
      </w:r>
      <w:r>
        <w:rPr>
          <w:rFonts w:ascii="宋体" w:hAnsi="宋体" w:eastAsia="宋体" w:hint="eastAsia"/>
        </w:rPr>
        <w:t>00</w:t>
      </w:r>
      <w:r>
        <w:rPr>
          <w:rFonts w:ascii="宋体" w:hAnsi="宋体" w:eastAsia="宋体" w:hint="eastAsia"/>
        </w:rPr>
        <w:t>5</w:t>
      </w:r>
      <w:r>
        <w:rPr>
          <w:rFonts w:ascii="宋体" w:hAnsi="宋体" w:eastAsia="宋体" w:hint="eastAsia"/>
        </w:rPr>
        <w:t>,2</w:t>
      </w:r>
      <w:r>
        <w:rPr>
          <w:rFonts w:ascii="宋体" w:hAnsi="宋体" w:eastAsia="宋体" w:hint="eastAsia"/>
        </w:rPr>
        <w:t>6</w:t>
      </w:r>
      <w:r>
        <w:rPr>
          <w:rFonts w:ascii="宋体" w:hAnsi="宋体" w:eastAsia="宋体" w:hint="eastAsia"/>
        </w:rPr>
        <w:t>(</w:t>
      </w:r>
      <w:r>
        <w:rPr>
          <w:rFonts w:ascii="宋体" w:hAnsi="宋体" w:eastAsia="宋体" w:hint="eastAsia"/>
        </w:rPr>
        <w:t>1</w:t>
      </w:r>
      <w:r>
        <w:rPr>
          <w:rFonts w:ascii="宋体" w:hAnsi="宋体" w:eastAsia="宋体" w:hint="eastAsia"/>
        </w:rPr>
        <w:t>1</w:t>
      </w:r>
      <w:r>
        <w:rPr>
          <w:rFonts w:ascii="宋体" w:hAnsi="宋体" w:eastAsia="宋体" w:hint="eastAsia"/>
        </w:rPr>
        <w:t>)</w:t>
      </w:r>
      <w:r>
        <w:rPr>
          <w:rFonts w:ascii="宋体" w:hAnsi="宋体" w:eastAsia="宋体" w:hint="eastAsia"/>
        </w:rPr>
        <w:t>:</w:t>
      </w:r>
      <w:r>
        <w:rPr>
          <w:rFonts w:ascii="宋体" w:hAnsi="宋体" w:eastAsia="宋体" w:hint="eastAsia"/>
        </w:rPr>
        <w:t>79</w:t>
      </w:r>
      <w:r>
        <w:rPr>
          <w:rFonts w:ascii="宋体" w:hAnsi="宋体" w:eastAsia="宋体" w:hint="eastAsia"/>
        </w:rPr>
        <w:t>2</w:t>
      </w:r>
      <w:r>
        <w:rPr>
          <w:rFonts w:ascii="宋体" w:hAnsi="宋体" w:eastAsia="宋体" w:hint="eastAsia"/>
        </w:rPr>
        <w:t>-7</w:t>
      </w:r>
      <w:r>
        <w:rPr>
          <w:rFonts w:ascii="宋体" w:hAnsi="宋体" w:eastAsia="宋体" w:hint="eastAsia"/>
        </w:rPr>
        <w:t>9</w:t>
      </w:r>
      <w:r>
        <w:rPr>
          <w:rFonts w:ascii="宋体" w:hAnsi="宋体" w:eastAsia="宋体" w:hint="eastAsia"/>
        </w:rPr>
        <w:t>4</w:t>
      </w:r>
      <w:r>
        <w:rPr>
          <w:rFonts w:ascii="宋体" w:hAnsi="宋体" w:eastAsia="宋体" w:hint="eastAsia"/>
        </w:rPr>
        <w:t>.</w:t>
      </w:r>
    </w:p>
    <w:p w:rsidR="0018722C">
      <w:pPr>
        <w:topLinePunct/>
      </w:pPr>
      <w:r>
        <w:t>[</w:t>
      </w:r>
      <w:r>
        <w:t>7</w:t>
      </w:r>
      <w:r>
        <w:t>]</w:t>
      </w:r>
      <w:r/>
      <w:r w:rsidR="001852F3">
        <w:t xml:space="preserve">赵蔚然. </w:t>
      </w:r>
      <w:r>
        <w:t>NF-κB</w:t>
      </w:r>
      <w:r/>
      <w:r w:rsidR="001852F3">
        <w:t xml:space="preserve">与肿瘤生成.西部医学</w:t>
      </w:r>
      <w:r/>
      <w:r>
        <w:t>[</w:t>
      </w:r>
      <w:r>
        <w:t xml:space="preserve">J</w:t>
      </w:r>
      <w:r>
        <w:t>]</w:t>
      </w:r>
      <w:r>
        <w:t xml:space="preserve">.2010,22</w:t>
      </w:r>
      <w:r>
        <w:t>(</w:t>
      </w:r>
      <w:r>
        <w:t>9</w:t>
      </w:r>
      <w:r>
        <w:t>)</w:t>
      </w:r>
      <w:r>
        <w:t>:1729-1731.</w:t>
      </w:r>
    </w:p>
    <w:p w:rsidR="0018722C">
      <w:pPr>
        <w:pStyle w:val="cw19"/>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李娜</w:t>
      </w:r>
      <w:r>
        <w:rPr>
          <w:rFonts w:ascii="宋体" w:hAnsi="宋体" w:eastAsia="宋体" w:hint="eastAsia"/>
        </w:rPr>
        <w:t>，</w:t>
      </w:r>
      <w:r>
        <w:rPr>
          <w:rFonts w:ascii="宋体" w:hAnsi="宋体" w:eastAsia="宋体" w:hint="eastAsia"/>
        </w:rPr>
        <w:t>曹书华. </w:t>
      </w:r>
      <w:r>
        <w:rPr>
          <w:rFonts w:ascii="宋体" w:hAnsi="宋体" w:eastAsia="宋体" w:hint="eastAsia"/>
        </w:rPr>
        <w:t>NF-κB</w:t>
      </w:r>
      <w:r w:rsidR="001852F3">
        <w:rPr>
          <w:rFonts w:ascii="宋体" w:hAnsi="宋体" w:eastAsia="宋体" w:hint="eastAsia"/>
        </w:rPr>
        <w:t xml:space="preserve">在机体炎症与免疫反应中作用的研究进展.中</w:t>
      </w:r>
      <w:r>
        <w:rPr>
          <w:rFonts w:ascii="宋体" w:hAnsi="宋体" w:eastAsia="宋体" w:hint="eastAsia"/>
        </w:rPr>
        <w:t>华急诊医学杂志</w:t>
      </w:r>
      <w:r>
        <w:t>[</w:t>
      </w:r>
      <w:r>
        <w:t xml:space="preserve">J</w:t>
      </w:r>
      <w:r>
        <w:t>]</w:t>
      </w:r>
      <w:r>
        <w:t xml:space="preserve">.2007,16</w:t>
      </w:r>
      <w:r>
        <w:t>(</w:t>
      </w:r>
      <w:r>
        <w:t>4</w:t>
      </w:r>
      <w:r>
        <w:t>)</w:t>
      </w:r>
      <w:r>
        <w:t>:442-444.</w:t>
      </w:r>
    </w:p>
    <w:p w:rsidR="0018722C">
      <w:pPr>
        <w:pStyle w:val="cw19"/>
        <w:topLinePunct/>
      </w:pPr>
      <w:r>
        <w:t>[</w:t>
      </w:r>
      <w:r>
        <w:t xml:space="preserve">9</w:t>
      </w:r>
      <w:r>
        <w:t>]</w:t>
      </w:r>
      <w:r>
        <w:t xml:space="preserve"> </w:t>
      </w:r>
      <w:r>
        <w:t>Wu</w:t>
      </w:r>
      <w:r>
        <w:t> </w:t>
      </w:r>
      <w:r>
        <w:t>Jixiong</w:t>
      </w:r>
      <w:r>
        <w:t> </w:t>
      </w:r>
      <w:r>
        <w:t>Deng</w:t>
      </w:r>
      <w:r>
        <w:t> </w:t>
      </w:r>
      <w:r>
        <w:t>Yafang</w:t>
      </w:r>
      <w:r>
        <w:t> </w:t>
      </w:r>
      <w:r>
        <w:t>Fang</w:t>
      </w:r>
      <w:r>
        <w:t> </w:t>
      </w:r>
      <w:r>
        <w:t>Liang</w:t>
      </w:r>
      <w:r>
        <w:rPr>
          <w:rFonts w:ascii="宋体" w:hAnsi="宋体" w:eastAsia="宋体" w:hint="eastAsia"/>
          <w:rFonts w:ascii="宋体" w:hAnsi="宋体" w:eastAsia="宋体" w:hint="eastAsia"/>
          <w:w w:val="95"/>
          <w:sz w:val="28"/>
        </w:rPr>
        <w:t xml:space="preserve">, </w:t>
      </w:r>
      <w:r>
        <w:t>Chronic</w:t>
      </w:r>
      <w:r>
        <w:t> </w:t>
      </w:r>
      <w:r>
        <w:t>Atrophic</w:t>
      </w:r>
      <w:r>
        <w:t> </w:t>
      </w:r>
      <w:r>
        <w:t>Gastritis</w:t>
      </w:r>
      <w:r>
        <w:t> </w:t>
      </w:r>
      <w:r>
        <w:t>Patients</w:t>
      </w:r>
      <w:r>
        <w:t> </w:t>
      </w:r>
      <w:r>
        <w:t>in </w:t>
      </w:r>
      <w:r>
        <w:t>Vivo</w:t>
      </w:r>
      <w:r>
        <w:t> </w:t>
      </w:r>
      <w:r>
        <w:t>Expression</w:t>
      </w:r>
      <w:r>
        <w:t> </w:t>
      </w:r>
      <w:r>
        <w:t>and</w:t>
      </w:r>
      <w:r>
        <w:t> </w:t>
      </w:r>
      <w:r>
        <w:t>Significance</w:t>
      </w:r>
      <w:r>
        <w:t> </w:t>
      </w:r>
      <w:r>
        <w:t>of</w:t>
      </w:r>
      <w:r>
        <w:t> </w:t>
      </w:r>
      <w:r>
        <w:t>NF-κB</w:t>
      </w:r>
      <w:r>
        <w:t> </w:t>
      </w:r>
      <w:r>
        <w:t>and</w:t>
      </w:r>
      <w:r>
        <w:t> </w:t>
      </w:r>
      <w:r>
        <w:t>Bcl-2</w:t>
      </w:r>
      <w:r>
        <w:t>[</w:t>
      </w:r>
      <w:r>
        <w:rPr>
          <w:sz w:val="28"/>
        </w:rPr>
        <w:t>J</w:t>
      </w:r>
      <w:r>
        <w:t>]</w:t>
      </w:r>
      <w:r>
        <w:t>.</w:t>
      </w:r>
      <w:r w:rsidR="004B696B">
        <w:t xml:space="preserve"> </w:t>
      </w:r>
      <w:r w:rsidR="004B696B">
        <w:t>Journal</w:t>
      </w:r>
      <w:r>
        <w:t> </w:t>
      </w:r>
      <w:r>
        <w:t>of</w:t>
      </w:r>
      <w:r>
        <w:t> </w:t>
      </w:r>
      <w:r>
        <w:t>Hainan </w:t>
      </w:r>
      <w:r>
        <w:t>Medical</w:t>
      </w:r>
      <w:r>
        <w:t> </w:t>
      </w:r>
      <w:r>
        <w:t>University,2013,7</w:t>
      </w:r>
      <w:r>
        <w:rPr>
          <w:rFonts w:ascii="宋体" w:hAnsi="宋体" w:eastAsia="宋体" w:hint="eastAsia"/>
          <w:rFonts w:ascii="宋体" w:hAnsi="宋体" w:eastAsia="宋体" w:hint="eastAsia"/>
          <w:sz w:val="28"/>
        </w:rPr>
        <w:t xml:space="preserve">: </w:t>
      </w:r>
      <w:r>
        <w:t>895-897+900.</w:t>
      </w:r>
    </w:p>
    <w:p w:rsidR="0018722C">
      <w:pPr>
        <w:pStyle w:val="cw19"/>
        <w:topLinePunct/>
      </w:pPr>
      <w:r>
        <w:t>[</w:t>
      </w:r>
      <w:r>
        <w:t xml:space="preserve">10</w:t>
      </w:r>
      <w:r>
        <w:t>]</w:t>
      </w:r>
      <w:r>
        <w:t xml:space="preserve"> </w:t>
      </w:r>
      <w:r>
        <w:t>Baeuerle </w:t>
      </w:r>
      <w:r>
        <w:t>PA,</w:t>
      </w:r>
      <w:r w:rsidR="004B696B">
        <w:t xml:space="preserve"> </w:t>
      </w:r>
      <w:r w:rsidR="004B696B">
        <w:t>Baltimore </w:t>
      </w:r>
      <w:r>
        <w:t>D,</w:t>
      </w:r>
      <w:r w:rsidR="004B696B">
        <w:t xml:space="preserve"> </w:t>
      </w:r>
      <w:r w:rsidR="004B696B">
        <w:t>NF-kappa B:</w:t>
      </w:r>
      <w:r w:rsidR="004B696B">
        <w:t xml:space="preserve"> </w:t>
      </w:r>
      <w:r w:rsidR="004B696B">
        <w:t>ten years</w:t>
      </w:r>
      <w:r>
        <w:t> </w:t>
      </w:r>
      <w:r>
        <w:t>after</w:t>
      </w:r>
      <w:r>
        <w:t>[</w:t>
      </w:r>
      <w:r>
        <w:t>J</w:t>
      </w:r>
      <w:r>
        <w:t>]</w:t>
      </w:r>
      <w:r>
        <w:t>.</w:t>
      </w:r>
      <w:r w:rsidR="004B696B">
        <w:t xml:space="preserve"> </w:t>
      </w:r>
      <w:r w:rsidR="004B696B">
        <w:t>Cell,1996,87</w:t>
      </w:r>
      <w:r>
        <w:t>(</w:t>
      </w:r>
      <w:r>
        <w:t>1</w:t>
      </w:r>
      <w:r>
        <w:t>)</w:t>
      </w:r>
      <w:r>
        <w:t>:13-20.</w:t>
      </w:r>
    </w:p>
    <w:p w:rsidR="0018722C">
      <w:pPr>
        <w:pStyle w:val="cw19"/>
        <w:topLinePunct/>
      </w:pPr>
      <w:r>
        <w:t>[</w:t>
      </w:r>
      <w:r>
        <w:t xml:space="preserve">11</w:t>
      </w:r>
      <w:r>
        <w:t>]</w:t>
      </w:r>
      <w:r>
        <w:t xml:space="preserve"> </w:t>
      </w:r>
      <w:r>
        <w:t>Mayo MW,</w:t>
      </w:r>
      <w:r w:rsidR="004B696B">
        <w:t xml:space="preserve"> </w:t>
      </w:r>
      <w:r w:rsidR="004B696B">
        <w:t>Baldwin AS.</w:t>
      </w:r>
      <w:r w:rsidR="004B696B">
        <w:t xml:space="preserve"> </w:t>
      </w:r>
      <w:r w:rsidR="004B696B">
        <w:t>The transcription factor NF-kappa B:</w:t>
      </w:r>
      <w:r w:rsidR="004B696B">
        <w:t xml:space="preserve"> </w:t>
      </w:r>
      <w:r w:rsidR="004B696B">
        <w:t>control of oncogenesis and cancer therapy resistance</w:t>
      </w:r>
      <w:r>
        <w:t>[</w:t>
      </w:r>
      <w:r>
        <w:t>J</w:t>
      </w:r>
      <w:r>
        <w:t>]</w:t>
      </w:r>
      <w:r>
        <w:t>.</w:t>
      </w:r>
      <w:r w:rsidR="004B696B">
        <w:t xml:space="preserve"> </w:t>
      </w:r>
      <w:r w:rsidR="004B696B">
        <w:t>Biochim Biophys Acta,2000,1470</w:t>
      </w:r>
      <w:r>
        <w:t>(</w:t>
      </w:r>
      <w:r>
        <w:t>2</w:t>
      </w:r>
      <w:r>
        <w:t>)</w:t>
      </w:r>
      <w:r>
        <w:t>:M55-62.</w:t>
      </w:r>
    </w:p>
    <w:p w:rsidR="0018722C">
      <w:pPr>
        <w:pStyle w:val="cw19"/>
        <w:topLinePunct/>
      </w:pPr>
      <w:r>
        <w:t>[</w:t>
      </w:r>
      <w:r>
        <w:t xml:space="preserve">12</w:t>
      </w:r>
      <w:r>
        <w:t>]</w:t>
      </w:r>
      <w:r>
        <w:t xml:space="preserve"> </w:t>
      </w:r>
      <w:r>
        <w:t>Zhang</w:t>
      </w:r>
      <w:r>
        <w:t> </w:t>
      </w:r>
      <w:r>
        <w:t>X,</w:t>
      </w:r>
      <w:r w:rsidR="004B696B">
        <w:t xml:space="preserve"> </w:t>
      </w:r>
      <w:r w:rsidR="004B696B">
        <w:t>Nie</w:t>
      </w:r>
      <w:r>
        <w:t> </w:t>
      </w:r>
      <w:r>
        <w:t>D,</w:t>
      </w:r>
      <w:r w:rsidR="004B696B">
        <w:t xml:space="preserve"> </w:t>
      </w:r>
      <w:r w:rsidR="004B696B">
        <w:t>Chakrabarty</w:t>
      </w:r>
      <w:r>
        <w:t> </w:t>
      </w:r>
      <w:r>
        <w:t>S.</w:t>
      </w:r>
      <w:r w:rsidR="004B696B">
        <w:t xml:space="preserve"> </w:t>
      </w:r>
      <w:r w:rsidR="004B696B">
        <w:t>Groth</w:t>
      </w:r>
      <w:r>
        <w:t> </w:t>
      </w:r>
      <w:r>
        <w:t>factors</w:t>
      </w:r>
      <w:r>
        <w:t> </w:t>
      </w:r>
      <w:r>
        <w:t>in</w:t>
      </w:r>
      <w:r>
        <w:t> </w:t>
      </w:r>
      <w:r>
        <w:t>tumor</w:t>
      </w:r>
      <w:r>
        <w:t> </w:t>
      </w:r>
      <w:r>
        <w:t>microenvironment.</w:t>
      </w:r>
      <w:r w:rsidR="004B696B">
        <w:t xml:space="preserve"> </w:t>
      </w:r>
      <w:r w:rsidR="004B696B">
        <w:t>Front</w:t>
      </w:r>
    </w:p>
    <w:p w:rsidR="0018722C">
      <w:pPr>
        <w:topLinePunct/>
      </w:pPr>
      <w:r>
        <w:rPr>
          <w:rFonts w:ascii="Times New Roman"/>
        </w:rPr>
        <w:t>Biosci,2010,15:151-165.</w:t>
      </w:r>
    </w:p>
    <w:p w:rsidR="0018722C">
      <w:pPr>
        <w:pStyle w:val="cw19"/>
        <w:topLinePunct/>
      </w:pPr>
      <w:r>
        <w:t>[</w:t>
      </w:r>
      <w:r>
        <w:t xml:space="preserve">13</w:t>
      </w:r>
      <w:r>
        <w:t>]</w:t>
      </w:r>
      <w:r>
        <w:t xml:space="preserve"> </w:t>
      </w:r>
      <w:r>
        <w:t>Rajput S,</w:t>
      </w:r>
      <w:r w:rsidR="004B696B">
        <w:t xml:space="preserve"> </w:t>
      </w:r>
      <w:r w:rsidR="004B696B">
        <w:t>Wilber A.</w:t>
      </w:r>
      <w:r w:rsidR="004B696B">
        <w:t xml:space="preserve"> </w:t>
      </w:r>
      <w:r w:rsidR="004B696B">
        <w:t>Role of inflammation in cancer intiation,</w:t>
      </w:r>
      <w:r w:rsidR="004B696B">
        <w:t xml:space="preserve"> </w:t>
      </w:r>
      <w:r w:rsidR="004B696B">
        <w:t>progression and metastasis.</w:t>
      </w:r>
      <w:r w:rsidR="004B696B">
        <w:t xml:space="preserve"> </w:t>
      </w:r>
      <w:r w:rsidR="004B696B">
        <w:t>Front Biosci</w:t>
      </w:r>
      <w:r>
        <w:t>(</w:t>
      </w:r>
      <w:r>
        <w:t>Schol</w:t>
      </w:r>
      <w:r>
        <w:t> </w:t>
      </w:r>
      <w:r>
        <w:t>Ed</w:t>
      </w:r>
      <w:r>
        <w:t>)</w:t>
      </w:r>
      <w:r>
        <w:t>,2010,2:176-183.</w:t>
      </w:r>
    </w:p>
    <w:p w:rsidR="0018722C">
      <w:pPr>
        <w:pStyle w:val="cw19"/>
        <w:topLinePunct/>
      </w:pPr>
      <w:r>
        <w:t>[</w:t>
      </w:r>
      <w:r>
        <w:t xml:space="preserve">14</w:t>
      </w:r>
      <w:r>
        <w:t>]</w:t>
      </w:r>
      <w:r>
        <w:t xml:space="preserve"> </w:t>
      </w:r>
      <w:r>
        <w:t>Nauts</w:t>
      </w:r>
      <w:r w:rsidR="001852F3">
        <w:t xml:space="preserve">  HC,</w:t>
      </w:r>
      <w:r w:rsidR="004B696B">
        <w:t xml:space="preserve"> </w:t>
      </w:r>
      <w:r w:rsidR="004B696B">
        <w:t xml:space="preserve">Mc</w:t>
      </w:r>
      <w:r w:rsidR="001852F3">
        <w:t xml:space="preserve">  Laren</w:t>
      </w:r>
      <w:r w:rsidR="001852F3">
        <w:t xml:space="preserve">  JR.</w:t>
      </w:r>
      <w:r w:rsidR="004B696B">
        <w:t xml:space="preserve"> </w:t>
      </w:r>
      <w:r w:rsidR="004B696B">
        <w:t xml:space="preserve">Coletroxins-the</w:t>
      </w:r>
      <w:r w:rsidR="001852F3">
        <w:t xml:space="preserve">  firescentury.</w:t>
      </w:r>
      <w:r w:rsidR="001852F3">
        <w:t xml:space="preserve"> </w:t>
      </w:r>
      <w:r w:rsidR="001852F3">
        <w:t xml:space="preserve">Adv</w:t>
      </w:r>
      <w:r>
        <w:t> </w:t>
      </w:r>
      <w:r>
        <w:t>ExpMed</w:t>
      </w:r>
    </w:p>
    <w:p w:rsidR="0018722C">
      <w:pPr>
        <w:topLinePunct/>
      </w:pPr>
      <w:r>
        <w:rPr>
          <w:rFonts w:ascii="Times New Roman"/>
        </w:rPr>
        <w:t>Biol.1990;267:483-500.</w:t>
      </w:r>
    </w:p>
    <w:p w:rsidR="0018722C">
      <w:pPr>
        <w:pStyle w:val="cw19"/>
        <w:topLinePunct/>
      </w:pPr>
      <w:r>
        <w:t>[</w:t>
      </w:r>
      <w:r>
        <w:t xml:space="preserve">15</w:t>
      </w:r>
      <w:r>
        <w:t>]</w:t>
      </w:r>
      <w:r>
        <w:t xml:space="preserve"> </w:t>
      </w:r>
      <w:r>
        <w:t>Gallucci S,</w:t>
      </w:r>
      <w:r w:rsidR="004B696B">
        <w:t xml:space="preserve"> </w:t>
      </w:r>
      <w:r w:rsidR="004B696B">
        <w:t>Matzinger P.</w:t>
      </w:r>
      <w:r w:rsidR="004B696B">
        <w:t xml:space="preserve"> </w:t>
      </w:r>
      <w:r w:rsidR="004B696B">
        <w:t>Danger singals:</w:t>
      </w:r>
      <w:r w:rsidR="004B696B">
        <w:t xml:space="preserve"> </w:t>
      </w:r>
      <w:r w:rsidR="004B696B">
        <w:t>SOS to the immune</w:t>
      </w:r>
      <w:r>
        <w:t> </w:t>
      </w:r>
      <w:r>
        <w:t>system.</w:t>
      </w:r>
      <w:r w:rsidR="004B696B">
        <w:t xml:space="preserve"> </w:t>
      </w:r>
      <w:r w:rsidR="004B696B">
        <w:t>Curr</w:t>
      </w:r>
    </w:p>
    <w:p w:rsidR="0018722C">
      <w:pPr>
        <w:topLinePunct/>
      </w:pPr>
      <w:r>
        <w:rPr>
          <w:rFonts w:ascii="Times New Roman"/>
        </w:rPr>
        <w:t>Opin Immunol 2001;13:114-9.</w:t>
      </w:r>
    </w:p>
    <w:p w:rsidR="0018722C">
      <w:pPr>
        <w:pStyle w:val="cw19"/>
        <w:topLinePunct/>
      </w:pPr>
      <w:r>
        <w:rPr>
          <w:rFonts w:ascii="宋体" w:hAnsi="宋体" w:eastAsia="宋体" w:hint="eastAsia"/>
        </w:rPr>
        <w:t xml:space="preserve">[</w:t>
      </w:r>
      <w:r>
        <w:rPr>
          <w:rFonts w:ascii="宋体" w:hAnsi="宋体" w:eastAsia="宋体" w:hint="eastAsia"/>
        </w:rPr>
        <w:t xml:space="preserve">16</w:t>
      </w:r>
      <w:r>
        <w:rPr>
          <w:rFonts w:ascii="宋体" w:hAnsi="宋体" w:eastAsia="宋体" w:hint="eastAsia"/>
        </w:rPr>
        <w:t xml:space="preserve">]</w:t>
      </w:r>
      <w:r>
        <w:rPr>
          <w:rFonts w:ascii="宋体" w:hAnsi="宋体" w:eastAsia="宋体" w:hint="eastAsia"/>
        </w:rPr>
        <w:t xml:space="preserve">王康玮</w:t>
      </w:r>
      <w:r>
        <w:rPr>
          <w:rFonts w:ascii="宋体" w:hAnsi="宋体" w:eastAsia="宋体" w:hint="eastAsia"/>
        </w:rPr>
        <w:t xml:space="preserve">，</w:t>
      </w:r>
      <w:r>
        <w:rPr>
          <w:rFonts w:ascii="宋体" w:hAnsi="宋体" w:eastAsia="宋体" w:hint="eastAsia"/>
        </w:rPr>
        <w:t xml:space="preserve">曹清华，林原，等.</w:t>
      </w:r>
      <w:r w:rsidR="001852F3">
        <w:rPr>
          <w:rFonts w:ascii="宋体" w:hAnsi="宋体" w:eastAsia="宋体" w:hint="eastAsia"/>
        </w:rPr>
        <w:t xml:space="preserve"> </w:t>
      </w:r>
      <w:r>
        <w:rPr>
          <w:rFonts w:ascii="宋体" w:hAnsi="宋体" w:eastAsia="宋体" w:hint="eastAsia"/>
        </w:rPr>
        <w:t xml:space="preserve">NF-κB</w:t>
      </w:r>
      <w:r w:rsidR="001852F3">
        <w:rPr>
          <w:rFonts w:ascii="宋体" w:hAnsi="宋体" w:eastAsia="宋体" w:hint="eastAsia"/>
        </w:rPr>
        <w:t xml:space="preserve">及</w:t>
      </w:r>
      <w:r>
        <w:rPr>
          <w:rFonts w:ascii="宋体" w:hAnsi="宋体" w:eastAsia="宋体" w:hint="eastAsia"/>
        </w:rPr>
        <w:t xml:space="preserve">IL-1ra</w:t>
      </w:r>
      <w:r w:rsidR="001852F3">
        <w:rPr>
          <w:rFonts w:ascii="宋体" w:hAnsi="宋体" w:eastAsia="宋体" w:hint="eastAsia"/>
        </w:rPr>
        <w:t xml:space="preserve">在胃癌中的表达及其意义.中ft</w:t>
      </w:r>
      <w:r>
        <w:rPr>
          <w:rFonts w:ascii="宋体" w:hAnsi="宋体" w:eastAsia="宋体" w:hint="eastAsia"/>
        </w:rPr>
        <w:t xml:space="preserve">大学学报</w:t>
      </w:r>
      <w:r>
        <w:rPr>
          <w:rFonts w:ascii="宋体" w:hAnsi="宋体" w:eastAsia="宋体" w:hint="eastAsia"/>
          <w:rFonts w:ascii="宋体" w:hAnsi="宋体" w:eastAsia="宋体" w:hint="eastAsia"/>
          <w:spacing w:val="-2"/>
          <w:sz w:val="28"/>
        </w:rPr>
        <w:t xml:space="preserve">（</w:t>
      </w:r>
      <w:r>
        <w:rPr>
          <w:rFonts w:ascii="宋体" w:hAnsi="宋体" w:eastAsia="宋体" w:hint="eastAsia"/>
          <w:spacing w:val="-2"/>
          <w:sz w:val="28"/>
        </w:rPr>
        <w:t xml:space="preserve">医学科学版</w:t>
      </w:r>
      <w:r>
        <w:rPr>
          <w:rFonts w:ascii="宋体" w:hAnsi="宋体" w:eastAsia="宋体" w:hint="eastAsia"/>
          <w:rFonts w:ascii="宋体" w:hAnsi="宋体" w:eastAsia="宋体" w:hint="eastAsia"/>
          <w:spacing w:val="-2"/>
          <w:sz w:val="28"/>
        </w:rPr>
        <w:t xml:space="preserve">）</w:t>
      </w:r>
      <w:r>
        <w:rPr>
          <w:rFonts w:ascii="宋体" w:hAnsi="宋体" w:eastAsia="宋体" w:hint="eastAsia"/>
          <w:rFonts w:ascii="宋体" w:hAnsi="宋体" w:eastAsia="宋体" w:hint="eastAsia"/>
          <w:spacing w:val="-2"/>
          <w:sz w:val="28"/>
        </w:rPr>
        <w:t xml:space="preserve">。</w:t>
      </w:r>
      <w:r>
        <w:rPr>
          <w:rFonts w:ascii="宋体" w:hAnsi="宋体" w:eastAsia="宋体" w:hint="eastAsia"/>
        </w:rPr>
        <w:t xml:space="preserve">[</w:t>
      </w:r>
      <w:r>
        <w:rPr>
          <w:rFonts w:ascii="宋体" w:hAnsi="宋体" w:eastAsia="宋体" w:hint="eastAsia"/>
        </w:rPr>
        <w:t xml:space="preserve">J</w:t>
      </w:r>
      <w:r>
        <w:rPr>
          <w:rFonts w:ascii="宋体" w:hAnsi="宋体" w:eastAsia="宋体" w:hint="eastAsia"/>
        </w:rPr>
        <w:t xml:space="preserve">]</w:t>
      </w:r>
      <w:r>
        <w:rPr>
          <w:rFonts w:ascii="宋体" w:hAnsi="宋体" w:eastAsia="宋体" w:hint="eastAsia"/>
        </w:rPr>
        <w:t xml:space="preserve">.2010</w:t>
      </w:r>
      <w:r>
        <w:rPr>
          <w:rFonts w:ascii="宋体" w:hAnsi="宋体" w:eastAsia="宋体" w:hint="eastAsia"/>
        </w:rPr>
        <w:t xml:space="preserve">, </w:t>
      </w:r>
      <w:r>
        <w:rPr>
          <w:rFonts w:ascii="宋体" w:hAnsi="宋体" w:eastAsia="宋体" w:hint="eastAsia"/>
        </w:rPr>
        <w:t xml:space="preserve">31</w:t>
      </w:r>
      <w:r>
        <w:rPr>
          <w:rFonts w:ascii="宋体" w:hAnsi="宋体" w:eastAsia="宋体" w:hint="eastAsia"/>
        </w:rPr>
        <w:t xml:space="preserve">(</w:t>
      </w:r>
      <w:r>
        <w:rPr>
          <w:rFonts w:ascii="宋体" w:hAnsi="宋体" w:eastAsia="宋体" w:hint="eastAsia"/>
          <w:sz w:val="28"/>
        </w:rPr>
        <w:t xml:space="preserve">1</w:t>
      </w:r>
      <w:r>
        <w:rPr>
          <w:rFonts w:ascii="宋体" w:hAnsi="宋体" w:eastAsia="宋体" w:hint="eastAsia"/>
        </w:rPr>
        <w:t xml:space="preserve">)</w:t>
      </w:r>
      <w:r>
        <w:rPr>
          <w:rFonts w:ascii="宋体" w:hAnsi="宋体" w:eastAsia="宋体" w:hint="eastAsia"/>
        </w:rPr>
        <w:t xml:space="preserve">,95-99.</w:t>
      </w:r>
    </w:p>
    <w:p w:rsidR="0018722C">
      <w:pPr>
        <w:pStyle w:val="cw19"/>
        <w:topLinePunct/>
      </w:pPr>
      <w:r>
        <w:t>[</w:t>
      </w:r>
      <w:r>
        <w:t xml:space="preserve">17</w:t>
      </w:r>
      <w:r>
        <w:t>]</w:t>
      </w:r>
      <w:r>
        <w:t xml:space="preserve"> </w:t>
      </w:r>
      <w:r>
        <w:t>REN Hai-xia,</w:t>
      </w:r>
      <w:r w:rsidR="004B696B">
        <w:t xml:space="preserve"> </w:t>
      </w:r>
      <w:r w:rsidR="004B696B">
        <w:t>Advances of nonsteroidal anti-inflammatory drugs in anti-tumor effect</w:t>
      </w:r>
      <w:r>
        <w:t>[</w:t>
      </w:r>
      <w:r>
        <w:t>J</w:t>
      </w:r>
      <w:r>
        <w:t>]</w:t>
      </w:r>
      <w:r>
        <w:t>.</w:t>
      </w:r>
      <w:r w:rsidR="004B696B">
        <w:t xml:space="preserve"> </w:t>
      </w:r>
      <w:r w:rsidR="004B696B">
        <w:t>China</w:t>
      </w:r>
      <w:r>
        <w:t> </w:t>
      </w:r>
      <w:r>
        <w:t>Pharmaceuticals,2012,21</w:t>
      </w:r>
      <w:r>
        <w:t>(</w:t>
      </w:r>
      <w:r>
        <w:t>6</w:t>
      </w:r>
      <w:r>
        <w:t>)</w:t>
      </w:r>
      <w:r w:rsidR="004B696B">
        <w:t xml:space="preserve"> </w:t>
      </w:r>
      <w:r>
        <w:t>86-88.</w:t>
      </w:r>
    </w:p>
    <w:p w:rsidR="0018722C">
      <w:pPr>
        <w:pStyle w:val="cw19"/>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曹亚. 细胞周期与肿瘤. 国外医学. 生理、病理科学与临床分册</w:t>
      </w:r>
    </w:p>
    <w:p w:rsidR="0018722C">
      <w:pPr>
        <w:topLinePunct/>
      </w:pPr>
      <w:r>
        <w:t>[</w:t>
      </w:r>
      <w:r>
        <w:t>J</w:t>
      </w:r>
      <w:r>
        <w:t>]</w:t>
      </w:r>
      <w:r>
        <w:t>.2002,22</w:t>
      </w:r>
      <w:r>
        <w:t>(</w:t>
      </w:r>
      <w:r>
        <w:t>2</w:t>
      </w:r>
      <w:r>
        <w:t>)</w:t>
      </w:r>
      <w:r>
        <w:t xml:space="preserve">: </w:t>
      </w:r>
      <w:r>
        <w:t>103-105.</w:t>
      </w:r>
    </w:p>
    <w:p w:rsidR="0018722C">
      <w:pPr>
        <w:pStyle w:val="cw19"/>
        <w:topLinePunct/>
      </w:pPr>
      <w:r>
        <w:t>[</w:t>
      </w:r>
      <w:r>
        <w:t xml:space="preserve">19</w:t>
      </w:r>
      <w:r>
        <w:t>]</w:t>
      </w:r>
      <w:r>
        <w:t xml:space="preserve"> </w:t>
      </w:r>
      <w:r>
        <w:t>Scaife CL,</w:t>
      </w:r>
      <w:r w:rsidR="004B696B">
        <w:t xml:space="preserve"> </w:t>
      </w:r>
      <w:r w:rsidR="004B696B">
        <w:t>Kuang J,</w:t>
      </w:r>
      <w:r w:rsidR="004B696B">
        <w:t xml:space="preserve"> </w:t>
      </w:r>
      <w:r w:rsidR="004B696B">
        <w:t>et al.</w:t>
      </w:r>
      <w:r w:rsidR="004B696B">
        <w:t xml:space="preserve"> </w:t>
      </w:r>
      <w:r w:rsidR="004B696B">
        <w:t>Nuclear factor kappaB inhibition induce adhesion dependent colon cancer apoptosis.</w:t>
      </w:r>
      <w:r w:rsidR="004B696B">
        <w:t xml:space="preserve"> </w:t>
      </w:r>
      <w:r w:rsidR="004B696B">
        <w:t>Caccer</w:t>
      </w:r>
      <w:r>
        <w:t> </w:t>
      </w:r>
      <w:r>
        <w:t>Res,2002,62:6870-6878.</w:t>
      </w:r>
    </w:p>
    <w:p w:rsidR="0018722C">
      <w:pPr>
        <w:pStyle w:val="cw19"/>
        <w:topLinePunct/>
      </w:pPr>
      <w:r>
        <w:t>[</w:t>
      </w:r>
      <w:r>
        <w:t xml:space="preserve">20</w:t>
      </w:r>
      <w:r>
        <w:t>]</w:t>
      </w:r>
      <w:r>
        <w:t xml:space="preserve"> </w:t>
      </w:r>
      <w:r>
        <w:t>Dejardin E,</w:t>
      </w:r>
      <w:r w:rsidR="004B696B">
        <w:t xml:space="preserve"> </w:t>
      </w:r>
      <w:r w:rsidR="004B696B">
        <w:t>Deregowski </w:t>
      </w:r>
      <w:r>
        <w:t>V,</w:t>
      </w:r>
      <w:r w:rsidR="004B696B">
        <w:t xml:space="preserve"> </w:t>
      </w:r>
      <w:r w:rsidR="004B696B">
        <w:t>Chepelier </w:t>
      </w:r>
      <w:r>
        <w:t>M,</w:t>
      </w:r>
      <w:r w:rsidR="004B696B">
        <w:t xml:space="preserve"> </w:t>
      </w:r>
      <w:r w:rsidR="004B696B">
        <w:t>et al.</w:t>
      </w:r>
      <w:r w:rsidR="004B696B">
        <w:t xml:space="preserve"> </w:t>
      </w:r>
      <w:r w:rsidR="004B696B">
        <w:t>The nuclear</w:t>
      </w:r>
      <w:r>
        <w:t> </w:t>
      </w:r>
      <w:r>
        <w:t>factor-kappaB:</w:t>
      </w:r>
      <w:r w:rsidR="004B696B">
        <w:t xml:space="preserve"> </w:t>
      </w:r>
      <w:r w:rsidR="004B696B">
        <w:t>a</w:t>
      </w:r>
    </w:p>
    <w:p w:rsidR="0018722C">
      <w:pPr>
        <w:topLinePunct/>
      </w:pPr>
      <w:r>
        <w:rPr>
          <w:rFonts w:ascii="Times New Roman"/>
        </w:rPr>
        <w:t/>
      </w:r>
      <w:r>
        <w:rPr>
          <w:rFonts w:ascii="Times New Roman"/>
        </w:rPr>
        <w:t>P</w:t>
      </w:r>
      <w:r>
        <w:rPr>
          <w:rFonts w:ascii="Times New Roman"/>
        </w:rPr>
        <w:t>rotential therapeutic leukemial</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Oncogene,2001,20</w:t>
      </w:r>
      <w:r>
        <w:rPr>
          <w:rFonts w:ascii="Times New Roman"/>
        </w:rPr>
        <w:t>(</w:t>
      </w:r>
      <w:r>
        <w:rPr>
          <w:rFonts w:ascii="Times New Roman"/>
        </w:rPr>
        <w:t>16</w:t>
      </w:r>
      <w:r>
        <w:rPr>
          <w:rFonts w:ascii="Times New Roman"/>
        </w:rPr>
        <w:t>)</w:t>
      </w:r>
      <w:r>
        <w:rPr>
          <w:rFonts w:ascii="Times New Roman"/>
        </w:rPr>
        <w:t>:2131-2139.</w:t>
      </w:r>
    </w:p>
    <w:p w:rsidR="0018722C">
      <w:pPr>
        <w:pStyle w:val="cw19"/>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邓景岳</w:t>
      </w:r>
      <w:r>
        <w:rPr>
          <w:rFonts w:ascii="宋体" w:eastAsia="宋体" w:hint="eastAsia"/>
        </w:rPr>
        <w:t>，</w:t>
      </w:r>
      <w:r>
        <w:rPr>
          <w:rFonts w:ascii="宋体" w:eastAsia="宋体" w:hint="eastAsia"/>
        </w:rPr>
        <w:t>毕明刚.影响原癌基因</w:t>
      </w:r>
      <w:r>
        <w:rPr>
          <w:rFonts w:ascii="宋体" w:eastAsia="宋体" w:hint="eastAsia"/>
        </w:rPr>
        <w:t>c-myc</w:t>
      </w:r>
      <w:r w:rsidR="001852F3">
        <w:rPr>
          <w:rFonts w:ascii="宋体" w:eastAsia="宋体" w:hint="eastAsia"/>
        </w:rPr>
        <w:t xml:space="preserve">作用因素的研究进展.肿</w:t>
      </w:r>
      <w:r>
        <w:rPr>
          <w:rFonts w:ascii="宋体" w:eastAsia="宋体" w:hint="eastAsia"/>
        </w:rPr>
        <w:t>瘤.2009,29</w:t>
      </w:r>
      <w:r>
        <w:rPr>
          <w:rFonts w:ascii="宋体" w:eastAsia="宋体" w:hint="eastAsia"/>
        </w:rPr>
        <w:t>(</w:t>
      </w:r>
      <w:r>
        <w:rPr>
          <w:rFonts w:ascii="宋体" w:eastAsia="宋体" w:hint="eastAsia"/>
        </w:rPr>
        <w:t>12</w:t>
      </w:r>
      <w:r>
        <w:rPr>
          <w:rFonts w:ascii="宋体" w:eastAsia="宋体" w:hint="eastAsia"/>
        </w:rPr>
        <w:t>)</w:t>
      </w:r>
      <w:r>
        <w:rPr>
          <w:rFonts w:ascii="宋体" w:eastAsia="宋体" w:hint="eastAsia"/>
        </w:rPr>
        <w:t>:1176-1179.</w:t>
      </w:r>
    </w:p>
    <w:p w:rsidR="0018722C">
      <w:pPr>
        <w:pStyle w:val="cw19"/>
        <w:topLinePunct/>
      </w:pPr>
      <w:r>
        <w:rPr>
          <w:rFonts w:ascii="宋体" w:eastAsia="宋体" w:hint="eastAsia"/>
        </w:rPr>
        <w:t>[</w:t>
      </w:r>
      <w:r>
        <w:rPr>
          <w:rFonts w:ascii="宋体" w:eastAsia="宋体" w:hint="eastAsia"/>
        </w:rPr>
        <w:t xml:space="preserve">22</w:t>
      </w:r>
      <w:r>
        <w:rPr>
          <w:rFonts w:ascii="宋体" w:eastAsia="宋体" w:hint="eastAsia"/>
        </w:rPr>
        <w:t>]</w:t>
      </w:r>
      <w:r>
        <w:rPr>
          <w:rFonts w:ascii="宋体" w:eastAsia="宋体" w:hint="eastAsia"/>
        </w:rPr>
        <w:t>梁后杰</w:t>
      </w:r>
      <w:r>
        <w:rPr>
          <w:rFonts w:ascii="宋体" w:eastAsia="宋体" w:hint="eastAsia"/>
        </w:rPr>
        <w:t>，</w:t>
      </w:r>
      <w:r>
        <w:rPr>
          <w:rFonts w:ascii="宋体" w:eastAsia="宋体" w:hint="eastAsia"/>
        </w:rPr>
        <w:t>黄海辉.细胞粘附与肿瘤多细胞耐药.第三军医大学学报</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.2002,24</w:t>
      </w:r>
      <w:r>
        <w:rPr>
          <w:rFonts w:ascii="宋体" w:eastAsia="宋体" w:hint="eastAsia"/>
        </w:rPr>
        <w:t>(</w:t>
      </w:r>
      <w:r>
        <w:rPr>
          <w:rFonts w:ascii="宋体" w:eastAsia="宋体" w:hint="eastAsia"/>
        </w:rPr>
        <w:t>11</w:t>
      </w:r>
      <w:r>
        <w:rPr>
          <w:rFonts w:ascii="宋体" w:eastAsia="宋体" w:hint="eastAsia"/>
        </w:rPr>
        <w:t>)</w:t>
      </w:r>
      <w:r>
        <w:rPr>
          <w:rFonts w:ascii="宋体" w:eastAsia="宋体" w:hint="eastAsia"/>
        </w:rPr>
        <w:t>:1257-1258.</w:t>
      </w:r>
    </w:p>
    <w:p w:rsidR="0018722C">
      <w:pPr>
        <w:pStyle w:val="cw19"/>
        <w:topLinePunct/>
      </w:pPr>
      <w:r>
        <w:t>[</w:t>
      </w:r>
      <w:r>
        <w:t xml:space="preserve">23</w:t>
      </w:r>
      <w:r>
        <w:t>]</w:t>
      </w:r>
      <w:r>
        <w:t xml:space="preserve"> </w:t>
      </w:r>
      <w:r>
        <w:t>Zhou G,</w:t>
      </w:r>
      <w:r w:rsidR="004B696B">
        <w:t xml:space="preserve"> </w:t>
      </w:r>
      <w:r w:rsidR="004B696B">
        <w:t>Kuo MT,</w:t>
      </w:r>
      <w:r w:rsidR="004B696B">
        <w:t xml:space="preserve"> </w:t>
      </w:r>
      <w:r w:rsidR="004B696B">
        <w:t>The mechanism of docetaxel-induced apoptosis in human lung cancer cells</w:t>
      </w:r>
      <w:r>
        <w:t>[</w:t>
      </w:r>
      <w:r>
        <w:t>J</w:t>
      </w:r>
      <w:r>
        <w:t>]</w:t>
      </w:r>
      <w:r>
        <w:t>.</w:t>
      </w:r>
      <w:r w:rsidR="004B696B">
        <w:t xml:space="preserve"> </w:t>
      </w:r>
      <w:r w:rsidR="004B696B">
        <w:t>J Biol</w:t>
      </w:r>
      <w:r>
        <w:t> </w:t>
      </w:r>
      <w:r>
        <w:t>Chem,2005,274</w:t>
      </w:r>
      <w:r>
        <w:t>(</w:t>
      </w:r>
      <w:r>
        <w:t>12</w:t>
      </w:r>
      <w:r>
        <w:t>)</w:t>
      </w:r>
      <w:r>
        <w:t>:15174-15183.</w:t>
      </w:r>
    </w:p>
    <w:p w:rsidR="0018722C">
      <w:pPr>
        <w:pStyle w:val="cw19"/>
        <w:topLinePunct/>
      </w:pPr>
      <w:r>
        <w:t>[</w:t>
      </w:r>
      <w:r>
        <w:t xml:space="preserve">24</w:t>
      </w:r>
      <w:r>
        <w:t>]</w:t>
      </w:r>
      <w:r>
        <w:t xml:space="preserve"> </w:t>
      </w:r>
      <w:r>
        <w:t>Epint</w:t>
      </w:r>
      <w:r>
        <w:t> </w:t>
      </w:r>
      <w:r>
        <w:t>JC,</w:t>
      </w:r>
      <w:r w:rsidR="004B696B">
        <w:t xml:space="preserve"> </w:t>
      </w:r>
      <w:r w:rsidR="004B696B">
        <w:t>Gilmore</w:t>
      </w:r>
      <w:r>
        <w:t> </w:t>
      </w:r>
      <w:r>
        <w:t>TD.</w:t>
      </w:r>
      <w:r w:rsidR="004B696B">
        <w:t xml:space="preserve"> </w:t>
      </w:r>
      <w:r w:rsidR="004B696B">
        <w:t>The</w:t>
      </w:r>
      <w:r>
        <w:t> </w:t>
      </w:r>
      <w:r>
        <w:t>use</w:t>
      </w:r>
      <w:r>
        <w:t> </w:t>
      </w:r>
      <w:r>
        <w:t>and</w:t>
      </w:r>
      <w:r>
        <w:t> </w:t>
      </w:r>
      <w:r>
        <w:t>action</w:t>
      </w:r>
      <w:r>
        <w:t> </w:t>
      </w:r>
      <w:r>
        <w:t>of</w:t>
      </w:r>
      <w:r>
        <w:t> </w:t>
      </w:r>
      <w:r>
        <w:t>druge</w:t>
      </w:r>
      <w:r>
        <w:t> </w:t>
      </w:r>
      <w:r>
        <w:t>in</w:t>
      </w:r>
      <w:r>
        <w:t> </w:t>
      </w:r>
      <w:r>
        <w:t>analyzing</w:t>
      </w:r>
    </w:p>
    <w:p w:rsidR="0018722C">
      <w:pPr>
        <w:topLinePunct/>
      </w:pPr>
      <w:r>
        <w:rPr>
          <w:rFonts w:ascii="Times New Roman"/>
        </w:rPr>
        <w:t>mitosis</w:t>
      </w:r>
      <w:r>
        <w:rPr>
          <w:rFonts w:ascii="Times New Roman"/>
        </w:rPr>
        <w:t>[</w:t>
      </w:r>
      <w:r>
        <w:rPr>
          <w:rFonts w:ascii="Times New Roman"/>
        </w:rPr>
        <w:t>J</w:t>
      </w:r>
      <w:r>
        <w:rPr>
          <w:rFonts w:ascii="Times New Roman"/>
        </w:rPr>
        <w:t>]</w:t>
      </w:r>
      <w:r>
        <w:rPr>
          <w:rFonts w:ascii="Times New Roman"/>
        </w:rPr>
        <w:t>.</w:t>
      </w:r>
      <w:r w:rsidR="004B696B">
        <w:rPr>
          <w:rFonts w:ascii="Times New Roman"/>
        </w:rPr>
        <w:t xml:space="preserve"> </w:t>
      </w:r>
      <w:r w:rsidR="004B696B">
        <w:rPr>
          <w:rFonts w:ascii="Times New Roman"/>
        </w:rPr>
        <w:t>Oncogene,2005,24</w:t>
      </w:r>
      <w:r>
        <w:rPr>
          <w:rFonts w:ascii="Times New Roman"/>
        </w:rPr>
        <w:t>(</w:t>
      </w:r>
      <w:r>
        <w:rPr>
          <w:rFonts w:ascii="Times New Roman"/>
        </w:rPr>
        <w:t>8</w:t>
      </w:r>
      <w:r>
        <w:rPr>
          <w:rFonts w:ascii="Times New Roman"/>
        </w:rPr>
        <w:t>)</w:t>
      </w:r>
      <w:r>
        <w:rPr>
          <w:rFonts w:ascii="Times New Roman"/>
        </w:rPr>
        <w:t>:6898-6909.</w:t>
      </w:r>
    </w:p>
    <w:p w:rsidR="0018722C">
      <w:pPr>
        <w:pStyle w:val="4"/>
        <w:topLinePunct/>
        <w:ind w:left="200" w:hangingChars="200" w:hanging="200"/>
      </w:pPr>
      <w:bookmarkStart w:name="综述二 " w:id="47"/>
      <w:bookmarkEnd w:id="47"/>
      <w:r>
        <w:t>综述二</w:t>
      </w:r>
    </w:p>
    <w:p w:rsidR="0018722C">
      <w:pPr>
        <w:topLinePunct/>
      </w:pPr>
      <w:r>
        <w:rPr>
          <w:rFonts w:cstheme="minorBidi" w:hAnsiTheme="minorHAnsi" w:eastAsiaTheme="minorHAnsi" w:asciiTheme="minorHAnsi" w:ascii="黑体" w:eastAsia="黑体" w:hint="eastAsia"/>
          <w:b/>
        </w:rPr>
        <w:t>Ki-67</w:t>
      </w:r>
      <w:r w:rsidR="001852F3">
        <w:rPr>
          <w:rFonts w:cstheme="minorBidi" w:hAnsiTheme="minorHAnsi" w:eastAsiaTheme="minorHAnsi" w:asciiTheme="minorHAnsi" w:ascii="黑体" w:eastAsia="黑体" w:hint="eastAsia"/>
          <w:b/>
        </w:rPr>
        <w:t xml:space="preserve">与肿瘤</w:t>
      </w:r>
    </w:p>
    <w:p w:rsidR="0018722C">
      <w:pPr>
        <w:topLinePunct/>
      </w:pPr>
      <w:r>
        <w:t>现代医学认为，肿瘤的产生、发展是由于肿瘤细胞的异常生长而致，</w:t>
      </w:r>
      <w:r>
        <w:t>人体正常细胞即使受到来自多种物理、化学及生物刺激伤害，其机体细胞</w:t>
      </w:r>
      <w:r>
        <w:t>如产生和凋亡处于一个动态平衡之中，则不会出现明显的机体不适，但如</w:t>
      </w:r>
      <w:r>
        <w:t>果平衡系统紊乱，则具有肿瘤的发展倾向。</w:t>
      </w:r>
    </w:p>
    <w:p w:rsidR="0018722C">
      <w:pPr>
        <w:topLinePunct/>
      </w:pPr>
      <w:r>
        <w:t>肿瘤细胞的无节制生长是所有肿瘤组织的重要生物学特点，故有研究</w:t>
      </w:r>
      <w:r>
        <w:t>认为肿瘤的迅速发展是由于肿瘤细胞分裂异常明显的结果，但仍有结果显</w:t>
      </w:r>
      <w:r>
        <w:t>示肿瘤的发展的因为肿瘤细胞的分裂速度延缓，细胞更新周期延长，造成细胞新陈代谢速度降低而使大量细胞处于增殖期，胃癌与机体其他肿瘤一样，有着相同的转移机制，包括癌灶的起病及从原发肿瘤的脱落、向周围</w:t>
      </w:r>
      <w:r>
        <w:t>组织的浸润、侵入血液循环系统、穿透基底膜和侵及周边组织并进一步发</w:t>
      </w:r>
      <w:r>
        <w:t>生、发展等一系列过程，在这个过程中肿瘤细胞的持续存活、并从机体中</w:t>
      </w:r>
      <w:r>
        <w:t>自行获得营养而持续生长是其生物学特性得以进行的前提。</w:t>
      </w:r>
    </w:p>
    <w:p w:rsidR="0018722C">
      <w:pPr>
        <w:topLinePunct/>
      </w:pPr>
      <w:r>
        <w:t>那如何评估机体肿瘤细胞的生长活性而了解肿瘤组织的良恶性、局灶</w:t>
      </w:r>
      <w:r>
        <w:t>侵及情况？在探索恶性实体肿瘤的研究中，</w:t>
      </w:r>
      <w:r>
        <w:t>Ki-67</w:t>
      </w:r>
      <w:r/>
      <w:r w:rsidR="001852F3">
        <w:t xml:space="preserve">蛋白是当前学者期望能</w:t>
      </w:r>
      <w:r>
        <w:t>从其本身研究中实现肿瘤研究突破的重点生物标识之一，当前已广泛应用</w:t>
      </w:r>
      <w:r>
        <w:t>于临床，通过对瘤细胞增殖活性的评估，用于检测肿瘤细胞的良恶性。</w:t>
      </w:r>
    </w:p>
    <w:p w:rsidR="0018722C">
      <w:pPr>
        <w:pStyle w:val="cw19"/>
        <w:topLinePunct/>
      </w:pPr>
      <w:r>
        <w:rPr>
          <w:rFonts w:ascii="宋体" w:eastAsia="宋体" w:hint="eastAsia"/>
        </w:rPr>
        <w:t>1</w:t>
      </w:r>
      <w:r>
        <w:rPr>
          <w:rFonts w:ascii="宋体" w:eastAsia="宋体" w:hint="eastAsia"/>
        </w:rPr>
        <w:t>关于</w:t>
      </w:r>
      <w:r>
        <w:rPr>
          <w:rFonts w:ascii="宋体" w:eastAsia="宋体" w:hint="eastAsia"/>
        </w:rPr>
        <w:t>Ki-67</w:t>
      </w:r>
    </w:p>
    <w:p w:rsidR="0018722C">
      <w:pPr>
        <w:topLinePunct/>
      </w:pPr>
      <w:r>
        <w:t>Ki-67</w:t>
      </w:r>
      <w:r/>
      <w:r w:rsidR="001852F3">
        <w:t xml:space="preserve">作为增殖细胞核抗原，是在</w:t>
      </w:r>
      <w:r>
        <w:t>1983</w:t>
      </w:r>
      <w:r/>
      <w:r w:rsidR="001852F3">
        <w:t xml:space="preserve">年</w:t>
      </w:r>
      <w:r>
        <w:t>Gerdes</w:t>
      </w:r>
      <w:r/>
      <w:r w:rsidR="001852F3">
        <w:t xml:space="preserve">研究霍奇金淋巴瘤</w:t>
      </w:r>
      <w:r>
        <w:t>时发现的，是被广泛用于反映细胞增殖指数的指标，研究认为其功能细胞</w:t>
      </w:r>
      <w:r>
        <w:t>和有丝分裂相关，Bruno</w:t>
      </w:r>
      <w:r/>
      <w:r w:rsidR="001852F3">
        <w:t xml:space="preserve">等推测其可能是染色质内部和周围的非组蛋白基质</w:t>
      </w:r>
      <w:r>
        <w:rPr>
          <w:vertAlign w:val="superscript"/>
          /&gt;
        </w:rPr>
        <w:t>[</w:t>
      </w:r>
      <w:r>
        <w:rPr>
          <w:vertAlign w:val="superscript"/>
          <w:position w:val="14"/>
        </w:rPr>
        <w:t xml:space="preserve">1</w:t>
      </w:r>
      <w:r>
        <w:rPr>
          <w:vertAlign w:val="superscript"/>
          /&gt;
        </w:rPr>
        <w:t>]</w:t>
      </w:r>
      <w:r>
        <w:t>，分子量约为</w:t>
      </w:r>
      <w:r>
        <w:t>345kd</w:t>
      </w:r>
      <w:r>
        <w:t>、</w:t>
      </w:r>
      <w:r>
        <w:t>395kd2</w:t>
      </w:r>
      <w:r>
        <w:rPr>
          <w:vertAlign w:val="superscript"/>
          /&gt;
        </w:rPr>
        <w:t>[</w:t>
      </w:r>
      <w:r>
        <w:rPr>
          <w:vertAlign w:val="superscript"/>
          <w:position w:val="14"/>
        </w:rPr>
        <w:t xml:space="preserve">2</w:t>
      </w:r>
      <w:r>
        <w:rPr>
          <w:vertAlign w:val="superscript"/>
          /&gt;
        </w:rPr>
        <w:t>]</w:t>
      </w:r>
      <w:r>
        <w:t>，Ki-67</w:t>
      </w:r>
      <w:r/>
      <w:r w:rsidR="001852F3">
        <w:t xml:space="preserve">在机体细胞中是在细胞周期中</w:t>
      </w:r>
      <w:r>
        <w:t>表达的一种增殖细胞核抗原，它所编码的基因处于第</w:t>
      </w:r>
      <w:r>
        <w:t>10</w:t>
      </w:r>
      <w:r/>
      <w:r w:rsidR="001852F3">
        <w:t xml:space="preserve">号染色体上，研</w:t>
      </w:r>
      <w:r>
        <w:t>究发现其具备蛋白连接特征的重要结构，在维护</w:t>
      </w:r>
      <w:r>
        <w:t>DNA</w:t>
      </w:r>
      <w:r/>
      <w:r w:rsidR="001852F3">
        <w:t xml:space="preserve">结构方面起着紧要作用</w:t>
      </w:r>
      <w:r>
        <w:rPr>
          <w:vertAlign w:val="superscript"/>
          /&gt;
        </w:rPr>
        <w:t>[</w:t>
      </w:r>
      <w:r>
        <w:rPr>
          <w:vertAlign w:val="superscript"/>
          <w:position w:val="14"/>
        </w:rPr>
        <w:t xml:space="preserve">3</w:t>
      </w:r>
      <w:r>
        <w:rPr>
          <w:vertAlign w:val="superscript"/>
          /&gt;
        </w:rPr>
        <w:t>]</w:t>
      </w:r>
      <w:r>
        <w:t>，仅在</w:t>
      </w:r>
      <w:r>
        <w:t>G0</w:t>
      </w:r>
      <w:r/>
      <w:r w:rsidR="001852F3">
        <w:t xml:space="preserve">期无表达，而在细胞周期的其他周期均可检测到，并研究</w:t>
      </w:r>
      <w:r>
        <w:t>发现高表达于</w:t>
      </w:r>
      <w:r>
        <w:t>S</w:t>
      </w:r>
      <w:r/>
      <w:r w:rsidR="001852F3">
        <w:t xml:space="preserve">期、</w:t>
      </w:r>
      <w:r>
        <w:t>G2</w:t>
      </w:r>
      <w:r/>
      <w:r w:rsidR="001852F3">
        <w:t xml:space="preserve">期和</w:t>
      </w:r>
      <w:r>
        <w:t>M</w:t>
      </w:r>
      <w:r/>
      <w:r w:rsidR="001852F3">
        <w:t xml:space="preserve">期，在细胞增殖的后期表达量迅速下降，</w:t>
      </w:r>
      <w:r>
        <w:t>表达部位因细胞周期而有所不同，其中在</w:t>
      </w:r>
      <w:r>
        <w:t>M</w:t>
      </w:r>
      <w:r/>
      <w:r w:rsidR="001852F3">
        <w:t xml:space="preserve">早期，主要分布于细胞的染色</w:t>
      </w:r>
      <w:r>
        <w:t>体上，而在细胞增殖的中期可在染色体周围的网状结构中有大量明显</w:t>
      </w:r>
      <w:r>
        <w:t>表</w:t>
      </w:r>
    </w:p>
    <w:p w:rsidR="0018722C">
      <w:pPr>
        <w:topLinePunct/>
      </w:pPr>
      <w:r>
        <w:t>达。人体是一个非常复杂和精密的调节机体，同样</w:t>
      </w:r>
      <w:r>
        <w:t>Ki-67</w:t>
      </w:r>
      <w:r/>
      <w:r w:rsidR="001852F3">
        <w:t xml:space="preserve">也受到机体非常</w:t>
      </w:r>
      <w:r>
        <w:t>精准的表达调控，随着人体所受外在刺激等有相应的应激表达反应，而且</w:t>
      </w:r>
      <w:r>
        <w:t>其表达周期较短，从开始出现到临床无法检测，持续时间约</w:t>
      </w:r>
      <w:r>
        <w:t>1</w:t>
      </w:r>
      <w:r/>
      <w:r w:rsidR="001852F3">
        <w:t xml:space="preserve">小时到</w:t>
      </w:r>
      <w:r>
        <w:t>1</w:t>
      </w:r>
      <w:r>
        <w:t>.</w:t>
      </w:r>
      <w:r>
        <w:t>5</w:t>
      </w:r>
      <w:r>
        <w:t>小时，具体机理不详，但在其表达波动的同时有相应的蛋白酶合体有相应</w:t>
      </w:r>
      <w:r>
        <w:t>的临床波动。</w:t>
      </w:r>
    </w:p>
    <w:p w:rsidR="0018722C">
      <w:pPr>
        <w:topLinePunct/>
      </w:pPr>
      <w:r>
        <w:t>近来研究指出,</w:t>
      </w:r>
      <w:r w:rsidR="004B696B">
        <w:t xml:space="preserve"> </w:t>
      </w:r>
      <w:r w:rsidR="004B696B">
        <w:t>Ki-67</w:t>
      </w:r>
      <w:r w:rsidR="001852F3">
        <w:t xml:space="preserve">蛋白是核基质的一部分</w:t>
      </w:r>
      <w:r>
        <w:rPr>
          <w:rFonts w:hint="eastAsia"/>
        </w:rPr>
        <w:t>，</w:t>
      </w:r>
      <w:r>
        <w:t>具有非蛋白的特点</w:t>
      </w:r>
      <w:r>
        <w:rPr>
          <w:rFonts w:hint="eastAsia"/>
        </w:rPr>
        <w:t>，</w:t>
      </w:r>
      <w:r>
        <w:t>它</w:t>
      </w:r>
      <w:r>
        <w:t>在人体细胞中的表达随着细胞周期的变化而变化</w:t>
      </w:r>
      <w:r>
        <w:t>。近</w:t>
      </w:r>
      <w:r>
        <w:t>年来</w:t>
      </w:r>
      <w:r>
        <w:t>Ki</w:t>
      </w:r>
      <w:r>
        <w:t>- </w:t>
      </w:r>
      <w:r>
        <w:t>67</w:t>
      </w:r>
      <w:r/>
      <w:r w:rsidR="001852F3">
        <w:t xml:space="preserve">在乳腺</w:t>
      </w:r>
      <w:r>
        <w:t>癌、肺癌、子宫内膜癌等多种实体肿瘤中被广泛地应用于测定各种肿瘤预</w:t>
      </w:r>
      <w:r>
        <w:t>后的测定</w:t>
      </w:r>
      <w:r>
        <w:rPr>
          <w:vertAlign w:val="subscript"/>
          /&gt;
        </w:rPr>
        <w:t>[</w:t>
      </w:r>
      <w:r>
        <w:t xml:space="preserve">4</w:t>
      </w:r>
      <w:r>
        <w:t xml:space="preserve">, </w:t>
      </w:r>
      <w:r>
        <w:t xml:space="preserve">5</w:t>
      </w:r>
      <w:r>
        <w:rPr>
          <w:vertAlign w:val="subscript"/>
          /&gt;
        </w:rPr>
        <w:t>]</w:t>
      </w:r>
      <w:r>
        <w:t>。</w:t>
      </w:r>
    </w:p>
    <w:p w:rsidR="0018722C">
      <w:pPr>
        <w:pStyle w:val="cw19"/>
        <w:topLinePunct/>
      </w:pPr>
      <w:r>
        <w:rPr>
          <w:rFonts w:ascii="宋体" w:eastAsia="宋体" w:hint="eastAsia"/>
        </w:rPr>
        <w:t>2 </w:t>
      </w:r>
      <w:r>
        <w:rPr>
          <w:rFonts w:ascii="宋体" w:eastAsia="宋体" w:hint="eastAsia"/>
        </w:rPr>
        <w:t>Ki-67</w:t>
      </w:r>
      <w:r w:rsidR="001852F3">
        <w:rPr>
          <w:rFonts w:ascii="宋体" w:eastAsia="宋体" w:hint="eastAsia"/>
        </w:rPr>
        <w:t xml:space="preserve">与肿瘤的生物学行为之间的关系</w:t>
      </w:r>
    </w:p>
    <w:p w:rsidR="0018722C">
      <w:pPr>
        <w:topLinePunct/>
      </w:pPr>
      <w:r>
        <w:t>医学公认，肿瘤是一个多因素、慢性进展而来的恶性病变，那么我们</w:t>
      </w:r>
      <w:r>
        <w:t>要提出这样的问题，</w:t>
      </w:r>
      <w:r>
        <w:t>Ki-67</w:t>
      </w:r>
      <w:r/>
      <w:r w:rsidR="001852F3">
        <w:t xml:space="preserve">在正常组织中有无表达？如果有，那么它与肿</w:t>
      </w:r>
      <w:r>
        <w:t>瘤的恶化、进展是什么关系？已有在经大量研究后证实</w:t>
      </w:r>
      <w:r>
        <w:t>Ki-67</w:t>
      </w:r>
      <w:r/>
      <w:r w:rsidR="001852F3">
        <w:t xml:space="preserve">在调节细胞</w:t>
      </w:r>
      <w:r>
        <w:t>周期中的重要作用并将之作为评价细胞生长分数的指标之一</w:t>
      </w:r>
      <w:r>
        <w:rPr>
          <w:vertAlign w:val="superscript"/>
          /&gt;
        </w:rPr>
        <w:t>[</w:t>
      </w:r>
      <w:r>
        <w:rPr>
          <w:vertAlign w:val="superscript"/>
          <w:position w:val="14"/>
        </w:rPr>
        <w:t xml:space="preserve">6</w:t>
      </w:r>
      <w:r>
        <w:rPr>
          <w:vertAlign w:val="superscript"/>
          /&gt;
        </w:rPr>
        <w:t>]</w:t>
      </w:r>
      <w:r>
        <w:t>；国内外诸多文献报道，Ki-67</w:t>
      </w:r>
      <w:r/>
      <w:r w:rsidR="001852F3">
        <w:t xml:space="preserve">在静止期无表达，仅活跃在细胞部分周期；而在细胞</w:t>
      </w:r>
      <w:r>
        <w:t>恶变初期就有细胞增生活跃的表现，所以可以检测出作为增值细胞核抗原</w:t>
      </w:r>
      <w:r>
        <w:t>的</w:t>
      </w:r>
      <w:r>
        <w:t>Ki-67</w:t>
      </w:r>
      <w:r/>
      <w:r w:rsidR="001852F3">
        <w:t xml:space="preserve">的明显表达，并随着机体细胞生物学行为的恶变表达量迅速增</w:t>
      </w:r>
      <w:r>
        <w:t>加，即</w:t>
      </w:r>
      <w:r>
        <w:t>Ki-67</w:t>
      </w:r>
      <w:r/>
      <w:r w:rsidR="001852F3">
        <w:t xml:space="preserve">的表达呈梯度式增强</w:t>
      </w:r>
      <w:r>
        <w:rPr>
          <w:vertAlign w:val="superscript"/>
          /&gt;
        </w:rPr>
        <w:t>[</w:t>
      </w:r>
      <w:r>
        <w:rPr>
          <w:vertAlign w:val="superscript"/>
          <w:position w:val="14"/>
        </w:rPr>
        <w:t xml:space="preserve">7</w:t>
      </w:r>
      <w:r>
        <w:rPr>
          <w:vertAlign w:val="superscript"/>
          /&gt;
        </w:rPr>
        <w:t>]</w:t>
      </w:r>
      <w:r>
        <w:t>，</w:t>
      </w:r>
      <w:r w:rsidR="001852F3">
        <w:t xml:space="preserve">显示其参与了肿瘤的发生和发展。</w:t>
      </w:r>
      <w:r>
        <w:t>现代已有大量的研究</w:t>
      </w:r>
      <w:r>
        <w:rPr>
          <w:vertAlign w:val="superscript"/>
          /&gt;
        </w:rPr>
        <w:t>[</w:t>
      </w:r>
      <w:r>
        <w:rPr>
          <w:position w:val="14"/>
          <w:sz w:val="14"/>
        </w:rPr>
        <w:t xml:space="preserve">8</w:t>
      </w:r>
      <w:r>
        <w:rPr>
          <w:position w:val="14"/>
          <w:sz w:val="14"/>
        </w:rPr>
        <w:t xml:space="preserve">, </w:t>
      </w:r>
      <w:r>
        <w:rPr>
          <w:position w:val="14"/>
          <w:sz w:val="14"/>
        </w:rPr>
        <w:t xml:space="preserve">9</w:t>
      </w:r>
      <w:r>
        <w:rPr>
          <w:vertAlign w:val="superscript"/>
          /&gt;
        </w:rPr>
        <w:t>]</w:t>
      </w:r>
      <w:r>
        <w:t>证实</w:t>
      </w:r>
      <w:r>
        <w:t>Ki-67</w:t>
      </w:r>
      <w:r/>
      <w:r w:rsidR="001852F3">
        <w:t xml:space="preserve">的高表达于结肠癌、膀胱癌以及肾癌</w:t>
      </w:r>
      <w:r>
        <w:t>等多种实体肿瘤密切相关。国内学者张文华</w:t>
      </w:r>
      <w:r>
        <w:rPr>
          <w:vertAlign w:val="superscript"/>
          /&gt;
        </w:rPr>
        <w:t>[</w:t>
      </w:r>
      <w:r>
        <w:rPr>
          <w:vertAlign w:val="superscript"/>
          <w:position w:val="14"/>
        </w:rPr>
        <w:t xml:space="preserve">10</w:t>
      </w:r>
      <w:r>
        <w:rPr>
          <w:vertAlign w:val="superscript"/>
          /&gt;
        </w:rPr>
        <w:t>]</w:t>
      </w:r>
      <w:r>
        <w:t>等研究认为</w:t>
      </w:r>
      <w:r>
        <w:t>Ki-67</w:t>
      </w:r>
      <w:r/>
      <w:r w:rsidR="001852F3">
        <w:t xml:space="preserve">集中表达</w:t>
      </w:r>
      <w:r>
        <w:t>于</w:t>
      </w:r>
      <w:r>
        <w:t>M</w:t>
      </w:r>
      <w:r w:rsidR="001852F3">
        <w:t xml:space="preserve">期，且特异性强，并认为在不受外界因素刺激的胆管上皮中</w:t>
      </w:r>
      <w:r w:rsidR="001852F3">
        <w:t xml:space="preserve">Ki-67</w:t>
      </w:r>
      <w:r>
        <w:t>没有增殖活性，但随着肝内胆管结石长期刺激，胆管上皮增殖活性增加进</w:t>
      </w:r>
      <w:r>
        <w:t>而出现不典型增生及至细胞内部调控机制发生改变，从而引起质变。王红</w:t>
      </w:r>
      <w:r>
        <w:rPr>
          <w:vertAlign w:val="superscript"/>
          /&gt;
        </w:rPr>
        <w:t>[</w:t>
      </w:r>
      <w:r>
        <w:rPr>
          <w:vertAlign w:val="superscript"/>
          <w:position w:val="14"/>
        </w:rPr>
        <w:t xml:space="preserve">11</w:t>
      </w:r>
      <w:r>
        <w:rPr>
          <w:vertAlign w:val="superscript"/>
          /&gt;
        </w:rPr>
        <w:t>]</w:t>
      </w:r>
      <w:r>
        <w:t>在研</w:t>
      </w:r>
      <w:r>
        <w:t>究</w:t>
      </w:r>
      <w:r>
        <w:t>Ki-67</w:t>
      </w:r>
      <w:r/>
      <w:r w:rsidR="001852F3">
        <w:t xml:space="preserve">在大肠癌中的表达时发现，</w:t>
      </w:r>
      <w:r>
        <w:t>Ki-67</w:t>
      </w:r>
      <w:r/>
      <w:r w:rsidR="001852F3">
        <w:t xml:space="preserve">的表达明显高于正常肠粘膜及</w:t>
      </w:r>
      <w:r>
        <w:t>良性病变组织。</w:t>
      </w:r>
    </w:p>
    <w:p w:rsidR="0018722C">
      <w:pPr>
        <w:pStyle w:val="cw19"/>
        <w:topLinePunct/>
      </w:pPr>
      <w:r>
        <w:rPr>
          <w:rFonts w:ascii="宋体" w:eastAsia="宋体" w:hint="eastAsia"/>
        </w:rPr>
        <w:t>3 </w:t>
      </w:r>
      <w:r>
        <w:rPr>
          <w:rFonts w:ascii="宋体" w:eastAsia="宋体" w:hint="eastAsia"/>
        </w:rPr>
        <w:t>Ki-67</w:t>
      </w:r>
      <w:r w:rsidR="001852F3">
        <w:rPr>
          <w:rFonts w:ascii="宋体" w:eastAsia="宋体" w:hint="eastAsia"/>
        </w:rPr>
        <w:t xml:space="preserve">基因与肿瘤转移的关系</w:t>
      </w:r>
    </w:p>
    <w:p w:rsidR="0018722C">
      <w:pPr>
        <w:topLinePunct/>
      </w:pPr>
      <w:r>
        <w:t>恶性肿瘤的重要特点是侵犯和转移，已有大量实验指出在肿瘤组织中Ki-67</w:t>
      </w:r>
      <w:r/>
      <w:r w:rsidR="001852F3">
        <w:t xml:space="preserve">的高表达，那么</w:t>
      </w:r>
      <w:r>
        <w:t>Ki-67</w:t>
      </w:r>
      <w:r/>
      <w:r w:rsidR="001852F3">
        <w:t xml:space="preserve">与肿瘤的转移有无关系？已有很多研究证明</w:t>
      </w:r>
      <w:r>
        <w:t>了其在肿瘤的转移中异常表达，分析机理如下：</w:t>
      </w:r>
    </w:p>
    <w:p w:rsidR="0018722C">
      <w:pPr>
        <w:pStyle w:val="cw19"/>
        <w:topLinePunct/>
      </w:pPr>
      <w:r>
        <w:rPr>
          <w:rFonts w:ascii="宋体" w:eastAsia="宋体" w:hint="eastAsia"/>
        </w:rPr>
        <w:t>3.1 </w:t>
      </w:r>
      <w:r>
        <w:rPr>
          <w:rFonts w:ascii="宋体" w:eastAsia="宋体" w:hint="eastAsia"/>
        </w:rPr>
        <w:t>Ki-67</w:t>
      </w:r>
      <w:r w:rsidR="001852F3">
        <w:rPr>
          <w:rFonts w:ascii="宋体" w:eastAsia="宋体" w:hint="eastAsia"/>
        </w:rPr>
        <w:t xml:space="preserve">与细胞代谢之间的关系</w:t>
      </w:r>
    </w:p>
    <w:p w:rsidR="0018722C">
      <w:pPr>
        <w:topLinePunct/>
      </w:pPr>
      <w:r>
        <w:t>细胞的凋亡是细胞的正常死亡，对维持机体形态和机能的稳定有至关</w:t>
      </w:r>
    </w:p>
    <w:p w:rsidR="0018722C">
      <w:pPr>
        <w:topLinePunct/>
      </w:pPr>
      <w:r>
        <w:t>重要的作用，但研究认为诸多因素如病毒、细菌感染等具有抑制凋亡的基</w:t>
      </w:r>
      <w:r>
        <w:t>因，从而有助于病毒逃避细胞的凋亡程序的启动和进行，而利于病毒、细</w:t>
      </w:r>
      <w:r>
        <w:t>菌等的自身繁殖，诱发或促进疾病的形成和进展，如华西医科大学张谊之</w:t>
      </w:r>
      <w:r>
        <w:rPr>
          <w:vertAlign w:val="superscript"/>
          /&gt;
        </w:rPr>
        <w:t>[</w:t>
      </w:r>
      <w:r>
        <w:rPr>
          <w:vertAlign w:val="superscript"/>
          <w:position w:val="14"/>
        </w:rPr>
        <w:t xml:space="preserve">12</w:t>
      </w:r>
      <w:r>
        <w:rPr>
          <w:vertAlign w:val="superscript"/>
          /&gt;
        </w:rPr>
        <w:t>]</w:t>
      </w:r>
      <w:r w:rsidR="001852F3">
        <w:rPr>
          <w:vertAlign w:val="superscript"/>
          /&gt;
        </w:rPr>
        <w:t xml:space="preserve"> </w:t>
      </w:r>
      <w:r>
        <w:t>教授在研究皮肤病时发现细胞的凋亡时发现，机体受到病毒感染后，通过</w:t>
      </w:r>
      <w:r>
        <w:t>胞浆的正常传输机制而到达胞核并将</w:t>
      </w:r>
      <w:r>
        <w:t>DNA</w:t>
      </w:r>
      <w:r/>
      <w:r w:rsidR="001852F3">
        <w:t xml:space="preserve">与机体核酸进行组装，同时进行高速复制，并导致了机体细胞的永生化，而机体细胞的永生化是体外细胞</w:t>
      </w:r>
      <w:r>
        <w:t>转化的关键一步</w:t>
      </w:r>
      <w:r>
        <w:rPr>
          <w:vertAlign w:val="superscript"/>
          /&gt;
        </w:rPr>
        <w:t>[</w:t>
      </w:r>
      <w:r>
        <w:rPr>
          <w:vertAlign w:val="superscript"/>
          <w:position w:val="14"/>
        </w:rPr>
        <w:t>13</w:t>
      </w:r>
      <w:r>
        <w:rPr>
          <w:vertAlign w:val="superscript"/>
          /&gt;
        </w:rPr>
        <w:t>]</w:t>
      </w:r>
      <w:r>
        <w:t>，而由此形成的慢性炎症又是肿瘤形成的重要因素，而</w:t>
      </w:r>
      <w:r>
        <w:t>Ki-67</w:t>
      </w:r>
      <w:r/>
      <w:r w:rsidR="001852F3">
        <w:t xml:space="preserve">本身是反应细胞增殖活性的指标，这也就可以解释为什么在细胞增</w:t>
      </w:r>
      <w:r>
        <w:t>生活跃的组织中</w:t>
      </w:r>
      <w:r>
        <w:t>Ki-67</w:t>
      </w:r>
      <w:r/>
      <w:r w:rsidR="001852F3">
        <w:t xml:space="preserve">表达异常明显的原因。因此有理由这样认为，凋亡</w:t>
      </w:r>
      <w:r>
        <w:t>是机体细胞对抗病毒、细菌等繁殖的积极因素；有研究认为，在机体免疫</w:t>
      </w:r>
      <w:r>
        <w:t>监控紊乱或免疫清除异常时，导致机体细胞的分化不良和细胞的异常增</w:t>
      </w:r>
      <w:r>
        <w:t>殖，会引起</w:t>
      </w:r>
      <w:r>
        <w:t>Ki-67</w:t>
      </w:r>
      <w:r/>
      <w:r w:rsidR="001852F3">
        <w:t xml:space="preserve">的过度表达，故认为</w:t>
      </w:r>
      <w:r>
        <w:t>Ki-67</w:t>
      </w:r>
      <w:r/>
      <w:r w:rsidR="001852F3">
        <w:t xml:space="preserve">的指标和肿瘤的良恶性呈正</w:t>
      </w:r>
      <w:r>
        <w:t>相关。而对</w:t>
      </w:r>
      <w:r>
        <w:t>Ki-67</w:t>
      </w:r>
      <w:r/>
      <w:r w:rsidR="001852F3">
        <w:t xml:space="preserve">在人体诸多恶性疾病中的明显升高，一种认为是原癌基</w:t>
      </w:r>
      <w:r>
        <w:t>因</w:t>
      </w:r>
      <w:r>
        <w:t>Ki-67</w:t>
      </w:r>
      <w:r/>
      <w:r w:rsidR="001852F3">
        <w:t xml:space="preserve">的过度表达导致细胞无限制增生，或许是肿瘤细胞的异常表达导</w:t>
      </w:r>
      <w:r>
        <w:t>致</w:t>
      </w:r>
      <w:r>
        <w:t>Ki-67</w:t>
      </w:r>
      <w:r/>
      <w:r w:rsidR="001852F3">
        <w:t xml:space="preserve">的明显升高。</w:t>
      </w:r>
    </w:p>
    <w:p w:rsidR="0018722C">
      <w:pPr>
        <w:pStyle w:val="cw19"/>
        <w:topLinePunct/>
      </w:pPr>
      <w:r>
        <w:rPr>
          <w:rFonts w:ascii="宋体" w:eastAsia="宋体" w:hint="eastAsia"/>
        </w:rPr>
        <w:t>3.2 </w:t>
      </w:r>
      <w:r>
        <w:rPr>
          <w:rFonts w:ascii="宋体" w:eastAsia="宋体" w:hint="eastAsia"/>
        </w:rPr>
        <w:t>Ki-67</w:t>
      </w:r>
      <w:r w:rsidR="001852F3">
        <w:rPr>
          <w:rFonts w:ascii="宋体" w:eastAsia="宋体" w:hint="eastAsia"/>
        </w:rPr>
        <w:t xml:space="preserve">与血管生成</w:t>
      </w:r>
    </w:p>
    <w:p w:rsidR="0018722C">
      <w:pPr>
        <w:topLinePunct/>
      </w:pPr>
      <w:r>
        <w:t>血管的生成在机体肿瘤的进展中起着重要作用</w:t>
      </w:r>
      <w:r>
        <w:rPr>
          <w:vertAlign w:val="superscript"/>
          /&gt;
        </w:rPr>
        <w:t>[</w:t>
      </w:r>
      <w:r>
        <w:rPr>
          <w:vertAlign w:val="superscript"/>
          <w:position w:val="14"/>
        </w:rPr>
        <w:t xml:space="preserve">14</w:t>
      </w:r>
      <w:r>
        <w:rPr>
          <w:vertAlign w:val="superscript"/>
          /&gt;
        </w:rPr>
        <w:t>]</w:t>
      </w:r>
      <w:r>
        <w:t>，因为肿瘤细胞的特</w:t>
      </w:r>
      <w:r>
        <w:t>点，需要丰富的血液供应以适应其代谢，否则肿瘤组织会退化甚至消失；</w:t>
      </w:r>
      <w:r>
        <w:t>而新生的血管会反馈刺激肿瘤组织生长，并协助肿瘤的生物学进展，但肿</w:t>
      </w:r>
      <w:r>
        <w:t>瘤血管生成过程复杂，包括众多刺激因子和生长因子的慢性长期刺激，进</w:t>
      </w:r>
      <w:r>
        <w:t>一步引起内皮细胞的活化、迁移、增殖等生物学行为。有研究显示</w:t>
      </w:r>
      <w:r>
        <w:rPr>
          <w:vertAlign w:val="superscript"/>
          /&gt;
        </w:rPr>
        <w:t>[</w:t>
      </w:r>
      <w:r>
        <w:rPr>
          <w:vertAlign w:val="superscript"/>
          <w:position w:val="14"/>
        </w:rPr>
        <w:t xml:space="preserve">15</w:t>
      </w:r>
      <w:r>
        <w:rPr>
          <w:vertAlign w:val="superscript"/>
          /&gt;
        </w:rPr>
        <w:t>]</w:t>
      </w:r>
      <w:r>
        <w:t>Ki-67</w:t>
      </w:r>
      <w:r>
        <w:t>与血管内皮生长因子和微血管密度有正相关关系，但三者之间的关系仍有</w:t>
      </w:r>
      <w:r>
        <w:t>待进一步探讨。</w:t>
      </w:r>
    </w:p>
    <w:p w:rsidR="0018722C">
      <w:pPr>
        <w:pStyle w:val="cw19"/>
        <w:topLinePunct/>
      </w:pPr>
      <w:r>
        <w:rPr>
          <w:rFonts w:ascii="宋体" w:eastAsia="宋体" w:hint="eastAsia"/>
        </w:rPr>
        <w:t>3.3 </w:t>
      </w:r>
      <w:r>
        <w:rPr>
          <w:rFonts w:ascii="宋体" w:eastAsia="宋体" w:hint="eastAsia"/>
        </w:rPr>
        <w:t>Ki-67</w:t>
      </w:r>
      <w:r w:rsidR="001852F3">
        <w:rPr>
          <w:rFonts w:ascii="宋体" w:eastAsia="宋体" w:hint="eastAsia"/>
        </w:rPr>
        <w:t xml:space="preserve">与细胞外基质</w:t>
      </w:r>
    </w:p>
    <w:p w:rsidR="0018722C">
      <w:pPr>
        <w:topLinePunct/>
      </w:pPr>
      <w:r>
        <w:t>细胞外基质</w:t>
      </w:r>
      <w:r>
        <w:t>(</w:t>
      </w:r>
      <w:r>
        <w:t>extracellular</w:t>
      </w:r>
      <w:r>
        <w:t> </w:t>
      </w:r>
      <w:r>
        <w:t>matrixc,</w:t>
      </w:r>
      <w:r w:rsidR="004B696B">
        <w:t xml:space="preserve"> </w:t>
      </w:r>
      <w:r w:rsidR="004B696B">
        <w:t>ECM</w:t>
      </w:r>
      <w:r>
        <w:t>)</w:t>
      </w:r>
      <w:r>
        <w:t>的组成包括胶原、非胶原蛋</w:t>
      </w:r>
      <w:r>
        <w:t>白、氨基聚糖、蛋白聚糖和弹性蛋白，它们在机体中起着支持、连接、保</w:t>
      </w:r>
      <w:r>
        <w:t>护等静态物理作用的同时仍发挥着影响细胞存活、生长、控制细胞的分化</w:t>
      </w:r>
      <w:r>
        <w:t>和机体细胞的迁移等动态作用。</w:t>
      </w:r>
    </w:p>
    <w:p w:rsidR="0018722C">
      <w:pPr>
        <w:topLinePunct/>
      </w:pPr>
      <w:r>
        <w:t>故肿瘤的持续发展直至侵犯、迁移均需要通过影响细胞外基质</w:t>
      </w:r>
      <w:r>
        <w:rPr>
          <w:vertAlign w:val="superscript"/>
          /&gt;
        </w:rPr>
        <w:t>[</w:t>
      </w:r>
      <w:r>
        <w:rPr>
          <w:vertAlign w:val="superscript"/>
          /&gt;
        </w:rPr>
        <w:t xml:space="preserve">16</w:t>
      </w:r>
      <w:r>
        <w:rPr>
          <w:vertAlign w:val="superscript"/>
          /&gt;
        </w:rPr>
        <w:t xml:space="preserve">, </w:t>
      </w:r>
      <w:r>
        <w:rPr>
          <w:vertAlign w:val="superscript"/>
          /&gt;
        </w:rPr>
        <w:t xml:space="preserve">17</w:t>
      </w:r>
      <w:r>
        <w:rPr>
          <w:vertAlign w:val="superscript"/>
          /&gt;
        </w:rPr>
        <w:t>]</w:t>
      </w:r>
      <w:r>
        <w:t>，</w:t>
      </w:r>
      <w:r>
        <w:t>并借此进一步影响机体，大致分为以下几个重要步骤：</w:t>
      </w:r>
      <w:r>
        <w:t>1</w:t>
      </w:r>
      <w:r>
        <w:rPr>
          <w:spacing w:val="-2"/>
        </w:rPr>
        <w:t>）</w:t>
      </w:r>
      <w:r>
        <w:t>肿瘤灶突破基底</w:t>
      </w:r>
      <w:r>
        <w:t>膜并侵入间质；</w:t>
      </w:r>
      <w:r>
        <w:t>2</w:t>
      </w:r>
      <w:r>
        <w:rPr>
          <w:spacing w:val="-2"/>
        </w:rPr>
        <w:t>）</w:t>
      </w:r>
      <w:r>
        <w:t>瘤细胞侵犯并突破血管；</w:t>
      </w:r>
      <w:r>
        <w:t>3</w:t>
      </w:r>
      <w:r>
        <w:rPr>
          <w:spacing w:val="-2"/>
        </w:rPr>
        <w:t>）</w:t>
      </w:r>
      <w:r>
        <w:t>瘤细胞入血并在血中生存；</w:t>
      </w:r>
    </w:p>
    <w:p w:rsidR="0018722C">
      <w:pPr>
        <w:topLinePunct/>
      </w:pPr>
      <w:r>
        <w:t>4</w:t>
      </w:r>
      <w:r>
        <w:rPr>
          <w:spacing w:val="-4"/>
        </w:rPr>
        <w:t>）</w:t>
      </w:r>
      <w:r>
        <w:t>继续侵犯血管壁并穿透并转移至组织，在组织中持续生长并扩展。据报</w:t>
      </w:r>
      <w:r>
        <w:t>道在此过程中，基质金属蛋白酶</w:t>
      </w:r>
      <w:r>
        <w:t>(</w:t>
      </w:r>
      <w:r>
        <w:t>Mstrix</w:t>
      </w:r>
      <w:r>
        <w:t> </w:t>
      </w:r>
      <w:r>
        <w:t>metalloproteinases</w:t>
      </w:r>
      <w:r>
        <w:t>)</w:t>
      </w:r>
      <w:r/>
      <w:r w:rsidR="001852F3">
        <w:t xml:space="preserve">起着非常</w:t>
      </w:r>
      <w:r>
        <w:t>重要的作用</w:t>
      </w:r>
      <w:r>
        <w:rPr>
          <w:vertAlign w:val="superscript"/>
          /&gt;
        </w:rPr>
        <w:t>[</w:t>
      </w:r>
      <w:r>
        <w:rPr>
          <w:vertAlign w:val="superscript"/>
          <w:position w:val="14"/>
        </w:rPr>
        <w:t xml:space="preserve">18</w:t>
      </w:r>
      <w:r>
        <w:rPr>
          <w:vertAlign w:val="superscript"/>
          /&gt;
        </w:rPr>
        <w:t>]</w:t>
      </w:r>
      <w:r>
        <w:t>，MMPs</w:t>
      </w:r>
      <w:r/>
      <w:r w:rsidR="001852F3">
        <w:t xml:space="preserve">几乎能降解</w:t>
      </w:r>
      <w:r>
        <w:t>ECM</w:t>
      </w:r>
      <w:r/>
      <w:r w:rsidR="001852F3">
        <w:t xml:space="preserve">中各种蛋白成分，破坏肿瘤细胞侵</w:t>
      </w:r>
      <w:r>
        <w:t>袭的组织学屏障，其不但介导肿瘤细胞对机体细胞的降解，还控制肿瘤血</w:t>
      </w:r>
      <w:r>
        <w:t>管生成及调节细胞黏附，而新文献报道</w:t>
      </w:r>
      <w:r>
        <w:rPr>
          <w:vertAlign w:val="superscript"/>
          /&gt;
        </w:rPr>
        <w:t>[</w:t>
      </w:r>
      <w:r>
        <w:rPr>
          <w:spacing w:val="-2"/>
          <w:position w:val="14"/>
          <w:sz w:val="14"/>
        </w:rPr>
        <w:t xml:space="preserve">19</w:t>
      </w:r>
      <w:r>
        <w:rPr>
          <w:spacing w:val="-2"/>
          <w:position w:val="14"/>
          <w:sz w:val="14"/>
        </w:rPr>
        <w:t xml:space="preserve">, </w:t>
      </w:r>
      <w:r>
        <w:rPr>
          <w:spacing w:val="-2"/>
          <w:position w:val="14"/>
          <w:sz w:val="14"/>
        </w:rPr>
        <w:t xml:space="preserve">20</w:t>
      </w:r>
      <w:r>
        <w:rPr>
          <w:vertAlign w:val="superscript"/>
          /&gt;
        </w:rPr>
        <w:t>]</w:t>
      </w:r>
      <w:r>
        <w:t>，在一些肿瘤中</w:t>
      </w:r>
      <w:r>
        <w:t>ki-67</w:t>
      </w:r>
      <w:r/>
      <w:r w:rsidR="001852F3">
        <w:t xml:space="preserve">的表达</w:t>
      </w:r>
      <w:r>
        <w:t>与</w:t>
      </w:r>
      <w:r>
        <w:t>MMPs</w:t>
      </w:r>
      <w:r/>
      <w:r w:rsidR="001852F3">
        <w:t xml:space="preserve">呈正相关，这说明两者可能有相互促进作用，共同完成对细胞外</w:t>
      </w:r>
      <w:r>
        <w:t>基质及基底膜的破坏及重塑，但机理仍不详。</w:t>
      </w:r>
    </w:p>
    <w:p w:rsidR="0018722C">
      <w:pPr>
        <w:pStyle w:val="cw19"/>
        <w:topLinePunct/>
      </w:pPr>
      <w:r>
        <w:rPr>
          <w:rFonts w:ascii="宋体" w:eastAsia="宋体" w:hint="eastAsia"/>
        </w:rPr>
        <w:t>4</w:t>
      </w:r>
      <w:r>
        <w:rPr>
          <w:rFonts w:ascii="宋体" w:eastAsia="宋体" w:hint="eastAsia"/>
        </w:rPr>
        <w:t>小结与展望</w:t>
      </w:r>
    </w:p>
    <w:p w:rsidR="0018722C">
      <w:pPr>
        <w:topLinePunct/>
      </w:pPr>
      <w:r>
        <w:t>肿瘤是危及世界人民的重要疾病，因其起病隐匿、转移早、恶性程度</w:t>
      </w:r>
      <w:r>
        <w:t>高和治疗手段有限的特点致使病死率高，患者生存质量低下及预后极差，</w:t>
      </w:r>
      <w:r>
        <w:t>随着医疗技术及人们健康意识的提高，癌症的早期诊断取得了一定的成</w:t>
      </w:r>
      <w:r>
        <w:t>绩，但仍有巨大的上升空间，与此同时也加强了对肿瘤的早期积极干预，</w:t>
      </w:r>
      <w:r w:rsidR="001852F3">
        <w:t xml:space="preserve">但如何评估治疗疗效，实验室检查仍为重要依据。因肿瘤有慢性、复杂、</w:t>
      </w:r>
      <w:r>
        <w:t>多因素、多步骤的致病特点，或许可以找到疾病发展与浸润中的一环予以</w:t>
      </w:r>
      <w:r>
        <w:t>监测，将有可能为监测肿瘤的浸润和转移等提供一个方向。</w:t>
      </w:r>
      <w:r>
        <w:t>Ki-67</w:t>
      </w:r>
      <w:r/>
      <w:r w:rsidR="001852F3">
        <w:t xml:space="preserve">作为一</w:t>
      </w:r>
      <w:r>
        <w:t>种增殖细胞核抗原被研究多年，虽在评估肿瘤的良恶性等诸多方面已取得</w:t>
      </w:r>
      <w:r>
        <w:t>进展并持续有新的发现，但在取得成果的同时，</w:t>
      </w:r>
      <w:r>
        <w:t>仍存在一些争议</w:t>
      </w:r>
      <w:r>
        <w:t>，由于肿</w:t>
      </w:r>
      <w:r>
        <w:t>瘤本身的特点及个体的差异和众多学者研究方法及思路的迥异，在研究</w:t>
      </w:r>
      <w:r>
        <w:t>Ki-67</w:t>
      </w:r>
      <w:r/>
      <w:r w:rsidR="001852F3">
        <w:t xml:space="preserve">在肿瘤中的表达及对生物学行为影响仍存在观点上的不同，需加强</w:t>
      </w:r>
      <w:r>
        <w:t>协作并继续研究，以便明确结论，指导实践；另外，仍需进一步扩大研究</w:t>
      </w:r>
      <w:r>
        <w:t>范围和加强研究深度，明确该指标是否适用于所有肿瘤组织。</w:t>
      </w:r>
    </w:p>
    <w:p w:rsidR="0018722C">
      <w:pPr>
        <w:pStyle w:val="afff1"/>
        <w:topLinePunct/>
      </w:pPr>
      <w:bookmarkStart w:id="273662" w:name="_Toc686273662"/>
      <w:bookmarkStart w:name="参 考 文 献 " w:id="48"/>
      <w:bookmarkEnd w:id="48"/>
      <w:r>
        <w:t>参  考  文 献</w:t>
      </w:r>
      <w:bookmarkEnd w:id="273662"/>
    </w:p>
    <w:p w:rsidR="0018722C">
      <w:pPr>
        <w:pStyle w:val="cw19"/>
        <w:topLinePunct/>
      </w:pPr>
      <w:r>
        <w:t>[</w:t>
      </w:r>
      <w:r>
        <w:t xml:space="preserve">1</w:t>
      </w:r>
      <w:r>
        <w:t>]</w:t>
      </w:r>
      <w:r>
        <w:t xml:space="preserve"> </w:t>
      </w:r>
      <w:r>
        <w:t>Bruno S,</w:t>
      </w:r>
      <w:r w:rsidR="004B696B">
        <w:t xml:space="preserve"> </w:t>
      </w:r>
      <w:r w:rsidR="004B696B">
        <w:t>Darzynkiewicz Z.</w:t>
      </w:r>
      <w:r w:rsidR="004B696B">
        <w:t xml:space="preserve"> </w:t>
      </w:r>
      <w:r w:rsidR="004B696B">
        <w:t>Cell cycle dependent expression and stability of the nuclear protein detected by Ki-67 antibody in HL-60 cells.</w:t>
      </w:r>
      <w:r w:rsidR="004B696B">
        <w:t xml:space="preserve"> </w:t>
      </w:r>
      <w:r w:rsidR="004B696B">
        <w:t>Cell prolif.1992.22</w:t>
      </w:r>
      <w:r>
        <w:t>(</w:t>
      </w:r>
      <w:r>
        <w:t>5</w:t>
      </w:r>
      <w:r>
        <w:t>)</w:t>
      </w:r>
      <w:r>
        <w:t>:1149-55</w:t>
      </w:r>
    </w:p>
    <w:p w:rsidR="0018722C">
      <w:pPr>
        <w:pStyle w:val="cw19"/>
        <w:topLinePunct/>
      </w:pPr>
      <w:r>
        <w:t>[</w:t>
      </w:r>
      <w:r>
        <w:t xml:space="preserve">2</w:t>
      </w:r>
      <w:r>
        <w:t>]</w:t>
      </w:r>
      <w:r>
        <w:t xml:space="preserve"> </w:t>
      </w:r>
      <w:r>
        <w:t>Campana</w:t>
      </w:r>
      <w:r>
        <w:t> </w:t>
      </w:r>
      <w:r>
        <w:t>D,</w:t>
      </w:r>
      <w:r w:rsidR="004B696B">
        <w:t xml:space="preserve"> </w:t>
      </w:r>
      <w:r w:rsidR="004B696B">
        <w:t>Janossy</w:t>
      </w:r>
      <w:r>
        <w:t> </w:t>
      </w:r>
      <w:r>
        <w:t>G.</w:t>
      </w:r>
      <w:r w:rsidR="004B696B">
        <w:t xml:space="preserve"> </w:t>
      </w:r>
      <w:r w:rsidR="004B696B">
        <w:t>Proliferation</w:t>
      </w:r>
      <w:r>
        <w:t> </w:t>
      </w:r>
      <w:r>
        <w:t>of</w:t>
      </w:r>
      <w:r>
        <w:t> </w:t>
      </w:r>
      <w:r>
        <w:t>normal</w:t>
      </w:r>
      <w:r>
        <w:t> </w:t>
      </w:r>
      <w:r>
        <w:t>and</w:t>
      </w:r>
      <w:r>
        <w:t> </w:t>
      </w:r>
      <w:r>
        <w:t>malignant</w:t>
      </w:r>
      <w:r>
        <w:t> </w:t>
      </w:r>
      <w:r>
        <w:t>human</w:t>
      </w:r>
    </w:p>
    <w:p w:rsidR="0018722C">
      <w:pPr>
        <w:topLinePunct/>
      </w:pPr>
      <w:r>
        <w:rPr>
          <w:rFonts w:ascii="Times New Roman"/>
        </w:rPr>
        <w:t/>
      </w:r>
      <w:r>
        <w:rPr>
          <w:rFonts w:ascii="Times New Roman"/>
        </w:rPr>
        <w:t>I</w:t>
      </w:r>
      <w:r>
        <w:rPr>
          <w:rFonts w:ascii="Times New Roman"/>
        </w:rPr>
        <w:t>mmature lymphoid cells.</w:t>
      </w:r>
      <w:r w:rsidR="004B696B">
        <w:rPr>
          <w:rFonts w:ascii="Times New Roman"/>
        </w:rPr>
        <w:t xml:space="preserve"> </w:t>
      </w:r>
      <w:r w:rsidR="004B696B">
        <w:rPr>
          <w:rFonts w:ascii="Times New Roman"/>
        </w:rPr>
        <w:t>Blood.1988.71</w:t>
      </w:r>
      <w:r>
        <w:rPr>
          <w:rFonts w:ascii="Times New Roman"/>
        </w:rPr>
        <w:t>(</w:t>
      </w:r>
      <w:r>
        <w:rPr>
          <w:rFonts w:ascii="Times New Roman"/>
        </w:rPr>
        <w:t>5</w:t>
      </w:r>
      <w:r>
        <w:rPr>
          <w:rFonts w:ascii="Times New Roman"/>
        </w:rPr>
        <w:t>)</w:t>
      </w:r>
      <w:r>
        <w:rPr>
          <w:rFonts w:ascii="Times New Roman"/>
        </w:rPr>
        <w:t>:1201-10.</w:t>
      </w:r>
    </w:p>
    <w:p w:rsidR="0018722C">
      <w:pPr>
        <w:pStyle w:val="cw19"/>
        <w:topLinePunct/>
      </w:pPr>
      <w:r>
        <w:t>[</w:t>
      </w:r>
      <w:r>
        <w:t xml:space="preserve">3</w:t>
      </w:r>
      <w:r>
        <w:t>]</w:t>
      </w:r>
      <w:r>
        <w:t xml:space="preserve"> </w:t>
      </w:r>
      <w:r>
        <w:t>Duchrow M,</w:t>
      </w:r>
      <w:r w:rsidR="004B696B">
        <w:t xml:space="preserve"> </w:t>
      </w:r>
      <w:r w:rsidR="004B696B">
        <w:t>Schluter </w:t>
      </w:r>
      <w:r>
        <w:t>C,</w:t>
      </w:r>
      <w:r w:rsidR="004B696B">
        <w:t xml:space="preserve"> </w:t>
      </w:r>
      <w:r w:rsidR="004B696B">
        <w:t>Wohlenberg</w:t>
      </w:r>
      <w:r>
        <w:t> </w:t>
      </w:r>
      <w:r>
        <w:t>C,</w:t>
      </w:r>
      <w:r w:rsidR="004B696B">
        <w:t xml:space="preserve"> </w:t>
      </w:r>
      <w:r w:rsidR="004B696B">
        <w:t>Flad HD,</w:t>
      </w:r>
      <w:r w:rsidR="004B696B">
        <w:t xml:space="preserve"> </w:t>
      </w:r>
      <w:r w:rsidR="004B696B">
        <w:t>Gerdes J.</w:t>
      </w:r>
      <w:r w:rsidR="004B696B">
        <w:t xml:space="preserve"> </w:t>
      </w:r>
      <w:r w:rsidR="004B696B">
        <w:t>Molecular characterization of the gene locus of the human cell proliferation associated nuclear protein defined by monoclonal antibody Ki-67.</w:t>
      </w:r>
      <w:r w:rsidR="004B696B">
        <w:t xml:space="preserve"> </w:t>
      </w:r>
      <w:r w:rsidR="004B696B">
        <w:t>Cell prolif.1996.29</w:t>
      </w:r>
      <w:r>
        <w:t>(</w:t>
      </w:r>
      <w:r>
        <w:t>1</w:t>
      </w:r>
      <w:r>
        <w:t>)</w:t>
      </w:r>
      <w:r>
        <w:t>:1-12.</w:t>
      </w:r>
    </w:p>
    <w:p w:rsidR="0018722C">
      <w:pPr>
        <w:pStyle w:val="cw19"/>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李智</w:t>
      </w:r>
      <w:r>
        <w:rPr>
          <w:rFonts w:ascii="宋体" w:eastAsia="宋体" w:hint="eastAsia"/>
        </w:rPr>
        <w:t>，</w:t>
      </w:r>
      <w:r>
        <w:rPr>
          <w:rFonts w:ascii="宋体" w:eastAsia="宋体" w:hint="eastAsia"/>
        </w:rPr>
        <w:t>段建敏</w:t>
      </w:r>
      <w:r>
        <w:rPr>
          <w:rFonts w:ascii="宋体" w:eastAsia="宋体" w:hint="eastAsia"/>
        </w:rPr>
        <w:t>，</w:t>
      </w:r>
      <w:r>
        <w:rPr>
          <w:rFonts w:ascii="宋体" w:eastAsia="宋体" w:hint="eastAsia"/>
        </w:rPr>
        <w:t>范维柯,</w:t>
      </w:r>
      <w:r w:rsidR="001852F3">
        <w:rPr>
          <w:rFonts w:ascii="宋体" w:eastAsia="宋体" w:hint="eastAsia"/>
        </w:rPr>
        <w:t xml:space="preserve"> </w:t>
      </w:r>
      <w:r>
        <w:rPr>
          <w:rFonts w:ascii="宋体" w:eastAsia="宋体" w:hint="eastAsia"/>
        </w:rPr>
        <w:t>Ki-67</w:t>
      </w:r>
      <w:r w:rsidR="001852F3">
        <w:rPr>
          <w:rFonts w:ascii="宋体" w:eastAsia="宋体" w:hint="eastAsia"/>
        </w:rPr>
        <w:t xml:space="preserve">与恶性肿瘤预后的相关性.国外医学临</w:t>
      </w:r>
    </w:p>
    <w:p w:rsidR="0018722C">
      <w:pPr>
        <w:topLinePunct/>
      </w:pPr>
      <w:r>
        <w:t>床生物化学与检验学分册</w:t>
      </w:r>
      <w:r>
        <w:t>[</w:t>
      </w:r>
      <w:r>
        <w:t xml:space="preserve">J</w:t>
      </w:r>
      <w:r>
        <w:t>]</w:t>
      </w:r>
      <w:r>
        <w:t xml:space="preserve">,2000,21</w:t>
      </w:r>
      <w:r>
        <w:t>(</w:t>
      </w:r>
      <w:r>
        <w:t>6</w:t>
      </w:r>
      <w:r>
        <w:t>)</w:t>
      </w:r>
      <w:r>
        <w:t>:312-313.</w:t>
      </w:r>
    </w:p>
    <w:p w:rsidR="0018722C">
      <w:pPr>
        <w:pStyle w:val="cw19"/>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刘大为</w:t>
      </w:r>
      <w:r>
        <w:rPr>
          <w:rFonts w:ascii="宋体" w:eastAsia="宋体" w:hint="eastAsia"/>
        </w:rPr>
        <w:t>，</w:t>
      </w:r>
      <w:r>
        <w:rPr>
          <w:rFonts w:ascii="宋体" w:eastAsia="宋体" w:hint="eastAsia"/>
        </w:rPr>
        <w:t>刘星</w:t>
      </w:r>
      <w:r>
        <w:rPr>
          <w:rFonts w:ascii="宋体" w:eastAsia="宋体" w:hint="eastAsia"/>
        </w:rPr>
        <w:t>，</w:t>
      </w:r>
      <w:r>
        <w:rPr>
          <w:rFonts w:ascii="宋体" w:eastAsia="宋体" w:hint="eastAsia"/>
        </w:rPr>
        <w:t>刘初晴,</w:t>
      </w:r>
      <w:r w:rsidR="001852F3">
        <w:rPr>
          <w:rFonts w:ascii="宋体" w:eastAsia="宋体" w:hint="eastAsia"/>
        </w:rPr>
        <w:t xml:space="preserve"> </w:t>
      </w:r>
      <w:r>
        <w:rPr>
          <w:rFonts w:ascii="宋体" w:eastAsia="宋体" w:hint="eastAsia"/>
        </w:rPr>
        <w:t>Ki-67</w:t>
      </w:r>
      <w:r w:rsidR="001852F3">
        <w:rPr>
          <w:rFonts w:ascii="宋体" w:eastAsia="宋体" w:hint="eastAsia"/>
        </w:rPr>
        <w:t xml:space="preserve">在不同肿瘤中的表达及意义.中国保健</w:t>
      </w:r>
      <w:r>
        <w:rPr>
          <w:rFonts w:ascii="宋体" w:eastAsia="宋体" w:hint="eastAsia"/>
        </w:rPr>
        <w:t>营养</w:t>
      </w:r>
      <w:r>
        <w:rPr>
          <w:rFonts w:ascii="宋体" w:eastAsia="宋体" w:hint="eastAsia"/>
          <w:rFonts w:ascii="宋体" w:eastAsia="宋体" w:hint="eastAsia"/>
          <w:spacing w:val="-1"/>
          <w:w w:val="100"/>
          <w:sz w:val="28"/>
        </w:rPr>
        <w:t>（</w:t>
      </w:r>
      <w:r>
        <w:rPr>
          <w:rFonts w:ascii="宋体" w:eastAsia="宋体" w:hint="eastAsia"/>
          <w:spacing w:val="-1"/>
          <w:w w:val="100"/>
          <w:sz w:val="28"/>
        </w:rPr>
        <w:t>中旬刊</w:t>
      </w:r>
      <w:r>
        <w:rPr>
          <w:rFonts w:ascii="宋体" w:eastAsia="宋体" w:hint="eastAsia"/>
          <w:rFonts w:ascii="宋体" w:eastAsia="宋体" w:hint="eastAsia"/>
          <w:spacing w:val="-1"/>
          <w:w w:val="100"/>
          <w:sz w:val="28"/>
        </w:rPr>
        <w:t>）</w:t>
      </w:r>
      <w:r>
        <w:t>[</w:t>
      </w:r>
      <w:r>
        <w:rPr>
          <w:rFonts w:ascii="宋体" w:eastAsia="宋体" w:hint="eastAsia"/>
        </w:rPr>
        <w:t>J</w:t>
      </w:r>
      <w:r>
        <w:t>]</w:t>
      </w:r>
      <w:r>
        <w:rPr>
          <w:rFonts w:ascii="宋体" w:eastAsia="宋体" w:hint="eastAsia"/>
          <w:rFonts w:ascii="宋体" w:eastAsia="宋体" w:hint="eastAsia"/>
          <w:w w:val="100"/>
          <w:sz w:val="28"/>
        </w:rPr>
        <w:t>.</w:t>
      </w:r>
      <w:r>
        <w:rPr>
          <w:rFonts w:ascii="宋体" w:eastAsia="宋体" w:hint="eastAsia"/>
        </w:rPr>
        <w:t>2</w:t>
      </w:r>
      <w:r>
        <w:rPr>
          <w:rFonts w:ascii="宋体" w:eastAsia="宋体" w:hint="eastAsia"/>
        </w:rPr>
        <w:t>0</w:t>
      </w:r>
      <w:r>
        <w:rPr>
          <w:rFonts w:ascii="宋体" w:eastAsia="宋体" w:hint="eastAsia"/>
        </w:rPr>
        <w:t>12</w:t>
      </w:r>
      <w:r>
        <w:rPr>
          <w:rFonts w:ascii="宋体" w:eastAsia="宋体" w:hint="eastAsia"/>
          <w:rFonts w:ascii="宋体" w:eastAsia="宋体" w:hint="eastAsia"/>
          <w:spacing w:val="0"/>
          <w:w w:val="100"/>
          <w:sz w:val="28"/>
        </w:rPr>
        <w:t>，</w:t>
      </w:r>
      <w:r>
        <w:rPr>
          <w:rFonts w:ascii="宋体" w:eastAsia="宋体" w:hint="eastAsia"/>
        </w:rPr>
        <w:t>(</w:t>
      </w:r>
      <w:r>
        <w:rPr>
          <w:rFonts w:ascii="宋体" w:eastAsia="宋体" w:hint="eastAsia"/>
          <w:spacing w:val="-1"/>
          <w:w w:val="100"/>
          <w:sz w:val="28"/>
        </w:rPr>
        <w:t>8</w:t>
      </w:r>
      <w:r>
        <w:rPr>
          <w:rFonts w:ascii="宋体" w:eastAsia="宋体" w:hint="eastAsia"/>
        </w:rPr>
        <w:t>)</w:t>
      </w:r>
      <w:r>
        <w:rPr>
          <w:rFonts w:ascii="宋体" w:eastAsia="宋体" w:hint="eastAsia"/>
        </w:rPr>
        <w:t>:</w:t>
      </w:r>
      <w:r>
        <w:rPr>
          <w:rFonts w:ascii="宋体" w:eastAsia="宋体" w:hint="eastAsia"/>
        </w:rPr>
        <w:t>5</w:t>
      </w:r>
      <w:r>
        <w:rPr>
          <w:rFonts w:ascii="宋体" w:eastAsia="宋体" w:hint="eastAsia"/>
        </w:rPr>
        <w:t>8</w:t>
      </w:r>
      <w:r>
        <w:rPr>
          <w:rFonts w:ascii="宋体" w:eastAsia="宋体" w:hint="eastAsia"/>
        </w:rPr>
        <w:t>3</w:t>
      </w:r>
      <w:r>
        <w:rPr>
          <w:rFonts w:ascii="宋体" w:eastAsia="宋体" w:hint="eastAsia"/>
        </w:rPr>
        <w:t>.</w:t>
      </w:r>
    </w:p>
    <w:p w:rsidR="0018722C">
      <w:pPr>
        <w:pStyle w:val="cw19"/>
        <w:topLinePunct/>
      </w:pPr>
      <w:r>
        <w:rPr>
          <w:rFonts w:ascii="宋体"/>
        </w:rPr>
        <w:t>[</w:t>
      </w:r>
      <w:r>
        <w:rPr>
          <w:rFonts w:ascii="宋体"/>
        </w:rPr>
        <w:t xml:space="preserve">6</w:t>
      </w:r>
      <w:r>
        <w:rPr>
          <w:rFonts w:ascii="宋体"/>
        </w:rPr>
        <w:t>]</w:t>
      </w:r>
      <w:r>
        <w:rPr>
          <w:rFonts w:ascii="宋体"/>
        </w:rPr>
        <w:t xml:space="preserve"> </w:t>
      </w:r>
      <w:r>
        <w:rPr>
          <w:rFonts w:ascii="宋体"/>
        </w:rPr>
        <w:t>Bura M,</w:t>
      </w:r>
      <w:r w:rsidR="004B696B">
        <w:rPr>
          <w:rFonts w:ascii="宋体"/>
        </w:rPr>
        <w:t xml:space="preserve"> </w:t>
      </w:r>
      <w:r w:rsidR="004B696B">
        <w:rPr>
          <w:rFonts w:ascii="宋体"/>
        </w:rPr>
        <w:t>Seiwerth S,</w:t>
      </w:r>
      <w:r w:rsidR="004B696B">
        <w:rPr>
          <w:rFonts w:ascii="宋体"/>
        </w:rPr>
        <w:t xml:space="preserve"> </w:t>
      </w:r>
      <w:r w:rsidR="004B696B">
        <w:rPr>
          <w:rFonts w:ascii="宋体"/>
        </w:rPr>
        <w:t>Vladika I,</w:t>
      </w:r>
      <w:r w:rsidR="004B696B">
        <w:rPr>
          <w:rFonts w:ascii="宋体"/>
        </w:rPr>
        <w:t xml:space="preserve"> </w:t>
      </w:r>
      <w:r w:rsidR="004B696B">
        <w:rPr>
          <w:rFonts w:ascii="宋体"/>
        </w:rPr>
        <w:t>et al.</w:t>
      </w:r>
      <w:r w:rsidR="004B696B">
        <w:rPr>
          <w:rFonts w:ascii="宋体"/>
        </w:rPr>
        <w:t xml:space="preserve"> </w:t>
      </w:r>
      <w:r w:rsidR="004B696B">
        <w:rPr>
          <w:rFonts w:ascii="宋体"/>
        </w:rPr>
        <w:t>Possible prognostic significance</w:t>
      </w:r>
      <w:r>
        <w:rPr>
          <w:rFonts w:ascii="宋体"/>
        </w:rPr>
        <w:t> </w:t>
      </w:r>
      <w:r>
        <w:rPr>
          <w:rFonts w:ascii="宋体"/>
        </w:rPr>
        <w:t>of</w:t>
      </w:r>
      <w:r>
        <w:rPr>
          <w:rFonts w:ascii="宋体"/>
        </w:rPr>
        <w:t> </w:t>
      </w:r>
      <w:r>
        <w:rPr>
          <w:rFonts w:ascii="宋体"/>
        </w:rPr>
        <w:t>p53</w:t>
      </w:r>
      <w:r>
        <w:rPr>
          <w:rFonts w:ascii="宋体"/>
        </w:rPr>
        <w:t> </w:t>
      </w:r>
      <w:r>
        <w:rPr>
          <w:rFonts w:ascii="宋体"/>
        </w:rPr>
        <w:t>and</w:t>
      </w:r>
      <w:r>
        <w:rPr>
          <w:rFonts w:ascii="宋体"/>
        </w:rPr>
        <w:t> </w:t>
      </w:r>
      <w:r>
        <w:rPr>
          <w:rFonts w:ascii="宋体"/>
        </w:rPr>
        <w:t>Ki-67</w:t>
      </w:r>
      <w:r>
        <w:rPr>
          <w:rFonts w:ascii="宋体"/>
        </w:rPr>
        <w:t> </w:t>
      </w:r>
      <w:r>
        <w:rPr>
          <w:rFonts w:ascii="宋体"/>
        </w:rPr>
        <w:t>in</w:t>
      </w:r>
      <w:r>
        <w:rPr>
          <w:rFonts w:ascii="宋体"/>
        </w:rPr>
        <w:t> </w:t>
      </w:r>
      <w:r>
        <w:rPr>
          <w:rFonts w:ascii="宋体"/>
        </w:rPr>
        <w:t>inverted</w:t>
      </w:r>
      <w:r>
        <w:rPr>
          <w:rFonts w:ascii="宋体"/>
        </w:rPr>
        <w:t> </w:t>
      </w:r>
      <w:r>
        <w:rPr>
          <w:rFonts w:ascii="宋体"/>
        </w:rPr>
        <w:t>sinonasal</w:t>
      </w:r>
      <w:r>
        <w:rPr>
          <w:rFonts w:ascii="宋体"/>
        </w:rPr>
        <w:t> </w:t>
      </w:r>
      <w:r>
        <w:rPr>
          <w:rFonts w:ascii="宋体"/>
        </w:rPr>
        <w:t>papilloma</w:t>
      </w:r>
    </w:p>
    <w:p w:rsidR="0018722C">
      <w:pPr>
        <w:topLinePunct/>
      </w:pPr>
      <w:r>
        <w:t>[</w:t>
      </w:r>
      <w:r>
        <w:t xml:space="preserve">J</w:t>
      </w:r>
      <w:r>
        <w:t>]</w:t>
      </w:r>
      <w:r w:rsidR="004B696B">
        <w:t xml:space="preserve"> </w:t>
      </w:r>
      <w:r>
        <w:t xml:space="preserve">Coll antropol,2007,31</w:t>
      </w:r>
      <w:r>
        <w:t>(</w:t>
      </w:r>
      <w:r>
        <w:t>2</w:t>
      </w:r>
      <w:r>
        <w:t>)</w:t>
      </w:r>
      <w:r>
        <w:t>:545-549.</w:t>
      </w:r>
    </w:p>
    <w:p w:rsidR="0018722C">
      <w:pPr>
        <w:pStyle w:val="cw19"/>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段建中，王殿栋，</w:t>
      </w:r>
      <w:r>
        <w:rPr>
          <w:rFonts w:ascii="宋体" w:eastAsia="宋体" w:hint="eastAsia"/>
        </w:rPr>
        <w:t>Ki-67</w:t>
      </w:r>
      <w:r w:rsidR="001852F3">
        <w:rPr>
          <w:rFonts w:ascii="宋体" w:eastAsia="宋体" w:hint="eastAsia"/>
        </w:rPr>
        <w:t xml:space="preserve">基因在肿瘤发生发展中作用的研究，中国肿</w:t>
      </w:r>
      <w:r>
        <w:rPr>
          <w:rFonts w:ascii="宋体" w:eastAsia="宋体" w:hint="eastAsia"/>
        </w:rPr>
        <w:t>瘤外科杂志</w:t>
      </w:r>
      <w:r>
        <w:t>[</w:t>
      </w:r>
      <w:r>
        <w:rPr>
          <w:rFonts w:ascii="宋体" w:eastAsia="宋体" w:hint="eastAsia"/>
        </w:rPr>
        <w:t>J</w:t>
      </w:r>
      <w:r>
        <w:t>]</w:t>
      </w:r>
      <w:r>
        <w:rPr>
          <w:rFonts w:ascii="宋体" w:eastAsia="宋体" w:hint="eastAsia"/>
        </w:rPr>
        <w:t>，</w:t>
      </w:r>
      <w:r>
        <w:rPr>
          <w:rFonts w:ascii="宋体" w:eastAsia="宋体" w:hint="eastAsia"/>
        </w:rPr>
        <w:t>2</w:t>
      </w:r>
      <w:r>
        <w:rPr>
          <w:rFonts w:ascii="宋体" w:eastAsia="宋体" w:hint="eastAsia"/>
        </w:rPr>
        <w:t>0</w:t>
      </w:r>
      <w:r>
        <w:rPr>
          <w:rFonts w:ascii="宋体" w:eastAsia="宋体" w:hint="eastAsia"/>
        </w:rPr>
        <w:t>11</w:t>
      </w:r>
      <w:r>
        <w:rPr>
          <w:rFonts w:ascii="宋体" w:eastAsia="宋体" w:hint="eastAsia"/>
        </w:rPr>
        <w:t>,</w:t>
      </w:r>
      <w:r>
        <w:rPr>
          <w:rFonts w:ascii="宋体" w:eastAsia="宋体" w:hint="eastAsia"/>
        </w:rPr>
        <w:t>3</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w:t>
      </w:r>
      <w:r>
        <w:rPr>
          <w:rFonts w:ascii="宋体" w:eastAsia="宋体" w:hint="eastAsia"/>
        </w:rPr>
        <w:t>50</w:t>
      </w:r>
      <w:r>
        <w:rPr>
          <w:rFonts w:ascii="宋体" w:eastAsia="宋体" w:hint="eastAsia"/>
        </w:rPr>
        <w:t>-</w:t>
      </w:r>
      <w:r>
        <w:rPr>
          <w:rFonts w:ascii="宋体" w:eastAsia="宋体" w:hint="eastAsia"/>
        </w:rPr>
        <w:t>5</w:t>
      </w:r>
      <w:r>
        <w:rPr>
          <w:rFonts w:ascii="宋体" w:eastAsia="宋体" w:hint="eastAsia"/>
        </w:rPr>
        <w:t>1,</w:t>
      </w:r>
      <w:r>
        <w:rPr>
          <w:rFonts w:ascii="宋体" w:eastAsia="宋体" w:hint="eastAsia"/>
        </w:rPr>
        <w:t>5</w:t>
      </w:r>
      <w:r>
        <w:rPr>
          <w:rFonts w:ascii="宋体" w:eastAsia="宋体" w:hint="eastAsia"/>
        </w:rPr>
        <w:t>7</w:t>
      </w:r>
      <w:r>
        <w:rPr>
          <w:rFonts w:ascii="宋体" w:eastAsia="宋体" w:hint="eastAsia"/>
        </w:rPr>
        <w:t>.</w:t>
      </w:r>
    </w:p>
    <w:p w:rsidR="0018722C">
      <w:pPr>
        <w:pStyle w:val="cw19"/>
        <w:topLinePunct/>
      </w:pPr>
      <w:r>
        <w:t>[</w:t>
      </w:r>
      <w:r>
        <w:t xml:space="preserve">8</w:t>
      </w:r>
      <w:r>
        <w:t>]</w:t>
      </w:r>
      <w:r>
        <w:t xml:space="preserve"> </w:t>
      </w:r>
      <w:r>
        <w:t>Ogata DC, Marcondes </w:t>
      </w:r>
      <w:r>
        <w:t>CA,</w:t>
      </w:r>
      <w:r w:rsidR="001852F3">
        <w:t xml:space="preserve"> </w:t>
      </w:r>
      <w:r w:rsidR="001852F3">
        <w:t xml:space="preserve">Tuon </w:t>
      </w:r>
      <w:r>
        <w:t>FF,</w:t>
      </w:r>
      <w:r w:rsidR="001852F3">
        <w:t xml:space="preserve"> </w:t>
      </w:r>
      <w:r w:rsidR="001852F3">
        <w:t xml:space="preserve">et </w:t>
      </w:r>
      <w:r>
        <w:t>al.</w:t>
      </w:r>
      <w:r w:rsidR="001852F3">
        <w:t xml:space="preserve"> </w:t>
      </w:r>
      <w:r w:rsidR="001852F3">
        <w:t xml:space="preserve">Sperfical papillary urothelial neoplasmas of the </w:t>
      </w:r>
      <w:r>
        <w:t>bladder</w:t>
      </w:r>
      <w:r>
        <w:t>(</w:t>
      </w:r>
      <w:r>
        <w:t xml:space="preserve">PTA </w:t>
      </w:r>
      <w:r>
        <w:t>E PT1</w:t>
      </w:r>
      <w:r>
        <w:t>)</w:t>
      </w:r>
      <w:r>
        <w:t xml:space="preserve">:correlation of expression of p53,</w:t>
      </w:r>
      <w:r w:rsidR="004B696B">
        <w:t xml:space="preserve"> </w:t>
      </w:r>
      <w:r w:rsidR="004B696B">
        <w:t xml:space="preserve">ki-67</w:t>
      </w:r>
      <w:r w:rsidR="001852F3">
        <w:t xml:space="preserve"> </w:t>
      </w:r>
      <w:r>
        <w:t> </w:t>
      </w:r>
      <w:r>
        <w:t>and</w:t>
      </w:r>
      <w:r w:rsidR="001852F3">
        <w:t xml:space="preserve"> </w:t>
      </w:r>
      <w:r>
        <w:t> </w:t>
      </w:r>
      <w:r>
        <w:t>CK20</w:t>
      </w:r>
      <w:r w:rsidR="001852F3">
        <w:t xml:space="preserve"> </w:t>
      </w:r>
      <w:r>
        <w:t> </w:t>
      </w:r>
      <w:r>
        <w:t>with</w:t>
      </w:r>
      <w:r w:rsidR="001852F3">
        <w:t xml:space="preserve"> </w:t>
      </w:r>
      <w:r>
        <w:t> </w:t>
      </w:r>
      <w:r>
        <w:t>histologic</w:t>
      </w:r>
      <w:r w:rsidR="001852F3">
        <w:t xml:space="preserve"> </w:t>
      </w:r>
      <w:r>
        <w:t> </w:t>
      </w:r>
      <w:r>
        <w:t>grade,</w:t>
      </w:r>
      <w:r w:rsidR="004B696B">
        <w:t xml:space="preserve"> </w:t>
      </w:r>
      <w:r w:rsidR="004B696B">
        <w:t>recurrence</w:t>
      </w:r>
      <w:r w:rsidR="001852F3">
        <w:t xml:space="preserve"> </w:t>
      </w:r>
      <w:r>
        <w:t> </w:t>
      </w:r>
      <w:r>
        <w:t>and</w:t>
      </w:r>
      <w:r w:rsidR="001852F3">
        <w:t xml:space="preserve"> </w:t>
      </w:r>
      <w:r>
        <w:t> </w:t>
      </w:r>
      <w:r>
        <w:t>tumor</w:t>
      </w:r>
    </w:p>
    <w:p w:rsidR="0018722C">
      <w:pPr>
        <w:topLinePunct/>
      </w:pPr>
      <w:r>
        <w:rPr>
          <w:rFonts w:ascii="Times New Roman" w:eastAsia="宋体"/>
        </w:rPr>
        <w:t/>
      </w:r>
      <w:r>
        <w:rPr>
          <w:rFonts w:ascii="Times New Roman" w:eastAsia="宋体"/>
        </w:rPr>
        <w:t>P</w:t>
      </w:r>
      <w:r>
        <w:rPr>
          <w:rFonts w:ascii="Times New Roman" w:eastAsia="宋体"/>
        </w:rPr>
        <w:t>rogression</w:t>
      </w:r>
      <w:r>
        <w:t>[</w:t>
      </w:r>
      <w:r>
        <w:rPr>
          <w:rFonts w:ascii="Times New Roman" w:eastAsia="宋体"/>
        </w:rPr>
        <w:t>J</w:t>
      </w:r>
      <w:r>
        <w:t>]</w:t>
      </w:r>
      <w:r>
        <w:rPr>
          <w:rFonts w:ascii="Times New Roman" w:eastAsia="宋体"/>
        </w:rPr>
        <w:t>.</w:t>
      </w:r>
      <w:r w:rsidR="004B696B">
        <w:rPr>
          <w:rFonts w:ascii="Times New Roman" w:eastAsia="宋体"/>
        </w:rPr>
        <w:t xml:space="preserve"> </w:t>
      </w:r>
      <w:r w:rsidR="004B696B">
        <w:rPr>
          <w:rFonts w:ascii="Times New Roman" w:eastAsia="宋体"/>
        </w:rPr>
        <w:t>Rev Col Bras Cir,2012,39</w:t>
      </w:r>
      <w:r>
        <w:rPr>
          <w:rFonts w:ascii="Times New Roman" w:eastAsia="宋体"/>
        </w:rPr>
        <w:t>(</w:t>
      </w:r>
      <w:r>
        <w:rPr>
          <w:rFonts w:ascii="Times New Roman" w:eastAsia="宋体"/>
        </w:rPr>
        <w:t>5</w:t>
      </w:r>
      <w:r>
        <w:rPr>
          <w:rFonts w:ascii="Times New Roman" w:eastAsia="宋体"/>
        </w:rPr>
        <w:t>)</w:t>
      </w:r>
      <w:r>
        <w:rPr>
          <w:rFonts w:ascii="Times New Roman" w:eastAsia="宋体"/>
        </w:rPr>
        <w:t>:394-400.</w:t>
      </w:r>
    </w:p>
    <w:p w:rsidR="0018722C">
      <w:pPr>
        <w:pStyle w:val="cw19"/>
        <w:topLinePunct/>
      </w:pPr>
      <w:r>
        <w:t>[</w:t>
      </w:r>
      <w:r>
        <w:t xml:space="preserve">9</w:t>
      </w:r>
      <w:r>
        <w:t>]</w:t>
      </w:r>
      <w:r>
        <w:t xml:space="preserve"> </w:t>
      </w:r>
      <w:r>
        <w:t>Vilar</w:t>
      </w:r>
      <w:r w:rsidR="001852F3">
        <w:t xml:space="preserve"> </w:t>
      </w:r>
      <w:r>
        <w:t>E,</w:t>
      </w:r>
      <w:r w:rsidR="004B696B">
        <w:t xml:space="preserve"> </w:t>
      </w:r>
      <w:r w:rsidR="004B696B">
        <w:t>Salazar</w:t>
      </w:r>
      <w:r w:rsidR="001852F3">
        <w:t xml:space="preserve"> R,</w:t>
      </w:r>
      <w:r w:rsidR="004B696B">
        <w:t xml:space="preserve"> </w:t>
      </w:r>
      <w:r w:rsidR="004B696B">
        <w:t xml:space="preserve">Perez-Garcia</w:t>
      </w:r>
      <w:r w:rsidR="001852F3">
        <w:t xml:space="preserve"> J,</w:t>
      </w:r>
      <w:r w:rsidR="004B696B">
        <w:t xml:space="preserve"> </w:t>
      </w:r>
      <w:r w:rsidR="004B696B">
        <w:t xml:space="preserve">et</w:t>
      </w:r>
      <w:r w:rsidR="001852F3">
        <w:t xml:space="preserve"> al.</w:t>
      </w:r>
      <w:r w:rsidR="004B696B">
        <w:t xml:space="preserve"> </w:t>
      </w:r>
      <w:r w:rsidR="004B696B">
        <w:t xml:space="preserve">Chemotherapy</w:t>
      </w:r>
      <w:r w:rsidR="001852F3">
        <w:t xml:space="preserve"> and</w:t>
      </w:r>
      <w:r w:rsidR="001852F3">
        <w:t xml:space="preserve"> role</w:t>
      </w:r>
      <w:r w:rsidR="001852F3">
        <w:t xml:space="preserve"> of</w:t>
      </w:r>
      <w:r w:rsidR="001852F3">
        <w:t xml:space="preserve"> </w:t>
      </w:r>
      <w:r>
        <w:t> </w:t>
      </w:r>
      <w:r>
        <w:t>the</w:t>
      </w:r>
    </w:p>
    <w:p w:rsidR="0018722C">
      <w:spacing w:beforeLines="0" w:before="0" w:afterLines="0" w:after="0" w:line="440" w:lineRule="auto"/>
      <w:pPr>
        <w:sectPr w:rsidR="00556256">
          <w:type w:val="continuous"/>
          <w:pgSz w:w="11910" w:h="16840"/>
          <w:pgMar w:header="1027" w:footer="995" w:top="1320" w:bottom="1180" w:left="1400" w:right="1400"/>
        </w:sectPr>
        <w:topLinePunct/>
      </w:pPr>
    </w:p>
    <w:p w:rsidR="0018722C">
      <w:pPr>
        <w:topLinePunct/>
      </w:pPr>
      <w:r>
        <w:rPr>
          <w:rFonts w:ascii="Times New Roman" w:eastAsia="宋体"/>
        </w:rPr>
        <w:t/>
      </w:r>
      <w:r>
        <w:rPr>
          <w:rFonts w:ascii="Times New Roman" w:eastAsia="宋体"/>
        </w:rPr>
        <w:t>P</w:t>
      </w:r>
      <w:r>
        <w:rPr>
          <w:rFonts w:ascii="Times New Roman" w:eastAsia="宋体"/>
        </w:rPr>
        <w:t>r</w:t>
      </w:r>
      <w:r>
        <w:rPr>
          <w:rFonts w:ascii="Times New Roman" w:eastAsia="宋体"/>
        </w:rPr>
        <w:t>ol</w:t>
      </w:r>
      <w:r>
        <w:rPr>
          <w:rFonts w:ascii="Times New Roman" w:eastAsia="宋体"/>
        </w:rPr>
        <w:t>ifer</w:t>
      </w:r>
      <w:r>
        <w:rPr>
          <w:rFonts w:ascii="Times New Roman" w:eastAsia="宋体"/>
        </w:rPr>
        <w:t>at</w:t>
      </w:r>
      <w:r>
        <w:rPr>
          <w:rFonts w:ascii="Times New Roman" w:eastAsia="宋体"/>
        </w:rPr>
        <w:t>i</w:t>
      </w:r>
      <w:r>
        <w:rPr>
          <w:rFonts w:ascii="Times New Roman" w:eastAsia="宋体"/>
        </w:rPr>
        <w:t>o</w:t>
      </w:r>
      <w:r>
        <w:rPr>
          <w:rFonts w:ascii="Times New Roman" w:eastAsia="宋体"/>
        </w:rPr>
        <w:t>n</w:t>
      </w:r>
      <w:r>
        <w:rPr>
          <w:rFonts w:ascii="Times New Roman" w:eastAsia="宋体"/>
        </w:rPr>
        <w:t xml:space="preserve"> </w:t>
      </w:r>
      <w:r>
        <w:rPr>
          <w:rFonts w:ascii="Times New Roman" w:eastAsia="宋体"/>
        </w:rPr>
        <w:t>m</w:t>
      </w:r>
      <w:r>
        <w:rPr>
          <w:rFonts w:ascii="Times New Roman" w:eastAsia="宋体"/>
        </w:rPr>
        <w:t>ar</w:t>
      </w:r>
      <w:r>
        <w:rPr>
          <w:rFonts w:ascii="Times New Roman" w:eastAsia="宋体"/>
        </w:rPr>
        <w:t>k</w:t>
      </w:r>
      <w:r>
        <w:rPr>
          <w:rFonts w:ascii="Times New Roman" w:eastAsia="宋体"/>
        </w:rPr>
        <w:t>er</w:t>
      </w:r>
      <w:r>
        <w:rPr>
          <w:rFonts w:ascii="Times New Roman" w:eastAsia="宋体"/>
        </w:rPr>
        <w:t xml:space="preserve"> </w:t>
      </w:r>
      <w:r>
        <w:rPr>
          <w:rFonts w:ascii="Times New Roman" w:eastAsia="宋体"/>
        </w:rPr>
        <w:t>K</w:t>
      </w:r>
      <w:r>
        <w:rPr>
          <w:rFonts w:ascii="Times New Roman" w:eastAsia="宋体"/>
        </w:rPr>
        <w:t>i</w:t>
      </w:r>
      <w:r>
        <w:rPr>
          <w:rFonts w:ascii="Times New Roman" w:eastAsia="宋体"/>
        </w:rPr>
        <w:t>-</w:t>
      </w:r>
      <w:r>
        <w:rPr>
          <w:rFonts w:ascii="Times New Roman" w:eastAsia="宋体"/>
        </w:rPr>
        <w:t>6</w:t>
      </w:r>
      <w:r>
        <w:rPr>
          <w:rFonts w:ascii="Times New Roman" w:eastAsia="宋体"/>
        </w:rPr>
        <w:t>7</w:t>
      </w:r>
      <w:r>
        <w:rPr>
          <w:rFonts w:ascii="Times New Roman" w:eastAsia="宋体"/>
        </w:rPr>
        <w:t xml:space="preserve"> </w:t>
      </w:r>
      <w:r>
        <w:rPr>
          <w:rFonts w:ascii="Times New Roman" w:eastAsia="宋体"/>
        </w:rPr>
        <w:t>i</w:t>
      </w:r>
      <w:r>
        <w:rPr>
          <w:rFonts w:ascii="Times New Roman" w:eastAsia="宋体"/>
        </w:rPr>
        <w:t>n</w:t>
      </w:r>
      <w:r>
        <w:rPr>
          <w:rFonts w:ascii="Times New Roman" w:eastAsia="宋体"/>
        </w:rPr>
        <w:t xml:space="preserve"> </w:t>
      </w:r>
      <w:r>
        <w:rPr>
          <w:rFonts w:ascii="Times New Roman" w:eastAsia="宋体"/>
        </w:rPr>
        <w:t>di</w:t>
      </w:r>
      <w:r>
        <w:rPr>
          <w:rFonts w:ascii="Times New Roman" w:eastAsia="宋体"/>
        </w:rPr>
        <w:t>g</w:t>
      </w:r>
      <w:r>
        <w:rPr>
          <w:rFonts w:ascii="Times New Roman" w:eastAsia="宋体"/>
        </w:rPr>
        <w:t>e</w:t>
      </w:r>
      <w:r>
        <w:rPr>
          <w:rFonts w:ascii="Times New Roman" w:eastAsia="宋体"/>
        </w:rPr>
        <w:t>s</w:t>
      </w:r>
      <w:r>
        <w:rPr>
          <w:rFonts w:ascii="Times New Roman" w:eastAsia="宋体"/>
        </w:rPr>
        <w:t>t</w:t>
      </w:r>
      <w:r>
        <w:rPr>
          <w:rFonts w:ascii="Times New Roman" w:eastAsia="宋体"/>
        </w:rPr>
        <w:t>ive</w:t>
      </w:r>
      <w:r>
        <w:rPr>
          <w:rFonts w:ascii="Times New Roman" w:eastAsia="宋体"/>
        </w:rPr>
        <w:t xml:space="preserve"> </w:t>
      </w:r>
      <w:r>
        <w:rPr>
          <w:rFonts w:ascii="Times New Roman" w:eastAsia="宋体"/>
        </w:rPr>
        <w:t>n</w:t>
      </w:r>
      <w:r>
        <w:rPr>
          <w:rFonts w:ascii="Times New Roman" w:eastAsia="宋体"/>
        </w:rPr>
        <w:t>e</w:t>
      </w:r>
      <w:r>
        <w:rPr>
          <w:rFonts w:ascii="Times New Roman" w:eastAsia="宋体"/>
        </w:rPr>
        <w:t>ur</w:t>
      </w:r>
      <w:r>
        <w:rPr>
          <w:rFonts w:ascii="Times New Roman" w:eastAsia="宋体"/>
        </w:rPr>
        <w:t>o</w:t>
      </w:r>
      <w:r>
        <w:rPr>
          <w:rFonts w:ascii="Times New Roman" w:eastAsia="宋体"/>
        </w:rPr>
        <w:t>e</w:t>
      </w:r>
      <w:r>
        <w:rPr>
          <w:rFonts w:ascii="Times New Roman" w:eastAsia="宋体"/>
        </w:rPr>
        <w:t>nd</w:t>
      </w:r>
      <w:r>
        <w:rPr>
          <w:rFonts w:ascii="Times New Roman" w:eastAsia="宋体"/>
        </w:rPr>
        <w:t>oc</w:t>
      </w:r>
      <w:r>
        <w:rPr>
          <w:rFonts w:ascii="Times New Roman" w:eastAsia="宋体"/>
        </w:rPr>
        <w:t>r</w:t>
      </w:r>
      <w:r>
        <w:rPr>
          <w:rFonts w:ascii="Times New Roman" w:eastAsia="宋体"/>
        </w:rPr>
        <w:t>ine</w:t>
      </w:r>
      <w:r>
        <w:rPr>
          <w:rFonts w:ascii="Times New Roman" w:eastAsia="宋体"/>
        </w:rPr>
        <w:t xml:space="preserve"> </w:t>
      </w:r>
      <w:r>
        <w:rPr>
          <w:rFonts w:ascii="Times New Roman" w:eastAsia="宋体"/>
        </w:rPr>
        <w:t>t</w:t>
      </w:r>
      <w:r>
        <w:rPr>
          <w:rFonts w:ascii="Times New Roman" w:eastAsia="宋体"/>
        </w:rPr>
        <w:t>u</w:t>
      </w:r>
      <w:r>
        <w:rPr>
          <w:rFonts w:ascii="Times New Roman" w:eastAsia="宋体"/>
        </w:rPr>
        <w:t>m</w:t>
      </w:r>
      <w:r>
        <w:rPr>
          <w:rFonts w:ascii="Times New Roman" w:eastAsia="宋体"/>
        </w:rPr>
        <w:t>o</w:t>
      </w:r>
      <w:r>
        <w:rPr>
          <w:rFonts w:ascii="Times New Roman" w:eastAsia="宋体"/>
        </w:rPr>
        <w:t>r</w:t>
      </w:r>
      <w:r>
        <w:t>[</w:t>
      </w:r>
      <w:r>
        <w:rPr>
          <w:rFonts w:ascii="Times New Roman" w:eastAsia="宋体"/>
        </w:rPr>
        <w:t xml:space="preserve">s </w:t>
      </w:r>
      <w:r>
        <w:rPr>
          <w:rFonts w:ascii="Times New Roman" w:eastAsia="宋体"/>
        </w:rPr>
        <w:t>Relat Cancer,2007,14</w:t>
      </w:r>
      <w:r>
        <w:rPr>
          <w:rFonts w:ascii="Times New Roman" w:eastAsia="宋体"/>
        </w:rPr>
        <w:t>(</w:t>
      </w:r>
      <w:r>
        <w:rPr>
          <w:rFonts w:ascii="Times New Roman" w:eastAsia="宋体"/>
        </w:rPr>
        <w:t>2</w:t>
      </w:r>
      <w:r>
        <w:rPr>
          <w:rFonts w:ascii="Times New Roman" w:eastAsia="宋体"/>
        </w:rPr>
        <w:t>)</w:t>
      </w:r>
      <w:r>
        <w:rPr>
          <w:rFonts w:ascii="Times New Roman" w:eastAsia="宋体"/>
        </w:rPr>
        <w:t>:221-232.</w:t>
      </w:r>
    </w:p>
    <w:p w:rsidR="0018722C">
      <w:pPr>
        <w:topLinePunct/>
      </w:pPr>
      <w:r>
        <w:br w:type="column"/>
      </w:r>
      <w:r>
        <w:rPr>
          <w:rFonts w:ascii="Times New Roman" w:eastAsia="Times New Roman"/>
        </w:rPr>
        <w:t>J</w:t>
      </w:r>
      <w:r/>
      <w:r>
        <w:t>]</w:t>
      </w:r>
      <w:r>
        <w:rPr>
          <w:rFonts w:ascii="Times New Roman" w:eastAsia="Times New Roman"/>
        </w:rPr>
        <w:t>.</w:t>
      </w:r>
      <w:r w:rsidR="001852F3">
        <w:rPr>
          <w:rFonts w:ascii="Times New Roman" w:eastAsia="Times New Roman"/>
        </w:rPr>
        <w:t xml:space="preserve"> </w:t>
      </w:r>
      <w:r>
        <w:rPr>
          <w:rFonts w:ascii="Times New Roman" w:eastAsia="Times New Roman"/>
        </w:rPr>
        <w:t>En</w:t>
      </w:r>
      <w:r>
        <w:rPr>
          <w:rFonts w:ascii="Times New Roman" w:eastAsia="Times New Roman"/>
        </w:rPr>
        <w:t>do</w:t>
      </w:r>
      <w:r>
        <w:rPr>
          <w:rFonts w:ascii="Times New Roman" w:eastAsia="Times New Roman"/>
        </w:rPr>
        <w:t>c</w:t>
      </w:r>
      <w:r>
        <w:rPr>
          <w:rFonts w:ascii="Times New Roman" w:eastAsia="Times New Roman"/>
        </w:rPr>
        <w:t>r</w:t>
      </w:r>
    </w:p>
    <w:p w:rsidR="0018722C">
      <w:spacing w:beforeLines="0" w:before="0" w:afterLines="0" w:after="0" w:line="440" w:lineRule="auto"/>
      <w:pPr>
        <w:sectPr w:rsidR="00556256">
          <w:type w:val="continuous"/>
          <w:pgSz w:w="11910" w:h="16840"/>
          <w:pgMar w:top="1580" w:bottom="280" w:left="1400" w:right="1400"/>
          <w:cols w:num="2" w:equalWidth="0">
            <w:col w:w="7702" w:space="40"/>
            <w:col w:w="1368"/>
          </w:cols>
        </w:sectPr>
        <w:topLinePunct/>
      </w:pPr>
    </w:p>
    <w:p w:rsidR="0018722C">
      <w:pPr>
        <w:pStyle w:val="cw19"/>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张文华，唐瑞峰，白建国等，增殖细胞核抗原、</w:t>
      </w:r>
      <w:r>
        <w:rPr>
          <w:rFonts w:ascii="宋体" w:eastAsia="宋体" w:hint="eastAsia"/>
        </w:rPr>
        <w:t>Ki-67</w:t>
      </w:r>
      <w:r w:rsidR="001852F3">
        <w:rPr>
          <w:rFonts w:ascii="宋体" w:eastAsia="宋体" w:hint="eastAsia"/>
        </w:rPr>
        <w:t xml:space="preserve">在肝内胆管</w:t>
      </w:r>
    </w:p>
    <w:p w:rsidR="0018722C">
      <w:pPr>
        <w:topLinePunct/>
      </w:pPr>
      <w:r>
        <w:t>癌及肝内胆管结石胆管中的表达及意义</w:t>
      </w:r>
      <w:r/>
      <w:r>
        <w:t>[</w:t>
      </w:r>
      <w:r>
        <w:t>J</w:t>
      </w:r>
      <w:r/>
      <w:r>
        <w:t>]</w:t>
      </w:r>
      <w:r>
        <w:t>，</w:t>
      </w:r>
      <w:r>
        <w:t>2</w:t>
      </w:r>
      <w:r>
        <w:t>0</w:t>
      </w:r>
      <w:r>
        <w:t>14</w:t>
      </w:r>
      <w:r>
        <w:t>,</w:t>
      </w:r>
      <w:r>
        <w:t>29</w:t>
      </w:r>
      <w:r>
        <w:t>(</w:t>
      </w:r>
      <w:r>
        <w:t>1</w:t>
      </w:r>
      <w:r>
        <w:t>)</w:t>
      </w:r>
      <w:r>
        <w:t>：</w:t>
      </w:r>
      <w:r>
        <w:t>3</w:t>
      </w:r>
      <w:r>
        <w:t>5-</w:t>
      </w:r>
      <w:r>
        <w:t>3</w:t>
      </w:r>
      <w:r>
        <w:t>7</w:t>
      </w:r>
      <w:r>
        <w:t>.</w:t>
      </w:r>
    </w:p>
    <w:p w:rsidR="0018722C">
      <w:pPr>
        <w:pStyle w:val="cw19"/>
        <w:topLinePunct/>
      </w:pPr>
      <w:r>
        <w:rPr>
          <w:rFonts w:ascii="宋体" w:eastAsia="宋体" w:hint="eastAsia"/>
        </w:rPr>
        <w:t>[</w:t>
      </w:r>
      <w:r>
        <w:rPr>
          <w:rFonts w:ascii="宋体" w:eastAsia="宋体" w:hint="eastAsia"/>
        </w:rPr>
        <w:t xml:space="preserve">11</w:t>
      </w:r>
      <w:r>
        <w:rPr>
          <w:rFonts w:ascii="宋体" w:eastAsia="宋体" w:hint="eastAsia"/>
        </w:rPr>
        <w:t>]</w:t>
      </w:r>
      <w:r>
        <w:rPr>
          <w:rFonts w:ascii="宋体" w:eastAsia="宋体" w:hint="eastAsia"/>
        </w:rPr>
        <w:t>王红，赵逵，王建立，等．</w:t>
      </w:r>
      <w:r>
        <w:rPr>
          <w:rFonts w:ascii="宋体" w:eastAsia="宋体" w:hint="eastAsia"/>
        </w:rPr>
        <w:t>COX-2、EGFR</w:t>
      </w:r>
      <w:r w:rsidR="001852F3">
        <w:rPr>
          <w:rFonts w:ascii="宋体" w:eastAsia="宋体" w:hint="eastAsia"/>
        </w:rPr>
        <w:t xml:space="preserve">和Ki-67</w:t>
      </w:r>
      <w:r w:rsidR="001852F3">
        <w:rPr>
          <w:rFonts w:ascii="宋体" w:eastAsia="宋体" w:hint="eastAsia"/>
        </w:rPr>
        <w:t xml:space="preserve">在大肠癌组织中</w:t>
      </w:r>
      <w:r>
        <w:rPr>
          <w:rFonts w:ascii="宋体" w:eastAsia="宋体" w:hint="eastAsia"/>
        </w:rPr>
        <w:t>的表达及其意义</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．ft</w:t>
      </w:r>
      <w:r>
        <w:rPr>
          <w:rFonts w:ascii="宋体" w:eastAsia="宋体" w:hint="eastAsia"/>
        </w:rPr>
        <w:t>东医药. </w:t>
      </w:r>
      <w:r>
        <w:rPr>
          <w:rFonts w:ascii="宋体" w:eastAsia="宋体" w:hint="eastAsia"/>
        </w:rPr>
        <w:t>2008</w:t>
      </w:r>
      <w:r>
        <w:rPr>
          <w:rFonts w:ascii="宋体" w:eastAsia="宋体" w:hint="eastAsia"/>
        </w:rPr>
        <w:t xml:space="preserve">, </w:t>
      </w:r>
      <w:r>
        <w:rPr>
          <w:rFonts w:ascii="宋体" w:eastAsia="宋体" w:hint="eastAsia"/>
        </w:rPr>
        <w:t>48</w:t>
      </w:r>
      <w:r>
        <w:rPr>
          <w:rFonts w:ascii="宋体" w:eastAsia="宋体" w:hint="eastAsia"/>
        </w:rPr>
        <w:t>(</w:t>
      </w:r>
      <w:r>
        <w:rPr>
          <w:rFonts w:ascii="宋体" w:eastAsia="宋体" w:hint="eastAsia"/>
        </w:rPr>
        <w:t>31</w:t>
      </w:r>
      <w:r>
        <w:rPr>
          <w:rFonts w:ascii="宋体" w:eastAsia="宋体" w:hint="eastAsia"/>
        </w:rPr>
        <w:t>)</w:t>
      </w:r>
      <w:r>
        <w:rPr>
          <w:rFonts w:ascii="宋体" w:eastAsia="宋体" w:hint="eastAsia"/>
        </w:rPr>
        <w:t>：1-3.</w:t>
      </w:r>
    </w:p>
    <w:p w:rsidR="0018722C">
      <w:pPr>
        <w:pStyle w:val="cw19"/>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张谊之，张敏，王琳等，尖锐湿疣角质形成细胞凋亡及</w:t>
      </w:r>
      <w:r>
        <w:rPr>
          <w:rFonts w:ascii="宋体" w:eastAsia="宋体" w:hint="eastAsia"/>
        </w:rPr>
        <w:t>Ki-67</w:t>
      </w:r>
      <w:r>
        <w:rPr>
          <w:rFonts w:ascii="宋体" w:eastAsia="宋体" w:hint="eastAsia"/>
        </w:rPr>
        <w:t>的表达.</w:t>
      </w:r>
    </w:p>
    <w:p w:rsidR="0018722C">
      <w:pPr>
        <w:topLinePunct/>
      </w:pPr>
      <w:r>
        <w:t>临床与实验病理学杂志</w:t>
      </w:r>
      <w:r>
        <w:t>[</w:t>
      </w:r>
      <w:r>
        <w:t>J</w:t>
      </w:r>
      <w:r>
        <w:t>]</w:t>
      </w:r>
      <w:r>
        <w:t>.2000,16</w:t>
      </w:r>
      <w:r>
        <w:t>(</w:t>
      </w:r>
      <w:r>
        <w:t>4</w:t>
      </w:r>
      <w:r>
        <w:t>)</w:t>
      </w:r>
      <w:r>
        <w:t>:298-300.</w:t>
      </w:r>
    </w:p>
    <w:p w:rsidR="0018722C">
      <w:pPr>
        <w:pStyle w:val="cw19"/>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曹亚.细胞周期与肿瘤.国外医学.生理、病理科学与临床分册</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.2002,22</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Fonts w:ascii="宋体" w:eastAsia="宋体" w:hint="eastAsia"/>
          <w:spacing w:val="-2"/>
          <w:sz w:val="28"/>
        </w:rPr>
        <w:t xml:space="preserve">: </w:t>
      </w:r>
      <w:r>
        <w:rPr>
          <w:rFonts w:ascii="宋体" w:eastAsia="宋体" w:hint="eastAsia"/>
        </w:rPr>
        <w:t>103-105.</w:t>
      </w:r>
    </w:p>
    <w:p w:rsidR="0018722C">
      <w:pPr>
        <w:pStyle w:val="cw19"/>
        <w:topLinePunct/>
      </w:pPr>
      <w:r>
        <w:t>[</w:t>
      </w:r>
      <w:r>
        <w:t xml:space="preserve">14</w:t>
      </w:r>
      <w:r>
        <w:t>]</w:t>
      </w:r>
      <w:r>
        <w:t xml:space="preserve"> </w:t>
      </w:r>
      <w:r>
        <w:t>Blagosklonny</w:t>
      </w:r>
      <w:r w:rsidRPr="00000000">
        <w:tab/>
      </w:r>
      <w:r>
        <w:t>MV.</w:t>
      </w:r>
      <w:r w:rsidR="004B696B">
        <w:t xml:space="preserve"> </w:t>
      </w:r>
      <w:r w:rsidR="004B696B">
        <w:t>Antiangiogenie</w:t>
      </w:r>
      <w:r w:rsidRPr="00000000">
        <w:tab/>
      </w:r>
      <w:r>
        <w:t>therapy</w:t>
      </w:r>
      <w:r>
        <w:t> </w:t>
      </w:r>
      <w:r>
        <w:t>andtumorprogression</w:t>
      </w:r>
      <w:r>
        <w:t>[</w:t>
      </w:r>
      <w:r>
        <w:t>J</w:t>
      </w:r>
      <w:r>
        <w:t>]</w:t>
      </w:r>
      <w:r>
        <w:t>.</w:t>
      </w:r>
      <w:r w:rsidR="004B696B">
        <w:t xml:space="preserve"> </w:t>
      </w:r>
      <w:r w:rsidR="004B696B">
        <w:t>Cancer</w:t>
      </w:r>
      <w:r>
        <w:t> </w:t>
      </w:r>
      <w:r>
        <w:t>Cell,2004,5</w:t>
      </w:r>
      <w:r>
        <w:t>(</w:t>
      </w:r>
      <w:r>
        <w:t>1</w:t>
      </w:r>
      <w:r>
        <w:t>)</w:t>
      </w:r>
      <w:r>
        <w:t>:131-141.</w:t>
      </w:r>
    </w:p>
    <w:p w:rsidR="0018722C">
      <w:pPr>
        <w:pStyle w:val="cw19"/>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关鉴.脑膜瘤组织中</w:t>
      </w:r>
      <w:r>
        <w:rPr>
          <w:rFonts w:ascii="宋体" w:eastAsia="宋体" w:hint="eastAsia"/>
        </w:rPr>
        <w:t>VEGF</w:t>
      </w:r>
      <w:r>
        <w:rPr>
          <w:rFonts w:ascii="宋体" w:eastAsia="宋体" w:hint="eastAsia"/>
        </w:rPr>
        <w:t>、</w:t>
      </w:r>
      <w:r>
        <w:rPr>
          <w:rFonts w:ascii="宋体" w:eastAsia="宋体" w:hint="eastAsia"/>
        </w:rPr>
        <w:t>Ki-67</w:t>
      </w:r>
      <w:r>
        <w:rPr>
          <w:rFonts w:ascii="宋体" w:eastAsia="宋体" w:hint="eastAsia"/>
        </w:rPr>
        <w:t>表达及其与肿瘤血管生成的关系.</w:t>
      </w:r>
    </w:p>
    <w:p w:rsidR="0018722C">
      <w:pPr>
        <w:topLinePunct/>
      </w:pPr>
      <w:r>
        <w:t>ft东医药</w:t>
      </w:r>
      <w:r>
        <w:t>[</w:t>
      </w:r>
      <w:r>
        <w:t>J</w:t>
      </w:r>
      <w:r>
        <w:t>]</w:t>
      </w:r>
      <w:r>
        <w:t>.2013,53</w:t>
      </w:r>
      <w:r>
        <w:t>(</w:t>
      </w:r>
      <w:r>
        <w:t>8</w:t>
      </w:r>
      <w:r>
        <w:t>)</w:t>
      </w:r>
      <w:r>
        <w:t>:47-49.</w:t>
      </w:r>
    </w:p>
    <w:p w:rsidR="0018722C">
      <w:pPr>
        <w:pStyle w:val="cw19"/>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王拴柱</w:t>
      </w:r>
      <w:r>
        <w:rPr>
          <w:rFonts w:ascii="宋体" w:eastAsia="宋体" w:hint="eastAsia"/>
        </w:rPr>
        <w:t>，</w:t>
      </w:r>
      <w:r>
        <w:rPr>
          <w:rFonts w:ascii="宋体" w:eastAsia="宋体" w:hint="eastAsia"/>
        </w:rPr>
        <w:t>马秀梅.细胞外基质与肿瘤转移关系的研究进展.内蒙古医</w:t>
      </w:r>
      <w:r>
        <w:rPr>
          <w:rFonts w:ascii="宋体" w:eastAsia="宋体" w:hint="eastAsia"/>
        </w:rPr>
        <w:t>学院学报</w:t>
      </w:r>
      <w:r>
        <w:rPr>
          <w:rFonts w:ascii="宋体" w:eastAsia="宋体" w:hint="eastAsia"/>
        </w:rPr>
        <w:t>，</w:t>
      </w:r>
      <w:r>
        <w:rPr>
          <w:rFonts w:ascii="宋体" w:eastAsia="宋体" w:hint="eastAsia"/>
        </w:rPr>
        <w:t>2009</w:t>
      </w:r>
      <w:r>
        <w:rPr>
          <w:rFonts w:ascii="宋体" w:eastAsia="宋体" w:hint="eastAsia"/>
        </w:rPr>
        <w:t xml:space="preserve">, </w:t>
      </w:r>
      <w:r>
        <w:rPr>
          <w:rFonts w:ascii="宋体" w:eastAsia="宋体" w:hint="eastAsia"/>
        </w:rPr>
        <w:t>31</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Fonts w:ascii="宋体" w:eastAsia="宋体" w:hint="eastAsia"/>
          <w:spacing w:val="0"/>
          <w:sz w:val="28"/>
        </w:rPr>
        <w:t>：</w:t>
      </w:r>
      <w:r>
        <w:rPr>
          <w:rFonts w:ascii="宋体" w:eastAsia="宋体" w:hint="eastAsia"/>
        </w:rPr>
        <w:t>76-80.</w:t>
      </w:r>
    </w:p>
    <w:p w:rsidR="0018722C">
      <w:pPr>
        <w:pStyle w:val="cw19"/>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缪应雷</w:t>
      </w:r>
      <w:r>
        <w:rPr>
          <w:rFonts w:ascii="宋体" w:eastAsia="宋体" w:hint="eastAsia"/>
        </w:rPr>
        <w:t>，</w:t>
      </w:r>
      <w:r>
        <w:rPr>
          <w:rFonts w:ascii="宋体" w:eastAsia="宋体" w:hint="eastAsia"/>
        </w:rPr>
        <w:t>欧阳钦.基质金属蛋白酶与肿瘤的相关性.肿瘤防治研究</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.2005,31</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:52-55.</w:t>
      </w:r>
    </w:p>
    <w:p w:rsidR="0018722C">
      <w:pPr>
        <w:pStyle w:val="cw19"/>
        <w:topLinePunct/>
      </w:pPr>
      <w:r>
        <w:rPr>
          <w:rFonts w:ascii="宋体" w:eastAsia="宋体" w:hint="eastAsia"/>
        </w:rPr>
        <w:t>[</w:t>
      </w:r>
      <w:r>
        <w:rPr>
          <w:rFonts w:ascii="宋体" w:eastAsia="宋体" w:hint="eastAsia"/>
        </w:rPr>
        <w:t xml:space="preserve">18</w:t>
      </w:r>
      <w:r>
        <w:rPr>
          <w:rFonts w:ascii="宋体" w:eastAsia="宋体" w:hint="eastAsia"/>
        </w:rPr>
        <w:t>]</w:t>
      </w:r>
      <w:r>
        <w:rPr>
          <w:rFonts w:ascii="宋体" w:eastAsia="宋体" w:hint="eastAsia"/>
        </w:rPr>
        <w:t>张成武</w:t>
      </w:r>
      <w:r>
        <w:rPr>
          <w:rFonts w:ascii="宋体" w:eastAsia="宋体" w:hint="eastAsia"/>
        </w:rPr>
        <w:t>，</w:t>
      </w:r>
      <w:r>
        <w:rPr>
          <w:rFonts w:ascii="宋体" w:eastAsia="宋体" w:hint="eastAsia"/>
        </w:rPr>
        <w:t>邹寿椿.基质金属蛋白酶-</w:t>
      </w:r>
      <w:r>
        <w:rPr>
          <w:rFonts w:ascii="宋体" w:eastAsia="宋体" w:hint="eastAsia"/>
        </w:rPr>
        <w:t>2</w:t>
      </w:r>
      <w:r>
        <w:rPr>
          <w:rFonts w:ascii="宋体" w:eastAsia="宋体" w:hint="eastAsia"/>
        </w:rPr>
        <w:t>与胃癌的侵袭和转移.中华胃肠外科杂志</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.1999,2</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:124-126.</w:t>
      </w:r>
    </w:p>
    <w:p w:rsidR="0018722C">
      <w:pPr>
        <w:pStyle w:val="cw19"/>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吴子旭</w:t>
      </w:r>
      <w:r>
        <w:rPr>
          <w:rFonts w:ascii="宋体" w:eastAsia="宋体" w:hint="eastAsia"/>
        </w:rPr>
        <w:t>，</w:t>
      </w:r>
      <w:r>
        <w:rPr>
          <w:rFonts w:ascii="宋体" w:eastAsia="宋体" w:hint="eastAsia"/>
        </w:rPr>
        <w:t>王炳彦</w:t>
      </w:r>
      <w:r>
        <w:rPr>
          <w:rFonts w:ascii="宋体" w:eastAsia="宋体" w:hint="eastAsia"/>
        </w:rPr>
        <w:t>，</w:t>
      </w:r>
      <w:r>
        <w:rPr>
          <w:rFonts w:ascii="宋体" w:eastAsia="宋体" w:hint="eastAsia"/>
        </w:rPr>
        <w:t>姚宏.基质金属蛋白酶-</w:t>
      </w:r>
      <w:r>
        <w:rPr>
          <w:rFonts w:ascii="宋体" w:eastAsia="宋体" w:hint="eastAsia"/>
        </w:rPr>
        <w:t>9和Ki-67</w:t>
      </w:r>
      <w:r>
        <w:rPr>
          <w:rFonts w:ascii="宋体" w:eastAsia="宋体" w:hint="eastAsia"/>
        </w:rPr>
        <w:t>在视网膜母细胞瘤</w:t>
      </w:r>
      <w:r>
        <w:rPr>
          <w:rFonts w:ascii="宋体" w:eastAsia="宋体" w:hint="eastAsia"/>
        </w:rPr>
        <w:t>中的表达和意义.</w:t>
      </w:r>
      <w:r w:rsidR="001852F3">
        <w:rPr>
          <w:rFonts w:ascii="宋体" w:eastAsia="宋体" w:hint="eastAsia"/>
        </w:rPr>
        <w:t xml:space="preserve"> </w:t>
      </w:r>
      <w:r>
        <w:rPr>
          <w:rFonts w:ascii="宋体" w:eastAsia="宋体" w:hint="eastAsia"/>
        </w:rPr>
        <w:t>ft</w:t>
      </w:r>
      <w:r>
        <w:rPr>
          <w:rFonts w:ascii="宋体" w:eastAsia="宋体" w:hint="eastAsia"/>
        </w:rPr>
        <w:t>西医药杂志</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.2011,40</w:t>
      </w:r>
      <w:r>
        <w:rPr>
          <w:rFonts w:ascii="宋体" w:eastAsia="宋体" w:hint="eastAsia"/>
        </w:rPr>
        <w:t>(</w:t>
      </w:r>
      <w:r>
        <w:rPr>
          <w:rFonts w:ascii="宋体" w:eastAsia="宋体" w:hint="eastAsia"/>
        </w:rPr>
        <w:t>23</w:t>
      </w:r>
      <w:r>
        <w:rPr>
          <w:rFonts w:ascii="宋体" w:eastAsia="宋体" w:hint="eastAsia"/>
        </w:rPr>
        <w:t>)</w:t>
      </w:r>
      <w:r>
        <w:rPr>
          <w:rFonts w:ascii="宋体" w:eastAsia="宋体" w:hint="eastAsia"/>
        </w:rPr>
        <w:t>:1195-1196.</w:t>
      </w:r>
    </w:p>
    <w:p w:rsidR="0018722C">
      <w:pPr>
        <w:pStyle w:val="cw19"/>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付静</w:t>
      </w:r>
      <w:r>
        <w:rPr>
          <w:rFonts w:ascii="宋体" w:eastAsia="宋体" w:hint="eastAsia"/>
        </w:rPr>
        <w:t>，</w:t>
      </w:r>
      <w:r>
        <w:rPr>
          <w:rFonts w:ascii="宋体" w:eastAsia="宋体" w:hint="eastAsia"/>
        </w:rPr>
        <w:t>姚宏.</w:t>
      </w:r>
      <w:r w:rsidR="001852F3">
        <w:rPr>
          <w:rFonts w:ascii="宋体" w:eastAsia="宋体" w:hint="eastAsia"/>
        </w:rPr>
        <w:t xml:space="preserve"> </w:t>
      </w:r>
      <w:r>
        <w:rPr>
          <w:rFonts w:ascii="宋体" w:eastAsia="宋体" w:hint="eastAsia"/>
        </w:rPr>
        <w:t>KISS-1</w:t>
      </w:r>
      <w:r>
        <w:rPr>
          <w:rFonts w:ascii="宋体" w:eastAsia="宋体" w:hint="eastAsia"/>
        </w:rPr>
        <w:t>基质蛋白酶-</w:t>
      </w:r>
      <w:r>
        <w:rPr>
          <w:rFonts w:ascii="宋体" w:eastAsia="宋体" w:hint="eastAsia"/>
        </w:rPr>
        <w:t>9和Ki-67</w:t>
      </w:r>
      <w:r>
        <w:rPr>
          <w:rFonts w:ascii="宋体" w:eastAsia="宋体" w:hint="eastAsia"/>
        </w:rPr>
        <w:t>在宫颈鳞癌组织中的表达和意义.中国药物与临床</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.2011.11</w:t>
      </w:r>
      <w:r>
        <w:rPr>
          <w:rFonts w:ascii="宋体" w:eastAsia="宋体" w:hint="eastAsia"/>
        </w:rPr>
        <w:t>(</w:t>
      </w:r>
      <w:r>
        <w:rPr>
          <w:rFonts w:ascii="宋体" w:eastAsia="宋体" w:hint="eastAsia"/>
        </w:rPr>
        <w:t>2</w:t>
      </w:r>
      <w:r>
        <w:rPr>
          <w:rFonts w:ascii="宋体" w:eastAsia="宋体" w:hint="eastAsia"/>
        </w:rPr>
        <w:t>)</w:t>
      </w:r>
      <w:r>
        <w:rPr>
          <w:rFonts w:ascii="宋体" w:eastAsia="宋体" w:hint="eastAsia"/>
        </w:rPr>
        <w:t>:160-162.</w:t>
      </w:r>
    </w:p>
    <w:p w:rsidR="0018722C">
      <w:pPr>
        <w:pStyle w:val="aff2"/>
        <w:topLinePunct/>
      </w:pPr>
      <w:bookmarkStart w:name="_TOC_250001" w:id="49"/>
      <w:bookmarkEnd w:id="49"/>
      <w:r>
        <w:t>致</w:t>
      </w:r>
      <w:r w:rsidRPr="00000000">
        <w:rPr>
          <w:b/>
        </w:rPr>
        <w:t>谢</w:t>
      </w:r>
    </w:p>
    <w:p w:rsidR="0018722C">
      <w:pPr>
        <w:topLinePunct/>
      </w:pPr>
      <w:bookmarkStart w:name="致谢 " w:id="50"/>
      <w:bookmarkEnd w:id="50"/>
      <w:r/>
      <w:r>
        <w:t>时光荏苒、岁月如梭，三年转眼即逝。昨日尚沉浸于学生时代的青涩，</w:t>
      </w:r>
      <w:r>
        <w:t>如今却惆怅于将以何心情来迎接这令人激动又兴奋的时刻--毕业，三年的</w:t>
      </w:r>
      <w:r>
        <w:t>历练后，逐渐沉稳，学问、学识及经历有了一定的长进，感谢所有关心和</w:t>
      </w:r>
      <w:r>
        <w:t>帮助过我的人。</w:t>
      </w:r>
    </w:p>
    <w:p w:rsidR="0018722C">
      <w:pPr>
        <w:topLinePunct/>
      </w:pPr>
      <w:r>
        <w:t>首先感谢我的恩师李建辉教授，恩师医德高尚、平易近人、知识渊博、</w:t>
      </w:r>
      <w:r>
        <w:t>学术严谨，实为我终身学习之楷模；弯腰为桥、挺身为梯，父母给我生命，</w:t>
      </w:r>
      <w:r>
        <w:t>恩师给我以慧命，在接受科研意识及科研思路洗礼的同时，又培养我严谨</w:t>
      </w:r>
      <w:r>
        <w:t>的临床思维和基本技能，学生鲁钝，得逢名师，虽仅蒙三年教诲，但仍将</w:t>
      </w:r>
      <w:r>
        <w:t>受益无穷，虽不能至，定心向往之。</w:t>
      </w:r>
    </w:p>
    <w:p w:rsidR="0018722C">
      <w:pPr>
        <w:topLinePunct/>
      </w:pPr>
      <w:r>
        <w:t>感谢病理科段庆华教授的关心和教导，段老师宅心仁厚，不慕荣利，</w:t>
      </w:r>
      <w:r>
        <w:t>对学生认真负责，在他的身上，我感受到一个学者的严谨和务实，这些让</w:t>
      </w:r>
      <w:r>
        <w:t>我获益匪浅，并且将终生受用。感谢刘海丽老师、赵晶洁老师、吴建龙老师、顾玉老师、宋莎老师等在我资料搜集和整理、在病理学知识的拓展和</w:t>
      </w:r>
      <w:r>
        <w:t>免疫组化实验过程中的无私帮助，非常感谢！</w:t>
      </w:r>
    </w:p>
    <w:p w:rsidR="0018722C">
      <w:pPr>
        <w:topLinePunct/>
      </w:pPr>
      <w:r>
        <w:t>消化科是我成长的沃土。感谢李秀娟主任、王海军主任等对我工作和</w:t>
      </w:r>
      <w:r>
        <w:t>生活的照顾，同时感谢郝欣、王爱民、姜海滨等各位老师的带教和指点，</w:t>
      </w:r>
      <w:r>
        <w:t>也感谢我的师姐花海洋，我的同窗李立文在我实验及论文写作期间对我的</w:t>
      </w:r>
      <w:r>
        <w:t>照顾和鼓励，感谢我的同学刘继微在统计方面的无私帮助，谢谢！</w:t>
      </w:r>
    </w:p>
    <w:p w:rsidR="0018722C">
      <w:pPr>
        <w:topLinePunct/>
      </w:pPr>
      <w:r>
        <w:t>感谢感谢千里之外的父母对我坚定地支持和无言的奉献，感谢他们的</w:t>
      </w:r>
      <w:r>
        <w:t>养育和信任，感谢二老对我德育的引导和对我的选择的全力支持，感激之</w:t>
      </w:r>
      <w:r>
        <w:t>情无言以表。</w:t>
      </w:r>
    </w:p>
    <w:p w:rsidR="0018722C">
      <w:pPr>
        <w:topLinePunct/>
      </w:pPr>
      <w:r>
        <w:t>感谢我可爱、可敬的承医母校大学五年、研究生三年来对我的培育之恩！致敬承医的师长，感恩研究生部乔跃兵老师、李德臣老师、张小英老</w:t>
      </w:r>
      <w:r>
        <w:t>师和周颖老师，三年来给了我们太多指引和帮助、理解与包容。</w:t>
      </w:r>
    </w:p>
    <w:p w:rsidR="0018722C">
      <w:pPr>
        <w:topLinePunct/>
      </w:pPr>
      <w:r>
        <w:t>最后，我要谢谢参与我论文评审和答辩的各位老师，您给了我一个审</w:t>
      </w:r>
      <w:r>
        <w:t>视三年来学习成果的机会，让我能够明确今后的发展方向，您对我的帮助是一笔无价的财富。我将在今后的工作、学习中加倍努力</w:t>
      </w:r>
      <w:r>
        <w:rPr>
          <w:rFonts w:hint="eastAsia"/>
        </w:rPr>
        <w:t>，</w:t>
      </w:r>
      <w:r>
        <w:t>争取更大的进</w:t>
      </w:r>
      <w:r>
        <w:t>步！谢谢！</w:t>
      </w:r>
    </w:p>
    <w:p w:rsidR="0018722C">
      <w:pPr>
        <w:outlineLvl w:val="9"/>
        <w:topLinePunct/>
      </w:pPr>
      <w:bookmarkStart w:name="_TOC_250000" w:id="51"/>
      <w:bookmarkStart w:name="个人简历 " w:id="52"/>
      <w:bookmarkEnd w:id="51"/>
      <w:r>
        <w:rPr>
          <w:kern w:val="2"/>
          <w:sz w:val="28"/>
          <w:szCs w:val="28"/>
          <w:rFonts w:cstheme="minorBidi" w:hAnsiTheme="minorHAnsi" w:eastAsiaTheme="minorHAnsi" w:asciiTheme="minorHAnsi" w:ascii="黑体" w:hAnsi="黑体" w:eastAsia="黑体" w:cs="黑体"/>
          <w:b/>
          <w:bCs/>
        </w:rPr>
        <w:t>个人简历</w:t>
      </w:r>
    </w:p>
    <w:p w:rsidR="0018722C">
      <w:pPr>
        <w:topLinePunct/>
      </w:pPr>
      <w:r>
        <w:rPr>
          <w:rFonts w:cstheme="minorBidi" w:hAnsiTheme="minorHAnsi" w:eastAsiaTheme="minorHAnsi" w:asciiTheme="minorHAnsi" w:ascii="黑体" w:eastAsia="黑体" w:hint="eastAsia"/>
          <w:b/>
        </w:rPr>
        <w:t>一</w:t>
      </w:r>
      <w:r w:rsidR="001852F3">
        <w:rPr>
          <w:rFonts w:cstheme="minorBidi" w:hAnsiTheme="minorHAnsi" w:eastAsiaTheme="minorHAnsi" w:asciiTheme="minorHAnsi" w:ascii="黑体" w:eastAsia="黑体" w:hint="eastAsia"/>
          <w:b/>
        </w:rPr>
        <w:t xml:space="preserve">、本人基本概况</w:t>
      </w:r>
    </w:p>
    <w:p w:rsidR="0018722C">
      <w:pPr>
        <w:pStyle w:val="BodyText"/>
        <w:tabs>
          <w:tab w:pos="3489" w:val="left" w:leader="none"/>
          <w:tab w:pos="4329" w:val="left" w:leader="none"/>
          <w:tab w:pos="5870" w:val="left" w:leader="none"/>
          <w:tab w:pos="6710" w:val="left" w:leader="none"/>
        </w:tabs>
        <w:spacing w:before="72"/>
        <w:ind w:leftChars="0" w:left="690"/>
        <w:topLinePunct/>
      </w:pPr>
      <w:r>
        <w:t>姓名</w:t>
      </w:r>
      <w:r w:rsidR="001852F3">
        <w:t xml:space="preserve">李常洲</w:t>
      </w:r>
      <w:r w:rsidR="001852F3">
        <w:t>性别</w:t>
      </w:r>
      <w:r w:rsidR="001852F3">
        <w:t>男</w:t>
      </w:r>
      <w:r w:rsidR="001852F3">
        <w:t>民族</w:t>
      </w:r>
      <w:r w:rsidR="001852F3">
        <w:t>汉族</w:t>
      </w:r>
    </w:p>
    <w:p w:rsidR="0018722C">
      <w:pPr>
        <w:topLinePunct/>
      </w:pPr>
      <w:r>
        <w:t>出生日期</w:t>
      </w:r>
      <w:r>
        <w:rPr>
          <w:rFonts w:ascii="Times New Roman" w:eastAsia="Times New Roman"/>
        </w:rPr>
        <w:t>1985</w:t>
      </w:r>
      <w:r>
        <w:t>年</w:t>
      </w:r>
      <w:r/>
      <w:r>
        <w:rPr>
          <w:rFonts w:ascii="Times New Roman" w:eastAsia="Times New Roman"/>
        </w:rPr>
        <w:t>05</w:t>
      </w:r>
      <w:r>
        <w:t>月</w:t>
      </w:r>
      <w:r/>
      <w:r>
        <w:rPr>
          <w:rFonts w:ascii="Times New Roman" w:eastAsia="Times New Roman"/>
        </w:rPr>
        <w:t>20</w:t>
      </w:r>
      <w:r>
        <w:t>日</w:t>
      </w:r>
      <w:r w:rsidR="001852F3">
        <w:t>籍贯</w:t>
      </w:r>
      <w:r w:rsidR="001852F3">
        <w:t>河北邯郸</w:t>
      </w:r>
    </w:p>
    <w:p w:rsidR="0018722C">
      <w:pPr>
        <w:topLinePunct/>
      </w:pPr>
      <w:r>
        <w:rPr>
          <w:rFonts w:cstheme="minorBidi" w:hAnsiTheme="minorHAnsi" w:eastAsiaTheme="minorHAnsi" w:asciiTheme="minorHAnsi" w:ascii="黑体" w:hAnsi="黑体" w:eastAsia="黑体" w:cs="黑体"/>
          <w:b/>
        </w:rPr>
        <w:t>二、个人经历</w:t>
      </w:r>
    </w:p>
    <w:p w:rsidR="0018722C">
      <w:pPr>
        <w:topLinePunct/>
      </w:pPr>
      <w:bookmarkStart w:id="577337" w:name="_cwCmt1"/>
      <w:r>
        <w:rPr>
          <w:rFonts w:ascii="Times New Roman" w:hAnsi="Times New Roman" w:eastAsia="Times New Roman"/>
        </w:rPr>
        <w:t>2005</w:t>
      </w:r>
      <w:r>
        <w:t>—</w:t>
      </w:r>
      <w:r>
        <w:rPr>
          <w:rFonts w:ascii="Times New Roman" w:hAnsi="Times New Roman" w:eastAsia="Times New Roman"/>
        </w:rPr>
        <w:t>2010</w:t>
      </w:r>
      <w:r>
        <w:t>年</w:t>
      </w:r>
      <w:r w:rsidR="001852F3">
        <w:t>承德医学</w:t>
      </w:r>
      <w:r>
        <w:t>院</w:t>
      </w:r>
      <w:r>
        <w:t>读大</w:t>
      </w:r>
      <w:r>
        <w:t>学本</w:t>
      </w:r>
      <w:r>
        <w:t>科、秦</w:t>
      </w:r>
      <w:r>
        <w:t>皇</w:t>
      </w:r>
      <w:r>
        <w:t>岛市</w:t>
      </w:r>
      <w:r>
        <w:t>中医</w:t>
      </w:r>
      <w:r>
        <w:t>院实习。</w:t>
      </w:r>
      <w:bookmarkEnd w:id="577337"/>
    </w:p>
    <w:p w:rsidR="0018722C">
      <w:pPr>
        <w:topLinePunct/>
      </w:pPr>
      <w:r>
        <w:rPr>
          <w:rFonts w:ascii="Times New Roman" w:hAnsi="Times New Roman" w:eastAsia="Times New Roman"/>
        </w:rPr>
        <w:t>2011</w:t>
      </w:r>
      <w:r>
        <w:t>—</w:t>
      </w:r>
      <w:r>
        <w:rPr>
          <w:rFonts w:ascii="Times New Roman" w:hAnsi="Times New Roman" w:eastAsia="Times New Roman"/>
        </w:rPr>
        <w:t>2014</w:t>
      </w:r>
      <w:r>
        <w:t>年</w:t>
      </w:r>
      <w:r w:rsidR="001852F3">
        <w:t>承德医学</w:t>
      </w:r>
      <w:r>
        <w:t>院</w:t>
      </w:r>
      <w:r>
        <w:t>研究</w:t>
      </w:r>
      <w:r>
        <w:t>生部</w:t>
      </w:r>
      <w:r>
        <w:t>学习基</w:t>
      </w:r>
      <w:r>
        <w:t>础</w:t>
      </w:r>
      <w:r>
        <w:t>课</w:t>
      </w:r>
      <w:r>
        <w:t>、</w:t>
      </w:r>
      <w:r>
        <w:t>承</w:t>
      </w:r>
      <w:r>
        <w:t>德</w:t>
      </w:r>
      <w:r>
        <w:t>市中心</w:t>
      </w:r>
      <w:r>
        <w:t>医</w:t>
      </w:r>
      <w:r>
        <w:t>院</w:t>
      </w:r>
      <w:r w:rsidR="001852F3">
        <w:t xml:space="preserve">实习并</w:t>
      </w:r>
      <w:r>
        <w:t>完</w:t>
      </w:r>
      <w:r>
        <w:t>成研</w:t>
      </w:r>
      <w:r>
        <w:t>究生</w:t>
      </w:r>
      <w:r>
        <w:t>课题。</w:t>
      </w:r>
    </w:p>
    <w:p w:rsidR="0018722C">
      <w:pPr>
        <w:topLinePunct/>
      </w:pPr>
      <w:r>
        <w:rPr>
          <w:rFonts w:cstheme="minorBidi" w:hAnsiTheme="minorHAnsi" w:eastAsiaTheme="minorHAnsi" w:asciiTheme="minorHAnsi" w:ascii="黑体" w:hAnsi="黑体" w:eastAsia="黑体" w:cs="黑体"/>
          <w:b/>
        </w:rPr>
        <w:t>三、发表论文情况</w:t>
      </w:r>
    </w:p>
    <w:p w:rsidR="0018722C">
      <w:pPr>
        <w:topLinePunct/>
      </w:pPr>
      <w:r>
        <w:t>NF-κB</w:t>
      </w:r>
      <w:r/>
      <w:r w:rsidR="001852F3">
        <w:t xml:space="preserve">在胃癌组织中的表达及其与</w:t>
      </w:r>
      <w:r>
        <w:t>TOPO II、Ki-67</w:t>
      </w:r>
      <w:r/>
      <w:r w:rsidR="001852F3">
        <w:t xml:space="preserve">的关系</w:t>
      </w:r>
      <w:r>
        <w:t>[</w:t>
      </w:r>
      <w:r>
        <w:t>J</w:t>
      </w:r>
      <w:r>
        <w:t>]</w:t>
      </w:r>
      <w:r>
        <w:t>.慢</w:t>
      </w:r>
      <w:r>
        <w:t>性病学杂志</w:t>
      </w:r>
      <w:r>
        <w:t>,2014,1:31-34.</w:t>
      </w:r>
    </w:p>
    <w:p w:rsidR="0018722C">
      <w:pPr>
        <w:topLinePunct/>
      </w:pPr>
      <w:r>
        <w:rPr>
          <w:rFonts w:cstheme="minorBidi" w:hAnsiTheme="minorHAnsi" w:eastAsiaTheme="minorHAnsi" w:asciiTheme="minorHAnsi" w:ascii="黑体" w:hAnsi="黑体" w:eastAsia="黑体" w:cs="黑体"/>
          <w:b/>
        </w:rPr>
        <w:t>四、获奖情况</w:t>
      </w:r>
    </w:p>
    <w:p w:rsidR="0018722C">
      <w:pPr>
        <w:topLinePunct/>
      </w:pPr>
      <w:r>
        <w:t>2007—2008</w:t>
      </w:r>
      <w:r w:rsidR="001852F3">
        <w:t xml:space="preserve">学年：承德医学院优秀团干部</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47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44" from="75.143997pt,66.599983pt" to="520.293997pt,66.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63.529999pt;margin-top:50.367481pt;width:68.3pt;height:14pt;mso-position-horizontal-relative:page;mso-position-vertical-relative:page;z-index:-479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28"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77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476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_Ref665577335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_Ref665577336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摘要</w:t>
    </w:r>
    <w:r>
      <w:rPr>
        <w:kern w:val="2"/>
        <w:sz w:val="21"/>
        <w:szCs w:val="24"/>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72" from="75.143997pt,66.599983pt" to="520.293997pt,66.599983pt" stroked="true" strokeweight=".72pt" strokecolor="#000000">
          <v:stroke dashstyle="solid"/>
          <w10:wrap type="none"/>
        </v:line>
      </w:pict>
    </w:r>
    <w:r>
      <w:rPr/>
      <w:pict>
        <v:shape style="position:absolute;margin-left:259.329987pt;margin-top:50.367481pt;width:68.3pt;height:14pt;mso-position-horizontal-relative:page;mso-position-vertical-relative:page;z-index:-478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24"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78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76"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77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28"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770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17.790009pt;margin-top:50.367481pt;width:14pt;height:14pt;mso-position-horizontal-relative:page;mso-position-vertical-relative:page;z-index:-476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656" from="75.143997pt,66.599983pt" to="520.293997pt,66.599983pt" stroked="true" strokeweight=".72pt" strokecolor="#000000">
          <v:stroke dashstyle="solid"/>
          <w10:wrap type="none"/>
        </v:line>
      </w:pict>
    </w:r>
    <w:r>
      <w:rPr/>
      <w:pict>
        <v:shape style="position:absolute;margin-left:263.529999pt;margin-top:50.367481pt;width:14pt;height:14pt;mso-position-horizontal-relative:page;mso-position-vertical-relative:page;z-index:-476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致</w:t>
                </w:r>
              </w:p>
            </w:txbxContent>
          </v:textbox>
          <w10:wrap type="none"/>
        </v:shape>
      </w:pict>
    </w:r>
    <w:r>
      <w:rPr/>
      <w:pict>
        <v:shape style="position:absolute;margin-left:317.790009pt;margin-top:50.367481pt;width:14pt;height:14pt;mso-position-horizontal-relative:page;mso-position-vertical-relative:page;z-index:-4760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谢</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584"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756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 人 简 历</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872" from="75.143997pt,66.599983pt" to="520.293997pt,66.599983pt" stroked="true" strokeweight=".72pt" strokecolor="#000000">
          <v:stroke dashstyle="solid"/>
          <w10:wrap type="none"/>
        </v:line>
      </w:pict>
    </w:r>
    <w:r>
      <w:rPr/>
      <w:pict>
        <v:shape style="position:absolute;margin-left:259.329987pt;margin-top:50.367481pt;width:68.3pt;height:14pt;mso-position-horizontal-relative:page;mso-position-vertical-relative:page;z-index:-478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776" from="75.143997pt,66.599983pt" to="520.293997pt,66.599983pt" stroked="true" strokeweight=".72pt" strokecolor="#000000">
          <v:stroke dashstyle="solid"/>
          <w10:wrap type="none"/>
        </v:line>
      </w:pict>
    </w:r>
    <w:r>
      <w:rPr/>
      <w:pict>
        <v:shape style="position:absolute;margin-left:263.529999pt;margin-top:50.367481pt;width:68.3pt;height:14pt;mso-position-horizontal-relative:page;mso-position-vertical-relative:page;z-index:-4775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研 究 论 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971" w:hanging="281"/>
        <w:jc w:val="left"/>
      </w:pPr>
      <w:rPr>
        <w:rFonts w:hint="default" w:ascii="宋体" w:hAnsi="宋体" w:eastAsia="宋体" w:cs="宋体"/>
        <w:w w:val="100"/>
        <w:sz w:val="28"/>
        <w:szCs w:val="28"/>
      </w:rPr>
    </w:lvl>
    <w:lvl w:ilvl="1">
      <w:start w:val="0"/>
      <w:numFmt w:val="bullet"/>
      <w:lvlText w:val="•"/>
      <w:lvlJc w:val="left"/>
      <w:pPr>
        <w:ind w:left="1804" w:hanging="281"/>
      </w:pPr>
      <w:rPr>
        <w:rFonts w:hint="default"/>
      </w:rPr>
    </w:lvl>
    <w:lvl w:ilvl="2">
      <w:start w:val="0"/>
      <w:numFmt w:val="bullet"/>
      <w:lvlText w:val="•"/>
      <w:lvlJc w:val="left"/>
      <w:pPr>
        <w:ind w:left="2629" w:hanging="281"/>
      </w:pPr>
      <w:rPr>
        <w:rFonts w:hint="default"/>
      </w:rPr>
    </w:lvl>
    <w:lvl w:ilvl="3">
      <w:start w:val="0"/>
      <w:numFmt w:val="bullet"/>
      <w:lvlText w:val="•"/>
      <w:lvlJc w:val="left"/>
      <w:pPr>
        <w:ind w:left="3453" w:hanging="281"/>
      </w:pPr>
      <w:rPr>
        <w:rFonts w:hint="default"/>
      </w:rPr>
    </w:lvl>
    <w:lvl w:ilvl="4">
      <w:start w:val="0"/>
      <w:numFmt w:val="bullet"/>
      <w:lvlText w:val="•"/>
      <w:lvlJc w:val="left"/>
      <w:pPr>
        <w:ind w:left="4278" w:hanging="281"/>
      </w:pPr>
      <w:rPr>
        <w:rFonts w:hint="default"/>
      </w:rPr>
    </w:lvl>
    <w:lvl w:ilvl="5">
      <w:start w:val="0"/>
      <w:numFmt w:val="bullet"/>
      <w:lvlText w:val="•"/>
      <w:lvlJc w:val="left"/>
      <w:pPr>
        <w:ind w:left="5103" w:hanging="281"/>
      </w:pPr>
      <w:rPr>
        <w:rFonts w:hint="default"/>
      </w:rPr>
    </w:lvl>
    <w:lvl w:ilvl="6">
      <w:start w:val="0"/>
      <w:numFmt w:val="bullet"/>
      <w:lvlText w:val="•"/>
      <w:lvlJc w:val="left"/>
      <w:pPr>
        <w:ind w:left="5927" w:hanging="281"/>
      </w:pPr>
      <w:rPr>
        <w:rFonts w:hint="default"/>
      </w:rPr>
    </w:lvl>
    <w:lvl w:ilvl="7">
      <w:start w:val="0"/>
      <w:numFmt w:val="bullet"/>
      <w:lvlText w:val="•"/>
      <w:lvlJc w:val="left"/>
      <w:pPr>
        <w:ind w:left="6752" w:hanging="281"/>
      </w:pPr>
      <w:rPr>
        <w:rFonts w:hint="default"/>
      </w:rPr>
    </w:lvl>
    <w:lvl w:ilvl="8">
      <w:start w:val="0"/>
      <w:numFmt w:val="bullet"/>
      <w:lvlText w:val="•"/>
      <w:lvlJc w:val="left"/>
      <w:pPr>
        <w:ind w:left="7577" w:hanging="281"/>
      </w:pPr>
      <w:rPr>
        <w:rFonts w:hint="default"/>
      </w:rPr>
    </w:lvl>
  </w:abstractNum>
  <w:abstractNum w:abstractNumId="16">
    <w:multiLevelType w:val="hybridMultilevel"/>
    <w:lvl w:ilvl="0">
      <w:start w:val="1"/>
      <w:numFmt w:val="decimal"/>
      <w:lvlText w:val="[%1]"/>
      <w:lvlJc w:val="left"/>
      <w:pPr>
        <w:ind w:left="690" w:hanging="562"/>
        <w:jc w:val="left"/>
      </w:pPr>
      <w:rPr>
        <w:rFonts w:hint="default" w:ascii="宋体" w:hAnsi="宋体" w:eastAsia="宋体" w:cs="宋体"/>
        <w:spacing w:val="-2"/>
        <w:w w:val="100"/>
        <w:sz w:val="28"/>
        <w:szCs w:val="28"/>
      </w:rPr>
    </w:lvl>
    <w:lvl w:ilvl="1">
      <w:start w:val="0"/>
      <w:numFmt w:val="bullet"/>
      <w:lvlText w:val="•"/>
      <w:lvlJc w:val="left"/>
      <w:pPr>
        <w:ind w:left="1540" w:hanging="562"/>
      </w:pPr>
      <w:rPr>
        <w:rFonts w:hint="default"/>
      </w:rPr>
    </w:lvl>
    <w:lvl w:ilvl="2">
      <w:start w:val="0"/>
      <w:numFmt w:val="bullet"/>
      <w:lvlText w:val="•"/>
      <w:lvlJc w:val="left"/>
      <w:pPr>
        <w:ind w:left="2381" w:hanging="562"/>
      </w:pPr>
      <w:rPr>
        <w:rFonts w:hint="default"/>
      </w:rPr>
    </w:lvl>
    <w:lvl w:ilvl="3">
      <w:start w:val="0"/>
      <w:numFmt w:val="bullet"/>
      <w:lvlText w:val="•"/>
      <w:lvlJc w:val="left"/>
      <w:pPr>
        <w:ind w:left="3221" w:hanging="562"/>
      </w:pPr>
      <w:rPr>
        <w:rFonts w:hint="default"/>
      </w:rPr>
    </w:lvl>
    <w:lvl w:ilvl="4">
      <w:start w:val="0"/>
      <w:numFmt w:val="bullet"/>
      <w:lvlText w:val="•"/>
      <w:lvlJc w:val="left"/>
      <w:pPr>
        <w:ind w:left="4062" w:hanging="562"/>
      </w:pPr>
      <w:rPr>
        <w:rFonts w:hint="default"/>
      </w:rPr>
    </w:lvl>
    <w:lvl w:ilvl="5">
      <w:start w:val="0"/>
      <w:numFmt w:val="bullet"/>
      <w:lvlText w:val="•"/>
      <w:lvlJc w:val="left"/>
      <w:pPr>
        <w:ind w:left="4903" w:hanging="562"/>
      </w:pPr>
      <w:rPr>
        <w:rFonts w:hint="default"/>
      </w:rPr>
    </w:lvl>
    <w:lvl w:ilvl="6">
      <w:start w:val="0"/>
      <w:numFmt w:val="bullet"/>
      <w:lvlText w:val="•"/>
      <w:lvlJc w:val="left"/>
      <w:pPr>
        <w:ind w:left="5743" w:hanging="562"/>
      </w:pPr>
      <w:rPr>
        <w:rFonts w:hint="default"/>
      </w:rPr>
    </w:lvl>
    <w:lvl w:ilvl="7">
      <w:start w:val="0"/>
      <w:numFmt w:val="bullet"/>
      <w:lvlText w:val="•"/>
      <w:lvlJc w:val="left"/>
      <w:pPr>
        <w:ind w:left="6584" w:hanging="562"/>
      </w:pPr>
      <w:rPr>
        <w:rFonts w:hint="default"/>
      </w:rPr>
    </w:lvl>
    <w:lvl w:ilvl="8">
      <w:start w:val="0"/>
      <w:numFmt w:val="bullet"/>
      <w:lvlText w:val="•"/>
      <w:lvlJc w:val="left"/>
      <w:pPr>
        <w:ind w:left="7425" w:hanging="562"/>
      </w:pPr>
      <w:rPr>
        <w:rFonts w:hint="default"/>
      </w:rPr>
    </w:lvl>
  </w:abstractNum>
  <w:abstractNum w:abstractNumId="15">
    <w:multiLevelType w:val="hybridMultilevel"/>
    <w:lvl w:ilvl="0">
      <w:start w:val="1"/>
      <w:numFmt w:val="decimal"/>
      <w:lvlText w:val="%1"/>
      <w:lvlJc w:val="left"/>
      <w:pPr>
        <w:ind w:left="892" w:hanging="281"/>
        <w:jc w:val="right"/>
      </w:pPr>
      <w:rPr>
        <w:rFonts w:hint="default" w:ascii="宋体" w:hAnsi="宋体" w:eastAsia="宋体" w:cs="宋体"/>
        <w:w w:val="100"/>
        <w:sz w:val="28"/>
        <w:szCs w:val="28"/>
      </w:rPr>
    </w:lvl>
    <w:lvl w:ilvl="1">
      <w:start w:val="1"/>
      <w:numFmt w:val="decimal"/>
      <w:lvlText w:val="%1.%2"/>
      <w:lvlJc w:val="left"/>
      <w:pPr>
        <w:ind w:left="1391" w:hanging="701"/>
        <w:jc w:val="right"/>
      </w:pPr>
      <w:rPr>
        <w:rFonts w:hint="default" w:ascii="宋体" w:hAnsi="宋体" w:eastAsia="宋体" w:cs="宋体"/>
        <w:spacing w:val="-2"/>
        <w:w w:val="100"/>
        <w:sz w:val="28"/>
        <w:szCs w:val="28"/>
      </w:rPr>
    </w:lvl>
    <w:lvl w:ilvl="2">
      <w:start w:val="0"/>
      <w:numFmt w:val="bullet"/>
      <w:lvlText w:val="•"/>
      <w:lvlJc w:val="left"/>
      <w:pPr>
        <w:ind w:left="2267" w:hanging="701"/>
      </w:pPr>
      <w:rPr>
        <w:rFonts w:hint="default"/>
      </w:rPr>
    </w:lvl>
    <w:lvl w:ilvl="3">
      <w:start w:val="0"/>
      <w:numFmt w:val="bullet"/>
      <w:lvlText w:val="•"/>
      <w:lvlJc w:val="left"/>
      <w:pPr>
        <w:ind w:left="3134" w:hanging="701"/>
      </w:pPr>
      <w:rPr>
        <w:rFonts w:hint="default"/>
      </w:rPr>
    </w:lvl>
    <w:lvl w:ilvl="4">
      <w:start w:val="0"/>
      <w:numFmt w:val="bullet"/>
      <w:lvlText w:val="•"/>
      <w:lvlJc w:val="left"/>
      <w:pPr>
        <w:ind w:left="4002" w:hanging="701"/>
      </w:pPr>
      <w:rPr>
        <w:rFonts w:hint="default"/>
      </w:rPr>
    </w:lvl>
    <w:lvl w:ilvl="5">
      <w:start w:val="0"/>
      <w:numFmt w:val="bullet"/>
      <w:lvlText w:val="•"/>
      <w:lvlJc w:val="left"/>
      <w:pPr>
        <w:ind w:left="4869" w:hanging="701"/>
      </w:pPr>
      <w:rPr>
        <w:rFonts w:hint="default"/>
      </w:rPr>
    </w:lvl>
    <w:lvl w:ilvl="6">
      <w:start w:val="0"/>
      <w:numFmt w:val="bullet"/>
      <w:lvlText w:val="•"/>
      <w:lvlJc w:val="left"/>
      <w:pPr>
        <w:ind w:left="5736" w:hanging="701"/>
      </w:pPr>
      <w:rPr>
        <w:rFonts w:hint="default"/>
      </w:rPr>
    </w:lvl>
    <w:lvl w:ilvl="7">
      <w:start w:val="0"/>
      <w:numFmt w:val="bullet"/>
      <w:lvlText w:val="•"/>
      <w:lvlJc w:val="left"/>
      <w:pPr>
        <w:ind w:left="6604" w:hanging="701"/>
      </w:pPr>
      <w:rPr>
        <w:rFonts w:hint="default"/>
      </w:rPr>
    </w:lvl>
    <w:lvl w:ilvl="8">
      <w:start w:val="0"/>
      <w:numFmt w:val="bullet"/>
      <w:lvlText w:val="•"/>
      <w:lvlJc w:val="left"/>
      <w:pPr>
        <w:ind w:left="7471" w:hanging="701"/>
      </w:pPr>
      <w:rPr>
        <w:rFonts w:hint="default"/>
      </w:rPr>
    </w:lvl>
  </w:abstractNum>
  <w:abstractNum w:abstractNumId="14">
    <w:multiLevelType w:val="hybridMultilevel"/>
    <w:lvl w:ilvl="0">
      <w:start w:val="8"/>
      <w:numFmt w:val="decimal"/>
      <w:lvlText w:val="[%1]"/>
      <w:lvlJc w:val="left"/>
      <w:pPr>
        <w:ind w:left="690" w:hanging="564"/>
        <w:jc w:val="left"/>
      </w:pPr>
      <w:rPr>
        <w:rFonts w:hint="default" w:ascii="宋体" w:hAnsi="宋体" w:eastAsia="宋体" w:cs="宋体"/>
        <w:spacing w:val="-2"/>
        <w:w w:val="100"/>
        <w:sz w:val="28"/>
        <w:szCs w:val="28"/>
      </w:rPr>
    </w:lvl>
    <w:lvl w:ilvl="1">
      <w:start w:val="0"/>
      <w:numFmt w:val="bullet"/>
      <w:lvlText w:val="•"/>
      <w:lvlJc w:val="left"/>
      <w:pPr>
        <w:ind w:left="1540" w:hanging="564"/>
      </w:pPr>
      <w:rPr>
        <w:rFonts w:hint="default"/>
      </w:rPr>
    </w:lvl>
    <w:lvl w:ilvl="2">
      <w:start w:val="0"/>
      <w:numFmt w:val="bullet"/>
      <w:lvlText w:val="•"/>
      <w:lvlJc w:val="left"/>
      <w:pPr>
        <w:ind w:left="2381" w:hanging="564"/>
      </w:pPr>
      <w:rPr>
        <w:rFonts w:hint="default"/>
      </w:rPr>
    </w:lvl>
    <w:lvl w:ilvl="3">
      <w:start w:val="0"/>
      <w:numFmt w:val="bullet"/>
      <w:lvlText w:val="•"/>
      <w:lvlJc w:val="left"/>
      <w:pPr>
        <w:ind w:left="3221" w:hanging="564"/>
      </w:pPr>
      <w:rPr>
        <w:rFonts w:hint="default"/>
      </w:rPr>
    </w:lvl>
    <w:lvl w:ilvl="4">
      <w:start w:val="0"/>
      <w:numFmt w:val="bullet"/>
      <w:lvlText w:val="•"/>
      <w:lvlJc w:val="left"/>
      <w:pPr>
        <w:ind w:left="4062" w:hanging="564"/>
      </w:pPr>
      <w:rPr>
        <w:rFonts w:hint="default"/>
      </w:rPr>
    </w:lvl>
    <w:lvl w:ilvl="5">
      <w:start w:val="0"/>
      <w:numFmt w:val="bullet"/>
      <w:lvlText w:val="•"/>
      <w:lvlJc w:val="left"/>
      <w:pPr>
        <w:ind w:left="4903" w:hanging="564"/>
      </w:pPr>
      <w:rPr>
        <w:rFonts w:hint="default"/>
      </w:rPr>
    </w:lvl>
    <w:lvl w:ilvl="6">
      <w:start w:val="0"/>
      <w:numFmt w:val="bullet"/>
      <w:lvlText w:val="•"/>
      <w:lvlJc w:val="left"/>
      <w:pPr>
        <w:ind w:left="5743" w:hanging="564"/>
      </w:pPr>
      <w:rPr>
        <w:rFonts w:hint="default"/>
      </w:rPr>
    </w:lvl>
    <w:lvl w:ilvl="7">
      <w:start w:val="0"/>
      <w:numFmt w:val="bullet"/>
      <w:lvlText w:val="•"/>
      <w:lvlJc w:val="left"/>
      <w:pPr>
        <w:ind w:left="6584" w:hanging="564"/>
      </w:pPr>
      <w:rPr>
        <w:rFonts w:hint="default"/>
      </w:rPr>
    </w:lvl>
    <w:lvl w:ilvl="8">
      <w:start w:val="0"/>
      <w:numFmt w:val="bullet"/>
      <w:lvlText w:val="•"/>
      <w:lvlJc w:val="left"/>
      <w:pPr>
        <w:ind w:left="7425" w:hanging="564"/>
      </w:pPr>
      <w:rPr>
        <w:rFonts w:hint="default"/>
      </w:rPr>
    </w:lvl>
  </w:abstractNum>
  <w:abstractNum w:abstractNumId="13">
    <w:multiLevelType w:val="hybridMultilevel"/>
    <w:lvl w:ilvl="0">
      <w:start w:val="1"/>
      <w:numFmt w:val="decimal"/>
      <w:lvlText w:val="[%1]"/>
      <w:lvlJc w:val="left"/>
      <w:pPr>
        <w:ind w:left="690" w:hanging="584"/>
        <w:jc w:val="left"/>
      </w:pPr>
      <w:rPr>
        <w:rFonts w:hint="default" w:ascii="宋体" w:hAnsi="宋体" w:eastAsia="宋体" w:cs="宋体"/>
        <w:spacing w:val="-2"/>
        <w:w w:val="100"/>
        <w:sz w:val="28"/>
        <w:szCs w:val="28"/>
      </w:rPr>
    </w:lvl>
    <w:lvl w:ilvl="1">
      <w:start w:val="0"/>
      <w:numFmt w:val="bullet"/>
      <w:lvlText w:val="•"/>
      <w:lvlJc w:val="left"/>
      <w:pPr>
        <w:ind w:left="1540" w:hanging="584"/>
      </w:pPr>
      <w:rPr>
        <w:rFonts w:hint="default"/>
      </w:rPr>
    </w:lvl>
    <w:lvl w:ilvl="2">
      <w:start w:val="0"/>
      <w:numFmt w:val="bullet"/>
      <w:lvlText w:val="•"/>
      <w:lvlJc w:val="left"/>
      <w:pPr>
        <w:ind w:left="2381" w:hanging="584"/>
      </w:pPr>
      <w:rPr>
        <w:rFonts w:hint="default"/>
      </w:rPr>
    </w:lvl>
    <w:lvl w:ilvl="3">
      <w:start w:val="0"/>
      <w:numFmt w:val="bullet"/>
      <w:lvlText w:val="•"/>
      <w:lvlJc w:val="left"/>
      <w:pPr>
        <w:ind w:left="3221" w:hanging="584"/>
      </w:pPr>
      <w:rPr>
        <w:rFonts w:hint="default"/>
      </w:rPr>
    </w:lvl>
    <w:lvl w:ilvl="4">
      <w:start w:val="0"/>
      <w:numFmt w:val="bullet"/>
      <w:lvlText w:val="•"/>
      <w:lvlJc w:val="left"/>
      <w:pPr>
        <w:ind w:left="4062" w:hanging="584"/>
      </w:pPr>
      <w:rPr>
        <w:rFonts w:hint="default"/>
      </w:rPr>
    </w:lvl>
    <w:lvl w:ilvl="5">
      <w:start w:val="0"/>
      <w:numFmt w:val="bullet"/>
      <w:lvlText w:val="•"/>
      <w:lvlJc w:val="left"/>
      <w:pPr>
        <w:ind w:left="4903" w:hanging="584"/>
      </w:pPr>
      <w:rPr>
        <w:rFonts w:hint="default"/>
      </w:rPr>
    </w:lvl>
    <w:lvl w:ilvl="6">
      <w:start w:val="0"/>
      <w:numFmt w:val="bullet"/>
      <w:lvlText w:val="•"/>
      <w:lvlJc w:val="left"/>
      <w:pPr>
        <w:ind w:left="5743" w:hanging="584"/>
      </w:pPr>
      <w:rPr>
        <w:rFonts w:hint="default"/>
      </w:rPr>
    </w:lvl>
    <w:lvl w:ilvl="7">
      <w:start w:val="0"/>
      <w:numFmt w:val="bullet"/>
      <w:lvlText w:val="•"/>
      <w:lvlJc w:val="left"/>
      <w:pPr>
        <w:ind w:left="6584" w:hanging="584"/>
      </w:pPr>
      <w:rPr>
        <w:rFonts w:hint="default"/>
      </w:rPr>
    </w:lvl>
    <w:lvl w:ilvl="8">
      <w:start w:val="0"/>
      <w:numFmt w:val="bullet"/>
      <w:lvlText w:val="•"/>
      <w:lvlJc w:val="left"/>
      <w:pPr>
        <w:ind w:left="7425" w:hanging="584"/>
      </w:pPr>
      <w:rPr>
        <w:rFonts w:hint="default"/>
      </w:rPr>
    </w:lvl>
  </w:abstractNum>
  <w:abstractNum w:abstractNumId="11">
    <w:multiLevelType w:val="hybridMultilevel"/>
    <w:lvl w:ilvl="0">
      <w:start w:val="2"/>
      <w:numFmt w:val="decimal"/>
      <w:lvlText w:val="[%1]"/>
      <w:lvlJc w:val="left"/>
      <w:pPr>
        <w:ind w:left="690" w:hanging="562"/>
        <w:jc w:val="left"/>
      </w:pPr>
      <w:rPr>
        <w:rFonts w:hint="default" w:ascii="宋体" w:hAnsi="宋体" w:eastAsia="宋体" w:cs="宋体"/>
        <w:spacing w:val="-2"/>
        <w:w w:val="100"/>
        <w:sz w:val="28"/>
        <w:szCs w:val="28"/>
      </w:rPr>
    </w:lvl>
    <w:lvl w:ilvl="1">
      <w:start w:val="0"/>
      <w:numFmt w:val="bullet"/>
      <w:lvlText w:val="•"/>
      <w:lvlJc w:val="left"/>
      <w:pPr>
        <w:ind w:left="1542" w:hanging="562"/>
      </w:pPr>
      <w:rPr>
        <w:rFonts w:hint="default"/>
      </w:rPr>
    </w:lvl>
    <w:lvl w:ilvl="2">
      <w:start w:val="0"/>
      <w:numFmt w:val="bullet"/>
      <w:lvlText w:val="•"/>
      <w:lvlJc w:val="left"/>
      <w:pPr>
        <w:ind w:left="2385" w:hanging="562"/>
      </w:pPr>
      <w:rPr>
        <w:rFonts w:hint="default"/>
      </w:rPr>
    </w:lvl>
    <w:lvl w:ilvl="3">
      <w:start w:val="0"/>
      <w:numFmt w:val="bullet"/>
      <w:lvlText w:val="•"/>
      <w:lvlJc w:val="left"/>
      <w:pPr>
        <w:ind w:left="3227" w:hanging="562"/>
      </w:pPr>
      <w:rPr>
        <w:rFonts w:hint="default"/>
      </w:rPr>
    </w:lvl>
    <w:lvl w:ilvl="4">
      <w:start w:val="0"/>
      <w:numFmt w:val="bullet"/>
      <w:lvlText w:val="•"/>
      <w:lvlJc w:val="left"/>
      <w:pPr>
        <w:ind w:left="4070" w:hanging="562"/>
      </w:pPr>
      <w:rPr>
        <w:rFonts w:hint="default"/>
      </w:rPr>
    </w:lvl>
    <w:lvl w:ilvl="5">
      <w:start w:val="0"/>
      <w:numFmt w:val="bullet"/>
      <w:lvlText w:val="•"/>
      <w:lvlJc w:val="left"/>
      <w:pPr>
        <w:ind w:left="4913" w:hanging="562"/>
      </w:pPr>
      <w:rPr>
        <w:rFonts w:hint="default"/>
      </w:rPr>
    </w:lvl>
    <w:lvl w:ilvl="6">
      <w:start w:val="0"/>
      <w:numFmt w:val="bullet"/>
      <w:lvlText w:val="•"/>
      <w:lvlJc w:val="left"/>
      <w:pPr>
        <w:ind w:left="5755" w:hanging="562"/>
      </w:pPr>
      <w:rPr>
        <w:rFonts w:hint="default"/>
      </w:rPr>
    </w:lvl>
    <w:lvl w:ilvl="7">
      <w:start w:val="0"/>
      <w:numFmt w:val="bullet"/>
      <w:lvlText w:val="•"/>
      <w:lvlJc w:val="left"/>
      <w:pPr>
        <w:ind w:left="6598" w:hanging="562"/>
      </w:pPr>
      <w:rPr>
        <w:rFonts w:hint="default"/>
      </w:rPr>
    </w:lvl>
    <w:lvl w:ilvl="8">
      <w:start w:val="0"/>
      <w:numFmt w:val="bullet"/>
      <w:lvlText w:val="•"/>
      <w:lvlJc w:val="left"/>
      <w:pPr>
        <w:ind w:left="7441" w:hanging="562"/>
      </w:pPr>
      <w:rPr>
        <w:rFonts w:hint="default"/>
      </w:rPr>
    </w:lvl>
  </w:abstractNum>
  <w:abstractNum w:abstractNumId="10">
    <w:multiLevelType w:val="hybridMultilevel"/>
    <w:lvl w:ilvl="0">
      <w:start w:val="1"/>
      <w:numFmt w:val="decimal"/>
      <w:lvlText w:val="%1"/>
      <w:lvlJc w:val="left"/>
      <w:pPr>
        <w:ind w:left="131" w:hanging="245"/>
        <w:jc w:val="left"/>
      </w:pPr>
      <w:rPr>
        <w:rFonts w:hint="default" w:ascii="宋体" w:hAnsi="宋体" w:eastAsia="宋体" w:cs="宋体"/>
        <w:w w:val="100"/>
        <w:sz w:val="28"/>
        <w:szCs w:val="28"/>
      </w:rPr>
    </w:lvl>
    <w:lvl w:ilvl="1">
      <w:start w:val="0"/>
      <w:numFmt w:val="bullet"/>
      <w:lvlText w:val="•"/>
      <w:lvlJc w:val="left"/>
      <w:pPr>
        <w:ind w:left="1036" w:hanging="245"/>
      </w:pPr>
      <w:rPr>
        <w:rFonts w:hint="default"/>
      </w:rPr>
    </w:lvl>
    <w:lvl w:ilvl="2">
      <w:start w:val="0"/>
      <w:numFmt w:val="bullet"/>
      <w:lvlText w:val="•"/>
      <w:lvlJc w:val="left"/>
      <w:pPr>
        <w:ind w:left="1933" w:hanging="245"/>
      </w:pPr>
      <w:rPr>
        <w:rFonts w:hint="default"/>
      </w:rPr>
    </w:lvl>
    <w:lvl w:ilvl="3">
      <w:start w:val="0"/>
      <w:numFmt w:val="bullet"/>
      <w:lvlText w:val="•"/>
      <w:lvlJc w:val="left"/>
      <w:pPr>
        <w:ind w:left="2829" w:hanging="245"/>
      </w:pPr>
      <w:rPr>
        <w:rFonts w:hint="default"/>
      </w:rPr>
    </w:lvl>
    <w:lvl w:ilvl="4">
      <w:start w:val="0"/>
      <w:numFmt w:val="bullet"/>
      <w:lvlText w:val="•"/>
      <w:lvlJc w:val="left"/>
      <w:pPr>
        <w:ind w:left="3726" w:hanging="245"/>
      </w:pPr>
      <w:rPr>
        <w:rFonts w:hint="default"/>
      </w:rPr>
    </w:lvl>
    <w:lvl w:ilvl="5">
      <w:start w:val="0"/>
      <w:numFmt w:val="bullet"/>
      <w:lvlText w:val="•"/>
      <w:lvlJc w:val="left"/>
      <w:pPr>
        <w:ind w:left="4623" w:hanging="245"/>
      </w:pPr>
      <w:rPr>
        <w:rFonts w:hint="default"/>
      </w:rPr>
    </w:lvl>
    <w:lvl w:ilvl="6">
      <w:start w:val="0"/>
      <w:numFmt w:val="bullet"/>
      <w:lvlText w:val="•"/>
      <w:lvlJc w:val="left"/>
      <w:pPr>
        <w:ind w:left="5519" w:hanging="245"/>
      </w:pPr>
      <w:rPr>
        <w:rFonts w:hint="default"/>
      </w:rPr>
    </w:lvl>
    <w:lvl w:ilvl="7">
      <w:start w:val="0"/>
      <w:numFmt w:val="bullet"/>
      <w:lvlText w:val="•"/>
      <w:lvlJc w:val="left"/>
      <w:pPr>
        <w:ind w:left="6416" w:hanging="245"/>
      </w:pPr>
      <w:rPr>
        <w:rFonts w:hint="default"/>
      </w:rPr>
    </w:lvl>
    <w:lvl w:ilvl="8">
      <w:start w:val="0"/>
      <w:numFmt w:val="bullet"/>
      <w:lvlText w:val="•"/>
      <w:lvlJc w:val="left"/>
      <w:pPr>
        <w:ind w:left="7313" w:hanging="245"/>
      </w:pPr>
      <w:rPr>
        <w:rFonts w:hint="default"/>
      </w:rPr>
    </w:lvl>
  </w:abstractNum>
  <w:abstractNum w:abstractNumId="9">
    <w:multiLevelType w:val="hybridMultilevel"/>
    <w:lvl w:ilvl="0">
      <w:start w:val="92"/>
      <w:numFmt w:val="decimal"/>
      <w:lvlText w:val="%1"/>
      <w:lvlJc w:val="left"/>
      <w:pPr>
        <w:ind w:left="131" w:hanging="703"/>
        <w:jc w:val="left"/>
      </w:pPr>
      <w:rPr>
        <w:rFonts w:hint="default"/>
      </w:rPr>
    </w:lvl>
    <w:lvl w:ilvl="1">
      <w:start w:val="42"/>
      <w:numFmt w:val="decimal"/>
      <w:lvlText w:val="%1.%2"/>
      <w:lvlJc w:val="left"/>
      <w:pPr>
        <w:ind w:left="131" w:hanging="703"/>
        <w:jc w:val="left"/>
      </w:pPr>
      <w:rPr>
        <w:rFonts w:hint="default" w:ascii="宋体" w:hAnsi="宋体" w:eastAsia="宋体" w:cs="宋体"/>
        <w:spacing w:val="-2"/>
        <w:w w:val="100"/>
        <w:sz w:val="26"/>
        <w:szCs w:val="26"/>
      </w:rPr>
    </w:lvl>
    <w:lvl w:ilvl="2">
      <w:start w:val="1"/>
      <w:numFmt w:val="decimal"/>
      <w:lvlText w:val="%3"/>
      <w:lvlJc w:val="left"/>
      <w:pPr>
        <w:ind w:left="971" w:hanging="281"/>
        <w:jc w:val="left"/>
      </w:pPr>
      <w:rPr>
        <w:rFonts w:hint="default" w:ascii="宋体" w:hAnsi="宋体" w:eastAsia="宋体" w:cs="宋体"/>
        <w:w w:val="100"/>
        <w:sz w:val="28"/>
        <w:szCs w:val="28"/>
      </w:rPr>
    </w:lvl>
    <w:lvl w:ilvl="3">
      <w:start w:val="0"/>
      <w:numFmt w:val="bullet"/>
      <w:lvlText w:val="•"/>
      <w:lvlJc w:val="left"/>
      <w:pPr>
        <w:ind w:left="2808" w:hanging="281"/>
      </w:pPr>
      <w:rPr>
        <w:rFonts w:hint="default"/>
      </w:rPr>
    </w:lvl>
    <w:lvl w:ilvl="4">
      <w:start w:val="0"/>
      <w:numFmt w:val="bullet"/>
      <w:lvlText w:val="•"/>
      <w:lvlJc w:val="left"/>
      <w:pPr>
        <w:ind w:left="3722" w:hanging="281"/>
      </w:pPr>
      <w:rPr>
        <w:rFonts w:hint="default"/>
      </w:rPr>
    </w:lvl>
    <w:lvl w:ilvl="5">
      <w:start w:val="0"/>
      <w:numFmt w:val="bullet"/>
      <w:lvlText w:val="•"/>
      <w:lvlJc w:val="left"/>
      <w:pPr>
        <w:ind w:left="4636" w:hanging="281"/>
      </w:pPr>
      <w:rPr>
        <w:rFonts w:hint="default"/>
      </w:rPr>
    </w:lvl>
    <w:lvl w:ilvl="6">
      <w:start w:val="0"/>
      <w:numFmt w:val="bullet"/>
      <w:lvlText w:val="•"/>
      <w:lvlJc w:val="left"/>
      <w:pPr>
        <w:ind w:left="5550" w:hanging="281"/>
      </w:pPr>
      <w:rPr>
        <w:rFonts w:hint="default"/>
      </w:rPr>
    </w:lvl>
    <w:lvl w:ilvl="7">
      <w:start w:val="0"/>
      <w:numFmt w:val="bullet"/>
      <w:lvlText w:val="•"/>
      <w:lvlJc w:val="left"/>
      <w:pPr>
        <w:ind w:left="6464" w:hanging="281"/>
      </w:pPr>
      <w:rPr>
        <w:rFonts w:hint="default"/>
      </w:rPr>
    </w:lvl>
    <w:lvl w:ilvl="8">
      <w:start w:val="0"/>
      <w:numFmt w:val="bullet"/>
      <w:lvlText w:val="•"/>
      <w:lvlJc w:val="left"/>
      <w:pPr>
        <w:ind w:left="7378" w:hanging="281"/>
      </w:pPr>
      <w:rPr>
        <w:rFonts w:hint="default"/>
      </w:rPr>
    </w:lvl>
  </w:abstractNum>
  <w:abstractNum w:abstractNumId="8">
    <w:multiLevelType w:val="hybridMultilevel"/>
    <w:lvl w:ilvl="0">
      <w:start w:val="4"/>
      <w:numFmt w:val="decimal"/>
      <w:lvlText w:val="%1"/>
      <w:lvlJc w:val="left"/>
      <w:pPr>
        <w:ind w:left="412" w:hanging="281"/>
        <w:jc w:val="left"/>
      </w:pPr>
      <w:rPr>
        <w:rFonts w:hint="default" w:ascii="宋体" w:hAnsi="宋体" w:eastAsia="宋体" w:cs="宋体"/>
        <w:w w:val="100"/>
        <w:sz w:val="28"/>
        <w:szCs w:val="28"/>
      </w:rPr>
    </w:lvl>
    <w:lvl w:ilvl="1">
      <w:start w:val="0"/>
      <w:numFmt w:val="bullet"/>
      <w:lvlText w:val="•"/>
      <w:lvlJc w:val="left"/>
      <w:pPr>
        <w:ind w:left="420" w:hanging="281"/>
      </w:pPr>
      <w:rPr>
        <w:rFonts w:hint="default"/>
      </w:rPr>
    </w:lvl>
    <w:lvl w:ilvl="2">
      <w:start w:val="0"/>
      <w:numFmt w:val="bullet"/>
      <w:lvlText w:val="•"/>
      <w:lvlJc w:val="left"/>
      <w:pPr>
        <w:ind w:left="1385" w:hanging="281"/>
      </w:pPr>
      <w:rPr>
        <w:rFonts w:hint="default"/>
      </w:rPr>
    </w:lvl>
    <w:lvl w:ilvl="3">
      <w:start w:val="0"/>
      <w:numFmt w:val="bullet"/>
      <w:lvlText w:val="•"/>
      <w:lvlJc w:val="left"/>
      <w:pPr>
        <w:ind w:left="2350" w:hanging="281"/>
      </w:pPr>
      <w:rPr>
        <w:rFonts w:hint="default"/>
      </w:rPr>
    </w:lvl>
    <w:lvl w:ilvl="4">
      <w:start w:val="0"/>
      <w:numFmt w:val="bullet"/>
      <w:lvlText w:val="•"/>
      <w:lvlJc w:val="left"/>
      <w:pPr>
        <w:ind w:left="3315" w:hanging="281"/>
      </w:pPr>
      <w:rPr>
        <w:rFonts w:hint="default"/>
      </w:rPr>
    </w:lvl>
    <w:lvl w:ilvl="5">
      <w:start w:val="0"/>
      <w:numFmt w:val="bullet"/>
      <w:lvlText w:val="•"/>
      <w:lvlJc w:val="left"/>
      <w:pPr>
        <w:ind w:left="4280" w:hanging="281"/>
      </w:pPr>
      <w:rPr>
        <w:rFonts w:hint="default"/>
      </w:rPr>
    </w:lvl>
    <w:lvl w:ilvl="6">
      <w:start w:val="0"/>
      <w:numFmt w:val="bullet"/>
      <w:lvlText w:val="•"/>
      <w:lvlJc w:val="left"/>
      <w:pPr>
        <w:ind w:left="5245" w:hanging="281"/>
      </w:pPr>
      <w:rPr>
        <w:rFonts w:hint="default"/>
      </w:rPr>
    </w:lvl>
    <w:lvl w:ilvl="7">
      <w:start w:val="0"/>
      <w:numFmt w:val="bullet"/>
      <w:lvlText w:val="•"/>
      <w:lvlJc w:val="left"/>
      <w:pPr>
        <w:ind w:left="6210" w:hanging="281"/>
      </w:pPr>
      <w:rPr>
        <w:rFonts w:hint="default"/>
      </w:rPr>
    </w:lvl>
    <w:lvl w:ilvl="8">
      <w:start w:val="0"/>
      <w:numFmt w:val="bullet"/>
      <w:lvlText w:val="•"/>
      <w:lvlJc w:val="left"/>
      <w:pPr>
        <w:ind w:left="7176" w:hanging="281"/>
      </w:pPr>
      <w:rPr>
        <w:rFonts w:hint="default"/>
      </w:rPr>
    </w:lvl>
  </w:abstractNum>
  <w:abstractNum w:abstractNumId="7">
    <w:multiLevelType w:val="hybridMultilevel"/>
    <w:lvl w:ilvl="0">
      <w:start w:val="1"/>
      <w:numFmt w:val="decimal"/>
      <w:lvlText w:val="%1"/>
      <w:lvlJc w:val="left"/>
      <w:pPr>
        <w:ind w:left="412" w:hanging="281"/>
        <w:jc w:val="left"/>
      </w:pPr>
      <w:rPr>
        <w:rFonts w:hint="default" w:ascii="宋体" w:hAnsi="宋体" w:eastAsia="宋体" w:cs="宋体"/>
        <w:w w:val="100"/>
        <w:sz w:val="28"/>
        <w:szCs w:val="28"/>
      </w:rPr>
    </w:lvl>
    <w:lvl w:ilvl="1">
      <w:start w:val="0"/>
      <w:numFmt w:val="bullet"/>
      <w:lvlText w:val="•"/>
      <w:lvlJc w:val="left"/>
      <w:pPr>
        <w:ind w:left="1300" w:hanging="281"/>
      </w:pPr>
      <w:rPr>
        <w:rFonts w:hint="default"/>
      </w:rPr>
    </w:lvl>
    <w:lvl w:ilvl="2">
      <w:start w:val="0"/>
      <w:numFmt w:val="bullet"/>
      <w:lvlText w:val="•"/>
      <w:lvlJc w:val="left"/>
      <w:pPr>
        <w:ind w:left="2181" w:hanging="281"/>
      </w:pPr>
      <w:rPr>
        <w:rFonts w:hint="default"/>
      </w:rPr>
    </w:lvl>
    <w:lvl w:ilvl="3">
      <w:start w:val="0"/>
      <w:numFmt w:val="bullet"/>
      <w:lvlText w:val="•"/>
      <w:lvlJc w:val="left"/>
      <w:pPr>
        <w:ind w:left="3061" w:hanging="281"/>
      </w:pPr>
      <w:rPr>
        <w:rFonts w:hint="default"/>
      </w:rPr>
    </w:lvl>
    <w:lvl w:ilvl="4">
      <w:start w:val="0"/>
      <w:numFmt w:val="bullet"/>
      <w:lvlText w:val="•"/>
      <w:lvlJc w:val="left"/>
      <w:pPr>
        <w:ind w:left="3942" w:hanging="281"/>
      </w:pPr>
      <w:rPr>
        <w:rFonts w:hint="default"/>
      </w:rPr>
    </w:lvl>
    <w:lvl w:ilvl="5">
      <w:start w:val="0"/>
      <w:numFmt w:val="bullet"/>
      <w:lvlText w:val="•"/>
      <w:lvlJc w:val="left"/>
      <w:pPr>
        <w:ind w:left="4823" w:hanging="281"/>
      </w:pPr>
      <w:rPr>
        <w:rFonts w:hint="default"/>
      </w:rPr>
    </w:lvl>
    <w:lvl w:ilvl="6">
      <w:start w:val="0"/>
      <w:numFmt w:val="bullet"/>
      <w:lvlText w:val="•"/>
      <w:lvlJc w:val="left"/>
      <w:pPr>
        <w:ind w:left="5703" w:hanging="281"/>
      </w:pPr>
      <w:rPr>
        <w:rFonts w:hint="default"/>
      </w:rPr>
    </w:lvl>
    <w:lvl w:ilvl="7">
      <w:start w:val="0"/>
      <w:numFmt w:val="bullet"/>
      <w:lvlText w:val="•"/>
      <w:lvlJc w:val="left"/>
      <w:pPr>
        <w:ind w:left="6584" w:hanging="281"/>
      </w:pPr>
      <w:rPr>
        <w:rFonts w:hint="default"/>
      </w:rPr>
    </w:lvl>
    <w:lvl w:ilvl="8">
      <w:start w:val="0"/>
      <w:numFmt w:val="bullet"/>
      <w:lvlText w:val="•"/>
      <w:lvlJc w:val="left"/>
      <w:pPr>
        <w:ind w:left="7465" w:hanging="281"/>
      </w:pPr>
      <w:rPr>
        <w:rFonts w:hint="default"/>
      </w:rPr>
    </w:lvl>
  </w:abstractNum>
  <w:abstractNum w:abstractNumId="6">
    <w:multiLevelType w:val="hybridMultilevel"/>
    <w:lvl w:ilvl="0">
      <w:start w:val="2"/>
      <w:numFmt w:val="decimal"/>
      <w:lvlText w:val="%1"/>
      <w:lvlJc w:val="left"/>
      <w:pPr>
        <w:ind w:left="693" w:hanging="562"/>
        <w:jc w:val="left"/>
      </w:pPr>
      <w:rPr>
        <w:rFonts w:hint="default"/>
      </w:rPr>
    </w:lvl>
    <w:lvl w:ilvl="1">
      <w:start w:val="1"/>
      <w:numFmt w:val="decimal"/>
      <w:lvlText w:val="%1.%2"/>
      <w:lvlJc w:val="left"/>
      <w:pPr>
        <w:ind w:left="693" w:hanging="562"/>
        <w:jc w:val="left"/>
      </w:pPr>
      <w:rPr>
        <w:rFonts w:hint="default" w:ascii="宋体" w:hAnsi="宋体" w:eastAsia="宋体" w:cs="宋体"/>
        <w:spacing w:val="-2"/>
        <w:w w:val="100"/>
        <w:sz w:val="28"/>
        <w:szCs w:val="28"/>
      </w:rPr>
    </w:lvl>
    <w:lvl w:ilvl="2">
      <w:start w:val="1"/>
      <w:numFmt w:val="decimal"/>
      <w:lvlText w:val="%1.%2.%3"/>
      <w:lvlJc w:val="left"/>
      <w:pPr>
        <w:ind w:left="1113" w:hanging="982"/>
        <w:jc w:val="left"/>
      </w:pPr>
      <w:rPr>
        <w:rFonts w:hint="default" w:ascii="宋体" w:hAnsi="宋体" w:eastAsia="宋体" w:cs="宋体"/>
        <w:spacing w:val="-2"/>
        <w:w w:val="100"/>
        <w:sz w:val="28"/>
        <w:szCs w:val="28"/>
      </w:rPr>
    </w:lvl>
    <w:lvl w:ilvl="3">
      <w:start w:val="0"/>
      <w:numFmt w:val="bullet"/>
      <w:lvlText w:val="•"/>
      <w:lvlJc w:val="left"/>
      <w:pPr>
        <w:ind w:left="2921" w:hanging="982"/>
      </w:pPr>
      <w:rPr>
        <w:rFonts w:hint="default"/>
      </w:rPr>
    </w:lvl>
    <w:lvl w:ilvl="4">
      <w:start w:val="0"/>
      <w:numFmt w:val="bullet"/>
      <w:lvlText w:val="•"/>
      <w:lvlJc w:val="left"/>
      <w:pPr>
        <w:ind w:left="3822" w:hanging="982"/>
      </w:pPr>
      <w:rPr>
        <w:rFonts w:hint="default"/>
      </w:rPr>
    </w:lvl>
    <w:lvl w:ilvl="5">
      <w:start w:val="0"/>
      <w:numFmt w:val="bullet"/>
      <w:lvlText w:val="•"/>
      <w:lvlJc w:val="left"/>
      <w:pPr>
        <w:ind w:left="4722" w:hanging="982"/>
      </w:pPr>
      <w:rPr>
        <w:rFonts w:hint="default"/>
      </w:rPr>
    </w:lvl>
    <w:lvl w:ilvl="6">
      <w:start w:val="0"/>
      <w:numFmt w:val="bullet"/>
      <w:lvlText w:val="•"/>
      <w:lvlJc w:val="left"/>
      <w:pPr>
        <w:ind w:left="5623" w:hanging="982"/>
      </w:pPr>
      <w:rPr>
        <w:rFonts w:hint="default"/>
      </w:rPr>
    </w:lvl>
    <w:lvl w:ilvl="7">
      <w:start w:val="0"/>
      <w:numFmt w:val="bullet"/>
      <w:lvlText w:val="•"/>
      <w:lvlJc w:val="left"/>
      <w:pPr>
        <w:ind w:left="6524" w:hanging="982"/>
      </w:pPr>
      <w:rPr>
        <w:rFonts w:hint="default"/>
      </w:rPr>
    </w:lvl>
    <w:lvl w:ilvl="8">
      <w:start w:val="0"/>
      <w:numFmt w:val="bullet"/>
      <w:lvlText w:val="•"/>
      <w:lvlJc w:val="left"/>
      <w:pPr>
        <w:ind w:left="7424" w:hanging="982"/>
      </w:pPr>
      <w:rPr>
        <w:rFonts w:hint="default"/>
      </w:rPr>
    </w:lvl>
  </w:abstractNum>
  <w:abstractNum w:abstractNumId="5">
    <w:multiLevelType w:val="hybridMultilevel"/>
    <w:lvl w:ilvl="0">
      <w:start w:val="1"/>
      <w:numFmt w:val="decimal"/>
      <w:lvlText w:val="%1"/>
      <w:lvlJc w:val="left"/>
      <w:pPr>
        <w:ind w:left="832" w:hanging="701"/>
        <w:jc w:val="left"/>
      </w:pPr>
      <w:rPr>
        <w:rFonts w:hint="default"/>
      </w:rPr>
    </w:lvl>
    <w:lvl w:ilvl="1">
      <w:start w:val="2"/>
      <w:numFmt w:val="decimal"/>
      <w:lvlText w:val="%1.%2"/>
      <w:lvlJc w:val="left"/>
      <w:pPr>
        <w:ind w:left="832" w:hanging="701"/>
        <w:jc w:val="left"/>
      </w:pPr>
      <w:rPr>
        <w:rFonts w:hint="default" w:ascii="宋体" w:hAnsi="宋体" w:eastAsia="宋体" w:cs="宋体"/>
        <w:spacing w:val="-2"/>
        <w:w w:val="100"/>
        <w:sz w:val="28"/>
        <w:szCs w:val="28"/>
      </w:rPr>
    </w:lvl>
    <w:lvl w:ilvl="2">
      <w:start w:val="0"/>
      <w:numFmt w:val="bullet"/>
      <w:lvlText w:val="•"/>
      <w:lvlJc w:val="left"/>
      <w:pPr>
        <w:ind w:left="1896" w:hanging="701"/>
      </w:pPr>
      <w:rPr>
        <w:rFonts w:hint="default"/>
      </w:rPr>
    </w:lvl>
    <w:lvl w:ilvl="3">
      <w:start w:val="0"/>
      <w:numFmt w:val="bullet"/>
      <w:lvlText w:val="•"/>
      <w:lvlJc w:val="left"/>
      <w:pPr>
        <w:ind w:left="2812" w:hanging="701"/>
      </w:pPr>
      <w:rPr>
        <w:rFonts w:hint="default"/>
      </w:rPr>
    </w:lvl>
    <w:lvl w:ilvl="4">
      <w:start w:val="0"/>
      <w:numFmt w:val="bullet"/>
      <w:lvlText w:val="•"/>
      <w:lvlJc w:val="left"/>
      <w:pPr>
        <w:ind w:left="3728" w:hanging="701"/>
      </w:pPr>
      <w:rPr>
        <w:rFonts w:hint="default"/>
      </w:rPr>
    </w:lvl>
    <w:lvl w:ilvl="5">
      <w:start w:val="0"/>
      <w:numFmt w:val="bullet"/>
      <w:lvlText w:val="•"/>
      <w:lvlJc w:val="left"/>
      <w:pPr>
        <w:ind w:left="4645" w:hanging="701"/>
      </w:pPr>
      <w:rPr>
        <w:rFonts w:hint="default"/>
      </w:rPr>
    </w:lvl>
    <w:lvl w:ilvl="6">
      <w:start w:val="0"/>
      <w:numFmt w:val="bullet"/>
      <w:lvlText w:val="•"/>
      <w:lvlJc w:val="left"/>
      <w:pPr>
        <w:ind w:left="5561" w:hanging="701"/>
      </w:pPr>
      <w:rPr>
        <w:rFonts w:hint="default"/>
      </w:rPr>
    </w:lvl>
    <w:lvl w:ilvl="7">
      <w:start w:val="0"/>
      <w:numFmt w:val="bullet"/>
      <w:lvlText w:val="•"/>
      <w:lvlJc w:val="left"/>
      <w:pPr>
        <w:ind w:left="6477" w:hanging="701"/>
      </w:pPr>
      <w:rPr>
        <w:rFonts w:hint="default"/>
      </w:rPr>
    </w:lvl>
    <w:lvl w:ilvl="8">
      <w:start w:val="0"/>
      <w:numFmt w:val="bullet"/>
      <w:lvlText w:val="•"/>
      <w:lvlJc w:val="left"/>
      <w:pPr>
        <w:ind w:left="7393" w:hanging="701"/>
      </w:pPr>
      <w:rPr>
        <w:rFonts w:hint="default"/>
      </w:rPr>
    </w:lvl>
  </w:abstractNum>
  <w:abstractNum w:abstractNumId="4">
    <w:multiLevelType w:val="hybridMultilevel"/>
    <w:lvl w:ilvl="0">
      <w:start w:val="1"/>
      <w:numFmt w:val="decimal"/>
      <w:lvlText w:val="%1"/>
      <w:lvlJc w:val="left"/>
      <w:pPr>
        <w:ind w:left="412" w:hanging="281"/>
        <w:jc w:val="left"/>
      </w:pPr>
      <w:rPr>
        <w:rFonts w:hint="default" w:ascii="宋体" w:hAnsi="宋体" w:eastAsia="宋体" w:cs="宋体"/>
        <w:w w:val="100"/>
        <w:sz w:val="28"/>
        <w:szCs w:val="28"/>
      </w:rPr>
    </w:lvl>
    <w:lvl w:ilvl="1">
      <w:start w:val="1"/>
      <w:numFmt w:val="decimal"/>
      <w:lvlText w:val="%1.%2"/>
      <w:lvlJc w:val="left"/>
      <w:pPr>
        <w:ind w:left="693" w:hanging="562"/>
        <w:jc w:val="left"/>
      </w:pPr>
      <w:rPr>
        <w:rFonts w:hint="default" w:ascii="宋体" w:hAnsi="宋体" w:eastAsia="宋体" w:cs="宋体"/>
        <w:spacing w:val="-2"/>
        <w:w w:val="100"/>
        <w:sz w:val="28"/>
        <w:szCs w:val="28"/>
      </w:rPr>
    </w:lvl>
    <w:lvl w:ilvl="2">
      <w:start w:val="0"/>
      <w:numFmt w:val="bullet"/>
      <w:lvlText w:val="•"/>
      <w:lvlJc w:val="left"/>
      <w:pPr>
        <w:ind w:left="1647" w:hanging="562"/>
      </w:pPr>
      <w:rPr>
        <w:rFonts w:hint="default"/>
      </w:rPr>
    </w:lvl>
    <w:lvl w:ilvl="3">
      <w:start w:val="0"/>
      <w:numFmt w:val="bullet"/>
      <w:lvlText w:val="•"/>
      <w:lvlJc w:val="left"/>
      <w:pPr>
        <w:ind w:left="2594" w:hanging="562"/>
      </w:pPr>
      <w:rPr>
        <w:rFonts w:hint="default"/>
      </w:rPr>
    </w:lvl>
    <w:lvl w:ilvl="4">
      <w:start w:val="0"/>
      <w:numFmt w:val="bullet"/>
      <w:lvlText w:val="•"/>
      <w:lvlJc w:val="left"/>
      <w:pPr>
        <w:ind w:left="3542" w:hanging="562"/>
      </w:pPr>
      <w:rPr>
        <w:rFonts w:hint="default"/>
      </w:rPr>
    </w:lvl>
    <w:lvl w:ilvl="5">
      <w:start w:val="0"/>
      <w:numFmt w:val="bullet"/>
      <w:lvlText w:val="•"/>
      <w:lvlJc w:val="left"/>
      <w:pPr>
        <w:ind w:left="4489" w:hanging="562"/>
      </w:pPr>
      <w:rPr>
        <w:rFonts w:hint="default"/>
      </w:rPr>
    </w:lvl>
    <w:lvl w:ilvl="6">
      <w:start w:val="0"/>
      <w:numFmt w:val="bullet"/>
      <w:lvlText w:val="•"/>
      <w:lvlJc w:val="left"/>
      <w:pPr>
        <w:ind w:left="5436" w:hanging="562"/>
      </w:pPr>
      <w:rPr>
        <w:rFonts w:hint="default"/>
      </w:rPr>
    </w:lvl>
    <w:lvl w:ilvl="7">
      <w:start w:val="0"/>
      <w:numFmt w:val="bullet"/>
      <w:lvlText w:val="•"/>
      <w:lvlJc w:val="left"/>
      <w:pPr>
        <w:ind w:left="6384" w:hanging="562"/>
      </w:pPr>
      <w:rPr>
        <w:rFonts w:hint="default"/>
      </w:rPr>
    </w:lvl>
    <w:lvl w:ilvl="8">
      <w:start w:val="0"/>
      <w:numFmt w:val="bullet"/>
      <w:lvlText w:val="•"/>
      <w:lvlJc w:val="left"/>
      <w:pPr>
        <w:ind w:left="7331" w:hanging="562"/>
      </w:pPr>
      <w:rPr>
        <w:rFonts w:hint="default"/>
      </w:rPr>
    </w:lvl>
  </w:abstractNum>
  <w:abstractNum w:abstractNumId="3">
    <w:multiLevelType w:val="hybridMultilevel"/>
    <w:lvl w:ilvl="0">
      <w:start w:val="1"/>
      <w:numFmt w:val="decimal"/>
      <w:lvlText w:val="%1"/>
      <w:lvlJc w:val="left"/>
      <w:pPr>
        <w:ind w:left="131" w:hanging="305"/>
        <w:jc w:val="left"/>
      </w:pPr>
      <w:rPr>
        <w:rFonts w:hint="default" w:ascii="Times New Roman" w:hAnsi="Times New Roman" w:eastAsia="Times New Roman" w:cs="Times New Roman"/>
        <w:w w:val="100"/>
        <w:sz w:val="28"/>
        <w:szCs w:val="28"/>
      </w:rPr>
    </w:lvl>
    <w:lvl w:ilvl="1">
      <w:start w:val="0"/>
      <w:numFmt w:val="bullet"/>
      <w:lvlText w:val="•"/>
      <w:lvlJc w:val="left"/>
      <w:pPr>
        <w:ind w:left="1036" w:hanging="305"/>
      </w:pPr>
      <w:rPr>
        <w:rFonts w:hint="default"/>
      </w:rPr>
    </w:lvl>
    <w:lvl w:ilvl="2">
      <w:start w:val="0"/>
      <w:numFmt w:val="bullet"/>
      <w:lvlText w:val="•"/>
      <w:lvlJc w:val="left"/>
      <w:pPr>
        <w:ind w:left="1933" w:hanging="305"/>
      </w:pPr>
      <w:rPr>
        <w:rFonts w:hint="default"/>
      </w:rPr>
    </w:lvl>
    <w:lvl w:ilvl="3">
      <w:start w:val="0"/>
      <w:numFmt w:val="bullet"/>
      <w:lvlText w:val="•"/>
      <w:lvlJc w:val="left"/>
      <w:pPr>
        <w:ind w:left="2829" w:hanging="305"/>
      </w:pPr>
      <w:rPr>
        <w:rFonts w:hint="default"/>
      </w:rPr>
    </w:lvl>
    <w:lvl w:ilvl="4">
      <w:start w:val="0"/>
      <w:numFmt w:val="bullet"/>
      <w:lvlText w:val="•"/>
      <w:lvlJc w:val="left"/>
      <w:pPr>
        <w:ind w:left="3726" w:hanging="305"/>
      </w:pPr>
      <w:rPr>
        <w:rFonts w:hint="default"/>
      </w:rPr>
    </w:lvl>
    <w:lvl w:ilvl="5">
      <w:start w:val="0"/>
      <w:numFmt w:val="bullet"/>
      <w:lvlText w:val="•"/>
      <w:lvlJc w:val="left"/>
      <w:pPr>
        <w:ind w:left="4623" w:hanging="305"/>
      </w:pPr>
      <w:rPr>
        <w:rFonts w:hint="default"/>
      </w:rPr>
    </w:lvl>
    <w:lvl w:ilvl="6">
      <w:start w:val="0"/>
      <w:numFmt w:val="bullet"/>
      <w:lvlText w:val="•"/>
      <w:lvlJc w:val="left"/>
      <w:pPr>
        <w:ind w:left="5519" w:hanging="305"/>
      </w:pPr>
      <w:rPr>
        <w:rFonts w:hint="default"/>
      </w:rPr>
    </w:lvl>
    <w:lvl w:ilvl="7">
      <w:start w:val="0"/>
      <w:numFmt w:val="bullet"/>
      <w:lvlText w:val="•"/>
      <w:lvlJc w:val="left"/>
      <w:pPr>
        <w:ind w:left="6416" w:hanging="305"/>
      </w:pPr>
      <w:rPr>
        <w:rFonts w:hint="default"/>
      </w:rPr>
    </w:lvl>
    <w:lvl w:ilvl="8">
      <w:start w:val="0"/>
      <w:numFmt w:val="bullet"/>
      <w:lvlText w:val="•"/>
      <w:lvlJc w:val="left"/>
      <w:pPr>
        <w:ind w:left="7313" w:hanging="305"/>
      </w:pPr>
      <w:rPr>
        <w:rFonts w:hint="default"/>
      </w:rPr>
    </w:lvl>
  </w:abstractNum>
  <w:abstractNum w:abstractNumId="2">
    <w:multiLevelType w:val="hybridMultilevel"/>
    <w:lvl w:ilvl="0">
      <w:start w:val="1"/>
      <w:numFmt w:val="decimal"/>
      <w:lvlText w:val="(%1)"/>
      <w:lvlJc w:val="left"/>
      <w:pPr>
        <w:ind w:left="131" w:hanging="458"/>
        <w:jc w:val="right"/>
      </w:pPr>
      <w:rPr>
        <w:rFonts w:hint="default"/>
        <w:w w:val="100"/>
      </w:rPr>
    </w:lvl>
    <w:lvl w:ilvl="1">
      <w:start w:val="0"/>
      <w:numFmt w:val="bullet"/>
      <w:lvlText w:val="•"/>
      <w:lvlJc w:val="left"/>
      <w:pPr>
        <w:ind w:left="1036" w:hanging="458"/>
      </w:pPr>
      <w:rPr>
        <w:rFonts w:hint="default"/>
      </w:rPr>
    </w:lvl>
    <w:lvl w:ilvl="2">
      <w:start w:val="0"/>
      <w:numFmt w:val="bullet"/>
      <w:lvlText w:val="•"/>
      <w:lvlJc w:val="left"/>
      <w:pPr>
        <w:ind w:left="1933" w:hanging="458"/>
      </w:pPr>
      <w:rPr>
        <w:rFonts w:hint="default"/>
      </w:rPr>
    </w:lvl>
    <w:lvl w:ilvl="3">
      <w:start w:val="0"/>
      <w:numFmt w:val="bullet"/>
      <w:lvlText w:val="•"/>
      <w:lvlJc w:val="left"/>
      <w:pPr>
        <w:ind w:left="2829" w:hanging="458"/>
      </w:pPr>
      <w:rPr>
        <w:rFonts w:hint="default"/>
      </w:rPr>
    </w:lvl>
    <w:lvl w:ilvl="4">
      <w:start w:val="0"/>
      <w:numFmt w:val="bullet"/>
      <w:lvlText w:val="•"/>
      <w:lvlJc w:val="left"/>
      <w:pPr>
        <w:ind w:left="3726" w:hanging="458"/>
      </w:pPr>
      <w:rPr>
        <w:rFonts w:hint="default"/>
      </w:rPr>
    </w:lvl>
    <w:lvl w:ilvl="5">
      <w:start w:val="0"/>
      <w:numFmt w:val="bullet"/>
      <w:lvlText w:val="•"/>
      <w:lvlJc w:val="left"/>
      <w:pPr>
        <w:ind w:left="4623" w:hanging="458"/>
      </w:pPr>
      <w:rPr>
        <w:rFonts w:hint="default"/>
      </w:rPr>
    </w:lvl>
    <w:lvl w:ilvl="6">
      <w:start w:val="0"/>
      <w:numFmt w:val="bullet"/>
      <w:lvlText w:val="•"/>
      <w:lvlJc w:val="left"/>
      <w:pPr>
        <w:ind w:left="5519" w:hanging="458"/>
      </w:pPr>
      <w:rPr>
        <w:rFonts w:hint="default"/>
      </w:rPr>
    </w:lvl>
    <w:lvl w:ilvl="7">
      <w:start w:val="0"/>
      <w:numFmt w:val="bullet"/>
      <w:lvlText w:val="•"/>
      <w:lvlJc w:val="left"/>
      <w:pPr>
        <w:ind w:left="6416" w:hanging="458"/>
      </w:pPr>
      <w:rPr>
        <w:rFonts w:hint="default"/>
      </w:rPr>
    </w:lvl>
    <w:lvl w:ilvl="8">
      <w:start w:val="0"/>
      <w:numFmt w:val="bullet"/>
      <w:lvlText w:val="•"/>
      <w:lvlJc w:val="left"/>
      <w:pPr>
        <w:ind w:left="7313" w:hanging="458"/>
      </w:pPr>
      <w:rPr>
        <w:rFonts w:hint="default"/>
      </w:rPr>
    </w:lvl>
  </w:abstractNum>
  <w:abstractNum w:abstractNumId="1">
    <w:multiLevelType w:val="hybridMultilevel"/>
    <w:lvl w:ilvl="0">
      <w:start w:val="86"/>
      <w:numFmt w:val="decimal"/>
      <w:lvlText w:val="%1"/>
      <w:lvlJc w:val="left"/>
      <w:pPr>
        <w:ind w:left="131" w:hanging="633"/>
        <w:jc w:val="left"/>
      </w:pPr>
      <w:rPr>
        <w:rFonts w:hint="default"/>
      </w:rPr>
    </w:lvl>
    <w:lvl w:ilvl="1">
      <w:start w:val="27"/>
      <w:numFmt w:val="decimal"/>
      <w:lvlText w:val="%1.%2"/>
      <w:lvlJc w:val="left"/>
      <w:pPr>
        <w:ind w:left="131" w:hanging="633"/>
        <w:jc w:val="left"/>
      </w:pPr>
      <w:rPr>
        <w:rFonts w:hint="default" w:ascii="Times New Roman" w:hAnsi="Times New Roman" w:eastAsia="Times New Roman" w:cs="Times New Roman"/>
        <w:spacing w:val="-4"/>
        <w:w w:val="100"/>
        <w:sz w:val="26"/>
        <w:szCs w:val="26"/>
      </w:rPr>
    </w:lvl>
    <w:lvl w:ilvl="2">
      <w:start w:val="1"/>
      <w:numFmt w:val="decimal"/>
      <w:lvlText w:val="%3"/>
      <w:lvlJc w:val="left"/>
      <w:pPr>
        <w:ind w:left="131" w:hanging="212"/>
        <w:jc w:val="left"/>
      </w:pPr>
      <w:rPr>
        <w:rFonts w:hint="default" w:ascii="Times New Roman" w:hAnsi="Times New Roman" w:eastAsia="Times New Roman" w:cs="Times New Roman"/>
        <w:w w:val="100"/>
        <w:sz w:val="28"/>
        <w:szCs w:val="28"/>
      </w:rPr>
    </w:lvl>
    <w:lvl w:ilvl="3">
      <w:start w:val="0"/>
      <w:numFmt w:val="bullet"/>
      <w:lvlText w:val="•"/>
      <w:lvlJc w:val="left"/>
      <w:pPr>
        <w:ind w:left="2829" w:hanging="212"/>
      </w:pPr>
      <w:rPr>
        <w:rFonts w:hint="default"/>
      </w:rPr>
    </w:lvl>
    <w:lvl w:ilvl="4">
      <w:start w:val="0"/>
      <w:numFmt w:val="bullet"/>
      <w:lvlText w:val="•"/>
      <w:lvlJc w:val="left"/>
      <w:pPr>
        <w:ind w:left="3726" w:hanging="212"/>
      </w:pPr>
      <w:rPr>
        <w:rFonts w:hint="default"/>
      </w:rPr>
    </w:lvl>
    <w:lvl w:ilvl="5">
      <w:start w:val="0"/>
      <w:numFmt w:val="bullet"/>
      <w:lvlText w:val="•"/>
      <w:lvlJc w:val="left"/>
      <w:pPr>
        <w:ind w:left="4623" w:hanging="212"/>
      </w:pPr>
      <w:rPr>
        <w:rFonts w:hint="default"/>
      </w:rPr>
    </w:lvl>
    <w:lvl w:ilvl="6">
      <w:start w:val="0"/>
      <w:numFmt w:val="bullet"/>
      <w:lvlText w:val="•"/>
      <w:lvlJc w:val="left"/>
      <w:pPr>
        <w:ind w:left="5519" w:hanging="212"/>
      </w:pPr>
      <w:rPr>
        <w:rFonts w:hint="default"/>
      </w:rPr>
    </w:lvl>
    <w:lvl w:ilvl="7">
      <w:start w:val="0"/>
      <w:numFmt w:val="bullet"/>
      <w:lvlText w:val="•"/>
      <w:lvlJc w:val="left"/>
      <w:pPr>
        <w:ind w:left="6416" w:hanging="212"/>
      </w:pPr>
      <w:rPr>
        <w:rFonts w:hint="default"/>
      </w:rPr>
    </w:lvl>
    <w:lvl w:ilvl="8">
      <w:start w:val="0"/>
      <w:numFmt w:val="bullet"/>
      <w:lvlText w:val="•"/>
      <w:lvlJc w:val="left"/>
      <w:pPr>
        <w:ind w:left="7313" w:hanging="212"/>
      </w:pPr>
      <w:rPr>
        <w:rFonts w:hint="default"/>
      </w:rPr>
    </w:lvl>
  </w:abstractNum>
  <w:abstractNum w:abstractNumId="0">
    <w:multiLevelType w:val="hybridMultilevel"/>
    <w:lvl w:ilvl="0">
      <w:start w:val="33"/>
      <w:numFmt w:val="decimal"/>
      <w:lvlText w:val="%1"/>
      <w:lvlJc w:val="left"/>
      <w:pPr>
        <w:ind w:left="131" w:hanging="353"/>
        <w:jc w:val="left"/>
      </w:pPr>
      <w:rPr>
        <w:rFonts w:hint="default"/>
        <w:spacing w:val="0"/>
        <w:w w:val="100"/>
      </w:rPr>
    </w:lvl>
    <w:lvl w:ilvl="1">
      <w:start w:val="0"/>
      <w:numFmt w:val="bullet"/>
      <w:lvlText w:val="•"/>
      <w:lvlJc w:val="left"/>
      <w:pPr>
        <w:ind w:left="980" w:hanging="353"/>
      </w:pPr>
      <w:rPr>
        <w:rFonts w:hint="default"/>
      </w:rPr>
    </w:lvl>
    <w:lvl w:ilvl="2">
      <w:start w:val="0"/>
      <w:numFmt w:val="bullet"/>
      <w:lvlText w:val="•"/>
      <w:lvlJc w:val="left"/>
      <w:pPr>
        <w:ind w:left="1896" w:hanging="353"/>
      </w:pPr>
      <w:rPr>
        <w:rFonts w:hint="default"/>
      </w:rPr>
    </w:lvl>
    <w:lvl w:ilvl="3">
      <w:start w:val="0"/>
      <w:numFmt w:val="bullet"/>
      <w:lvlText w:val="•"/>
      <w:lvlJc w:val="left"/>
      <w:pPr>
        <w:ind w:left="2812" w:hanging="353"/>
      </w:pPr>
      <w:rPr>
        <w:rFonts w:hint="default"/>
      </w:rPr>
    </w:lvl>
    <w:lvl w:ilvl="4">
      <w:start w:val="0"/>
      <w:numFmt w:val="bullet"/>
      <w:lvlText w:val="•"/>
      <w:lvlJc w:val="left"/>
      <w:pPr>
        <w:ind w:left="3728" w:hanging="353"/>
      </w:pPr>
      <w:rPr>
        <w:rFonts w:hint="default"/>
      </w:rPr>
    </w:lvl>
    <w:lvl w:ilvl="5">
      <w:start w:val="0"/>
      <w:numFmt w:val="bullet"/>
      <w:lvlText w:val="•"/>
      <w:lvlJc w:val="left"/>
      <w:pPr>
        <w:ind w:left="4645" w:hanging="353"/>
      </w:pPr>
      <w:rPr>
        <w:rFonts w:hint="default"/>
      </w:rPr>
    </w:lvl>
    <w:lvl w:ilvl="6">
      <w:start w:val="0"/>
      <w:numFmt w:val="bullet"/>
      <w:lvlText w:val="•"/>
      <w:lvlJc w:val="left"/>
      <w:pPr>
        <w:ind w:left="5561" w:hanging="353"/>
      </w:pPr>
      <w:rPr>
        <w:rFonts w:hint="default"/>
      </w:rPr>
    </w:lvl>
    <w:lvl w:ilvl="7">
      <w:start w:val="0"/>
      <w:numFmt w:val="bullet"/>
      <w:lvlText w:val="•"/>
      <w:lvlJc w:val="left"/>
      <w:pPr>
        <w:ind w:left="6477" w:hanging="353"/>
      </w:pPr>
      <w:rPr>
        <w:rFonts w:hint="default"/>
      </w:rPr>
    </w:lvl>
    <w:lvl w:ilvl="8">
      <w:start w:val="0"/>
      <w:numFmt w:val="bullet"/>
      <w:lvlText w:val="•"/>
      <w:lvlJc w:val="left"/>
      <w:pPr>
        <w:ind w:left="7393" w:hanging="353"/>
      </w:pPr>
      <w:rPr>
        <w:rFonts w:hint="default"/>
      </w:rPr>
    </w:lvl>
  </w:abstractNum>
  <w:num w:numId="13">
    <w:abstractNumId w:val="12"/>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90" w:hanging="559"/>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jpe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image" Target="media/image25.jpeg"/><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header" Target="header7.xml"/><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eader" Target="header10.xml"/><Relationship Id="rId44" Type="http://schemas.openxmlformats.org/officeDocument/2006/relationships/footer" Target="footer7.xml"/><Relationship Id="rId45" Type="http://schemas.openxmlformats.org/officeDocument/2006/relationships/header" Target="header11.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header" Target="header12.xml"/><Relationship Id="rId51" Type="http://schemas.openxmlformats.org/officeDocument/2006/relationships/header" Target="header13.xml"/><Relationship Id="rId52" Type="http://schemas.openxmlformats.org/officeDocument/2006/relationships/footer" Target="footer12.xml"/><Relationship Id="rId53" Type="http://schemas.openxmlformats.org/officeDocument/2006/relationships/header" Target="header14.xml"/><Relationship Id="rId54" Type="http://schemas.openxmlformats.org/officeDocument/2006/relationships/header" Target="header15.xml"/><Relationship Id="rId55" Type="http://schemas.openxmlformats.org/officeDocument/2006/relationships/header" Target="header16.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zcy</dc:creator>
  <dc:title>中图分类号:                                                          编号:20090139</dc:title>
  <dcterms:created xsi:type="dcterms:W3CDTF">2017-03-16T07:22:07Z</dcterms:created>
  <dcterms:modified xsi:type="dcterms:W3CDTF">2017-03-16T07:22:07Z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2014-09-23T00:00:00Z</vt:filetime>
  </property>
  <property fmtid="{D5CDD505-2E9C-101B-9397-08002B2CF9AE}" pid="3" name="Creator">
    <vt:lpwstr>Microsoft® Word 2010</vt:lpwstr>
  </property>
  <property fmtid="{D5CDD505-2E9C-101B-9397-08002B2CF9AE}" pid="4" name="LastSaved">
    <vt:filetime>2017-03-15T00:00:00Z</vt:filetime>
  </property>
</Properties>
</file>