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000" w:val="left" w:leader="none"/>
          <w:tab w:pos="5375" w:val="left" w:leader="none"/>
          <w:tab w:pos="7485" w:val="left" w:leader="none"/>
        </w:tabs>
        <w:spacing w:before="18"/>
        <w:ind w:leftChars="0" w:left="101" w:rightChars="0" w:right="0" w:firstLineChars="0" w:firstLine="0"/>
        <w:jc w:val="left"/>
        <w:rPr>
          <w:b/>
          <w:sz w:val="21"/>
        </w:rPr>
      </w:pPr>
      <w:bookmarkStart w:name="封面 " w:id="1"/>
      <w:bookmarkEnd w:id="1"/>
      <w:r/>
      <w:r>
        <w:rPr>
          <w:b/>
          <w:sz w:val="21"/>
        </w:rPr>
        <w:t>分类号：</w:t>
      </w:r>
      <w:r>
        <w:rPr>
          <w:b/>
          <w:sz w:val="21"/>
          <w:u w:val="single"/>
        </w:rPr>
        <w:t>R575</w:t>
      </w:r>
      <w:r w:rsidRPr="00000000">
        <w:tab/>
      </w:r>
      <w:r>
        <w:rPr>
          <w:b/>
          <w:sz w:val="21"/>
        </w:rPr>
        <w:tab/>
        <w:t>学校代码：</w:t>
      </w:r>
      <w:r>
        <w:rPr>
          <w:b/>
          <w:spacing w:val="-2"/>
          <w:sz w:val="21"/>
          <w:u w:val="single"/>
        </w:rPr>
        <w:t> </w:t>
      </w:r>
      <w:r>
        <w:rPr>
          <w:b/>
          <w:sz w:val="21"/>
          <w:u w:val="single"/>
        </w:rPr>
        <w:t>10392</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2"/>
          <w:szCs w:val="24"/>
          <w:rFonts w:cstheme="minorBidi" w:ascii="宋体" w:hAnsi="宋体" w:eastAsia="宋体" w:cs="宋体"/>
          <w:b/>
        </w:rPr>
      </w:pPr>
    </w:p>
    <w:p w:rsidR="0018722C">
      <w:pPr>
        <w:tabs>
          <w:tab w:pos="5375" w:val="left" w:leader="none"/>
          <w:tab w:pos="6111" w:val="left" w:leader="none"/>
        </w:tabs>
        <w:spacing w:before="36"/>
        <w:ind w:leftChars="0" w:left="101" w:rightChars="0" w:right="0" w:firstLineChars="0" w:firstLine="0"/>
        <w:jc w:val="left"/>
        <w:rPr>
          <w:b/>
          <w:sz w:val="21"/>
        </w:rPr>
      </w:pPr>
      <w:r>
        <w:rPr>
          <w:b/>
          <w:sz w:val="21"/>
        </w:rPr>
        <w:t>学科专业代码：</w:t>
      </w:r>
      <w:r>
        <w:rPr>
          <w:b/>
          <w:sz w:val="21"/>
          <w:u w:val="single"/>
        </w:rPr>
        <w:t>100201</w:t>
      </w:r>
      <w:r>
        <w:rPr>
          <w:b/>
          <w:sz w:val="21"/>
        </w:rPr>
        <w:tab/>
        <w:t>学</w:t>
      </w:r>
      <w:r w:rsidRPr="00000000">
        <w:tab/>
      </w:r>
      <w:r>
        <w:rPr>
          <w:b/>
          <w:w w:val="95"/>
          <w:sz w:val="21"/>
        </w:rPr>
        <w:t>号</w:t>
      </w:r>
      <w:r>
        <w:rPr>
          <w:b/>
          <w:w w:val="95"/>
          <w:sz w:val="21"/>
          <w:u w:val="single"/>
        </w:rPr>
        <w:t>：1121003022</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1865629</wp:posOffset>
            </wp:positionH>
            <wp:positionV relativeFrom="paragraph">
              <wp:posOffset>174568</wp:posOffset>
            </wp:positionV>
            <wp:extent cx="3808498" cy="47101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08498" cy="471011"/>
                    </a:xfrm>
                    <a:prstGeom prst="rect">
                      <a:avLst/>
                    </a:prstGeom>
                  </pic:spPr>
                </pic:pic>
              </a:graphicData>
            </a:graphic>
          </wp:anchor>
        </w:drawing>
      </w:r>
    </w:p>
    <w:p w:rsidR="0018722C">
      <w:pPr>
        <w:spacing w:before="26"/>
        <w:ind w:leftChars="0" w:left="159" w:rightChars="0" w:right="118" w:firstLineChars="0" w:firstLine="0"/>
        <w:jc w:val="center"/>
        <w:rPr>
          <w:b/>
          <w:sz w:val="44"/>
        </w:rPr>
      </w:pPr>
      <w:r>
        <w:rPr>
          <w:b/>
          <w:w w:val="95"/>
          <w:sz w:val="44"/>
        </w:rPr>
        <w:t>博士学位论文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3199129</wp:posOffset>
            </wp:positionH>
            <wp:positionV relativeFrom="paragraph">
              <wp:posOffset>122975</wp:posOffset>
            </wp:positionV>
            <wp:extent cx="1160688" cy="112014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60688" cy="1120140"/>
                    </a:xfrm>
                    <a:prstGeom prst="rect">
                      <a:avLst/>
                    </a:prstGeom>
                  </pic:spPr>
                </pic:pic>
              </a:graphicData>
            </a:graphic>
          </wp:anchor>
        </w:drawing>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11"/>
          <w:szCs w:val="24"/>
          <w:rFonts w:cstheme="minorBidi" w:ascii="宋体" w:hAnsi="宋体" w:eastAsia="宋体" w:cs="宋体"/>
          <w:b/>
        </w:rPr>
      </w:pPr>
    </w:p>
    <w:p w:rsidR="0018722C">
      <w:pPr>
        <w:spacing w:line="316" w:lineRule="auto" w:before="0"/>
        <w:ind w:leftChars="0" w:left="159" w:rightChars="0" w:right="121" w:firstLineChars="0" w:firstLine="0"/>
        <w:jc w:val="center"/>
        <w:rPr>
          <w:b/>
          <w:sz w:val="36"/>
        </w:rPr>
      </w:pPr>
      <w:r>
        <w:rPr>
          <w:b/>
          <w:sz w:val="36"/>
        </w:rPr>
        <w:t>HBx</w:t>
      </w:r>
      <w:r>
        <w:rPr>
          <w:b/>
          <w:spacing w:val="-32"/>
          <w:sz w:val="36"/>
        </w:rPr>
        <w:t> 与 </w:t>
      </w:r>
      <w:r>
        <w:rPr>
          <w:b/>
          <w:sz w:val="36"/>
        </w:rPr>
        <w:t>COXIII</w:t>
      </w:r>
      <w:r>
        <w:rPr>
          <w:b/>
          <w:spacing w:val="-14"/>
          <w:sz w:val="36"/>
        </w:rPr>
        <w:t> 共定位上调 </w:t>
      </w:r>
      <w:r>
        <w:rPr>
          <w:b/>
          <w:sz w:val="36"/>
        </w:rPr>
        <w:t>HepG2</w:t>
      </w:r>
      <w:r>
        <w:rPr>
          <w:b/>
          <w:spacing w:val="-6"/>
          <w:sz w:val="36"/>
        </w:rPr>
        <w:t> 细胞线粒体功能促进</w:t>
      </w:r>
      <w:r>
        <w:rPr>
          <w:b/>
          <w:spacing w:val="-6"/>
          <w:w w:val="95"/>
          <w:sz w:val="36"/>
        </w:rPr>
        <w:t>细胞增殖</w:t>
      </w:r>
    </w:p>
    <w:p w:rsidR="0018722C">
      <w:pPr>
        <w:widowControl w:val="0"/>
        <w:snapToGrid w:val="1"/>
        <w:spacing w:beforeLines="0" w:afterLines="0" w:after="0" w:line="434" w:lineRule="auto" w:before="259"/>
        <w:ind w:firstLineChars="0" w:firstLine="0" w:leftChars="0" w:left="159" w:rightChars="0" w:right="113"/>
        <w:jc w:val="center"/>
        <w:autoSpaceDE w:val="0"/>
        <w:autoSpaceDN w:val="0"/>
        <w:pBdr>
          <w:bottom w:val="none" w:sz="0" w:space="0" w:color="auto"/>
        </w:pBdr>
        <w:rPr>
          <w:kern w:val="2"/>
          <w:sz w:val="30"/>
          <w:szCs w:val="30"/>
          <w:rFonts w:cstheme="minorBidi" w:ascii="Times New Roman" w:hAnsi="宋体" w:eastAsia="宋体" w:cs="宋体"/>
          <w:b/>
          <w:bCs/>
        </w:rPr>
      </w:pPr>
      <w:r>
        <w:rPr>
          <w:kern w:val="2"/>
          <w:sz w:val="30"/>
          <w:szCs w:val="30"/>
          <w:b/>
          <w:bCs/>
          <w:rFonts w:ascii="Times New Roman" w:cstheme="minorBidi" w:hAnsi="宋体" w:eastAsia="宋体" w:cs="宋体"/>
        </w:rPr>
        <w:t>HBx Co-localizes with COXIII in HepG2 Cells to up-regulate Mitochondrial Fuction and Promote Cell Proliferation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b/>
        </w:rPr>
      </w:pPr>
    </w:p>
    <w:tbl>
      <w:tblPr>
        <w:tblW w:w="0" w:type="auto"/>
        <w:jc w:val="left"/>
        <w:tblInd w:w="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3"/>
        <w:gridCol w:w="3526"/>
      </w:tblGrid>
      <w:tr>
        <w:trPr>
          <w:trHeight w:val="40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917" w:val="left" w:leader="none"/>
                <w:tab w:pos="1633" w:val="left" w:leader="none"/>
                <w:tab w:pos="2350"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学</w:t>
            </w:r>
            <w:r w:rsidRPr="00000000">
              <w:rPr>
                <w:kern w:val="2"/>
                <w:sz w:val="22"/>
                <w:szCs w:val="22"/>
                <w:rFonts w:cstheme="minorBidi" w:ascii="宋体" w:hAnsi="宋体" w:eastAsia="宋体" w:cs="宋体"/>
              </w:rPr>
              <w:tab/>
              <w:t>位</w:t>
            </w:r>
            <w:r w:rsidRPr="00000000">
              <w:rPr>
                <w:kern w:val="2"/>
                <w:sz w:val="22"/>
                <w:szCs w:val="22"/>
                <w:rFonts w:cstheme="minorBidi" w:ascii="宋体" w:hAnsi="宋体" w:eastAsia="宋体" w:cs="宋体"/>
              </w:rPr>
              <w:tab/>
              <w:t>类</w:t>
            </w:r>
            <w:r w:rsidRPr="00000000">
              <w:rPr>
                <w:kern w:val="2"/>
                <w:sz w:val="22"/>
                <w:szCs w:val="22"/>
                <w:rFonts w:cstheme="minorBidi" w:ascii="宋体" w:hAnsi="宋体" w:eastAsia="宋体" w:cs="宋体"/>
              </w:rPr>
              <w:tab/>
              <w:t>型</w:t>
            </w:r>
            <w:r>
              <w:rPr>
                <w:kern w:val="2"/>
                <w:szCs w:val="22"/>
                <w:rFonts w:cstheme="minorBidi" w:ascii="宋体" w:hAnsi="宋体" w:eastAsia="宋体" w:cs="宋体"/>
                <w:b/>
                <w:spacing w:val="28"/>
                <w:sz w:val="24"/>
              </w:rPr>
              <w:t> </w:t>
            </w:r>
            <w:r>
              <w:rPr>
                <w:kern w:val="2"/>
                <w:szCs w:val="22"/>
                <w:rFonts w:cstheme="minorBidi" w:ascii="宋体" w:hAnsi="宋体" w:eastAsia="宋体" w:cs="宋体"/>
                <w:b/>
                <w:sz w:val="24"/>
              </w:rPr>
              <w:t>：</w:t>
            </w:r>
          </w:p>
        </w:tc>
        <w:tc>
          <w:tcPr>
            <w:tcW w:w="35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医学博士</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917" w:val="left" w:leader="none"/>
                <w:tab w:pos="1633" w:val="left" w:leader="none"/>
                <w:tab w:pos="2350"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所</w:t>
            </w:r>
            <w:r w:rsidRPr="00000000">
              <w:rPr>
                <w:kern w:val="2"/>
                <w:sz w:val="22"/>
                <w:szCs w:val="22"/>
                <w:rFonts w:cstheme="minorBidi" w:ascii="宋体" w:hAnsi="宋体" w:eastAsia="宋体" w:cs="宋体"/>
              </w:rPr>
              <w:tab/>
              <w:t>在</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t>院</w:t>
            </w:r>
            <w:r>
              <w:rPr>
                <w:kern w:val="2"/>
                <w:szCs w:val="22"/>
                <w:rFonts w:cstheme="minorBidi" w:ascii="宋体" w:hAnsi="宋体" w:eastAsia="宋体" w:cs="宋体"/>
                <w:b/>
                <w:spacing w:val="28"/>
                <w:sz w:val="24"/>
              </w:rPr>
              <w:t> </w:t>
            </w:r>
            <w:r>
              <w:rPr>
                <w:kern w:val="2"/>
                <w:szCs w:val="22"/>
                <w:rFonts w:cstheme="minorBidi" w:ascii="宋体" w:hAnsi="宋体" w:eastAsia="宋体" w:cs="宋体"/>
                <w:b/>
                <w:sz w:val="24"/>
              </w:rPr>
              <w:t>：</w:t>
            </w:r>
          </w:p>
        </w:tc>
        <w:tc>
          <w:tcPr>
            <w:tcW w:w="35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协和临床医学院</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713" w:val="left" w:leader="none"/>
                <w:tab w:pos="1227" w:val="left" w:leader="none"/>
                <w:tab w:pos="1740" w:val="left" w:leader="none"/>
                <w:tab w:pos="2254" w:val="left" w:leader="none"/>
                <w:tab w:pos="2768"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人</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r w:rsidRPr="00000000">
              <w:rPr>
                <w:kern w:val="2"/>
                <w:sz w:val="22"/>
                <w:szCs w:val="22"/>
                <w:rFonts w:cstheme="minorBidi" w:ascii="宋体" w:hAnsi="宋体" w:eastAsia="宋体" w:cs="宋体"/>
              </w:rPr>
              <w:tab/>
              <w:t>：</w:t>
            </w:r>
          </w:p>
        </w:tc>
        <w:tc>
          <w:tcPr>
            <w:tcW w:w="35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郑碧云</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713" w:val="left" w:leader="none"/>
                <w:tab w:pos="1227" w:val="left" w:leader="none"/>
                <w:tab w:pos="1740" w:val="left" w:leader="none"/>
                <w:tab w:pos="2254" w:val="left" w:leader="none"/>
                <w:tab w:pos="2767"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学</w:t>
            </w:r>
            <w:r w:rsidRPr="00000000">
              <w:rPr>
                <w:kern w:val="2"/>
                <w:sz w:val="22"/>
                <w:szCs w:val="22"/>
                <w:rFonts w:cstheme="minorBidi" w:ascii="宋体" w:hAnsi="宋体" w:eastAsia="宋体" w:cs="宋体"/>
              </w:rPr>
              <w:tab/>
              <w:t>科</w:t>
            </w:r>
            <w:r w:rsidRPr="00000000">
              <w:rPr>
                <w:kern w:val="2"/>
                <w:sz w:val="22"/>
                <w:szCs w:val="22"/>
                <w:rFonts w:cstheme="minorBidi" w:ascii="宋体" w:hAnsi="宋体" w:eastAsia="宋体" w:cs="宋体"/>
              </w:rPr>
              <w:tab/>
              <w:t>、</w:t>
            </w:r>
            <w:r w:rsidRPr="00000000">
              <w:rPr>
                <w:kern w:val="2"/>
                <w:sz w:val="22"/>
                <w:szCs w:val="22"/>
                <w:rFonts w:cstheme="minorBidi" w:ascii="宋体" w:hAnsi="宋体" w:eastAsia="宋体" w:cs="宋体"/>
              </w:rPr>
              <w:tab/>
              <w:t>专</w:t>
            </w:r>
            <w:r w:rsidRPr="00000000">
              <w:rPr>
                <w:kern w:val="2"/>
                <w:sz w:val="22"/>
                <w:szCs w:val="22"/>
                <w:rFonts w:cstheme="minorBidi" w:ascii="宋体" w:hAnsi="宋体" w:eastAsia="宋体" w:cs="宋体"/>
              </w:rPr>
              <w:tab/>
              <w:t>业</w:t>
            </w:r>
            <w:r w:rsidRPr="00000000">
              <w:rPr>
                <w:kern w:val="2"/>
                <w:sz w:val="22"/>
                <w:szCs w:val="22"/>
                <w:rFonts w:cstheme="minorBidi" w:ascii="宋体" w:hAnsi="宋体" w:eastAsia="宋体" w:cs="宋体"/>
              </w:rPr>
              <w:tab/>
              <w:t>：</w:t>
            </w:r>
          </w:p>
        </w:tc>
        <w:tc>
          <w:tcPr>
            <w:tcW w:w="3526" w:type="dxa"/>
          </w:tcPr>
          <w:p w:rsidR="0018722C">
            <w:pPr>
              <w:widowControl w:val="0"/>
              <w:snapToGrid w:val="1"/>
              <w:spacing w:line="240" w:lineRule="atLeast"/>
              <w:ind w:leftChars="0" w:left="0" w:rightChars="0" w:right="0" w:firstLineChars="0" w:firstLine="0"/>
              <w:jc w:val="left"/>
              <w:autoSpaceDE w:val="0"/>
              <w:autoSpaceDN w:val="0"/>
              <w:tabs>
                <w:tab w:pos="718" w:val="left" w:leader="none"/>
                <w:tab w:pos="1190" w:val="left" w:leader="none"/>
                <w:tab w:pos="1664" w:val="left" w:leader="none"/>
                <w:tab w:pos="2138" w:val="left" w:leader="none"/>
                <w:tab w:pos="2612" w:val="left" w:leader="none"/>
                <w:tab w:pos="3085"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内</w:t>
            </w:r>
            <w:r w:rsidRPr="00000000">
              <w:rPr>
                <w:kern w:val="2"/>
                <w:sz w:val="22"/>
                <w:szCs w:val="22"/>
                <w:rFonts w:cstheme="minorBidi" w:ascii="宋体" w:hAnsi="宋体" w:eastAsia="宋体" w:cs="宋体"/>
              </w:rPr>
              <w:tab/>
              <w:t>科</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t>（</w:t>
            </w:r>
            <w:r w:rsidRPr="00000000">
              <w:rPr>
                <w:kern w:val="2"/>
                <w:sz w:val="22"/>
                <w:szCs w:val="22"/>
                <w:rFonts w:cstheme="minorBidi" w:ascii="宋体" w:hAnsi="宋体" w:eastAsia="宋体" w:cs="宋体"/>
              </w:rPr>
              <w:tab/>
              <w:t>消</w:t>
            </w:r>
            <w:r w:rsidRPr="00000000">
              <w:rPr>
                <w:kern w:val="2"/>
                <w:sz w:val="22"/>
                <w:szCs w:val="22"/>
                <w:rFonts w:cstheme="minorBidi" w:ascii="宋体" w:hAnsi="宋体" w:eastAsia="宋体" w:cs="宋体"/>
              </w:rPr>
              <w:tab/>
              <w:t>化</w:t>
            </w:r>
            <w:r w:rsidRPr="00000000">
              <w:rPr>
                <w:kern w:val="2"/>
                <w:sz w:val="22"/>
                <w:szCs w:val="22"/>
                <w:rFonts w:cstheme="minorBidi" w:ascii="宋体" w:hAnsi="宋体" w:eastAsia="宋体" w:cs="宋体"/>
              </w:rPr>
              <w:tab/>
              <w:t>）</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2515"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导</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6"/>
                <w:sz w:val="24"/>
              </w:rPr>
              <w:t>师：</w:t>
            </w:r>
          </w:p>
        </w:tc>
        <w:tc>
          <w:tcPr>
            <w:tcW w:w="3526" w:type="dxa"/>
          </w:tcPr>
          <w:p w:rsidR="0018722C">
            <w:pPr>
              <w:widowControl w:val="0"/>
              <w:snapToGrid w:val="1"/>
              <w:spacing w:line="240" w:lineRule="atLeast"/>
              <w:ind w:leftChars="0" w:left="0" w:rightChars="0" w:right="0" w:firstLineChars="0" w:firstLine="0"/>
              <w:jc w:val="left"/>
              <w:autoSpaceDE w:val="0"/>
              <w:autoSpaceDN w:val="0"/>
              <w:tabs>
                <w:tab w:pos="1328"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王小众</w:t>
            </w:r>
            <w:r w:rsidRPr="00000000">
              <w:rPr>
                <w:kern w:val="2"/>
                <w:sz w:val="22"/>
                <w:szCs w:val="22"/>
                <w:rFonts w:cstheme="minorBidi" w:ascii="宋体" w:hAnsi="宋体" w:eastAsia="宋体" w:cs="宋体"/>
              </w:rPr>
              <w:tab/>
              <w:t>教授</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研 究 起 止 日 期 ：</w:t>
            </w:r>
          </w:p>
        </w:tc>
        <w:tc>
          <w:tcPr>
            <w:tcW w:w="35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2013 年 3 月至 2014 年 9 月</w:t>
            </w:r>
          </w:p>
        </w:tc>
      </w:tr>
      <w:tr>
        <w:trPr>
          <w:trHeight w:val="56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答 辩 委 员 会 主 席 ：</w:t>
            </w:r>
          </w:p>
        </w:tc>
        <w:tc>
          <w:tcPr>
            <w:tcW w:w="3526" w:type="dxa"/>
          </w:tcPr>
          <w:p w:rsidR="0018722C">
            <w:pPr>
              <w:widowControl w:val="0"/>
              <w:snapToGrid w:val="1"/>
              <w:spacing w:line="240" w:lineRule="atLeast"/>
              <w:ind w:leftChars="0" w:left="0" w:rightChars="0" w:right="0" w:firstLineChars="0" w:firstLine="0"/>
              <w:jc w:val="left"/>
              <w:autoSpaceDE w:val="0"/>
              <w:autoSpaceDN w:val="0"/>
              <w:tabs>
                <w:tab w:pos="1322"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林建银</w:t>
            </w:r>
            <w:r w:rsidRPr="00000000">
              <w:rPr>
                <w:kern w:val="2"/>
                <w:sz w:val="22"/>
                <w:szCs w:val="22"/>
                <w:rFonts w:cstheme="minorBidi" w:ascii="宋体" w:hAnsi="宋体" w:eastAsia="宋体" w:cs="宋体"/>
              </w:rPr>
              <w:tab/>
              <w:t>教授</w:t>
            </w:r>
          </w:p>
        </w:tc>
      </w:tr>
      <w:tr>
        <w:trPr>
          <w:trHeight w:val="400" w:hRule="atLeast"/>
        </w:trPr>
        <w:tc>
          <w:tcPr>
            <w:tcW w:w="3263" w:type="dxa"/>
          </w:tcPr>
          <w:p w:rsidR="0018722C">
            <w:pPr>
              <w:widowControl w:val="0"/>
              <w:snapToGrid w:val="1"/>
              <w:spacing w:line="240" w:lineRule="atLeast"/>
              <w:ind w:leftChars="0" w:left="0" w:rightChars="0" w:right="0" w:firstLineChars="0" w:firstLine="0"/>
              <w:jc w:val="left"/>
              <w:autoSpaceDE w:val="0"/>
              <w:autoSpaceDN w:val="0"/>
              <w:tabs>
                <w:tab w:pos="917" w:val="left" w:leader="none"/>
                <w:tab w:pos="1633" w:val="left" w:leader="none"/>
                <w:tab w:pos="2350"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答</w:t>
            </w:r>
            <w:r w:rsidRPr="00000000">
              <w:rPr>
                <w:kern w:val="2"/>
                <w:sz w:val="22"/>
                <w:szCs w:val="22"/>
                <w:rFonts w:cstheme="minorBidi" w:ascii="宋体" w:hAnsi="宋体" w:eastAsia="宋体" w:cs="宋体"/>
              </w:rPr>
              <w:tab/>
              <w:t>辩</w:t>
            </w:r>
            <w:r w:rsidRPr="00000000">
              <w:rPr>
                <w:kern w:val="2"/>
                <w:sz w:val="22"/>
                <w:szCs w:val="22"/>
                <w:rFonts w:cstheme="minorBidi" w:ascii="宋体" w:hAnsi="宋体" w:eastAsia="宋体" w:cs="宋体"/>
              </w:rPr>
              <w:tab/>
              <w:t>日</w:t>
            </w:r>
            <w:r w:rsidRPr="00000000">
              <w:rPr>
                <w:kern w:val="2"/>
                <w:sz w:val="22"/>
                <w:szCs w:val="22"/>
                <w:rFonts w:cstheme="minorBidi" w:ascii="宋体" w:hAnsi="宋体" w:eastAsia="宋体" w:cs="宋体"/>
              </w:rPr>
              <w:tab/>
              <w:t>期</w:t>
            </w:r>
            <w:r>
              <w:rPr>
                <w:kern w:val="2"/>
                <w:szCs w:val="22"/>
                <w:rFonts w:cstheme="minorBidi" w:ascii="宋体" w:hAnsi="宋体" w:eastAsia="宋体" w:cs="宋体"/>
                <w:b/>
                <w:spacing w:val="28"/>
                <w:sz w:val="24"/>
              </w:rPr>
              <w:t> </w:t>
            </w:r>
            <w:r>
              <w:rPr>
                <w:kern w:val="2"/>
                <w:szCs w:val="22"/>
                <w:rFonts w:cstheme="minorBidi" w:ascii="宋体" w:hAnsi="宋体" w:eastAsia="宋体" w:cs="宋体"/>
                <w:b/>
                <w:sz w:val="24"/>
              </w:rPr>
              <w:t>：</w:t>
            </w:r>
          </w:p>
        </w:tc>
        <w:tc>
          <w:tcPr>
            <w:tcW w:w="35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2015 年 5 月 28 日</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157"/>
        <w:ind w:leftChars="0" w:left="2494" w:rightChars="0" w:right="0" w:firstLineChars="0" w:firstLine="0"/>
        <w:jc w:val="left"/>
        <w:rPr>
          <w:b/>
          <w:sz w:val="32"/>
        </w:rPr>
      </w:pPr>
      <w:r>
        <w:rPr>
          <w:b/>
          <w:w w:val="95"/>
          <w:sz w:val="32"/>
        </w:rPr>
        <w:t>二○一五年五月</w:t>
      </w:r>
    </w:p>
    <w:p w:rsidR="0018722C">
      <w:pPr>
        <w:spacing w:after="0"/>
        <w:jc w:val="left"/>
        <w:rPr>
          <w:sz w:val="32"/>
        </w:rPr>
        <w:sectPr w:rsidR="00556256">
          <w:pgSz w:w="11910" w:h="16840"/>
          <w:pgMar w:top="1500" w:bottom="280" w:left="1600" w:right="1640"/>
          <w:pgNumType w:start="1"/>
        </w:sect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r>
        <w:rPr>
          <w:kern w:val="2"/>
          <w:szCs w:val="24"/>
          <w:rFonts w:cstheme="minorBidi" w:ascii="宋体" w:hAnsi="宋体" w:eastAsia="宋体" w:cs="宋体"/>
          <w:sz w:val="20"/>
        </w:rPr>
        <w:drawing>
          <wp:inline distT="0" distB="0" distL="0" distR="0">
            <wp:extent cx="5392004" cy="82616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92004" cy="8261604"/>
                    </a:xfrm>
                    <a:prstGeom prst="rect">
                      <a:avLst/>
                    </a:prstGeom>
                  </pic:spPr>
                </pic:pic>
              </a:graphicData>
            </a:graphic>
          </wp:inline>
        </w:drawing>
      </w:r>
    </w:p>
    <w:p w:rsidR="0018722C">
      <w:pPr>
        <w:spacing w:after="0"/>
        <w:rPr>
          <w:sz w:val="20"/>
        </w:rPr>
        <w:sectPr w:rsidR="00556256">
          <w:pgSz w:w="11910" w:h="16840"/>
          <w:pgMar w:top="1500" w:bottom="280" w:left="1600" w:right="1600"/>
        </w:sectPr>
      </w:pPr>
    </w:p>
    <w:p w:rsidR="0018722C">
      <w:pPr>
        <w:tabs>
          <w:tab w:pos="1103" w:val="left" w:leader="none"/>
        </w:tabs>
        <w:spacing w:line="447" w:lineRule="exact" w:before="0"/>
        <w:ind w:leftChars="0" w:left="20" w:rightChars="0" w:right="0" w:firstLineChars="0" w:firstLine="0"/>
        <w:jc w:val="center"/>
        <w:rPr>
          <w:b/>
          <w:sz w:val="36"/>
        </w:rPr>
      </w:pPr>
      <w:bookmarkStart w:name="目录 " w:id="3"/>
      <w:bookmarkEnd w:id="3"/>
      <w:r/>
      <w:r>
        <w:rPr>
          <w:b/>
          <w:sz w:val="36"/>
        </w:rPr>
        <w:t>目</w:t>
      </w:r>
      <w:r w:rsidRPr="00000000">
        <w:tab/>
        <w:t>录</w:t>
      </w:r>
    </w:p>
    <w:p w:rsidR="0018722C">
      <w:pPr>
        <w:spacing w:after="0"/>
        <w:rPr>
          <w:rFonts w:ascii="Times New Roman" w:eastAsia="Times New Roman"/>
          <w:sz w:val="28"/>
        </w:rPr>
        <w:sectPr w:rsidR="00556256">
          <w:pgSz w:w="11910" w:h="16840"/>
          <w:pgMar w:top="1500" w:bottom="280" w:left="1600" w:right="1620"/>
        </w:sectPr>
      </w:pPr>
    </w:p>
    <w:p w:rsidR="0018722C">
      <w:pPr/>
      <w:bookmarkStart w:name="_TOC_250009" w:id="4"/>
      <w:bookmarkStart w:name="缩略词表 " w:id="5"/>
      <w:bookmarkEnd w:id="4"/>
      <w:r>
        <w:rPr>
          <w:kern w:val="2"/>
          <w:sz w:val="30"/>
          <w:szCs w:val="30"/>
          <w:rFonts w:cstheme="minorBidi" w:hAnsiTheme="minorHAnsi" w:eastAsiaTheme="minorHAnsi" w:asciiTheme="minorHAnsi" w:ascii="宋体" w:hAnsi="宋体" w:eastAsia="宋体" w:cs="宋体"/>
          <w:b/>
          <w:bCs/>
          <w:w w:val="95"/>
        </w:rPr>
        <w:t>缩略词表</w:t>
      </w:r>
    </w:p>
    <w:p w:rsidR="0018722C">
      <w:pPr>
        <w:pStyle w:val="aa"/>
      </w:pPr>
      <w:bookmarkStart w:id="707256" w:name="_Toc686707256"/>
      <w:r>
        <w:rPr>
          <w:b/>
        </w:rPr>
        <w:t>Abbreviations</w:t>
      </w:r>
      <w:bookmarkEnd w:id="707256"/>
    </w:p>
    <w:p w:rsidR="0018722C">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4291"/>
        <w:gridCol w:w="3245"/>
      </w:tblGrid>
      <w:tr>
        <w:trPr>
          <w:trHeight w:val="440" w:hRule="atLeast"/>
        </w:trPr>
        <w:tc>
          <w:tcPr>
            <w:tcW w:w="1445" w:type="dxa"/>
          </w:tcPr>
          <w:p w:rsidR="0018722C">
            <w:pPr>
              <w:ind w:leftChars="0" w:left="0" w:rightChars="0" w:right="0" w:firstLineChars="0" w:firstLine="0"/>
              <w:spacing w:line="240" w:lineRule="atLeast"/>
            </w:pPr>
            <w:r>
              <w:rPr>
                <w:b/>
              </w:rPr>
              <w:t>英文缩写</w:t>
            </w:r>
          </w:p>
        </w:tc>
        <w:tc>
          <w:tcPr>
            <w:tcW w:w="4291" w:type="dxa"/>
          </w:tcPr>
          <w:p w:rsidR="0018722C">
            <w:pPr>
              <w:ind w:leftChars="0" w:left="0" w:rightChars="0" w:right="0" w:firstLineChars="0" w:firstLine="0"/>
              <w:spacing w:line="240" w:lineRule="atLeast"/>
            </w:pPr>
            <w:r>
              <w:rPr>
                <w:b/>
              </w:rPr>
              <w:t>英文全称</w:t>
            </w:r>
          </w:p>
        </w:tc>
        <w:tc>
          <w:tcPr>
            <w:tcW w:w="3245" w:type="dxa"/>
          </w:tcPr>
          <w:p w:rsidR="0018722C">
            <w:pPr>
              <w:ind w:leftChars="0" w:left="0" w:rightChars="0" w:right="0" w:firstLineChars="0" w:firstLine="0"/>
              <w:spacing w:line="240" w:lineRule="atLeast"/>
            </w:pPr>
            <w:r>
              <w:rPr>
                <w:b/>
              </w:rPr>
              <w:t>中文全称</w:t>
            </w:r>
          </w:p>
        </w:tc>
      </w:tr>
      <w:tr>
        <w:trPr>
          <w:trHeight w:val="520" w:hRule="atLeast"/>
        </w:trPr>
        <w:tc>
          <w:tcPr>
            <w:tcW w:w="1445" w:type="dxa"/>
          </w:tcPr>
          <w:p w:rsidR="0018722C">
            <w:pPr>
              <w:ind w:leftChars="0" w:left="0" w:rightChars="0" w:right="0" w:firstLineChars="0" w:firstLine="0"/>
              <w:spacing w:line="240" w:lineRule="atLeast"/>
            </w:pPr>
            <w:r>
              <w:rPr>
                <w:rFonts w:ascii="Times New Roman"/>
              </w:rPr>
              <w:t>CCK-8</w:t>
            </w:r>
          </w:p>
        </w:tc>
        <w:tc>
          <w:tcPr>
            <w:tcW w:w="4291" w:type="dxa"/>
          </w:tcPr>
          <w:p w:rsidR="0018722C">
            <w:pPr>
              <w:ind w:leftChars="0" w:left="0" w:rightChars="0" w:right="0" w:firstLineChars="0" w:firstLine="0"/>
              <w:spacing w:line="240" w:lineRule="atLeast"/>
            </w:pPr>
            <w:r>
              <w:rPr>
                <w:rFonts w:ascii="Times New Roman"/>
              </w:rPr>
              <w:t>Cell Counting Kit-8</w:t>
            </w:r>
          </w:p>
        </w:tc>
        <w:tc>
          <w:tcPr>
            <w:tcW w:w="3245" w:type="dxa"/>
          </w:tcPr>
          <w:p w:rsidR="0018722C">
            <w:pPr>
              <w:ind w:leftChars="0" w:left="0" w:rightChars="0" w:right="0" w:firstLineChars="0" w:firstLine="0"/>
              <w:spacing w:line="240" w:lineRule="atLeast"/>
            </w:pPr>
            <w:r>
              <w:t>细胞计数试剂盒</w:t>
            </w:r>
            <w:r>
              <w:rPr>
                <w:rFonts w:ascii="Times New Roman" w:eastAsia="Times New Roman"/>
              </w:rPr>
              <w:t>-8</w:t>
            </w:r>
          </w:p>
        </w:tc>
      </w:tr>
      <w:tr>
        <w:trPr>
          <w:trHeight w:val="460" w:hRule="atLeast"/>
        </w:trPr>
        <w:tc>
          <w:tcPr>
            <w:tcW w:w="1445" w:type="dxa"/>
          </w:tcPr>
          <w:p w:rsidR="0018722C">
            <w:pPr>
              <w:ind w:leftChars="0" w:left="0" w:rightChars="0" w:right="0" w:firstLineChars="0" w:firstLine="0"/>
              <w:spacing w:line="240" w:lineRule="atLeast"/>
            </w:pPr>
            <w:r>
              <w:rPr>
                <w:rFonts w:ascii="Times New Roman"/>
              </w:rPr>
              <w:t>cDNA</w:t>
            </w:r>
          </w:p>
        </w:tc>
        <w:tc>
          <w:tcPr>
            <w:tcW w:w="4291" w:type="dxa"/>
          </w:tcPr>
          <w:p w:rsidR="0018722C">
            <w:pPr>
              <w:ind w:leftChars="0" w:left="0" w:rightChars="0" w:right="0" w:firstLineChars="0" w:firstLine="0"/>
              <w:spacing w:line="240" w:lineRule="atLeast"/>
            </w:pPr>
            <w:r>
              <w:rPr>
                <w:rFonts w:ascii="Times New Roman"/>
              </w:rPr>
              <w:t>Complementary Deoxyribonucleic Acid</w:t>
            </w:r>
          </w:p>
        </w:tc>
        <w:tc>
          <w:tcPr>
            <w:tcW w:w="3245" w:type="dxa"/>
          </w:tcPr>
          <w:p w:rsidR="0018722C">
            <w:pPr>
              <w:ind w:leftChars="0" w:left="0" w:rightChars="0" w:right="0" w:firstLineChars="0" w:firstLine="0"/>
              <w:spacing w:line="240" w:lineRule="atLeast"/>
            </w:pPr>
            <w:r>
              <w:t>互补 </w:t>
            </w:r>
            <w:r>
              <w:rPr>
                <w:rFonts w:ascii="Times New Roman" w:eastAsia="Times New Roman"/>
              </w:rPr>
              <w:t>DNA</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COX-2</w:t>
            </w:r>
          </w:p>
        </w:tc>
        <w:tc>
          <w:tcPr>
            <w:tcW w:w="4291" w:type="dxa"/>
          </w:tcPr>
          <w:p w:rsidR="0018722C">
            <w:pPr>
              <w:topLinePunct/>
              <w:ind w:leftChars="0" w:left="0" w:rightChars="0" w:right="0" w:firstLineChars="0" w:firstLine="0"/>
              <w:spacing w:line="240" w:lineRule="atLeast"/>
            </w:pPr>
            <w:r>
              <w:rPr>
                <w:rFonts w:ascii="Times New Roman"/>
              </w:rPr>
              <w:t>Cyclooxygenase-2</w:t>
            </w:r>
          </w:p>
        </w:tc>
        <w:tc>
          <w:tcPr>
            <w:tcW w:w="3245" w:type="dxa"/>
          </w:tcPr>
          <w:p w:rsidR="0018722C">
            <w:pPr>
              <w:topLinePunct/>
              <w:ind w:leftChars="0" w:left="0" w:rightChars="0" w:right="0" w:firstLineChars="0" w:firstLine="0"/>
              <w:spacing w:line="240" w:lineRule="atLeast"/>
            </w:pPr>
            <w:r>
              <w:t>环氧化酶</w:t>
            </w:r>
            <w:r>
              <w:rPr>
                <w:rFonts w:ascii="Times New Roman" w:eastAsia="Times New Roman"/>
              </w:rPr>
              <w:t>-2</w:t>
            </w:r>
          </w:p>
        </w:tc>
      </w:tr>
      <w:tr>
        <w:trPr>
          <w:trHeight w:val="480" w:hRule="atLeast"/>
        </w:trPr>
        <w:tc>
          <w:tcPr>
            <w:tcW w:w="1445" w:type="dxa"/>
          </w:tcPr>
          <w:p w:rsidR="0018722C">
            <w:pPr>
              <w:topLinePunct/>
              <w:ind w:leftChars="0" w:left="0" w:rightChars="0" w:right="0" w:firstLineChars="0" w:firstLine="0"/>
              <w:spacing w:line="240" w:lineRule="atLeast"/>
            </w:pPr>
            <w:r>
              <w:rPr>
                <w:rFonts w:ascii="Times New Roman"/>
              </w:rPr>
              <w:t>COXIII</w:t>
            </w:r>
          </w:p>
        </w:tc>
        <w:tc>
          <w:tcPr>
            <w:tcW w:w="4291"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ytochrome c oxidase subunit III</w:t>
            </w:r>
          </w:p>
        </w:tc>
        <w:tc>
          <w:tcPr>
            <w:tcW w:w="3245" w:type="dxa"/>
          </w:tcPr>
          <w:p w:rsidR="0018722C">
            <w:pPr>
              <w:topLinePunct/>
              <w:ind w:leftChars="0" w:left="0" w:rightChars="0" w:right="0" w:firstLineChars="0" w:firstLine="0"/>
              <w:spacing w:line="240" w:lineRule="atLeast"/>
            </w:pPr>
            <w:r>
              <w:t>细胞色素 </w:t>
            </w:r>
            <w:r>
              <w:rPr>
                <w:rFonts w:ascii="Times New Roman" w:eastAsia="Times New Roman"/>
              </w:rPr>
              <w:t>C </w:t>
            </w:r>
            <w:r>
              <w:t>氧化酶亚单位 </w:t>
            </w:r>
            <w:r>
              <w:rPr>
                <w:rFonts w:ascii="Times New Roman" w:eastAsia="Times New Roman"/>
              </w:rPr>
              <w:t>III</w:t>
            </w:r>
          </w:p>
        </w:tc>
      </w:tr>
      <w:tr>
        <w:trPr>
          <w:trHeight w:val="420" w:hRule="atLeast"/>
        </w:trPr>
        <w:tc>
          <w:tcPr>
            <w:tcW w:w="1445" w:type="dxa"/>
          </w:tcPr>
          <w:p w:rsidR="0018722C">
            <w:pPr>
              <w:topLinePunct/>
              <w:ind w:leftChars="0" w:left="0" w:rightChars="0" w:right="0" w:firstLineChars="0" w:firstLine="0"/>
              <w:spacing w:line="240" w:lineRule="atLeast"/>
            </w:pPr>
            <w:r>
              <w:rPr>
                <w:rFonts w:ascii="Times New Roman"/>
              </w:rPr>
              <w:t>DMSO</w:t>
            </w:r>
          </w:p>
        </w:tc>
        <w:tc>
          <w:tcPr>
            <w:tcW w:w="4291" w:type="dxa"/>
          </w:tcPr>
          <w:p w:rsidR="0018722C">
            <w:pPr>
              <w:topLinePunct/>
              <w:ind w:leftChars="0" w:left="0" w:rightChars="0" w:right="0" w:firstLineChars="0" w:firstLine="0"/>
              <w:spacing w:line="240" w:lineRule="atLeast"/>
            </w:pPr>
            <w:r>
              <w:rPr>
                <w:rFonts w:ascii="Times New Roman"/>
              </w:rPr>
              <w:t>Dimethyl sulfoxide</w:t>
            </w:r>
          </w:p>
        </w:tc>
        <w:tc>
          <w:tcPr>
            <w:tcW w:w="3245" w:type="dxa"/>
          </w:tcPr>
          <w:p w:rsidR="0018722C">
            <w:pPr>
              <w:topLinePunct/>
              <w:ind w:leftChars="0" w:left="0" w:rightChars="0" w:right="0" w:firstLineChars="0" w:firstLine="0"/>
              <w:spacing w:line="240" w:lineRule="atLeast"/>
            </w:pPr>
            <w:r>
              <w:t>二甲基亚砜</w:t>
            </w:r>
          </w:p>
        </w:tc>
      </w:tr>
      <w:tr>
        <w:trPr>
          <w:trHeight w:val="440" w:hRule="atLeast"/>
        </w:trPr>
        <w:tc>
          <w:tcPr>
            <w:tcW w:w="1445" w:type="dxa"/>
          </w:tcPr>
          <w:p w:rsidR="0018722C">
            <w:pPr>
              <w:topLinePunct/>
              <w:ind w:leftChars="0" w:left="0" w:rightChars="0" w:right="0" w:firstLineChars="0" w:firstLine="0"/>
              <w:spacing w:line="240" w:lineRule="atLeast"/>
            </w:pPr>
            <w:r>
              <w:rPr>
                <w:rFonts w:ascii="Times New Roman"/>
              </w:rPr>
              <w:t>DNA</w:t>
            </w:r>
          </w:p>
        </w:tc>
        <w:tc>
          <w:tcPr>
            <w:tcW w:w="4291" w:type="dxa"/>
          </w:tcPr>
          <w:p w:rsidR="0018722C">
            <w:pPr>
              <w:topLinePunct/>
              <w:ind w:leftChars="0" w:left="0" w:rightChars="0" w:right="0" w:firstLineChars="0" w:firstLine="0"/>
              <w:spacing w:line="240" w:lineRule="atLeast"/>
            </w:pPr>
            <w:r>
              <w:rPr>
                <w:rFonts w:ascii="Times New Roman"/>
              </w:rPr>
              <w:t>Deoxyribonucleic acid</w:t>
            </w:r>
          </w:p>
        </w:tc>
        <w:tc>
          <w:tcPr>
            <w:tcW w:w="3245" w:type="dxa"/>
          </w:tcPr>
          <w:p w:rsidR="0018722C">
            <w:pPr>
              <w:topLinePunct/>
              <w:ind w:leftChars="0" w:left="0" w:rightChars="0" w:right="0" w:firstLineChars="0" w:firstLine="0"/>
              <w:spacing w:line="240" w:lineRule="atLeast"/>
            </w:pPr>
            <w:r>
              <w:t>脱氧核糖核酸</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EDTA</w:t>
            </w:r>
          </w:p>
        </w:tc>
        <w:tc>
          <w:tcPr>
            <w:tcW w:w="4291" w:type="dxa"/>
          </w:tcPr>
          <w:p w:rsidR="0018722C">
            <w:pPr>
              <w:topLinePunct/>
              <w:ind w:leftChars="0" w:left="0" w:rightChars="0" w:right="0" w:firstLineChars="0" w:firstLine="0"/>
              <w:spacing w:line="240" w:lineRule="atLeast"/>
            </w:pPr>
            <w:r>
              <w:rPr>
                <w:rFonts w:ascii="Times New Roman"/>
              </w:rPr>
              <w:t>Ethylendiaminotetraacetic acid</w:t>
            </w:r>
          </w:p>
        </w:tc>
        <w:tc>
          <w:tcPr>
            <w:tcW w:w="3245" w:type="dxa"/>
          </w:tcPr>
          <w:p w:rsidR="0018722C">
            <w:pPr>
              <w:topLinePunct/>
              <w:ind w:leftChars="0" w:left="0" w:rightChars="0" w:right="0" w:firstLineChars="0" w:firstLine="0"/>
              <w:spacing w:line="240" w:lineRule="atLeast"/>
            </w:pPr>
            <w:r>
              <w:t>乙二胺四乙酸</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ECL</w:t>
            </w:r>
          </w:p>
        </w:tc>
        <w:tc>
          <w:tcPr>
            <w:tcW w:w="4291" w:type="dxa"/>
          </w:tcPr>
          <w:p w:rsidR="0018722C">
            <w:pPr>
              <w:topLinePunct/>
              <w:ind w:leftChars="0" w:left="0" w:rightChars="0" w:right="0" w:firstLineChars="0" w:firstLine="0"/>
              <w:spacing w:line="240" w:lineRule="atLeast"/>
            </w:pPr>
            <w:r>
              <w:rPr>
                <w:rFonts w:ascii="Times New Roman"/>
              </w:rPr>
              <w:t>Enhanced chemiluminescence</w:t>
            </w:r>
          </w:p>
        </w:tc>
        <w:tc>
          <w:tcPr>
            <w:tcW w:w="3245" w:type="dxa"/>
          </w:tcPr>
          <w:p w:rsidR="0018722C">
            <w:pPr>
              <w:topLinePunct/>
              <w:ind w:leftChars="0" w:left="0" w:rightChars="0" w:right="0" w:firstLineChars="0" w:firstLine="0"/>
              <w:spacing w:line="240" w:lineRule="atLeast"/>
            </w:pPr>
            <w:r>
              <w:t>增强化学发光</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HBx</w:t>
            </w:r>
          </w:p>
        </w:tc>
        <w:tc>
          <w:tcPr>
            <w:tcW w:w="4291" w:type="dxa"/>
          </w:tcPr>
          <w:p w:rsidR="0018722C">
            <w:pPr>
              <w:topLinePunct/>
              <w:ind w:leftChars="0" w:left="0" w:rightChars="0" w:right="0" w:firstLineChars="0" w:firstLine="0"/>
              <w:spacing w:line="240" w:lineRule="atLeast"/>
            </w:pPr>
            <w:r>
              <w:rPr>
                <w:rFonts w:ascii="Times New Roman"/>
              </w:rPr>
              <w:t>Hepatitis B virus x protein</w:t>
            </w:r>
          </w:p>
        </w:tc>
        <w:tc>
          <w:tcPr>
            <w:tcW w:w="3245" w:type="dxa"/>
          </w:tcPr>
          <w:p w:rsidR="0018722C">
            <w:pPr>
              <w:topLinePunct/>
              <w:ind w:leftChars="0" w:left="0" w:rightChars="0" w:right="0" w:firstLineChars="0" w:firstLine="0"/>
              <w:spacing w:line="240" w:lineRule="atLeast"/>
            </w:pPr>
            <w:r>
              <w:t>乙肝病毒 </w:t>
            </w:r>
            <w:r>
              <w:rPr>
                <w:rFonts w:ascii="Times New Roman" w:eastAsia="Times New Roman"/>
              </w:rPr>
              <w:t>X </w:t>
            </w:r>
            <w:r>
              <w:t>蛋白</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HBV</w:t>
            </w:r>
          </w:p>
        </w:tc>
        <w:tc>
          <w:tcPr>
            <w:tcW w:w="4291" w:type="dxa"/>
          </w:tcPr>
          <w:p w:rsidR="0018722C">
            <w:pPr>
              <w:topLinePunct/>
              <w:ind w:leftChars="0" w:left="0" w:rightChars="0" w:right="0" w:firstLineChars="0" w:firstLine="0"/>
              <w:spacing w:line="240" w:lineRule="atLeast"/>
            </w:pPr>
            <w:r>
              <w:rPr>
                <w:rFonts w:ascii="Times New Roman"/>
              </w:rPr>
              <w:t>Hepatitis B virus</w:t>
            </w:r>
          </w:p>
        </w:tc>
        <w:tc>
          <w:tcPr>
            <w:tcW w:w="3245" w:type="dxa"/>
          </w:tcPr>
          <w:p w:rsidR="0018722C">
            <w:pPr>
              <w:topLinePunct/>
              <w:ind w:leftChars="0" w:left="0" w:rightChars="0" w:right="0" w:firstLineChars="0" w:firstLine="0"/>
              <w:spacing w:line="240" w:lineRule="atLeast"/>
            </w:pPr>
            <w:r>
              <w:t>乙型肝炎病毒</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HCC</w:t>
            </w:r>
          </w:p>
        </w:tc>
        <w:tc>
          <w:tcPr>
            <w:tcW w:w="4291" w:type="dxa"/>
          </w:tcPr>
          <w:p w:rsidR="0018722C">
            <w:pPr>
              <w:topLinePunct/>
              <w:ind w:leftChars="0" w:left="0" w:rightChars="0" w:right="0" w:firstLineChars="0" w:firstLine="0"/>
              <w:spacing w:line="240" w:lineRule="atLeast"/>
            </w:pPr>
            <w:r>
              <w:rPr>
                <w:rFonts w:ascii="Times New Roman"/>
              </w:rPr>
              <w:t>Hepatocellular carcinoma</w:t>
            </w:r>
          </w:p>
        </w:tc>
        <w:tc>
          <w:tcPr>
            <w:tcW w:w="3245" w:type="dxa"/>
          </w:tcPr>
          <w:p w:rsidR="0018722C">
            <w:pPr>
              <w:topLinePunct/>
              <w:ind w:leftChars="0" w:left="0" w:rightChars="0" w:right="0" w:firstLineChars="0" w:firstLine="0"/>
              <w:spacing w:line="240" w:lineRule="atLeast"/>
            </w:pPr>
            <w:r>
              <w:t>肝细胞肝癌</w:t>
            </w:r>
          </w:p>
        </w:tc>
      </w:tr>
      <w:tr>
        <w:trPr>
          <w:trHeight w:val="440" w:hRule="atLeast"/>
        </w:trPr>
        <w:tc>
          <w:tcPr>
            <w:tcW w:w="1445" w:type="dxa"/>
          </w:tcPr>
          <w:p w:rsidR="0018722C">
            <w:pPr>
              <w:topLinePunct/>
              <w:ind w:leftChars="0" w:left="0" w:rightChars="0" w:right="0" w:firstLineChars="0" w:firstLine="0"/>
              <w:spacing w:line="240" w:lineRule="atLeast"/>
            </w:pPr>
            <w:r>
              <w:rPr>
                <w:rFonts w:ascii="Times New Roman"/>
              </w:rPr>
              <w:t>HRP</w:t>
            </w:r>
          </w:p>
        </w:tc>
        <w:tc>
          <w:tcPr>
            <w:tcW w:w="4291" w:type="dxa"/>
          </w:tcPr>
          <w:p w:rsidR="0018722C">
            <w:pPr>
              <w:topLinePunct/>
              <w:ind w:leftChars="0" w:left="0" w:rightChars="0" w:right="0" w:firstLineChars="0" w:firstLine="0"/>
              <w:spacing w:line="240" w:lineRule="atLeast"/>
            </w:pPr>
            <w:r>
              <w:rPr>
                <w:rFonts w:ascii="Times New Roman"/>
              </w:rPr>
              <w:t>Horseradish peroxide</w:t>
            </w:r>
          </w:p>
        </w:tc>
        <w:tc>
          <w:tcPr>
            <w:tcW w:w="3245" w:type="dxa"/>
          </w:tcPr>
          <w:p w:rsidR="0018722C">
            <w:pPr>
              <w:topLinePunct/>
              <w:ind w:leftChars="0" w:left="0" w:rightChars="0" w:right="0" w:firstLineChars="0" w:firstLine="0"/>
              <w:spacing w:line="240" w:lineRule="atLeast"/>
            </w:pPr>
            <w:r>
              <w:t>辣根过氧化物酶</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NAC</w:t>
            </w:r>
          </w:p>
        </w:tc>
        <w:tc>
          <w:tcPr>
            <w:tcW w:w="4291" w:type="dxa"/>
          </w:tcPr>
          <w:p w:rsidR="0018722C">
            <w:pPr>
              <w:topLinePunct/>
              <w:ind w:leftChars="0" w:left="0" w:rightChars="0" w:right="0" w:firstLineChars="0" w:firstLine="0"/>
              <w:spacing w:line="240" w:lineRule="atLeast"/>
            </w:pPr>
            <w:r>
              <w:rPr>
                <w:rFonts w:ascii="Times New Roman"/>
              </w:rPr>
              <w:t>N-acetylcysteine</w:t>
            </w:r>
          </w:p>
        </w:tc>
        <w:tc>
          <w:tcPr>
            <w:tcW w:w="3245" w:type="dxa"/>
          </w:tcPr>
          <w:p w:rsidR="0018722C">
            <w:pPr>
              <w:topLinePunct/>
              <w:ind w:leftChars="0" w:left="0" w:rightChars="0" w:right="0" w:firstLineChars="0" w:firstLine="0"/>
              <w:spacing w:line="240" w:lineRule="atLeast"/>
            </w:pPr>
            <w:hyperlink r:id="rId9">
              <w:r>
                <w:rPr>
                  <w:rFonts w:ascii="Arial" w:eastAsia="Arial"/>
                </w:rPr>
                <w:t>N </w:t>
              </w:r>
              <w:r>
                <w:t>乙酰半胱氨酸</w:t>
              </w:r>
            </w:hyperlink>
          </w:p>
        </w:tc>
      </w:tr>
      <w:tr>
        <w:trPr>
          <w:trHeight w:val="420" w:hRule="atLeast"/>
        </w:trPr>
        <w:tc>
          <w:tcPr>
            <w:tcW w:w="1445" w:type="dxa"/>
          </w:tcPr>
          <w:p w:rsidR="0018722C">
            <w:pPr>
              <w:topLinePunct/>
              <w:ind w:leftChars="0" w:left="0" w:rightChars="0" w:right="0" w:firstLineChars="0" w:firstLine="0"/>
              <w:spacing w:line="240" w:lineRule="atLeast"/>
            </w:pPr>
            <w:r>
              <w:rPr>
                <w:rFonts w:ascii="Times New Roman"/>
              </w:rPr>
              <w:t>NC</w:t>
            </w:r>
          </w:p>
        </w:tc>
        <w:tc>
          <w:tcPr>
            <w:tcW w:w="4291" w:type="dxa"/>
          </w:tcPr>
          <w:p w:rsidR="0018722C">
            <w:pPr>
              <w:topLinePunct/>
              <w:ind w:leftChars="0" w:left="0" w:rightChars="0" w:right="0" w:firstLineChars="0" w:firstLine="0"/>
              <w:spacing w:line="240" w:lineRule="atLeast"/>
            </w:pPr>
            <w:r>
              <w:rPr>
                <w:rFonts w:ascii="Times New Roman"/>
              </w:rPr>
              <w:t>Nitrocellulose</w:t>
            </w:r>
          </w:p>
        </w:tc>
        <w:tc>
          <w:tcPr>
            <w:tcW w:w="3245" w:type="dxa"/>
          </w:tcPr>
          <w:p w:rsidR="0018722C">
            <w:pPr>
              <w:topLinePunct/>
              <w:ind w:leftChars="0" w:left="0" w:rightChars="0" w:right="0" w:firstLineChars="0" w:firstLine="0"/>
              <w:spacing w:line="240" w:lineRule="atLeast"/>
            </w:pPr>
            <w:r>
              <w:t>硝酸纤维素</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NSAID</w:t>
            </w:r>
          </w:p>
        </w:tc>
        <w:tc>
          <w:tcPr>
            <w:tcW w:w="4291" w:type="dxa"/>
          </w:tcPr>
          <w:p w:rsidR="0018722C">
            <w:pPr>
              <w:topLinePunct/>
              <w:ind w:leftChars="0" w:left="0" w:rightChars="0" w:right="0" w:firstLineChars="0" w:firstLine="0"/>
              <w:spacing w:line="240" w:lineRule="atLeast"/>
            </w:pPr>
            <w:r>
              <w:rPr>
                <w:rFonts w:ascii="Times New Roman"/>
              </w:rPr>
              <w:t>Non-steriod anti-inflammatory drug</w:t>
            </w:r>
          </w:p>
        </w:tc>
        <w:tc>
          <w:tcPr>
            <w:tcW w:w="3245" w:type="dxa"/>
          </w:tcPr>
          <w:p w:rsidR="0018722C">
            <w:pPr>
              <w:topLinePunct/>
              <w:ind w:leftChars="0" w:left="0" w:rightChars="0" w:right="0" w:firstLineChars="0" w:firstLine="0"/>
              <w:spacing w:line="240" w:lineRule="atLeast"/>
            </w:pPr>
            <w:r>
              <w:t>非甾体类抗炎药</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mRNA</w:t>
            </w:r>
          </w:p>
        </w:tc>
        <w:tc>
          <w:tcPr>
            <w:tcW w:w="4291"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essenger ribonucleic acid</w:t>
            </w:r>
          </w:p>
        </w:tc>
        <w:tc>
          <w:tcPr>
            <w:tcW w:w="3245" w:type="dxa"/>
          </w:tcPr>
          <w:p w:rsidR="0018722C">
            <w:pPr>
              <w:topLinePunct/>
              <w:ind w:leftChars="0" w:left="0" w:rightChars="0" w:right="0" w:firstLineChars="0" w:firstLine="0"/>
              <w:spacing w:line="240" w:lineRule="atLeast"/>
            </w:pPr>
            <w:r>
              <w:t>信使核糖核酸</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OD</w:t>
            </w:r>
          </w:p>
        </w:tc>
        <w:tc>
          <w:tcPr>
            <w:tcW w:w="4291" w:type="dxa"/>
          </w:tcPr>
          <w:p w:rsidR="0018722C">
            <w:pPr>
              <w:topLinePunct/>
              <w:ind w:leftChars="0" w:left="0" w:rightChars="0" w:right="0" w:firstLineChars="0" w:firstLine="0"/>
              <w:spacing w:line="240" w:lineRule="atLeast"/>
            </w:pPr>
            <w:r>
              <w:rPr>
                <w:rFonts w:ascii="Times New Roman"/>
              </w:rPr>
              <w:t>Optical density</w:t>
            </w:r>
          </w:p>
        </w:tc>
        <w:tc>
          <w:tcPr>
            <w:tcW w:w="3245" w:type="dxa"/>
          </w:tcPr>
          <w:p w:rsidR="0018722C">
            <w:pPr>
              <w:topLinePunct/>
              <w:ind w:leftChars="0" w:left="0" w:rightChars="0" w:right="0" w:firstLineChars="0" w:firstLine="0"/>
              <w:spacing w:line="240" w:lineRule="atLeast"/>
            </w:pPr>
            <w:r>
              <w:t>光密度</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ORF</w:t>
            </w:r>
          </w:p>
        </w:tc>
        <w:tc>
          <w:tcPr>
            <w:tcW w:w="4291" w:type="dxa"/>
          </w:tcPr>
          <w:p w:rsidR="0018722C">
            <w:pPr>
              <w:topLinePunct/>
              <w:ind w:leftChars="0" w:left="0" w:rightChars="0" w:right="0" w:firstLineChars="0" w:firstLine="0"/>
              <w:spacing w:line="240" w:lineRule="atLeast"/>
            </w:pPr>
            <w:r>
              <w:rPr>
                <w:rFonts w:ascii="Times New Roman"/>
              </w:rPr>
              <w:t>Open reading frame</w:t>
            </w:r>
          </w:p>
        </w:tc>
        <w:tc>
          <w:tcPr>
            <w:tcW w:w="3245" w:type="dxa"/>
          </w:tcPr>
          <w:p w:rsidR="0018722C">
            <w:pPr>
              <w:topLinePunct/>
              <w:ind w:leftChars="0" w:left="0" w:rightChars="0" w:right="0" w:firstLineChars="0" w:firstLine="0"/>
              <w:spacing w:line="240" w:lineRule="atLeast"/>
            </w:pPr>
            <w:r>
              <w:t>开放读码框</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PBS</w:t>
            </w:r>
          </w:p>
        </w:tc>
        <w:tc>
          <w:tcPr>
            <w:tcW w:w="4291" w:type="dxa"/>
          </w:tcPr>
          <w:p w:rsidR="0018722C">
            <w:pPr>
              <w:topLinePunct/>
              <w:ind w:leftChars="0" w:left="0" w:rightChars="0" w:right="0" w:firstLineChars="0" w:firstLine="0"/>
              <w:spacing w:line="240" w:lineRule="atLeast"/>
            </w:pPr>
            <w:r>
              <w:rPr>
                <w:rFonts w:ascii="Times New Roman"/>
              </w:rPr>
              <w:t>Phosphate buffered saline</w:t>
            </w:r>
          </w:p>
        </w:tc>
        <w:tc>
          <w:tcPr>
            <w:tcW w:w="3245" w:type="dxa"/>
          </w:tcPr>
          <w:p w:rsidR="0018722C">
            <w:pPr>
              <w:topLinePunct/>
              <w:ind w:leftChars="0" w:left="0" w:rightChars="0" w:right="0" w:firstLineChars="0" w:firstLine="0"/>
              <w:spacing w:line="240" w:lineRule="atLeast"/>
            </w:pPr>
            <w:r>
              <w:t>磷酸盐缓冲生理盐水</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PG</w:t>
            </w:r>
          </w:p>
        </w:tc>
        <w:tc>
          <w:tcPr>
            <w:tcW w:w="4291" w:type="dxa"/>
          </w:tcPr>
          <w:p w:rsidR="0018722C">
            <w:pPr>
              <w:topLinePunct/>
              <w:ind w:leftChars="0" w:left="0" w:rightChars="0" w:right="0" w:firstLineChars="0" w:firstLine="0"/>
              <w:spacing w:line="240" w:lineRule="atLeast"/>
            </w:pPr>
            <w:r>
              <w:rPr>
                <w:rFonts w:ascii="Times New Roman"/>
              </w:rPr>
              <w:t>Prostaglandin</w:t>
            </w:r>
          </w:p>
        </w:tc>
        <w:tc>
          <w:tcPr>
            <w:tcW w:w="3245" w:type="dxa"/>
          </w:tcPr>
          <w:p w:rsidR="0018722C">
            <w:pPr>
              <w:topLinePunct/>
              <w:ind w:leftChars="0" w:left="0" w:rightChars="0" w:right="0" w:firstLineChars="0" w:firstLine="0"/>
              <w:spacing w:line="240" w:lineRule="atLeast"/>
            </w:pPr>
            <w:r>
              <w:t>前列腺素</w:t>
            </w:r>
          </w:p>
        </w:tc>
      </w:tr>
      <w:tr>
        <w:trPr>
          <w:trHeight w:val="460" w:hRule="atLeast"/>
        </w:trPr>
        <w:tc>
          <w:tcPr>
            <w:tcW w:w="1445" w:type="dxa"/>
          </w:tcPr>
          <w:p w:rsidR="0018722C">
            <w:pPr>
              <w:topLinePunct/>
              <w:ind w:leftChars="0" w:left="0" w:rightChars="0" w:right="0" w:firstLineChars="0" w:firstLine="0"/>
              <w:spacing w:line="240" w:lineRule="atLeast"/>
            </w:pPr>
            <w:r>
              <w:rPr>
                <w:rFonts w:ascii="Times New Roman"/>
              </w:rPr>
              <w:t>PMSF</w:t>
            </w:r>
          </w:p>
        </w:tc>
        <w:tc>
          <w:tcPr>
            <w:tcW w:w="4291" w:type="dxa"/>
          </w:tcPr>
          <w:p w:rsidR="0018722C">
            <w:pPr>
              <w:topLinePunct/>
              <w:ind w:leftChars="0" w:left="0" w:rightChars="0" w:right="0" w:firstLineChars="0" w:firstLine="0"/>
              <w:spacing w:line="240" w:lineRule="atLeast"/>
            </w:pPr>
            <w:r>
              <w:rPr>
                <w:rFonts w:ascii="Times New Roman"/>
              </w:rPr>
              <w:t>Phenylmethylsulfonyl fluoride</w:t>
            </w:r>
          </w:p>
        </w:tc>
        <w:tc>
          <w:tcPr>
            <w:tcW w:w="3245" w:type="dxa"/>
          </w:tcPr>
          <w:p w:rsidR="0018722C">
            <w:pPr>
              <w:topLinePunct/>
              <w:ind w:leftChars="0" w:left="0" w:rightChars="0" w:right="0" w:firstLineChars="0" w:firstLine="0"/>
              <w:spacing w:line="240" w:lineRule="atLeast"/>
            </w:pPr>
            <w:r>
              <w:t>苯甲基磺酰氟</w:t>
            </w:r>
          </w:p>
        </w:tc>
      </w:tr>
      <w:tr>
        <w:trPr>
          <w:trHeight w:val="1880" w:hRule="atLeast"/>
        </w:trPr>
        <w:tc>
          <w:tcPr>
            <w:tcW w:w="1445" w:type="dxa"/>
          </w:tcPr>
          <w:p w:rsidR="0018722C">
            <w:pPr>
              <w:topLinePunct/>
              <w:ind w:leftChars="0" w:left="0" w:rightChars="0" w:right="0" w:firstLineChars="0" w:firstLine="0"/>
              <w:spacing w:line="240" w:lineRule="atLeast"/>
            </w:pPr>
            <w:r>
              <w:rPr>
                <w:rFonts w:ascii="Times New Roman"/>
              </w:rPr>
              <w:t>RT-PCR</w:t>
            </w:r>
          </w:p>
          <w:p w:rsidR="0018722C">
            <w:pPr>
              <w:topLinePunct/>
            </w:pPr>
          </w:p>
          <w:p w:rsidR="0018722C">
            <w:pPr>
              <w:topLinePunct/>
              <w:ind w:leftChars="0" w:left="0" w:rightChars="0" w:right="0" w:firstLineChars="0" w:firstLine="0"/>
              <w:spacing w:line="240" w:lineRule="atLeast"/>
            </w:pPr>
            <w:r>
              <w:rPr>
                <w:rFonts w:ascii="Times New Roman"/>
              </w:rPr>
              <w:t>ROS TEM</w:t>
            </w:r>
          </w:p>
        </w:tc>
        <w:tc>
          <w:tcPr>
            <w:tcW w:w="4291" w:type="dxa"/>
          </w:tcPr>
          <w:p w:rsidR="0018722C">
            <w:pPr>
              <w:topLinePunct/>
              <w:ind w:leftChars="0" w:left="0" w:rightChars="0" w:right="0" w:firstLineChars="0" w:firstLine="0"/>
              <w:spacing w:line="240" w:lineRule="atLeast"/>
            </w:pPr>
            <w:r>
              <w:rPr>
                <w:rFonts w:ascii="Times New Roman"/>
              </w:rPr>
              <w:t>Reverse transcription-polymerase chain reaction</w:t>
            </w:r>
          </w:p>
          <w:p w:rsidR="0018722C">
            <w:pPr>
              <w:topLinePunct/>
            </w:pPr>
            <w:r>
              <w:rPr>
                <w:rFonts w:ascii="Times New Roman"/>
              </w:rPr>
              <w:t>Reactive oxygen species</w:t>
            </w:r>
          </w:p>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ransmission electron microscopy</w:t>
            </w:r>
          </w:p>
        </w:tc>
        <w:tc>
          <w:tcPr>
            <w:tcW w:w="3245" w:type="dxa"/>
          </w:tcPr>
          <w:p w:rsidR="0018722C">
            <w:pPr>
              <w:topLinePunct/>
              <w:ind w:leftChars="0" w:left="0" w:rightChars="0" w:right="0" w:firstLineChars="0" w:firstLine="0"/>
              <w:spacing w:line="240" w:lineRule="atLeast"/>
            </w:pPr>
            <w:r>
              <w:t>逆转录</w:t>
            </w:r>
            <w:r>
              <w:rPr>
                <w:rFonts w:ascii="Times New Roman" w:eastAsia="Times New Roman"/>
              </w:rPr>
              <w:t>-</w:t>
            </w:r>
            <w:r>
              <w:t>聚合酶链式反应</w:t>
            </w:r>
          </w:p>
          <w:p w:rsidR="0018722C">
            <w:pPr>
              <w:topLinePunct/>
            </w:pPr>
          </w:p>
          <w:p w:rsidR="0018722C">
            <w:pPr>
              <w:topLinePunct/>
            </w:pPr>
            <w:r>
              <w:t>活性氧</w:t>
            </w:r>
          </w:p>
          <w:p w:rsidR="0018722C">
            <w:pPr>
              <w:topLinePunct/>
              <w:ind w:leftChars="0" w:left="0" w:rightChars="0" w:right="0" w:firstLineChars="0" w:firstLine="0"/>
              <w:spacing w:line="240" w:lineRule="atLeast"/>
            </w:pPr>
            <w:r>
              <w:t>透射电子显微镜</w:t>
            </w:r>
          </w:p>
        </w:tc>
      </w:tr>
      <w:tr>
        <w:trPr>
          <w:trHeight w:val="360" w:hRule="atLeast"/>
        </w:trPr>
        <w:tc>
          <w:tcPr>
            <w:tcW w:w="1445" w:type="dxa"/>
          </w:tcPr>
          <w:p w:rsidR="0018722C">
            <w:pPr>
              <w:topLinePunct/>
              <w:ind w:leftChars="0" w:left="0" w:rightChars="0" w:right="0" w:firstLineChars="0" w:firstLine="0"/>
              <w:spacing w:line="240" w:lineRule="atLeast"/>
            </w:pPr>
            <w:r>
              <w:rPr>
                <w:rFonts w:ascii="Times New Roman"/>
              </w:rPr>
              <w:t>TEMED</w:t>
            </w:r>
          </w:p>
        </w:tc>
        <w:tc>
          <w:tcPr>
            <w:tcW w:w="4291" w:type="dxa"/>
          </w:tcPr>
          <w:p w:rsidR="0018722C">
            <w:pPr>
              <w:topLinePunct/>
              <w:ind w:leftChars="0" w:left="0" w:rightChars="0" w:right="0" w:firstLineChars="0" w:firstLine="0"/>
              <w:spacing w:line="240" w:lineRule="atLeast"/>
            </w:pPr>
            <w:r>
              <w:rPr>
                <w:rFonts w:ascii="Times New Roman" w:hAnsi="Times New Roman"/>
              </w:rPr>
              <w:t>N,N,N</w:t>
            </w:r>
            <w:r>
              <w:rPr>
                <w:rFonts w:ascii="Times New Roman" w:hAnsi="Times New Roman"/>
              </w:rPr>
              <w:t>'</w:t>
            </w:r>
            <w:r>
              <w:rPr>
                <w:rFonts w:ascii="Times New Roman" w:hAnsi="Times New Roman"/>
              </w:rPr>
              <w:t>,N</w:t>
            </w:r>
            <w:r>
              <w:rPr>
                <w:rFonts w:ascii="Times New Roman" w:hAnsi="Times New Roman"/>
              </w:rPr>
              <w:t>'</w:t>
            </w:r>
            <w:r>
              <w:rPr>
                <w:rFonts w:ascii="Times New Roman" w:hAnsi="Times New Roman"/>
              </w:rPr>
              <w:t>-tetramethylethylendiamine</w:t>
            </w:r>
          </w:p>
        </w:tc>
        <w:tc>
          <w:tcPr>
            <w:tcW w:w="3245" w:type="dxa"/>
          </w:tcPr>
          <w:p w:rsidR="0018722C">
            <w:pPr>
              <w:topLinePunct/>
              <w:ind w:leftChars="0" w:left="0" w:rightChars="0" w:right="0" w:firstLineChars="0" w:firstLine="0"/>
              <w:spacing w:line="240" w:lineRule="atLeast"/>
            </w:pPr>
            <w:r>
              <w:rPr>
                <w:rFonts w:ascii="Times New Roman" w:hAnsi="Times New Roman" w:eastAsia="Times New Roman"/>
              </w:rPr>
              <w:t>N,N,N</w:t>
            </w:r>
            <w:r>
              <w:rPr>
                <w:rFonts w:ascii="Times New Roman" w:hAnsi="Times New Roman" w:eastAsia="Times New Roman"/>
              </w:rPr>
              <w:t>'</w:t>
            </w:r>
            <w:r>
              <w:rPr>
                <w:rFonts w:ascii="Times New Roman" w:hAnsi="Times New Roman" w:eastAsia="Times New Roman"/>
              </w:rPr>
              <w:t>,N</w:t>
            </w:r>
            <w:r>
              <w:t>'</w:t>
            </w:r>
            <w:r>
              <w:rPr>
                <w:rFonts w:ascii="Times New Roman" w:hAnsi="Times New Roman" w:eastAsia="Times New Roman"/>
              </w:rPr>
              <w:t>-</w:t>
            </w:r>
            <w:r>
              <w:t>四甲基乙二胺</w:t>
            </w:r>
          </w:p>
        </w:tc>
      </w:tr>
    </w:tbl>
    <w:p w:rsidR="0018722C">
      <w:pPr>
        <w:rPr/>
        <w:topLinePunct/>
        <w:pStyle w:val="affa"/>
      </w:pPr>
    </w:p>
    <w:p w:rsidR="0018722C">
      <w:pPr>
        <w:pStyle w:val="af5"/>
        <w:topLinePunct/>
      </w:pPr>
      <w:bookmarkStart w:name="中文摘要 " w:id="6"/>
      <w:bookmarkEnd w:id="6"/>
      <w:r>
        <w:rPr>
          <w:rFonts w:cstheme="minorBidi" w:hAnsiTheme="minorHAnsi" w:eastAsiaTheme="minorHAnsi" w:asciiTheme="minorHAnsi"/>
          <w:b/>
        </w:rPr>
        <w:t>HBx</w:t>
      </w:r>
      <w:r w:rsidR="001852F3">
        <w:rPr>
          <w:rFonts w:cstheme="minorBidi" w:hAnsiTheme="minorHAnsi" w:eastAsiaTheme="minorHAnsi" w:asciiTheme="minorHAnsi"/>
          <w:b/>
        </w:rPr>
        <w:t xml:space="preserve">与</w:t>
      </w:r>
      <w:r>
        <w:rPr>
          <w:rFonts w:cstheme="minorBidi" w:hAnsiTheme="minorHAnsi" w:eastAsiaTheme="minorHAnsi" w:asciiTheme="minorHAnsi"/>
          <w:b/>
        </w:rPr>
        <w:t>COXIII</w:t>
      </w:r>
      <w:r w:rsidR="001852F3">
        <w:rPr>
          <w:rFonts w:cstheme="minorBidi" w:hAnsiTheme="minorHAnsi" w:eastAsiaTheme="minorHAnsi" w:asciiTheme="minorHAnsi"/>
          <w:b/>
        </w:rPr>
        <w:t xml:space="preserve">共定位上调</w:t>
      </w:r>
      <w:r>
        <w:rPr>
          <w:rFonts w:cstheme="minorBidi" w:hAnsiTheme="minorHAnsi" w:eastAsiaTheme="minorHAnsi" w:asciiTheme="minorHAnsi"/>
          <w:b/>
        </w:rPr>
        <w:t>HepG2</w:t>
      </w:r>
      <w:r w:rsidR="001852F3">
        <w:rPr>
          <w:rFonts w:cstheme="minorBidi" w:hAnsiTheme="minorHAnsi" w:eastAsiaTheme="minorHAnsi" w:asciiTheme="minorHAnsi"/>
          <w:b/>
        </w:rPr>
        <w:t xml:space="preserve">细胞线粒体功能促进细胞增殖</w:t>
      </w:r>
    </w:p>
    <w:p w:rsidR="0018722C">
      <w:pPr>
        <w:pStyle w:val="af6"/>
        <w:topLinePunct/>
      </w:pPr>
      <w:bookmarkStart w:id="707257" w:name="_Toc686707257"/>
      <w:r>
        <w:t>摘</w:t>
      </w:r>
      <w:r w:rsidR="004F241D">
        <w:t xml:space="preserve">  </w:t>
      </w:r>
      <w:r w:rsidR="004F241D">
        <w:t xml:space="preserve">要</w:t>
      </w:r>
      <w:bookmarkEnd w:id="707257"/>
    </w:p>
    <w:p w:rsidR="0018722C">
      <w:pPr>
        <w:pStyle w:val="aff0"/>
        <w:topLinePunct/>
      </w:pPr>
      <w:r>
        <w:rPr>
          <w:b/>
        </w:rPr>
        <w:t xml:space="preserve">背景和目的：</w:t>
      </w:r>
      <w:r>
        <w:t xml:space="preserve">乙肝病毒</w:t>
      </w:r>
      <w:r>
        <w:t xml:space="preserve">x</w:t>
      </w:r>
      <w:r/>
      <w:r w:rsidR="001852F3">
        <w:t xml:space="preserve">蛋白</w:t>
      </w:r>
      <w:r>
        <w:t xml:space="preserve">（</w:t>
      </w:r>
      <w:r>
        <w:t xml:space="preserve">HBx</w:t>
      </w:r>
      <w:r>
        <w:t xml:space="preserve">）</w:t>
      </w:r>
      <w:r>
        <w:t xml:space="preserve">被称为“病毒癌蛋白</w:t>
      </w:r>
      <w:r>
        <w:t xml:space="preserve">（</w:t>
      </w:r>
      <w:r>
        <w:t xml:space="preserve">viral</w:t>
      </w:r>
      <w:r>
        <w:rPr>
          <w:spacing w:val="-30"/>
        </w:rPr>
        <w:t xml:space="preserve"> </w:t>
      </w:r>
      <w:r>
        <w:t xml:space="preserve">oncoprotein</w:t>
      </w:r>
      <w:r>
        <w:t xml:space="preserve">）</w:t>
      </w:r>
      <w:r>
        <w:t xml:space="preserve">”</w:t>
      </w:r>
      <w:r>
        <w:rPr>
          <w:rFonts w:hint="eastAsia"/>
        </w:rPr>
        <w:t xml:space="preserve">，</w:t>
      </w:r>
      <w:r>
        <w:t xml:space="preserve">它促进了乙型肝炎病毒</w:t>
      </w:r>
      <w:r>
        <w:t xml:space="preserve">（</w:t>
      </w:r>
      <w:r>
        <w:t xml:space="preserve">HBV</w:t>
      </w:r>
      <w:r>
        <w:t xml:space="preserve">）</w:t>
      </w:r>
      <w:r>
        <w:t xml:space="preserve">相关的肝细胞癌的发展</w:t>
      </w:r>
      <w:r>
        <w:rPr>
          <w:rFonts w:hint="eastAsia"/>
        </w:rPr>
        <w:t xml:space="preserve">，</w:t>
      </w:r>
      <w:r/>
      <w:r w:rsidR="001852F3">
        <w:t xml:space="preserve">但其确切机制未明。我们前期通过酵母双杂交、交配以及免疫共沉淀实验首次证实了线粒体内膜蛋白细胞色素</w:t>
      </w:r>
      <w:r>
        <w:t xml:space="preserve">C</w:t>
      </w:r>
      <w:r/>
      <w:r w:rsidR="001852F3">
        <w:t xml:space="preserve">氧化酶亚单位</w:t>
      </w:r>
      <w:r>
        <w:t xml:space="preserve">III</w:t>
      </w:r>
      <w:r>
        <w:t xml:space="preserve">（</w:t>
      </w:r>
      <w:r>
        <w:t xml:space="preserve">COXIII</w:t>
      </w:r>
      <w:r>
        <w:t xml:space="preserve">）</w:t>
      </w:r>
      <w:r>
        <w:t xml:space="preserve">是</w:t>
      </w:r>
      <w:r>
        <w:t xml:space="preserve">HBx</w:t>
      </w:r>
      <w:r/>
      <w:r w:rsidR="001852F3">
        <w:t xml:space="preserve">的体内结合蛋白。本研究将进一步</w:t>
      </w:r>
      <w:r>
        <w:t xml:space="preserve">探讨</w:t>
      </w:r>
      <w:r>
        <w:t xml:space="preserve">HBx</w:t>
      </w:r>
      <w:r/>
      <w:r w:rsidR="001852F3">
        <w:t xml:space="preserve">与</w:t>
      </w:r>
      <w:r>
        <w:t xml:space="preserve">COXIII</w:t>
      </w:r>
      <w:r/>
      <w:r w:rsidR="001852F3">
        <w:t xml:space="preserve">在线粒体中共定位及其对线粒体超微结构与功能的影响，探索HBx</w:t>
      </w:r>
      <w:r/>
      <w:r w:rsidR="001852F3">
        <w:t xml:space="preserve">对</w:t>
      </w:r>
      <w:r>
        <w:t xml:space="preserve">HepG2</w:t>
      </w:r>
      <w:r/>
      <w:r w:rsidR="001852F3">
        <w:t xml:space="preserve">细胞增殖能力的影响。</w:t>
      </w:r>
    </w:p>
    <w:p w:rsidR="0018722C">
      <w:pPr>
        <w:pStyle w:val="aff0"/>
        <w:topLinePunct/>
      </w:pPr>
      <w:r>
        <w:rPr>
          <w:b/>
        </w:rPr>
        <w:t>方法：</w:t>
      </w:r>
      <w:r>
        <w:t>首先构建稳定表达</w:t>
      </w:r>
      <w:r w:rsidR="001852F3">
        <w:t xml:space="preserve">HBx</w:t>
      </w:r>
      <w:r w:rsidR="001852F3">
        <w:t xml:space="preserve">的肝癌细胞株</w:t>
      </w:r>
      <w:r w:rsidR="001852F3">
        <w:t xml:space="preserve">HepG2</w:t>
      </w:r>
      <w:r>
        <w:t>/</w:t>
      </w:r>
      <w:r>
        <w:t>HBx, 并以空载对照组</w:t>
      </w:r>
    </w:p>
    <w:p w:rsidR="0018722C">
      <w:pPr>
        <w:pStyle w:val="aff0"/>
        <w:topLinePunct/>
      </w:pPr>
      <w:r>
        <w:t>HepG2</w:t>
      </w:r>
      <w:r>
        <w:t>/</w:t>
      </w:r>
      <w:r>
        <w:t>mock</w:t>
      </w:r>
      <w:r>
        <w:t>、空白对照组</w:t>
      </w:r>
      <w:r>
        <w:t>HepG2</w:t>
      </w:r>
      <w:r/>
      <w:r w:rsidR="001852F3">
        <w:t xml:space="preserve">作为实验对照，利用激光共聚焦显微镜观察</w:t>
      </w:r>
      <w:r>
        <w:t>HBx</w:t>
      </w:r>
      <w:r>
        <w:t>与</w:t>
      </w:r>
      <w:r>
        <w:t>COXIII</w:t>
      </w:r>
      <w:r/>
      <w:r w:rsidR="001852F3">
        <w:t xml:space="preserve">在线粒体中的定位。接着通过</w:t>
      </w:r>
      <w:r>
        <w:t>RT-PCR</w:t>
      </w:r>
      <w:r/>
      <w:r w:rsidR="001852F3">
        <w:t xml:space="preserve">与</w:t>
      </w:r>
      <w:r>
        <w:t>Western blot</w:t>
      </w:r>
      <w:r/>
      <w:r w:rsidR="001852F3">
        <w:t xml:space="preserve">法检测</w:t>
      </w:r>
      <w:r>
        <w:t>COXIII</w:t>
      </w:r>
      <w:r>
        <w:t>的</w:t>
      </w:r>
      <w:r>
        <w:t>mRNA</w:t>
      </w:r>
      <w:r/>
      <w:r w:rsidR="001852F3">
        <w:t xml:space="preserve">与蛋白表达水平，酶动力学方法检测线粒体细胞色素</w:t>
      </w:r>
      <w:r>
        <w:t>C</w:t>
      </w:r>
      <w:r/>
      <w:r w:rsidR="001852F3">
        <w:t xml:space="preserve">氧化酶</w:t>
      </w:r>
      <w:r>
        <w:t>（</w:t>
      </w:r>
      <w:r>
        <w:t>COX</w:t>
      </w:r>
      <w:r>
        <w:t>）</w:t>
      </w:r>
      <w:r>
        <w:t>的</w:t>
      </w:r>
      <w:r>
        <w:t>活性，流式细胞仪测量细胞内</w:t>
      </w:r>
      <w:r>
        <w:t>ROS</w:t>
      </w:r>
      <w:r/>
      <w:r w:rsidR="001852F3">
        <w:t xml:space="preserve">和线粒体跨膜电位的水平，扫描电镜下观察</w:t>
      </w:r>
    </w:p>
    <w:p w:rsidR="0018722C">
      <w:pPr>
        <w:pStyle w:val="aff0"/>
        <w:topLinePunct/>
      </w:pPr>
      <w:r>
        <w:t>HepG2</w:t>
      </w:r>
      <w:r>
        <w:t>/</w:t>
      </w:r>
      <w:r>
        <w:t>HBx</w:t>
      </w:r>
      <w:r/>
      <w:r w:rsidR="001852F3">
        <w:t xml:space="preserve">细胞线粒体超微结构的改变。然后利用</w:t>
      </w:r>
      <w:r>
        <w:t>RT-PCR</w:t>
      </w:r>
      <w:r/>
      <w:r w:rsidR="001852F3">
        <w:t xml:space="preserve">与</w:t>
      </w:r>
      <w:r>
        <w:t>Western</w:t>
      </w:r>
      <w:r>
        <w:t> </w:t>
      </w:r>
      <w:r>
        <w:t>blot</w:t>
      </w:r>
      <w:r/>
      <w:r w:rsidR="001852F3">
        <w:t xml:space="preserve">法检测环氧合酶-2</w:t>
      </w:r>
      <w:r>
        <w:t>（</w:t>
      </w:r>
      <w:r>
        <w:t>COX-2</w:t>
      </w:r>
      <w:r>
        <w:t>）</w:t>
      </w:r>
      <w:r>
        <w:t>的</w:t>
      </w:r>
      <w:r>
        <w:t>mRNA</w:t>
      </w:r>
      <w:r/>
      <w:r w:rsidR="001852F3">
        <w:t xml:space="preserve">与蛋白表达水平，加入</w:t>
      </w:r>
      <w:r>
        <w:t>ROS</w:t>
      </w:r>
      <w:r/>
      <w:r w:rsidR="001852F3">
        <w:t xml:space="preserve">清除剂</w:t>
      </w:r>
      <w:r>
        <w:t>N-乙酰半胱氨酸</w:t>
      </w:r>
    </w:p>
    <w:p w:rsidR="0018722C">
      <w:pPr>
        <w:pStyle w:val="aff0"/>
        <w:topLinePunct/>
      </w:pPr>
      <w:r>
        <w:t>（</w:t>
      </w:r>
      <w:r>
        <w:t>NAC</w:t>
      </w:r>
      <w:r>
        <w:t>）</w:t>
      </w:r>
      <w:r>
        <w:t>后再检测</w:t>
      </w:r>
      <w:r>
        <w:t>COX-2</w:t>
      </w:r>
      <w:r/>
      <w:r w:rsidR="001852F3">
        <w:t xml:space="preserve">的表达水平改变。采用</w:t>
      </w:r>
      <w:r>
        <w:t>CCK-8</w:t>
      </w:r>
      <w:r/>
      <w:r w:rsidR="001852F3">
        <w:t xml:space="preserve">法和克隆形成试验检测细胞</w:t>
      </w:r>
      <w:r>
        <w:t>的增殖能力，接着加入</w:t>
      </w:r>
      <w:r>
        <w:t>COX-2</w:t>
      </w:r>
      <w:r/>
      <w:r w:rsidR="001852F3">
        <w:t xml:space="preserve">的抑制剂</w:t>
      </w:r>
      <w:r>
        <w:t>NS-398</w:t>
      </w:r>
      <w:r/>
      <w:r w:rsidR="001852F3">
        <w:t xml:space="preserve">后再次检测细胞的增殖能力改变情</w:t>
      </w:r>
      <w:r>
        <w:t>况。最后通过</w:t>
      </w:r>
      <w:r>
        <w:t>RT-PCR</w:t>
      </w:r>
      <w:r/>
      <w:r w:rsidR="001852F3">
        <w:t xml:space="preserve">与</w:t>
      </w:r>
      <w:r>
        <w:t>Western blot</w:t>
      </w:r>
      <w:r/>
      <w:r w:rsidR="001852F3">
        <w:t xml:space="preserve">法检测</w:t>
      </w:r>
      <w:r>
        <w:t>β–catenin</w:t>
      </w:r>
      <w:r/>
      <w:r w:rsidR="001852F3">
        <w:t xml:space="preserve">的</w:t>
      </w:r>
      <w:r>
        <w:t>mRNA</w:t>
      </w:r>
      <w:r/>
      <w:r w:rsidR="001852F3">
        <w:t xml:space="preserve">与蛋白表达水平，RT-PCR</w:t>
      </w:r>
      <w:r/>
      <w:r w:rsidR="001852F3">
        <w:t xml:space="preserve">法检测</w:t>
      </w:r>
      <w:r>
        <w:t>β–catenin</w:t>
      </w:r>
      <w:r/>
      <w:r w:rsidR="001852F3">
        <w:t xml:space="preserve">下游靶基因</w:t>
      </w:r>
      <w:r>
        <w:t>cyclin-D1</w:t>
      </w:r>
      <w:r/>
      <w:r w:rsidR="001852F3">
        <w:t xml:space="preserve">以及</w:t>
      </w:r>
      <w:r>
        <w:t>c-myc</w:t>
      </w:r>
      <w:r/>
      <w:r w:rsidR="001852F3">
        <w:t xml:space="preserve">的</w:t>
      </w:r>
      <w:r>
        <w:t>mRNA</w:t>
      </w:r>
      <w:r/>
      <w:r w:rsidR="001852F3">
        <w:t xml:space="preserve">表达</w:t>
      </w:r>
      <w:r>
        <w:t>水平，并加入</w:t>
      </w:r>
      <w:r>
        <w:t>COX-2</w:t>
      </w:r>
      <w:r/>
      <w:r w:rsidR="001852F3">
        <w:t xml:space="preserve">的抑制剂</w:t>
      </w:r>
      <w:r>
        <w:t>NS-398</w:t>
      </w:r>
      <w:r/>
      <w:r w:rsidR="001852F3">
        <w:t xml:space="preserve">后观察</w:t>
      </w:r>
      <w:r>
        <w:t>HepG2</w:t>
      </w:r>
      <w:r>
        <w:t>/</w:t>
      </w:r>
      <w:r>
        <w:t>HBx</w:t>
      </w:r>
      <w:r/>
      <w:r w:rsidR="001852F3">
        <w:t xml:space="preserve">细胞株</w:t>
      </w:r>
      <w:r>
        <w:t>β–catenin</w:t>
      </w:r>
      <w:r/>
      <w:r w:rsidR="001852F3">
        <w:t xml:space="preserve">蛋白表达水平改变，再加入</w:t>
      </w:r>
      <w:r>
        <w:t>β–catenin</w:t>
      </w:r>
      <w:r/>
      <w:r w:rsidR="001852F3">
        <w:t xml:space="preserve">的抑制剂</w:t>
      </w:r>
      <w:r>
        <w:t>XAV939</w:t>
      </w:r>
      <w:r/>
      <w:r w:rsidR="001852F3">
        <w:t xml:space="preserve">后</w:t>
      </w:r>
      <w:r>
        <w:t>CCK-8</w:t>
      </w:r>
      <w:r/>
      <w:r w:rsidR="001852F3">
        <w:t xml:space="preserve">法检测细胞增殖能力的改变。</w:t>
      </w:r>
    </w:p>
    <w:p w:rsidR="0018722C">
      <w:pPr>
        <w:pStyle w:val="aff0"/>
        <w:topLinePunct/>
      </w:pPr>
      <w:r>
        <w:rPr>
          <w:b/>
        </w:rPr>
        <w:t>结果：</w:t>
      </w:r>
      <w:r>
        <w:t>成功构建稳定表达</w:t>
      </w:r>
      <w:r>
        <w:t>HBx</w:t>
      </w:r>
      <w:r/>
      <w:r w:rsidR="001852F3">
        <w:t xml:space="preserve">的肝癌细胞株</w:t>
      </w:r>
      <w:r>
        <w:t>HepG2</w:t>
      </w:r>
      <w:r>
        <w:t>/</w:t>
      </w:r>
      <w:r>
        <w:t>HBx</w:t>
      </w:r>
      <w:r>
        <w:t>，激光共聚焦显微镜观察到</w:t>
      </w:r>
    </w:p>
    <w:p w:rsidR="0018722C">
      <w:pPr>
        <w:pStyle w:val="aff0"/>
        <w:topLinePunct/>
      </w:pPr>
      <w:r>
        <w:t>HBx</w:t>
      </w:r>
      <w:r/>
      <w:r w:rsidR="001852F3">
        <w:t xml:space="preserve">与</w:t>
      </w:r>
      <w:r>
        <w:t>COXIII</w:t>
      </w:r>
      <w:r/>
      <w:r w:rsidR="001852F3">
        <w:t xml:space="preserve">在线粒体中共定位。</w:t>
      </w:r>
      <w:r>
        <w:t>HBx</w:t>
      </w:r>
      <w:r/>
      <w:r w:rsidR="001852F3">
        <w:t xml:space="preserve">上调</w:t>
      </w:r>
      <w:r>
        <w:t>HepG2</w:t>
      </w:r>
      <w:r/>
      <w:r w:rsidR="001852F3">
        <w:t xml:space="preserve">细胞</w:t>
      </w:r>
      <w:r>
        <w:t>COXIII</w:t>
      </w:r>
      <w:r/>
      <w:r w:rsidR="001852F3">
        <w:t xml:space="preserve">转录后水平，增高</w:t>
      </w:r>
    </w:p>
    <w:p w:rsidR="0018722C">
      <w:pPr>
        <w:pStyle w:val="aff0"/>
        <w:topLinePunct/>
      </w:pPr>
      <w:r>
        <w:t>COX</w:t>
      </w:r>
      <w:r/>
      <w:r w:rsidR="001852F3">
        <w:t xml:space="preserve">酶活性、</w:t>
      </w:r>
      <w:r>
        <w:t>ROS</w:t>
      </w:r>
      <w:r/>
      <w:r w:rsidR="001852F3">
        <w:t xml:space="preserve">水平以及线粒体跨膜电位。扫描电镜下观察到</w:t>
      </w:r>
      <w:r>
        <w:t>HepG2</w:t>
      </w:r>
      <w:r>
        <w:t>/</w:t>
      </w:r>
      <w:r>
        <w:t>HBx</w:t>
      </w:r>
      <w:r/>
      <w:r w:rsidR="001852F3">
        <w:t xml:space="preserve">细胞线</w:t>
      </w:r>
      <w:r>
        <w:t>粒体稍肿胀。另外，</w:t>
      </w:r>
      <w:r>
        <w:t>HBx</w:t>
      </w:r>
      <w:r/>
      <w:r w:rsidR="001852F3">
        <w:t xml:space="preserve">上调</w:t>
      </w:r>
      <w:r>
        <w:t>HepG2</w:t>
      </w:r>
      <w:r/>
      <w:r w:rsidR="001852F3">
        <w:t xml:space="preserve">细胞</w:t>
      </w:r>
      <w:r>
        <w:t>COX-2</w:t>
      </w:r>
      <w:r/>
      <w:r w:rsidR="001852F3">
        <w:t xml:space="preserve">的</w:t>
      </w:r>
      <w:r>
        <w:t>mRNA</w:t>
      </w:r>
      <w:r/>
      <w:r w:rsidR="001852F3">
        <w:t xml:space="preserve">与蛋白表达水平，当加入</w:t>
      </w:r>
    </w:p>
    <w:p w:rsidR="0018722C">
      <w:pPr>
        <w:pStyle w:val="aff0"/>
        <w:topLinePunct/>
      </w:pPr>
      <w:r>
        <w:t>ROS</w:t>
      </w:r>
      <w:r/>
      <w:r w:rsidR="001852F3">
        <w:t xml:space="preserve">的清除剂</w:t>
      </w:r>
      <w:r>
        <w:t>NAC</w:t>
      </w:r>
      <w:r/>
      <w:r w:rsidR="001852F3">
        <w:t xml:space="preserve">后，</w:t>
      </w:r>
      <w:r>
        <w:t>COX-2</w:t>
      </w:r>
      <w:r/>
      <w:r w:rsidR="001852F3">
        <w:t xml:space="preserve">的蛋白表达水平下降。</w:t>
      </w:r>
      <w:r>
        <w:t>HepG2</w:t>
      </w:r>
      <w:r>
        <w:t>/</w:t>
      </w:r>
      <w:r>
        <w:t>HBx</w:t>
      </w:r>
      <w:r/>
      <w:r w:rsidR="001852F3">
        <w:t xml:space="preserve">增殖能力增强，克</w:t>
      </w:r>
      <w:r>
        <w:t>隆形成率增高，当加入</w:t>
      </w:r>
      <w:r>
        <w:t>COX-2</w:t>
      </w:r>
      <w:r/>
      <w:r w:rsidR="001852F3">
        <w:t xml:space="preserve">的抑制剂</w:t>
      </w:r>
      <w:r>
        <w:t>NS-398</w:t>
      </w:r>
      <w:r/>
      <w:r w:rsidR="001852F3">
        <w:t xml:space="preserve">后</w:t>
      </w:r>
      <w:r>
        <w:t>，HepG2</w:t>
      </w:r>
      <w:r>
        <w:t>/</w:t>
      </w:r>
      <w:r>
        <w:t>HBx</w:t>
      </w:r>
      <w:r/>
      <w:r w:rsidR="001852F3">
        <w:t xml:space="preserve">细胞的增殖能力下</w:t>
      </w:r>
      <w:r>
        <w:t>降。</w:t>
      </w:r>
      <w:r w:rsidR="001852F3">
        <w:t xml:space="preserve">最后，我们检测到</w:t>
      </w:r>
      <w:r>
        <w:t>HBx</w:t>
      </w:r>
      <w:r/>
      <w:r w:rsidR="001852F3">
        <w:t xml:space="preserve">能够上调</w:t>
      </w:r>
      <w:r>
        <w:t>HepG2</w:t>
      </w:r>
      <w:r/>
      <w:r w:rsidR="001852F3">
        <w:t xml:space="preserve">细胞</w:t>
      </w:r>
      <w:r>
        <w:t>β–catenin</w:t>
      </w:r>
      <w:r/>
      <w:r w:rsidR="001852F3">
        <w:t xml:space="preserve">的</w:t>
      </w:r>
      <w:r>
        <w:t>mRNA</w:t>
      </w:r>
      <w:r/>
      <w:r w:rsidR="001852F3">
        <w:t xml:space="preserve">与蛋白表</w:t>
      </w:r>
    </w:p>
    <w:p w:rsidR="0018722C">
      <w:pPr>
        <w:pStyle w:val="aff0"/>
        <w:topLinePunct/>
      </w:pPr>
      <w:r>
        <w:t>达水平，以及</w:t>
      </w:r>
      <w:r>
        <w:t>β–catenin</w:t>
      </w:r>
      <w:r/>
      <w:r w:rsidR="001852F3">
        <w:t xml:space="preserve">下游靶基因</w:t>
      </w:r>
      <w:r>
        <w:t>cyclin-D1</w:t>
      </w:r>
      <w:r/>
      <w:r w:rsidR="001852F3">
        <w:t xml:space="preserve">和</w:t>
      </w:r>
      <w:r>
        <w:t>c-myc</w:t>
      </w:r>
      <w:r/>
      <w:r w:rsidR="001852F3">
        <w:t xml:space="preserve">的</w:t>
      </w:r>
      <w:r>
        <w:t>mRNA</w:t>
      </w:r>
      <w:r/>
      <w:r w:rsidR="001852F3">
        <w:t xml:space="preserve">表达水平，加</w:t>
      </w:r>
      <w:r>
        <w:t>入</w:t>
      </w:r>
      <w:r>
        <w:t>COX-2</w:t>
      </w:r>
      <w:r/>
      <w:r w:rsidR="001852F3">
        <w:t xml:space="preserve">的抑制剂</w:t>
      </w:r>
      <w:r>
        <w:t>NS-398</w:t>
      </w:r>
      <w:r/>
      <w:r w:rsidR="001852F3">
        <w:t xml:space="preserve">后</w:t>
      </w:r>
      <w:r>
        <w:t>HepG2</w:t>
      </w:r>
      <w:r>
        <w:t>/</w:t>
      </w:r>
      <w:r>
        <w:t>HBx</w:t>
      </w:r>
      <w:r/>
      <w:r w:rsidR="001852F3">
        <w:t xml:space="preserve">细胞株</w:t>
      </w:r>
      <w:r>
        <w:t>β–catenin</w:t>
      </w:r>
      <w:r/>
      <w:r w:rsidR="001852F3">
        <w:t xml:space="preserve">蛋白表达水平下调，</w:t>
      </w:r>
      <w:r>
        <w:t>而当加入</w:t>
      </w:r>
      <w:r>
        <w:t>β–catenin</w:t>
      </w:r>
      <w:r/>
      <w:r w:rsidR="001852F3">
        <w:t xml:space="preserve">的抑制剂</w:t>
      </w:r>
      <w:r>
        <w:t>XAV939</w:t>
      </w:r>
      <w:r/>
      <w:r w:rsidR="001852F3">
        <w:t xml:space="preserve">后</w:t>
      </w:r>
      <w:r>
        <w:t>，HepG2</w:t>
      </w:r>
      <w:r>
        <w:t>/</w:t>
      </w:r>
      <w:r>
        <w:t>HBx</w:t>
      </w:r>
      <w:r/>
      <w:r w:rsidR="001852F3">
        <w:t xml:space="preserve">细胞的增殖能力下降。</w:t>
      </w:r>
      <w:r>
        <w:rPr>
          <w:b/>
        </w:rPr>
        <w:t>结</w:t>
      </w:r>
      <w:r>
        <w:rPr>
          <w:b/>
        </w:rPr>
        <w:t>论：</w:t>
      </w:r>
      <w:r>
        <w:t>稳定表达的</w:t>
      </w:r>
      <w:r>
        <w:t>HBx</w:t>
      </w:r>
      <w:r/>
      <w:r w:rsidR="001852F3">
        <w:t xml:space="preserve">能够与</w:t>
      </w:r>
      <w:r>
        <w:t>COXIII</w:t>
      </w:r>
      <w:r/>
      <w:r w:rsidR="001852F3">
        <w:t xml:space="preserve">在</w:t>
      </w:r>
      <w:r>
        <w:t>HepG2</w:t>
      </w:r>
      <w:r/>
      <w:r w:rsidR="001852F3">
        <w:t xml:space="preserve">细胞线粒体中共定位，上调线粒体的</w:t>
      </w:r>
      <w:r>
        <w:t>功能，增加</w:t>
      </w:r>
      <w:r>
        <w:t>ROS</w:t>
      </w:r>
      <w:r/>
      <w:r w:rsidR="001852F3">
        <w:t xml:space="preserve">的水平来提高</w:t>
      </w:r>
      <w:r>
        <w:t>COX-2</w:t>
      </w:r>
      <w:r/>
      <w:r w:rsidR="001852F3">
        <w:t xml:space="preserve">的表达，进一步上调</w:t>
      </w:r>
      <w:r>
        <w:t>β–catenin</w:t>
      </w:r>
      <w:r/>
      <w:r w:rsidR="001852F3">
        <w:t xml:space="preserve">的表达水平从而促进细胞的增殖。</w:t>
      </w:r>
    </w:p>
    <w:p w:rsidR="0018722C">
      <w:pPr>
        <w:pStyle w:val="aff"/>
        <w:topLinePunct/>
      </w:pPr>
      <w:r>
        <w:rPr>
          <w:rStyle w:val="afe"/>
          <w:rFonts w:cstheme="minorBidi" w:hAnsiTheme="minorHAnsi" w:eastAsiaTheme="minorHAnsi" w:asciiTheme="minorHAnsi" w:ascii="Times New Roman" w:hAnsi="宋体" w:eastAsia="黑体" w:cs="宋体"/>
          <w:b/>
        </w:rPr>
        <w:t>关键词：</w:t>
      </w:r>
      <w:r>
        <w:rPr>
          <w:rFonts w:cstheme="minorBidi" w:hAnsiTheme="minorHAnsi" w:eastAsiaTheme="minorHAnsi" w:asciiTheme="minorHAnsi" w:ascii="宋体" w:hAnsi="宋体" w:eastAsia="宋体" w:cs="宋体"/>
          <w:b/>
        </w:rPr>
        <w:t>乙肝病毒</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x</w:t>
      </w:r>
      <w:r>
        <w:rPr>
          <w:rFonts w:cstheme="minorBidi" w:hAnsiTheme="minorHAnsi" w:eastAsiaTheme="minorHAnsi" w:asciiTheme="minorHAnsi" w:ascii="宋体" w:hAnsi="宋体" w:eastAsia="宋体" w:cs="宋体"/>
          <w:b/>
        </w:rPr>
        <w:t> 蛋白</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细胞色素</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C</w:t>
      </w:r>
      <w:r>
        <w:rPr>
          <w:rFonts w:cstheme="minorBidi" w:hAnsiTheme="minorHAnsi" w:eastAsiaTheme="minorHAnsi" w:asciiTheme="minorHAnsi" w:ascii="宋体" w:hAnsi="宋体" w:eastAsia="宋体" w:cs="宋体"/>
          <w:b/>
        </w:rPr>
        <w:t> 氧化酶亚单位</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III</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活性氧</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环氧合酶-2</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细胞增殖</w:t>
      </w:r>
    </w:p>
    <w:p w:rsidR="0018722C">
      <w:pPr>
        <w:pStyle w:val="af5"/>
        <w:topLinePunct/>
      </w:pPr>
      <w:bookmarkStart w:name="英文摘要 " w:id="7"/>
      <w:bookmarkEnd w:id="7"/>
      <w:r>
        <w:rPr>
          <w:rFonts w:ascii="Times New Roman" w:cstheme="minorBidi" w:hAnsiTheme="minorHAnsi" w:eastAsiaTheme="minorHAnsi"/>
          <w:b/>
        </w:rPr>
        <w:t>HBx Co-localizes with COXIII in HepG2 Cells to up-regulate Mitochondrial Fuction and Promote Cell Proliferation</w:t>
      </w:r>
    </w:p>
    <w:p w:rsidR="0018722C">
      <w:pPr>
        <w:pStyle w:val="afff2"/>
        <w:topLinePunct/>
      </w:pPr>
      <w:bookmarkStart w:id="707258" w:name="_Toc686707258"/>
      <w:r>
        <w:rPr>
          <w:b/>
        </w:rPr>
        <w:t>Abstract</w:t>
      </w:r>
      <w:bookmarkEnd w:id="707258"/>
    </w:p>
    <w:p w:rsidR="0018722C">
      <w:pPr>
        <w:pStyle w:val="afc"/>
        <w:topLinePunct/>
      </w:pPr>
      <w:r>
        <w:rPr>
          <w:rFonts w:ascii="Times New Roman" w:hAnsi="Times New Roman"/>
          <w:b/>
        </w:rPr>
        <w:t xml:space="preserve">Background</w:t>
      </w:r>
      <w:r>
        <w:rPr>
          <w:rFonts w:ascii="Times New Roman" w:hAnsi="Times New Roman"/>
          <w:b/>
        </w:rPr>
        <w:t xml:space="preserve"> </w:t>
      </w:r>
      <w:r>
        <w:rPr>
          <w:rFonts w:ascii="Times New Roman" w:hAnsi="Times New Roman"/>
          <w:b/>
        </w:rPr>
        <w:t xml:space="preserve">and</w:t>
      </w:r>
      <w:r>
        <w:rPr>
          <w:rFonts w:ascii="Times New Roman" w:hAnsi="Times New Roman"/>
          <w:b/>
        </w:rPr>
        <w:t xml:space="preserve"> </w:t>
      </w:r>
      <w:r>
        <w:rPr>
          <w:rFonts w:ascii="Times New Roman" w:hAnsi="Times New Roman"/>
          <w:b/>
        </w:rPr>
        <w:t xml:space="preserve">Aim:</w:t>
      </w:r>
      <w:r>
        <w:rPr>
          <w:rFonts w:ascii="Times New Roman" w:hAnsi="Times New Roman"/>
          <w:b/>
        </w:rPr>
        <w:t xml:space="preserve"> </w:t>
      </w:r>
      <w:r>
        <w:rPr>
          <w:rFonts w:ascii="Times New Roman" w:hAnsi="Times New Roman"/>
        </w:rPr>
        <w:t xml:space="preserve">Hepatitis</w:t>
      </w:r>
      <w:r>
        <w:rPr>
          <w:rFonts w:ascii="Times New Roman" w:hAnsi="Times New Roman"/>
        </w:rPr>
        <w:t xml:space="preserve"> </w:t>
      </w:r>
      <w:r>
        <w:rPr>
          <w:rFonts w:ascii="Times New Roman" w:hAnsi="Times New Roman"/>
        </w:rPr>
        <w:t xml:space="preserve">B</w:t>
      </w:r>
      <w:r>
        <w:rPr>
          <w:rFonts w:ascii="Times New Roman" w:hAnsi="Times New Roman"/>
        </w:rPr>
        <w:t xml:space="preserve"> </w:t>
      </w:r>
      <w:r>
        <w:rPr>
          <w:rFonts w:ascii="Times New Roman" w:hAnsi="Times New Roman"/>
        </w:rPr>
        <w:t xml:space="preserve">virus</w:t>
      </w:r>
      <w:r>
        <w:rPr>
          <w:rFonts w:ascii="Times New Roman" w:hAnsi="Times New Roman"/>
        </w:rPr>
        <w:t xml:space="preserve"> </w:t>
      </w:r>
      <w:r>
        <w:rPr>
          <w:rFonts w:ascii="Times New Roman" w:hAnsi="Times New Roman"/>
        </w:rPr>
        <w:t xml:space="preserve">X</w:t>
      </w:r>
      <w:r>
        <w:rPr>
          <w:rFonts w:ascii="Times New Roman" w:hAnsi="Times New Roman"/>
        </w:rPr>
        <w:t xml:space="preserve"> </w:t>
      </w:r>
      <w:r>
        <w:rPr>
          <w:rFonts w:ascii="Times New Roman" w:hAnsi="Times New Roman"/>
        </w:rPr>
        <w:t xml:space="preserve">protein</w:t>
      </w:r>
      <w:r>
        <w:rPr>
          <w:rFonts w:ascii="Times New Roman" w:hAnsi="Times New Roman"/>
        </w:rPr>
        <w:t xml:space="preserve"> </w:t>
      </w:r>
      <w:r>
        <w:rPr>
          <w:rFonts w:ascii="Times New Roman" w:hAnsi="Times New Roman"/>
        </w:rPr>
        <w:t xml:space="preserve">(</w:t>
      </w:r>
      <w:r>
        <w:rPr>
          <w:rFonts w:ascii="Times New Roman" w:hAnsi="Times New Roman"/>
        </w:rPr>
        <w:t xml:space="preserve">HBx</w:t>
      </w:r>
      <w:r>
        <w:rPr>
          <w:rFonts w:ascii="Times New Roman" w:hAnsi="Times New Roman"/>
        </w:rPr>
        <w:t xml:space="preserve">)</w:t>
      </w:r>
      <w:r>
        <w:rPr>
          <w:rFonts w:ascii="Times New Roman" w:hAnsi="Times New Roman"/>
        </w:rPr>
        <w:t xml:space="preserve"> </w:t>
      </w:r>
      <w:r>
        <w:rPr>
          <w:rFonts w:ascii="Times New Roman" w:hAnsi="Times New Roman"/>
        </w:rPr>
        <w:t xml:space="preserve">which</w:t>
      </w:r>
      <w:r>
        <w:rPr>
          <w:rFonts w:ascii="Times New Roman" w:hAnsi="Times New Roman"/>
        </w:rPr>
        <w:t xml:space="preserve"> </w:t>
      </w:r>
      <w:r>
        <w:rPr>
          <w:rFonts w:ascii="Times New Roman" w:hAnsi="Times New Roman"/>
        </w:rPr>
        <w:t xml:space="preserve">has</w:t>
      </w:r>
      <w:r>
        <w:rPr>
          <w:rFonts w:ascii="Times New Roman" w:hAnsi="Times New Roman"/>
        </w:rPr>
        <w:t xml:space="preserve"> </w:t>
      </w:r>
      <w:r>
        <w:rPr>
          <w:rFonts w:ascii="Times New Roman" w:hAnsi="Times New Roman"/>
        </w:rPr>
        <w:t xml:space="preserve">been</w:t>
      </w:r>
      <w:r>
        <w:rPr>
          <w:rFonts w:ascii="Times New Roman" w:hAnsi="Times New Roman"/>
        </w:rPr>
        <w:t xml:space="preserve"> </w:t>
      </w:r>
      <w:r>
        <w:rPr>
          <w:rFonts w:ascii="Times New Roman" w:hAnsi="Times New Roman"/>
        </w:rPr>
        <w:t xml:space="preserve">termed―viral oncoprotein‖</w:t>
      </w:r>
      <w:r w:rsidR="001852F3">
        <w:rPr>
          <w:rFonts w:ascii="Times New Roman" w:hAnsi="Times New Roman"/>
        </w:rPr>
        <w:t xml:space="preserve">leads to the development of HBV-associated HCC. However, the mechanism and details remain unclear. Our recent studies have revealed that HBx can interact with the inner mitochondrial membrane protein, cytochrome c oxidase subunit III </w:t>
      </w:r>
      <w:r>
        <w:rPr>
          <w:rFonts w:ascii="Times New Roman" w:hAnsi="Times New Roman"/>
        </w:rPr>
        <w:t xml:space="preserve">(</w:t>
      </w:r>
      <w:r>
        <w:rPr>
          <w:rFonts w:ascii="Times New Roman" w:hAnsi="Times New Roman"/>
        </w:rPr>
        <w:t xml:space="preserve">COXIII</w:t>
      </w:r>
      <w:r>
        <w:rPr>
          <w:rFonts w:ascii="Times New Roman" w:hAnsi="Times New Roman"/>
        </w:rPr>
        <w:t xml:space="preserve">)</w:t>
      </w:r>
      <w:r>
        <w:rPr>
          <w:rFonts w:ascii="Times New Roman" w:hAnsi="Times New Roman"/>
        </w:rPr>
        <w:t xml:space="preserve">, by yeast two-hybrid system, mating experiment and coimmunoprecipitation. </w:t>
      </w:r>
      <w:r>
        <w:rPr>
          <w:rFonts w:ascii="Times New Roman" w:hAnsi="Times New Roman"/>
        </w:rPr>
        <w:t xml:space="preserve">To </w:t>
      </w:r>
      <w:r>
        <w:rPr>
          <w:rFonts w:ascii="Times New Roman" w:hAnsi="Times New Roman"/>
        </w:rPr>
        <w:t xml:space="preserve">futher explore the co-localizaiton of HBx and COXIII in HepG2 cells and to investigate the following changes of mitochondrial ultrastructure</w:t>
      </w:r>
      <w:r w:rsidR="001852F3">
        <w:rPr>
          <w:rFonts w:ascii="Times New Roman" w:hAnsi="Times New Roman"/>
        </w:rPr>
        <w:t xml:space="preserve"> and function and the molecular mechanism of HBx in HepG2 cells growth</w:t>
      </w:r>
      <w:r>
        <w:rPr>
          <w:rFonts w:ascii="Times New Roman" w:hAnsi="Times New Roman"/>
        </w:rPr>
        <w:t xml:space="preserve"> </w:t>
      </w:r>
      <w:r>
        <w:rPr>
          <w:rFonts w:ascii="Times New Roman" w:hAnsi="Times New Roman"/>
        </w:rPr>
        <w:t xml:space="preserve">promotion.</w:t>
      </w:r>
    </w:p>
    <w:p w:rsidR="0018722C">
      <w:pPr>
        <w:pStyle w:val="afc"/>
        <w:topLinePunct/>
      </w:pPr>
      <w:r>
        <w:rPr>
          <w:rFonts w:ascii="Times New Roman" w:hAnsi="Times New Roman"/>
          <w:b/>
        </w:rPr>
        <w:t xml:space="preserve">Methods: </w:t>
      </w:r>
      <w:r>
        <w:rPr>
          <w:rFonts w:ascii="Times New Roman" w:hAnsi="Times New Roman"/>
        </w:rPr>
        <w:t xml:space="preserve">A HepG2 cell line stably expressing HBx gene by lentivirus vectors were constructed. HepG2</w:t>
      </w:r>
      <w:r>
        <w:rPr>
          <w:rFonts w:ascii="Times New Roman" w:hAnsi="Times New Roman"/>
        </w:rPr>
        <w:t xml:space="preserve">/</w:t>
      </w:r>
      <w:r>
        <w:rPr>
          <w:rFonts w:ascii="Times New Roman" w:hAnsi="Times New Roman"/>
        </w:rPr>
        <w:t xml:space="preserve">mock and HepG2 cells served as control groups.</w:t>
      </w:r>
      <w:r w:rsidR="001852F3">
        <w:rPr>
          <w:rFonts w:ascii="Times New Roman" w:hAnsi="Times New Roman"/>
        </w:rPr>
        <w:t xml:space="preserve"> </w:t>
      </w:r>
      <w:r w:rsidR="001852F3">
        <w:rPr>
          <w:rFonts w:ascii="Times New Roman" w:hAnsi="Times New Roman"/>
        </w:rPr>
        <w:t xml:space="preserve">Confocal microscopy was utilized to assess the interaction between HBx protein and COXIII.</w:t>
      </w:r>
      <w:r w:rsidR="001852F3">
        <w:rPr>
          <w:rFonts w:ascii="Times New Roman" w:hAnsi="Times New Roman"/>
        </w:rPr>
        <w:t xml:space="preserve"> </w:t>
      </w:r>
      <w:r w:rsidR="001852F3">
        <w:rPr>
          <w:rFonts w:ascii="Times New Roman" w:hAnsi="Times New Roman"/>
        </w:rPr>
        <w:t xml:space="preserve">Then the expression of COXIII mRNA and protein were investigated by </w:t>
      </w:r>
      <w:r>
        <w:rPr>
          <w:rFonts w:ascii="Times New Roman" w:hAnsi="Times New Roman"/>
        </w:rPr>
        <w:t xml:space="preserve">RT-PCR </w:t>
      </w:r>
      <w:r>
        <w:rPr>
          <w:rFonts w:ascii="Times New Roman" w:hAnsi="Times New Roman"/>
        </w:rPr>
        <w:t xml:space="preserve">and western blot respectively. Activities of cytochrome c oxidase, level of ROS and mitochondrial membrane potential were investigated in cell cultures.</w:t>
      </w:r>
      <w:r w:rsidR="001852F3">
        <w:rPr>
          <w:rFonts w:ascii="Times New Roman" w:hAnsi="Times New Roman"/>
        </w:rPr>
        <w:t xml:space="preserve"> </w:t>
      </w:r>
      <w:r w:rsidR="001852F3">
        <w:rPr>
          <w:rFonts w:ascii="Times New Roman" w:hAnsi="Times New Roman"/>
        </w:rPr>
        <w:t xml:space="preserve">The morphologicalchanges of cell and mitochondria were observed by transmission electron microscopy </w:t>
      </w:r>
      <w:r>
        <w:rPr>
          <w:rFonts w:ascii="Times New Roman" w:hAnsi="Times New Roman"/>
        </w:rPr>
        <w:t xml:space="preserve">(</w:t>
      </w:r>
      <w:r>
        <w:rPr>
          <w:rFonts w:ascii="Times New Roman" w:hAnsi="Times New Roman"/>
        </w:rPr>
        <w:t xml:space="preserve">TEM</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Next COX-2 mRNA was investigated by </w:t>
      </w:r>
      <w:r>
        <w:rPr>
          <w:rFonts w:ascii="Times New Roman" w:hAnsi="Times New Roman"/>
        </w:rPr>
        <w:t xml:space="preserve">RT-PCR </w:t>
      </w:r>
      <w:r>
        <w:rPr>
          <w:rFonts w:ascii="Times New Roman" w:hAnsi="Times New Roman"/>
        </w:rPr>
        <w:t xml:space="preserve">while the expression of protein </w:t>
      </w:r>
      <w:r>
        <w:rPr>
          <w:rFonts w:ascii="Times New Roman" w:hAnsi="Times New Roman"/>
        </w:rPr>
        <w:t xml:space="preserve">(</w:t>
      </w:r>
      <w:r>
        <w:rPr>
          <w:rFonts w:ascii="Times New Roman" w:hAnsi="Times New Roman"/>
        </w:rPr>
        <w:t xml:space="preserve">before and after the addition of ROS scavenger,</w:t>
      </w:r>
      <w:r w:rsidR="001852F3">
        <w:rPr>
          <w:rFonts w:ascii="Times New Roman" w:hAnsi="Times New Roman"/>
        </w:rPr>
        <w:t xml:space="preserve"> </w:t>
      </w:r>
      <w:r w:rsidR="001852F3">
        <w:rPr>
          <w:rFonts w:ascii="Times New Roman" w:hAnsi="Times New Roman"/>
        </w:rPr>
        <w:t xml:space="preserve">NAC</w:t>
      </w:r>
      <w:r>
        <w:rPr>
          <w:rFonts w:ascii="Times New Roman" w:hAnsi="Times New Roman"/>
        </w:rPr>
        <w:t xml:space="preserve">)</w:t>
      </w:r>
      <w:r>
        <w:rPr>
          <w:rFonts w:ascii="Times New Roman" w:hAnsi="Times New Roman"/>
        </w:rPr>
        <w:t xml:space="preserve"> was examined by western blot. Cell proliferation ability was analyzed by the cell-counting kit-8</w:t>
      </w:r>
      <w:r>
        <w:rPr>
          <w:rFonts w:ascii="Times New Roman" w:hAnsi="Times New Roman"/>
        </w:rPr>
        <w:t xml:space="preserve">(</w:t>
      </w:r>
      <w:r>
        <w:rPr>
          <w:rFonts w:ascii="Times New Roman" w:hAnsi="Times New Roman"/>
        </w:rPr>
        <w:t xml:space="preserve">CCK-8</w:t>
      </w:r>
      <w:r>
        <w:rPr>
          <w:rFonts w:ascii="Times New Roman" w:hAnsi="Times New Roman"/>
        </w:rPr>
        <w:t xml:space="preserve">)</w:t>
      </w:r>
      <w:r>
        <w:rPr>
          <w:rFonts w:ascii="Times New Roman" w:hAnsi="Times New Roman"/>
        </w:rPr>
        <w:t xml:space="preserve"> and colony formation assay.</w:t>
      </w:r>
      <w:r w:rsidR="004B696B">
        <w:rPr>
          <w:rFonts w:ascii="Times New Roman" w:hAnsi="Times New Roman"/>
        </w:rPr>
        <w:t xml:space="preserve"> </w:t>
      </w:r>
      <w:r w:rsidR="004B696B">
        <w:rPr>
          <w:rFonts w:ascii="Times New Roman" w:hAnsi="Times New Roman"/>
        </w:rPr>
        <w:t xml:space="preserve">Then cells were treated with the selective COX-2 inhibitor, NS-398, and measured the cell proliferation ability.</w:t>
      </w:r>
      <w:r w:rsidR="004B696B">
        <w:rPr>
          <w:rFonts w:ascii="Times New Roman" w:hAnsi="Times New Roman"/>
        </w:rPr>
        <w:t xml:space="preserve"> </w:t>
      </w:r>
      <w:r w:rsidR="004B696B">
        <w:rPr>
          <w:rFonts w:ascii="Times New Roman" w:hAnsi="Times New Roman"/>
        </w:rPr>
        <w:t xml:space="preserve">Last but not the least, the expression of</w:t>
      </w:r>
      <w:r w:rsidR="001852F3">
        <w:rPr>
          <w:rFonts w:ascii="Times New Roman" w:hAnsi="Times New Roman"/>
        </w:rPr>
        <w:t xml:space="preserve">β–catenin mRNA and protein were investigated by </w:t>
      </w:r>
      <w:r>
        <w:rPr>
          <w:rFonts w:ascii="Times New Roman" w:hAnsi="Times New Roman"/>
        </w:rPr>
        <w:t xml:space="preserve">RT-PCR </w:t>
      </w:r>
      <w:r>
        <w:rPr>
          <w:rFonts w:ascii="Times New Roman" w:hAnsi="Times New Roman"/>
        </w:rPr>
        <w:t xml:space="preserve">and western blot,</w:t>
      </w:r>
      <w:r w:rsidR="004B696B">
        <w:rPr>
          <w:rFonts w:ascii="Times New Roman" w:hAnsi="Times New Roman"/>
        </w:rPr>
        <w:t xml:space="preserve"> </w:t>
      </w:r>
      <w:r w:rsidR="004B696B">
        <w:rPr>
          <w:rFonts w:ascii="Times New Roman" w:hAnsi="Times New Roman"/>
        </w:rPr>
        <w:t xml:space="preserve">the expression of</w:t>
      </w:r>
      <w:r w:rsidR="001852F3">
        <w:rPr>
          <w:rFonts w:ascii="Times New Roman" w:hAnsi="Times New Roman"/>
        </w:rPr>
        <w:t xml:space="preserve">β-catenin target genes mRNA, cyclin-D1 and c-myc,</w:t>
      </w:r>
      <w:r w:rsidR="001852F3">
        <w:rPr>
          <w:rFonts w:ascii="Times New Roman" w:hAnsi="Times New Roman"/>
        </w:rPr>
        <w:t xml:space="preserve"> </w:t>
      </w:r>
      <w:r w:rsidR="001852F3">
        <w:rPr>
          <w:rFonts w:ascii="Times New Roman" w:hAnsi="Times New Roman"/>
        </w:rPr>
        <w:t xml:space="preserve">was tested. Then cells were treated with the selective COX-2 inhibitor, NS-398, to investigate</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changes</w:t>
      </w:r>
      <w:r>
        <w:rPr>
          <w:rFonts w:ascii="Times New Roman" w:hAnsi="Times New Roman"/>
        </w:rPr>
        <w:t xml:space="preserve"> </w:t>
      </w:r>
      <w:r>
        <w:rPr>
          <w:rFonts w:ascii="Times New Roman" w:hAnsi="Times New Roman"/>
        </w:rPr>
        <w:t xml:space="preserve">of</w:t>
      </w:r>
      <w:r>
        <w:rPr>
          <w:rFonts w:ascii="Times New Roman" w:hAnsi="Times New Roman"/>
        </w:rPr>
        <w:t xml:space="preserve">β-catenin</w:t>
      </w:r>
      <w:r>
        <w:rPr>
          <w:rFonts w:ascii="Times New Roman" w:hAnsi="Times New Roman"/>
        </w:rPr>
        <w:t xml:space="preserve"> </w:t>
      </w:r>
      <w:r>
        <w:rPr>
          <w:rFonts w:ascii="Times New Roman" w:hAnsi="Times New Roman"/>
        </w:rPr>
        <w:t xml:space="preserve">protein</w:t>
      </w:r>
      <w:r>
        <w:rPr>
          <w:rFonts w:ascii="Times New Roman" w:hAnsi="Times New Roman"/>
        </w:rPr>
        <w:t xml:space="preserve"> </w:t>
      </w:r>
      <w:r>
        <w:rPr>
          <w:rFonts w:ascii="Times New Roman" w:hAnsi="Times New Roman"/>
        </w:rPr>
        <w:t xml:space="preserve">expression.</w:t>
      </w:r>
      <w:r>
        <w:rPr>
          <w:rFonts w:ascii="Times New Roman" w:hAnsi="Times New Roman"/>
        </w:rPr>
        <w:t xml:space="preserve"> </w:t>
      </w:r>
      <w:r>
        <w:rPr>
          <w:rFonts w:ascii="Times New Roman" w:hAnsi="Times New Roman"/>
        </w:rPr>
        <w:t xml:space="preserve">Finally,</w:t>
      </w:r>
      <w:r>
        <w:rPr>
          <w:rFonts w:ascii="Times New Roman" w:hAnsi="Times New Roman"/>
        </w:rPr>
        <w:t xml:space="preserve"> </w:t>
      </w:r>
      <w:r>
        <w:rPr>
          <w:rFonts w:ascii="Times New Roman" w:hAnsi="Times New Roman"/>
        </w:rPr>
        <w:t xml:space="preserve">cells</w:t>
      </w:r>
      <w:r>
        <w:rPr>
          <w:rFonts w:ascii="Times New Roman" w:hAnsi="Times New Roman"/>
        </w:rPr>
        <w:t xml:space="preserve"> </w:t>
      </w:r>
      <w:r>
        <w:rPr>
          <w:rFonts w:ascii="Times New Roman" w:hAnsi="Times New Roman"/>
        </w:rPr>
        <w:t xml:space="preserve">were</w:t>
      </w:r>
      <w:r>
        <w:rPr>
          <w:rFonts w:ascii="Times New Roman" w:hAnsi="Times New Roman"/>
        </w:rPr>
        <w:t xml:space="preserve"> </w:t>
      </w:r>
      <w:r>
        <w:rPr>
          <w:rFonts w:ascii="Times New Roman" w:hAnsi="Times New Roman"/>
        </w:rPr>
        <w:t xml:space="preserve">treated</w:t>
      </w:r>
      <w:r>
        <w:rPr>
          <w:rFonts w:ascii="Times New Roman" w:hAnsi="Times New Roman"/>
        </w:rPr>
        <w:t xml:space="preserve"> </w:t>
      </w:r>
      <w:r>
        <w:rPr>
          <w:rFonts w:ascii="Times New Roman" w:hAnsi="Times New Roman"/>
        </w:rPr>
        <w:t xml:space="preserve">with</w:t>
      </w:r>
    </w:p>
    <w:p w:rsidR="0018722C">
      <w:pPr>
        <w:pStyle w:val="afc"/>
        <w:topLinePunct/>
      </w:pPr>
      <w:r>
        <w:rPr>
          <w:rFonts w:ascii="Times New Roman" w:hAnsi="Times New Roman"/>
        </w:rPr>
        <w:t>β-catenin inhibitor, XAV939,</w:t>
      </w:r>
      <w:r w:rsidR="004B696B">
        <w:rPr>
          <w:rFonts w:ascii="Times New Roman" w:hAnsi="Times New Roman"/>
        </w:rPr>
        <w:t xml:space="preserve"> </w:t>
      </w:r>
      <w:r w:rsidR="004B696B">
        <w:rPr>
          <w:rFonts w:ascii="Times New Roman" w:hAnsi="Times New Roman"/>
        </w:rPr>
        <w:t>to measure the changes of cell proliferation ability. </w:t>
      </w:r>
      <w:r>
        <w:rPr>
          <w:rFonts w:ascii="Times New Roman" w:hAnsi="Times New Roman"/>
          <w:b/>
        </w:rPr>
        <w:t>Results: </w:t>
      </w:r>
      <w:r>
        <w:rPr>
          <w:rFonts w:ascii="Times New Roman" w:hAnsi="Times New Roman"/>
        </w:rPr>
        <w:t>Our studies further demonstrated that HBx co-localized with the inner mitochondrial protein, COXIII, in HepG2 cells, causing the up-regulation of COXIII protein expression, COX activity, ROS level as well as mitochondrial membrane potential. Mitochondria were only slightly swelling in HepG2</w:t>
      </w:r>
      <w:r>
        <w:rPr>
          <w:rFonts w:ascii="Times New Roman" w:hAnsi="Times New Roman"/>
        </w:rPr>
        <w:t>/</w:t>
      </w:r>
      <w:r>
        <w:rPr>
          <w:rFonts w:ascii="Times New Roman" w:hAnsi="Times New Roman"/>
        </w:rPr>
        <w:t>HBx cells under TEM. In</w:t>
      </w:r>
    </w:p>
    <w:p w:rsidR="0018722C">
      <w:pPr>
        <w:pStyle w:val="afc"/>
        <w:topLinePunct/>
      </w:pPr>
      <w:r>
        <w:rPr>
          <w:rFonts w:ascii="Times New Roman" w:hAnsi="Times New Roman"/>
        </w:rPr>
        <w:t/>
      </w:r>
      <w:r>
        <w:rPr>
          <w:rFonts w:ascii="Times New Roman" w:hAnsi="Times New Roman"/>
        </w:rPr>
        <w:t>A</w:t>
      </w:r>
      <w:r>
        <w:rPr>
          <w:rFonts w:ascii="Times New Roman" w:hAnsi="Times New Roman"/>
        </w:rPr>
        <w:t>ddition, HBx up-regulated the expression of COX-2 mRNA and protein in HepG2 cells, and the protein level was decreased when cells were treated with ROS scavenger, NAC. Moreover,</w:t>
      </w:r>
      <w:r w:rsidR="001852F3">
        <w:rPr>
          <w:rFonts w:ascii="Times New Roman" w:hAnsi="Times New Roman"/>
        </w:rPr>
        <w:t xml:space="preserve"> </w:t>
      </w:r>
      <w:r w:rsidR="001852F3">
        <w:rPr>
          <w:rFonts w:ascii="Times New Roman" w:hAnsi="Times New Roman"/>
        </w:rPr>
        <w:t xml:space="preserve">HepG2</w:t>
      </w:r>
      <w:r>
        <w:rPr>
          <w:rFonts w:ascii="Times New Roman" w:hAnsi="Times New Roman"/>
        </w:rPr>
        <w:t>/</w:t>
      </w:r>
      <w:r>
        <w:rPr>
          <w:rFonts w:ascii="Times New Roman" w:hAnsi="Times New Roman"/>
        </w:rPr>
        <w:t>HBx cells increased the proliferation rate and formed more colonies, but the proliferation rate was declined when cells were treated with COX-2 inhibitor, NS-398. Finally, the expressions of</w:t>
      </w:r>
      <w:r w:rsidR="001852F3">
        <w:rPr>
          <w:rFonts w:ascii="Times New Roman" w:hAnsi="Times New Roman"/>
        </w:rPr>
        <w:t xml:space="preserve">β–catenin mRNA and protein as well as cyclin-D1 and c-myc mRNA were increased in HepG2</w:t>
      </w:r>
      <w:r>
        <w:rPr>
          <w:rFonts w:ascii="Times New Roman" w:hAnsi="Times New Roman"/>
        </w:rPr>
        <w:t>/</w:t>
      </w:r>
      <w:r>
        <w:rPr>
          <w:rFonts w:ascii="Times New Roman" w:hAnsi="Times New Roman"/>
        </w:rPr>
        <w:t>HBx cells.</w:t>
      </w:r>
      <w:r w:rsidR="004B696B">
        <w:rPr>
          <w:rFonts w:ascii="Times New Roman" w:hAnsi="Times New Roman"/>
        </w:rPr>
        <w:t xml:space="preserve"> </w:t>
      </w:r>
      <w:r w:rsidR="004B696B">
        <w:rPr>
          <w:rFonts w:ascii="Times New Roman" w:hAnsi="Times New Roman"/>
        </w:rPr>
        <w:t>When cells were treated with the inhibitor of COX-2, NS-398, the protein expression of</w:t>
      </w:r>
      <w:r w:rsidR="001852F3">
        <w:rPr>
          <w:rFonts w:ascii="Times New Roman" w:hAnsi="Times New Roman"/>
        </w:rPr>
        <w:t xml:space="preserve">β–catenin was decreased, while treated with the inhibitor of</w:t>
      </w:r>
      <w:r w:rsidR="001852F3">
        <w:rPr>
          <w:rFonts w:ascii="Times New Roman" w:hAnsi="Times New Roman"/>
        </w:rPr>
        <w:t xml:space="preserve">β–catenin, XAV939, the proliferation rate of HepG2</w:t>
      </w:r>
      <w:r>
        <w:rPr>
          <w:rFonts w:ascii="Times New Roman" w:hAnsi="Times New Roman"/>
        </w:rPr>
        <w:t>/</w:t>
      </w:r>
      <w:r>
        <w:rPr>
          <w:rFonts w:ascii="Times New Roman" w:hAnsi="Times New Roman"/>
        </w:rPr>
        <w:t>HBx cells was declined.</w:t>
      </w:r>
    </w:p>
    <w:p w:rsidR="0018722C">
      <w:pPr>
        <w:pStyle w:val="afc"/>
        <w:topLinePunct/>
      </w:pPr>
      <w:r>
        <w:rPr>
          <w:rFonts w:ascii="Times New Roman" w:hAnsi="Times New Roman"/>
          <w:b/>
        </w:rPr>
        <w:t>Conclusions: </w:t>
      </w:r>
      <w:r>
        <w:rPr>
          <w:rFonts w:ascii="Times New Roman" w:hAnsi="Times New Roman"/>
        </w:rPr>
        <w:t>The co-localization of HBx and COXIII leads to the up-regulation of mitochondrial function and the increased level of ROS. The following up-regulation of COX-2 increased the level of</w:t>
      </w:r>
      <w:r w:rsidR="001852F3">
        <w:rPr>
          <w:rFonts w:ascii="Times New Roman" w:hAnsi="Times New Roman"/>
        </w:rPr>
        <w:t xml:space="preserve">β-catenin to promote HepG2 cells growth.</w:t>
      </w:r>
    </w:p>
    <w:p w:rsidR="0018722C">
      <w:pPr>
        <w:pStyle w:val="aff"/>
        <w:topLinePunct/>
      </w:pPr>
      <w:r>
        <w:rPr>
          <w:rStyle w:val="afe"/>
          <w:rFonts w:cstheme="minorBidi" w:hAnsiTheme="minorHAnsi" w:eastAsiaTheme="minorHAnsi" w:asciiTheme="minorHAnsi" w:ascii="Times New Roman" w:hAnsi="宋体" w:eastAsia="黑体" w:cs="宋体"/>
          <w:b/>
        </w:rPr>
        <w:t>K</w:t>
      </w:r>
      <w:r>
        <w:rPr>
          <w:rStyle w:val="afe"/>
          <w:rFonts w:cstheme="minorBidi" w:hAnsiTheme="minorHAnsi" w:eastAsiaTheme="minorHAnsi" w:asciiTheme="minorHAnsi" w:ascii="Times New Roman" w:hAnsi="宋体" w:eastAsia="黑体" w:cs="宋体"/>
          <w:b/>
        </w:rPr>
        <w:t>E</w:t>
      </w:r>
      <w:r>
        <w:rPr>
          <w:rStyle w:val="afe"/>
          <w:rFonts w:cstheme="minorBidi" w:hAnsiTheme="minorHAnsi" w:eastAsiaTheme="minorHAnsi" w:asciiTheme="minorHAnsi" w:ascii="Times New Roman" w:hAnsi="宋体" w:eastAsia="黑体" w:cs="宋体"/>
          <w:b/>
        </w:rPr>
        <w:t>y</w:t>
      </w:r>
      <w:r>
        <w:rPr>
          <w:rStyle w:val="afe"/>
          <w:b/>
          <w:rFonts w:ascii="Times New Roman" w:cstheme="minorBidi" w:hAnsiTheme="minorHAnsi" w:eastAsiaTheme="minorHAnsi" w:hAnsi="宋体" w:eastAsia="黑体" w:cs="宋体"/>
        </w:rPr>
        <w:t xml:space="preserve"> </w:t>
      </w:r>
      <w:r>
        <w:rPr>
          <w:rStyle w:val="afe"/>
          <w:b/>
          <w:rFonts w:ascii="Times New Roman" w:cstheme="minorBidi" w:hAnsiTheme="minorHAnsi" w:eastAsiaTheme="minorHAnsi" w:hAnsi="宋体" w:eastAsia="黑体" w:cs="宋体"/>
        </w:rPr>
        <w:t>words:</w:t>
      </w:r>
      <w:r w:rsidRPr="00000000">
        <w:rPr>
          <w:rFonts w:cstheme="minorBidi" w:hAnsiTheme="minorHAnsi" w:eastAsiaTheme="minorHAnsi" w:asciiTheme="minorHAnsi" w:ascii="宋体" w:hAnsi="宋体" w:eastAsia="宋体" w:cs="宋体"/>
          <w:b/>
        </w:rPr>
        <w:t>	</w:t>
        <w:t>Hepatitis B virus X</w:t>
      </w:r>
      <w:r w:rsidRPr="00000000">
        <w:rPr>
          <w:rFonts w:cstheme="minorBidi" w:hAnsiTheme="minorHAnsi" w:eastAsiaTheme="minorHAnsi" w:asciiTheme="minorHAnsi" w:ascii="宋体" w:hAnsi="宋体" w:eastAsia="宋体" w:cs="宋体"/>
          <w:b/>
        </w:rPr>
        <w:t xml:space="preserve">;</w:t>
      </w:r>
      <w:r w:rsidRPr="00000000">
        <w:rPr>
          <w:rFonts w:cstheme="minorBidi" w:hAnsiTheme="minorHAnsi" w:eastAsiaTheme="minorHAnsi" w:asciiTheme="minorHAnsi" w:ascii="宋体" w:hAnsi="宋体" w:eastAsia="宋体" w:cs="宋体"/>
          <w:b/>
        </w:rPr>
        <w:t xml:space="preserve"> </w:t>
      </w:r>
      <w:r>
        <w:rPr>
          <w:b/>
          <w:rFonts w:ascii="Times New Roman" w:cstheme="minorBidi" w:hAnsiTheme="minorHAnsi" w:eastAsiaTheme="minorHAnsi" w:hAnsi="宋体" w:eastAsia="宋体" w:cs="宋体"/>
        </w:rPr>
        <w:t>I</w:t>
      </w:r>
      <w:r>
        <w:rPr>
          <w:b/>
          <w:rFonts w:ascii="Times New Roman" w:cstheme="minorBidi" w:hAnsiTheme="minorHAnsi" w:eastAsiaTheme="minorHAnsi" w:hAnsi="宋体" w:eastAsia="宋体" w:cs="宋体"/>
        </w:rPr>
        <w:t>rusxprotein;</w:t>
      </w:r>
      <w:r w:rsidR="004B696B">
        <w:rPr>
          <w:b/>
          <w:rFonts w:ascii="Times New Roman" w:cstheme="minorBidi" w:hAnsiTheme="minorHAnsi" w:eastAsiaTheme="minorHAnsi" w:hAnsi="宋体" w:eastAsia="宋体" w:cs="宋体"/>
        </w:rPr>
        <w:t xml:space="preserve"> </w:t>
      </w:r>
      <w:r w:rsidR="004B696B">
        <w:rPr>
          <w:b/>
          <w:rFonts w:ascii="Times New Roman" w:cstheme="minorBidi" w:hAnsiTheme="minorHAnsi" w:eastAsiaTheme="minorHAnsi" w:hAnsi="宋体" w:eastAsia="宋体" w:cs="宋体"/>
        </w:rPr>
        <w:t>cytochromecoxidase</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subunit</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III;</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Reactive oxygen species; Cyclooxygenase-2; Cell</w:t>
      </w:r>
      <w:r>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proliferation</w:t>
      </w:r>
    </w:p>
    <w:p w:rsidR="0018722C">
      <w:pPr>
        <w:pStyle w:val="aa"/>
        <w:topLinePunct/>
      </w:pPr>
      <w:bookmarkStart w:id="707259" w:name="_Toc686707259"/>
      <w:bookmarkStart w:name="_TOC_250008" w:id="8"/>
      <w:bookmarkStart w:name="前言 " w:id="9"/>
      <w:bookmarkEnd w:id="8"/>
      <w:r>
        <w:t>前</w:t>
      </w:r>
      <w:r w:rsidR="004F241D">
        <w:rPr>
          <w:b/>
        </w:rPr>
        <w:t xml:space="preserve">  </w:t>
      </w:r>
      <w:r w:rsidR="004F241D">
        <w:rPr>
          <w:b/>
        </w:rPr>
        <w:t xml:space="preserve">言</w:t>
      </w:r>
      <w:bookmarkEnd w:id="707259"/>
    </w:p>
    <w:p w:rsidR="0018722C">
      <w:pPr>
        <w:topLinePunct/>
      </w:pPr>
      <w:r>
        <w:t>乙型肝炎病毒</w:t>
      </w:r>
      <w:r>
        <w:t>（</w:t>
      </w:r>
      <w:r>
        <w:t>hepatitis</w:t>
      </w:r>
      <w:r>
        <w:rPr>
          <w:spacing w:val="-16"/>
        </w:rPr>
        <w:t> </w:t>
      </w:r>
      <w:r>
        <w:t>B</w:t>
      </w:r>
      <w:r>
        <w:rPr>
          <w:spacing w:val="-16"/>
        </w:rPr>
        <w:t> </w:t>
      </w:r>
      <w:r>
        <w:t>virus,</w:t>
      </w:r>
      <w:r>
        <w:rPr>
          <w:spacing w:val="-16"/>
        </w:rPr>
        <w:t> </w:t>
      </w:r>
      <w:r>
        <w:t>HBV</w:t>
      </w:r>
      <w:r>
        <w:t>）</w:t>
      </w:r>
      <w:r>
        <w:t>是全球主要的人类病原体之一，它</w:t>
      </w:r>
      <w:r>
        <w:t>的慢性感染将导致一系列肝脏疾病的发生，包括肝炎、肝硬化和肝细胞癌</w:t>
      </w:r>
      <w:r>
        <w:t>（</w:t>
      </w:r>
      <w:r>
        <w:t>HCC</w:t>
      </w:r>
      <w:r>
        <w:t>）</w:t>
      </w:r>
      <w:r>
        <w:t>。</w:t>
      </w:r>
      <w:r>
        <w:t>目前全球肝细胞癌的年发病率为</w:t>
      </w:r>
      <w:r>
        <w:t>75</w:t>
      </w:r>
      <w:r/>
      <w:r w:rsidR="001852F3">
        <w:t xml:space="preserve">万，是仅次于肺癌的第二位最常见的癌症致死</w:t>
      </w:r>
      <w:r>
        <w:t>原因，在它的病例中，慢性</w:t>
      </w:r>
      <w:r>
        <w:t>HBV</w:t>
      </w:r>
      <w:r/>
      <w:r w:rsidR="001852F3">
        <w:t xml:space="preserve">感染者占大约二分之一</w:t>
      </w:r>
      <w:r>
        <w:rPr>
          <w:vertAlign w:val="superscript"/>
          /&gt;
        </w:rPr>
        <w:t>[</w:t>
      </w:r>
      <w:r>
        <w:rPr>
          <w:vertAlign w:val="superscript"/>
          /&gt;
        </w:rPr>
        <w:t>1,</w:t>
      </w:r>
      <w:r>
        <w:rPr>
          <w:vertAlign w:val="superscript"/>
          /&gt;
        </w:rPr>
        <w:t> </w:t>
      </w:r>
      <w:r>
        <w:rPr>
          <w:vertAlign w:val="superscript"/>
          /&gt;
        </w:rPr>
        <w:t>2</w:t>
      </w:r>
      <w:r>
        <w:rPr>
          <w:vertAlign w:val="superscript"/>
          /&gt;
        </w:rPr>
        <w:t>]</w:t>
      </w:r>
      <w:r>
        <w:t>。在</w:t>
      </w:r>
      <w:r>
        <w:t>HBV</w:t>
      </w:r>
      <w:r w:rsidR="001852F3">
        <w:t xml:space="preserve">编码的蛋白质中，X</w:t>
      </w:r>
      <w:r/>
      <w:r w:rsidR="001852F3">
        <w:t xml:space="preserve">蛋白</w:t>
      </w:r>
      <w:r>
        <w:t>（</w:t>
      </w:r>
      <w:r>
        <w:t xml:space="preserve">Hepatitis B virus X protein, HBx</w:t>
      </w:r>
      <w:r>
        <w:t>）</w:t>
      </w:r>
      <w:r>
        <w:t>被称为“病毒癌蛋白</w:t>
      </w:r>
      <w:r>
        <w:t>（</w:t>
      </w:r>
      <w:r>
        <w:t>vira</w:t>
      </w:r>
      <w:r>
        <w:t>l</w:t>
      </w:r>
    </w:p>
    <w:p w:rsidR="0018722C">
      <w:pPr>
        <w:topLinePunct/>
      </w:pPr>
      <w:r>
        <w:t>oncoprotei</w:t>
      </w:r>
      <w:r>
        <w:t>n</w:t>
      </w:r>
      <w:r>
        <w:t>）</w:t>
      </w:r>
      <w:r>
        <w:rPr>
          <w:spacing w:val="-54"/>
          <w:rFonts w:hint="eastAsia"/>
        </w:rPr>
        <w:t>“</w:t>
      </w:r>
      <w:r>
        <w:t>，它是一种多功能蛋白，含有</w:t>
      </w:r>
      <w:r>
        <w:t>154</w:t>
      </w:r>
      <w:r/>
      <w:r w:rsidR="001852F3">
        <w:t xml:space="preserve">个氨基酸，分子量大小约为</w:t>
      </w:r>
    </w:p>
    <w:p w:rsidR="0018722C">
      <w:pPr>
        <w:topLinePunct/>
      </w:pPr>
      <w:r>
        <w:t>17kD，能调节转录、信号转导通路、氧化应激、细胞凋亡、细胞增殖、细胞周期</w:t>
      </w:r>
      <w:r>
        <w:t>进程、</w:t>
      </w:r>
      <w:r>
        <w:t>DNA</w:t>
      </w:r>
      <w:r/>
      <w:r w:rsidR="001852F3">
        <w:t xml:space="preserve">修复，并通与宿主因素之间相互作用促进了</w:t>
      </w:r>
      <w:r>
        <w:t>HBV</w:t>
      </w:r>
      <w:r w:rsidR="001852F3">
        <w:t xml:space="preserve">相关的肝细胞癌的发生和发展</w:t>
      </w:r>
      <w:r>
        <w:rPr>
          <w:vertAlign w:val="superscript"/>
          /&gt;
        </w:rPr>
        <w:t>[</w:t>
      </w:r>
      <w:r>
        <w:rPr>
          <w:vertAlign w:val="superscript"/>
          /&gt;
        </w:rPr>
        <w:t>1,</w:t>
      </w:r>
      <w:r>
        <w:rPr>
          <w:vertAlign w:val="superscript"/>
          /&gt;
        </w:rPr>
        <w:t> </w:t>
      </w:r>
      <w:r>
        <w:rPr>
          <w:vertAlign w:val="superscript"/>
          /&gt;
        </w:rPr>
        <w:t>3</w:t>
      </w:r>
      <w:r>
        <w:rPr>
          <w:vertAlign w:val="superscript"/>
          /&gt;
        </w:rPr>
        <w:t>,</w:t>
      </w:r>
      <w:r>
        <w:rPr>
          <w:vertAlign w:val="superscript"/>
          /&gt;
        </w:rPr>
        <w:t> </w:t>
      </w:r>
      <w:r>
        <w:rPr>
          <w:vertAlign w:val="superscript"/>
          /&gt;
        </w:rPr>
        <w:t>4</w:t>
      </w:r>
      <w:r>
        <w:rPr>
          <w:vertAlign w:val="superscript"/>
          /&gt;
        </w:rPr>
        <w:t>]</w:t>
      </w:r>
      <w:r>
        <w:t>。因此，针对</w:t>
      </w:r>
      <w:r>
        <w:t>HBx</w:t>
      </w:r>
      <w:r w:rsidR="001852F3">
        <w:t xml:space="preserve">引起肝细胞炎性损害和导致肝细胞癌的分子机制的研究逐渐引起了重视。</w:t>
      </w:r>
    </w:p>
    <w:p w:rsidR="0018722C">
      <w:pPr>
        <w:topLinePunct/>
      </w:pPr>
      <w:r>
        <w:t>针对</w:t>
      </w:r>
      <w:r w:rsidR="001852F3">
        <w:t xml:space="preserve">HBx</w:t>
      </w:r>
      <w:r w:rsidR="001852F3">
        <w:t xml:space="preserve">引起肝细胞炎性损害和导致肝细胞癌的分子机制已经进行了众多的研究，现有的结果涵盖了细胞代谢、凋亡、原癌基因等多个方面，涉及到了已知的绝大多数重要信号分子，按其发挥的生物学效应可以归纳如下四点：一、信号传导和转录方面。</w:t>
      </w:r>
      <w:r w:rsidR="001852F3">
        <w:t xml:space="preserve">HBx</w:t>
      </w:r>
      <w:r w:rsidR="001852F3">
        <w:t xml:space="preserve">可以影响转录因子</w:t>
      </w:r>
      <w:r>
        <w:t>(</w:t>
      </w:r>
      <w:r>
        <w:t>transcription factor</w:t>
      </w:r>
      <w:r>
        <w:t>,</w:t>
      </w:r>
      <w:r>
        <w:t> TF</w:t>
      </w:r>
      <w:r>
        <w:t>)</w:t>
      </w:r>
      <w:r w:rsidR="001852F3">
        <w:t xml:space="preserve"> </w:t>
      </w:r>
      <w:r>
        <w:t>II</w:t>
      </w:r>
      <w:r>
        <w:t>B</w:t>
      </w:r>
      <w:r>
        <w:t>、</w:t>
      </w:r>
    </w:p>
    <w:p w:rsidR="0018722C">
      <w:pPr>
        <w:topLinePunct/>
      </w:pPr>
      <w:r>
        <w:t>TFIIH、RNA</w:t>
      </w:r>
      <w:r w:rsidR="001852F3">
        <w:t xml:space="preserve">聚合酶</w:t>
      </w:r>
      <w:r w:rsidR="001852F3">
        <w:t xml:space="preserve">RPB5</w:t>
      </w:r>
      <w:r w:rsidR="001852F3">
        <w:t xml:space="preserve">亚基、TATA-结合蛋白</w:t>
      </w:r>
      <w:r>
        <w:t>（</w:t>
      </w:r>
      <w:r>
        <w:t>TATA-binding protein,</w:t>
      </w:r>
      <w:r w:rsidR="001852F3">
        <w:t xml:space="preserve"> </w:t>
      </w:r>
      <w:r w:rsidR="001852F3">
        <w:t xml:space="preserve">TBP</w:t>
      </w:r>
      <w:r>
        <w:t>)</w:t>
      </w:r>
      <w:r>
        <w:t>、</w:t>
      </w:r>
    </w:p>
    <w:p w:rsidR="0018722C">
      <w:pPr>
        <w:topLinePunct/>
      </w:pPr>
      <w:r>
        <w:t>cAMP</w:t>
      </w:r>
      <w:r w:rsidR="001852F3">
        <w:t xml:space="preserve">反应元素结合蛋白</w:t>
      </w:r>
      <w:r w:rsidR="001852F3">
        <w:t xml:space="preserve">cAMP response element-binding protein, CREB</w:t>
      </w:r>
      <w:r>
        <w:t>)</w:t>
      </w:r>
      <w:r>
        <w:t xml:space="preserve"> 和</w:t>
      </w:r>
    </w:p>
    <w:p w:rsidR="0018722C">
      <w:pPr>
        <w:topLinePunct/>
      </w:pPr>
      <w:r>
        <w:t xml:space="preserve">CCAAT</w:t>
      </w:r>
      <w:r/>
      <w:r>
        <w:t xml:space="preserve">增强结合蛋</w:t>
      </w:r>
      <w:r>
        <w:t xml:space="preserve">白</w:t>
      </w:r>
      <w:r>
        <w:t xml:space="preserve">（</w:t>
      </w:r>
      <w:r>
        <w:t xml:space="preserve">CCAAT-enhancer</w:t>
      </w:r>
      <w:r>
        <w:t xml:space="preserve"> </w:t>
      </w:r>
      <w:r>
        <w:t xml:space="preserve">binding</w:t>
      </w:r>
      <w:r>
        <w:t xml:space="preserve"> </w:t>
      </w:r>
      <w:r>
        <w:t xml:space="preserve">proteinα</w:t>
      </w:r>
      <w:r/>
      <w:r>
        <w:t xml:space="preserve">，c</w:t>
      </w:r>
      <w:r>
        <w:t xml:space="preserve">/</w:t>
      </w:r>
      <w:r>
        <w:t xml:space="preserve">EBPα</w:t>
      </w:r>
      <w:r/>
      <w:r>
        <w:t xml:space="preserve">）</w:t>
      </w:r>
      <w:r>
        <w:t xml:space="preserve">的功能</w:t>
      </w:r>
      <w:r>
        <w:rPr>
          <w:vertAlign w:val="superscript"/>
          /&gt;
        </w:rPr>
        <w:t xml:space="preserve">[</w:t>
      </w:r>
      <w:r>
        <w:rPr>
          <w:color w:val="080000"/>
          <w:vertAlign w:val="superscript"/>
          <w:position w:val="12"/>
        </w:rPr>
        <w:t xml:space="preserve">5</w:t>
      </w:r>
      <w:r>
        <w:rPr>
          <w:vertAlign w:val="superscript"/>
          /&gt;
        </w:rPr>
        <w:t xml:space="preserve">]</w:t>
      </w:r>
      <w:r>
        <w:t xml:space="preserve">，</w:t>
      </w:r>
      <w:r w:rsidR="001852F3">
        <w:t xml:space="preserve">可以间接激活转录因子如</w:t>
      </w:r>
      <w:r w:rsidR="001852F3">
        <w:t xml:space="preserve">NF-κ</w:t>
      </w:r>
      <w:r w:rsidR="001852F3">
        <w:t xml:space="preserve">B、激活蛋白-1 </w:t>
      </w:r>
      <w:r>
        <w:t xml:space="preserve">(</w:t>
      </w:r>
      <w:r>
        <w:t xml:space="preserve">activator</w:t>
      </w:r>
      <w:r>
        <w:t xml:space="preserve"> </w:t>
      </w:r>
      <w:r>
        <w:t xml:space="preserve">protein-1,</w:t>
      </w:r>
      <w:r w:rsidR="001852F3">
        <w:t xml:space="preserve"> </w:t>
      </w:r>
      <w:r w:rsidR="001852F3">
        <w:t xml:space="preserve">AP-1</w:t>
      </w:r>
      <w:r>
        <w:t xml:space="preserve">)</w:t>
      </w:r>
      <w:r>
        <w:t xml:space="preserve">、激活</w:t>
      </w:r>
      <w:r w:rsidR="001852F3">
        <w:t xml:space="preserve">T</w:t>
      </w:r>
      <w:r w:rsidR="001852F3">
        <w:t xml:space="preserve">细胞核因子</w:t>
      </w:r>
      <w:r>
        <w:t xml:space="preserve">（</w:t>
      </w:r>
      <w:r>
        <w:t xml:space="preserve">nuclear</w:t>
      </w:r>
      <w:r>
        <w:t xml:space="preserve"> </w:t>
      </w:r>
      <w:r>
        <w:t xml:space="preserve">factor</w:t>
      </w:r>
      <w:r>
        <w:t xml:space="preserve"> </w:t>
      </w:r>
      <w:r>
        <w:t xml:space="preserve">of</w:t>
      </w:r>
      <w:r>
        <w:t xml:space="preserve"> </w:t>
      </w:r>
      <w:r>
        <w:t xml:space="preserve">activated</w:t>
      </w:r>
      <w:r>
        <w:t xml:space="preserve"> </w:t>
      </w:r>
      <w:r>
        <w:t xml:space="preserve">T</w:t>
      </w:r>
      <w:r>
        <w:t xml:space="preserve"> </w:t>
      </w:r>
      <w:r>
        <w:t xml:space="preserve">cells</w:t>
      </w:r>
      <w:r>
        <w:t xml:space="preserve">, </w:t>
      </w:r>
      <w:r>
        <w:t xml:space="preserve">NFAT</w:t>
      </w:r>
      <w:r>
        <w:t xml:space="preserve">）</w:t>
      </w:r>
      <w:r>
        <w:t xml:space="preserve">，以及</w:t>
      </w:r>
      <w:r w:rsidR="001852F3">
        <w:t xml:space="preserve">Pyk2</w:t>
      </w:r>
      <w:r w:rsidR="001852F3">
        <w:t xml:space="preserve">和</w:t>
      </w:r>
      <w:r/>
      <w:r>
        <w:t xml:space="preserve">Src</w:t>
      </w:r>
      <w:r/>
      <w:r>
        <w:t xml:space="preserve">激酶</w:t>
      </w:r>
      <w:r>
        <w:t xml:space="preserve">、</w:t>
      </w:r>
      <w:r>
        <w:t xml:space="preserve">Ras</w:t>
      </w:r>
      <w:r>
        <w:t xml:space="preserve">、</w:t>
      </w:r>
      <w:r>
        <w:t xml:space="preserve">Raf</w:t>
      </w:r>
      <w:r>
        <w:t xml:space="preserve">、</w:t>
      </w:r>
      <w:r>
        <w:t xml:space="preserve">MAP</w:t>
      </w:r>
      <w:r/>
      <w:r>
        <w:t xml:space="preserve">与信号传导蛋白和转录激活物</w:t>
      </w:r>
      <w:r/>
      <w:r>
        <w:t xml:space="preserve">3</w:t>
      </w:r>
      <w:r>
        <w:t xml:space="preserve">(</w:t>
      </w:r>
      <w:r>
        <w:t xml:space="preserve">signal</w:t>
      </w:r>
      <w:r>
        <w:t xml:space="preserve"> </w:t>
      </w:r>
      <w:r>
        <w:t xml:space="preserve">transducer and</w:t>
      </w:r>
      <w:r>
        <w:t xml:space="preserve"> </w:t>
      </w:r>
      <w:r>
        <w:t xml:space="preserve">activator</w:t>
      </w:r>
      <w:r>
        <w:t xml:space="preserve"> </w:t>
      </w:r>
      <w:r>
        <w:t xml:space="preserve">of</w:t>
      </w:r>
      <w:r>
        <w:t xml:space="preserve"> </w:t>
      </w:r>
      <w:r>
        <w:t xml:space="preserve">transcription</w:t>
      </w:r>
      <w:r>
        <w:t xml:space="preserve"> </w:t>
      </w:r>
      <w:r>
        <w:t xml:space="preserve">3,</w:t>
      </w:r>
      <w:r>
        <w:t xml:space="preserve"> </w:t>
      </w:r>
      <w:r>
        <w:t xml:space="preserve">STAT3</w:t>
      </w:r>
      <w:r>
        <w:t xml:space="preserve">)</w:t>
      </w:r>
      <w:r w:rsidRPr="00000000">
        <w:tab/>
      </w:r>
      <w:r>
        <w:t xml:space="preserve">等信号分子。通过上述途径</w:t>
      </w:r>
      <w:r w:rsidR="001852F3">
        <w:t xml:space="preserve">HBx</w:t>
      </w:r>
      <w:r w:rsidR="001852F3">
        <w:t xml:space="preserve">可以有效的促进肝细胞增殖和</w:t>
      </w:r>
      <w:r w:rsidR="001852F3">
        <w:t xml:space="preserve">HBV</w:t>
      </w:r>
      <w:r w:rsidR="001852F3">
        <w:t xml:space="preserve">的复制</w:t>
      </w:r>
      <w:r>
        <w:rPr>
          <w:vertAlign w:val="superscript"/>
          /&gt;
        </w:rPr>
        <w:t xml:space="preserve">[</w:t>
      </w:r>
      <w:r>
        <w:rPr>
          <w:color w:val="080000"/>
          <w:vertAlign w:val="superscript"/>
          <w:position w:val="12"/>
        </w:rPr>
        <w:t xml:space="preserve">5-7</w:t>
      </w:r>
      <w:r>
        <w:rPr>
          <w:vertAlign w:val="superscript"/>
          /&gt;
        </w:rPr>
        <w:t xml:space="preserve">]</w:t>
      </w:r>
      <w:r>
        <w:rPr>
          <w:spacing w:val="-13"/>
        </w:rPr>
        <w:t xml:space="preserve">. </w:t>
      </w:r>
      <w:r>
        <w:t xml:space="preserve">二</w:t>
      </w:r>
      <w:r>
        <w:t xml:space="preserve">、</w:t>
      </w:r>
      <w:r>
        <w:t xml:space="preserve">细胞周期方面</w:t>
      </w:r>
      <w:r>
        <w:t xml:space="preserve">。</w:t>
      </w:r>
      <w:r>
        <w:t xml:space="preserve">HBx</w:t>
      </w:r>
      <w:r w:rsidR="001852F3">
        <w:t xml:space="preserve">除了可以间接激活上述</w:t>
      </w:r>
      <w:r/>
      <w:r>
        <w:t xml:space="preserve">Src</w:t>
      </w:r>
      <w:r/>
      <w:r>
        <w:t xml:space="preserve">激酶、</w:t>
      </w:r>
      <w:r/>
      <w:r>
        <w:t xml:space="preserve">Ras</w:t>
      </w:r>
      <w:r/>
      <w:r>
        <w:t xml:space="preserve">和</w:t>
      </w:r>
      <w:r/>
      <w:r>
        <w:t xml:space="preserve">MAPKs，促使静息细胞进入增殖期，还可以诱导cyclin</w:t>
      </w:r>
      <w:r>
        <w:t xml:space="preserve"> </w:t>
      </w:r>
      <w:r>
        <w:t xml:space="preserve">D1</w:t>
      </w:r>
      <w:r>
        <w:t xml:space="preserve">、</w:t>
      </w:r>
      <w:r>
        <w:t xml:space="preserve">A</w:t>
      </w:r>
      <w:r/>
      <w:r>
        <w:t xml:space="preserve">和</w:t>
      </w:r>
      <w:r/>
      <w:r>
        <w:t xml:space="preserve">B1</w:t>
      </w:r>
      <w:r/>
      <w:r>
        <w:t xml:space="preserve">的产生</w:t>
      </w:r>
      <w:r>
        <w:t xml:space="preserve">，</w:t>
      </w:r>
      <w:r>
        <w:t xml:space="preserve">活化细胞周期蛋白依赖激酶</w:t>
      </w:r>
      <w:r/>
      <w:r>
        <w:t xml:space="preserve">1</w:t>
      </w:r>
      <w:r>
        <w:t xml:space="preserve">(</w:t>
      </w:r>
      <w:r>
        <w:t xml:space="preserve">cyclin-dependent kinase</w:t>
      </w:r>
      <w:r>
        <w:t xml:space="preserve"> </w:t>
      </w:r>
      <w:r>
        <w:t xml:space="preserve">1,</w:t>
      </w:r>
      <w:r>
        <w:t xml:space="preserve"> </w:t>
      </w:r>
      <w:r>
        <w:t xml:space="preserve">CDK1</w:t>
      </w:r>
      <w:r>
        <w:t xml:space="preserve">)</w:t>
      </w:r>
      <w:r>
        <w:t xml:space="preserve">，从而产生</w:t>
      </w:r>
      <w:r/>
      <w:r>
        <w:t xml:space="preserve">HBx</w:t>
      </w:r>
      <w:r/>
      <w:r>
        <w:t xml:space="preserve">依赖性的</w:t>
      </w:r>
      <w:r/>
      <w:r>
        <w:t xml:space="preserve">G1、</w:t>
      </w:r>
      <w:r/>
      <w:r>
        <w:t xml:space="preserve">S</w:t>
      </w:r>
      <w:r/>
      <w:r>
        <w:t xml:space="preserve">和</w:t>
      </w:r>
      <w:r/>
      <w:r>
        <w:t xml:space="preserve">G2</w:t>
      </w:r>
      <w:r>
        <w:t xml:space="preserve">/</w:t>
      </w:r>
      <w:r>
        <w:t xml:space="preserve">M</w:t>
      </w:r>
      <w:r/>
      <w:r>
        <w:t xml:space="preserve">期进展</w:t>
      </w:r>
      <w:r>
        <w:rPr>
          <w:vertAlign w:val="superscript"/>
          /&gt;
        </w:rPr>
        <w:t xml:space="preserve">[</w:t>
      </w:r>
      <w:r>
        <w:rPr>
          <w:color w:val="080000"/>
          <w:position w:val="12"/>
          <w:sz w:val="12"/>
        </w:rPr>
        <w:t xml:space="preserve">8</w:t>
      </w:r>
      <w:r>
        <w:rPr>
          <w:color w:val="080000"/>
          <w:position w:val="12"/>
          <w:sz w:val="12"/>
        </w:rPr>
        <w:t>,</w:t>
      </w:r>
      <w:r>
        <w:rPr>
          <w:color w:val="080000"/>
          <w:spacing w:val="0"/>
          <w:position w:val="12"/>
          <w:sz w:val="12"/>
        </w:rPr>
        <w:t xml:space="preserve"> </w:t>
      </w:r>
      <w:r>
        <w:rPr>
          <w:color w:val="080000"/>
          <w:position w:val="12"/>
          <w:sz w:val="12"/>
        </w:rPr>
        <w:t xml:space="preserve">9</w:t>
      </w:r>
      <w:r>
        <w:rPr>
          <w:vertAlign w:val="superscript"/>
          /&gt;
        </w:rPr>
        <w:t xml:space="preserve">]</w:t>
      </w:r>
      <w:r>
        <w:t xml:space="preserve">。三、细</w:t>
      </w:r>
      <w:r>
        <w:t xml:space="preserve">胞凋亡方</w:t>
      </w:r>
      <w:r>
        <w:t xml:space="preserve">面</w:t>
      </w:r>
      <w:r>
        <w:t xml:space="preserve">。</w:t>
      </w:r>
      <w:r/>
      <w:r>
        <w:t xml:space="preserve">HBx</w:t>
      </w:r>
      <w:r/>
      <w:r>
        <w:t xml:space="preserve">对</w:t>
      </w:r>
      <w:r>
        <w:t xml:space="preserve">细胞凋亡</w:t>
      </w:r>
      <w:r>
        <w:t xml:space="preserve">的</w:t>
      </w:r>
      <w:r>
        <w:t xml:space="preserve">影响尚没</w:t>
      </w:r>
      <w:r>
        <w:t xml:space="preserve">有</w:t>
      </w:r>
      <w:r>
        <w:t xml:space="preserve">定</w:t>
      </w:r>
      <w:r>
        <w:t xml:space="preserve">论</w:t>
      </w:r>
      <w:r>
        <w:rPr>
          <w:vertAlign w:val="superscript"/>
          /&gt;
        </w:rPr>
        <w:t xml:space="preserve">[</w:t>
      </w:r>
      <w:r>
        <w:rPr>
          <w:color w:val="080000"/>
          <w:vertAlign w:val="superscript"/>
          <w:position w:val="12"/>
        </w:rPr>
        <w:t xml:space="preserve">5</w:t>
      </w:r>
      <w:r>
        <w:rPr>
          <w:vertAlign w:val="superscript"/>
          /&gt;
        </w:rPr>
        <w:t xml:space="preserve">]</w:t>
      </w:r>
      <w:r>
        <w:t xml:space="preserve">，</w:t>
      </w:r>
      <w:r>
        <w:t xml:space="preserve">有</w:t>
      </w:r>
      <w:r>
        <w:t xml:space="preserve">研究发</w:t>
      </w:r>
      <w:r>
        <w:t xml:space="preserve">现</w:t>
      </w:r>
      <w:r/>
      <w:r>
        <w:t xml:space="preserve">HBx</w:t>
      </w:r>
      <w:r/>
      <w:r>
        <w:t xml:space="preserve">通过</w:t>
      </w:r>
      <w:r>
        <w:t>调</w:t>
      </w:r>
      <w:r>
        <w:t>节</w:t>
      </w:r>
    </w:p>
    <w:p w:rsidR="0018722C">
      <w:pPr>
        <w:topLinePunct/>
      </w:pPr>
      <w:r>
        <w:t>JAK2</w:t>
      </w:r>
      <w:r>
        <w:t>/</w:t>
      </w:r>
      <w:r>
        <w:t>STAT3</w:t>
      </w:r>
      <w:r>
        <w:t>、</w:t>
      </w:r>
      <w:r>
        <w:t>Bax</w:t>
      </w:r>
      <w:r>
        <w:t>、</w:t>
      </w:r>
      <w:r>
        <w:t>Bcl-xL</w:t>
      </w:r>
      <w:r/>
      <w:r w:rsidR="001852F3">
        <w:t xml:space="preserve">的途径促进细胞凋亡</w:t>
      </w:r>
      <w:r>
        <w:rPr>
          <w:vertAlign w:val="superscript"/>
          /&gt;
        </w:rPr>
        <w:t>[</w:t>
      </w:r>
      <w:r>
        <w:rPr>
          <w:color w:val="080000"/>
          <w:vertAlign w:val="superscript"/>
          <w:position w:val="12"/>
        </w:rPr>
        <w:t xml:space="preserve">10-12</w:t>
      </w:r>
      <w:r>
        <w:rPr>
          <w:vertAlign w:val="superscript"/>
          /&gt;
        </w:rPr>
        <w:t>]</w:t>
      </w:r>
      <w:r>
        <w:t>，而另外研究则发现</w:t>
      </w:r>
      <w:r>
        <w:t>HBx</w:t>
      </w:r>
      <w:r w:rsidR="001852F3">
        <w:t xml:space="preserve">可</w:t>
      </w:r>
      <w:r>
        <w:t>以调控</w:t>
      </w:r>
      <w:r>
        <w:t>Fas</w:t>
      </w:r>
      <w:r>
        <w:t>、</w:t>
      </w:r>
      <w:r>
        <w:t>p53</w:t>
      </w:r>
      <w:r>
        <w:t>、</w:t>
      </w:r>
      <w:r>
        <w:t>TGF-β</w:t>
      </w:r>
      <w:r/>
      <w:r w:rsidR="001852F3">
        <w:t xml:space="preserve">、</w:t>
      </w:r>
      <w:r>
        <w:t>Raf-1</w:t>
      </w:r>
      <w:r/>
      <w:r w:rsidR="001852F3">
        <w:t xml:space="preserve">途径抑制细胞凋亡</w:t>
      </w:r>
      <w:r>
        <w:rPr>
          <w:vertAlign w:val="superscript"/>
          /&gt;
        </w:rPr>
        <w:t>[</w:t>
      </w:r>
      <w:r>
        <w:rPr>
          <w:color w:val="080000"/>
          <w:vertAlign w:val="superscript"/>
          <w:position w:val="12"/>
        </w:rPr>
        <w:t xml:space="preserve">13-15</w:t>
      </w:r>
      <w:r>
        <w:rPr>
          <w:vertAlign w:val="superscript"/>
          /&gt;
        </w:rPr>
        <w:t>]</w:t>
      </w:r>
      <w:r>
        <w:t>。这两种貌似相互矛</w:t>
      </w:r>
      <w:r>
        <w:t>盾</w:t>
      </w:r>
    </w:p>
    <w:p w:rsidR="0018722C">
      <w:pPr>
        <w:topLinePunct/>
      </w:pPr>
      <w:r>
        <w:t>的作用提示</w:t>
      </w:r>
      <w:r>
        <w:t>HBx</w:t>
      </w:r>
      <w:r w:rsidR="001852F3">
        <w:t xml:space="preserve">对凋亡不产生直接作用，而只是提供了一个作用背景，使得肝细胞对凋亡或者抑制凋亡的信号更加敏感，促使细胞在凋亡和“永生化”之间做出</w:t>
      </w:r>
      <w:r>
        <w:t>选择。四、与原癌基因的关系。目前虽然已经证明</w:t>
      </w:r>
      <w:r>
        <w:t>HBx</w:t>
      </w:r>
      <w:r/>
      <w:r w:rsidR="001852F3">
        <w:t xml:space="preserve">可以导致肝癌的发生，但是没有找到</w:t>
      </w:r>
      <w:r w:rsidR="001852F3">
        <w:t xml:space="preserve">HBx</w:t>
      </w:r>
      <w:r w:rsidR="001852F3">
        <w:t xml:space="preserve">直接激活原癌基因致癌变的证据</w:t>
      </w:r>
      <w:r>
        <w:rPr>
          <w:vertAlign w:val="superscript"/>
          /&gt;
        </w:rPr>
        <w:t>[</w:t>
      </w:r>
      <w:r>
        <w:rPr>
          <w:vertAlign w:val="superscript"/>
          /&gt;
        </w:rPr>
        <w:t xml:space="preserve">16</w:t>
      </w:r>
      <w:r>
        <w:rPr>
          <w:vertAlign w:val="superscript"/>
          /&gt;
        </w:rPr>
        <w:t>]</w:t>
      </w:r>
      <w:r>
        <w:t>。上述分子机制中有如此众多的信号分子均接受</w:t>
      </w:r>
      <w:r w:rsidR="001852F3">
        <w:t xml:space="preserve">HBx</w:t>
      </w:r>
      <w:r/>
      <w:r w:rsidR="001852F3">
        <w:t xml:space="preserve">调控，结合其对凋亡和原癌基因作用的不确定性提示</w:t>
      </w:r>
      <w:r>
        <w:t>HBx</w:t>
      </w:r>
      <w:r w:rsidR="001852F3">
        <w:t xml:space="preserve">所发挥的致癌效应可能不是直接的。</w:t>
      </w:r>
    </w:p>
    <w:p w:rsidR="0018722C">
      <w:pPr>
        <w:topLinePunct/>
      </w:pPr>
      <w:r>
        <w:t>为明确</w:t>
      </w:r>
      <w:r w:rsidR="001852F3">
        <w:t xml:space="preserve">HBx</w:t>
      </w:r>
      <w:r/>
      <w:r w:rsidR="001852F3">
        <w:t xml:space="preserve">作用的直接机制，众多研究者经过深入研究，发现</w:t>
      </w:r>
      <w:r>
        <w:t>HBx</w:t>
      </w:r>
      <w:r/>
      <w:r w:rsidR="001852F3">
        <w:t xml:space="preserve">发挥不同的生物学功能取决于它在细胞中的不同定位，绝大部分的</w:t>
      </w:r>
      <w:r w:rsidR="001852F3">
        <w:t xml:space="preserve">HBx</w:t>
      </w:r>
      <w:r w:rsidR="001852F3">
        <w:t xml:space="preserve">存在于细胞浆中，</w:t>
      </w:r>
      <w:r w:rsidR="001852F3">
        <w:t xml:space="preserve">只有少量存在于细胞核中，而胞浆中有一部分</w:t>
      </w:r>
      <w:r>
        <w:t>HBx</w:t>
      </w:r>
      <w:r/>
      <w:r w:rsidR="001852F3">
        <w:t xml:space="preserve">定位于线粒体，影响线粒体的生理、代谢及其它相关功能</w:t>
      </w:r>
      <w:r>
        <w:rPr>
          <w:vertAlign w:val="superscript"/>
          /&gt;
        </w:rPr>
        <w:t>[</w:t>
      </w:r>
      <w:r>
        <w:rPr>
          <w:vertAlign w:val="superscript"/>
          /&gt;
        </w:rPr>
        <w:t>17</w:t>
      </w:r>
      <w:r>
        <w:rPr>
          <w:vertAlign w:val="superscript"/>
          /&gt;
        </w:rPr>
        <w:t>,</w:t>
      </w:r>
      <w:r>
        <w:rPr>
          <w:vertAlign w:val="superscript"/>
          /&gt;
        </w:rPr>
        <w:t> </w:t>
      </w:r>
      <w:r>
        <w:rPr>
          <w:vertAlign w:val="superscript"/>
          /&gt;
        </w:rPr>
        <w:t>18</w:t>
      </w:r>
      <w:r>
        <w:rPr>
          <w:vertAlign w:val="superscript"/>
          /&gt;
        </w:rPr>
        <w:t>]</w:t>
      </w:r>
      <w:r>
        <w:t>。线粒体不仅能够通过氧化磷酸化为细胞提供能</w:t>
      </w:r>
      <w:r>
        <w:t>量，还能调控胞质</w:t>
      </w:r>
      <w:r>
        <w:t>Ca</w:t>
      </w:r>
      <w:r>
        <w:rPr>
          <w:vertAlign w:val="superscript"/>
          /&gt;
        </w:rPr>
        <w:t>2+</w:t>
      </w:r>
      <w:r>
        <w:t>水平</w:t>
      </w:r>
      <w:r>
        <w:rPr>
          <w:vertAlign w:val="superscript"/>
          /&gt;
        </w:rPr>
        <w:t>[</w:t>
      </w:r>
      <w:r>
        <w:rPr>
          <w:vertAlign w:val="superscript"/>
          /&gt;
        </w:rPr>
        <w:t xml:space="preserve">19</w:t>
      </w:r>
      <w:r>
        <w:rPr>
          <w:vertAlign w:val="superscript"/>
          /&gt;
        </w:rPr>
        <w:t>]</w:t>
      </w:r>
      <w:r>
        <w:t>、产生及释放活性氧</w:t>
      </w:r>
      <w:r>
        <w:t>（</w:t>
      </w:r>
      <w:r>
        <w:t>ROS</w:t>
      </w:r>
      <w:r>
        <w:t>）</w:t>
      </w:r>
      <w:r>
        <w:t>调节细胞氧化还原状</w:t>
      </w:r>
      <w:r>
        <w:t>态</w:t>
      </w:r>
    </w:p>
    <w:p w:rsidR="0018722C">
      <w:pPr>
        <w:topLinePunct/>
      </w:pPr>
      <w:r>
        <w:t>[</w:t>
      </w:r>
      <w:r>
        <w:t xml:space="preserve">20</w:t>
      </w:r>
      <w:r>
        <w:t>]</w:t>
      </w:r>
      <w:r>
        <w:t>、调控细胞凋亡以及信号转导通路</w:t>
      </w:r>
      <w:r>
        <w:rPr>
          <w:vertAlign w:val="superscript"/>
        </w:rPr>
        <w:t>[</w:t>
      </w:r>
      <w:r>
        <w:rPr>
          <w:color w:val="080000"/>
          <w:vertAlign w:val="superscript"/>
          <w:position w:val="12"/>
        </w:rPr>
        <w:t xml:space="preserve">21</w:t>
      </w:r>
      <w:r>
        <w:rPr>
          <w:vertAlign w:val="superscript"/>
        </w:rPr>
        <w:t>]</w:t>
      </w:r>
      <w:r>
        <w:t>、通过结构和动力学的重塑维持生命和死</w:t>
      </w:r>
    </w:p>
    <w:p w:rsidR="0018722C">
      <w:pPr>
        <w:topLinePunct/>
      </w:pPr>
      <w:r>
        <w:t>亡之间的微妙平衡</w:t>
      </w:r>
      <w:r>
        <w:t>[</w:t>
      </w:r>
      <w:r>
        <w:t xml:space="preserve">22</w:t>
      </w:r>
      <w:r>
        <w:t>]</w:t>
      </w:r>
      <w:r>
        <w:t>。于是，随着众多研究者的努力，HBx</w:t>
      </w:r>
      <w:r/>
      <w:r w:rsidR="001852F3">
        <w:t xml:space="preserve">在细胞内部的结合位点已经由胞浆细胞器精确到线粒体。在</w:t>
      </w:r>
      <w:r w:rsidR="001852F3">
        <w:t xml:space="preserve">2000</w:t>
      </w:r>
      <w:r w:rsidR="001852F3">
        <w:t xml:space="preserve">年至</w:t>
      </w:r>
      <w:r w:rsidR="001852F3">
        <w:t xml:space="preserve">2005</w:t>
      </w:r>
      <w:r/>
      <w:r w:rsidR="001852F3">
        <w:t xml:space="preserve">年期间，</w:t>
      </w:r>
      <w:r w:rsidR="001852F3">
        <w:t xml:space="preserve">课题申请人和</w:t>
      </w:r>
      <w:r>
        <w:t>课题组成员在利用酵母双杂合体系筛选乙型肝炎病毒</w:t>
      </w:r>
      <w:r>
        <w:t>X</w:t>
      </w:r>
      <w:r/>
      <w:r w:rsidR="001852F3">
        <w:t xml:space="preserve">结合蛋白的前期工作中发现编码线粒体内膜呼吸链复合物细胞色素</w:t>
      </w:r>
      <w:r w:rsidR="001852F3">
        <w:t xml:space="preserve">C</w:t>
      </w:r>
      <w:r w:rsidR="001852F3">
        <w:t xml:space="preserve">氧化酶Ⅲ</w:t>
      </w:r>
      <w:r>
        <w:t>（</w:t>
      </w:r>
      <w:r>
        <w:rPr>
          <w:spacing w:val="2"/>
        </w:rPr>
        <w:t>cytochrome</w:t>
      </w:r>
      <w:r>
        <w:rPr>
          <w:spacing w:val="-4"/>
        </w:rPr>
        <w:t> </w:t>
      </w:r>
      <w:r>
        <w:t>c</w:t>
      </w:r>
      <w:r>
        <w:rPr>
          <w:spacing w:val="-4"/>
        </w:rPr>
        <w:t> </w:t>
      </w:r>
      <w:r>
        <w:t>oxidase subunit</w:t>
      </w:r>
      <w:r>
        <w:rPr>
          <w:spacing w:val="9"/>
        </w:rPr>
        <w:t> </w:t>
      </w:r>
      <w:r>
        <w:t>III</w:t>
      </w:r>
      <w:r>
        <w:t xml:space="preserve">, </w:t>
      </w:r>
      <w:r>
        <w:t>COXIII</w:t>
      </w:r>
      <w:r>
        <w:t>）</w:t>
      </w:r>
      <w:r>
        <w:t>的克隆在肝细胞内同</w:t>
      </w:r>
      <w:r>
        <w:t>HBx</w:t>
      </w:r>
      <w:r w:rsidR="001852F3">
        <w:t xml:space="preserve">相结合，并通过假阳性筛除实</w:t>
      </w:r>
      <w:r>
        <w:t>验，离体实验和免疫共沉淀印迹实验多次验证了</w:t>
      </w:r>
      <w:r>
        <w:t>COX</w:t>
      </w:r>
      <w:r>
        <w:t>Ⅲ与</w:t>
      </w:r>
      <w:r>
        <w:t>HBx</w:t>
      </w:r>
      <w:r/>
      <w:r w:rsidR="001852F3">
        <w:t xml:space="preserve">的特异性结合作</w:t>
      </w:r>
      <w:r>
        <w:t>用，有充分实验数据支持筛选到的</w:t>
      </w:r>
      <w:r>
        <w:t>COXⅢ为一个新发现的</w:t>
      </w:r>
      <w:r w:rsidR="001852F3">
        <w:t xml:space="preserve">HBx</w:t>
      </w:r>
      <w:r w:rsidR="001852F3">
        <w:t xml:space="preserve">体内结合蛋白</w:t>
      </w:r>
      <w:r>
        <w:t>[</w:t>
      </w:r>
      <w:r>
        <w:rPr>
          <w:color w:val="080000"/>
          <w:position w:val="12"/>
          <w:sz w:val="12"/>
        </w:rPr>
        <w:t>23</w:t>
      </w:r>
      <w:r>
        <w:rPr>
          <w:color w:val="080000"/>
          <w:position w:val="12"/>
          <w:sz w:val="12"/>
        </w:rPr>
        <w:t>,</w:t>
      </w:r>
      <w:r>
        <w:rPr>
          <w:color w:val="080000"/>
          <w:spacing w:val="-15"/>
          <w:position w:val="12"/>
          <w:sz w:val="12"/>
        </w:rPr>
        <w:t> </w:t>
      </w:r>
      <w:r>
        <w:rPr>
          <w:color w:val="080000"/>
          <w:position w:val="12"/>
          <w:sz w:val="12"/>
        </w:rPr>
        <w:t>24</w:t>
      </w:r>
      <w:r>
        <w:t>]</w:t>
      </w:r>
      <w:r>
        <w:t>。</w:t>
      </w:r>
      <w:r>
        <w:t>这一个新发现指引课题组将研究深入到</w:t>
      </w:r>
      <w:r>
        <w:t>HBx</w:t>
      </w:r>
      <w:r/>
      <w:r w:rsidR="001852F3">
        <w:t xml:space="preserve">作用的最基础起始点——体内结合</w:t>
      </w:r>
      <w:r>
        <w:t>蛋白</w:t>
      </w:r>
      <w:r w:rsidR="001852F3">
        <w:t xml:space="preserve">COXIII。</w:t>
      </w:r>
    </w:p>
    <w:p w:rsidR="0018722C">
      <w:pPr>
        <w:topLinePunct/>
      </w:pPr>
      <w:r>
        <w:t>COX</w:t>
      </w:r>
      <w:r/>
      <w:r w:rsidR="001852F3">
        <w:t xml:space="preserve">是线粒体呼吸电子传递链的第四个中心酶复合物，因此又被称为复合物</w:t>
      </w:r>
      <w:r>
        <w:t>IV</w:t>
      </w:r>
      <w:r>
        <w:t>（</w:t>
      </w:r>
      <w:r>
        <w:t>Complex</w:t>
      </w:r>
      <w:r>
        <w:rPr>
          <w:spacing w:val="-8"/>
        </w:rPr>
        <w:t> </w:t>
      </w:r>
      <w:r>
        <w:t>IV</w:t>
      </w:r>
      <w:r>
        <w:t>）</w:t>
      </w:r>
      <w:r>
        <w:t>。作为细胞色素系统的末端，它不再将电子继续往下传送，而是接受来自</w:t>
      </w:r>
      <w:r w:rsidR="001852F3">
        <w:t xml:space="preserve">4</w:t>
      </w:r>
      <w:r w:rsidR="001852F3">
        <w:t xml:space="preserve">个细胞色素</w:t>
      </w:r>
      <w:r w:rsidR="001852F3">
        <w:t xml:space="preserve">c</w:t>
      </w:r>
      <w:r/>
      <w:r w:rsidR="001852F3">
        <w:t xml:space="preserve">的</w:t>
      </w:r>
      <w:r>
        <w:t>4</w:t>
      </w:r>
      <w:r w:rsidR="001852F3">
        <w:t xml:space="preserve">个电子，传递到一个氧分子上，将氧气转化为两</w:t>
      </w:r>
      <w:r>
        <w:t>个水分子。在这一进程中，它结合来自基质内的</w:t>
      </w:r>
      <w:r>
        <w:t>4</w:t>
      </w:r>
      <w:r/>
      <w:r w:rsidR="001852F3">
        <w:t xml:space="preserve">个质子来制造水分子，同时跨</w:t>
      </w:r>
      <w:r>
        <w:t>膜转运</w:t>
      </w:r>
      <w:r>
        <w:t>4</w:t>
      </w:r>
      <w:r w:rsidR="001852F3">
        <w:t xml:space="preserve">个质子，正是这种质子传递</w:t>
      </w:r>
      <w:r>
        <w:t>（</w:t>
      </w:r>
      <w:r>
        <w:t>proton</w:t>
      </w:r>
      <w:r>
        <w:rPr>
          <w:spacing w:val="12"/>
        </w:rPr>
        <w:t> </w:t>
      </w:r>
      <w:r>
        <w:t>pump</w:t>
      </w:r>
      <w:r>
        <w:t>）</w:t>
      </w:r>
      <w:r>
        <w:t>功能形成了跨膜的质子电化学势能差，而这一势能差可以被三磷酸腺苷合酶用于制造生物体中最基本的能</w:t>
      </w:r>
      <w:r>
        <w:t>量分子</w:t>
      </w:r>
      <w:r>
        <w:t>ATP</w:t>
      </w:r>
      <w:r>
        <w:t>。质子跨膜传递使得膜间隙积累了大量的质子，建立了质子梯度。由于膜间隙质子梯度的建立，使内膜两侧发生两个显著的变化∶首先线粒体膜间隙</w:t>
      </w:r>
      <w:r>
        <w:t>产</w:t>
      </w:r>
    </w:p>
    <w:p w:rsidR="0018722C">
      <w:pPr>
        <w:topLinePunct/>
      </w:pPr>
      <w:r>
        <w:t>生大量的正电荷，而线粒体基质产生大量的负电荷，使内膜两侧形成电位差；第</w:t>
      </w:r>
      <w:r>
        <w:t>二是两侧氢离子浓度的不同因而产生</w:t>
      </w:r>
      <w:r>
        <w:t>pH</w:t>
      </w:r>
      <w:r w:rsidR="001852F3">
        <w:t xml:space="preserve">梯度，这两种梯度合称为电化学势能差或者电化学梯度</w:t>
      </w:r>
      <w:r>
        <w:t>（</w:t>
      </w:r>
      <w:r>
        <w:t>electrochemical gradient</w:t>
      </w:r>
      <w:r>
        <w:t>）</w:t>
      </w:r>
      <w:r>
        <w:t>[</w:t>
      </w:r>
      <w:r>
        <w:t xml:space="preserve">25, 26</w:t>
      </w:r>
      <w:r>
        <w:t>]</w:t>
      </w:r>
      <w:r>
        <w:t>。质子传递在</w:t>
      </w:r>
      <w:r>
        <w:t>COX</w:t>
      </w:r>
      <w:r w:rsidR="001852F3">
        <w:t xml:space="preserve">的作用中</w:t>
      </w:r>
      <w:r>
        <w:t>举足轻重，这个功能主要由</w:t>
      </w:r>
      <w:r>
        <w:t>COXIII</w:t>
      </w:r>
      <w:r/>
      <w:r w:rsidR="001852F3">
        <w:t xml:space="preserve">完成，</w:t>
      </w:r>
      <w:r>
        <w:t>COXIII</w:t>
      </w:r>
      <w:r/>
      <w:r w:rsidR="001852F3">
        <w:t xml:space="preserve">是</w:t>
      </w:r>
      <w:r>
        <w:t>COX</w:t>
      </w:r>
      <w:r w:rsidR="001852F3">
        <w:t xml:space="preserve">的主要组成亚单位，</w:t>
      </w:r>
      <w:r>
        <w:t>分子量</w:t>
      </w:r>
      <w:r>
        <w:t>26021b</w:t>
      </w:r>
      <w:r>
        <w:t xml:space="preserve">, </w:t>
      </w:r>
      <w:r>
        <w:t>COXIII</w:t>
      </w:r>
      <w:r/>
      <w:r w:rsidR="001852F3">
        <w:t xml:space="preserve">有</w:t>
      </w:r>
      <w:r>
        <w:t>7</w:t>
      </w:r>
      <w:r/>
      <w:r w:rsidR="001852F3">
        <w:t xml:space="preserve">个跨膜螺旋，螺旋</w:t>
      </w:r>
      <w:r>
        <w:t>I</w:t>
      </w:r>
      <w:r/>
      <w:r w:rsidR="001852F3">
        <w:t xml:space="preserve">和</w:t>
      </w:r>
      <w:r>
        <w:t>II</w:t>
      </w:r>
      <w:r w:rsidR="001852F3">
        <w:t xml:space="preserve">形成一个螺旋束，螺旋</w:t>
      </w:r>
      <w:r w:rsidR="001852F3">
        <w:t xml:space="preserve">III</w:t>
      </w:r>
      <w:r/>
      <w:r w:rsidR="001852F3">
        <w:t xml:space="preserve">到</w:t>
      </w:r>
      <w:r>
        <w:t>VII</w:t>
      </w:r>
      <w:r w:rsidR="001852F3">
        <w:t xml:space="preserve">形成另一个螺旋束，这两个螺旋束作为侧臂形成一个</w:t>
      </w:r>
      <w:r w:rsidR="001852F3">
        <w:t xml:space="preserve">V</w:t>
      </w:r>
      <w:r w:rsidR="001852F3">
        <w:t xml:space="preserve">型裂隙结</w:t>
      </w:r>
      <w:r>
        <w:t>构。</w:t>
      </w:r>
      <w:r>
        <w:t>COX</w:t>
      </w:r>
      <w:r w:rsidR="001852F3">
        <w:t xml:space="preserve">的生物合成功能是线粒体生物合成功能的一个关键组成部分</w:t>
      </w:r>
      <w:r>
        <w:rPr>
          <w:vertAlign w:val="superscript"/>
        </w:rPr>
        <w:t>[</w:t>
      </w:r>
      <w:r>
        <w:rPr>
          <w:vertAlign w:val="superscript"/>
        </w:rPr>
        <w:t xml:space="preserve">27</w:t>
      </w:r>
      <w:r>
        <w:rPr>
          <w:vertAlign w:val="superscript"/>
        </w:rPr>
        <w:t>]</w:t>
      </w:r>
      <w:r/>
      <w:r>
        <w:t>，它功能的上调将为细胞提供更多的能量而促进细胞增殖，与癌症密切相关</w:t>
      </w:r>
      <w:r>
        <w:t>[</w:t>
      </w:r>
      <w:r>
        <w:t xml:space="preserve">28</w:t>
      </w:r>
      <w:r>
        <w:t>,</w:t>
      </w:r>
      <w:r>
        <w:t xml:space="preserve"> </w:t>
      </w:r>
      <w:r>
        <w:t>29</w:t>
      </w:r>
      <w:r>
        <w:t>]</w:t>
      </w:r>
      <w:r>
        <w:t>。</w:t>
      </w:r>
      <w:r w:rsidR="001852F3">
        <w:t xml:space="preserve">COXIII</w:t>
      </w:r>
      <w:r>
        <w:t>是复合物</w:t>
      </w:r>
      <w:r>
        <w:t>IV</w:t>
      </w:r>
      <w:r>
        <w:t>（</w:t>
      </w:r>
      <w:r>
        <w:t>即</w:t>
      </w:r>
      <w:r>
        <w:rPr>
          <w:spacing w:val="-4"/>
        </w:rPr>
        <w:t>COX</w:t>
      </w:r>
      <w:r>
        <w:t>）</w:t>
      </w:r>
      <w:r>
        <w:t>的主要组成亚单位，是调节</w:t>
      </w:r>
      <w:r>
        <w:t>COX</w:t>
      </w:r>
      <w:r w:rsidR="001852F3">
        <w:t xml:space="preserve">的装配以及酶活性的重要亚基</w:t>
      </w:r>
      <w:r>
        <w:rPr>
          <w:vertAlign w:val="superscript"/>
        </w:rPr>
        <w:t>[</w:t>
      </w:r>
      <w:r>
        <w:rPr>
          <w:color w:val="080000"/>
          <w:vertAlign w:val="superscript"/>
          <w:position w:val="12"/>
        </w:rPr>
        <w:t xml:space="preserve">30</w:t>
      </w:r>
      <w:r>
        <w:rPr>
          <w:vertAlign w:val="superscript"/>
        </w:rPr>
        <w:t>]</w:t>
      </w:r>
      <w:r>
        <w:t>，也是组成</w:t>
      </w:r>
      <w:r>
        <w:t>COX</w:t>
      </w:r>
      <w:r/>
      <w:r w:rsidR="001852F3">
        <w:t xml:space="preserve">质子通路的最主要组成部分，缺乏</w:t>
      </w:r>
      <w:r>
        <w:t>COXIII</w:t>
      </w:r>
      <w:r/>
      <w:r w:rsidR="001852F3">
        <w:t xml:space="preserve">的</w:t>
      </w:r>
      <w:r>
        <w:t>COX</w:t>
      </w:r>
      <w:r/>
      <w:r w:rsidR="001852F3">
        <w:t xml:space="preserve">无法进行质子传递</w:t>
      </w:r>
      <w:r>
        <w:rPr>
          <w:vertAlign w:val="superscript"/>
        </w:rPr>
        <w:t>[</w:t>
      </w:r>
      <w:r>
        <w:rPr>
          <w:color w:val="080000"/>
          <w:vertAlign w:val="superscript"/>
          <w:position w:val="12"/>
        </w:rPr>
        <w:t xml:space="preserve">31</w:t>
      </w:r>
      <w:r>
        <w:rPr>
          <w:vertAlign w:val="superscript"/>
        </w:rPr>
        <w:t>]</w:t>
      </w:r>
      <w:r>
        <w:t>。另外，COXIII</w:t>
      </w:r>
      <w:r/>
      <w:r w:rsidR="001852F3">
        <w:t xml:space="preserve">表达的改变是氧化应激的分子标志</w:t>
      </w:r>
      <w:r>
        <w:rPr>
          <w:vertAlign w:val="superscript"/>
        </w:rPr>
        <w:t>[</w:t>
      </w:r>
      <w:r>
        <w:rPr>
          <w:color w:val="080000"/>
          <w:vertAlign w:val="superscript"/>
          <w:position w:val="12"/>
        </w:rPr>
        <w:t xml:space="preserve">32</w:t>
      </w:r>
      <w:r>
        <w:rPr>
          <w:vertAlign w:val="superscript"/>
        </w:rPr>
        <w:t>]</w:t>
      </w:r>
      <w:r>
        <w:t>。</w:t>
      </w:r>
    </w:p>
    <w:p w:rsidR="0018722C">
      <w:pPr>
        <w:topLinePunct/>
      </w:pPr>
      <w:r>
        <w:t>线粒体是</w:t>
      </w:r>
      <w:r>
        <w:t>ROS</w:t>
      </w:r>
      <w:r/>
      <w:r w:rsidR="001852F3">
        <w:t xml:space="preserve">的主要来源</w:t>
      </w:r>
      <w:r>
        <w:t>[</w:t>
      </w:r>
      <w:r>
        <w:t xml:space="preserve">20</w:t>
      </w:r>
      <w:r>
        <w:t>]</w:t>
      </w:r>
      <w:r>
        <w:t>，HBx</w:t>
      </w:r>
      <w:r/>
      <w:r w:rsidR="001852F3">
        <w:t xml:space="preserve">作用于线粒体增加了</w:t>
      </w:r>
      <w:r>
        <w:t>ROS</w:t>
      </w:r>
      <w:r/>
      <w:r w:rsidR="001852F3">
        <w:t xml:space="preserve">的水平引起氧化应</w:t>
      </w:r>
      <w:r>
        <w:t>激，从而使肝癌细胞上调炎症介质环氧合酶</w:t>
      </w:r>
      <w:r>
        <w:t>2</w:t>
      </w:r>
      <w:r>
        <w:t>（</w:t>
      </w:r>
      <w:r>
        <w:t>COX-2</w:t>
      </w:r>
      <w:r>
        <w:t>）</w:t>
      </w:r>
      <w:r>
        <w:t>的水平产生炎症反应</w:t>
      </w:r>
      <w:r>
        <w:rPr>
          <w:vertAlign w:val="superscript"/>
        </w:rPr>
        <w:t>[</w:t>
      </w:r>
      <w:r>
        <w:rPr>
          <w:vertAlign w:val="superscript"/>
        </w:rPr>
        <w:t xml:space="preserve">33</w:t>
      </w:r>
      <w:r>
        <w:rPr>
          <w:vertAlign w:val="superscript"/>
        </w:rPr>
        <w:t>]</w:t>
      </w:r>
      <w:r>
        <w:t>、导致肝癌细胞处于对促凋亡信号的敏感状态</w:t>
      </w:r>
      <w:r>
        <w:rPr>
          <w:vertAlign w:val="superscript"/>
        </w:rPr>
        <w:t>[</w:t>
      </w:r>
      <w:r>
        <w:rPr>
          <w:vertAlign w:val="superscript"/>
        </w:rPr>
        <w:t xml:space="preserve">34</w:t>
      </w:r>
      <w:r>
        <w:rPr>
          <w:vertAlign w:val="superscript"/>
        </w:rPr>
        <w:t>]</w:t>
      </w:r>
      <w:r>
        <w:t>、令</w:t>
      </w:r>
      <w:r>
        <w:t>HBx</w:t>
      </w:r>
      <w:r/>
      <w:r w:rsidR="001852F3">
        <w:t xml:space="preserve">转基因鼠因</w:t>
      </w:r>
      <w:r>
        <w:t>PTEN</w:t>
      </w:r>
      <w:r>
        <w:t>/</w:t>
      </w:r>
      <w:r>
        <w:t>Akt</w:t>
      </w:r>
      <w:r/>
      <w:r w:rsidR="001852F3">
        <w:t xml:space="preserve">通路失调而激活致癌作用</w:t>
      </w:r>
      <w:r>
        <w:rPr>
          <w:vertAlign w:val="superscript"/>
        </w:rPr>
        <w:t>[</w:t>
      </w:r>
      <w:r>
        <w:rPr>
          <w:vertAlign w:val="superscript"/>
        </w:rPr>
        <w:t xml:space="preserve">35</w:t>
      </w:r>
      <w:r>
        <w:rPr>
          <w:vertAlign w:val="superscript"/>
        </w:rPr>
        <w:t>]</w:t>
      </w:r>
      <w:r>
        <w:t>。</w:t>
      </w:r>
      <w:r>
        <w:t>ROS</w:t>
      </w:r>
      <w:r/>
      <w:r w:rsidR="001852F3">
        <w:t xml:space="preserve">是诱变剂和细胞有丝分裂原，它能上调促炎症基因的表达，增强纤维化的形成，在癌症发展中起着直接作用</w:t>
      </w:r>
      <w:r>
        <w:t>[</w:t>
      </w:r>
      <w:r>
        <w:t>36,</w:t>
      </w:r>
      <w:r>
        <w:t> </w:t>
      </w:r>
      <w:r>
        <w:t>37</w:t>
      </w:r>
      <w:r>
        <w:t>]</w:t>
      </w:r>
      <w:r>
        <w:t>。HBx</w:t>
      </w:r>
      <w:r w:rsidR="001852F3">
        <w:t xml:space="preserve">定位于线粒体，</w:t>
      </w:r>
      <w:r w:rsidR="001852F3">
        <w:t xml:space="preserve">导致</w:t>
      </w:r>
      <w:r w:rsidR="001852F3">
        <w:t xml:space="preserve">ROS</w:t>
      </w:r>
      <w:r/>
      <w:r w:rsidR="001852F3">
        <w:t xml:space="preserve">产生增多、</w:t>
      </w:r>
      <w:r>
        <w:t>MPTP</w:t>
      </w:r>
      <w:r/>
      <w:r w:rsidR="001852F3">
        <w:t xml:space="preserve">开放引起胞质</w:t>
      </w:r>
      <w:r>
        <w:t>Ca2+</w:t>
      </w:r>
      <w:r>
        <w:t>水平增多，从而上调了炎症介质环</w:t>
      </w:r>
      <w:r>
        <w:t>氧合酶</w:t>
      </w:r>
      <w:r>
        <w:t>-2</w:t>
      </w:r>
      <w:r/>
      <w:r>
        <w:t>（</w:t>
      </w:r>
      <w:r>
        <w:t>COX-2</w:t>
      </w:r>
      <w:r>
        <w:t>）</w:t>
      </w:r>
      <w:r>
        <w:t>的表达，促进细胞炎症反应的发生</w:t>
      </w:r>
      <w:r>
        <w:rPr>
          <w:vertAlign w:val="superscript"/>
        </w:rPr>
        <w:t>[</w:t>
      </w:r>
      <w:r>
        <w:rPr>
          <w:color w:val="080000"/>
          <w:vertAlign w:val="superscript"/>
          <w:position w:val="12"/>
        </w:rPr>
        <w:t xml:space="preserve">33</w:t>
      </w:r>
      <w:r>
        <w:rPr>
          <w:vertAlign w:val="superscript"/>
        </w:rPr>
        <w:t>]</w:t>
      </w:r>
      <w:r/>
      <w:r>
        <w:t>。</w:t>
      </w:r>
      <w:r>
        <w:t>近年</w:t>
      </w:r>
      <w:r>
        <w:t>研究发</w:t>
      </w:r>
      <w:r>
        <w:t>现</w:t>
      </w:r>
    </w:p>
    <w:p w:rsidR="0018722C">
      <w:pPr>
        <w:topLinePunct/>
      </w:pPr>
      <w:r>
        <w:t>Wnt</w:t>
      </w:r>
      <w:r>
        <w:t>/</w:t>
      </w:r>
      <w:r>
        <w:t>β–catenin</w:t>
      </w:r>
      <w:r/>
      <w:r w:rsidR="001852F3">
        <w:t xml:space="preserve">信号通路细胞增殖、分化、癌变中担任着重要的角色。在</w:t>
      </w:r>
      <w:r>
        <w:t>HBV</w:t>
      </w:r>
      <w:r/>
      <w:r w:rsidR="001852F3">
        <w:t xml:space="preserve">相</w:t>
      </w:r>
      <w:r>
        <w:t>关的肝细胞癌中，由</w:t>
      </w:r>
      <w:r>
        <w:t>HBx</w:t>
      </w:r>
      <w:r/>
      <w:r w:rsidR="001852F3">
        <w:t xml:space="preserve">蛋白上调的</w:t>
      </w:r>
      <w:r>
        <w:t>β–catenin</w:t>
      </w:r>
      <w:r/>
      <w:r w:rsidR="001852F3">
        <w:t xml:space="preserve">促进了</w:t>
      </w:r>
      <w:r>
        <w:t>HBx</w:t>
      </w:r>
      <w:r/>
      <w:r w:rsidR="001852F3">
        <w:t xml:space="preserve">蛋白的促瘤活性。</w:t>
      </w:r>
      <w:r>
        <w:t>在</w:t>
      </w:r>
      <w:r>
        <w:t>Wnt</w:t>
      </w:r>
      <w:r>
        <w:t>/</w:t>
      </w:r>
      <w:r>
        <w:t>β–catenin</w:t>
      </w:r>
      <w:r/>
      <w:r w:rsidR="001852F3">
        <w:t xml:space="preserve">信号通路中，</w:t>
      </w:r>
      <w:r>
        <w:t>β–catenin</w:t>
      </w:r>
      <w:r/>
      <w:r w:rsidR="001852F3">
        <w:t xml:space="preserve">的下游靶基因，比如</w:t>
      </w:r>
      <w:r>
        <w:t>cyclin-D1</w:t>
      </w:r>
      <w:r>
        <w:rPr>
          <w:rFonts w:hint="eastAsia"/>
        </w:rPr>
        <w:t>，</w:t>
      </w:r>
      <w:r/>
      <w:r>
        <w:t>TCF以及</w:t>
      </w:r>
      <w:r w:rsidR="001852F3">
        <w:t xml:space="preserve">c-myc</w:t>
      </w:r>
      <w:r/>
      <w:r w:rsidR="001852F3">
        <w:t xml:space="preserve">的表达上调了</w:t>
      </w:r>
      <w:r>
        <w:t>[</w:t>
      </w:r>
      <w:r>
        <w:rPr>
          <w:color w:val="080000"/>
          <w:position w:val="12"/>
          <w:sz w:val="12"/>
        </w:rPr>
        <w:t xml:space="preserve">38, 39</w:t>
      </w:r>
      <w:r>
        <w:t>]</w:t>
      </w:r>
      <w:r>
        <w:t>。有研究表明在人胆管癌细胞，COX-2</w:t>
      </w:r>
      <w:r/>
      <w:r w:rsidR="001852F3">
        <w:t xml:space="preserve">衍生的前列</w:t>
      </w:r>
      <w:r>
        <w:t>腺素</w:t>
      </w:r>
      <w:r>
        <w:t>E2</w:t>
      </w:r>
      <w:r/>
      <w:r w:rsidR="001852F3">
        <w:t xml:space="preserve">激活</w:t>
      </w:r>
      <w:r>
        <w:t>β–catenin，二者信号通路可能有交集</w:t>
      </w:r>
      <w:r>
        <w:rPr>
          <w:vertAlign w:val="superscript"/>
        </w:rPr>
        <w:t>[</w:t>
      </w:r>
      <w:r>
        <w:rPr>
          <w:color w:val="080000"/>
          <w:vertAlign w:val="superscript"/>
          <w:position w:val="12"/>
        </w:rPr>
        <w:t xml:space="preserve">40</w:t>
      </w:r>
      <w:r>
        <w:rPr>
          <w:vertAlign w:val="superscript"/>
        </w:rPr>
        <w:t>]</w:t>
      </w:r>
      <w:r>
        <w:t>。</w:t>
      </w:r>
    </w:p>
    <w:p w:rsidR="0018722C">
      <w:pPr>
        <w:topLinePunct/>
      </w:pPr>
      <w:r>
        <w:t>综合上述资料以及我们的前期实验研究，为了进一步探索</w:t>
      </w:r>
      <w:r>
        <w:t>HBx</w:t>
      </w:r>
      <w:r/>
      <w:r w:rsidR="001852F3">
        <w:t xml:space="preserve">致</w:t>
      </w:r>
      <w:r>
        <w:t>HBV</w:t>
      </w:r>
      <w:r/>
      <w:r w:rsidR="001852F3">
        <w:t xml:space="preserve">相关性肝</w:t>
      </w:r>
      <w:r>
        <w:t>细胞癌的发生机制，本实验将利用慢病毒载体构建长期稳定表达</w:t>
      </w:r>
      <w:r>
        <w:t>HBx</w:t>
      </w:r>
      <w:r/>
      <w:r w:rsidR="001852F3">
        <w:t xml:space="preserve">的</w:t>
      </w:r>
      <w:r>
        <w:t>HepG2</w:t>
      </w:r>
      <w:r>
        <w:t>/</w:t>
      </w:r>
      <w:r>
        <w:t xml:space="preserve">HBx</w:t>
      </w:r>
      <w:r>
        <w:t>细胞株，通过激光共聚焦显微镜进一步观察</w:t>
      </w:r>
      <w:r>
        <w:t>HBx</w:t>
      </w:r>
      <w:r/>
      <w:r w:rsidR="001852F3">
        <w:t xml:space="preserve">与</w:t>
      </w:r>
      <w:r>
        <w:t>COXIII</w:t>
      </w:r>
      <w:r/>
      <w:r w:rsidR="001852F3">
        <w:t xml:space="preserve">在线粒体中的共定位，</w:t>
      </w:r>
      <w:r>
        <w:t>然后检测</w:t>
      </w:r>
      <w:r>
        <w:t>COXIII</w:t>
      </w:r>
      <w:r/>
      <w:r w:rsidR="001852F3">
        <w:t xml:space="preserve">表达水平的改变、</w:t>
      </w:r>
      <w:r>
        <w:t>COX</w:t>
      </w:r>
      <w:r/>
      <w:r w:rsidR="001852F3">
        <w:t xml:space="preserve">酶活性的改变以及由此引发的线粒体超微</w:t>
      </w:r>
      <w:r>
        <w:t>结构与功能的改变，进一步研究</w:t>
      </w:r>
      <w:r>
        <w:t>HBx</w:t>
      </w:r>
      <w:r/>
      <w:r w:rsidR="001852F3">
        <w:t xml:space="preserve">对线粒体</w:t>
      </w:r>
      <w:r>
        <w:t>ROS</w:t>
      </w:r>
      <w:r/>
      <w:r w:rsidR="001852F3">
        <w:t xml:space="preserve">水平的影响，并探讨其对肝癌细胞增殖能力所造成影响的分子机制，由此进一步阐述乙肝病毒感染导致肝细</w:t>
      </w:r>
      <w:r w:rsidR="001852F3">
        <w:t>胞</w:t>
      </w:r>
    </w:p>
    <w:p w:rsidR="0018722C">
      <w:pPr>
        <w:topLinePunct/>
      </w:pPr>
      <w:r>
        <w:t>炎症和肝癌发生的机制。</w:t>
      </w:r>
    </w:p>
    <w:p w:rsidR="0018722C">
      <w:pPr>
        <w:pStyle w:val="Heading1"/>
        <w:topLinePunct/>
      </w:pPr>
      <w:bookmarkStart w:id="707260" w:name="_Toc686707260"/>
      <w:bookmarkStart w:name="_TOC_250007" w:id="10"/>
      <w:bookmarkStart w:name="第一部分 稳定表达HBx的肝癌细胞株的构建与鉴定 " w:id="11"/>
      <w:bookmarkEnd w:id="10"/>
      <w:r>
        <w:t>第一部分</w:t>
      </w:r>
      <w:r>
        <w:t xml:space="preserve"> </w:t>
      </w:r>
      <w:r w:rsidRPr="00DB64CE">
        <w:t>稳定表达</w:t>
      </w:r>
      <w:r w:rsidR="001852F3">
        <w:rPr>
          <w:b/>
        </w:rPr>
        <w:t xml:space="preserve">HBx</w:t>
      </w:r>
      <w:r w:rsidR="001852F3">
        <w:t xml:space="preserve">的肝癌细胞株的构建与鉴定</w:t>
      </w:r>
      <w:bookmarkEnd w:id="707260"/>
    </w:p>
    <w:p w:rsidR="0018722C">
      <w:pPr>
        <w:pStyle w:val="Heading2"/>
        <w:topLinePunct/>
        <w:ind w:left="171" w:hangingChars="171" w:hanging="171"/>
      </w:pPr>
      <w:bookmarkStart w:id="707261" w:name="_Toc686707261"/>
      <w:bookmarkStart w:name="一 引言 " w:id="12"/>
      <w:bookmarkEnd w:id="12"/>
      <w:r>
        <w:t>一</w:t>
      </w:r>
      <w:r>
        <w:t xml:space="preserve"> </w:t>
      </w:r>
      <w:r w:rsidRPr="00DB64CE">
        <w:t>引言</w:t>
      </w:r>
      <w:bookmarkEnd w:id="707261"/>
    </w:p>
    <w:p w:rsidR="0018722C">
      <w:pPr>
        <w:topLinePunct/>
      </w:pPr>
      <w:r>
        <w:t>慢病毒载体是由人类免疫缺陷</w:t>
      </w:r>
      <w:r w:rsidR="001852F3">
        <w:t xml:space="preserve">1</w:t>
      </w:r>
      <w:r w:rsidR="001852F3">
        <w:t xml:space="preserve">型病毒</w:t>
      </w:r>
      <w:r>
        <w:t>(</w:t>
      </w:r>
      <w:r>
        <w:t>HIV-1</w:t>
      </w:r>
      <w:r>
        <w:t>)</w:t>
      </w:r>
      <w:r>
        <w:t>为基础发展起来的基因治疗载体，可将目的基因整合至靶细胞基因组中，从而实现长期稳定地表达，具有转染非分裂细胞、装载外源性目的基因片段大、免疫反应小等特点，是</w:t>
      </w:r>
      <w:r>
        <w:t>近年</w:t>
      </w:r>
      <w:r>
        <w:t>来众多转基因方法中的新热点</w:t>
      </w:r>
      <w:r>
        <w:rPr>
          <w:vertAlign w:val="superscript"/>
          /&gt;
        </w:rPr>
        <w:t>[</w:t>
      </w:r>
      <w:r>
        <w:rPr>
          <w:color w:val="080000"/>
          <w:position w:val="12"/>
          <w:sz w:val="12"/>
        </w:rPr>
        <w:t xml:space="preserve">41</w:t>
      </w:r>
      <w:r>
        <w:rPr>
          <w:color w:val="080000"/>
          <w:position w:val="12"/>
          <w:sz w:val="12"/>
        </w:rPr>
        <w:t>,</w:t>
      </w:r>
      <w:r>
        <w:rPr>
          <w:color w:val="080000"/>
          <w:position w:val="12"/>
          <w:sz w:val="12"/>
        </w:rPr>
        <w:t xml:space="preserve"> 42</w:t>
      </w:r>
      <w:r>
        <w:rPr>
          <w:vertAlign w:val="superscript"/>
          /&gt;
        </w:rPr>
        <w:t>]</w:t>
      </w:r>
      <w:r>
        <w:t>。</w:t>
      </w:r>
    </w:p>
    <w:p w:rsidR="0018722C">
      <w:pPr>
        <w:topLinePunct/>
      </w:pPr>
      <w:r>
        <w:t>本实验室前期工作中应用</w:t>
      </w:r>
      <w:r>
        <w:t>In-Fusion</w:t>
      </w:r>
      <w:r/>
      <w:r w:rsidR="001852F3">
        <w:t xml:space="preserve">技术原理设计克隆引物，采用</w:t>
      </w:r>
      <w:r>
        <w:t>PCR</w:t>
      </w:r>
      <w:r/>
      <w:r w:rsidR="001852F3">
        <w:t xml:space="preserve">从真</w:t>
      </w:r>
      <w:r>
        <w:t>核表达载体</w:t>
      </w:r>
      <w:r>
        <w:t>PcDNA3.1-X</w:t>
      </w:r>
      <w:r/>
      <w:r w:rsidR="001852F3">
        <w:t xml:space="preserve">中获取</w:t>
      </w:r>
      <w:r>
        <w:t>HBX</w:t>
      </w:r>
      <w:r/>
      <w:r w:rsidR="001852F3">
        <w:t xml:space="preserve">基因</w:t>
      </w:r>
      <w:r>
        <w:t>（</w:t>
      </w:r>
      <w:r>
        <w:t>ayw</w:t>
      </w:r>
      <w:r w:rsidR="001852F3">
        <w:rPr>
          <w:spacing w:val="-16"/>
        </w:rPr>
        <w:t xml:space="preserve">型</w:t>
      </w:r>
      <w:r>
        <w:t>）</w:t>
      </w:r>
      <w:r>
        <w:t>全长序列片段，然后以</w:t>
      </w:r>
      <w:r>
        <w:t>In-Fusion</w:t>
      </w:r>
      <w:r>
        <w:t>交换酶使</w:t>
      </w:r>
      <w:r>
        <w:t>HBX</w:t>
      </w:r>
      <w:r/>
      <w:r w:rsidR="001852F3">
        <w:t xml:space="preserve">基因和酶切线性化的慢病毒载体</w:t>
      </w:r>
      <w:r>
        <w:t>（</w:t>
      </w:r>
      <w:r>
        <w:rPr>
          <w:spacing w:val="-4"/>
        </w:rPr>
        <w:t>该载体携带有</w:t>
      </w:r>
      <w:r>
        <w:t>eGFP——绿色荧光</w:t>
      </w:r>
      <w:r>
        <w:rPr>
          <w:spacing w:val="6"/>
        </w:rPr>
        <w:t>蛋白</w:t>
      </w:r>
      <w:r w:rsidR="001852F3">
        <w:rPr>
          <w:spacing w:val="6"/>
        </w:rPr>
        <w:t xml:space="preserve">、</w:t>
      </w:r>
      <w:r>
        <w:t>3³Flag</w:t>
      </w:r>
      <w:r w:rsidR="001852F3">
        <w:rPr>
          <w:spacing w:val="-5"/>
        </w:rPr>
        <w:t xml:space="preserve">基因，并具有</w:t>
      </w:r>
      <w:r>
        <w:t>Puromycin——嘌呤霉素抗性筛选标记</w:t>
      </w:r>
      <w:r>
        <w:t>）</w:t>
      </w:r>
      <w:r>
        <w:t>质粒连接，</w:t>
      </w:r>
      <w:r>
        <w:t>使小分子多肽</w:t>
      </w:r>
      <w:r>
        <w:t>3³DYKDDDDK</w:t>
      </w:r>
      <w:r>
        <w:t>（</w:t>
      </w:r>
      <w:r>
        <w:rPr>
          <w:spacing w:val="-2"/>
        </w:rPr>
        <w:t>Flag</w:t>
      </w:r>
      <w:r>
        <w:t>）</w:t>
      </w:r>
      <w:r>
        <w:t>在</w:t>
      </w:r>
      <w:r>
        <w:t>HBx</w:t>
      </w:r>
      <w:r/>
      <w:r w:rsidR="001852F3">
        <w:t xml:space="preserve">的</w:t>
      </w:r>
      <w:r>
        <w:t>N</w:t>
      </w:r>
      <w:r/>
      <w:r w:rsidR="001852F3">
        <w:t xml:space="preserve">端融合表达，获得重组慢病毒载</w:t>
      </w:r>
      <w:r w:rsidR="001852F3">
        <w:t>体</w:t>
      </w:r>
    </w:p>
    <w:p w:rsidR="0018722C">
      <w:pPr>
        <w:topLinePunct/>
      </w:pPr>
      <w:r>
        <w:t xml:space="preserve">PLOV.</w:t>
      </w:r>
      <w:r w:rsidR="001852F3">
        <w:t xml:space="preserve"> </w:t>
      </w:r>
      <w:r w:rsidR="001852F3">
        <w:t xml:space="preserve">CMV.</w:t>
      </w:r>
      <w:r w:rsidR="001852F3">
        <w:t xml:space="preserve"> </w:t>
      </w:r>
      <w:r w:rsidR="001852F3">
        <w:t xml:space="preserve">eGFP.2A.3³Flag＆HBX.</w:t>
      </w:r>
      <w:r w:rsidR="001852F3">
        <w:t xml:space="preserve"> </w:t>
      </w:r>
      <w:r w:rsidR="001852F3">
        <w:t xml:space="preserve">EF1a.</w:t>
      </w:r>
      <w:r w:rsidR="001852F3">
        <w:t xml:space="preserve"> </w:t>
      </w:r>
      <w:r w:rsidR="001852F3">
        <w:t xml:space="preserve">PuroR，</w:t>
      </w:r>
      <w:r>
        <w:t xml:space="preserve">并经过测序和表达检测鉴定。然</w:t>
      </w:r>
      <w:r>
        <w:t xml:space="preserve">后将慢病毒三质粒</w:t>
      </w:r>
      <w:r>
        <w:t xml:space="preserve">（</w:t>
      </w:r>
      <w:r>
        <w:t xml:space="preserve">重组质粒</w:t>
      </w:r>
      <w:r w:rsidR="001852F3">
        <w:t xml:space="preserve">PLOV.</w:t>
      </w:r>
      <w:r w:rsidR="004B696B">
        <w:t xml:space="preserve"> </w:t>
      </w:r>
      <w:r w:rsidR="004B696B">
        <w:t xml:space="preserve">CMV.</w:t>
      </w:r>
      <w:r w:rsidR="004B696B">
        <w:t xml:space="preserve"> </w:t>
      </w:r>
      <w:r w:rsidR="004B696B">
        <w:t xml:space="preserve">eGFP.2A.3³Flag＆HBX.</w:t>
      </w:r>
      <w:r w:rsidR="004B696B">
        <w:t xml:space="preserve"> </w:t>
      </w:r>
      <w:r w:rsidR="004B696B">
        <w:t xml:space="preserve">EF1a.</w:t>
      </w:r>
      <w:r w:rsidR="004B696B">
        <w:t xml:space="preserve"> </w:t>
      </w:r>
      <w:r w:rsidR="004B696B">
        <w:t xml:space="preserve">PuroR</w:t>
      </w:r>
      <w:r w:rsidR="001852F3">
        <w:t xml:space="preserve">或空</w:t>
      </w:r>
      <w:r>
        <w:t xml:space="preserve">载质粒与包膜质粒</w:t>
      </w:r>
      <w:r>
        <w:t xml:space="preserve">pMD2.</w:t>
      </w:r>
      <w:r w:rsidR="004B696B">
        <w:t xml:space="preserve"> </w:t>
      </w:r>
      <w:r w:rsidR="004B696B">
        <w:t xml:space="preserve">G、包装质粒</w:t>
      </w:r>
      <w:r w:rsidR="001852F3">
        <w:t xml:space="preserve">psPAX2</w:t>
      </w:r>
      <w:r>
        <w:t xml:space="preserve">）</w:t>
      </w:r>
      <w:r>
        <w:t xml:space="preserve">共转染</w:t>
      </w:r>
      <w:r w:rsidR="001852F3">
        <w:t xml:space="preserve">293T</w:t>
      </w:r>
      <w:r/>
      <w:r w:rsidR="001852F3">
        <w:t xml:space="preserve">细胞以包装慢病毒颗粒，将收获的重组病毒颗粒浓缩纯化并进行滴度测定。最终获得浓缩纯化后的</w:t>
      </w:r>
      <w:r>
        <w:t xml:space="preserve">重组病毒颗粒滴度为：8.61³10</w:t>
      </w:r>
      <w:r>
        <w:rPr>
          <w:vertAlign w:val="superscript"/>
          /&gt;
        </w:rPr>
        <w:t xml:space="preserve">7</w:t>
      </w:r>
      <w:r>
        <w:t xml:space="preserve">IU</w:t>
      </w:r>
      <w:r>
        <w:t xml:space="preserve">/</w:t>
      </w:r>
      <w:r>
        <w:t xml:space="preserve">ml，</w:t>
      </w:r>
      <w:r>
        <w:t xml:space="preserve">空载对照病毒滴度为：2.48³10</w:t>
      </w:r>
      <w:r>
        <w:rPr>
          <w:vertAlign w:val="superscript"/>
          /&gt;
        </w:rPr>
        <w:t xml:space="preserve">8</w:t>
      </w:r>
      <w:r>
        <w:t xml:space="preserve">IU</w:t>
      </w:r>
      <w:r>
        <w:t xml:space="preserve">/</w:t>
      </w:r>
      <w:r>
        <w:t xml:space="preserve">ml。</w:t>
      </w:r>
      <w:r>
        <w:t xml:space="preserve">本部分实验以包装好的慢病毒颗粒感染</w:t>
      </w:r>
      <w:r>
        <w:t xml:space="preserve">HepG2</w:t>
      </w:r>
      <w:r/>
      <w:r w:rsidR="001852F3">
        <w:t xml:space="preserve">细胞，经过</w:t>
      </w:r>
      <w:r>
        <w:t xml:space="preserve">Pu</w:t>
      </w:r>
      <w:r>
        <w:t>r</w:t>
      </w:r>
      <w:r>
        <w:t>omycin</w:t>
      </w:r>
      <w:r>
        <w:t xml:space="preserve">（</w:t>
      </w:r>
      <w:r>
        <w:t xml:space="preserve">嘌呤</w:t>
      </w:r>
    </w:p>
    <w:p w:rsidR="0018722C">
      <w:pPr>
        <w:topLinePunct/>
      </w:pPr>
      <w:r>
        <w:t>霉素</w:t>
      </w:r>
      <w:r>
        <w:t>）</w:t>
      </w:r>
      <w:r>
        <w:t>筛选后获得阳性细胞，荧光显微镜下观察嘌呤霉素筛选后阳性细胞</w:t>
      </w:r>
      <w:r>
        <w:t>eGFP</w:t>
      </w:r>
      <w:r>
        <w:t>（</w:t>
      </w:r>
      <w:r>
        <w:t>绿色荧光蛋白</w:t>
      </w:r>
      <w:r>
        <w:t>）</w:t>
      </w:r>
      <w:r>
        <w:t>表达情况，并利用</w:t>
      </w:r>
      <w:r>
        <w:t>PCR</w:t>
      </w:r>
      <w:r/>
      <w:r w:rsidR="001852F3">
        <w:t xml:space="preserve">和</w:t>
      </w:r>
      <w:r>
        <w:t>Western-Blot</w:t>
      </w:r>
      <w:r/>
      <w:r w:rsidR="001852F3">
        <w:t xml:space="preserve">鉴定。</w:t>
      </w:r>
    </w:p>
    <w:p w:rsidR="0018722C">
      <w:pPr>
        <w:pStyle w:val="Heading2"/>
        <w:topLinePunct/>
        <w:ind w:left="171" w:hangingChars="171" w:hanging="171"/>
      </w:pPr>
      <w:bookmarkStart w:id="707262" w:name="_Toc686707262"/>
      <w:bookmarkStart w:name="二 实验材料与实验仪器 " w:id="13"/>
      <w:bookmarkEnd w:id="13"/>
      <w:r>
        <w:t>二</w:t>
      </w:r>
      <w:r>
        <w:t xml:space="preserve"> </w:t>
      </w:r>
      <w:r w:rsidRPr="00DB64CE">
        <w:t>实验材料与实验仪器</w:t>
      </w:r>
      <w:bookmarkEnd w:id="707262"/>
    </w:p>
    <w:p w:rsidR="0018722C">
      <w:pPr>
        <w:pStyle w:val="Heading3"/>
        <w:topLinePunct/>
        <w:ind w:left="200" w:hangingChars="200" w:hanging="200"/>
      </w:pPr>
      <w:r>
        <w:rPr>
          <w:b/>
        </w:rPr>
        <w:t>1</w:t>
      </w:r>
      <w:r>
        <w:t xml:space="preserve"> </w:t>
      </w:r>
      <w:r>
        <w:t>主要实验材料</w:t>
      </w:r>
    </w:p>
    <w:p w:rsidR="0018722C">
      <w:pPr>
        <w:topLinePunct/>
      </w:pPr>
      <w:r>
        <w:t>肝癌细胞株</w:t>
      </w:r>
      <w:r/>
      <w:r>
        <w:t>HepG2</w:t>
      </w:r>
      <w:r w:rsidRPr="00000000">
        <w:tab/>
        <w:t>上海中科院细胞库</w:t>
      </w:r>
    </w:p>
    <w:p w:rsidR="0018722C">
      <w:pPr>
        <w:pStyle w:val="BodyText"/>
        <w:tabs>
          <w:tab w:pos="4303" w:val="left" w:leader="none"/>
        </w:tabs>
        <w:spacing w:before="154"/>
        <w:ind w:leftChars="0" w:left="102"/>
        <w:topLinePunct/>
      </w:pPr>
      <w:r>
        <w:t>嘌呤霉素</w:t>
      </w:r>
      <w:r w:rsidRPr="00000000">
        <w:tab/>
        <w:t>Sigma</w:t>
      </w:r>
      <w:r>
        <w:rPr>
          <w:spacing w:val="-30"/>
        </w:rPr>
        <w:t> </w:t>
      </w:r>
      <w:r>
        <w:t>公司</w:t>
      </w:r>
    </w:p>
    <w:p w:rsidR="0018722C">
      <w:pPr>
        <w:topLinePunct/>
      </w:pPr>
      <w:r>
        <w:t>DMEM</w:t>
      </w:r>
      <w:r/>
      <w:r>
        <w:t>培养基</w:t>
      </w:r>
      <w:r w:rsidRPr="00000000">
        <w:tab/>
        <w:t>Hyclone</w:t>
      </w:r>
      <w:r/>
      <w:r>
        <w:t>公司</w:t>
      </w:r>
    </w:p>
    <w:p w:rsidR="0018722C">
      <w:pPr>
        <w:pStyle w:val="BodyText"/>
        <w:tabs>
          <w:tab w:pos="4303" w:val="left" w:leader="none"/>
        </w:tabs>
        <w:spacing w:before="154"/>
        <w:ind w:leftChars="0" w:left="102"/>
        <w:topLinePunct/>
      </w:pPr>
      <w:r>
        <w:t>胰蛋白酶</w:t>
      </w:r>
      <w:r w:rsidR="001852F3">
        <w:t>Invitrogen</w:t>
      </w:r>
      <w:r>
        <w:t>公司</w:t>
      </w:r>
    </w:p>
    <w:p w:rsidR="0018722C">
      <w:pPr>
        <w:pStyle w:val="BodyText"/>
        <w:tabs>
          <w:tab w:pos="4303" w:val="left" w:leader="none"/>
        </w:tabs>
        <w:spacing w:before="153"/>
        <w:ind w:leftChars="0" w:left="102"/>
        <w:topLinePunct/>
      </w:pPr>
      <w:r>
        <w:t>胎牛血清</w:t>
      </w:r>
      <w:r w:rsidR="001852F3">
        <w:t>Hyclone</w:t>
      </w:r>
      <w:r w:rsidR="001852F3">
        <w:t xml:space="preserve">公司</w:t>
      </w:r>
    </w:p>
    <w:p w:rsidR="0018722C">
      <w:pPr>
        <w:topLinePunct/>
      </w:pPr>
      <w:r>
        <w:t>TRizol</w:t>
      </w:r>
      <w:r/>
      <w:r>
        <w:t>试剂</w:t>
      </w:r>
      <w:r w:rsidR="001852F3">
        <w:t>Invitrogen</w:t>
      </w:r>
      <w:r w:rsidR="001852F3">
        <w:t xml:space="preserve">公司</w:t>
      </w:r>
    </w:p>
    <w:p w:rsidR="0018722C">
      <w:pPr>
        <w:topLinePunct/>
      </w:pPr>
      <w:r>
        <w:t>RT-PCR</w:t>
      </w:r>
      <w:r/>
      <w:r>
        <w:t>试剂盒</w:t>
      </w:r>
      <w:r w:rsidR="001852F3">
        <w:t>Thermo</w:t>
      </w:r>
      <w:r/>
      <w:r>
        <w:t>公司</w:t>
      </w:r>
    </w:p>
    <w:p w:rsidR="0018722C">
      <w:pPr>
        <w:topLinePunct/>
      </w:pPr>
      <w:r>
        <w:t>小鼠抗人</w:t>
      </w:r>
      <w:r/>
      <w:r>
        <w:t>Flag</w:t>
      </w:r>
      <w:r/>
      <w:r>
        <w:t>单克隆抗体</w:t>
      </w:r>
      <w:r w:rsidR="001852F3">
        <w:t>Abmart</w:t>
      </w:r>
      <w:r/>
      <w:r>
        <w:t>公司</w:t>
      </w:r>
    </w:p>
    <w:p w:rsidR="0018722C">
      <w:pPr>
        <w:topLinePunct/>
      </w:pPr>
      <w:r>
        <w:t>小鼠抗人β-actin</w:t>
      </w:r>
      <w:r/>
      <w:r>
        <w:t>单克隆抗体</w:t>
      </w:r>
      <w:r w:rsidR="001852F3">
        <w:t>北京中杉金桥生物技术有限公司兔抗小鼠二抗</w:t>
      </w:r>
      <w:r w:rsidR="001852F3">
        <w:t>北京中杉金桥生物技术有限公司</w:t>
      </w:r>
    </w:p>
    <w:p w:rsidR="0018722C">
      <w:pPr>
        <w:topLinePunct/>
      </w:pPr>
      <w:r>
        <w:t>BCA</w:t>
      </w:r>
      <w:r w:rsidR="001852F3">
        <w:t xml:space="preserve">蛋白定量试剂盒</w:t>
      </w:r>
      <w:r w:rsidR="001852F3">
        <w:t>碧云天生物科技有限公司哺乳动物细胞总蛋白抽提试剂         碧云天生物科技有限公司蛋白酶抑制剂购</w:t>
      </w:r>
      <w:r w:rsidR="001852F3">
        <w:t>碧云天生物科技有限公</w:t>
      </w:r>
      <w:r w:rsidR="001852F3">
        <w:t>司</w:t>
      </w:r>
    </w:p>
    <w:p w:rsidR="0018722C">
      <w:pPr>
        <w:topLinePunct/>
      </w:pPr>
      <w:r>
        <w:t>蛋白印迹实验的</w:t>
      </w:r>
      <w:r w:rsidR="001852F3">
        <w:t xml:space="preserve">ECL</w:t>
      </w:r>
      <w:r w:rsidR="001852F3">
        <w:t xml:space="preserve">显色试剂          北京中杉金桥生物技术有限公司</w:t>
      </w:r>
    </w:p>
    <w:p w:rsidR="0018722C">
      <w:pPr>
        <w:pStyle w:val="Heading3"/>
        <w:topLinePunct/>
        <w:ind w:left="200" w:hangingChars="200" w:hanging="200"/>
      </w:pPr>
      <w:r>
        <w:t>2</w:t>
      </w:r>
      <w:r>
        <w:t xml:space="preserve"> </w:t>
      </w:r>
      <w:r w:rsidRPr="00DB64CE">
        <w:t>主要实验仪器</w:t>
      </w:r>
    </w:p>
    <w:p w:rsidR="0018722C">
      <w:pPr>
        <w:topLinePunct/>
      </w:pPr>
      <w:r>
        <w:t>无菌洁净工作台</w:t>
      </w:r>
      <w:r w:rsidR="001852F3">
        <w:t>苏州净化设备有限公司</w:t>
      </w:r>
    </w:p>
    <w:p w:rsidR="0018722C">
      <w:pPr>
        <w:topLinePunct/>
      </w:pPr>
      <w:r>
        <w:t>PCR</w:t>
      </w:r>
      <w:r w:rsidR="001852F3">
        <w:t xml:space="preserve">仪</w:t>
      </w:r>
      <w:r w:rsidR="001852F3">
        <w:t xml:space="preserve">AB2720</w:t>
      </w:r>
      <w:r w:rsidR="001852F3">
        <w:t xml:space="preserve">型</w:t>
      </w:r>
      <w:r w:rsidR="001852F3">
        <w:t>美国</w:t>
      </w:r>
      <w:r w:rsidR="001852F3">
        <w:t xml:space="preserve">AB</w:t>
      </w:r>
      <w:r/>
      <w:r>
        <w:t>公司</w:t>
      </w:r>
    </w:p>
    <w:p w:rsidR="0018722C">
      <w:pPr>
        <w:topLinePunct/>
      </w:pPr>
      <w:r>
        <w:t>稳压稳流电泳仪</w:t>
      </w:r>
      <w:r w:rsidR="001852F3">
        <w:t xml:space="preserve">DYY-5</w:t>
      </w:r>
      <w:r/>
      <w:r>
        <w:t>型</w:t>
      </w:r>
      <w:r w:rsidR="001852F3">
        <w:t>北京六一仪器厂</w:t>
      </w:r>
    </w:p>
    <w:p w:rsidR="0018722C">
      <w:pPr>
        <w:topLinePunct/>
      </w:pPr>
      <w:r>
        <w:t>蛋白电泳及转印设备</w:t>
      </w:r>
      <w:r w:rsidR="001852F3">
        <w:t>美国</w:t>
      </w:r>
      <w:r w:rsidR="001852F3">
        <w:t xml:space="preserve">Bio-Rad</w:t>
      </w:r>
      <w:r w:rsidR="001852F3">
        <w:t xml:space="preserve">公司</w:t>
      </w:r>
    </w:p>
    <w:p w:rsidR="0018722C">
      <w:pPr>
        <w:topLinePunct/>
      </w:pPr>
      <w:r>
        <w:t>5430R</w:t>
      </w:r>
      <w:r/>
      <w:r>
        <w:t>小型高速多功能离心机</w:t>
      </w:r>
      <w:r w:rsidR="001852F3">
        <w:t>Eppendorf</w:t>
      </w:r>
      <w:r w:rsidR="001852F3">
        <w:t xml:space="preserve">公司</w:t>
      </w:r>
    </w:p>
    <w:p w:rsidR="0018722C">
      <w:pPr>
        <w:topLinePunct/>
      </w:pPr>
      <w:r>
        <w:t>5810R</w:t>
      </w:r>
      <w:r w:rsidR="001852F3">
        <w:t xml:space="preserve">台式高速大容量低温离心机</w:t>
      </w:r>
      <w:r w:rsidR="001852F3">
        <w:t>Eppendorf</w:t>
      </w:r>
      <w:r w:rsidR="001852F3">
        <w:t xml:space="preserve">公司倒置相差荧光显微镜</w:t>
      </w:r>
      <w:r w:rsidR="001852F3">
        <w:t xml:space="preserve">NIKON TE2000-U</w:t>
      </w:r>
      <w:r w:rsidR="001852F3">
        <w:t>尼康公司</w:t>
      </w:r>
    </w:p>
    <w:p w:rsidR="0018722C">
      <w:pPr>
        <w:topLinePunct/>
      </w:pPr>
      <w:r>
        <w:t>凝胶成像仪</w:t>
      </w:r>
      <w:r/>
      <w:r>
        <w:t>Tanon-2500</w:t>
      </w:r>
      <w:r w:rsidR="001852F3">
        <w:t>上海天能科技有限公司</w:t>
      </w:r>
    </w:p>
    <w:p w:rsidR="0018722C">
      <w:pPr>
        <w:topLinePunct/>
      </w:pPr>
      <w:r>
        <w:t>C02</w:t>
      </w:r>
      <w:r/>
      <w:r>
        <w:t>培养箱</w:t>
      </w:r>
      <w:r>
        <w:t>(</w:t>
      </w:r>
      <w:r>
        <w:t>2300</w:t>
      </w:r>
      <w:r/>
      <w:r>
        <w:t>型</w:t>
      </w:r>
      <w:r>
        <w:t>)</w:t>
      </w:r>
      <w:r w:rsidRPr="00000000">
        <w:tab/>
        <w:t>shelden</w:t>
      </w:r>
      <w:r/>
      <w:r>
        <w:t>公司</w:t>
      </w:r>
    </w:p>
    <w:p w:rsidR="0018722C">
      <w:pPr>
        <w:topLinePunct/>
      </w:pPr>
      <w:r>
        <w:t>日立高性能超速离心机</w:t>
      </w:r>
      <w:r/>
      <w:r>
        <w:t>CP100WX</w:t>
      </w:r>
      <w:r w:rsidRPr="00000000">
        <w:tab/>
        <w:t>Hitachi</w:t>
      </w:r>
      <w:r/>
      <w:r>
        <w:t>公司</w:t>
      </w:r>
    </w:p>
    <w:p w:rsidR="0018722C">
      <w:pPr>
        <w:topLinePunct/>
      </w:pPr>
      <w:r>
        <w:t>电热恒温水槽</w:t>
      </w:r>
      <w:r/>
      <w:r>
        <w:t>DK-8D</w:t>
      </w:r>
      <w:r w:rsidR="001852F3">
        <w:t>上海一恒科学仪器有限公司</w:t>
      </w:r>
    </w:p>
    <w:p w:rsidR="0018722C">
      <w:pPr>
        <w:pStyle w:val="Heading2"/>
        <w:topLinePunct/>
        <w:ind w:left="171" w:hangingChars="171" w:hanging="171"/>
      </w:pPr>
      <w:bookmarkStart w:id="707263" w:name="_Toc686707263"/>
      <w:bookmarkStart w:name="三 实验步骤 " w:id="14"/>
      <w:bookmarkEnd w:id="14"/>
      <w:r>
        <w:t>三</w:t>
      </w:r>
      <w:r>
        <w:t xml:space="preserve"> </w:t>
      </w:r>
      <w:r w:rsidRPr="00DB64CE">
        <w:t>实验步骤</w:t>
      </w:r>
      <w:bookmarkEnd w:id="707263"/>
    </w:p>
    <w:p w:rsidR="0018722C">
      <w:pPr>
        <w:pStyle w:val="Heading3"/>
        <w:topLinePunct/>
        <w:ind w:left="200" w:hangingChars="200" w:hanging="200"/>
      </w:pPr>
      <w:r>
        <w:rPr>
          <w:b/>
        </w:rPr>
        <w:t>1</w:t>
      </w:r>
      <w:r>
        <w:t xml:space="preserve"> </w:t>
      </w:r>
      <w:r>
        <w:t>包装慢病毒颗粒，并测定滴度</w:t>
      </w:r>
    </w:p>
    <w:p w:rsidR="0018722C">
      <w:pPr>
        <w:topLinePunct/>
      </w:pPr>
      <w:r>
        <w:t xml:space="preserve">将慢病毒三质粒</w:t>
      </w:r>
      <w:r>
        <w:t xml:space="preserve">（</w:t>
      </w:r>
      <w:r>
        <w:rPr>
          <w:spacing w:val="0"/>
        </w:rPr>
        <w:t xml:space="preserve">重组质粒</w:t>
      </w:r>
      <w:r>
        <w:t xml:space="preserve">PLOV.</w:t>
      </w:r>
      <w:r w:rsidR="001852F3">
        <w:t xml:space="preserve"> </w:t>
      </w:r>
      <w:r w:rsidR="001852F3">
        <w:t xml:space="preserve">CMV.</w:t>
      </w:r>
      <w:r w:rsidR="001852F3">
        <w:t xml:space="preserve"> </w:t>
      </w:r>
      <w:r w:rsidR="001852F3">
        <w:t xml:space="preserve">eGFP.2A.3³Flag＆HBX.</w:t>
      </w:r>
      <w:r w:rsidR="001852F3">
        <w:t xml:space="preserve"> </w:t>
      </w:r>
      <w:r w:rsidR="001852F3">
        <w:t xml:space="preserve">EF1a.</w:t>
      </w:r>
      <w:r w:rsidR="001852F3">
        <w:t xml:space="preserve"> </w:t>
      </w:r>
      <w:r w:rsidR="001852F3">
        <w:t xml:space="preserve">PuroR</w:t>
      </w:r>
      <w:r w:rsidR="001852F3">
        <w:rPr>
          <w:spacing w:val="-1"/>
        </w:rPr>
        <w:t xml:space="preserve">或</w:t>
      </w:r>
      <w:r>
        <w:rPr>
          <w:spacing w:val="-2"/>
        </w:rPr>
        <w:t xml:space="preserve">空载质粒与包膜质粒</w:t>
      </w:r>
      <w:r>
        <w:t xml:space="preserve">pMD2.</w:t>
      </w:r>
      <w:r w:rsidR="004B696B">
        <w:rPr>
          <w:spacing w:val="-2"/>
        </w:rPr>
        <w:t xml:space="preserve"> </w:t>
      </w:r>
      <w:r w:rsidR="004B696B">
        <w:rPr>
          <w:spacing w:val="-2"/>
        </w:rPr>
        <w:t xml:space="preserve">G、包装质粒</w:t>
      </w:r>
      <w:r w:rsidR="001852F3">
        <w:t xml:space="preserve">psPAX2</w:t>
      </w:r>
      <w:r>
        <w:t xml:space="preserve">）</w:t>
      </w:r>
      <w:r>
        <w:t xml:space="preserve">共转染</w:t>
      </w:r>
      <w:r w:rsidR="001852F3">
        <w:t xml:space="preserve">293T</w:t>
      </w:r>
      <w:r/>
      <w:r w:rsidR="001852F3">
        <w:t xml:space="preserve">细胞以包装慢病毒颗粒，将收获的重组病毒颗粒浓缩纯化并进行滴度测定</w:t>
      </w:r>
      <w:r>
        <w:t xml:space="preserve">（</w:t>
      </w:r>
      <w:r>
        <w:rPr>
          <w:spacing w:val="-2"/>
        </w:rPr>
        <w:t xml:space="preserve">此部分本实验室前期工作已经完成</w:t>
      </w:r>
      <w:r>
        <w:t xml:space="preserve">）</w:t>
      </w:r>
      <w:r>
        <w:t xml:space="preserve">。</w:t>
      </w:r>
    </w:p>
    <w:p w:rsidR="0018722C">
      <w:pPr>
        <w:pStyle w:val="Heading3"/>
        <w:topLinePunct/>
        <w:ind w:left="200" w:hangingChars="200" w:hanging="200"/>
      </w:pPr>
      <w:r>
        <w:rPr>
          <w:b/>
        </w:rPr>
        <w:t>2</w:t>
      </w:r>
      <w:r>
        <w:t xml:space="preserve"> </w:t>
      </w:r>
      <w:r>
        <w:t>稳定表达</w:t>
      </w:r>
      <w:r>
        <w:rPr>
          <w:b/>
        </w:rPr>
        <w:t>HBx</w:t>
      </w:r>
      <w:r w:rsidR="001852F3">
        <w:t xml:space="preserve">的</w:t>
      </w:r>
      <w:r>
        <w:rPr>
          <w:b/>
        </w:rPr>
        <w:t>HepG2</w:t>
      </w:r>
      <w:r w:rsidR="001852F3">
        <w:t xml:space="preserve">细胞株的构建</w:t>
      </w:r>
    </w:p>
    <w:p w:rsidR="0018722C">
      <w:pPr>
        <w:pStyle w:val="Heading4"/>
        <w:topLinePunct/>
        <w:ind w:left="200" w:hangingChars="200" w:hanging="200"/>
      </w:pPr>
      <w:r>
        <w:rPr>
          <w:b/>
        </w:rPr>
        <w:t>2.1</w:t>
      </w:r>
      <w:r>
        <w:t xml:space="preserve"> </w:t>
      </w:r>
      <w:r w:rsidRPr="00DB64CE">
        <w:rPr>
          <w:b/>
        </w:rPr>
        <w:t>HepG2</w:t>
      </w:r>
      <w:r w:rsidR="001852F3">
        <w:t xml:space="preserve">细胞的培养与传代</w:t>
      </w:r>
    </w:p>
    <w:p w:rsidR="0018722C">
      <w:pPr>
        <w:pStyle w:val="cw20"/>
        <w:topLinePunct/>
      </w:pPr>
      <w:r>
        <w:rPr>
          <w:rFonts w:ascii="宋体" w:eastAsia="宋体" w:hint="eastAsia"/>
          <w:b/>
        </w:rPr>
        <w:t>2.1.1</w:t>
      </w:r>
      <w:r>
        <w:rPr>
          <w:rFonts w:ascii="宋体" w:eastAsia="宋体" w:hint="eastAsia"/>
          <w:b/>
        </w:rPr>
        <w:t>细胞复苏</w:t>
      </w:r>
    </w:p>
    <w:p w:rsidR="0018722C">
      <w:pPr>
        <w:topLinePunct/>
      </w:pPr>
      <w:r>
        <w:t>（</w:t>
      </w:r>
      <w:r>
        <w:t xml:space="preserve">1</w:t>
      </w:r>
      <w:r>
        <w:t>）</w:t>
      </w:r>
      <w:r>
        <w:t>从液氮罐中取出装有</w:t>
      </w:r>
      <w:r>
        <w:t>HepG2</w:t>
      </w:r>
      <w:r/>
      <w:r w:rsidR="001852F3">
        <w:t xml:space="preserve">细胞的冻存管，迅速放入</w:t>
      </w:r>
      <w:r>
        <w:t>37°C</w:t>
      </w:r>
      <w:r/>
      <w:r w:rsidR="001852F3">
        <w:t xml:space="preserve">水浴箱中并</w:t>
      </w:r>
      <w:r>
        <w:t>不断搅动，使冻存管中的细胞在</w:t>
      </w:r>
      <w:r>
        <w:t>1</w:t>
      </w:r>
      <w:r/>
      <w:r w:rsidR="001852F3">
        <w:t xml:space="preserve">分钟之内融化；</w:t>
      </w:r>
    </w:p>
    <w:p w:rsidR="0018722C">
      <w:pPr>
        <w:topLinePunct/>
      </w:pPr>
      <w:r>
        <w:t>（</w:t>
      </w:r>
      <w:r>
        <w:t xml:space="preserve">2</w:t>
      </w:r>
      <w:r>
        <w:t>）</w:t>
      </w:r>
      <w:r/>
      <w:r w:rsidR="001852F3">
        <w:t xml:space="preserve">冻存管表面用</w:t>
      </w:r>
      <w:r w:rsidR="001852F3">
        <w:t xml:space="preserve">75%乙醇擦洗消毒，吸出细胞悬液至离心管，再加入约</w:t>
      </w:r>
    </w:p>
    <w:p w:rsidR="0018722C">
      <w:pPr>
        <w:topLinePunct/>
      </w:pPr>
      <w:r>
        <w:t>5ml</w:t>
      </w:r>
      <w:r w:rsidR="001852F3">
        <w:t xml:space="preserve">含</w:t>
      </w:r>
      <w:r w:rsidR="001852F3">
        <w:t xml:space="preserve">10%胎牛血清的</w:t>
      </w:r>
      <w:r w:rsidR="001852F3">
        <w:t xml:space="preserve">DMEM</w:t>
      </w:r>
      <w:r w:rsidR="001852F3">
        <w:t xml:space="preserve">培养液，轻轻混匀；</w:t>
      </w:r>
    </w:p>
    <w:p w:rsidR="0018722C">
      <w:pPr>
        <w:topLinePunct/>
      </w:pPr>
      <w:r>
        <w:t>（</w:t>
      </w:r>
      <w:r>
        <w:t>3</w:t>
      </w:r>
      <w:r>
        <w:t>）</w:t>
      </w:r>
      <w:r>
        <w:t>离心</w:t>
      </w:r>
      <w:r>
        <w:t>（</w:t>
      </w:r>
      <w:r>
        <w:t>1000rpm</w:t>
      </w:r>
      <w:r>
        <w:t xml:space="preserve">, </w:t>
      </w:r>
      <w:r>
        <w:t>5min</w:t>
      </w:r>
      <w:r>
        <w:t>）</w:t>
      </w:r>
      <w:r>
        <w:t>，弃去上清；</w:t>
      </w:r>
    </w:p>
    <w:p w:rsidR="0018722C">
      <w:pPr>
        <w:topLinePunct/>
      </w:pPr>
      <w:r>
        <w:t>（</w:t>
      </w:r>
      <w:r>
        <w:t>4</w:t>
      </w:r>
      <w:r>
        <w:t>）</w:t>
      </w:r>
      <w:r>
        <w:t>用含</w:t>
      </w:r>
      <w:r>
        <w:t>10%</w:t>
      </w:r>
      <w:r>
        <w:t>胎牛血清的</w:t>
      </w:r>
      <w:r>
        <w:t>DMEM</w:t>
      </w:r>
      <w:r/>
      <w:r w:rsidR="001852F3">
        <w:t xml:space="preserve">培养液重悬后接种于培养瓶，置于</w:t>
      </w:r>
      <w:r>
        <w:t>37℃</w:t>
      </w:r>
      <w:r>
        <w:t>，</w:t>
      </w:r>
      <w:r>
        <w:t>5%CO2恒温培养箱子培养，第二日换液。</w:t>
      </w:r>
    </w:p>
    <w:p w:rsidR="0018722C">
      <w:pPr>
        <w:pStyle w:val="cw20"/>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体外培养</w:t>
      </w:r>
    </w:p>
    <w:p w:rsidR="0018722C">
      <w:pPr>
        <w:topLinePunct/>
      </w:pPr>
      <w:r>
        <w:t>用含</w:t>
      </w:r>
      <w:r>
        <w:t>10%</w:t>
      </w:r>
      <w:r>
        <w:t>胎牛血清的</w:t>
      </w:r>
      <w:r>
        <w:t>DMEM</w:t>
      </w:r>
      <w:r/>
      <w:r w:rsidR="001852F3">
        <w:t xml:space="preserve">培养液重新悬浮细胞，移入培养瓶中，在</w:t>
      </w:r>
      <w:r>
        <w:t>37</w:t>
      </w:r>
      <w:r>
        <w:rPr>
          <w:rFonts w:ascii="Symbol" w:hAnsi="Symbol" w:eastAsia="Symbol"/>
        </w:rPr>
        <w:t></w:t>
      </w:r>
      <w:r>
        <w:t>C</w:t>
      </w:r>
      <w:r>
        <w:t>、</w:t>
      </w:r>
      <w:r>
        <w:t>5%</w:t>
      </w:r>
      <w:r>
        <w:t> </w:t>
      </w:r>
      <w:r>
        <w:t>CO2</w:t>
      </w:r>
      <w:r>
        <w:t>条件下常规培养</w:t>
      </w:r>
      <w:r>
        <w:t>3</w:t>
      </w:r>
      <w:r/>
      <w:r w:rsidR="001852F3">
        <w:t xml:space="preserve">天。</w:t>
      </w:r>
    </w:p>
    <w:p w:rsidR="0018722C">
      <w:pPr>
        <w:pStyle w:val="cw20"/>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细胞传代</w:t>
      </w:r>
    </w:p>
    <w:p w:rsidR="0018722C">
      <w:pPr>
        <w:topLinePunct/>
      </w:pPr>
      <w:r>
        <w:t>肝癌细胞为贴壁生长细胞，约</w:t>
      </w:r>
      <w:r w:rsidR="001852F3">
        <w:t xml:space="preserve">3</w:t>
      </w:r>
      <w:r w:rsidR="001852F3">
        <w:t xml:space="preserve">天消化传代一次，按以下步骤操作：</w:t>
      </w:r>
    </w:p>
    <w:p w:rsidR="0018722C">
      <w:pPr>
        <w:topLinePunct/>
      </w:pPr>
      <w:r>
        <w:t>（</w:t>
      </w:r>
      <w:r>
        <w:t xml:space="preserve">1</w:t>
      </w:r>
      <w:r>
        <w:t>）</w:t>
      </w:r>
      <w:r>
        <w:t>用吸管吸取适量培养液轻轻吹打细胞表面，以去除老化细胞及死亡细胞，</w:t>
      </w:r>
      <w:r>
        <w:t>然后用吸管吸去培养液，并用无菌</w:t>
      </w:r>
      <w:r>
        <w:t>PBS</w:t>
      </w:r>
      <w:r/>
      <w:r w:rsidR="001852F3">
        <w:t xml:space="preserve">液冲洗</w:t>
      </w:r>
      <w:r>
        <w:t>2</w:t>
      </w:r>
      <w:r/>
      <w:r w:rsidR="001852F3">
        <w:t xml:space="preserve">次；</w:t>
      </w:r>
    </w:p>
    <w:p w:rsidR="0018722C">
      <w:pPr>
        <w:topLinePunct/>
      </w:pPr>
      <w:r>
        <w:t>（</w:t>
      </w:r>
      <w:r>
        <w:t>2</w:t>
      </w:r>
      <w:r>
        <w:t>）</w:t>
      </w:r>
      <w:r>
        <w:t>加入</w:t>
      </w:r>
      <w:r>
        <w:t>1</w:t>
      </w:r>
      <w:r>
        <w:t>.</w:t>
      </w:r>
      <w:r>
        <w:t>5ml 0.25%</w:t>
      </w:r>
      <w:r>
        <w:t>的胰蛋白酶消化液，置常温约</w:t>
      </w:r>
      <w:r>
        <w:t>1min；显微镜下观察，</w:t>
      </w:r>
      <w:r w:rsidR="001852F3">
        <w:t xml:space="preserve">待细胞变圆，细胞间隙增大时，用吸管吸去胰酶。</w:t>
      </w:r>
    </w:p>
    <w:p w:rsidR="0018722C">
      <w:pPr>
        <w:topLinePunct/>
      </w:pPr>
      <w:r>
        <w:t>（</w:t>
      </w:r>
      <w:r>
        <w:t xml:space="preserve">3</w:t>
      </w:r>
      <w:r>
        <w:t>）</w:t>
      </w:r>
      <w:r>
        <w:t>加入含</w:t>
      </w:r>
      <w:r>
        <w:t>10%</w:t>
      </w:r>
      <w:r>
        <w:t>胎牛血清的</w:t>
      </w:r>
      <w:r>
        <w:t>DMEM</w:t>
      </w:r>
      <w:r/>
      <w:r w:rsidR="001852F3">
        <w:t xml:space="preserve">培养液终止消化，反复吹打，使细胞吹打均匀；</w:t>
      </w:r>
    </w:p>
    <w:p w:rsidR="0018722C">
      <w:pPr>
        <w:topLinePunct/>
      </w:pPr>
      <w:r>
        <w:t>（</w:t>
      </w:r>
      <w:r>
        <w:t xml:space="preserve">4</w:t>
      </w:r>
      <w:r>
        <w:t>）</w:t>
      </w:r>
      <w:r>
        <w:t>细胞计数：取</w:t>
      </w:r>
      <w:r>
        <w:t>10μl</w:t>
      </w:r>
      <w:r/>
      <w:r w:rsidR="001852F3">
        <w:t xml:space="preserve">细胞悬液与</w:t>
      </w:r>
      <w:r>
        <w:t>20μl</w:t>
      </w:r>
      <w:r/>
      <w:r w:rsidR="001852F3">
        <w:t xml:space="preserve">的</w:t>
      </w:r>
      <w:r>
        <w:t>0.4%</w:t>
      </w:r>
      <w:r>
        <w:t>台盼蓝染液混合，取其中</w:t>
      </w:r>
    </w:p>
    <w:p w:rsidR="0018722C">
      <w:pPr>
        <w:topLinePunct/>
      </w:pPr>
      <w:r>
        <w:t>10μl</w:t>
      </w:r>
      <w:r/>
      <w:r w:rsidR="001852F3">
        <w:t xml:space="preserve">加入细胞计数板中，数完</w:t>
      </w:r>
      <w:r>
        <w:t>4</w:t>
      </w:r>
      <w:r/>
      <w:r w:rsidR="001852F3">
        <w:t xml:space="preserve">大格后，根据以下公式计算细胞数：</w:t>
      </w:r>
      <w:r w:rsidR="001852F3">
        <w:t xml:space="preserve">每毫升</w:t>
      </w:r>
      <w:r>
        <w:t>（</w:t>
      </w:r>
      <w:r>
        <w:t xml:space="preserve">ml</w:t>
      </w:r>
      <w:r>
        <w:t>）</w:t>
      </w:r>
      <w:r w:rsidR="001852F3">
        <w:t xml:space="preserve">细胞数＝</w:t>
      </w:r>
      <w:r>
        <w:t>(</w:t>
      </w:r>
      <w:r>
        <w:t>4</w:t>
      </w:r>
      <w:r/>
      <w:r w:rsidR="001852F3">
        <w:t xml:space="preserve"> 大格细胞数之和</w:t>
      </w:r>
      <w:r>
        <w:t>/</w:t>
      </w:r>
      <w:r>
        <w:t>4</w:t>
      </w:r>
      <w:r>
        <w:t>)</w:t>
      </w:r>
      <w:r w:rsidR="004B696B">
        <w:t xml:space="preserve"> </w:t>
      </w:r>
      <w:r>
        <w:t>³10</w:t>
      </w:r>
      <w:r>
        <w:rPr>
          <w:vertAlign w:val="superscript"/>
          /&gt;
        </w:rPr>
        <w:t>4</w:t>
      </w:r>
      <w:r>
        <w:t>³3；</w:t>
      </w:r>
    </w:p>
    <w:p w:rsidR="0018722C">
      <w:pPr>
        <w:topLinePunct/>
      </w:pPr>
      <w:r>
        <w:t>（</w:t>
      </w:r>
      <w:r>
        <w:t>5</w:t>
      </w:r>
      <w:r>
        <w:t>）</w:t>
      </w:r>
      <w:r>
        <w:t>细胞接种：用完全培养液将已经计数过的细胞悬液的细胞浓度调至1³10</w:t>
      </w:r>
      <w:r>
        <w:rPr>
          <w:vertAlign w:val="superscript"/>
          /&gt;
        </w:rPr>
        <w:t>5</w:t>
      </w:r>
      <w:r>
        <w:t>/</w:t>
      </w:r>
      <w:r>
        <w:t>ml，接种于细胞培养瓶中。</w:t>
      </w:r>
    </w:p>
    <w:p w:rsidR="0018722C">
      <w:pPr>
        <w:topLinePunct/>
      </w:pPr>
      <w:r>
        <w:t>（</w:t>
      </w:r>
      <w:r>
        <w:t>6</w:t>
      </w:r>
      <w:r>
        <w:t>）</w:t>
      </w:r>
      <w:r>
        <w:t>将培养瓶置于恒温培养箱子</w:t>
      </w:r>
      <w:r>
        <w:t>(</w:t>
      </w:r>
      <w:r>
        <w:t>37℃</w:t>
      </w:r>
      <w:r>
        <w:t xml:space="preserve">, </w:t>
      </w:r>
      <w:r>
        <w:t>5%CO2</w:t>
      </w:r>
      <w:r>
        <w:t>)</w:t>
      </w:r>
      <w:r>
        <w:t>中培养，次日换液。</w:t>
      </w:r>
    </w:p>
    <w:p w:rsidR="0018722C">
      <w:pPr>
        <w:pStyle w:val="cw20"/>
        <w:topLinePunct/>
      </w:pPr>
      <w:r>
        <w:rPr>
          <w:rFonts w:cstheme="minorBidi" w:hAnsiTheme="minorHAnsi" w:eastAsiaTheme="minorHAnsi" w:asciiTheme="minorHAnsi" w:ascii="宋体" w:hAnsi="宋体" w:eastAsia="宋体" w:cs="宋体"/>
          <w:b/>
        </w:rPr>
        <w:t>2.1.4</w:t>
      </w:r>
      <w:r>
        <w:rPr>
          <w:rFonts w:cstheme="minorBidi" w:hAnsiTheme="minorHAnsi" w:eastAsiaTheme="minorHAnsi" w:asciiTheme="minorHAnsi" w:ascii="宋体" w:hAnsi="宋体" w:eastAsia="宋体" w:cs="宋体"/>
          <w:b/>
        </w:rPr>
        <w:t>细胞冻存</w:t>
      </w:r>
    </w:p>
    <w:p w:rsidR="0018722C">
      <w:pPr>
        <w:topLinePunct/>
      </w:pPr>
      <w:r>
        <w:t>（</w:t>
      </w:r>
      <w:r>
        <w:t xml:space="preserve">1</w:t>
      </w:r>
      <w:r>
        <w:t>）</w:t>
      </w:r>
      <w:r>
        <w:t>将细胞消化至单细胞悬液，1000 rpm 5min</w:t>
      </w:r>
      <w:r w:rsidR="001852F3">
        <w:t xml:space="preserve">离心，弃上清；</w:t>
      </w:r>
    </w:p>
    <w:p w:rsidR="0018722C">
      <w:pPr>
        <w:topLinePunct/>
      </w:pPr>
      <w:r>
        <w:t>（</w:t>
      </w:r>
      <w:r>
        <w:t>2</w:t>
      </w:r>
      <w:r>
        <w:t>）</w:t>
      </w:r>
      <w:r>
        <w:t>按照</w:t>
      </w:r>
      <w:r>
        <w:t>90%</w:t>
      </w:r>
      <w:r/>
      <w:r w:rsidR="001852F3">
        <w:t xml:space="preserve">含</w:t>
      </w:r>
      <w:r>
        <w:t>FBS</w:t>
      </w:r>
      <w:r/>
      <w:r w:rsidR="001852F3">
        <w:t xml:space="preserve">的</w:t>
      </w:r>
      <w:r>
        <w:t>DMEM</w:t>
      </w:r>
      <w:r/>
      <w:r w:rsidR="001852F3">
        <w:t xml:space="preserve">培养基、</w:t>
      </w:r>
      <w:r>
        <w:t>10% DMSO</w:t>
      </w:r>
      <w:r/>
      <w:r w:rsidR="001852F3">
        <w:t xml:space="preserve">比例加入细胞沉淀中，吹打混匀成细胞悬液；</w:t>
      </w:r>
    </w:p>
    <w:p w:rsidR="0018722C">
      <w:pPr>
        <w:topLinePunct/>
      </w:pPr>
      <w:r>
        <w:t>（</w:t>
      </w:r>
      <w:r>
        <w:t xml:space="preserve">3</w:t>
      </w:r>
      <w:r>
        <w:t>）</w:t>
      </w:r>
      <w:r>
        <w:t>每支无菌冻存管中加入约</w:t>
      </w:r>
      <w:r w:rsidR="001852F3">
        <w:t xml:space="preserve">1ml</w:t>
      </w:r>
      <w:r w:rsidR="001852F3">
        <w:t xml:space="preserve">细胞悬液；</w:t>
      </w:r>
    </w:p>
    <w:p w:rsidR="0018722C">
      <w:pPr>
        <w:topLinePunct/>
      </w:pPr>
      <w:r>
        <w:t>（</w:t>
      </w:r>
      <w:r>
        <w:t xml:space="preserve">4</w:t>
      </w:r>
      <w:r>
        <w:t>）</w:t>
      </w:r>
      <w:r>
        <w:t>然后将冻存管先放于-70℃</w:t>
      </w:r>
      <w:r w:rsidR="001852F3">
        <w:t xml:space="preserve">24</w:t>
      </w:r>
      <w:r/>
      <w:r w:rsidR="001852F3">
        <w:t xml:space="preserve">小时，最后放入液氮罐中保存，并做好标记备用。</w:t>
      </w:r>
    </w:p>
    <w:p w:rsidR="0018722C">
      <w:pPr>
        <w:pStyle w:val="Heading4"/>
        <w:topLinePunct/>
        <w:ind w:left="200" w:hangingChars="200" w:hanging="200"/>
      </w:pPr>
      <w:r>
        <w:rPr>
          <w:b/>
        </w:rPr>
        <w:t>2.2</w:t>
      </w:r>
      <w:r>
        <w:t xml:space="preserve"> </w:t>
      </w:r>
      <w:r>
        <w:t>慢病毒颗粒感染</w:t>
      </w:r>
      <w:r>
        <w:rPr>
          <w:b/>
        </w:rPr>
        <w:t>HepG2</w:t>
      </w:r>
      <w:r w:rsidR="001852F3">
        <w:t xml:space="preserve">细胞</w:t>
      </w:r>
    </w:p>
    <w:p w:rsidR="0018722C">
      <w:pPr>
        <w:topLinePunct/>
      </w:pPr>
      <w:r>
        <w:t>在病毒感染前一天，将</w:t>
      </w:r>
      <w:r>
        <w:t>HepG2</w:t>
      </w:r>
      <w:r/>
      <w:r w:rsidR="001852F3">
        <w:t xml:space="preserve">细胞以</w:t>
      </w:r>
      <w:r>
        <w:t>2³10</w:t>
      </w:r>
      <w:r>
        <w:rPr>
          <w:vertAlign w:val="superscript"/>
          /&gt;
        </w:rPr>
        <w:t>4</w:t>
      </w:r>
      <w:r>
        <w:t>个每孔的密度接种于含新鲜培养</w:t>
      </w:r>
      <w:r>
        <w:t>液的</w:t>
      </w:r>
      <w:r>
        <w:t>24</w:t>
      </w:r>
      <w:r/>
      <w:r w:rsidR="001852F3">
        <w:t xml:space="preserve">孔细胞培养板中，待</w:t>
      </w:r>
      <w:r>
        <w:t>HepG2</w:t>
      </w:r>
      <w:r/>
      <w:r w:rsidR="001852F3">
        <w:t xml:space="preserve">细胞生长融合度达</w:t>
      </w:r>
      <w:r>
        <w:t>70%-80%</w:t>
      </w:r>
      <w:r>
        <w:t>时弃旧培养液，并</w:t>
      </w:r>
      <w:r>
        <w:t>将细胞用灭菌</w:t>
      </w:r>
      <w:r>
        <w:t>0</w:t>
      </w:r>
      <w:r>
        <w:t>.</w:t>
      </w:r>
      <w:r>
        <w:t>01M</w:t>
      </w:r>
      <w:r>
        <w:t> </w:t>
      </w:r>
      <w:r>
        <w:t>PBS</w:t>
      </w:r>
      <w:r/>
      <w:r w:rsidR="001852F3">
        <w:t xml:space="preserve">缓冲液洗涤一次，然后按</w:t>
      </w:r>
      <w:r>
        <w:t>MOI=20</w:t>
      </w:r>
      <w:r/>
      <w:r w:rsidR="001852F3">
        <w:t xml:space="preserve">的方式加入相应体积的</w:t>
      </w:r>
      <w:r>
        <w:t>慢病毒液，同时加入</w:t>
      </w:r>
      <w:r>
        <w:t>Polybrane</w:t>
      </w:r>
      <w:r/>
      <w:r w:rsidR="001852F3">
        <w:t xml:space="preserve">至其终浓度为</w:t>
      </w:r>
      <w:r>
        <w:t>8ug</w:t>
      </w:r>
      <w:r>
        <w:t>/</w:t>
      </w:r>
      <w:r>
        <w:t>ml</w:t>
      </w:r>
      <w:r/>
      <w:r w:rsidR="001852F3">
        <w:t xml:space="preserve">及完全培养基至总量为</w:t>
      </w:r>
      <w:r>
        <w:t>500</w:t>
      </w:r>
      <w:r w:rsidR="001852F3">
        <w:t xml:space="preserve">μl，</w:t>
      </w:r>
      <w:r>
        <w:t>置</w:t>
      </w:r>
      <w:r>
        <w:t>37℃、5%CO2</w:t>
      </w:r>
      <w:r/>
      <w:r w:rsidR="001852F3">
        <w:t xml:space="preserve">细胞培养箱中静置培养</w:t>
      </w:r>
      <w:r>
        <w:t>24h，</w:t>
      </w:r>
      <w:r>
        <w:t>培养</w:t>
      </w:r>
      <w:r>
        <w:t>24h</w:t>
      </w:r>
      <w:r/>
      <w:r w:rsidR="001852F3">
        <w:t xml:space="preserve">后换为正常培养基继</w:t>
      </w:r>
      <w:r>
        <w:t>续培养，培养</w:t>
      </w:r>
      <w:r>
        <w:t>96</w:t>
      </w:r>
      <w:r/>
      <w:r w:rsidR="001852F3">
        <w:t xml:space="preserve">小时后倒置相差荧光显微镜观察绿色荧光蛋白表达情况。同时以</w:t>
      </w:r>
      <w:r>
        <w:t>不含</w:t>
      </w:r>
      <w:r>
        <w:t>HBX</w:t>
      </w:r>
      <w:r/>
      <w:r w:rsidR="001852F3">
        <w:t xml:space="preserve">基因的空载病毒颗率为对照。</w:t>
      </w:r>
    </w:p>
    <w:p w:rsidR="0018722C">
      <w:pPr>
        <w:pStyle w:val="Heading4"/>
        <w:topLinePunct/>
        <w:ind w:left="200" w:hangingChars="200" w:hanging="200"/>
      </w:pPr>
      <w:r>
        <w:rPr>
          <w:b/>
        </w:rPr>
        <w:t>2.3</w:t>
      </w:r>
      <w:r>
        <w:t xml:space="preserve"> </w:t>
      </w:r>
      <w:r>
        <w:t>嘌呤霉素筛选稳定表达</w:t>
      </w:r>
      <w:r>
        <w:rPr>
          <w:b/>
        </w:rPr>
        <w:t>HBx</w:t>
      </w:r>
      <w:r w:rsidR="001852F3">
        <w:t xml:space="preserve">的</w:t>
      </w:r>
      <w:r>
        <w:rPr>
          <w:b/>
        </w:rPr>
        <w:t>HepG2</w:t>
      </w:r>
      <w:r w:rsidR="001852F3">
        <w:t xml:space="preserve">细胞株</w:t>
      </w:r>
    </w:p>
    <w:p w:rsidR="0018722C">
      <w:pPr>
        <w:topLinePunct/>
      </w:pPr>
      <w:r>
        <w:t xml:space="preserve">慢病毒颗粒感染</w:t>
      </w:r>
      <w:r>
        <w:t xml:space="preserve">HepG2</w:t>
      </w:r>
      <w:r/>
      <w:r w:rsidR="001852F3">
        <w:t xml:space="preserve">细胞</w:t>
      </w:r>
      <w:r>
        <w:t xml:space="preserve">48 h</w:t>
      </w:r>
      <w:r/>
      <w:r w:rsidR="001852F3">
        <w:t xml:space="preserve">后，用含</w:t>
      </w:r>
      <w:r>
        <w:t xml:space="preserve">0</w:t>
      </w:r>
      <w:r>
        <w:t>.</w:t>
      </w:r>
      <w:r>
        <w:t xml:space="preserve">2ug</w:t>
      </w:r>
      <w:r>
        <w:t xml:space="preserve">/</w:t>
      </w:r>
      <w:r>
        <w:t xml:space="preserve">ml</w:t>
      </w:r>
      <w:r/>
      <w:r w:rsidR="001852F3">
        <w:t xml:space="preserve">嘌呤霉素的选择培养基筛选阳性克隆，并在荧光显微镜下观察带绿色荧光的抗性细胞克隆形成，筛选至</w:t>
      </w:r>
      <w:r>
        <w:t xml:space="preserve">空白对照组</w:t>
      </w:r>
      <w:r>
        <w:t xml:space="preserve">HepG2</w:t>
      </w:r>
      <w:r/>
      <w:r w:rsidR="001852F3">
        <w:t xml:space="preserve">细胞全部死亡后实验组存活的细胞即为阳性克隆，挑取带绿色</w:t>
      </w:r>
      <w:r>
        <w:t xml:space="preserve">荧光的抗性阳性克隆扩大培养，并将嘌呤霉素浓度减至</w:t>
      </w:r>
      <w:r>
        <w:t xml:space="preserve">0</w:t>
      </w:r>
      <w:r>
        <w:t>.</w:t>
      </w:r>
      <w:r>
        <w:t xml:space="preserve">1ug</w:t>
      </w:r>
      <w:r>
        <w:t xml:space="preserve">/</w:t>
      </w:r>
      <w:r>
        <w:t xml:space="preserve">ml</w:t>
      </w:r>
      <w:r/>
      <w:r w:rsidR="001852F3">
        <w:t xml:space="preserve">维持筛选，以获得长期稳定表达</w:t>
      </w:r>
      <w:r>
        <w:t xml:space="preserve">HBx</w:t>
      </w:r>
      <w:r/>
      <w:r w:rsidR="001852F3">
        <w:t xml:space="preserve">的转基因细胞株</w:t>
      </w:r>
      <w:r>
        <w:t xml:space="preserve">（</w:t>
      </w:r>
      <w:r>
        <w:t xml:space="preserve">HepG2／HBx</w:t>
      </w:r>
      <w:r>
        <w:t xml:space="preserve">）</w:t>
      </w:r>
      <w:r>
        <w:t xml:space="preserve">。实验设空白对照组</w:t>
      </w:r>
      <w:r>
        <w:t xml:space="preserve">（</w:t>
      </w:r>
      <w:r>
        <w:t xml:space="preserve">HepG2细胞</w:t>
      </w:r>
      <w:r>
        <w:t xml:space="preserve">）</w:t>
      </w:r>
      <w:r>
        <w:t xml:space="preserve">与空载对照组</w:t>
      </w:r>
      <w:r>
        <w:t xml:space="preserve">（</w:t>
      </w:r>
      <w:r>
        <w:rPr>
          <w:spacing w:val="-3"/>
        </w:rPr>
        <w:t xml:space="preserve">感染空载慢病毒颗粒的</w:t>
      </w:r>
      <w:r>
        <w:t xml:space="preserve">HepG2／mock</w:t>
      </w:r>
      <w:r w:rsidR="001852F3">
        <w:rPr>
          <w:spacing w:val="-10"/>
        </w:rPr>
        <w:t xml:space="preserve">细胞</w:t>
      </w:r>
      <w:r>
        <w:t xml:space="preserve">）</w:t>
      </w:r>
      <w:r>
        <w:t xml:space="preserve">。将挑取的阳性</w:t>
      </w:r>
      <w:r>
        <w:t xml:space="preserve">细胞克隆逐级扩大培养，经过大约</w:t>
      </w:r>
      <w:r>
        <w:t xml:space="preserve">10 d</w:t>
      </w:r>
      <w:r/>
      <w:r w:rsidR="001852F3">
        <w:t xml:space="preserve">建立稳定表达</w:t>
      </w:r>
      <w:r>
        <w:t xml:space="preserve">HBx</w:t>
      </w:r>
      <w:r/>
      <w:r w:rsidR="001852F3">
        <w:t xml:space="preserve">的</w:t>
      </w:r>
      <w:r>
        <w:t xml:space="preserve">HepG2 </w:t>
      </w:r>
      <w:r>
        <w:t xml:space="preserve">/</w:t>
      </w:r>
      <w:r>
        <w:t xml:space="preserve"> HBx</w:t>
      </w:r>
      <w:r/>
      <w:r w:rsidR="001852F3">
        <w:t xml:space="preserve">细胞株。</w:t>
      </w:r>
    </w:p>
    <w:p w:rsidR="0018722C">
      <w:pPr>
        <w:pStyle w:val="Heading3"/>
        <w:topLinePunct/>
        <w:ind w:left="200" w:hangingChars="200" w:hanging="200"/>
      </w:pPr>
      <w:r>
        <w:rPr>
          <w:b/>
        </w:rPr>
        <w:t>3</w:t>
      </w:r>
      <w:r>
        <w:t xml:space="preserve"> </w:t>
      </w:r>
      <w:r>
        <w:t>稳定表达</w:t>
      </w:r>
      <w:r>
        <w:rPr>
          <w:b/>
        </w:rPr>
        <w:t>HBx</w:t>
      </w:r>
      <w:r w:rsidR="001852F3">
        <w:t xml:space="preserve">的</w:t>
      </w:r>
      <w:r>
        <w:rPr>
          <w:b/>
        </w:rPr>
        <w:t>HepG2</w:t>
      </w:r>
      <w:r w:rsidR="001852F3">
        <w:t xml:space="preserve">细胞株的鉴定</w:t>
      </w:r>
    </w:p>
    <w:p w:rsidR="0018722C">
      <w:pPr>
        <w:pStyle w:val="Heading4"/>
        <w:topLinePunct/>
        <w:ind w:left="200" w:hangingChars="200" w:hanging="200"/>
      </w:pPr>
      <w:r>
        <w:rPr>
          <w:b/>
        </w:rPr>
        <w:t>3.1</w:t>
      </w:r>
      <w:r>
        <w:t xml:space="preserve"> </w:t>
      </w:r>
      <w:r>
        <w:rPr>
          <w:b/>
        </w:rPr>
        <w:t>RT-PCR</w:t>
      </w:r>
      <w:r w:rsidR="001852F3">
        <w:t xml:space="preserve">法鉴定稳定表达</w:t>
      </w:r>
      <w:r>
        <w:rPr>
          <w:b/>
        </w:rPr>
        <w:t>HBx</w:t>
      </w:r>
      <w:r w:rsidR="001852F3">
        <w:t xml:space="preserve">的</w:t>
      </w:r>
      <w:r>
        <w:rPr>
          <w:b/>
        </w:rPr>
        <w:t>HepG2</w:t>
      </w:r>
      <w:r w:rsidR="001852F3">
        <w:t xml:space="preserve">细胞株</w:t>
      </w:r>
    </w:p>
    <w:p w:rsidR="0018722C">
      <w:pPr>
        <w:pStyle w:val="cw20"/>
        <w:topLinePunct/>
      </w:pPr>
      <w:r>
        <w:rPr>
          <w:rFonts w:ascii="宋体" w:eastAsia="宋体" w:hint="eastAsia"/>
          <w:b/>
        </w:rPr>
        <w:t>3.1.1</w:t>
      </w:r>
      <w:r>
        <w:rPr>
          <w:rFonts w:ascii="宋体" w:eastAsia="宋体" w:hint="eastAsia"/>
          <w:b/>
        </w:rPr>
        <w:t>细胞总</w:t>
      </w:r>
      <w:r>
        <w:rPr>
          <w:rFonts w:ascii="宋体" w:eastAsia="宋体" w:hint="eastAsia"/>
          <w:b/>
        </w:rPr>
        <w:t>RNA</w:t>
      </w:r>
      <w:r w:rsidR="001852F3">
        <w:rPr>
          <w:rFonts w:ascii="宋体" w:eastAsia="宋体" w:hint="eastAsia"/>
          <w:b/>
        </w:rPr>
        <w:t xml:space="preserve">抽提</w:t>
      </w:r>
    </w:p>
    <w:p w:rsidR="0018722C">
      <w:pPr>
        <w:topLinePunct/>
      </w:pPr>
      <w:r>
        <w:t>（</w:t>
      </w:r>
      <w:r>
        <w:t>1</w:t>
      </w:r>
      <w:r>
        <w:t>）</w:t>
      </w:r>
      <w:r>
        <w:t>首先取对数生长期的</w:t>
      </w:r>
      <w:r>
        <w:t>HepG2</w:t>
      </w:r>
      <w:r>
        <w:t>/</w:t>
      </w:r>
      <w:r>
        <w:t>HBx、HepG2</w:t>
      </w:r>
      <w:r>
        <w:t>/</w:t>
      </w:r>
      <w:r>
        <w:t>mock、HepG2</w:t>
      </w:r>
      <w:r/>
      <w:r w:rsidR="001852F3">
        <w:t xml:space="preserve">三组细胞，弃去培</w:t>
      </w:r>
      <w:r>
        <w:t>养基，分别向</w:t>
      </w:r>
      <w:r>
        <w:t>25CM</w:t>
      </w:r>
      <w:r/>
      <w:r w:rsidR="001852F3">
        <w:t xml:space="preserve">培养瓶中各加入</w:t>
      </w:r>
      <w:r>
        <w:t>1ML TRIzol</w:t>
      </w:r>
      <w:r/>
      <w:r w:rsidR="001852F3">
        <w:t xml:space="preserve">室温放置</w:t>
      </w:r>
      <w:r>
        <w:t>5min，将裂解物到入新1.5ml EP</w:t>
      </w:r>
      <w:r/>
      <w:r w:rsidR="001852F3">
        <w:t xml:space="preserve">管中。</w:t>
      </w:r>
    </w:p>
    <w:p w:rsidR="0018722C">
      <w:pPr>
        <w:topLinePunct/>
      </w:pPr>
      <w:r>
        <w:t>（</w:t>
      </w:r>
      <w:r>
        <w:t xml:space="preserve">2</w:t>
      </w:r>
      <w:r>
        <w:t>）</w:t>
      </w:r>
      <w:r>
        <w:t>向</w:t>
      </w:r>
      <w:r>
        <w:t>EP</w:t>
      </w:r>
      <w:r/>
      <w:r w:rsidR="001852F3">
        <w:t xml:space="preserve">管中加入</w:t>
      </w:r>
      <w:r>
        <w:t>200μl</w:t>
      </w:r>
      <w:r/>
      <w:r w:rsidR="001852F3">
        <w:t xml:space="preserve">氯仿，盖紧</w:t>
      </w:r>
      <w:r w:rsidR="001852F3">
        <w:t>盖子</w:t>
      </w:r>
      <w:r w:rsidR="001852F3">
        <w:t>，用力摇</w:t>
      </w:r>
      <w:r>
        <w:t>15sec</w:t>
      </w:r>
      <w:r>
        <w:t>，室温下静置</w:t>
      </w:r>
      <w:r>
        <w:t>5min，</w:t>
      </w:r>
      <w:r>
        <w:t>然后在</w:t>
      </w:r>
      <w:r>
        <w:t>4℃，</w:t>
      </w:r>
      <w:r>
        <w:t>以</w:t>
      </w:r>
      <w:r>
        <w:t>12000g</w:t>
      </w:r>
      <w:r/>
      <w:r w:rsidR="001852F3">
        <w:t xml:space="preserve">离心</w:t>
      </w:r>
      <w:r>
        <w:t>15min。</w:t>
      </w:r>
    </w:p>
    <w:p w:rsidR="0018722C">
      <w:pPr>
        <w:topLinePunct/>
      </w:pPr>
      <w:r>
        <w:t>（</w:t>
      </w:r>
      <w:r>
        <w:t>3</w:t>
      </w:r>
      <w:r>
        <w:t>）</w:t>
      </w:r>
      <w:r>
        <w:t>取上一步离心后的上清转移到另一</w:t>
      </w:r>
      <w:r>
        <w:t>EP</w:t>
      </w:r>
      <w:r/>
      <w:r w:rsidR="001852F3">
        <w:t xml:space="preserve">管中，向管中加入</w:t>
      </w:r>
      <w:r>
        <w:t>500μl</w:t>
      </w:r>
      <w:r/>
      <w:r w:rsidR="001852F3">
        <w:t xml:space="preserve">异丙醇，</w:t>
      </w:r>
      <w:r>
        <w:t>上下颠倒混匀</w:t>
      </w:r>
      <w:r>
        <w:t>5-6</w:t>
      </w:r>
      <w:r/>
      <w:r w:rsidR="001852F3">
        <w:t xml:space="preserve">次，室温下放置</w:t>
      </w:r>
      <w:r>
        <w:t>10min</w:t>
      </w:r>
      <w:r>
        <w:t>，然后</w:t>
      </w:r>
      <w:r>
        <w:t>4℃</w:t>
      </w:r>
      <w:r>
        <w:t>，以</w:t>
      </w:r>
      <w:r>
        <w:t>12000g</w:t>
      </w:r>
      <w:r/>
      <w:r w:rsidR="001852F3">
        <w:t xml:space="preserve">离心</w:t>
      </w:r>
      <w:r>
        <w:t>10min</w:t>
      </w:r>
      <w:r>
        <w:t>。离</w:t>
      </w:r>
      <w:r>
        <w:t>心</w:t>
      </w:r>
    </w:p>
    <w:p w:rsidR="0018722C">
      <w:pPr>
        <w:topLinePunct/>
      </w:pPr>
      <w:r>
        <w:t>后可见少量白色沉淀于管底。</w:t>
      </w:r>
    </w:p>
    <w:p w:rsidR="0018722C">
      <w:pPr>
        <w:topLinePunct/>
      </w:pPr>
      <w:r>
        <w:t>（</w:t>
      </w:r>
      <w:r>
        <w:t>4</w:t>
      </w:r>
      <w:r>
        <w:t>）</w:t>
      </w:r>
      <w:r>
        <w:t>移弃上一步离心后的上清，向</w:t>
      </w:r>
      <w:r>
        <w:t>EP</w:t>
      </w:r>
      <w:r/>
      <w:r w:rsidR="001852F3">
        <w:t xml:space="preserve">管中加入</w:t>
      </w:r>
      <w:r>
        <w:t>1ml</w:t>
      </w:r>
      <w:r/>
      <w:r w:rsidR="001852F3">
        <w:t xml:space="preserve">用无核酶水配制的浓度为75％</w:t>
      </w:r>
      <w:r>
        <w:t>的乙醇，然后</w:t>
      </w:r>
      <w:r>
        <w:t>4℃，</w:t>
      </w:r>
      <w:r>
        <w:t>以</w:t>
      </w:r>
      <w:r>
        <w:t>7500g</w:t>
      </w:r>
      <w:r/>
      <w:r w:rsidR="001852F3">
        <w:t xml:space="preserve">离心</w:t>
      </w:r>
      <w:r>
        <w:t>5min。</w:t>
      </w:r>
    </w:p>
    <w:p w:rsidR="0018722C">
      <w:pPr>
        <w:topLinePunct/>
      </w:pPr>
      <w:r>
        <w:t>（</w:t>
      </w:r>
      <w:r>
        <w:t xml:space="preserve">5</w:t>
      </w:r>
      <w:r>
        <w:t>）</w:t>
      </w:r>
      <w:r>
        <w:t>移弃上一步离心后的上清，见沉淀在空气中干燥</w:t>
      </w:r>
      <w:r w:rsidR="001852F3">
        <w:t xml:space="preserve">5min，向有白色沉淀的</w:t>
      </w:r>
    </w:p>
    <w:p w:rsidR="0018722C">
      <w:pPr>
        <w:topLinePunct/>
      </w:pPr>
      <w:r>
        <w:t>EP</w:t>
      </w:r>
      <w:r w:rsidR="001852F3">
        <w:t xml:space="preserve">管中加入</w:t>
      </w:r>
      <w:r w:rsidR="001852F3">
        <w:t xml:space="preserve">30μl</w:t>
      </w:r>
      <w:r w:rsidR="001852F3">
        <w:t xml:space="preserve">无核酶水溶解，并混匀。</w:t>
      </w:r>
    </w:p>
    <w:p w:rsidR="0018722C">
      <w:pPr>
        <w:topLinePunct/>
      </w:pPr>
      <w:r>
        <w:t>（</w:t>
      </w:r>
      <w:r>
        <w:t>6</w:t>
      </w:r>
      <w:r>
        <w:t>）</w:t>
      </w:r>
      <w:r>
        <w:t>取</w:t>
      </w:r>
      <w:r>
        <w:t>2μl RNA</w:t>
      </w:r>
      <w:r/>
      <w:r w:rsidR="001852F3">
        <w:t xml:space="preserve">溶解液于酶标仪上测取样本浓度和纯度。并将获得的</w:t>
      </w:r>
      <w:r>
        <w:t>RNA</w:t>
      </w:r>
      <w:r/>
      <w:r w:rsidR="001852F3">
        <w:t xml:space="preserve">保存于-20℃冰箱备用。</w:t>
      </w:r>
    </w:p>
    <w:p w:rsidR="0018722C">
      <w:pPr>
        <w:pStyle w:val="cw20"/>
        <w:topLinePunct/>
      </w:pPr>
      <w:r>
        <w:rPr>
          <w:rFonts w:cstheme="minorBidi" w:hAnsiTheme="minorHAnsi" w:eastAsiaTheme="minorHAnsi" w:asciiTheme="minorHAnsi" w:ascii="宋体" w:hAnsi="宋体" w:eastAsia="宋体" w:cs="宋体"/>
          <w:b/>
        </w:rPr>
        <w:t>3.1.2 </w:t>
      </w:r>
      <w:r>
        <w:rPr>
          <w:rFonts w:cstheme="minorBidi" w:hAnsiTheme="minorHAnsi" w:eastAsiaTheme="minorHAnsi" w:asciiTheme="minorHAnsi" w:ascii="宋体" w:hAnsi="宋体" w:eastAsia="宋体" w:cs="宋体"/>
          <w:b/>
        </w:rPr>
        <w:t>RT</w:t>
      </w:r>
      <w:r w:rsidR="001852F3">
        <w:rPr>
          <w:rFonts w:cstheme="minorBidi" w:hAnsiTheme="minorHAnsi" w:eastAsiaTheme="minorHAnsi" w:asciiTheme="minorHAnsi" w:ascii="宋体" w:hAnsi="宋体" w:eastAsia="宋体" w:cs="宋体"/>
          <w:b/>
        </w:rPr>
        <w:t xml:space="preserve">反应</w:t>
      </w:r>
    </w:p>
    <w:p w:rsidR="0018722C">
      <w:pPr>
        <w:topLinePunct/>
      </w:pPr>
      <w:r>
        <w:t>以下反应加样在冰上进行，反应条件为：42℃作用</w:t>
      </w:r>
      <w:r w:rsidR="001852F3">
        <w:t xml:space="preserve">60min，70℃作用</w:t>
      </w:r>
      <w:r w:rsidR="001852F3">
        <w:t xml:space="preserve">5min</w:t>
      </w:r>
      <w:r>
        <w:t xml:space="preserve">, </w:t>
      </w:r>
      <w:r>
        <w:t>RT</w:t>
      </w:r>
      <w:r w:rsidR="001852F3">
        <w:t xml:space="preserve">终溶液即为</w:t>
      </w:r>
      <w:r w:rsidR="001852F3">
        <w:t xml:space="preserve">cDNA</w:t>
      </w:r>
      <w:r w:rsidR="001852F3">
        <w:t xml:space="preserve">溶液，冰浴，备用。</w:t>
      </w:r>
    </w:p>
    <w:tbl>
      <w:tblPr>
        <w:tblW w:w="0" w:type="auto"/>
        <w:tblInd w:w="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871"/>
        <w:gridCol w:w="2121"/>
        <w:gridCol w:w="105"/>
      </w:tblGrid>
      <w:tr>
        <w:trPr>
          <w:trHeight w:val="320" w:hRule="atLeast"/>
        </w:trPr>
        <w:tc>
          <w:tcPr>
            <w:tcW w:w="1763" w:type="dxa"/>
            <w:tcBorders>
              <w:bottom w:val="single" w:sz="34" w:space="0" w:color="000000"/>
            </w:tcBorders>
          </w:tcPr>
          <w:p w:rsidR="0018722C">
            <w:pPr>
              <w:topLinePunct/>
              <w:ind w:leftChars="0" w:left="0" w:rightChars="0" w:right="0" w:firstLineChars="0" w:firstLine="0"/>
              <w:spacing w:line="240" w:lineRule="atLeast"/>
            </w:pPr>
            <w:r>
              <w:t>RT 体系：</w:t>
            </w:r>
          </w:p>
        </w:tc>
        <w:tc>
          <w:tcPr>
            <w:tcW w:w="3097" w:type="dxa"/>
            <w:gridSpan w:val="3"/>
          </w:tcPr>
          <w:p w:rsidR="0018722C">
            <w:pPr>
              <w:topLinePunct/>
              <w:ind w:leftChars="0" w:left="0" w:rightChars="0" w:right="0" w:firstLineChars="0" w:firstLine="0"/>
              <w:spacing w:line="240" w:lineRule="atLeast"/>
            </w:pPr>
          </w:p>
        </w:tc>
      </w:tr>
      <w:tr>
        <w:trPr>
          <w:trHeight w:val="480" w:hRule="atLeast"/>
        </w:trPr>
        <w:tc>
          <w:tcPr>
            <w:tcW w:w="1763" w:type="dxa"/>
            <w:tcBorders>
              <w:top w:val="single" w:sz="34" w:space="0" w:color="000000"/>
              <w:bottom w:val="single" w:sz="24" w:space="0" w:color="000000"/>
            </w:tcBorders>
          </w:tcPr>
          <w:p w:rsidR="0018722C">
            <w:pPr>
              <w:topLinePunct/>
              <w:ind w:leftChars="0" w:left="0" w:rightChars="0" w:right="0" w:firstLineChars="0" w:firstLine="0"/>
              <w:spacing w:line="240" w:lineRule="atLeast"/>
            </w:pPr>
            <w:r>
              <w:t>试</w:t>
            </w:r>
            <w:r w:rsidRPr="00000000">
              <w:tab/>
              <w:t>剂</w:t>
            </w:r>
          </w:p>
        </w:tc>
        <w:tc>
          <w:tcPr>
            <w:tcW w:w="871" w:type="dxa"/>
            <w:tcBorders>
              <w:top w:val="single" w:sz="34" w:space="0" w:color="000000"/>
              <w:bottom w:val="single" w:sz="24" w:space="0" w:color="000000"/>
            </w:tcBorders>
          </w:tcPr>
          <w:p w:rsidR="0018722C">
            <w:pPr>
              <w:topLinePunct/>
              <w:ind w:leftChars="0" w:left="0" w:rightChars="0" w:right="0" w:firstLineChars="0" w:firstLine="0"/>
              <w:spacing w:line="240" w:lineRule="atLeast"/>
            </w:pPr>
          </w:p>
        </w:tc>
        <w:tc>
          <w:tcPr>
            <w:tcW w:w="2121" w:type="dxa"/>
            <w:tcBorders>
              <w:top w:val="single" w:sz="34" w:space="0" w:color="000000"/>
              <w:bottom w:val="single" w:sz="24" w:space="0" w:color="000000"/>
            </w:tcBorders>
          </w:tcPr>
          <w:p w:rsidR="0018722C">
            <w:pPr>
              <w:topLinePunct/>
              <w:ind w:leftChars="0" w:left="0" w:rightChars="0" w:right="0" w:firstLineChars="0" w:firstLine="0"/>
              <w:spacing w:line="240" w:lineRule="atLeast"/>
            </w:pPr>
            <w:r>
              <w:t>体</w:t>
            </w:r>
            <w:r w:rsidRPr="00000000">
              <w:tab/>
              <w:t>积</w:t>
            </w:r>
            <w:r>
              <w:t>（</w:t>
            </w:r>
            <w:r>
              <w:t>μl</w:t>
            </w:r>
            <w:r>
              <w:t>）</w:t>
            </w:r>
          </w:p>
        </w:tc>
        <w:tc>
          <w:tcPr>
            <w:tcW w:w="105" w:type="dxa"/>
            <w:tcBorders>
              <w:bottom w:val="single" w:sz="24" w:space="0" w:color="000000"/>
            </w:tcBorders>
          </w:tcPr>
          <w:p w:rsidR="0018722C">
            <w:pPr>
              <w:topLinePunct/>
              <w:ind w:leftChars="0" w:left="0" w:rightChars="0" w:right="0" w:firstLineChars="0" w:firstLine="0"/>
              <w:spacing w:line="240" w:lineRule="atLeast"/>
            </w:pPr>
          </w:p>
        </w:tc>
      </w:tr>
      <w:tr>
        <w:trPr>
          <w:trHeight w:val="320" w:hRule="atLeast"/>
        </w:trPr>
        <w:tc>
          <w:tcPr>
            <w:tcW w:w="1763" w:type="dxa"/>
            <w:tcBorders>
              <w:top w:val="single" w:sz="24" w:space="0" w:color="000000"/>
            </w:tcBorders>
          </w:tcPr>
          <w:p w:rsidR="0018722C">
            <w:pPr>
              <w:topLinePunct/>
              <w:ind w:leftChars="0" w:left="0" w:rightChars="0" w:right="0" w:firstLineChars="0" w:firstLine="0"/>
              <w:spacing w:line="240" w:lineRule="atLeast"/>
            </w:pPr>
            <w:r>
              <w:t>5³RT 缓冲液</w:t>
            </w:r>
          </w:p>
        </w:tc>
        <w:tc>
          <w:tcPr>
            <w:tcW w:w="871" w:type="dxa"/>
            <w:tcBorders>
              <w:top w:val="single" w:sz="24" w:space="0" w:color="000000"/>
            </w:tcBorders>
          </w:tcPr>
          <w:p w:rsidR="0018722C">
            <w:pPr>
              <w:topLinePunct/>
              <w:ind w:leftChars="0" w:left="0" w:rightChars="0" w:right="0" w:firstLineChars="0" w:firstLine="0"/>
              <w:spacing w:line="240" w:lineRule="atLeast"/>
            </w:pPr>
          </w:p>
        </w:tc>
        <w:tc>
          <w:tcPr>
            <w:tcW w:w="2121" w:type="dxa"/>
            <w:tcBorders>
              <w:top w:val="single" w:sz="24" w:space="0" w:color="000000"/>
            </w:tcBorders>
          </w:tcPr>
          <w:p w:rsidR="0018722C">
            <w:pPr>
              <w:topLinePunct/>
              <w:ind w:leftChars="0" w:left="0" w:rightChars="0" w:right="0" w:firstLineChars="0" w:firstLine="0"/>
              <w:spacing w:line="240" w:lineRule="atLeast"/>
            </w:pPr>
            <w:r>
              <w:t>4.0</w:t>
            </w:r>
          </w:p>
        </w:tc>
        <w:tc>
          <w:tcPr>
            <w:tcW w:w="105" w:type="dxa"/>
            <w:tcBorders>
              <w:top w:val="single" w:sz="24" w:space="0" w:color="000000"/>
            </w:tcBorders>
          </w:tcPr>
          <w:p w:rsidR="0018722C">
            <w:pPr>
              <w:topLinePunct/>
              <w:ind w:leftChars="0" w:left="0" w:rightChars="0" w:right="0" w:firstLineChars="0" w:firstLine="0"/>
              <w:spacing w:line="240" w:lineRule="atLeast"/>
            </w:pPr>
          </w:p>
        </w:tc>
      </w:tr>
      <w:tr>
        <w:trPr>
          <w:trHeight w:val="460" w:hRule="atLeast"/>
        </w:trPr>
        <w:tc>
          <w:tcPr>
            <w:tcW w:w="1763" w:type="dxa"/>
          </w:tcPr>
          <w:p w:rsidR="0018722C">
            <w:pPr>
              <w:topLinePunct/>
              <w:ind w:leftChars="0" w:left="0" w:rightChars="0" w:right="0" w:firstLineChars="0" w:firstLine="0"/>
              <w:spacing w:line="240" w:lineRule="atLeast"/>
            </w:pPr>
            <w:r>
              <w:t>RNA 酶抑制剂</w:t>
            </w:r>
          </w:p>
        </w:tc>
        <w:tc>
          <w:tcPr>
            <w:tcW w:w="871" w:type="dxa"/>
          </w:tcPr>
          <w:p w:rsidR="0018722C">
            <w:pPr>
              <w:topLinePunct/>
              <w:ind w:leftChars="0" w:left="0" w:rightChars="0" w:right="0" w:firstLineChars="0" w:firstLine="0"/>
              <w:spacing w:line="240" w:lineRule="atLeast"/>
            </w:pPr>
          </w:p>
        </w:tc>
        <w:tc>
          <w:tcPr>
            <w:tcW w:w="2121" w:type="dxa"/>
          </w:tcPr>
          <w:p w:rsidR="0018722C">
            <w:pPr>
              <w:topLinePunct/>
              <w:ind w:leftChars="0" w:left="0" w:rightChars="0" w:right="0" w:firstLineChars="0" w:firstLine="0"/>
              <w:spacing w:line="240" w:lineRule="atLeast"/>
            </w:pPr>
            <w:r>
              <w:t>1.0</w:t>
            </w:r>
          </w:p>
        </w:tc>
        <w:tc>
          <w:tcPr>
            <w:tcW w:w="105" w:type="dxa"/>
          </w:tcPr>
          <w:p w:rsidR="0018722C">
            <w:pPr>
              <w:topLinePunct/>
              <w:ind w:leftChars="0" w:left="0" w:rightChars="0" w:right="0" w:firstLineChars="0" w:firstLine="0"/>
              <w:spacing w:line="240" w:lineRule="atLeast"/>
            </w:pPr>
          </w:p>
        </w:tc>
      </w:tr>
      <w:tr>
        <w:trPr>
          <w:trHeight w:val="460" w:hRule="atLeast"/>
        </w:trPr>
        <w:tc>
          <w:tcPr>
            <w:tcW w:w="1763" w:type="dxa"/>
          </w:tcPr>
          <w:p w:rsidR="0018722C">
            <w:pPr>
              <w:topLinePunct/>
              <w:ind w:leftChars="0" w:left="0" w:rightChars="0" w:right="0" w:firstLineChars="0" w:firstLine="0"/>
              <w:spacing w:line="240" w:lineRule="atLeast"/>
            </w:pPr>
            <w:r>
              <w:t>逆转录酶</w:t>
            </w:r>
          </w:p>
        </w:tc>
        <w:tc>
          <w:tcPr>
            <w:tcW w:w="871" w:type="dxa"/>
          </w:tcPr>
          <w:p w:rsidR="0018722C">
            <w:pPr>
              <w:topLinePunct/>
              <w:ind w:leftChars="0" w:left="0" w:rightChars="0" w:right="0" w:firstLineChars="0" w:firstLine="0"/>
              <w:spacing w:line="240" w:lineRule="atLeast"/>
            </w:pPr>
          </w:p>
        </w:tc>
        <w:tc>
          <w:tcPr>
            <w:tcW w:w="2121" w:type="dxa"/>
          </w:tcPr>
          <w:p w:rsidR="0018722C">
            <w:pPr>
              <w:topLinePunct/>
              <w:ind w:leftChars="0" w:left="0" w:rightChars="0" w:right="0" w:firstLineChars="0" w:firstLine="0"/>
              <w:spacing w:line="240" w:lineRule="atLeast"/>
            </w:pPr>
            <w:r>
              <w:t>1.0</w:t>
            </w:r>
          </w:p>
        </w:tc>
        <w:tc>
          <w:tcPr>
            <w:tcW w:w="105" w:type="dxa"/>
          </w:tcPr>
          <w:p w:rsidR="0018722C">
            <w:pPr>
              <w:topLinePunct/>
              <w:ind w:leftChars="0" w:left="0" w:rightChars="0" w:right="0" w:firstLineChars="0" w:firstLine="0"/>
              <w:spacing w:line="240" w:lineRule="atLeast"/>
            </w:pPr>
          </w:p>
        </w:tc>
      </w:tr>
      <w:tr>
        <w:trPr>
          <w:trHeight w:val="460" w:hRule="atLeast"/>
        </w:trPr>
        <w:tc>
          <w:tcPr>
            <w:tcW w:w="1763" w:type="dxa"/>
          </w:tcPr>
          <w:p w:rsidR="0018722C">
            <w:pPr>
              <w:topLinePunct/>
              <w:ind w:leftChars="0" w:left="0" w:rightChars="0" w:right="0" w:firstLineChars="0" w:firstLine="0"/>
              <w:spacing w:line="240" w:lineRule="atLeast"/>
            </w:pPr>
            <w:r>
              <w:t>dNTP 混合液</w:t>
            </w:r>
            <w:r>
              <w:t>(</w:t>
            </w:r>
            <w:r>
              <w:t>10</w:t>
            </w:r>
          </w:p>
        </w:tc>
        <w:tc>
          <w:tcPr>
            <w:tcW w:w="871" w:type="dxa"/>
          </w:tcPr>
          <w:p w:rsidR="0018722C">
            <w:pPr>
              <w:topLinePunct/>
              <w:ind w:leftChars="0" w:left="0" w:rightChars="0" w:right="0" w:firstLineChars="0" w:firstLine="0"/>
              <w:spacing w:line="240" w:lineRule="atLeast"/>
            </w:pPr>
            <w:r>
              <w:t>mM</w:t>
            </w:r>
            <w:r>
              <w:t>)</w:t>
            </w:r>
          </w:p>
        </w:tc>
        <w:tc>
          <w:tcPr>
            <w:tcW w:w="2121" w:type="dxa"/>
          </w:tcPr>
          <w:p w:rsidR="0018722C">
            <w:pPr>
              <w:topLinePunct/>
              <w:ind w:leftChars="0" w:left="0" w:rightChars="0" w:right="0" w:firstLineChars="0" w:firstLine="0"/>
              <w:spacing w:line="240" w:lineRule="atLeast"/>
            </w:pPr>
            <w:r>
              <w:t>2.0</w:t>
            </w:r>
          </w:p>
        </w:tc>
        <w:tc>
          <w:tcPr>
            <w:tcW w:w="105" w:type="dxa"/>
          </w:tcPr>
          <w:p w:rsidR="0018722C">
            <w:pPr>
              <w:topLinePunct/>
              <w:ind w:leftChars="0" w:left="0" w:rightChars="0" w:right="0" w:firstLineChars="0" w:firstLine="0"/>
              <w:spacing w:line="240" w:lineRule="atLeast"/>
            </w:pPr>
          </w:p>
        </w:tc>
      </w:tr>
      <w:tr>
        <w:trPr>
          <w:trHeight w:val="460" w:hRule="atLeast"/>
        </w:trPr>
        <w:tc>
          <w:tcPr>
            <w:tcW w:w="1763" w:type="dxa"/>
          </w:tcPr>
          <w:p w:rsidR="0018722C">
            <w:pPr>
              <w:topLinePunct/>
              <w:ind w:leftChars="0" w:left="0" w:rightChars="0" w:right="0" w:firstLineChars="0" w:firstLine="0"/>
              <w:spacing w:line="240" w:lineRule="atLeast"/>
            </w:pPr>
            <w:r>
              <w:t>20uM 随机引物</w:t>
            </w:r>
          </w:p>
        </w:tc>
        <w:tc>
          <w:tcPr>
            <w:tcW w:w="871" w:type="dxa"/>
          </w:tcPr>
          <w:p w:rsidR="0018722C">
            <w:pPr>
              <w:topLinePunct/>
              <w:ind w:leftChars="0" w:left="0" w:rightChars="0" w:right="0" w:firstLineChars="0" w:firstLine="0"/>
              <w:spacing w:line="240" w:lineRule="atLeast"/>
            </w:pPr>
          </w:p>
        </w:tc>
        <w:tc>
          <w:tcPr>
            <w:tcW w:w="2121" w:type="dxa"/>
          </w:tcPr>
          <w:p w:rsidR="0018722C">
            <w:pPr>
              <w:topLinePunct/>
              <w:ind w:leftChars="0" w:left="0" w:rightChars="0" w:right="0" w:firstLineChars="0" w:firstLine="0"/>
              <w:spacing w:line="240" w:lineRule="atLeast"/>
            </w:pPr>
            <w:r>
              <w:t>1.0</w:t>
            </w:r>
          </w:p>
        </w:tc>
        <w:tc>
          <w:tcPr>
            <w:tcW w:w="105" w:type="dxa"/>
          </w:tcPr>
          <w:p w:rsidR="0018722C">
            <w:pPr>
              <w:topLinePunct/>
              <w:ind w:leftChars="0" w:left="0" w:rightChars="0" w:right="0" w:firstLineChars="0" w:firstLine="0"/>
              <w:spacing w:line="240" w:lineRule="atLeast"/>
            </w:pPr>
          </w:p>
        </w:tc>
      </w:tr>
      <w:tr>
        <w:trPr>
          <w:trHeight w:val="340" w:hRule="atLeast"/>
        </w:trPr>
        <w:tc>
          <w:tcPr>
            <w:tcW w:w="1763" w:type="dxa"/>
          </w:tcPr>
          <w:p w:rsidR="0018722C">
            <w:pPr>
              <w:topLinePunct/>
              <w:ind w:leftChars="0" w:left="0" w:rightChars="0" w:right="0" w:firstLineChars="0" w:firstLine="0"/>
              <w:spacing w:line="240" w:lineRule="atLeast"/>
            </w:pPr>
            <w:r>
              <w:t>模板 RNA</w:t>
            </w:r>
          </w:p>
        </w:tc>
        <w:tc>
          <w:tcPr>
            <w:tcW w:w="871" w:type="dxa"/>
          </w:tcPr>
          <w:p w:rsidR="0018722C">
            <w:pPr>
              <w:topLinePunct/>
              <w:ind w:leftChars="0" w:left="0" w:rightChars="0" w:right="0" w:firstLineChars="0" w:firstLine="0"/>
              <w:spacing w:line="240" w:lineRule="atLeast"/>
            </w:pPr>
          </w:p>
        </w:tc>
        <w:tc>
          <w:tcPr>
            <w:tcW w:w="2121" w:type="dxa"/>
          </w:tcPr>
          <w:p w:rsidR="0018722C">
            <w:pPr>
              <w:topLinePunct/>
              <w:ind w:leftChars="0" w:left="0" w:rightChars="0" w:right="0" w:firstLineChars="0" w:firstLine="0"/>
              <w:spacing w:line="240" w:lineRule="atLeast"/>
            </w:pPr>
            <w:r>
              <w:t>2ug</w:t>
            </w:r>
          </w:p>
        </w:tc>
        <w:tc>
          <w:tcPr>
            <w:tcW w:w="105" w:type="dxa"/>
          </w:tcPr>
          <w:p w:rsidR="0018722C">
            <w:pPr>
              <w:topLinePunct/>
              <w:ind w:leftChars="0" w:left="0" w:rightChars="0" w:right="0" w:firstLineChars="0" w:firstLine="0"/>
              <w:spacing w:line="240" w:lineRule="atLeast"/>
            </w:pPr>
          </w:p>
        </w:tc>
      </w:tr>
    </w:tbl>
    <w:p w:rsidR="0018722C">
      <w:pPr>
        <w:pStyle w:val="affa"/>
      </w:pPr>
    </w:p>
    <w:p w:rsidR="0018722C">
      <w:pPr>
        <w:pStyle w:val="BodyText"/>
        <w:tabs>
          <w:tab w:pos="4302" w:val="right" w:leader="none"/>
        </w:tabs>
        <w:spacing w:before="154"/>
        <w:ind w:leftChars="0" w:left="821"/>
        <w:topLinePunct/>
      </w:pPr>
      <w:r>
        <w:t>加无核酶水至总体积</w:t>
      </w:r>
      <w:r w:rsidR="001852F3">
        <w:t>20</w:t>
      </w:r>
    </w:p>
    <w:p w:rsidR="0018722C">
      <w:pPr>
        <w:pStyle w:val="aff7"/>
        <w:topLinePunct/>
      </w:pPr>
      <w:r>
        <w:pict>
          <v:line style="position:absolute;mso-position-horizontal-relative:page;mso-position-vertical-relative:paragraph;z-index:1072;mso-wrap-distance-left:0;mso-wrap-distance-right:0" from="114.400002pt,11.975647pt" to="358.700002pt,12.675647pt" stroked="true" strokeweight="2.25pt" strokecolor="#000000">
            <v:stroke dashstyle="solid"/>
            <w10:wrap type="topAndBottom"/>
          </v:line>
        </w:pict>
      </w:r>
    </w:p>
    <w:p w:rsidR="0018722C">
      <w:pPr>
        <w:pStyle w:val="cw20"/>
        <w:topLinePunct/>
      </w:pPr>
      <w:r>
        <w:rPr>
          <w:rFonts w:cstheme="minorBidi" w:hAnsiTheme="minorHAnsi" w:eastAsiaTheme="minorHAnsi" w:asciiTheme="minorHAnsi" w:ascii="宋体" w:hAnsi="宋体" w:eastAsia="宋体" w:cs="宋体"/>
          <w:b/>
        </w:rPr>
        <w:t>3.1.3 </w:t>
      </w:r>
      <w:r>
        <w:rPr>
          <w:rFonts w:cstheme="minorBidi" w:hAnsiTheme="minorHAnsi" w:eastAsiaTheme="minorHAnsi" w:asciiTheme="minorHAnsi" w:ascii="宋体" w:hAnsi="宋体" w:eastAsia="宋体" w:cs="宋体"/>
          <w:b/>
        </w:rPr>
        <w:t>PCR</w:t>
      </w:r>
      <w:r w:rsidR="001852F3">
        <w:rPr>
          <w:rFonts w:cstheme="minorBidi" w:hAnsiTheme="minorHAnsi" w:eastAsiaTheme="minorHAnsi" w:asciiTheme="minorHAnsi" w:ascii="宋体" w:hAnsi="宋体" w:eastAsia="宋体" w:cs="宋体"/>
          <w:b/>
        </w:rPr>
        <w:t xml:space="preserve">反应</w:t>
      </w:r>
    </w:p>
    <w:p w:rsidR="0018722C">
      <w:pPr>
        <w:topLinePunct/>
      </w:pPr>
      <w:r>
        <w:t xml:space="preserve">引物由上海博尚生物技术有限公司合成。HBX</w:t>
      </w:r>
      <w:r>
        <w:t xml:space="preserve">（</w:t>
      </w:r>
      <w:r>
        <w:t xml:space="preserve">产物大小</w:t>
      </w:r>
      <w:r w:rsidR="001852F3">
        <w:t xml:space="preserve">465bp</w:t>
      </w:r>
      <w:r>
        <w:t xml:space="preserve">）</w:t>
      </w:r>
    </w:p>
    <w:p w:rsidR="0018722C">
      <w:pPr>
        <w:topLinePunct/>
      </w:pPr>
      <w:r>
        <w:t>上游引物：5′ATG CAA GCT TAT GGC TGC TAG GCT GTA CTG3′</w:t>
      </w:r>
      <w:r w:rsidR="001852F3">
        <w:t xml:space="preserve">下游引物：5′TGC GAA TTC TTA GGC AGA GTG AAA AAG TTG3</w:t>
      </w:r>
      <w:r w:rsidR="001852F3">
        <w:t>′</w:t>
      </w:r>
    </w:p>
    <w:p w:rsidR="0018722C">
      <w:pPr>
        <w:topLinePunct/>
      </w:pPr>
      <w:r>
        <w:t>β-actin</w:t>
      </w:r>
      <w:r>
        <w:t>（</w:t>
      </w:r>
      <w:r>
        <w:t>产物大小</w:t>
      </w:r>
      <w:r w:rsidR="001852F3">
        <w:t xml:space="preserve">600bp</w:t>
      </w:r>
      <w:r>
        <w:t>）</w:t>
      </w:r>
    </w:p>
    <w:p w:rsidR="0018722C">
      <w:pPr>
        <w:topLinePunct/>
      </w:pPr>
      <w:r>
        <w:t>上游引物：5′GGC ATC GTG ATG GAC TCC G3′</w:t>
      </w:r>
      <w:r w:rsidR="001852F3">
        <w:t xml:space="preserve">下游引物：5′GCT GGA AGG TGG ACA GCG A3′</w:t>
      </w:r>
    </w:p>
    <w:p w:rsidR="0018722C">
      <w:pPr>
        <w:topLinePunct/>
      </w:pPr>
      <w:r>
        <w:t>PCR</w:t>
      </w:r>
      <w:r w:rsidR="001852F3">
        <w:t xml:space="preserve">体系：</w:t>
      </w:r>
    </w:p>
    <w:p w:rsidR="0018722C">
      <w:pPr>
        <w:rPr/>
        <w:topLinePunct/>
      </w:pPr>
    </w:p>
    <w:tbl>
      <w:tblPr>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
        <w:gridCol w:w="1507"/>
        <w:gridCol w:w="1080"/>
        <w:gridCol w:w="2468"/>
      </w:tblGrid>
      <w:tr>
        <w:trPr>
          <w:trHeight w:val="320" w:hRule="atLeast"/>
        </w:trPr>
        <w:tc>
          <w:tcPr>
            <w:tcW w:w="98" w:type="dxa"/>
            <w:vMerge w:val="restart"/>
          </w:tcPr>
          <w:p w:rsidR="0018722C">
            <w:pPr>
              <w:topLinePunct/>
              <w:ind w:leftChars="0" w:left="0" w:rightChars="0" w:right="0" w:firstLineChars="0" w:firstLine="0"/>
              <w:spacing w:line="240" w:lineRule="atLeast"/>
            </w:pPr>
          </w:p>
        </w:tc>
        <w:tc>
          <w:tcPr>
            <w:tcW w:w="1507" w:type="dxa"/>
            <w:tcBorders>
              <w:bottom w:val="single" w:sz="34" w:space="0" w:color="000000"/>
            </w:tcBorders>
          </w:tcPr>
          <w:p w:rsidR="0018722C">
            <w:pPr>
              <w:topLinePunct/>
              <w:ind w:leftChars="0" w:left="0" w:rightChars="0" w:right="0" w:firstLineChars="0" w:firstLine="0"/>
              <w:spacing w:line="240" w:lineRule="atLeast"/>
            </w:pPr>
            <w:r>
              <w:t>试 剂</w:t>
            </w:r>
          </w:p>
        </w:tc>
        <w:tc>
          <w:tcPr>
            <w:tcW w:w="1080" w:type="dxa"/>
            <w:tcBorders>
              <w:bottom w:val="single" w:sz="34" w:space="0" w:color="000000"/>
            </w:tcBorders>
          </w:tcPr>
          <w:p w:rsidR="0018722C">
            <w:pPr>
              <w:topLinePunct/>
              <w:ind w:leftChars="0" w:left="0" w:rightChars="0" w:right="0" w:firstLineChars="0" w:firstLine="0"/>
              <w:spacing w:line="240" w:lineRule="atLeast"/>
            </w:pPr>
          </w:p>
        </w:tc>
        <w:tc>
          <w:tcPr>
            <w:tcW w:w="2468" w:type="dxa"/>
            <w:tcBorders>
              <w:bottom w:val="single" w:sz="34" w:space="0" w:color="000000"/>
            </w:tcBorders>
          </w:tcPr>
          <w:p w:rsidR="0018722C">
            <w:pPr>
              <w:topLinePunct/>
              <w:ind w:leftChars="0" w:left="0" w:rightChars="0" w:right="0" w:firstLineChars="0" w:firstLine="0"/>
              <w:spacing w:line="240" w:lineRule="atLeast"/>
            </w:pPr>
            <w:r>
              <w:t>体 积</w:t>
            </w:r>
            <w:r>
              <w:t>（</w:t>
            </w:r>
            <w:r>
              <w:t>μl</w:t>
            </w:r>
            <w:r>
              <w:t>）</w:t>
            </w:r>
          </w:p>
        </w:tc>
      </w:tr>
      <w:tr>
        <w:trPr>
          <w:trHeight w:val="40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Borders>
              <w:top w:val="single" w:sz="34" w:space="0" w:color="000000"/>
            </w:tcBorders>
          </w:tcPr>
          <w:p w:rsidR="0018722C">
            <w:pPr>
              <w:topLinePunct/>
              <w:ind w:leftChars="0" w:left="0" w:rightChars="0" w:right="0" w:firstLineChars="0" w:firstLine="0"/>
              <w:spacing w:line="240" w:lineRule="atLeast"/>
            </w:pPr>
            <w:r>
              <w:t>10³Buffer</w:t>
            </w:r>
          </w:p>
        </w:tc>
        <w:tc>
          <w:tcPr>
            <w:tcW w:w="1080" w:type="dxa"/>
            <w:tcBorders>
              <w:top w:val="single" w:sz="34" w:space="0" w:color="000000"/>
            </w:tcBorders>
          </w:tcPr>
          <w:p w:rsidR="0018722C">
            <w:pPr>
              <w:topLinePunct/>
              <w:ind w:leftChars="0" w:left="0" w:rightChars="0" w:right="0" w:firstLineChars="0" w:firstLine="0"/>
              <w:spacing w:line="240" w:lineRule="atLeast"/>
            </w:pPr>
          </w:p>
        </w:tc>
        <w:tc>
          <w:tcPr>
            <w:tcW w:w="2468" w:type="dxa"/>
            <w:tcBorders>
              <w:top w:val="single" w:sz="34" w:space="0" w:color="000000"/>
            </w:tcBorders>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Mgcl2</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D</w:t>
            </w:r>
            <w:r>
              <w:t>NTP MIX</w:t>
            </w:r>
            <w:r>
              <w:t>(</w:t>
            </w:r>
            <w:r>
              <w:t>10</w:t>
            </w:r>
          </w:p>
        </w:tc>
        <w:tc>
          <w:tcPr>
            <w:tcW w:w="1080" w:type="dxa"/>
          </w:tcPr>
          <w:p w:rsidR="0018722C">
            <w:pPr>
              <w:topLinePunct/>
              <w:ind w:leftChars="0" w:left="0" w:rightChars="0" w:right="0" w:firstLineChars="0" w:firstLine="0"/>
              <w:spacing w:line="240" w:lineRule="atLeast"/>
            </w:pPr>
            <w:r>
              <w:t>mM</w:t>
            </w:r>
            <w:r>
              <w:t>)</w:t>
            </w: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上游引物</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下游引物</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TaqDNA 酶</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0.5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cDNA</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2.0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无核酶水</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14.5</w:t>
            </w:r>
          </w:p>
        </w:tc>
      </w:tr>
      <w:tr>
        <w:trPr>
          <w:trHeight w:val="400" w:hRule="atLeast"/>
        </w:trPr>
        <w:tc>
          <w:tcPr>
            <w:tcW w:w="98" w:type="dxa"/>
            <w:tcBorders>
              <w:bottom w:val="single" w:sz="18" w:space="0" w:color="000000"/>
            </w:tcBorders>
          </w:tcPr>
          <w:p w:rsidR="0018722C">
            <w:pPr>
              <w:topLinePunct/>
              <w:ind w:leftChars="0" w:left="0" w:rightChars="0" w:right="0" w:firstLineChars="0" w:firstLine="0"/>
              <w:spacing w:line="240" w:lineRule="atLeast"/>
            </w:pPr>
          </w:p>
        </w:tc>
        <w:tc>
          <w:tcPr>
            <w:tcW w:w="1507" w:type="dxa"/>
            <w:tcBorders>
              <w:bottom w:val="single" w:sz="18" w:space="0" w:color="000000"/>
            </w:tcBorders>
          </w:tcPr>
          <w:p w:rsidR="0018722C">
            <w:pPr>
              <w:topLinePunct/>
              <w:ind w:leftChars="0" w:left="0" w:rightChars="0" w:right="0" w:firstLineChars="0" w:firstLine="0"/>
              <w:spacing w:line="240" w:lineRule="atLeast"/>
            </w:pPr>
            <w:r>
              <w:t>总体积</w:t>
            </w:r>
          </w:p>
        </w:tc>
        <w:tc>
          <w:tcPr>
            <w:tcW w:w="1080" w:type="dxa"/>
            <w:tcBorders>
              <w:bottom w:val="single" w:sz="18" w:space="0" w:color="000000"/>
            </w:tcBorders>
          </w:tcPr>
          <w:p w:rsidR="0018722C">
            <w:pPr>
              <w:topLinePunct/>
              <w:ind w:leftChars="0" w:left="0" w:rightChars="0" w:right="0" w:firstLineChars="0" w:firstLine="0"/>
              <w:spacing w:line="240" w:lineRule="atLeast"/>
            </w:pPr>
          </w:p>
        </w:tc>
        <w:tc>
          <w:tcPr>
            <w:tcW w:w="2468" w:type="dxa"/>
            <w:tcBorders>
              <w:bottom w:val="single" w:sz="18" w:space="0" w:color="000000"/>
            </w:tcBorders>
          </w:tcPr>
          <w:p w:rsidR="0018722C">
            <w:pPr>
              <w:topLinePunct/>
              <w:ind w:leftChars="0" w:left="0" w:rightChars="0" w:right="0" w:firstLineChars="0" w:firstLine="0"/>
              <w:spacing w:line="240" w:lineRule="atLeast"/>
            </w:pPr>
            <w:r>
              <w:t>25</w:t>
            </w:r>
          </w:p>
        </w:tc>
      </w:tr>
    </w:tbl>
    <w:p w:rsidR="0018722C">
      <w:pPr>
        <w:pStyle w:val="affa"/>
      </w:pPr>
    </w:p>
    <w:p w:rsidR="0018722C">
      <w:pPr>
        <w:topLinePunct/>
      </w:pPr>
      <w:r>
        <w:t>PCR</w:t>
      </w:r>
      <w:r/>
      <w:r w:rsidR="001852F3">
        <w:t xml:space="preserve">反应条件：</w:t>
      </w:r>
      <w:r>
        <w:t>94℃</w:t>
      </w:r>
      <w:r/>
      <w:r w:rsidR="001852F3">
        <w:t xml:space="preserve">预变性</w:t>
      </w:r>
      <w:r>
        <w:t>5min，94℃</w:t>
      </w:r>
      <w:r>
        <w:t>变性</w:t>
      </w:r>
      <w:r>
        <w:t>45s，61℃</w:t>
      </w:r>
      <w:r>
        <w:t>退火</w:t>
      </w:r>
      <w:r>
        <w:t>30s，72℃延伸1min，</w:t>
      </w:r>
      <w:r>
        <w:t>共</w:t>
      </w:r>
      <w:r>
        <w:t>30</w:t>
      </w:r>
      <w:r/>
      <w:r w:rsidR="001852F3">
        <w:t xml:space="preserve">个循环</w:t>
      </w:r>
      <w:r>
        <w:t>；72℃</w:t>
      </w:r>
      <w:r>
        <w:t>延伸</w:t>
      </w:r>
      <w:r>
        <w:t>7min。</w:t>
      </w:r>
    </w:p>
    <w:p w:rsidR="0018722C">
      <w:pPr>
        <w:pStyle w:val="cw20"/>
        <w:topLinePunct/>
      </w:pPr>
      <w:r>
        <w:rPr>
          <w:rFonts w:cstheme="minorBidi" w:hAnsiTheme="minorHAnsi" w:eastAsiaTheme="minorHAnsi" w:asciiTheme="minorHAnsi" w:ascii="宋体" w:hAnsi="宋体" w:eastAsia="宋体" w:cs="宋体"/>
          <w:b/>
        </w:rPr>
        <w:t>3.1.4 </w:t>
      </w:r>
      <w:r>
        <w:rPr>
          <w:rFonts w:cstheme="minorBidi" w:hAnsiTheme="minorHAnsi" w:eastAsiaTheme="minorHAnsi" w:asciiTheme="minorHAnsi" w:ascii="宋体" w:hAnsi="宋体" w:eastAsia="宋体" w:cs="宋体"/>
          <w:b/>
        </w:rPr>
        <w:t>PCR</w:t>
      </w:r>
      <w:r w:rsidR="001852F3">
        <w:rPr>
          <w:rFonts w:cstheme="minorBidi" w:hAnsiTheme="minorHAnsi" w:eastAsiaTheme="minorHAnsi" w:asciiTheme="minorHAnsi" w:ascii="宋体" w:hAnsi="宋体" w:eastAsia="宋体" w:cs="宋体"/>
          <w:b/>
        </w:rPr>
        <w:t xml:space="preserve">产物电泳</w:t>
      </w:r>
    </w:p>
    <w:p w:rsidR="0018722C">
      <w:pPr>
        <w:topLinePunct/>
      </w:pPr>
      <w:r>
        <w:t>2％</w:t>
      </w:r>
      <w:r>
        <w:t>琼脂糖凝胶，取</w:t>
      </w:r>
      <w:r>
        <w:t>8μl</w:t>
      </w:r>
      <w:r>
        <w:t> </w:t>
      </w:r>
      <w:r>
        <w:t>PCR</w:t>
      </w:r>
      <w:r/>
      <w:r w:rsidR="001852F3">
        <w:t xml:space="preserve">产物在其上进行电泳，电泳缓冲液</w:t>
      </w:r>
      <w:r>
        <w:t>1³</w:t>
      </w:r>
      <w:r>
        <w:t>TBE，恒压</w:t>
      </w:r>
    </w:p>
    <w:p w:rsidR="0018722C">
      <w:pPr>
        <w:topLinePunct/>
      </w:pPr>
      <w:r>
        <w:t>100V</w:t>
      </w:r>
      <w:r w:rsidR="001852F3">
        <w:t xml:space="preserve">电泳</w:t>
      </w:r>
      <w:r w:rsidR="001852F3">
        <w:t xml:space="preserve">30min，在紫外灯下观察结果并照相。</w:t>
      </w:r>
    </w:p>
    <w:p w:rsidR="0018722C">
      <w:pPr>
        <w:pStyle w:val="Heading4"/>
        <w:topLinePunct/>
        <w:ind w:left="200" w:hangingChars="200" w:hanging="200"/>
      </w:pPr>
      <w:r>
        <w:rPr>
          <w:b/>
        </w:rPr>
        <w:t>3.2</w:t>
      </w:r>
      <w:r>
        <w:t xml:space="preserve"> </w:t>
      </w:r>
      <w:r>
        <w:t>Western</w:t>
      </w:r>
      <w:r>
        <w:rPr>
          <w:b/>
        </w:rPr>
        <w:t> </w:t>
      </w:r>
      <w:r>
        <w:rPr>
          <w:b/>
        </w:rPr>
        <w:t>blot</w:t>
      </w:r>
      <w:r w:rsidR="001852F3">
        <w:t xml:space="preserve">法鉴定稳定表达</w:t>
      </w:r>
      <w:r>
        <w:rPr>
          <w:b/>
        </w:rPr>
        <w:t>HBx</w:t>
      </w:r>
      <w:r w:rsidR="001852F3">
        <w:t xml:space="preserve">的</w:t>
      </w:r>
      <w:r>
        <w:rPr>
          <w:b/>
        </w:rPr>
        <w:t>HepG2</w:t>
      </w:r>
      <w:r w:rsidR="001852F3">
        <w:t xml:space="preserve">细胞株</w:t>
      </w:r>
    </w:p>
    <w:p w:rsidR="0018722C">
      <w:pPr>
        <w:topLinePunct/>
      </w:pPr>
      <w:r>
        <w:rPr>
          <w:rFonts w:cstheme="minorBidi" w:hAnsiTheme="minorHAnsi" w:eastAsiaTheme="minorHAnsi" w:asciiTheme="minorHAnsi"/>
          <w:b/>
        </w:rPr>
        <w:t>3.2.1</w:t>
      </w:r>
      <w:r w:rsidR="001852F3">
        <w:rPr>
          <w:rFonts w:cstheme="minorBidi" w:hAnsiTheme="minorHAnsi" w:eastAsiaTheme="minorHAnsi" w:asciiTheme="minorHAnsi"/>
          <w:b/>
        </w:rPr>
        <w:t xml:space="preserve">蛋白抽提</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"_Toc686707256"</w:instrText>
      </w:r>
      <w:r>
        <w:fldChar w:fldCharType="separate"/>
      </w:r>
      <w:r>
        <w:rPr>
          <w:b/>
        </w:rPr>
        <w:t>Abbreviations</w:t>
      </w:r>
      <w:r>
        <w:fldChar w:fldCharType="end"/>
      </w:r>
      <w:r>
        <w:rPr>
          <w:noProof/>
          <w:webHidden/>
        </w:rPr>
        <w:tab/>
      </w:r>
      <w:r>
        <w:rPr>
          <w:noProof/>
          <w:webHidden/>
        </w:rPr>
        <w:fldChar w:fldCharType="begin"/>
      </w:r>
      <w:r>
        <w:rPr>
          <w:noProof/>
          <w:webHidden/>
        </w:rPr>
        <w:instrText> PAGEREF _Toc686707256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"_Toc686707257"</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_Toc686707257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"_Toc686707258"</w:instrText>
      </w:r>
      <w:r>
        <w:fldChar w:fldCharType="separate"/>
      </w:r>
      <w:r>
        <w:rPr>
          <w:b/>
        </w:rPr>
        <w:t>Abstract</w:t>
      </w:r>
      <w:r>
        <w:fldChar w:fldCharType="end"/>
      </w:r>
      <w:r>
        <w:rPr>
          <w:noProof/>
          <w:webHidden/>
        </w:rPr>
        <w:tab/>
      </w:r>
      <w:r>
        <w:rPr>
          <w:noProof/>
          <w:webHidden/>
        </w:rPr>
        <w:fldChar w:fldCharType="begin"/>
      </w:r>
      <w:r>
        <w:rPr>
          <w:noProof/>
          <w:webHidden/>
        </w:rPr>
        <w:instrText> PAGEREF _Toc686707258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"_Toc686707259"</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_Toc686707259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"_Toc686707260"</w:instrText>
      </w:r>
      <w:r>
        <w:fldChar w:fldCharType="separate"/>
      </w:r>
      <w:r>
        <w:t>第一部分</w:t>
      </w:r>
      <w:r>
        <w:t xml:space="preserve"> </w:t>
      </w:r>
      <w:r w:rsidRPr="00DB64CE">
        <w:t>稳定表达</w:t>
      </w:r>
      <w:r w:rsidR="001852F3">
        <w:rPr>
          <w:b/>
        </w:rPr>
        <w:t xml:space="preserve">HBx</w:t>
      </w:r>
      <w:r w:rsidR="001852F3">
        <w:t xml:space="preserve">的肝癌细胞株的构建与鉴定</w:t>
      </w:r>
      <w:r>
        <w:fldChar w:fldCharType="end"/>
      </w:r>
      <w:r>
        <w:rPr>
          <w:noProof/>
          <w:webHidden/>
        </w:rPr>
        <w:tab/>
      </w:r>
      <w:r>
        <w:rPr>
          <w:noProof/>
          <w:webHidden/>
        </w:rPr>
        <w:fldChar w:fldCharType="begin"/>
      </w:r>
      <w:r>
        <w:rPr>
          <w:noProof/>
          <w:webHidden/>
        </w:rPr>
        <w:instrText> PAGEREF _Toc686707260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"_Toc686707261"</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_Toc686707261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"_Toc686707262"</w:instrText>
      </w:r>
      <w:r>
        <w:fldChar w:fldCharType="separate"/>
      </w:r>
      <w:r>
        <w:t>二</w:t>
      </w:r>
      <w:r>
        <w:t xml:space="preserve"> </w:t>
      </w:r>
      <w:r w:rsidRPr="00DB64CE">
        <w:t>实验材料与实验仪器</w:t>
      </w:r>
      <w:r>
        <w:fldChar w:fldCharType="end"/>
      </w:r>
      <w:r>
        <w:rPr>
          <w:noProof/>
          <w:webHidden/>
        </w:rPr>
        <w:tab/>
      </w:r>
      <w:r>
        <w:rPr>
          <w:noProof/>
          <w:webHidden/>
        </w:rPr>
        <w:fldChar w:fldCharType="begin"/>
      </w:r>
      <w:r>
        <w:rPr>
          <w:noProof/>
          <w:webHidden/>
        </w:rPr>
        <w:instrText> PAGEREF _Toc686707262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"_Toc686707263"</w:instrText>
      </w:r>
      <w:r>
        <w:fldChar w:fldCharType="separate"/>
      </w:r>
      <w:r>
        <w:t>三</w:t>
      </w:r>
      <w:r>
        <w:t xml:space="preserve"> </w:t>
      </w:r>
      <w:r w:rsidRPr="00DB64CE">
        <w:t>实验步骤</w:t>
      </w:r>
      <w:r>
        <w:fldChar w:fldCharType="end"/>
      </w:r>
      <w:r>
        <w:rPr>
          <w:noProof/>
          <w:webHidden/>
        </w:rPr>
        <w:tab/>
      </w:r>
      <w:r>
        <w:rPr>
          <w:noProof/>
          <w:webHidden/>
        </w:rPr>
        <w:fldChar w:fldCharType="begin"/>
      </w:r>
      <w:r>
        <w:rPr>
          <w:noProof/>
          <w:webHidden/>
        </w:rPr>
        <w:instrText> PAGEREF _Toc686707263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"_Toc686707264"</w:instrText>
      </w:r>
      <w:r>
        <w:fldChar w:fldCharType="separate"/>
      </w:r>
      <w:r>
        <w:t>四</w:t>
      </w:r>
      <w:r>
        <w:t xml:space="preserve"> </w:t>
      </w:r>
      <w:r w:rsidRPr="00DB64CE">
        <w:t>实验结果</w:t>
      </w:r>
      <w:r>
        <w:fldChar w:fldCharType="end"/>
      </w:r>
      <w:r>
        <w:rPr>
          <w:noProof/>
          <w:webHidden/>
        </w:rPr>
        <w:tab/>
      </w:r>
      <w:r>
        <w:rPr>
          <w:noProof/>
          <w:webHidden/>
        </w:rPr>
        <w:fldChar w:fldCharType="begin"/>
      </w:r>
      <w:r>
        <w:rPr>
          <w:noProof/>
          <w:webHidden/>
        </w:rPr>
        <w:instrText> PAGEREF _Toc686707264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"_Toc686707265"</w:instrText>
      </w:r>
      <w:r>
        <w:fldChar w:fldCharType="separate"/>
      </w:r>
      <w:r>
        <w:t>五</w:t>
      </w:r>
      <w:r>
        <w:t xml:space="preserve"> </w:t>
      </w:r>
      <w:r w:rsidRPr="00DB64CE">
        <w:t>讨论</w:t>
      </w:r>
      <w:r>
        <w:fldChar w:fldCharType="end"/>
      </w:r>
      <w:r>
        <w:rPr>
          <w:noProof/>
          <w:webHidden/>
        </w:rPr>
        <w:tab/>
      </w:r>
      <w:r>
        <w:rPr>
          <w:noProof/>
          <w:webHidden/>
        </w:rPr>
        <w:fldChar w:fldCharType="begin"/>
      </w:r>
      <w:r>
        <w:rPr>
          <w:noProof/>
          <w:webHidden/>
        </w:rPr>
        <w:instrText> PAGEREF _Toc686707265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"_Toc686707266"</w:instrText>
      </w:r>
      <w:r>
        <w:fldChar w:fldCharType="separate"/>
      </w:r>
      <w:r>
        <w:rPr>
          <w:b/>
        </w:rPr>
        <w:t>第二部分 </w:t>
      </w:r>
      <w:r>
        <w:rPr>
          <w:b/>
        </w:rPr>
        <w:t>HBx</w:t>
      </w:r>
      <w:r w:rsidR="001852F3">
        <w:t xml:space="preserve">与</w:t>
      </w:r>
      <w:r>
        <w:rPr>
          <w:b/>
        </w:rPr>
        <w:t>COXIII</w:t>
      </w:r>
      <w:r w:rsidR="001852F3">
        <w:t xml:space="preserve">在</w:t>
      </w:r>
      <w:r>
        <w:rPr>
          <w:b/>
        </w:rPr>
        <w:t>HepG2</w:t>
      </w:r>
      <w:r w:rsidR="001852F3">
        <w:t xml:space="preserve">细胞中共定位及其对线粒体结</w:t>
      </w:r>
      <w:r>
        <w:fldChar w:fldCharType="end"/>
      </w:r>
      <w:r>
        <w:rPr>
          <w:noProof/>
          <w:webHidden/>
        </w:rPr>
        <w:tab/>
      </w:r>
      <w:r>
        <w:rPr>
          <w:noProof/>
          <w:webHidden/>
        </w:rPr>
        <w:fldChar w:fldCharType="begin"/>
      </w:r>
      <w:r>
        <w:rPr>
          <w:noProof/>
          <w:webHidden/>
        </w:rPr>
        <w:instrText> PAGEREF _Toc686707266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"_Toc686707267"</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_Toc686707267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"_Toc686707268"</w:instrText>
      </w:r>
      <w:r>
        <w:fldChar w:fldCharType="separate"/>
      </w:r>
      <w:r>
        <w:t>二</w:t>
      </w:r>
      <w:r>
        <w:t xml:space="preserve"> </w:t>
      </w:r>
      <w:r w:rsidRPr="00DB64CE">
        <w:t>实验材料与实验仪器</w:t>
      </w:r>
      <w:r>
        <w:fldChar w:fldCharType="end"/>
      </w:r>
      <w:r>
        <w:rPr>
          <w:noProof/>
          <w:webHidden/>
        </w:rPr>
        <w:tab/>
      </w:r>
      <w:r>
        <w:rPr>
          <w:noProof/>
          <w:webHidden/>
        </w:rPr>
        <w:fldChar w:fldCharType="begin"/>
      </w:r>
      <w:r>
        <w:rPr>
          <w:noProof/>
          <w:webHidden/>
        </w:rPr>
        <w:instrText> PAGEREF _Toc686707268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"_Toc686707269"</w:instrText>
      </w:r>
      <w:r>
        <w:fldChar w:fldCharType="separate"/>
      </w:r>
      <w:r>
        <w:t>三</w:t>
      </w:r>
      <w:r>
        <w:t xml:space="preserve"> </w:t>
      </w:r>
      <w:r w:rsidRPr="00DB64CE">
        <w:t>实验步骤</w:t>
      </w:r>
      <w:r>
        <w:fldChar w:fldCharType="end"/>
      </w:r>
      <w:r>
        <w:rPr>
          <w:noProof/>
          <w:webHidden/>
        </w:rPr>
        <w:tab/>
      </w:r>
      <w:r>
        <w:rPr>
          <w:noProof/>
          <w:webHidden/>
        </w:rPr>
        <w:fldChar w:fldCharType="begin"/>
      </w:r>
      <w:r>
        <w:rPr>
          <w:noProof/>
          <w:webHidden/>
        </w:rPr>
        <w:instrText> PAGEREF _Toc686707269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"_Toc686707270"</w:instrText>
      </w:r>
      <w:r>
        <w:fldChar w:fldCharType="separate"/>
      </w:r>
      <w:r>
        <w:rPr>
          <w:b/>
        </w:rPr>
        <w:t>第三部分 </w:t>
      </w:r>
      <w:r>
        <w:rPr>
          <w:b/>
        </w:rPr>
        <w:t>HBx</w:t>
      </w:r>
      <w:r w:rsidR="001852F3">
        <w:t xml:space="preserve">通过上调</w:t>
      </w:r>
      <w:r>
        <w:rPr>
          <w:b/>
        </w:rPr>
        <w:t>ROS</w:t>
      </w:r>
      <w:r w:rsidR="001852F3">
        <w:t xml:space="preserve">水平增加</w:t>
      </w:r>
      <w:r>
        <w:rPr>
          <w:b/>
        </w:rPr>
        <w:t>COX-2</w:t>
      </w:r>
      <w:r w:rsidR="001852F3">
        <w:t xml:space="preserve">的表达促进了</w:t>
      </w:r>
      <w:r>
        <w:rPr>
          <w:b/>
        </w:rPr>
        <w:t>HepG2</w:t>
      </w:r>
      <w:r>
        <w:fldChar w:fldCharType="end"/>
      </w:r>
      <w:r>
        <w:rPr>
          <w:noProof/>
          <w:webHidden/>
        </w:rPr>
        <w:tab/>
      </w:r>
      <w:r>
        <w:rPr>
          <w:noProof/>
          <w:webHidden/>
        </w:rPr>
        <w:fldChar w:fldCharType="begin"/>
      </w:r>
      <w:r>
        <w:rPr>
          <w:noProof/>
          <w:webHidden/>
        </w:rPr>
        <w:instrText> PAGEREF _Toc686707270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"_Toc686707271"</w:instrText>
      </w:r>
      <w:r>
        <w:fldChar w:fldCharType="separate"/>
      </w:r>
      <w:r>
        <w:t>四</w:t>
      </w:r>
      <w:r>
        <w:t xml:space="preserve"> </w:t>
      </w:r>
      <w:r w:rsidRPr="00DB64CE">
        <w:t>实验结果</w:t>
      </w:r>
      <w:r>
        <w:fldChar w:fldCharType="end"/>
      </w:r>
      <w:r>
        <w:rPr>
          <w:noProof/>
          <w:webHidden/>
        </w:rPr>
        <w:tab/>
      </w:r>
      <w:r>
        <w:rPr>
          <w:noProof/>
          <w:webHidden/>
        </w:rPr>
        <w:fldChar w:fldCharType="begin"/>
      </w:r>
      <w:r>
        <w:rPr>
          <w:noProof/>
          <w:webHidden/>
        </w:rPr>
        <w:instrText> PAGEREF _Toc686707271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"_Toc686707272"</w:instrText>
      </w:r>
      <w:r>
        <w:fldChar w:fldCharType="separate"/>
      </w:r>
      <w:r>
        <w:t>五</w:t>
      </w:r>
      <w:r>
        <w:t xml:space="preserve"> </w:t>
      </w:r>
      <w:r w:rsidRPr="00DB64CE">
        <w:t>讨论</w:t>
      </w:r>
      <w:r>
        <w:fldChar w:fldCharType="end"/>
      </w:r>
      <w:r>
        <w:rPr>
          <w:noProof/>
          <w:webHidden/>
        </w:rPr>
        <w:tab/>
      </w:r>
      <w:r>
        <w:rPr>
          <w:noProof/>
          <w:webHidden/>
        </w:rPr>
        <w:fldChar w:fldCharType="begin"/>
      </w:r>
      <w:r>
        <w:rPr>
          <w:noProof/>
          <w:webHidden/>
        </w:rPr>
        <w:instrText> PAGEREF _Toc686707272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"_Toc686707273"</w:instrText>
      </w:r>
      <w:r>
        <w:fldChar w:fldCharType="separate"/>
      </w:r>
      <w:r>
        <w:rPr>
          <w:b/>
        </w:rPr>
        <w:t>第四部分 </w:t>
      </w:r>
      <w:r>
        <w:rPr>
          <w:b/>
        </w:rPr>
        <w:t>HBx</w:t>
      </w:r>
      <w:r w:rsidR="001852F3">
        <w:t xml:space="preserve">通过上调</w:t>
      </w:r>
      <w:r>
        <w:rPr>
          <w:b/>
        </w:rPr>
        <w:t>COX-2</w:t>
      </w:r>
      <w:r w:rsidR="001852F3">
        <w:t xml:space="preserve">水平激活</w:t>
      </w:r>
      <w:r>
        <w:rPr>
          <w:b/>
        </w:rPr>
        <w:t>β-catenin</w:t>
      </w:r>
      <w:r w:rsidR="001852F3">
        <w:t xml:space="preserve">信号转导通</w:t>
      </w:r>
      <w:r>
        <w:fldChar w:fldCharType="end"/>
      </w:r>
      <w:r>
        <w:rPr>
          <w:noProof/>
          <w:webHidden/>
        </w:rPr>
        <w:tab/>
      </w:r>
      <w:r>
        <w:rPr>
          <w:noProof/>
          <w:webHidden/>
        </w:rPr>
        <w:fldChar w:fldCharType="begin"/>
      </w:r>
      <w:r>
        <w:rPr>
          <w:noProof/>
          <w:webHidden/>
        </w:rPr>
        <w:instrText> PAGEREF _Toc686707273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"_Toc686707274"</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_Toc686707274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"_Toc686707275"</w:instrText>
      </w:r>
      <w:r>
        <w:fldChar w:fldCharType="separate"/>
      </w:r>
      <w:r>
        <w:t>二</w:t>
      </w:r>
      <w:r>
        <w:t xml:space="preserve"> </w:t>
      </w:r>
      <w:r w:rsidRPr="00DB64CE">
        <w:t>实验材料与实验仪器</w:t>
      </w:r>
      <w:r>
        <w:fldChar w:fldCharType="end"/>
      </w:r>
      <w:r>
        <w:rPr>
          <w:noProof/>
          <w:webHidden/>
        </w:rPr>
        <w:tab/>
      </w:r>
      <w:r>
        <w:rPr>
          <w:noProof/>
          <w:webHidden/>
        </w:rPr>
        <w:fldChar w:fldCharType="begin"/>
      </w:r>
      <w:r>
        <w:rPr>
          <w:noProof/>
          <w:webHidden/>
        </w:rPr>
        <w:instrText> PAGEREF _Toc686707275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"_Toc686707276"</w:instrText>
      </w:r>
      <w:r>
        <w:fldChar w:fldCharType="separate"/>
      </w:r>
      <w:r>
        <w:t>四</w:t>
      </w:r>
      <w:r>
        <w:t xml:space="preserve"> </w:t>
      </w:r>
      <w:r w:rsidRPr="00DB64CE">
        <w:t>实验结果</w:t>
      </w:r>
      <w:r>
        <w:fldChar w:fldCharType="end"/>
      </w:r>
      <w:r>
        <w:rPr>
          <w:noProof/>
          <w:webHidden/>
        </w:rPr>
        <w:tab/>
      </w:r>
      <w:r>
        <w:rPr>
          <w:noProof/>
          <w:webHidden/>
        </w:rPr>
        <w:fldChar w:fldCharType="begin"/>
      </w:r>
      <w:r>
        <w:rPr>
          <w:noProof/>
          <w:webHidden/>
        </w:rPr>
        <w:instrText> PAGEREF _Toc686707276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"_Toc686707277"</w:instrText>
      </w:r>
      <w:r>
        <w:fldChar w:fldCharType="separate"/>
      </w:r>
      <w:r>
        <w:t>五</w:t>
      </w:r>
      <w:r>
        <w:t xml:space="preserve"> </w:t>
      </w:r>
      <w:r w:rsidRPr="00DB64CE">
        <w:t>讨论</w:t>
      </w:r>
      <w:r>
        <w:fldChar w:fldCharType="end"/>
      </w:r>
      <w:r>
        <w:rPr>
          <w:noProof/>
          <w:webHidden/>
        </w:rPr>
        <w:tab/>
      </w:r>
      <w:r>
        <w:rPr>
          <w:noProof/>
          <w:webHidden/>
        </w:rPr>
        <w:fldChar w:fldCharType="begin"/>
      </w:r>
      <w:r>
        <w:rPr>
          <w:noProof/>
          <w:webHidden/>
        </w:rPr>
        <w:instrText> PAGEREF _Toc686707277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"_Toc686707278"</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_Toc686707278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"_Toc686707279"</w:instrText>
      </w:r>
      <w:r>
        <w:fldChar w:fldCharType="separate"/>
      </w:r>
      <w:r>
        <w:t>参考文献</w:t>
      </w:r>
      <w:r>
        <w:fldChar w:fldCharType="end"/>
      </w:r>
      <w:r>
        <w:rPr>
          <w:noProof/>
          <w:webHidden/>
        </w:rPr>
        <w:tab/>
      </w:r>
      <w:r>
        <w:rPr>
          <w:noProof/>
          <w:webHidden/>
        </w:rPr>
        <w:fldChar w:fldCharType="begin"/>
      </w:r>
      <w:r>
        <w:rPr>
          <w:noProof/>
          <w:webHidden/>
        </w:rPr>
        <w:instrText> PAGEREF _Toc686707279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"_Toc686707280"</w:instrText>
      </w:r>
      <w:r>
        <w:fldChar w:fldCharType="separate"/>
      </w:r>
      <w:r>
        <w:t>参考文献：</w:t>
      </w:r>
      <w:r>
        <w:fldChar w:fldCharType="end"/>
      </w:r>
      <w:r>
        <w:rPr>
          <w:noProof/>
          <w:webHidden/>
        </w:rPr>
        <w:tab/>
      </w:r>
      <w:r>
        <w:rPr>
          <w:noProof/>
          <w:webHidden/>
        </w:rPr>
        <w:fldChar w:fldCharType="begin"/>
      </w:r>
      <w:r>
        <w:rPr>
          <w:noProof/>
          <w:webHidden/>
        </w:rPr>
        <w:instrText> PAGEREF _Toc686707280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pgSz w:w="11906" w:h="16838" w:code="9"/>
          <w:pgMar w:top="1418" w:right="1134" w:bottom="1134" w:left="1418" w:header="851" w:footer="907" w:gutter="0"/>
          <w:pgNumType w:fmt="upperRoman" w:start="1"/>
          <w:cols w:space="720"/>
          <w:titlePg/>
          <w:docGrid w:type="lines" w:linePitch="326"/>
        </w:sectPr>
        <w:topLinePunct/>
      </w:pPr>
    </w:p>
    <w:p w:rsidR="0018722C">
      <w:pPr>
        <w:topLinePunct/>
      </w:pPr>
      <w:r>
        <w:t>①</w:t>
      </w:r>
      <w:r w:rsidR="001852F3">
        <w:t xml:space="preserve">取</w:t>
      </w:r>
      <w:r>
        <w:t>1.2ml</w:t>
      </w:r>
      <w:r/>
      <w:r w:rsidR="001852F3">
        <w:t xml:space="preserve">蛋白标准配制液加入到一管蛋白标准</w:t>
      </w:r>
      <w:r>
        <w:t>(</w:t>
      </w:r>
      <w:r>
        <w:t xml:space="preserve">30mg BSA</w:t>
      </w:r>
      <w:r>
        <w:t>)</w:t>
      </w:r>
      <w:r>
        <w:t>中，充分溶解</w:t>
      </w:r>
      <w:r>
        <w:t>后配制成</w:t>
      </w:r>
      <w:r>
        <w:t>25mg</w:t>
      </w:r>
      <w:r>
        <w:t>/</w:t>
      </w:r>
      <w:r>
        <w:t>ml</w:t>
      </w:r>
      <w:r/>
      <w:r w:rsidR="001852F3">
        <w:t xml:space="preserve">的蛋白标准溶液。配制后可立即使用，也可以</w:t>
      </w:r>
      <w:r>
        <w:t>-20℃长期保存。</w:t>
      </w:r>
    </w:p>
    <w:p w:rsidR="0018722C">
      <w:pPr>
        <w:topLinePunct/>
      </w:pPr>
      <w:r>
        <w:t>②</w:t>
      </w:r>
      <w:r w:rsidR="001852F3">
        <w:t xml:space="preserve">取适量</w:t>
      </w:r>
      <w:r w:rsidR="001852F3">
        <w:t xml:space="preserve">25mg</w:t>
      </w:r>
      <w:r>
        <w:t>/</w:t>
      </w:r>
      <w:r>
        <w:t>ml</w:t>
      </w:r>
      <w:r w:rsidR="001852F3">
        <w:t xml:space="preserve">蛋白标准，稀释至终浓度为</w:t>
      </w:r>
      <w:r w:rsidR="001852F3">
        <w:t xml:space="preserve">0</w:t>
      </w:r>
      <w:r>
        <w:t>.</w:t>
      </w:r>
      <w:r>
        <w:t>5mg</w:t>
      </w:r>
      <w:r>
        <w:t>/</w:t>
      </w:r>
      <w:r>
        <w:t>ml。例如取</w:t>
      </w:r>
      <w:r w:rsidR="001852F3">
        <w:t xml:space="preserve">20μl</w:t>
      </w:r>
    </w:p>
    <w:p w:rsidR="0018722C">
      <w:pPr>
        <w:topLinePunct/>
      </w:pPr>
      <w:r>
        <w:t>25mg</w:t>
      </w:r>
      <w:r>
        <w:t>/</w:t>
      </w:r>
      <w:r>
        <w:t>ml</w:t>
      </w:r>
      <w:r/>
      <w:r w:rsidR="001852F3">
        <w:t xml:space="preserve">蛋白标准，加入</w:t>
      </w:r>
      <w:r>
        <w:t>980μl</w:t>
      </w:r>
      <w:r/>
      <w:r w:rsidR="001852F3">
        <w:t xml:space="preserve">稀释液即可配制成</w:t>
      </w:r>
      <w:r>
        <w:t>0</w:t>
      </w:r>
      <w:r>
        <w:t>.</w:t>
      </w:r>
      <w:r>
        <w:t>5mg</w:t>
      </w:r>
      <w:r>
        <w:t>/</w:t>
      </w:r>
      <w:r>
        <w:t>ml</w:t>
      </w:r>
      <w:r/>
      <w:r w:rsidR="001852F3">
        <w:t xml:space="preserve">蛋白标准。蛋白样品</w:t>
      </w:r>
      <w:r>
        <w:t>在什么溶液中，标准品也宜用什么溶液稀释。但是为了简便起见，也可以</w:t>
      </w:r>
      <w:r>
        <w:t>用</w:t>
      </w:r>
    </w:p>
    <w:p w:rsidR="0018722C">
      <w:pPr>
        <w:topLinePunct/>
      </w:pPr>
      <w:r>
        <w:t>0.9%NaCl</w:t>
      </w:r>
      <w:r/>
      <w:r w:rsidR="001852F3">
        <w:t xml:space="preserve">或</w:t>
      </w:r>
      <w:r>
        <w:t>PBS</w:t>
      </w:r>
      <w:r/>
      <w:r w:rsidR="001852F3">
        <w:t xml:space="preserve">稀释标准品。稀释后的</w:t>
      </w:r>
      <w:r>
        <w:t>0</w:t>
      </w:r>
      <w:r>
        <w:t>.</w:t>
      </w:r>
      <w:r>
        <w:t>5mg</w:t>
      </w:r>
      <w:r>
        <w:t>/</w:t>
      </w:r>
      <w:r>
        <w:t>ml</w:t>
      </w:r>
      <w:r/>
      <w:r w:rsidR="001852F3">
        <w:t xml:space="preserve">蛋白标准也可以</w:t>
      </w:r>
      <w:r>
        <w:t>-20℃长期保存。</w:t>
      </w:r>
    </w:p>
    <w:p w:rsidR="0018722C">
      <w:pPr>
        <w:topLinePunct/>
      </w:pPr>
      <w:r>
        <w:t>③</w:t>
      </w:r>
      <w:r w:rsidR="001852F3">
        <w:t xml:space="preserve">根据样品数量，按</w:t>
      </w:r>
      <w:r>
        <w:t>50</w:t>
      </w:r>
      <w:r/>
      <w:r w:rsidR="001852F3">
        <w:t xml:space="preserve">体积</w:t>
      </w:r>
      <w:r>
        <w:t>BCA</w:t>
      </w:r>
      <w:r/>
      <w:r w:rsidR="001852F3">
        <w:t xml:space="preserve">试剂</w:t>
      </w:r>
      <w:r>
        <w:t>A</w:t>
      </w:r>
      <w:r/>
      <w:r w:rsidR="001852F3">
        <w:t xml:space="preserve">加</w:t>
      </w:r>
      <w:r>
        <w:t>1</w:t>
      </w:r>
      <w:r/>
      <w:r w:rsidR="001852F3">
        <w:t xml:space="preserve">体积</w:t>
      </w:r>
      <w:r>
        <w:t>BCA</w:t>
      </w:r>
      <w:r/>
      <w:r w:rsidR="001852F3">
        <w:t xml:space="preserve">试剂</w:t>
      </w:r>
      <w:r>
        <w:t>B</w:t>
      </w:r>
      <w:r>
        <w:t>(</w:t>
      </w:r>
      <w:r>
        <w:t>50:1</w:t>
      </w:r>
      <w:r>
        <w:t>)</w:t>
      </w:r>
      <w:r>
        <w:t>配制适</w:t>
      </w:r>
      <w:r>
        <w:t>量</w:t>
      </w:r>
      <w:r>
        <w:t>BCA</w:t>
      </w:r>
      <w:r/>
      <w:r w:rsidR="001852F3">
        <w:t xml:space="preserve">工作液，充分混匀。例如</w:t>
      </w:r>
      <w:r>
        <w:t>5ml</w:t>
      </w:r>
      <w:r>
        <w:t> </w:t>
      </w:r>
      <w:r>
        <w:t>BCA</w:t>
      </w:r>
      <w:r/>
      <w:r w:rsidR="001852F3">
        <w:t xml:space="preserve">试剂</w:t>
      </w:r>
      <w:r>
        <w:t>A</w:t>
      </w:r>
      <w:r/>
      <w:r w:rsidR="001852F3">
        <w:t xml:space="preserve">加</w:t>
      </w:r>
      <w:r>
        <w:t>100μlBCA</w:t>
      </w:r>
      <w:r/>
      <w:r w:rsidR="001852F3">
        <w:t xml:space="preserve">试剂</w:t>
      </w:r>
      <w:r>
        <w:t>B</w:t>
      </w:r>
      <w:r>
        <w:t>，混匀，配制</w:t>
      </w:r>
      <w:r>
        <w:t>成</w:t>
      </w:r>
      <w:r>
        <w:t>5</w:t>
      </w:r>
      <w:r>
        <w:t>.</w:t>
      </w:r>
      <w:r>
        <w:t>1ml BCA</w:t>
      </w:r>
      <w:r/>
      <w:r w:rsidR="001852F3">
        <w:t xml:space="preserve">工作液。</w:t>
      </w:r>
      <w:r>
        <w:t>BCA</w:t>
      </w:r>
      <w:r/>
      <w:r w:rsidR="001852F3">
        <w:t xml:space="preserve">工作液室温</w:t>
      </w:r>
      <w:r>
        <w:t>24</w:t>
      </w:r>
      <w:r/>
      <w:r w:rsidR="001852F3">
        <w:t xml:space="preserve">小时内稳定。</w:t>
      </w:r>
    </w:p>
    <w:p w:rsidR="0018722C">
      <w:pPr>
        <w:topLinePunct/>
      </w:pPr>
      <w:r>
        <w:t>④</w:t>
      </w:r>
      <w:r w:rsidR="001852F3">
        <w:t xml:space="preserve">将标准品按</w:t>
      </w:r>
      <w:r>
        <w:t>0，1，2，4，8，12，16，20μl</w:t>
      </w:r>
      <w:r/>
      <w:r w:rsidR="001852F3">
        <w:t xml:space="preserve">加到</w:t>
      </w:r>
      <w:r>
        <w:t>96</w:t>
      </w:r>
      <w:r/>
      <w:r w:rsidR="001852F3">
        <w:t xml:space="preserve">孔板的标准品孔中，</w:t>
      </w:r>
      <w:r>
        <w:t>加标准品稀释液补足到</w:t>
      </w:r>
      <w:r>
        <w:t>20μl。</w:t>
      </w:r>
    </w:p>
    <w:p w:rsidR="0018722C">
      <w:pPr>
        <w:topLinePunct/>
      </w:pPr>
      <w:r>
        <w:t>⑤</w:t>
      </w:r>
      <w:r w:rsidR="001852F3">
        <w:t xml:space="preserve">加适当体积样品到</w:t>
      </w:r>
      <w:r w:rsidR="001852F3">
        <w:t xml:space="preserve">96</w:t>
      </w:r>
      <w:r w:rsidR="001852F3">
        <w:t xml:space="preserve">孔板的样品孔中，加标准品稀释液到</w:t>
      </w:r>
      <w:r w:rsidR="001852F3">
        <w:t xml:space="preserve">20μl。</w:t>
      </w:r>
    </w:p>
    <w:p w:rsidR="0018722C">
      <w:pPr>
        <w:topLinePunct/>
      </w:pPr>
      <w:r>
        <w:t>⑥</w:t>
      </w:r>
      <w:r w:rsidR="001852F3">
        <w:t xml:space="preserve">各孔加入</w:t>
      </w:r>
      <w:r w:rsidR="001852F3">
        <w:t xml:space="preserve">200μl BCA</w:t>
      </w:r>
      <w:r w:rsidR="001852F3">
        <w:t xml:space="preserve">工作液</w:t>
      </w:r>
      <w:r>
        <w:rPr>
          <w:rFonts w:hint="eastAsia"/>
        </w:rPr>
        <w:t>，</w:t>
      </w:r>
      <w:r>
        <w:t>37℃放置</w:t>
      </w:r>
      <w:r w:rsidR="001852F3">
        <w:t xml:space="preserve">20-30</w:t>
      </w:r>
      <w:r w:rsidR="001852F3">
        <w:t xml:space="preserve">分钟。</w:t>
      </w:r>
    </w:p>
    <w:p w:rsidR="0018722C">
      <w:pPr>
        <w:topLinePunct/>
      </w:pPr>
      <w:r>
        <w:t>注</w:t>
      </w:r>
      <w:r>
        <w:rPr>
          <w:rFonts w:hint="eastAsia"/>
        </w:rPr>
        <w:t>：</w:t>
      </w:r>
      <w:r>
        <w:t>也可以室温放置</w:t>
      </w:r>
      <w:r>
        <w:t>2</w:t>
      </w:r>
      <w:r/>
      <w:r w:rsidR="001852F3">
        <w:t xml:space="preserve">小时，或</w:t>
      </w:r>
      <w:r>
        <w:t>60℃</w:t>
      </w:r>
      <w:r>
        <w:t>放置</w:t>
      </w:r>
      <w:r>
        <w:t>30</w:t>
      </w:r>
      <w:r/>
      <w:r w:rsidR="001852F3">
        <w:t xml:space="preserve">分钟。</w:t>
      </w:r>
      <w:r>
        <w:t>BCA</w:t>
      </w:r>
      <w:r/>
      <w:r w:rsidR="001852F3">
        <w:t xml:space="preserve">法测定蛋白浓度时，</w:t>
      </w:r>
      <w:r w:rsidR="001852F3">
        <w:t xml:space="preserve">颜色会随着时间的延长不断加深。并且显色反应会因温度升高而加快。如果浓度较低，适合在较高温度孵育，或适当延长孵育时间。</w:t>
      </w:r>
    </w:p>
    <w:p w:rsidR="0018722C">
      <w:pPr>
        <w:topLinePunct/>
      </w:pPr>
      <w:r>
        <w:t>⑦</w:t>
      </w:r>
      <w:r w:rsidR="001852F3">
        <w:t xml:space="preserve">将</w:t>
      </w:r>
      <w:r>
        <w:t>96</w:t>
      </w:r>
      <w:r/>
      <w:r w:rsidR="001852F3">
        <w:t xml:space="preserve">孔板置于酶标仪，波长</w:t>
      </w:r>
      <w:r>
        <w:t>550nm，进行检测。读取根据标准曲线计算出样品的蛋白浓度。</w:t>
      </w:r>
    </w:p>
    <w:p w:rsidR="0018722C">
      <w:pPr>
        <w:pStyle w:val="cw20"/>
        <w:topLinePunct/>
      </w:pPr>
      <w:r>
        <w:rPr>
          <w:rFonts w:cstheme="minorBidi" w:hAnsiTheme="minorHAnsi" w:eastAsiaTheme="minorHAnsi" w:asciiTheme="minorHAnsi" w:ascii="宋体" w:hAnsi="宋体" w:eastAsia="宋体" w:cs="宋体"/>
          <w:b/>
        </w:rPr>
        <w:t>3.2.2</w:t>
      </w:r>
      <w:r>
        <w:rPr>
          <w:rFonts w:cstheme="minorBidi" w:hAnsiTheme="minorHAnsi" w:eastAsiaTheme="minorHAnsi" w:asciiTheme="minorHAnsi" w:ascii="宋体" w:hAnsi="宋体" w:eastAsia="宋体" w:cs="宋体"/>
          <w:b/>
        </w:rPr>
        <w:t>配置蛋白电泳所需溶液</w:t>
      </w:r>
    </w:p>
    <w:p w:rsidR="0018722C">
      <w:pPr>
        <w:topLinePunct/>
      </w:pPr>
      <w:r>
        <w:t>（</w:t>
      </w:r>
      <w:r>
        <w:t xml:space="preserve">1</w:t>
      </w:r>
      <w:r>
        <w:t>）</w:t>
      </w:r>
      <w:r w:rsidR="001852F3">
        <w:t xml:space="preserve">30%</w:t>
      </w:r>
      <w:r>
        <w:t>聚丙烯酰胺：</w:t>
      </w:r>
      <w:r>
        <w:t>14.55g</w:t>
      </w:r>
      <w:r/>
      <w:r w:rsidR="001852F3">
        <w:t xml:space="preserve">丙烯酰胺，</w:t>
      </w:r>
      <w:r>
        <w:t>0.45g</w:t>
      </w:r>
      <w:r/>
      <w:r w:rsidR="001852F3">
        <w:t xml:space="preserve">甲叉双丙烯酰胺，</w:t>
      </w:r>
      <w:r>
        <w:t>20ml</w:t>
      </w:r>
      <w:r/>
      <w:r w:rsidR="001852F3">
        <w:t xml:space="preserve">双蒸</w:t>
      </w:r>
      <w:r>
        <w:t>水，混匀，搅拌后加水定容至</w:t>
      </w:r>
      <w:r>
        <w:t>50ml，</w:t>
      </w:r>
      <w:r>
        <w:t>装于棕色瓶中放置</w:t>
      </w:r>
      <w:r>
        <w:t>4℃冰箱保存备用。</w:t>
      </w:r>
    </w:p>
    <w:p w:rsidR="0018722C">
      <w:pPr>
        <w:topLinePunct/>
      </w:pPr>
      <w:r>
        <w:t>（</w:t>
      </w:r>
      <w:r>
        <w:t>2</w:t>
      </w:r>
      <w:r>
        <w:t>）</w:t>
      </w:r>
      <w:r>
        <w:t>10%过硫酸铵</w:t>
      </w:r>
      <w:r>
        <w:t>（</w:t>
      </w:r>
      <w:r>
        <w:t>APS</w:t>
      </w:r>
      <w:r>
        <w:t>）</w:t>
      </w:r>
      <w:r>
        <w:t>：0.1g</w:t>
      </w:r>
      <w:r w:rsidRPr="00000000">
        <w:tab/>
        <w:t>APS，1ml</w:t>
      </w:r>
      <w:r/>
      <w:r>
        <w:t>双蒸水，混匀，4℃冰箱保存。</w:t>
      </w:r>
    </w:p>
    <w:p w:rsidR="0018722C">
      <w:pPr>
        <w:topLinePunct/>
      </w:pPr>
      <w:r>
        <w:t>（</w:t>
      </w:r>
      <w:r>
        <w:t xml:space="preserve">3</w:t>
      </w:r>
      <w:r>
        <w:t>）</w:t>
      </w:r>
      <w:r>
        <w:t>1.5M Tris</w:t>
      </w:r>
      <w:r>
        <w:t>²</w:t>
      </w:r>
      <w:r>
        <w:t>HCl</w:t>
      </w:r>
      <w:r>
        <w:t>(</w:t>
      </w:r>
      <w:r>
        <w:t>pH8.8</w:t>
      </w:r>
      <w:r>
        <w:rPr>
          <w:spacing w:val="-60"/>
        </w:rPr>
        <w:t>)</w:t>
      </w:r>
      <w:r>
        <w:t>：45.43g Tris</w:t>
      </w:r>
      <w:r>
        <w:t>²</w:t>
      </w:r>
      <w:r>
        <w:t>HCl</w:t>
      </w:r>
      <w:r>
        <w:t xml:space="preserve">, </w:t>
      </w:r>
      <w:r>
        <w:t>200ml</w:t>
      </w:r>
      <w:r/>
      <w:r w:rsidR="001852F3">
        <w:t xml:space="preserve">双蒸水，使用浓</w:t>
      </w:r>
      <w:r>
        <w:t>盐酸将</w:t>
      </w:r>
      <w:r>
        <w:t>pH</w:t>
      </w:r>
      <w:r/>
      <w:r w:rsidR="001852F3">
        <w:t xml:space="preserve">值调至</w:t>
      </w:r>
      <w:r>
        <w:t>8</w:t>
      </w:r>
      <w:r>
        <w:t>.</w:t>
      </w:r>
      <w:r>
        <w:t>8，</w:t>
      </w:r>
      <w:r>
        <w:t>最后定容至</w:t>
      </w:r>
      <w:r>
        <w:t>250ml，室温保存。</w:t>
      </w:r>
    </w:p>
    <w:p w:rsidR="0018722C">
      <w:pPr>
        <w:topLinePunct/>
      </w:pPr>
      <w:r>
        <w:t>（</w:t>
      </w:r>
      <w:r>
        <w:t xml:space="preserve">4</w:t>
      </w:r>
      <w:r>
        <w:t>）</w:t>
      </w:r>
      <w:r>
        <w:t>1M Tris</w:t>
      </w:r>
      <w:r>
        <w:t>²</w:t>
      </w:r>
      <w:r>
        <w:t>HCl</w:t>
      </w:r>
      <w:r>
        <w:t>(</w:t>
      </w:r>
      <w:r>
        <w:t>pH6.8</w:t>
      </w:r>
      <w:r>
        <w:rPr>
          <w:spacing w:val="-60"/>
        </w:rPr>
        <w:t>)</w:t>
      </w:r>
      <w:r>
        <w:t>：30.29g Tris</w:t>
      </w:r>
      <w:r>
        <w:t>²</w:t>
      </w:r>
      <w:r>
        <w:t>HCl</w:t>
      </w:r>
      <w:r>
        <w:t xml:space="preserve">, </w:t>
      </w:r>
      <w:r>
        <w:t>200ml</w:t>
      </w:r>
      <w:r/>
      <w:r w:rsidR="001852F3">
        <w:t xml:space="preserve">双蒸水，最后使用</w:t>
      </w:r>
      <w:r>
        <w:t>浓盐酸将</w:t>
      </w:r>
      <w:r>
        <w:t>pH</w:t>
      </w:r>
      <w:r/>
      <w:r w:rsidR="001852F3">
        <w:t xml:space="preserve">调至</w:t>
      </w:r>
      <w:r>
        <w:t>6</w:t>
      </w:r>
      <w:r>
        <w:t>.</w:t>
      </w:r>
      <w:r>
        <w:t>8，</w:t>
      </w:r>
      <w:r>
        <w:t>最后定容至</w:t>
      </w:r>
      <w:r>
        <w:t>250ml，室温保存。</w:t>
      </w:r>
    </w:p>
    <w:p w:rsidR="0018722C">
      <w:pPr>
        <w:topLinePunct/>
      </w:pPr>
      <w:r>
        <w:t>（</w:t>
      </w:r>
      <w:r>
        <w:t xml:space="preserve">5</w:t>
      </w:r>
      <w:r>
        <w:t>）</w:t>
      </w:r>
      <w:r>
        <w:t>10%SDS</w:t>
      </w:r>
      <w:r>
        <w:t xml:space="preserve">: </w:t>
      </w:r>
      <w:r>
        <w:t>10g SDS</w:t>
      </w:r>
      <w:r>
        <w:t xml:space="preserve">, </w:t>
      </w:r>
      <w:r>
        <w:t>200ml</w:t>
      </w:r>
      <w:r w:rsidR="001852F3">
        <w:t xml:space="preserve">双蒸水，50℃水浴溶解，室温保存，使用前需再次水浴溶解混匀。</w:t>
      </w:r>
    </w:p>
    <w:p w:rsidR="0018722C">
      <w:pPr>
        <w:topLinePunct/>
      </w:pPr>
      <w:r>
        <w:t>（</w:t>
      </w:r>
      <w:r>
        <w:t xml:space="preserve">6</w:t>
      </w:r>
      <w:r>
        <w:t>）</w:t>
      </w:r>
      <w:r>
        <w:t>1M Tris</w:t>
      </w:r>
      <w:r>
        <w:t>²</w:t>
      </w:r>
      <w:r>
        <w:t>HCl</w:t>
      </w:r>
      <w:r>
        <w:t>(</w:t>
      </w:r>
      <w:r>
        <w:t>pH7.5</w:t>
      </w:r>
      <w:r>
        <w:rPr>
          <w:spacing w:val="-60"/>
        </w:rPr>
        <w:t>)</w:t>
      </w:r>
      <w:r>
        <w:t>：30.29g Tris</w:t>
      </w:r>
      <w:r>
        <w:t>²</w:t>
      </w:r>
      <w:r>
        <w:t>HCl</w:t>
      </w:r>
      <w:r>
        <w:t xml:space="preserve">, </w:t>
      </w:r>
      <w:r>
        <w:t>200ml</w:t>
      </w:r>
      <w:r/>
      <w:r w:rsidR="001852F3">
        <w:t xml:space="preserve">双蒸水，使用浓盐</w:t>
      </w:r>
      <w:r>
        <w:t>酸将</w:t>
      </w:r>
      <w:r>
        <w:t>pH</w:t>
      </w:r>
      <w:r/>
      <w:r w:rsidR="001852F3">
        <w:t xml:space="preserve">调至</w:t>
      </w:r>
      <w:r>
        <w:t>7</w:t>
      </w:r>
      <w:r>
        <w:t>.</w:t>
      </w:r>
      <w:r>
        <w:t>5，</w:t>
      </w:r>
      <w:r>
        <w:t>定容至</w:t>
      </w:r>
      <w:r>
        <w:t>250ml，室温保存。</w:t>
      </w:r>
    </w:p>
    <w:p w:rsidR="0018722C">
      <w:pPr>
        <w:topLinePunct/>
      </w:pPr>
      <w:r>
        <w:t>（</w:t>
      </w:r>
      <w:r>
        <w:t>7</w:t>
      </w:r>
      <w:r>
        <w:t>）</w:t>
      </w:r>
      <w:r>
        <w:t>TBS</w:t>
      </w:r>
      <w:r/>
      <w:r w:rsidR="001852F3">
        <w:t xml:space="preserve">溶液：</w:t>
      </w:r>
      <w:r>
        <w:t>1M Tris²HCl</w:t>
      </w:r>
      <w:r>
        <w:t>(</w:t>
      </w:r>
      <w:r>
        <w:t>pH7.5</w:t>
      </w:r>
      <w:r>
        <w:t>)</w:t>
      </w:r>
      <w:r w:rsidR="004B696B">
        <w:t xml:space="preserve"> </w:t>
      </w:r>
      <w:r>
        <w:t>10ml，8.8g</w:t>
      </w:r>
      <w:r/>
      <w:r w:rsidR="001852F3">
        <w:t xml:space="preserve">氯化钠，加水至</w:t>
      </w:r>
      <w:r>
        <w:t>1000ml。</w:t>
      </w:r>
    </w:p>
    <w:p w:rsidR="0018722C">
      <w:pPr>
        <w:topLinePunct/>
      </w:pPr>
      <w:r>
        <w:t>（</w:t>
      </w:r>
      <w:r>
        <w:t xml:space="preserve">8</w:t>
      </w:r>
      <w:r>
        <w:t>）</w:t>
      </w:r>
      <w:r>
        <w:t>20%Tween</w:t>
      </w:r>
      <w:r>
        <w:t xml:space="preserve">: </w:t>
      </w:r>
      <w:r>
        <w:t>Tween 20ml，加水定容至</w:t>
      </w:r>
      <w:r w:rsidR="001852F3">
        <w:t xml:space="preserve">100ml，混匀，4℃冰箱保存。</w:t>
      </w:r>
    </w:p>
    <w:p w:rsidR="0018722C">
      <w:pPr>
        <w:topLinePunct/>
      </w:pPr>
      <w:r>
        <w:t>（</w:t>
      </w:r>
      <w:r>
        <w:t xml:space="preserve">9</w:t>
      </w:r>
      <w:r>
        <w:t>）</w:t>
      </w:r>
      <w:r>
        <w:t>TBST</w:t>
      </w:r>
      <w:r w:rsidR="001852F3">
        <w:t xml:space="preserve">溶液：100ml</w:t>
      </w:r>
      <w:r w:rsidR="001852F3">
        <w:t xml:space="preserve">的</w:t>
      </w:r>
      <w:r w:rsidR="001852F3">
        <w:t xml:space="preserve">TBS</w:t>
      </w:r>
      <w:r w:rsidR="001852F3">
        <w:t xml:space="preserve">溶液，</w:t>
      </w:r>
      <w:r w:rsidR="001852F3">
        <w:t xml:space="preserve">238μl</w:t>
      </w:r>
      <w:r w:rsidR="001852F3">
        <w:t xml:space="preserve">的</w:t>
      </w:r>
      <w:r w:rsidR="001852F3">
        <w:t xml:space="preserve">20%Tween，现配现用。</w:t>
      </w:r>
    </w:p>
    <w:p w:rsidR="0018722C">
      <w:pPr>
        <w:topLinePunct/>
      </w:pPr>
      <w:r>
        <w:t>（</w:t>
      </w:r>
      <w:r>
        <w:t xml:space="preserve">10</w:t>
      </w:r>
      <w:r>
        <w:t>）</w:t>
      </w:r>
      <w:r>
        <w:t>5³电泳液：15g</w:t>
      </w:r>
      <w:r>
        <w:t> </w:t>
      </w:r>
      <w:r>
        <w:t>Tris²HCl</w:t>
      </w:r>
      <w:r>
        <w:t xml:space="preserve">; </w:t>
      </w:r>
      <w:r>
        <w:t>72g</w:t>
      </w:r>
      <w:r/>
      <w:r w:rsidR="001852F3">
        <w:t xml:space="preserve">甘氨酸；</w:t>
      </w:r>
      <w:r>
        <w:t>5g</w:t>
      </w:r>
      <w:r>
        <w:t> </w:t>
      </w:r>
      <w:r>
        <w:t>SDS；加双蒸水定容至</w:t>
      </w:r>
    </w:p>
    <w:p w:rsidR="0018722C">
      <w:pPr>
        <w:topLinePunct/>
      </w:pPr>
      <w:r>
        <w:t>1000ml，4℃冰箱保存备用，在使用时稀释</w:t>
      </w:r>
      <w:r w:rsidR="001852F3">
        <w:t xml:space="preserve">5</w:t>
      </w:r>
      <w:r w:rsidR="001852F3">
        <w:t xml:space="preserve">倍。</w:t>
      </w:r>
    </w:p>
    <w:p w:rsidR="0018722C">
      <w:pPr>
        <w:topLinePunct/>
      </w:pPr>
      <w:r>
        <w:t>（</w:t>
      </w:r>
      <w:r>
        <w:t xml:space="preserve">11</w:t>
      </w:r>
      <w:r>
        <w:t>）</w:t>
      </w:r>
      <w:r>
        <w:t>配制</w:t>
      </w:r>
      <w:r w:rsidR="001852F3">
        <w:t xml:space="preserve">1³转移缓冲液：</w:t>
      </w:r>
      <w:r w:rsidR="001852F3">
        <w:t xml:space="preserve">15</w:t>
      </w:r>
      <w:r>
        <w:t>.</w:t>
      </w:r>
      <w:r>
        <w:t>14g</w:t>
      </w:r>
      <w:r w:rsidR="001852F3">
        <w:t xml:space="preserve">的</w:t>
      </w:r>
      <w:r w:rsidR="001852F3">
        <w:t xml:space="preserve">Tris</w:t>
      </w:r>
      <w:r w:rsidR="001852F3">
        <w:t xml:space="preserve">碱，72.07g</w:t>
      </w:r>
      <w:r w:rsidR="001852F3">
        <w:t xml:space="preserve">的甘氨酸</w:t>
      </w:r>
      <w:r w:rsidR="001852F3">
        <w:t xml:space="preserve">，甲醇1L，加水定容至</w:t>
      </w:r>
      <w:r w:rsidR="001852F3">
        <w:t xml:space="preserve">5L。</w:t>
      </w:r>
    </w:p>
    <w:p w:rsidR="0018722C">
      <w:pPr>
        <w:topLinePunct/>
      </w:pPr>
      <w:r>
        <w:t>（</w:t>
      </w:r>
      <w:r>
        <w:t xml:space="preserve">12</w:t>
      </w:r>
      <w:r>
        <w:t>）</w:t>
      </w:r>
      <w:r>
        <w:t>5%脱脂奶粉：0.5g</w:t>
      </w:r>
      <w:r w:rsidR="001852F3">
        <w:t xml:space="preserve">的脱脂奶粉，10ml</w:t>
      </w:r>
      <w:r w:rsidR="001852F3">
        <w:t xml:space="preserve">的</w:t>
      </w:r>
      <w:r w:rsidR="001852F3">
        <w:t xml:space="preserve">1³TBST。</w:t>
      </w:r>
    </w:p>
    <w:p w:rsidR="0018722C">
      <w:pPr>
        <w:pStyle w:val="cw20"/>
        <w:topLinePunct/>
      </w:pPr>
      <w:r>
        <w:rPr>
          <w:rFonts w:cstheme="minorBidi" w:hAnsiTheme="minorHAnsi" w:eastAsiaTheme="minorHAnsi" w:asciiTheme="minorHAnsi" w:ascii="宋体" w:hAnsi="宋体" w:eastAsia="宋体" w:cs="宋体"/>
          <w:b/>
        </w:rPr>
        <w:t>3.2.3</w:t>
      </w:r>
      <w:r>
        <w:rPr>
          <w:rFonts w:cstheme="minorBidi" w:hAnsiTheme="minorHAnsi" w:eastAsiaTheme="minorHAnsi" w:asciiTheme="minorHAnsi" w:ascii="宋体" w:hAnsi="宋体" w:eastAsia="宋体" w:cs="宋体"/>
          <w:b/>
        </w:rPr>
        <w:t>配置分离胶和积层胶</w:t>
      </w:r>
    </w:p>
    <w:tbl>
      <w:tblPr>
        <w:tblW w:w="0" w:type="auto"/>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7"/>
        <w:gridCol w:w="1640"/>
        <w:gridCol w:w="1303"/>
      </w:tblGrid>
      <w:tr>
        <w:trPr>
          <w:trHeight w:val="340" w:hRule="atLeast"/>
        </w:trPr>
        <w:tc>
          <w:tcPr>
            <w:tcW w:w="3857" w:type="dxa"/>
          </w:tcPr>
          <w:p w:rsidR="0018722C">
            <w:pPr>
              <w:topLinePunct/>
              <w:ind w:leftChars="0" w:left="0" w:rightChars="0" w:right="0" w:firstLineChars="0" w:firstLine="0"/>
              <w:spacing w:line="240" w:lineRule="atLeast"/>
            </w:pPr>
            <w:r>
              <w:t>分离胶</w:t>
            </w:r>
            <w:r>
              <w:t>（</w:t>
            </w:r>
            <w:r>
              <w:t>两块胶 10ml</w:t>
            </w:r>
            <w:r>
              <w:t>）</w:t>
            </w:r>
          </w:p>
        </w:tc>
        <w:tc>
          <w:tcPr>
            <w:tcW w:w="1640" w:type="dxa"/>
          </w:tcPr>
          <w:p w:rsidR="0018722C">
            <w:pPr>
              <w:topLinePunct/>
              <w:ind w:leftChars="0" w:left="0" w:rightChars="0" w:right="0" w:firstLineChars="0" w:firstLine="0"/>
              <w:spacing w:line="240" w:lineRule="atLeast"/>
            </w:pPr>
            <w:r>
              <w:t>10％</w:t>
            </w:r>
          </w:p>
        </w:tc>
        <w:tc>
          <w:tcPr>
            <w:tcW w:w="1303" w:type="dxa"/>
          </w:tcPr>
          <w:p w:rsidR="0018722C">
            <w:pPr>
              <w:topLinePunct/>
              <w:ind w:leftChars="0" w:left="0" w:rightChars="0" w:right="0" w:firstLineChars="0" w:firstLine="0"/>
              <w:spacing w:line="240" w:lineRule="atLeast"/>
            </w:pPr>
            <w:r>
              <w:t>12%</w:t>
            </w:r>
          </w:p>
        </w:tc>
      </w:tr>
      <w:tr>
        <w:trPr>
          <w:trHeight w:val="460" w:hRule="atLeast"/>
        </w:trPr>
        <w:tc>
          <w:tcPr>
            <w:tcW w:w="3857" w:type="dxa"/>
          </w:tcPr>
          <w:p w:rsidR="0018722C">
            <w:pPr>
              <w:topLinePunct/>
              <w:ind w:leftChars="0" w:left="0" w:rightChars="0" w:right="0" w:firstLineChars="0" w:firstLine="0"/>
              <w:spacing w:line="240" w:lineRule="atLeast"/>
            </w:pPr>
            <w:r>
              <w:t>ddH2O</w:t>
            </w:r>
          </w:p>
        </w:tc>
        <w:tc>
          <w:tcPr>
            <w:tcW w:w="1640" w:type="dxa"/>
          </w:tcPr>
          <w:p w:rsidR="0018722C">
            <w:pPr>
              <w:topLinePunct/>
              <w:ind w:leftChars="0" w:left="0" w:rightChars="0" w:right="0" w:firstLineChars="0" w:firstLine="0"/>
              <w:spacing w:line="240" w:lineRule="atLeast"/>
            </w:pPr>
            <w:r>
              <w:t>5.385ml</w:t>
            </w:r>
          </w:p>
        </w:tc>
        <w:tc>
          <w:tcPr>
            <w:tcW w:w="1303" w:type="dxa"/>
          </w:tcPr>
          <w:p w:rsidR="0018722C">
            <w:pPr>
              <w:topLinePunct/>
              <w:ind w:leftChars="0" w:left="0" w:rightChars="0" w:right="0" w:firstLineChars="0" w:firstLine="0"/>
              <w:spacing w:line="240" w:lineRule="atLeast"/>
            </w:pPr>
            <w:r>
              <w:t>4.2ml</w:t>
            </w:r>
          </w:p>
        </w:tc>
      </w:tr>
      <w:tr>
        <w:trPr>
          <w:trHeight w:val="460" w:hRule="atLeast"/>
        </w:trPr>
        <w:tc>
          <w:tcPr>
            <w:tcW w:w="3857" w:type="dxa"/>
          </w:tcPr>
          <w:p w:rsidR="0018722C">
            <w:pPr>
              <w:topLinePunct/>
              <w:ind w:leftChars="0" w:left="0" w:rightChars="0" w:right="0" w:firstLineChars="0" w:firstLine="0"/>
              <w:spacing w:line="240" w:lineRule="atLeast"/>
            </w:pPr>
            <w:r>
              <w:t>40％Acr</w:t>
            </w:r>
            <w:r>
              <w:t>/</w:t>
            </w:r>
            <w:r>
              <w:t>Bic</w:t>
            </w:r>
            <w:r>
              <w:t>(</w:t>
            </w:r>
            <w:r>
              <w:t>37.5</w:t>
            </w:r>
            <w:r>
              <w:t xml:space="preserve">: </w:t>
            </w:r>
            <w:r>
              <w:t>1</w:t>
            </w:r>
            <w:r>
              <w:t>)</w:t>
            </w:r>
          </w:p>
        </w:tc>
        <w:tc>
          <w:tcPr>
            <w:tcW w:w="1640" w:type="dxa"/>
          </w:tcPr>
          <w:p w:rsidR="0018722C">
            <w:pPr>
              <w:topLinePunct/>
              <w:ind w:leftChars="0" w:left="0" w:rightChars="0" w:right="0" w:firstLineChars="0" w:firstLine="0"/>
              <w:spacing w:line="240" w:lineRule="atLeast"/>
            </w:pPr>
            <w:r>
              <w:t>3.195ml</w:t>
            </w:r>
          </w:p>
        </w:tc>
        <w:tc>
          <w:tcPr>
            <w:tcW w:w="1303" w:type="dxa"/>
          </w:tcPr>
          <w:p w:rsidR="0018722C">
            <w:pPr>
              <w:topLinePunct/>
              <w:ind w:leftChars="0" w:left="0" w:rightChars="0" w:right="0" w:firstLineChars="0" w:firstLine="0"/>
              <w:spacing w:line="240" w:lineRule="atLeast"/>
            </w:pPr>
            <w:r>
              <w:t>3 ml</w:t>
            </w:r>
          </w:p>
        </w:tc>
      </w:tr>
      <w:tr>
        <w:trPr>
          <w:trHeight w:val="460" w:hRule="atLeast"/>
        </w:trPr>
        <w:tc>
          <w:tcPr>
            <w:tcW w:w="3857" w:type="dxa"/>
          </w:tcPr>
          <w:p w:rsidR="0018722C">
            <w:pPr>
              <w:topLinePunct/>
              <w:ind w:leftChars="0" w:left="0" w:rightChars="0" w:right="0" w:firstLineChars="0" w:firstLine="0"/>
              <w:spacing w:line="240" w:lineRule="atLeast"/>
            </w:pPr>
            <w:r>
              <w:t>1.5</w:t>
            </w:r>
            <w:r>
              <w:t>M</w:t>
            </w:r>
            <w:r>
              <w:t>ol</w:t>
            </w:r>
            <w:r>
              <w:t>/</w:t>
            </w:r>
            <w:r>
              <w:t>L Tris²HCl</w:t>
            </w:r>
            <w:r>
              <w:rPr>
                <w:w w:val="105"/>
              </w:rPr>
              <w:t>(</w:t>
            </w:r>
            <w:r>
              <w:t>pH8.8</w:t>
            </w:r>
            <w:r>
              <w:rPr>
                <w:w w:val="105"/>
              </w:rPr>
              <w:t>)</w:t>
            </w:r>
          </w:p>
        </w:tc>
        <w:tc>
          <w:tcPr>
            <w:tcW w:w="1640" w:type="dxa"/>
          </w:tcPr>
          <w:p w:rsidR="0018722C">
            <w:pPr>
              <w:topLinePunct/>
              <w:ind w:leftChars="0" w:left="0" w:rightChars="0" w:right="0" w:firstLineChars="0" w:firstLine="0"/>
              <w:spacing w:line="240" w:lineRule="atLeast"/>
            </w:pPr>
            <w:r>
              <w:t>2.94ml</w:t>
            </w:r>
          </w:p>
        </w:tc>
        <w:tc>
          <w:tcPr>
            <w:tcW w:w="1303" w:type="dxa"/>
          </w:tcPr>
          <w:p w:rsidR="0018722C">
            <w:pPr>
              <w:topLinePunct/>
              <w:ind w:leftChars="0" w:left="0" w:rightChars="0" w:right="0" w:firstLineChars="0" w:firstLine="0"/>
              <w:spacing w:line="240" w:lineRule="atLeast"/>
            </w:pPr>
            <w:r>
              <w:t>2.6ml</w:t>
            </w:r>
          </w:p>
        </w:tc>
      </w:tr>
      <w:tr>
        <w:trPr>
          <w:trHeight w:val="460" w:hRule="atLeast"/>
        </w:trPr>
        <w:tc>
          <w:tcPr>
            <w:tcW w:w="3857" w:type="dxa"/>
          </w:tcPr>
          <w:p w:rsidR="0018722C">
            <w:pPr>
              <w:topLinePunct/>
              <w:ind w:leftChars="0" w:left="0" w:rightChars="0" w:right="0" w:firstLineChars="0" w:firstLine="0"/>
              <w:spacing w:line="240" w:lineRule="atLeast"/>
            </w:pPr>
            <w:r>
              <w:t>10％SDS</w:t>
            </w:r>
          </w:p>
        </w:tc>
        <w:tc>
          <w:tcPr>
            <w:tcW w:w="1640" w:type="dxa"/>
          </w:tcPr>
          <w:p w:rsidR="0018722C">
            <w:pPr>
              <w:topLinePunct/>
              <w:ind w:leftChars="0" w:left="0" w:rightChars="0" w:right="0" w:firstLineChars="0" w:firstLine="0"/>
              <w:spacing w:line="240" w:lineRule="atLeast"/>
            </w:pPr>
            <w:r>
              <w:t>114 μl</w:t>
            </w:r>
          </w:p>
        </w:tc>
        <w:tc>
          <w:tcPr>
            <w:tcW w:w="1303" w:type="dxa"/>
          </w:tcPr>
          <w:p w:rsidR="0018722C">
            <w:pPr>
              <w:topLinePunct/>
              <w:ind w:leftChars="0" w:left="0" w:rightChars="0" w:right="0" w:firstLineChars="0" w:firstLine="0"/>
              <w:spacing w:line="240" w:lineRule="atLeast"/>
            </w:pPr>
            <w:r>
              <w:t>100μl</w:t>
            </w:r>
          </w:p>
        </w:tc>
      </w:tr>
      <w:tr>
        <w:trPr>
          <w:trHeight w:val="460" w:hRule="atLeast"/>
        </w:trPr>
        <w:tc>
          <w:tcPr>
            <w:tcW w:w="3857" w:type="dxa"/>
          </w:tcPr>
          <w:p w:rsidR="0018722C">
            <w:pPr>
              <w:topLinePunct/>
              <w:ind w:leftChars="0" w:left="0" w:rightChars="0" w:right="0" w:firstLineChars="0" w:firstLine="0"/>
              <w:spacing w:line="240" w:lineRule="atLeast"/>
            </w:pPr>
            <w:r>
              <w:t>10%APS</w:t>
            </w:r>
          </w:p>
        </w:tc>
        <w:tc>
          <w:tcPr>
            <w:tcW w:w="1640" w:type="dxa"/>
          </w:tcPr>
          <w:p w:rsidR="0018722C">
            <w:pPr>
              <w:topLinePunct/>
              <w:ind w:leftChars="0" w:left="0" w:rightChars="0" w:right="0" w:firstLineChars="0" w:firstLine="0"/>
              <w:spacing w:line="240" w:lineRule="atLeast"/>
            </w:pPr>
            <w:r>
              <w:t>114 μl</w:t>
            </w:r>
          </w:p>
        </w:tc>
        <w:tc>
          <w:tcPr>
            <w:tcW w:w="1303" w:type="dxa"/>
          </w:tcPr>
          <w:p w:rsidR="0018722C">
            <w:pPr>
              <w:topLinePunct/>
              <w:ind w:leftChars="0" w:left="0" w:rightChars="0" w:right="0" w:firstLineChars="0" w:firstLine="0"/>
              <w:spacing w:line="240" w:lineRule="atLeast"/>
            </w:pPr>
            <w:r>
              <w:t>100μl</w:t>
            </w:r>
          </w:p>
        </w:tc>
      </w:tr>
      <w:tr>
        <w:trPr>
          <w:trHeight w:val="340" w:hRule="atLeast"/>
        </w:trPr>
        <w:tc>
          <w:tcPr>
            <w:tcW w:w="3857" w:type="dxa"/>
          </w:tcPr>
          <w:p w:rsidR="0018722C">
            <w:pPr>
              <w:topLinePunct/>
              <w:ind w:leftChars="0" w:left="0" w:rightChars="0" w:right="0" w:firstLineChars="0" w:firstLine="0"/>
              <w:spacing w:line="240" w:lineRule="atLeast"/>
            </w:pPr>
            <w:r>
              <w:t>TEMED</w:t>
            </w:r>
          </w:p>
        </w:tc>
        <w:tc>
          <w:tcPr>
            <w:tcW w:w="1640" w:type="dxa"/>
          </w:tcPr>
          <w:p w:rsidR="0018722C">
            <w:pPr>
              <w:topLinePunct/>
              <w:ind w:leftChars="0" w:left="0" w:rightChars="0" w:right="0" w:firstLineChars="0" w:firstLine="0"/>
              <w:spacing w:line="240" w:lineRule="atLeast"/>
            </w:pPr>
            <w:r>
              <w:t>5.1 μl</w:t>
            </w:r>
          </w:p>
        </w:tc>
        <w:tc>
          <w:tcPr>
            <w:tcW w:w="1303" w:type="dxa"/>
          </w:tcPr>
          <w:p w:rsidR="0018722C">
            <w:pPr>
              <w:topLinePunct/>
              <w:ind w:leftChars="0" w:left="0" w:rightChars="0" w:right="0" w:firstLineChars="0" w:firstLine="0"/>
              <w:spacing w:line="240" w:lineRule="atLeast"/>
            </w:pPr>
            <w:r>
              <w:t>4 μl</w:t>
            </w:r>
          </w:p>
        </w:tc>
      </w:tr>
    </w:tbl>
    <w:p w:rsidR="0018722C">
      <w:pPr>
        <w:pStyle w:val="affa"/>
      </w:pPr>
    </w:p>
    <w:p w:rsidR="0018722C">
      <w:pPr>
        <w:topLinePunct/>
      </w:pPr>
      <w:r>
        <w:t>（</w:t>
      </w:r>
      <w:r>
        <w:t xml:space="preserve">混合，灌胶前加入</w:t>
      </w:r>
      <w:r w:rsidR="001852F3">
        <w:t xml:space="preserve">APS</w:t>
      </w:r>
      <w:r w:rsidR="001852F3">
        <w:t xml:space="preserve">和</w:t>
      </w:r>
      <w:r w:rsidR="001852F3">
        <w:t xml:space="preserve">TEMED</w:t>
      </w:r>
      <w:r>
        <w:t>）</w:t>
      </w:r>
    </w:p>
    <w:p w:rsidR="0018722C">
      <w:pPr>
        <w:topLinePunct/>
      </w:pPr>
      <w:r>
        <w:t>用</w:t>
      </w:r>
      <w:r>
        <w:t>1ml</w:t>
      </w:r>
      <w:r/>
      <w:r w:rsidR="001852F3">
        <w:t xml:space="preserve">枪头将其加入已卡好的两块玻板中用枪头将配制好的溶液缓慢加入到装</w:t>
      </w:r>
      <w:r>
        <w:t>配好的板中至凝胶高度为</w:t>
      </w:r>
      <w:r>
        <w:t>6cm</w:t>
      </w:r>
      <w:r/>
      <w:r w:rsidR="001852F3">
        <w:t xml:space="preserve">左右，液面加到实线下方</w:t>
      </w:r>
      <w:r>
        <w:t>0</w:t>
      </w:r>
      <w:r>
        <w:t>.</w:t>
      </w:r>
      <w:r>
        <w:t>5cm</w:t>
      </w:r>
      <w:r/>
      <w:r w:rsidR="001852F3">
        <w:t xml:space="preserve">处。观察一会分离胶液面没有下降，证明无漏后，在其上加入无水乙醇，盖至玻板交界处，清除气</w:t>
      </w:r>
      <w:r>
        <w:t>泡，室温下放置</w:t>
      </w:r>
      <w:r>
        <w:t>30min</w:t>
      </w:r>
      <w:r/>
      <w:r w:rsidR="001852F3">
        <w:t xml:space="preserve">左右至聚合完全。分离胶凝固后</w:t>
      </w:r>
      <w:r>
        <w:t>（</w:t>
      </w:r>
      <w:r>
        <w:t>有明显的分界线</w:t>
      </w:r>
      <w:r>
        <w:t>）</w:t>
      </w:r>
      <w:r>
        <w:t>，倒出</w:t>
      </w:r>
      <w:r>
        <w:t>无水乙醇，用双蒸水冲洗</w:t>
      </w:r>
      <w:r>
        <w:t>2</w:t>
      </w:r>
      <w:r/>
      <w:r w:rsidR="001852F3">
        <w:t xml:space="preserve">次，滤纸吸干。</w:t>
      </w:r>
    </w:p>
    <w:tbl>
      <w:tblPr>
        <w:tblW w:w="0" w:type="auto"/>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7"/>
        <w:gridCol w:w="1640"/>
        <w:gridCol w:w="1423"/>
      </w:tblGrid>
      <w:tr>
        <w:trPr>
          <w:trHeight w:val="340" w:hRule="atLeast"/>
        </w:trPr>
        <w:tc>
          <w:tcPr>
            <w:tcW w:w="3857" w:type="dxa"/>
          </w:tcPr>
          <w:p w:rsidR="0018722C">
            <w:pPr>
              <w:topLinePunct/>
              <w:ind w:leftChars="0" w:left="0" w:rightChars="0" w:right="0" w:firstLineChars="0" w:firstLine="0"/>
              <w:spacing w:line="240" w:lineRule="atLeast"/>
            </w:pPr>
            <w:r>
              <w:t>5％浓缩胶</w:t>
            </w:r>
            <w:r>
              <w:t>（</w:t>
            </w:r>
            <w:r>
              <w:t>两块胶</w:t>
            </w:r>
            <w:r>
              <w:t>）</w:t>
            </w:r>
          </w:p>
        </w:tc>
        <w:tc>
          <w:tcPr>
            <w:tcW w:w="1640" w:type="dxa"/>
          </w:tcPr>
          <w:p w:rsidR="0018722C">
            <w:pPr>
              <w:topLinePunct/>
              <w:ind w:leftChars="0" w:left="0" w:rightChars="0" w:right="0" w:firstLineChars="0" w:firstLine="0"/>
              <w:spacing w:line="240" w:lineRule="atLeast"/>
            </w:pPr>
            <w:r>
              <w:t>4ml</w:t>
            </w:r>
          </w:p>
        </w:tc>
        <w:tc>
          <w:tcPr>
            <w:tcW w:w="1423" w:type="dxa"/>
          </w:tcPr>
          <w:p w:rsidR="0018722C">
            <w:pPr>
              <w:topLinePunct/>
              <w:ind w:leftChars="0" w:left="0" w:rightChars="0" w:right="0" w:firstLineChars="0" w:firstLine="0"/>
              <w:spacing w:line="240" w:lineRule="atLeast"/>
            </w:pPr>
            <w:r>
              <w:t>5ml</w:t>
            </w:r>
          </w:p>
        </w:tc>
      </w:tr>
      <w:tr>
        <w:trPr>
          <w:trHeight w:val="460" w:hRule="atLeast"/>
        </w:trPr>
        <w:tc>
          <w:tcPr>
            <w:tcW w:w="3857" w:type="dxa"/>
          </w:tcPr>
          <w:p w:rsidR="0018722C">
            <w:pPr>
              <w:topLinePunct/>
              <w:ind w:leftChars="0" w:left="0" w:rightChars="0" w:right="0" w:firstLineChars="0" w:firstLine="0"/>
              <w:spacing w:line="240" w:lineRule="atLeast"/>
            </w:pPr>
            <w:r>
              <w:t>ddH2O</w:t>
            </w:r>
          </w:p>
        </w:tc>
        <w:tc>
          <w:tcPr>
            <w:tcW w:w="1640" w:type="dxa"/>
          </w:tcPr>
          <w:p w:rsidR="0018722C">
            <w:pPr>
              <w:topLinePunct/>
              <w:ind w:leftChars="0" w:left="0" w:rightChars="0" w:right="0" w:firstLineChars="0" w:firstLine="0"/>
              <w:spacing w:line="240" w:lineRule="atLeast"/>
            </w:pPr>
            <w:r>
              <w:t>2.884ml</w:t>
            </w:r>
          </w:p>
        </w:tc>
        <w:tc>
          <w:tcPr>
            <w:tcW w:w="1423" w:type="dxa"/>
          </w:tcPr>
          <w:p w:rsidR="0018722C">
            <w:pPr>
              <w:topLinePunct/>
              <w:ind w:leftChars="0" w:left="0" w:rightChars="0" w:right="0" w:firstLineChars="0" w:firstLine="0"/>
              <w:spacing w:line="240" w:lineRule="atLeast"/>
            </w:pPr>
            <w:r>
              <w:t>3.605ml</w:t>
            </w:r>
          </w:p>
        </w:tc>
      </w:tr>
      <w:tr>
        <w:trPr>
          <w:trHeight w:val="460" w:hRule="atLeast"/>
        </w:trPr>
        <w:tc>
          <w:tcPr>
            <w:tcW w:w="3857" w:type="dxa"/>
          </w:tcPr>
          <w:p w:rsidR="0018722C">
            <w:pPr>
              <w:topLinePunct/>
              <w:ind w:leftChars="0" w:left="0" w:rightChars="0" w:right="0" w:firstLineChars="0" w:firstLine="0"/>
              <w:spacing w:line="240" w:lineRule="atLeast"/>
            </w:pPr>
            <w:r>
              <w:t>40％Acr</w:t>
            </w:r>
            <w:r>
              <w:t>/</w:t>
            </w:r>
            <w:r>
              <w:t>Bic</w:t>
            </w:r>
          </w:p>
        </w:tc>
        <w:tc>
          <w:tcPr>
            <w:tcW w:w="1640" w:type="dxa"/>
          </w:tcPr>
          <w:p w:rsidR="0018722C">
            <w:pPr>
              <w:topLinePunct/>
              <w:ind w:leftChars="0" w:left="0" w:rightChars="0" w:right="0" w:firstLineChars="0" w:firstLine="0"/>
              <w:spacing w:line="240" w:lineRule="atLeast"/>
            </w:pPr>
            <w:r>
              <w:t>0.512ml</w:t>
            </w:r>
          </w:p>
        </w:tc>
        <w:tc>
          <w:tcPr>
            <w:tcW w:w="1423" w:type="dxa"/>
          </w:tcPr>
          <w:p w:rsidR="0018722C">
            <w:pPr>
              <w:topLinePunct/>
              <w:ind w:leftChars="0" w:left="0" w:rightChars="0" w:right="0" w:firstLineChars="0" w:firstLine="0"/>
              <w:spacing w:line="240" w:lineRule="atLeast"/>
            </w:pPr>
            <w:r>
              <w:t>0.64ml</w:t>
            </w:r>
          </w:p>
        </w:tc>
      </w:tr>
      <w:tr>
        <w:trPr>
          <w:trHeight w:val="460" w:hRule="atLeast"/>
        </w:trPr>
        <w:tc>
          <w:tcPr>
            <w:tcW w:w="3857" w:type="dxa"/>
          </w:tcPr>
          <w:p w:rsidR="0018722C">
            <w:pPr>
              <w:topLinePunct/>
              <w:ind w:leftChars="0" w:left="0" w:rightChars="0" w:right="0" w:firstLineChars="0" w:firstLine="0"/>
              <w:spacing w:line="240" w:lineRule="atLeast"/>
            </w:pPr>
            <w:r>
              <w:t>1.5</w:t>
            </w:r>
            <w:r>
              <w:t>M</w:t>
            </w:r>
            <w:r>
              <w:t>ol</w:t>
            </w:r>
            <w:r>
              <w:t>/</w:t>
            </w:r>
            <w:r>
              <w:t>L Tris²HCl</w:t>
            </w:r>
            <w:r>
              <w:rPr>
                <w:w w:val="105"/>
              </w:rPr>
              <w:t>(</w:t>
            </w:r>
            <w:r>
              <w:t>pH6.8</w:t>
            </w:r>
            <w:r>
              <w:rPr>
                <w:w w:val="105"/>
              </w:rPr>
              <w:t>)</w:t>
            </w:r>
          </w:p>
        </w:tc>
        <w:tc>
          <w:tcPr>
            <w:tcW w:w="1640" w:type="dxa"/>
          </w:tcPr>
          <w:p w:rsidR="0018722C">
            <w:pPr>
              <w:topLinePunct/>
              <w:ind w:leftChars="0" w:left="0" w:rightChars="0" w:right="0" w:firstLineChars="0" w:firstLine="0"/>
              <w:spacing w:line="240" w:lineRule="atLeast"/>
            </w:pPr>
            <w:r>
              <w:t>0.520ml</w:t>
            </w:r>
          </w:p>
        </w:tc>
        <w:tc>
          <w:tcPr>
            <w:tcW w:w="1423" w:type="dxa"/>
          </w:tcPr>
          <w:p w:rsidR="0018722C">
            <w:pPr>
              <w:topLinePunct/>
              <w:ind w:leftChars="0" w:left="0" w:rightChars="0" w:right="0" w:firstLineChars="0" w:firstLine="0"/>
              <w:spacing w:line="240" w:lineRule="atLeast"/>
            </w:pPr>
            <w:r>
              <w:t>0.65ml</w:t>
            </w:r>
          </w:p>
        </w:tc>
      </w:tr>
      <w:tr>
        <w:trPr>
          <w:trHeight w:val="460" w:hRule="atLeast"/>
        </w:trPr>
        <w:tc>
          <w:tcPr>
            <w:tcW w:w="3857" w:type="dxa"/>
          </w:tcPr>
          <w:p w:rsidR="0018722C">
            <w:pPr>
              <w:topLinePunct/>
              <w:ind w:leftChars="0" w:left="0" w:rightChars="0" w:right="0" w:firstLineChars="0" w:firstLine="0"/>
              <w:spacing w:line="240" w:lineRule="atLeast"/>
            </w:pPr>
            <w:r>
              <w:t>10％SDS</w:t>
            </w:r>
          </w:p>
        </w:tc>
        <w:tc>
          <w:tcPr>
            <w:tcW w:w="1640" w:type="dxa"/>
          </w:tcPr>
          <w:p w:rsidR="0018722C">
            <w:pPr>
              <w:topLinePunct/>
              <w:ind w:leftChars="0" w:left="0" w:rightChars="0" w:right="0" w:firstLineChars="0" w:firstLine="0"/>
              <w:spacing w:line="240" w:lineRule="atLeast"/>
            </w:pPr>
            <w:r>
              <w:t>40μl</w:t>
            </w:r>
          </w:p>
        </w:tc>
        <w:tc>
          <w:tcPr>
            <w:tcW w:w="1423" w:type="dxa"/>
          </w:tcPr>
          <w:p w:rsidR="0018722C">
            <w:pPr>
              <w:topLinePunct/>
              <w:ind w:leftChars="0" w:left="0" w:rightChars="0" w:right="0" w:firstLineChars="0" w:firstLine="0"/>
              <w:spacing w:line="240" w:lineRule="atLeast"/>
            </w:pPr>
            <w:r>
              <w:t>50μl</w:t>
            </w:r>
          </w:p>
        </w:tc>
      </w:tr>
      <w:tr>
        <w:trPr>
          <w:trHeight w:val="460" w:hRule="atLeast"/>
        </w:trPr>
        <w:tc>
          <w:tcPr>
            <w:tcW w:w="3857" w:type="dxa"/>
          </w:tcPr>
          <w:p w:rsidR="0018722C">
            <w:pPr>
              <w:topLinePunct/>
              <w:ind w:leftChars="0" w:left="0" w:rightChars="0" w:right="0" w:firstLineChars="0" w:firstLine="0"/>
              <w:spacing w:line="240" w:lineRule="atLeast"/>
            </w:pPr>
            <w:r>
              <w:t>10%APS</w:t>
            </w:r>
          </w:p>
        </w:tc>
        <w:tc>
          <w:tcPr>
            <w:tcW w:w="1640" w:type="dxa"/>
          </w:tcPr>
          <w:p w:rsidR="0018722C">
            <w:pPr>
              <w:topLinePunct/>
              <w:ind w:leftChars="0" w:left="0" w:rightChars="0" w:right="0" w:firstLineChars="0" w:firstLine="0"/>
              <w:spacing w:line="240" w:lineRule="atLeast"/>
            </w:pPr>
            <w:r>
              <w:t>40μl</w:t>
            </w:r>
          </w:p>
        </w:tc>
        <w:tc>
          <w:tcPr>
            <w:tcW w:w="1423" w:type="dxa"/>
          </w:tcPr>
          <w:p w:rsidR="0018722C">
            <w:pPr>
              <w:topLinePunct/>
              <w:ind w:leftChars="0" w:left="0" w:rightChars="0" w:right="0" w:firstLineChars="0" w:firstLine="0"/>
              <w:spacing w:line="240" w:lineRule="atLeast"/>
            </w:pPr>
            <w:r>
              <w:t>50μl</w:t>
            </w:r>
          </w:p>
        </w:tc>
      </w:tr>
      <w:tr>
        <w:trPr>
          <w:trHeight w:val="340" w:hRule="atLeast"/>
        </w:trPr>
        <w:tc>
          <w:tcPr>
            <w:tcW w:w="3857" w:type="dxa"/>
          </w:tcPr>
          <w:p w:rsidR="0018722C">
            <w:pPr>
              <w:topLinePunct/>
              <w:ind w:leftChars="0" w:left="0" w:rightChars="0" w:right="0" w:firstLineChars="0" w:firstLine="0"/>
              <w:spacing w:line="240" w:lineRule="atLeast"/>
            </w:pPr>
            <w:r>
              <w:t>TEMED</w:t>
            </w:r>
          </w:p>
        </w:tc>
        <w:tc>
          <w:tcPr>
            <w:tcW w:w="1640" w:type="dxa"/>
          </w:tcPr>
          <w:p w:rsidR="0018722C">
            <w:pPr>
              <w:topLinePunct/>
              <w:ind w:leftChars="0" w:left="0" w:rightChars="0" w:right="0" w:firstLineChars="0" w:firstLine="0"/>
              <w:spacing w:line="240" w:lineRule="atLeast"/>
            </w:pPr>
            <w:r>
              <w:t>4 μl</w:t>
            </w:r>
          </w:p>
        </w:tc>
        <w:tc>
          <w:tcPr>
            <w:tcW w:w="1423" w:type="dxa"/>
          </w:tcPr>
          <w:p w:rsidR="0018722C">
            <w:pPr>
              <w:topLinePunct/>
              <w:ind w:leftChars="0" w:left="0" w:rightChars="0" w:right="0" w:firstLineChars="0" w:firstLine="0"/>
              <w:spacing w:line="240" w:lineRule="atLeast"/>
            </w:pPr>
            <w:r>
              <w:t>5 μl</w:t>
            </w:r>
          </w:p>
        </w:tc>
      </w:tr>
    </w:tbl>
    <w:p w:rsidR="0018722C">
      <w:pPr>
        <w:pStyle w:val="affa"/>
      </w:pPr>
    </w:p>
    <w:p w:rsidR="0018722C">
      <w:pPr>
        <w:topLinePunct/>
      </w:pPr>
      <w:r>
        <w:t>（</w:t>
      </w:r>
      <w:r>
        <w:t xml:space="preserve">混合，灌胶前加入</w:t>
      </w:r>
      <w:r w:rsidR="001852F3">
        <w:t xml:space="preserve">APS</w:t>
      </w:r>
      <w:r w:rsidR="001852F3">
        <w:t xml:space="preserve">和</w:t>
      </w:r>
      <w:r w:rsidR="001852F3">
        <w:t xml:space="preserve">TEMED</w:t>
      </w:r>
      <w:r>
        <w:t>）</w:t>
      </w:r>
    </w:p>
    <w:p w:rsidR="0018722C">
      <w:pPr>
        <w:topLinePunct/>
      </w:pPr>
      <w:r>
        <w:t>如上配制浓缩胶，用</w:t>
      </w:r>
      <w:r>
        <w:t>1ml</w:t>
      </w:r>
      <w:r/>
      <w:r w:rsidR="001852F3">
        <w:t xml:space="preserve">枪头加入浓缩胶</w:t>
      </w:r>
      <w:r>
        <w:t>（</w:t>
      </w:r>
      <w:r>
        <w:t>不能有气泡</w:t>
      </w:r>
      <w:r>
        <w:t>）</w:t>
      </w:r>
      <w:r>
        <w:t>，插入梳子</w:t>
      </w:r>
      <w:r>
        <w:t>（</w:t>
      </w:r>
      <w:r>
        <w:t xml:space="preserve">注意光面，</w:t>
      </w:r>
      <w:r w:rsidR="001852F3">
        <w:t xml:space="preserve">毛面</w:t>
      </w:r>
      <w:r>
        <w:t>）</w:t>
      </w:r>
      <w:r>
        <w:t>，垂直进入，不能有气泡，放置</w:t>
      </w:r>
      <w:r>
        <w:t>50min</w:t>
      </w:r>
      <w:r/>
      <w:r w:rsidR="001852F3">
        <w:t xml:space="preserve">后，可看到分离胶，浓缩胶清晰分界线，晃动支架，平面无改变，说明已凝固。移液枪将浓缩胶加入板中至顶端，</w:t>
      </w:r>
      <w:r w:rsidR="001852F3">
        <w:t>小</w:t>
      </w:r>
    </w:p>
    <w:p w:rsidR="0018722C">
      <w:pPr>
        <w:topLinePunct/>
      </w:pPr>
      <w:r>
        <w:t>心插入梳子，注意不要产生气泡，凝胶聚合</w:t>
      </w:r>
      <w:r w:rsidR="001852F3">
        <w:t xml:space="preserve">30min</w:t>
      </w:r>
      <w:r w:rsidR="001852F3">
        <w:t xml:space="preserve">左右。</w:t>
      </w:r>
    </w:p>
    <w:p w:rsidR="0018722C">
      <w:pPr>
        <w:pStyle w:val="cw20"/>
        <w:topLinePunct/>
      </w:pPr>
      <w:r>
        <w:rPr>
          <w:rFonts w:cstheme="minorBidi" w:hAnsiTheme="minorHAnsi" w:eastAsiaTheme="minorHAnsi" w:asciiTheme="minorHAnsi" w:ascii="宋体" w:hAnsi="宋体" w:eastAsia="宋体" w:cs="宋体"/>
          <w:b/>
        </w:rPr>
        <w:t>3.2.4</w:t>
      </w:r>
      <w:r>
        <w:rPr>
          <w:rFonts w:cstheme="minorBidi" w:hAnsiTheme="minorHAnsi" w:eastAsiaTheme="minorHAnsi" w:asciiTheme="minorHAnsi" w:ascii="宋体" w:hAnsi="宋体" w:eastAsia="宋体" w:cs="宋体"/>
          <w:b/>
        </w:rPr>
        <w:t>样品准备</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配制</w:t>
      </w:r>
      <w:r>
        <w:rPr>
          <w:rFonts w:ascii="宋体" w:hAnsi="宋体" w:eastAsia="宋体" w:hint="eastAsia"/>
        </w:rPr>
        <w:t>5³</w:t>
      </w:r>
      <w:r>
        <w:rPr>
          <w:rFonts w:ascii="宋体" w:hAnsi="宋体" w:eastAsia="宋体" w:hint="eastAsia"/>
        </w:rPr>
        <w:t>上样缓冲液：</w:t>
      </w:r>
      <w:r>
        <w:rPr>
          <w:rFonts w:ascii="宋体" w:hAnsi="宋体" w:eastAsia="宋体" w:hint="eastAsia"/>
        </w:rPr>
        <w:t>1mmol</w:t>
      </w:r>
      <w:r>
        <w:rPr>
          <w:rFonts w:ascii="宋体" w:hAnsi="宋体" w:eastAsia="宋体" w:hint="eastAsia"/>
        </w:rPr>
        <w:t>/</w:t>
      </w:r>
      <w:r>
        <w:rPr>
          <w:rFonts w:ascii="宋体" w:hAnsi="宋体" w:eastAsia="宋体" w:hint="eastAsia"/>
        </w:rPr>
        <w:t>L</w:t>
      </w:r>
      <w:r>
        <w:rPr>
          <w:rFonts w:ascii="宋体" w:hAnsi="宋体" w:eastAsia="宋体" w:hint="eastAsia"/>
        </w:rPr>
        <w:t> </w:t>
      </w:r>
      <w:r>
        <w:rPr>
          <w:rFonts w:ascii="宋体" w:hAnsi="宋体" w:eastAsia="宋体" w:hint="eastAsia"/>
        </w:rPr>
        <w:t>Tris-HCl</w:t>
      </w:r>
      <w:r>
        <w:rPr>
          <w:rFonts w:ascii="宋体" w:hAnsi="宋体" w:eastAsia="宋体" w:hint="eastAsia"/>
          <w:rFonts w:ascii="宋体" w:hAnsi="宋体" w:eastAsia="宋体" w:hint="eastAsia"/>
          <w:spacing w:val="-2"/>
          <w:sz w:val="24"/>
        </w:rPr>
        <w:t>(</w:t>
      </w:r>
      <w:r>
        <w:rPr>
          <w:rFonts w:ascii="宋体" w:hAnsi="宋体" w:eastAsia="宋体" w:hint="eastAsia"/>
          <w:spacing w:val="-2"/>
          <w:sz w:val="24"/>
        </w:rPr>
        <w:t>pH6.8</w:t>
      </w:r>
      <w:r>
        <w:rPr>
          <w:rFonts w:ascii="宋体" w:hAnsi="宋体" w:eastAsia="宋体" w:hint="eastAsia"/>
          <w:rFonts w:ascii="宋体" w:hAnsi="宋体" w:eastAsia="宋体" w:hint="eastAsia"/>
          <w:spacing w:val="-2"/>
          <w:sz w:val="24"/>
        </w:rPr>
        <w:t>)</w:t>
      </w:r>
      <w:r>
        <w:rPr>
          <w:rFonts w:ascii="宋体" w:hAnsi="宋体" w:eastAsia="宋体" w:hint="eastAsia"/>
        </w:rPr>
        <w:t> </w:t>
      </w:r>
      <w:r>
        <w:rPr>
          <w:rFonts w:ascii="宋体" w:hAnsi="宋体" w:eastAsia="宋体" w:hint="eastAsia"/>
        </w:rPr>
        <w:t>0.6mL</w:t>
      </w:r>
      <w:r>
        <w:rPr>
          <w:rFonts w:ascii="宋体" w:hAnsi="宋体" w:eastAsia="宋体" w:hint="eastAsia"/>
        </w:rPr>
        <w:t xml:space="preserve">, </w:t>
      </w:r>
      <w:r>
        <w:rPr>
          <w:rFonts w:ascii="宋体" w:hAnsi="宋体" w:eastAsia="宋体" w:hint="eastAsia"/>
        </w:rPr>
        <w:t>10%SDS</w:t>
      </w:r>
      <w:r>
        <w:rPr>
          <w:rFonts w:ascii="宋体" w:hAnsi="宋体" w:eastAsia="宋体" w:hint="eastAsia"/>
        </w:rPr>
        <w:t> </w:t>
      </w:r>
      <w:r>
        <w:rPr>
          <w:rFonts w:ascii="宋体" w:hAnsi="宋体" w:eastAsia="宋体" w:hint="eastAsia"/>
        </w:rPr>
        <w:t>2ml，</w:t>
      </w:r>
    </w:p>
    <w:p w:rsidR="0018722C">
      <w:pPr>
        <w:topLinePunct/>
      </w:pPr>
      <w:r>
        <w:t>50%</w:t>
      </w:r>
      <w:r>
        <w:t>甘油</w:t>
      </w:r>
      <w:r>
        <w:t>5ml，2-</w:t>
      </w:r>
      <w:r>
        <w:t>巯基乙醇</w:t>
      </w:r>
      <w:r>
        <w:t>0.5ml，1%</w:t>
      </w:r>
      <w:r>
        <w:t>溴酚兰</w:t>
      </w:r>
      <w:r>
        <w:t>1ml</w:t>
      </w:r>
      <w:r>
        <w:t xml:space="preserve">, </w:t>
      </w:r>
      <w:r>
        <w:t>ddH2O 0.9ml，</w:t>
      </w:r>
      <w:r>
        <w:t>总体积</w:t>
      </w:r>
      <w:r>
        <w:t>10ml，保</w:t>
      </w:r>
      <w:r>
        <w:t>存于</w:t>
      </w:r>
      <w:r>
        <w:t>4℃备用。</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配制</w:t>
      </w:r>
      <w:r>
        <w:rPr>
          <w:rFonts w:ascii="宋体" w:hAnsi="宋体" w:eastAsia="宋体" w:hint="eastAsia"/>
        </w:rPr>
        <w:t>1X</w:t>
      </w:r>
      <w:r w:rsidR="001852F3">
        <w:rPr>
          <w:rFonts w:ascii="宋体" w:hAnsi="宋体" w:eastAsia="宋体" w:hint="eastAsia"/>
        </w:rPr>
        <w:t xml:space="preserve">上样缓冲液的样品液：如</w:t>
      </w:r>
      <w:r>
        <w:rPr>
          <w:rFonts w:ascii="宋体" w:hAnsi="宋体" w:eastAsia="宋体" w:hint="eastAsia"/>
        </w:rPr>
        <w:t>21μl</w:t>
      </w:r>
      <w:r w:rsidR="001852F3">
        <w:rPr>
          <w:rFonts w:ascii="宋体" w:hAnsi="宋体" w:eastAsia="宋体" w:hint="eastAsia"/>
        </w:rPr>
        <w:t xml:space="preserve">蛋白样品加入</w:t>
      </w:r>
      <w:r>
        <w:rPr>
          <w:rFonts w:ascii="宋体" w:hAnsi="宋体" w:eastAsia="宋体" w:hint="eastAsia"/>
        </w:rPr>
        <w:t>6μl</w:t>
      </w:r>
      <w:r>
        <w:rPr>
          <w:rFonts w:ascii="宋体" w:hAnsi="宋体" w:eastAsia="宋体" w:hint="eastAsia"/>
        </w:rPr>
        <w:t> </w:t>
      </w:r>
      <w:r>
        <w:rPr>
          <w:rFonts w:ascii="宋体" w:hAnsi="宋体" w:eastAsia="宋体" w:hint="eastAsia"/>
        </w:rPr>
        <w:t>5³</w:t>
      </w:r>
      <w:r>
        <w:rPr>
          <w:rFonts w:ascii="宋体" w:hAnsi="宋体" w:eastAsia="宋体" w:hint="eastAsia"/>
        </w:rPr>
        <w:t>上样缓</w:t>
      </w:r>
      <w:r>
        <w:rPr>
          <w:rFonts w:ascii="宋体" w:hAnsi="宋体" w:eastAsia="宋体" w:hint="eastAsia"/>
        </w:rPr>
        <w:t>冲液，每孔配制含</w:t>
      </w:r>
      <w:r>
        <w:rPr>
          <w:rFonts w:ascii="宋体" w:hAnsi="宋体" w:eastAsia="宋体" w:hint="eastAsia"/>
        </w:rPr>
        <w:t>20ug</w:t>
      </w:r>
      <w:r w:rsidR="001852F3">
        <w:rPr>
          <w:rFonts w:ascii="宋体" w:hAnsi="宋体" w:eastAsia="宋体" w:hint="eastAsia"/>
        </w:rPr>
        <w:t xml:space="preserve">总蛋白量的样品液，煮沸</w:t>
      </w:r>
      <w:r>
        <w:rPr>
          <w:rFonts w:ascii="宋体" w:hAnsi="宋体" w:eastAsia="宋体" w:hint="eastAsia"/>
        </w:rPr>
        <w:t>10min</w:t>
      </w:r>
      <w:r w:rsidR="001852F3">
        <w:rPr>
          <w:rFonts w:ascii="宋体" w:hAnsi="宋体" w:eastAsia="宋体" w:hint="eastAsia"/>
        </w:rPr>
        <w:t xml:space="preserve">变性后上样。</w:t>
      </w:r>
    </w:p>
    <w:p w:rsidR="0018722C">
      <w:pPr>
        <w:pStyle w:val="cw20"/>
        <w:topLinePunct/>
      </w:pPr>
      <w:r>
        <w:rPr>
          <w:rFonts w:cstheme="minorBidi" w:hAnsiTheme="minorHAnsi" w:eastAsiaTheme="minorHAnsi" w:asciiTheme="minorHAnsi" w:ascii="宋体" w:hAnsi="宋体" w:eastAsia="宋体" w:cs="宋体"/>
          <w:b/>
        </w:rPr>
        <w:t>3.2.5</w:t>
      </w:r>
      <w:r>
        <w:rPr>
          <w:rFonts w:cstheme="minorBidi" w:hAnsiTheme="minorHAnsi" w:eastAsiaTheme="minorHAnsi" w:asciiTheme="minorHAnsi" w:ascii="宋体" w:hAnsi="宋体" w:eastAsia="宋体" w:cs="宋体"/>
          <w:b/>
        </w:rPr>
        <w:t>电泳</w:t>
      </w:r>
    </w:p>
    <w:p w:rsidR="0018722C">
      <w:pPr>
        <w:topLinePunct/>
      </w:pPr>
      <w:r>
        <w:t>利用</w:t>
      </w:r>
      <w:r>
        <w:t>Bio-Rad</w:t>
      </w:r>
      <w:r/>
      <w:r w:rsidR="001852F3">
        <w:t xml:space="preserve">电泳装置电泳，加入电泳缓冲液，拔去梳子，并将准备好的样</w:t>
      </w:r>
      <w:r>
        <w:t>品液和蛋白</w:t>
      </w:r>
      <w:r>
        <w:t>Marker</w:t>
      </w:r>
      <w:r/>
      <w:r w:rsidR="001852F3">
        <w:t xml:space="preserve">分别加入上样孔中，样品首先在</w:t>
      </w:r>
      <w:r>
        <w:t>30V</w:t>
      </w:r>
      <w:r/>
      <w:r w:rsidR="001852F3">
        <w:t xml:space="preserve">恒压下电泳</w:t>
      </w:r>
      <w:r>
        <w:t>10min，然</w:t>
      </w:r>
      <w:r>
        <w:t>后</w:t>
      </w:r>
    </w:p>
    <w:p w:rsidR="0018722C">
      <w:pPr>
        <w:topLinePunct/>
      </w:pPr>
      <w:r>
        <w:t>80V</w:t>
      </w:r>
      <w:r/>
      <w:r w:rsidR="001852F3">
        <w:t xml:space="preserve">恒压下电泳至染料接近两胶分界线处，最后</w:t>
      </w:r>
      <w:r>
        <w:t>120V</w:t>
      </w:r>
      <w:r/>
      <w:r w:rsidR="001852F3">
        <w:t xml:space="preserve">恒压下电泳</w:t>
      </w:r>
      <w:r>
        <w:t>2h</w:t>
      </w:r>
      <w:r/>
      <w:r w:rsidR="001852F3">
        <w:t xml:space="preserve">左右至溴酚蓝</w:t>
      </w:r>
      <w:r>
        <w:t>刚出胶底部，即可终止电泳，以上整个电泳过程在</w:t>
      </w:r>
      <w:r>
        <w:t>4℃进行。</w:t>
      </w:r>
    </w:p>
    <w:p w:rsidR="0018722C">
      <w:pPr>
        <w:pStyle w:val="cw20"/>
        <w:topLinePunct/>
      </w:pPr>
      <w:r>
        <w:rPr>
          <w:rFonts w:cstheme="minorBidi" w:hAnsiTheme="minorHAnsi" w:eastAsiaTheme="minorHAnsi" w:asciiTheme="minorHAnsi" w:ascii="宋体" w:hAnsi="宋体" w:eastAsia="宋体" w:cs="宋体"/>
          <w:b/>
        </w:rPr>
        <w:t>3.2.6</w:t>
      </w:r>
      <w:r>
        <w:rPr>
          <w:rFonts w:cstheme="minorBidi" w:hAnsiTheme="minorHAnsi" w:eastAsiaTheme="minorHAnsi" w:asciiTheme="minorHAnsi" w:ascii="宋体" w:hAnsi="宋体" w:eastAsia="宋体" w:cs="宋体"/>
          <w:b/>
        </w:rPr>
        <w:t>蛋白质的转移</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切胶、转膜：电泳完毕后，取出凝胶，对照</w:t>
      </w:r>
      <w:r>
        <w:rPr>
          <w:rFonts w:ascii="宋体" w:eastAsia="宋体" w:hint="eastAsia"/>
        </w:rPr>
        <w:t>Marker</w:t>
      </w:r>
      <w:r w:rsidR="001852F3">
        <w:rPr>
          <w:rFonts w:ascii="宋体" w:eastAsia="宋体" w:hint="eastAsia"/>
        </w:rPr>
        <w:t xml:space="preserve">条带将有目的条带的凝胶切下，量取凝胶的长、宽，按照量取的长、宽大小剪取滤纸膜</w:t>
      </w:r>
      <w:r>
        <w:rPr>
          <w:rFonts w:ascii="宋体" w:eastAsia="宋体" w:hint="eastAsia"/>
        </w:rPr>
        <w:t>（</w:t>
      </w:r>
      <w:r>
        <w:rPr>
          <w:rFonts w:ascii="宋体" w:eastAsia="宋体" w:hint="eastAsia"/>
          <w:spacing w:val="-4"/>
          <w:sz w:val="24"/>
        </w:rPr>
        <w:t>滤纸上下各四层</w:t>
      </w:r>
      <w:r>
        <w:rPr>
          <w:rFonts w:ascii="宋体" w:eastAsia="宋体" w:hint="eastAsia"/>
        </w:rPr>
        <w:t>）</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w:t>
      </w:r>
      <w:r>
        <w:rPr>
          <w:rFonts w:ascii="宋体" w:hAnsi="宋体" w:eastAsia="宋体" w:hint="eastAsia"/>
        </w:rPr>
        <w:t>Bio-Rad</w:t>
      </w:r>
      <w:r w:rsidR="001852F3">
        <w:rPr>
          <w:rFonts w:ascii="宋体" w:hAnsi="宋体" w:eastAsia="宋体" w:hint="eastAsia"/>
        </w:rPr>
        <w:t xml:space="preserve">蛋白转移装置夹板准备好，凝胶使用</w:t>
      </w:r>
      <w:r>
        <w:rPr>
          <w:rFonts w:ascii="宋体" w:hAnsi="宋体" w:eastAsia="宋体" w:hint="eastAsia"/>
        </w:rPr>
        <w:t>1x</w:t>
      </w:r>
      <w:r w:rsidR="001852F3">
        <w:rPr>
          <w:rFonts w:ascii="宋体" w:hAnsi="宋体" w:eastAsia="宋体" w:hint="eastAsia"/>
        </w:rPr>
        <w:t xml:space="preserve">转移缓冲液稍微</w:t>
      </w:r>
      <w:r>
        <w:rPr>
          <w:rFonts w:ascii="宋体" w:hAnsi="宋体" w:eastAsia="宋体" w:hint="eastAsia"/>
        </w:rPr>
        <w:t>清洗，用</w:t>
      </w:r>
      <w:r>
        <w:rPr>
          <w:rFonts w:ascii="宋体" w:hAnsi="宋体" w:eastAsia="宋体" w:hint="eastAsia"/>
        </w:rPr>
        <w:t>1x</w:t>
      </w:r>
      <w:r w:rsidR="001852F3">
        <w:rPr>
          <w:rFonts w:ascii="宋体" w:hAnsi="宋体" w:eastAsia="宋体" w:hint="eastAsia"/>
        </w:rPr>
        <w:t xml:space="preserve">转移缓冲液吸水纸、滤纸</w:t>
      </w:r>
      <w:r>
        <w:rPr>
          <w:rFonts w:ascii="宋体" w:hAnsi="宋体" w:eastAsia="宋体" w:hint="eastAsia"/>
        </w:rPr>
        <w:t>（</w:t>
      </w:r>
      <w:r>
        <w:rPr>
          <w:rFonts w:ascii="宋体" w:hAnsi="宋体" w:eastAsia="宋体" w:hint="eastAsia"/>
          <w:sz w:val="24"/>
        </w:rPr>
        <w:t>比凝胶稍微大一些</w:t>
      </w:r>
      <w:r>
        <w:rPr>
          <w:rFonts w:ascii="宋体" w:hAnsi="宋体" w:eastAsia="宋体" w:hint="eastAsia"/>
        </w:rPr>
        <w:t>）</w:t>
      </w:r>
      <w:r>
        <w:rPr>
          <w:rFonts w:ascii="宋体" w:hAnsi="宋体" w:eastAsia="宋体" w:hint="eastAsia"/>
        </w:rPr>
        <w:t>预湿，并按如下顺序</w:t>
      </w:r>
      <w:r>
        <w:rPr>
          <w:rFonts w:ascii="宋体" w:hAnsi="宋体" w:eastAsia="宋体" w:hint="eastAsia"/>
        </w:rPr>
        <w:t>排列装配于转移装置上：阴板</w:t>
      </w:r>
      <w:r>
        <w:rPr>
          <w:rFonts w:ascii="宋体" w:hAnsi="宋体" w:eastAsia="宋体" w:hint="eastAsia"/>
        </w:rPr>
        <w:t>→4</w:t>
      </w:r>
      <w:r w:rsidR="001852F3">
        <w:rPr>
          <w:rFonts w:ascii="宋体" w:hAnsi="宋体" w:eastAsia="宋体" w:hint="eastAsia"/>
        </w:rPr>
        <w:t xml:space="preserve">层滤纸→凝胶</w:t>
      </w:r>
      <w:r>
        <w:rPr>
          <w:rFonts w:ascii="宋体" w:hAnsi="宋体" w:eastAsia="宋体" w:hint="eastAsia"/>
        </w:rPr>
        <w:t>→NC</w:t>
      </w:r>
      <w:r w:rsidR="001852F3">
        <w:rPr>
          <w:rFonts w:ascii="宋体" w:hAnsi="宋体" w:eastAsia="宋体" w:hint="eastAsia"/>
        </w:rPr>
        <w:t xml:space="preserve">膜</w:t>
      </w:r>
      <w:r>
        <w:rPr>
          <w:rFonts w:ascii="宋体" w:hAnsi="宋体" w:eastAsia="宋体" w:hint="eastAsia"/>
        </w:rPr>
        <w:t>→4</w:t>
      </w:r>
      <w:r w:rsidR="001852F3">
        <w:rPr>
          <w:rFonts w:ascii="宋体" w:hAnsi="宋体" w:eastAsia="宋体" w:hint="eastAsia"/>
        </w:rPr>
        <w:t xml:space="preserve">层滤纸→阳极，并赶走气泡。</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最后在</w:t>
      </w:r>
      <w:r>
        <w:rPr>
          <w:rFonts w:ascii="宋体" w:hAnsi="宋体" w:eastAsia="宋体" w:hint="eastAsia"/>
        </w:rPr>
        <w:t>4℃，300mA</w:t>
      </w:r>
      <w:r w:rsidR="001852F3">
        <w:rPr>
          <w:rFonts w:ascii="宋体" w:hAnsi="宋体" w:eastAsia="宋体" w:hint="eastAsia"/>
        </w:rPr>
        <w:t xml:space="preserve">恒定电流下，</w:t>
      </w:r>
      <w:r w:rsidR="001852F3">
        <w:rPr>
          <w:rFonts w:ascii="宋体" w:hAnsi="宋体" w:eastAsia="宋体" w:hint="eastAsia"/>
        </w:rPr>
        <w:t xml:space="preserve">转移</w:t>
      </w:r>
      <w:r>
        <w:rPr>
          <w:rFonts w:ascii="宋体" w:hAnsi="宋体" w:eastAsia="宋体" w:hint="eastAsia"/>
        </w:rPr>
        <w:t>90min。</w:t>
      </w:r>
    </w:p>
    <w:p w:rsidR="0018722C">
      <w:pPr>
        <w:pStyle w:val="cw20"/>
        <w:topLinePunct/>
      </w:pPr>
      <w:r>
        <w:rPr>
          <w:rFonts w:cstheme="minorBidi" w:hAnsiTheme="minorHAnsi" w:eastAsiaTheme="minorHAnsi" w:asciiTheme="minorHAnsi" w:ascii="宋体" w:hAnsi="宋体" w:eastAsia="宋体" w:cs="宋体"/>
          <w:b/>
        </w:rPr>
        <w:t>3.2.7</w:t>
      </w:r>
      <w:r>
        <w:rPr>
          <w:rFonts w:cstheme="minorBidi" w:hAnsiTheme="minorHAnsi" w:eastAsiaTheme="minorHAnsi" w:asciiTheme="minorHAnsi" w:ascii="宋体" w:hAnsi="宋体" w:eastAsia="宋体" w:cs="宋体"/>
          <w:b/>
        </w:rPr>
        <w:t>洗膜</w:t>
      </w:r>
    </w:p>
    <w:p w:rsidR="0018722C">
      <w:pPr>
        <w:topLinePunct/>
      </w:pPr>
      <w:r>
        <w:t>（</w:t>
      </w:r>
      <w:r>
        <w:t xml:space="preserve">1</w:t>
      </w:r>
      <w:r>
        <w:t>）</w:t>
      </w:r>
      <w:r>
        <w:t>准备两个玻璃平皿，一个装</w:t>
      </w:r>
      <w:r w:rsidR="001852F3">
        <w:t xml:space="preserve">TBST，一个装丽春红。</w:t>
      </w:r>
    </w:p>
    <w:p w:rsidR="0018722C">
      <w:pPr>
        <w:topLinePunct/>
      </w:pPr>
      <w:r>
        <w:t>（</w:t>
      </w:r>
      <w:r>
        <w:t>2</w:t>
      </w:r>
      <w:r>
        <w:t>）</w:t>
      </w:r>
      <w:r>
        <w:t>分离出</w:t>
      </w:r>
      <w:r>
        <w:t>NC</w:t>
      </w:r>
      <w:r/>
      <w:r w:rsidR="001852F3">
        <w:t xml:space="preserve">膜：首先将</w:t>
      </w:r>
      <w:r>
        <w:t>NC</w:t>
      </w:r>
      <w:r/>
      <w:r w:rsidR="001852F3">
        <w:t xml:space="preserve">膜放入</w:t>
      </w:r>
      <w:r>
        <w:t>TBST</w:t>
      </w:r>
      <w:r/>
      <w:r w:rsidR="001852F3">
        <w:t xml:space="preserve">中清洗下，再将</w:t>
      </w:r>
      <w:r>
        <w:t>NC</w:t>
      </w:r>
      <w:r/>
      <w:r w:rsidR="001852F3">
        <w:t xml:space="preserve">膜拿起来甩几下后，放入盛有丽春红的玻璃平皿中染色，看看有无条带，条带是否清晰，剪并</w:t>
      </w:r>
      <w:r>
        <w:t>标记</w:t>
      </w:r>
      <w:r>
        <w:t>a</w:t>
      </w:r>
      <w:r/>
      <w:r w:rsidR="001852F3">
        <w:t xml:space="preserve">、</w:t>
      </w:r>
      <w:r>
        <w:t>a</w:t>
      </w:r>
      <w:r>
        <w:t>’、</w:t>
      </w:r>
      <w:r>
        <w:t>b</w:t>
      </w:r>
      <w:r>
        <w:t>’、</w:t>
      </w:r>
      <w:r>
        <w:t>b</w:t>
      </w:r>
      <w:r>
        <w:t>’四条带。再使用</w:t>
      </w:r>
      <w:r>
        <w:t>TBST</w:t>
      </w:r>
      <w:r/>
      <w:r w:rsidR="001852F3">
        <w:t xml:space="preserve">清洗，直至</w:t>
      </w:r>
      <w:r>
        <w:t>NC</w:t>
      </w:r>
      <w:r/>
      <w:r w:rsidR="001852F3">
        <w:t xml:space="preserve">膜完全脱色。</w:t>
      </w:r>
      <w:r>
        <w:t>（</w:t>
      </w:r>
      <w:r>
        <w:rPr>
          <w:spacing w:val="-15"/>
        </w:rPr>
        <w:t>用</w:t>
      </w:r>
      <w:r>
        <w:t>TBS-T</w:t>
      </w:r>
      <w:r>
        <w:rPr>
          <w:spacing w:val="-5"/>
        </w:rPr>
        <w:t>洗去膜上的</w:t>
      </w:r>
      <w:r>
        <w:t>SDS，防止影响后面的抗体结合</w:t>
      </w:r>
      <w:r>
        <w:t>）</w:t>
      </w:r>
      <w:r>
        <w:t>。</w:t>
      </w:r>
    </w:p>
    <w:p w:rsidR="0018722C">
      <w:pPr>
        <w:pStyle w:val="cw20"/>
        <w:topLinePunct/>
      </w:pPr>
      <w:r>
        <w:rPr>
          <w:rFonts w:cstheme="minorBidi" w:hAnsiTheme="minorHAnsi" w:eastAsiaTheme="minorHAnsi" w:asciiTheme="minorHAnsi" w:ascii="宋体" w:hAnsi="宋体" w:eastAsia="宋体" w:cs="宋体"/>
          <w:b/>
        </w:rPr>
        <w:t>3.2.8</w:t>
      </w:r>
      <w:r>
        <w:rPr>
          <w:rFonts w:cstheme="minorBidi" w:hAnsiTheme="minorHAnsi" w:eastAsiaTheme="minorHAnsi" w:asciiTheme="minorHAnsi" w:ascii="宋体" w:hAnsi="宋体" w:eastAsia="宋体" w:cs="宋体"/>
          <w:b/>
        </w:rPr>
        <w:t>膜的封闭与抗体孵育</w:t>
      </w:r>
    </w:p>
    <w:p w:rsidR="0018722C">
      <w:pPr>
        <w:topLinePunct/>
      </w:pPr>
      <w:r>
        <w:t>（</w:t>
      </w:r>
      <w:r>
        <w:t xml:space="preserve">1</w:t>
      </w:r>
      <w:r>
        <w:t>）</w:t>
      </w:r>
      <w:r>
        <w:t>将</w:t>
      </w:r>
      <w:r>
        <w:t>NC</w:t>
      </w:r>
      <w:r/>
      <w:r w:rsidR="001852F3">
        <w:t xml:space="preserve">膜放入含</w:t>
      </w:r>
      <w:r>
        <w:t>5%</w:t>
      </w:r>
      <w:r>
        <w:t>脱脂奶粉的</w:t>
      </w:r>
      <w:r>
        <w:t>TBST</w:t>
      </w:r>
      <w:r/>
      <w:r w:rsidR="001852F3">
        <w:t xml:space="preserve">液中封闭</w:t>
      </w:r>
      <w:r>
        <w:t>2</w:t>
      </w:r>
      <w:r>
        <w:t>.</w:t>
      </w:r>
      <w:r>
        <w:t>5h</w:t>
      </w:r>
      <w:r>
        <w:t>，之后用</w:t>
      </w:r>
      <w:r>
        <w:t>TBST</w:t>
      </w:r>
      <w:r/>
      <w:r w:rsidR="001852F3">
        <w:t xml:space="preserve">洗</w:t>
      </w:r>
      <w:r>
        <w:t>3</w:t>
      </w:r>
      <w:r/>
      <w:r w:rsidR="001852F3">
        <w:t xml:space="preserve">次，</w:t>
      </w:r>
    </w:p>
    <w:p w:rsidR="0018722C">
      <w:pPr>
        <w:topLinePunct/>
      </w:pPr>
      <w:r>
        <w:t>每次洗</w:t>
      </w:r>
      <w:r w:rsidR="001852F3">
        <w:t xml:space="preserve">5min。</w:t>
      </w:r>
    </w:p>
    <w:p w:rsidR="0018722C">
      <w:pPr>
        <w:topLinePunct/>
      </w:pPr>
      <w:r>
        <w:t>（</w:t>
      </w:r>
      <w:r>
        <w:t>2</w:t>
      </w:r>
      <w:r>
        <w:t>）</w:t>
      </w:r>
      <w:r>
        <w:t>然后将</w:t>
      </w:r>
      <w:r>
        <w:t>NC</w:t>
      </w:r>
      <w:r/>
      <w:r w:rsidR="001852F3">
        <w:t xml:space="preserve">膜置入鼠抗人</w:t>
      </w:r>
      <w:r>
        <w:t>Flag</w:t>
      </w:r>
      <w:r/>
      <w:r w:rsidR="001852F3">
        <w:t xml:space="preserve">单克隆抗体</w:t>
      </w:r>
      <w:r>
        <w:t>（</w:t>
      </w:r>
      <w:r>
        <w:t>1:1000</w:t>
      </w:r>
      <w:r>
        <w:t>）</w:t>
      </w:r>
      <w:r>
        <w:t>中</w:t>
      </w:r>
      <w:r>
        <w:t>4℃过液，TBST</w:t>
      </w:r>
      <w:r>
        <w:t>洗</w:t>
      </w:r>
      <w:r>
        <w:t>NC</w:t>
      </w:r>
      <w:r/>
      <w:r w:rsidR="001852F3">
        <w:t xml:space="preserve">膜</w:t>
      </w:r>
      <w:r>
        <w:t>3</w:t>
      </w:r>
      <w:r/>
      <w:r w:rsidR="001852F3">
        <w:t xml:space="preserve">次，每次洗</w:t>
      </w:r>
      <w:r>
        <w:t>15min。</w:t>
      </w:r>
    </w:p>
    <w:p w:rsidR="0018722C">
      <w:pPr>
        <w:topLinePunct/>
      </w:pPr>
      <w:r>
        <w:t>（</w:t>
      </w:r>
      <w:r>
        <w:t>3</w:t>
      </w:r>
      <w:r>
        <w:t>）</w:t>
      </w:r>
      <w:r>
        <w:t>将与一抗结合并清洗后的</w:t>
      </w:r>
      <w:r>
        <w:t>NC</w:t>
      </w:r>
      <w:r/>
      <w:r w:rsidR="001852F3">
        <w:t xml:space="preserve">膜放入</w:t>
      </w:r>
      <w:r>
        <w:t>HRP</w:t>
      </w:r>
      <w:r/>
      <w:r w:rsidR="001852F3">
        <w:t xml:space="preserve">二抗</w:t>
      </w:r>
      <w:r>
        <w:t>（</w:t>
      </w:r>
      <w:r>
        <w:t>1:2000</w:t>
      </w:r>
      <w:r>
        <w:t>）</w:t>
      </w:r>
      <w:r>
        <w:t>中杂交，并在</w:t>
      </w:r>
      <w:r>
        <w:t>室温孵育膜</w:t>
      </w:r>
      <w:r>
        <w:t>1h</w:t>
      </w:r>
      <w:r>
        <w:t xml:space="preserve">, </w:t>
      </w:r>
      <w:r>
        <w:t>TBST</w:t>
      </w:r>
      <w:r/>
      <w:r w:rsidR="001852F3">
        <w:t xml:space="preserve">洗膜</w:t>
      </w:r>
      <w:r>
        <w:t>3</w:t>
      </w:r>
      <w:r/>
      <w:r w:rsidR="001852F3">
        <w:t xml:space="preserve">次，每次洗</w:t>
      </w:r>
      <w:r>
        <w:t>10min。</w:t>
      </w:r>
    </w:p>
    <w:p w:rsidR="0018722C">
      <w:pPr>
        <w:pStyle w:val="cw20"/>
        <w:topLinePunct/>
      </w:pPr>
      <w:r>
        <w:rPr>
          <w:rFonts w:cstheme="minorBidi" w:hAnsiTheme="minorHAnsi" w:eastAsiaTheme="minorHAnsi" w:asciiTheme="minorHAnsi" w:ascii="宋体" w:hAnsi="宋体" w:eastAsia="宋体" w:cs="宋体"/>
          <w:b/>
        </w:rPr>
        <w:t>3.2.9 </w:t>
      </w:r>
      <w:r>
        <w:rPr>
          <w:rFonts w:cstheme="minorBidi" w:hAnsiTheme="minorHAnsi" w:eastAsiaTheme="minorHAnsi" w:asciiTheme="minorHAnsi" w:ascii="宋体" w:hAnsi="宋体" w:eastAsia="宋体" w:cs="宋体"/>
          <w:b/>
        </w:rPr>
        <w:t>ECL</w:t>
      </w:r>
      <w:r w:rsidR="001852F3">
        <w:rPr>
          <w:rFonts w:cstheme="minorBidi" w:hAnsiTheme="minorHAnsi" w:eastAsiaTheme="minorHAnsi" w:asciiTheme="minorHAnsi" w:ascii="宋体" w:hAnsi="宋体" w:eastAsia="宋体" w:cs="宋体"/>
          <w:b/>
        </w:rPr>
        <w:t xml:space="preserve">显色</w:t>
      </w:r>
    </w:p>
    <w:p w:rsidR="0018722C">
      <w:pPr>
        <w:topLinePunct/>
      </w:pPr>
      <w:r>
        <w:t>（</w:t>
      </w:r>
      <w:r>
        <w:t>1</w:t>
      </w:r>
      <w:r>
        <w:t>）</w:t>
      </w:r>
      <w:r>
        <w:t>将</w:t>
      </w:r>
      <w:r>
        <w:t>ECL</w:t>
      </w:r>
      <w:r/>
      <w:r w:rsidR="001852F3">
        <w:t xml:space="preserve">化学发光试剂盒中的</w:t>
      </w:r>
      <w:r>
        <w:t>A</w:t>
      </w:r>
      <w:r/>
      <w:r w:rsidR="001852F3">
        <w:t xml:space="preserve">液和</w:t>
      </w:r>
      <w:r>
        <w:t>B</w:t>
      </w:r>
      <w:r/>
      <w:r w:rsidR="001852F3">
        <w:t xml:space="preserve">液试剂按等比例混合为即为反应液。</w:t>
      </w:r>
    </w:p>
    <w:p w:rsidR="0018722C">
      <w:pPr>
        <w:topLinePunct/>
      </w:pPr>
      <w:r>
        <w:t>（</w:t>
      </w:r>
      <w:r>
        <w:t xml:space="preserve">2</w:t>
      </w:r>
      <w:r>
        <w:t>）</w:t>
      </w:r>
      <w:r>
        <w:t>将</w:t>
      </w:r>
      <w:r w:rsidR="001852F3">
        <w:t xml:space="preserve">NC</w:t>
      </w:r>
      <w:r w:rsidR="001852F3">
        <w:t xml:space="preserve">膜放置于反应液中，在室温下孵育</w:t>
      </w:r>
      <w:r w:rsidR="001852F3">
        <w:t xml:space="preserve">1-5min。</w:t>
      </w:r>
    </w:p>
    <w:p w:rsidR="0018722C">
      <w:pPr>
        <w:topLinePunct/>
      </w:pPr>
      <w:r>
        <w:t>（</w:t>
      </w:r>
      <w:r>
        <w:t>3</w:t>
      </w:r>
      <w:r>
        <w:t>）</w:t>
      </w:r>
      <w:r>
        <w:t>孵育后去除反应液，将</w:t>
      </w:r>
      <w:r>
        <w:t>NC</w:t>
      </w:r>
      <w:r/>
      <w:r w:rsidR="001852F3">
        <w:t xml:space="preserve">膜夹在两块塑料薄膜之间，在暗室，以</w:t>
      </w:r>
      <w:r>
        <w:t>X</w:t>
      </w:r>
      <w:r/>
      <w:r w:rsidR="001852F3">
        <w:t xml:space="preserve">光胶片曝光。</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暗室中取出胶片，显影液中作用</w:t>
      </w:r>
      <w:r>
        <w:rPr>
          <w:rFonts w:ascii="宋体" w:eastAsia="宋体" w:hint="eastAsia"/>
        </w:rPr>
        <w:t>20sec，</w:t>
      </w:r>
      <w:r>
        <w:rPr>
          <w:rFonts w:ascii="宋体" w:eastAsia="宋体" w:hint="eastAsia"/>
        </w:rPr>
        <w:t>定影液中作用</w:t>
      </w:r>
      <w:r>
        <w:rPr>
          <w:rFonts w:ascii="宋体" w:eastAsia="宋体" w:hint="eastAsia"/>
        </w:rPr>
        <w:t>5sec。</w:t>
      </w:r>
    </w:p>
    <w:p w:rsidR="0018722C">
      <w:pPr>
        <w:topLinePunct/>
      </w:pPr>
      <w:r>
        <w:t>（</w:t>
      </w:r>
      <w:r>
        <w:t>5</w:t>
      </w:r>
      <w:r>
        <w:t>）</w:t>
      </w:r>
      <w:r>
        <w:t>最后将图片扫描保存。</w:t>
      </w:r>
    </w:p>
    <w:p w:rsidR="0018722C">
      <w:pPr>
        <w:pStyle w:val="Heading2"/>
        <w:topLinePunct/>
        <w:ind w:left="171" w:hangingChars="171" w:hanging="171"/>
      </w:pPr>
      <w:bookmarkStart w:id="707264" w:name="_Toc686707264"/>
      <w:bookmarkStart w:name="四 实验结果 " w:id="15"/>
      <w:bookmarkEnd w:id="15"/>
      <w:r>
        <w:t>四</w:t>
      </w:r>
      <w:r>
        <w:t xml:space="preserve"> </w:t>
      </w:r>
      <w:r w:rsidRPr="00DB64CE">
        <w:t>实验结果</w:t>
      </w:r>
      <w:bookmarkEnd w:id="707264"/>
    </w:p>
    <w:p w:rsidR="0018722C">
      <w:pPr>
        <w:pStyle w:val="Heading3"/>
        <w:topLinePunct/>
        <w:ind w:left="200" w:hangingChars="200" w:hanging="200"/>
      </w:pPr>
      <w:r>
        <w:rPr>
          <w:b/>
        </w:rPr>
        <w:t>1</w:t>
      </w:r>
      <w:r>
        <w:t xml:space="preserve"> </w:t>
      </w:r>
      <w:r>
        <w:t>倒置荧光显微镜观察</w:t>
      </w:r>
      <w:r>
        <w:rPr>
          <w:b/>
        </w:rPr>
        <w:t>HepG2</w:t>
      </w:r>
      <w:r>
        <w:rPr>
          <w:b/>
        </w:rPr>
        <w:t> </w:t>
      </w:r>
      <w:r>
        <w:rPr>
          <w:b/>
        </w:rPr>
        <w:t>/</w:t>
      </w:r>
      <w:r>
        <w:rPr>
          <w:b/>
        </w:rPr>
        <w:t> </w:t>
      </w:r>
      <w:r>
        <w:rPr>
          <w:b/>
        </w:rPr>
        <w:t>HBx</w:t>
      </w:r>
      <w:r w:rsidR="001852F3">
        <w:t xml:space="preserve">细胞株</w:t>
      </w:r>
      <w:r>
        <w:rPr>
          <w:b/>
        </w:rPr>
        <w:t>eGFP</w:t>
      </w:r>
      <w:r w:rsidR="001852F3">
        <w:t xml:space="preserve">的表达情况</w:t>
      </w:r>
    </w:p>
    <w:p w:rsidR="0018722C">
      <w:pPr>
        <w:topLinePunct/>
      </w:pPr>
      <w:r>
        <w:t>重组慢病毒载体携带有</w:t>
      </w:r>
      <w:r>
        <w:t>eGFP</w:t>
      </w:r>
      <w:r/>
      <w:r w:rsidR="001852F3">
        <w:t xml:space="preserve">的基因，能表达</w:t>
      </w:r>
      <w:r>
        <w:t>eGFP</w:t>
      </w:r>
      <w:r/>
      <w:r w:rsidR="001852F3">
        <w:t xml:space="preserve">蛋白，在荧光显微镜下可</w:t>
      </w:r>
      <w:r>
        <w:t>以观察到绿色荧光。将重组慢病毒和对照空载病毒分别感染</w:t>
      </w:r>
      <w:r>
        <w:t>HepG2</w:t>
      </w:r>
      <w:r/>
      <w:r w:rsidR="001852F3">
        <w:t xml:space="preserve">细胞，经过嘌</w:t>
      </w:r>
      <w:r>
        <w:t>呤霉素</w:t>
      </w:r>
      <w:r>
        <w:t>10</w:t>
      </w:r>
      <w:r/>
      <w:r w:rsidR="001852F3">
        <w:t xml:space="preserve">天的筛选，并挑取带</w:t>
      </w:r>
      <w:r>
        <w:t>eGFP</w:t>
      </w:r>
      <w:r/>
      <w:r w:rsidR="001852F3">
        <w:t xml:space="preserve">蛋白的阳性克隆扩大培养，分别命名为</w:t>
      </w:r>
      <w:r>
        <w:t>HepG</w:t>
      </w:r>
      <w:r>
        <w:t>2</w:t>
      </w:r>
    </w:p>
    <w:p w:rsidR="0018722C">
      <w:pPr>
        <w:topLinePunct/>
      </w:pPr>
      <w:r>
        <w:t>／HBx</w:t>
      </w:r>
      <w:r w:rsidR="001852F3">
        <w:t xml:space="preserve">和</w:t>
      </w:r>
      <w:r w:rsidR="001852F3">
        <w:t xml:space="preserve">HepG2</w:t>
      </w:r>
      <w:r>
        <w:t>/</w:t>
      </w:r>
      <w:r>
        <w:t>mock，荧光显微镜下观察各组细胞</w:t>
      </w:r>
      <w:r w:rsidR="001852F3">
        <w:t xml:space="preserve">eGFP</w:t>
      </w:r>
      <w:r w:rsidR="001852F3">
        <w:t xml:space="preserve">表达情况，</w:t>
      </w:r>
      <w:r w:rsidR="001852F3">
        <w:t>图</w:t>
      </w:r>
      <w:r w:rsidR="001852F3">
        <w:t xml:space="preserve">1</w:t>
      </w:r>
      <w:r w:rsidR="001852F3">
        <w:t>。</w:t>
      </w:r>
    </w:p>
    <w:p w:rsidR="0018722C">
      <w:pPr>
        <w:pStyle w:val="aff7"/>
        <w:topLinePunct/>
      </w:pPr>
      <w:r>
        <w:rPr>
          <w:sz w:val="20"/>
        </w:rPr>
        <w:drawing>
          <wp:inline distT="0" distB="0" distL="0" distR="0">
            <wp:extent cx="4462149" cy="398106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462149" cy="3981069"/>
                    </a:xfrm>
                    <a:prstGeom prst="rect">
                      <a:avLst/>
                    </a:prstGeom>
                  </pic:spPr>
                </pic:pic>
              </a:graphicData>
            </a:graphic>
          </wp:inline>
        </w:drawing>
      </w:r>
      <w:r/>
    </w:p>
    <w:p w:rsidR="0018722C">
      <w:pPr>
        <w:topLinePunct/>
      </w:pPr>
      <w:r>
        <w:t/>
      </w:r>
      <w:r>
        <w:t>图</w:t>
      </w:r>
      <w:r>
        <w:t>1</w:t>
      </w:r>
      <w:r/>
      <w:r w:rsidR="001852F3">
        <w:t xml:space="preserve">倒置荧光显微镜下观察三组细胞</w:t>
      </w:r>
      <w:r>
        <w:t>eGFP</w:t>
      </w:r>
      <w:r/>
      <w:r w:rsidR="001852F3">
        <w:t xml:space="preserve">表达情况</w:t>
      </w:r>
      <w:r>
        <w:t>(</w:t>
      </w:r>
      <w:r>
        <w:t>³200</w:t>
      </w:r>
      <w:r>
        <w:t>)</w:t>
      </w:r>
      <w:r>
        <w:t>。左边为白光下</w:t>
      </w:r>
      <w:r>
        <w:t>观察，右边为荧光下观察。</w:t>
      </w:r>
      <w:r>
        <w:t>HBx</w:t>
      </w:r>
      <w:r>
        <w:rPr>
          <w:spacing w:val="-60"/>
        </w:rPr>
        <w:t xml:space="preserve">: </w:t>
      </w:r>
      <w:r>
        <w:t>HepG2</w:t>
      </w:r>
      <w:r>
        <w:t>/</w:t>
      </w:r>
      <w:r>
        <w:t>HBx</w:t>
      </w:r>
      <w:r/>
      <w:r w:rsidR="001852F3">
        <w:t xml:space="preserve">细胞</w:t>
      </w:r>
      <w:r>
        <w:rPr>
          <w:rFonts w:hint="eastAsia"/>
        </w:rPr>
        <w:t>；</w:t>
      </w:r>
      <w:r>
        <w:t>Mock</w:t>
      </w:r>
      <w:r>
        <w:rPr>
          <w:spacing w:val="-60"/>
        </w:rPr>
        <w:t xml:space="preserve">: </w:t>
      </w:r>
      <w:r>
        <w:t>HepG2</w:t>
      </w:r>
      <w:r>
        <w:t>/</w:t>
      </w:r>
      <w:r>
        <w:t>mock</w:t>
      </w:r>
      <w:r/>
      <w:r w:rsidR="001852F3">
        <w:t xml:space="preserve">细胞</w:t>
      </w:r>
      <w:r>
        <w:rPr>
          <w:rFonts w:hint="eastAsia"/>
        </w:rPr>
        <w:t>；</w:t>
      </w:r>
      <w:r>
        <w:t>Control：</w:t>
      </w:r>
    </w:p>
    <w:p w:rsidR="0018722C">
      <w:pPr>
        <w:topLinePunct/>
      </w:pPr>
      <w:r>
        <w:t>HepG2</w:t>
      </w:r>
      <w:r w:rsidR="001852F3">
        <w:t xml:space="preserve">细胞</w:t>
      </w:r>
    </w:p>
    <w:p w:rsidR="0018722C">
      <w:pPr>
        <w:pStyle w:val="Heading3"/>
        <w:topLinePunct/>
        <w:ind w:left="200" w:hangingChars="200" w:hanging="200"/>
      </w:pPr>
      <w:r>
        <w:rPr>
          <w:b/>
        </w:rPr>
        <w:t>2</w:t>
      </w:r>
      <w:r>
        <w:t xml:space="preserve"> </w:t>
      </w:r>
      <w:r>
        <w:rPr>
          <w:b/>
        </w:rPr>
        <w:t>RT-PCR</w:t>
      </w:r>
      <w:r w:rsidR="001852F3">
        <w:t xml:space="preserve">法检测</w:t>
      </w:r>
      <w:r>
        <w:rPr>
          <w:b/>
        </w:rPr>
        <w:t>HepG2</w:t>
      </w:r>
      <w:r>
        <w:rPr>
          <w:b/>
        </w:rPr>
        <w:t>/</w:t>
      </w:r>
      <w:r>
        <w:rPr>
          <w:b/>
        </w:rPr>
        <w:t>HBx</w:t>
      </w:r>
      <w:r w:rsidR="001852F3">
        <w:t xml:space="preserve">细胞株表达</w:t>
      </w:r>
      <w:r>
        <w:rPr>
          <w:b/>
        </w:rPr>
        <w:t>HBX</w:t>
      </w:r>
      <w:r w:rsidR="001852F3">
        <w:t xml:space="preserve">基因情况</w:t>
      </w:r>
    </w:p>
    <w:p w:rsidR="0018722C">
      <w:pPr>
        <w:pStyle w:val="BodyText"/>
        <w:spacing w:line="357" w:lineRule="auto" w:before="212"/>
        <w:ind w:rightChars="0" w:right="117" w:firstLineChars="0" w:firstLine="480"/>
        <w:topLinePunct/>
      </w:pPr>
      <w:r>
        <w:rPr>
          <w:spacing w:val="-5"/>
        </w:rPr>
        <w:t>各组细胞中</w:t>
      </w:r>
      <w:r>
        <w:t>HBX</w:t>
      </w:r>
      <w:r w:rsidR="001852F3">
        <w:rPr>
          <w:spacing w:val="-14"/>
        </w:rPr>
        <w:t xml:space="preserve">基因</w:t>
      </w:r>
      <w:r>
        <w:t>mRNA</w:t>
      </w:r>
      <w:r w:rsidR="001852F3">
        <w:rPr>
          <w:spacing w:val="-8"/>
        </w:rPr>
        <w:t xml:space="preserve">表达情况如图</w:t>
      </w:r>
      <w:r>
        <w:t>2</w:t>
      </w:r>
      <w:r w:rsidR="001852F3">
        <w:rPr>
          <w:spacing w:val="-8"/>
        </w:rPr>
        <w:t xml:space="preserve">所示，仅有</w:t>
      </w:r>
      <w:r>
        <w:t>HepG2/HBx</w:t>
      </w:r>
      <w:r w:rsidR="001852F3">
        <w:rPr>
          <w:spacing w:val="-12"/>
        </w:rPr>
        <w:t xml:space="preserve">细胞有</w:t>
      </w:r>
      <w:r>
        <w:t>HBX</w:t>
      </w:r>
      <w:r>
        <w:rPr>
          <w:spacing w:val="-10"/>
        </w:rPr>
        <w:t>基因</w:t>
      </w:r>
      <w:r>
        <w:t>mRNA</w:t>
      </w:r>
      <w:r w:rsidR="001852F3">
        <w:rPr>
          <w:spacing w:val="-8"/>
        </w:rPr>
        <w:t xml:space="preserve">表达，大小约</w:t>
      </w:r>
      <w:r>
        <w:t>465bp，而感染空载病毒的细胞与对照组细胞不表达。</w:t>
      </w:r>
    </w:p>
    <w:p w:rsidR="00000000">
      <w:pPr>
        <w:pStyle w:val="aff7"/>
        <w:spacing w:line="240" w:lineRule="atLeast"/>
        <w:topLinePunct/>
      </w:pPr>
      <w:r>
        <w:drawing>
          <wp:inline>
            <wp:extent cx="3772604" cy="88534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772604" cy="885348"/>
                    </a:xfrm>
                    <a:prstGeom prst="rect">
                      <a:avLst/>
                    </a:prstGeom>
                  </pic:spPr>
                </pic:pic>
              </a:graphicData>
            </a:graphic>
          </wp:inline>
        </w:drawing>
      </w:r>
    </w:p>
    <w:p w:rsidR="0018722C">
      <w:pPr>
        <w:pStyle w:val="a9"/>
        <w:topLinePunct/>
      </w:pPr>
      <w:r>
        <w:t>图</w:t>
      </w:r>
      <w:r>
        <w:t> </w:t>
      </w:r>
      <w:r>
        <w:t>2</w:t>
      </w:r>
      <w:r>
        <w:t xml:space="preserve">  </w:t>
      </w:r>
      <w:r>
        <w:t>RT-PCR</w:t>
      </w:r>
      <w:r/>
      <w:r>
        <w:t>检测各组细胞</w:t>
      </w:r>
      <w:r/>
      <w:r>
        <w:t>HBX</w:t>
      </w:r>
      <w:r>
        <w:t> </w:t>
      </w:r>
      <w:r>
        <w:t>mRNA</w:t>
      </w:r>
      <w:r/>
      <w:r>
        <w:t>表达情况</w:t>
      </w:r>
      <w:r>
        <w:t>。</w:t>
      </w:r>
      <w:r>
        <w:t>HBx</w:t>
      </w:r>
      <w:r w:rsidP="AA7D325B">
        <w:t>：</w:t>
      </w:r>
      <w:r>
        <w:t>HepG2</w:t>
      </w:r>
      <w:r>
        <w:t>/</w:t>
      </w:r>
      <w:r>
        <w:t>HBx</w:t>
      </w:r>
      <w:r/>
      <w:r>
        <w:t>细胞;</w:t>
      </w:r>
      <w:r>
        <w:t>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3</w:t>
      </w:r>
      <w:r>
        <w:t xml:space="preserve"> </w:t>
      </w:r>
      <w:r>
        <w:rPr>
          <w:b/>
        </w:rPr>
        <w:t>Western</w:t>
      </w:r>
      <w:r>
        <w:rPr>
          <w:b/>
        </w:rPr>
        <w:t> </w:t>
      </w:r>
      <w:r>
        <w:rPr>
          <w:b/>
        </w:rPr>
        <w:t>blot</w:t>
      </w:r>
      <w:r w:rsidR="001852F3">
        <w:t xml:space="preserve">法检测</w:t>
      </w:r>
      <w:r>
        <w:rPr>
          <w:b/>
        </w:rPr>
        <w:t>HepG2</w:t>
      </w:r>
      <w:r>
        <w:rPr>
          <w:b/>
        </w:rPr>
        <w:t>/</w:t>
      </w:r>
      <w:r>
        <w:rPr>
          <w:b/>
        </w:rPr>
        <w:t>HBx</w:t>
      </w:r>
      <w:r w:rsidR="001852F3">
        <w:t xml:space="preserve">细胞株表达</w:t>
      </w:r>
      <w:r>
        <w:rPr>
          <w:b/>
        </w:rPr>
        <w:t>HBx</w:t>
      </w:r>
      <w:r w:rsidR="001852F3">
        <w:t xml:space="preserve">蛋白情况</w:t>
      </w:r>
    </w:p>
    <w:p w:rsidR="0018722C">
      <w:pPr>
        <w:topLinePunct/>
      </w:pPr>
      <w:r>
        <w:t>各组细胞中</w:t>
      </w:r>
      <w:r>
        <w:t>HBx</w:t>
      </w:r>
      <w:r/>
      <w:r w:rsidR="001852F3">
        <w:t xml:space="preserve">蛋白表达情况如</w:t>
      </w:r>
      <w:r w:rsidR="001852F3">
        <w:t>图</w:t>
      </w:r>
      <w:r>
        <w:t>3</w:t>
      </w:r>
      <w:r/>
      <w:r w:rsidR="001852F3">
        <w:t xml:space="preserve">所示，仅有</w:t>
      </w:r>
      <w:r>
        <w:t>HepG2</w:t>
      </w:r>
      <w:r>
        <w:t>/</w:t>
      </w:r>
      <w:r>
        <w:t>HBx</w:t>
      </w:r>
      <w:r/>
      <w:r w:rsidR="001852F3">
        <w:t xml:space="preserve">细胞有</w:t>
      </w:r>
      <w:r>
        <w:t>HBx</w:t>
      </w:r>
      <w:r/>
      <w:r w:rsidR="001852F3">
        <w:t xml:space="preserve">蛋白</w:t>
      </w:r>
      <w:r>
        <w:t>表达，条带约</w:t>
      </w:r>
      <w:r>
        <w:t>17 kDa，</w:t>
      </w:r>
      <w:r>
        <w:t>并且经过传代</w:t>
      </w:r>
      <w:r>
        <w:t>30</w:t>
      </w:r>
      <w:r/>
      <w:r w:rsidR="001852F3">
        <w:t xml:space="preserve">代以上</w:t>
      </w:r>
      <w:r>
        <w:t>，HepG2</w:t>
      </w:r>
      <w:r>
        <w:t>/</w:t>
      </w:r>
      <w:r>
        <w:t>HBx</w:t>
      </w:r>
      <w:r/>
      <w:r w:rsidR="001852F3">
        <w:t xml:space="preserve">细胞仍有目的基因的表达</w:t>
      </w:r>
      <w:r>
        <w:t>（</w:t>
      </w:r>
      <w:r>
        <w:t>结果为列出</w:t>
      </w:r>
      <w:r>
        <w:t>）</w:t>
      </w:r>
      <w:r>
        <w:t>。而感染空载病毒的细胞与对照组细胞不表达</w:t>
      </w:r>
      <w:r>
        <w:t>HBx</w:t>
      </w:r>
      <w:r/>
      <w:r w:rsidR="001852F3">
        <w:t xml:space="preserve">蛋白。</w:t>
      </w:r>
    </w:p>
    <w:p w:rsidR="0018722C">
      <w:pPr>
        <w:pStyle w:val="affff5"/>
        <w:topLinePunct/>
      </w:pPr>
      <w:r>
        <w:rPr>
          <w:sz w:val="20"/>
        </w:rPr>
        <w:drawing>
          <wp:inline distT="0" distB="0" distL="0" distR="0">
            <wp:extent cx="3835311" cy="134245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3835311" cy="1342453"/>
                    </a:xfrm>
                    <a:prstGeom prst="rect">
                      <a:avLst/>
                    </a:prstGeom>
                  </pic:spPr>
                </pic:pic>
              </a:graphicData>
            </a:graphic>
          </wp:inline>
        </w:drawing>
      </w:r>
      <w:r/>
    </w:p>
    <w:p w:rsidR="0018722C">
      <w:pPr>
        <w:topLinePunct/>
      </w:pPr>
      <w:r>
        <w:t/>
      </w:r>
      <w:r>
        <w:t>图</w:t>
      </w:r>
      <w:r>
        <w:t>3</w:t>
      </w:r>
      <w:r>
        <w:t> </w:t>
      </w:r>
      <w:r>
        <w:t>Western</w:t>
      </w:r>
      <w:r>
        <w:t> </w:t>
      </w:r>
      <w:r>
        <w:t>blot</w:t>
      </w:r>
      <w:r/>
      <w:r w:rsidR="001852F3">
        <w:t xml:space="preserve">法检测各组细胞</w:t>
      </w:r>
      <w:r>
        <w:t>HBx</w:t>
      </w:r>
      <w:r/>
      <w:r w:rsidR="001852F3">
        <w:t xml:space="preserve">蛋白表达情况。</w:t>
      </w:r>
      <w:r>
        <w:t>HBx</w:t>
      </w:r>
      <w:r>
        <w:t xml:space="preserve">: </w:t>
      </w:r>
      <w:r>
        <w:t>HepG2</w:t>
      </w:r>
      <w:r>
        <w:t>/</w:t>
      </w:r>
      <w:r>
        <w:t>HBx</w:t>
      </w:r>
      <w:r/>
      <w:r w:rsidR="001852F3">
        <w:t xml:space="preserve">细胞;</w:t>
      </w:r>
    </w:p>
    <w:p w:rsidR="0018722C">
      <w:pPr>
        <w:topLinePunct/>
      </w:pPr>
      <w:r>
        <w:t>Mock</w:t>
      </w:r>
      <w:r>
        <w:t xml:space="preserve">: </w:t>
      </w:r>
      <w:r>
        <w:t>HepG2</w:t>
      </w:r>
      <w:r>
        <w:t>/</w:t>
      </w:r>
      <w:r>
        <w:t>mock</w:t>
      </w:r>
      <w:r w:rsidR="001852F3">
        <w:t xml:space="preserve">细胞; Control</w:t>
      </w:r>
      <w:r>
        <w:t xml:space="preserve">: </w:t>
      </w:r>
      <w:r>
        <w:t>HepG2</w:t>
      </w:r>
      <w:r w:rsidR="001852F3">
        <w:t xml:space="preserve">细胞</w:t>
      </w:r>
    </w:p>
    <w:p w:rsidR="0018722C">
      <w:pPr>
        <w:pStyle w:val="Heading2"/>
        <w:topLinePunct/>
        <w:ind w:left="171" w:hangingChars="171" w:hanging="171"/>
      </w:pPr>
      <w:bookmarkStart w:id="707265" w:name="_Toc686707265"/>
      <w:bookmarkStart w:name="五 讨论 " w:id="16"/>
      <w:bookmarkEnd w:id="16"/>
      <w:r>
        <w:t>五</w:t>
      </w:r>
      <w:r>
        <w:t xml:space="preserve"> </w:t>
      </w:r>
      <w:r w:rsidRPr="00DB64CE">
        <w:t>讨论</w:t>
      </w:r>
      <w:bookmarkEnd w:id="707265"/>
    </w:p>
    <w:p w:rsidR="0018722C">
      <w:pPr>
        <w:topLinePunct/>
      </w:pPr>
      <w:r>
        <w:t>为进一步探索</w:t>
      </w:r>
      <w:r>
        <w:t>HBx</w:t>
      </w:r>
      <w:r/>
      <w:r w:rsidR="001852F3">
        <w:t xml:space="preserve">蛋白与</w:t>
      </w:r>
      <w:r>
        <w:t>HCC</w:t>
      </w:r>
      <w:r/>
      <w:r w:rsidR="001852F3">
        <w:t xml:space="preserve">发生和转归的关系，且能更好地模拟乙肝病毒</w:t>
      </w:r>
      <w:r>
        <w:t>慢性感染过程，有必要建立稳定表达</w:t>
      </w:r>
      <w:r>
        <w:t>HBx</w:t>
      </w:r>
      <w:r/>
      <w:r w:rsidR="001852F3">
        <w:t xml:space="preserve">的</w:t>
      </w:r>
      <w:r>
        <w:t>HCC</w:t>
      </w:r>
      <w:r/>
      <w:r w:rsidR="001852F3">
        <w:t xml:space="preserve">细胞模型。乙肝病毒感染是个慢</w:t>
      </w:r>
      <w:r>
        <w:t>性过程，随着分子生物学的发展</w:t>
      </w:r>
      <w:r>
        <w:rPr>
          <w:rFonts w:hint="eastAsia"/>
        </w:rPr>
        <w:t>，</w:t>
      </w:r>
      <w:r w:rsidR="001852F3">
        <w:t xml:space="preserve">应用基因转导的技术在肝癌细胞稳定表达</w:t>
      </w:r>
      <w:r>
        <w:t>HBx</w:t>
      </w:r>
      <w:r>
        <w:t>是研究</w:t>
      </w:r>
      <w:r>
        <w:t>HBx</w:t>
      </w:r>
      <w:r/>
      <w:r w:rsidR="001852F3">
        <w:t xml:space="preserve">生物学功能与病理机制的重要手段，更符合</w:t>
      </w:r>
      <w:r>
        <w:t>HBV</w:t>
      </w:r>
      <w:r/>
      <w:r w:rsidR="001852F3">
        <w:t xml:space="preserve">感染的病理生理过程。而在把目的基因导入靶细胞过程中，载体起着关键作用。目前研究</w:t>
      </w:r>
      <w:r>
        <w:t>HBx</w:t>
      </w:r>
      <w:r/>
      <w:r w:rsidR="001852F3">
        <w:t xml:space="preserve">功能的载</w:t>
      </w:r>
      <w:r>
        <w:t>体主要有非病毒载体哺乳乳动物载体</w:t>
      </w:r>
      <w:r>
        <w:t>pSI-NES-X</w:t>
      </w:r>
      <w:r>
        <w:t>、真核载体</w:t>
      </w:r>
      <w:r>
        <w:t>peDNA-3．1</w:t>
      </w:r>
      <w:r>
        <w:t>(</w:t>
      </w:r>
      <w:r>
        <w:rPr>
          <w:spacing w:val="0"/>
        </w:rPr>
        <w:t xml:space="preserve">+</w:t>
      </w:r>
      <w:r>
        <w:t>)</w:t>
      </w:r>
      <w:r>
        <w:t xml:space="preserve">／</w:t>
      </w:r>
      <w:r>
        <w:t>v5-hisB-HBx，</w:t>
      </w:r>
      <w:r>
        <w:t>以及病毒载体包括慢病毒载体和腺病毒载体</w:t>
      </w:r>
      <w:r>
        <w:t>AdGFP-HBx</w:t>
      </w:r>
      <w:r/>
      <w:r w:rsidR="001852F3">
        <w:t xml:space="preserve">等</w:t>
      </w:r>
      <w:r>
        <w:rPr>
          <w:vertAlign w:val="superscript"/>
          /&gt;
        </w:rPr>
        <w:t>[</w:t>
      </w:r>
      <w:r>
        <w:rPr>
          <w:color w:val="080000"/>
          <w:vertAlign w:val="superscript"/>
          <w:position w:val="12"/>
        </w:rPr>
        <w:t xml:space="preserve">43-46</w:t>
      </w:r>
      <w:r>
        <w:rPr>
          <w:vertAlign w:val="superscript"/>
          /&gt;
        </w:rPr>
        <w:t>]</w:t>
      </w:r>
      <w:r>
        <w:t>。而非病毒载体存在转染效率低、表达时间短、可能改变宿主细胞遗传性状及保存不</w:t>
      </w:r>
      <w:r>
        <w:t>稳定性等问题</w:t>
      </w:r>
      <w:r>
        <w:rPr>
          <w:vertAlign w:val="superscript"/>
          /&gt;
        </w:rPr>
        <w:t>[</w:t>
      </w:r>
      <w:r>
        <w:rPr>
          <w:color w:val="080000"/>
          <w:vertAlign w:val="superscript"/>
          <w:position w:val="12"/>
        </w:rPr>
        <w:t xml:space="preserve">47</w:t>
      </w:r>
      <w:r>
        <w:rPr>
          <w:vertAlign w:val="superscript"/>
          /&gt;
        </w:rPr>
        <w:t>]</w:t>
      </w:r>
      <w:r>
        <w:t>，腺病毒载体腺病毒是双链</w:t>
      </w:r>
      <w:r>
        <w:t>DNA</w:t>
      </w:r>
      <w:r>
        <w:t>, 基因组游离于宿主基因组外</w:t>
      </w:r>
      <w:r>
        <w:rPr>
          <w:rFonts w:hint="eastAsia"/>
        </w:rPr>
        <w:t>，</w:t>
      </w:r>
      <w:r w:rsidR="001852F3">
        <w:t xml:space="preserve">也较难获得稳定表达的细胞株，且因会出现一些免疫应答反应而具有缺陷性</w:t>
      </w:r>
      <w:r>
        <w:rPr>
          <w:vertAlign w:val="superscript"/>
          /&gt;
        </w:rPr>
        <w:t>[</w:t>
      </w:r>
      <w:r>
        <w:rPr>
          <w:color w:val="080000"/>
          <w:vertAlign w:val="superscript"/>
          <w:position w:val="12"/>
        </w:rPr>
        <w:t xml:space="preserve">48</w:t>
      </w:r>
      <w:r>
        <w:rPr>
          <w:vertAlign w:val="superscript"/>
          /&gt;
        </w:rPr>
        <w:t>]</w:t>
      </w:r>
      <w:r>
        <w:t>。慢病毒载体可将目的基因整合至靶细胞基因组中，从而实现长期稳定地表达，具有转染非分裂细胞、装载外源性目的基因片段大、免疫反应小等特点</w:t>
      </w:r>
      <w:r>
        <w:rPr>
          <w:vertAlign w:val="superscript"/>
          /&gt;
        </w:rPr>
        <w:t>[</w:t>
      </w:r>
      <w:r>
        <w:rPr>
          <w:color w:val="080000"/>
          <w:position w:val="12"/>
          <w:sz w:val="12"/>
        </w:rPr>
        <w:t xml:space="preserve">41</w:t>
      </w:r>
      <w:r>
        <w:rPr>
          <w:color w:val="080000"/>
          <w:position w:val="12"/>
          <w:sz w:val="12"/>
        </w:rPr>
        <w:t>,</w:t>
      </w:r>
      <w:r>
        <w:rPr>
          <w:color w:val="080000"/>
          <w:position w:val="12"/>
          <w:sz w:val="12"/>
        </w:rPr>
        <w:t xml:space="preserve"> 42</w:t>
      </w:r>
      <w:r>
        <w:rPr>
          <w:vertAlign w:val="superscript"/>
          /&gt;
        </w:rPr>
        <w:t>]</w:t>
      </w:r>
      <w:r>
        <w:t>。</w:t>
      </w:r>
    </w:p>
    <w:p w:rsidR="0018722C">
      <w:pPr>
        <w:topLinePunct/>
      </w:pPr>
      <w:r>
        <w:t>本研究选用慢病毒系统成功构建了稳定表达</w:t>
      </w:r>
      <w:r>
        <w:t>HBx</w:t>
      </w:r>
      <w:r/>
      <w:r w:rsidR="001852F3">
        <w:t xml:space="preserve">的</w:t>
      </w:r>
      <w:r>
        <w:t>HepG2</w:t>
      </w:r>
      <w:r/>
      <w:r w:rsidR="001852F3">
        <w:t xml:space="preserve">细胞株</w:t>
      </w:r>
      <w:r>
        <w:t>，RT-PCR</w:t>
      </w:r>
      <w:r/>
      <w:r w:rsidR="001852F3">
        <w:t xml:space="preserve">和Western-blot</w:t>
      </w:r>
      <w:r/>
      <w:r w:rsidR="001852F3">
        <w:t xml:space="preserve">分析结果显示</w:t>
      </w:r>
      <w:r>
        <w:t>HepG2／HBx</w:t>
      </w:r>
      <w:r/>
      <w:r w:rsidR="001852F3">
        <w:t xml:space="preserve">细胞能够持续稳定表达</w:t>
      </w:r>
      <w:r>
        <w:t>HBx</w:t>
      </w:r>
      <w:r/>
      <w:r w:rsidR="001852F3">
        <w:t xml:space="preserve">基因。荧光显</w:t>
      </w:r>
      <w:r>
        <w:t>微镜下</w:t>
      </w:r>
      <w:r>
        <w:t>HepG2／HBx</w:t>
      </w:r>
      <w:r/>
      <w:r w:rsidR="001852F3">
        <w:t xml:space="preserve">细胞绿色荧光蛋白表达率</w:t>
      </w:r>
      <w:r>
        <w:t>95%以上，经过反复传代，HBx</w:t>
      </w:r>
      <w:r/>
      <w:r w:rsidR="001852F3">
        <w:t xml:space="preserve">始终</w:t>
      </w:r>
      <w:r>
        <w:t>保持着较高的表达水平。为后续研究</w:t>
      </w:r>
      <w:r>
        <w:t>HBx</w:t>
      </w:r>
      <w:r/>
      <w:r w:rsidR="001852F3">
        <w:t xml:space="preserve">在</w:t>
      </w:r>
      <w:r>
        <w:t>HCC</w:t>
      </w:r>
      <w:r/>
      <w:r w:rsidR="001852F3">
        <w:t xml:space="preserve">发生发展过程中的致病机制提供一个细胞模型。</w:t>
      </w:r>
    </w:p>
    <w:p w:rsidR="0018722C">
      <w:pPr>
        <w:pStyle w:val="Heading1"/>
        <w:topLinePunct/>
      </w:pPr>
      <w:bookmarkStart w:id="165567" w:name="_Ref665165567"/>
      <w:bookmarkStart w:id="707266" w:name="_Toc686707266"/>
      <w:bookmarkStart w:name="第二部分 HBx与COXIII在HepG2细胞中共定位及其对线粒体结构与功能的影" w:id="17"/>
      <w:bookmarkEnd w:id="17"/>
      <w:r>
        <w:rPr>
          <w:b/>
        </w:rPr>
        <w:t>第二部分 </w:t>
      </w:r>
      <w:r>
        <w:rPr>
          <w:b/>
        </w:rPr>
        <w:t>HBx</w:t>
      </w:r>
      <w:r w:rsidR="001852F3">
        <w:t xml:space="preserve">与</w:t>
      </w:r>
      <w:r>
        <w:rPr>
          <w:b/>
        </w:rPr>
        <w:t>COXIII</w:t>
      </w:r>
      <w:r w:rsidR="001852F3">
        <w:t xml:space="preserve">在</w:t>
      </w:r>
      <w:r>
        <w:rPr>
          <w:b/>
        </w:rPr>
        <w:t>HepG2</w:t>
      </w:r>
      <w:r w:rsidR="001852F3">
        <w:t xml:space="preserve">细胞中共定位及其对线粒体结</w:t>
      </w:r>
      <w:bookmarkEnd w:id="707266"/>
    </w:p>
    <w:bookmarkEnd w:id="165567"/>
    <w:p w:rsidR="0018722C">
      <w:pPr>
        <w:spacing w:before="231"/>
        <w:ind w:leftChars="0" w:left="3300" w:rightChars="0" w:right="0" w:firstLineChars="0" w:firstLine="0"/>
        <w:jc w:val="left"/>
        <w:topLinePunct/>
      </w:pPr>
      <w:r>
        <w:rPr>
          <w:kern w:val="2"/>
          <w:sz w:val="30"/>
          <w:szCs w:val="22"/>
          <w:rFonts w:cstheme="minorBidi" w:hAnsiTheme="minorHAnsi" w:eastAsiaTheme="minorHAnsi" w:asciiTheme="minorHAnsi"/>
          <w:b/>
          <w:w w:val="95"/>
        </w:rPr>
        <w:t>构与功能的影响</w:t>
      </w:r>
    </w:p>
    <w:p w:rsidR="0018722C">
      <w:pPr>
        <w:pStyle w:val="Heading2"/>
        <w:topLinePunct/>
        <w:ind w:left="171" w:hangingChars="171" w:hanging="171"/>
      </w:pPr>
      <w:bookmarkStart w:id="707267" w:name="_Toc686707267"/>
      <w:bookmarkStart w:name="一 引言 " w:id="18"/>
      <w:bookmarkEnd w:id="18"/>
      <w:r>
        <w:t>一</w:t>
      </w:r>
      <w:r>
        <w:t xml:space="preserve"> </w:t>
      </w:r>
      <w:r w:rsidRPr="00DB64CE">
        <w:t>引言</w:t>
      </w:r>
      <w:bookmarkEnd w:id="707267"/>
    </w:p>
    <w:p w:rsidR="0018722C">
      <w:pPr>
        <w:topLinePunct/>
      </w:pPr>
      <w:r>
        <w:t>HBx</w:t>
      </w:r>
      <w:r/>
      <w:r w:rsidR="001852F3">
        <w:t xml:space="preserve">发挥不同的生物学功能取决于它在细胞中的不同定位，绝大部分的</w:t>
      </w:r>
      <w:r>
        <w:t>HBx</w:t>
      </w:r>
      <w:r>
        <w:t>存在于细胞浆中，只有少量存在于细胞核中，而胞浆中有一部分</w:t>
      </w:r>
      <w:r>
        <w:t>HBx</w:t>
      </w:r>
      <w:r/>
      <w:r w:rsidR="001852F3">
        <w:t xml:space="preserve">定位于线粒体，影响线粒体的生理、代谢及其它相关功能</w:t>
      </w:r>
      <w:r>
        <w:rPr>
          <w:vertAlign w:val="superscript"/>
          /&gt;
        </w:rPr>
        <w:t>[</w:t>
      </w:r>
      <w:r>
        <w:rPr>
          <w:vertAlign w:val="superscript"/>
          /&gt;
        </w:rPr>
        <w:t xml:space="preserve">17</w:t>
      </w:r>
      <w:r>
        <w:rPr>
          <w:vertAlign w:val="superscript"/>
          /&gt;
        </w:rPr>
        <w:t>,</w:t>
      </w:r>
      <w:r>
        <w:rPr>
          <w:vertAlign w:val="superscript"/>
          /&gt;
        </w:rPr>
        <w:t xml:space="preserve"> 18</w:t>
      </w:r>
      <w:r>
        <w:rPr>
          <w:vertAlign w:val="superscript"/>
          /&gt;
        </w:rPr>
        <w:t>]</w:t>
      </w:r>
      <w:r>
        <w:t>。在</w:t>
      </w:r>
      <w:r w:rsidR="001852F3">
        <w:t xml:space="preserve">2000</w:t>
      </w:r>
      <w:r w:rsidR="001852F3">
        <w:t xml:space="preserve">年至</w:t>
      </w:r>
      <w:r w:rsidR="001852F3">
        <w:t xml:space="preserve">2005</w:t>
      </w:r>
      <w:r/>
      <w:r w:rsidR="001852F3">
        <w:t xml:space="preserve">年期间，</w:t>
      </w:r>
      <w:r>
        <w:t>课题申请人和课题组成员在利用酵母双杂合体系筛选乙型肝炎病毒</w:t>
      </w:r>
      <w:r>
        <w:t>X</w:t>
      </w:r>
      <w:r/>
      <w:r w:rsidR="001852F3">
        <w:t xml:space="preserve">结合蛋白</w:t>
      </w:r>
      <w:r>
        <w:t>的前期工作中发现编码线粒体内膜呼吸链复合物细胞色素</w:t>
      </w:r>
      <w:r>
        <w:t>C</w:t>
      </w:r>
      <w:r/>
      <w:r w:rsidR="001852F3">
        <w:t xml:space="preserve">氧化酶</w:t>
      </w:r>
      <w:r w:rsidR="001852F3">
        <w:t>Ⅲ</w:t>
      </w:r>
    </w:p>
    <w:p w:rsidR="0018722C">
      <w:pPr>
        <w:topLinePunct/>
      </w:pPr>
      <w:r>
        <w:t>（</w:t>
      </w:r>
      <w:r>
        <w:t xml:space="preserve">cytochrome c oxidase subunit III</w:t>
      </w:r>
      <w:r>
        <w:t xml:space="preserve">, </w:t>
      </w:r>
      <w:r>
        <w:t xml:space="preserve">COXIII</w:t>
      </w:r>
      <w:r>
        <w:t>）</w:t>
      </w:r>
      <w:r>
        <w:t>的克隆在肝细胞内同</w:t>
      </w:r>
      <w:r>
        <w:t>HBx</w:t>
      </w:r>
      <w:r/>
      <w:r w:rsidR="001852F3">
        <w:t xml:space="preserve">相结</w:t>
      </w:r>
      <w:r>
        <w:t>合，并通过假阳性筛除实验，离体实验和免疫共沉淀印迹实验多次验证了</w:t>
      </w:r>
      <w:r>
        <w:t>COXⅢ</w:t>
      </w:r>
      <w:r w:rsidR="001852F3">
        <w:t xml:space="preserve">与</w:t>
      </w:r>
      <w:r w:rsidR="001852F3">
        <w:t xml:space="preserve">HBx</w:t>
      </w:r>
      <w:r/>
      <w:r w:rsidR="001852F3">
        <w:t xml:space="preserve">的特异性结合作用，有充分实验数据支持筛选到的</w:t>
      </w:r>
      <w:r>
        <w:t>COXⅢ为一个新发现</w:t>
      </w:r>
      <w:r>
        <w:t>的</w:t>
      </w:r>
    </w:p>
    <w:p w:rsidR="0018722C">
      <w:pPr>
        <w:topLinePunct/>
      </w:pPr>
      <w:r>
        <w:t>HBx</w:t>
      </w:r>
      <w:r w:rsidR="001852F3">
        <w:t xml:space="preserve">体内结合蛋白</w:t>
      </w:r>
      <w:r>
        <w:rPr>
          <w:vertAlign w:val="superscript"/>
          /&gt;
        </w:rPr>
        <w:t>[</w:t>
      </w:r>
      <w:r>
        <w:rPr>
          <w:vertAlign w:val="superscript"/>
          /&gt;
        </w:rPr>
        <w:t xml:space="preserve">23</w:t>
      </w:r>
      <w:r>
        <w:rPr>
          <w:vertAlign w:val="superscript"/>
          /&gt;
        </w:rPr>
        <w:t>,</w:t>
      </w:r>
      <w:r>
        <w:rPr>
          <w:vertAlign w:val="superscript"/>
          /&gt;
        </w:rPr>
        <w:t xml:space="preserve"> 24</w:t>
      </w:r>
      <w:r>
        <w:rPr>
          <w:vertAlign w:val="superscript"/>
          /&gt;
        </w:rPr>
        <w:t>]</w:t>
      </w:r>
      <w:r>
        <w:t>。这一个新发现指引课题组将研究深入到</w:t>
      </w:r>
      <w:r w:rsidR="001852F3">
        <w:t xml:space="preserve">HBx</w:t>
      </w:r>
      <w:r w:rsidR="001852F3">
        <w:t xml:space="preserve">作用的最基础起始点——体内结合蛋白</w:t>
      </w:r>
      <w:r w:rsidR="001852F3">
        <w:t xml:space="preserve">COXIII。</w:t>
      </w:r>
    </w:p>
    <w:p w:rsidR="0018722C">
      <w:pPr>
        <w:topLinePunct/>
      </w:pPr>
      <w:r>
        <w:t>细胞色</w:t>
      </w:r>
      <w:r>
        <w:t>素</w:t>
      </w:r>
      <w:r/>
      <w:r>
        <w:t>C</w:t>
      </w:r>
      <w:r/>
      <w:r>
        <w:t>氧化</w:t>
      </w:r>
      <w:r>
        <w:t>酶</w:t>
      </w:r>
      <w:r>
        <w:t>(</w:t>
      </w:r>
      <w:r>
        <w:t>COX</w:t>
      </w:r>
      <w:r>
        <w:rPr>
          <w:spacing w:val="5"/>
        </w:rPr>
        <w:t>或复合</w:t>
      </w:r>
      <w:r>
        <w:t>物</w:t>
      </w:r>
      <w:r>
        <w:t>IV</w:t>
      </w:r>
      <w:r>
        <w:t>)</w:t>
      </w:r>
      <w:r>
        <w:t>是线粒体呼吸电子传递链的终</w:t>
      </w:r>
      <w:r>
        <w:t>端</w:t>
      </w:r>
      <w:r w:rsidR="001852F3">
        <w:t xml:space="preserve">酶</w:t>
      </w:r>
      <w:r>
        <w:t>，</w:t>
      </w:r>
      <w:r>
        <w:t>由</w:t>
      </w:r>
      <w:r/>
      <w:r>
        <w:t>3</w:t>
      </w:r>
      <w:r/>
      <w:r>
        <w:t>个线粒体</w:t>
      </w:r>
      <w:r w:rsidR="001852F3">
        <w:t xml:space="preserve">DNA</w:t>
      </w:r>
      <w:r w:rsidR="001852F3">
        <w:t xml:space="preserve">编码的亚</w:t>
      </w:r>
      <w:r>
        <w:t>基</w:t>
      </w:r>
      <w:r>
        <w:t>（</w:t>
      </w:r>
      <w:r>
        <w:t>COXI、</w:t>
      </w:r>
      <w:r>
        <w:t>COXII</w:t>
      </w:r>
      <w:r>
        <w:rPr>
          <w:spacing w:val="-8"/>
        </w:rPr>
        <w:t>、</w:t>
      </w:r>
      <w:r>
        <w:rPr>
          <w:spacing w:val="-2"/>
        </w:rPr>
        <w:t>COXIII</w:t>
      </w:r>
      <w:r>
        <w:t>）</w:t>
      </w:r>
      <w:r>
        <w:t>和</w:t>
      </w:r>
      <w:r w:rsidR="001852F3">
        <w:t xml:space="preserve">10</w:t>
      </w:r>
      <w:r/>
      <w:r>
        <w:t>个核</w:t>
      </w:r>
      <w:r w:rsidR="001852F3">
        <w:t xml:space="preserve">DNA</w:t>
      </w:r>
      <w:r w:rsidR="001852F3">
        <w:t xml:space="preserve">编码的亚基组成</w:t>
      </w:r>
      <w:r>
        <w:t>。</w:t>
      </w:r>
      <w:r>
        <w:t>它接受来自</w:t>
      </w:r>
      <w:r w:rsidR="001852F3">
        <w:t xml:space="preserve">4</w:t>
      </w:r>
      <w:r/>
      <w:r>
        <w:t>个细胞色素</w:t>
      </w:r>
      <w:r w:rsidR="001852F3">
        <w:t xml:space="preserve">c</w:t>
      </w:r>
      <w:r w:rsidR="001852F3">
        <w:t xml:space="preserve">的</w:t>
      </w:r>
      <w:r w:rsidR="001852F3">
        <w:t xml:space="preserve">4</w:t>
      </w:r>
      <w:r/>
      <w:r>
        <w:t>个电子</w:t>
      </w:r>
      <w:r>
        <w:t>，</w:t>
      </w:r>
      <w:r>
        <w:t>传递到一个氧分子上，</w:t>
      </w:r>
      <w:r w:rsidR="001852F3">
        <w:t xml:space="preserve">将氧气转化为两个水分子。在这一进程中，它结合来自基质内的</w:t>
      </w:r>
      <w:r w:rsidR="001852F3">
        <w:t xml:space="preserve">4</w:t>
      </w:r>
      <w:r/>
      <w:r>
        <w:t>质子来制造水分子</w:t>
      </w:r>
      <w:r>
        <w:t>，</w:t>
      </w:r>
      <w:r>
        <w:t>同时跨膜转运</w:t>
      </w:r>
      <w:r/>
      <w:r>
        <w:t>4</w:t>
      </w:r>
      <w:r/>
      <w:r>
        <w:t>个质子</w:t>
      </w:r>
      <w:r>
        <w:t>，</w:t>
      </w:r>
      <w:r>
        <w:t>正是这种质子传</w:t>
      </w:r>
      <w:r>
        <w:t>递</w:t>
      </w:r>
      <w:r>
        <w:t>（</w:t>
      </w:r>
      <w:r>
        <w:t>proton</w:t>
      </w:r>
      <w:r>
        <w:rPr>
          <w:spacing w:val="-30"/>
        </w:rPr>
        <w:t> </w:t>
      </w:r>
      <w:r>
        <w:t>pump</w:t>
      </w:r>
      <w:r>
        <w:t>）</w:t>
      </w:r>
      <w:r>
        <w:t>功能形成了跨膜的质子电化学势能</w:t>
      </w:r>
      <w:r>
        <w:t>差</w:t>
      </w:r>
      <w:r>
        <w:t>（</w:t>
      </w:r>
      <w:r>
        <w:t xml:space="preserve">ΔΨ</w:t>
      </w:r>
      <w:r w:rsidR="001852F3">
        <w:t xml:space="preserve">m</w:t>
      </w:r>
      <w:r>
        <w:t>）</w:t>
      </w:r>
      <w:r>
        <w:t>，</w:t>
      </w:r>
      <w:r>
        <w:t>而这一势能差可以被三磷酸腺苷合酶用于制造生物体中最基本的能量分子</w:t>
      </w:r>
      <w:r w:rsidR="001852F3">
        <w:t xml:space="preserve">ATP</w:t>
      </w:r>
      <w:r>
        <w:rPr>
          <w:vertAlign w:val="superscript"/>
          /&gt;
        </w:rPr>
        <w:t>[</w:t>
      </w:r>
      <w:r>
        <w:rPr>
          <w:vertAlign w:val="superscript"/>
          /&gt;
        </w:rPr>
        <w:t>25,</w:t>
      </w:r>
      <w:r>
        <w:rPr>
          <w:vertAlign w:val="superscript"/>
          /&gt;
        </w:rPr>
        <w:t> </w:t>
      </w:r>
      <w:r>
        <w:rPr>
          <w:vertAlign w:val="superscript"/>
          /&gt;
        </w:rPr>
        <w:t>26</w:t>
      </w:r>
      <w:r>
        <w:rPr>
          <w:vertAlign w:val="superscript"/>
          /&gt;
        </w:rPr>
        <w:t>]</w:t>
      </w:r>
      <w:r>
        <w:rPr>
          <w:spacing w:val="-8"/>
        </w:rPr>
        <w:t xml:space="preserve">. </w:t>
      </w:r>
      <w:r>
        <w:t>COXIII</w:t>
      </w:r>
      <w:r w:rsidR="001852F3">
        <w:t xml:space="preserve">是复合物</w:t>
      </w:r>
      <w:r/>
      <w:r>
        <w:t>IV</w:t>
      </w:r>
      <w:r>
        <w:t>（</w:t>
      </w:r>
      <w:r>
        <w:t>即</w:t>
      </w:r>
      <w:r>
        <w:rPr>
          <w:spacing w:val="-2"/>
        </w:rPr>
        <w:t>COX</w:t>
      </w:r>
      <w:r>
        <w:t>）</w:t>
      </w:r>
      <w:r>
        <w:t>的主要组成亚单位</w:t>
      </w:r>
      <w:r>
        <w:t>，</w:t>
      </w:r>
      <w:r>
        <w:t>是调节</w:t>
      </w:r>
      <w:r/>
      <w:r>
        <w:t>COX</w:t>
      </w:r>
      <w:r/>
      <w:r>
        <w:t>的装配以及酶活性的重要亚基</w:t>
      </w:r>
      <w:r>
        <w:rPr>
          <w:vertAlign w:val="superscript"/>
          /&gt;
        </w:rPr>
        <w:t>[</w:t>
      </w:r>
      <w:r>
        <w:rPr>
          <w:color w:val="080000"/>
          <w:vertAlign w:val="superscript"/>
          <w:position w:val="12"/>
        </w:rPr>
        <w:t xml:space="preserve">30</w:t>
      </w:r>
      <w:r>
        <w:rPr>
          <w:vertAlign w:val="superscript"/>
          /&gt;
        </w:rPr>
        <w:t>]</w:t>
      </w:r>
      <w:r>
        <w:t>，COX</w:t>
      </w:r>
      <w:r/>
      <w:r>
        <w:t>的生物合成功能是线粒体生物合成功能的一个关键组成部分</w:t>
      </w:r>
      <w:r>
        <w:rPr>
          <w:vertAlign w:val="superscript"/>
          /&gt;
        </w:rPr>
        <w:t>[</w:t>
      </w:r>
      <w:r>
        <w:rPr>
          <w:color w:val="080000"/>
          <w:vertAlign w:val="superscript"/>
          <w:position w:val="12"/>
        </w:rPr>
        <w:t xml:space="preserve">27</w:t>
      </w:r>
      <w:r>
        <w:rPr>
          <w:vertAlign w:val="superscript"/>
          /&gt;
        </w:rPr>
        <w:t>]</w:t>
      </w:r>
      <w:r>
        <w:rPr>
          <w:vertAlign w:val="superscript"/>
          /&gt;
        </w:rPr>
        <w:t xml:space="preserve">  </w:t>
      </w:r>
      <w:r>
        <w:t>。</w:t>
      </w:r>
    </w:p>
    <w:p w:rsidR="0018722C">
      <w:pPr>
        <w:topLinePunct/>
      </w:pPr>
      <w:r>
        <w:t>本部分试验中，我们应用激光共聚焦显微镜观察</w:t>
      </w:r>
      <w:r>
        <w:t>COXⅢ</w:t>
      </w:r>
      <w:r>
        <w:t>和</w:t>
      </w:r>
      <w:r>
        <w:t>HBx</w:t>
      </w:r>
      <w:r/>
      <w:r w:rsidR="001852F3">
        <w:t xml:space="preserve">蛋白在</w:t>
      </w:r>
      <w:r>
        <w:t>HepG2</w:t>
      </w:r>
      <w:r/>
      <w:r w:rsidR="001852F3">
        <w:t xml:space="preserve">细</w:t>
      </w:r>
      <w:r>
        <w:t>胞中共定位；用</w:t>
      </w:r>
      <w:r>
        <w:t>RT-PCR</w:t>
      </w:r>
      <w:r/>
      <w:r w:rsidR="001852F3">
        <w:t xml:space="preserve">检测</w:t>
      </w:r>
      <w:r>
        <w:t>HepG2</w:t>
      </w:r>
      <w:r>
        <w:t>/</w:t>
      </w:r>
      <w:r>
        <w:t>HBx</w:t>
      </w:r>
      <w:r>
        <w:t>、</w:t>
      </w:r>
      <w:r>
        <w:t>HepG2</w:t>
      </w:r>
      <w:r>
        <w:t>/</w:t>
      </w:r>
      <w:r>
        <w:t>mock</w:t>
      </w:r>
      <w:r>
        <w:t>、</w:t>
      </w:r>
      <w:r>
        <w:t>HepG2</w:t>
      </w:r>
      <w:r/>
      <w:r w:rsidR="001852F3">
        <w:t xml:space="preserve">三组细胞内</w:t>
      </w:r>
      <w:r>
        <w:t>COXⅢ</w:t>
      </w:r>
      <w:r w:rsidR="001852F3">
        <w:t xml:space="preserve">mRNA</w:t>
      </w:r>
      <w:r>
        <w:t>水平表达变化；以</w:t>
      </w:r>
      <w:r>
        <w:t>Western blot</w:t>
      </w:r>
      <w:r/>
      <w:r w:rsidR="001852F3">
        <w:t xml:space="preserve">检测三组细胞线粒体内</w:t>
      </w:r>
      <w:r>
        <w:t>COXⅢ蛋白水平表达的改</w:t>
      </w:r>
      <w:r>
        <w:t>变；并通过比色法测定细胞色素</w:t>
      </w:r>
      <w:r>
        <w:t>C</w:t>
      </w:r>
      <w:r/>
      <w:r w:rsidR="001852F3">
        <w:t xml:space="preserve">氧化酶</w:t>
      </w:r>
      <w:r>
        <w:t>（</w:t>
      </w:r>
      <w:r>
        <w:t>Cytochrome</w:t>
      </w:r>
      <w:r>
        <w:rPr>
          <w:spacing w:val="-4"/>
        </w:rPr>
        <w:t> </w:t>
      </w:r>
      <w:r>
        <w:t>C</w:t>
      </w:r>
      <w:r>
        <w:rPr>
          <w:spacing w:val="-4"/>
        </w:rPr>
        <w:t> </w:t>
      </w:r>
      <w:r>
        <w:t>oxidase</w:t>
      </w:r>
      <w:r>
        <w:t xml:space="preserve">, </w:t>
      </w:r>
      <w:r>
        <w:t>COX</w:t>
      </w:r>
      <w:r>
        <w:t>）</w:t>
      </w:r>
      <w:r>
        <w:t>活性改</w:t>
      </w:r>
      <w:r>
        <w:t>变、流式细胞仪检测线粒体膜电位</w:t>
      </w:r>
      <w:r>
        <w:t>（</w:t>
      </w:r>
      <w:r>
        <w:t>ΔΨm</w:t>
      </w:r>
      <w:r>
        <w:t>）</w:t>
      </w:r>
      <w:r>
        <w:t>改变、透射电镜观察</w:t>
      </w:r>
      <w:r>
        <w:t>HepG2</w:t>
      </w:r>
      <w:r>
        <w:t>/</w:t>
      </w:r>
      <w:r>
        <w:t>HBx</w:t>
      </w:r>
      <w:r/>
      <w:r w:rsidR="001852F3">
        <w:t xml:space="preserve">细</w:t>
      </w:r>
      <w:r w:rsidR="001852F3">
        <w:t>胞</w:t>
      </w:r>
    </w:p>
    <w:p w:rsidR="0018722C">
      <w:pPr>
        <w:topLinePunct/>
      </w:pPr>
      <w:r>
        <w:t>内线粒体超微结构的变化、进一步探讨</w:t>
      </w:r>
      <w:r>
        <w:t>HBx</w:t>
      </w:r>
      <w:r/>
      <w:r w:rsidR="001852F3">
        <w:t xml:space="preserve">与</w:t>
      </w:r>
      <w:r>
        <w:t>COXIII</w:t>
      </w:r>
      <w:r/>
      <w:r w:rsidR="001852F3">
        <w:t xml:space="preserve">共定位后对线粒体结构和功能的影响。</w:t>
      </w:r>
    </w:p>
    <w:p w:rsidR="0018722C">
      <w:pPr>
        <w:pStyle w:val="Heading2"/>
        <w:topLinePunct/>
        <w:ind w:left="171" w:hangingChars="171" w:hanging="171"/>
      </w:pPr>
      <w:bookmarkStart w:id="707268" w:name="_Toc686707268"/>
      <w:bookmarkStart w:name="二 实验材料与实验仪器 " w:id="19"/>
      <w:bookmarkEnd w:id="19"/>
      <w:r>
        <w:t>二</w:t>
      </w:r>
      <w:r>
        <w:t xml:space="preserve"> </w:t>
      </w:r>
      <w:r w:rsidRPr="00DB64CE">
        <w:t>实验材料与实验仪器</w:t>
      </w:r>
      <w:bookmarkEnd w:id="707268"/>
    </w:p>
    <w:p w:rsidR="0018722C">
      <w:pPr>
        <w:pStyle w:val="Heading3"/>
        <w:topLinePunct/>
        <w:ind w:left="200" w:hangingChars="200" w:hanging="200"/>
      </w:pPr>
      <w:r>
        <w:rPr>
          <w:b/>
        </w:rPr>
        <w:t>1</w:t>
      </w:r>
      <w:r>
        <w:t xml:space="preserve"> </w:t>
      </w:r>
      <w:r>
        <w:t>主要实验材料</w:t>
      </w:r>
    </w:p>
    <w:p w:rsidR="0018722C">
      <w:pPr>
        <w:topLinePunct/>
      </w:pPr>
      <w:r>
        <w:t>TRIzol</w:t>
      </w:r>
      <w:r/>
      <w:r>
        <w:t>试剂盒</w:t>
      </w:r>
      <w:r w:rsidR="001852F3">
        <w:t>Invitrogen</w:t>
      </w:r>
      <w:r/>
      <w:r>
        <w:t>公司</w:t>
      </w:r>
    </w:p>
    <w:p w:rsidR="0018722C">
      <w:pPr>
        <w:topLinePunct/>
      </w:pPr>
      <w:r>
        <w:t>RT-PCR</w:t>
      </w:r>
      <w:r/>
      <w:r>
        <w:t>试剂盒</w:t>
      </w:r>
      <w:r w:rsidR="001852F3">
        <w:t>Thermo</w:t>
      </w:r>
      <w:r/>
      <w:r>
        <w:t>公司</w:t>
      </w:r>
    </w:p>
    <w:p w:rsidR="0018722C">
      <w:pPr>
        <w:pStyle w:val="BodyText"/>
        <w:tabs>
          <w:tab w:pos="4666" w:val="left" w:leader="none"/>
        </w:tabs>
        <w:spacing w:before="154"/>
        <w:ind w:leftChars="0" w:left="105"/>
        <w:topLinePunct/>
      </w:pPr>
      <w:r>
        <w:t>线粒体抽提试剂盒</w:t>
      </w:r>
      <w:r w:rsidR="001852F3">
        <w:t>Piecer</w:t>
      </w:r>
      <w:r>
        <w:t>公司</w:t>
      </w:r>
    </w:p>
    <w:p w:rsidR="0018722C">
      <w:pPr>
        <w:topLinePunct/>
      </w:pPr>
      <w:r>
        <w:t>线粒体膜电位检测试剂盒</w:t>
      </w:r>
      <w:r/>
      <w:r>
        <w:t>TMRM</w:t>
      </w:r>
      <w:r w:rsidRPr="00000000">
        <w:tab/>
        <w:t>Immunochemistry</w:t>
      </w:r>
      <w:r/>
      <w:r>
        <w:t>公司</w:t>
      </w:r>
    </w:p>
    <w:p w:rsidR="0018722C">
      <w:pPr>
        <w:topLinePunct/>
      </w:pPr>
      <w:r>
        <w:t>细胞色素</w:t>
      </w:r>
      <w:r>
        <w:t> </w:t>
      </w:r>
      <w:r>
        <w:t>C</w:t>
      </w:r>
      <w:r>
        <w:t> </w:t>
      </w:r>
      <w:r>
        <w:t>氧化酶活性测定试剂盒</w:t>
      </w:r>
      <w:r w:rsidRPr="00000000">
        <w:tab/>
      </w:r>
      <w:r>
        <w:t>上海杰美基因医药科技有限公司 ft羊抗人</w:t>
      </w:r>
      <w:r>
        <w:t> </w:t>
      </w:r>
      <w:r>
        <w:t>COXⅢ多克隆抗体</w:t>
      </w:r>
      <w:r w:rsidRPr="00000000">
        <w:tab/>
        <w:tab/>
      </w:r>
      <w:r>
        <w:t>SantaCruz</w:t>
      </w:r>
      <w:r>
        <w:t> </w:t>
      </w:r>
      <w:r>
        <w:t>公</w:t>
      </w:r>
      <w:r>
        <w:t>司</w:t>
      </w:r>
    </w:p>
    <w:p w:rsidR="0018722C">
      <w:pPr>
        <w:topLinePunct/>
      </w:pPr>
      <w:r>
        <w:t>小鼠抗人</w:t>
      </w:r>
      <w:r/>
      <w:r>
        <w:t>FLAG</w:t>
      </w:r>
      <w:r/>
      <w:r>
        <w:t>单克隆抗体</w:t>
      </w:r>
      <w:r w:rsidR="001852F3">
        <w:t>Abmart</w:t>
      </w:r>
      <w:r/>
      <w:r>
        <w:t>公司</w:t>
      </w:r>
    </w:p>
    <w:p w:rsidR="0018722C">
      <w:pPr>
        <w:topLinePunct/>
      </w:pPr>
      <w:r>
        <w:t>驴抗小鼠</w:t>
      </w:r>
      <w:r/>
      <w:r>
        <w:t>CFTM488</w:t>
      </w:r>
      <w:r/>
      <w:r>
        <w:t>荧光二抗</w:t>
      </w:r>
      <w:r w:rsidR="001852F3">
        <w:t>Sigma</w:t>
      </w:r>
      <w:r/>
      <w:r>
        <w:t>公司</w:t>
      </w:r>
    </w:p>
    <w:p w:rsidR="0018722C">
      <w:pPr>
        <w:topLinePunct/>
      </w:pPr>
      <w:r>
        <w:t>驴抗ft羊</w:t>
      </w:r>
      <w:r/>
      <w:r>
        <w:t>CFTM350</w:t>
      </w:r>
      <w:r/>
      <w:r>
        <w:t>荧光二抗</w:t>
      </w:r>
      <w:r w:rsidR="001852F3">
        <w:t>Sigma</w:t>
      </w:r>
      <w:r/>
      <w:r>
        <w:t>公司</w:t>
      </w:r>
    </w:p>
    <w:p w:rsidR="0018722C">
      <w:pPr>
        <w:topLinePunct/>
      </w:pPr>
      <w:r>
        <w:t>线粒体染料</w:t>
      </w:r>
      <w:r/>
      <w:r>
        <w:t>MitoTrackerRed</w:t>
      </w:r>
      <w:r w:rsidRPr="00000000">
        <w:tab/>
        <w:t>Molecular Probes</w:t>
      </w:r>
      <w:r/>
      <w:r>
        <w:t>公司</w:t>
      </w:r>
    </w:p>
    <w:p w:rsidR="0018722C">
      <w:pPr>
        <w:topLinePunct/>
      </w:pPr>
      <w:r>
        <w:t>抗荧光淬灭</w:t>
      </w:r>
      <w:r w:rsidR="001852F3">
        <w:t>碧云天生物科技有限公司</w:t>
      </w:r>
    </w:p>
    <w:p w:rsidR="0018722C">
      <w:pPr>
        <w:topLinePunct/>
      </w:pPr>
      <w:r>
        <w:t>小鼠抗人β-actin</w:t>
      </w:r>
      <w:r>
        <w:t> </w:t>
      </w:r>
      <w:r>
        <w:t>单克隆抗体</w:t>
      </w:r>
      <w:r w:rsidRPr="00000000">
        <w:tab/>
        <w:t>北京中杉金桥生物技术有限公司马抗ft羊二抗</w:t>
      </w:r>
      <w:r w:rsidRPr="00000000">
        <w:tab/>
        <w:tab/>
        <w:t>北京中杉金桥生物技术有限公司</w:t>
      </w:r>
    </w:p>
    <w:p w:rsidR="0018722C">
      <w:pPr>
        <w:topLinePunct/>
      </w:pPr>
      <w:r>
        <w:t>兔抗小鼠二抗</w:t>
      </w:r>
      <w:r w:rsidR="001852F3">
        <w:t>北京中杉金桥生物技术有限公司</w:t>
      </w:r>
    </w:p>
    <w:p w:rsidR="0018722C">
      <w:pPr>
        <w:topLinePunct/>
      </w:pPr>
      <w:r>
        <w:t>蛋白印迹</w:t>
      </w:r>
      <w:r/>
      <w:r>
        <w:t>ECL</w:t>
      </w:r>
      <w:r/>
      <w:r>
        <w:t>显色试剂购</w:t>
      </w:r>
      <w:r w:rsidR="001852F3">
        <w:t>北京中杉金桥生物技术有限公司</w:t>
      </w:r>
    </w:p>
    <w:p w:rsidR="0018722C">
      <w:pPr>
        <w:pStyle w:val="Heading3"/>
        <w:topLinePunct/>
        <w:ind w:left="200" w:hangingChars="200" w:hanging="200"/>
      </w:pPr>
      <w:r>
        <w:rPr>
          <w:b/>
        </w:rPr>
        <w:t>2</w:t>
      </w:r>
      <w:r>
        <w:t xml:space="preserve"> </w:t>
      </w:r>
      <w:r>
        <w:t>主要实验仪器</w:t>
      </w:r>
    </w:p>
    <w:p w:rsidR="0018722C">
      <w:pPr>
        <w:topLinePunct/>
      </w:pPr>
      <w:r>
        <w:t>无菌洁净工作台</w:t>
      </w:r>
      <w:r w:rsidR="001852F3">
        <w:t>苏州净化设备有限公司</w:t>
      </w:r>
    </w:p>
    <w:p w:rsidR="0018722C">
      <w:pPr>
        <w:topLinePunct/>
      </w:pPr>
      <w:r>
        <w:t>PCR 仪 AB2720 型</w:t>
      </w:r>
      <w:r w:rsidRPr="00000000">
        <w:tab/>
        <w:t>美国 AB</w:t>
      </w:r>
      <w:r>
        <w:t> </w:t>
      </w:r>
      <w:r>
        <w:t>公司</w:t>
      </w:r>
    </w:p>
    <w:p w:rsidR="0018722C">
      <w:pPr>
        <w:topLinePunct/>
      </w:pPr>
      <w:r>
        <w:t>稳压稳流电泳仪</w:t>
      </w:r>
      <w:r w:rsidR="001852F3">
        <w:t xml:space="preserve">DYY-5</w:t>
      </w:r>
      <w:r/>
      <w:r>
        <w:t>型</w:t>
      </w:r>
      <w:r w:rsidR="001852F3">
        <w:t>北京六一仪器厂</w:t>
      </w:r>
    </w:p>
    <w:p w:rsidR="0018722C">
      <w:pPr>
        <w:topLinePunct/>
      </w:pPr>
      <w:r>
        <w:t>CO2</w:t>
      </w:r>
      <w:r/>
      <w:r>
        <w:t>培养箱</w:t>
      </w:r>
      <w:r>
        <w:t>(</w:t>
      </w:r>
      <w:r>
        <w:t>2300</w:t>
      </w:r>
      <w:r/>
      <w:r>
        <w:t>型</w:t>
      </w:r>
      <w:r>
        <w:t>)</w:t>
      </w:r>
      <w:r w:rsidR="001852F3">
        <w:t>美国</w:t>
      </w:r>
      <w:r/>
      <w:r>
        <w:t>shelden</w:t>
      </w:r>
      <w:r/>
      <w:r>
        <w:t>公司</w:t>
      </w:r>
    </w:p>
    <w:p w:rsidR="0018722C">
      <w:pPr>
        <w:topLinePunct/>
      </w:pPr>
      <w:r>
        <w:t>荧光倒置显微镜</w:t>
      </w:r>
      <w:r/>
      <w:r>
        <w:t>TE-20000U</w:t>
      </w:r>
      <w:r w:rsidR="001852F3">
        <w:t>日本尼康</w:t>
      </w:r>
    </w:p>
    <w:p w:rsidR="0018722C">
      <w:pPr>
        <w:topLinePunct/>
      </w:pPr>
      <w:r>
        <w:t>低温高速台式离心机</w:t>
      </w:r>
      <w:r/>
      <w:r>
        <w:t>5810R</w:t>
      </w:r>
      <w:r w:rsidR="001852F3">
        <w:t>德国</w:t>
      </w:r>
      <w:r/>
      <w:r>
        <w:t>Eppendorf</w:t>
      </w:r>
      <w:r/>
      <w:r>
        <w:t>公司</w:t>
      </w:r>
    </w:p>
    <w:p w:rsidR="0018722C">
      <w:pPr>
        <w:topLinePunct/>
      </w:pPr>
      <w:r>
        <w:t>凝胶成像系统</w:t>
      </w:r>
      <w:r/>
      <w:r>
        <w:t>IS2000-200</w:t>
      </w:r>
      <w:r w:rsidR="001852F3">
        <w:t>美国</w:t>
      </w:r>
      <w:r/>
      <w:r>
        <w:t>Alpha</w:t>
      </w:r>
      <w:r/>
      <w:r>
        <w:t>公司</w:t>
      </w:r>
    </w:p>
    <w:p w:rsidR="0018722C">
      <w:pPr>
        <w:topLinePunct/>
      </w:pPr>
      <w:r>
        <w:t>蛋白电泳及转印设备</w:t>
      </w:r>
      <w:r w:rsidR="001852F3">
        <w:t>美国</w:t>
      </w:r>
      <w:r/>
      <w:r>
        <w:t>Bio-Rad</w:t>
      </w:r>
      <w:r/>
      <w:r>
        <w:t>公司</w:t>
      </w:r>
    </w:p>
    <w:p w:rsidR="0018722C">
      <w:pPr>
        <w:topLinePunct/>
      </w:pPr>
      <w:r>
        <w:t>激光共聚焦显微镜</w:t>
      </w:r>
      <w:r>
        <w:t>(</w:t>
      </w:r>
      <w:r>
        <w:t>Leica-SP5</w:t>
      </w:r>
      <w:r>
        <w:t>)</w:t>
      </w:r>
      <w:r w:rsidR="001852F3">
        <w:t>德国</w:t>
      </w:r>
      <w:r/>
      <w:r>
        <w:t>Leica</w:t>
      </w:r>
      <w:r/>
      <w:r>
        <w:t>公司</w:t>
      </w:r>
    </w:p>
    <w:p w:rsidR="0018722C">
      <w:pPr>
        <w:topLinePunct/>
      </w:pPr>
      <w:r>
        <w:t>流式细胞仪</w:t>
      </w:r>
      <w:r/>
      <w:r>
        <w:t>C6</w:t>
      </w:r>
      <w:r w:rsidR="001852F3">
        <w:t>美国</w:t>
      </w:r>
      <w:r/>
      <w:r>
        <w:t>BD</w:t>
      </w:r>
      <w:r/>
      <w:r>
        <w:t>公司</w:t>
      </w:r>
    </w:p>
    <w:p w:rsidR="0018722C">
      <w:pPr>
        <w:topLinePunct/>
      </w:pPr>
      <w:r>
        <w:t>EM208</w:t>
      </w:r>
      <w:r/>
      <w:r>
        <w:t>型透射电镜</w:t>
      </w:r>
      <w:r w:rsidR="001852F3">
        <w:t>PHILIPS</w:t>
      </w:r>
      <w:r/>
      <w:r>
        <w:t>公司</w:t>
      </w:r>
    </w:p>
    <w:p w:rsidR="0018722C">
      <w:pPr>
        <w:pStyle w:val="BodyText"/>
        <w:tabs>
          <w:tab w:pos="4663" w:val="left" w:leader="none"/>
        </w:tabs>
        <w:spacing w:before="154"/>
        <w:ind w:leftChars="0" w:left="102"/>
        <w:topLinePunct/>
      </w:pPr>
      <w:r>
        <w:t>酶标仪</w:t>
      </w:r>
      <w:r w:rsidR="001852F3">
        <w:t>美国</w:t>
      </w:r>
      <w:r>
        <w:t>Bio-Rad</w:t>
      </w:r>
      <w:r>
        <w:t>公司</w:t>
      </w:r>
    </w:p>
    <w:p w:rsidR="0018722C">
      <w:pPr>
        <w:pStyle w:val="Heading2"/>
        <w:topLinePunct/>
        <w:ind w:left="171" w:hangingChars="171" w:hanging="171"/>
      </w:pPr>
      <w:bookmarkStart w:id="707269" w:name="_Toc686707269"/>
      <w:bookmarkStart w:name="三 实验步骤 " w:id="20"/>
      <w:bookmarkEnd w:id="20"/>
      <w:r>
        <w:t>三</w:t>
      </w:r>
      <w:r>
        <w:t xml:space="preserve"> </w:t>
      </w:r>
      <w:r w:rsidRPr="00DB64CE">
        <w:t>实验步骤</w:t>
      </w:r>
      <w:bookmarkEnd w:id="707269"/>
    </w:p>
    <w:p w:rsidR="0018722C">
      <w:pPr>
        <w:pStyle w:val="Heading3"/>
        <w:topLinePunct/>
        <w:ind w:left="200" w:hangingChars="200" w:hanging="200"/>
      </w:pPr>
      <w:r>
        <w:rPr>
          <w:b/>
        </w:rPr>
        <w:t>1</w:t>
      </w:r>
      <w:r>
        <w:t xml:space="preserve"> </w:t>
      </w:r>
      <w:r>
        <w:t>激光共聚焦显微镜观察</w:t>
      </w:r>
      <w:r>
        <w:rPr>
          <w:b/>
        </w:rPr>
        <w:t>COX</w:t>
      </w:r>
      <w:r>
        <w:t>Ⅲ和</w:t>
      </w:r>
      <w:r>
        <w:rPr>
          <w:b/>
        </w:rPr>
        <w:t>HBx</w:t>
      </w:r>
      <w:r w:rsidR="001852F3">
        <w:t xml:space="preserve">蛋白在</w:t>
      </w:r>
      <w:r>
        <w:rPr>
          <w:b/>
        </w:rPr>
        <w:t>HepG2</w:t>
      </w:r>
      <w:r w:rsidR="001852F3">
        <w:t xml:space="preserve">细胞中共定位</w:t>
      </w:r>
    </w:p>
    <w:p w:rsidR="0018722C">
      <w:pPr>
        <w:pStyle w:val="Heading4"/>
        <w:topLinePunct/>
        <w:ind w:left="200" w:hangingChars="200" w:hanging="200"/>
      </w:pPr>
      <w:r>
        <w:rPr>
          <w:b/>
        </w:rPr>
        <w:t>1.1</w:t>
      </w:r>
      <w:r>
        <w:t xml:space="preserve"> </w:t>
      </w:r>
      <w:r>
        <w:t>线粒体染料的配置</w:t>
      </w:r>
    </w:p>
    <w:p w:rsidR="0018722C">
      <w:pPr>
        <w:topLinePunct/>
      </w:pPr>
      <w:r>
        <w:t>将</w:t>
      </w:r>
      <w:r>
        <w:t>40ug MitoTracker Red</w:t>
      </w:r>
      <w:r/>
      <w:r w:rsidR="001852F3">
        <w:t xml:space="preserve">粉剂从冰箱取出避光并放置到室温，然后离心，向</w:t>
      </w:r>
      <w:r>
        <w:t>瓶中加入</w:t>
      </w:r>
      <w:r>
        <w:t>470</w:t>
      </w:r>
      <w:r>
        <w:t>.</w:t>
      </w:r>
      <w:r>
        <w:t>35μl</w:t>
      </w:r>
      <w:r/>
      <w:r w:rsidR="001852F3">
        <w:t xml:space="preserve">的</w:t>
      </w:r>
      <w:r>
        <w:t>DMSO</w:t>
      </w:r>
      <w:r/>
      <w:r w:rsidR="001852F3">
        <w:t xml:space="preserve">配制成</w:t>
      </w:r>
      <w:r>
        <w:t>200umol</w:t>
      </w:r>
      <w:r>
        <w:t>/</w:t>
      </w:r>
      <w:r>
        <w:t>L</w:t>
      </w:r>
      <w:r/>
      <w:r w:rsidR="001852F3">
        <w:t xml:space="preserve">的储存液并分装保存于</w:t>
      </w:r>
      <w:r>
        <w:t>-20℃冰箱</w:t>
      </w:r>
      <w:r>
        <w:t>备用，最终工作浓度为</w:t>
      </w:r>
      <w:r>
        <w:t>150nmol</w:t>
      </w:r>
      <w:r>
        <w:t>/</w:t>
      </w:r>
      <w:r>
        <w:t>L。</w:t>
      </w:r>
    </w:p>
    <w:p w:rsidR="0018722C">
      <w:pPr>
        <w:pStyle w:val="Heading4"/>
        <w:topLinePunct/>
        <w:ind w:left="200" w:hangingChars="200" w:hanging="200"/>
      </w:pPr>
      <w:r>
        <w:rPr>
          <w:b/>
        </w:rPr>
        <w:t>1.2</w:t>
      </w:r>
      <w:r>
        <w:t xml:space="preserve"> </w:t>
      </w:r>
      <w:r>
        <w:t>间接免疫荧光染色</w:t>
      </w:r>
    </w:p>
    <w:p w:rsidR="0018722C">
      <w:pPr>
        <w:topLinePunct/>
      </w:pPr>
      <w:r>
        <w:t>（</w:t>
      </w:r>
      <w:r>
        <w:t xml:space="preserve">1</w:t>
      </w:r>
      <w:r>
        <w:t>）</w:t>
      </w:r>
      <w:r>
        <w:t>将细胞按</w:t>
      </w:r>
      <w:r w:rsidR="001852F3">
        <w:t xml:space="preserve">1³10</w:t>
      </w:r>
      <w:r>
        <w:rPr>
          <w:vertAlign w:val="superscript"/>
          /&gt;
        </w:rPr>
        <w:t>4</w:t>
      </w:r>
      <w:r>
        <w:t>个每孔接种于放置了盖玻片的六孔板中，继续培养</w:t>
      </w:r>
      <w:r w:rsidR="001852F3">
        <w:t xml:space="preserve">48h，待细胞接近</w:t>
      </w:r>
      <w:r w:rsidR="001852F3">
        <w:t xml:space="preserve">60%-70%左右融合生长即可取出培养板，弃旧培养基，加入预温到</w:t>
      </w:r>
      <w:r w:rsidR="001852F3">
        <w:t xml:space="preserve">37℃含有MitoTracker Red</w:t>
      </w:r>
      <w:r w:rsidR="001852F3">
        <w:t xml:space="preserve">的培养基，在培养箱中避光孵育</w:t>
      </w:r>
      <w:r w:rsidR="001852F3">
        <w:t xml:space="preserve">30min。</w:t>
      </w:r>
    </w:p>
    <w:p w:rsidR="0018722C">
      <w:pPr>
        <w:topLinePunct/>
      </w:pPr>
      <w:r>
        <w:t>以下操作均避光下进行：</w:t>
      </w:r>
    </w:p>
    <w:p w:rsidR="0018722C">
      <w:pPr>
        <w:topLinePunct/>
      </w:pPr>
      <w:r>
        <w:t>（</w:t>
      </w:r>
      <w:r>
        <w:t xml:space="preserve">2</w:t>
      </w:r>
      <w:r>
        <w:t>）</w:t>
      </w:r>
      <w:r>
        <w:t>线粒体染色后用</w:t>
      </w:r>
      <w:r w:rsidR="001852F3">
        <w:t xml:space="preserve">0</w:t>
      </w:r>
      <w:r>
        <w:t>.</w:t>
      </w:r>
      <w:r>
        <w:t>01M PBS</w:t>
      </w:r>
      <w:r w:rsidR="001852F3">
        <w:t xml:space="preserve">洗</w:t>
      </w:r>
      <w:r w:rsidR="001852F3">
        <w:t xml:space="preserve">3</w:t>
      </w:r>
      <w:r w:rsidR="001852F3">
        <w:t xml:space="preserve">次，每次</w:t>
      </w:r>
      <w:r w:rsidR="001852F3">
        <w:t xml:space="preserve">5min。</w:t>
      </w:r>
    </w:p>
    <w:p w:rsidR="0018722C">
      <w:pPr>
        <w:topLinePunct/>
      </w:pPr>
      <w:r>
        <w:t>（</w:t>
      </w:r>
      <w:r>
        <w:t>3</w:t>
      </w:r>
      <w:r>
        <w:t>）</w:t>
      </w:r>
      <w:r>
        <w:t>细胞固定：用-20℃</w:t>
      </w:r>
      <w:r>
        <w:t>预冷的</w:t>
      </w:r>
      <w:r>
        <w:t>100％</w:t>
      </w:r>
      <w:r>
        <w:t>甲醇固定细胞</w:t>
      </w:r>
      <w:r>
        <w:t>15min</w:t>
      </w:r>
      <w:r>
        <w:t xml:space="preserve">, </w:t>
      </w:r>
      <w:r>
        <w:t>0.01M PBS</w:t>
      </w:r>
      <w:r/>
      <w:r w:rsidR="001852F3">
        <w:t xml:space="preserve">洗</w:t>
      </w:r>
      <w:r>
        <w:t>3</w:t>
      </w:r>
      <w:r>
        <w:t>次，每次</w:t>
      </w:r>
      <w:r>
        <w:t>5min</w:t>
      </w:r>
      <w:r>
        <w:rPr>
          <w:spacing w:val="-13"/>
        </w:rPr>
        <w:t xml:space="preserve">. </w:t>
      </w:r>
      <w:r>
        <w:t>(</w:t>
      </w:r>
      <w:r>
        <w:t>100%</w:t>
      </w:r>
      <w:r>
        <w:t>甲醇固定细胞后，能使细胞自带绿色荧光蛋白变性而使荧光猝灭</w:t>
      </w:r>
      <w:r>
        <w:rPr>
          <w:vertAlign w:val="superscript"/>
          /&gt;
        </w:rPr>
        <w:t>[</w:t>
      </w:r>
      <w:r>
        <w:rPr>
          <w:color w:val="080000"/>
          <w:vertAlign w:val="superscript"/>
          <w:position w:val="12"/>
        </w:rPr>
        <w:t xml:space="preserve">49</w:t>
      </w:r>
      <w:r>
        <w:rPr>
          <w:vertAlign w:val="superscript"/>
          /&gt;
        </w:rPr>
        <w:t>]</w:t>
      </w:r>
      <w:r>
        <w:t>，故我们选用甲醇为固定剂以消除自带绿色荧光的影响。本实验中发现</w:t>
      </w:r>
      <w:r>
        <w:t>100</w:t>
      </w:r>
      <w:r>
        <w:t>%</w:t>
      </w:r>
    </w:p>
    <w:p w:rsidR="0018722C">
      <w:pPr>
        <w:topLinePunct/>
      </w:pPr>
      <w:r>
        <w:t>甲醇固定细胞</w:t>
      </w:r>
      <w:r w:rsidR="001852F3">
        <w:t xml:space="preserve">15</w:t>
      </w:r>
      <w:r w:rsidR="001852F3">
        <w:t xml:space="preserve">分钟后细胞自带绿色荧光消失，与文献相符。</w:t>
      </w:r>
      <w:r>
        <w:t>）</w:t>
      </w:r>
    </w:p>
    <w:p w:rsidR="0018722C">
      <w:pPr>
        <w:topLinePunct/>
      </w:pPr>
      <w:r>
        <w:t>（</w:t>
      </w:r>
      <w:r>
        <w:t xml:space="preserve">4</w:t>
      </w:r>
      <w:r>
        <w:t>）</w:t>
      </w:r>
      <w:r>
        <w:t>抗原封闭：用</w:t>
      </w:r>
      <w:r w:rsidR="001852F3">
        <w:t xml:space="preserve">10％驴血清封闭玻片，37℃孵育</w:t>
      </w:r>
      <w:r w:rsidR="001852F3">
        <w:t xml:space="preserve">45min，孵育后不要洗。</w:t>
      </w:r>
    </w:p>
    <w:p w:rsidR="0018722C">
      <w:pPr>
        <w:topLinePunct/>
      </w:pPr>
      <w:r>
        <w:t>（</w:t>
      </w:r>
      <w:r>
        <w:t xml:space="preserve">5</w:t>
      </w:r>
      <w:r>
        <w:t>）</w:t>
      </w:r>
      <w:r>
        <w:t>加一抗：孵育后向玻片加入用封闭液稀释的一抗</w:t>
      </w:r>
      <w:r>
        <w:t>（</w:t>
      </w:r>
      <w:r>
        <w:t>1:100</w:t>
      </w:r>
      <w:r w:rsidR="001852F3">
        <w:rPr>
          <w:spacing w:val="-10"/>
        </w:rPr>
        <w:t xml:space="preserve">小鼠抗人</w:t>
      </w:r>
      <w:r>
        <w:t>Flag，</w:t>
      </w:r>
      <w:r w:rsidR="001852F3">
        <w:t xml:space="preserve">1:25</w:t>
      </w:r>
      <w:r>
        <w:rPr>
          <w:spacing w:val="-30"/>
        </w:rPr>
        <w:t> </w:t>
      </w:r>
      <w:r>
        <w:t>ft</w:t>
      </w:r>
      <w:r>
        <w:rPr>
          <w:spacing w:val="-8"/>
        </w:rPr>
        <w:t>羊抗人</w:t>
      </w:r>
      <w:r>
        <w:t>COXⅢ</w:t>
      </w:r>
      <w:r>
        <w:t>）</w:t>
      </w:r>
      <w:r>
        <w:t>，4℃过夜。</w:t>
      </w:r>
    </w:p>
    <w:p w:rsidR="0018722C">
      <w:pPr>
        <w:topLinePunct/>
      </w:pPr>
      <w:r>
        <w:t>（</w:t>
      </w:r>
      <w:r>
        <w:t xml:space="preserve">6</w:t>
      </w:r>
      <w:r>
        <w:t>）</w:t>
      </w:r>
      <w:r>
        <w:t>第二日取出，37℃复温</w:t>
      </w:r>
      <w:r w:rsidR="001852F3">
        <w:t xml:space="preserve">45min</w:t>
      </w:r>
      <w:r>
        <w:t xml:space="preserve">, </w:t>
      </w:r>
      <w:r>
        <w:t>0.01M PBS</w:t>
      </w:r>
      <w:r w:rsidR="001852F3">
        <w:t xml:space="preserve">洗</w:t>
      </w:r>
      <w:r w:rsidR="001852F3">
        <w:t xml:space="preserve">3</w:t>
      </w:r>
      <w:r w:rsidR="001852F3">
        <w:t xml:space="preserve">次，每次</w:t>
      </w:r>
      <w:r w:rsidR="001852F3">
        <w:t xml:space="preserve">5min。</w:t>
      </w:r>
    </w:p>
    <w:p w:rsidR="0018722C">
      <w:pPr>
        <w:topLinePunct/>
      </w:pPr>
      <w:r>
        <w:t>（</w:t>
      </w:r>
      <w:r>
        <w:t xml:space="preserve">7</w:t>
      </w:r>
      <w:r>
        <w:t>）</w:t>
      </w:r>
      <w:r>
        <w:t>加二抗：加入用</w:t>
      </w:r>
      <w:r w:rsidR="001852F3">
        <w:t xml:space="preserve">0</w:t>
      </w:r>
      <w:r>
        <w:t>.</w:t>
      </w:r>
      <w:r>
        <w:t>01M PBS</w:t>
      </w:r>
      <w:r w:rsidR="001852F3">
        <w:t xml:space="preserve">稀释的荧光二抗</w:t>
      </w:r>
      <w:r>
        <w:t>（</w:t>
      </w:r>
      <w:r>
        <w:t>1:200</w:t>
      </w:r>
      <w:r w:rsidR="001852F3">
        <w:t xml:space="preserve">驴抗小鼠</w:t>
      </w:r>
      <w:r w:rsidR="001852F3">
        <w:t xml:space="preserve">CF488，</w:t>
      </w:r>
    </w:p>
    <w:p w:rsidR="0018722C">
      <w:pPr>
        <w:topLinePunct/>
      </w:pPr>
      <w:r>
        <w:t>1:100</w:t>
      </w:r>
      <w:r/>
      <w:r w:rsidR="001852F3">
        <w:t xml:space="preserve">驴抗</w:t>
      </w:r>
      <w:r>
        <w:t>ft</w:t>
      </w:r>
      <w:r>
        <w:t>羊</w:t>
      </w:r>
      <w:r>
        <w:t>CF350</w:t>
      </w:r>
      <w:r>
        <w:t>）</w:t>
      </w:r>
      <w:r>
        <w:t>，</w:t>
      </w:r>
      <w:r>
        <w:t>37℃</w:t>
      </w:r>
      <w:r>
        <w:t>，孵育</w:t>
      </w:r>
      <w:r>
        <w:t>1h</w:t>
      </w:r>
      <w:r>
        <w:t>；然后室温</w:t>
      </w:r>
      <w:r>
        <w:t>0.01M</w:t>
      </w:r>
      <w:r>
        <w:t> </w:t>
      </w:r>
      <w:r>
        <w:t>PBS</w:t>
      </w:r>
      <w:r/>
      <w:r w:rsidR="001852F3">
        <w:t xml:space="preserve">洗</w:t>
      </w:r>
      <w:r>
        <w:t>3</w:t>
      </w:r>
      <w:r/>
      <w:r w:rsidR="001852F3">
        <w:t xml:space="preserve">次，每次</w:t>
      </w:r>
      <w:r>
        <w:t>5min。</w:t>
      </w:r>
    </w:p>
    <w:p w:rsidR="0018722C">
      <w:pPr>
        <w:topLinePunct/>
      </w:pPr>
      <w:r>
        <w:t>（</w:t>
      </w:r>
      <w:r>
        <w:t>8</w:t>
      </w:r>
      <w:r>
        <w:t>）</w:t>
      </w:r>
      <w:r>
        <w:t>封片：用抗荧光淬灭剂封片。并在</w:t>
      </w:r>
      <w:r>
        <w:t>Leica SP5</w:t>
      </w:r>
      <w:r/>
      <w:r w:rsidR="001852F3">
        <w:t xml:space="preserve">激光共聚焦显微镜下观察分析染色结果。</w:t>
      </w:r>
    </w:p>
    <w:p w:rsidR="0018722C">
      <w:pPr>
        <w:pStyle w:val="Heading3"/>
        <w:topLinePunct/>
        <w:ind w:left="200" w:hangingChars="200" w:hanging="200"/>
      </w:pPr>
      <w:r>
        <w:rPr>
          <w:b/>
        </w:rPr>
        <w:t>2</w:t>
      </w:r>
      <w:r>
        <w:t xml:space="preserve"> </w:t>
      </w:r>
      <w:r>
        <w:rPr>
          <w:b/>
        </w:rPr>
        <w:t>RT-PCR</w:t>
      </w:r>
      <w:r w:rsidR="001852F3">
        <w:t xml:space="preserve">检测三组细胞内</w:t>
      </w:r>
      <w:r>
        <w:rPr>
          <w:b/>
        </w:rPr>
        <w:t>COX</w:t>
      </w:r>
      <w:r>
        <w:t>Ⅲ</w:t>
      </w:r>
      <w:r>
        <w:rPr>
          <w:b/>
        </w:rPr>
        <w:t>mRNA</w:t>
      </w:r>
      <w:r w:rsidR="001852F3">
        <w:t xml:space="preserve">水平表达变化</w:t>
      </w:r>
    </w:p>
    <w:p w:rsidR="0018722C">
      <w:pPr>
        <w:pStyle w:val="Heading4"/>
        <w:topLinePunct/>
        <w:ind w:left="200" w:hangingChars="200" w:hanging="200"/>
      </w:pPr>
      <w:r>
        <w:rPr>
          <w:b/>
        </w:rPr>
        <w:t>2.1</w:t>
      </w:r>
      <w:r>
        <w:t xml:space="preserve"> </w:t>
      </w:r>
      <w:r>
        <w:rPr>
          <w:b/>
        </w:rPr>
        <w:t>RT</w:t>
      </w:r>
      <w:r w:rsidR="001852F3">
        <w:t xml:space="preserve">反应</w:t>
      </w:r>
    </w:p>
    <w:p w:rsidR="0018722C">
      <w:pPr>
        <w:topLinePunct/>
      </w:pPr>
      <w:r>
        <w:t>分别抽提对数生长期的目的基因组</w:t>
      </w:r>
      <w:r>
        <w:t>HepG2</w:t>
      </w:r>
      <w:r>
        <w:t>/</w:t>
      </w:r>
      <w:r>
        <w:t>HBx</w:t>
      </w:r>
      <w:r>
        <w:t>、空载对照组</w:t>
      </w:r>
      <w:r>
        <w:t>HepG2</w:t>
      </w:r>
      <w:r>
        <w:t>/</w:t>
      </w:r>
      <w:r>
        <w:t>mock</w:t>
      </w:r>
      <w:r>
        <w:t>、空</w:t>
      </w:r>
      <w:r>
        <w:t>白对照组</w:t>
      </w:r>
      <w:r>
        <w:t>HepG2</w:t>
      </w:r>
      <w:r/>
      <w:r w:rsidR="001852F3">
        <w:t xml:space="preserve">三组细胞总的</w:t>
      </w:r>
      <w:r>
        <w:t>RNA，</w:t>
      </w:r>
      <w:r>
        <w:t>逆转录为</w:t>
      </w:r>
      <w:r>
        <w:t>cDNA</w:t>
      </w:r>
      <w:r>
        <w:t>（</w:t>
      </w:r>
      <w:r>
        <w:t>实验方法同第一部分</w:t>
      </w:r>
      <w:r>
        <w:t>）</w:t>
      </w:r>
      <w:r>
        <w:t>。</w:t>
      </w:r>
    </w:p>
    <w:p w:rsidR="0018722C">
      <w:pPr>
        <w:pStyle w:val="Heading4"/>
        <w:topLinePunct/>
        <w:ind w:left="200" w:hangingChars="200" w:hanging="200"/>
      </w:pPr>
      <w:r>
        <w:rPr>
          <w:b/>
        </w:rPr>
        <w:t>2.2</w:t>
      </w:r>
      <w:r>
        <w:t xml:space="preserve"> </w:t>
      </w:r>
      <w:r>
        <w:rPr>
          <w:b/>
        </w:rPr>
        <w:t>PCR</w:t>
      </w:r>
      <w:r w:rsidR="001852F3">
        <w:t xml:space="preserve">反应</w:t>
      </w:r>
    </w:p>
    <w:p w:rsidR="0018722C">
      <w:pPr>
        <w:topLinePunct/>
      </w:pPr>
      <w:r>
        <w:t>以</w:t>
      </w:r>
      <w:r>
        <w:t>2μl</w:t>
      </w:r>
      <w:r/>
      <w:r w:rsidR="001852F3">
        <w:t xml:space="preserve">逆转录产物</w:t>
      </w:r>
      <w:r>
        <w:t>cDNA</w:t>
      </w:r>
      <w:r/>
      <w:r w:rsidR="001852F3">
        <w:t xml:space="preserve">作为扩增模板，并以</w:t>
      </w:r>
      <w:r>
        <w:t>β-actin</w:t>
      </w:r>
      <w:r/>
      <w:r w:rsidR="001852F3">
        <w:t xml:space="preserve">为内参扩增</w:t>
      </w:r>
      <w:r>
        <w:t>COXIII</w:t>
      </w:r>
      <w:r w:rsidR="001852F3">
        <w:t xml:space="preserve">基因片段，引物由上海博尚生物技术有限公司合成，序列如下：</w:t>
      </w:r>
    </w:p>
    <w:p w:rsidR="0018722C">
      <w:pPr>
        <w:topLinePunct/>
      </w:pPr>
      <w:r>
        <w:t>COXIII</w:t>
      </w:r>
      <w:r>
        <w:t>（</w:t>
      </w:r>
      <w:r>
        <w:t>产物大小</w:t>
      </w:r>
      <w:r w:rsidR="001852F3">
        <w:t xml:space="preserve">463bp</w:t>
      </w:r>
      <w:r>
        <w:t>）</w:t>
      </w:r>
    </w:p>
    <w:p w:rsidR="0018722C">
      <w:pPr>
        <w:topLinePunct/>
      </w:pPr>
      <w:r>
        <w:t>上游引物：5’AGC CCA TGA CCC CTA ACA 3</w:t>
      </w:r>
      <w:r>
        <w:t>'</w:t>
      </w:r>
    </w:p>
    <w:p w:rsidR="0018722C">
      <w:pPr>
        <w:topLinePunct/>
      </w:pPr>
      <w:r>
        <w:t>下游引物：5’CCT CAT AGT TAG TGG ACT CG 3</w:t>
      </w:r>
      <w:r>
        <w:t>'</w:t>
      </w:r>
    </w:p>
    <w:p w:rsidR="0018722C">
      <w:pPr>
        <w:topLinePunct/>
      </w:pPr>
      <w:r>
        <w:t>β-actin</w:t>
      </w:r>
      <w:r>
        <w:t>（</w:t>
      </w:r>
      <w:r>
        <w:t>产物大小</w:t>
      </w:r>
      <w:r w:rsidR="001852F3">
        <w:t xml:space="preserve">600bp</w:t>
      </w:r>
      <w:r>
        <w:t>）</w:t>
      </w:r>
    </w:p>
    <w:p w:rsidR="0018722C">
      <w:pPr>
        <w:topLinePunct/>
      </w:pPr>
      <w:r>
        <w:t>上游引物：5′GGC ATC GTG ATG GAC TCC G 3′</w:t>
      </w:r>
      <w:r w:rsidR="001852F3">
        <w:t xml:space="preserve">下游引物：5′GCT GGA AGG TGG ACA GCG A 3′</w:t>
      </w:r>
    </w:p>
    <w:p w:rsidR="0018722C">
      <w:pPr>
        <w:topLinePunct/>
      </w:pPr>
      <w:r>
        <w:t>PCR</w:t>
      </w:r>
      <w:r w:rsidR="001852F3">
        <w:t xml:space="preserve">体系：</w:t>
      </w:r>
    </w:p>
    <w:p w:rsidR="0018722C">
      <w:pPr>
        <w:topLinePunct/>
      </w:pPr>
      <w:r>
        <w:t>试 剂</w:t>
      </w:r>
      <w:r w:rsidRPr="00000000">
        <w:tab/>
        <w:t>体 积</w:t>
      </w:r>
      <w:r>
        <w:t>（</w:t>
      </w:r>
      <w:r>
        <w:t>μl</w:t>
      </w:r>
      <w:r>
        <w:t>）</w:t>
      </w:r>
    </w:p>
    <w:p w:rsidR="0018722C">
      <w:pPr>
        <w:pStyle w:val="ae"/>
        <w:topLinePunct/>
      </w:pPr>
      <w:r>
        <w:pict>
          <v:line style="position:absolute;mso-position-horizontal-relative:page;mso-position-vertical-relative:paragraph;z-index:1144" from="121.849998pt,7.095631pt" to="372.949998pt,5.845631pt" stroked="true" strokeweight="2.25pt" strokecolor="#000000">
            <v:stroke dashstyle="solid"/>
            <w10:wrap type="none"/>
          </v:line>
        </w:pict>
      </w:r>
      <w:r>
        <w:rPr>
          <w:w w:val="110"/>
        </w:rPr>
        <w:t>10³Buffer</w:t>
      </w:r>
      <w:r w:rsidRPr="00000000">
        <w:tab/>
        <w:t>2.5</w:t>
      </w:r>
    </w:p>
    <w:p w:rsidR="0018722C">
      <w:pPr>
        <w:topLinePunct/>
      </w:pPr>
      <w:r>
        <w:t>Mgcl2</w:t>
      </w:r>
      <w:r w:rsidRPr="00000000">
        <w:tab/>
        <w:t>2.5</w:t>
      </w:r>
    </w:p>
    <w:p w:rsidR="0018722C">
      <w:pPr>
        <w:topLinePunct/>
      </w:pPr>
      <w:r>
        <w:t>D</w:t>
      </w:r>
      <w:r>
        <w:t>NTP MIX</w:t>
      </w:r>
      <w:r>
        <w:t>(</w:t>
      </w:r>
      <w:r>
        <w:t>10 mM</w:t>
      </w:r>
      <w:r>
        <w:t>)</w:t>
      </w:r>
      <w:r w:rsidRPr="00000000">
        <w:tab/>
      </w:r>
      <w:r>
        <w:t>1.0</w:t>
      </w:r>
    </w:p>
    <w:p w:rsidR="0018722C">
      <w:pPr>
        <w:pStyle w:val="BodyText"/>
        <w:tabs>
          <w:tab w:pos="3480" w:val="left" w:leader="none"/>
        </w:tabs>
        <w:spacing w:before="153"/>
        <w:ind w:leftChars="0" w:left="0" w:rightChars="0" w:right="3240"/>
        <w:jc w:val="center"/>
        <w:topLinePunct/>
      </w:pPr>
      <w:r>
        <w:t>上游引物</w:t>
      </w:r>
      <w:r w:rsidRPr="00000000">
        <w:tab/>
        <w:t>1</w:t>
      </w:r>
      <w:r>
        <w:t>.</w:t>
      </w:r>
      <w:r>
        <w:t>0</w:t>
      </w:r>
    </w:p>
    <w:p w:rsidR="0018722C">
      <w:pPr>
        <w:pStyle w:val="BodyText"/>
        <w:tabs>
          <w:tab w:pos="3480" w:val="left" w:leader="none"/>
        </w:tabs>
        <w:spacing w:before="153"/>
        <w:ind w:leftChars="0" w:left="0" w:rightChars="0" w:right="3240"/>
        <w:jc w:val="center"/>
        <w:topLinePunct/>
      </w:pPr>
      <w:r>
        <w:t>下游引物</w:t>
      </w:r>
      <w:r w:rsidRPr="00000000">
        <w:tab/>
        <w:t>1</w:t>
      </w:r>
      <w:r>
        <w:t>.</w:t>
      </w:r>
      <w:r>
        <w:t>0</w:t>
      </w:r>
    </w:p>
    <w:p w:rsidR="0018722C">
      <w:pPr>
        <w:topLinePunct/>
      </w:pPr>
      <w:r>
        <w:t>TaqDNA</w:t>
      </w:r>
      <w:r>
        <w:t> </w:t>
      </w:r>
      <w:r>
        <w:t>酶</w:t>
      </w:r>
      <w:r w:rsidRPr="00000000">
        <w:tab/>
        <w:t>0.5</w:t>
      </w:r>
    </w:p>
    <w:p w:rsidR="0018722C">
      <w:pPr>
        <w:topLinePunct/>
      </w:pPr>
      <w:r>
        <w:t>cDNA</w:t>
      </w:r>
      <w:r w:rsidRPr="00000000">
        <w:tab/>
        <w:t>2.0</w:t>
      </w:r>
    </w:p>
    <w:p w:rsidR="0018722C">
      <w:pPr>
        <w:pStyle w:val="BodyText"/>
        <w:tabs>
          <w:tab w:pos="4302" w:val="left" w:leader="none"/>
        </w:tabs>
        <w:spacing w:before="153"/>
        <w:ind w:leftChars="0" w:left="941"/>
        <w:topLinePunct/>
      </w:pPr>
      <w:r>
        <w:t>无核酶水</w:t>
      </w:r>
      <w:r w:rsidRPr="00000000">
        <w:tab/>
        <w:t>14</w:t>
      </w:r>
      <w:r>
        <w:t>.</w:t>
      </w:r>
      <w:r>
        <w:t>5</w:t>
      </w:r>
    </w:p>
    <w:p w:rsidR="0018722C">
      <w:pPr>
        <w:pStyle w:val="ae"/>
        <w:topLinePunct/>
      </w:pPr>
      <w:r>
        <w:pict>
          <v:line style="position:absolute;mso-position-horizontal-relative:page;mso-position-vertical-relative:paragraph;z-index:1120;mso-wrap-distance-left:0;mso-wrap-distance-right:0" from="115.800003pt,27.07563pt" to="372.950003pt,27.07563pt" stroked="true" strokeweight="2.25pt" strokecolor="#000000">
            <v:stroke dashstyle="solid"/>
            <w10:wrap type="topAndBottom"/>
          </v:line>
        </w:pict>
      </w:r>
      <w:r>
        <w:t>总体积</w:t>
      </w:r>
      <w:r w:rsidRPr="00000000">
        <w:tab/>
        <w:t>25</w:t>
      </w:r>
    </w:p>
    <w:p w:rsidR="0018722C">
      <w:pPr>
        <w:topLinePunct/>
      </w:pPr>
      <w:r>
        <w:t>PCR</w:t>
      </w:r>
      <w:r/>
      <w:r w:rsidR="001852F3">
        <w:t xml:space="preserve">反应条件：</w:t>
      </w:r>
      <w:r>
        <w:t>94℃</w:t>
      </w:r>
      <w:r/>
      <w:r w:rsidR="001852F3">
        <w:t xml:space="preserve">预变性</w:t>
      </w:r>
      <w:r>
        <w:t>5min，94℃</w:t>
      </w:r>
      <w:r>
        <w:t>变性</w:t>
      </w:r>
      <w:r>
        <w:t>45s，58℃</w:t>
      </w:r>
      <w:r>
        <w:t>退火</w:t>
      </w:r>
      <w:r>
        <w:t>30s，72℃延伸1min，</w:t>
      </w:r>
      <w:r>
        <w:t>共</w:t>
      </w:r>
      <w:r>
        <w:t>30</w:t>
      </w:r>
      <w:r/>
      <w:r w:rsidR="001852F3">
        <w:t xml:space="preserve">个循环</w:t>
      </w:r>
      <w:r>
        <w:t>；72℃</w:t>
      </w:r>
      <w:r>
        <w:t>延伸</w:t>
      </w:r>
      <w:r>
        <w:t>7min。</w:t>
      </w:r>
    </w:p>
    <w:p w:rsidR="0018722C">
      <w:pPr>
        <w:pStyle w:val="Heading4"/>
        <w:topLinePunct/>
        <w:ind w:left="200" w:hangingChars="200" w:hanging="200"/>
      </w:pPr>
      <w:r>
        <w:rPr>
          <w:b/>
        </w:rPr>
        <w:t>2.3</w:t>
      </w:r>
      <w:r>
        <w:t xml:space="preserve"> </w:t>
      </w:r>
      <w:r>
        <w:t>产物电泳</w:t>
      </w:r>
    </w:p>
    <w:p w:rsidR="0018722C">
      <w:pPr>
        <w:topLinePunct/>
      </w:pPr>
      <w:r>
        <w:t>将扩增产物在</w:t>
      </w:r>
      <w:r w:rsidR="001852F3">
        <w:t xml:space="preserve">1</w:t>
      </w:r>
      <w:r>
        <w:t>.</w:t>
      </w:r>
      <w:r>
        <w:t>8％的琼脂糖凝胶中电泳，观察结果并拍照。</w:t>
      </w:r>
    </w:p>
    <w:p w:rsidR="0018722C">
      <w:pPr>
        <w:pStyle w:val="Heading4"/>
        <w:topLinePunct/>
        <w:ind w:left="200" w:hangingChars="200" w:hanging="200"/>
      </w:pPr>
      <w:r>
        <w:rPr>
          <w:b/>
        </w:rPr>
        <w:t>2.4</w:t>
      </w:r>
      <w:r>
        <w:t xml:space="preserve"> </w:t>
      </w:r>
      <w:r>
        <w:t>结果分析</w:t>
      </w:r>
    </w:p>
    <w:p w:rsidR="0018722C">
      <w:pPr>
        <w:topLinePunct/>
      </w:pPr>
      <w:r>
        <w:t>RT-PCR</w:t>
      </w:r>
      <w:r/>
      <w:r w:rsidR="001852F3">
        <w:t xml:space="preserve">凝胶电泳图片采用</w:t>
      </w:r>
      <w:r>
        <w:t>Image J</w:t>
      </w:r>
      <w:r/>
      <w:r w:rsidR="001852F3">
        <w:t xml:space="preserve">图像分析软件进行扫描分析，获得灰度值</w:t>
      </w:r>
    </w:p>
    <w:p w:rsidR="0018722C">
      <w:pPr>
        <w:topLinePunct/>
      </w:pPr>
      <w:r>
        <w:t>数据</w:t>
      </w:r>
      <w:r>
        <w:rPr>
          <w:rFonts w:hint="eastAsia"/>
        </w:rPr>
        <w:t>，</w:t>
      </w:r>
      <w:r>
        <w:t>经过内参照β-actin</w:t>
      </w:r>
      <w:r w:rsidR="001852F3">
        <w:t xml:space="preserve">条带灰度进行校正，校正灰度值以</w:t>
      </w:r>
      <w:r w:rsidR="001852F3">
        <w:t xml:space="preserve">mean±SD</w:t>
      </w:r>
      <w:r w:rsidR="001852F3">
        <w:t xml:space="preserve">表示。</w:t>
      </w:r>
    </w:p>
    <w:p w:rsidR="0018722C">
      <w:pPr>
        <w:pStyle w:val="Heading3"/>
        <w:topLinePunct/>
        <w:ind w:left="200" w:hangingChars="200" w:hanging="200"/>
      </w:pPr>
      <w:r>
        <w:rPr>
          <w:b/>
        </w:rPr>
        <w:t>3</w:t>
      </w:r>
      <w:r>
        <w:t xml:space="preserve"> </w:t>
      </w:r>
      <w:r>
        <w:rPr>
          <w:b/>
        </w:rPr>
        <w:t>Western</w:t>
      </w:r>
      <w:r>
        <w:rPr>
          <w:b/>
        </w:rPr>
        <w:t> </w:t>
      </w:r>
      <w:r>
        <w:rPr>
          <w:b/>
        </w:rPr>
        <w:t>blot</w:t>
      </w:r>
      <w:r w:rsidR="001852F3">
        <w:t xml:space="preserve">检测三组细胞内</w:t>
      </w:r>
      <w:r>
        <w:rPr>
          <w:b/>
        </w:rPr>
        <w:t>COX</w:t>
      </w:r>
      <w:r>
        <w:t>Ⅲ</w:t>
      </w:r>
      <w:r w:rsidR="001852F3">
        <w:t xml:space="preserve">蛋白水平表达变化</w:t>
      </w:r>
    </w:p>
    <w:p w:rsidR="0018722C">
      <w:pPr>
        <w:pStyle w:val="Heading4"/>
        <w:topLinePunct/>
        <w:ind w:left="200" w:hangingChars="200" w:hanging="200"/>
      </w:pPr>
      <w:r>
        <w:rPr>
          <w:b/>
        </w:rPr>
        <w:t>3.1</w:t>
      </w:r>
      <w:r>
        <w:t xml:space="preserve"> </w:t>
      </w:r>
      <w:r>
        <w:t>线粒体抽提</w:t>
      </w:r>
    </w:p>
    <w:p w:rsidR="0018722C">
      <w:pPr>
        <w:topLinePunct/>
      </w:pPr>
      <w:r>
        <w:t>收集对数生长期目的基因组</w:t>
      </w:r>
      <w:r>
        <w:t>HepG2</w:t>
      </w:r>
      <w:r>
        <w:t>/</w:t>
      </w:r>
      <w:r>
        <w:t>HBx</w:t>
      </w:r>
      <w:r>
        <w:t>、空载对照组</w:t>
      </w:r>
      <w:r>
        <w:t>HepG2</w:t>
      </w:r>
      <w:r>
        <w:t>/</w:t>
      </w:r>
      <w:r>
        <w:t>mock、空白对照</w:t>
      </w:r>
      <w:r>
        <w:t>组</w:t>
      </w:r>
      <w:r>
        <w:t>HepG2</w:t>
      </w:r>
      <w:r/>
      <w:r w:rsidR="001852F3">
        <w:t xml:space="preserve">三组细胞，严格按</w:t>
      </w:r>
      <w:r>
        <w:t>Piecer</w:t>
      </w:r>
      <w:r/>
      <w:r w:rsidR="001852F3">
        <w:t xml:space="preserve">公司线粒体抽提试剂盒说明书步骤操作，具体步骤如下：</w:t>
      </w:r>
    </w:p>
    <w:p w:rsidR="0018722C">
      <w:pPr>
        <w:topLinePunct/>
      </w:pPr>
      <w:r>
        <w:t>（</w:t>
      </w:r>
      <w:r>
        <w:t xml:space="preserve">1</w:t>
      </w:r>
      <w:r>
        <w:t>）</w:t>
      </w:r>
      <w:r>
        <w:t>开始实验之前加蛋白酶抑制剂分别至将使用的试剂</w:t>
      </w:r>
      <w:r w:rsidR="001852F3">
        <w:t xml:space="preserve">A</w:t>
      </w:r>
      <w:r w:rsidR="001852F3">
        <w:t xml:space="preserve">和</w:t>
      </w:r>
      <w:r w:rsidR="001852F3">
        <w:t xml:space="preserve">C</w:t>
      </w:r>
      <w:r w:rsidR="001852F3">
        <w:t xml:space="preserve">中。</w:t>
      </w:r>
    </w:p>
    <w:p w:rsidR="0018722C">
      <w:pPr>
        <w:topLinePunct/>
      </w:pPr>
      <w:r>
        <w:t>（</w:t>
      </w:r>
      <w:r>
        <w:t>2</w:t>
      </w:r>
      <w:r>
        <w:t>）</w:t>
      </w:r>
      <w:r>
        <w:t>分别消化离心收集对数期细胞约</w:t>
      </w:r>
      <w:r>
        <w:t>2³10</w:t>
      </w:r>
      <w:r>
        <w:rPr>
          <w:vertAlign w:val="superscript"/>
          /&gt;
        </w:rPr>
        <w:t>7</w:t>
      </w:r>
      <w:r>
        <w:t>个，以</w:t>
      </w:r>
      <w:r>
        <w:t>4℃</w:t>
      </w:r>
      <w:r>
        <w:t>预冷的</w:t>
      </w:r>
      <w:r>
        <w:t>0</w:t>
      </w:r>
      <w:r>
        <w:t>.</w:t>
      </w:r>
      <w:r>
        <w:t>01M PBS</w:t>
      </w:r>
      <w:r/>
      <w:r w:rsidR="001852F3">
        <w:t xml:space="preserve">洗</w:t>
      </w:r>
      <w:r>
        <w:t>涤</w:t>
      </w:r>
      <w:r>
        <w:t>2</w:t>
      </w:r>
      <w:r/>
      <w:r w:rsidR="001852F3">
        <w:t xml:space="preserve">次。</w:t>
      </w:r>
    </w:p>
    <w:p w:rsidR="0018722C">
      <w:pPr>
        <w:topLinePunct/>
      </w:pPr>
      <w:r>
        <w:t>（</w:t>
      </w:r>
      <w:r>
        <w:t>3</w:t>
      </w:r>
      <w:r>
        <w:t>）</w:t>
      </w:r>
      <w:r>
        <w:t>加入</w:t>
      </w:r>
      <w:r>
        <w:t>800μl</w:t>
      </w:r>
      <w:r/>
      <w:r w:rsidR="001852F3">
        <w:t xml:space="preserve">的试剂</w:t>
      </w:r>
      <w:r>
        <w:t>A，</w:t>
      </w:r>
      <w:r>
        <w:t>并充分混匀，中速涡璇</w:t>
      </w:r>
      <w:r>
        <w:t>5sec，</w:t>
      </w:r>
      <w:r>
        <w:t>冰上冰浴</w:t>
      </w:r>
      <w:r>
        <w:t>2min。</w:t>
      </w:r>
    </w:p>
    <w:p w:rsidR="0018722C">
      <w:pPr>
        <w:topLinePunct/>
      </w:pPr>
      <w:r>
        <w:t>（</w:t>
      </w:r>
      <w:r>
        <w:t xml:space="preserve">4</w:t>
      </w:r>
      <w:r>
        <w:t>）</w:t>
      </w:r>
      <w:r>
        <w:t>加入</w:t>
      </w:r>
      <w:r>
        <w:t>10μl</w:t>
      </w:r>
      <w:r/>
      <w:r w:rsidR="001852F3">
        <w:t xml:space="preserve">的试剂</w:t>
      </w:r>
      <w:r>
        <w:t>B</w:t>
      </w:r>
      <w:r>
        <w:t>，并充分混匀，中速涡璇</w:t>
      </w:r>
      <w:r>
        <w:t>5sec</w:t>
      </w:r>
      <w:r>
        <w:t>，冰上冰浴</w:t>
      </w:r>
      <w:r>
        <w:t>5min</w:t>
      </w:r>
      <w:r>
        <w:t>，其</w:t>
      </w:r>
      <w:r>
        <w:t>中每间隔</w:t>
      </w:r>
      <w:r>
        <w:t>1min</w:t>
      </w:r>
      <w:r/>
      <w:r w:rsidR="001852F3">
        <w:t xml:space="preserve">高速涡旋</w:t>
      </w:r>
      <w:r>
        <w:t>1</w:t>
      </w:r>
      <w:r/>
      <w:r w:rsidR="001852F3">
        <w:t xml:space="preserve">次。</w:t>
      </w:r>
    </w:p>
    <w:p w:rsidR="0018722C">
      <w:pPr>
        <w:topLinePunct/>
      </w:pPr>
      <w:r>
        <w:t>（</w:t>
      </w:r>
      <w:r>
        <w:t>5</w:t>
      </w:r>
      <w:r>
        <w:t>）</w:t>
      </w:r>
      <w:r>
        <w:t>加入</w:t>
      </w:r>
      <w:r>
        <w:t>800μl</w:t>
      </w:r>
      <w:r/>
      <w:r w:rsidR="001852F3">
        <w:t xml:space="preserve">的试剂</w:t>
      </w:r>
      <w:r>
        <w:t>C，并颠倒混匀，4℃</w:t>
      </w:r>
      <w:r>
        <w:t>条件下，以</w:t>
      </w:r>
      <w:r>
        <w:t>700g</w:t>
      </w:r>
      <w:r/>
      <w:r w:rsidR="001852F3">
        <w:t xml:space="preserve">离心</w:t>
      </w:r>
      <w:r>
        <w:t>10min。</w:t>
      </w:r>
    </w:p>
    <w:p w:rsidR="0018722C">
      <w:pPr>
        <w:topLinePunct/>
      </w:pPr>
      <w:r>
        <w:t>（</w:t>
      </w:r>
      <w:r>
        <w:t xml:space="preserve">6</w:t>
      </w:r>
      <w:r>
        <w:t>）</w:t>
      </w:r>
      <w:r>
        <w:t>收集离心上清液，4℃条件下，以</w:t>
      </w:r>
      <w:r w:rsidR="001852F3">
        <w:t xml:space="preserve">3000g</w:t>
      </w:r>
      <w:r w:rsidR="001852F3">
        <w:t xml:space="preserve">离心</w:t>
      </w:r>
      <w:r w:rsidR="001852F3">
        <w:t xml:space="preserve">15min。</w:t>
      </w:r>
    </w:p>
    <w:p w:rsidR="0018722C">
      <w:pPr>
        <w:topLinePunct/>
      </w:pPr>
      <w:r>
        <w:t>（</w:t>
      </w:r>
      <w:r>
        <w:t>7</w:t>
      </w:r>
      <w:r>
        <w:t>）</w:t>
      </w:r>
      <w:r>
        <w:t>收集离心上清液，即为胞浆蛋白。</w:t>
      </w:r>
    </w:p>
    <w:p w:rsidR="0018722C">
      <w:pPr>
        <w:topLinePunct/>
      </w:pPr>
      <w:r>
        <w:t>（</w:t>
      </w:r>
      <w:r>
        <w:t>8</w:t>
      </w:r>
      <w:r>
        <w:t>）</w:t>
      </w:r>
      <w:r>
        <w:t>沉淀中加入</w:t>
      </w:r>
      <w:r>
        <w:t>500μl</w:t>
      </w:r>
      <w:r/>
      <w:r w:rsidR="001852F3">
        <w:t xml:space="preserve">的试剂</w:t>
      </w:r>
      <w:r>
        <w:t>C，4℃</w:t>
      </w:r>
      <w:r>
        <w:t>条件下，以</w:t>
      </w:r>
      <w:r>
        <w:t>12000g</w:t>
      </w:r>
      <w:r/>
      <w:r w:rsidR="001852F3">
        <w:t xml:space="preserve">离心</w:t>
      </w:r>
      <w:r>
        <w:t>5min，弃去上清，沉淀即为细胞线粒体，置冰上保存备用。</w:t>
      </w:r>
    </w:p>
    <w:p w:rsidR="0018722C">
      <w:pPr>
        <w:pStyle w:val="Heading4"/>
        <w:topLinePunct/>
        <w:ind w:left="200" w:hangingChars="200" w:hanging="200"/>
      </w:pPr>
      <w:r>
        <w:rPr>
          <w:b/>
        </w:rPr>
        <w:t>3.2</w:t>
      </w:r>
      <w:r>
        <w:t xml:space="preserve"> </w:t>
      </w:r>
      <w:r>
        <w:rPr>
          <w:b/>
        </w:rPr>
        <w:t>Western</w:t>
      </w:r>
      <w:r>
        <w:rPr>
          <w:b/>
        </w:rPr>
        <w:t> </w:t>
      </w:r>
      <w:r>
        <w:rPr>
          <w:b/>
        </w:rPr>
        <w:t>blot</w:t>
      </w:r>
    </w:p>
    <w:p w:rsidR="0018722C">
      <w:pPr>
        <w:topLinePunct/>
      </w:pPr>
      <w:r>
        <w:t>（</w:t>
      </w:r>
      <w:r>
        <w:t xml:space="preserve">1</w:t>
      </w:r>
      <w:r>
        <w:t>）</w:t>
      </w:r>
      <w:r>
        <w:t>装配好板后，按照前述方法</w:t>
      </w:r>
      <w:r>
        <w:t>（</w:t>
      </w:r>
      <w:r>
        <w:t>第一部分</w:t>
      </w:r>
      <w:r>
        <w:t>）</w:t>
      </w:r>
      <w:r>
        <w:t>先后制备</w:t>
      </w:r>
      <w:r w:rsidR="001852F3">
        <w:t xml:space="preserve">10％分离胶和</w:t>
      </w:r>
      <w:r w:rsidR="001852F3">
        <w:t xml:space="preserve">5％积层胶；</w:t>
      </w:r>
    </w:p>
    <w:p w:rsidR="0018722C">
      <w:pPr>
        <w:topLinePunct/>
      </w:pPr>
      <w:r>
        <w:t>（</w:t>
      </w:r>
      <w:r>
        <w:t xml:space="preserve">2</w:t>
      </w:r>
      <w:r>
        <w:t>）</w:t>
      </w:r>
      <w:r>
        <w:t>在获得的线粒体沉淀中加入</w:t>
      </w:r>
      <w:r w:rsidR="001852F3">
        <w:t xml:space="preserve">l³酶稀释缓冲液</w:t>
      </w:r>
      <w:r w:rsidR="001852F3">
        <w:t xml:space="preserve">30μl</w:t>
      </w:r>
      <w:r w:rsidR="001852F3">
        <w:t xml:space="preserve">，制成样品溶液，</w:t>
      </w:r>
    </w:p>
    <w:p w:rsidR="0018722C">
      <w:pPr>
        <w:topLinePunct/>
      </w:pPr>
      <w:r>
        <w:t>BCA</w:t>
      </w:r>
      <w:r/>
      <w:r w:rsidR="001852F3">
        <w:t xml:space="preserve">法对蛋白质定量、配平，先煮沸变性然后进行</w:t>
      </w:r>
      <w:r>
        <w:t>10％SDS-PAGE</w:t>
      </w:r>
      <w:r/>
      <w:r w:rsidR="001852F3">
        <w:t xml:space="preserve">电泳和蛋白印迹</w:t>
      </w:r>
      <w:r>
        <w:rPr>
          <w:spacing w:val="-5"/>
        </w:rPr>
        <w:t>（</w:t>
      </w:r>
      <w:r>
        <w:t>方法同第一部分</w:t>
      </w:r>
      <w:r>
        <w:rPr>
          <w:spacing w:val="-5"/>
        </w:rPr>
        <w:t>）</w:t>
      </w:r>
      <w:r>
        <w:t>。</w:t>
      </w:r>
    </w:p>
    <w:p w:rsidR="0018722C">
      <w:pPr>
        <w:topLinePunct/>
      </w:pPr>
      <w:r>
        <w:t>（</w:t>
      </w:r>
      <w:r>
        <w:t xml:space="preserve">3</w:t>
      </w:r>
      <w:r>
        <w:t>）</w:t>
      </w:r>
      <w:r>
        <w:t>用含有</w:t>
      </w:r>
      <w:r>
        <w:t>50g</w:t>
      </w:r>
      <w:r>
        <w:t>/</w:t>
      </w:r>
      <w:r>
        <w:t>L</w:t>
      </w:r>
      <w:r/>
      <w:r w:rsidR="001852F3">
        <w:t xml:space="preserve">脱脂奶粉的</w:t>
      </w:r>
      <w:r>
        <w:t>TBS-T</w:t>
      </w:r>
      <w:r/>
      <w:r w:rsidR="001852F3">
        <w:t xml:space="preserve">溶液封闭</w:t>
      </w:r>
      <w:r>
        <w:t>NC</w:t>
      </w:r>
      <w:r/>
      <w:r w:rsidR="001852F3">
        <w:t xml:space="preserve">膜</w:t>
      </w:r>
      <w:r>
        <w:t>1</w:t>
      </w:r>
      <w:r>
        <w:t> </w:t>
      </w:r>
      <w:r>
        <w:t>h</w:t>
      </w:r>
      <w:r>
        <w:t>，然后将含有相应条</w:t>
      </w:r>
      <w:r>
        <w:t>带的</w:t>
      </w:r>
      <w:r>
        <w:t>NC</w:t>
      </w:r>
      <w:r/>
      <w:r w:rsidR="001852F3">
        <w:t xml:space="preserve">膜分别与</w:t>
      </w:r>
      <w:r>
        <w:t>ft</w:t>
      </w:r>
      <w:r>
        <w:t>羊抗人</w:t>
      </w:r>
      <w:r>
        <w:t>COXIII</w:t>
      </w:r>
      <w:r/>
      <w:r w:rsidR="001852F3">
        <w:t xml:space="preserve">多克隆抗体</w:t>
      </w:r>
      <w:r>
        <w:t>(</w:t>
      </w:r>
      <w:r>
        <w:t>1</w:t>
      </w:r>
      <w:r>
        <w:t xml:space="preserve">: </w:t>
      </w:r>
      <w:r>
        <w:t>200</w:t>
      </w:r>
      <w:r>
        <w:t>)</w:t>
      </w:r>
      <w:r>
        <w:t>及鼠抗人</w:t>
      </w:r>
      <w:r>
        <w:t>β-actin</w:t>
      </w:r>
      <w:r/>
      <w:r w:rsidR="001852F3">
        <w:t xml:space="preserve">单克隆抗体</w:t>
      </w:r>
      <w:r>
        <w:t>(</w:t>
      </w:r>
      <w:r>
        <w:rPr>
          <w:spacing w:val="-6"/>
        </w:rPr>
        <w:t>1</w:t>
      </w:r>
      <w:r>
        <w:rPr>
          <w:spacing w:val="-6"/>
        </w:rPr>
        <w:t xml:space="preserve">: </w:t>
      </w:r>
      <w:r>
        <w:rPr>
          <w:spacing w:val="-6"/>
        </w:rPr>
        <w:t>1000</w:t>
      </w:r>
      <w:r>
        <w:t>)</w:t>
      </w:r>
      <w:r>
        <w:t>在</w:t>
      </w:r>
      <w:r>
        <w:t>4℃</w:t>
      </w:r>
      <w:r>
        <w:t>条件下孵育过夜，孵育后用</w:t>
      </w:r>
      <w:r>
        <w:t>TBST</w:t>
      </w:r>
      <w:r/>
      <w:r w:rsidR="001852F3">
        <w:t xml:space="preserve">洗涤</w:t>
      </w:r>
      <w:r>
        <w:t>3</w:t>
      </w:r>
      <w:r/>
      <w:r w:rsidR="001852F3">
        <w:t xml:space="preserve">次每次</w:t>
      </w:r>
      <w:r>
        <w:t>15min，洗涤后分别再与马抗ft羊二抗</w:t>
      </w:r>
      <w:r>
        <w:t>(</w:t>
      </w:r>
      <w:r>
        <w:t>1</w:t>
      </w:r>
      <w:r>
        <w:t xml:space="preserve">: </w:t>
      </w:r>
      <w:r>
        <w:t>2000</w:t>
      </w:r>
      <w:r>
        <w:t>)</w:t>
      </w:r>
      <w:r>
        <w:t>和兔抗小鼠二抗</w:t>
      </w:r>
      <w:r>
        <w:t>(</w:t>
      </w:r>
      <w:r>
        <w:t>1</w:t>
      </w:r>
      <w:r>
        <w:t xml:space="preserve">: </w:t>
      </w:r>
      <w:r>
        <w:t>2500</w:t>
      </w:r>
      <w:r>
        <w:t>)</w:t>
      </w:r>
      <w:r>
        <w:t>作用</w:t>
      </w:r>
      <w:r>
        <w:t>1h。</w:t>
      </w:r>
    </w:p>
    <w:p w:rsidR="0018722C">
      <w:pPr>
        <w:topLinePunct/>
      </w:pPr>
      <w:r>
        <w:t>（</w:t>
      </w:r>
      <w:r>
        <w:t>4</w:t>
      </w:r>
      <w:r>
        <w:t>）</w:t>
      </w:r>
      <w:r>
        <w:t>经</w:t>
      </w:r>
      <w:r>
        <w:t>ECL</w:t>
      </w:r>
      <w:r/>
      <w:r w:rsidR="001852F3">
        <w:t xml:space="preserve">显影</w:t>
      </w:r>
      <w:r>
        <w:t>，western blot</w:t>
      </w:r>
      <w:r/>
      <w:r w:rsidR="001852F3">
        <w:t xml:space="preserve">图片采用</w:t>
      </w:r>
      <w:r>
        <w:t>Image J</w:t>
      </w:r>
      <w:r/>
      <w:r w:rsidR="001852F3">
        <w:t xml:space="preserve">图像分析软件进行扫描分</w:t>
      </w:r>
      <w:r>
        <w:t>析，获得灰度值数据</w:t>
      </w:r>
      <w:r>
        <w:rPr>
          <w:rFonts w:hint="eastAsia"/>
        </w:rPr>
        <w:t>，</w:t>
      </w:r>
      <w:r>
        <w:t>经过内参照</w:t>
      </w:r>
      <w:r>
        <w:t>β-actin</w:t>
      </w:r>
      <w:r/>
      <w:r w:rsidR="001852F3">
        <w:t xml:space="preserve">条带灰度进行校正，校正灰度值以</w:t>
      </w:r>
      <w:r>
        <w:t>mea</w:t>
      </w:r>
      <w:r>
        <w:t>n</w:t>
      </w:r>
    </w:p>
    <w:p w:rsidR="0018722C">
      <w:pPr>
        <w:topLinePunct/>
      </w:pPr>
      <w:r>
        <w:t>±SD</w:t>
      </w:r>
      <w:r w:rsidR="001852F3">
        <w:t xml:space="preserve">表示。</w:t>
      </w:r>
    </w:p>
    <w:p w:rsidR="0018722C">
      <w:pPr>
        <w:pStyle w:val="Heading3"/>
        <w:topLinePunct/>
        <w:ind w:left="200" w:hangingChars="200" w:hanging="200"/>
      </w:pPr>
      <w:r>
        <w:rPr>
          <w:b/>
        </w:rPr>
        <w:t>4</w:t>
      </w:r>
      <w:r>
        <w:t xml:space="preserve"> </w:t>
      </w:r>
      <w:r>
        <w:t>比色法测定各组细胞</w:t>
      </w:r>
      <w:r>
        <w:rPr>
          <w:b/>
        </w:rPr>
        <w:t>COX</w:t>
      </w:r>
      <w:r w:rsidR="001852F3">
        <w:t xml:space="preserve">酶的活性</w:t>
      </w:r>
    </w:p>
    <w:p w:rsidR="0018722C">
      <w:pPr>
        <w:pStyle w:val="Heading4"/>
        <w:topLinePunct/>
        <w:ind w:left="200" w:hangingChars="200" w:hanging="200"/>
      </w:pPr>
      <w:r>
        <w:rPr>
          <w:b/>
        </w:rPr>
        <w:t>4.1</w:t>
      </w:r>
      <w:r>
        <w:t xml:space="preserve"> </w:t>
      </w:r>
      <w:r>
        <w:t>实验原理</w:t>
      </w:r>
    </w:p>
    <w:p w:rsidR="0018722C">
      <w:pPr>
        <w:topLinePunct/>
      </w:pPr>
      <w:r>
        <w:t xml:space="preserve">GENMED</w:t>
      </w:r>
      <w:r/>
      <w:r w:rsidR="001852F3">
        <w:t xml:space="preserve">纯化线粒体</w:t>
      </w:r>
      <w:r>
        <w:t xml:space="preserve">COX</w:t>
      </w:r>
      <w:r/>
      <w:r w:rsidR="001852F3">
        <w:t xml:space="preserve">活性测定试剂是一种旨在通过</w:t>
      </w:r>
      <w:r>
        <w:t xml:space="preserve">COX</w:t>
      </w:r>
      <w:r/>
      <w:r w:rsidR="001852F3">
        <w:t xml:space="preserve">反应系统中还原性</w:t>
      </w:r>
      <w:r>
        <w:t xml:space="preserve">细胞色素</w:t>
      </w:r>
      <w:r>
        <w:t xml:space="preserve">C</w:t>
      </w:r>
      <w:r>
        <w:t xml:space="preserve">(</w:t>
      </w:r>
      <w:r>
        <w:t xml:space="preserve">Cytochrome C</w:t>
      </w:r>
      <w:r>
        <w:t xml:space="preserve">)</w:t>
      </w:r>
      <w:r>
        <w:t xml:space="preserve">氧化后吸光峰值的降低，即采用比色法测定样品中酶</w:t>
      </w:r>
      <w:r>
        <w:t xml:space="preserve">活性的权威而经典的技术方法。</w:t>
      </w:r>
      <w:r>
        <w:t xml:space="preserve">COX</w:t>
      </w:r>
      <w:r/>
      <w:r w:rsidR="001852F3">
        <w:t xml:space="preserve">存在于真核生物的细胞线粒体上，主要通过氧化磷酸化为细胞提供能量。作为线粒体功能的生物标记，通过线粒体膜上的酶活</w:t>
      </w:r>
      <w:r>
        <w:t xml:space="preserve">性变化，来衡量线粒体外膜的完整性；基于还原型</w:t>
      </w:r>
      <w:r>
        <w:t xml:space="preserve">Cytochrome C</w:t>
      </w:r>
      <w:r/>
      <w:r w:rsidR="001852F3">
        <w:t xml:space="preserve">转化为氧化型Cytochrome C</w:t>
      </w:r>
      <w:r/>
      <w:r w:rsidR="001852F3">
        <w:t xml:space="preserve">的变化</w:t>
      </w:r>
      <w:r>
        <w:t xml:space="preserve">（</w:t>
      </w:r>
      <w:r>
        <w:t xml:space="preserve">550nm</w:t>
      </w:r>
      <w:r w:rsidR="001852F3">
        <w:rPr>
          <w:spacing w:val="-10"/>
        </w:rPr>
        <w:t xml:space="preserve">波长</w:t>
      </w:r>
      <w:r>
        <w:t xml:space="preserve">）</w:t>
      </w:r>
      <w:r>
        <w:t xml:space="preserve">，来测定</w:t>
      </w:r>
      <w:r>
        <w:t xml:space="preserve">COX</w:t>
      </w:r>
      <w:r/>
      <w:r w:rsidR="001852F3">
        <w:t xml:space="preserve">的活性。</w:t>
      </w:r>
      <w:r>
        <w:t xml:space="preserve">COX</w:t>
      </w:r>
      <w:r/>
      <w:r w:rsidR="001852F3">
        <w:t xml:space="preserve">反应系统为：</w:t>
      </w:r>
    </w:p>
    <w:p w:rsidR="0018722C">
      <w:pPr>
        <w:topLinePunct/>
      </w:pPr>
      <w:r>
        <w:t>4</w:t>
      </w:r>
      <w:r>
        <w:t> </w:t>
      </w:r>
      <w:r>
        <w:t>cytochrome</w:t>
      </w:r>
      <w:r>
        <w:t> </w:t>
      </w:r>
      <w:r>
        <w:t>C2+</w:t>
      </w:r>
      <w:r>
        <w:t> </w:t>
      </w:r>
      <w:r>
        <w:t>+</w:t>
      </w:r>
      <w:r>
        <w:t> </w:t>
      </w:r>
      <w:r>
        <w:t>8H+</w:t>
      </w:r>
      <w:r>
        <w:t> </w:t>
      </w:r>
      <w:r>
        <w:t>+</w:t>
      </w:r>
      <w:r>
        <w:t> </w:t>
      </w:r>
      <w:r>
        <w:t>O2-</w:t>
      </w:r>
      <w:r w:rsidRPr="00000000">
        <w:tab/>
      </w:r>
      <w:r>
        <w:t>----------</w:t>
      </w:r>
      <w:r>
        <w:t> </w:t>
      </w:r>
      <w:r>
        <w:t>4cytochrome</w:t>
      </w:r>
      <w:r>
        <w:t> </w:t>
      </w:r>
      <w:r>
        <w:t>C3+</w:t>
      </w:r>
      <w:r>
        <w:t> </w:t>
      </w:r>
      <w:r>
        <w:t>+</w:t>
      </w:r>
      <w:r>
        <w:t> </w:t>
      </w:r>
      <w:r>
        <w:t>2H2O</w:t>
      </w:r>
      <w:r>
        <w:t> </w:t>
      </w:r>
      <w:r>
        <w:t>+</w:t>
      </w:r>
      <w:r>
        <w:t> </w:t>
      </w:r>
      <w:r>
        <w:t>4H+还原型</w:t>
      </w:r>
      <w:r>
        <w:t>（</w:t>
      </w:r>
      <w:r>
        <w:t>高吸收峰</w:t>
      </w:r>
      <w:r>
        <w:t>）</w:t>
      </w:r>
      <w:r w:rsidR="001852F3">
        <w:t>COX</w:t>
      </w:r>
      <w:r w:rsidR="001852F3">
        <w:t>氧化型</w:t>
      </w:r>
      <w:r>
        <w:t>（</w:t>
      </w:r>
      <w:r>
        <w:t>低吸收峰</w:t>
      </w:r>
      <w:r>
        <w:t>）</w:t>
      </w:r>
    </w:p>
    <w:p w:rsidR="0018722C">
      <w:pPr>
        <w:pStyle w:val="Heading4"/>
        <w:topLinePunct/>
        <w:ind w:left="200" w:hangingChars="200" w:hanging="200"/>
      </w:pPr>
      <w:r>
        <w:rPr>
          <w:b/>
        </w:rPr>
        <w:t>4.2</w:t>
      </w:r>
      <w:r>
        <w:t xml:space="preserve"> </w:t>
      </w:r>
      <w:r>
        <w:t>实验步骤</w:t>
      </w:r>
    </w:p>
    <w:p w:rsidR="0018722C">
      <w:pPr>
        <w:pStyle w:val="cw20"/>
        <w:topLinePunct/>
      </w:pPr>
      <w:r>
        <w:rPr>
          <w:rFonts w:ascii="宋体" w:eastAsia="宋体" w:hint="eastAsia"/>
          <w:b/>
        </w:rPr>
        <w:t>4.2.1</w:t>
      </w:r>
      <w:r>
        <w:rPr>
          <w:rFonts w:ascii="宋体" w:eastAsia="宋体" w:hint="eastAsia"/>
          <w:b/>
        </w:rPr>
        <w:t>背景对照</w:t>
      </w:r>
    </w:p>
    <w:p w:rsidR="0018722C">
      <w:pPr>
        <w:topLinePunct/>
      </w:pPr>
      <w:r>
        <w:t>（</w:t>
      </w:r>
      <w:r>
        <w:t xml:space="preserve">1</w:t>
      </w:r>
      <w:r>
        <w:t>）</w:t>
      </w:r>
      <w:r>
        <w:t>移取</w:t>
      </w:r>
      <w:r w:rsidR="001852F3">
        <w:t xml:space="preserve">160μl</w:t>
      </w:r>
      <w:r w:rsidR="001852F3">
        <w:t xml:space="preserve">的</w:t>
      </w:r>
      <w:r w:rsidR="001852F3">
        <w:t xml:space="preserve">ReagentA</w:t>
      </w:r>
      <w:r>
        <w:t>（</w:t>
      </w:r>
      <w:r>
        <w:t>缓冲液</w:t>
      </w:r>
      <w:r>
        <w:t>）</w:t>
      </w:r>
      <w:r>
        <w:t>到新的</w:t>
      </w:r>
      <w:r w:rsidR="001852F3">
        <w:t xml:space="preserve">96</w:t>
      </w:r>
      <w:r w:rsidR="001852F3">
        <w:t xml:space="preserve">孔板；</w:t>
      </w:r>
    </w:p>
    <w:p w:rsidR="0018722C">
      <w:pPr>
        <w:topLinePunct/>
      </w:pPr>
      <w:r>
        <w:t>（</w:t>
      </w:r>
      <w:r>
        <w:t>2</w:t>
      </w:r>
      <w:r>
        <w:t>）</w:t>
      </w:r>
      <w:r>
        <w:t>加入</w:t>
      </w:r>
      <w:r>
        <w:t>20μl</w:t>
      </w:r>
      <w:r/>
      <w:r w:rsidR="001852F3">
        <w:t xml:space="preserve">的</w:t>
      </w:r>
      <w:r>
        <w:t>ReagentC</w:t>
      </w:r>
      <w:r>
        <w:t>（</w:t>
      </w:r>
      <w:r>
        <w:t>稀释液</w:t>
      </w:r>
      <w:r>
        <w:t>）</w:t>
      </w:r>
      <w:r>
        <w:t>；</w:t>
      </w:r>
    </w:p>
    <w:p w:rsidR="0018722C">
      <w:pPr>
        <w:topLinePunct/>
      </w:pPr>
      <w:r>
        <w:t>（</w:t>
      </w:r>
      <w:r>
        <w:t>3</w:t>
      </w:r>
      <w:r>
        <w:t>）</w:t>
      </w:r>
      <w:r>
        <w:t>枪头吹打数次，混匀；</w:t>
      </w:r>
    </w:p>
    <w:p w:rsidR="0018722C">
      <w:pPr>
        <w:topLinePunct/>
      </w:pPr>
      <w:r>
        <w:t>（</w:t>
      </w:r>
      <w:r>
        <w:t xml:space="preserve">4</w:t>
      </w:r>
      <w:r>
        <w:t>）</w:t>
      </w:r>
      <w:r>
        <w:t>室温下孵育</w:t>
      </w:r>
      <w:r w:rsidR="001852F3">
        <w:t xml:space="preserve">3min；</w:t>
      </w:r>
    </w:p>
    <w:p w:rsidR="0018722C">
      <w:pPr>
        <w:topLinePunct/>
      </w:pPr>
      <w:r>
        <w:t>（</w:t>
      </w:r>
      <w:r>
        <w:t>5</w:t>
      </w:r>
      <w:r>
        <w:t>）</w:t>
      </w:r>
      <w:r>
        <w:t>放入酶标仪，置零；</w:t>
      </w:r>
    </w:p>
    <w:p w:rsidR="0018722C">
      <w:pPr>
        <w:topLinePunct/>
      </w:pPr>
      <w:r>
        <w:t>（</w:t>
      </w:r>
      <w:r>
        <w:t>6</w:t>
      </w:r>
      <w:r>
        <w:t>）</w:t>
      </w:r>
      <w:r>
        <w:t>取出</w:t>
      </w:r>
      <w:r>
        <w:t>96</w:t>
      </w:r>
      <w:r/>
      <w:r w:rsidR="001852F3">
        <w:t xml:space="preserve">孔板，加入</w:t>
      </w:r>
      <w:r>
        <w:t>20μl</w:t>
      </w:r>
      <w:r/>
      <w:r w:rsidR="001852F3">
        <w:t xml:space="preserve">含有</w:t>
      </w:r>
      <w:r>
        <w:t>ReagentB</w:t>
      </w:r>
      <w:r>
        <w:t>（</w:t>
      </w:r>
      <w:r>
        <w:t>反应液</w:t>
      </w:r>
      <w:r>
        <w:t>）</w:t>
      </w:r>
      <w:r>
        <w:t>和</w:t>
      </w:r>
      <w:r>
        <w:t>ReagentD</w:t>
      </w:r>
      <w:r>
        <w:t>（</w:t>
      </w:r>
      <w:r>
        <w:t>稳定液</w:t>
      </w:r>
      <w:r>
        <w:t>）</w:t>
      </w:r>
      <w:r>
        <w:t>的反应工作液，混匀；</w:t>
      </w:r>
    </w:p>
    <w:p w:rsidR="0018722C">
      <w:pPr>
        <w:topLinePunct/>
      </w:pPr>
      <w:r>
        <w:t>（</w:t>
      </w:r>
      <w:r>
        <w:t>7</w:t>
      </w:r>
      <w:r>
        <w:t>）</w:t>
      </w:r>
      <w:r>
        <w:t>即刻放入酶标仪检测</w:t>
      </w:r>
      <w:r>
        <w:t>550nm</w:t>
      </w:r>
      <w:r/>
      <w:r w:rsidR="001852F3">
        <w:t xml:space="preserve">波长吸光值，此为背景空对照读数</w:t>
      </w:r>
      <w:r>
        <w:t>（</w:t>
      </w:r>
      <w:r>
        <w:t>0</w:t>
      </w:r>
      <w:r w:rsidR="001852F3">
        <w:rPr>
          <w:spacing w:val="-8"/>
        </w:rPr>
        <w:t xml:space="preserve">秒读数-60</w:t>
      </w:r>
      <w:r w:rsidR="001852F3">
        <w:rPr>
          <w:spacing w:val="-8"/>
        </w:rPr>
        <w:t xml:space="preserve">秒读数</w:t>
      </w:r>
      <w:r>
        <w:t>）</w:t>
      </w:r>
      <w:r>
        <w:t>，正常读数差值为</w:t>
      </w:r>
      <w:r>
        <w:t>0</w:t>
      </w:r>
      <w:r>
        <w:t>.</w:t>
      </w:r>
      <w:r>
        <w:t>001</w:t>
      </w:r>
      <w:r/>
      <w:r w:rsidR="001852F3">
        <w:t xml:space="preserve">至</w:t>
      </w:r>
      <w:r>
        <w:t>0.005；</w:t>
      </w:r>
    </w:p>
    <w:p w:rsidR="0018722C">
      <w:pPr>
        <w:pStyle w:val="cw20"/>
        <w:topLinePunct/>
      </w:pPr>
      <w:r>
        <w:rPr>
          <w:rFonts w:cstheme="minorBidi" w:hAnsiTheme="minorHAnsi" w:eastAsiaTheme="minorHAnsi" w:asciiTheme="minorHAnsi" w:ascii="宋体" w:hAnsi="宋体" w:eastAsia="宋体" w:cs="宋体"/>
          <w:b/>
        </w:rPr>
        <w:t>4.2.2</w:t>
      </w:r>
      <w:r>
        <w:rPr>
          <w:rFonts w:cstheme="minorBidi" w:hAnsiTheme="minorHAnsi" w:eastAsiaTheme="minorHAnsi" w:asciiTheme="minorHAnsi" w:ascii="宋体" w:hAnsi="宋体" w:eastAsia="宋体" w:cs="宋体"/>
          <w:b/>
        </w:rPr>
        <w:t>样品检测</w:t>
      </w:r>
    </w:p>
    <w:p w:rsidR="0018722C">
      <w:pPr>
        <w:topLinePunct/>
      </w:pPr>
      <w:r>
        <w:t>（</w:t>
      </w:r>
      <w:r>
        <w:t>1</w:t>
      </w:r>
      <w:r>
        <w:t>）</w:t>
      </w:r>
      <w:r>
        <w:t>取对数生长期目的基因组</w:t>
      </w:r>
      <w:r>
        <w:t>HepG2</w:t>
      </w:r>
      <w:r>
        <w:t>/</w:t>
      </w:r>
      <w:r>
        <w:t>HBx</w:t>
      </w:r>
      <w:r>
        <w:t>、空载对照组</w:t>
      </w:r>
      <w:r>
        <w:t>HepG2</w:t>
      </w:r>
      <w:r>
        <w:t>/</w:t>
      </w:r>
      <w:r>
        <w:t>mock</w:t>
      </w:r>
      <w:r>
        <w:t>、空白对</w:t>
      </w:r>
      <w:r>
        <w:t>照组</w:t>
      </w:r>
      <w:r>
        <w:t>HepG2</w:t>
      </w:r>
      <w:r/>
      <w:r w:rsidR="001852F3">
        <w:t xml:space="preserve">三组细胞，消化离心收集细胞约</w:t>
      </w:r>
      <w:r>
        <w:t>1³l07</w:t>
      </w:r>
      <w:r>
        <w:t>/</w:t>
      </w:r>
      <w:r>
        <w:t>L</w:t>
      </w:r>
      <w:r>
        <w:t>，分离线粒体并定量</w:t>
      </w:r>
      <w:r>
        <w:rPr>
          <w:spacing w:val="-1"/>
        </w:rPr>
        <w:t>（</w:t>
      </w:r>
      <w:r>
        <w:t>方法同上述</w:t>
      </w:r>
      <w:r>
        <w:rPr>
          <w:spacing w:val="-1"/>
        </w:rPr>
        <w:t>）</w:t>
      </w:r>
      <w:r>
        <w:t>。</w:t>
      </w:r>
    </w:p>
    <w:p w:rsidR="0018722C">
      <w:pPr>
        <w:topLinePunct/>
      </w:pPr>
      <w:r>
        <w:t>（</w:t>
      </w:r>
      <w:r>
        <w:t xml:space="preserve">2</w:t>
      </w:r>
      <w:r>
        <w:t>）</w:t>
      </w:r>
      <w:r>
        <w:t>移取</w:t>
      </w:r>
      <w:r w:rsidR="001852F3">
        <w:t xml:space="preserve">160μl</w:t>
      </w:r>
      <w:r w:rsidR="001852F3">
        <w:t xml:space="preserve">的</w:t>
      </w:r>
      <w:r w:rsidR="001852F3">
        <w:t xml:space="preserve">ReagentA</w:t>
      </w:r>
      <w:r>
        <w:t>（</w:t>
      </w:r>
      <w:r>
        <w:t>缓冲液</w:t>
      </w:r>
      <w:r>
        <w:t>）</w:t>
      </w:r>
      <w:r>
        <w:t>加入到</w:t>
      </w:r>
      <w:r w:rsidR="001852F3">
        <w:t xml:space="preserve">96</w:t>
      </w:r>
      <w:r w:rsidR="001852F3">
        <w:t xml:space="preserve">孔板中；</w:t>
      </w:r>
    </w:p>
    <w:p w:rsidR="0018722C">
      <w:pPr>
        <w:topLinePunct/>
      </w:pPr>
      <w:r>
        <w:t>（</w:t>
      </w:r>
      <w:r>
        <w:t>3</w:t>
      </w:r>
      <w:r>
        <w:t>）</w:t>
      </w:r>
      <w:r>
        <w:t>加入</w:t>
      </w:r>
      <w:r>
        <w:t>20μl</w:t>
      </w:r>
      <w:r/>
      <w:r w:rsidR="001852F3">
        <w:t xml:space="preserve">的待测样品</w:t>
      </w:r>
      <w:r>
        <w:t>（</w:t>
      </w:r>
      <w:r>
        <w:rPr>
          <w:spacing w:val="-10"/>
        </w:rPr>
        <w:t>总量</w:t>
      </w:r>
      <w:r>
        <w:t>2</w:t>
      </w:r>
      <w:r w:rsidR="001852F3">
        <w:rPr>
          <w:spacing w:val="-4"/>
        </w:rPr>
        <w:t xml:space="preserve">微克线粒体蛋白</w:t>
      </w:r>
      <w:r>
        <w:t>）</w:t>
      </w:r>
      <w:r>
        <w:t>；</w:t>
      </w:r>
    </w:p>
    <w:p w:rsidR="0018722C">
      <w:pPr>
        <w:topLinePunct/>
      </w:pPr>
      <w:r>
        <w:t>（</w:t>
      </w:r>
      <w:r>
        <w:t>4</w:t>
      </w:r>
      <w:r>
        <w:t>）</w:t>
      </w:r>
      <w:r>
        <w:t>用枪头轻柔吹打数次，混匀；</w:t>
      </w:r>
    </w:p>
    <w:p w:rsidR="0018722C">
      <w:pPr>
        <w:topLinePunct/>
      </w:pPr>
      <w:r>
        <w:t>（</w:t>
      </w:r>
      <w:r>
        <w:t xml:space="preserve">5</w:t>
      </w:r>
      <w:r>
        <w:t>）</w:t>
      </w:r>
      <w:r>
        <w:t>室温下孵育</w:t>
      </w:r>
      <w:r w:rsidR="001852F3">
        <w:t xml:space="preserve">3</w:t>
      </w:r>
      <w:r w:rsidR="001852F3">
        <w:t xml:space="preserve">分钟；</w:t>
      </w:r>
    </w:p>
    <w:p w:rsidR="0018722C">
      <w:pPr>
        <w:topLinePunct/>
      </w:pPr>
      <w:r>
        <w:t>（</w:t>
      </w:r>
      <w:r>
        <w:t>6</w:t>
      </w:r>
      <w:r>
        <w:t>）</w:t>
      </w:r>
      <w:r>
        <w:t>取出</w:t>
      </w:r>
      <w:r>
        <w:t>96</w:t>
      </w:r>
      <w:r/>
      <w:r w:rsidR="001852F3">
        <w:t xml:space="preserve">孔板，加入</w:t>
      </w:r>
      <w:r>
        <w:t>20μl</w:t>
      </w:r>
      <w:r/>
      <w:r w:rsidR="001852F3">
        <w:t xml:space="preserve">含有</w:t>
      </w:r>
      <w:r>
        <w:t>ReagentB</w:t>
      </w:r>
      <w:r>
        <w:t>（</w:t>
      </w:r>
      <w:r>
        <w:t>反应液</w:t>
      </w:r>
      <w:r>
        <w:t>）</w:t>
      </w:r>
      <w:r>
        <w:t>和</w:t>
      </w:r>
      <w:r>
        <w:t>ReagentD</w:t>
      </w:r>
      <w:r>
        <w:t>（</w:t>
      </w:r>
      <w:r>
        <w:t>稳定液</w:t>
      </w:r>
      <w:r>
        <w:t>）</w:t>
      </w:r>
      <w:r>
        <w:t>的反应工作液，混匀</w:t>
      </w:r>
      <w:r>
        <w:t>（</w:t>
      </w:r>
      <w:r>
        <w:rPr>
          <w:spacing w:val="-8"/>
        </w:rPr>
        <w:t>限定在</w:t>
      </w:r>
      <w:r>
        <w:t>3</w:t>
      </w:r>
      <w:r w:rsidR="001852F3">
        <w:rPr>
          <w:spacing w:val="-8"/>
        </w:rPr>
        <w:t xml:space="preserve">秒之内</w:t>
      </w:r>
      <w:r>
        <w:t>）</w:t>
      </w:r>
      <w:r>
        <w:t>；</w:t>
      </w:r>
    </w:p>
    <w:p w:rsidR="0018722C">
      <w:pPr>
        <w:topLinePunct/>
      </w:pPr>
      <w:r>
        <w:t>（</w:t>
      </w:r>
      <w:r>
        <w:t>7</w:t>
      </w:r>
      <w:r>
        <w:t>）</w:t>
      </w:r>
      <w:r>
        <w:t>即刻放酶标仪中检测</w:t>
      </w:r>
      <w:r>
        <w:t>550nm</w:t>
      </w:r>
      <w:r/>
      <w:r w:rsidR="001852F3">
        <w:t xml:space="preserve">波长吸光值，此为样品读数</w:t>
      </w:r>
      <w:r>
        <w:t>（</w:t>
      </w:r>
      <w:r>
        <w:t>0</w:t>
      </w:r>
      <w:r w:rsidR="001852F3">
        <w:rPr>
          <w:spacing w:val="-1"/>
        </w:rPr>
        <w:t xml:space="preserve">秒读数</w:t>
      </w:r>
      <w:r>
        <w:t>-60</w:t>
      </w:r>
      <w:r w:rsidR="001852F3">
        <w:t xml:space="preserve">秒读数</w:t>
      </w:r>
      <w:r>
        <w:t>）</w:t>
      </w:r>
      <w:r>
        <w:t>，通常活性读数差值为正值；</w:t>
      </w:r>
    </w:p>
    <w:p w:rsidR="0018722C">
      <w:pPr>
        <w:topLinePunct/>
      </w:pPr>
      <w:r>
        <w:t>（</w:t>
      </w:r>
      <w:r>
        <w:t>8</w:t>
      </w:r>
      <w:r>
        <w:t>）</w:t>
      </w:r>
      <w:r/>
      <w:r w:rsidR="001852F3">
        <w:t xml:space="preserve">根据</w:t>
      </w:r>
      <w:r>
        <w:t>550nm</w:t>
      </w:r>
      <w:r/>
      <w:r w:rsidR="001852F3">
        <w:t xml:space="preserve">波长吸光值变化计算细胞色素</w:t>
      </w:r>
      <w:r>
        <w:t>c</w:t>
      </w:r>
      <w:r/>
      <w:r w:rsidR="001852F3">
        <w:t xml:space="preserve">氧化酶活性，具体公式如下：</w:t>
      </w:r>
    </w:p>
    <w:p w:rsidR="0018722C">
      <w:pPr>
        <w:pStyle w:val="ae"/>
        <w:topLinePunct/>
      </w:pPr>
      <w:r>
        <w:pict>
          <v:line style="position:absolute;mso-position-horizontal-relative:page;mso-position-vertical-relative:paragraph;z-index:1168;mso-wrap-distance-left:0;mso-wrap-distance-right:0" from="85.75pt,24.59565pt" to="502.75pt,25.14565pt" stroked="true" strokeweight="1.25pt" strokecolor="#000000">
            <v:stroke dashstyle="solid"/>
            <w10:wrap type="topAndBottom"/>
          </v:line>
        </w:pict>
      </w:r>
      <w:r>
        <w:t>{（样品读数—背景读数）³</w:t>
      </w:r>
      <w:r>
        <w:t>0</w:t>
      </w:r>
      <w:r>
        <w:t>.</w:t>
      </w:r>
      <w:r>
        <w:t>2（体系容量：毫升）³</w:t>
      </w:r>
      <w:r w:rsidR="001852F3">
        <w:rPr>
          <w:spacing w:val="6"/>
        </w:rPr>
        <w:t xml:space="preserve">样品稀释倍数}</w:t>
      </w:r>
    </w:p>
    <w:p w:rsidR="0018722C">
      <w:pPr>
        <w:topLinePunct/>
      </w:pPr>
      <w:r>
        <w:t xml:space="preserve">{</w:t>
      </w:r>
      <w:r>
        <w:t xml:space="preserve">0.02</w:t>
      </w:r>
      <w:r/>
      <w:r>
        <w:rPr>
          <w:spacing w:val="-4"/>
        </w:rPr>
        <w:t xml:space="preserve">（</w:t>
      </w:r>
      <w:r>
        <w:t xml:space="preserve">样品容量：毫升</w:t>
      </w:r>
      <w:r>
        <w:t xml:space="preserve">）</w:t>
      </w:r>
      <w:r>
        <w:t xml:space="preserve">³</w:t>
      </w:r>
      <w:r w:rsidR="001852F3">
        <w:t xml:space="preserve">21</w:t>
      </w:r>
      <w:r>
        <w:t>.</w:t>
      </w:r>
      <w:r>
        <w:t xml:space="preserve">84</w:t>
      </w:r>
      <w:r>
        <w:t xml:space="preserve">（</w:t>
      </w:r>
      <w:r>
        <w:t xml:space="preserve">毫摩尔吸光系数</w:t>
      </w:r>
      <w:r>
        <w:t xml:space="preserve">）</w:t>
      </w:r>
      <w:r>
        <w:t xml:space="preserve">³</w:t>
      </w:r>
      <w:r>
        <w:t xml:space="preserve">1</w:t>
      </w:r>
      <w:r>
        <w:t xml:space="preserve">（</w:t>
      </w:r>
      <w:r>
        <w:t xml:space="preserve">反应时间：</w:t>
      </w:r>
      <w:r>
        <w:t xml:space="preserve">（</w:t>
      </w:r>
      <w:r>
        <w:t xml:space="preserve">分钟</w:t>
      </w:r>
      <w:r>
        <w:t xml:space="preserve">）</w:t>
      </w:r>
      <w:r>
        <w:t xml:space="preserve">}</w:t>
      </w:r>
    </w:p>
    <w:p w:rsidR="0018722C">
      <w:pPr>
        <w:topLinePunct/>
      </w:pPr>
      <w:r>
        <w:t>=</w:t>
      </w:r>
      <w:r w:rsidR="001852F3">
        <w:t xml:space="preserve">微摩尔细胞色素</w:t>
      </w:r>
      <w:r w:rsidR="001852F3">
        <w:t xml:space="preserve">C</w:t>
      </w:r>
      <w:r>
        <w:t>/</w:t>
      </w:r>
      <w:r>
        <w:t>分钟</w:t>
      </w:r>
    </w:p>
    <w:p w:rsidR="0018722C">
      <w:pPr>
        <w:topLinePunct/>
      </w:pPr>
      <w:r>
        <w:t>unit</w:t>
      </w:r>
      <w:r/>
      <w:r w:rsidR="001852F3">
        <w:t xml:space="preserve">定义</w:t>
      </w:r>
      <w:r>
        <w:t>：lunit</w:t>
      </w:r>
      <w:r/>
      <w:r w:rsidR="001852F3">
        <w:t xml:space="preserve">为</w:t>
      </w:r>
      <w:r>
        <w:t>pH 7.0，25℃</w:t>
      </w:r>
      <w:r>
        <w:t>条件下，每分钟可氧化</w:t>
      </w:r>
      <w:r>
        <w:t>1 MmoL</w:t>
      </w:r>
      <w:r/>
      <w:r w:rsidR="001852F3">
        <w:t xml:space="preserve">细胞色素</w:t>
      </w:r>
      <w:r>
        <w:t>C</w:t>
      </w:r>
      <w:r w:rsidR="001852F3">
        <w:t xml:space="preserve">所需的酶的量。</w:t>
      </w:r>
    </w:p>
    <w:p w:rsidR="0018722C">
      <w:pPr>
        <w:pStyle w:val="Heading3"/>
        <w:topLinePunct/>
        <w:ind w:left="200" w:hangingChars="200" w:hanging="200"/>
      </w:pPr>
      <w:r>
        <w:rPr>
          <w:b/>
        </w:rPr>
        <w:t>5</w:t>
      </w:r>
      <w:r>
        <w:t xml:space="preserve"> </w:t>
      </w:r>
      <w:r>
        <w:t>流式细胞仪检测三组细胞线粒体跨膜电位</w:t>
      </w:r>
    </w:p>
    <w:p w:rsidR="0018722C">
      <w:pPr>
        <w:pStyle w:val="Heading4"/>
        <w:topLinePunct/>
        <w:ind w:left="200" w:hangingChars="200" w:hanging="200"/>
      </w:pPr>
      <w:r>
        <w:rPr>
          <w:b/>
        </w:rPr>
        <w:t>5.1</w:t>
      </w:r>
      <w:r>
        <w:t xml:space="preserve"> </w:t>
      </w:r>
      <w:r>
        <w:t>实验原理</w:t>
      </w:r>
    </w:p>
    <w:p w:rsidR="0018722C">
      <w:pPr>
        <w:topLinePunct/>
      </w:pPr>
      <w:r>
        <w:t>线粒体膜电位</w:t>
      </w:r>
      <w:r>
        <w:t>（</w:t>
      </w:r>
      <w:r>
        <w:t>ΔΨm</w:t>
      </w:r>
      <w:r>
        <w:t>）</w:t>
      </w:r>
      <w:r>
        <w:t>的存在，使亲脂性阳离子荧光染料四甲基罗丹明甲酯</w:t>
      </w:r>
    </w:p>
    <w:p w:rsidR="0018722C">
      <w:pPr>
        <w:topLinePunct/>
      </w:pPr>
      <w:r>
        <w:t>（</w:t>
      </w:r>
      <w:r>
        <w:t xml:space="preserve">TMRM</w:t>
      </w:r>
      <w:r>
        <w:t>）</w:t>
      </w:r>
      <w:r>
        <w:t>可结合到线粒体基质，其荧光的增强或减弱说明线粒体内膜电负性的增高或降低。TMRM</w:t>
      </w:r>
      <w:r w:rsidR="001852F3">
        <w:t xml:space="preserve">是一种源于</w:t>
      </w:r>
      <w:r w:rsidR="001852F3">
        <w:t xml:space="preserve">Rhodamine</w:t>
      </w:r>
      <w:r w:rsidR="001852F3">
        <w:t xml:space="preserve">家族用来检测线粒体膜电位的红色荧光探针。</w:t>
      </w:r>
    </w:p>
    <w:p w:rsidR="0018722C">
      <w:pPr>
        <w:pStyle w:val="Heading4"/>
        <w:topLinePunct/>
        <w:ind w:left="200" w:hangingChars="200" w:hanging="200"/>
      </w:pPr>
      <w:r>
        <w:rPr>
          <w:b/>
        </w:rPr>
        <w:t>5.2</w:t>
      </w:r>
      <w:r>
        <w:t xml:space="preserve"> </w:t>
      </w:r>
      <w:r>
        <w:t>实验步骤</w:t>
      </w:r>
    </w:p>
    <w:p w:rsidR="0018722C">
      <w:pPr>
        <w:topLinePunct/>
      </w:pPr>
      <w:r>
        <w:t>分别消化离心收集对数生长期目的基因组</w:t>
      </w:r>
      <w:r w:rsidR="001852F3">
        <w:t xml:space="preserve">HepG2</w:t>
      </w:r>
      <w:r>
        <w:t>/</w:t>
      </w:r>
      <w:r>
        <w:t xml:space="preserve">HBx</w:t>
      </w:r>
      <w:r w:rsidR="001852F3">
        <w:t xml:space="preserve">、空载对照组 </w:t>
      </w:r>
    </w:p>
    <w:p w:rsidR="0018722C">
      <w:pPr>
        <w:topLinePunct/>
      </w:pPr>
      <w:r>
        <w:t>HepG2</w:t>
      </w:r>
      <w:r>
        <w:t>/</w:t>
      </w:r>
      <w:r>
        <w:t>mock</w:t>
      </w:r>
      <w:r>
        <w:t>、空白对照组</w:t>
      </w:r>
      <w:r>
        <w:t>HepG2</w:t>
      </w:r>
      <w:r/>
      <w:r w:rsidR="001852F3">
        <w:t xml:space="preserve">三组细胞各</w:t>
      </w:r>
      <w:r>
        <w:t>1³10</w:t>
      </w:r>
      <w:r>
        <w:rPr>
          <w:vertAlign w:val="superscript"/>
          /&gt;
        </w:rPr>
        <w:t>6</w:t>
      </w:r>
      <w:r>
        <w:t>个，按照试剂说明书重悬细胞</w:t>
      </w:r>
      <w:r>
        <w:t>于</w:t>
      </w:r>
      <w:r>
        <w:t>0</w:t>
      </w:r>
      <w:r>
        <w:t>.</w:t>
      </w:r>
      <w:r>
        <w:t>5mL</w:t>
      </w:r>
      <w:r/>
      <w:r w:rsidR="001852F3">
        <w:t xml:space="preserve">的无血清</w:t>
      </w:r>
      <w:r>
        <w:t>DMEM</w:t>
      </w:r>
      <w:r/>
      <w:r w:rsidR="001852F3">
        <w:t xml:space="preserve">培养液中，并加入等体积的</w:t>
      </w:r>
      <w:r>
        <w:t>TMRM</w:t>
      </w:r>
      <w:r/>
      <w:r w:rsidR="001852F3">
        <w:t xml:space="preserve">染色工作液使</w:t>
      </w:r>
      <w:r>
        <w:t>TMRM</w:t>
      </w:r>
      <w:r/>
      <w:r w:rsidR="001852F3">
        <w:t xml:space="preserve">最终</w:t>
      </w:r>
      <w:r>
        <w:t>工作浓度为</w:t>
      </w:r>
      <w:r>
        <w:t>100 nmol</w:t>
      </w:r>
      <w:r>
        <w:t>/</w:t>
      </w:r>
      <w:r>
        <w:t>L，颠倒数次混匀，37℃、5%CO2</w:t>
      </w:r>
      <w:r/>
      <w:r w:rsidR="001852F3">
        <w:t xml:space="preserve">培养箱内避光孵育</w:t>
      </w:r>
      <w:r>
        <w:t>20min，</w:t>
      </w:r>
      <w:r>
        <w:t>孵育后以</w:t>
      </w:r>
      <w:r>
        <w:t>600g</w:t>
      </w:r>
      <w:r>
        <w:t>、</w:t>
      </w:r>
      <w:r>
        <w:t>4℃</w:t>
      </w:r>
      <w:r>
        <w:t>离心</w:t>
      </w:r>
      <w:r>
        <w:t>3min</w:t>
      </w:r>
      <w:r>
        <w:t>，离心后以</w:t>
      </w:r>
      <w:r>
        <w:t>TMRM</w:t>
      </w:r>
      <w:r/>
      <w:r w:rsidR="001852F3">
        <w:t xml:space="preserve">染色缓冲液洗涤</w:t>
      </w:r>
      <w:r>
        <w:t>2</w:t>
      </w:r>
      <w:r/>
      <w:r w:rsidR="001852F3">
        <w:t xml:space="preserve">次，以去除残余</w:t>
      </w:r>
      <w:r>
        <w:t>的</w:t>
      </w:r>
      <w:r>
        <w:t>TMRM，</w:t>
      </w:r>
      <w:r>
        <w:t>洗涤后以</w:t>
      </w:r>
      <w:r>
        <w:t>0</w:t>
      </w:r>
      <w:r>
        <w:t>.</w:t>
      </w:r>
      <w:r>
        <w:t>01M PBS</w:t>
      </w:r>
      <w:r/>
      <w:r w:rsidR="001852F3">
        <w:t xml:space="preserve">重悬细胞，用流式细胞仪以激发波长</w:t>
      </w:r>
      <w:r>
        <w:t>480nm，发射</w:t>
      </w:r>
      <w:r>
        <w:t>波长</w:t>
      </w:r>
      <w:r>
        <w:t>590nm</w:t>
      </w:r>
      <w:r/>
      <w:r w:rsidR="001852F3">
        <w:t xml:space="preserve">检测细胞平均荧光强度，以反映</w:t>
      </w:r>
      <w:r>
        <w:t>ΔΨm</w:t>
      </w:r>
      <w:r/>
      <w:r w:rsidR="001852F3">
        <w:t xml:space="preserve">的变化。</w:t>
      </w:r>
    </w:p>
    <w:p w:rsidR="0018722C">
      <w:pPr>
        <w:pStyle w:val="Heading3"/>
        <w:topLinePunct/>
        <w:ind w:left="200" w:hangingChars="200" w:hanging="200"/>
      </w:pPr>
      <w:r>
        <w:rPr>
          <w:b/>
        </w:rPr>
        <w:t>6</w:t>
      </w:r>
      <w:r>
        <w:t xml:space="preserve"> </w:t>
      </w:r>
      <w:r>
        <w:t>透射电镜观察三组细胞线粒体超微结构</w:t>
      </w:r>
    </w:p>
    <w:p w:rsidR="0018722C">
      <w:pPr>
        <w:topLinePunct/>
      </w:pPr>
      <w:r>
        <w:t>（</w:t>
      </w:r>
      <w:r>
        <w:t xml:space="preserve">1</w:t>
      </w:r>
      <w:r>
        <w:t>）</w:t>
      </w:r>
      <w:r>
        <w:t>取材：收集对数生长期目的基因组</w:t>
      </w:r>
      <w:r>
        <w:t>HepG2</w:t>
      </w:r>
      <w:r>
        <w:t>/</w:t>
      </w:r>
      <w:r>
        <w:t>HBx</w:t>
      </w:r>
      <w:r>
        <w:t>、空载对照组</w:t>
      </w:r>
      <w:r>
        <w:t>HepG2</w:t>
      </w:r>
      <w:r>
        <w:t>/</w:t>
      </w:r>
      <w:r>
        <w:t>mock、</w:t>
      </w:r>
      <w:r>
        <w:t>空白对照组</w:t>
      </w:r>
      <w:r>
        <w:t>HepG2</w:t>
      </w:r>
      <w:r/>
      <w:r w:rsidR="001852F3">
        <w:t xml:space="preserve">三组细胞，消化离心收集细胞约</w:t>
      </w:r>
      <w:r>
        <w:t>1³l0</w:t>
      </w:r>
      <w:r>
        <w:rPr>
          <w:vertAlign w:val="superscript"/>
          /&gt;
        </w:rPr>
        <w:t>6</w:t>
      </w:r>
      <w:r>
        <w:t>/</w:t>
      </w:r>
      <w:r>
        <w:t>L。</w:t>
      </w:r>
    </w:p>
    <w:p w:rsidR="0018722C">
      <w:pPr>
        <w:topLinePunct/>
      </w:pPr>
      <w:r>
        <w:t xml:space="preserve">（</w:t>
      </w:r>
      <w:r>
        <w:t xml:space="preserve">2</w:t>
      </w:r>
      <w:r>
        <w:t xml:space="preserve">）</w:t>
      </w:r>
      <w:r>
        <w:t xml:space="preserve">前固定：3%戊二醛-1.5%多聚甲醛-0.1M PBS </w:t>
      </w:r>
      <w:r>
        <w:t xml:space="preserve">(</w:t>
      </w:r>
      <w:r>
        <w:t xml:space="preserve">pH7.2</w:t>
      </w:r>
      <w:r>
        <w:t xml:space="preserve">)</w:t>
      </w:r>
      <w:r>
        <w:t xml:space="preserve"> 4℃</w:t>
      </w:r>
      <w:r w:rsidR="001852F3">
        <w:t xml:space="preserve">固定数天</w:t>
      </w:r>
      <w:r>
        <w:t xml:space="preserve">（</w:t>
      </w:r>
      <w:r>
        <w:t xml:space="preserve">2d</w:t>
      </w:r>
    </w:p>
    <w:p w:rsidR="0018722C">
      <w:pPr>
        <w:topLinePunct/>
      </w:pPr>
      <w:r>
        <w:t>以上</w:t>
      </w:r>
      <w:r>
        <w:t>）</w:t>
      </w:r>
      <w:r>
        <w:t>；</w:t>
      </w:r>
    </w:p>
    <w:p w:rsidR="0018722C">
      <w:pPr>
        <w:topLinePunct/>
      </w:pPr>
      <w:r>
        <w:t>（</w:t>
      </w:r>
      <w:r>
        <w:t xml:space="preserve">3</w:t>
      </w:r>
      <w:r>
        <w:t>）</w:t>
      </w:r>
      <w:r>
        <w:t>漂洗: 0.1M PBS</w:t>
      </w:r>
      <w:r w:rsidR="001852F3">
        <w:t xml:space="preserve">漂洗</w:t>
      </w:r>
      <w:r w:rsidR="001852F3">
        <w:t xml:space="preserve">3</w:t>
      </w:r>
      <w:r w:rsidR="001852F3">
        <w:t xml:space="preserve">次；</w:t>
      </w:r>
    </w:p>
    <w:p w:rsidR="0018722C">
      <w:pPr>
        <w:topLinePunct/>
      </w:pPr>
      <w:r>
        <w:t>（</w:t>
      </w:r>
      <w:r>
        <w:t xml:space="preserve">4</w:t>
      </w:r>
      <w:r>
        <w:t>）</w:t>
      </w:r>
      <w:r>
        <w:t>后固定</w:t>
      </w:r>
      <w:r>
        <w:rPr>
          <w:rFonts w:hint="eastAsia"/>
        </w:rPr>
        <w:t>：</w:t>
      </w:r>
      <w:r w:rsidR="001852F3">
        <w:t xml:space="preserve">1%锇酸-1.5%亚铁氰化钾</w:t>
      </w:r>
      <w:r w:rsidR="001852F3">
        <w:t xml:space="preserve">4℃</w:t>
      </w:r>
      <w:r w:rsidR="001852F3">
        <w:t xml:space="preserve">1.5h；</w:t>
      </w:r>
    </w:p>
    <w:p w:rsidR="0018722C">
      <w:pPr>
        <w:topLinePunct/>
      </w:pPr>
      <w:r>
        <w:t>（</w:t>
      </w:r>
      <w:r>
        <w:t xml:space="preserve">5</w:t>
      </w:r>
      <w:r>
        <w:t>）</w:t>
      </w:r>
      <w:r>
        <w:t>漂洗: 0.1M PBS</w:t>
      </w:r>
      <w:r w:rsidR="001852F3">
        <w:t xml:space="preserve">漂洗</w:t>
      </w:r>
      <w:r w:rsidR="001852F3">
        <w:t xml:space="preserve">3</w:t>
      </w:r>
      <w:r w:rsidR="001852F3">
        <w:t xml:space="preserve">次。</w:t>
      </w:r>
    </w:p>
    <w:p w:rsidR="0018722C">
      <w:pPr>
        <w:topLinePunct/>
      </w:pPr>
      <w:r>
        <w:t>（</w:t>
      </w:r>
      <w:r>
        <w:t>6</w:t>
      </w:r>
      <w:r>
        <w:t>）</w:t>
      </w:r>
      <w:r>
        <w:t>脱水：</w:t>
      </w:r>
      <w:r>
        <w:t>50%</w:t>
      </w:r>
      <w:r>
        <w:t>酒精</w:t>
      </w:r>
      <w:r>
        <w:t>10min→70%</w:t>
      </w:r>
      <w:r>
        <w:t>酒精饱和醋酸铀染液</w:t>
      </w:r>
      <w:r>
        <w:t>4℃过夜</w:t>
      </w:r>
      <w:r w:rsidR="001852F3">
        <w:t xml:space="preserve">→90%</w:t>
      </w:r>
      <w:r>
        <w:t>酒精</w:t>
      </w:r>
      <w:r>
        <w:t>10min</w:t>
      </w:r>
    </w:p>
    <w:p w:rsidR="0018722C">
      <w:pPr>
        <w:topLinePunct/>
      </w:pPr>
      <w:r>
        <w:t>→90%</w:t>
      </w:r>
      <w:r>
        <w:t>酒精-丙酮</w:t>
      </w:r>
      <w:r>
        <w:t>10min→90%</w:t>
      </w:r>
      <w:r/>
      <w:r w:rsidR="001852F3">
        <w:t xml:space="preserve">丙酮</w:t>
      </w:r>
      <w:r>
        <w:t>10min→</w:t>
      </w:r>
      <w:r>
        <w:t>无水丙酮</w:t>
      </w:r>
      <w:r>
        <w:t>10min</w:t>
      </w:r>
      <w:r>
        <w:t>³3</w:t>
      </w:r>
      <w:r/>
      <w:r>
        <w:t>次。</w:t>
      </w:r>
    </w:p>
    <w:p w:rsidR="0018722C">
      <w:pPr>
        <w:topLinePunct/>
      </w:pPr>
      <w:r>
        <w:t>（</w:t>
      </w:r>
      <w:r>
        <w:t xml:space="preserve">7</w:t>
      </w:r>
      <w:r>
        <w:t>）</w:t>
      </w:r>
      <w:r>
        <w:t>浸透：无水丙酮+环氧树脂</w:t>
      </w:r>
      <w:r>
        <w:t>618</w:t>
      </w:r>
      <w:r/>
      <w:r w:rsidR="001852F3">
        <w:t xml:space="preserve">包埋剂</w:t>
      </w:r>
      <w:r>
        <w:t>（</w:t>
      </w:r>
      <w:r>
        <w:rPr>
          <w:spacing w:val="-2"/>
        </w:rPr>
        <w:t xml:space="preserve">1:1</w:t>
      </w:r>
      <w:r>
        <w:t>）</w:t>
      </w:r>
      <w:r>
        <w:t>1.5</w:t>
      </w:r>
      <w:r>
        <w:t> </w:t>
      </w:r>
      <w:r>
        <w:t>h</w:t>
      </w:r>
      <w:r>
        <w:t>；纯</w:t>
      </w:r>
      <w:r>
        <w:t>618</w:t>
      </w:r>
      <w:r/>
      <w:r w:rsidR="001852F3">
        <w:t xml:space="preserve">包埋剂</w:t>
      </w:r>
      <w:r>
        <w:t>35℃</w:t>
      </w:r>
      <w:r w:rsidR="001852F3">
        <w:t xml:space="preserve">3 h；</w:t>
      </w:r>
    </w:p>
    <w:p w:rsidR="0018722C">
      <w:pPr>
        <w:topLinePunct/>
      </w:pPr>
      <w:r>
        <w:t>（</w:t>
      </w:r>
      <w:r>
        <w:t xml:space="preserve">8</w:t>
      </w:r>
      <w:r>
        <w:t>）</w:t>
      </w:r>
      <w:r>
        <w:t>包埋、聚合：35℃</w:t>
      </w:r>
      <w:r w:rsidR="001852F3">
        <w:t xml:space="preserve">12 h，45℃</w:t>
      </w:r>
      <w:r w:rsidR="001852F3">
        <w:t xml:space="preserve">12 h，60℃</w:t>
      </w:r>
      <w:r w:rsidR="001852F3">
        <w:t xml:space="preserve">3d。</w:t>
      </w:r>
    </w:p>
    <w:p w:rsidR="0018722C">
      <w:pPr>
        <w:topLinePunct/>
      </w:pPr>
      <w:r>
        <w:t>（</w:t>
      </w:r>
      <w:r>
        <w:t>9</w:t>
      </w:r>
      <w:r>
        <w:t>）</w:t>
      </w:r>
      <w:r>
        <w:t>修快，半薄切片，定位</w:t>
      </w:r>
    </w:p>
    <w:p w:rsidR="0018722C">
      <w:pPr>
        <w:topLinePunct/>
      </w:pPr>
      <w:r>
        <w:t>（</w:t>
      </w:r>
      <w:r>
        <w:t>10</w:t>
      </w:r>
      <w:r>
        <w:t>）</w:t>
      </w:r>
      <w:r>
        <w:t>切片、染色：</w:t>
      </w:r>
      <w:r>
        <w:t>Leica</w:t>
      </w:r>
      <w:r>
        <w:t> </w:t>
      </w:r>
      <w:r>
        <w:t>UC-6</w:t>
      </w:r>
      <w:r/>
      <w:r w:rsidR="001852F3">
        <w:t xml:space="preserve">型超薄切片机切</w:t>
      </w:r>
      <w:r>
        <w:t>100nm</w:t>
      </w:r>
      <w:r/>
      <w:r w:rsidR="001852F3">
        <w:t xml:space="preserve">的超薄切片；经醋酸</w:t>
      </w:r>
      <w:r>
        <w:t>铀、柠檬酸铅分别染色</w:t>
      </w:r>
      <w:r>
        <w:t>5-15 min，</w:t>
      </w:r>
      <w:r>
        <w:t>并蒸馏水水洗。在</w:t>
      </w:r>
      <w:r>
        <w:t>PHILIPS EM208</w:t>
      </w:r>
      <w:r/>
      <w:r w:rsidR="001852F3">
        <w:t xml:space="preserve">型透射电镜下观察并摄片。</w:t>
      </w:r>
    </w:p>
    <w:p w:rsidR="0018722C">
      <w:pPr>
        <w:pStyle w:val="Heading3"/>
        <w:topLinePunct/>
        <w:ind w:left="200" w:hangingChars="200" w:hanging="200"/>
      </w:pPr>
      <w:r>
        <w:rPr>
          <w:b/>
        </w:rPr>
        <w:t>7</w:t>
      </w:r>
      <w:r>
        <w:t xml:space="preserve"> </w:t>
      </w:r>
      <w:r>
        <w:t>统计学分析结果</w:t>
      </w:r>
    </w:p>
    <w:p w:rsidR="0018722C">
      <w:pPr>
        <w:topLinePunct/>
      </w:pPr>
      <w:r>
        <w:t>各实验结果以</w:t>
      </w:r>
      <w:r>
        <w:t>mean±SD</w:t>
      </w:r>
      <w:r/>
      <w:r w:rsidR="001852F3">
        <w:t xml:space="preserve">表示。采用</w:t>
      </w:r>
      <w:r>
        <w:t>SPSS11.5</w:t>
      </w:r>
      <w:r/>
      <w:r w:rsidR="001852F3">
        <w:t xml:space="preserve">软件，各组比较采用单因素</w:t>
      </w:r>
      <w:r>
        <w:t>ANOVA</w:t>
      </w:r>
      <w:r>
        <w:t>检验，以</w:t>
      </w:r>
      <w:r>
        <w:t>P &lt;0.05</w:t>
      </w:r>
      <w:r/>
      <w:r w:rsidR="001852F3">
        <w:t xml:space="preserve">作为具有显著性差异。</w:t>
      </w:r>
    </w:p>
    <w:p w:rsidR="0018722C">
      <w:pPr>
        <w:topLinePunct/>
      </w:pPr>
      <w:bookmarkStart w:name="四 实验结果 " w:id="21"/>
      <w:bookmarkEnd w:id="21"/>
      <w:r>
        <w:rPr>
          <w:rFonts w:cstheme="minorBidi" w:hAnsiTheme="minorHAnsi" w:eastAsiaTheme="minorHAnsi" w:asciiTheme="minorHAnsi" w:ascii="宋体" w:hAnsi="宋体" w:eastAsia="宋体" w:cs="宋体"/>
          <w:b/>
        </w:rPr>
        <w:t>四</w:t>
      </w:r>
      <w:r w:rsidR="001852F3">
        <w:rPr>
          <w:rFonts w:cstheme="minorBidi" w:hAnsiTheme="minorHAnsi" w:eastAsiaTheme="minorHAnsi" w:asciiTheme="minorHAnsi" w:ascii="宋体" w:hAnsi="宋体" w:eastAsia="宋体" w:cs="宋体"/>
          <w:b/>
        </w:rPr>
        <w:t xml:space="preserve">实验结果</w:t>
      </w:r>
    </w:p>
    <w:p w:rsidR="0018722C">
      <w:pPr>
        <w:pStyle w:val="Heading3"/>
        <w:topLinePunct/>
        <w:ind w:left="200" w:hangingChars="200" w:hanging="200"/>
      </w:pPr>
      <w:r>
        <w:rPr>
          <w:b/>
        </w:rPr>
        <w:t>1</w:t>
      </w:r>
      <w:r>
        <w:t xml:space="preserve"> </w:t>
      </w:r>
      <w:r>
        <w:rPr>
          <w:b/>
        </w:rPr>
        <w:t>COX</w:t>
      </w:r>
      <w:r>
        <w:t>Ⅲ和</w:t>
      </w:r>
      <w:r>
        <w:rPr>
          <w:b/>
        </w:rPr>
        <w:t>HBx</w:t>
      </w:r>
      <w:r w:rsidR="001852F3">
        <w:t xml:space="preserve">蛋白在</w:t>
      </w:r>
      <w:r>
        <w:rPr>
          <w:b/>
        </w:rPr>
        <w:t>HepG2</w:t>
      </w:r>
      <w:r w:rsidR="001852F3">
        <w:t xml:space="preserve">细胞中共定位</w:t>
      </w:r>
    </w:p>
    <w:p w:rsidR="0018722C">
      <w:pPr>
        <w:topLinePunct/>
      </w:pPr>
      <w:r>
        <w:t>我们观察到在激光共聚焦显微镜下</w:t>
      </w:r>
      <w:r>
        <w:t>HBx</w:t>
      </w:r>
      <w:r/>
      <w:r w:rsidR="001852F3">
        <w:t xml:space="preserve">蛋白在</w:t>
      </w:r>
      <w:r>
        <w:t>HepG2</w:t>
      </w:r>
      <w:r>
        <w:t>/</w:t>
      </w:r>
      <w:r>
        <w:t>HBx</w:t>
      </w:r>
      <w:r/>
      <w:r w:rsidR="001852F3">
        <w:t xml:space="preserve">细胞胞核和胞质中均有表达，呈绿色；COXIII</w:t>
      </w:r>
      <w:r/>
      <w:r w:rsidR="001852F3">
        <w:t xml:space="preserve">蛋白在胞质中表达，呈蓝色；线粒体染色呈红色；三</w:t>
      </w:r>
      <w:r>
        <w:t>者重合在一起呈粉色</w:t>
      </w:r>
      <w:r>
        <w:t>（</w:t>
      </w:r>
      <w:r>
        <w:t>图</w:t>
      </w:r>
      <w:r>
        <w:t>1</w:t>
      </w:r>
      <w:r>
        <w:t>）</w:t>
      </w:r>
      <w:r>
        <w:t>。这说明</w:t>
      </w:r>
      <w:r>
        <w:t>HBx</w:t>
      </w:r>
      <w:r/>
      <w:r w:rsidR="001852F3">
        <w:t xml:space="preserve">可定位于线粒体内膜呼吸链，与</w:t>
      </w:r>
      <w:r>
        <w:t>COXIII</w:t>
      </w:r>
      <w:r>
        <w:t>相互作用。由此阐明</w:t>
      </w:r>
      <w:r>
        <w:t>HBx</w:t>
      </w:r>
      <w:r/>
      <w:r w:rsidR="001852F3">
        <w:t xml:space="preserve">与</w:t>
      </w:r>
      <w:r>
        <w:t>COXIII</w:t>
      </w:r>
      <w:r/>
      <w:r w:rsidR="001852F3">
        <w:t xml:space="preserve">能够在线粒体中共定位。</w:t>
      </w:r>
    </w:p>
    <w:p w:rsidR="0018722C">
      <w:pPr>
        <w:pStyle w:val="affff5"/>
        <w:keepNext/>
        <w:topLinePunct/>
      </w:pPr>
      <w:r>
        <w:rPr>
          <w:sz w:val="20"/>
        </w:rPr>
        <w:drawing>
          <wp:inline distT="0" distB="0" distL="0" distR="0">
            <wp:extent cx="4944500" cy="260252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5310934" cy="2795397"/>
                    </a:xfrm>
                    <a:prstGeom prst="rect">
                      <a:avLst/>
                    </a:prstGeom>
                  </pic:spPr>
                </pic:pic>
              </a:graphicData>
            </a:graphic>
          </wp:inline>
        </w:drawing>
      </w:r>
      <w:r/>
    </w:p>
    <w:p w:rsidR="0018722C">
      <w:pPr>
        <w:pStyle w:val="a9"/>
        <w:topLinePunct/>
      </w:pPr>
      <w:r>
        <w:t>图</w:t>
      </w:r>
      <w:r>
        <w:t>1</w:t>
      </w:r>
      <w:r>
        <w:t xml:space="preserve">  </w:t>
      </w:r>
      <w:r>
        <w:t>激光共聚焦显微镜观察</w:t>
      </w:r>
      <w:r>
        <w:t>HBx</w:t>
      </w:r>
      <w:r/>
      <w:r w:rsidR="001852F3">
        <w:t xml:space="preserve">与</w:t>
      </w:r>
      <w:r>
        <w:t>COXIII</w:t>
      </w:r>
      <w:r/>
      <w:r w:rsidR="001852F3">
        <w:t xml:space="preserve">共定位</w:t>
      </w:r>
      <w:r>
        <w:t>(</w:t>
      </w:r>
      <w:r>
        <w:t>³800</w:t>
      </w:r>
      <w:r>
        <w:t>)</w:t>
      </w:r>
      <w:r w:rsidR="001852F3">
        <w:t xml:space="preserve"> </w:t>
      </w:r>
      <w:r>
        <w:t>A: HepG2</w:t>
      </w:r>
      <w:r>
        <w:t>/</w:t>
      </w:r>
      <w:r>
        <w:t>HBx</w:t>
      </w:r>
      <w:r/>
      <w:r w:rsidR="001852F3">
        <w:t xml:space="preserve">细胞; B</w:t>
      </w:r>
      <w:r w:rsidP="AA7D325B">
        <w:t>：</w:t>
      </w:r>
      <w:r>
        <w:t>HepG2</w:t>
      </w:r>
      <w:r/>
      <w:r w:rsidR="001852F3">
        <w:t xml:space="preserve">细胞</w:t>
      </w:r>
    </w:p>
    <w:p w:rsidR="0018722C">
      <w:pPr>
        <w:pStyle w:val="Heading3"/>
        <w:topLinePunct/>
        <w:ind w:left="200" w:hangingChars="200" w:hanging="200"/>
      </w:pPr>
      <w:r>
        <w:rPr>
          <w:b/>
        </w:rPr>
        <w:t>2</w:t>
      </w:r>
      <w:r>
        <w:t xml:space="preserve"> </w:t>
      </w:r>
      <w:r>
        <w:rPr>
          <w:b/>
        </w:rPr>
        <w:t>HBx</w:t>
      </w:r>
      <w:r w:rsidR="001852F3">
        <w:t xml:space="preserve">对</w:t>
      </w:r>
      <w:r>
        <w:rPr>
          <w:b/>
        </w:rPr>
        <w:t>HepG2</w:t>
      </w:r>
      <w:r w:rsidR="001852F3">
        <w:t xml:space="preserve">细胞内</w:t>
      </w:r>
      <w:r>
        <w:rPr>
          <w:b/>
        </w:rPr>
        <w:t>COX</w:t>
      </w:r>
      <w:r>
        <w:t>Ⅲ</w:t>
      </w:r>
      <w:r>
        <w:rPr>
          <w:b/>
        </w:rPr>
        <w:t>mRNA</w:t>
      </w:r>
      <w:r w:rsidR="001852F3">
        <w:t xml:space="preserve">表达的影响</w:t>
      </w:r>
    </w:p>
    <w:p w:rsidR="0018722C">
      <w:pPr>
        <w:pStyle w:val="BodyText"/>
        <w:spacing w:line="357" w:lineRule="auto" w:before="213"/>
        <w:ind w:rightChars="0" w:right="377" w:firstLineChars="0" w:firstLine="480"/>
        <w:jc w:val="both"/>
        <w:topLinePunct/>
      </w:pPr>
      <w:r>
        <w:rPr>
          <w:spacing w:val="-4"/>
        </w:rPr>
        <w:t>三组细胞</w:t>
      </w:r>
      <w:r>
        <w:t>COXⅢ</w:t>
      </w:r>
      <w:r w:rsidR="001852F3">
        <w:t xml:space="preserve">mRNA</w:t>
      </w:r>
      <w:r w:rsidR="001852F3">
        <w:rPr>
          <w:spacing w:val="-5"/>
        </w:rPr>
        <w:t xml:space="preserve">表达情况如图</w:t>
      </w:r>
      <w:r>
        <w:t>2</w:t>
      </w:r>
      <w:r w:rsidR="001852F3">
        <w:rPr>
          <w:spacing w:val="-6"/>
        </w:rPr>
        <w:t xml:space="preserve">所示</w:t>
      </w:r>
      <w:r>
        <w:t>，COXⅢ</w:t>
      </w:r>
      <w:r w:rsidR="001852F3">
        <w:t xml:space="preserve">mRNA/β-actin mRNA</w:t>
      </w:r>
      <w:r w:rsidR="001852F3">
        <w:rPr>
          <w:spacing w:val="0"/>
        </w:rPr>
        <w:t xml:space="preserve">的</w:t>
      </w:r>
      <w:r>
        <w:rPr>
          <w:spacing w:val="-4"/>
        </w:rPr>
        <w:t>相对灰度比值如表</w:t>
      </w:r>
      <w:r>
        <w:t>1</w:t>
      </w:r>
      <w:r w:rsidR="001852F3">
        <w:rPr>
          <w:spacing w:val="-6"/>
        </w:rPr>
        <w:t xml:space="preserve">所示，统计学分析提示三组细胞间</w:t>
      </w:r>
      <w:r>
        <w:t>COXⅢ</w:t>
      </w:r>
      <w:r w:rsidR="001852F3">
        <w:t xml:space="preserve">mRNA</w:t>
      </w:r>
      <w:r w:rsidR="001852F3">
        <w:rPr>
          <w:spacing w:val="-4"/>
        </w:rPr>
        <w:t xml:space="preserve">表达水平无明显差异(P&gt;</w:t>
      </w:r>
      <w:r w:rsidR="004B696B">
        <w:rPr>
          <w:spacing w:val="-4"/>
        </w:rPr>
        <w:t xml:space="preserve"> </w:t>
      </w:r>
      <w:r w:rsidR="004B696B">
        <w:rPr>
          <w:spacing w:val="-4"/>
        </w:rPr>
        <w:t xml:space="preserve">0.05)，</w:t>
      </w:r>
      <w:r>
        <w:rPr>
          <w:spacing w:val="-13"/>
        </w:rPr>
        <w:t>如图</w:t>
      </w:r>
      <w:r>
        <w:t>3</w:t>
      </w:r>
      <w:r w:rsidR="001852F3">
        <w:rPr>
          <w:spacing w:val="-8"/>
        </w:rPr>
        <w:t xml:space="preserve">所示。</w:t>
      </w:r>
    </w:p>
    <w:p w:rsidR="00000000">
      <w:pPr>
        <w:pStyle w:val="aff7"/>
        <w:spacing w:line="240" w:lineRule="atLeast"/>
        <w:topLinePunct/>
      </w:pPr>
      <w:r>
        <w:drawing>
          <wp:inline>
            <wp:extent cx="3933833" cy="89982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3933833" cy="899826"/>
                    </a:xfrm>
                    <a:prstGeom prst="rect">
                      <a:avLst/>
                    </a:prstGeom>
                  </pic:spPr>
                </pic:pic>
              </a:graphicData>
            </a:graphic>
          </wp:inline>
        </w:drawing>
      </w:r>
    </w:p>
    <w:p w:rsidR="0018722C">
      <w:pPr>
        <w:pStyle w:val="a9"/>
        <w:topLinePunct/>
      </w:pPr>
      <w:r>
        <w:t>图</w:t>
      </w:r>
      <w:r>
        <w:t>2</w:t>
      </w:r>
      <w:r>
        <w:t xml:space="preserve">  </w:t>
      </w:r>
      <w:r>
        <w:t>三组细胞</w:t>
      </w:r>
      <w:r>
        <w:t>COXIII</w:t>
      </w:r>
      <w:r>
        <w:t> </w:t>
      </w:r>
      <w:r>
        <w:t>mRNA</w:t>
      </w:r>
      <w:r/>
      <w:r w:rsidR="001852F3">
        <w:t xml:space="preserve">的表达水平。</w:t>
      </w:r>
      <w:r>
        <w:t>1</w:t>
      </w:r>
      <w:r/>
      <w:r w:rsidR="001852F3">
        <w:t xml:space="preserve">和</w:t>
      </w:r>
      <w:r>
        <w:t>2</w:t>
      </w:r>
      <w:r>
        <w:t>、</w:t>
      </w:r>
      <w:r>
        <w:t>3</w:t>
      </w:r>
      <w:r/>
      <w:r w:rsidR="001852F3">
        <w:t xml:space="preserve">与</w:t>
      </w:r>
      <w:r>
        <w:t>4</w:t>
      </w:r>
      <w:r>
        <w:t>、</w:t>
      </w:r>
      <w:r>
        <w:t>5</w:t>
      </w:r>
      <w:r/>
      <w:r w:rsidR="001852F3">
        <w:t xml:space="preserve">与</w:t>
      </w:r>
      <w:r>
        <w:t>6</w:t>
      </w:r>
      <w:r/>
      <w:r w:rsidR="001852F3">
        <w:t xml:space="preserve">分别代表</w:t>
      </w:r>
      <w:r>
        <w:t>HepG2、</w:t>
      </w:r>
    </w:p>
    <w:p w:rsidR="0018722C">
      <w:pPr>
        <w:topLinePunct/>
      </w:pPr>
      <w:r>
        <w:t>HepG2</w:t>
      </w:r>
      <w:r>
        <w:t>/</w:t>
      </w:r>
      <w:r>
        <w:t>mock、HepG2</w:t>
      </w:r>
      <w:r>
        <w:t>/</w:t>
      </w:r>
      <w:r>
        <w:t>HBx</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w:t>
      </w:r>
      <w:r>
        <w:t xml:space="preserve">  </w:t>
      </w:r>
      <w:r>
        <w:rPr>
          <w:rFonts w:cstheme="minorBidi" w:hAnsiTheme="minorHAnsi" w:eastAsiaTheme="minorHAnsi" w:asciiTheme="minorHAnsi"/>
        </w:rPr>
        <w:t>三组细胞</w:t>
      </w:r>
      <w:r>
        <w:rPr>
          <w:rFonts w:cstheme="minorBidi" w:hAnsiTheme="minorHAnsi" w:eastAsiaTheme="minorHAnsi" w:asciiTheme="minorHAnsi"/>
        </w:rPr>
        <w:t>COXⅢ</w:t>
      </w:r>
      <w:r>
        <w:rPr>
          <w:rFonts w:cstheme="minorBidi" w:hAnsiTheme="minorHAnsi" w:eastAsiaTheme="minorHAnsi" w:asciiTheme="minorHAnsi"/>
        </w:rPr>
        <w:t>/</w:t>
      </w:r>
      <w:r>
        <w:rPr>
          <w:rFonts w:cstheme="minorBidi" w:hAnsiTheme="minorHAnsi" w:eastAsiaTheme="minorHAnsi" w:asciiTheme="minorHAnsi"/>
        </w:rPr>
        <w:t>β-actin</w:t>
      </w:r>
      <w:r w:rsidRPr="00000000">
        <w:rPr>
          <w:rFonts w:cstheme="minorBidi" w:hAnsiTheme="minorHAnsi" w:eastAsiaTheme="minorHAnsi" w:asciiTheme="minorHAnsi"/>
        </w:rPr>
        <w:tab/>
        <w:t>mRNA</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8"/>
        <w:gridCol w:w="1207"/>
        <w:gridCol w:w="1154"/>
        <w:gridCol w:w="1206"/>
        <w:gridCol w:w="2776"/>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5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86" w:type="pct"/>
            <w:vAlign w:val="center"/>
          </w:tcPr>
          <w:p w:rsidR="0018722C">
            <w:pPr>
              <w:pStyle w:val="ac"/>
              <w:topLinePunct/>
              <w:ind w:leftChars="0" w:left="0" w:rightChars="0" w:right="0" w:firstLineChars="0" w:firstLine="0"/>
              <w:spacing w:line="240" w:lineRule="atLeast"/>
            </w:pPr>
            <w:r>
              <w:t>组 别</w:t>
            </w:r>
          </w:p>
        </w:tc>
        <w:tc>
          <w:tcPr>
            <w:tcW w:w="764" w:type="pct"/>
            <w:vAlign w:val="center"/>
          </w:tcPr>
          <w:p w:rsidR="0018722C">
            <w:pPr>
              <w:pStyle w:val="a5"/>
              <w:topLinePunct/>
              <w:ind w:leftChars="0" w:left="0" w:rightChars="0" w:right="0" w:firstLineChars="0" w:firstLine="0"/>
              <w:spacing w:line="240" w:lineRule="atLeast"/>
            </w:pPr>
            <w:r>
              <w:t>第一次</w:t>
            </w:r>
          </w:p>
        </w:tc>
        <w:tc>
          <w:tcPr>
            <w:tcW w:w="730" w:type="pct"/>
            <w:vAlign w:val="center"/>
          </w:tcPr>
          <w:p w:rsidR="0018722C">
            <w:pPr>
              <w:pStyle w:val="a5"/>
              <w:topLinePunct/>
              <w:ind w:leftChars="0" w:left="0" w:rightChars="0" w:right="0" w:firstLineChars="0" w:firstLine="0"/>
              <w:spacing w:line="240" w:lineRule="atLeast"/>
            </w:pPr>
            <w:r>
              <w:t>第二次</w:t>
            </w:r>
          </w:p>
        </w:tc>
        <w:tc>
          <w:tcPr>
            <w:tcW w:w="763" w:type="pct"/>
            <w:vAlign w:val="center"/>
          </w:tcPr>
          <w:p w:rsidR="0018722C">
            <w:pPr>
              <w:pStyle w:val="a5"/>
              <w:topLinePunct/>
              <w:ind w:leftChars="0" w:left="0" w:rightChars="0" w:right="0" w:firstLineChars="0" w:firstLine="0"/>
              <w:spacing w:line="240" w:lineRule="atLeast"/>
            </w:pPr>
            <w:r>
              <w:t>第三次</w:t>
            </w:r>
          </w:p>
        </w:tc>
        <w:tc>
          <w:tcPr>
            <w:tcW w:w="1757"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986" w:type="pct"/>
            <w:vAlign w:val="center"/>
          </w:tcPr>
          <w:p w:rsidR="0018722C">
            <w:pPr>
              <w:pStyle w:val="ac"/>
              <w:topLinePunct/>
              <w:ind w:leftChars="0" w:left="0" w:rightChars="0" w:right="0" w:firstLineChars="0" w:firstLine="0"/>
              <w:spacing w:line="240" w:lineRule="atLeast"/>
            </w:pPr>
            <w:r>
              <w:t>HepG2</w:t>
            </w:r>
          </w:p>
        </w:tc>
        <w:tc>
          <w:tcPr>
            <w:tcW w:w="764" w:type="pct"/>
            <w:vAlign w:val="center"/>
          </w:tcPr>
          <w:p w:rsidR="0018722C">
            <w:pPr>
              <w:pStyle w:val="affff9"/>
              <w:topLinePunct/>
              <w:ind w:leftChars="0" w:left="0" w:rightChars="0" w:right="0" w:firstLineChars="0" w:firstLine="0"/>
              <w:spacing w:line="240" w:lineRule="atLeast"/>
            </w:pPr>
            <w:r>
              <w:t>1.3718</w:t>
            </w:r>
          </w:p>
        </w:tc>
        <w:tc>
          <w:tcPr>
            <w:tcW w:w="730" w:type="pct"/>
            <w:vAlign w:val="center"/>
          </w:tcPr>
          <w:p w:rsidR="0018722C">
            <w:pPr>
              <w:pStyle w:val="affff9"/>
              <w:topLinePunct/>
              <w:ind w:leftChars="0" w:left="0" w:rightChars="0" w:right="0" w:firstLineChars="0" w:firstLine="0"/>
              <w:spacing w:line="240" w:lineRule="atLeast"/>
            </w:pPr>
            <w:r>
              <w:t>2.8508</w:t>
            </w:r>
          </w:p>
        </w:tc>
        <w:tc>
          <w:tcPr>
            <w:tcW w:w="763" w:type="pct"/>
            <w:vAlign w:val="center"/>
          </w:tcPr>
          <w:p w:rsidR="0018722C">
            <w:pPr>
              <w:pStyle w:val="affff9"/>
              <w:topLinePunct/>
              <w:ind w:leftChars="0" w:left="0" w:rightChars="0" w:right="0" w:firstLineChars="0" w:firstLine="0"/>
              <w:spacing w:line="240" w:lineRule="atLeast"/>
            </w:pPr>
            <w:r>
              <w:t>1.3954</w:t>
            </w:r>
          </w:p>
        </w:tc>
        <w:tc>
          <w:tcPr>
            <w:tcW w:w="1757" w:type="pct"/>
            <w:vAlign w:val="center"/>
          </w:tcPr>
          <w:p w:rsidR="0018722C">
            <w:pPr>
              <w:pStyle w:val="ad"/>
              <w:topLinePunct/>
              <w:ind w:leftChars="0" w:left="0" w:rightChars="0" w:right="0" w:firstLineChars="0" w:firstLine="0"/>
              <w:spacing w:line="240" w:lineRule="atLeast"/>
            </w:pPr>
            <w:r>
              <w:t>1.8726±0.8472</w:t>
            </w:r>
          </w:p>
        </w:tc>
      </w:tr>
      <w:tr>
        <w:tc>
          <w:tcPr>
            <w:tcW w:w="986" w:type="pct"/>
            <w:vAlign w:val="center"/>
          </w:tcPr>
          <w:p w:rsidR="0018722C">
            <w:pPr>
              <w:pStyle w:val="ac"/>
              <w:topLinePunct/>
              <w:ind w:leftChars="0" w:left="0" w:rightChars="0" w:right="0" w:firstLineChars="0" w:firstLine="0"/>
              <w:spacing w:line="240" w:lineRule="atLeast"/>
            </w:pPr>
            <w:r>
              <w:t>HepG2</w:t>
            </w:r>
            <w:r>
              <w:t>/</w:t>
            </w:r>
            <w:r>
              <w:t>mock</w:t>
            </w:r>
          </w:p>
        </w:tc>
        <w:tc>
          <w:tcPr>
            <w:tcW w:w="764" w:type="pct"/>
            <w:vAlign w:val="center"/>
          </w:tcPr>
          <w:p w:rsidR="0018722C">
            <w:pPr>
              <w:pStyle w:val="affff9"/>
              <w:topLinePunct/>
              <w:ind w:leftChars="0" w:left="0" w:rightChars="0" w:right="0" w:firstLineChars="0" w:firstLine="0"/>
              <w:spacing w:line="240" w:lineRule="atLeast"/>
            </w:pPr>
            <w:r>
              <w:t>2.7093</w:t>
            </w:r>
          </w:p>
        </w:tc>
        <w:tc>
          <w:tcPr>
            <w:tcW w:w="730" w:type="pct"/>
            <w:vAlign w:val="center"/>
          </w:tcPr>
          <w:p w:rsidR="0018722C">
            <w:pPr>
              <w:pStyle w:val="affff9"/>
              <w:topLinePunct/>
              <w:ind w:leftChars="0" w:left="0" w:rightChars="0" w:right="0" w:firstLineChars="0" w:firstLine="0"/>
              <w:spacing w:line="240" w:lineRule="atLeast"/>
            </w:pPr>
            <w:r>
              <w:t>2.2654</w:t>
            </w:r>
          </w:p>
        </w:tc>
        <w:tc>
          <w:tcPr>
            <w:tcW w:w="763" w:type="pct"/>
            <w:vAlign w:val="center"/>
          </w:tcPr>
          <w:p w:rsidR="0018722C">
            <w:pPr>
              <w:pStyle w:val="affff9"/>
              <w:topLinePunct/>
              <w:ind w:leftChars="0" w:left="0" w:rightChars="0" w:right="0" w:firstLineChars="0" w:firstLine="0"/>
              <w:spacing w:line="240" w:lineRule="atLeast"/>
            </w:pPr>
            <w:r>
              <w:t>1.3571</w:t>
            </w:r>
          </w:p>
        </w:tc>
        <w:tc>
          <w:tcPr>
            <w:tcW w:w="1757" w:type="pct"/>
            <w:vAlign w:val="center"/>
          </w:tcPr>
          <w:p w:rsidR="0018722C">
            <w:pPr>
              <w:pStyle w:val="ad"/>
              <w:topLinePunct/>
              <w:ind w:leftChars="0" w:left="0" w:rightChars="0" w:right="0" w:firstLineChars="0" w:firstLine="0"/>
              <w:spacing w:line="240" w:lineRule="atLeast"/>
            </w:pPr>
            <w:r>
              <w:t>2.1106±0.6892</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1.9218</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2.6007</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2.0174</w:t>
            </w:r>
          </w:p>
        </w:tc>
        <w:tc>
          <w:tcPr>
            <w:tcW w:w="1757" w:type="pct"/>
            <w:vAlign w:val="center"/>
            <w:tcBorders>
              <w:top w:val="single" w:sz="4" w:space="0" w:color="auto"/>
            </w:tcBorders>
          </w:tcPr>
          <w:p w:rsidR="0018722C">
            <w:pPr>
              <w:pStyle w:val="ad"/>
              <w:topLinePunct/>
              <w:ind w:leftChars="0" w:left="0" w:rightChars="0" w:right="0" w:firstLineChars="0" w:firstLine="0"/>
              <w:spacing w:line="240" w:lineRule="atLeast"/>
            </w:pPr>
            <w:r>
              <w:t>2.1800±0.3675</w:t>
            </w:r>
          </w:p>
        </w:tc>
      </w:tr>
    </w:tbl>
    <w:p w:rsidR="0018722C">
      <w:pPr>
        <w:rPr/>
        <w:topLinePunct/>
        <w:pStyle w:val="affa"/>
      </w:pPr>
    </w:p>
    <w:p w:rsidR="0018722C">
      <w:pPr>
        <w:pStyle w:val="affff5"/>
        <w:keepNext/>
        <w:topLinePunct/>
      </w:pPr>
      <w:r>
        <w:rPr>
          <w:sz w:val="20"/>
        </w:rPr>
        <w:drawing>
          <wp:inline distT="0" distB="0" distL="0" distR="0">
            <wp:extent cx="3636686" cy="2587752"/>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3636686" cy="2587752"/>
                    </a:xfrm>
                    <a:prstGeom prst="rect">
                      <a:avLst/>
                    </a:prstGeom>
                  </pic:spPr>
                </pic:pic>
              </a:graphicData>
            </a:graphic>
          </wp:inline>
        </w:drawing>
      </w:r>
      <w:r/>
    </w:p>
    <w:p w:rsidR="0018722C">
      <w:pPr>
        <w:pStyle w:val="a9"/>
        <w:topLinePunct/>
      </w:pPr>
      <w:r>
        <w:t>图</w:t>
      </w:r>
      <w:r>
        <w:t>3</w:t>
      </w:r>
      <w:r>
        <w:t xml:space="preserve">  </w:t>
      </w:r>
      <w:r>
        <w:t>三组细胞</w:t>
      </w:r>
      <w:r>
        <w:t>COXIII</w:t>
      </w:r>
      <w:r>
        <w:t> </w:t>
      </w:r>
      <w:r>
        <w:t>mRNA</w:t>
      </w:r>
      <w:r/>
      <w:r w:rsidR="001852F3">
        <w:t xml:space="preserve">的表达水平</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，HBx</w:t>
      </w:r>
      <w:r w:rsidP="AA7D325B">
        <w:t>：</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3</w:t>
      </w:r>
      <w:r>
        <w:t xml:space="preserve"> </w:t>
      </w:r>
      <w:r>
        <w:rPr>
          <w:b/>
        </w:rPr>
        <w:t>HBx</w:t>
      </w:r>
      <w:r w:rsidR="001852F3">
        <w:t xml:space="preserve">上调</w:t>
      </w:r>
      <w:r>
        <w:rPr>
          <w:b/>
        </w:rPr>
        <w:t>HepG2</w:t>
      </w:r>
      <w:r>
        <w:rPr>
          <w:b/>
        </w:rPr>
        <w:t>/</w:t>
      </w:r>
      <w:r>
        <w:rPr>
          <w:b/>
        </w:rPr>
        <w:t>HBx</w:t>
      </w:r>
      <w:r w:rsidR="001852F3">
        <w:t xml:space="preserve">细胞</w:t>
      </w:r>
      <w:r>
        <w:rPr>
          <w:b/>
        </w:rPr>
        <w:t>COX</w:t>
      </w:r>
      <w:r>
        <w:t>Ⅲ</w:t>
      </w:r>
      <w:r w:rsidR="001852F3">
        <w:t xml:space="preserve">蛋白的表达</w:t>
      </w:r>
    </w:p>
    <w:p w:rsidR="0018722C">
      <w:pPr>
        <w:pStyle w:val="BodyText"/>
        <w:spacing w:line="357" w:lineRule="auto" w:before="213"/>
        <w:ind w:rightChars="0" w:right="123" w:firstLineChars="0" w:firstLine="480"/>
        <w:topLinePunct/>
      </w:pPr>
      <w:r>
        <w:rPr>
          <w:spacing w:val="-6"/>
        </w:rPr>
        <w:t>三组细胞</w:t>
      </w:r>
      <w:r>
        <w:t>COXⅢ</w:t>
      </w:r>
      <w:r w:rsidR="001852F3">
        <w:rPr>
          <w:spacing w:val="-3"/>
        </w:rPr>
        <w:t xml:space="preserve">蛋白表达情况如图</w:t>
      </w:r>
      <w:r>
        <w:t>4</w:t>
      </w:r>
      <w:r w:rsidR="001852F3">
        <w:rPr>
          <w:spacing w:val="-8"/>
        </w:rPr>
        <w:t xml:space="preserve">所示，</w:t>
      </w:r>
      <w:r>
        <w:rPr>
          <w:spacing w:val="-3"/>
        </w:rPr>
        <w:t>COXⅢ/β-actin</w:t>
      </w:r>
      <w:r w:rsidR="001852F3">
        <w:t xml:space="preserve">蛋白的相对灰度</w:t>
      </w:r>
      <w:r>
        <w:rPr>
          <w:spacing w:val="-3"/>
        </w:rPr>
        <w:t>比值如表</w:t>
      </w:r>
      <w:r>
        <w:t>2</w:t>
      </w:r>
      <w:r w:rsidR="001852F3">
        <w:rPr>
          <w:spacing w:val="-4"/>
        </w:rPr>
        <w:t xml:space="preserve">所示，统计学分析提示</w:t>
      </w:r>
      <w:r>
        <w:t>HepG2/HBx</w:t>
      </w:r>
      <w:r w:rsidR="001852F3">
        <w:rPr>
          <w:spacing w:val="-6"/>
        </w:rPr>
        <w:t xml:space="preserve">细胞组中</w:t>
      </w:r>
      <w:r>
        <w:t>COXⅢ蛋白表达水平高于HepG2/mock</w:t>
      </w:r>
      <w:r w:rsidR="001852F3">
        <w:rPr>
          <w:spacing w:val="-10"/>
        </w:rPr>
        <w:t xml:space="preserve">细胞组与</w:t>
      </w:r>
      <w:r>
        <w:t>HepG2</w:t>
      </w:r>
      <w:r w:rsidR="001852F3">
        <w:rPr>
          <w:spacing w:val="-6"/>
        </w:rPr>
        <w:t xml:space="preserve">细胞组，差异具有统计学意义</w:t>
      </w:r>
      <w:r>
        <w:rPr>
          <w:spacing w:val="-2"/>
        </w:rPr>
        <w:t>(P&lt;0.05)</w:t>
      </w:r>
      <w:r>
        <w:rPr>
          <w:spacing w:val="-8"/>
        </w:rPr>
        <w:t>，如图</w:t>
      </w:r>
      <w:r>
        <w:t>5</w:t>
      </w:r>
      <w:r w:rsidR="001852F3">
        <w:rPr>
          <w:spacing w:val="-8"/>
        </w:rPr>
        <w:t xml:space="preserve">所示。</w:t>
      </w:r>
      <w:r>
        <w:rPr>
          <w:spacing w:val="-12"/>
        </w:rPr>
        <w:t>结果表明</w:t>
      </w:r>
      <w:r>
        <w:t>HBx</w:t>
      </w:r>
      <w:r w:rsidR="001852F3">
        <w:rPr>
          <w:spacing w:val="-10"/>
        </w:rPr>
        <w:t xml:space="preserve">可以上调</w:t>
      </w:r>
      <w:r>
        <w:t>HepG2/HBx</w:t>
      </w:r>
      <w:r w:rsidR="001852F3">
        <w:rPr>
          <w:spacing w:val="-12"/>
        </w:rPr>
        <w:t xml:space="preserve">细胞的</w:t>
      </w:r>
      <w:r>
        <w:t>COXIII</w:t>
      </w:r>
      <w:r w:rsidR="001852F3">
        <w:rPr>
          <w:spacing w:val="-4"/>
        </w:rPr>
        <w:t xml:space="preserve">蛋白表达水平</w:t>
      </w:r>
      <w:r>
        <w:t>（转录后水平</w:t>
      </w:r>
      <w:r>
        <w:rPr>
          <w:spacing w:val="-60"/>
        </w:rPr>
        <w:t>）</w:t>
      </w:r>
      <w:r>
        <w:t>。</w:t>
      </w:r>
    </w:p>
    <w:p w:rsidR="00000000">
      <w:pPr>
        <w:pStyle w:val="aff7"/>
        <w:spacing w:line="240" w:lineRule="atLeast"/>
        <w:topLinePunct/>
      </w:pPr>
      <w:r>
        <w:drawing>
          <wp:inline>
            <wp:extent cx="3786320" cy="127406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3786320" cy="1274064"/>
                    </a:xfrm>
                    <a:prstGeom prst="rect">
                      <a:avLst/>
                    </a:prstGeom>
                  </pic:spPr>
                </pic:pic>
              </a:graphicData>
            </a:graphic>
          </wp:inline>
        </w:drawing>
      </w:r>
    </w:p>
    <w:p w:rsidR="0018722C">
      <w:pPr>
        <w:pStyle w:val="a9"/>
        <w:topLinePunct/>
      </w:pPr>
      <w:r>
        <w:t>图4</w:t>
      </w:r>
      <w:r>
        <w:t xml:space="preserve">  </w:t>
      </w:r>
      <w:r w:rsidRPr="00DB64CE">
        <w:t>三组细胞</w:t>
      </w:r>
      <w:r w:rsidR="001852F3">
        <w:t xml:space="preserve">COXIII</w:t>
      </w:r>
      <w:r w:rsidR="001852F3">
        <w:t xml:space="preserve">蛋白的表达水平，</w:t>
      </w:r>
      <w:r w:rsidR="001852F3">
        <w:t xml:space="preserve">HBx</w:t>
      </w:r>
      <w:r w:rsidP="AA7D325B">
        <w:t>：</w:t>
      </w:r>
      <w:r>
        <w:t>HepG2</w:t>
      </w:r>
      <w:r>
        <w:t>/</w:t>
      </w:r>
      <w:r>
        <w:t>HBx</w:t>
      </w:r>
      <w:r w:rsidR="001852F3">
        <w:t xml:space="preserve">细胞; 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t xml:space="preserve">  </w:t>
      </w:r>
      <w:r w:rsidR="001852F3">
        <w:rPr>
          <w:rFonts w:cstheme="minorBidi" w:hAnsiTheme="minorHAnsi" w:eastAsiaTheme="minorHAnsi" w:asciiTheme="minorHAnsi"/>
        </w:rPr>
        <w:t>三组细胞</w:t>
      </w:r>
      <w:r>
        <w:rPr>
          <w:rFonts w:cstheme="minorBidi" w:hAnsiTheme="minorHAnsi" w:eastAsiaTheme="minorHAnsi" w:asciiTheme="minorHAnsi"/>
        </w:rPr>
        <w:t>COXⅢ</w:t>
      </w:r>
      <w:r>
        <w:rPr>
          <w:rFonts w:cstheme="minorBidi" w:hAnsiTheme="minorHAnsi" w:eastAsiaTheme="minorHAnsi" w:asciiTheme="minorHAnsi"/>
        </w:rPr>
        <w:t>/</w:t>
      </w:r>
      <w:r>
        <w:rPr>
          <w:rFonts w:cstheme="minorBidi" w:hAnsiTheme="minorHAnsi" w:eastAsiaTheme="minorHAnsi" w:asciiTheme="minorHAnsi"/>
        </w:rPr>
        <w:t>β-actin</w:t>
      </w:r>
      <w:r>
        <w:rPr>
          <w:rFonts w:cstheme="minorBidi" w:hAnsiTheme="minorHAnsi" w:eastAsiaTheme="minorHAnsi" w:asciiTheme="minorHAnsi"/>
        </w:rPr>
        <w:t>蛋白相对灰度比值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8"/>
        <w:gridCol w:w="1207"/>
        <w:gridCol w:w="1155"/>
        <w:gridCol w:w="1207"/>
        <w:gridCol w:w="2777"/>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5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86" w:type="pct"/>
            <w:vAlign w:val="center"/>
          </w:tcPr>
          <w:p w:rsidR="0018722C">
            <w:pPr>
              <w:pStyle w:val="ac"/>
              <w:topLinePunct/>
              <w:ind w:leftChars="0" w:left="0" w:rightChars="0" w:right="0" w:firstLineChars="0" w:firstLine="0"/>
              <w:spacing w:line="240" w:lineRule="atLeast"/>
            </w:pPr>
            <w:r>
              <w:t>组 别</w:t>
            </w:r>
          </w:p>
        </w:tc>
        <w:tc>
          <w:tcPr>
            <w:tcW w:w="764" w:type="pct"/>
            <w:vAlign w:val="center"/>
          </w:tcPr>
          <w:p w:rsidR="0018722C">
            <w:pPr>
              <w:pStyle w:val="a5"/>
              <w:topLinePunct/>
              <w:ind w:leftChars="0" w:left="0" w:rightChars="0" w:right="0" w:firstLineChars="0" w:firstLine="0"/>
              <w:spacing w:line="240" w:lineRule="atLeast"/>
            </w:pPr>
            <w:r>
              <w:t>第一次</w:t>
            </w:r>
          </w:p>
        </w:tc>
        <w:tc>
          <w:tcPr>
            <w:tcW w:w="731" w:type="pct"/>
            <w:vAlign w:val="center"/>
          </w:tcPr>
          <w:p w:rsidR="0018722C">
            <w:pPr>
              <w:pStyle w:val="a5"/>
              <w:topLinePunct/>
              <w:ind w:leftChars="0" w:left="0" w:rightChars="0" w:right="0" w:firstLineChars="0" w:firstLine="0"/>
              <w:spacing w:line="240" w:lineRule="atLeast"/>
            </w:pPr>
            <w:r>
              <w:t>第二次</w:t>
            </w:r>
          </w:p>
        </w:tc>
        <w:tc>
          <w:tcPr>
            <w:tcW w:w="764" w:type="pct"/>
            <w:vAlign w:val="center"/>
          </w:tcPr>
          <w:p w:rsidR="0018722C">
            <w:pPr>
              <w:pStyle w:val="a5"/>
              <w:topLinePunct/>
              <w:ind w:leftChars="0" w:left="0" w:rightChars="0" w:right="0" w:firstLineChars="0" w:firstLine="0"/>
              <w:spacing w:line="240" w:lineRule="atLeast"/>
            </w:pPr>
            <w:r>
              <w:t>第三次</w:t>
            </w:r>
          </w:p>
        </w:tc>
        <w:tc>
          <w:tcPr>
            <w:tcW w:w="1757"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986" w:type="pct"/>
            <w:vAlign w:val="center"/>
          </w:tcPr>
          <w:p w:rsidR="0018722C">
            <w:pPr>
              <w:pStyle w:val="ac"/>
              <w:topLinePunct/>
              <w:ind w:leftChars="0" w:left="0" w:rightChars="0" w:right="0" w:firstLineChars="0" w:firstLine="0"/>
              <w:spacing w:line="240" w:lineRule="atLeast"/>
            </w:pPr>
            <w:r>
              <w:t>HepG2</w:t>
            </w:r>
          </w:p>
        </w:tc>
        <w:tc>
          <w:tcPr>
            <w:tcW w:w="764" w:type="pct"/>
            <w:vAlign w:val="center"/>
          </w:tcPr>
          <w:p w:rsidR="0018722C">
            <w:pPr>
              <w:pStyle w:val="affff9"/>
              <w:topLinePunct/>
              <w:ind w:leftChars="0" w:left="0" w:rightChars="0" w:right="0" w:firstLineChars="0" w:firstLine="0"/>
              <w:spacing w:line="240" w:lineRule="atLeast"/>
            </w:pPr>
            <w:r>
              <w:t>0.4305</w:t>
            </w:r>
          </w:p>
        </w:tc>
        <w:tc>
          <w:tcPr>
            <w:tcW w:w="731" w:type="pct"/>
            <w:vAlign w:val="center"/>
          </w:tcPr>
          <w:p w:rsidR="0018722C">
            <w:pPr>
              <w:pStyle w:val="affff9"/>
              <w:topLinePunct/>
              <w:ind w:leftChars="0" w:left="0" w:rightChars="0" w:right="0" w:firstLineChars="0" w:firstLine="0"/>
              <w:spacing w:line="240" w:lineRule="atLeast"/>
            </w:pPr>
            <w:r>
              <w:t>0.4195</w:t>
            </w:r>
          </w:p>
        </w:tc>
        <w:tc>
          <w:tcPr>
            <w:tcW w:w="764" w:type="pct"/>
            <w:vAlign w:val="center"/>
          </w:tcPr>
          <w:p w:rsidR="0018722C">
            <w:pPr>
              <w:pStyle w:val="affff9"/>
              <w:topLinePunct/>
              <w:ind w:leftChars="0" w:left="0" w:rightChars="0" w:right="0" w:firstLineChars="0" w:firstLine="0"/>
              <w:spacing w:line="240" w:lineRule="atLeast"/>
            </w:pPr>
            <w:r>
              <w:t>0.4174</w:t>
            </w:r>
          </w:p>
        </w:tc>
        <w:tc>
          <w:tcPr>
            <w:tcW w:w="1757" w:type="pct"/>
            <w:vAlign w:val="center"/>
          </w:tcPr>
          <w:p w:rsidR="0018722C">
            <w:pPr>
              <w:pStyle w:val="ad"/>
              <w:topLinePunct/>
              <w:ind w:leftChars="0" w:left="0" w:rightChars="0" w:right="0" w:firstLineChars="0" w:firstLine="0"/>
              <w:spacing w:line="240" w:lineRule="atLeast"/>
            </w:pPr>
            <w:r>
              <w:t>0.4225±0.0071</w:t>
            </w:r>
          </w:p>
        </w:tc>
      </w:tr>
      <w:tr>
        <w:tc>
          <w:tcPr>
            <w:tcW w:w="986" w:type="pct"/>
            <w:vAlign w:val="center"/>
          </w:tcPr>
          <w:p w:rsidR="0018722C">
            <w:pPr>
              <w:pStyle w:val="ac"/>
              <w:topLinePunct/>
              <w:ind w:leftChars="0" w:left="0" w:rightChars="0" w:right="0" w:firstLineChars="0" w:firstLine="0"/>
              <w:spacing w:line="240" w:lineRule="atLeast"/>
            </w:pPr>
            <w:r>
              <w:t>HepG2</w:t>
            </w:r>
            <w:r>
              <w:t>/</w:t>
            </w:r>
            <w:r>
              <w:t>mock</w:t>
            </w:r>
          </w:p>
        </w:tc>
        <w:tc>
          <w:tcPr>
            <w:tcW w:w="764" w:type="pct"/>
            <w:vAlign w:val="center"/>
          </w:tcPr>
          <w:p w:rsidR="0018722C">
            <w:pPr>
              <w:pStyle w:val="affff9"/>
              <w:topLinePunct/>
              <w:ind w:leftChars="0" w:left="0" w:rightChars="0" w:right="0" w:firstLineChars="0" w:firstLine="0"/>
              <w:spacing w:line="240" w:lineRule="atLeast"/>
            </w:pPr>
            <w:r>
              <w:t>0.3491</w:t>
            </w:r>
          </w:p>
        </w:tc>
        <w:tc>
          <w:tcPr>
            <w:tcW w:w="731" w:type="pct"/>
            <w:vAlign w:val="center"/>
          </w:tcPr>
          <w:p w:rsidR="0018722C">
            <w:pPr>
              <w:pStyle w:val="affff9"/>
              <w:topLinePunct/>
              <w:ind w:leftChars="0" w:left="0" w:rightChars="0" w:right="0" w:firstLineChars="0" w:firstLine="0"/>
              <w:spacing w:line="240" w:lineRule="atLeast"/>
            </w:pPr>
            <w:r>
              <w:t>0.4947</w:t>
            </w:r>
          </w:p>
        </w:tc>
        <w:tc>
          <w:tcPr>
            <w:tcW w:w="764" w:type="pct"/>
            <w:vAlign w:val="center"/>
          </w:tcPr>
          <w:p w:rsidR="0018722C">
            <w:pPr>
              <w:pStyle w:val="affff9"/>
              <w:topLinePunct/>
              <w:ind w:leftChars="0" w:left="0" w:rightChars="0" w:right="0" w:firstLineChars="0" w:firstLine="0"/>
              <w:spacing w:line="240" w:lineRule="atLeast"/>
            </w:pPr>
            <w:r>
              <w:t>0.5292</w:t>
            </w:r>
          </w:p>
        </w:tc>
        <w:tc>
          <w:tcPr>
            <w:tcW w:w="1757" w:type="pct"/>
            <w:vAlign w:val="center"/>
          </w:tcPr>
          <w:p w:rsidR="0018722C">
            <w:pPr>
              <w:pStyle w:val="ad"/>
              <w:topLinePunct/>
              <w:ind w:leftChars="0" w:left="0" w:rightChars="0" w:right="0" w:firstLineChars="0" w:firstLine="0"/>
              <w:spacing w:line="240" w:lineRule="atLeast"/>
            </w:pPr>
            <w:r>
              <w:t>0.4577±0.0956</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0.5740</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0.7378</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0.6396</w:t>
            </w:r>
          </w:p>
        </w:tc>
        <w:tc>
          <w:tcPr>
            <w:tcW w:w="1757" w:type="pct"/>
            <w:vAlign w:val="center"/>
            <w:tcBorders>
              <w:top w:val="single" w:sz="4" w:space="0" w:color="auto"/>
            </w:tcBorders>
          </w:tcPr>
          <w:p w:rsidR="0018722C">
            <w:pPr>
              <w:pStyle w:val="ad"/>
              <w:topLinePunct/>
              <w:ind w:leftChars="0" w:left="0" w:rightChars="0" w:right="0" w:firstLineChars="0" w:firstLine="0"/>
              <w:spacing w:line="240" w:lineRule="atLeast"/>
            </w:pPr>
            <w:r>
              <w:t>0.6504±0.0824</w:t>
            </w:r>
          </w:p>
        </w:tc>
      </w:tr>
    </w:tbl>
    <w:p w:rsidR="0018722C">
      <w:pPr>
        <w:rPr/>
        <w:topLinePunct/>
        <w:pStyle w:val="affa"/>
      </w:pPr>
    </w:p>
    <w:p w:rsidR="0018722C">
      <w:pPr>
        <w:pStyle w:val="affff5"/>
        <w:keepNext/>
        <w:topLinePunct/>
      </w:pPr>
      <w:r>
        <w:rPr>
          <w:sz w:val="20"/>
        </w:rPr>
        <w:drawing>
          <wp:inline distT="0" distB="0" distL="0" distR="0">
            <wp:extent cx="3741610" cy="3209544"/>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3741610" cy="3209544"/>
                    </a:xfrm>
                    <a:prstGeom prst="rect">
                      <a:avLst/>
                    </a:prstGeom>
                  </pic:spPr>
                </pic:pic>
              </a:graphicData>
            </a:graphic>
          </wp:inline>
        </w:drawing>
      </w:r>
      <w:r/>
    </w:p>
    <w:p w:rsidR="0018722C">
      <w:pPr>
        <w:pStyle w:val="a9"/>
        <w:topLinePunct/>
      </w:pPr>
      <w:r>
        <w:t>图</w:t>
      </w:r>
      <w:r>
        <w:t>5</w:t>
      </w:r>
      <w:r>
        <w:t xml:space="preserve">  </w:t>
      </w:r>
      <w:r>
        <w:t>三组细胞</w:t>
      </w:r>
      <w:r>
        <w:t>COXIII</w:t>
      </w:r>
      <w:r/>
      <w:r w:rsidR="001852F3">
        <w:t xml:space="preserve">蛋白的表达水平</w:t>
      </w:r>
      <w:r>
        <w:t>（</w:t>
      </w:r>
      <w:r>
        <w:rPr>
          <w:rFonts w:ascii="Times New Roman" w:eastAsia="Times New Roman"/>
        </w:rPr>
        <w:t>*</w:t>
      </w:r>
      <w:r w:rsidP="AA7D325B">
        <w:t>，</w:t>
      </w:r>
      <w:r>
        <w:t>P&lt;0.05</w:t>
      </w:r>
      <w:r>
        <w:t>）</w:t>
      </w:r>
      <w:r>
        <w:t>，</w:t>
      </w:r>
      <w:r>
        <w:t>HBx</w:t>
      </w:r>
      <w:r w:rsidP="AA7D325B">
        <w:t>：</w:t>
      </w:r>
      <w:r>
        <w:t>H</w:t>
      </w:r>
      <w:r>
        <w:t>e</w:t>
      </w:r>
      <w:r>
        <w:t>pG2</w:t>
      </w:r>
      <w:r>
        <w:t>/</w:t>
      </w:r>
      <w:r>
        <w:t>HBx</w:t>
      </w:r>
      <w:r/>
      <w:r w:rsidR="001852F3">
        <w:t xml:space="preserve">细胞;</w:t>
      </w:r>
    </w:p>
    <w:p w:rsidR="0018722C">
      <w:pPr>
        <w:topLinePunct/>
      </w:pPr>
      <w:r>
        <w:t>Mock</w:t>
      </w:r>
      <w:r>
        <w:t xml:space="preserve">: </w:t>
      </w: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4</w:t>
      </w:r>
      <w:r>
        <w:t xml:space="preserve"> </w:t>
      </w:r>
      <w:r>
        <w:rPr>
          <w:b/>
        </w:rPr>
        <w:t>HBx</w:t>
      </w:r>
      <w:r w:rsidR="001852F3">
        <w:t xml:space="preserve">上调</w:t>
      </w:r>
      <w:r>
        <w:rPr>
          <w:b/>
        </w:rPr>
        <w:t>HepG2</w:t>
      </w:r>
      <w:r>
        <w:rPr>
          <w:b/>
        </w:rPr>
        <w:t>/</w:t>
      </w:r>
      <w:r>
        <w:rPr>
          <w:b/>
        </w:rPr>
        <w:t>HBx</w:t>
      </w:r>
      <w:r w:rsidR="001852F3">
        <w:t xml:space="preserve">细胞的</w:t>
      </w:r>
      <w:r>
        <w:rPr>
          <w:b/>
        </w:rPr>
        <w:t>COX</w:t>
      </w:r>
      <w:r w:rsidR="001852F3">
        <w:t xml:space="preserve">酶活性</w:t>
      </w:r>
    </w:p>
    <w:p w:rsidR="0018722C">
      <w:pPr>
        <w:topLinePunct/>
      </w:pPr>
      <w:r>
        <w:t>三组细胞</w:t>
      </w:r>
      <w:r w:rsidR="001852F3">
        <w:t xml:space="preserve">COX</w:t>
      </w:r>
      <w:r w:rsidR="001852F3">
        <w:t xml:space="preserve">酶活性检测结果如</w:t>
      </w:r>
      <w:r w:rsidR="001852F3">
        <w:t>表</w:t>
      </w:r>
      <w:r w:rsidR="001852F3">
        <w:t xml:space="preserve">3</w:t>
      </w:r>
      <w:r w:rsidR="001852F3">
        <w:t xml:space="preserve">所示，经过统计学分析，结果表明</w:t>
      </w:r>
    </w:p>
    <w:p w:rsidR="0018722C">
      <w:pPr>
        <w:topLinePunct/>
      </w:pPr>
      <w:r>
        <w:t>HepG2</w:t>
      </w:r>
      <w:r>
        <w:t>/</w:t>
      </w:r>
      <w:r>
        <w:t>HBx</w:t>
      </w:r>
      <w:r/>
      <w:r w:rsidR="001852F3">
        <w:t xml:space="preserve">细胞组中</w:t>
      </w:r>
      <w:r>
        <w:t>COX</w:t>
      </w:r>
      <w:r/>
      <w:r w:rsidR="001852F3">
        <w:t xml:space="preserve">酶活性较</w:t>
      </w:r>
      <w:r>
        <w:t>HepG2</w:t>
      </w:r>
      <w:r>
        <w:t>/</w:t>
      </w:r>
      <w:r>
        <w:t>mock</w:t>
      </w:r>
      <w:r/>
      <w:r w:rsidR="001852F3">
        <w:t xml:space="preserve">细胞组与</w:t>
      </w:r>
      <w:r>
        <w:t>HepG2</w:t>
      </w:r>
      <w:r/>
      <w:r w:rsidR="001852F3">
        <w:t xml:space="preserve">细胞组升高</w:t>
      </w:r>
      <w:r>
        <w:t>（</w:t>
      </w:r>
      <w:r>
        <w:t>图</w:t>
      </w:r>
      <w:r>
        <w:t>6</w:t>
      </w:r>
      <w:r>
        <w:t>）</w:t>
      </w:r>
      <w:r>
        <w:t>，差异具有统计学意义</w:t>
      </w:r>
      <w:r>
        <w:t>(</w:t>
      </w:r>
      <w:r>
        <w:t>P&lt;0.05</w:t>
      </w:r>
      <w:r>
        <w:t>)</w:t>
      </w:r>
      <w:r>
        <w:t>。该部分实验表明</w:t>
      </w:r>
      <w:r>
        <w:t>HBx</w:t>
      </w:r>
      <w:r/>
      <w:r w:rsidR="001852F3">
        <w:t xml:space="preserve">增加</w:t>
      </w:r>
      <w:r>
        <w:t>HepG2</w:t>
      </w:r>
      <w:r>
        <w:t>/</w:t>
      </w:r>
      <w:r>
        <w:t>HBx</w:t>
      </w:r>
      <w:r/>
      <w:r w:rsidR="001852F3">
        <w:t xml:space="preserve">细胞的</w:t>
      </w:r>
      <w:r>
        <w:t>COX</w:t>
      </w:r>
      <w:r w:rsidR="001852F3">
        <w:t xml:space="preserve">酶活性。</w:t>
      </w:r>
    </w:p>
    <w:p w:rsidR="0018722C">
      <w:pPr>
        <w:pStyle w:val="a8"/>
        <w:topLinePunct/>
      </w:pPr>
      <w:r>
        <w:rPr>
          <w:rFonts w:cstheme="minorBidi" w:hAnsiTheme="minorHAnsi" w:eastAsiaTheme="minorHAnsi" w:asciiTheme="minorHAnsi"/>
        </w:rPr>
        <w:t xml:space="preserve">表</w:t>
      </w:r>
      <w:r>
        <w:rPr>
          <w:rFonts w:cstheme="minorBidi" w:hAnsiTheme="minorHAnsi" w:eastAsiaTheme="minorHAnsi" w:asciiTheme="minorHAnsi"/>
        </w:rPr>
        <w:t xml:space="preserve"> </w:t>
      </w:r>
      <w:r>
        <w:rPr>
          <w:rFonts w:cstheme="minorBidi" w:hAnsiTheme="minorHAnsi" w:eastAsiaTheme="minorHAnsi" w:asciiTheme="minorHAnsi"/>
        </w:rPr>
        <w:t xml:space="preserve">3</w:t>
      </w:r>
      <w:r>
        <w:t xml:space="preserve">  </w:t>
      </w:r>
      <w:r w:rsidR="001852F3">
        <w:rPr>
          <w:rFonts w:cstheme="minorBidi" w:hAnsiTheme="minorHAnsi" w:eastAsiaTheme="minorHAnsi" w:asciiTheme="minorHAnsi"/>
        </w:rPr>
        <w:t xml:space="preserve">三组</w:t>
      </w:r>
      <w:r>
        <w:rPr>
          <w:rFonts w:cstheme="minorBidi" w:hAnsiTheme="minorHAnsi" w:eastAsiaTheme="minorHAnsi" w:asciiTheme="minorHAnsi"/>
        </w:rPr>
        <w:t xml:space="preserve">细</w:t>
      </w:r>
      <w:r>
        <w:rPr>
          <w:rFonts w:cstheme="minorBidi" w:hAnsiTheme="minorHAnsi" w:eastAsiaTheme="minorHAnsi" w:asciiTheme="minorHAnsi"/>
        </w:rPr>
        <w:t xml:space="preserve">胞</w:t>
      </w:r>
      <w:r>
        <w:rPr>
          <w:rFonts w:cstheme="minorBidi" w:hAnsiTheme="minorHAnsi" w:eastAsiaTheme="minorHAnsi" w:asciiTheme="minorHAnsi"/>
        </w:rPr>
        <w:t xml:space="preserve">COX</w:t>
      </w:r>
      <w:r>
        <w:rPr>
          <w:rFonts w:cstheme="minorBidi" w:hAnsiTheme="minorHAnsi" w:eastAsiaTheme="minorHAnsi" w:asciiTheme="minorHAnsi"/>
        </w:rPr>
        <w:t xml:space="preserve">酶</w:t>
      </w:r>
      <w:r>
        <w:rPr>
          <w:rFonts w:cstheme="minorBidi" w:hAnsiTheme="minorHAnsi" w:eastAsiaTheme="minorHAnsi" w:asciiTheme="minorHAnsi"/>
        </w:rPr>
        <w:t xml:space="preserve">活</w:t>
      </w:r>
      <w:r>
        <w:rPr>
          <w:rFonts w:cstheme="minorBidi" w:hAnsiTheme="minorHAnsi" w:eastAsiaTheme="minorHAnsi" w:asciiTheme="minorHAnsi"/>
        </w:rPr>
        <w:t xml:space="preserve">性</w:t>
      </w:r>
      <w:r>
        <w:rPr>
          <w:rFonts w:cstheme="minorBidi" w:hAnsiTheme="minorHAnsi" w:eastAsiaTheme="minorHAnsi" w:asciiTheme="minorHAnsi"/>
        </w:rPr>
        <w:t xml:space="preserve">(</w:t>
      </w:r>
      <w:r>
        <w:rPr>
          <w:rFonts w:cstheme="minorBidi" w:hAnsiTheme="minorHAnsi" w:eastAsiaTheme="minorHAnsi" w:asciiTheme="minorHAnsi"/>
        </w:rPr>
        <w:t xml:space="preserve">unit</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l</w:t>
      </w:r>
      <w:r w:rsidP="AA7D325B">
        <w:rPr>
          <w:rFonts w:cstheme="minorBidi" w:hAnsiTheme="minorHAnsi" w:eastAsiaTheme="minorHAnsi" w:asciiTheme="minorHAnsi"/>
        </w:rPr>
        <w:t>）</w:t>
      </w:r>
      <w:r w:rsidP="AA7D325B">
        <w:rPr>
          <w:rFonts w:cstheme="minorBidi" w:hAnsiTheme="minorHAnsi" w:eastAsiaTheme="minorHAnsi" w:asciiTheme="minorHAnsi"/>
        </w:rPr>
        <w:t>（</w:t>
      </w:r>
      <w:r>
        <w:rPr>
          <w:rFonts w:cstheme="minorBidi" w:hAnsiTheme="minorHAnsi" w:eastAsiaTheme="minorHAnsi" w:asciiTheme="minorHAnsi"/>
        </w:rPr>
        <w:t xml:space="preserve">n=3</w:t>
      </w:r>
      <w:r w:rsidP="AA7D325B">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8"/>
        <w:gridCol w:w="1155"/>
        <w:gridCol w:w="1155"/>
        <w:gridCol w:w="1102"/>
        <w:gridCol w:w="2935"/>
      </w:tblGrid>
      <w:tr>
        <w:trPr>
          <w:tblHeader/>
        </w:trPr>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85" w:type="pct"/>
            <w:vAlign w:val="center"/>
          </w:tcPr>
          <w:p w:rsidR="0018722C">
            <w:pPr>
              <w:pStyle w:val="ac"/>
              <w:topLinePunct/>
              <w:ind w:leftChars="0" w:left="0" w:rightChars="0" w:right="0" w:firstLineChars="0" w:firstLine="0"/>
              <w:spacing w:line="240" w:lineRule="atLeast"/>
            </w:pPr>
            <w:r>
              <w:t>组 别</w:t>
            </w:r>
          </w:p>
        </w:tc>
        <w:tc>
          <w:tcPr>
            <w:tcW w:w="731" w:type="pct"/>
            <w:vAlign w:val="center"/>
          </w:tcPr>
          <w:p w:rsidR="0018722C">
            <w:pPr>
              <w:pStyle w:val="a5"/>
              <w:topLinePunct/>
              <w:ind w:leftChars="0" w:left="0" w:rightChars="0" w:right="0" w:firstLineChars="0" w:firstLine="0"/>
              <w:spacing w:line="240" w:lineRule="atLeast"/>
            </w:pPr>
            <w:r>
              <w:t>第一次</w:t>
            </w:r>
          </w:p>
        </w:tc>
        <w:tc>
          <w:tcPr>
            <w:tcW w:w="731" w:type="pct"/>
            <w:vAlign w:val="center"/>
          </w:tcPr>
          <w:p w:rsidR="0018722C">
            <w:pPr>
              <w:pStyle w:val="a5"/>
              <w:topLinePunct/>
              <w:ind w:leftChars="0" w:left="0" w:rightChars="0" w:right="0" w:firstLineChars="0" w:firstLine="0"/>
              <w:spacing w:line="240" w:lineRule="atLeast"/>
            </w:pPr>
            <w:r>
              <w:t>第二次</w:t>
            </w:r>
          </w:p>
        </w:tc>
        <w:tc>
          <w:tcPr>
            <w:tcW w:w="697" w:type="pct"/>
            <w:vAlign w:val="center"/>
          </w:tcPr>
          <w:p w:rsidR="0018722C">
            <w:pPr>
              <w:pStyle w:val="a5"/>
              <w:topLinePunct/>
              <w:ind w:leftChars="0" w:left="0" w:rightChars="0" w:right="0" w:firstLineChars="0" w:firstLine="0"/>
              <w:spacing w:line="240" w:lineRule="atLeast"/>
            </w:pPr>
            <w:r>
              <w:t>第三次</w:t>
            </w:r>
          </w:p>
        </w:tc>
        <w:tc>
          <w:tcPr>
            <w:tcW w:w="1856"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985" w:type="pct"/>
            <w:vAlign w:val="center"/>
          </w:tcPr>
          <w:p w:rsidR="0018722C">
            <w:pPr>
              <w:pStyle w:val="ac"/>
              <w:topLinePunct/>
              <w:ind w:leftChars="0" w:left="0" w:rightChars="0" w:right="0" w:firstLineChars="0" w:firstLine="0"/>
              <w:spacing w:line="240" w:lineRule="atLeast"/>
            </w:pPr>
            <w:r>
              <w:t>HepG2</w:t>
            </w:r>
          </w:p>
        </w:tc>
        <w:tc>
          <w:tcPr>
            <w:tcW w:w="731" w:type="pct"/>
            <w:vAlign w:val="center"/>
          </w:tcPr>
          <w:p w:rsidR="0018722C">
            <w:pPr>
              <w:pStyle w:val="affff9"/>
              <w:topLinePunct/>
              <w:ind w:leftChars="0" w:left="0" w:rightChars="0" w:right="0" w:firstLineChars="0" w:firstLine="0"/>
              <w:spacing w:line="240" w:lineRule="atLeast"/>
            </w:pPr>
            <w:r>
              <w:t>10.30</w:t>
            </w:r>
          </w:p>
        </w:tc>
        <w:tc>
          <w:tcPr>
            <w:tcW w:w="731" w:type="pct"/>
            <w:vAlign w:val="center"/>
          </w:tcPr>
          <w:p w:rsidR="0018722C">
            <w:pPr>
              <w:pStyle w:val="affff9"/>
              <w:topLinePunct/>
              <w:ind w:leftChars="0" w:left="0" w:rightChars="0" w:right="0" w:firstLineChars="0" w:firstLine="0"/>
              <w:spacing w:line="240" w:lineRule="atLeast"/>
            </w:pPr>
            <w:r>
              <w:t>11.45</w:t>
            </w:r>
          </w:p>
        </w:tc>
        <w:tc>
          <w:tcPr>
            <w:tcW w:w="697" w:type="pct"/>
            <w:vAlign w:val="center"/>
          </w:tcPr>
          <w:p w:rsidR="0018722C">
            <w:pPr>
              <w:pStyle w:val="affff9"/>
              <w:topLinePunct/>
              <w:ind w:leftChars="0" w:left="0" w:rightChars="0" w:right="0" w:firstLineChars="0" w:firstLine="0"/>
              <w:spacing w:line="240" w:lineRule="atLeast"/>
            </w:pPr>
            <w:r>
              <w:t>16.00</w:t>
            </w:r>
          </w:p>
        </w:tc>
        <w:tc>
          <w:tcPr>
            <w:tcW w:w="1856" w:type="pct"/>
            <w:vAlign w:val="center"/>
          </w:tcPr>
          <w:p w:rsidR="0018722C">
            <w:pPr>
              <w:pStyle w:val="ad"/>
              <w:topLinePunct/>
              <w:ind w:leftChars="0" w:left="0" w:rightChars="0" w:right="0" w:firstLineChars="0" w:firstLine="0"/>
              <w:spacing w:line="240" w:lineRule="atLeast"/>
            </w:pPr>
            <w:r>
              <w:t>12.5833±3.0143</w:t>
            </w:r>
          </w:p>
        </w:tc>
      </w:tr>
      <w:tr>
        <w:tc>
          <w:tcPr>
            <w:tcW w:w="985" w:type="pct"/>
            <w:vAlign w:val="center"/>
          </w:tcPr>
          <w:p w:rsidR="0018722C">
            <w:pPr>
              <w:pStyle w:val="ac"/>
              <w:topLinePunct/>
              <w:ind w:leftChars="0" w:left="0" w:rightChars="0" w:right="0" w:firstLineChars="0" w:firstLine="0"/>
              <w:spacing w:line="240" w:lineRule="atLeast"/>
            </w:pPr>
            <w:r>
              <w:t>HepG2</w:t>
            </w:r>
            <w:r>
              <w:t>/</w:t>
            </w:r>
            <w:r>
              <w:t>mock</w:t>
            </w:r>
          </w:p>
        </w:tc>
        <w:tc>
          <w:tcPr>
            <w:tcW w:w="731" w:type="pct"/>
            <w:vAlign w:val="center"/>
          </w:tcPr>
          <w:p w:rsidR="0018722C">
            <w:pPr>
              <w:pStyle w:val="affff9"/>
              <w:topLinePunct/>
              <w:ind w:leftChars="0" w:left="0" w:rightChars="0" w:right="0" w:firstLineChars="0" w:firstLine="0"/>
              <w:spacing w:line="240" w:lineRule="atLeast"/>
            </w:pPr>
            <w:r>
              <w:t>11.45</w:t>
            </w:r>
          </w:p>
        </w:tc>
        <w:tc>
          <w:tcPr>
            <w:tcW w:w="731" w:type="pct"/>
            <w:vAlign w:val="center"/>
          </w:tcPr>
          <w:p w:rsidR="0018722C">
            <w:pPr>
              <w:pStyle w:val="affff9"/>
              <w:topLinePunct/>
              <w:ind w:leftChars="0" w:left="0" w:rightChars="0" w:right="0" w:firstLineChars="0" w:firstLine="0"/>
              <w:spacing w:line="240" w:lineRule="atLeast"/>
            </w:pPr>
            <w:r>
              <w:t>20.49</w:t>
            </w:r>
          </w:p>
        </w:tc>
        <w:tc>
          <w:tcPr>
            <w:tcW w:w="697" w:type="pct"/>
            <w:vAlign w:val="center"/>
          </w:tcPr>
          <w:p w:rsidR="0018722C">
            <w:pPr>
              <w:pStyle w:val="affff9"/>
              <w:topLinePunct/>
              <w:ind w:leftChars="0" w:left="0" w:rightChars="0" w:right="0" w:firstLineChars="0" w:firstLine="0"/>
              <w:spacing w:line="240" w:lineRule="atLeast"/>
            </w:pPr>
            <w:r>
              <w:t>13.74</w:t>
            </w:r>
          </w:p>
        </w:tc>
        <w:tc>
          <w:tcPr>
            <w:tcW w:w="1856" w:type="pct"/>
            <w:vAlign w:val="center"/>
          </w:tcPr>
          <w:p w:rsidR="0018722C">
            <w:pPr>
              <w:pStyle w:val="ad"/>
              <w:topLinePunct/>
              <w:ind w:leftChars="0" w:left="0" w:rightChars="0" w:right="0" w:firstLineChars="0" w:firstLine="0"/>
              <w:spacing w:line="240" w:lineRule="atLeast"/>
            </w:pPr>
            <w:r>
              <w:t>15.2267±4.6998</w:t>
            </w:r>
          </w:p>
        </w:tc>
      </w:tr>
      <w:tr>
        <w:tc>
          <w:tcPr>
            <w:tcW w:w="985"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57.23</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34.30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41.20</w:t>
            </w:r>
          </w:p>
        </w:tc>
        <w:tc>
          <w:tcPr>
            <w:tcW w:w="1856" w:type="pct"/>
            <w:vAlign w:val="center"/>
            <w:tcBorders>
              <w:top w:val="single" w:sz="4" w:space="0" w:color="auto"/>
            </w:tcBorders>
          </w:tcPr>
          <w:p w:rsidR="0018722C">
            <w:pPr>
              <w:pStyle w:val="ad"/>
              <w:topLinePunct/>
              <w:ind w:leftChars="0" w:left="0" w:rightChars="0" w:right="0" w:firstLineChars="0" w:firstLine="0"/>
              <w:spacing w:line="240" w:lineRule="atLeast"/>
            </w:pPr>
            <w:r>
              <w:t>44.2433±11.7640</w:t>
            </w:r>
          </w:p>
        </w:tc>
      </w:tr>
    </w:tbl>
    <w:p w:rsidR="0018722C">
      <w:pPr>
        <w:rPr/>
        <w:topLinePunct/>
        <w:pStyle w:val="affa"/>
      </w:pPr>
    </w:p>
    <w:p w:rsidR="0018722C">
      <w:pPr>
        <w:pStyle w:val="affff5"/>
        <w:keepNext/>
        <w:topLinePunct/>
      </w:pPr>
      <w:r>
        <w:rPr>
          <w:sz w:val="20"/>
        </w:rPr>
        <w:drawing>
          <wp:inline distT="0" distB="0" distL="0" distR="0">
            <wp:extent cx="3701778" cy="327355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3701778" cy="3273552"/>
                    </a:xfrm>
                    <a:prstGeom prst="rect">
                      <a:avLst/>
                    </a:prstGeom>
                  </pic:spPr>
                </pic:pic>
              </a:graphicData>
            </a:graphic>
          </wp:inline>
        </w:drawing>
      </w:r>
      <w:r/>
    </w:p>
    <w:p w:rsidR="0018722C">
      <w:pPr>
        <w:pStyle w:val="a9"/>
        <w:topLinePunct/>
      </w:pPr>
      <w:r>
        <w:t>图</w:t>
      </w:r>
      <w:r>
        <w:t>6</w:t>
      </w:r>
      <w:r>
        <w:t xml:space="preserve">  </w:t>
      </w:r>
      <w:r>
        <w:t>三组细胞</w:t>
      </w:r>
      <w:r>
        <w:t>COX</w:t>
      </w:r>
      <w:r/>
      <w:r w:rsidR="001852F3">
        <w:t xml:space="preserve">酶活性水平</w:t>
      </w:r>
      <w:r>
        <w:t>（</w:t>
      </w:r>
      <w:r>
        <w:rPr>
          <w:rFonts w:ascii="Times New Roman" w:eastAsia="Times New Roman"/>
        </w:rPr>
        <w:t>*</w:t>
      </w:r>
      <w:r w:rsidP="AA7D325B">
        <w:t>，</w:t>
      </w:r>
      <w:r>
        <w:t>P&lt;0.05</w:t>
      </w:r>
      <w:r>
        <w:t>）</w:t>
      </w:r>
      <w:r>
        <w:t>，</w:t>
      </w:r>
      <w:r w:rsidR="001852F3">
        <w:t xml:space="preserve">HBx</w:t>
      </w:r>
      <w:r w:rsidP="AA7D325B">
        <w:t>：</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5</w:t>
      </w:r>
      <w:r>
        <w:t xml:space="preserve"> </w:t>
      </w:r>
      <w:r>
        <w:rPr>
          <w:b/>
        </w:rPr>
        <w:t>HBx</w:t>
      </w:r>
      <w:r w:rsidR="001852F3">
        <w:t xml:space="preserve">上调</w:t>
      </w:r>
      <w:r>
        <w:rPr>
          <w:b/>
        </w:rPr>
        <w:t>HepG2</w:t>
      </w:r>
      <w:r>
        <w:rPr>
          <w:b/>
        </w:rPr>
        <w:t>/</w:t>
      </w:r>
      <w:r>
        <w:rPr>
          <w:b/>
        </w:rPr>
        <w:t>HBx</w:t>
      </w:r>
      <w:r w:rsidR="001852F3">
        <w:t xml:space="preserve">细胞的跨膜电位</w:t>
      </w:r>
    </w:p>
    <w:p w:rsidR="0018722C">
      <w:pPr>
        <w:topLinePunct/>
      </w:pPr>
      <w:r>
        <w:t>流式细胞仪检测三组细胞跨膜电位结果如</w:t>
      </w:r>
      <w:r>
        <w:t>图</w:t>
      </w:r>
      <w:r>
        <w:t>7</w:t>
      </w:r>
      <w:r/>
      <w:r w:rsidR="001852F3">
        <w:t xml:space="preserve">所示，各组数值如</w:t>
      </w:r>
      <w:r w:rsidR="001852F3">
        <w:t>表</w:t>
      </w:r>
      <w:r>
        <w:t>4</w:t>
      </w:r>
      <w:r/>
      <w:r w:rsidR="001852F3">
        <w:t xml:space="preserve">所示，</w:t>
      </w:r>
      <w:r>
        <w:t>流式细胞仪采集的</w:t>
      </w:r>
      <w:r>
        <w:t>TMRM</w:t>
      </w:r>
      <w:r/>
      <w:r w:rsidR="001852F3">
        <w:t xml:space="preserve">染色的荧光信号强弱代表线粒体跨膜电位的高低。经过统计学分析结果表明</w:t>
      </w:r>
      <w:r>
        <w:t>HepG2</w:t>
      </w:r>
      <w:r>
        <w:t>/</w:t>
      </w:r>
      <w:r>
        <w:t>HBx</w:t>
      </w:r>
      <w:r/>
      <w:r w:rsidR="001852F3">
        <w:t xml:space="preserve">细胞组中线粒体跨膜电位较</w:t>
      </w:r>
      <w:r>
        <w:t>HepG2</w:t>
      </w:r>
      <w:r>
        <w:t>/</w:t>
      </w:r>
      <w:r>
        <w:t>mock</w:t>
      </w:r>
      <w:r/>
      <w:r w:rsidR="001852F3">
        <w:t xml:space="preserve">细胞组</w:t>
      </w:r>
      <w:r w:rsidR="001852F3">
        <w:t>与</w:t>
      </w:r>
    </w:p>
    <w:p w:rsidR="0018722C">
      <w:pPr>
        <w:pStyle w:val="BodyText"/>
        <w:spacing w:line="357" w:lineRule="auto" w:before="35"/>
        <w:ind w:rightChars="0" w:right="235"/>
        <w:topLinePunct/>
      </w:pPr>
      <w:r>
        <w:t>HepG2</w:t>
      </w:r>
      <w:r w:rsidR="001852F3">
        <w:rPr>
          <w:spacing w:val="-1"/>
        </w:rPr>
        <w:t xml:space="preserve">细胞组升高</w:t>
      </w:r>
      <w:r>
        <w:t>（</w:t>
      </w:r>
      <w:r>
        <w:rPr>
          <w:spacing w:val="-2"/>
        </w:rPr>
        <w:t>图</w:t>
      </w:r>
      <w:r>
        <w:t>8</w:t>
      </w:r>
      <w:r>
        <w:rPr>
          <w:spacing w:val="-60"/>
        </w:rPr>
        <w:t>）</w:t>
      </w:r>
      <w:r>
        <w:t>，差异具有统计学意义(P&lt;0.05)</w:t>
      </w:r>
      <w:r>
        <w:rPr>
          <w:spacing w:val="0"/>
        </w:rPr>
        <w:t>。该部分实验表明</w:t>
      </w:r>
      <w:r>
        <w:t>HBx</w:t>
      </w:r>
      <w:r>
        <w:rPr>
          <w:spacing w:val="-6"/>
        </w:rPr>
        <w:t>可以上调</w:t>
      </w:r>
      <w:r>
        <w:t>HepG2/HBx</w:t>
      </w:r>
      <w:r w:rsidR="001852F3">
        <w:rPr>
          <w:spacing w:val="-4"/>
        </w:rPr>
        <w:t xml:space="preserve">细胞的线粒体跨膜电位。</w:t>
      </w:r>
    </w:p>
    <w:p w:rsidR="00000000">
      <w:pPr>
        <w:pStyle w:val="aff7"/>
        <w:spacing w:line="240" w:lineRule="atLeast"/>
        <w:topLinePunct/>
      </w:pPr>
      <w:r>
        <w:drawing>
          <wp:inline>
            <wp:extent cx="3974917" cy="1800225"/>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3974917" cy="1800225"/>
                    </a:xfrm>
                    <a:prstGeom prst="rect">
                      <a:avLst/>
                    </a:prstGeom>
                  </pic:spPr>
                </pic:pic>
              </a:graphicData>
            </a:graphic>
          </wp:inline>
        </w:drawing>
      </w:r>
    </w:p>
    <w:p w:rsidR="0018722C">
      <w:pPr>
        <w:pStyle w:val="a9"/>
        <w:topLinePunct/>
      </w:pPr>
      <w:r>
        <w:t>图7</w:t>
      </w:r>
      <w:r>
        <w:t xml:space="preserve">  </w:t>
      </w:r>
      <w:r w:rsidRPr="00DB64CE">
        <w:t>流式细胞仪检测三组细胞线粒体跨膜电位水平，</w:t>
      </w:r>
      <w:r w:rsidR="001852F3">
        <w:t xml:space="preserve">HBx</w:t>
      </w:r>
      <w:r w:rsidP="AA7D325B">
        <w:t>：</w:t>
      </w:r>
      <w:r>
        <w:t>HepG2</w:t>
      </w:r>
      <w:r>
        <w:t>/</w:t>
      </w:r>
      <w:r>
        <w:t>HBx</w:t>
      </w:r>
      <w:r w:rsidR="001852F3">
        <w:t xml:space="preserve">细胞</w:t>
      </w:r>
      <w:r w:rsidP="AA7D325B">
        <w:t>;</w:t>
      </w:r>
    </w:p>
    <w:p w:rsidR="0018722C">
      <w:pPr>
        <w:topLinePunct/>
      </w:pPr>
      <w:r>
        <w:t>Mock</w:t>
      </w:r>
      <w:r>
        <w:t xml:space="preserve">: </w:t>
      </w: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t xml:space="preserve">  </w:t>
      </w:r>
      <w:r w:rsidR="001852F3">
        <w:rPr>
          <w:rFonts w:cstheme="minorBidi" w:hAnsiTheme="minorHAnsi" w:eastAsiaTheme="minorHAnsi" w:asciiTheme="minorHAnsi"/>
        </w:rPr>
        <w:t>三组细胞</w:t>
      </w:r>
      <w:r>
        <w:rPr>
          <w:rFonts w:cstheme="minorBidi" w:hAnsiTheme="minorHAnsi" w:eastAsiaTheme="minorHAnsi" w:asciiTheme="minorHAnsi"/>
        </w:rPr>
        <w:t>TMRM</w:t>
      </w:r>
      <w:r>
        <w:rPr>
          <w:rFonts w:cstheme="minorBidi" w:hAnsiTheme="minorHAnsi" w:eastAsiaTheme="minorHAnsi" w:asciiTheme="minorHAnsi"/>
        </w:rPr>
        <w:t>染色平均荧光强度值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0"/>
        <w:gridCol w:w="1101"/>
        <w:gridCol w:w="1155"/>
        <w:gridCol w:w="1259"/>
        <w:gridCol w:w="2986"/>
      </w:tblGrid>
      <w:tr>
        <w:trPr>
          <w:tblHeader/>
        </w:trPr>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9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86" w:type="pct"/>
            <w:vAlign w:val="center"/>
          </w:tcPr>
          <w:p w:rsidR="0018722C">
            <w:pPr>
              <w:pStyle w:val="ac"/>
              <w:topLinePunct/>
              <w:ind w:leftChars="0" w:left="0" w:rightChars="0" w:right="0" w:firstLineChars="0" w:firstLine="0"/>
              <w:spacing w:line="240" w:lineRule="atLeast"/>
            </w:pPr>
            <w:r>
              <w:t>组 别</w:t>
            </w:r>
          </w:p>
        </w:tc>
        <w:tc>
          <w:tcPr>
            <w:tcW w:w="697" w:type="pct"/>
            <w:vAlign w:val="center"/>
          </w:tcPr>
          <w:p w:rsidR="0018722C">
            <w:pPr>
              <w:pStyle w:val="a5"/>
              <w:topLinePunct/>
              <w:ind w:leftChars="0" w:left="0" w:rightChars="0" w:right="0" w:firstLineChars="0" w:firstLine="0"/>
              <w:spacing w:line="240" w:lineRule="atLeast"/>
            </w:pPr>
            <w:r>
              <w:t>第一次</w:t>
            </w:r>
          </w:p>
        </w:tc>
        <w:tc>
          <w:tcPr>
            <w:tcW w:w="731" w:type="pct"/>
            <w:vAlign w:val="center"/>
          </w:tcPr>
          <w:p w:rsidR="0018722C">
            <w:pPr>
              <w:pStyle w:val="a5"/>
              <w:topLinePunct/>
              <w:ind w:leftChars="0" w:left="0" w:rightChars="0" w:right="0" w:firstLineChars="0" w:firstLine="0"/>
              <w:spacing w:line="240" w:lineRule="atLeast"/>
            </w:pPr>
            <w:r>
              <w:t>第二次</w:t>
            </w:r>
          </w:p>
        </w:tc>
        <w:tc>
          <w:tcPr>
            <w:tcW w:w="797" w:type="pct"/>
            <w:vAlign w:val="center"/>
          </w:tcPr>
          <w:p w:rsidR="0018722C">
            <w:pPr>
              <w:pStyle w:val="a5"/>
              <w:topLinePunct/>
              <w:ind w:leftChars="0" w:left="0" w:rightChars="0" w:right="0" w:firstLineChars="0" w:firstLine="0"/>
              <w:spacing w:line="240" w:lineRule="atLeast"/>
            </w:pPr>
            <w:r>
              <w:t>第三次</w:t>
            </w:r>
          </w:p>
        </w:tc>
        <w:tc>
          <w:tcPr>
            <w:tcW w:w="1890"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886" w:type="pct"/>
            <w:vAlign w:val="center"/>
          </w:tcPr>
          <w:p w:rsidR="0018722C">
            <w:pPr>
              <w:pStyle w:val="ac"/>
              <w:topLinePunct/>
              <w:ind w:leftChars="0" w:left="0" w:rightChars="0" w:right="0" w:firstLineChars="0" w:firstLine="0"/>
              <w:spacing w:line="240" w:lineRule="atLeast"/>
            </w:pPr>
            <w:r>
              <w:t>HepG2</w:t>
            </w:r>
          </w:p>
        </w:tc>
        <w:tc>
          <w:tcPr>
            <w:tcW w:w="697" w:type="pct"/>
            <w:vAlign w:val="center"/>
          </w:tcPr>
          <w:p w:rsidR="0018722C">
            <w:pPr>
              <w:pStyle w:val="affff9"/>
              <w:topLinePunct/>
              <w:ind w:leftChars="0" w:left="0" w:rightChars="0" w:right="0" w:firstLineChars="0" w:firstLine="0"/>
              <w:spacing w:line="240" w:lineRule="atLeast"/>
            </w:pPr>
            <w:r>
              <w:t>9753.57</w:t>
            </w:r>
          </w:p>
        </w:tc>
        <w:tc>
          <w:tcPr>
            <w:tcW w:w="731" w:type="pct"/>
            <w:vAlign w:val="center"/>
          </w:tcPr>
          <w:p w:rsidR="0018722C">
            <w:pPr>
              <w:pStyle w:val="affff9"/>
              <w:topLinePunct/>
              <w:ind w:leftChars="0" w:left="0" w:rightChars="0" w:right="0" w:firstLineChars="0" w:firstLine="0"/>
              <w:spacing w:line="240" w:lineRule="atLeast"/>
            </w:pPr>
            <w:r>
              <w:t>9571.02</w:t>
            </w:r>
          </w:p>
        </w:tc>
        <w:tc>
          <w:tcPr>
            <w:tcW w:w="797" w:type="pct"/>
            <w:vAlign w:val="center"/>
          </w:tcPr>
          <w:p w:rsidR="0018722C">
            <w:pPr>
              <w:pStyle w:val="affff9"/>
              <w:topLinePunct/>
              <w:ind w:leftChars="0" w:left="0" w:rightChars="0" w:right="0" w:firstLineChars="0" w:firstLine="0"/>
              <w:spacing w:line="240" w:lineRule="atLeast"/>
            </w:pPr>
            <w:r>
              <w:t>10497.10</w:t>
            </w:r>
          </w:p>
        </w:tc>
        <w:tc>
          <w:tcPr>
            <w:tcW w:w="1890" w:type="pct"/>
            <w:vAlign w:val="center"/>
          </w:tcPr>
          <w:p w:rsidR="0018722C">
            <w:pPr>
              <w:pStyle w:val="ad"/>
              <w:topLinePunct/>
              <w:ind w:leftChars="0" w:left="0" w:rightChars="0" w:right="0" w:firstLineChars="0" w:firstLine="0"/>
              <w:spacing w:line="240" w:lineRule="atLeast"/>
            </w:pPr>
            <w:r>
              <w:t>9940.5633±490.5415</w:t>
            </w:r>
          </w:p>
        </w:tc>
      </w:tr>
      <w:tr>
        <w:tc>
          <w:tcPr>
            <w:tcW w:w="886" w:type="pct"/>
            <w:vAlign w:val="center"/>
          </w:tcPr>
          <w:p w:rsidR="0018722C">
            <w:pPr>
              <w:pStyle w:val="ac"/>
              <w:topLinePunct/>
              <w:ind w:leftChars="0" w:left="0" w:rightChars="0" w:right="0" w:firstLineChars="0" w:firstLine="0"/>
              <w:spacing w:line="240" w:lineRule="atLeast"/>
            </w:pPr>
            <w:r>
              <w:t>HepG2</w:t>
            </w:r>
            <w:r>
              <w:t>/</w:t>
            </w:r>
            <w:r>
              <w:t>mock</w:t>
            </w:r>
          </w:p>
        </w:tc>
        <w:tc>
          <w:tcPr>
            <w:tcW w:w="697" w:type="pct"/>
            <w:vAlign w:val="center"/>
          </w:tcPr>
          <w:p w:rsidR="0018722C">
            <w:pPr>
              <w:pStyle w:val="affff9"/>
              <w:topLinePunct/>
              <w:ind w:leftChars="0" w:left="0" w:rightChars="0" w:right="0" w:firstLineChars="0" w:firstLine="0"/>
              <w:spacing w:line="240" w:lineRule="atLeast"/>
            </w:pPr>
            <w:r>
              <w:t>9551.51</w:t>
            </w:r>
          </w:p>
        </w:tc>
        <w:tc>
          <w:tcPr>
            <w:tcW w:w="731" w:type="pct"/>
            <w:vAlign w:val="center"/>
          </w:tcPr>
          <w:p w:rsidR="0018722C">
            <w:pPr>
              <w:pStyle w:val="affff9"/>
              <w:topLinePunct/>
              <w:ind w:leftChars="0" w:left="0" w:rightChars="0" w:right="0" w:firstLineChars="0" w:firstLine="0"/>
              <w:spacing w:line="240" w:lineRule="atLeast"/>
            </w:pPr>
            <w:r>
              <w:t>9421.24</w:t>
            </w:r>
          </w:p>
        </w:tc>
        <w:tc>
          <w:tcPr>
            <w:tcW w:w="797" w:type="pct"/>
            <w:vAlign w:val="center"/>
          </w:tcPr>
          <w:p w:rsidR="0018722C">
            <w:pPr>
              <w:pStyle w:val="affff9"/>
              <w:topLinePunct/>
              <w:ind w:leftChars="0" w:left="0" w:rightChars="0" w:right="0" w:firstLineChars="0" w:firstLine="0"/>
              <w:spacing w:line="240" w:lineRule="atLeast"/>
            </w:pPr>
            <w:r>
              <w:t>10264.61</w:t>
            </w:r>
          </w:p>
        </w:tc>
        <w:tc>
          <w:tcPr>
            <w:tcW w:w="1890" w:type="pct"/>
            <w:vAlign w:val="center"/>
          </w:tcPr>
          <w:p w:rsidR="0018722C">
            <w:pPr>
              <w:pStyle w:val="ad"/>
              <w:topLinePunct/>
              <w:ind w:leftChars="0" w:left="0" w:rightChars="0" w:right="0" w:firstLineChars="0" w:firstLine="0"/>
              <w:spacing w:line="240" w:lineRule="atLeast"/>
            </w:pPr>
            <w:r>
              <w:t>9745.7867±454.0108</w:t>
            </w:r>
          </w:p>
        </w:tc>
      </w:tr>
      <w:tr>
        <w:tc>
          <w:tcPr>
            <w:tcW w:w="886"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39418.59</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38707.96</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36971.69</w:t>
            </w:r>
          </w:p>
        </w:tc>
        <w:tc>
          <w:tcPr>
            <w:tcW w:w="1890" w:type="pct"/>
            <w:vAlign w:val="center"/>
            <w:tcBorders>
              <w:top w:val="single" w:sz="4" w:space="0" w:color="auto"/>
            </w:tcBorders>
          </w:tcPr>
          <w:p w:rsidR="0018722C">
            <w:pPr>
              <w:pStyle w:val="ad"/>
              <w:topLinePunct/>
              <w:ind w:leftChars="0" w:left="0" w:rightChars="0" w:right="0" w:firstLineChars="0" w:firstLine="0"/>
              <w:spacing w:line="240" w:lineRule="atLeast"/>
            </w:pPr>
            <w:r>
              <w:t>38366.08±1258.7658</w:t>
            </w:r>
          </w:p>
        </w:tc>
      </w:tr>
    </w:tbl>
    <w:p w:rsidR="0018722C">
      <w:pPr>
        <w:pStyle w:val="affa"/>
      </w:pPr>
    </w:p>
    <w:p w:rsidR="0018722C">
      <w:pPr>
        <w:pStyle w:val="affff5"/>
        <w:keepNext/>
        <w:topLinePunct/>
      </w:pPr>
      <w:r>
        <w:rPr>
          <w:sz w:val="20"/>
        </w:rPr>
        <w:drawing>
          <wp:inline distT="0" distB="0" distL="0" distR="0">
            <wp:extent cx="3671490" cy="3236976"/>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3671490" cy="3236976"/>
                    </a:xfrm>
                    <a:prstGeom prst="rect">
                      <a:avLst/>
                    </a:prstGeom>
                  </pic:spPr>
                </pic:pic>
              </a:graphicData>
            </a:graphic>
          </wp:inline>
        </w:drawing>
      </w:r>
      <w:r/>
    </w:p>
    <w:p w:rsidR="0018722C">
      <w:pPr>
        <w:pStyle w:val="a9"/>
        <w:topLinePunct/>
      </w:pPr>
      <w:r>
        <w:t>图</w:t>
      </w:r>
      <w:r>
        <w:t>8</w:t>
      </w:r>
      <w:r>
        <w:t xml:space="preserve">  </w:t>
      </w:r>
      <w:r>
        <w:t>三组细胞线粒体跨膜电位水平</w:t>
      </w:r>
      <w:r>
        <w:t>（</w:t>
      </w:r>
      <w:r>
        <w:rPr>
          <w:rFonts w:ascii="Times New Roman" w:eastAsia="Times New Roman"/>
        </w:rPr>
        <w:t>*</w:t>
      </w:r>
      <w:r w:rsidP="AA7D325B">
        <w:t>，</w:t>
      </w:r>
      <w:r>
        <w:t>P&lt;0.0</w:t>
      </w:r>
      <w:r>
        <w:t>5</w:t>
      </w:r>
      <w:r>
        <w:t>）</w:t>
      </w:r>
      <w:r>
        <w:t>，</w:t>
      </w:r>
      <w:r>
        <w:t>HBx</w:t>
      </w:r>
      <w:r w:rsidP="AA7D325B">
        <w:t>：</w:t>
      </w:r>
      <w:r>
        <w:t>H</w:t>
      </w:r>
      <w:r>
        <w:t>e</w:t>
      </w:r>
      <w:r>
        <w:t>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6</w:t>
      </w:r>
      <w:r>
        <w:t xml:space="preserve"> </w:t>
      </w:r>
      <w:r>
        <w:t>透射电镜观察三组细胞线粒体超微结构的改变</w:t>
      </w:r>
    </w:p>
    <w:p w:rsidR="0018722C">
      <w:pPr>
        <w:topLinePunct/>
      </w:pPr>
      <w:bookmarkStart w:id="707281" w:name="_cwCmt1"/>
      <w:r>
        <w:t>三组细胞在透射电镜下的观察结果如</w:t>
      </w:r>
      <w:r>
        <w:t>图</w:t>
      </w:r>
      <w:r w:rsidR="001852F3">
        <w:t xml:space="preserve">9</w:t>
      </w:r>
      <w:r w:rsidR="001852F3">
        <w:t xml:space="preserve">所示，与</w:t>
      </w:r>
      <w:r w:rsidR="001852F3">
        <w:t xml:space="preserve">HepG2</w:t>
      </w:r>
      <w:r>
        <w:t>/</w:t>
      </w:r>
      <w:r>
        <w:t>mock</w:t>
      </w:r>
      <w:r w:rsidR="001852F3">
        <w:t xml:space="preserve">细胞组与</w:t>
      </w:r>
      <w:bookmarkEnd w:id="707281"/>
    </w:p>
    <w:p w:rsidR="0018722C">
      <w:pPr>
        <w:pStyle w:val="BodyText"/>
        <w:spacing w:line="357" w:lineRule="auto" w:before="154"/>
        <w:ind w:rightChars="0" w:right="199"/>
        <w:topLinePunct/>
      </w:pPr>
      <w:r>
        <w:t>HepG2</w:t>
      </w:r>
      <w:r w:rsidR="001852F3">
        <w:rPr>
          <w:spacing w:val="-6"/>
        </w:rPr>
        <w:t xml:space="preserve">细胞组相比，</w:t>
      </w:r>
      <w:r>
        <w:t>HepG2/HBx</w:t>
      </w:r>
      <w:r w:rsidR="001852F3">
        <w:rPr>
          <w:spacing w:val="-4"/>
        </w:rPr>
        <w:t xml:space="preserve">细胞组仅表现出线粒体稍肿胀，没有观察到线粒体核周聚集现象。</w:t>
      </w:r>
    </w:p>
    <w:p w:rsidR="0018722C">
      <w:pPr>
        <w:pStyle w:val="aff7"/>
        <w:sectPr w:rsidR="00556256">
          <w:pgSz w:w="11910" w:h="16840"/>
          <w:pgMar w:header="0" w:footer="1160" w:top="1500" w:bottom="1400" w:left="1600" w:right="1480"/>
        </w:sectPr>
        <w:topLinePunct/>
      </w:pPr>
      <w:r>
        <w:drawing>
          <wp:inline>
            <wp:extent cx="5190913" cy="160553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5190913" cy="1605534"/>
                    </a:xfrm>
                    <a:prstGeom prst="rect">
                      <a:avLst/>
                    </a:prstGeom>
                  </pic:spPr>
                </pic:pic>
              </a:graphicData>
            </a:graphic>
          </wp:inline>
        </w:drawing>
      </w:r>
    </w:p>
    <w:p w:rsidR="0018722C">
      <w:pPr>
        <w:topLinePunct/>
      </w:pPr>
      <w:r>
        <w:t>图</w:t>
      </w:r>
      <w:r w:rsidR="001852F3">
        <w:t xml:space="preserve">9</w:t>
      </w:r>
      <w:r w:rsidR="001852F3">
        <w:t xml:space="preserve">电镜下观察三组细胞线粒体超微结构，</w:t>
      </w:r>
      <w:r w:rsidR="001852F3">
        <w:t xml:space="preserve">HBx</w:t>
      </w:r>
      <w:r>
        <w:t xml:space="preserve">: </w:t>
      </w:r>
      <w:r>
        <w:t>HepG2</w:t>
      </w:r>
      <w:r>
        <w:t>/</w:t>
      </w:r>
      <w:r>
        <w:t>HBx</w:t>
      </w:r>
      <w:r w:rsidR="001852F3">
        <w:t xml:space="preserve">细胞</w:t>
      </w:r>
      <w:r>
        <w:rPr>
          <w:rFonts w:hint="eastAsia"/>
        </w:rPr>
        <w:t>；</w:t>
      </w:r>
      <w:r w:rsidR="001852F3">
        <w:t xml:space="preserve">Mock：</w:t>
      </w:r>
    </w:p>
    <w:p w:rsidR="0018722C">
      <w:pPr>
        <w:topLinePunct/>
      </w:pPr>
      <w:r>
        <w:t>HepG2</w:t>
      </w:r>
      <w:r>
        <w:t>/</w:t>
      </w:r>
      <w:r>
        <w:t>mock</w:t>
      </w:r>
      <w:r w:rsidR="001852F3">
        <w:t xml:space="preserve">细胞; Control</w:t>
      </w:r>
      <w:r>
        <w:t xml:space="preserve">: </w:t>
      </w:r>
      <w:r>
        <w:t>HepG2</w:t>
      </w:r>
      <w:r w:rsidR="001852F3">
        <w:t xml:space="preserve">细胞</w:t>
      </w:r>
    </w:p>
    <w:p w:rsidR="0018722C">
      <w:pPr>
        <w:topLinePunct/>
      </w:pPr>
      <w:bookmarkStart w:name="五 讨论 " w:id="22"/>
      <w:bookmarkEnd w:id="22"/>
      <w:r>
        <w:rPr>
          <w:rFonts w:cstheme="minorBidi" w:hAnsiTheme="minorHAnsi" w:eastAsiaTheme="minorHAnsi" w:asciiTheme="minorHAnsi" w:ascii="宋体" w:hAnsi="宋体" w:eastAsia="宋体" w:cs="宋体"/>
          <w:b/>
        </w:rPr>
        <w:t>五</w:t>
      </w:r>
      <w:r w:rsidR="001852F3">
        <w:rPr>
          <w:rFonts w:cstheme="minorBidi" w:hAnsiTheme="minorHAnsi" w:eastAsiaTheme="minorHAnsi" w:asciiTheme="minorHAnsi" w:ascii="宋体" w:hAnsi="宋体" w:eastAsia="宋体" w:cs="宋体"/>
          <w:b/>
        </w:rPr>
        <w:t xml:space="preserve">讨论</w:t>
      </w:r>
    </w:p>
    <w:p w:rsidR="0018722C">
      <w:pPr>
        <w:topLinePunct/>
      </w:pPr>
      <w:r>
        <w:t>肝细胞癌</w:t>
      </w:r>
      <w:r>
        <w:t>（</w:t>
      </w:r>
      <w:r>
        <w:t>HCC</w:t>
      </w:r>
      <w:r>
        <w:t>）</w:t>
      </w:r>
      <w:r>
        <w:t>是最常见的恶性肿瘤之一，死亡率位于世界第四，慢性乙型肝炎病毒</w:t>
      </w:r>
      <w:r>
        <w:t>（</w:t>
      </w:r>
      <w:r>
        <w:rPr>
          <w:spacing w:val="-1"/>
        </w:rPr>
        <w:t>hepatitis</w:t>
      </w:r>
      <w:r>
        <w:rPr>
          <w:spacing w:val="-23"/>
        </w:rPr>
        <w:t> </w:t>
      </w:r>
      <w:r>
        <w:t>B</w:t>
      </w:r>
      <w:r>
        <w:rPr>
          <w:spacing w:val="-23"/>
        </w:rPr>
        <w:t> </w:t>
      </w:r>
      <w:r>
        <w:t>virus,</w:t>
      </w:r>
      <w:r>
        <w:rPr>
          <w:spacing w:val="-23"/>
        </w:rPr>
        <w:t> </w:t>
      </w:r>
      <w:r>
        <w:t>HBV</w:t>
      </w:r>
      <w:r>
        <w:t>）</w:t>
      </w:r>
      <w:r>
        <w:t>感染是肝细胞癌的主要致病因素</w:t>
      </w:r>
      <w:r>
        <w:rPr>
          <w:vertAlign w:val="superscript"/>
          /&gt;
        </w:rPr>
        <w:t>[</w:t>
      </w:r>
      <w:r>
        <w:rPr>
          <w:vertAlign w:val="superscript"/>
          /&gt;
        </w:rPr>
        <w:t xml:space="preserve">50</w:t>
      </w:r>
      <w:r>
        <w:rPr>
          <w:vertAlign w:val="superscript"/>
          /&gt;
        </w:rPr>
        <w:t>]</w:t>
      </w:r>
      <w:r>
        <w:t>。HBV</w:t>
      </w:r>
      <w:r w:rsidR="001852F3">
        <w:t xml:space="preserve">编码的</w:t>
      </w:r>
      <w:r w:rsidR="001852F3">
        <w:t xml:space="preserve">X</w:t>
      </w:r>
      <w:r w:rsidR="001852F3">
        <w:t xml:space="preserve">蛋白</w:t>
      </w:r>
      <w:r>
        <w:t>（</w:t>
      </w:r>
      <w:r>
        <w:t>Hepatitis</w:t>
      </w:r>
      <w:r>
        <w:rPr>
          <w:spacing w:val="-2"/>
        </w:rPr>
        <w:t> </w:t>
      </w:r>
      <w:r>
        <w:t>B</w:t>
      </w:r>
      <w:r>
        <w:rPr>
          <w:spacing w:val="-2"/>
        </w:rPr>
        <w:t> </w:t>
      </w:r>
      <w:r>
        <w:t>virus</w:t>
      </w:r>
      <w:r>
        <w:rPr>
          <w:spacing w:val="-2"/>
        </w:rPr>
        <w:t> </w:t>
      </w:r>
      <w:r>
        <w:t>X</w:t>
      </w:r>
      <w:r>
        <w:rPr>
          <w:spacing w:val="-2"/>
        </w:rPr>
        <w:t> </w:t>
      </w:r>
      <w:r>
        <w:t>protein,</w:t>
      </w:r>
      <w:r>
        <w:rPr>
          <w:spacing w:val="-2"/>
        </w:rPr>
        <w:t> </w:t>
      </w:r>
      <w:r>
        <w:t>HBx</w:t>
      </w:r>
      <w:r>
        <w:t>）</w:t>
      </w:r>
      <w:r>
        <w:t>与宿主因素之间相互作用促进了</w:t>
      </w:r>
      <w:r w:rsidR="001852F3">
        <w:t xml:space="preserve">HBV</w:t>
      </w:r>
      <w:r w:rsidR="001852F3">
        <w:t xml:space="preserve">相关的肝细胞癌的发生和发展</w:t>
      </w:r>
      <w:r>
        <w:rPr>
          <w:vertAlign w:val="superscript"/>
          /&gt;
        </w:rPr>
        <w:t>[</w:t>
      </w:r>
      <w:r>
        <w:rPr>
          <w:color w:val="080000"/>
          <w:vertAlign w:val="superscript"/>
          <w:position w:val="12"/>
        </w:rPr>
        <w:t xml:space="preserve">51</w:t>
      </w:r>
      <w:r>
        <w:rPr>
          <w:vertAlign w:val="superscript"/>
          /&gt;
        </w:rPr>
        <w:t>]</w:t>
      </w:r>
      <w:r>
        <w:t>。</w:t>
      </w:r>
      <w:r>
        <w:t>HBx</w:t>
      </w:r>
      <w:r w:rsidR="001852F3">
        <w:t xml:space="preserve">含有</w:t>
      </w:r>
      <w:r w:rsidR="001852F3">
        <w:t xml:space="preserve">154</w:t>
      </w:r>
      <w:r/>
      <w:r w:rsidR="001852F3">
        <w:t xml:space="preserve">个氨基酸，分子量大</w:t>
      </w:r>
      <w:r>
        <w:t>小约为</w:t>
      </w:r>
      <w:r>
        <w:t>17kD</w:t>
      </w:r>
      <w:r>
        <w:t>，它是一种多功能的调节器，能调节转录、信号转导通路、细胞周期进程、DNA</w:t>
      </w:r>
      <w:r w:rsidR="001852F3">
        <w:t xml:space="preserve">修复、细胞凋亡、蛋白质的降解途径，并通过与宿主因素相互作用调节遗传稳定性</w:t>
      </w:r>
      <w:r>
        <w:rPr>
          <w:vertAlign w:val="superscript"/>
          /&gt;
        </w:rPr>
        <w:t>[</w:t>
      </w:r>
      <w:r>
        <w:rPr>
          <w:color w:val="080000"/>
          <w:vertAlign w:val="superscript"/>
          <w:position w:val="12"/>
        </w:rPr>
        <w:t xml:space="preserve">52</w:t>
      </w:r>
      <w:r>
        <w:rPr>
          <w:vertAlign w:val="superscript"/>
          /&gt;
        </w:rPr>
        <w:t>]</w:t>
      </w:r>
      <w:r>
        <w:t>。</w:t>
      </w:r>
    </w:p>
    <w:p w:rsidR="0018722C">
      <w:pPr>
        <w:topLinePunct/>
      </w:pPr>
      <w:r>
        <w:t>绝大部分的</w:t>
      </w:r>
      <w:r w:rsidR="001852F3">
        <w:t xml:space="preserve">HBx</w:t>
      </w:r>
      <w:r/>
      <w:r w:rsidR="001852F3">
        <w:t xml:space="preserve">存在于细胞浆中，只有少量存在于细胞核中，而胞浆中有一</w:t>
      </w:r>
      <w:r>
        <w:t>部分</w:t>
      </w:r>
      <w:r>
        <w:t>HBx</w:t>
      </w:r>
      <w:r/>
      <w:r w:rsidR="001852F3">
        <w:t xml:space="preserve">定位于线粒体，影响线粒体的生理、代谢及其它相关功能</w:t>
      </w:r>
      <w:r>
        <w:rPr>
          <w:vertAlign w:val="superscript"/>
          /&gt;
        </w:rPr>
        <w:t>[</w:t>
      </w:r>
      <w:r>
        <w:rPr>
          <w:vertAlign w:val="superscript"/>
          /&gt;
        </w:rPr>
        <w:t xml:space="preserve">17</w:t>
      </w:r>
      <w:r>
        <w:rPr>
          <w:vertAlign w:val="superscript"/>
          /&gt;
        </w:rPr>
        <w:t>,</w:t>
      </w:r>
      <w:r>
        <w:rPr>
          <w:vertAlign w:val="superscript"/>
          /&gt;
        </w:rPr>
        <w:t xml:space="preserve"> 18</w:t>
      </w:r>
      <w:r>
        <w:rPr>
          <w:vertAlign w:val="superscript"/>
          /&gt;
        </w:rPr>
        <w:t>]</w:t>
      </w:r>
      <w:r>
        <w:t>。线粒体</w:t>
      </w:r>
      <w:r>
        <w:t>不仅能够通过氧化磷酸化为细胞提供能量，还能调控胞质</w:t>
      </w:r>
      <w:r>
        <w:t>Ca</w:t>
      </w:r>
      <w:r>
        <w:rPr>
          <w:vertAlign w:val="superscript"/>
          /&gt;
        </w:rPr>
        <w:t>2+</w:t>
      </w:r>
      <w:r>
        <w:t>水平</w:t>
      </w:r>
      <w:r>
        <w:rPr>
          <w:vertAlign w:val="superscript"/>
          /&gt;
        </w:rPr>
        <w:t>[</w:t>
      </w:r>
      <w:r>
        <w:rPr>
          <w:vertAlign w:val="superscript"/>
          /&gt;
        </w:rPr>
        <w:t xml:space="preserve">19</w:t>
      </w:r>
      <w:r>
        <w:rPr>
          <w:vertAlign w:val="superscript"/>
          /&gt;
        </w:rPr>
        <w:t>]</w:t>
      </w:r>
      <w:r>
        <w:t>、产生及释放活性氧</w:t>
      </w:r>
      <w:r>
        <w:t>（</w:t>
      </w:r>
      <w:r>
        <w:t>ROS</w:t>
      </w:r>
      <w:r>
        <w:t>）</w:t>
      </w:r>
      <w:r>
        <w:t>调节细胞氧化还原状态</w:t>
      </w:r>
      <w:r>
        <w:rPr>
          <w:vertAlign w:val="superscript"/>
          /&gt;
        </w:rPr>
        <w:t>[</w:t>
      </w:r>
      <w:r>
        <w:rPr>
          <w:vertAlign w:val="superscript"/>
          /&gt;
        </w:rPr>
        <w:t xml:space="preserve">20</w:t>
      </w:r>
      <w:r>
        <w:rPr>
          <w:vertAlign w:val="superscript"/>
          /&gt;
        </w:rPr>
        <w:t>]</w:t>
      </w:r>
      <w:r>
        <w:t>、调控细胞凋亡以及信号转导通路</w:t>
      </w:r>
      <w:r>
        <w:rPr>
          <w:vertAlign w:val="superscript"/>
          /&gt;
        </w:rPr>
        <w:t>[</w:t>
      </w:r>
      <w:r>
        <w:rPr>
          <w:vertAlign w:val="superscript"/>
          /&gt;
        </w:rPr>
        <w:t xml:space="preserve">21</w:t>
      </w:r>
      <w:r>
        <w:rPr>
          <w:vertAlign w:val="superscript"/>
          /&gt;
        </w:rPr>
        <w:t>]</w:t>
      </w:r>
      <w:r>
        <w:t>、通过结构和动力学的重塑维持生命和死亡之间的微妙平衡</w:t>
      </w:r>
      <w:r>
        <w:rPr>
          <w:vertAlign w:val="superscript"/>
          /&gt;
        </w:rPr>
        <w:t>[</w:t>
      </w:r>
      <w:r>
        <w:rPr>
          <w:vertAlign w:val="superscript"/>
          /&gt;
        </w:rPr>
        <w:t xml:space="preserve">22</w:t>
      </w:r>
      <w:r>
        <w:rPr>
          <w:vertAlign w:val="superscript"/>
          /&gt;
        </w:rPr>
        <w:t>]</w:t>
      </w:r>
      <w:r>
        <w:t>。基于线粒体在生命</w:t>
      </w:r>
      <w:r>
        <w:t>过程中担任如此重要的角色，研究者们对</w:t>
      </w:r>
      <w:r>
        <w:t>HBx</w:t>
      </w:r>
      <w:r w:rsidR="001852F3">
        <w:t xml:space="preserve">定位于线粒体后的致癌机制逐渐展</w:t>
      </w:r>
      <w:r>
        <w:t>开了研究，发现</w:t>
      </w:r>
      <w:r>
        <w:t>HBx</w:t>
      </w:r>
      <w:r/>
      <w:r w:rsidR="001852F3">
        <w:t xml:space="preserve">能定位于线粒体外膜电压依赖性阴离子选择性孔道</w:t>
      </w:r>
      <w:r>
        <w:t>3</w:t>
      </w:r>
      <w:r>
        <w:t>（</w:t>
      </w:r>
      <w:r>
        <w:rPr>
          <w:spacing w:val="-4"/>
        </w:rPr>
        <w:t xml:space="preserve">VDAC3</w:t>
      </w:r>
      <w:r>
        <w:t>）</w:t>
      </w:r>
      <w:r/>
      <w:r>
        <w:t>改变其跨膜电位</w:t>
      </w:r>
      <w:r>
        <w:rPr>
          <w:vertAlign w:val="superscript"/>
          /&gt;
        </w:rPr>
        <w:t>[</w:t>
      </w:r>
      <w:r>
        <w:rPr>
          <w:vertAlign w:val="superscript"/>
          /&gt;
        </w:rPr>
        <w:t xml:space="preserve">53</w:t>
      </w:r>
      <w:r>
        <w:rPr>
          <w:vertAlign w:val="superscript"/>
          /&gt;
        </w:rPr>
        <w:t>]</w:t>
      </w:r>
      <w:r>
        <w:t>；HBx</w:t>
      </w:r>
      <w:r w:rsidR="001852F3">
        <w:t xml:space="preserve">能促使线粒体在核周聚集</w:t>
      </w:r>
      <w:r>
        <w:rPr>
          <w:vertAlign w:val="superscript"/>
          /&gt;
        </w:rPr>
        <w:t>[</w:t>
      </w:r>
      <w:r>
        <w:rPr>
          <w:vertAlign w:val="superscript"/>
          /&gt;
        </w:rPr>
        <w:t xml:space="preserve">54</w:t>
      </w:r>
      <w:r>
        <w:rPr>
          <w:vertAlign w:val="superscript"/>
          /&gt;
        </w:rPr>
        <w:t>]</w:t>
      </w:r>
      <w:r>
        <w:t>、能改变线粒体生理和功能状态</w:t>
      </w:r>
      <w:r>
        <w:rPr>
          <w:vertAlign w:val="superscript"/>
          /&gt;
        </w:rPr>
        <w:t>[</w:t>
      </w:r>
      <w:r>
        <w:rPr>
          <w:vertAlign w:val="superscript"/>
          /&gt;
        </w:rPr>
        <w:t xml:space="preserve">34</w:t>
      </w:r>
      <w:r>
        <w:rPr>
          <w:vertAlign w:val="superscript"/>
          /&gt;
        </w:rPr>
        <w:t>]</w:t>
      </w:r>
      <w:r>
        <w:t>、能引起胞浆钙超载</w:t>
      </w:r>
      <w:r>
        <w:rPr>
          <w:vertAlign w:val="superscript"/>
          /&gt;
        </w:rPr>
        <w:t>[</w:t>
      </w:r>
      <w:r>
        <w:rPr>
          <w:vertAlign w:val="superscript"/>
          /&gt;
        </w:rPr>
        <w:t xml:space="preserve">55</w:t>
      </w:r>
      <w:r>
        <w:rPr>
          <w:vertAlign w:val="superscript"/>
          /&gt;
        </w:rPr>
        <w:t>]</w:t>
      </w:r>
      <w:r>
        <w:t>而引发细胞凋亡；另外，HBx</w:t>
      </w:r>
      <w:r/>
      <w:r w:rsidR="001852F3">
        <w:t xml:space="preserve">能调控线粒体的钙摄</w:t>
      </w:r>
      <w:r>
        <w:t>取水平促进细胞增殖与</w:t>
      </w:r>
      <w:r>
        <w:t>HBV</w:t>
      </w:r>
      <w:r/>
      <w:r w:rsidR="001852F3">
        <w:t xml:space="preserve">的复制</w:t>
      </w:r>
      <w:r>
        <w:rPr>
          <w:vertAlign w:val="superscript"/>
          /&gt;
        </w:rPr>
        <w:t>[</w:t>
      </w:r>
      <w:r>
        <w:rPr>
          <w:vertAlign w:val="superscript"/>
          /&gt;
        </w:rPr>
        <w:t xml:space="preserve">56</w:t>
      </w:r>
      <w:r>
        <w:rPr>
          <w:vertAlign w:val="superscript"/>
          /&gt;
        </w:rPr>
        <w:t>]</w:t>
      </w:r>
      <w:r>
        <w:t>，HBx</w:t>
      </w:r>
      <w:r/>
      <w:r w:rsidR="001852F3">
        <w:t xml:space="preserve">还能破坏线粒体的动力学诱导线粒体裂变和自噬抑制细胞凋亡</w:t>
      </w:r>
      <w:r>
        <w:rPr>
          <w:vertAlign w:val="superscript"/>
          /&gt;
        </w:rPr>
        <w:t>[</w:t>
      </w:r>
      <w:r>
        <w:rPr>
          <w:vertAlign w:val="superscript"/>
          /&gt;
        </w:rPr>
        <w:t xml:space="preserve">57</w:t>
      </w:r>
      <w:r>
        <w:rPr>
          <w:vertAlign w:val="superscript"/>
          /&gt;
        </w:rPr>
        <w:t>]</w:t>
      </w:r>
      <w:r>
        <w:t>。而本实验室前期工作中通过酵母双杂交、离体实验</w:t>
      </w:r>
      <w:r>
        <w:t>和免疫共沉淀印迹实验筛选到一个新发现的</w:t>
      </w:r>
      <w:r>
        <w:t>HBx</w:t>
      </w:r>
      <w:r/>
      <w:r w:rsidR="001852F3">
        <w:t xml:space="preserve">体内结合蛋白——线粒体内膜</w:t>
      </w:r>
      <w:r>
        <w:t>呼吸链上</w:t>
      </w:r>
      <w:r>
        <w:t>COXⅢ蛋白</w:t>
      </w:r>
      <w:r>
        <w:rPr>
          <w:vertAlign w:val="superscript"/>
          /&gt;
        </w:rPr>
        <w:t>[</w:t>
      </w:r>
      <w:r>
        <w:rPr>
          <w:vertAlign w:val="superscript"/>
          /&gt;
        </w:rPr>
        <w:t xml:space="preserve">23</w:t>
      </w:r>
      <w:r>
        <w:rPr>
          <w:vertAlign w:val="superscript"/>
          /&gt;
        </w:rPr>
        <w:t>,</w:t>
      </w:r>
      <w:r>
        <w:rPr>
          <w:vertAlign w:val="superscript"/>
          /&gt;
        </w:rPr>
        <w:t xml:space="preserve"> 24</w:t>
      </w:r>
      <w:r>
        <w:rPr>
          <w:vertAlign w:val="superscript"/>
          /&gt;
        </w:rPr>
        <w:t>]</w:t>
      </w:r>
      <w:r>
        <w:t>。本部分实验通过间接荧光染色与激光共聚焦显微镜进一</w:t>
      </w:r>
      <w:r>
        <w:t>步证实了</w:t>
      </w:r>
      <w:r>
        <w:t>HBx</w:t>
      </w:r>
      <w:r/>
      <w:r w:rsidR="001852F3">
        <w:t xml:space="preserve">蛋白与</w:t>
      </w:r>
      <w:r>
        <w:t>COXIII</w:t>
      </w:r>
      <w:r/>
      <w:r w:rsidR="001852F3">
        <w:t xml:space="preserve">蛋白在线粒体中共定位</w:t>
      </w:r>
      <w:r>
        <w:t>（</w:t>
      </w:r>
      <w:r>
        <w:rPr>
          <w:spacing w:val="-15"/>
        </w:rPr>
        <w:t>图</w:t>
      </w:r>
      <w:r>
        <w:t>1</w:t>
      </w:r>
      <w:r>
        <w:t>）</w:t>
      </w:r>
      <w:r>
        <w:t>。</w:t>
      </w:r>
    </w:p>
    <w:p w:rsidR="0018722C">
      <w:pPr>
        <w:topLinePunct/>
      </w:pPr>
      <w:r>
        <w:t>线粒体呼吸链位于线粒体内膜上，由</w:t>
      </w:r>
      <w:r>
        <w:t>5</w:t>
      </w:r>
      <w:r/>
      <w:r w:rsidR="001852F3">
        <w:t xml:space="preserve">个复合物组成，分别为</w:t>
      </w:r>
      <w:r>
        <w:t>：NADH</w:t>
      </w:r>
      <w:r>
        <w:t>（</w:t>
      </w:r>
      <w:r>
        <w:t>也称</w:t>
      </w:r>
      <w:r>
        <w:rPr>
          <w:spacing w:val="-6"/>
        </w:rPr>
        <w:t>为复合物</w:t>
      </w:r>
      <w:r>
        <w:t>I</w:t>
      </w:r>
      <w:r>
        <w:t>）</w:t>
      </w:r>
      <w:r>
        <w:t>、琥珀酸氧化还原酶</w:t>
      </w:r>
      <w:r>
        <w:t>（</w:t>
      </w:r>
      <w:r>
        <w:rPr>
          <w:spacing w:val="-4"/>
        </w:rPr>
        <w:t>也称为复合物</w:t>
      </w:r>
      <w:r>
        <w:t>II</w:t>
      </w:r>
      <w:r>
        <w:t>）</w:t>
      </w:r>
      <w:r>
        <w:t>、细胞色素</w:t>
      </w:r>
      <w:r>
        <w:t>C</w:t>
      </w:r>
      <w:r/>
      <w:r w:rsidR="001852F3">
        <w:t xml:space="preserve">氧化还原酶</w:t>
      </w:r>
      <w:r>
        <w:t>（</w:t>
      </w:r>
      <w:r>
        <w:t>复</w:t>
      </w:r>
      <w:r>
        <w:rPr>
          <w:spacing w:val="-10"/>
        </w:rPr>
        <w:t>合物</w:t>
      </w:r>
      <w:r>
        <w:t>III</w:t>
      </w:r>
      <w:r>
        <w:t>）</w:t>
      </w:r>
      <w:r>
        <w:t>、细胞色素</w:t>
      </w:r>
      <w:r>
        <w:t>C</w:t>
      </w:r>
      <w:r/>
      <w:r w:rsidR="001852F3">
        <w:t xml:space="preserve">还原酶</w:t>
      </w:r>
      <w:r>
        <w:t>（</w:t>
      </w:r>
      <w:r>
        <w:rPr>
          <w:spacing w:val="-4"/>
        </w:rPr>
        <w:t>也称为复合物</w:t>
      </w:r>
      <w:r>
        <w:t>IV</w:t>
      </w:r>
      <w:r>
        <w:t>）</w:t>
      </w:r>
      <w:r>
        <w:t>和</w:t>
      </w:r>
      <w:r>
        <w:t>ATP</w:t>
      </w:r>
      <w:r/>
      <w:r w:rsidR="001852F3">
        <w:t xml:space="preserve">合成酶</w:t>
      </w:r>
      <w:r>
        <w:t>（</w:t>
      </w:r>
      <w:r>
        <w:t xml:space="preserve">也称为复合物</w:t>
      </w:r>
      <w:r w:rsidR="001852F3">
        <w:t xml:space="preserve">V</w:t>
      </w:r>
      <w:r>
        <w:t>）</w:t>
      </w:r>
      <w:r>
        <w:t>。COXIII</w:t>
      </w:r>
      <w:r/>
      <w:r w:rsidR="001852F3">
        <w:t xml:space="preserve">是复合物</w:t>
      </w:r>
      <w:r>
        <w:t>IV</w:t>
      </w:r>
      <w:r>
        <w:t>（</w:t>
      </w:r>
      <w:r>
        <w:t>即</w:t>
      </w:r>
      <w:r w:rsidR="001852F3">
        <w:t xml:space="preserve">COX</w:t>
      </w:r>
      <w:r>
        <w:t>）</w:t>
      </w:r>
      <w:r>
        <w:t>的主要组成亚单位，是调节</w:t>
      </w:r>
      <w:r w:rsidR="001852F3">
        <w:t xml:space="preserve">COX</w:t>
      </w:r>
      <w:r w:rsidR="001852F3">
        <w:t xml:space="preserve">的装配以及酶活性的重要亚基</w:t>
      </w:r>
      <w:r>
        <w:rPr>
          <w:vertAlign w:val="superscript"/>
          /&gt;
        </w:rPr>
        <w:t>[</w:t>
      </w:r>
      <w:r>
        <w:rPr>
          <w:color w:val="080000"/>
          <w:vertAlign w:val="superscript"/>
          <w:position w:val="12"/>
        </w:rPr>
        <w:t xml:space="preserve">30</w:t>
      </w:r>
      <w:r>
        <w:rPr>
          <w:vertAlign w:val="superscript"/>
          /&gt;
        </w:rPr>
        <w:t>]</w:t>
      </w:r>
      <w:r>
        <w:t>，也是组成</w:t>
      </w:r>
      <w:r>
        <w:t>COX</w:t>
      </w:r>
      <w:r/>
      <w:r w:rsidR="001852F3">
        <w:t xml:space="preserve">质子通路的最主要组成部分，缺乏</w:t>
      </w:r>
      <w:r>
        <w:t>COXII</w:t>
      </w:r>
      <w:r>
        <w:t>I</w:t>
      </w:r>
    </w:p>
    <w:p w:rsidR="0018722C">
      <w:pPr>
        <w:topLinePunct/>
      </w:pPr>
      <w:r>
        <w:t>的</w:t>
      </w:r>
      <w:r w:rsidR="001852F3">
        <w:t xml:space="preserve">COX</w:t>
      </w:r>
      <w:r w:rsidR="001852F3">
        <w:t xml:space="preserve">无法进行质子传递</w:t>
      </w:r>
      <w:r>
        <w:rPr>
          <w:vertAlign w:val="superscript"/>
          /&gt;
        </w:rPr>
        <w:t>[</w:t>
      </w:r>
      <w:r>
        <w:rPr>
          <w:color w:val="080000"/>
          <w:position w:val="12"/>
          <w:sz w:val="12"/>
        </w:rPr>
        <w:t xml:space="preserve">31</w:t>
      </w:r>
      <w:r>
        <w:rPr>
          <w:vertAlign w:val="superscript"/>
          /&gt;
        </w:rPr>
        <w:t>]</w:t>
      </w:r>
      <w:r>
        <w:t>。</w:t>
      </w:r>
      <w:r>
        <w:t>COX</w:t>
      </w:r>
      <w:r w:rsidR="001852F3">
        <w:t xml:space="preserve">的生物合成功能是线粒体生物合成功能的一个关键组成部分</w:t>
      </w:r>
      <w:r>
        <w:rPr>
          <w:vertAlign w:val="superscript"/>
          /&gt;
        </w:rPr>
        <w:t>[</w:t>
      </w:r>
      <w:r>
        <w:rPr>
          <w:color w:val="080000"/>
          <w:vertAlign w:val="superscript"/>
          <w:position w:val="12"/>
        </w:rPr>
        <w:t xml:space="preserve">27</w:t>
      </w:r>
      <w:r>
        <w:rPr>
          <w:vertAlign w:val="superscript"/>
          /&gt;
        </w:rPr>
        <w:t>]</w:t>
      </w:r>
      <w:r>
        <w:t>，它功能的上调将为细胞提供更多的能量而促进细胞增殖，与癌症密切相关</w:t>
      </w:r>
      <w:r>
        <w:rPr>
          <w:vertAlign w:val="superscript"/>
          /&gt;
        </w:rPr>
        <w:t>[</w:t>
      </w:r>
      <w:r>
        <w:rPr>
          <w:color w:val="080000"/>
          <w:spacing w:val="-2"/>
          <w:position w:val="12"/>
          <w:sz w:val="12"/>
        </w:rPr>
        <w:t xml:space="preserve">28</w:t>
      </w:r>
      <w:r>
        <w:rPr>
          <w:color w:val="080000"/>
          <w:spacing w:val="-2"/>
          <w:position w:val="12"/>
          <w:sz w:val="12"/>
        </w:rPr>
        <w:t>,</w:t>
      </w:r>
      <w:r>
        <w:rPr>
          <w:color w:val="080000"/>
          <w:spacing w:val="-2"/>
          <w:position w:val="12"/>
          <w:sz w:val="12"/>
        </w:rPr>
        <w:t xml:space="preserve"> </w:t>
      </w:r>
      <w:r>
        <w:rPr>
          <w:color w:val="080000"/>
          <w:position w:val="12"/>
          <w:sz w:val="12"/>
        </w:rPr>
        <w:t>29</w:t>
      </w:r>
      <w:r>
        <w:rPr>
          <w:vertAlign w:val="superscript"/>
          /&gt;
        </w:rPr>
        <w:t>]</w:t>
      </w:r>
      <w:r>
        <w:t>。在本部分实验中，我们发现了</w:t>
      </w:r>
      <w:r>
        <w:t>HBx</w:t>
      </w:r>
      <w:r/>
      <w:r w:rsidR="001852F3">
        <w:t xml:space="preserve">与</w:t>
      </w:r>
      <w:r>
        <w:t>COXIII</w:t>
      </w:r>
      <w:r/>
      <w:r w:rsidR="001852F3">
        <w:t xml:space="preserve">在</w:t>
      </w:r>
      <w:r>
        <w:t>HepG2</w:t>
      </w:r>
      <w:r/>
      <w:r w:rsidR="001852F3">
        <w:t xml:space="preserve">细胞共定</w:t>
      </w:r>
      <w:r>
        <w:t>位后，在转录后水平调节</w:t>
      </w:r>
      <w:r>
        <w:t>COXIII，</w:t>
      </w:r>
      <w:r>
        <w:t>即上调</w:t>
      </w:r>
      <w:r>
        <w:t>COXIII</w:t>
      </w:r>
      <w:r/>
      <w:r w:rsidR="001852F3">
        <w:t xml:space="preserve">蛋白表达水平，而</w:t>
      </w:r>
      <w:r>
        <w:t>COXIII mRNA</w:t>
      </w:r>
      <w:r>
        <w:t>水平不改变。与此同时，</w:t>
      </w:r>
      <w:r>
        <w:t>HBx</w:t>
      </w:r>
      <w:r/>
      <w:r w:rsidR="001852F3">
        <w:t xml:space="preserve">增加了</w:t>
      </w:r>
      <w:r>
        <w:t>HepG2</w:t>
      </w:r>
      <w:r/>
      <w:r w:rsidR="001852F3">
        <w:t xml:space="preserve">细胞</w:t>
      </w:r>
      <w:r>
        <w:t>COX</w:t>
      </w:r>
      <w:r/>
      <w:r w:rsidR="001852F3">
        <w:t xml:space="preserve">酶活性，意味着它将为细胞提</w:t>
      </w:r>
      <w:r>
        <w:t>供更多的能量用于细胞的生长、分化、转录、信号转导</w:t>
      </w:r>
      <w:r>
        <w:rPr>
          <w:vertAlign w:val="superscript"/>
          /&gt;
        </w:rPr>
        <w:t>[</w:t>
      </w:r>
      <w:r>
        <w:rPr>
          <w:color w:val="080000"/>
          <w:position w:val="12"/>
          <w:sz w:val="12"/>
        </w:rPr>
        <w:t>28</w:t>
      </w:r>
      <w:r>
        <w:rPr>
          <w:color w:val="080000"/>
          <w:spacing w:val="3"/>
          <w:position w:val="12"/>
          <w:sz w:val="12"/>
        </w:rPr>
        <w:t>,</w:t>
      </w:r>
      <w:r>
        <w:rPr>
          <w:color w:val="080000"/>
          <w:spacing w:val="3"/>
          <w:position w:val="12"/>
          <w:sz w:val="12"/>
        </w:rPr>
        <w:t> </w:t>
      </w:r>
      <w:r>
        <w:rPr>
          <w:color w:val="080000"/>
          <w:position w:val="12"/>
          <w:sz w:val="12"/>
        </w:rPr>
        <w:t>58</w:t>
      </w:r>
      <w:r>
        <w:rPr>
          <w:vertAlign w:val="superscript"/>
          /&gt;
        </w:rPr>
        <w:t>]</w:t>
      </w:r>
      <w:r>
        <w:t>。随后我们发现</w:t>
      </w:r>
      <w:r>
        <w:t>在</w:t>
      </w:r>
    </w:p>
    <w:p w:rsidR="0018722C">
      <w:pPr>
        <w:topLinePunct/>
      </w:pPr>
      <w:r>
        <w:t>HepG2</w:t>
      </w:r>
      <w:r>
        <w:t>/</w:t>
      </w:r>
      <w:r>
        <w:t>HBx</w:t>
      </w:r>
      <w:r/>
      <w:r w:rsidR="001852F3">
        <w:t xml:space="preserve">细胞中，线粒体的膜电位升高了，电镜下观察其线粒体稍肿胀，这些结</w:t>
      </w:r>
      <w:r>
        <w:t>果说明了</w:t>
      </w:r>
      <w:r>
        <w:t>HBx</w:t>
      </w:r>
      <w:r/>
      <w:r w:rsidR="001852F3">
        <w:t xml:space="preserve">与</w:t>
      </w:r>
      <w:r>
        <w:t>COXIII</w:t>
      </w:r>
      <w:r/>
      <w:r w:rsidR="001852F3">
        <w:t xml:space="preserve">在</w:t>
      </w:r>
      <w:r>
        <w:t>HepG2</w:t>
      </w:r>
      <w:r/>
      <w:r w:rsidR="001852F3">
        <w:t xml:space="preserve">细胞线粒体中共定位后，影响其结构与功能，进一步引起肝癌的发生、发展。</w:t>
      </w:r>
    </w:p>
    <w:p w:rsidR="0018722C">
      <w:pPr>
        <w:pStyle w:val="Heading1"/>
        <w:topLinePunct/>
      </w:pPr>
      <w:bookmarkStart w:id="707270" w:name="_Toc686707270"/>
      <w:bookmarkStart w:name="_TOC_250006" w:id="23"/>
      <w:bookmarkStart w:name="第三部分 HBx通过上调ROS水平增加COX-2的表达促进了HepG2细胞的增殖" w:id="24"/>
      <w:r>
        <w:rPr>
          <w:b/>
        </w:rPr>
        <w:t>第三部分 </w:t>
      </w:r>
      <w:r>
        <w:rPr>
          <w:b/>
        </w:rPr>
        <w:t>HBx</w:t>
      </w:r>
      <w:r w:rsidR="001852F3">
        <w:t xml:space="preserve">通过上调</w:t>
      </w:r>
      <w:r>
        <w:rPr>
          <w:b/>
        </w:rPr>
        <w:t>ROS</w:t>
      </w:r>
      <w:r w:rsidR="001852F3">
        <w:t xml:space="preserve">水平增加</w:t>
      </w:r>
      <w:r>
        <w:rPr>
          <w:b/>
        </w:rPr>
        <w:t>COX-2</w:t>
      </w:r>
      <w:r w:rsidR="001852F3">
        <w:t xml:space="preserve">的表达促进了</w:t>
      </w:r>
      <w:bookmarkEnd w:id="23"/>
      <w:r>
        <w:rPr>
          <w:b/>
        </w:rPr>
        <w:t>HepG2</w:t>
      </w:r>
      <w:bookmarkEnd w:id="707270"/>
    </w:p>
    <w:p w:rsidR="0018722C">
      <w:pPr>
        <w:spacing w:before="231"/>
        <w:ind w:leftChars="0" w:left="3621" w:rightChars="0" w:right="0" w:firstLineChars="0" w:firstLine="0"/>
        <w:jc w:val="left"/>
        <w:topLinePunct/>
      </w:pPr>
      <w:bookmarkStart w:name="_TOC_250005" w:id="25"/>
      <w:bookmarkEnd w:id="25"/>
      <w:r>
        <w:rPr>
          <w:kern w:val="2"/>
          <w:sz w:val="30"/>
          <w:szCs w:val="22"/>
          <w:rFonts w:cstheme="minorBidi" w:hAnsiTheme="minorHAnsi" w:eastAsiaTheme="minorHAnsi" w:asciiTheme="minorHAnsi"/>
          <w:b/>
          <w:w w:val="95"/>
        </w:rPr>
        <w:t>细胞的增殖</w:t>
      </w:r>
    </w:p>
    <w:p w:rsidR="0018722C">
      <w:pPr>
        <w:topLinePunct/>
      </w:pPr>
      <w:bookmarkStart w:name="一 引言 " w:id="26"/>
      <w:bookmarkEnd w:id="26"/>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 xml:space="preserve">引言</w:t>
      </w:r>
    </w:p>
    <w:p w:rsidR="0018722C">
      <w:pPr>
        <w:topLinePunct/>
      </w:pPr>
      <w:r>
        <w:t>结合临床循证医学证据，</w:t>
      </w:r>
      <w:r>
        <w:t>HBV</w:t>
      </w:r>
      <w:r w:rsidR="001852F3">
        <w:t xml:space="preserve">感染后肝细胞发生炎症性改变最后导致肝癌发</w:t>
      </w:r>
      <w:r>
        <w:t>生需要数年至数十年的时间，这让研究者们想到</w:t>
      </w:r>
      <w:r>
        <w:t>HBx</w:t>
      </w:r>
      <w:r w:rsidR="001852F3">
        <w:t xml:space="preserve">导致肝癌的机制可能不像其他的致癌基因那么强烈，更有可能是改变了肝细胞内部环境，导致慢性炎性损伤和死亡，给各种癌基因提供了激活的背景，而炎症反应与氧化应激起着至关重要</w:t>
      </w:r>
      <w:r>
        <w:t>的作用</w:t>
      </w:r>
      <w:r>
        <w:rPr>
          <w:vertAlign w:val="subscript"/>
          /&gt;
        </w:rPr>
        <w:t>[</w:t>
      </w:r>
      <w:r>
        <w:rPr>
          <w:vertAlign w:val="subscript"/>
          /&gt;
        </w:rPr>
        <w:t xml:space="preserve">1</w:t>
      </w:r>
      <w:r>
        <w:rPr>
          <w:vertAlign w:val="subscript"/>
          /&gt;
        </w:rPr>
        <w:t>,</w:t>
      </w:r>
      <w:r>
        <w:rPr>
          <w:vertAlign w:val="subscript"/>
          /&gt;
        </w:rPr>
        <w:t xml:space="preserve"> 59</w:t>
      </w:r>
      <w:r>
        <w:rPr>
          <w:vertAlign w:val="subscript"/>
          /&gt;
        </w:rPr>
        <w:t>]</w:t>
      </w:r>
      <w:r>
        <w:t>。</w:t>
      </w:r>
    </w:p>
    <w:p w:rsidR="0018722C">
      <w:pPr>
        <w:topLinePunct/>
      </w:pPr>
      <w:r>
        <w:t>线粒体是调节凋亡、细胞能量代谢以及信号转导通路的关键细胞器，也是</w:t>
      </w:r>
      <w:r>
        <w:t>HBx</w:t>
      </w:r>
      <w:r>
        <w:t>诱导产生的</w:t>
      </w:r>
      <w:r>
        <w:t>ROS</w:t>
      </w:r>
      <w:r/>
      <w:r w:rsidR="001852F3">
        <w:t xml:space="preserve">的关键部位</w:t>
      </w:r>
      <w:r>
        <w:rPr>
          <w:vertAlign w:val="superscript"/>
          /&gt;
        </w:rPr>
        <w:t>[</w:t>
      </w:r>
      <w:r>
        <w:rPr>
          <w:vertAlign w:val="superscript"/>
          /&gt;
        </w:rPr>
        <w:t xml:space="preserve">34</w:t>
      </w:r>
      <w:r>
        <w:rPr>
          <w:vertAlign w:val="superscript"/>
          /&gt;
        </w:rPr>
        <w:t>]</w:t>
      </w:r>
      <w:r>
        <w:t>。</w:t>
      </w:r>
      <w:r>
        <w:t>HBx</w:t>
      </w:r>
      <w:r/>
      <w:r w:rsidR="001852F3">
        <w:t xml:space="preserve">作用于线粒体增加了</w:t>
      </w:r>
      <w:r>
        <w:t>ROS</w:t>
      </w:r>
      <w:r/>
      <w:r w:rsidR="001852F3">
        <w:t xml:space="preserve">的水平引起氧化应激，</w:t>
      </w:r>
      <w:r>
        <w:t>从而使肝癌细胞上调炎症介质环氧合酶</w:t>
      </w:r>
      <w:r>
        <w:t>2</w:t>
      </w:r>
      <w:r>
        <w:t>（</w:t>
      </w:r>
      <w:r>
        <w:t>COX-2</w:t>
      </w:r>
      <w:r>
        <w:t>）</w:t>
      </w:r>
      <w:r>
        <w:t>的水平产生炎症反应</w:t>
      </w:r>
      <w:r>
        <w:rPr>
          <w:vertAlign w:val="superscript"/>
          /&gt;
        </w:rPr>
        <w:t>[</w:t>
      </w:r>
      <w:r>
        <w:rPr>
          <w:color w:val="080000"/>
          <w:vertAlign w:val="superscript"/>
          <w:position w:val="12"/>
        </w:rPr>
        <w:t xml:space="preserve">33</w:t>
      </w:r>
      <w:r>
        <w:rPr>
          <w:vertAlign w:val="superscript"/>
          /&gt;
        </w:rPr>
        <w:t>]</w:t>
      </w:r>
      <w:r>
        <w:t>、导致肝癌细胞处于对促凋亡信号的敏感状态</w:t>
      </w:r>
      <w:r>
        <w:rPr>
          <w:vertAlign w:val="superscript"/>
          /&gt;
        </w:rPr>
        <w:t>[</w:t>
      </w:r>
      <w:r>
        <w:rPr>
          <w:color w:val="080000"/>
          <w:vertAlign w:val="superscript"/>
          <w:position w:val="12"/>
        </w:rPr>
        <w:t xml:space="preserve">34</w:t>
      </w:r>
      <w:r>
        <w:rPr>
          <w:vertAlign w:val="superscript"/>
          /&gt;
        </w:rPr>
        <w:t>]</w:t>
      </w:r>
      <w:r>
        <w:t>、令</w:t>
      </w:r>
      <w:r>
        <w:t>HBx</w:t>
      </w:r>
      <w:r/>
      <w:r w:rsidR="001852F3">
        <w:t xml:space="preserve">转基因鼠因</w:t>
      </w:r>
      <w:r>
        <w:t>PTEN</w:t>
      </w:r>
      <w:r>
        <w:t>/</w:t>
      </w:r>
      <w:r>
        <w:t>Akt</w:t>
      </w:r>
      <w:r/>
      <w:r w:rsidR="001852F3">
        <w:t xml:space="preserve">通路失调而激活致癌作用</w:t>
      </w:r>
      <w:r>
        <w:rPr>
          <w:vertAlign w:val="superscript"/>
          /&gt;
        </w:rPr>
        <w:t>[</w:t>
      </w:r>
      <w:r>
        <w:rPr>
          <w:color w:val="080000"/>
          <w:vertAlign w:val="superscript"/>
          <w:position w:val="12"/>
        </w:rPr>
        <w:t xml:space="preserve">35</w:t>
      </w:r>
      <w:r>
        <w:rPr>
          <w:vertAlign w:val="superscript"/>
          /&gt;
        </w:rPr>
        <w:t>]</w:t>
      </w:r>
      <w:r>
        <w:t>。</w:t>
      </w:r>
      <w:r>
        <w:t>ROS</w:t>
      </w:r>
      <w:r/>
      <w:r w:rsidR="001852F3">
        <w:t xml:space="preserve">是诱变剂和细胞有丝分裂原，它能上调促炎症基因的表达，</w:t>
      </w:r>
      <w:r>
        <w:t>增强纤维化的形成，在癌症发展中起着直接作用</w:t>
      </w:r>
      <w:r>
        <w:rPr>
          <w:vertAlign w:val="superscript"/>
          /&gt;
        </w:rPr>
        <w:t>[</w:t>
      </w:r>
      <w:r>
        <w:rPr>
          <w:color w:val="080000"/>
          <w:position w:val="12"/>
          <w:sz w:val="12"/>
        </w:rPr>
        <w:t>36,</w:t>
      </w:r>
      <w:r>
        <w:rPr>
          <w:color w:val="080000"/>
          <w:spacing w:val="-15"/>
          <w:position w:val="12"/>
          <w:sz w:val="12"/>
        </w:rPr>
        <w:t> </w:t>
      </w:r>
      <w:r>
        <w:rPr>
          <w:color w:val="080000"/>
          <w:position w:val="12"/>
          <w:sz w:val="12"/>
        </w:rPr>
        <w:t>37</w:t>
      </w:r>
      <w:r>
        <w:rPr>
          <w:vertAlign w:val="superscript"/>
          /&gt;
        </w:rPr>
        <w:t>]</w:t>
      </w:r>
      <w:r>
        <w:t>。</w:t>
      </w:r>
      <w:r>
        <w:t>COX-2</w:t>
      </w:r>
      <w:r/>
      <w:r w:rsidR="001852F3">
        <w:t xml:space="preserve">是炎症反应的关键介质，它能通过刺激细胞增殖、血管形成、侵袭能力、抑制凋亡与免疫反应来促进肝癌细胞的增殖</w:t>
      </w:r>
      <w:r>
        <w:rPr>
          <w:vertAlign w:val="superscript"/>
          /&gt;
        </w:rPr>
        <w:t>[</w:t>
      </w:r>
      <w:r>
        <w:rPr>
          <w:color w:val="080000"/>
          <w:spacing w:val="-4"/>
          <w:position w:val="12"/>
          <w:sz w:val="12"/>
        </w:rPr>
        <w:t xml:space="preserve">60</w:t>
      </w:r>
      <w:r>
        <w:rPr>
          <w:color w:val="080000"/>
          <w:spacing w:val="-4"/>
          <w:position w:val="12"/>
          <w:sz w:val="12"/>
        </w:rPr>
        <w:t>,</w:t>
      </w:r>
      <w:r>
        <w:rPr>
          <w:color w:val="080000"/>
          <w:spacing w:val="-4"/>
          <w:position w:val="12"/>
          <w:sz w:val="12"/>
        </w:rPr>
        <w:t xml:space="preserve"> 61</w:t>
      </w:r>
      <w:r>
        <w:rPr>
          <w:vertAlign w:val="superscript"/>
          /&gt;
        </w:rPr>
        <w:t>]</w:t>
      </w:r>
      <w:r>
        <w:t>。</w:t>
      </w:r>
    </w:p>
    <w:p w:rsidR="0018722C">
      <w:pPr>
        <w:topLinePunct/>
      </w:pPr>
      <w:r>
        <w:t>本部分实验将通过流式细胞仪测定</w:t>
      </w:r>
      <w:r>
        <w:t>HepG2</w:t>
      </w:r>
      <w:r>
        <w:t>/</w:t>
      </w:r>
      <w:r>
        <w:t>HBx</w:t>
      </w:r>
      <w:r/>
      <w:r w:rsidR="001852F3">
        <w:t xml:space="preserve">细胞内活性氧簇</w:t>
      </w:r>
      <w:r>
        <w:t>(</w:t>
      </w:r>
      <w:r>
        <w:t xml:space="preserve">Reactive Oxygen Species</w:t>
      </w:r>
      <w:r>
        <w:t xml:space="preserve">, </w:t>
      </w:r>
      <w:r>
        <w:t xml:space="preserve">ROS</w:t>
      </w:r>
      <w:r>
        <w:t>)</w:t>
      </w:r>
      <w:r>
        <w:t>水平、RT-PCR</w:t>
      </w:r>
      <w:r/>
      <w:r w:rsidR="001852F3">
        <w:t xml:space="preserve">与</w:t>
      </w:r>
      <w:r>
        <w:t>Western blot</w:t>
      </w:r>
      <w:r/>
      <w:r w:rsidR="001852F3">
        <w:t xml:space="preserve">测定</w:t>
      </w:r>
      <w:r>
        <w:t>COX-2</w:t>
      </w:r>
      <w:r/>
      <w:r w:rsidR="001852F3">
        <w:t xml:space="preserve">的</w:t>
      </w:r>
      <w:r>
        <w:t>mRNA</w:t>
      </w:r>
      <w:r/>
      <w:r w:rsidR="001852F3">
        <w:t xml:space="preserve">与蛋白</w:t>
      </w:r>
      <w:r>
        <w:t>表达水平、</w:t>
      </w:r>
      <w:r>
        <w:t>CCK-8</w:t>
      </w:r>
      <w:r/>
      <w:r w:rsidR="001852F3">
        <w:t xml:space="preserve">实验观察细胞的增殖水平、克隆形成实验观察细胞克隆形成能力。</w:t>
      </w:r>
      <w:r>
        <w:t>然后加入</w:t>
      </w:r>
      <w:r>
        <w:t>ROS</w:t>
      </w:r>
      <w:r/>
      <w:r w:rsidR="001852F3">
        <w:t xml:space="preserve">抑制剂</w:t>
      </w:r>
      <w:r>
        <w:t>（</w:t>
      </w:r>
      <w:r>
        <w:t>NAC</w:t>
      </w:r>
      <w:r>
        <w:t>）</w:t>
      </w:r>
      <w:r>
        <w:t>观察</w:t>
      </w:r>
      <w:r>
        <w:t>COX-2</w:t>
      </w:r>
      <w:r/>
      <w:r w:rsidR="001852F3">
        <w:t xml:space="preserve">蛋白表达水平的改变，从而探索</w:t>
      </w:r>
      <w:r>
        <w:t>ROS</w:t>
      </w:r>
      <w:r/>
      <w:r w:rsidR="001852F3">
        <w:t xml:space="preserve">与</w:t>
      </w:r>
      <w:r>
        <w:t>COX-2</w:t>
      </w:r>
      <w:r>
        <w:t>的关系；接着加入</w:t>
      </w:r>
      <w:r>
        <w:t>COX-2</w:t>
      </w:r>
      <w:r/>
      <w:r w:rsidR="001852F3">
        <w:t xml:space="preserve">抑制剂</w:t>
      </w:r>
      <w:r>
        <w:t>（</w:t>
      </w:r>
      <w:r>
        <w:t>NS-398</w:t>
      </w:r>
      <w:r>
        <w:t>）</w:t>
      </w:r>
      <w:r>
        <w:t>观察细胞增殖能力的改变，从而探讨COX-2</w:t>
      </w:r>
      <w:r/>
      <w:r w:rsidR="001852F3">
        <w:t xml:space="preserve">与肝癌细胞增殖的关系。</w:t>
      </w:r>
    </w:p>
    <w:p w:rsidR="0018722C">
      <w:pPr>
        <w:topLinePunct/>
      </w:pPr>
      <w:bookmarkStart w:name="二 实验材料与实验仪器 " w:id="27"/>
      <w:bookmarkEnd w:id="27"/>
      <w:r>
        <w:rPr>
          <w:rFonts w:cstheme="minorBidi" w:hAnsiTheme="minorHAnsi" w:eastAsiaTheme="minorHAnsi" w:asciiTheme="minorHAnsi" w:ascii="宋体" w:hAnsi="宋体" w:eastAsia="宋体" w:cs="宋体"/>
          <w:b/>
        </w:rPr>
        <w:t>二</w:t>
      </w:r>
      <w:r w:rsidR="001852F3">
        <w:rPr>
          <w:rFonts w:cstheme="minorBidi" w:hAnsiTheme="minorHAnsi" w:eastAsiaTheme="minorHAnsi" w:asciiTheme="minorHAnsi" w:ascii="宋体" w:hAnsi="宋体" w:eastAsia="宋体" w:cs="宋体"/>
          <w:b/>
        </w:rPr>
        <w:t xml:space="preserve">实验材料与实验仪器</w:t>
      </w:r>
    </w:p>
    <w:p w:rsidR="0018722C">
      <w:pPr>
        <w:pStyle w:val="Heading3"/>
        <w:topLinePunct/>
        <w:ind w:left="200" w:hangingChars="200" w:hanging="200"/>
      </w:pPr>
      <w:r>
        <w:rPr>
          <w:b/>
        </w:rPr>
        <w:t>1</w:t>
      </w:r>
      <w:r>
        <w:t xml:space="preserve"> </w:t>
      </w:r>
      <w:r>
        <w:t>主要实验材料</w:t>
      </w:r>
    </w:p>
    <w:p w:rsidR="0018722C">
      <w:pPr>
        <w:topLinePunct/>
      </w:pPr>
      <w:r>
        <w:t>ROS</w:t>
      </w:r>
      <w:r/>
      <w:r>
        <w:t>荧光探针-DHE</w:t>
      </w:r>
      <w:r w:rsidR="001852F3">
        <w:t>北京威格拉斯生物技术有限公司</w:t>
      </w:r>
    </w:p>
    <w:p w:rsidR="0018722C">
      <w:pPr>
        <w:topLinePunct/>
      </w:pPr>
      <w:r>
        <w:t>HepG2</w:t>
      </w:r>
      <w:r>
        <w:t>/</w:t>
      </w:r>
      <w:r>
        <w:t>HBx</w:t>
      </w:r>
      <w:r/>
      <w:r>
        <w:t>细胞</w:t>
      </w:r>
      <w:r w:rsidR="001852F3">
        <w:t>第一部分构建好的</w:t>
      </w:r>
    </w:p>
    <w:p w:rsidR="0018722C">
      <w:pPr>
        <w:pStyle w:val="BodyText"/>
        <w:tabs>
          <w:tab w:pos="4303" w:val="left" w:leader="none"/>
        </w:tabs>
        <w:spacing w:before="154"/>
        <w:ind w:leftChars="0" w:left="102"/>
        <w:topLinePunct/>
      </w:pPr>
      <w:r>
        <w:t>嘌呤霉素</w:t>
      </w:r>
      <w:r w:rsidRPr="00000000">
        <w:tab/>
        <w:t>Sigma</w:t>
      </w:r>
      <w:r>
        <w:rPr>
          <w:spacing w:val="-30"/>
        </w:rPr>
        <w:t> </w:t>
      </w:r>
      <w:r>
        <w:t>公司</w:t>
      </w:r>
    </w:p>
    <w:p w:rsidR="0018722C">
      <w:pPr>
        <w:topLinePunct/>
      </w:pPr>
      <w:r>
        <w:t>DMEM</w:t>
      </w:r>
      <w:r/>
      <w:r>
        <w:t>培养基</w:t>
      </w:r>
      <w:r w:rsidR="001852F3">
        <w:t>Hyclone</w:t>
      </w:r>
      <w:r/>
      <w:r>
        <w:t>公司</w:t>
      </w:r>
    </w:p>
    <w:p w:rsidR="0018722C">
      <w:pPr>
        <w:pStyle w:val="BodyText"/>
        <w:tabs>
          <w:tab w:pos="4303" w:val="left" w:leader="none"/>
        </w:tabs>
        <w:spacing w:before="153"/>
        <w:ind w:leftChars="0" w:left="102"/>
        <w:jc w:val="both"/>
        <w:topLinePunct/>
      </w:pPr>
      <w:r>
        <w:t>胰蛋白酶</w:t>
      </w:r>
      <w:r w:rsidR="001852F3">
        <w:t>Invitrogen</w:t>
      </w:r>
      <w:r>
        <w:t>公司</w:t>
      </w:r>
    </w:p>
    <w:p w:rsidR="0018722C">
      <w:pPr>
        <w:pStyle w:val="BodyText"/>
        <w:tabs>
          <w:tab w:pos="4303" w:val="left" w:leader="none"/>
        </w:tabs>
        <w:spacing w:before="153"/>
        <w:ind w:leftChars="0" w:left="102"/>
        <w:jc w:val="both"/>
        <w:topLinePunct/>
      </w:pPr>
      <w:r>
        <w:t>胎牛血清</w:t>
      </w:r>
      <w:r w:rsidR="001852F3">
        <w:t>Hyclone</w:t>
      </w:r>
      <w:r w:rsidR="001852F3">
        <w:t xml:space="preserve">公司</w:t>
      </w:r>
    </w:p>
    <w:p w:rsidR="0018722C">
      <w:pPr>
        <w:topLinePunct/>
      </w:pPr>
      <w:r>
        <w:t>TRizol</w:t>
      </w:r>
      <w:r/>
      <w:r>
        <w:t>试剂</w:t>
      </w:r>
      <w:r w:rsidR="001852F3">
        <w:t>Invitrogen</w:t>
      </w:r>
      <w:r w:rsidR="001852F3">
        <w:t xml:space="preserve">公司</w:t>
      </w:r>
    </w:p>
    <w:p w:rsidR="0018722C">
      <w:pPr>
        <w:topLinePunct/>
      </w:pPr>
      <w:r>
        <w:t>RT-PCR</w:t>
      </w:r>
      <w:r/>
      <w:r>
        <w:t>试剂盒</w:t>
      </w:r>
      <w:r w:rsidR="001852F3">
        <w:t>Thermo</w:t>
      </w:r>
      <w:r/>
      <w:r>
        <w:t>公司</w:t>
      </w:r>
    </w:p>
    <w:p w:rsidR="0018722C">
      <w:pPr>
        <w:topLinePunct/>
      </w:pPr>
      <w:r>
        <w:t>100bp DNA Ladder</w:t>
      </w:r>
      <w:r>
        <w:t>加拿大</w:t>
      </w:r>
      <w:r>
        <w:t>Fermentas</w:t>
      </w:r>
      <w:r/>
      <w:r w:rsidR="001852F3">
        <w:t xml:space="preserve">公司</w:t>
      </w:r>
    </w:p>
    <w:p w:rsidR="0018722C">
      <w:pPr>
        <w:topLinePunct/>
      </w:pPr>
      <w:r>
        <w:t>CCK-8</w:t>
      </w:r>
      <w:r>
        <w:t>日本</w:t>
      </w:r>
      <w:r>
        <w:t>DOJINDO</w:t>
      </w:r>
    </w:p>
    <w:p w:rsidR="0018722C">
      <w:pPr>
        <w:topLinePunct/>
      </w:pPr>
      <w:r>
        <w:t xml:space="preserve">N-acetylcysteine </w:t>
      </w:r>
      <w:r>
        <w:t xml:space="preserve">(</w:t>
      </w:r>
      <w:r>
        <w:t xml:space="preserve">NAC</w:t>
      </w:r>
      <w:r>
        <w:t xml:space="preserve">)</w:t>
      </w:r>
      <w:r w:rsidRPr="00000000">
        <w:tab/>
        <w:tab/>
        <w:t xml:space="preserve">Sigma</w:t>
      </w:r>
      <w:r>
        <w:t xml:space="preserve"> </w:t>
      </w:r>
      <w:r>
        <w:t xml:space="preserve">公司 NS-398</w:t>
      </w:r>
      <w:r w:rsidRPr="00000000">
        <w:tab/>
        <w:t xml:space="preserve">上海碧云天公司</w:t>
      </w:r>
    </w:p>
    <w:p w:rsidR="0018722C">
      <w:pPr>
        <w:topLinePunct/>
      </w:pPr>
      <w:r>
        <w:t>兔抗</w:t>
      </w:r>
      <w:r/>
      <w:r>
        <w:t>COX-2</w:t>
      </w:r>
      <w:r/>
      <w:r>
        <w:t>单克隆抗体</w:t>
      </w:r>
      <w:r w:rsidR="001852F3">
        <w:t>美国</w:t>
      </w:r>
      <w:r/>
      <w:r>
        <w:t>Abcam</w:t>
      </w:r>
      <w:r/>
      <w:r>
        <w:t>公司</w:t>
      </w:r>
    </w:p>
    <w:p w:rsidR="0018722C">
      <w:pPr>
        <w:topLinePunct/>
      </w:pPr>
      <w:r>
        <w:t>小鼠抗兔二抗</w:t>
      </w:r>
      <w:r w:rsidRPr="00000000">
        <w:tab/>
      </w:r>
      <w:r>
        <w:t>北京中杉金桥生物技术有限公司小鼠抗人β-actin</w:t>
      </w:r>
      <w:r>
        <w:t> </w:t>
      </w:r>
      <w:r>
        <w:t>单克隆抗体        北京中杉金桥生物技术有限公司兔抗小鼠二抗</w:t>
      </w:r>
      <w:r w:rsidRPr="00000000">
        <w:tab/>
      </w:r>
      <w:r>
        <w:t>北京中杉金桥生物技术有限公</w:t>
      </w:r>
      <w:r>
        <w:t>司</w:t>
      </w:r>
    </w:p>
    <w:p w:rsidR="0018722C">
      <w:pPr>
        <w:pStyle w:val="BodyText"/>
        <w:tabs>
          <w:tab w:pos="4423" w:val="left" w:leader="none"/>
        </w:tabs>
        <w:spacing w:before="35"/>
        <w:ind w:leftChars="0" w:left="102"/>
        <w:topLinePunct/>
      </w:pPr>
      <w:r>
        <w:t>抗体稀释液</w:t>
      </w:r>
      <w:r w:rsidR="001852F3">
        <w:t>上海碧云天公司</w:t>
      </w:r>
    </w:p>
    <w:p w:rsidR="0018722C">
      <w:pPr>
        <w:topLinePunct/>
      </w:pPr>
      <w:r>
        <w:t>BCA 蛋白定量试剂盒</w:t>
      </w:r>
      <w:r w:rsidRPr="00000000">
        <w:tab/>
      </w:r>
      <w:r>
        <w:t>碧云天生物科技有限公司哺乳动物细胞总蛋白抽提试剂         碧云天生物科技有限公司蛋白酶抑制剂购</w:t>
      </w:r>
      <w:r w:rsidRPr="00000000">
        <w:tab/>
      </w:r>
      <w:r>
        <w:t>碧云天生物科技有限公</w:t>
      </w:r>
      <w:r>
        <w:t>司</w:t>
      </w:r>
    </w:p>
    <w:p w:rsidR="0018722C">
      <w:pPr>
        <w:topLinePunct/>
      </w:pPr>
      <w:r>
        <w:t>蛋白印迹实验的 ECL 显色试剂          北京中杉金桥生物技术有限公司</w:t>
      </w:r>
    </w:p>
    <w:p w:rsidR="0018722C">
      <w:pPr>
        <w:pStyle w:val="Heading3"/>
        <w:topLinePunct/>
        <w:ind w:left="200" w:hangingChars="200" w:hanging="200"/>
      </w:pPr>
      <w:r>
        <w:rPr>
          <w:b/>
        </w:rPr>
        <w:t>2</w:t>
      </w:r>
      <w:r>
        <w:t xml:space="preserve"> </w:t>
      </w:r>
      <w:r>
        <w:t>主要实验仪器</w:t>
      </w:r>
    </w:p>
    <w:p w:rsidR="0018722C">
      <w:pPr>
        <w:topLinePunct/>
      </w:pPr>
      <w:r>
        <w:t>无菌洁净工作台</w:t>
      </w:r>
      <w:r w:rsidR="001852F3">
        <w:t>苏州净化设备有限公司</w:t>
      </w:r>
    </w:p>
    <w:p w:rsidR="0018722C">
      <w:pPr>
        <w:topLinePunct/>
      </w:pPr>
      <w:r>
        <w:t>PCR 仪 AB2720 型</w:t>
      </w:r>
      <w:r w:rsidRPr="00000000">
        <w:tab/>
        <w:t>美国 AB</w:t>
      </w:r>
      <w:r>
        <w:t> </w:t>
      </w:r>
      <w:r>
        <w:t>公司</w:t>
      </w:r>
    </w:p>
    <w:p w:rsidR="0018722C">
      <w:pPr>
        <w:topLinePunct/>
      </w:pPr>
      <w:r>
        <w:t>稳压稳流电泳仪</w:t>
      </w:r>
      <w:r w:rsidR="001852F3">
        <w:t xml:space="preserve">DYY-5</w:t>
      </w:r>
      <w:r/>
      <w:r>
        <w:t>型</w:t>
      </w:r>
      <w:r w:rsidR="001852F3">
        <w:t>北京六一仪器厂</w:t>
      </w:r>
    </w:p>
    <w:p w:rsidR="0018722C">
      <w:pPr>
        <w:topLinePunct/>
      </w:pPr>
      <w:r>
        <w:t>蛋白电泳及转印设备</w:t>
      </w:r>
      <w:r w:rsidR="001852F3">
        <w:t>美国</w:t>
      </w:r>
      <w:r w:rsidR="001852F3">
        <w:t xml:space="preserve">Bio-Rad</w:t>
      </w:r>
      <w:r w:rsidR="001852F3">
        <w:t xml:space="preserve">公司</w:t>
      </w:r>
    </w:p>
    <w:p w:rsidR="0018722C">
      <w:pPr>
        <w:topLinePunct/>
      </w:pPr>
      <w:r>
        <w:t>5430R</w:t>
      </w:r>
      <w:r/>
      <w:r>
        <w:t>小型高速多功能离心机</w:t>
      </w:r>
      <w:r w:rsidR="001852F3">
        <w:t>Eppendorf</w:t>
      </w:r>
      <w:r w:rsidR="001852F3">
        <w:t xml:space="preserve">公司</w:t>
      </w:r>
    </w:p>
    <w:p w:rsidR="0018722C">
      <w:pPr>
        <w:topLinePunct/>
      </w:pPr>
      <w:r>
        <w:t>5810R 台式高速大容量低温离心机</w:t>
      </w:r>
      <w:r w:rsidRPr="00000000">
        <w:tab/>
        <w:t>Eppendorf 公司倒置相差荧光显微镜 NIKON TE2000-U</w:t>
      </w:r>
      <w:r w:rsidRPr="00000000">
        <w:tab/>
        <w:t>尼康公司</w:t>
      </w:r>
    </w:p>
    <w:p w:rsidR="0018722C">
      <w:pPr>
        <w:topLinePunct/>
      </w:pPr>
      <w:r>
        <w:t>倒置显微镜</w:t>
      </w:r>
      <w:r>
        <w:t>（</w:t>
      </w:r>
      <w:r>
        <w:t>CK2</w:t>
      </w:r>
      <w:r/>
      <w:r>
        <w:t>型</w:t>
      </w:r>
      <w:r>
        <w:t>）</w:t>
      </w:r>
      <w:r w:rsidR="001852F3">
        <w:t>日本</w:t>
      </w:r>
      <w:r/>
      <w:r>
        <w:t>Olympus</w:t>
      </w:r>
      <w:r/>
      <w:r>
        <w:t>公司</w:t>
      </w:r>
    </w:p>
    <w:p w:rsidR="0018722C">
      <w:pPr>
        <w:topLinePunct/>
      </w:pPr>
      <w:r>
        <w:t>凝胶成像仪</w:t>
      </w:r>
      <w:r/>
      <w:r>
        <w:t>Tanon-2500</w:t>
      </w:r>
      <w:r w:rsidR="001852F3">
        <w:t>上海天能科技有限公司</w:t>
      </w:r>
    </w:p>
    <w:p w:rsidR="0018722C">
      <w:pPr>
        <w:topLinePunct/>
      </w:pPr>
      <w:r>
        <w:t>C0</w:t>
      </w:r>
      <w:r>
        <w:rPr>
          <w:vertAlign w:val="subscript"/>
          /&gt;
        </w:rPr>
        <w:t>2</w:t>
      </w:r>
      <w:r>
        <w:t>培养箱</w:t>
      </w:r>
      <w:r>
        <w:t>(</w:t>
      </w:r>
      <w:r>
        <w:t>2300</w:t>
      </w:r>
      <w:r/>
      <w:r>
        <w:t>型</w:t>
      </w:r>
      <w:r>
        <w:t>)</w:t>
      </w:r>
      <w:r w:rsidRPr="00000000">
        <w:tab/>
        <w:t>shelden</w:t>
      </w:r>
      <w:r/>
      <w:r>
        <w:t>公司</w:t>
      </w:r>
    </w:p>
    <w:p w:rsidR="0018722C">
      <w:pPr>
        <w:topLinePunct/>
      </w:pPr>
      <w:r>
        <w:t>日立高性能超速离心机</w:t>
      </w:r>
      <w:r/>
      <w:r>
        <w:t>CP100WX</w:t>
      </w:r>
      <w:r w:rsidRPr="00000000">
        <w:tab/>
        <w:t>Hitachi</w:t>
      </w:r>
      <w:r/>
      <w:r>
        <w:t>公司</w:t>
      </w:r>
    </w:p>
    <w:p w:rsidR="0018722C">
      <w:pPr>
        <w:topLinePunct/>
      </w:pPr>
      <w:r>
        <w:t>电热恒温水槽</w:t>
      </w:r>
      <w:r/>
      <w:r>
        <w:t>DK-8D</w:t>
      </w:r>
      <w:r w:rsidR="001852F3">
        <w:t>上海一恒科学仪器有限公司</w:t>
      </w:r>
    </w:p>
    <w:p w:rsidR="0018722C">
      <w:pPr>
        <w:topLinePunct/>
      </w:pPr>
      <w:r>
        <w:t>超低温冰箱</w:t>
      </w:r>
      <w:r>
        <w:t>（</w:t>
      </w:r>
      <w:r>
        <w:t>MDF-283E</w:t>
      </w:r>
      <w:r/>
      <w:r>
        <w:t>型</w:t>
      </w:r>
      <w:r>
        <w:t>）</w:t>
      </w:r>
      <w:r w:rsidR="001852F3">
        <w:t>日本三洋公司</w:t>
      </w:r>
    </w:p>
    <w:p w:rsidR="0018722C">
      <w:pPr>
        <w:pStyle w:val="BodyText"/>
        <w:tabs>
          <w:tab w:pos="4802" w:val="left" w:leader="none"/>
        </w:tabs>
        <w:spacing w:before="154"/>
        <w:ind w:leftChars="0" w:left="241"/>
        <w:topLinePunct/>
      </w:pPr>
      <w:r>
        <w:t>微量移液枪</w:t>
      </w:r>
      <w:r w:rsidR="001852F3">
        <w:t>Eppendorf</w:t>
      </w:r>
      <w:r>
        <w:t>公司</w:t>
      </w:r>
    </w:p>
    <w:p w:rsidR="0018722C">
      <w:pPr>
        <w:topLinePunct/>
      </w:pPr>
      <w:r>
        <w:t>AL104</w:t>
      </w:r>
      <w:r/>
      <w:r>
        <w:t>型电子称</w:t>
      </w:r>
      <w:r w:rsidR="001852F3">
        <w:t>英国</w:t>
      </w:r>
      <w:r/>
      <w:r>
        <w:t>Mettler toledo</w:t>
      </w:r>
      <w:r/>
      <w:r>
        <w:t>公司</w:t>
      </w:r>
    </w:p>
    <w:p w:rsidR="0018722C">
      <w:pPr>
        <w:topLinePunct/>
      </w:pPr>
      <w:r>
        <w:t>干燥箱</w:t>
      </w:r>
      <w:r/>
      <w:r>
        <w:t>UH-686-101A</w:t>
      </w:r>
      <w:r w:rsidR="001852F3">
        <w:t>上海实验仪器有限公司</w:t>
      </w:r>
      <w:r w:rsidR="001852F3">
        <w:t xml:space="preserve">Lab Shaker</w:t>
      </w:r>
      <w:r/>
      <w:r>
        <w:t>恒温摇床</w:t>
      </w:r>
      <w:r>
        <w:t>/</w:t>
      </w:r>
      <w:r>
        <w:t>振荡器</w:t>
      </w:r>
      <w:r>
        <w:t>（</w:t>
      </w:r>
      <w:r>
        <w:t>THZ-031</w:t>
      </w:r>
      <w:r>
        <w:t>）</w:t>
      </w:r>
      <w:r/>
      <w:r w:rsidR="001852F3">
        <w:t xml:space="preserve">上海博彩生物技术有限公司</w:t>
      </w:r>
      <w:bookmarkStart w:name="三 实验步骤 " w:id="28"/>
      <w:bookmarkEnd w:id="28"/>
      <w:r/>
      <w:r>
        <w:rPr>
          <w:b/>
        </w:rPr>
        <w:t>三</w:t>
      </w:r>
      <w:r>
        <w:rPr>
          <w:b/>
        </w:rPr>
        <w:t>实验步</w:t>
      </w:r>
      <w:r>
        <w:rPr>
          <w:b/>
        </w:rPr>
        <w:t>骤</w:t>
      </w:r>
    </w:p>
    <w:p w:rsidR="0018722C">
      <w:pPr>
        <w:pStyle w:val="Heading3"/>
        <w:topLinePunct/>
        <w:ind w:left="200" w:hangingChars="200" w:hanging="200"/>
      </w:pPr>
      <w:r>
        <w:rPr>
          <w:b/>
        </w:rPr>
        <w:t>1</w:t>
      </w:r>
      <w:r>
        <w:t xml:space="preserve"> </w:t>
      </w:r>
      <w:r>
        <w:t>流式细胞仪检测三组细胞内</w:t>
      </w:r>
      <w:r>
        <w:rPr>
          <w:b/>
        </w:rPr>
        <w:t>ROS</w:t>
      </w:r>
      <w:r w:rsidR="001852F3">
        <w:t xml:space="preserve">水平</w:t>
      </w:r>
    </w:p>
    <w:p w:rsidR="0018722C">
      <w:pPr>
        <w:pStyle w:val="Heading4"/>
        <w:topLinePunct/>
        <w:ind w:left="200" w:hangingChars="200" w:hanging="200"/>
      </w:pPr>
      <w:r>
        <w:rPr>
          <w:b/>
        </w:rPr>
        <w:t>1.1</w:t>
      </w:r>
      <w:r>
        <w:t xml:space="preserve"> </w:t>
      </w:r>
      <w:r>
        <w:t>实验原理</w:t>
      </w:r>
    </w:p>
    <w:p w:rsidR="0018722C">
      <w:pPr>
        <w:topLinePunct/>
      </w:pPr>
      <w:r>
        <w:t>ROS</w:t>
      </w:r>
      <w:r/>
      <w:r w:rsidR="001852F3">
        <w:t xml:space="preserve">是细胞线粒体氧化呼吸中产生的自由基活性的物质，参与细胞多种生理和</w:t>
      </w:r>
      <w:r>
        <w:t>病理形成机制。</w:t>
      </w:r>
      <w:r>
        <w:t>ROS</w:t>
      </w:r>
      <w:r/>
      <w:r w:rsidR="001852F3">
        <w:t xml:space="preserve">荧光探针一二氢乙啶</w:t>
      </w:r>
      <w:r>
        <w:t>(</w:t>
      </w:r>
      <w:r>
        <w:t>Dihydroethidium</w:t>
      </w:r>
      <w:r>
        <w:t xml:space="preserve">, </w:t>
      </w:r>
      <w:r>
        <w:t>DHE</w:t>
      </w:r>
      <w:r>
        <w:t>)</w:t>
      </w:r>
      <w:r>
        <w:t>荧光探针可自由</w:t>
      </w:r>
      <w:r>
        <w:t>透过活细胞膜进入细胞内，并被细胞内的</w:t>
      </w:r>
      <w:r>
        <w:t>ROS</w:t>
      </w:r>
      <w:r/>
      <w:r w:rsidR="001852F3">
        <w:t xml:space="preserve">氧化，形成氧化乙啶；氧化乙啶可</w:t>
      </w:r>
      <w:r>
        <w:t>掺入染色体</w:t>
      </w:r>
      <w:r>
        <w:t>DNA</w:t>
      </w:r>
      <w:r/>
      <w:r w:rsidR="001852F3">
        <w:t xml:space="preserve">中，产生红色荧光，用流式细胞仪检测红色荧光的产生强度，进</w:t>
      </w:r>
      <w:r>
        <w:t>而判断细胞中</w:t>
      </w:r>
      <w:r>
        <w:t>ROS</w:t>
      </w:r>
      <w:r/>
      <w:r w:rsidR="001852F3">
        <w:t xml:space="preserve">含量的多少和变化。</w:t>
      </w:r>
    </w:p>
    <w:p w:rsidR="0018722C">
      <w:pPr>
        <w:pStyle w:val="Heading4"/>
        <w:topLinePunct/>
        <w:ind w:left="200" w:hangingChars="200" w:hanging="200"/>
      </w:pPr>
      <w:r>
        <w:rPr>
          <w:b/>
        </w:rPr>
        <w:t>1.2</w:t>
      </w:r>
      <w:r>
        <w:t xml:space="preserve"> </w:t>
      </w:r>
      <w:r>
        <w:t>实验步骤</w:t>
      </w:r>
    </w:p>
    <w:p w:rsidR="0018722C">
      <w:pPr>
        <w:topLinePunct/>
      </w:pPr>
      <w:r>
        <w:t>取对数生长期目的基因组</w:t>
      </w:r>
      <w:r w:rsidR="001852F3">
        <w:t xml:space="preserve">HepG2</w:t>
      </w:r>
      <w:r>
        <w:t>/</w:t>
      </w:r>
      <w:r>
        <w:t>HBx、空载对照组</w:t>
      </w:r>
      <w:r w:rsidR="001852F3">
        <w:t xml:space="preserve">HepG2</w:t>
      </w:r>
      <w:r>
        <w:t>/</w:t>
      </w:r>
      <w:r>
        <w:t>mock、空白对照组</w:t>
      </w:r>
    </w:p>
    <w:p w:rsidR="0018722C">
      <w:pPr>
        <w:topLinePunct/>
      </w:pPr>
      <w:r>
        <w:t>HepG2</w:t>
      </w:r>
      <w:r w:rsidR="001852F3">
        <w:t xml:space="preserve">三组细胞，分别消化离心收集细胞各</w:t>
      </w:r>
      <w:r w:rsidR="001852F3">
        <w:t xml:space="preserve">l³10</w:t>
      </w:r>
      <w:r>
        <w:rPr>
          <w:vertAlign w:val="superscript"/>
          /&gt;
        </w:rPr>
        <w:t>6</w:t>
      </w:r>
      <w:r>
        <w:t>个，将离心后的细胞重悬于</w:t>
      </w:r>
      <w:r w:rsidR="001852F3">
        <w:t xml:space="preserve">1</w:t>
      </w:r>
      <w:r>
        <w:t>.</w:t>
      </w:r>
      <w:r>
        <w:t>0</w:t>
      </w:r>
    </w:p>
    <w:p w:rsidR="0018722C">
      <w:pPr>
        <w:topLinePunct/>
      </w:pPr>
      <w:r>
        <w:t>mL</w:t>
      </w:r>
      <w:r/>
      <w:r w:rsidR="001852F3">
        <w:t xml:space="preserve">的无血清</w:t>
      </w:r>
      <w:r>
        <w:t>DMEM</w:t>
      </w:r>
      <w:r/>
      <w:r w:rsidR="001852F3">
        <w:t xml:space="preserve">培养液中，加入</w:t>
      </w:r>
      <w:r>
        <w:t>5mmol</w:t>
      </w:r>
      <w:r>
        <w:t>/</w:t>
      </w:r>
      <w:r>
        <w:t>L</w:t>
      </w:r>
      <w:r/>
      <w:r w:rsidR="001852F3">
        <w:t xml:space="preserve">的</w:t>
      </w:r>
      <w:r>
        <w:t>DHE</w:t>
      </w:r>
      <w:r/>
      <w:r w:rsidR="001852F3">
        <w:t xml:space="preserve">工作液</w:t>
      </w:r>
      <w:r>
        <w:t>2μl，使其最终工作浓</w:t>
      </w:r>
      <w:r>
        <w:t>度为</w:t>
      </w:r>
      <w:r>
        <w:t>10umol</w:t>
      </w:r>
      <w:r>
        <w:t>/</w:t>
      </w:r>
      <w:r>
        <w:t>L</w:t>
      </w:r>
      <w:r>
        <w:t>，颠倒数次混匀，在</w:t>
      </w:r>
      <w:r>
        <w:t>37℃</w:t>
      </w:r>
      <w:r>
        <w:t>、</w:t>
      </w:r>
      <w:r>
        <w:t>5%CO</w:t>
      </w:r>
      <w:r>
        <w:rPr>
          <w:vertAlign w:val="subscript"/>
          /&gt;
        </w:rPr>
        <w:t>2</w:t>
      </w:r>
      <w:r>
        <w:t>培养箱内避光孵育</w:t>
      </w:r>
      <w:r>
        <w:t>30min，孵育后</w:t>
      </w:r>
      <w:r>
        <w:t>以</w:t>
      </w:r>
      <w:r>
        <w:t>600g</w:t>
      </w:r>
      <w:r>
        <w:t>、</w:t>
      </w:r>
      <w:r>
        <w:t>4℃</w:t>
      </w:r>
      <w:r>
        <w:t>离心</w:t>
      </w:r>
      <w:r>
        <w:t>3</w:t>
      </w:r>
      <w:r/>
      <w:r w:rsidR="001852F3">
        <w:t xml:space="preserve">分钟，</w:t>
      </w:r>
      <w:r>
        <w:t>0.01M </w:t>
      </w:r>
      <w:r>
        <w:t>PBS</w:t>
      </w:r>
      <w:r/>
      <w:r w:rsidR="001852F3">
        <w:t xml:space="preserve">洗涤细胞</w:t>
      </w:r>
      <w:r>
        <w:t>3</w:t>
      </w:r>
      <w:r/>
      <w:r w:rsidR="001852F3">
        <w:t xml:space="preserve">次，以充分去除未进入细胞的</w:t>
      </w:r>
      <w:r>
        <w:t>DHE，</w:t>
      </w:r>
      <w:r>
        <w:t>重悬细胞后用流式细胞仪以激发波长</w:t>
      </w:r>
      <w:r>
        <w:t>480nm</w:t>
      </w:r>
      <w:r>
        <w:t>，发射波长</w:t>
      </w:r>
      <w:r>
        <w:t>590nm</w:t>
      </w:r>
      <w:r/>
      <w:r w:rsidR="001852F3">
        <w:t xml:space="preserve">检测细胞平均荧光强</w:t>
      </w:r>
      <w:r>
        <w:t>度，以反映</w:t>
      </w:r>
      <w:r>
        <w:t>ROS</w:t>
      </w:r>
      <w:r/>
      <w:r w:rsidR="001852F3">
        <w:t xml:space="preserve">水平。</w:t>
      </w:r>
    </w:p>
    <w:p w:rsidR="0018722C">
      <w:pPr>
        <w:pStyle w:val="Heading3"/>
        <w:topLinePunct/>
        <w:ind w:left="200" w:hangingChars="200" w:hanging="200"/>
      </w:pPr>
      <w:r>
        <w:rPr>
          <w:b/>
        </w:rPr>
        <w:t>2</w:t>
      </w:r>
      <w:r>
        <w:t xml:space="preserve"> </w:t>
      </w:r>
      <w:r>
        <w:rPr>
          <w:b/>
        </w:rPr>
        <w:t>RT-PCR</w:t>
      </w:r>
      <w:r w:rsidR="001852F3">
        <w:t xml:space="preserve">检测三组细胞内</w:t>
      </w:r>
      <w:r>
        <w:rPr>
          <w:b/>
        </w:rPr>
        <w:t>COX-2</w:t>
      </w:r>
      <w:r>
        <w:rPr>
          <w:b/>
        </w:rPr>
        <w:t> </w:t>
      </w:r>
      <w:r>
        <w:rPr>
          <w:b/>
        </w:rPr>
        <w:t>mRNA</w:t>
      </w:r>
      <w:r w:rsidR="001852F3">
        <w:t xml:space="preserve">水平表达变化</w:t>
      </w:r>
    </w:p>
    <w:p w:rsidR="0018722C">
      <w:pPr>
        <w:pStyle w:val="Heading4"/>
        <w:topLinePunct/>
        <w:ind w:left="200" w:hangingChars="200" w:hanging="200"/>
      </w:pPr>
      <w:r>
        <w:rPr>
          <w:b/>
        </w:rPr>
        <w:t>2.1</w:t>
      </w:r>
      <w:r>
        <w:t xml:space="preserve"> </w:t>
      </w:r>
      <w:r>
        <w:rPr>
          <w:b/>
        </w:rPr>
        <w:t>RT</w:t>
      </w:r>
      <w:r w:rsidR="001852F3">
        <w:t xml:space="preserve">反应</w:t>
      </w:r>
    </w:p>
    <w:p w:rsidR="0018722C">
      <w:pPr>
        <w:topLinePunct/>
      </w:pPr>
      <w:r>
        <w:t>分别抽提对数生长期的目的基因组</w:t>
      </w:r>
      <w:r>
        <w:t>HepG2</w:t>
      </w:r>
      <w:r>
        <w:t>/</w:t>
      </w:r>
      <w:r>
        <w:t>HBx</w:t>
      </w:r>
      <w:r>
        <w:t>、空载对照组</w:t>
      </w:r>
      <w:r>
        <w:t>HepG2</w:t>
      </w:r>
      <w:r>
        <w:t>/</w:t>
      </w:r>
      <w:r>
        <w:t>mock</w:t>
      </w:r>
      <w:r>
        <w:t>、空</w:t>
      </w:r>
      <w:r>
        <w:t>白对照组</w:t>
      </w:r>
      <w:r>
        <w:t>HepG2</w:t>
      </w:r>
      <w:r/>
      <w:r w:rsidR="001852F3">
        <w:t xml:space="preserve">三组细胞总的</w:t>
      </w:r>
      <w:r>
        <w:t>RNA，</w:t>
      </w:r>
      <w:r>
        <w:t>逆转录为</w:t>
      </w:r>
      <w:r>
        <w:t>cDNA</w:t>
      </w:r>
      <w:r>
        <w:t>（</w:t>
      </w:r>
      <w:r>
        <w:t>实验方法同第一部分</w:t>
      </w:r>
      <w:r>
        <w:t>）</w:t>
      </w:r>
      <w:r>
        <w:t>。</w:t>
      </w:r>
    </w:p>
    <w:p w:rsidR="0018722C">
      <w:pPr>
        <w:pStyle w:val="Heading4"/>
        <w:topLinePunct/>
        <w:ind w:left="200" w:hangingChars="200" w:hanging="200"/>
      </w:pPr>
      <w:r>
        <w:rPr>
          <w:b/>
        </w:rPr>
        <w:t>2.2</w:t>
      </w:r>
      <w:r>
        <w:t xml:space="preserve"> </w:t>
      </w:r>
      <w:r>
        <w:rPr>
          <w:b/>
        </w:rPr>
        <w:t>PCR</w:t>
      </w:r>
      <w:r w:rsidR="001852F3">
        <w:t xml:space="preserve">反应</w:t>
      </w:r>
    </w:p>
    <w:p w:rsidR="0018722C">
      <w:pPr>
        <w:topLinePunct/>
      </w:pPr>
      <w:r>
        <w:t>以</w:t>
      </w:r>
      <w:r>
        <w:t>2μl</w:t>
      </w:r>
      <w:r/>
      <w:r w:rsidR="001852F3">
        <w:t xml:space="preserve">逆转录产物</w:t>
      </w:r>
      <w:r>
        <w:t>cDNA</w:t>
      </w:r>
      <w:r/>
      <w:r w:rsidR="001852F3">
        <w:t xml:space="preserve">作为扩增模板，并以</w:t>
      </w:r>
      <w:r>
        <w:t>β-actin</w:t>
      </w:r>
      <w:r/>
      <w:r w:rsidR="001852F3">
        <w:t xml:space="preserve">为内参扩增</w:t>
      </w:r>
      <w:r>
        <w:t>COX-2</w:t>
      </w:r>
      <w:r/>
      <w:r w:rsidR="001852F3">
        <w:t xml:space="preserve">基因片段，引物由上海博尚生物技术有限公司合成，序列如下：</w:t>
      </w:r>
    </w:p>
    <w:p w:rsidR="0018722C">
      <w:pPr>
        <w:topLinePunct/>
      </w:pPr>
      <w:r>
        <w:t>COX-2</w:t>
      </w:r>
      <w:r>
        <w:t>（</w:t>
      </w:r>
      <w:r>
        <w:t>产物大小</w:t>
      </w:r>
      <w:r w:rsidR="001852F3">
        <w:t xml:space="preserve">489bp</w:t>
      </w:r>
      <w:r>
        <w:t>）</w:t>
      </w:r>
    </w:p>
    <w:p w:rsidR="0018722C">
      <w:pPr>
        <w:topLinePunct/>
      </w:pPr>
      <w:r>
        <w:t>上游引物：5′TCA AGT CCC TGA GCA TCT ACG 3′</w:t>
      </w:r>
      <w:r w:rsidR="001852F3">
        <w:t xml:space="preserve">下游引物：5’CCT CAT AGT TAG TGG ACT CG 3</w:t>
      </w:r>
      <w:r>
        <w:t>'</w:t>
      </w:r>
    </w:p>
    <w:p w:rsidR="0018722C">
      <w:pPr>
        <w:topLinePunct/>
      </w:pPr>
      <w:r>
        <w:t>β-actin</w:t>
      </w:r>
      <w:r>
        <w:t>（</w:t>
      </w:r>
      <w:r>
        <w:t>产物大小</w:t>
      </w:r>
      <w:r w:rsidR="001852F3">
        <w:t xml:space="preserve">600bp</w:t>
      </w:r>
      <w:r>
        <w:t>）</w:t>
      </w:r>
    </w:p>
    <w:p w:rsidR="0018722C">
      <w:pPr>
        <w:topLinePunct/>
      </w:pPr>
      <w:r>
        <w:t>上游引物：5′GGC ATC GTG ATG GAC TCC G 3′</w:t>
      </w:r>
      <w:r w:rsidR="001852F3">
        <w:t xml:space="preserve">下游引物：5′GCT GGA AGG TGG ACA GCG A 3′</w:t>
      </w:r>
    </w:p>
    <w:p w:rsidR="0018722C">
      <w:pPr>
        <w:topLinePunct/>
      </w:pPr>
      <w:r>
        <w:t>PCR</w:t>
      </w:r>
      <w:r w:rsidR="001852F3">
        <w:t xml:space="preserve">体系：</w:t>
      </w:r>
    </w:p>
    <w:p w:rsidR="0018722C">
      <w:pPr>
        <w:topLinePunct/>
      </w:pPr>
      <w:r>
        <w:t>试 剂</w:t>
      </w:r>
      <w:r w:rsidRPr="00000000">
        <w:tab/>
        <w:t>体 积</w:t>
      </w:r>
      <w:r>
        <w:t>（</w:t>
      </w:r>
      <w:r>
        <w:t>μl</w:t>
      </w:r>
      <w:r>
        <w:t>）</w:t>
      </w:r>
    </w:p>
    <w:p w:rsidR="0018722C">
      <w:pPr>
        <w:pStyle w:val="ae"/>
        <w:topLinePunct/>
      </w:pPr>
      <w:r>
        <w:pict>
          <v:line style="position:absolute;mso-position-horizontal-relative:page;mso-position-vertical-relative:paragraph;z-index:1312" from="121.849998pt,7.045637pt" to="372.949998pt,5.795637pt" stroked="true" strokeweight="2.25pt" strokecolor="#000000">
            <v:stroke dashstyle="solid"/>
            <w10:wrap type="none"/>
          </v:line>
        </w:pict>
      </w:r>
      <w:r>
        <w:t>10³Buffer</w:t>
      </w:r>
      <w:r w:rsidRPr="00000000">
        <w:tab/>
        <w:t>2.5</w:t>
      </w:r>
    </w:p>
    <w:p w:rsidR="0018722C">
      <w:pPr>
        <w:topLinePunct/>
      </w:pPr>
      <w:r>
        <w:t>Mgcl2</w:t>
      </w:r>
      <w:r w:rsidRPr="00000000">
        <w:tab/>
        <w:t>2.5</w:t>
      </w:r>
    </w:p>
    <w:p w:rsidR="0018722C">
      <w:pPr>
        <w:topLinePunct/>
      </w:pPr>
      <w:r>
        <w:t>D</w:t>
      </w:r>
      <w:r>
        <w:t>NTP MIX</w:t>
      </w:r>
      <w:r>
        <w:t>(</w:t>
      </w:r>
      <w:r>
        <w:t>10 mM</w:t>
      </w:r>
      <w:r>
        <w:t>)</w:t>
      </w:r>
      <w:r w:rsidRPr="00000000">
        <w:tab/>
      </w:r>
      <w:r>
        <w:t>1.0</w:t>
      </w:r>
    </w:p>
    <w:p w:rsidR="0018722C">
      <w:pPr>
        <w:pStyle w:val="BodyText"/>
        <w:tabs>
          <w:tab w:pos="3480" w:val="left" w:leader="none"/>
        </w:tabs>
        <w:spacing w:before="153"/>
        <w:ind w:leftChars="0" w:left="0" w:rightChars="0" w:right="3340"/>
        <w:jc w:val="center"/>
        <w:topLinePunct/>
      </w:pPr>
      <w:r>
        <w:t>上游引物</w:t>
      </w:r>
      <w:r w:rsidRPr="00000000">
        <w:tab/>
        <w:t>1</w:t>
      </w:r>
      <w:r>
        <w:t>.</w:t>
      </w:r>
      <w:r>
        <w:t>0</w:t>
      </w:r>
    </w:p>
    <w:p w:rsidR="0018722C">
      <w:pPr>
        <w:pStyle w:val="BodyText"/>
        <w:tabs>
          <w:tab w:pos="3480" w:val="left" w:leader="none"/>
        </w:tabs>
        <w:spacing w:before="153"/>
        <w:ind w:leftChars="0" w:left="0" w:rightChars="0" w:right="3340"/>
        <w:jc w:val="center"/>
        <w:topLinePunct/>
      </w:pPr>
      <w:r>
        <w:t>下游引物</w:t>
      </w:r>
      <w:r w:rsidRPr="00000000">
        <w:tab/>
        <w:t>1</w:t>
      </w:r>
      <w:r>
        <w:t>.</w:t>
      </w:r>
      <w:r>
        <w:t>0</w:t>
      </w:r>
    </w:p>
    <w:p w:rsidR="0018722C">
      <w:pPr>
        <w:topLinePunct/>
      </w:pPr>
      <w:r>
        <w:t>TaqDNA</w:t>
      </w:r>
      <w:r>
        <w:t> </w:t>
      </w:r>
      <w:r>
        <w:t>酶</w:t>
      </w:r>
      <w:r w:rsidRPr="00000000">
        <w:tab/>
        <w:t>0.5</w:t>
      </w:r>
    </w:p>
    <w:p w:rsidR="0018722C">
      <w:pPr>
        <w:topLinePunct/>
      </w:pPr>
      <w:r>
        <w:t>cDNA</w:t>
      </w:r>
      <w:r w:rsidRPr="00000000">
        <w:tab/>
        <w:t>2.0</w:t>
      </w:r>
    </w:p>
    <w:p w:rsidR="0018722C">
      <w:pPr>
        <w:pStyle w:val="BodyText"/>
        <w:tabs>
          <w:tab w:pos="4302" w:val="left" w:leader="none"/>
        </w:tabs>
        <w:spacing w:before="154"/>
        <w:ind w:leftChars="0" w:left="941"/>
        <w:topLinePunct/>
      </w:pPr>
      <w:r>
        <w:t>无核酶水</w:t>
      </w:r>
      <w:r w:rsidRPr="00000000">
        <w:tab/>
        <w:t>14</w:t>
      </w:r>
      <w:r>
        <w:t>.</w:t>
      </w:r>
      <w:r>
        <w:t>5</w:t>
      </w:r>
    </w:p>
    <w:p w:rsidR="0018722C">
      <w:pPr>
        <w:pStyle w:val="ae"/>
        <w:topLinePunct/>
      </w:pPr>
      <w:r>
        <w:pict>
          <v:line style="position:absolute;mso-position-horizontal-relative:page;mso-position-vertical-relative:paragraph;z-index:1288;mso-wrap-distance-left:0;mso-wrap-distance-right:0" from="115.800003pt,27.125635pt" to="372.950003pt,27.125635pt" stroked="true" strokeweight="2.25pt" strokecolor="#000000">
            <v:stroke dashstyle="solid"/>
            <w10:wrap type="topAndBottom"/>
          </v:line>
        </w:pict>
      </w:r>
      <w:r>
        <w:t>总体积</w:t>
      </w:r>
      <w:r w:rsidRPr="00000000">
        <w:tab/>
        <w:t>25</w:t>
      </w:r>
    </w:p>
    <w:p w:rsidR="0018722C">
      <w:pPr>
        <w:topLinePunct/>
      </w:pPr>
      <w:r>
        <w:t>PCR</w:t>
      </w:r>
      <w:r/>
      <w:r w:rsidR="001852F3">
        <w:t xml:space="preserve">反应条件：</w:t>
      </w:r>
      <w:r>
        <w:t>94℃</w:t>
      </w:r>
      <w:r/>
      <w:r w:rsidR="001852F3">
        <w:t xml:space="preserve">预变性</w:t>
      </w:r>
      <w:r>
        <w:t>3min，94℃</w:t>
      </w:r>
      <w:r>
        <w:t>变性</w:t>
      </w:r>
      <w:r>
        <w:t>45s，56℃</w:t>
      </w:r>
      <w:r>
        <w:t>退火</w:t>
      </w:r>
      <w:r>
        <w:t>30s，72℃延伸1min，</w:t>
      </w:r>
      <w:r>
        <w:t>共</w:t>
      </w:r>
      <w:r>
        <w:t>30</w:t>
      </w:r>
      <w:r/>
      <w:r w:rsidR="001852F3">
        <w:t xml:space="preserve">个循环</w:t>
      </w:r>
      <w:r>
        <w:t>；72℃</w:t>
      </w:r>
      <w:r>
        <w:t>延伸</w:t>
      </w:r>
      <w:r>
        <w:t>7min。</w:t>
      </w:r>
    </w:p>
    <w:p w:rsidR="0018722C">
      <w:pPr>
        <w:pStyle w:val="Heading4"/>
        <w:topLinePunct/>
        <w:ind w:left="200" w:hangingChars="200" w:hanging="200"/>
      </w:pPr>
      <w:r>
        <w:rPr>
          <w:b/>
        </w:rPr>
        <w:t>2.3</w:t>
      </w:r>
      <w:r>
        <w:t xml:space="preserve"> </w:t>
      </w:r>
      <w:r>
        <w:t>产物电泳</w:t>
      </w:r>
    </w:p>
    <w:p w:rsidR="0018722C">
      <w:pPr>
        <w:topLinePunct/>
      </w:pPr>
      <w:r>
        <w:t>取</w:t>
      </w:r>
      <w:r>
        <w:t>8μlRT-PCR</w:t>
      </w:r>
      <w:r/>
      <w:r w:rsidR="001852F3">
        <w:t xml:space="preserve">产物与</w:t>
      </w:r>
      <w:r>
        <w:t>2μl</w:t>
      </w:r>
      <w:r/>
      <w:r w:rsidR="001852F3">
        <w:t xml:space="preserve">的</w:t>
      </w:r>
      <w:r>
        <w:t>5³Loading Buffer</w:t>
      </w:r>
      <w:r/>
      <w:r w:rsidR="001852F3">
        <w:t xml:space="preserve">混合均匀，加在</w:t>
      </w:r>
      <w:r>
        <w:t>12g</w:t>
      </w:r>
      <w:r>
        <w:t>/</w:t>
      </w:r>
      <w:r>
        <w:t>L</w:t>
      </w:r>
      <w:r/>
      <w:r w:rsidR="001852F3">
        <w:t xml:space="preserve">琼脂</w:t>
      </w:r>
      <w:r>
        <w:t>糖凝胶</w:t>
      </w:r>
      <w:r>
        <w:t>（</w:t>
      </w:r>
      <w:r>
        <w:rPr>
          <w:spacing w:val="1"/>
        </w:rPr>
        <w:t>含</w:t>
      </w:r>
      <w:r>
        <w:rPr>
          <w:spacing w:val="-3"/>
        </w:rPr>
        <w:t>0.5g</w:t>
      </w:r>
      <w:r>
        <w:rPr>
          <w:spacing w:val="-3"/>
        </w:rPr>
        <w:t>/</w:t>
      </w:r>
      <w:r>
        <w:rPr>
          <w:spacing w:val="-3"/>
        </w:rPr>
        <w:t>LGoodview</w:t>
      </w:r>
      <w:r>
        <w:t>）</w:t>
      </w:r>
      <w:r>
        <w:t>上进行电泳，电泳缓冲液为</w:t>
      </w:r>
      <w:r>
        <w:t>1³TBE</w:t>
      </w:r>
      <w:r>
        <w:t>，恒压电泳</w:t>
      </w:r>
      <w:r>
        <w:t>（</w:t>
      </w:r>
      <w:r>
        <w:t>100V</w:t>
      </w:r>
      <w:r>
        <w:t>）</w:t>
      </w:r>
    </w:p>
    <w:p w:rsidR="0018722C">
      <w:pPr>
        <w:topLinePunct/>
      </w:pPr>
      <w:r>
        <w:t>20min。在紫外光下自显影，经计算机扫描成像。</w:t>
      </w:r>
    </w:p>
    <w:p w:rsidR="0018722C">
      <w:pPr>
        <w:pStyle w:val="Heading4"/>
        <w:topLinePunct/>
        <w:ind w:left="200" w:hangingChars="200" w:hanging="200"/>
      </w:pPr>
      <w:r>
        <w:rPr>
          <w:b/>
        </w:rPr>
        <w:t>2.4</w:t>
      </w:r>
      <w:r>
        <w:t xml:space="preserve"> </w:t>
      </w:r>
      <w:r>
        <w:t>结果分析</w:t>
      </w:r>
    </w:p>
    <w:p w:rsidR="0018722C">
      <w:pPr>
        <w:topLinePunct/>
      </w:pPr>
      <w:r>
        <w:t>RT-PCR</w:t>
      </w:r>
      <w:r/>
      <w:r w:rsidR="001852F3">
        <w:t xml:space="preserve">凝胶电泳图片采用</w:t>
      </w:r>
      <w:r>
        <w:t>Image J</w:t>
      </w:r>
      <w:r/>
      <w:r w:rsidR="001852F3">
        <w:t xml:space="preserve">图像分析软件进行扫描分析，获得灰度值数据</w:t>
      </w:r>
      <w:r>
        <w:rPr>
          <w:rFonts w:hint="eastAsia"/>
        </w:rPr>
        <w:t>，</w:t>
      </w:r>
      <w:r>
        <w:t>经过内参照β-actin</w:t>
      </w:r>
      <w:r/>
      <w:r w:rsidR="001852F3">
        <w:t xml:space="preserve">条带灰度进行校正，校正灰度值以</w:t>
      </w:r>
      <w:r>
        <w:t>mean±SD</w:t>
      </w:r>
      <w:r/>
      <w:r w:rsidR="001852F3">
        <w:t xml:space="preserve">表示。</w:t>
      </w:r>
    </w:p>
    <w:p w:rsidR="0018722C">
      <w:pPr>
        <w:pStyle w:val="Heading3"/>
        <w:topLinePunct/>
        <w:ind w:left="200" w:hangingChars="200" w:hanging="200"/>
      </w:pPr>
      <w:r>
        <w:rPr>
          <w:b/>
        </w:rPr>
        <w:t>3</w:t>
      </w:r>
      <w:r>
        <w:t xml:space="preserve"> </w:t>
      </w:r>
      <w:r>
        <w:rPr>
          <w:b/>
        </w:rPr>
        <w:t>Western</w:t>
      </w:r>
      <w:r>
        <w:rPr>
          <w:b/>
        </w:rPr>
        <w:t> </w:t>
      </w:r>
      <w:r>
        <w:rPr>
          <w:b/>
        </w:rPr>
        <w:t>blot</w:t>
      </w:r>
      <w:r w:rsidR="001852F3">
        <w:t xml:space="preserve">检测三组细胞内</w:t>
      </w:r>
      <w:r>
        <w:rPr>
          <w:b/>
        </w:rPr>
        <w:t>COX-2</w:t>
      </w:r>
      <w:r w:rsidR="001852F3">
        <w:t xml:space="preserve">蛋白水平表达变化</w:t>
      </w:r>
    </w:p>
    <w:p w:rsidR="0018722C">
      <w:pPr>
        <w:pStyle w:val="Heading4"/>
        <w:topLinePunct/>
        <w:ind w:left="200" w:hangingChars="200" w:hanging="200"/>
      </w:pPr>
      <w:r>
        <w:rPr>
          <w:b/>
        </w:rPr>
        <w:t>3.1</w:t>
      </w:r>
      <w:r>
        <w:t xml:space="preserve"> </w:t>
      </w:r>
      <w:r>
        <w:t>蛋白抽提</w:t>
      </w:r>
    </w:p>
    <w:p w:rsidR="0018722C">
      <w:pPr>
        <w:topLinePunct/>
      </w:pPr>
      <w:r>
        <w:t>（</w:t>
      </w:r>
      <w:r>
        <w:t>1</w:t>
      </w:r>
      <w:r>
        <w:t>）</w:t>
      </w:r>
      <w:r>
        <w:t>分别将</w:t>
      </w:r>
      <w:r>
        <w:t>HepG2</w:t>
      </w:r>
      <w:r>
        <w:t>/</w:t>
      </w:r>
      <w:r>
        <w:t>HBx、HepG2</w:t>
      </w:r>
      <w:r>
        <w:t>/</w:t>
      </w:r>
      <w:r>
        <w:t>mock、HepG2</w:t>
      </w:r>
      <w:r/>
      <w:r w:rsidR="001852F3">
        <w:t xml:space="preserve">三组细胞接种培养于</w:t>
      </w:r>
      <w:r>
        <w:t>6</w:t>
      </w:r>
      <w:r/>
      <w:r w:rsidR="001852F3">
        <w:t xml:space="preserve">孔培养</w:t>
      </w:r>
      <w:r>
        <w:t>板中，当细胞长融合至</w:t>
      </w:r>
      <w:r>
        <w:t>80%</w:t>
      </w:r>
      <w:r>
        <w:t>时，弃细胞培养上清液，使用预冷</w:t>
      </w:r>
      <w:r>
        <w:t>0</w:t>
      </w:r>
      <w:r>
        <w:t>.</w:t>
      </w:r>
      <w:r>
        <w:t>01M</w:t>
      </w:r>
      <w:r>
        <w:t> </w:t>
      </w:r>
      <w:r>
        <w:t>PBS</w:t>
      </w:r>
      <w:r/>
      <w:r w:rsidR="001852F3">
        <w:t xml:space="preserve">洗涤细</w:t>
      </w:r>
      <w:r w:rsidR="001852F3">
        <w:t>胞</w:t>
      </w:r>
    </w:p>
    <w:p w:rsidR="0018722C">
      <w:pPr>
        <w:topLinePunct/>
      </w:pPr>
      <w:r>
        <w:t>2</w:t>
      </w:r>
      <w:r w:rsidR="001852F3">
        <w:t xml:space="preserve">次。</w:t>
      </w:r>
    </w:p>
    <w:p w:rsidR="0018722C">
      <w:pPr>
        <w:topLinePunct/>
      </w:pPr>
      <w:r>
        <w:t>（</w:t>
      </w:r>
      <w:r>
        <w:t>2</w:t>
      </w:r>
      <w:r>
        <w:t>）</w:t>
      </w:r>
      <w:r>
        <w:t>用含</w:t>
      </w:r>
      <w:r>
        <w:t>1mmol</w:t>
      </w:r>
      <w:r>
        <w:t>/</w:t>
      </w:r>
      <w:r>
        <w:t>L PMSF</w:t>
      </w:r>
      <w:r/>
      <w:r w:rsidR="001852F3">
        <w:t xml:space="preserve">的细胞裂解液</w:t>
      </w:r>
      <w:r>
        <w:t>RIPR</w:t>
      </w:r>
      <w:r/>
      <w:r w:rsidR="001852F3">
        <w:t xml:space="preserve">裂解细胞，于冰上静置</w:t>
      </w:r>
      <w:r>
        <w:t>30min。</w:t>
      </w:r>
    </w:p>
    <w:p w:rsidR="0018722C">
      <w:pPr>
        <w:topLinePunct/>
      </w:pPr>
      <w:r>
        <w:t>（</w:t>
      </w:r>
      <w:r>
        <w:t xml:space="preserve">3</w:t>
      </w:r>
      <w:r>
        <w:t>）</w:t>
      </w:r>
      <w:r>
        <w:t>转移至</w:t>
      </w:r>
      <w:r w:rsidR="001852F3">
        <w:t xml:space="preserve">1.5ml EP</w:t>
      </w:r>
      <w:r w:rsidR="001852F3">
        <w:t xml:space="preserve">管中，4℃，12 000rpm</w:t>
      </w:r>
      <w:r w:rsidR="001852F3">
        <w:t xml:space="preserve">离心</w:t>
      </w:r>
      <w:r w:rsidR="001852F3">
        <w:t xml:space="preserve">15min。</w:t>
      </w:r>
    </w:p>
    <w:p w:rsidR="0018722C">
      <w:pPr>
        <w:topLinePunct/>
      </w:pPr>
      <w:r>
        <w:t>（</w:t>
      </w:r>
      <w:r>
        <w:t xml:space="preserve">4</w:t>
      </w:r>
      <w:r>
        <w:t>）</w:t>
      </w:r>
      <w:r>
        <w:t>上清液转移至另一</w:t>
      </w:r>
      <w:r w:rsidR="001852F3">
        <w:t xml:space="preserve">1.5ml EP</w:t>
      </w:r>
      <w:r w:rsidR="001852F3">
        <w:t xml:space="preserve">管中，保存于-20℃备用。</w:t>
      </w:r>
    </w:p>
    <w:p w:rsidR="0018722C">
      <w:pPr>
        <w:pStyle w:val="Heading4"/>
        <w:topLinePunct/>
        <w:ind w:left="200" w:hangingChars="200" w:hanging="200"/>
      </w:pPr>
      <w:r>
        <w:rPr>
          <w:b/>
        </w:rPr>
        <w:t>3.2</w:t>
      </w:r>
      <w:r>
        <w:t xml:space="preserve"> </w:t>
      </w:r>
      <w:r>
        <w:rPr>
          <w:b/>
        </w:rPr>
        <w:t>Western</w:t>
      </w:r>
      <w:r>
        <w:rPr>
          <w:b/>
        </w:rPr>
        <w:t> </w:t>
      </w:r>
      <w:r>
        <w:rPr>
          <w:b/>
        </w:rPr>
        <w:t>blot</w:t>
      </w:r>
    </w:p>
    <w:p w:rsidR="0018722C">
      <w:pPr>
        <w:topLinePunct/>
      </w:pPr>
      <w:r>
        <w:t>（</w:t>
      </w:r>
      <w:r>
        <w:t xml:space="preserve">1</w:t>
      </w:r>
      <w:r>
        <w:t>）</w:t>
      </w:r>
      <w:r>
        <w:t>装配好板后，按照前述方法</w:t>
      </w:r>
      <w:r>
        <w:t>（</w:t>
      </w:r>
      <w:r>
        <w:t>第一部分</w:t>
      </w:r>
      <w:r>
        <w:t>）</w:t>
      </w:r>
      <w:r>
        <w:t>先后制备</w:t>
      </w:r>
      <w:r w:rsidR="001852F3">
        <w:t xml:space="preserve">10％分离胶和</w:t>
      </w:r>
      <w:r w:rsidR="001852F3">
        <w:t xml:space="preserve">5％积层胶；</w:t>
      </w:r>
    </w:p>
    <w:p w:rsidR="0018722C">
      <w:pPr>
        <w:topLinePunct/>
      </w:pPr>
      <w:r>
        <w:t>（</w:t>
      </w:r>
      <w:r>
        <w:t xml:space="preserve">2</w:t>
      </w:r>
      <w:r>
        <w:t>）</w:t>
      </w:r>
      <w:r>
        <w:t>BCA</w:t>
      </w:r>
      <w:r/>
      <w:r w:rsidR="001852F3">
        <w:t xml:space="preserve">法对蛋白质定量、配平，先煮沸变性然后进行</w:t>
      </w:r>
      <w:r>
        <w:t>10％SDS-PAGE</w:t>
      </w:r>
      <w:r/>
      <w:r w:rsidR="001852F3">
        <w:t xml:space="preserve">电泳和蛋白印迹</w:t>
      </w:r>
      <w:r>
        <w:rPr>
          <w:spacing w:val="-8"/>
        </w:rPr>
        <w:t>（</w:t>
      </w:r>
      <w:r>
        <w:t>方法同第一部分</w:t>
      </w:r>
      <w:r>
        <w:rPr>
          <w:spacing w:val="-8"/>
        </w:rPr>
        <w:t>）</w:t>
      </w:r>
      <w:r>
        <w:t>。</w:t>
      </w:r>
    </w:p>
    <w:p w:rsidR="0018722C">
      <w:pPr>
        <w:topLinePunct/>
      </w:pPr>
      <w:r>
        <w:t>（</w:t>
      </w:r>
      <w:r>
        <w:t xml:space="preserve">3</w:t>
      </w:r>
      <w:r>
        <w:t>）</w:t>
      </w:r>
      <w:r>
        <w:t>用含有</w:t>
      </w:r>
      <w:r>
        <w:t>50g</w:t>
      </w:r>
      <w:r>
        <w:t>/</w:t>
      </w:r>
      <w:r>
        <w:t>L</w:t>
      </w:r>
      <w:r/>
      <w:r w:rsidR="001852F3">
        <w:t xml:space="preserve">脱脂奶粉的</w:t>
      </w:r>
      <w:r>
        <w:t>TBS-T</w:t>
      </w:r>
      <w:r/>
      <w:r w:rsidR="001852F3">
        <w:t xml:space="preserve">溶液封闭</w:t>
      </w:r>
      <w:r>
        <w:t>NC</w:t>
      </w:r>
      <w:r/>
      <w:r w:rsidR="001852F3">
        <w:t xml:space="preserve">膜</w:t>
      </w:r>
      <w:r>
        <w:t>1</w:t>
      </w:r>
      <w:r>
        <w:t> </w:t>
      </w:r>
      <w:r>
        <w:t>h</w:t>
      </w:r>
      <w:r>
        <w:t>，然后将含有相应条</w:t>
      </w:r>
      <w:r>
        <w:t>带的</w:t>
      </w:r>
      <w:r>
        <w:t>NC</w:t>
      </w:r>
      <w:r/>
      <w:r w:rsidR="001852F3">
        <w:t xml:space="preserve">膜分别与兔抗人</w:t>
      </w:r>
      <w:r>
        <w:t>COX-2</w:t>
      </w:r>
      <w:r/>
      <w:r w:rsidR="001852F3">
        <w:t xml:space="preserve">单克隆抗体</w:t>
      </w:r>
      <w:r>
        <w:t>（</w:t>
      </w:r>
      <w:r>
        <w:t>用抗体稀释液稀释至</w:t>
      </w:r>
      <w:r w:rsidR="001852F3">
        <w:t xml:space="preserve">1</w:t>
      </w:r>
      <w:r>
        <w:t xml:space="preserve">: </w:t>
      </w:r>
      <w:r>
        <w:t>1000</w:t>
      </w:r>
      <w:r>
        <w:t>）</w:t>
      </w:r>
      <w:r>
        <w:t>及鼠抗</w:t>
      </w:r>
      <w:r>
        <w:t>人</w:t>
      </w:r>
      <w:r>
        <w:t>β-actin</w:t>
      </w:r>
      <w:r/>
      <w:r w:rsidR="001852F3">
        <w:t xml:space="preserve">单克隆抗体</w:t>
      </w:r>
      <w:r>
        <w:t>(</w:t>
      </w:r>
      <w:r>
        <w:t>1</w:t>
      </w:r>
      <w:r>
        <w:t xml:space="preserve">: </w:t>
      </w:r>
      <w:r>
        <w:t>1000</w:t>
      </w:r>
      <w:r>
        <w:t>)</w:t>
      </w:r>
      <w:r>
        <w:t>在</w:t>
      </w:r>
      <w:r>
        <w:t>4℃</w:t>
      </w:r>
      <w:r>
        <w:t>条件下孵育过夜，孵育后用</w:t>
      </w:r>
      <w:r>
        <w:t>TBST</w:t>
      </w:r>
      <w:r/>
      <w:r w:rsidR="001852F3">
        <w:t xml:space="preserve">洗涤</w:t>
      </w:r>
      <w:r>
        <w:t>3</w:t>
      </w:r>
      <w:r/>
      <w:r w:rsidR="001852F3">
        <w:t xml:space="preserve">次</w:t>
      </w:r>
      <w:r>
        <w:t>每次</w:t>
      </w:r>
      <w:r>
        <w:t>15min</w:t>
      </w:r>
      <w:r>
        <w:t>，洗涤后分别再与小鼠抗兔二抗</w:t>
      </w:r>
      <w:r>
        <w:t>(</w:t>
      </w:r>
      <w:r>
        <w:t>1</w:t>
      </w:r>
      <w:r>
        <w:t xml:space="preserve">: </w:t>
      </w:r>
      <w:r>
        <w:t>2000</w:t>
      </w:r>
      <w:r>
        <w:t>)</w:t>
      </w:r>
      <w:r>
        <w:t>和兔抗小鼠二抗</w:t>
      </w:r>
      <w:r>
        <w:t>(</w:t>
      </w:r>
      <w:r>
        <w:t>1</w:t>
      </w:r>
      <w:r>
        <w:t xml:space="preserve">: </w:t>
      </w:r>
      <w:r>
        <w:t>2500</w:t>
      </w:r>
      <w:r>
        <w:t>)</w:t>
      </w:r>
      <w:r>
        <w:t>作</w:t>
      </w:r>
      <w:r>
        <w:t>用</w:t>
      </w:r>
    </w:p>
    <w:p w:rsidR="0018722C">
      <w:pPr>
        <w:topLinePunct/>
      </w:pPr>
      <w:r>
        <w:t>1h。</w:t>
      </w:r>
    </w:p>
    <w:p w:rsidR="0018722C">
      <w:pPr>
        <w:topLinePunct/>
      </w:pPr>
      <w:r>
        <w:t>（</w:t>
      </w:r>
      <w:r>
        <w:t>4</w:t>
      </w:r>
      <w:r>
        <w:t>）</w:t>
      </w:r>
      <w:r>
        <w:t>经</w:t>
      </w:r>
      <w:r>
        <w:t>ECL</w:t>
      </w:r>
      <w:r/>
      <w:r w:rsidR="001852F3">
        <w:t xml:space="preserve">显影</w:t>
      </w:r>
      <w:r>
        <w:t>，western blot</w:t>
      </w:r>
      <w:r/>
      <w:r w:rsidR="001852F3">
        <w:t xml:space="preserve">图片采用</w:t>
      </w:r>
      <w:r>
        <w:t>Image J</w:t>
      </w:r>
      <w:r/>
      <w:r w:rsidR="001852F3">
        <w:t xml:space="preserve">图像分析软件进行扫描分</w:t>
      </w:r>
      <w:r>
        <w:t>析，获得灰度值数据</w:t>
      </w:r>
      <w:r>
        <w:rPr>
          <w:rFonts w:hint="eastAsia"/>
        </w:rPr>
        <w:t>，</w:t>
      </w:r>
      <w:r>
        <w:t>经过内参照</w:t>
      </w:r>
      <w:r>
        <w:t>β-actin</w:t>
      </w:r>
      <w:r/>
      <w:r w:rsidR="001852F3">
        <w:t xml:space="preserve">条带灰度进行校正，校正灰度值以</w:t>
      </w:r>
      <w:r>
        <w:t>mea</w:t>
      </w:r>
      <w:r>
        <w:t>n</w:t>
      </w:r>
    </w:p>
    <w:p w:rsidR="0018722C">
      <w:pPr>
        <w:topLinePunct/>
      </w:pPr>
      <w:r>
        <w:t>±SD</w:t>
      </w:r>
      <w:r w:rsidR="001852F3">
        <w:t xml:space="preserve">表示。</w:t>
      </w:r>
    </w:p>
    <w:p w:rsidR="0018722C">
      <w:pPr>
        <w:pStyle w:val="Heading3"/>
        <w:topLinePunct/>
        <w:ind w:left="200" w:hangingChars="200" w:hanging="200"/>
      </w:pPr>
      <w:r>
        <w:rPr>
          <w:b/>
        </w:rPr>
        <w:t>4</w:t>
      </w:r>
      <w:r>
        <w:t xml:space="preserve"> </w:t>
      </w:r>
      <w:r>
        <w:t>加入</w:t>
      </w:r>
      <w:r>
        <w:rPr>
          <w:b/>
        </w:rPr>
        <w:t>ROS</w:t>
      </w:r>
      <w:r w:rsidR="001852F3">
        <w:t xml:space="preserve">的清除剂</w:t>
      </w:r>
      <w:r>
        <w:rPr>
          <w:b/>
        </w:rPr>
        <w:t>N-acetylcysteine</w:t>
      </w:r>
      <w:r>
        <w:t>（</w:t>
      </w:r>
      <w:r>
        <w:rPr>
          <w:b/>
        </w:rPr>
        <w:t>NAC</w:t>
      </w:r>
      <w:r>
        <w:t>）</w:t>
      </w:r>
      <w:r>
        <w:rPr>
          <w:b/>
        </w:rPr>
        <w:t>后，Western</w:t>
      </w:r>
      <w:r>
        <w:rPr>
          <w:b/>
        </w:rPr>
        <w:t> </w:t>
      </w:r>
      <w:r>
        <w:rPr>
          <w:b/>
        </w:rPr>
        <w:t>blot</w:t>
      </w:r>
      <w:r w:rsidR="001852F3">
        <w:t xml:space="preserve">检</w:t>
      </w:r>
      <w:r>
        <w:t>测三组细胞内</w:t>
      </w:r>
      <w:r>
        <w:rPr>
          <w:b/>
        </w:rPr>
        <w:t>COX-2</w:t>
      </w:r>
      <w:r w:rsidR="001852F3">
        <w:t xml:space="preserve">蛋白水平表达变化</w:t>
      </w:r>
    </w:p>
    <w:p w:rsidR="0018722C">
      <w:pPr>
        <w:pStyle w:val="Heading4"/>
        <w:topLinePunct/>
        <w:ind w:left="200" w:hangingChars="200" w:hanging="200"/>
      </w:pPr>
      <w:r>
        <w:rPr>
          <w:b/>
        </w:rPr>
        <w:t>4.1</w:t>
      </w:r>
      <w:r>
        <w:t xml:space="preserve"> </w:t>
      </w:r>
      <w:r>
        <w:t>细胞培养</w:t>
      </w:r>
    </w:p>
    <w:p w:rsidR="0018722C">
      <w:pPr>
        <w:topLinePunct/>
      </w:pPr>
      <w:r>
        <w:t>将</w:t>
      </w:r>
      <w:r>
        <w:t>HepG2</w:t>
      </w:r>
      <w:r/>
      <w:r w:rsidR="001852F3">
        <w:t xml:space="preserve">细胞以</w:t>
      </w:r>
      <w:r>
        <w:t>4³10</w:t>
      </w:r>
      <w:r>
        <w:rPr>
          <w:vertAlign w:val="superscript"/>
          /&gt;
        </w:rPr>
        <w:t>4</w:t>
      </w:r>
      <w:r>
        <w:t>个每孔的密度接种于含</w:t>
      </w:r>
      <w:r>
        <w:t>10%</w:t>
      </w:r>
      <w:r>
        <w:t>胎牛血清的</w:t>
      </w:r>
      <w:r>
        <w:t>DMEM</w:t>
      </w:r>
      <w:r/>
      <w:r w:rsidR="001852F3">
        <w:t xml:space="preserve">新鲜培养</w:t>
      </w:r>
      <w:r>
        <w:t>液的</w:t>
      </w:r>
      <w:r>
        <w:t>6</w:t>
      </w:r>
      <w:r/>
      <w:r w:rsidR="001852F3">
        <w:t xml:space="preserve">孔细胞培养板中，在</w:t>
      </w:r>
      <w:r>
        <w:t>37</w:t>
      </w:r>
      <w:r>
        <w:rPr>
          <w:rFonts w:ascii="Symbol" w:hAnsi="Symbol" w:eastAsia="Symbol"/>
        </w:rPr>
        <w:t></w:t>
      </w:r>
      <w:r>
        <w:t>C、5% CO2</w:t>
      </w:r>
      <w:r/>
      <w:r w:rsidR="001852F3">
        <w:t xml:space="preserve">条件下常规培养，待</w:t>
      </w:r>
      <w:r>
        <w:t>HepG2</w:t>
      </w:r>
      <w:r/>
      <w:r w:rsidR="001852F3">
        <w:t xml:space="preserve">细胞生长融</w:t>
      </w:r>
      <w:r>
        <w:t>合度达</w:t>
      </w:r>
      <w:r>
        <w:t>70%-80%</w:t>
      </w:r>
      <w:r>
        <w:t>时弃旧培养液，并将细胞用灭菌</w:t>
      </w:r>
      <w:r>
        <w:t>0</w:t>
      </w:r>
      <w:r>
        <w:t>.</w:t>
      </w:r>
      <w:r>
        <w:t>01M</w:t>
      </w:r>
      <w:r>
        <w:t> </w:t>
      </w:r>
      <w:r>
        <w:t>PBS</w:t>
      </w:r>
      <w:r w:rsidR="001852F3">
        <w:t xml:space="preserve">缓冲液洗涤一次，</w:t>
      </w:r>
      <w:r>
        <w:t>然后加入含</w:t>
      </w:r>
      <w:r>
        <w:t>10 mM NAC</w:t>
      </w:r>
      <w:r/>
      <w:r w:rsidR="001852F3">
        <w:t xml:space="preserve">的</w:t>
      </w:r>
      <w:r>
        <w:t>DMEM</w:t>
      </w:r>
      <w:r/>
      <w:r w:rsidR="001852F3">
        <w:t xml:space="preserve">新鲜培养液继续培养</w:t>
      </w:r>
      <w:r>
        <w:t>12h。</w:t>
      </w:r>
    </w:p>
    <w:p w:rsidR="0018722C">
      <w:pPr>
        <w:pStyle w:val="Heading4"/>
        <w:topLinePunct/>
        <w:ind w:left="200" w:hangingChars="200" w:hanging="200"/>
      </w:pPr>
      <w:r>
        <w:rPr>
          <w:b/>
        </w:rPr>
        <w:t>4.2</w:t>
      </w:r>
      <w:r>
        <w:t xml:space="preserve"> </w:t>
      </w:r>
      <w:r>
        <w:t>蛋白抽提</w:t>
      </w:r>
    </w:p>
    <w:p w:rsidR="0018722C">
      <w:pPr>
        <w:topLinePunct/>
      </w:pPr>
      <w:r>
        <w:t>（</w:t>
      </w:r>
      <w:r>
        <w:t xml:space="preserve">1</w:t>
      </w:r>
      <w:r>
        <w:t>）</w:t>
      </w:r>
      <w:r>
        <w:t>弃去上述细胞培养上清液，使用预冷</w:t>
      </w:r>
      <w:r w:rsidR="001852F3">
        <w:t xml:space="preserve">0</w:t>
      </w:r>
      <w:r>
        <w:t>.</w:t>
      </w:r>
      <w:r>
        <w:t>01M PBS</w:t>
      </w:r>
      <w:r w:rsidR="001852F3">
        <w:t xml:space="preserve">洗涤细胞</w:t>
      </w:r>
      <w:r w:rsidR="001852F3">
        <w:t xml:space="preserve">2</w:t>
      </w:r>
      <w:r w:rsidR="001852F3">
        <w:t xml:space="preserve">次。</w:t>
      </w:r>
    </w:p>
    <w:p w:rsidR="0018722C">
      <w:pPr>
        <w:topLinePunct/>
      </w:pPr>
      <w:r>
        <w:t>（</w:t>
      </w:r>
      <w:r>
        <w:t>2</w:t>
      </w:r>
      <w:r>
        <w:t>）</w:t>
      </w:r>
      <w:r>
        <w:t>用含</w:t>
      </w:r>
      <w:r>
        <w:t>1mmol</w:t>
      </w:r>
      <w:r>
        <w:t>/</w:t>
      </w:r>
      <w:r>
        <w:t>L PMSF</w:t>
      </w:r>
      <w:r/>
      <w:r w:rsidR="001852F3">
        <w:t xml:space="preserve">的细胞裂解液</w:t>
      </w:r>
      <w:r>
        <w:t>RIPR</w:t>
      </w:r>
      <w:r/>
      <w:r w:rsidR="001852F3">
        <w:t xml:space="preserve">裂解细胞，于冰上静置</w:t>
      </w:r>
      <w:r>
        <w:t>30min。</w:t>
      </w:r>
    </w:p>
    <w:p w:rsidR="0018722C">
      <w:pPr>
        <w:topLinePunct/>
      </w:pPr>
      <w:r>
        <w:t>（</w:t>
      </w:r>
      <w:r>
        <w:t xml:space="preserve">3</w:t>
      </w:r>
      <w:r>
        <w:t>）</w:t>
      </w:r>
      <w:r>
        <w:t>转移至</w:t>
      </w:r>
      <w:r w:rsidR="001852F3">
        <w:t xml:space="preserve">1.5ml EP</w:t>
      </w:r>
      <w:r w:rsidR="001852F3">
        <w:t xml:space="preserve">管中，4℃，12 000rpm</w:t>
      </w:r>
      <w:r w:rsidR="001852F3">
        <w:t xml:space="preserve">离心</w:t>
      </w:r>
      <w:r w:rsidR="001852F3">
        <w:t xml:space="preserve">15min。</w:t>
      </w:r>
    </w:p>
    <w:p w:rsidR="0018722C">
      <w:pPr>
        <w:topLinePunct/>
      </w:pPr>
      <w:r>
        <w:t>（</w:t>
      </w:r>
      <w:r>
        <w:t xml:space="preserve">4</w:t>
      </w:r>
      <w:r>
        <w:t>）</w:t>
      </w:r>
      <w:r>
        <w:t>上清液转移至另一</w:t>
      </w:r>
      <w:r w:rsidR="001852F3">
        <w:t xml:space="preserve">1.5ml EP</w:t>
      </w:r>
      <w:r w:rsidR="001852F3">
        <w:t xml:space="preserve">管中，保存于-20℃备用。</w:t>
      </w:r>
    </w:p>
    <w:p w:rsidR="0018722C">
      <w:pPr>
        <w:pStyle w:val="Heading4"/>
        <w:topLinePunct/>
        <w:ind w:left="200" w:hangingChars="200" w:hanging="200"/>
      </w:pPr>
      <w:r>
        <w:rPr>
          <w:b/>
        </w:rPr>
        <w:t>4.3</w:t>
      </w:r>
      <w:r>
        <w:t xml:space="preserve"> </w:t>
      </w:r>
      <w:r>
        <w:rPr>
          <w:b/>
        </w:rPr>
        <w:t>Western</w:t>
      </w:r>
      <w:r>
        <w:rPr>
          <w:b/>
        </w:rPr>
        <w:t> </w:t>
      </w:r>
      <w:r>
        <w:rPr>
          <w:b/>
        </w:rPr>
        <w:t>blot</w:t>
      </w:r>
    </w:p>
    <w:p w:rsidR="0018722C">
      <w:pPr>
        <w:topLinePunct/>
      </w:pPr>
      <w:r>
        <w:t>（</w:t>
      </w:r>
      <w:r>
        <w:t>1</w:t>
      </w:r>
      <w:r>
        <w:t>）</w:t>
      </w:r>
      <w:r>
        <w:t>装配好板后，按照前述方法</w:t>
      </w:r>
      <w:r>
        <w:t>（</w:t>
      </w:r>
      <w:r>
        <w:t>第一部分</w:t>
      </w:r>
      <w:r>
        <w:t>）</w:t>
      </w:r>
      <w:r>
        <w:t>先后制备</w:t>
      </w:r>
      <w:r>
        <w:t>10％</w:t>
      </w:r>
      <w:r>
        <w:t>分离胶和</w:t>
      </w:r>
      <w:r>
        <w:t>5％积层胶；</w:t>
      </w:r>
    </w:p>
    <w:p w:rsidR="0018722C">
      <w:pPr>
        <w:topLinePunct/>
      </w:pPr>
      <w:r>
        <w:t>（</w:t>
      </w:r>
      <w:r>
        <w:t xml:space="preserve">2</w:t>
      </w:r>
      <w:r>
        <w:t>）</w:t>
      </w:r>
      <w:r>
        <w:t>BCA</w:t>
      </w:r>
      <w:r/>
      <w:r w:rsidR="001852F3">
        <w:t xml:space="preserve">法对蛋白质定量、配平，先煮沸变性然后进行</w:t>
      </w:r>
      <w:r>
        <w:t>10％SDS-PAGE</w:t>
      </w:r>
      <w:r/>
      <w:r w:rsidR="001852F3">
        <w:t xml:space="preserve">电泳和蛋白印迹</w:t>
      </w:r>
      <w:r>
        <w:rPr>
          <w:spacing w:val="-8"/>
        </w:rPr>
        <w:t>（</w:t>
      </w:r>
      <w:r>
        <w:t>方法同第一部分</w:t>
      </w:r>
      <w:r>
        <w:rPr>
          <w:spacing w:val="-8"/>
        </w:rPr>
        <w:t>）</w:t>
      </w:r>
      <w:r>
        <w:t>。</w:t>
      </w:r>
    </w:p>
    <w:p w:rsidR="0018722C">
      <w:pPr>
        <w:topLinePunct/>
      </w:pPr>
      <w:r>
        <w:t>（</w:t>
      </w:r>
      <w:r>
        <w:t xml:space="preserve">3</w:t>
      </w:r>
      <w:r>
        <w:t>）</w:t>
      </w:r>
      <w:r>
        <w:t>用含有</w:t>
      </w:r>
      <w:r>
        <w:t>50g</w:t>
      </w:r>
      <w:r>
        <w:t>/</w:t>
      </w:r>
      <w:r>
        <w:t>L</w:t>
      </w:r>
      <w:r/>
      <w:r w:rsidR="001852F3">
        <w:t xml:space="preserve">脱脂奶粉的</w:t>
      </w:r>
      <w:r>
        <w:t>TBS-T</w:t>
      </w:r>
      <w:r/>
      <w:r w:rsidR="001852F3">
        <w:t xml:space="preserve">溶液封闭</w:t>
      </w:r>
      <w:r>
        <w:t>NC</w:t>
      </w:r>
      <w:r/>
      <w:r w:rsidR="001852F3">
        <w:t xml:space="preserve">膜</w:t>
      </w:r>
      <w:r>
        <w:t>1</w:t>
      </w:r>
      <w:r>
        <w:t> </w:t>
      </w:r>
      <w:r>
        <w:t>h</w:t>
      </w:r>
      <w:r>
        <w:t>，然后将含有相应条</w:t>
      </w:r>
      <w:r>
        <w:t>带的</w:t>
      </w:r>
      <w:r>
        <w:t>NC</w:t>
      </w:r>
      <w:r/>
      <w:r w:rsidR="001852F3">
        <w:t xml:space="preserve">膜分别与兔抗人</w:t>
      </w:r>
      <w:r>
        <w:t>COX-2</w:t>
      </w:r>
      <w:r/>
      <w:r w:rsidR="001852F3">
        <w:t xml:space="preserve">单克隆抗体</w:t>
      </w:r>
      <w:r>
        <w:t>（</w:t>
      </w:r>
      <w:r>
        <w:t>用抗体稀释液稀释至</w:t>
      </w:r>
      <w:r w:rsidR="001852F3">
        <w:t xml:space="preserve">1</w:t>
      </w:r>
      <w:r>
        <w:t xml:space="preserve">: </w:t>
      </w:r>
      <w:r>
        <w:t>1000</w:t>
      </w:r>
      <w:r>
        <w:t>）</w:t>
      </w:r>
      <w:r>
        <w:t>及鼠抗</w:t>
      </w:r>
      <w:r>
        <w:t>人</w:t>
      </w:r>
      <w:r>
        <w:t>β-actin</w:t>
      </w:r>
      <w:r/>
      <w:r w:rsidR="001852F3">
        <w:t xml:space="preserve">单克隆抗体</w:t>
      </w:r>
      <w:r>
        <w:t>(</w:t>
      </w:r>
      <w:r>
        <w:t>1</w:t>
      </w:r>
      <w:r>
        <w:t xml:space="preserve">: </w:t>
      </w:r>
      <w:r>
        <w:t>1000</w:t>
      </w:r>
      <w:r>
        <w:t>)</w:t>
      </w:r>
      <w:r>
        <w:t>在</w:t>
      </w:r>
      <w:r>
        <w:t>4℃</w:t>
      </w:r>
      <w:r>
        <w:t>条件下孵育过夜，孵育后用</w:t>
      </w:r>
      <w:r>
        <w:t>TBST</w:t>
      </w:r>
      <w:r/>
      <w:r w:rsidR="001852F3">
        <w:t xml:space="preserve">洗涤</w:t>
      </w:r>
      <w:r>
        <w:t>3</w:t>
      </w:r>
      <w:r/>
      <w:r w:rsidR="001852F3">
        <w:t xml:space="preserve">次</w:t>
      </w:r>
      <w:r>
        <w:t>每次</w:t>
      </w:r>
      <w:r>
        <w:t>15min</w:t>
      </w:r>
      <w:r>
        <w:t>，洗涤后分别再与小鼠抗兔二抗</w:t>
      </w:r>
      <w:r>
        <w:t>(</w:t>
      </w:r>
      <w:r>
        <w:t>1</w:t>
      </w:r>
      <w:r>
        <w:t xml:space="preserve">: </w:t>
      </w:r>
      <w:r>
        <w:t>2000</w:t>
      </w:r>
      <w:r>
        <w:t>)</w:t>
      </w:r>
      <w:r>
        <w:t>和兔抗小鼠二抗</w:t>
      </w:r>
      <w:r>
        <w:t>(</w:t>
      </w:r>
      <w:r>
        <w:t>1</w:t>
      </w:r>
      <w:r>
        <w:t xml:space="preserve">: </w:t>
      </w:r>
      <w:r>
        <w:t>2500</w:t>
      </w:r>
      <w:r>
        <w:t>)</w:t>
      </w:r>
      <w:r>
        <w:t>作</w:t>
      </w:r>
      <w:r>
        <w:t>用</w:t>
      </w:r>
    </w:p>
    <w:p w:rsidR="0018722C">
      <w:pPr>
        <w:topLinePunct/>
      </w:pPr>
      <w:r>
        <w:t>1h。</w:t>
      </w:r>
    </w:p>
    <w:p w:rsidR="0018722C">
      <w:pPr>
        <w:topLinePunct/>
      </w:pPr>
      <w:r>
        <w:t>（</w:t>
      </w:r>
      <w:r>
        <w:t>4</w:t>
      </w:r>
      <w:r>
        <w:t>）</w:t>
      </w:r>
      <w:r>
        <w:t>经</w:t>
      </w:r>
      <w:r>
        <w:t>ECL</w:t>
      </w:r>
      <w:r/>
      <w:r w:rsidR="001852F3">
        <w:t xml:space="preserve">显影</w:t>
      </w:r>
      <w:r>
        <w:t>，western</w:t>
      </w:r>
      <w:r>
        <w:t> </w:t>
      </w:r>
      <w:r>
        <w:t>blot</w:t>
      </w:r>
      <w:r/>
      <w:r w:rsidR="001852F3">
        <w:t xml:space="preserve">图片采用</w:t>
      </w:r>
      <w:r>
        <w:t>Image</w:t>
      </w:r>
      <w:r>
        <w:t> </w:t>
      </w:r>
      <w:r>
        <w:t>J</w:t>
      </w:r>
      <w:r/>
      <w:r w:rsidR="001852F3">
        <w:t xml:space="preserve">图像分析软件进行扫描分</w:t>
      </w:r>
      <w:r>
        <w:t>析，获得灰度值数据</w:t>
      </w:r>
      <w:r>
        <w:rPr>
          <w:rFonts w:hint="eastAsia"/>
        </w:rPr>
        <w:t>，</w:t>
      </w:r>
      <w:r>
        <w:t>经过内参照</w:t>
      </w:r>
      <w:r>
        <w:t>β-actin</w:t>
      </w:r>
      <w:r/>
      <w:r w:rsidR="001852F3">
        <w:t xml:space="preserve">条带灰度进行校正，校正灰度值以</w:t>
      </w:r>
      <w:r>
        <w:t>mea</w:t>
      </w:r>
      <w:r>
        <w:t>n</w:t>
      </w:r>
    </w:p>
    <w:p w:rsidR="0018722C">
      <w:pPr>
        <w:topLinePunct/>
      </w:pPr>
      <w:r>
        <w:t>±SD</w:t>
      </w:r>
      <w:r w:rsidR="001852F3">
        <w:t xml:space="preserve">表示。</w:t>
      </w:r>
    </w:p>
    <w:p w:rsidR="0018722C">
      <w:pPr>
        <w:pStyle w:val="Heading3"/>
        <w:topLinePunct/>
        <w:ind w:left="200" w:hangingChars="200" w:hanging="200"/>
      </w:pPr>
      <w:r>
        <w:rPr>
          <w:b/>
        </w:rPr>
        <w:t>5</w:t>
      </w:r>
      <w:r>
        <w:t xml:space="preserve"> </w:t>
      </w:r>
      <w:r>
        <w:rPr>
          <w:b/>
        </w:rPr>
        <w:t>Cell</w:t>
      </w:r>
      <w:r>
        <w:rPr>
          <w:b/>
        </w:rPr>
        <w:t> </w:t>
      </w:r>
      <w:r>
        <w:rPr>
          <w:b/>
        </w:rPr>
        <w:t>Counting</w:t>
      </w:r>
      <w:r>
        <w:rPr>
          <w:b/>
        </w:rPr>
        <w:t> </w:t>
      </w:r>
      <w:r>
        <w:rPr>
          <w:b/>
        </w:rPr>
        <w:t>Kit-8</w:t>
      </w:r>
      <w:r>
        <w:t>（</w:t>
      </w:r>
      <w:r>
        <w:rPr>
          <w:b/>
        </w:rPr>
        <w:t>CCK-8</w:t>
      </w:r>
      <w:r>
        <w:t>）</w:t>
      </w:r>
      <w:r>
        <w:t>法检测细胞增殖活性</w:t>
      </w:r>
    </w:p>
    <w:p w:rsidR="0018722C">
      <w:pPr>
        <w:topLinePunct/>
      </w:pPr>
      <w:r>
        <w:t>取对数期生长的</w:t>
      </w:r>
      <w:r>
        <w:t>HepG2</w:t>
      </w:r>
      <w:r>
        <w:t>/</w:t>
      </w:r>
      <w:r>
        <w:t>HBx</w:t>
      </w:r>
      <w:r>
        <w:t>、</w:t>
      </w:r>
      <w:r>
        <w:t>HepG2</w:t>
      </w:r>
      <w:r>
        <w:t>/</w:t>
      </w:r>
      <w:r>
        <w:t>mock</w:t>
      </w:r>
      <w:r>
        <w:t>、</w:t>
      </w:r>
      <w:r>
        <w:t>HepG2</w:t>
      </w:r>
      <w:r/>
      <w:r w:rsidR="001852F3">
        <w:t xml:space="preserve">三组细胞，经</w:t>
      </w:r>
      <w:r>
        <w:t>0</w:t>
      </w:r>
      <w:r>
        <w:t>.</w:t>
      </w:r>
      <w:r>
        <w:t>25％的胰蛋</w:t>
      </w:r>
      <w:r>
        <w:t>白酶消化，用含</w:t>
      </w:r>
      <w:r>
        <w:t>10％</w:t>
      </w:r>
      <w:r>
        <w:t>胎牛血清的</w:t>
      </w:r>
      <w:r>
        <w:t>DMEM</w:t>
      </w:r>
      <w:r/>
      <w:r w:rsidR="001852F3">
        <w:t xml:space="preserve">培养基配成单个细胞悬液，细胞计数后，把</w:t>
      </w:r>
      <w:r>
        <w:t>细胞浓度调至</w:t>
      </w:r>
      <w:r>
        <w:t>3³10</w:t>
      </w:r>
      <w:r>
        <w:rPr>
          <w:vertAlign w:val="superscript"/>
          /&gt;
        </w:rPr>
        <w:t>3</w:t>
      </w:r>
      <w:r>
        <w:t>/</w:t>
      </w:r>
      <w:r>
        <w:t>ml</w:t>
      </w:r>
      <w:r>
        <w:t>，按每孔</w:t>
      </w:r>
      <w:r>
        <w:t>100μl</w:t>
      </w:r>
      <w:r/>
      <w:r w:rsidR="001852F3">
        <w:t xml:space="preserve">接种于</w:t>
      </w:r>
      <w:r>
        <w:t>96</w:t>
      </w:r>
      <w:r/>
      <w:r w:rsidR="001852F3">
        <w:t xml:space="preserve">孔板，并设</w:t>
      </w:r>
      <w:r>
        <w:t>6</w:t>
      </w:r>
      <w:r/>
      <w:r w:rsidR="001852F3">
        <w:t xml:space="preserve">复孔，</w:t>
      </w:r>
      <w:r>
        <w:t>37℃，5</w:t>
      </w:r>
      <w:r>
        <w:t>％</w:t>
      </w:r>
    </w:p>
    <w:p w:rsidR="0018722C">
      <w:pPr>
        <w:topLinePunct/>
      </w:pPr>
      <w:r>
        <w:t>C02</w:t>
      </w:r>
      <w:r/>
      <w:r w:rsidR="001852F3">
        <w:t xml:space="preserve">培养箱中培养。共接种</w:t>
      </w:r>
      <w:r>
        <w:t>3</w:t>
      </w:r>
      <w:r/>
      <w:r w:rsidR="001852F3">
        <w:t xml:space="preserve">块板，分别于培养</w:t>
      </w:r>
      <w:r>
        <w:t>ld</w:t>
      </w:r>
      <w:r>
        <w:t>、</w:t>
      </w:r>
      <w:r>
        <w:t>2d</w:t>
      </w:r>
      <w:r>
        <w:t>、</w:t>
      </w:r>
      <w:r>
        <w:t>3d</w:t>
      </w:r>
      <w:r/>
      <w:r w:rsidR="001852F3">
        <w:t xml:space="preserve">后，取出</w:t>
      </w:r>
      <w:r>
        <w:t>96</w:t>
      </w:r>
      <w:r/>
      <w:r w:rsidR="001852F3">
        <w:t xml:space="preserve">孔板，吸</w:t>
      </w:r>
      <w:r>
        <w:t>弃原有培养液，用</w:t>
      </w:r>
      <w:r>
        <w:t>PBS</w:t>
      </w:r>
      <w:r/>
      <w:r w:rsidR="001852F3">
        <w:t xml:space="preserve">洗涤后，加入</w:t>
      </w:r>
      <w:r>
        <w:t>CCK-8</w:t>
      </w:r>
      <w:r/>
      <w:r w:rsidR="001852F3">
        <w:t xml:space="preserve">试剂与培养基的混合液，比例为</w:t>
      </w:r>
      <w:r>
        <w:t>CCK8: 培养基=10μl：100μl</w:t>
      </w:r>
      <w:r>
        <w:t>，经</w:t>
      </w:r>
      <w:r>
        <w:t>37℃，CO2</w:t>
      </w:r>
      <w:r/>
      <w:r w:rsidR="001852F3">
        <w:t xml:space="preserve">培养箱培养</w:t>
      </w:r>
      <w:r>
        <w:t>3h</w:t>
      </w:r>
      <w:r/>
      <w:r w:rsidR="001852F3">
        <w:t xml:space="preserve">后，于</w:t>
      </w:r>
      <w:r>
        <w:t>450nm</w:t>
      </w:r>
      <w:r/>
      <w:r w:rsidR="001852F3">
        <w:t xml:space="preserve">波长下检测每孔的吸光值</w:t>
      </w:r>
      <w:r>
        <w:t>(</w:t>
      </w:r>
      <w:r>
        <w:t>OD</w:t>
      </w:r>
      <w:r>
        <w:t>)</w:t>
      </w:r>
      <w:r>
        <w:rPr>
          <w:spacing w:val="-5"/>
        </w:rPr>
        <w:t xml:space="preserve">. </w:t>
      </w:r>
      <w:r>
        <w:t>OD</w:t>
      </w:r>
      <w:r/>
      <w:r w:rsidR="001852F3">
        <w:t xml:space="preserve">值即代表细胞的增殖能力，然后根据吸光值绘制生长曲线，</w:t>
      </w:r>
      <w:r w:rsidR="001852F3">
        <w:t xml:space="preserve">比较各组细胞生长速度变化。实验重复三次。</w:t>
      </w:r>
    </w:p>
    <w:p w:rsidR="0018722C">
      <w:pPr>
        <w:pStyle w:val="Heading3"/>
        <w:topLinePunct/>
        <w:ind w:left="200" w:hangingChars="200" w:hanging="200"/>
      </w:pPr>
      <w:r>
        <w:rPr>
          <w:b/>
        </w:rPr>
        <w:t>6</w:t>
      </w:r>
      <w:r>
        <w:t xml:space="preserve"> </w:t>
      </w:r>
      <w:r>
        <w:t>克隆形成实验检测细胞克隆形成能力</w:t>
      </w:r>
    </w:p>
    <w:p w:rsidR="0018722C">
      <w:pPr>
        <w:topLinePunct/>
      </w:pPr>
      <w:r>
        <w:t>取对数期生长的</w:t>
      </w:r>
      <w:r>
        <w:t>HepG2</w:t>
      </w:r>
      <w:r>
        <w:t>/</w:t>
      </w:r>
      <w:r>
        <w:t>HBx</w:t>
      </w:r>
      <w:r>
        <w:t>、</w:t>
      </w:r>
      <w:r>
        <w:t>HepG2</w:t>
      </w:r>
      <w:r>
        <w:t>/</w:t>
      </w:r>
      <w:r>
        <w:t>mock</w:t>
      </w:r>
      <w:r>
        <w:t>、</w:t>
      </w:r>
      <w:r>
        <w:t>HepG2</w:t>
      </w:r>
      <w:r/>
      <w:r w:rsidR="001852F3">
        <w:t xml:space="preserve">三组细胞，经</w:t>
      </w:r>
      <w:r>
        <w:t>0</w:t>
      </w:r>
      <w:r>
        <w:t>.</w:t>
      </w:r>
      <w:r>
        <w:t>25％的胰蛋</w:t>
      </w:r>
      <w:r>
        <w:t>白酶消化，用含</w:t>
      </w:r>
      <w:r>
        <w:t>10％</w:t>
      </w:r>
      <w:r>
        <w:t>胎牛血清的</w:t>
      </w:r>
      <w:r>
        <w:t>DMEM</w:t>
      </w:r>
      <w:r/>
      <w:r w:rsidR="001852F3">
        <w:t xml:space="preserve">培养基配成单个细胞悬液，并作梯度倍比稀</w:t>
      </w:r>
      <w:r>
        <w:t>释，按每孔</w:t>
      </w:r>
      <w:r>
        <w:t>500</w:t>
      </w:r>
      <w:r/>
      <w:r w:rsidR="001852F3">
        <w:t xml:space="preserve">个细胞接种于</w:t>
      </w:r>
      <w:r>
        <w:t>6</w:t>
      </w:r>
      <w:r/>
      <w:r w:rsidR="001852F3">
        <w:t xml:space="preserve">孔板，每组细胞各接种</w:t>
      </w:r>
      <w:r>
        <w:t>3</w:t>
      </w:r>
      <w:r/>
      <w:r w:rsidR="001852F3">
        <w:t xml:space="preserve">孔。静止培养</w:t>
      </w:r>
      <w:r>
        <w:t>2</w:t>
      </w:r>
      <w:r/>
      <w:r w:rsidR="001852F3">
        <w:t xml:space="preserve">周，</w:t>
      </w:r>
      <w:r w:rsidR="001852F3">
        <w:t>当</w:t>
      </w:r>
    </w:p>
    <w:p w:rsidR="0018722C">
      <w:pPr>
        <w:topLinePunct/>
      </w:pPr>
      <w:r>
        <w:t>培养板出现肉眼可见的克隆时终止培养。PBS</w:t>
      </w:r>
      <w:r/>
      <w:r w:rsidR="001852F3">
        <w:t xml:space="preserve">清洗后用甲醇</w:t>
      </w:r>
      <w:r>
        <w:t>1ml</w:t>
      </w:r>
      <w:r/>
      <w:r w:rsidR="001852F3">
        <w:t xml:space="preserve">固定</w:t>
      </w:r>
      <w:r>
        <w:t>15 min，结</w:t>
      </w:r>
      <w:r>
        <w:t>晶紫染色</w:t>
      </w:r>
      <w:r>
        <w:t>10min</w:t>
      </w:r>
      <w:r>
        <w:t>。将培养板置于显微镜低倍数下计数大于</w:t>
      </w:r>
      <w:r>
        <w:t>50</w:t>
      </w:r>
      <w:r/>
      <w:r w:rsidR="001852F3">
        <w:t xml:space="preserve">个细胞的克隆数，按</w:t>
      </w:r>
      <w:r>
        <w:t>公式计算克隆形成率。克隆形成率</w:t>
      </w:r>
      <w:r>
        <w:rPr>
          <w:spacing w:val="-1"/>
        </w:rPr>
        <w:t>（</w:t>
      </w:r>
      <w:r>
        <w:t>％</w:t>
      </w:r>
      <w:r>
        <w:rPr>
          <w:spacing w:val="-1"/>
        </w:rPr>
        <w:t>）</w:t>
      </w:r>
      <w:r>
        <w:t>=克隆数／接种数</w:t>
      </w:r>
      <w:r>
        <w:t>³100</w:t>
      </w:r>
      <w:r>
        <w:t>％。实验重复三次。</w:t>
      </w:r>
    </w:p>
    <w:p w:rsidR="0018722C">
      <w:pPr>
        <w:pStyle w:val="Heading3"/>
        <w:topLinePunct/>
        <w:ind w:left="200" w:hangingChars="200" w:hanging="200"/>
      </w:pPr>
      <w:r>
        <w:rPr>
          <w:b/>
        </w:rPr>
        <w:t>7</w:t>
      </w:r>
      <w:r>
        <w:t xml:space="preserve"> </w:t>
      </w:r>
      <w:r>
        <w:t>加入</w:t>
      </w:r>
      <w:r>
        <w:rPr>
          <w:b/>
        </w:rPr>
        <w:t>COX-2</w:t>
      </w:r>
      <w:r w:rsidR="001852F3">
        <w:t xml:space="preserve">抑制剂</w:t>
      </w:r>
      <w:r>
        <w:rPr>
          <w:b/>
        </w:rPr>
        <w:t>NS-398</w:t>
      </w:r>
      <w:r w:rsidR="001852F3">
        <w:t xml:space="preserve">后，</w:t>
      </w:r>
      <w:r>
        <w:rPr>
          <w:b/>
        </w:rPr>
        <w:t>Western</w:t>
      </w:r>
      <w:r>
        <w:rPr>
          <w:b/>
        </w:rPr>
        <w:t> </w:t>
      </w:r>
      <w:r>
        <w:rPr>
          <w:b/>
        </w:rPr>
        <w:t>blot</w:t>
      </w:r>
      <w:r w:rsidR="001852F3">
        <w:t xml:space="preserve">检测三组细胞内</w:t>
      </w:r>
      <w:r>
        <w:rPr>
          <w:b/>
        </w:rPr>
        <w:t>COX-2</w:t>
      </w:r>
      <w:r>
        <w:t>蛋白水平表达变化</w:t>
      </w:r>
    </w:p>
    <w:p w:rsidR="0018722C">
      <w:pPr>
        <w:pStyle w:val="Heading4"/>
        <w:topLinePunct/>
        <w:ind w:left="200" w:hangingChars="200" w:hanging="200"/>
      </w:pPr>
      <w:r>
        <w:rPr>
          <w:b/>
        </w:rPr>
        <w:t>7.1</w:t>
      </w:r>
      <w:r>
        <w:t xml:space="preserve"> </w:t>
      </w:r>
      <w:r>
        <w:t>细胞培养</w:t>
      </w:r>
    </w:p>
    <w:p w:rsidR="0018722C">
      <w:pPr>
        <w:topLinePunct/>
      </w:pPr>
      <w:r>
        <w:t>将</w:t>
      </w:r>
      <w:r>
        <w:t>HepG2</w:t>
      </w:r>
      <w:r/>
      <w:r w:rsidR="001852F3">
        <w:t xml:space="preserve">细胞以</w:t>
      </w:r>
      <w:r>
        <w:t>4³10</w:t>
      </w:r>
      <w:r>
        <w:rPr>
          <w:vertAlign w:val="superscript"/>
          /&gt;
        </w:rPr>
        <w:t>4</w:t>
      </w:r>
      <w:r>
        <w:t>个每孔的密度接种于含</w:t>
      </w:r>
      <w:r>
        <w:t>10%</w:t>
      </w:r>
      <w:r>
        <w:t>胎牛血清的</w:t>
      </w:r>
      <w:r>
        <w:t>DMEM</w:t>
      </w:r>
      <w:r/>
      <w:r w:rsidR="001852F3">
        <w:t xml:space="preserve">新鲜培养</w:t>
      </w:r>
      <w:r>
        <w:t>液的</w:t>
      </w:r>
      <w:r>
        <w:t>6</w:t>
      </w:r>
      <w:r/>
      <w:r w:rsidR="001852F3">
        <w:t xml:space="preserve">孔细胞培养板中，在</w:t>
      </w:r>
      <w:r>
        <w:t>37</w:t>
      </w:r>
      <w:r>
        <w:rPr>
          <w:rFonts w:ascii="Symbol" w:hAnsi="Symbol" w:eastAsia="Symbol"/>
        </w:rPr>
        <w:t></w:t>
      </w:r>
      <w:r>
        <w:t>C、5% CO2</w:t>
      </w:r>
      <w:r/>
      <w:r w:rsidR="001852F3">
        <w:t xml:space="preserve">条件下常规培养，待</w:t>
      </w:r>
      <w:r>
        <w:t>HepG2</w:t>
      </w:r>
      <w:r/>
      <w:r w:rsidR="001852F3">
        <w:t xml:space="preserve">细胞生长融</w:t>
      </w:r>
      <w:r>
        <w:t>合度达</w:t>
      </w:r>
      <w:r>
        <w:t>50%</w:t>
      </w:r>
      <w:r>
        <w:t>时弃旧培养液，并将细胞用灭菌</w:t>
      </w:r>
      <w:r>
        <w:t>0</w:t>
      </w:r>
      <w:r>
        <w:t>.</w:t>
      </w:r>
      <w:r>
        <w:t>01M PBS</w:t>
      </w:r>
      <w:r w:rsidR="001852F3">
        <w:t xml:space="preserve">缓冲液洗涤一次</w:t>
      </w:r>
      <w:r w:rsidR="001852F3">
        <w:t>，</w:t>
      </w:r>
    </w:p>
    <w:p w:rsidR="0018722C">
      <w:pPr>
        <w:topLinePunct/>
      </w:pPr>
      <w:r>
        <w:t>然后加入含</w:t>
      </w:r>
      <w:r w:rsidR="001852F3">
        <w:t xml:space="preserve">50 umol</w:t>
      </w:r>
      <w:r>
        <w:t>/</w:t>
      </w:r>
      <w:r>
        <w:t>L NS-398</w:t>
      </w:r>
      <w:r w:rsidR="001852F3">
        <w:t xml:space="preserve">的</w:t>
      </w:r>
      <w:r w:rsidR="001852F3">
        <w:t xml:space="preserve">DMEM</w:t>
      </w:r>
      <w:r w:rsidR="001852F3">
        <w:t xml:space="preserve">新鲜培养液继续培养</w:t>
      </w:r>
      <w:r w:rsidR="001852F3">
        <w:t xml:space="preserve">72h。</w:t>
      </w:r>
    </w:p>
    <w:p w:rsidR="0018722C">
      <w:pPr>
        <w:pStyle w:val="Heading4"/>
        <w:topLinePunct/>
        <w:ind w:left="200" w:hangingChars="200" w:hanging="200"/>
      </w:pPr>
      <w:r>
        <w:rPr>
          <w:b/>
        </w:rPr>
        <w:t>7.2</w:t>
      </w:r>
      <w:r>
        <w:t xml:space="preserve"> </w:t>
      </w:r>
      <w:r>
        <w:t>蛋白抽提</w:t>
      </w:r>
    </w:p>
    <w:p w:rsidR="0018722C">
      <w:pPr>
        <w:topLinePunct/>
      </w:pPr>
      <w:r>
        <w:t>（</w:t>
      </w:r>
      <w:r>
        <w:t xml:space="preserve">1</w:t>
      </w:r>
      <w:r>
        <w:t>）</w:t>
      </w:r>
      <w:r>
        <w:t>弃去上述细胞培养上清液，使用预冷</w:t>
      </w:r>
      <w:r w:rsidR="001852F3">
        <w:t xml:space="preserve">0</w:t>
      </w:r>
      <w:r>
        <w:t>.</w:t>
      </w:r>
      <w:r>
        <w:t>01M PBS</w:t>
      </w:r>
      <w:r w:rsidR="001852F3">
        <w:t xml:space="preserve">洗涤细胞</w:t>
      </w:r>
      <w:r w:rsidR="001852F3">
        <w:t xml:space="preserve">2</w:t>
      </w:r>
      <w:r w:rsidR="001852F3">
        <w:t xml:space="preserve">次。</w:t>
      </w:r>
    </w:p>
    <w:p w:rsidR="0018722C">
      <w:pPr>
        <w:topLinePunct/>
      </w:pPr>
      <w:r>
        <w:t>（</w:t>
      </w:r>
      <w:r>
        <w:t>2</w:t>
      </w:r>
      <w:r>
        <w:t>）</w:t>
      </w:r>
      <w:r>
        <w:t>用含</w:t>
      </w:r>
      <w:r>
        <w:t>1mmol</w:t>
      </w:r>
      <w:r>
        <w:t>/</w:t>
      </w:r>
      <w:r>
        <w:t>L PMSF</w:t>
      </w:r>
      <w:r/>
      <w:r w:rsidR="001852F3">
        <w:t xml:space="preserve">的细胞裂解液</w:t>
      </w:r>
      <w:r>
        <w:t>RIPR</w:t>
      </w:r>
      <w:r/>
      <w:r w:rsidR="001852F3">
        <w:t xml:space="preserve">裂解细胞，于冰上静置</w:t>
      </w:r>
      <w:r>
        <w:t>30min。</w:t>
      </w:r>
    </w:p>
    <w:p w:rsidR="0018722C">
      <w:pPr>
        <w:topLinePunct/>
      </w:pPr>
      <w:r>
        <w:t>（</w:t>
      </w:r>
      <w:r>
        <w:t xml:space="preserve">3</w:t>
      </w:r>
      <w:r>
        <w:t>）</w:t>
      </w:r>
      <w:r>
        <w:t>转移至</w:t>
      </w:r>
      <w:r w:rsidR="001852F3">
        <w:t xml:space="preserve">1.5ml EP</w:t>
      </w:r>
      <w:r w:rsidR="001852F3">
        <w:t xml:space="preserve">管中，4℃，12 000rpm</w:t>
      </w:r>
      <w:r w:rsidR="001852F3">
        <w:t xml:space="preserve">离心</w:t>
      </w:r>
      <w:r w:rsidR="001852F3">
        <w:t xml:space="preserve">15min。</w:t>
      </w:r>
    </w:p>
    <w:p w:rsidR="0018722C">
      <w:pPr>
        <w:topLinePunct/>
      </w:pPr>
      <w:r>
        <w:t>（</w:t>
      </w:r>
      <w:r>
        <w:t xml:space="preserve">4</w:t>
      </w:r>
      <w:r>
        <w:t>）</w:t>
      </w:r>
      <w:r>
        <w:t>上清液转移至另一</w:t>
      </w:r>
      <w:r w:rsidR="001852F3">
        <w:t xml:space="preserve">1.5ml EP</w:t>
      </w:r>
      <w:r w:rsidR="001852F3">
        <w:t xml:space="preserve">管中，保存于-20℃备用。</w:t>
      </w:r>
    </w:p>
    <w:p w:rsidR="0018722C">
      <w:pPr>
        <w:pStyle w:val="Heading4"/>
        <w:topLinePunct/>
        <w:ind w:left="200" w:hangingChars="200" w:hanging="200"/>
      </w:pPr>
      <w:r>
        <w:t>7.3</w:t>
      </w:r>
      <w:r>
        <w:t xml:space="preserve"> </w:t>
      </w:r>
      <w:r>
        <w:rPr>
          <w:b/>
        </w:rPr>
        <w:t>Western blot</w:t>
      </w:r>
      <w:r>
        <w:t>方法同上述</w:t>
      </w:r>
    </w:p>
    <w:p w:rsidR="0018722C">
      <w:pPr>
        <w:pStyle w:val="Heading3"/>
        <w:topLinePunct/>
        <w:ind w:left="200" w:hangingChars="200" w:hanging="200"/>
      </w:pPr>
      <w:r>
        <w:rPr>
          <w:b/>
        </w:rPr>
        <w:t>8</w:t>
      </w:r>
      <w:r>
        <w:t xml:space="preserve"> </w:t>
      </w:r>
      <w:r>
        <w:t>加入</w:t>
      </w:r>
      <w:r>
        <w:rPr>
          <w:b/>
        </w:rPr>
        <w:t>COX-2</w:t>
      </w:r>
      <w:r w:rsidR="001852F3">
        <w:t xml:space="preserve">抑制剂</w:t>
      </w:r>
      <w:r>
        <w:rPr>
          <w:b/>
        </w:rPr>
        <w:t>NS-398</w:t>
      </w:r>
      <w:r w:rsidR="001852F3">
        <w:t xml:space="preserve">后，</w:t>
      </w:r>
      <w:r>
        <w:rPr>
          <w:b/>
        </w:rPr>
        <w:t>CCK-8</w:t>
      </w:r>
      <w:r w:rsidR="001852F3">
        <w:t xml:space="preserve">法检测细胞增殖活性</w:t>
      </w:r>
    </w:p>
    <w:p w:rsidR="0018722C">
      <w:pPr>
        <w:topLinePunct/>
      </w:pPr>
      <w:r>
        <w:t>取对数期生长的</w:t>
      </w:r>
      <w:r>
        <w:t>HepG2</w:t>
      </w:r>
      <w:r>
        <w:t>/</w:t>
      </w:r>
      <w:r>
        <w:t>HBx</w:t>
      </w:r>
      <w:r>
        <w:t>、</w:t>
      </w:r>
      <w:r>
        <w:t>HepG2</w:t>
      </w:r>
      <w:r>
        <w:t>/</w:t>
      </w:r>
      <w:r>
        <w:t>mock</w:t>
      </w:r>
      <w:r>
        <w:t>、</w:t>
      </w:r>
      <w:r>
        <w:t>HepG2</w:t>
      </w:r>
      <w:r/>
      <w:r w:rsidR="001852F3">
        <w:t xml:space="preserve">三组细胞，以及按照上述方</w:t>
      </w:r>
      <w:r>
        <w:t>法加入含</w:t>
      </w:r>
      <w:r>
        <w:t>50 umol</w:t>
      </w:r>
      <w:r>
        <w:t>/</w:t>
      </w:r>
      <w:r>
        <w:t>L NS-398</w:t>
      </w:r>
      <w:r/>
      <w:r w:rsidR="001852F3">
        <w:t xml:space="preserve">的培养液培养</w:t>
      </w:r>
      <w:r>
        <w:t>72h</w:t>
      </w:r>
      <w:r/>
      <w:r w:rsidR="001852F3">
        <w:t xml:space="preserve">的</w:t>
      </w:r>
      <w:r>
        <w:t>HepG2</w:t>
      </w:r>
      <w:r>
        <w:t>/</w:t>
      </w:r>
      <w:r>
        <w:t xml:space="preserve">HBx、HepG2</w:t>
      </w:r>
      <w:r>
        <w:t>/</w:t>
      </w:r>
      <w:r>
        <w:t xml:space="preserve">mock、HepG2</w:t>
      </w:r>
      <w:r>
        <w:t>三组细胞，</w:t>
      </w:r>
      <w:r w:rsidR="001852F3">
        <w:t xml:space="preserve">经</w:t>
      </w:r>
      <w:r>
        <w:t>0.25％</w:t>
      </w:r>
      <w:r>
        <w:t>的胰蛋白酶消化，用含</w:t>
      </w:r>
      <w:r>
        <w:t>10％</w:t>
      </w:r>
      <w:r>
        <w:t>胎牛血清的</w:t>
      </w:r>
      <w:r>
        <w:t>DMEM</w:t>
      </w:r>
      <w:r/>
      <w:r w:rsidR="001852F3">
        <w:t xml:space="preserve">培养基配成单</w:t>
      </w:r>
      <w:r>
        <w:t>个细胞悬液，细胞计数后，把细胞浓度调至</w:t>
      </w:r>
      <w:r>
        <w:t>3³10</w:t>
      </w:r>
      <w:r>
        <w:rPr>
          <w:vertAlign w:val="superscript"/>
          /&gt;
        </w:rPr>
        <w:t>3</w:t>
      </w:r>
      <w:r>
        <w:t>/</w:t>
      </w:r>
      <w:r>
        <w:t>ml，</w:t>
      </w:r>
      <w:r>
        <w:t>按每孔</w:t>
      </w:r>
      <w:r>
        <w:t>100μl</w:t>
      </w:r>
      <w:r/>
      <w:r w:rsidR="001852F3">
        <w:t xml:space="preserve">接种于</w:t>
      </w:r>
      <w:r>
        <w:t>96</w:t>
      </w:r>
      <w:r>
        <w:t>孔板，并设</w:t>
      </w:r>
      <w:r>
        <w:t>6</w:t>
      </w:r>
      <w:r/>
      <w:r w:rsidR="001852F3">
        <w:t xml:space="preserve">复孔，</w:t>
      </w:r>
      <w:r>
        <w:t>37℃，5％C02</w:t>
      </w:r>
      <w:r/>
      <w:r w:rsidR="001852F3">
        <w:t xml:space="preserve">培养箱中培养。共接种</w:t>
      </w:r>
      <w:r>
        <w:t>3</w:t>
      </w:r>
      <w:r/>
      <w:r w:rsidR="001852F3">
        <w:t xml:space="preserve">块板，分别于培养</w:t>
      </w:r>
      <w:r>
        <w:t>ld</w:t>
      </w:r>
      <w:r>
        <w:t>、</w:t>
      </w:r>
    </w:p>
    <w:p w:rsidR="0018722C">
      <w:pPr>
        <w:topLinePunct/>
      </w:pPr>
      <w:r>
        <w:t>2d</w:t>
      </w:r>
      <w:r>
        <w:t>、</w:t>
      </w:r>
      <w:r>
        <w:t>3d</w:t>
      </w:r>
      <w:r/>
      <w:r w:rsidR="001852F3">
        <w:t xml:space="preserve">后，取出</w:t>
      </w:r>
      <w:r>
        <w:t>96</w:t>
      </w:r>
      <w:r/>
      <w:r w:rsidR="001852F3">
        <w:t xml:space="preserve">孔板，吸弃原有培养液，用</w:t>
      </w:r>
      <w:r>
        <w:t>PBS</w:t>
      </w:r>
      <w:r/>
      <w:r w:rsidR="001852F3">
        <w:t xml:space="preserve">洗涤后，加入</w:t>
      </w:r>
      <w:r>
        <w:t>CCK-8</w:t>
      </w:r>
      <w:r/>
      <w:r w:rsidR="001852F3">
        <w:t xml:space="preserve">试剂与培养基的混合液，比例为</w:t>
      </w:r>
      <w:r>
        <w:t>CCK8:培养基=10μl：100μl，</w:t>
      </w:r>
      <w:r>
        <w:t>经</w:t>
      </w:r>
      <w:r>
        <w:t>37℃，CO2</w:t>
      </w:r>
      <w:r/>
      <w:r w:rsidR="001852F3">
        <w:t xml:space="preserve">培养箱培</w:t>
      </w:r>
      <w:r w:rsidR="001852F3">
        <w:t>养</w:t>
      </w:r>
    </w:p>
    <w:p w:rsidR="0018722C">
      <w:pPr>
        <w:topLinePunct/>
      </w:pPr>
      <w:r>
        <w:t>3h</w:t>
      </w:r>
      <w:r/>
      <w:r w:rsidR="001852F3">
        <w:t xml:space="preserve">后，于</w:t>
      </w:r>
      <w:r>
        <w:t>450nm</w:t>
      </w:r>
      <w:r/>
      <w:r w:rsidR="001852F3">
        <w:t xml:space="preserve">波长下检测每孔的吸光值</w:t>
      </w:r>
      <w:r>
        <w:t>(</w:t>
      </w:r>
      <w:r>
        <w:t>OD</w:t>
      </w:r>
      <w:r>
        <w:t>)</w:t>
      </w:r>
      <w:r>
        <w:rPr>
          <w:spacing w:val="-2"/>
        </w:rPr>
        <w:t xml:space="preserve">. </w:t>
      </w:r>
      <w:r>
        <w:t>OD</w:t>
      </w:r>
      <w:r/>
      <w:r w:rsidR="001852F3">
        <w:t xml:space="preserve">值即代表细胞的增殖能力，然后根据吸光值绘制生长曲线，比较各组细胞生长速度变化。实验重复三次。</w:t>
      </w:r>
    </w:p>
    <w:p w:rsidR="0018722C">
      <w:pPr>
        <w:pStyle w:val="Heading3"/>
        <w:topLinePunct/>
        <w:ind w:left="200" w:hangingChars="200" w:hanging="200"/>
      </w:pPr>
      <w:r>
        <w:rPr>
          <w:b/>
        </w:rPr>
        <w:t>9</w:t>
      </w:r>
      <w:r>
        <w:t xml:space="preserve"> </w:t>
      </w:r>
      <w:r>
        <w:t>统计学分析结果</w:t>
      </w:r>
    </w:p>
    <w:p w:rsidR="0018722C">
      <w:pPr>
        <w:topLinePunct/>
      </w:pPr>
      <w:r>
        <w:t>各实验结果以</w:t>
      </w:r>
      <w:r>
        <w:t>mean±SD</w:t>
      </w:r>
      <w:r/>
      <w:r w:rsidR="001852F3">
        <w:t xml:space="preserve">表示。采用</w:t>
      </w:r>
      <w:r>
        <w:t>SPSS11.5</w:t>
      </w:r>
      <w:r/>
      <w:r w:rsidR="001852F3">
        <w:t xml:space="preserve">软件，各组比较采用单因素</w:t>
      </w:r>
      <w:r>
        <w:t>ANOVA</w:t>
      </w:r>
      <w:r>
        <w:t>检验，以</w:t>
      </w:r>
      <w:r>
        <w:t>P &lt;0.05</w:t>
      </w:r>
      <w:r/>
      <w:r w:rsidR="001852F3">
        <w:t xml:space="preserve">作为具有显著性差异。</w:t>
      </w:r>
    </w:p>
    <w:p w:rsidR="0018722C">
      <w:pPr>
        <w:pStyle w:val="Heading2"/>
        <w:topLinePunct/>
        <w:ind w:left="171" w:hangingChars="171" w:hanging="171"/>
      </w:pPr>
      <w:bookmarkStart w:id="707271" w:name="_Toc686707271"/>
      <w:bookmarkStart w:name="四 实验结果 " w:id="29"/>
      <w:bookmarkEnd w:id="29"/>
      <w:r>
        <w:t>四</w:t>
      </w:r>
      <w:r>
        <w:t xml:space="preserve"> </w:t>
      </w:r>
      <w:r w:rsidRPr="00DB64CE">
        <w:t>实验结果</w:t>
      </w:r>
      <w:bookmarkEnd w:id="707271"/>
    </w:p>
    <w:p w:rsidR="0018722C">
      <w:pPr>
        <w:pStyle w:val="Heading3"/>
        <w:topLinePunct/>
        <w:ind w:left="200" w:hangingChars="200" w:hanging="200"/>
      </w:pPr>
      <w:r>
        <w:rPr>
          <w:b/>
        </w:rPr>
        <w:t>1</w:t>
      </w:r>
      <w:r>
        <w:t xml:space="preserve"> </w:t>
      </w:r>
      <w:r>
        <w:rPr>
          <w:b/>
        </w:rPr>
        <w:t>HBx</w:t>
      </w:r>
      <w:r w:rsidR="001852F3">
        <w:t xml:space="preserve">上调</w:t>
      </w:r>
      <w:r>
        <w:rPr>
          <w:b/>
        </w:rPr>
        <w:t>HepG2</w:t>
      </w:r>
      <w:r w:rsidR="001852F3">
        <w:t xml:space="preserve">细胞</w:t>
      </w:r>
      <w:r>
        <w:rPr>
          <w:b/>
        </w:rPr>
        <w:t>ROS</w:t>
      </w:r>
      <w:r w:rsidR="001852F3">
        <w:t xml:space="preserve">水平</w:t>
      </w:r>
    </w:p>
    <w:p w:rsidR="0018722C">
      <w:pPr>
        <w:pStyle w:val="BodyText"/>
        <w:spacing w:line="357" w:lineRule="auto" w:before="213"/>
        <w:ind w:rightChars="0" w:right="117" w:firstLineChars="0" w:firstLine="480"/>
        <w:jc w:val="both"/>
        <w:topLinePunct/>
      </w:pPr>
      <w:r>
        <w:rPr>
          <w:spacing w:val="-2"/>
        </w:rPr>
        <w:t>流式细胞仪检测三组细胞</w:t>
      </w:r>
      <w:r>
        <w:t>ROS</w:t>
      </w:r>
      <w:r w:rsidR="001852F3">
        <w:rPr>
          <w:spacing w:val="-8"/>
        </w:rPr>
        <w:t xml:space="preserve">水平如图</w:t>
      </w:r>
      <w:r>
        <w:t>1</w:t>
      </w:r>
      <w:r w:rsidR="001852F3">
        <w:rPr>
          <w:spacing w:val="-6"/>
        </w:rPr>
        <w:t xml:space="preserve">所示，数值结果如表</w:t>
      </w:r>
      <w:r>
        <w:t>1</w:t>
      </w:r>
      <w:r w:rsidR="001852F3">
        <w:rPr>
          <w:spacing w:val="-4"/>
        </w:rPr>
        <w:t xml:space="preserve">所示，流式</w:t>
      </w:r>
      <w:r>
        <w:rPr>
          <w:spacing w:val="-6"/>
        </w:rPr>
        <w:t>细胞仪采集的</w:t>
      </w:r>
      <w:r>
        <w:t>DHE</w:t>
      </w:r>
      <w:r w:rsidR="001852F3">
        <w:rPr>
          <w:spacing w:val="-4"/>
        </w:rPr>
        <w:t xml:space="preserve">染色的荧光信号强弱代表</w:t>
      </w:r>
      <w:r>
        <w:t>ROS</w:t>
      </w:r>
      <w:r w:rsidR="001852F3">
        <w:rPr>
          <w:spacing w:val="-3"/>
        </w:rPr>
        <w:t xml:space="preserve">的高低。经过统计学分析结果表</w:t>
      </w:r>
      <w:r>
        <w:rPr>
          <w:spacing w:val="-16"/>
        </w:rPr>
        <w:t>明</w:t>
      </w:r>
      <w:r>
        <w:t>HepG2/HBx</w:t>
      </w:r>
      <w:r w:rsidR="001852F3">
        <w:rPr>
          <w:spacing w:val="-10"/>
        </w:rPr>
        <w:t xml:space="preserve">细胞组中</w:t>
      </w:r>
      <w:r>
        <w:t>ROS</w:t>
      </w:r>
      <w:r w:rsidR="001852F3">
        <w:rPr>
          <w:spacing w:val="-20"/>
        </w:rPr>
        <w:t xml:space="preserve">较</w:t>
      </w:r>
      <w:r>
        <w:t>HepG2/mock</w:t>
      </w:r>
      <w:r w:rsidR="001852F3">
        <w:rPr>
          <w:spacing w:val="-10"/>
        </w:rPr>
        <w:t xml:space="preserve">细胞组与</w:t>
      </w:r>
      <w:r>
        <w:t>HepG2</w:t>
      </w:r>
      <w:r w:rsidR="001852F3">
        <w:rPr>
          <w:spacing w:val="-8"/>
        </w:rPr>
        <w:t xml:space="preserve">细胞组升高</w:t>
      </w:r>
      <w:r>
        <w:t>（</w:t>
      </w:r>
      <w:r>
        <w:rPr>
          <w:spacing w:val="-15"/>
        </w:rPr>
        <w:t>图</w:t>
      </w:r>
      <w:r>
        <w:t>2</w:t>
      </w:r>
      <w:r>
        <w:rPr>
          <w:spacing w:val="-60"/>
        </w:rPr>
        <w:t>）</w:t>
      </w:r>
      <w:r>
        <w:rPr>
          <w:spacing w:val="-10"/>
        </w:rPr>
        <w:t>，差异具有统计学意义(P&lt;0.05)</w:t>
      </w:r>
      <w:r>
        <w:rPr>
          <w:spacing w:val="-8"/>
        </w:rPr>
        <w:t>。该部分实验表明</w:t>
      </w:r>
      <w:r>
        <w:t>HBx</w:t>
      </w:r>
      <w:r w:rsidR="001852F3">
        <w:rPr>
          <w:spacing w:val="-10"/>
        </w:rPr>
        <w:t xml:space="preserve">可以上调</w:t>
      </w:r>
      <w:r>
        <w:t>HepG2/HBx</w:t>
      </w:r>
      <w:r w:rsidR="001852F3">
        <w:rPr>
          <w:spacing w:val="-12"/>
        </w:rPr>
        <w:t xml:space="preserve">细胞的</w:t>
      </w:r>
      <w:r>
        <w:t>ROS</w:t>
      </w:r>
      <w:r w:rsidR="001852F3">
        <w:t xml:space="preserve">水平。</w:t>
      </w:r>
    </w:p>
    <w:p w:rsidR="00000000">
      <w:pPr>
        <w:pStyle w:val="aff7"/>
        <w:spacing w:line="240" w:lineRule="atLeast"/>
        <w:topLinePunct/>
      </w:pPr>
      <w:r>
        <w:drawing>
          <wp:inline>
            <wp:extent cx="4932392" cy="1504569"/>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4932392" cy="1504569"/>
                    </a:xfrm>
                    <a:prstGeom prst="rect">
                      <a:avLst/>
                    </a:prstGeom>
                  </pic:spPr>
                </pic:pic>
              </a:graphicData>
            </a:graphic>
          </wp:inline>
        </w:drawing>
      </w:r>
    </w:p>
    <w:p w:rsidR="0018722C">
      <w:pPr>
        <w:pStyle w:val="a9"/>
        <w:topLinePunct/>
      </w:pPr>
      <w:r>
        <w:t>图1</w:t>
      </w:r>
      <w:r>
        <w:t xml:space="preserve">  </w:t>
      </w:r>
      <w:r w:rsidRPr="00DB64CE">
        <w:t>流式细胞仪检测三组细胞</w:t>
      </w:r>
      <w:r w:rsidR="001852F3">
        <w:t xml:space="preserve">ROS</w:t>
      </w:r>
      <w:r w:rsidR="001852F3">
        <w:t xml:space="preserve">水平，HBx</w:t>
      </w:r>
      <w:r w:rsidP="AA7D325B">
        <w:t>：</w:t>
      </w:r>
      <w:r>
        <w:t>HepG2</w:t>
      </w:r>
      <w:r>
        <w:t>/</w:t>
      </w:r>
      <w:r>
        <w:t>HBx</w:t>
      </w:r>
      <w:r w:rsidR="001852F3">
        <w:t xml:space="preserve">细胞</w:t>
      </w:r>
      <w:r w:rsidP="AA7D325B">
        <w:t>;</w:t>
      </w:r>
      <w:r>
        <w:t> 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w:t>
      </w:r>
      <w:r>
        <w:t xml:space="preserve">  </w:t>
      </w:r>
      <w:r w:rsidR="001852F3">
        <w:rPr>
          <w:rFonts w:cstheme="minorBidi" w:hAnsiTheme="minorHAnsi" w:eastAsiaTheme="minorHAnsi" w:asciiTheme="minorHAnsi"/>
        </w:rPr>
        <w:t>三组细胞</w:t>
      </w:r>
      <w:r>
        <w:rPr>
          <w:rFonts w:cstheme="minorBidi" w:hAnsiTheme="minorHAnsi" w:eastAsiaTheme="minorHAnsi" w:asciiTheme="minorHAnsi"/>
        </w:rPr>
        <w:t>DHE</w:t>
      </w:r>
      <w:r>
        <w:rPr>
          <w:rFonts w:cstheme="minorBidi" w:hAnsiTheme="minorHAnsi" w:eastAsiaTheme="minorHAnsi" w:asciiTheme="minorHAnsi"/>
        </w:rPr>
        <w:t>染色平均荧光强度值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8"/>
        <w:gridCol w:w="1101"/>
        <w:gridCol w:w="1207"/>
        <w:gridCol w:w="1049"/>
        <w:gridCol w:w="3196"/>
      </w:tblGrid>
      <w:tr>
        <w:trPr>
          <w:tblHeader/>
        </w:trPr>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2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3" w:type="pct"/>
            <w:vAlign w:val="center"/>
          </w:tcPr>
          <w:p w:rsidR="0018722C">
            <w:pPr>
              <w:pStyle w:val="ac"/>
              <w:topLinePunct/>
              <w:ind w:leftChars="0" w:left="0" w:rightChars="0" w:right="0" w:firstLineChars="0" w:firstLine="0"/>
              <w:spacing w:line="240" w:lineRule="atLeast"/>
            </w:pPr>
            <w:r>
              <w:t>组 别</w:t>
            </w:r>
          </w:p>
        </w:tc>
        <w:tc>
          <w:tcPr>
            <w:tcW w:w="697" w:type="pct"/>
            <w:vAlign w:val="center"/>
          </w:tcPr>
          <w:p w:rsidR="0018722C">
            <w:pPr>
              <w:pStyle w:val="a5"/>
              <w:topLinePunct/>
              <w:ind w:leftChars="0" w:left="0" w:rightChars="0" w:right="0" w:firstLineChars="0" w:firstLine="0"/>
              <w:spacing w:line="240" w:lineRule="atLeast"/>
            </w:pPr>
            <w:r>
              <w:t>第一次</w:t>
            </w:r>
          </w:p>
        </w:tc>
        <w:tc>
          <w:tcPr>
            <w:tcW w:w="764" w:type="pct"/>
            <w:vAlign w:val="center"/>
          </w:tcPr>
          <w:p w:rsidR="0018722C">
            <w:pPr>
              <w:pStyle w:val="a5"/>
              <w:topLinePunct/>
              <w:ind w:leftChars="0" w:left="0" w:rightChars="0" w:right="0" w:firstLineChars="0" w:firstLine="0"/>
              <w:spacing w:line="240" w:lineRule="atLeast"/>
            </w:pPr>
            <w:r>
              <w:t>第二次</w:t>
            </w:r>
          </w:p>
        </w:tc>
        <w:tc>
          <w:tcPr>
            <w:tcW w:w="664" w:type="pct"/>
            <w:vAlign w:val="center"/>
          </w:tcPr>
          <w:p w:rsidR="0018722C">
            <w:pPr>
              <w:pStyle w:val="a5"/>
              <w:topLinePunct/>
              <w:ind w:leftChars="0" w:left="0" w:rightChars="0" w:right="0" w:firstLineChars="0" w:firstLine="0"/>
              <w:spacing w:line="240" w:lineRule="atLeast"/>
            </w:pPr>
            <w:r>
              <w:t>第三次</w:t>
            </w:r>
          </w:p>
        </w:tc>
        <w:tc>
          <w:tcPr>
            <w:tcW w:w="2023"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853" w:type="pct"/>
            <w:vAlign w:val="center"/>
          </w:tcPr>
          <w:p w:rsidR="0018722C">
            <w:pPr>
              <w:pStyle w:val="ac"/>
              <w:topLinePunct/>
              <w:ind w:leftChars="0" w:left="0" w:rightChars="0" w:right="0" w:firstLineChars="0" w:firstLine="0"/>
              <w:spacing w:line="240" w:lineRule="atLeast"/>
            </w:pPr>
            <w:r>
              <w:t>HepG2</w:t>
            </w:r>
          </w:p>
        </w:tc>
        <w:tc>
          <w:tcPr>
            <w:tcW w:w="697" w:type="pct"/>
            <w:vAlign w:val="center"/>
          </w:tcPr>
          <w:p w:rsidR="0018722C">
            <w:pPr>
              <w:pStyle w:val="affff9"/>
              <w:topLinePunct/>
              <w:ind w:leftChars="0" w:left="0" w:rightChars="0" w:right="0" w:firstLineChars="0" w:firstLine="0"/>
              <w:spacing w:line="240" w:lineRule="atLeast"/>
            </w:pPr>
            <w:r>
              <w:t>185332.3</w:t>
            </w:r>
          </w:p>
        </w:tc>
        <w:tc>
          <w:tcPr>
            <w:tcW w:w="764" w:type="pct"/>
            <w:vAlign w:val="center"/>
          </w:tcPr>
          <w:p w:rsidR="0018722C">
            <w:pPr>
              <w:pStyle w:val="affff9"/>
              <w:topLinePunct/>
              <w:ind w:leftChars="0" w:left="0" w:rightChars="0" w:right="0" w:firstLineChars="0" w:firstLine="0"/>
              <w:spacing w:line="240" w:lineRule="atLeast"/>
            </w:pPr>
            <w:r>
              <w:t>218566.9</w:t>
            </w:r>
          </w:p>
        </w:tc>
        <w:tc>
          <w:tcPr>
            <w:tcW w:w="664" w:type="pct"/>
            <w:vAlign w:val="center"/>
          </w:tcPr>
          <w:p w:rsidR="0018722C">
            <w:pPr>
              <w:pStyle w:val="affff9"/>
              <w:topLinePunct/>
              <w:ind w:leftChars="0" w:left="0" w:rightChars="0" w:right="0" w:firstLineChars="0" w:firstLine="0"/>
              <w:spacing w:line="240" w:lineRule="atLeast"/>
            </w:pPr>
            <w:r>
              <w:t>187191.7</w:t>
            </w:r>
          </w:p>
        </w:tc>
        <w:tc>
          <w:tcPr>
            <w:tcW w:w="2023" w:type="pct"/>
            <w:vAlign w:val="center"/>
          </w:tcPr>
          <w:p w:rsidR="0018722C">
            <w:pPr>
              <w:pStyle w:val="ad"/>
              <w:topLinePunct/>
              <w:ind w:leftChars="0" w:left="0" w:rightChars="0" w:right="0" w:firstLineChars="0" w:firstLine="0"/>
              <w:spacing w:line="240" w:lineRule="atLeast"/>
            </w:pPr>
            <w:r>
              <w:t>197030.3±18674.3769</w:t>
            </w:r>
          </w:p>
        </w:tc>
      </w:tr>
      <w:tr>
        <w:tc>
          <w:tcPr>
            <w:tcW w:w="853" w:type="pct"/>
            <w:vAlign w:val="center"/>
          </w:tcPr>
          <w:p w:rsidR="0018722C">
            <w:pPr>
              <w:pStyle w:val="ac"/>
              <w:topLinePunct/>
              <w:ind w:leftChars="0" w:left="0" w:rightChars="0" w:right="0" w:firstLineChars="0" w:firstLine="0"/>
              <w:spacing w:line="240" w:lineRule="atLeast"/>
            </w:pPr>
            <w:r>
              <w:t>HepG2</w:t>
            </w:r>
            <w:r>
              <w:t>/</w:t>
            </w:r>
            <w:r>
              <w:t>mock</w:t>
            </w:r>
          </w:p>
        </w:tc>
        <w:tc>
          <w:tcPr>
            <w:tcW w:w="697" w:type="pct"/>
            <w:vAlign w:val="center"/>
          </w:tcPr>
          <w:p w:rsidR="0018722C">
            <w:pPr>
              <w:pStyle w:val="affff9"/>
              <w:topLinePunct/>
              <w:ind w:leftChars="0" w:left="0" w:rightChars="0" w:right="0" w:firstLineChars="0" w:firstLine="0"/>
              <w:spacing w:line="240" w:lineRule="atLeast"/>
            </w:pPr>
            <w:r>
              <w:t>249609.3</w:t>
            </w:r>
          </w:p>
        </w:tc>
        <w:tc>
          <w:tcPr>
            <w:tcW w:w="764" w:type="pct"/>
            <w:vAlign w:val="center"/>
          </w:tcPr>
          <w:p w:rsidR="0018722C">
            <w:pPr>
              <w:pStyle w:val="affff9"/>
              <w:topLinePunct/>
              <w:ind w:leftChars="0" w:left="0" w:rightChars="0" w:right="0" w:firstLineChars="0" w:firstLine="0"/>
              <w:spacing w:line="240" w:lineRule="atLeast"/>
            </w:pPr>
            <w:r>
              <w:t>213313.7</w:t>
            </w:r>
          </w:p>
        </w:tc>
        <w:tc>
          <w:tcPr>
            <w:tcW w:w="664" w:type="pct"/>
            <w:vAlign w:val="center"/>
          </w:tcPr>
          <w:p w:rsidR="0018722C">
            <w:pPr>
              <w:pStyle w:val="affff9"/>
              <w:topLinePunct/>
              <w:ind w:leftChars="0" w:left="0" w:rightChars="0" w:right="0" w:firstLineChars="0" w:firstLine="0"/>
              <w:spacing w:line="240" w:lineRule="atLeast"/>
            </w:pPr>
            <w:r>
              <w:t>188043.6</w:t>
            </w:r>
          </w:p>
        </w:tc>
        <w:tc>
          <w:tcPr>
            <w:tcW w:w="2023" w:type="pct"/>
            <w:vAlign w:val="center"/>
          </w:tcPr>
          <w:p w:rsidR="0018722C">
            <w:pPr>
              <w:pStyle w:val="ad"/>
              <w:topLinePunct/>
              <w:ind w:leftChars="0" w:left="0" w:rightChars="0" w:right="0" w:firstLineChars="0" w:firstLine="0"/>
              <w:spacing w:line="240" w:lineRule="atLeast"/>
            </w:pPr>
            <w:r>
              <w:t>216988.9±30946.9926</w:t>
            </w:r>
          </w:p>
        </w:tc>
      </w:tr>
      <w:tr>
        <w:tc>
          <w:tcPr>
            <w:tcW w:w="853"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357063.4</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352993.9</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359063.8</w:t>
            </w:r>
          </w:p>
        </w:tc>
        <w:tc>
          <w:tcPr>
            <w:tcW w:w="2023" w:type="pct"/>
            <w:vAlign w:val="center"/>
            <w:tcBorders>
              <w:top w:val="single" w:sz="4" w:space="0" w:color="auto"/>
            </w:tcBorders>
          </w:tcPr>
          <w:p w:rsidR="0018722C">
            <w:pPr>
              <w:pStyle w:val="ad"/>
              <w:topLinePunct/>
              <w:ind w:leftChars="0" w:left="0" w:rightChars="0" w:right="0" w:firstLineChars="0" w:firstLine="0"/>
              <w:spacing w:line="240" w:lineRule="atLeast"/>
            </w:pPr>
            <w:r>
              <w:t>356373.7±3093.1447</w:t>
            </w:r>
          </w:p>
        </w:tc>
      </w:tr>
    </w:tbl>
    <w:p w:rsidR="0018722C">
      <w:pPr>
        <w:rPr/>
        <w:topLinePunct/>
        <w:pStyle w:val="affa"/>
      </w:pPr>
    </w:p>
    <w:p w:rsidR="0018722C">
      <w:pPr>
        <w:pStyle w:val="affff5"/>
        <w:keepNext/>
        <w:topLinePunct/>
      </w:pPr>
      <w:r>
        <w:rPr>
          <w:sz w:val="20"/>
        </w:rPr>
        <w:drawing>
          <wp:inline distT="0" distB="0" distL="0" distR="0">
            <wp:extent cx="3747266" cy="2386583"/>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3747266" cy="2386583"/>
                    </a:xfrm>
                    <a:prstGeom prst="rect">
                      <a:avLst/>
                    </a:prstGeom>
                  </pic:spPr>
                </pic:pic>
              </a:graphicData>
            </a:graphic>
          </wp:inline>
        </w:drawing>
      </w:r>
      <w:r/>
    </w:p>
    <w:p w:rsidR="0018722C">
      <w:pPr>
        <w:pStyle w:val="a9"/>
        <w:topLinePunct/>
      </w:pPr>
      <w:r>
        <w:t>图</w:t>
      </w:r>
      <w:r>
        <w:t>2</w:t>
      </w:r>
      <w:r>
        <w:t xml:space="preserve">  </w:t>
      </w:r>
      <w:r>
        <w:t>三组细胞</w:t>
      </w:r>
      <w:r>
        <w:t>ROS</w:t>
      </w:r>
      <w:r/>
      <w:r w:rsidR="001852F3">
        <w:t xml:space="preserve">表达水平</w:t>
      </w:r>
      <w:r>
        <w:t>（</w:t>
      </w:r>
      <w:r>
        <w:rPr>
          <w:rFonts w:ascii="Times New Roman" w:eastAsia="Times New Roman"/>
        </w:rPr>
        <w:t>*</w:t>
      </w:r>
      <w:r w:rsidP="AA7D325B">
        <w:t>，</w:t>
      </w:r>
      <w:r>
        <w:t>P&lt;0.05</w:t>
      </w:r>
      <w:r>
        <w:t>）</w:t>
      </w:r>
      <w:r>
        <w:t>，</w:t>
      </w:r>
      <w:r w:rsidR="001852F3">
        <w:t xml:space="preserve">HBx</w:t>
      </w:r>
      <w:r w:rsidP="AA7D325B">
        <w:t>：</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2</w:t>
      </w:r>
      <w:r>
        <w:t xml:space="preserve"> </w:t>
      </w:r>
      <w:r>
        <w:rPr>
          <w:b/>
        </w:rPr>
        <w:t>HBx</w:t>
      </w:r>
      <w:r w:rsidR="001852F3">
        <w:t xml:space="preserve">上调</w:t>
      </w:r>
      <w:r>
        <w:rPr>
          <w:b/>
        </w:rPr>
        <w:t>HepG2</w:t>
      </w:r>
      <w:r w:rsidR="001852F3">
        <w:t xml:space="preserve">细胞</w:t>
      </w:r>
      <w:r>
        <w:rPr>
          <w:b/>
        </w:rPr>
        <w:t>COX-2</w:t>
      </w:r>
      <w:r>
        <w:rPr>
          <w:b/>
        </w:rPr>
        <w:t> </w:t>
      </w:r>
      <w:r>
        <w:rPr>
          <w:b/>
        </w:rPr>
        <w:t>mRNA</w:t>
      </w:r>
      <w:r w:rsidR="001852F3">
        <w:t xml:space="preserve">表达水平</w:t>
      </w:r>
    </w:p>
    <w:p w:rsidR="0018722C">
      <w:pPr>
        <w:topLinePunct/>
      </w:pPr>
      <w:r>
        <w:t>三组细胞</w:t>
      </w:r>
      <w:r>
        <w:t>COX-2 mRNA</w:t>
      </w:r>
      <w:r/>
      <w:r w:rsidR="001852F3">
        <w:t xml:space="preserve">表达情况如</w:t>
      </w:r>
      <w:r w:rsidR="001852F3">
        <w:t>图</w:t>
      </w:r>
      <w:r>
        <w:t>3</w:t>
      </w:r>
      <w:r/>
      <w:r w:rsidR="001852F3">
        <w:t xml:space="preserve">所示</w:t>
      </w:r>
      <w:r>
        <w:t>，COXⅢ</w:t>
      </w:r>
      <w:r w:rsidR="001852F3">
        <w:t xml:space="preserve">mRNA</w:t>
      </w:r>
      <w:r>
        <w:t>/</w:t>
      </w:r>
      <w:r>
        <w:t>β-actin mRNA</w:t>
      </w:r>
      <w:r/>
      <w:r w:rsidR="001852F3">
        <w:t xml:space="preserve">的</w:t>
      </w:r>
      <w:r>
        <w:t>相对灰度比值如</w:t>
      </w:r>
      <w:r>
        <w:t>表</w:t>
      </w:r>
      <w:r>
        <w:t>2</w:t>
      </w:r>
      <w:r/>
      <w:r w:rsidR="001852F3">
        <w:t xml:space="preserve">所示，统计学分析提示</w:t>
      </w:r>
      <w:r>
        <w:t>，HepG2</w:t>
      </w:r>
      <w:r>
        <w:t>/</w:t>
      </w:r>
      <w:r>
        <w:t>HBx</w:t>
      </w:r>
      <w:r/>
      <w:r w:rsidR="001852F3">
        <w:t xml:space="preserve">细胞组中</w:t>
      </w:r>
      <w:r>
        <w:t>COXⅢ</w:t>
      </w:r>
      <w:r w:rsidR="001852F3">
        <w:t xml:space="preserve">mRNA</w:t>
      </w:r>
      <w:r>
        <w:t> </w:t>
      </w:r>
      <w:r>
        <w:t>较</w:t>
      </w:r>
    </w:p>
    <w:p w:rsidR="0018722C">
      <w:pPr>
        <w:pStyle w:val="BodyText"/>
        <w:spacing w:line="357" w:lineRule="auto" w:before="36"/>
        <w:ind w:rightChars="0" w:right="209"/>
        <w:topLinePunct/>
      </w:pPr>
      <w:r>
        <w:t>HepG2/mock</w:t>
      </w:r>
      <w:r w:rsidR="001852F3">
        <w:rPr>
          <w:spacing w:val="-10"/>
        </w:rPr>
        <w:t xml:space="preserve">细胞组与</w:t>
      </w:r>
      <w:r>
        <w:t>HepG2</w:t>
      </w:r>
      <w:r w:rsidR="001852F3">
        <w:rPr>
          <w:spacing w:val="-5"/>
        </w:rPr>
        <w:t xml:space="preserve">细胞组升高</w:t>
      </w:r>
      <w:r>
        <w:t>（</w:t>
      </w:r>
      <w:r>
        <w:rPr>
          <w:spacing w:val="-15"/>
        </w:rPr>
        <w:t>图</w:t>
      </w:r>
      <w:r>
        <w:t>4</w:t>
      </w:r>
      <w:r>
        <w:rPr>
          <w:spacing w:val="-60"/>
        </w:rPr>
        <w:t>）</w:t>
      </w:r>
      <w:r>
        <w:t>，差异具有统计学意义(P&lt;0.05)。</w:t>
      </w:r>
      <w:r>
        <w:rPr>
          <w:spacing w:val="-4"/>
        </w:rPr>
        <w:t>该部分实验表明</w:t>
      </w:r>
      <w:r>
        <w:t>HBx</w:t>
      </w:r>
      <w:r w:rsidR="001852F3">
        <w:rPr>
          <w:spacing w:val="-10"/>
        </w:rPr>
        <w:t xml:space="preserve">可以上调</w:t>
      </w:r>
      <w:r>
        <w:t>HepG2/HBx</w:t>
      </w:r>
      <w:r w:rsidR="001852F3">
        <w:rPr>
          <w:spacing w:val="-12"/>
        </w:rPr>
        <w:t xml:space="preserve">细胞的</w:t>
      </w:r>
      <w:r>
        <w:t>COXⅢ</w:t>
      </w:r>
      <w:r w:rsidR="001852F3">
        <w:t xml:space="preserve">mRNA</w:t>
      </w:r>
      <w:r w:rsidR="001852F3">
        <w:rPr>
          <w:spacing w:val="-8"/>
        </w:rPr>
        <w:t xml:space="preserve">水平。</w:t>
      </w:r>
    </w:p>
    <w:p w:rsidR="00000000">
      <w:pPr>
        <w:pStyle w:val="aff7"/>
        <w:spacing w:line="240" w:lineRule="atLeast"/>
        <w:topLinePunct/>
      </w:pPr>
      <w:r>
        <w:drawing>
          <wp:inline>
            <wp:extent cx="4106365" cy="837152"/>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4" cstate="print"/>
                    <a:stretch>
                      <a:fillRect/>
                    </a:stretch>
                  </pic:blipFill>
                  <pic:spPr>
                    <a:xfrm>
                      <a:off x="0" y="0"/>
                      <a:ext cx="4106365" cy="837152"/>
                    </a:xfrm>
                    <a:prstGeom prst="rect">
                      <a:avLst/>
                    </a:prstGeom>
                  </pic:spPr>
                </pic:pic>
              </a:graphicData>
            </a:graphic>
          </wp:inline>
        </w:drawing>
      </w:r>
    </w:p>
    <w:p w:rsidR="0018722C">
      <w:pPr>
        <w:pStyle w:val="a9"/>
        <w:topLinePunct/>
      </w:pPr>
      <w:r>
        <w:t>图</w:t>
      </w:r>
      <w:r>
        <w:t>3</w:t>
      </w:r>
      <w:r>
        <w:t xml:space="preserve">  </w:t>
      </w:r>
      <w:r>
        <w:t>三组细胞</w:t>
      </w:r>
      <w:r>
        <w:t>COX-2</w:t>
      </w:r>
      <w:r>
        <w:t> </w:t>
      </w:r>
      <w:r>
        <w:t>mRNA</w:t>
      </w:r>
      <w:r/>
      <w:r w:rsidR="001852F3">
        <w:t xml:space="preserve">的表达水平。</w:t>
      </w:r>
      <w:r>
        <w:t>1</w:t>
      </w:r>
      <w:r/>
      <w:r w:rsidR="001852F3">
        <w:t xml:space="preserve">和</w:t>
      </w:r>
      <w:r>
        <w:t>7</w:t>
      </w:r>
      <w:r>
        <w:t>、</w:t>
      </w:r>
      <w:r>
        <w:t>2</w:t>
      </w:r>
      <w:r/>
      <w:r w:rsidR="001852F3">
        <w:t xml:space="preserve">与</w:t>
      </w:r>
      <w:r>
        <w:t>6</w:t>
      </w:r>
      <w:r>
        <w:t>、</w:t>
      </w:r>
      <w:r>
        <w:t>3</w:t>
      </w:r>
      <w:r/>
      <w:r w:rsidR="001852F3">
        <w:t xml:space="preserve">与</w:t>
      </w:r>
      <w:r>
        <w:t>5</w:t>
      </w:r>
      <w:r/>
      <w:r w:rsidR="001852F3">
        <w:t xml:space="preserve">分别代表</w:t>
      </w:r>
      <w:r>
        <w:t>HepG2、</w:t>
      </w:r>
    </w:p>
    <w:p w:rsidR="0018722C">
      <w:pPr>
        <w:topLinePunct/>
      </w:pPr>
      <w:r>
        <w:t>HepG2</w:t>
      </w:r>
      <w:r>
        <w:t>/</w:t>
      </w:r>
      <w:r>
        <w:t>mock、HepG2</w:t>
      </w:r>
      <w:r>
        <w:t>/</w:t>
      </w:r>
      <w:r>
        <w:t>HBx，4</w:t>
      </w:r>
      <w:r w:rsidR="001852F3">
        <w:t xml:space="preserve">代表</w:t>
      </w:r>
      <w:r w:rsidR="001852F3">
        <w:t xml:space="preserve">marker。</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t xml:space="preserve">  </w:t>
      </w:r>
      <w:r>
        <w:rPr>
          <w:rFonts w:cstheme="minorBidi" w:hAnsiTheme="minorHAnsi" w:eastAsiaTheme="minorHAnsi" w:asciiTheme="minorHAnsi"/>
        </w:rPr>
        <w:t>三组细胞</w:t>
      </w:r>
      <w:r>
        <w:rPr>
          <w:rFonts w:cstheme="minorBidi" w:hAnsiTheme="minorHAnsi" w:eastAsiaTheme="minorHAnsi" w:asciiTheme="minorHAnsi"/>
        </w:rPr>
        <w:t>COX-2</w:t>
      </w:r>
      <w:r>
        <w:rPr>
          <w:rFonts w:cstheme="minorBidi" w:hAnsiTheme="minorHAnsi" w:eastAsiaTheme="minorHAnsi" w:asciiTheme="minorHAnsi"/>
        </w:rPr>
        <w:t>/</w:t>
      </w:r>
      <w:r>
        <w:rPr>
          <w:rFonts w:cstheme="minorBidi" w:hAnsiTheme="minorHAnsi" w:eastAsiaTheme="minorHAnsi" w:asciiTheme="minorHAnsi"/>
        </w:rPr>
        <w:t>β-actin</w:t>
      </w:r>
      <w:r w:rsidRPr="00000000">
        <w:rPr>
          <w:rFonts w:cstheme="minorBidi" w:hAnsiTheme="minorHAnsi" w:eastAsiaTheme="minorHAnsi" w:asciiTheme="minorHAnsi"/>
        </w:rPr>
        <w:tab/>
        <w:t>mRNA</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8"/>
        <w:gridCol w:w="945"/>
        <w:gridCol w:w="1364"/>
        <w:gridCol w:w="1154"/>
        <w:gridCol w:w="2006"/>
        <w:gridCol w:w="1245"/>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42" w:type="pct"/>
            <w:vAlign w:val="center"/>
          </w:tcPr>
          <w:p w:rsidR="0018722C">
            <w:pPr>
              <w:pStyle w:val="ac"/>
              <w:topLinePunct/>
              <w:ind w:leftChars="0" w:left="0" w:rightChars="0" w:right="0" w:firstLineChars="0" w:firstLine="0"/>
              <w:spacing w:line="240" w:lineRule="atLeast"/>
            </w:pPr>
            <w:r>
              <w:t>组 别</w:t>
            </w:r>
          </w:p>
        </w:tc>
        <w:tc>
          <w:tcPr>
            <w:tcW w:w="571" w:type="pct"/>
            <w:vAlign w:val="center"/>
          </w:tcPr>
          <w:p w:rsidR="0018722C">
            <w:pPr>
              <w:pStyle w:val="a5"/>
              <w:topLinePunct/>
              <w:ind w:leftChars="0" w:left="0" w:rightChars="0" w:right="0" w:firstLineChars="0" w:firstLine="0"/>
              <w:spacing w:line="240" w:lineRule="atLeast"/>
            </w:pPr>
            <w:r>
              <w:t>第一次</w:t>
            </w:r>
          </w:p>
        </w:tc>
        <w:tc>
          <w:tcPr>
            <w:tcW w:w="824" w:type="pct"/>
            <w:vAlign w:val="center"/>
          </w:tcPr>
          <w:p w:rsidR="0018722C">
            <w:pPr>
              <w:pStyle w:val="a5"/>
              <w:topLinePunct/>
              <w:ind w:leftChars="0" w:left="0" w:rightChars="0" w:right="0" w:firstLineChars="0" w:firstLine="0"/>
              <w:spacing w:line="240" w:lineRule="atLeast"/>
            </w:pPr>
            <w:r>
              <w:t>第二次</w:t>
            </w:r>
          </w:p>
        </w:tc>
        <w:tc>
          <w:tcPr>
            <w:tcW w:w="698" w:type="pct"/>
            <w:vAlign w:val="center"/>
          </w:tcPr>
          <w:p w:rsidR="0018722C">
            <w:pPr>
              <w:pStyle w:val="a5"/>
              <w:topLinePunct/>
              <w:ind w:leftChars="0" w:left="0" w:rightChars="0" w:right="0" w:firstLineChars="0" w:firstLine="0"/>
              <w:spacing w:line="240" w:lineRule="atLeast"/>
            </w:pPr>
            <w:r>
              <w:t>第三次</w:t>
            </w:r>
          </w:p>
        </w:tc>
        <w:tc>
          <w:tcPr>
            <w:tcW w:w="1213" w:type="pct"/>
            <w:vAlign w:val="center"/>
          </w:tcPr>
          <w:p w:rsidR="0018722C">
            <w:pPr>
              <w:pStyle w:val="a5"/>
              <w:topLinePunct/>
              <w:ind w:leftChars="0" w:left="0" w:rightChars="0" w:right="0" w:firstLineChars="0" w:firstLine="0"/>
              <w:spacing w:line="240" w:lineRule="atLeast"/>
            </w:pPr>
            <w:r>
              <w:t>X </w:t>
            </w:r>
            <w:r>
              <w:t></w:t>
            </w:r>
            <w:r>
              <w:t> </w:t>
            </w:r>
            <w:r>
              <w:t>s</w:t>
            </w:r>
          </w:p>
        </w:tc>
        <w:tc>
          <w:tcPr>
            <w:tcW w:w="753" w:type="pct"/>
            <w:vMerge/>
            <w:vAlign w:val="center"/>
          </w:tcPr>
          <w:p w:rsidR="0018722C">
            <w:pPr>
              <w:pStyle w:val="ad"/>
              <w:topLinePunct/>
              <w:ind w:leftChars="0" w:left="0" w:rightChars="0" w:right="0" w:firstLineChars="0" w:firstLine="0"/>
              <w:spacing w:line="240" w:lineRule="atLeast"/>
            </w:pPr>
          </w:p>
        </w:tc>
      </w:tr>
      <w:tr>
        <w:tc>
          <w:tcPr>
            <w:tcW w:w="942" w:type="pct"/>
            <w:vAlign w:val="center"/>
          </w:tcPr>
          <w:p w:rsidR="0018722C">
            <w:pPr>
              <w:pStyle w:val="ac"/>
              <w:topLinePunct/>
              <w:ind w:leftChars="0" w:left="0" w:rightChars="0" w:right="0" w:firstLineChars="0" w:firstLine="0"/>
              <w:spacing w:line="240" w:lineRule="atLeast"/>
            </w:pPr>
            <w:r>
              <w:t>HepG2</w:t>
            </w:r>
          </w:p>
        </w:tc>
        <w:tc>
          <w:tcPr>
            <w:tcW w:w="571" w:type="pct"/>
            <w:vAlign w:val="center"/>
          </w:tcPr>
          <w:p w:rsidR="0018722C">
            <w:pPr>
              <w:pStyle w:val="affff9"/>
              <w:topLinePunct/>
              <w:ind w:leftChars="0" w:left="0" w:rightChars="0" w:right="0" w:firstLineChars="0" w:firstLine="0"/>
              <w:spacing w:line="240" w:lineRule="atLeast"/>
            </w:pPr>
            <w:r>
              <w:t>0.101</w:t>
            </w:r>
          </w:p>
        </w:tc>
        <w:tc>
          <w:tcPr>
            <w:tcW w:w="824" w:type="pct"/>
            <w:vAlign w:val="center"/>
          </w:tcPr>
          <w:p w:rsidR="0018722C">
            <w:pPr>
              <w:pStyle w:val="affff9"/>
              <w:topLinePunct/>
              <w:ind w:leftChars="0" w:left="0" w:rightChars="0" w:right="0" w:firstLineChars="0" w:firstLine="0"/>
              <w:spacing w:line="240" w:lineRule="atLeast"/>
            </w:pPr>
            <w:r>
              <w:t>0.130</w:t>
            </w:r>
          </w:p>
        </w:tc>
        <w:tc>
          <w:tcPr>
            <w:tcW w:w="698" w:type="pct"/>
            <w:vAlign w:val="center"/>
          </w:tcPr>
          <w:p w:rsidR="0018722C">
            <w:pPr>
              <w:pStyle w:val="affff9"/>
              <w:topLinePunct/>
              <w:ind w:leftChars="0" w:left="0" w:rightChars="0" w:right="0" w:firstLineChars="0" w:firstLine="0"/>
              <w:spacing w:line="240" w:lineRule="atLeast"/>
            </w:pPr>
            <w:r>
              <w:t>0.412</w:t>
            </w:r>
          </w:p>
        </w:tc>
        <w:tc>
          <w:tcPr>
            <w:tcW w:w="1213" w:type="pct"/>
            <w:vAlign w:val="center"/>
          </w:tcPr>
          <w:p w:rsidR="0018722C">
            <w:pPr>
              <w:pStyle w:val="a5"/>
              <w:topLinePunct/>
              <w:ind w:leftChars="0" w:left="0" w:rightChars="0" w:right="0" w:firstLineChars="0" w:firstLine="0"/>
              <w:spacing w:line="240" w:lineRule="atLeast"/>
            </w:pPr>
            <w:r>
              <w:t>0.2144±0.1716</w:t>
            </w:r>
          </w:p>
        </w:tc>
        <w:tc>
          <w:tcPr>
            <w:tcW w:w="753" w:type="pct"/>
            <w:vAlign w:val="center"/>
          </w:tcPr>
          <w:p w:rsidR="0018722C">
            <w:pPr>
              <w:pStyle w:val="ad"/>
              <w:topLinePunct/>
              <w:ind w:leftChars="0" w:left="0" w:rightChars="0" w:right="0" w:firstLineChars="0" w:firstLine="0"/>
              <w:spacing w:line="240" w:lineRule="atLeast"/>
            </w:pPr>
          </w:p>
        </w:tc>
      </w:tr>
      <w:tr>
        <w:tc>
          <w:tcPr>
            <w:tcW w:w="942" w:type="pct"/>
            <w:vAlign w:val="center"/>
          </w:tcPr>
          <w:p w:rsidR="0018722C">
            <w:pPr>
              <w:pStyle w:val="ac"/>
              <w:topLinePunct/>
              <w:ind w:leftChars="0" w:left="0" w:rightChars="0" w:right="0" w:firstLineChars="0" w:firstLine="0"/>
              <w:spacing w:line="240" w:lineRule="atLeast"/>
            </w:pPr>
            <w:r>
              <w:t>HepG2</w:t>
            </w:r>
            <w:r>
              <w:t>/</w:t>
            </w:r>
            <w:r>
              <w:t>mock</w:t>
            </w:r>
          </w:p>
        </w:tc>
        <w:tc>
          <w:tcPr>
            <w:tcW w:w="571" w:type="pct"/>
            <w:vAlign w:val="center"/>
          </w:tcPr>
          <w:p w:rsidR="0018722C">
            <w:pPr>
              <w:pStyle w:val="affff9"/>
              <w:topLinePunct/>
              <w:ind w:leftChars="0" w:left="0" w:rightChars="0" w:right="0" w:firstLineChars="0" w:firstLine="0"/>
              <w:spacing w:line="240" w:lineRule="atLeast"/>
            </w:pPr>
            <w:r>
              <w:t>0.413</w:t>
            </w:r>
          </w:p>
        </w:tc>
        <w:tc>
          <w:tcPr>
            <w:tcW w:w="824" w:type="pct"/>
            <w:vAlign w:val="center"/>
          </w:tcPr>
          <w:p w:rsidR="0018722C">
            <w:pPr>
              <w:pStyle w:val="affff9"/>
              <w:topLinePunct/>
              <w:ind w:leftChars="0" w:left="0" w:rightChars="0" w:right="0" w:firstLineChars="0" w:firstLine="0"/>
              <w:spacing w:line="240" w:lineRule="atLeast"/>
            </w:pPr>
            <w:r>
              <w:t>0.369</w:t>
            </w:r>
          </w:p>
        </w:tc>
        <w:tc>
          <w:tcPr>
            <w:tcW w:w="698" w:type="pct"/>
            <w:vAlign w:val="center"/>
          </w:tcPr>
          <w:p w:rsidR="0018722C">
            <w:pPr>
              <w:pStyle w:val="affff9"/>
              <w:topLinePunct/>
              <w:ind w:leftChars="0" w:left="0" w:rightChars="0" w:right="0" w:firstLineChars="0" w:firstLine="0"/>
              <w:spacing w:line="240" w:lineRule="atLeast"/>
            </w:pPr>
            <w:r>
              <w:t>0.358</w:t>
            </w:r>
          </w:p>
        </w:tc>
        <w:tc>
          <w:tcPr>
            <w:tcW w:w="1213" w:type="pct"/>
            <w:vAlign w:val="center"/>
          </w:tcPr>
          <w:p w:rsidR="0018722C">
            <w:pPr>
              <w:pStyle w:val="a5"/>
              <w:topLinePunct/>
              <w:ind w:leftChars="0" w:left="0" w:rightChars="0" w:right="0" w:firstLineChars="0" w:firstLine="0"/>
              <w:spacing w:line="240" w:lineRule="atLeast"/>
            </w:pPr>
            <w:r>
              <w:t>0.3798±0.2927</w:t>
            </w:r>
          </w:p>
        </w:tc>
        <w:tc>
          <w:tcPr>
            <w:tcW w:w="753" w:type="pct"/>
            <w:vAlign w:val="center"/>
          </w:tcPr>
          <w:p w:rsidR="0018722C">
            <w:pPr>
              <w:pStyle w:val="ad"/>
              <w:topLinePunct/>
              <w:ind w:leftChars="0" w:left="0" w:rightChars="0" w:right="0" w:firstLineChars="0" w:firstLine="0"/>
              <w:spacing w:line="240" w:lineRule="atLeast"/>
            </w:pPr>
          </w:p>
        </w:tc>
      </w:tr>
      <w:tr>
        <w:tc>
          <w:tcPr>
            <w:tcW w:w="942"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0.950</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1.125</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0.558</w:t>
            </w:r>
          </w:p>
        </w:tc>
        <w:tc>
          <w:tcPr>
            <w:tcW w:w="753" w:type="pct"/>
            <w:vAlign w:val="center"/>
            <w:tcBorders>
              <w:top w:val="single" w:sz="4" w:space="0" w:color="auto"/>
            </w:tcBorders>
          </w:tcPr>
          <w:p w:rsidR="0018722C">
            <w:pPr>
              <w:pStyle w:val="ad"/>
              <w:topLinePunct/>
              <w:ind w:leftChars="0" w:left="0" w:rightChars="0" w:right="0" w:firstLineChars="0" w:firstLine="0"/>
              <w:spacing w:line="240" w:lineRule="atLeast"/>
            </w:pPr>
            <w:r>
              <w:t>0.9776 ±</w:t>
            </w:r>
          </w:p>
        </w:tc>
      </w:tr>
    </w:tbl>
    <w:p w:rsidR="0018722C">
      <w:pPr>
        <w:rPr/>
        <w:topLinePunct/>
        <w:pStyle w:val="affa"/>
      </w:pPr>
    </w:p>
    <w:p w:rsidR="0018722C">
      <w:pPr>
        <w:spacing w:before="0"/>
        <w:ind w:leftChars="0" w:left="1316" w:rightChars="0" w:right="0" w:firstLineChars="0" w:firstLine="0"/>
        <w:jc w:val="left"/>
        <w:keepNext/>
        <w:topLinePunct/>
      </w:pPr>
      <w:r>
        <w:rPr>
          <w:kern w:val="2"/>
          <w:szCs w:val="22"/>
          <w:rFonts w:cstheme="minorBidi" w:hAnsiTheme="minorHAnsi" w:eastAsiaTheme="minorHAnsi" w:asciiTheme="minorHAnsi"/>
          <w:sz w:val="21"/>
        </w:rPr>
        <w:t>0.2904</w:t>
      </w:r>
    </w:p>
    <w:p w:rsidR="00000000">
      <w:pPr>
        <w:pStyle w:val="aff7"/>
        <w:spacing w:line="240" w:lineRule="atLeast"/>
        <w:topLinePunct/>
      </w:pPr>
      <w:r>
        <w:rPr>
          <w:kern w:val="2"/>
          <w:sz w:val="22"/>
          <w:szCs w:val="22"/>
          <w:rFonts w:cstheme="minorBidi" w:hAnsiTheme="minorHAnsi" w:eastAsiaTheme="minorHAnsi" w:asciiTheme="minorHAnsi"/>
        </w:rPr>
        <w:drawing>
          <wp:inline>
            <wp:extent cx="3742054" cy="3096895"/>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3742054" cy="3096895"/>
                    </a:xfrm>
                    <a:prstGeom prst="rect">
                      <a:avLst/>
                    </a:prstGeom>
                  </pic:spPr>
                </pic:pic>
              </a:graphicData>
            </a:graphic>
          </wp:inline>
        </w:drawing>
      </w:r>
    </w:p>
    <w:p w:rsidR="0018722C">
      <w:pPr>
        <w:pStyle w:val="a9"/>
        <w:topLinePunct/>
      </w:pPr>
      <w:r>
        <w:t>图</w:t>
      </w:r>
      <w:r>
        <w:t>4</w:t>
      </w:r>
      <w:r>
        <w:t xml:space="preserve">  </w:t>
      </w:r>
      <w:r>
        <w:t>三组细胞</w:t>
      </w:r>
      <w:r>
        <w:t>COX-2</w:t>
      </w:r>
      <w:r>
        <w:t> </w:t>
      </w:r>
      <w:r>
        <w:t>mRNA</w:t>
      </w:r>
      <w:r/>
      <w:r w:rsidR="001852F3">
        <w:t xml:space="preserve">表达水平</w:t>
      </w:r>
      <w:r>
        <w:t>（</w:t>
      </w:r>
      <w:r>
        <w:rPr>
          <w:rFonts w:ascii="Times New Roman" w:eastAsia="Times New Roman"/>
        </w:rPr>
        <w:t>*</w:t>
      </w:r>
      <w:r w:rsidP="AA7D325B">
        <w:t>，</w:t>
      </w:r>
      <w:r>
        <w:t>P&lt;0.05</w:t>
      </w:r>
      <w:r>
        <w:t>）</w:t>
      </w:r>
      <w:r>
        <w:t>，</w:t>
      </w:r>
      <w:r>
        <w:t>HBx</w:t>
      </w:r>
      <w:r w:rsidP="AA7D325B">
        <w:t>：</w:t>
      </w:r>
      <w:r>
        <w:t>HepG2</w:t>
      </w:r>
      <w:r>
        <w:t>/</w:t>
      </w:r>
      <w:r>
        <w:t>HBx</w:t>
      </w:r>
      <w:r/>
      <w:r w:rsidR="001852F3">
        <w:t xml:space="preserve">细胞;</w:t>
      </w:r>
    </w:p>
    <w:p w:rsidR="0018722C">
      <w:pPr>
        <w:topLinePunct/>
      </w:pPr>
      <w:r>
        <w:t>Mock</w:t>
      </w:r>
      <w:r>
        <w:t xml:space="preserve">: </w:t>
      </w: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3</w:t>
      </w:r>
      <w:r>
        <w:t xml:space="preserve"> </w:t>
      </w:r>
      <w:r>
        <w:rPr>
          <w:b/>
        </w:rPr>
        <w:t>HBx</w:t>
      </w:r>
      <w:r w:rsidR="001852F3">
        <w:t xml:space="preserve">上调</w:t>
      </w:r>
      <w:r>
        <w:rPr>
          <w:b/>
        </w:rPr>
        <w:t>HepG2</w:t>
      </w:r>
      <w:r w:rsidR="001852F3">
        <w:t xml:space="preserve">细胞</w:t>
      </w:r>
      <w:r>
        <w:rPr>
          <w:b/>
        </w:rPr>
        <w:t>COX-2</w:t>
      </w:r>
      <w:r w:rsidR="001852F3">
        <w:t xml:space="preserve">蛋白表达水平</w:t>
      </w:r>
    </w:p>
    <w:p w:rsidR="0018722C">
      <w:pPr>
        <w:pStyle w:val="BodyText"/>
        <w:spacing w:line="357" w:lineRule="auto" w:before="213"/>
        <w:ind w:rightChars="0" w:right="117" w:firstLineChars="0" w:firstLine="480"/>
        <w:jc w:val="both"/>
        <w:topLinePunct/>
      </w:pPr>
      <w:r>
        <w:rPr>
          <w:spacing w:val="-6"/>
        </w:rPr>
        <w:t>三组细胞</w:t>
      </w:r>
      <w:r>
        <w:t>COX-2</w:t>
      </w:r>
      <w:r w:rsidR="001852F3">
        <w:rPr>
          <w:spacing w:val="-3"/>
        </w:rPr>
        <w:t xml:space="preserve">蛋白表达情况如图</w:t>
      </w:r>
      <w:r>
        <w:t>5</w:t>
      </w:r>
      <w:r w:rsidR="001852F3">
        <w:rPr>
          <w:spacing w:val="-8"/>
        </w:rPr>
        <w:t xml:space="preserve">所示，</w:t>
      </w:r>
      <w:r>
        <w:rPr>
          <w:spacing w:val="-3"/>
        </w:rPr>
        <w:t>COXⅢ/β-actin</w:t>
      </w:r>
      <w:r w:rsidR="001852F3">
        <w:t xml:space="preserve">蛋白的相对灰度</w:t>
      </w:r>
      <w:r>
        <w:rPr>
          <w:spacing w:val="-6"/>
        </w:rPr>
        <w:t>比值如表</w:t>
      </w:r>
      <w:r>
        <w:t>3</w:t>
      </w:r>
      <w:r w:rsidR="001852F3">
        <w:rPr>
          <w:spacing w:val="-6"/>
        </w:rPr>
        <w:t xml:space="preserve">所示，统计学分析提示，</w:t>
      </w:r>
      <w:r>
        <w:rPr>
          <w:spacing w:val="-2"/>
        </w:rPr>
        <w:t>HepG2/HBx</w:t>
      </w:r>
      <w:r w:rsidR="001852F3">
        <w:rPr>
          <w:spacing w:val="-10"/>
        </w:rPr>
        <w:t xml:space="preserve">细胞组中</w:t>
      </w:r>
      <w:r>
        <w:t>COXⅢ</w:t>
      </w:r>
      <w:r>
        <w:rPr>
          <w:spacing w:val="-8"/>
        </w:rPr>
        <w:t>蛋白较</w:t>
      </w:r>
      <w:r>
        <w:t>HepG2/mock</w:t>
      </w:r>
      <w:r>
        <w:rPr>
          <w:spacing w:val="-5"/>
        </w:rPr>
        <w:t>细胞组与</w:t>
      </w:r>
      <w:r>
        <w:t>HepG2</w:t>
      </w:r>
      <w:r w:rsidR="001852F3">
        <w:rPr>
          <w:spacing w:val="-4"/>
        </w:rPr>
        <w:t xml:space="preserve">细胞组升高</w:t>
      </w:r>
      <w:r>
        <w:t>（</w:t>
      </w:r>
      <w:r>
        <w:rPr>
          <w:spacing w:val="-12"/>
        </w:rPr>
        <w:t>图</w:t>
      </w:r>
      <w:r>
        <w:t>6</w:t>
      </w:r>
      <w:r>
        <w:rPr>
          <w:spacing w:val="-60"/>
        </w:rPr>
        <w:t>）</w:t>
      </w:r>
      <w:r>
        <w:t>，差异具有统计学意义(P&lt;0.05)。该部分实验</w:t>
      </w:r>
      <w:r>
        <w:rPr>
          <w:spacing w:val="-10"/>
        </w:rPr>
        <w:t>表明</w:t>
      </w:r>
      <w:r>
        <w:t>HBx</w:t>
      </w:r>
      <w:r w:rsidR="001852F3">
        <w:rPr>
          <w:spacing w:val="-10"/>
        </w:rPr>
        <w:t xml:space="preserve">可以上调</w:t>
      </w:r>
      <w:r>
        <w:t>HepG2/HBx</w:t>
      </w:r>
      <w:r w:rsidR="001852F3">
        <w:rPr>
          <w:spacing w:val="-12"/>
        </w:rPr>
        <w:t xml:space="preserve">细胞的</w:t>
      </w:r>
      <w:r>
        <w:t>COXⅢ蛋白表达水平。</w:t>
      </w:r>
    </w:p>
    <w:p w:rsidR="00000000">
      <w:pPr>
        <w:pStyle w:val="aff7"/>
        <w:spacing w:line="240" w:lineRule="atLeast"/>
        <w:topLinePunct/>
      </w:pPr>
      <w:r>
        <w:drawing>
          <wp:inline>
            <wp:extent cx="4153980" cy="1005839"/>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4153980" cy="1005839"/>
                    </a:xfrm>
                    <a:prstGeom prst="rect">
                      <a:avLst/>
                    </a:prstGeom>
                  </pic:spPr>
                </pic:pic>
              </a:graphicData>
            </a:graphic>
          </wp:inline>
        </w:drawing>
      </w:r>
    </w:p>
    <w:p w:rsidR="0018722C">
      <w:pPr>
        <w:pStyle w:val="a9"/>
        <w:topLinePunct/>
      </w:pPr>
      <w:r>
        <w:t>图</w:t>
      </w:r>
      <w:r>
        <w:t>5</w:t>
      </w:r>
      <w:r>
        <w:t xml:space="preserve">  </w:t>
      </w:r>
      <w:r>
        <w:t>三组细胞</w:t>
      </w:r>
      <w:r>
        <w:t>COX-2</w:t>
      </w:r>
      <w:r w:rsidR="001852F3">
        <w:t xml:space="preserve">蛋白表达水平，HBx</w:t>
      </w:r>
      <w:r w:rsidP="AA7D325B">
        <w:t>：</w:t>
      </w:r>
      <w:r>
        <w:t>HepG2</w:t>
      </w:r>
      <w:r>
        <w:t>/</w:t>
      </w:r>
      <w:r>
        <w:t>HBx</w:t>
      </w:r>
      <w:r/>
      <w:r w:rsidR="001852F3">
        <w:t xml:space="preserve">细胞; </w:t>
      </w:r>
      <w:r>
        <w:t>Mock</w:t>
      </w:r>
      <w:r w:rsidP="AA7D325B">
        <w:t>：</w:t>
      </w:r>
      <w:r>
        <w:t>HepG2</w:t>
      </w:r>
      <w:r>
        <w:t>/</w:t>
      </w:r>
      <w:r>
        <w:t>mock细胞; Control</w:t>
      </w:r>
      <w:r w:rsidP="AA7D325B">
        <w:t>：</w:t>
      </w:r>
      <w:r>
        <w:t>HepG2</w:t>
      </w:r>
      <w:r/>
      <w:r w:rsidR="001852F3">
        <w:t xml:space="preserve">细胞</w:t>
      </w:r>
    </w:p>
    <w:p w:rsidR="0018722C">
      <w:pPr>
        <w:pStyle w:val="a8"/>
        <w:topLinePunct/>
      </w:pPr>
      <w:r>
        <w:rPr>
          <w:rFonts w:cstheme="minorBidi" w:hAnsiTheme="minorHAnsi" w:eastAsiaTheme="minorHAnsi" w:asciiTheme="minorHAnsi"/>
        </w:rPr>
        <w:t>表3</w:t>
      </w:r>
      <w:r>
        <w:t xml:space="preserve">  </w:t>
      </w:r>
      <w:r w:rsidRPr="00DB64CE">
        <w:rPr>
          <w:rFonts w:cstheme="minorBidi" w:hAnsiTheme="minorHAnsi" w:eastAsiaTheme="minorHAnsi" w:asciiTheme="minorHAnsi"/>
        </w:rPr>
        <w:t>三组细胞</w:t>
      </w:r>
      <w:r w:rsidR="001852F3">
        <w:rPr>
          <w:rFonts w:cstheme="minorBidi" w:hAnsiTheme="minorHAnsi" w:eastAsiaTheme="minorHAnsi" w:asciiTheme="minorHAnsi"/>
        </w:rPr>
        <w:t xml:space="preserve">COX-2</w:t>
      </w:r>
      <w:r>
        <w:rPr>
          <w:rFonts w:cstheme="minorBidi" w:hAnsiTheme="minorHAnsi" w:eastAsiaTheme="minorHAnsi" w:asciiTheme="minorHAnsi"/>
        </w:rPr>
        <w:t>/</w:t>
      </w:r>
      <w:r>
        <w:rPr>
          <w:rFonts w:cstheme="minorBidi" w:hAnsiTheme="minorHAnsi" w:eastAsiaTheme="minorHAnsi" w:asciiTheme="minorHAnsi"/>
        </w:rPr>
        <w:t>β-actin</w:t>
      </w:r>
      <w:r w:rsidR="001852F3">
        <w:rPr>
          <w:rFonts w:cstheme="minorBidi" w:hAnsiTheme="minorHAnsi" w:eastAsiaTheme="minorHAnsi" w:asciiTheme="minorHAnsi"/>
        </w:rPr>
        <w:t xml:space="preserve">蛋白相对灰度比值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8"/>
        <w:gridCol w:w="1155"/>
        <w:gridCol w:w="1207"/>
        <w:gridCol w:w="1312"/>
        <w:gridCol w:w="2672"/>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9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86" w:type="pct"/>
            <w:vAlign w:val="center"/>
          </w:tcPr>
          <w:p w:rsidR="0018722C">
            <w:pPr>
              <w:pStyle w:val="ac"/>
              <w:topLinePunct/>
              <w:ind w:leftChars="0" w:left="0" w:rightChars="0" w:right="0" w:firstLineChars="0" w:firstLine="0"/>
              <w:spacing w:line="240" w:lineRule="atLeast"/>
            </w:pPr>
            <w:r>
              <w:t>组 别</w:t>
            </w:r>
          </w:p>
        </w:tc>
        <w:tc>
          <w:tcPr>
            <w:tcW w:w="731" w:type="pct"/>
            <w:vAlign w:val="center"/>
          </w:tcPr>
          <w:p w:rsidR="0018722C">
            <w:pPr>
              <w:pStyle w:val="a5"/>
              <w:topLinePunct/>
              <w:ind w:leftChars="0" w:left="0" w:rightChars="0" w:right="0" w:firstLineChars="0" w:firstLine="0"/>
              <w:spacing w:line="240" w:lineRule="atLeast"/>
            </w:pPr>
            <w:r>
              <w:t>第一次</w:t>
            </w:r>
          </w:p>
        </w:tc>
        <w:tc>
          <w:tcPr>
            <w:tcW w:w="764" w:type="pct"/>
            <w:vAlign w:val="center"/>
          </w:tcPr>
          <w:p w:rsidR="0018722C">
            <w:pPr>
              <w:pStyle w:val="a5"/>
              <w:topLinePunct/>
              <w:ind w:leftChars="0" w:left="0" w:rightChars="0" w:right="0" w:firstLineChars="0" w:firstLine="0"/>
              <w:spacing w:line="240" w:lineRule="atLeast"/>
            </w:pPr>
            <w:r>
              <w:t>第二次</w:t>
            </w:r>
          </w:p>
        </w:tc>
        <w:tc>
          <w:tcPr>
            <w:tcW w:w="830" w:type="pct"/>
            <w:vAlign w:val="center"/>
          </w:tcPr>
          <w:p w:rsidR="0018722C">
            <w:pPr>
              <w:pStyle w:val="a5"/>
              <w:topLinePunct/>
              <w:ind w:leftChars="0" w:left="0" w:rightChars="0" w:right="0" w:firstLineChars="0" w:firstLine="0"/>
              <w:spacing w:line="240" w:lineRule="atLeast"/>
            </w:pPr>
            <w:r>
              <w:t>第三次</w:t>
            </w:r>
          </w:p>
        </w:tc>
        <w:tc>
          <w:tcPr>
            <w:tcW w:w="1690"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986" w:type="pct"/>
            <w:vAlign w:val="center"/>
          </w:tcPr>
          <w:p w:rsidR="0018722C">
            <w:pPr>
              <w:pStyle w:val="ac"/>
              <w:topLinePunct/>
              <w:ind w:leftChars="0" w:left="0" w:rightChars="0" w:right="0" w:firstLineChars="0" w:firstLine="0"/>
              <w:spacing w:line="240" w:lineRule="atLeast"/>
            </w:pPr>
            <w:r>
              <w:t>HepG2</w:t>
            </w:r>
          </w:p>
        </w:tc>
        <w:tc>
          <w:tcPr>
            <w:tcW w:w="731" w:type="pct"/>
            <w:vAlign w:val="center"/>
          </w:tcPr>
          <w:p w:rsidR="0018722C">
            <w:pPr>
              <w:pStyle w:val="affff9"/>
              <w:topLinePunct/>
              <w:ind w:leftChars="0" w:left="0" w:rightChars="0" w:right="0" w:firstLineChars="0" w:firstLine="0"/>
              <w:spacing w:line="240" w:lineRule="atLeast"/>
            </w:pPr>
            <w:r>
              <w:t>0.5819</w:t>
            </w:r>
          </w:p>
        </w:tc>
        <w:tc>
          <w:tcPr>
            <w:tcW w:w="764" w:type="pct"/>
            <w:vAlign w:val="center"/>
          </w:tcPr>
          <w:p w:rsidR="0018722C">
            <w:pPr>
              <w:pStyle w:val="affff9"/>
              <w:topLinePunct/>
              <w:ind w:leftChars="0" w:left="0" w:rightChars="0" w:right="0" w:firstLineChars="0" w:firstLine="0"/>
              <w:spacing w:line="240" w:lineRule="atLeast"/>
            </w:pPr>
            <w:r>
              <w:t>0.6233</w:t>
            </w:r>
          </w:p>
        </w:tc>
        <w:tc>
          <w:tcPr>
            <w:tcW w:w="830" w:type="pct"/>
            <w:vAlign w:val="center"/>
          </w:tcPr>
          <w:p w:rsidR="0018722C">
            <w:pPr>
              <w:pStyle w:val="affff9"/>
              <w:topLinePunct/>
              <w:ind w:leftChars="0" w:left="0" w:rightChars="0" w:right="0" w:firstLineChars="0" w:firstLine="0"/>
              <w:spacing w:line="240" w:lineRule="atLeast"/>
            </w:pPr>
            <w:r>
              <w:t>0.4477</w:t>
            </w:r>
          </w:p>
        </w:tc>
        <w:tc>
          <w:tcPr>
            <w:tcW w:w="1690" w:type="pct"/>
            <w:vAlign w:val="center"/>
          </w:tcPr>
          <w:p w:rsidR="0018722C">
            <w:pPr>
              <w:pStyle w:val="ad"/>
              <w:topLinePunct/>
              <w:ind w:leftChars="0" w:left="0" w:rightChars="0" w:right="0" w:firstLineChars="0" w:firstLine="0"/>
              <w:spacing w:line="240" w:lineRule="atLeast"/>
            </w:pPr>
            <w:r>
              <w:t>0.5509±0.0918</w:t>
            </w:r>
          </w:p>
        </w:tc>
      </w:tr>
      <w:tr>
        <w:tc>
          <w:tcPr>
            <w:tcW w:w="986" w:type="pct"/>
            <w:vAlign w:val="center"/>
          </w:tcPr>
          <w:p w:rsidR="0018722C">
            <w:pPr>
              <w:pStyle w:val="ac"/>
              <w:topLinePunct/>
              <w:ind w:leftChars="0" w:left="0" w:rightChars="0" w:right="0" w:firstLineChars="0" w:firstLine="0"/>
              <w:spacing w:line="240" w:lineRule="atLeast"/>
            </w:pPr>
            <w:r>
              <w:t>HepG2</w:t>
            </w:r>
            <w:r>
              <w:t>/</w:t>
            </w:r>
            <w:r>
              <w:t>mock</w:t>
            </w:r>
          </w:p>
        </w:tc>
        <w:tc>
          <w:tcPr>
            <w:tcW w:w="731" w:type="pct"/>
            <w:vAlign w:val="center"/>
          </w:tcPr>
          <w:p w:rsidR="0018722C">
            <w:pPr>
              <w:pStyle w:val="affff9"/>
              <w:topLinePunct/>
              <w:ind w:leftChars="0" w:left="0" w:rightChars="0" w:right="0" w:firstLineChars="0" w:firstLine="0"/>
              <w:spacing w:line="240" w:lineRule="atLeast"/>
            </w:pPr>
            <w:r>
              <w:t>0.7397</w:t>
            </w:r>
          </w:p>
        </w:tc>
        <w:tc>
          <w:tcPr>
            <w:tcW w:w="764" w:type="pct"/>
            <w:vAlign w:val="center"/>
          </w:tcPr>
          <w:p w:rsidR="0018722C">
            <w:pPr>
              <w:pStyle w:val="affff9"/>
              <w:topLinePunct/>
              <w:ind w:leftChars="0" w:left="0" w:rightChars="0" w:right="0" w:firstLineChars="0" w:firstLine="0"/>
              <w:spacing w:line="240" w:lineRule="atLeast"/>
            </w:pPr>
            <w:r>
              <w:t>0.8115</w:t>
            </w:r>
          </w:p>
        </w:tc>
        <w:tc>
          <w:tcPr>
            <w:tcW w:w="830" w:type="pct"/>
            <w:vAlign w:val="center"/>
          </w:tcPr>
          <w:p w:rsidR="0018722C">
            <w:pPr>
              <w:pStyle w:val="affff9"/>
              <w:topLinePunct/>
              <w:ind w:leftChars="0" w:left="0" w:rightChars="0" w:right="0" w:firstLineChars="0" w:firstLine="0"/>
              <w:spacing w:line="240" w:lineRule="atLeast"/>
            </w:pPr>
            <w:r>
              <w:t>0.5624</w:t>
            </w:r>
          </w:p>
        </w:tc>
        <w:tc>
          <w:tcPr>
            <w:tcW w:w="1690" w:type="pct"/>
            <w:vAlign w:val="center"/>
          </w:tcPr>
          <w:p w:rsidR="0018722C">
            <w:pPr>
              <w:pStyle w:val="ad"/>
              <w:topLinePunct/>
              <w:ind w:leftChars="0" w:left="0" w:rightChars="0" w:right="0" w:firstLineChars="0" w:firstLine="0"/>
              <w:spacing w:line="240" w:lineRule="atLeast"/>
            </w:pPr>
            <w:r>
              <w:t>0.7045±0.1282</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1.1365</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1.2983</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1.1527</w:t>
            </w:r>
          </w:p>
        </w:tc>
        <w:tc>
          <w:tcPr>
            <w:tcW w:w="1690" w:type="pct"/>
            <w:vAlign w:val="center"/>
            <w:tcBorders>
              <w:top w:val="single" w:sz="4" w:space="0" w:color="auto"/>
            </w:tcBorders>
          </w:tcPr>
          <w:p w:rsidR="0018722C">
            <w:pPr>
              <w:pStyle w:val="ad"/>
              <w:topLinePunct/>
              <w:ind w:leftChars="0" w:left="0" w:rightChars="0" w:right="0" w:firstLineChars="0" w:firstLine="0"/>
              <w:spacing w:line="240" w:lineRule="atLeast"/>
            </w:pPr>
            <w:r>
              <w:t>1.1959±0.8910</w:t>
            </w:r>
          </w:p>
        </w:tc>
      </w:tr>
    </w:tbl>
    <w:p w:rsidR="0018722C">
      <w:pPr>
        <w:rPr/>
        <w:topLinePunct/>
        <w:pStyle w:val="affa"/>
      </w:pPr>
    </w:p>
    <w:p w:rsidR="0018722C">
      <w:pPr>
        <w:pStyle w:val="affff5"/>
        <w:topLinePunct/>
      </w:pPr>
      <w:r>
        <w:rPr>
          <w:sz w:val="20"/>
        </w:rPr>
        <w:drawing>
          <wp:inline distT="0" distB="0" distL="0" distR="0">
            <wp:extent cx="3907613" cy="2807207"/>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7" cstate="print"/>
                    <a:stretch>
                      <a:fillRect/>
                    </a:stretch>
                  </pic:blipFill>
                  <pic:spPr>
                    <a:xfrm>
                      <a:off x="0" y="0"/>
                      <a:ext cx="3907613" cy="2807207"/>
                    </a:xfrm>
                    <a:prstGeom prst="rect">
                      <a:avLst/>
                    </a:prstGeom>
                  </pic:spPr>
                </pic:pic>
              </a:graphicData>
            </a:graphic>
          </wp:inline>
        </w:drawing>
      </w:r>
      <w:r/>
    </w:p>
    <w:p w:rsidR="0018722C">
      <w:pPr>
        <w:pStyle w:val="affff1"/>
        <w:topLinePunct/>
      </w:pPr>
      <w:r>
        <w:t/>
      </w:r>
      <w:r>
        <w:t>图</w:t>
      </w:r>
      <w:r>
        <w:t>6</w:t>
      </w:r>
      <w:r/>
      <w:r w:rsidR="001852F3">
        <w:t xml:space="preserve">三</w:t>
      </w:r>
      <w:r w:rsidR="001852F3">
        <w:t>组细胞</w:t>
      </w:r>
      <w:r>
        <w:t>COX-2</w:t>
      </w:r>
      <w:r/>
      <w:r w:rsidR="001852F3">
        <w:t xml:space="preserve">蛋白表达水平</w:t>
      </w:r>
      <w:r>
        <w:t>（</w:t>
      </w:r>
      <w:r>
        <w:rPr>
          <w:rFonts w:ascii="Times New Roman" w:eastAsia="宋体"/>
        </w:rPr>
        <w:t>*</w:t>
      </w:r>
      <w:r>
        <w:rPr>
          <w:spacing w:val="-60"/>
        </w:rPr>
        <w:t xml:space="preserve">, </w:t>
      </w:r>
      <w:r>
        <w:t>P&lt;0.05</w:t>
      </w:r>
      <w:r>
        <w:t>）</w:t>
      </w:r>
      <w:r>
        <w:t>，HBx</w:t>
      </w:r>
      <w:r>
        <w:rPr>
          <w:spacing w:val="-60"/>
        </w:rPr>
        <w:t xml:space="preserve">: </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4</w:t>
      </w:r>
      <w:r>
        <w:t xml:space="preserve"> </w:t>
      </w:r>
      <w:r>
        <w:t>加入</w:t>
      </w:r>
      <w:r>
        <w:rPr>
          <w:b/>
        </w:rPr>
        <w:t>ROS</w:t>
      </w:r>
      <w:r w:rsidR="001852F3">
        <w:t xml:space="preserve">的清除剂</w:t>
      </w:r>
      <w:r>
        <w:rPr>
          <w:b/>
        </w:rPr>
        <w:t>NAC</w:t>
      </w:r>
      <w:r w:rsidR="001852F3">
        <w:t xml:space="preserve">后，</w:t>
      </w:r>
      <w:r>
        <w:rPr>
          <w:b/>
        </w:rPr>
        <w:t>HepG2</w:t>
      </w:r>
      <w:r>
        <w:rPr>
          <w:b/>
        </w:rPr>
        <w:t>/</w:t>
      </w:r>
      <w:r>
        <w:rPr>
          <w:b/>
        </w:rPr>
        <w:t>HBx</w:t>
      </w:r>
      <w:r w:rsidR="001852F3">
        <w:t xml:space="preserve">组</w:t>
      </w:r>
      <w:r>
        <w:rPr>
          <w:b/>
        </w:rPr>
        <w:t>COX-2</w:t>
      </w:r>
      <w:r w:rsidR="001852F3">
        <w:t xml:space="preserve">蛋白水平下降</w:t>
      </w:r>
    </w:p>
    <w:p w:rsidR="0018722C">
      <w:pPr>
        <w:topLinePunct/>
      </w:pPr>
      <w:r>
        <w:t>经</w:t>
      </w:r>
      <w:r>
        <w:t>10 mM NAC</w:t>
      </w:r>
      <w:r/>
      <w:r w:rsidR="001852F3">
        <w:t xml:space="preserve">作用</w:t>
      </w:r>
      <w:r>
        <w:t>12h</w:t>
      </w:r>
      <w:r w:rsidR="001852F3">
        <w:t xml:space="preserve">后，六组细胞</w:t>
      </w:r>
      <w:r w:rsidR="001852F3">
        <w:t xml:space="preserve">COX-2</w:t>
      </w:r>
      <w:r w:rsidR="001852F3">
        <w:t xml:space="preserve">蛋白表达情况如</w:t>
      </w:r>
      <w:r w:rsidR="001852F3">
        <w:t>图</w:t>
      </w:r>
      <w:r w:rsidR="001852F3">
        <w:t xml:space="preserve">7</w:t>
      </w:r>
      <w:r/>
      <w:r w:rsidR="001852F3">
        <w:t xml:space="preserve">所示，</w:t>
      </w:r>
      <w:r w:rsidR="001852F3">
        <w:t xml:space="preserve">COX-2</w:t>
      </w:r>
      <w:r>
        <w:t>/</w:t>
      </w:r>
      <w:r>
        <w:t>β-actin</w:t>
      </w:r>
      <w:r/>
      <w:r w:rsidR="001852F3">
        <w:t xml:space="preserve">蛋白的相对灰度比值如</w:t>
      </w:r>
      <w:r w:rsidR="001852F3">
        <w:t>表</w:t>
      </w:r>
      <w:r>
        <w:t>4</w:t>
      </w:r>
      <w:r/>
      <w:r w:rsidR="001852F3">
        <w:t xml:space="preserve">所示，统计学分析提示，</w:t>
      </w:r>
      <w:r w:rsidR="001852F3">
        <w:t xml:space="preserve">经</w:t>
      </w:r>
      <w:r>
        <w:t>10</w:t>
      </w:r>
      <w:r>
        <w:t> </w:t>
      </w:r>
      <w:r>
        <w:t>mM</w:t>
      </w:r>
      <w:r>
        <w:t> </w:t>
      </w:r>
      <w:r>
        <w:t>NAC</w:t>
      </w:r>
      <w:r>
        <w:t>作用</w:t>
      </w:r>
      <w:r>
        <w:t>12h</w:t>
      </w:r>
      <w:r/>
      <w:r w:rsidR="001852F3">
        <w:t xml:space="preserve">后的</w:t>
      </w:r>
      <w:r>
        <w:t>HepG2</w:t>
      </w:r>
      <w:r>
        <w:t>/</w:t>
      </w:r>
      <w:r>
        <w:t>HBx</w:t>
      </w:r>
      <w:r/>
      <w:r w:rsidR="001852F3">
        <w:t xml:space="preserve">细胞组中</w:t>
      </w:r>
      <w:r>
        <w:t>COX-2</w:t>
      </w:r>
      <w:r/>
      <w:r w:rsidR="001852F3">
        <w:t xml:space="preserve">蛋白表达水平较没有加药的</w:t>
      </w:r>
      <w:r>
        <w:t>HepG2</w:t>
      </w:r>
      <w:r>
        <w:t>/</w:t>
      </w:r>
      <w:r>
        <w:t>HBx</w:t>
      </w:r>
      <w:r w:rsidR="001852F3">
        <w:t xml:space="preserve">组下降，差异具有统计学意义</w:t>
      </w:r>
      <w:r>
        <w:t>(</w:t>
      </w:r>
      <w:r>
        <w:t>P&lt;0.05</w:t>
      </w:r>
      <w:r>
        <w:t>)</w:t>
      </w:r>
      <w:r>
        <w:t>；</w:t>
      </w:r>
      <w:r>
        <w:t>经</w:t>
      </w:r>
      <w:r>
        <w:t>10 mM NAC</w:t>
      </w:r>
      <w:r/>
      <w:r w:rsidR="001852F3">
        <w:t xml:space="preserve">作用</w:t>
      </w:r>
      <w:r>
        <w:t>12h</w:t>
      </w:r>
      <w:r/>
      <w:r w:rsidR="001852F3">
        <w:t xml:space="preserve">后的</w:t>
      </w:r>
      <w:r>
        <w:t>HepG2</w:t>
      </w:r>
      <w:r>
        <w:t>/</w:t>
      </w:r>
      <w:r>
        <w:t xml:space="preserve">HBx</w:t>
      </w:r>
      <w:r>
        <w:t>细胞组中</w:t>
      </w:r>
      <w:r>
        <w:t>COX-2</w:t>
      </w:r>
      <w:r/>
      <w:r w:rsidR="001852F3">
        <w:t xml:space="preserve">蛋白表达水平仍高于经</w:t>
      </w:r>
      <w:r>
        <w:t>10 mM NAC</w:t>
      </w:r>
      <w:r/>
      <w:r w:rsidR="001852F3">
        <w:t xml:space="preserve">作用</w:t>
      </w:r>
      <w:r>
        <w:t>12h</w:t>
      </w:r>
      <w:r/>
      <w:r w:rsidR="001852F3">
        <w:t xml:space="preserve">后的</w:t>
      </w:r>
      <w:r>
        <w:t>HepG2</w:t>
      </w:r>
      <w:r>
        <w:t>/</w:t>
      </w:r>
      <w:r>
        <w:t>mock</w:t>
      </w:r>
      <w:r/>
      <w:r w:rsidR="001852F3">
        <w:t xml:space="preserve">细胞</w:t>
      </w:r>
      <w:r>
        <w:t>组与</w:t>
      </w:r>
      <w:r>
        <w:t>HepG2</w:t>
      </w:r>
      <w:r/>
      <w:r w:rsidR="001852F3">
        <w:t xml:space="preserve">细胞组，差异具有统计学意义</w:t>
      </w:r>
      <w:r>
        <w:t>（</w:t>
      </w:r>
      <w:r>
        <w:t>P&lt;0.05</w:t>
      </w:r>
      <w:r>
        <w:t>）</w:t>
      </w:r>
      <w:r>
        <w:t>（</w:t>
      </w:r>
      <w:r>
        <w:rPr>
          <w:spacing w:val="-8"/>
        </w:rPr>
        <w:t>图</w:t>
      </w:r>
      <w:r>
        <w:t>8</w:t>
      </w:r>
      <w:r>
        <w:t>）</w:t>
      </w:r>
      <w:r>
        <w:t>。该部分实验表明</w:t>
      </w:r>
      <w:r>
        <w:t>HBx</w:t>
      </w:r>
      <w:r>
        <w:t>通过上调</w:t>
      </w:r>
      <w:r>
        <w:t>ROS</w:t>
      </w:r>
      <w:r/>
      <w:r w:rsidR="001852F3">
        <w:t xml:space="preserve">的水平来增加</w:t>
      </w:r>
      <w:r>
        <w:t>HepG2</w:t>
      </w:r>
      <w:r>
        <w:t>/</w:t>
      </w:r>
      <w:r>
        <w:t>HBx</w:t>
      </w:r>
      <w:r/>
      <w:r w:rsidR="001852F3">
        <w:t xml:space="preserve">细胞的</w:t>
      </w:r>
      <w:r>
        <w:t>COX-2</w:t>
      </w:r>
      <w:r/>
      <w:r w:rsidR="001852F3">
        <w:t xml:space="preserve">蛋白表达水平，但升高的</w:t>
      </w:r>
      <w:r>
        <w:t>COX-2</w:t>
      </w:r>
      <w:r>
        <w:t>水平不全依赖于</w:t>
      </w:r>
      <w:r>
        <w:t>ROS.</w:t>
      </w:r>
    </w:p>
    <w:p w:rsidR="0018722C">
      <w:pPr>
        <w:pStyle w:val="aff7"/>
        <w:topLinePunct/>
      </w:pPr>
      <w:r>
        <w:rPr>
          <w:sz w:val="20"/>
        </w:rPr>
        <w:drawing>
          <wp:inline distT="0" distB="0" distL="0" distR="0">
            <wp:extent cx="4851213" cy="1397698"/>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8" cstate="print"/>
                    <a:stretch>
                      <a:fillRect/>
                    </a:stretch>
                  </pic:blipFill>
                  <pic:spPr>
                    <a:xfrm>
                      <a:off x="0" y="0"/>
                      <a:ext cx="4851213" cy="1397698"/>
                    </a:xfrm>
                    <a:prstGeom prst="rect">
                      <a:avLst/>
                    </a:prstGeom>
                  </pic:spPr>
                </pic:pic>
              </a:graphicData>
            </a:graphic>
          </wp:inline>
        </w:drawing>
      </w:r>
      <w:r/>
    </w:p>
    <w:p w:rsidR="0018722C">
      <w:pPr>
        <w:pStyle w:val="affff1"/>
        <w:topLinePunct/>
      </w:pPr>
      <w:r>
        <w:t/>
      </w:r>
      <w:r>
        <w:t>图</w:t>
      </w:r>
      <w:r>
        <w:t>7</w:t>
      </w:r>
      <w:r/>
      <w:r w:rsidR="001852F3">
        <w:t xml:space="preserve">六</w:t>
      </w:r>
      <w:r w:rsidR="001852F3">
        <w:t>组细胞</w:t>
      </w:r>
      <w:r>
        <w:t>COX-2</w:t>
      </w:r>
      <w:r/>
      <w:r w:rsidR="001852F3">
        <w:t xml:space="preserve">蛋白表达水平，左边三组为加入</w:t>
      </w:r>
      <w:r>
        <w:t>10 mM NAC</w:t>
      </w:r>
      <w:r/>
      <w:r w:rsidR="001852F3">
        <w:t xml:space="preserve">作用</w:t>
      </w:r>
      <w:r>
        <w:t>12h，</w:t>
      </w:r>
      <w:r>
        <w:t>右边</w:t>
      </w:r>
      <w:r>
        <w:t>3</w:t>
      </w:r>
      <w:r/>
      <w:r w:rsidR="001852F3">
        <w:t xml:space="preserve">组为无加药组，</w:t>
      </w:r>
      <w:r>
        <w:t>HBx</w:t>
      </w:r>
      <w:r>
        <w:t xml:space="preserve">: </w:t>
      </w:r>
      <w:r>
        <w:t>HepG2</w:t>
      </w:r>
      <w:r>
        <w:t>/</w:t>
      </w:r>
      <w:r>
        <w:t>HBx</w:t>
      </w:r>
      <w:r/>
      <w:r w:rsidR="001852F3">
        <w:t xml:space="preserve">细胞; </w:t>
      </w:r>
      <w:r>
        <w:t>Mock</w:t>
      </w:r>
      <w:r>
        <w:t xml:space="preserve">: </w:t>
      </w:r>
      <w:r>
        <w:t>HepG2</w:t>
      </w:r>
      <w:r>
        <w:t>/</w:t>
      </w:r>
      <w:r>
        <w:t>mock</w:t>
      </w:r>
      <w:r/>
      <w:r w:rsidR="001852F3">
        <w:t xml:space="preserve">细胞; </w:t>
      </w:r>
      <w:r>
        <w:t>Control：</w:t>
      </w:r>
    </w:p>
    <w:p w:rsidR="0018722C">
      <w:pPr>
        <w:topLinePunct/>
      </w:pPr>
      <w:r>
        <w:t>HepG2</w:t>
      </w:r>
      <w:r w:rsidR="001852F3">
        <w:t xml:space="preserve">细胞</w:t>
      </w:r>
    </w:p>
    <w:p w:rsidR="0018722C">
      <w:pPr>
        <w:pStyle w:val="a8"/>
        <w:topLinePunct/>
      </w:pPr>
      <w:r>
        <w:rPr>
          <w:rFonts w:cstheme="minorBidi" w:hAnsiTheme="minorHAnsi" w:eastAsiaTheme="minorHAnsi" w:asciiTheme="minorHAnsi"/>
        </w:rPr>
        <w:t>表4</w:t>
      </w:r>
      <w:r>
        <w:t xml:space="preserve">  </w:t>
      </w:r>
      <w:r w:rsidRPr="00DB64CE">
        <w:rPr>
          <w:rFonts w:cstheme="minorBidi" w:hAnsiTheme="minorHAnsi" w:eastAsiaTheme="minorHAnsi" w:asciiTheme="minorHAnsi"/>
        </w:rPr>
        <w:t>六组细胞</w:t>
      </w:r>
      <w:r w:rsidR="001852F3">
        <w:rPr>
          <w:rFonts w:cstheme="minorBidi" w:hAnsiTheme="minorHAnsi" w:eastAsiaTheme="minorHAnsi" w:asciiTheme="minorHAnsi"/>
        </w:rPr>
        <w:t xml:space="preserve">COX-2</w:t>
      </w:r>
      <w:r>
        <w:rPr>
          <w:rFonts w:cstheme="minorBidi" w:hAnsiTheme="minorHAnsi" w:eastAsiaTheme="minorHAnsi" w:asciiTheme="minorHAnsi"/>
        </w:rPr>
        <w:t>/</w:t>
      </w:r>
      <w:r>
        <w:rPr>
          <w:rFonts w:cstheme="minorBidi" w:hAnsiTheme="minorHAnsi" w:eastAsiaTheme="minorHAnsi" w:asciiTheme="minorHAnsi"/>
        </w:rPr>
        <w:t>β-actin</w:t>
      </w:r>
      <w:r w:rsidR="001852F3">
        <w:rPr>
          <w:rFonts w:cstheme="minorBidi" w:hAnsiTheme="minorHAnsi" w:eastAsiaTheme="minorHAnsi" w:asciiTheme="minorHAnsi"/>
        </w:rPr>
        <w:t xml:space="preserve">蛋白相对灰度比值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9"/>
        <w:gridCol w:w="975"/>
        <w:gridCol w:w="1155"/>
        <w:gridCol w:w="1312"/>
        <w:gridCol w:w="2651"/>
      </w:tblGrid>
      <w:tr>
        <w:trPr>
          <w:tblHeader/>
        </w:trPr>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54" w:type="pct"/>
            <w:vAlign w:val="center"/>
          </w:tcPr>
          <w:p w:rsidR="0018722C">
            <w:pPr>
              <w:pStyle w:val="ac"/>
              <w:topLinePunct/>
              <w:ind w:leftChars="0" w:left="0" w:rightChars="0" w:right="0" w:firstLineChars="0" w:firstLine="0"/>
              <w:spacing w:line="240" w:lineRule="atLeast"/>
            </w:pPr>
            <w:r>
              <w:t>组 别</w:t>
            </w:r>
          </w:p>
        </w:tc>
        <w:tc>
          <w:tcPr>
            <w:tcW w:w="615" w:type="pct"/>
            <w:vAlign w:val="center"/>
          </w:tcPr>
          <w:p w:rsidR="0018722C">
            <w:pPr>
              <w:pStyle w:val="a5"/>
              <w:topLinePunct/>
              <w:ind w:leftChars="0" w:left="0" w:rightChars="0" w:right="0" w:firstLineChars="0" w:firstLine="0"/>
              <w:spacing w:line="240" w:lineRule="atLeast"/>
            </w:pPr>
            <w:r>
              <w:t>第一次</w:t>
            </w:r>
          </w:p>
        </w:tc>
        <w:tc>
          <w:tcPr>
            <w:tcW w:w="729" w:type="pct"/>
            <w:vAlign w:val="center"/>
          </w:tcPr>
          <w:p w:rsidR="0018722C">
            <w:pPr>
              <w:pStyle w:val="a5"/>
              <w:topLinePunct/>
              <w:ind w:leftChars="0" w:left="0" w:rightChars="0" w:right="0" w:firstLineChars="0" w:firstLine="0"/>
              <w:spacing w:line="240" w:lineRule="atLeast"/>
            </w:pPr>
            <w:r>
              <w:t>第二次</w:t>
            </w:r>
          </w:p>
        </w:tc>
        <w:tc>
          <w:tcPr>
            <w:tcW w:w="828" w:type="pct"/>
            <w:vAlign w:val="center"/>
          </w:tcPr>
          <w:p w:rsidR="0018722C">
            <w:pPr>
              <w:pStyle w:val="a5"/>
              <w:topLinePunct/>
              <w:ind w:leftChars="0" w:left="0" w:rightChars="0" w:right="0" w:firstLineChars="0" w:firstLine="0"/>
              <w:spacing w:line="240" w:lineRule="atLeast"/>
            </w:pPr>
            <w:r>
              <w:t>第三次</w:t>
            </w:r>
          </w:p>
        </w:tc>
        <w:tc>
          <w:tcPr>
            <w:tcW w:w="1673"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1154" w:type="pct"/>
            <w:vAlign w:val="center"/>
          </w:tcPr>
          <w:p w:rsidR="0018722C">
            <w:pPr>
              <w:pStyle w:val="ac"/>
              <w:topLinePunct/>
              <w:ind w:leftChars="0" w:left="0" w:rightChars="0" w:right="0" w:firstLineChars="0" w:firstLine="0"/>
              <w:spacing w:line="240" w:lineRule="atLeast"/>
            </w:pPr>
            <w:r>
              <w:t>HepG2</w:t>
            </w:r>
          </w:p>
        </w:tc>
        <w:tc>
          <w:tcPr>
            <w:tcW w:w="615" w:type="pct"/>
            <w:vAlign w:val="center"/>
          </w:tcPr>
          <w:p w:rsidR="0018722C">
            <w:pPr>
              <w:pStyle w:val="affff9"/>
              <w:topLinePunct/>
              <w:ind w:leftChars="0" w:left="0" w:rightChars="0" w:right="0" w:firstLineChars="0" w:firstLine="0"/>
              <w:spacing w:line="240" w:lineRule="atLeast"/>
            </w:pPr>
            <w:r>
              <w:t>0.5819</w:t>
            </w:r>
          </w:p>
        </w:tc>
        <w:tc>
          <w:tcPr>
            <w:tcW w:w="729" w:type="pct"/>
            <w:vAlign w:val="center"/>
          </w:tcPr>
          <w:p w:rsidR="0018722C">
            <w:pPr>
              <w:pStyle w:val="affff9"/>
              <w:topLinePunct/>
              <w:ind w:leftChars="0" w:left="0" w:rightChars="0" w:right="0" w:firstLineChars="0" w:firstLine="0"/>
              <w:spacing w:line="240" w:lineRule="atLeast"/>
            </w:pPr>
            <w:r>
              <w:t>0.6233</w:t>
            </w:r>
          </w:p>
        </w:tc>
        <w:tc>
          <w:tcPr>
            <w:tcW w:w="828" w:type="pct"/>
            <w:vAlign w:val="center"/>
          </w:tcPr>
          <w:p w:rsidR="0018722C">
            <w:pPr>
              <w:pStyle w:val="affff9"/>
              <w:topLinePunct/>
              <w:ind w:leftChars="0" w:left="0" w:rightChars="0" w:right="0" w:firstLineChars="0" w:firstLine="0"/>
              <w:spacing w:line="240" w:lineRule="atLeast"/>
            </w:pPr>
            <w:r>
              <w:t>0.4477</w:t>
            </w:r>
          </w:p>
        </w:tc>
        <w:tc>
          <w:tcPr>
            <w:tcW w:w="1673" w:type="pct"/>
            <w:vAlign w:val="center"/>
          </w:tcPr>
          <w:p w:rsidR="0018722C">
            <w:pPr>
              <w:pStyle w:val="ad"/>
              <w:topLinePunct/>
              <w:ind w:leftChars="0" w:left="0" w:rightChars="0" w:right="0" w:firstLineChars="0" w:firstLine="0"/>
              <w:spacing w:line="240" w:lineRule="atLeast"/>
            </w:pPr>
            <w:r>
              <w:t>0.5509±0.0918</w:t>
            </w:r>
          </w:p>
        </w:tc>
      </w:tr>
      <w:tr>
        <w:tc>
          <w:tcPr>
            <w:tcW w:w="1154" w:type="pct"/>
            <w:vAlign w:val="center"/>
          </w:tcPr>
          <w:p w:rsidR="0018722C">
            <w:pPr>
              <w:pStyle w:val="ac"/>
              <w:topLinePunct/>
              <w:ind w:leftChars="0" w:left="0" w:rightChars="0" w:right="0" w:firstLineChars="0" w:firstLine="0"/>
              <w:spacing w:line="240" w:lineRule="atLeast"/>
            </w:pPr>
            <w:r>
              <w:t>HepG2</w:t>
            </w:r>
            <w:r>
              <w:t>/</w:t>
            </w:r>
            <w:r>
              <w:t>mock</w:t>
            </w:r>
          </w:p>
        </w:tc>
        <w:tc>
          <w:tcPr>
            <w:tcW w:w="615" w:type="pct"/>
            <w:vAlign w:val="center"/>
          </w:tcPr>
          <w:p w:rsidR="0018722C">
            <w:pPr>
              <w:pStyle w:val="affff9"/>
              <w:topLinePunct/>
              <w:ind w:leftChars="0" w:left="0" w:rightChars="0" w:right="0" w:firstLineChars="0" w:firstLine="0"/>
              <w:spacing w:line="240" w:lineRule="atLeast"/>
            </w:pPr>
            <w:r>
              <w:t>0.7397</w:t>
            </w:r>
          </w:p>
        </w:tc>
        <w:tc>
          <w:tcPr>
            <w:tcW w:w="729" w:type="pct"/>
            <w:vAlign w:val="center"/>
          </w:tcPr>
          <w:p w:rsidR="0018722C">
            <w:pPr>
              <w:pStyle w:val="affff9"/>
              <w:topLinePunct/>
              <w:ind w:leftChars="0" w:left="0" w:rightChars="0" w:right="0" w:firstLineChars="0" w:firstLine="0"/>
              <w:spacing w:line="240" w:lineRule="atLeast"/>
            </w:pPr>
            <w:r>
              <w:t>0.8115</w:t>
            </w:r>
          </w:p>
        </w:tc>
        <w:tc>
          <w:tcPr>
            <w:tcW w:w="828" w:type="pct"/>
            <w:vAlign w:val="center"/>
          </w:tcPr>
          <w:p w:rsidR="0018722C">
            <w:pPr>
              <w:pStyle w:val="affff9"/>
              <w:topLinePunct/>
              <w:ind w:leftChars="0" w:left="0" w:rightChars="0" w:right="0" w:firstLineChars="0" w:firstLine="0"/>
              <w:spacing w:line="240" w:lineRule="atLeast"/>
            </w:pPr>
            <w:r>
              <w:t>0.5624</w:t>
            </w:r>
          </w:p>
        </w:tc>
        <w:tc>
          <w:tcPr>
            <w:tcW w:w="1673" w:type="pct"/>
            <w:vAlign w:val="center"/>
          </w:tcPr>
          <w:p w:rsidR="0018722C">
            <w:pPr>
              <w:pStyle w:val="ad"/>
              <w:topLinePunct/>
              <w:ind w:leftChars="0" w:left="0" w:rightChars="0" w:right="0" w:firstLineChars="0" w:firstLine="0"/>
              <w:spacing w:line="240" w:lineRule="atLeast"/>
            </w:pPr>
            <w:r>
              <w:t>0.7045±0.1282</w:t>
            </w:r>
          </w:p>
        </w:tc>
      </w:tr>
      <w:tr>
        <w:tc>
          <w:tcPr>
            <w:tcW w:w="1154" w:type="pct"/>
            <w:vAlign w:val="center"/>
          </w:tcPr>
          <w:p w:rsidR="0018722C">
            <w:pPr>
              <w:pStyle w:val="ac"/>
              <w:topLinePunct/>
              <w:ind w:leftChars="0" w:left="0" w:rightChars="0" w:right="0" w:firstLineChars="0" w:firstLine="0"/>
              <w:spacing w:line="240" w:lineRule="atLeast"/>
            </w:pPr>
            <w:r>
              <w:t>HepG2</w:t>
            </w:r>
            <w:r>
              <w:t>/</w:t>
            </w:r>
            <w:r>
              <w:t>HBx</w:t>
            </w:r>
          </w:p>
        </w:tc>
        <w:tc>
          <w:tcPr>
            <w:tcW w:w="615" w:type="pct"/>
            <w:vAlign w:val="center"/>
          </w:tcPr>
          <w:p w:rsidR="0018722C">
            <w:pPr>
              <w:pStyle w:val="affff9"/>
              <w:topLinePunct/>
              <w:ind w:leftChars="0" w:left="0" w:rightChars="0" w:right="0" w:firstLineChars="0" w:firstLine="0"/>
              <w:spacing w:line="240" w:lineRule="atLeast"/>
            </w:pPr>
            <w:r>
              <w:t>1.1365</w:t>
            </w:r>
          </w:p>
        </w:tc>
        <w:tc>
          <w:tcPr>
            <w:tcW w:w="729" w:type="pct"/>
            <w:vAlign w:val="center"/>
          </w:tcPr>
          <w:p w:rsidR="0018722C">
            <w:pPr>
              <w:pStyle w:val="affff9"/>
              <w:topLinePunct/>
              <w:ind w:leftChars="0" w:left="0" w:rightChars="0" w:right="0" w:firstLineChars="0" w:firstLine="0"/>
              <w:spacing w:line="240" w:lineRule="atLeast"/>
            </w:pPr>
            <w:r>
              <w:t>1.2983</w:t>
            </w:r>
          </w:p>
        </w:tc>
        <w:tc>
          <w:tcPr>
            <w:tcW w:w="828" w:type="pct"/>
            <w:vAlign w:val="center"/>
          </w:tcPr>
          <w:p w:rsidR="0018722C">
            <w:pPr>
              <w:pStyle w:val="affff9"/>
              <w:topLinePunct/>
              <w:ind w:leftChars="0" w:left="0" w:rightChars="0" w:right="0" w:firstLineChars="0" w:firstLine="0"/>
              <w:spacing w:line="240" w:lineRule="atLeast"/>
            </w:pPr>
            <w:r>
              <w:t>1.1527</w:t>
            </w:r>
          </w:p>
        </w:tc>
        <w:tc>
          <w:tcPr>
            <w:tcW w:w="1673" w:type="pct"/>
            <w:vAlign w:val="center"/>
          </w:tcPr>
          <w:p w:rsidR="0018722C">
            <w:pPr>
              <w:pStyle w:val="ad"/>
              <w:topLinePunct/>
              <w:ind w:leftChars="0" w:left="0" w:rightChars="0" w:right="0" w:firstLineChars="0" w:firstLine="0"/>
              <w:spacing w:line="240" w:lineRule="atLeast"/>
            </w:pPr>
            <w:r>
              <w:t>1.1959±0.8910</w:t>
            </w:r>
          </w:p>
        </w:tc>
      </w:tr>
      <w:tr>
        <w:tc>
          <w:tcPr>
            <w:tcW w:w="1154" w:type="pct"/>
            <w:vAlign w:val="center"/>
          </w:tcPr>
          <w:p w:rsidR="0018722C">
            <w:pPr>
              <w:pStyle w:val="ac"/>
              <w:topLinePunct/>
              <w:ind w:leftChars="0" w:left="0" w:rightChars="0" w:right="0" w:firstLineChars="0" w:firstLine="0"/>
              <w:spacing w:line="240" w:lineRule="atLeast"/>
            </w:pPr>
            <w:r>
              <w:t>HepG2 加 NAC</w:t>
            </w:r>
          </w:p>
        </w:tc>
        <w:tc>
          <w:tcPr>
            <w:tcW w:w="615" w:type="pct"/>
            <w:vAlign w:val="center"/>
          </w:tcPr>
          <w:p w:rsidR="0018722C">
            <w:pPr>
              <w:pStyle w:val="affff9"/>
              <w:topLinePunct/>
              <w:ind w:leftChars="0" w:left="0" w:rightChars="0" w:right="0" w:firstLineChars="0" w:firstLine="0"/>
              <w:spacing w:line="240" w:lineRule="atLeast"/>
            </w:pPr>
            <w:r>
              <w:t>0.5484</w:t>
            </w:r>
          </w:p>
        </w:tc>
        <w:tc>
          <w:tcPr>
            <w:tcW w:w="729" w:type="pct"/>
            <w:vAlign w:val="center"/>
          </w:tcPr>
          <w:p w:rsidR="0018722C">
            <w:pPr>
              <w:pStyle w:val="affff9"/>
              <w:topLinePunct/>
              <w:ind w:leftChars="0" w:left="0" w:rightChars="0" w:right="0" w:firstLineChars="0" w:firstLine="0"/>
              <w:spacing w:line="240" w:lineRule="atLeast"/>
            </w:pPr>
            <w:r>
              <w:t>0.5777</w:t>
            </w:r>
          </w:p>
        </w:tc>
        <w:tc>
          <w:tcPr>
            <w:tcW w:w="828" w:type="pct"/>
            <w:vAlign w:val="center"/>
          </w:tcPr>
          <w:p w:rsidR="0018722C">
            <w:pPr>
              <w:pStyle w:val="affff9"/>
              <w:topLinePunct/>
              <w:ind w:leftChars="0" w:left="0" w:rightChars="0" w:right="0" w:firstLineChars="0" w:firstLine="0"/>
              <w:spacing w:line="240" w:lineRule="atLeast"/>
            </w:pPr>
            <w:r>
              <w:t>0.5720</w:t>
            </w:r>
          </w:p>
        </w:tc>
        <w:tc>
          <w:tcPr>
            <w:tcW w:w="1673" w:type="pct"/>
            <w:vAlign w:val="center"/>
          </w:tcPr>
          <w:p w:rsidR="0018722C">
            <w:pPr>
              <w:pStyle w:val="ad"/>
              <w:topLinePunct/>
              <w:ind w:leftChars="0" w:left="0" w:rightChars="0" w:right="0" w:firstLineChars="0" w:firstLine="0"/>
              <w:spacing w:line="240" w:lineRule="atLeast"/>
            </w:pPr>
            <w:r>
              <w:t>0.5660±0.0155</w:t>
            </w:r>
          </w:p>
        </w:tc>
      </w:tr>
      <w:tr>
        <w:tc>
          <w:tcPr>
            <w:tcW w:w="1154" w:type="pct"/>
            <w:vAlign w:val="center"/>
          </w:tcPr>
          <w:p w:rsidR="0018722C">
            <w:pPr>
              <w:pStyle w:val="ac"/>
              <w:topLinePunct/>
              <w:ind w:leftChars="0" w:left="0" w:rightChars="0" w:right="0" w:firstLineChars="0" w:firstLine="0"/>
              <w:spacing w:line="240" w:lineRule="atLeast"/>
            </w:pPr>
            <w:r>
              <w:t>HepG2</w:t>
            </w:r>
            <w:r>
              <w:t>/</w:t>
            </w:r>
            <w:r>
              <w:t>mock</w:t>
            </w:r>
            <w:r>
              <w:t> 加 </w:t>
            </w:r>
            <w:r>
              <w:t>NAC</w:t>
            </w:r>
          </w:p>
        </w:tc>
        <w:tc>
          <w:tcPr>
            <w:tcW w:w="615" w:type="pct"/>
            <w:vAlign w:val="center"/>
          </w:tcPr>
          <w:p w:rsidR="0018722C">
            <w:pPr>
              <w:pStyle w:val="affff9"/>
              <w:topLinePunct/>
              <w:ind w:leftChars="0" w:left="0" w:rightChars="0" w:right="0" w:firstLineChars="0" w:firstLine="0"/>
              <w:spacing w:line="240" w:lineRule="atLeast"/>
            </w:pPr>
            <w:r>
              <w:t>0.7435</w:t>
            </w:r>
          </w:p>
        </w:tc>
        <w:tc>
          <w:tcPr>
            <w:tcW w:w="729" w:type="pct"/>
            <w:vAlign w:val="center"/>
          </w:tcPr>
          <w:p w:rsidR="0018722C">
            <w:pPr>
              <w:pStyle w:val="affff9"/>
              <w:topLinePunct/>
              <w:ind w:leftChars="0" w:left="0" w:rightChars="0" w:right="0" w:firstLineChars="0" w:firstLine="0"/>
              <w:spacing w:line="240" w:lineRule="atLeast"/>
            </w:pPr>
            <w:r>
              <w:t>0.5293</w:t>
            </w:r>
          </w:p>
        </w:tc>
        <w:tc>
          <w:tcPr>
            <w:tcW w:w="828" w:type="pct"/>
            <w:vAlign w:val="center"/>
          </w:tcPr>
          <w:p w:rsidR="0018722C">
            <w:pPr>
              <w:pStyle w:val="affff9"/>
              <w:topLinePunct/>
              <w:ind w:leftChars="0" w:left="0" w:rightChars="0" w:right="0" w:firstLineChars="0" w:firstLine="0"/>
              <w:spacing w:line="240" w:lineRule="atLeast"/>
            </w:pPr>
            <w:r>
              <w:t>0.5650</w:t>
            </w:r>
          </w:p>
        </w:tc>
        <w:tc>
          <w:tcPr>
            <w:tcW w:w="1673" w:type="pct"/>
            <w:vAlign w:val="center"/>
          </w:tcPr>
          <w:p w:rsidR="0018722C">
            <w:pPr>
              <w:pStyle w:val="ad"/>
              <w:topLinePunct/>
              <w:ind w:leftChars="0" w:left="0" w:rightChars="0" w:right="0" w:firstLineChars="0" w:firstLine="0"/>
              <w:spacing w:line="240" w:lineRule="atLeast"/>
            </w:pPr>
            <w:r>
              <w:t>0.6126±0.1148</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r>
              <w:t> 加 </w:t>
            </w:r>
            <w:r>
              <w:t>NAC</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0.9171</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0.8471</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0.8324</w:t>
            </w:r>
          </w:p>
        </w:tc>
        <w:tc>
          <w:tcPr>
            <w:tcW w:w="1673" w:type="pct"/>
            <w:vAlign w:val="center"/>
            <w:tcBorders>
              <w:top w:val="single" w:sz="4" w:space="0" w:color="auto"/>
            </w:tcBorders>
          </w:tcPr>
          <w:p w:rsidR="0018722C">
            <w:pPr>
              <w:pStyle w:val="ad"/>
              <w:topLinePunct/>
              <w:ind w:leftChars="0" w:left="0" w:rightChars="0" w:right="0" w:firstLineChars="0" w:firstLine="0"/>
              <w:spacing w:line="240" w:lineRule="atLeast"/>
            </w:pPr>
            <w:r>
              <w:t>0.8655±0.0452</w:t>
            </w:r>
          </w:p>
        </w:tc>
      </w:tr>
    </w:tbl>
    <w:p w:rsidR="0018722C">
      <w:pPr>
        <w:pStyle w:val="affa"/>
      </w:pPr>
    </w:p>
    <w:p w:rsidR="0018722C">
      <w:pPr>
        <w:pStyle w:val="aff7"/>
        <w:topLinePunct/>
      </w:pPr>
      <w:r>
        <w:pict>
          <v:group style="margin-left:91.300003pt;margin-top:11.478437pt;width:412.1pt;height:237.55pt;mso-position-horizontal-relative:page;mso-position-vertical-relative:paragraph;z-index:1432;mso-wrap-distance-left:0;mso-wrap-distance-right:0" coordorigin="1826,230" coordsize="8242,4751">
            <v:shape style="position:absolute;left:2402;top:271;width:7666;height:4709" type="#_x0000_t75" stroked="false">
              <v:imagedata r:id="rId29" o:title=""/>
            </v:shape>
            <v:line style="position:absolute" from="1826,252" to="9711,252" stroked="true" strokeweight="2.25pt" strokecolor="#000000">
              <v:stroke dashstyle="solid"/>
            </v:line>
            <w10:wrap type="topAndBottom"/>
          </v:group>
        </w:pict>
      </w:r>
    </w:p>
    <w:p w:rsidR="0018722C">
      <w:pPr>
        <w:topLinePunct/>
      </w:pPr>
      <w:r>
        <w:t/>
      </w:r>
      <w:r>
        <w:t>图</w:t>
      </w:r>
      <w:r>
        <w:t>8</w:t>
      </w:r>
      <w:r/>
      <w:r w:rsidR="001852F3">
        <w:t xml:space="preserve">加入</w:t>
      </w:r>
      <w:r>
        <w:t>10 mM NAC</w:t>
      </w:r>
      <w:r/>
      <w:r w:rsidR="001852F3">
        <w:t xml:space="preserve">作用</w:t>
      </w:r>
      <w:r>
        <w:t>12h</w:t>
      </w:r>
      <w:r/>
      <w:r w:rsidR="001852F3">
        <w:t xml:space="preserve">后三组细胞</w:t>
      </w:r>
      <w:r>
        <w:t>COX-2</w:t>
      </w:r>
      <w:r w:rsidR="001852F3">
        <w:t xml:space="preserve">蛋白表达水平</w:t>
      </w:r>
      <w:r>
        <w:t>（</w:t>
      </w:r>
      <w:r>
        <w:rPr>
          <w:rFonts w:ascii="Times New Roman" w:eastAsia="宋体"/>
        </w:rPr>
        <w:t>*</w:t>
      </w:r>
      <w:r>
        <w:t>，P&lt;0.05，</w:t>
      </w:r>
    </w:p>
    <w:p w:rsidR="0018722C">
      <w:pPr>
        <w:topLinePunct/>
      </w:pPr>
      <w:r>
        <w:t>HepG2</w:t>
      </w:r>
      <w:r>
        <w:t>/</w:t>
      </w:r>
      <w:r>
        <w:t>HBx</w:t>
      </w:r>
      <w:r/>
      <w:r w:rsidR="001852F3">
        <w:t xml:space="preserve">组与</w:t>
      </w:r>
      <w:r>
        <w:t>HepG2</w:t>
      </w:r>
      <w:r>
        <w:t>/</w:t>
      </w:r>
      <w:r>
        <w:t>mock</w:t>
      </w:r>
      <w:r>
        <w:t>、</w:t>
      </w:r>
      <w:r>
        <w:t>HepG2</w:t>
      </w:r>
      <w:r/>
      <w:r w:rsidR="001852F3">
        <w:t xml:space="preserve">组对比；#，</w:t>
      </w:r>
      <w:r>
        <w:t>P&lt;0.05</w:t>
      </w:r>
      <w:r>
        <w:rPr>
          <w:spacing w:val="-55"/>
        </w:rPr>
        <w:t xml:space="preserve">, </w:t>
      </w:r>
      <w:r>
        <w:t>HepG2</w:t>
      </w:r>
      <w:r>
        <w:t>/</w:t>
      </w:r>
      <w:r>
        <w:t>HBx</w:t>
      </w:r>
      <w:r/>
      <w:r w:rsidR="001852F3">
        <w:t xml:space="preserve">组与</w:t>
      </w:r>
      <w:r>
        <w:t>HepG2</w:t>
      </w:r>
      <w:r>
        <w:t>/</w:t>
      </w:r>
      <w:r>
        <w:t>HBx</w:t>
      </w:r>
      <w:r>
        <w:t>加入</w:t>
      </w:r>
      <w:r>
        <w:t>NAC</w:t>
      </w:r>
      <w:r/>
      <w:r w:rsidR="001852F3">
        <w:t xml:space="preserve">组对比；※，</w:t>
      </w:r>
      <w:r>
        <w:t>P&lt;0.05</w:t>
      </w:r>
      <w:r>
        <w:t xml:space="preserve">, </w:t>
      </w:r>
      <w:r>
        <w:t>HepG2</w:t>
      </w:r>
      <w:r>
        <w:t>/</w:t>
      </w:r>
      <w:r>
        <w:t>HBx</w:t>
      </w:r>
      <w:r/>
      <w:r w:rsidR="001852F3">
        <w:t xml:space="preserve">加入</w:t>
      </w:r>
      <w:r>
        <w:t>NAC</w:t>
      </w:r>
      <w:r/>
      <w:r w:rsidR="001852F3">
        <w:t xml:space="preserve">组与</w:t>
      </w:r>
      <w:r>
        <w:t>HepG2</w:t>
      </w:r>
      <w:r>
        <w:t>/</w:t>
      </w:r>
      <w:r>
        <w:t>mock</w:t>
      </w:r>
      <w:r/>
      <w:r w:rsidR="001852F3">
        <w:t xml:space="preserve">加入</w:t>
      </w:r>
      <w:r>
        <w:t>NAC</w:t>
      </w:r>
      <w:r/>
      <w:r w:rsidR="001852F3">
        <w:t xml:space="preserve">组</w:t>
      </w:r>
      <w:r w:rsidR="001852F3">
        <w:t>、</w:t>
      </w:r>
    </w:p>
    <w:p w:rsidR="0018722C">
      <w:pPr>
        <w:topLinePunct/>
      </w:pPr>
      <w:r>
        <w:t>HepG2</w:t>
      </w:r>
      <w:r/>
      <w:r w:rsidR="001852F3">
        <w:t xml:space="preserve">加入</w:t>
      </w:r>
      <w:r>
        <w:t>NAC</w:t>
      </w:r>
      <w:r/>
      <w:r w:rsidR="001852F3">
        <w:t xml:space="preserve">组对比</w:t>
      </w:r>
      <w:r>
        <w:t>）</w:t>
      </w:r>
      <w:r>
        <w:t>，</w:t>
      </w:r>
      <w:r>
        <w:t>HBx</w:t>
      </w:r>
      <w:r>
        <w:rPr>
          <w:spacing w:val="-53"/>
        </w:rPr>
        <w:t xml:space="preserve">: </w:t>
      </w:r>
      <w:r>
        <w:t>HepG2</w:t>
      </w:r>
      <w:r>
        <w:t>/</w:t>
      </w:r>
      <w:r>
        <w:t>HBx</w:t>
      </w:r>
      <w:r/>
      <w:r w:rsidR="001852F3">
        <w:t xml:space="preserve">细胞; </w:t>
      </w:r>
      <w:r>
        <w:t>Mock</w:t>
      </w:r>
      <w:r>
        <w:rPr>
          <w:spacing w:val="-53"/>
        </w:rPr>
        <w:t xml:space="preserve">: </w:t>
      </w:r>
      <w:r>
        <w:t>HepG2</w:t>
      </w:r>
      <w:r>
        <w:t>/</w:t>
      </w:r>
      <w:r>
        <w:t>mock</w:t>
      </w:r>
      <w:r/>
      <w:r w:rsidR="001852F3">
        <w:t xml:space="preserve">细胞; </w:t>
      </w:r>
      <w:r>
        <w:t>Control：</w:t>
      </w:r>
    </w:p>
    <w:p w:rsidR="0018722C">
      <w:pPr>
        <w:topLinePunct/>
      </w:pPr>
      <w:r>
        <w:t>HepG2</w:t>
      </w:r>
      <w:r w:rsidR="001852F3">
        <w:t xml:space="preserve">细胞</w:t>
      </w:r>
    </w:p>
    <w:p w:rsidR="0018722C">
      <w:pPr>
        <w:pStyle w:val="Heading3"/>
        <w:topLinePunct/>
        <w:ind w:left="200" w:hangingChars="200" w:hanging="200"/>
      </w:pPr>
      <w:r>
        <w:rPr>
          <w:b/>
        </w:rPr>
        <w:t>5</w:t>
      </w:r>
      <w:r>
        <w:t xml:space="preserve"> </w:t>
      </w:r>
      <w:r>
        <w:rPr>
          <w:b/>
        </w:rPr>
        <w:t>HBx</w:t>
      </w:r>
      <w:r w:rsidR="001852F3">
        <w:t xml:space="preserve">促进</w:t>
      </w:r>
      <w:r>
        <w:rPr>
          <w:b/>
        </w:rPr>
        <w:t>HepG2</w:t>
      </w:r>
      <w:r w:rsidR="001852F3">
        <w:t xml:space="preserve">细胞的增殖能力</w:t>
      </w:r>
    </w:p>
    <w:p w:rsidR="0018722C">
      <w:pPr>
        <w:topLinePunct/>
      </w:pPr>
      <w:r>
        <w:t>CCK-8</w:t>
      </w:r>
      <w:r w:rsidR="001852F3">
        <w:t xml:space="preserve">实验检测三组细胞增殖能力情况如</w:t>
      </w:r>
      <w:r w:rsidR="001852F3">
        <w:t>表</w:t>
      </w:r>
      <w:r w:rsidR="001852F3">
        <w:t xml:space="preserve">5</w:t>
      </w:r>
      <w:r w:rsidR="001852F3">
        <w:t xml:space="preserve">所示，统计学分析提示，</w:t>
      </w:r>
    </w:p>
    <w:p w:rsidR="0018722C">
      <w:pPr>
        <w:topLinePunct/>
      </w:pPr>
      <w:r>
        <w:t>HepG2</w:t>
      </w:r>
      <w:r>
        <w:t>/</w:t>
      </w:r>
      <w:r>
        <w:t>HBx</w:t>
      </w:r>
      <w:r/>
      <w:r w:rsidR="001852F3">
        <w:t xml:space="preserve">细胞组的增殖速度较</w:t>
      </w:r>
      <w:r>
        <w:t>HepG2</w:t>
      </w:r>
      <w:r>
        <w:t>/</w:t>
      </w:r>
      <w:r>
        <w:t>mock</w:t>
      </w:r>
      <w:r/>
      <w:r w:rsidR="001852F3">
        <w:t xml:space="preserve">细胞组与</w:t>
      </w:r>
      <w:r>
        <w:t>HepG2</w:t>
      </w:r>
      <w:r/>
      <w:r w:rsidR="001852F3">
        <w:t xml:space="preserve">细胞组升高</w:t>
      </w:r>
      <w:r>
        <w:t>（</w:t>
      </w:r>
      <w:r>
        <w:t>图</w:t>
      </w:r>
      <w:r>
        <w:t>9</w:t>
      </w:r>
      <w:r>
        <w:t>）</w:t>
      </w:r>
      <w:r>
        <w:t>，</w:t>
      </w:r>
      <w:r>
        <w:t>差异具有统计学意义</w:t>
      </w:r>
      <w:r>
        <w:t>(</w:t>
      </w:r>
      <w:r>
        <w:t>P&lt;0.05</w:t>
      </w:r>
      <w:r>
        <w:t>)</w:t>
      </w:r>
      <w:r>
        <w:t>。该部分实验表明</w:t>
      </w:r>
      <w:r>
        <w:t>HBx</w:t>
      </w:r>
      <w:r/>
      <w:r w:rsidR="001852F3">
        <w:t xml:space="preserve">促进</w:t>
      </w:r>
      <w:r>
        <w:t>HepG2</w:t>
      </w:r>
      <w:r>
        <w:t>/</w:t>
      </w:r>
      <w:r>
        <w:t>HBx</w:t>
      </w:r>
      <w:r/>
      <w:r w:rsidR="001852F3">
        <w:t xml:space="preserve">细胞的增殖能力。</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7120" from="394.621979pt,3.957003pt" to="402.493885pt,3.957003pt" stroked="true" strokeweight=".504338pt" strokecolor="#000000">
            <v:stroke dashstyle="solid"/>
            <w10:wrap type="none"/>
          </v:line>
        </w:pict>
      </w:r>
      <w:r>
        <w:rPr>
          <w:kern w:val="2"/>
          <w:szCs w:val="22"/>
          <w:rFonts w:cstheme="minorBidi" w:hAnsiTheme="minorHAnsi" w:eastAsiaTheme="minorHAnsi" w:asciiTheme="minorHAnsi"/>
          <w:spacing w:val="-14"/>
          <w:sz w:val="21"/>
        </w:rPr>
        <w:t>表</w:t>
      </w:r>
      <w:r>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CCK-8</w:t>
      </w:r>
      <w:r w:rsidR="001852F3">
        <w:rPr>
          <w:kern w:val="2"/>
          <w:szCs w:val="22"/>
          <w:rFonts w:cstheme="minorBidi" w:hAnsiTheme="minorHAnsi" w:eastAsiaTheme="minorHAnsi" w:asciiTheme="minorHAnsi"/>
          <w:spacing w:val="-4"/>
          <w:sz w:val="21"/>
        </w:rPr>
        <w:t xml:space="preserve">检测三组细胞的增殖能力</w:t>
      </w:r>
      <w:r>
        <w:rPr>
          <w:kern w:val="2"/>
          <w:szCs w:val="22"/>
          <w:rFonts w:cstheme="minorBidi" w:hAnsiTheme="minorHAnsi" w:eastAsiaTheme="minorHAnsi" w:asciiTheme="minorHAnsi"/>
          <w:sz w:val="21"/>
        </w:rPr>
        <w:t>(OD</w:t>
      </w:r>
      <w:r w:rsidR="001852F3">
        <w:rPr>
          <w:kern w:val="2"/>
          <w:szCs w:val="22"/>
          <w:rFonts w:cstheme="minorBidi" w:hAnsiTheme="minorHAnsi" w:eastAsiaTheme="minorHAnsi" w:asciiTheme="minorHAnsi"/>
          <w:spacing w:val="-14"/>
          <w:sz w:val="21"/>
        </w:rPr>
        <w:t xml:space="preserve">值</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40"/>
          <w:sz w:val="21"/>
        </w:rPr>
        <w:t> </w:t>
      </w:r>
      <w:r>
        <w:rPr>
          <w:kern w:val="2"/>
          <w:szCs w:val="22"/>
          <w:rFonts w:cstheme="minorBidi" w:hAnsiTheme="minorHAnsi" w:eastAsiaTheme="minorHAnsi" w:asciiTheme="minorHAnsi"/>
          <w:i/>
          <w:sz w:val="25"/>
        </w:rPr>
        <w:t>X</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n=6</w:t>
      </w:r>
      <w:r>
        <w:rPr>
          <w:rFonts w:cstheme="minorBidi" w:hAnsiTheme="minorHAnsi" w:eastAsiaTheme="minorHAnsi" w:asciiTheme="minorHAnsi"/>
          <w:kern w:val="2"/>
          <w:sz w:val="21"/>
        </w:rPr>
        <w:t>)</w:t>
      </w:r>
    </w:p>
    <w:p w:rsidR="0018722C">
      <w:spacing w:beforeLines="0" w:before="0" w:afterLines="0" w:after="0" w:line="440" w:lineRule="auto"/>
      <w:pPr>
        <w:sectPr w:rsidR="00556256">
          <w:headerReference w:type="even" r:id="rId79"/>
          <w:headerReference w:type="default" r:id="rId75"/>
          <w:footerReference w:type="even" r:id="rId73"/>
          <w:footerReference w:type="default" r:id="rId72"/>
          <w:headerReference w:type="first" r:id="rId70"/>
          <w:footerReference w:type="first" r:id="rId77"/>
          <w:pgSz w:w="11906" w:h="16838" w:code="9"/>
          <w:pgMar w:top="1418" w:right="1134" w:bottom="1134" w:left="1418" w:header="851" w:footer="907" w:gutter="0"/>
          <w:pgNumType w:start="1"/>
          <w:cols w:space="720"/>
          <w:titlePg/>
          <w:docGrid w:type="lines" w:linePitch="326"/>
        </w:sectPr>
        <w:topLinePunct/>
      </w:pP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3"/>
        <w:gridCol w:w="1836"/>
        <w:gridCol w:w="1731"/>
        <w:gridCol w:w="314"/>
        <w:gridCol w:w="2567"/>
      </w:tblGrid>
      <w:tr>
        <w:trPr>
          <w:tblHeader/>
        </w:trPr>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 别</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1d</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162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HepG2</w:t>
            </w:r>
          </w:p>
          <w:p w:rsidR="0018722C">
            <w:pPr>
              <w:pStyle w:val="aff1"/>
              <w:topLinePunct/>
              <w:ind w:leftChars="0" w:left="0" w:rightChars="0" w:right="0" w:firstLineChars="0" w:firstLine="0"/>
              <w:spacing w:line="240" w:lineRule="atLeast"/>
            </w:pPr>
            <w:r w:rsidRPr="00000000">
              <w:rPr>
                <w:sz w:val="24"/>
                <w:szCs w:val="24"/>
              </w:rPr>
              <w:t>HepG2</w:t>
            </w:r>
            <w:r w:rsidRPr="00000000">
              <w:rPr>
                <w:sz w:val="24"/>
                <w:szCs w:val="24"/>
              </w:rPr>
              <w:t>/</w:t>
            </w:r>
            <w:r w:rsidRPr="00000000">
              <w:rPr>
                <w:sz w:val="24"/>
                <w:szCs w:val="24"/>
              </w:rPr>
              <w:t>mock HepG2</w:t>
            </w:r>
            <w:r w:rsidRPr="00000000">
              <w:rPr>
                <w:sz w:val="24"/>
                <w:szCs w:val="24"/>
              </w:rPr>
              <w:t>/</w:t>
            </w:r>
            <w:r w:rsidRPr="00000000">
              <w:rPr>
                <w:sz w:val="24"/>
                <w:szCs w:val="24"/>
              </w:rPr>
              <w:t>HBx</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0.7253±0.0173</w:t>
            </w:r>
          </w:p>
          <w:p w:rsidR="0018722C">
            <w:pPr>
              <w:pStyle w:val="aff1"/>
              <w:topLinePunct/>
            </w:pPr>
          </w:p>
          <w:p w:rsidR="0018722C">
            <w:pPr>
              <w:pStyle w:val="aff1"/>
              <w:topLinePunct/>
            </w:pPr>
            <w:r w:rsidRPr="00000000">
              <w:rPr>
                <w:sz w:val="24"/>
                <w:szCs w:val="24"/>
              </w:rPr>
              <w:t>0.7263±0.0064</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1.0371±0.0453</w:t>
            </w:r>
          </w:p>
        </w:tc>
        <w:tc>
          <w:tcPr>
            <w:tcW w:w="10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1.2546±0.0132</w:t>
            </w:r>
          </w:p>
          <w:p w:rsidR="0018722C">
            <w:pPr>
              <w:pStyle w:val="aff1"/>
              <w:topLinePunct/>
            </w:pPr>
          </w:p>
          <w:p w:rsidR="0018722C">
            <w:pPr>
              <w:pStyle w:val="aff1"/>
              <w:topLinePunct/>
            </w:pPr>
            <w:r w:rsidRPr="00000000">
              <w:rPr>
                <w:sz w:val="24"/>
                <w:szCs w:val="24"/>
              </w:rPr>
              <w:t>1.2446±0.0152</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1.5870±0.0181</w:t>
            </w:r>
          </w:p>
        </w:tc>
        <w:tc>
          <w:tcPr>
            <w:tcW w:w="1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2.0913±0.0703</w:t>
            </w:r>
          </w:p>
          <w:p w:rsidR="0018722C">
            <w:pPr>
              <w:pStyle w:val="aff1"/>
              <w:topLinePunct/>
            </w:pPr>
          </w:p>
          <w:p w:rsidR="0018722C">
            <w:pPr>
              <w:pStyle w:val="aff1"/>
              <w:topLinePunct/>
            </w:pPr>
            <w:r w:rsidRPr="00000000">
              <w:rPr>
                <w:sz w:val="24"/>
                <w:szCs w:val="24"/>
              </w:rPr>
              <w:t>2.1489±0.0704</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2.6328±0.0409</w:t>
            </w:r>
          </w:p>
        </w:tc>
      </w:tr>
    </w:tbl>
    <w:p w:rsidR="0018722C">
      <w:pPr>
        <w:topLinePunct/>
        <w:pStyle w:val="affa"/>
      </w:pPr>
    </w:p>
    <w:p w:rsidR="0018722C">
      <w:pPr>
        <w:pStyle w:val="affff5"/>
        <w:topLinePunct/>
      </w:pPr>
      <w:r>
        <w:rPr>
          <w:sz w:val="20"/>
        </w:rPr>
        <w:drawing>
          <wp:inline distT="0" distB="0" distL="0" distR="0">
            <wp:extent cx="4500931" cy="2624328"/>
            <wp:effectExtent l="0" t="0" r="0" b="0"/>
            <wp:docPr id="45" name="image24.jpeg" descr=""/>
            <wp:cNvGraphicFramePr>
              <a:graphicFrameLocks noChangeAspect="1"/>
            </wp:cNvGraphicFramePr>
            <a:graphic>
              <a:graphicData uri="http://schemas.openxmlformats.org/drawingml/2006/picture">
                <pic:pic>
                  <pic:nvPicPr>
                    <pic:cNvPr id="46" name="image24.jpeg"/>
                    <pic:cNvPicPr/>
                  </pic:nvPicPr>
                  <pic:blipFill>
                    <a:blip r:embed="rId30" cstate="print"/>
                    <a:stretch>
                      <a:fillRect/>
                    </a:stretch>
                  </pic:blipFill>
                  <pic:spPr>
                    <a:xfrm>
                      <a:off x="0" y="0"/>
                      <a:ext cx="4500931" cy="2624328"/>
                    </a:xfrm>
                    <a:prstGeom prst="rect">
                      <a:avLst/>
                    </a:prstGeom>
                  </pic:spPr>
                </pic:pic>
              </a:graphicData>
            </a:graphic>
          </wp:inline>
        </w:drawing>
      </w:r>
      <w:r/>
    </w:p>
    <w:p w:rsidR="0018722C">
      <w:pPr>
        <w:pStyle w:val="affff1"/>
        <w:topLinePunct/>
      </w:pPr>
      <w:r>
        <w:t/>
      </w:r>
      <w:r>
        <w:t>图</w:t>
      </w:r>
      <w:r>
        <w:t>9</w:t>
      </w:r>
      <w:r>
        <w:t> </w:t>
      </w:r>
      <w:r>
        <w:t>CCK-8</w:t>
      </w:r>
      <w:r/>
      <w:r w:rsidR="001852F3">
        <w:t xml:space="preserve">检测三组细胞增殖能力</w:t>
      </w:r>
      <w:r>
        <w:t>（</w:t>
      </w:r>
      <w:r>
        <w:rPr>
          <w:rFonts w:ascii="Times New Roman" w:eastAsia="宋体"/>
        </w:rPr>
        <w:t>*</w:t>
      </w:r>
      <w:r>
        <w:rPr>
          <w:spacing w:val="-40"/>
        </w:rPr>
        <w:t xml:space="preserve">, </w:t>
      </w:r>
      <w:r>
        <w:t>P&lt;0.05</w:t>
      </w:r>
      <w:r>
        <w:t>）</w:t>
      </w:r>
      <w:r>
        <w:t>，</w:t>
      </w:r>
      <w:r>
        <w:t>HBx</w:t>
      </w:r>
      <w:r>
        <w:rPr>
          <w:spacing w:val="-40"/>
        </w:rPr>
        <w:t xml:space="preserve">: </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6</w:t>
      </w:r>
      <w:r>
        <w:t xml:space="preserve"> </w:t>
      </w:r>
      <w:r>
        <w:rPr>
          <w:b/>
        </w:rPr>
        <w:t>HBx</w:t>
      </w:r>
      <w:r w:rsidR="001852F3">
        <w:t xml:space="preserve">促进</w:t>
      </w:r>
      <w:r>
        <w:rPr>
          <w:b/>
        </w:rPr>
        <w:t>HepG2</w:t>
      </w:r>
      <w:r w:rsidR="001852F3">
        <w:t xml:space="preserve">细胞的克隆形成能力</w:t>
      </w:r>
    </w:p>
    <w:p w:rsidR="0018722C">
      <w:pPr>
        <w:pStyle w:val="BodyText"/>
        <w:spacing w:line="357" w:lineRule="auto" w:before="213"/>
        <w:ind w:rightChars="0" w:right="217" w:firstLineChars="0" w:firstLine="480"/>
        <w:jc w:val="both"/>
        <w:topLinePunct/>
      </w:pPr>
      <w:r>
        <w:rPr>
          <w:spacing w:val="-2"/>
        </w:rPr>
        <w:t>三组细胞克隆形成能力如图</w:t>
      </w:r>
      <w:r>
        <w:t>10</w:t>
      </w:r>
      <w:r>
        <w:rPr>
          <w:spacing w:val="-6"/>
        </w:rPr>
        <w:t>、表</w:t>
      </w:r>
      <w:r>
        <w:t>6</w:t>
      </w:r>
      <w:r w:rsidR="001852F3">
        <w:rPr>
          <w:spacing w:val="-3"/>
        </w:rPr>
        <w:t xml:space="preserve">所示，统计学分析提示</w:t>
      </w:r>
      <w:r>
        <w:t>，HepG2/HBx</w:t>
      </w:r>
      <w:r w:rsidR="001852F3">
        <w:rPr>
          <w:spacing w:val="-9"/>
        </w:rPr>
        <w:t xml:space="preserve">细</w:t>
      </w:r>
      <w:r>
        <w:rPr>
          <w:spacing w:val="-11"/>
        </w:rPr>
        <w:t>胞组的克隆形成率较</w:t>
      </w:r>
      <w:r>
        <w:t>HepG2/mock</w:t>
      </w:r>
      <w:r w:rsidR="001852F3">
        <w:rPr>
          <w:spacing w:val="-10"/>
        </w:rPr>
        <w:t xml:space="preserve">细胞组与</w:t>
      </w:r>
      <w:r>
        <w:t>HepG2</w:t>
      </w:r>
      <w:r w:rsidR="001852F3">
        <w:rPr>
          <w:spacing w:val="-5"/>
        </w:rPr>
        <w:t xml:space="preserve">细胞组升高</w:t>
      </w:r>
      <w:r>
        <w:t>（</w:t>
      </w:r>
      <w:r>
        <w:rPr>
          <w:spacing w:val="-13"/>
        </w:rPr>
        <w:t>图</w:t>
      </w:r>
      <w:r>
        <w:t>11</w:t>
      </w:r>
      <w:r>
        <w:rPr>
          <w:spacing w:val="-60"/>
        </w:rPr>
        <w:t>）</w:t>
      </w:r>
      <w:r>
        <w:t>，差异具有统计学意义(P&lt;0.05)</w:t>
      </w:r>
      <w:r>
        <w:rPr>
          <w:spacing w:val="-10"/>
        </w:rPr>
        <w:t>，而</w:t>
      </w:r>
      <w:r>
        <w:t>HepG2/mock</w:t>
      </w:r>
      <w:r w:rsidR="001852F3">
        <w:rPr>
          <w:spacing w:val="-12"/>
        </w:rPr>
        <w:t xml:space="preserve">细胞组与</w:t>
      </w:r>
      <w:r>
        <w:t>HepG2</w:t>
      </w:r>
      <w:r w:rsidR="001852F3">
        <w:rPr>
          <w:spacing w:val="-4"/>
        </w:rPr>
        <w:t xml:space="preserve">细胞组克隆形成率相近，差</w:t>
      </w:r>
      <w:r>
        <w:rPr>
          <w:spacing w:val="-6"/>
        </w:rPr>
        <w:t>异无统计学意义。该部分实验表明</w:t>
      </w:r>
      <w:r>
        <w:t>HBx</w:t>
      </w:r>
      <w:r w:rsidR="001852F3">
        <w:rPr>
          <w:spacing w:val="-15"/>
        </w:rPr>
        <w:t xml:space="preserve">促进</w:t>
      </w:r>
      <w:r>
        <w:t>HepG2/HBx</w:t>
      </w:r>
      <w:r w:rsidR="001852F3">
        <w:rPr>
          <w:spacing w:val="-4"/>
        </w:rPr>
        <w:t xml:space="preserve">细胞的克隆形成能力。</w:t>
      </w:r>
    </w:p>
    <w:p w:rsidR="00000000">
      <w:pPr>
        <w:pStyle w:val="aff7"/>
        <w:spacing w:line="240" w:lineRule="atLeast"/>
        <w:topLinePunct/>
      </w:pPr>
      <w:r>
        <w:drawing>
          <wp:inline>
            <wp:extent cx="4022495" cy="1510664"/>
            <wp:effectExtent l="0" t="0" r="0" b="0"/>
            <wp:docPr id="47" name="image25.jpeg" descr=""/>
            <wp:cNvGraphicFramePr>
              <a:graphicFrameLocks noChangeAspect="1"/>
            </wp:cNvGraphicFramePr>
            <a:graphic>
              <a:graphicData uri="http://schemas.openxmlformats.org/drawingml/2006/picture">
                <pic:pic>
                  <pic:nvPicPr>
                    <pic:cNvPr id="48" name="image25.jpeg"/>
                    <pic:cNvPicPr/>
                  </pic:nvPicPr>
                  <pic:blipFill>
                    <a:blip r:embed="rId31" cstate="print"/>
                    <a:stretch>
                      <a:fillRect/>
                    </a:stretch>
                  </pic:blipFill>
                  <pic:spPr>
                    <a:xfrm>
                      <a:off x="0" y="0"/>
                      <a:ext cx="4022495" cy="1510664"/>
                    </a:xfrm>
                    <a:prstGeom prst="rect">
                      <a:avLst/>
                    </a:prstGeom>
                  </pic:spPr>
                </pic:pic>
              </a:graphicData>
            </a:graphic>
          </wp:inline>
        </w:drawing>
      </w:r>
    </w:p>
    <w:p w:rsidR="0018722C">
      <w:pPr>
        <w:pStyle w:val="a9"/>
        <w:topLinePunct/>
      </w:pPr>
      <w:r>
        <w:t>图</w:t>
      </w:r>
      <w:r>
        <w:t>10</w:t>
      </w:r>
      <w:r>
        <w:t xml:space="preserve">  </w:t>
      </w:r>
      <w:r>
        <w:t>平板克隆形成实验检测三组细胞克隆形成能力，</w:t>
      </w:r>
      <w:r>
        <w:t>HBx</w:t>
      </w:r>
      <w:r w:rsidP="AA7D325B">
        <w:t>：</w:t>
      </w:r>
      <w:r>
        <w:t>HepG2</w:t>
      </w:r>
      <w:r>
        <w:t>/</w:t>
      </w:r>
      <w:r>
        <w:t>HBx</w:t>
      </w:r>
      <w:r/>
      <w:r w:rsidR="001852F3">
        <w:t xml:space="preserve">细胞</w:t>
      </w:r>
      <w:r w:rsidP="AA7D325B">
        <w:t>;</w:t>
      </w:r>
    </w:p>
    <w:p w:rsidR="0018722C">
      <w:pPr>
        <w:topLinePunct/>
      </w:pPr>
      <w:r>
        <w:t>Mock</w:t>
      </w:r>
      <w:r>
        <w:t xml:space="preserve">: </w:t>
      </w: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6</w:t>
      </w:r>
      <w:r>
        <w:t xml:space="preserve">  </w:t>
      </w:r>
      <w:r>
        <w:rPr>
          <w:rFonts w:cstheme="minorBidi" w:hAnsiTheme="minorHAnsi" w:eastAsiaTheme="minorHAnsi" w:asciiTheme="minorHAnsi"/>
        </w:rPr>
        <w:t>三组细胞克隆形成率</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X</w:t>
      </w:r>
    </w:p>
    <w:p w:rsidR="0018722C">
      <w:pPr>
        <w:topLinePunct/>
      </w:pPr>
      <w:r>
        <w:t></w:t>
      </w:r>
      <w:r/>
      <w:r>
        <w:t>s</w:t>
      </w:r>
      <w:r>
        <w:t>)</w:t>
      </w:r>
    </w:p>
    <w:tbl>
      <w:tblPr>
        <w:tblW w:w="5000" w:type="pct"/>
        <w:tblInd w:w="3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1"/>
        <w:gridCol w:w="1601"/>
        <w:gridCol w:w="1727"/>
        <w:gridCol w:w="1584"/>
        <w:gridCol w:w="92"/>
      </w:tblGrid>
      <w:tr>
        <w:tc>
          <w:tcPr>
            <w:tcW w:w="1542" w:type="pct"/>
            <w:vAlign w:val="center"/>
          </w:tcPr>
          <w:p w:rsidR="0018722C">
            <w:pPr>
              <w:pStyle w:val="ac"/>
              <w:topLinePunct/>
              <w:ind w:leftChars="0" w:left="0" w:rightChars="0" w:right="0" w:firstLineChars="0" w:firstLine="0"/>
              <w:spacing w:line="240" w:lineRule="atLeast"/>
            </w:pPr>
            <w:r>
              <w:t>组 别</w:t>
            </w:r>
          </w:p>
        </w:tc>
        <w:tc>
          <w:tcPr>
            <w:tcW w:w="1106" w:type="pct"/>
            <w:vAlign w:val="center"/>
          </w:tcPr>
          <w:p w:rsidR="0018722C">
            <w:pPr>
              <w:pStyle w:val="a5"/>
              <w:topLinePunct/>
              <w:ind w:leftChars="0" w:left="0" w:rightChars="0" w:right="0" w:firstLineChars="0" w:firstLine="0"/>
              <w:spacing w:line="240" w:lineRule="atLeast"/>
            </w:pPr>
            <w:r>
              <w:t>n</w:t>
            </w:r>
          </w:p>
        </w:tc>
        <w:tc>
          <w:tcPr>
            <w:tcW w:w="1194" w:type="pct"/>
            <w:vAlign w:val="center"/>
          </w:tcPr>
          <w:p w:rsidR="0018722C">
            <w:pPr>
              <w:pStyle w:val="a5"/>
              <w:topLinePunct/>
              <w:ind w:leftChars="0" w:left="0" w:rightChars="0" w:right="0" w:firstLineChars="0" w:firstLine="0"/>
              <w:spacing w:line="240" w:lineRule="atLeast"/>
            </w:pPr>
            <w:r>
              <w:t>克隆形成率</w:t>
            </w:r>
          </w:p>
        </w:tc>
        <w:tc>
          <w:tcPr>
            <w:tcW w:w="1158" w:type="pct"/>
            <w:gridSpan w:val="2"/>
            <w:vAlign w:val="center"/>
          </w:tcPr>
          <w:p w:rsidR="0018722C">
            <w:pPr>
              <w:pStyle w:val="ad"/>
              <w:topLinePunct/>
              <w:ind w:leftChars="0" w:left="0" w:rightChars="0" w:right="0" w:firstLineChars="0" w:firstLine="0"/>
              <w:spacing w:line="240" w:lineRule="atLeast"/>
            </w:pPr>
          </w:p>
        </w:tc>
      </w:tr>
      <w:tr>
        <w:tc>
          <w:tcPr>
            <w:tcW w:w="1542" w:type="pct"/>
            <w:vAlign w:val="center"/>
          </w:tcPr>
          <w:p w:rsidR="0018722C">
            <w:pPr>
              <w:pStyle w:val="ac"/>
              <w:topLinePunct/>
              <w:ind w:leftChars="0" w:left="0" w:rightChars="0" w:right="0" w:firstLineChars="0" w:firstLine="0"/>
              <w:spacing w:line="240" w:lineRule="atLeast"/>
            </w:pPr>
            <w:r>
              <w:t>HepG2</w:t>
            </w:r>
          </w:p>
        </w:tc>
        <w:tc>
          <w:tcPr>
            <w:tcW w:w="1106" w:type="pct"/>
            <w:vAlign w:val="center"/>
          </w:tcPr>
          <w:p w:rsidR="0018722C">
            <w:pPr>
              <w:pStyle w:val="affff9"/>
              <w:topLinePunct/>
              <w:ind w:leftChars="0" w:left="0" w:rightChars="0" w:right="0" w:firstLineChars="0" w:firstLine="0"/>
              <w:spacing w:line="240" w:lineRule="atLeast"/>
            </w:pPr>
            <w:r>
              <w:t>3</w:t>
            </w:r>
          </w:p>
        </w:tc>
        <w:tc>
          <w:tcPr>
            <w:tcW w:w="2288" w:type="pct"/>
            <w:gridSpan w:val="2"/>
            <w:vAlign w:val="center"/>
          </w:tcPr>
          <w:p w:rsidR="0018722C">
            <w:pPr>
              <w:pStyle w:val="a5"/>
              <w:topLinePunct/>
              <w:ind w:leftChars="0" w:left="0" w:rightChars="0" w:right="0" w:firstLineChars="0" w:firstLine="0"/>
              <w:spacing w:line="240" w:lineRule="atLeast"/>
            </w:pPr>
            <w:r>
              <w:t>0.3238±0.0525</w:t>
            </w:r>
          </w:p>
        </w:tc>
        <w:tc>
          <w:tcPr>
            <w:tcW w:w="64" w:type="pct"/>
            <w:vAlign w:val="center"/>
          </w:tcPr>
          <w:p w:rsidR="0018722C">
            <w:pPr>
              <w:pStyle w:val="ad"/>
              <w:topLinePunct/>
              <w:ind w:leftChars="0" w:left="0" w:rightChars="0" w:right="0" w:firstLineChars="0" w:firstLine="0"/>
              <w:spacing w:line="240" w:lineRule="atLeast"/>
            </w:pPr>
          </w:p>
        </w:tc>
      </w:tr>
      <w:tr>
        <w:tc>
          <w:tcPr>
            <w:tcW w:w="1542" w:type="pct"/>
            <w:vAlign w:val="center"/>
          </w:tcPr>
          <w:p w:rsidR="0018722C">
            <w:pPr>
              <w:pStyle w:val="ac"/>
              <w:topLinePunct/>
              <w:ind w:leftChars="0" w:left="0" w:rightChars="0" w:right="0" w:firstLineChars="0" w:firstLine="0"/>
              <w:spacing w:line="240" w:lineRule="atLeast"/>
            </w:pPr>
            <w:r>
              <w:t>HepG2</w:t>
            </w:r>
            <w:r>
              <w:t>/</w:t>
            </w:r>
            <w:r>
              <w:t>mock</w:t>
            </w:r>
          </w:p>
        </w:tc>
        <w:tc>
          <w:tcPr>
            <w:tcW w:w="1106" w:type="pct"/>
            <w:vAlign w:val="center"/>
          </w:tcPr>
          <w:p w:rsidR="0018722C">
            <w:pPr>
              <w:pStyle w:val="affff9"/>
              <w:topLinePunct/>
              <w:ind w:leftChars="0" w:left="0" w:rightChars="0" w:right="0" w:firstLineChars="0" w:firstLine="0"/>
              <w:spacing w:line="240" w:lineRule="atLeast"/>
            </w:pPr>
            <w:r>
              <w:t>3</w:t>
            </w:r>
          </w:p>
        </w:tc>
        <w:tc>
          <w:tcPr>
            <w:tcW w:w="2288" w:type="pct"/>
            <w:gridSpan w:val="2"/>
            <w:vAlign w:val="center"/>
          </w:tcPr>
          <w:p w:rsidR="0018722C">
            <w:pPr>
              <w:pStyle w:val="a5"/>
              <w:topLinePunct/>
              <w:ind w:leftChars="0" w:left="0" w:rightChars="0" w:right="0" w:firstLineChars="0" w:firstLine="0"/>
              <w:spacing w:line="240" w:lineRule="atLeast"/>
            </w:pPr>
            <w:r>
              <w:t>0.3698±0.0057</w:t>
            </w:r>
          </w:p>
        </w:tc>
        <w:tc>
          <w:tcPr>
            <w:tcW w:w="64" w:type="pct"/>
            <w:vAlign w:val="center"/>
          </w:tcPr>
          <w:p w:rsidR="0018722C">
            <w:pPr>
              <w:pStyle w:val="ad"/>
              <w:topLinePunct/>
              <w:ind w:leftChars="0" w:left="0" w:rightChars="0" w:right="0" w:firstLineChars="0" w:firstLine="0"/>
              <w:spacing w:line="240" w:lineRule="atLeast"/>
            </w:pPr>
          </w:p>
        </w:tc>
      </w:tr>
      <w:tr>
        <w:tc>
          <w:tcPr>
            <w:tcW w:w="1542"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110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288"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0.6080±0.0640</w:t>
            </w:r>
          </w:p>
        </w:tc>
        <w:tc>
          <w:tcPr>
            <w:tcW w:w="6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e"/>
        <w:topLinePunct/>
      </w:pPr>
      <w:r>
        <w:drawing>
          <wp:inline>
            <wp:extent cx="3455097" cy="3095244"/>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2" cstate="print"/>
                    <a:stretch>
                      <a:fillRect/>
                    </a:stretch>
                  </pic:blipFill>
                  <pic:spPr>
                    <a:xfrm>
                      <a:off x="0" y="0"/>
                      <a:ext cx="3455097" cy="3095244"/>
                    </a:xfrm>
                    <a:prstGeom prst="rect">
                      <a:avLst/>
                    </a:prstGeom>
                  </pic:spPr>
                </pic:pic>
              </a:graphicData>
            </a:graphic>
          </wp:inline>
        </w:drawing>
      </w:r>
    </w:p>
    <w:p w:rsidR="0018722C">
      <w:pPr>
        <w:pStyle w:val="ae"/>
        <w:topLinePunct/>
      </w:pPr>
      <w:r>
        <w:rPr>
          <w:spacing w:val="0"/>
        </w:rPr>
        <w:t/>
      </w:r>
      <w:r>
        <w:rPr>
          <w:spacing w:val="0"/>
        </w:rPr>
        <w:t>图</w:t>
      </w:r>
      <w:r>
        <w:t>11</w:t>
      </w:r>
      <w:r w:rsidR="001852F3">
        <w:t xml:space="preserve">三</w:t>
      </w:r>
      <w:r w:rsidR="001852F3">
        <w:t>组细胞克隆形成率</w:t>
      </w:r>
      <w:r>
        <w:rPr>
          <w:spacing w:val="2"/>
        </w:rPr>
        <w:t>（</w:t>
      </w:r>
      <w:r>
        <w:rPr>
          <w:rFonts w:ascii="Times New Roman" w:eastAsia="宋体"/>
          <w:spacing w:val="1"/>
        </w:rPr>
        <w:t>*</w:t>
      </w:r>
      <w:r>
        <w:rPr>
          <w:spacing w:val="1"/>
        </w:rPr>
        <w:t xml:space="preserve">, </w:t>
      </w:r>
      <w:r>
        <w:t>P&lt;0.0</w:t>
      </w:r>
      <w:r>
        <w:rPr>
          <w:spacing w:val="1"/>
        </w:rPr>
        <w:t>5</w:t>
      </w:r>
      <w:r>
        <w:rPr>
          <w:spacing w:val="-58"/>
        </w:rPr>
        <w:t>）</w:t>
      </w:r>
      <w:r>
        <w:rPr>
          <w:spacing w:val="1"/>
        </w:rPr>
        <w:t>，</w:t>
      </w:r>
      <w:r>
        <w:t>HB</w:t>
      </w:r>
      <w:r>
        <w:rPr>
          <w:spacing w:val="1"/>
        </w:rPr>
        <w:t>x</w:t>
      </w:r>
      <w:r>
        <w:rPr>
          <w:spacing w:val="1"/>
        </w:rPr>
        <w:t xml:space="preserve">: </w:t>
      </w:r>
      <w:r>
        <w:t>HepG2/HBx</w:t>
      </w:r>
      <w:r w:rsidR="001852F3">
        <w:rPr>
          <w:spacing w:val="0"/>
        </w:rPr>
        <w:t xml:space="preserve">细胞; </w:t>
      </w:r>
      <w:r>
        <w:t>Moc</w:t>
      </w:r>
      <w:r>
        <w:rPr>
          <w:spacing w:val="2"/>
        </w:rPr>
        <w:t>k</w:t>
      </w:r>
      <w:r>
        <w:t>：</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Heading3"/>
        <w:topLinePunct/>
        <w:ind w:left="200" w:hangingChars="200" w:hanging="200"/>
      </w:pPr>
      <w:r>
        <w:rPr>
          <w:b/>
        </w:rPr>
        <w:t>7</w:t>
      </w:r>
      <w:r>
        <w:t xml:space="preserve"> </w:t>
      </w:r>
      <w:r>
        <w:t>加入</w:t>
      </w:r>
      <w:r>
        <w:rPr>
          <w:b/>
        </w:rPr>
        <w:t>COX-2</w:t>
      </w:r>
      <w:r w:rsidR="001852F3">
        <w:t xml:space="preserve">抑制剂后</w:t>
      </w:r>
      <w:r>
        <w:rPr>
          <w:b/>
        </w:rPr>
        <w:t>HepG2</w:t>
      </w:r>
      <w:r>
        <w:rPr>
          <w:b/>
        </w:rPr>
        <w:t>/</w:t>
      </w:r>
      <w:r>
        <w:rPr>
          <w:b/>
        </w:rPr>
        <w:t>HBx</w:t>
      </w:r>
      <w:r w:rsidR="001852F3">
        <w:t xml:space="preserve">细胞</w:t>
      </w:r>
      <w:r>
        <w:rPr>
          <w:b/>
        </w:rPr>
        <w:t>COX-2</w:t>
      </w:r>
      <w:r w:rsidR="001852F3">
        <w:t xml:space="preserve">蛋白表达水平下降</w:t>
      </w:r>
    </w:p>
    <w:p w:rsidR="0018722C">
      <w:pPr>
        <w:topLinePunct/>
      </w:pPr>
      <w:r>
        <w:t>经</w:t>
      </w:r>
      <w:r>
        <w:t>50 umol</w:t>
      </w:r>
      <w:r>
        <w:t>/</w:t>
      </w:r>
      <w:r>
        <w:t>L NS-398</w:t>
      </w:r>
      <w:r/>
      <w:r w:rsidR="001852F3">
        <w:t xml:space="preserve">作用</w:t>
      </w:r>
      <w:r>
        <w:t>72h</w:t>
      </w:r>
      <w:r/>
      <w:r w:rsidR="001852F3">
        <w:t xml:space="preserve">后，六组细胞</w:t>
      </w:r>
      <w:r>
        <w:t>COX-2</w:t>
      </w:r>
      <w:r/>
      <w:r w:rsidR="001852F3">
        <w:t xml:space="preserve">蛋白表达情况如</w:t>
      </w:r>
      <w:r w:rsidR="001852F3">
        <w:t>图</w:t>
      </w:r>
      <w:r>
        <w:t>12</w:t>
      </w:r>
      <w:r/>
      <w:r w:rsidR="001852F3">
        <w:t xml:space="preserve">所</w:t>
      </w:r>
      <w:r>
        <w:t>示，</w:t>
      </w:r>
      <w:r>
        <w:t>COX-2</w:t>
      </w:r>
      <w:r>
        <w:t>/</w:t>
      </w:r>
      <w:r>
        <w:t>β-actin</w:t>
      </w:r>
      <w:r/>
      <w:r w:rsidR="001852F3">
        <w:t xml:space="preserve">蛋白的相对灰度比值如</w:t>
      </w:r>
      <w:r w:rsidR="001852F3">
        <w:t>表</w:t>
      </w:r>
      <w:r>
        <w:t>7</w:t>
      </w:r>
      <w:r/>
      <w:r w:rsidR="001852F3">
        <w:t xml:space="preserve">所示，统计学分析提示，</w:t>
      </w:r>
      <w:r>
        <w:t>HepG2</w:t>
      </w:r>
      <w:r>
        <w:t>/</w:t>
      </w:r>
      <w:r>
        <w:t>HBx</w:t>
      </w:r>
      <w:r>
        <w:t>细胞组中</w:t>
      </w:r>
      <w:r>
        <w:t>COXⅢ</w:t>
      </w:r>
      <w:r>
        <w:t>蛋白较</w:t>
      </w:r>
      <w:r>
        <w:t>HepG2</w:t>
      </w:r>
      <w:r>
        <w:t>/</w:t>
      </w:r>
      <w:r>
        <w:t>mock</w:t>
      </w:r>
      <w:r/>
      <w:r w:rsidR="001852F3">
        <w:t xml:space="preserve">细胞组与</w:t>
      </w:r>
      <w:r>
        <w:t>HepG2</w:t>
      </w:r>
      <w:r/>
      <w:r w:rsidR="001852F3">
        <w:t xml:space="preserve">细胞组升高，差异具有统计学意义</w:t>
      </w:r>
      <w:r>
        <w:t>(</w:t>
      </w:r>
      <w:r>
        <w:rPr>
          <w:spacing w:val="-4"/>
        </w:rPr>
        <w:t>P&lt;0.05</w:t>
      </w:r>
      <w:r>
        <w:t>)</w:t>
      </w:r>
      <w:r>
        <w:t>；</w:t>
      </w:r>
      <w:r/>
      <w:r w:rsidR="001852F3">
        <w:t xml:space="preserve">经</w:t>
      </w:r>
      <w:r>
        <w:t>50 umol</w:t>
      </w:r>
      <w:r>
        <w:t>/</w:t>
      </w:r>
      <w:r>
        <w:t>L NS-398</w:t>
      </w:r>
      <w:r/>
      <w:r w:rsidR="001852F3">
        <w:t xml:space="preserve">作用</w:t>
      </w:r>
      <w:r>
        <w:t>72h</w:t>
      </w:r>
      <w:r/>
      <w:r w:rsidR="001852F3">
        <w:t xml:space="preserve">后的</w:t>
      </w:r>
      <w:r>
        <w:t>HepG2</w:t>
      </w:r>
      <w:r>
        <w:t>/</w:t>
      </w:r>
      <w:r>
        <w:t>HBx</w:t>
      </w:r>
      <w:r/>
      <w:r w:rsidR="001852F3">
        <w:t xml:space="preserve">细胞组中</w:t>
      </w:r>
      <w:r>
        <w:t>COX-2</w:t>
      </w:r>
      <w:r>
        <w:t>蛋白表达水平较没有加药的</w:t>
      </w:r>
      <w:r>
        <w:t>HepG2</w:t>
      </w:r>
      <w:r>
        <w:t>/</w:t>
      </w:r>
      <w:r>
        <w:t>HBx</w:t>
      </w:r>
      <w:r/>
      <w:r w:rsidR="001852F3">
        <w:t xml:space="preserve">组下降，差异具有统计学意义</w:t>
      </w:r>
      <w:r>
        <w:rPr>
          <w:spacing w:val="-4"/>
        </w:rPr>
        <w:t>（</w:t>
      </w:r>
      <w:r>
        <w:rPr>
          <w:spacing w:val="-4"/>
        </w:rPr>
        <w:t xml:space="preserve">P&lt;0.05</w:t>
      </w:r>
      <w:r>
        <w:rPr>
          <w:spacing w:val="-4"/>
        </w:rPr>
        <w:t>）</w:t>
      </w:r>
      <w:r/>
      <w:r>
        <w:t>（</w:t>
      </w:r>
      <w:r>
        <w:t>图</w:t>
      </w:r>
    </w:p>
    <w:p w:rsidR="0018722C">
      <w:pPr>
        <w:topLinePunct/>
      </w:pPr>
      <w:r>
        <w:t>13</w:t>
      </w:r>
      <w:r>
        <w:t>）</w:t>
      </w:r>
      <w:r>
        <w:t>。该部分实验表明</w:t>
      </w:r>
      <w:r>
        <w:t>50 umol</w:t>
      </w:r>
      <w:r>
        <w:t>/</w:t>
      </w:r>
      <w:r>
        <w:t>L NS-398</w:t>
      </w:r>
      <w:r/>
      <w:r w:rsidR="001852F3">
        <w:t xml:space="preserve">能够抑制</w:t>
      </w:r>
      <w:r>
        <w:t>HepG2</w:t>
      </w:r>
      <w:r>
        <w:t>/</w:t>
      </w:r>
      <w:r>
        <w:t>HBx</w:t>
      </w:r>
      <w:r/>
      <w:r w:rsidR="001852F3">
        <w:t xml:space="preserve">细胞的</w:t>
      </w:r>
      <w:r>
        <w:t>COX-2</w:t>
      </w:r>
      <w:r/>
      <w:r w:rsidR="001852F3">
        <w:t xml:space="preserve">蛋白</w:t>
      </w:r>
      <w:r>
        <w:t>表达水平。</w:t>
      </w:r>
    </w:p>
    <w:p w:rsidR="0018722C">
      <w:pPr>
        <w:pStyle w:val="aff7"/>
        <w:topLinePunct/>
      </w:pPr>
      <w:r>
        <w:rPr>
          <w:sz w:val="20"/>
        </w:rPr>
        <w:drawing>
          <wp:inline distT="0" distB="0" distL="0" distR="0">
            <wp:extent cx="4646956" cy="1410176"/>
            <wp:effectExtent l="0" t="0" r="0" b="0"/>
            <wp:docPr id="51" name="image27.jpeg" descr=""/>
            <wp:cNvGraphicFramePr>
              <a:graphicFrameLocks noChangeAspect="1"/>
            </wp:cNvGraphicFramePr>
            <a:graphic>
              <a:graphicData uri="http://schemas.openxmlformats.org/drawingml/2006/picture">
                <pic:pic>
                  <pic:nvPicPr>
                    <pic:cNvPr id="52" name="image27.jpeg"/>
                    <pic:cNvPicPr/>
                  </pic:nvPicPr>
                  <pic:blipFill>
                    <a:blip r:embed="rId33" cstate="print"/>
                    <a:stretch>
                      <a:fillRect/>
                    </a:stretch>
                  </pic:blipFill>
                  <pic:spPr>
                    <a:xfrm>
                      <a:off x="0" y="0"/>
                      <a:ext cx="4646956" cy="1410176"/>
                    </a:xfrm>
                    <a:prstGeom prst="rect">
                      <a:avLst/>
                    </a:prstGeom>
                  </pic:spPr>
                </pic:pic>
              </a:graphicData>
            </a:graphic>
          </wp:inline>
        </w:drawing>
      </w:r>
      <w:r/>
    </w:p>
    <w:p w:rsidR="0018722C">
      <w:pPr>
        <w:pStyle w:val="affff1"/>
        <w:topLinePunct/>
      </w:pPr>
      <w:r>
        <w:t/>
      </w:r>
      <w:r>
        <w:t>图</w:t>
      </w:r>
      <w:r>
        <w:t>12</w:t>
      </w:r>
      <w:r/>
      <w:r w:rsidR="001852F3">
        <w:t xml:space="preserve">六</w:t>
      </w:r>
      <w:r w:rsidR="001852F3">
        <w:t>组细胞</w:t>
      </w:r>
      <w:r>
        <w:t>COX-2</w:t>
      </w:r>
      <w:r/>
      <w:r w:rsidR="001852F3">
        <w:t xml:space="preserve">蛋白表达水平，左边三组为加入</w:t>
      </w:r>
      <w:r>
        <w:t>50 umol</w:t>
      </w:r>
      <w:r>
        <w:t>/</w:t>
      </w:r>
      <w:r>
        <w:t>L NS-398</w:t>
      </w:r>
      <w:r/>
      <w:r w:rsidR="001852F3">
        <w:t xml:space="preserve">作</w:t>
      </w:r>
      <w:r>
        <w:t>用</w:t>
      </w:r>
      <w:r>
        <w:t>72h，</w:t>
      </w:r>
      <w:r>
        <w:t>右边</w:t>
      </w:r>
      <w:r>
        <w:t>3</w:t>
      </w:r>
      <w:r/>
      <w:r w:rsidR="001852F3">
        <w:t xml:space="preserve">组为加入等体积</w:t>
      </w:r>
      <w:r>
        <w:t>DMSO</w:t>
      </w:r>
      <w:r/>
      <w:r w:rsidR="001852F3">
        <w:t xml:space="preserve">对照组，</w:t>
      </w:r>
      <w:r>
        <w:t>HBx</w:t>
      </w:r>
      <w:r>
        <w:t xml:space="preserve">: </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六组细胞</w:t>
      </w:r>
      <w:r w:rsidR="001852F3">
        <w:rPr>
          <w:rFonts w:cstheme="minorBidi" w:hAnsiTheme="minorHAnsi" w:eastAsiaTheme="minorHAnsi" w:asciiTheme="minorHAnsi"/>
        </w:rPr>
        <w:t xml:space="preserve">COX-2</w:t>
      </w:r>
      <w:r>
        <w:rPr>
          <w:rFonts w:cstheme="minorBidi" w:hAnsiTheme="minorHAnsi" w:eastAsiaTheme="minorHAnsi" w:asciiTheme="minorHAnsi"/>
        </w:rPr>
        <w:t>/</w:t>
      </w:r>
      <w:r>
        <w:rPr>
          <w:rFonts w:cstheme="minorBidi" w:hAnsiTheme="minorHAnsi" w:eastAsiaTheme="minorHAnsi" w:asciiTheme="minorHAnsi"/>
        </w:rPr>
        <w:t>β-actin</w:t>
      </w:r>
      <w:r w:rsidR="001852F3">
        <w:rPr>
          <w:rFonts w:cstheme="minorBidi" w:hAnsiTheme="minorHAnsi" w:eastAsiaTheme="minorHAnsi" w:asciiTheme="minorHAnsi"/>
        </w:rPr>
        <w:t xml:space="preserve">蛋白相对灰度比值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2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1154"/>
        <w:gridCol w:w="1154"/>
        <w:gridCol w:w="1312"/>
        <w:gridCol w:w="2680"/>
      </w:tblGrid>
      <w:tr>
        <w:trPr>
          <w:tblHeader/>
        </w:trPr>
        <w:tc>
          <w:tcPr>
            <w:tcW w:w="10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84" w:type="pct"/>
            <w:vAlign w:val="center"/>
          </w:tcPr>
          <w:p w:rsidR="0018722C">
            <w:pPr>
              <w:pStyle w:val="ac"/>
              <w:topLinePunct/>
              <w:ind w:leftChars="0" w:left="0" w:rightChars="0" w:right="0" w:firstLineChars="0" w:firstLine="0"/>
              <w:spacing w:line="240" w:lineRule="atLeast"/>
            </w:pPr>
            <w:r>
              <w:t>组 别</w:t>
            </w:r>
          </w:p>
        </w:tc>
        <w:tc>
          <w:tcPr>
            <w:tcW w:w="717" w:type="pct"/>
            <w:vAlign w:val="center"/>
          </w:tcPr>
          <w:p w:rsidR="0018722C">
            <w:pPr>
              <w:pStyle w:val="a5"/>
              <w:topLinePunct/>
              <w:ind w:leftChars="0" w:left="0" w:rightChars="0" w:right="0" w:firstLineChars="0" w:firstLine="0"/>
              <w:spacing w:line="240" w:lineRule="atLeast"/>
            </w:pPr>
            <w:r>
              <w:t>第一次</w:t>
            </w:r>
          </w:p>
        </w:tc>
        <w:tc>
          <w:tcPr>
            <w:tcW w:w="717" w:type="pct"/>
            <w:vAlign w:val="center"/>
          </w:tcPr>
          <w:p w:rsidR="0018722C">
            <w:pPr>
              <w:pStyle w:val="a5"/>
              <w:topLinePunct/>
              <w:ind w:leftChars="0" w:left="0" w:rightChars="0" w:right="0" w:firstLineChars="0" w:firstLine="0"/>
              <w:spacing w:line="240" w:lineRule="atLeast"/>
            </w:pPr>
            <w:r>
              <w:t>第二次</w:t>
            </w:r>
          </w:p>
        </w:tc>
        <w:tc>
          <w:tcPr>
            <w:tcW w:w="816" w:type="pct"/>
            <w:vAlign w:val="center"/>
          </w:tcPr>
          <w:p w:rsidR="0018722C">
            <w:pPr>
              <w:pStyle w:val="a5"/>
              <w:topLinePunct/>
              <w:ind w:leftChars="0" w:left="0" w:rightChars="0" w:right="0" w:firstLineChars="0" w:firstLine="0"/>
              <w:spacing w:line="240" w:lineRule="atLeast"/>
            </w:pPr>
            <w:r>
              <w:t>第三次</w:t>
            </w:r>
          </w:p>
        </w:tc>
        <w:tc>
          <w:tcPr>
            <w:tcW w:w="1666"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1084" w:type="pct"/>
            <w:vAlign w:val="center"/>
          </w:tcPr>
          <w:p w:rsidR="0018722C">
            <w:pPr>
              <w:pStyle w:val="ac"/>
              <w:topLinePunct/>
              <w:ind w:leftChars="0" w:left="0" w:rightChars="0" w:right="0" w:firstLineChars="0" w:firstLine="0"/>
              <w:spacing w:line="240" w:lineRule="atLeast"/>
            </w:pPr>
            <w:r>
              <w:t>HepG2</w:t>
            </w:r>
          </w:p>
        </w:tc>
        <w:tc>
          <w:tcPr>
            <w:tcW w:w="717" w:type="pct"/>
            <w:vAlign w:val="center"/>
          </w:tcPr>
          <w:p w:rsidR="0018722C">
            <w:pPr>
              <w:pStyle w:val="affff9"/>
              <w:topLinePunct/>
              <w:ind w:leftChars="0" w:left="0" w:rightChars="0" w:right="0" w:firstLineChars="0" w:firstLine="0"/>
              <w:spacing w:line="240" w:lineRule="atLeast"/>
            </w:pPr>
            <w:r>
              <w:t>0.4540</w:t>
            </w:r>
          </w:p>
        </w:tc>
        <w:tc>
          <w:tcPr>
            <w:tcW w:w="717" w:type="pct"/>
            <w:vAlign w:val="center"/>
          </w:tcPr>
          <w:p w:rsidR="0018722C">
            <w:pPr>
              <w:pStyle w:val="affff9"/>
              <w:topLinePunct/>
              <w:ind w:leftChars="0" w:left="0" w:rightChars="0" w:right="0" w:firstLineChars="0" w:firstLine="0"/>
              <w:spacing w:line="240" w:lineRule="atLeast"/>
            </w:pPr>
            <w:r>
              <w:t>0.4654</w:t>
            </w:r>
          </w:p>
        </w:tc>
        <w:tc>
          <w:tcPr>
            <w:tcW w:w="816" w:type="pct"/>
            <w:vAlign w:val="center"/>
          </w:tcPr>
          <w:p w:rsidR="0018722C">
            <w:pPr>
              <w:pStyle w:val="affff9"/>
              <w:topLinePunct/>
              <w:ind w:leftChars="0" w:left="0" w:rightChars="0" w:right="0" w:firstLineChars="0" w:firstLine="0"/>
              <w:spacing w:line="240" w:lineRule="atLeast"/>
            </w:pPr>
            <w:r>
              <w:t>0.5213</w:t>
            </w:r>
          </w:p>
        </w:tc>
        <w:tc>
          <w:tcPr>
            <w:tcW w:w="1666" w:type="pct"/>
            <w:vAlign w:val="center"/>
          </w:tcPr>
          <w:p w:rsidR="0018722C">
            <w:pPr>
              <w:pStyle w:val="ad"/>
              <w:topLinePunct/>
              <w:ind w:leftChars="0" w:left="0" w:rightChars="0" w:right="0" w:firstLineChars="0" w:firstLine="0"/>
              <w:spacing w:line="240" w:lineRule="atLeast"/>
            </w:pPr>
            <w:r>
              <w:t>0.4802±0.0360</w:t>
            </w:r>
          </w:p>
        </w:tc>
      </w:tr>
      <w:tr>
        <w:tc>
          <w:tcPr>
            <w:tcW w:w="1084" w:type="pct"/>
            <w:vAlign w:val="center"/>
          </w:tcPr>
          <w:p w:rsidR="0018722C">
            <w:pPr>
              <w:pStyle w:val="ac"/>
              <w:topLinePunct/>
              <w:ind w:leftChars="0" w:left="0" w:rightChars="0" w:right="0" w:firstLineChars="0" w:firstLine="0"/>
              <w:spacing w:line="240" w:lineRule="atLeast"/>
            </w:pPr>
            <w:r>
              <w:t>HepG2</w:t>
            </w:r>
            <w:r>
              <w:t>/</w:t>
            </w:r>
            <w:r>
              <w:t>mock</w:t>
            </w:r>
          </w:p>
        </w:tc>
        <w:tc>
          <w:tcPr>
            <w:tcW w:w="717" w:type="pct"/>
            <w:vAlign w:val="center"/>
          </w:tcPr>
          <w:p w:rsidR="0018722C">
            <w:pPr>
              <w:pStyle w:val="affff9"/>
              <w:topLinePunct/>
              <w:ind w:leftChars="0" w:left="0" w:rightChars="0" w:right="0" w:firstLineChars="0" w:firstLine="0"/>
              <w:spacing w:line="240" w:lineRule="atLeast"/>
            </w:pPr>
            <w:r>
              <w:t>0.4639</w:t>
            </w:r>
          </w:p>
        </w:tc>
        <w:tc>
          <w:tcPr>
            <w:tcW w:w="717" w:type="pct"/>
            <w:vAlign w:val="center"/>
          </w:tcPr>
          <w:p w:rsidR="0018722C">
            <w:pPr>
              <w:pStyle w:val="affff9"/>
              <w:topLinePunct/>
              <w:ind w:leftChars="0" w:left="0" w:rightChars="0" w:right="0" w:firstLineChars="0" w:firstLine="0"/>
              <w:spacing w:line="240" w:lineRule="atLeast"/>
            </w:pPr>
            <w:r>
              <w:t>0.4378</w:t>
            </w:r>
          </w:p>
        </w:tc>
        <w:tc>
          <w:tcPr>
            <w:tcW w:w="816" w:type="pct"/>
            <w:vAlign w:val="center"/>
          </w:tcPr>
          <w:p w:rsidR="0018722C">
            <w:pPr>
              <w:pStyle w:val="affff9"/>
              <w:topLinePunct/>
              <w:ind w:leftChars="0" w:left="0" w:rightChars="0" w:right="0" w:firstLineChars="0" w:firstLine="0"/>
              <w:spacing w:line="240" w:lineRule="atLeast"/>
            </w:pPr>
            <w:r>
              <w:t>0.4801</w:t>
            </w:r>
          </w:p>
        </w:tc>
        <w:tc>
          <w:tcPr>
            <w:tcW w:w="1666" w:type="pct"/>
            <w:vAlign w:val="center"/>
          </w:tcPr>
          <w:p w:rsidR="0018722C">
            <w:pPr>
              <w:pStyle w:val="ad"/>
              <w:topLinePunct/>
              <w:ind w:leftChars="0" w:left="0" w:rightChars="0" w:right="0" w:firstLineChars="0" w:firstLine="0"/>
              <w:spacing w:line="240" w:lineRule="atLeast"/>
            </w:pPr>
            <w:r>
              <w:t>0.4606±0.0213</w:t>
            </w:r>
          </w:p>
        </w:tc>
      </w:tr>
      <w:tr>
        <w:tc>
          <w:tcPr>
            <w:tcW w:w="1084" w:type="pct"/>
            <w:vAlign w:val="center"/>
          </w:tcPr>
          <w:p w:rsidR="0018722C">
            <w:pPr>
              <w:pStyle w:val="ac"/>
              <w:topLinePunct/>
              <w:ind w:leftChars="0" w:left="0" w:rightChars="0" w:right="0" w:firstLineChars="0" w:firstLine="0"/>
              <w:spacing w:line="240" w:lineRule="atLeast"/>
            </w:pPr>
            <w:r>
              <w:t>HepG2</w:t>
            </w:r>
            <w:r>
              <w:t>/</w:t>
            </w:r>
            <w:r>
              <w:t>HBx</w:t>
            </w:r>
          </w:p>
        </w:tc>
        <w:tc>
          <w:tcPr>
            <w:tcW w:w="717" w:type="pct"/>
            <w:vAlign w:val="center"/>
          </w:tcPr>
          <w:p w:rsidR="0018722C">
            <w:pPr>
              <w:pStyle w:val="affff9"/>
              <w:topLinePunct/>
              <w:ind w:leftChars="0" w:left="0" w:rightChars="0" w:right="0" w:firstLineChars="0" w:firstLine="0"/>
              <w:spacing w:line="240" w:lineRule="atLeast"/>
            </w:pPr>
            <w:r>
              <w:t>0.7933</w:t>
            </w:r>
          </w:p>
        </w:tc>
        <w:tc>
          <w:tcPr>
            <w:tcW w:w="717" w:type="pct"/>
            <w:vAlign w:val="center"/>
          </w:tcPr>
          <w:p w:rsidR="0018722C">
            <w:pPr>
              <w:pStyle w:val="affff9"/>
              <w:topLinePunct/>
              <w:ind w:leftChars="0" w:left="0" w:rightChars="0" w:right="0" w:firstLineChars="0" w:firstLine="0"/>
              <w:spacing w:line="240" w:lineRule="atLeast"/>
            </w:pPr>
            <w:r>
              <w:t>0.6979</w:t>
            </w:r>
          </w:p>
        </w:tc>
        <w:tc>
          <w:tcPr>
            <w:tcW w:w="816" w:type="pct"/>
            <w:vAlign w:val="center"/>
          </w:tcPr>
          <w:p w:rsidR="0018722C">
            <w:pPr>
              <w:pStyle w:val="affff9"/>
              <w:topLinePunct/>
              <w:ind w:leftChars="0" w:left="0" w:rightChars="0" w:right="0" w:firstLineChars="0" w:firstLine="0"/>
              <w:spacing w:line="240" w:lineRule="atLeast"/>
            </w:pPr>
            <w:r>
              <w:t>0.6142</w:t>
            </w:r>
          </w:p>
        </w:tc>
        <w:tc>
          <w:tcPr>
            <w:tcW w:w="1666" w:type="pct"/>
            <w:vAlign w:val="center"/>
          </w:tcPr>
          <w:p w:rsidR="0018722C">
            <w:pPr>
              <w:pStyle w:val="ad"/>
              <w:topLinePunct/>
              <w:ind w:leftChars="0" w:left="0" w:rightChars="0" w:right="0" w:firstLineChars="0" w:firstLine="0"/>
              <w:spacing w:line="240" w:lineRule="atLeast"/>
            </w:pPr>
            <w:r>
              <w:t>0.7018±0.0896</w:t>
            </w:r>
          </w:p>
        </w:tc>
      </w:tr>
      <w:tr>
        <w:tc>
          <w:tcPr>
            <w:tcW w:w="1084" w:type="pct"/>
            <w:vAlign w:val="center"/>
            <w:tcBorders>
              <w:top w:val="single" w:sz="4" w:space="0" w:color="auto"/>
            </w:tcBorders>
          </w:tcPr>
          <w:p w:rsidR="0018722C">
            <w:pPr>
              <w:pStyle w:val="ac"/>
              <w:topLinePunct/>
              <w:ind w:leftChars="0" w:left="0" w:rightChars="0" w:right="0" w:firstLineChars="0" w:firstLine="0"/>
              <w:spacing w:line="240" w:lineRule="atLeast"/>
            </w:pPr>
            <w:r>
              <w:t>HepG2 加 NS-398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0.4058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0.2722</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0.4110</w:t>
            </w:r>
          </w:p>
        </w:tc>
        <w:tc>
          <w:tcPr>
            <w:tcW w:w="1666" w:type="pct"/>
            <w:vAlign w:val="center"/>
            <w:tcBorders>
              <w:top w:val="single" w:sz="4" w:space="0" w:color="auto"/>
            </w:tcBorders>
          </w:tcPr>
          <w:p w:rsidR="0018722C">
            <w:pPr>
              <w:pStyle w:val="ad"/>
              <w:topLinePunct/>
              <w:ind w:leftChars="0" w:left="0" w:rightChars="0" w:right="0" w:firstLineChars="0" w:firstLine="0"/>
              <w:spacing w:line="240" w:lineRule="atLeast"/>
            </w:pPr>
            <w:r>
              <w:t>0.3630±0.0787</w:t>
            </w:r>
          </w:p>
        </w:tc>
      </w:tr>
    </w:tbl>
    <w:p w:rsidR="0018722C">
      <w:pPr>
        <w:topLinePunct/>
        <w:pStyle w:val="affa"/>
      </w:pPr>
    </w:p>
    <w:p w:rsidR="0018722C">
      <w:pPr>
        <w:topLinePunct/>
      </w:pPr>
      <w:r>
        <w:rPr>
          <w:rFonts w:cstheme="minorBidi" w:hAnsiTheme="minorHAnsi" w:eastAsiaTheme="minorHAnsi" w:asciiTheme="minorHAnsi"/>
        </w:rPr>
        <w:t>HepG2</w:t>
      </w:r>
      <w:r>
        <w:rPr>
          <w:rFonts w:cstheme="minorBidi" w:hAnsiTheme="minorHAnsi" w:eastAsiaTheme="minorHAnsi" w:asciiTheme="minorHAnsi"/>
        </w:rPr>
        <w:t>/</w:t>
      </w:r>
      <w:r>
        <w:rPr>
          <w:rFonts w:cstheme="minorBidi" w:hAnsiTheme="minorHAnsi" w:eastAsiaTheme="minorHAnsi" w:asciiTheme="minorHAnsi"/>
        </w:rPr>
        <w:t>mock</w:t>
      </w:r>
      <w:r>
        <w:rPr>
          <w:rFonts w:cstheme="minorBidi" w:hAnsiTheme="minorHAnsi" w:eastAsiaTheme="minorHAnsi" w:asciiTheme="minorHAnsi"/>
        </w:rPr>
        <w:t>加</w:t>
      </w:r>
      <w:r>
        <w:rPr>
          <w:rFonts w:cstheme="minorBidi" w:hAnsiTheme="minorHAnsi" w:eastAsiaTheme="minorHAnsi" w:asciiTheme="minorHAnsi"/>
        </w:rPr>
        <w:t>NS-398</w:t>
      </w:r>
      <w:r>
        <w:rPr>
          <w:rFonts w:cstheme="minorBidi" w:hAnsiTheme="minorHAnsi" w:eastAsiaTheme="minorHAnsi" w:asciiTheme="minorHAnsi"/>
        </w:rPr>
        <w:t> </w:t>
      </w:r>
      <w:r>
        <w:rPr>
          <w:rFonts w:cstheme="minorBidi" w:hAnsiTheme="minorHAnsi" w:eastAsiaTheme="minorHAnsi" w:asciiTheme="minorHAnsi"/>
        </w:rPr>
        <w:t>0.3982</w:t>
      </w:r>
      <w:r w:rsidRPr="00000000">
        <w:rPr>
          <w:rFonts w:cstheme="minorBidi" w:hAnsiTheme="minorHAnsi" w:eastAsiaTheme="minorHAnsi" w:asciiTheme="minorHAnsi"/>
        </w:rPr>
        <w:tab/>
        <w:t>0.2884</w:t>
      </w:r>
      <w:r w:rsidRPr="00000000">
        <w:rPr>
          <w:rFonts w:cstheme="minorBidi" w:hAnsiTheme="minorHAnsi" w:eastAsiaTheme="minorHAnsi" w:asciiTheme="minorHAnsi"/>
        </w:rPr>
        <w:tab/>
        <w:t>0.3234</w:t>
      </w:r>
      <w:r w:rsidRPr="00000000">
        <w:rPr>
          <w:rFonts w:cstheme="minorBidi" w:hAnsiTheme="minorHAnsi" w:eastAsiaTheme="minorHAnsi" w:asciiTheme="minorHAnsi"/>
        </w:rPr>
        <w:tab/>
        <w:t>0.3367±0.0561</w:t>
      </w:r>
    </w:p>
    <w:p w:rsidR="0018722C">
      <w:pPr>
        <w:topLinePunct/>
      </w:pPr>
      <w:r>
        <w:rPr>
          <w:rFonts w:cstheme="minorBidi" w:hAnsiTheme="minorHAnsi" w:eastAsiaTheme="minorHAnsi" w:asciiTheme="minorHAnsi"/>
        </w:rPr>
        <w:t>HepG2</w:t>
      </w:r>
      <w:r>
        <w:rPr>
          <w:rFonts w:cstheme="minorBidi" w:hAnsiTheme="minorHAnsi" w:eastAsiaTheme="minorHAnsi" w:asciiTheme="minorHAnsi"/>
        </w:rPr>
        <w:t>/</w:t>
      </w:r>
      <w:r>
        <w:rPr>
          <w:rFonts w:cstheme="minorBidi" w:hAnsiTheme="minorHAnsi" w:eastAsiaTheme="minorHAnsi" w:asciiTheme="minorHAnsi"/>
        </w:rPr>
        <w:t>HBx</w:t>
      </w:r>
      <w:r>
        <w:rPr>
          <w:rFonts w:cstheme="minorBidi" w:hAnsiTheme="minorHAnsi" w:eastAsiaTheme="minorHAnsi" w:asciiTheme="minorHAnsi"/>
        </w:rPr>
        <w:t>加</w:t>
      </w:r>
      <w:r>
        <w:rPr>
          <w:rFonts w:cstheme="minorBidi" w:hAnsiTheme="minorHAnsi" w:eastAsiaTheme="minorHAnsi" w:asciiTheme="minorHAnsi"/>
        </w:rPr>
        <w:t>NS-398</w:t>
      </w:r>
      <w:r>
        <w:rPr>
          <w:rFonts w:cstheme="minorBidi" w:hAnsiTheme="minorHAnsi" w:eastAsiaTheme="minorHAnsi" w:asciiTheme="minorHAnsi"/>
        </w:rPr>
        <w:t> </w:t>
      </w:r>
      <w:r>
        <w:rPr>
          <w:rFonts w:cstheme="minorBidi" w:hAnsiTheme="minorHAnsi" w:eastAsiaTheme="minorHAnsi" w:asciiTheme="minorHAnsi"/>
        </w:rPr>
        <w:t>0.3731</w:t>
      </w:r>
      <w:r w:rsidRPr="00000000">
        <w:rPr>
          <w:rFonts w:cstheme="minorBidi" w:hAnsiTheme="minorHAnsi" w:eastAsiaTheme="minorHAnsi" w:asciiTheme="minorHAnsi"/>
        </w:rPr>
        <w:tab/>
        <w:t>0.3628</w:t>
      </w:r>
      <w:r w:rsidRPr="00000000">
        <w:rPr>
          <w:rFonts w:cstheme="minorBidi" w:hAnsiTheme="minorHAnsi" w:eastAsiaTheme="minorHAnsi" w:asciiTheme="minorHAnsi"/>
        </w:rPr>
        <w:tab/>
        <w:t>0.4027</w:t>
      </w:r>
      <w:r w:rsidRPr="00000000">
        <w:rPr>
          <w:rFonts w:cstheme="minorBidi" w:hAnsiTheme="minorHAnsi" w:eastAsiaTheme="minorHAnsi" w:asciiTheme="minorHAnsi"/>
        </w:rPr>
        <w:tab/>
        <w:t>0.3796±0.0207</w:t>
      </w:r>
    </w:p>
    <w:p w:rsidR="0018722C">
      <w:pPr>
        <w:pStyle w:val="aff7"/>
        <w:topLinePunct/>
      </w:pPr>
      <w:r>
        <w:pict>
          <v:group style="margin-left:93.300003pt;margin-top:8.47845pt;width:412.5pt;height:198.3pt;mso-position-horizontal-relative:page;mso-position-vertical-relative:paragraph;z-index:1528;mso-wrap-distance-left:0;mso-wrap-distance-right:0" coordorigin="1866,170" coordsize="8250,3966">
            <v:shape style="position:absolute;left:2184;top:177;width:7289;height:3958" type="#_x0000_t75" stroked="false">
              <v:imagedata r:id="rId34" o:title=""/>
            </v:shape>
            <v:line style="position:absolute" from="1866,192" to="10116,192" stroked="true" strokeweight="2.25pt" strokecolor="#000000">
              <v:stroke dashstyle="solid"/>
            </v:line>
            <w10:wrap type="topAndBottom"/>
          </v:group>
        </w:pict>
      </w:r>
    </w:p>
    <w:p w:rsidR="0018722C">
      <w:pPr>
        <w:topLinePunct/>
      </w:pPr>
      <w:r>
        <w:t/>
      </w:r>
      <w:r>
        <w:t>图</w:t>
      </w:r>
      <w:r>
        <w:t>13</w:t>
      </w:r>
      <w:r/>
      <w:r w:rsidR="001852F3">
        <w:t xml:space="preserve">加入</w:t>
      </w:r>
      <w:r>
        <w:t>50 umol</w:t>
      </w:r>
      <w:r>
        <w:t>/</w:t>
      </w:r>
      <w:r>
        <w:t>L NS-398</w:t>
      </w:r>
      <w:r/>
      <w:r w:rsidR="001852F3">
        <w:t xml:space="preserve">作用</w:t>
      </w:r>
      <w:r>
        <w:t>72h</w:t>
      </w:r>
      <w:r/>
      <w:r w:rsidR="001852F3">
        <w:t xml:space="preserve">后三组细胞</w:t>
      </w:r>
      <w:r>
        <w:t>COX-2</w:t>
      </w:r>
      <w:r w:rsidR="001852F3">
        <w:t xml:space="preserve">蛋白表达水平</w:t>
      </w:r>
      <w:r>
        <w:t>（</w:t>
      </w:r>
      <w:r>
        <w:rPr>
          <w:rFonts w:ascii="Times New Roman" w:eastAsia="宋体"/>
        </w:rPr>
        <w:t>*</w:t>
      </w:r>
      <w:r>
        <w:t>，</w:t>
      </w:r>
    </w:p>
    <w:p w:rsidR="0018722C">
      <w:pPr>
        <w:topLinePunct/>
      </w:pPr>
      <w:r>
        <w:t>P&lt;0.05</w:t>
      </w:r>
      <w:r>
        <w:t xml:space="preserve">, </w:t>
      </w:r>
      <w:r>
        <w:t>HepG2</w:t>
      </w:r>
      <w:r>
        <w:t>/</w:t>
      </w:r>
      <w:r>
        <w:t>HBx</w:t>
      </w:r>
      <w:r/>
      <w:r w:rsidR="001852F3">
        <w:t xml:space="preserve">组与</w:t>
      </w:r>
      <w:r>
        <w:t>HepG2</w:t>
      </w:r>
      <w:r>
        <w:t>/</w:t>
      </w:r>
      <w:r>
        <w:t>mock</w:t>
      </w:r>
      <w:r>
        <w:t>、</w:t>
      </w:r>
      <w:r>
        <w:t>HepG2</w:t>
      </w:r>
      <w:r/>
      <w:r w:rsidR="001852F3">
        <w:t xml:space="preserve">组对比；#，</w:t>
      </w:r>
      <w:r>
        <w:t>P&lt;0.05</w:t>
      </w:r>
      <w:r>
        <w:t xml:space="preserve">, </w:t>
      </w:r>
      <w:r>
        <w:t>HepG2</w:t>
      </w:r>
      <w:r>
        <w:t>/</w:t>
      </w:r>
      <w:r>
        <w:t>HBx</w:t>
      </w:r>
      <w:r/>
      <w:r w:rsidR="001852F3">
        <w:t xml:space="preserve">组</w:t>
      </w:r>
      <w:r>
        <w:t>与</w:t>
      </w:r>
      <w:r>
        <w:t>HepG2</w:t>
      </w:r>
      <w:r>
        <w:t>/</w:t>
      </w:r>
      <w:r>
        <w:t>HBx</w:t>
      </w:r>
      <w:r/>
      <w:r w:rsidR="001852F3">
        <w:t xml:space="preserve">加入</w:t>
      </w:r>
      <w:r>
        <w:t>NS-398</w:t>
      </w:r>
      <w:r/>
      <w:r w:rsidR="001852F3">
        <w:t xml:space="preserve">组对比</w:t>
      </w:r>
      <w:r>
        <w:t>）</w:t>
      </w:r>
      <w:r>
        <w:t>，</w:t>
      </w:r>
      <w:r w:rsidR="001852F3">
        <w:t xml:space="preserve">HBx</w:t>
      </w:r>
      <w:r>
        <w:t xml:space="preserve">: </w:t>
      </w:r>
      <w:r>
        <w:t>HepG2</w:t>
      </w:r>
      <w:r>
        <w:t>/</w:t>
      </w:r>
      <w:r>
        <w:t>HBx</w:t>
      </w:r>
      <w:r/>
      <w:r w:rsidR="001852F3">
        <w:t xml:space="preserve">细胞; </w:t>
      </w:r>
      <w:r>
        <w:t>Mock</w:t>
      </w:r>
      <w:r>
        <w:t xml:space="preserve">: </w:t>
      </w:r>
      <w:r>
        <w:t>HepG2</w:t>
      </w:r>
      <w:r>
        <w:t>/</w:t>
      </w:r>
      <w:r>
        <w:t>mock细胞; Control</w:t>
      </w:r>
      <w:r>
        <w:t xml:space="preserve">: </w:t>
      </w:r>
      <w:r>
        <w:t>HepG2</w:t>
      </w:r>
      <w:r/>
      <w:r w:rsidR="001852F3">
        <w:t xml:space="preserve">细</w:t>
      </w:r>
      <w:r w:rsidR="001852F3">
        <w:t>胞</w:t>
      </w:r>
    </w:p>
    <w:p w:rsidR="0018722C">
      <w:pPr>
        <w:pStyle w:val="Heading3"/>
        <w:topLinePunct/>
        <w:ind w:left="200" w:hangingChars="200" w:hanging="200"/>
      </w:pPr>
      <w:r>
        <w:rPr>
          <w:b/>
        </w:rPr>
        <w:t>8</w:t>
      </w:r>
      <w:r>
        <w:t xml:space="preserve"> </w:t>
      </w:r>
      <w:r>
        <w:t>加入</w:t>
      </w:r>
      <w:r>
        <w:rPr>
          <w:b/>
        </w:rPr>
        <w:t>COX-2</w:t>
      </w:r>
      <w:r w:rsidR="001852F3">
        <w:t xml:space="preserve">抑制剂后</w:t>
      </w:r>
      <w:r>
        <w:rPr>
          <w:b/>
        </w:rPr>
        <w:t>HepG2</w:t>
      </w:r>
      <w:r>
        <w:rPr>
          <w:b/>
        </w:rPr>
        <w:t>/</w:t>
      </w:r>
      <w:r>
        <w:rPr>
          <w:b/>
        </w:rPr>
        <w:t>HBx</w:t>
      </w:r>
      <w:r w:rsidR="001852F3">
        <w:t xml:space="preserve">细胞增殖能力下降</w:t>
      </w:r>
    </w:p>
    <w:p w:rsidR="0018722C">
      <w:pPr>
        <w:topLinePunct/>
      </w:pPr>
      <w:r>
        <w:t>经</w:t>
      </w:r>
      <w:r>
        <w:t>50 umol</w:t>
      </w:r>
      <w:r>
        <w:t>/</w:t>
      </w:r>
      <w:r>
        <w:t>L NS-398</w:t>
      </w:r>
      <w:r/>
      <w:r w:rsidR="001852F3">
        <w:t xml:space="preserve">作用</w:t>
      </w:r>
      <w:r>
        <w:t>72h</w:t>
      </w:r>
      <w:r/>
      <w:r w:rsidR="001852F3">
        <w:t xml:space="preserve">后</w:t>
      </w:r>
      <w:r>
        <w:t>，CCK-8</w:t>
      </w:r>
      <w:r/>
      <w:r w:rsidR="001852F3">
        <w:t xml:space="preserve">实验检测六组细胞增殖能力情况如</w:t>
      </w:r>
      <w:r>
        <w:t>表</w:t>
      </w:r>
      <w:r>
        <w:t>8</w:t>
      </w:r>
      <w:r/>
      <w:r w:rsidR="001852F3">
        <w:t xml:space="preserve">所示，提示</w:t>
      </w:r>
      <w:r>
        <w:t>NS-398</w:t>
      </w:r>
      <w:r/>
      <w:r w:rsidR="001852F3">
        <w:t xml:space="preserve">能够抑制各组细胞的增殖，这种抑制作用具有时间依赖性，</w:t>
      </w:r>
      <w:r>
        <w:t>随着时间的增加，</w:t>
      </w:r>
      <w:r>
        <w:t>NS-398</w:t>
      </w:r>
      <w:r/>
      <w:r w:rsidR="001852F3">
        <w:t xml:space="preserve">对细胞生长抑制作用随之增加。统计学分析提示</w:t>
      </w:r>
      <w:r>
        <w:t>（</w:t>
      </w:r>
      <w:r>
        <w:t>图</w:t>
      </w:r>
      <w:r>
        <w:t>14</w:t>
      </w:r>
      <w:r>
        <w:t>）</w:t>
      </w:r>
      <w:r>
        <w:t>，</w:t>
      </w:r>
    </w:p>
    <w:p w:rsidR="0018722C">
      <w:pPr>
        <w:topLinePunct/>
      </w:pPr>
      <w:r>
        <w:t>HepG2</w:t>
      </w:r>
      <w:r>
        <w:t>/</w:t>
      </w:r>
      <w:r>
        <w:t>HBx</w:t>
      </w:r>
      <w:r w:rsidR="001852F3">
        <w:t xml:space="preserve">细胞组在培养</w:t>
      </w:r>
      <w:r w:rsidR="001852F3">
        <w:t xml:space="preserve">1d、2d、3d</w:t>
      </w:r>
      <w:r w:rsidR="001852F3">
        <w:t xml:space="preserve">的时间中的增殖速度较</w:t>
      </w:r>
      <w:r w:rsidR="001852F3">
        <w:t xml:space="preserve">HepG2</w:t>
      </w:r>
      <w:r>
        <w:t>/</w:t>
      </w:r>
      <w:r>
        <w:t>mock</w:t>
      </w:r>
      <w:r w:rsidR="001852F3">
        <w:t xml:space="preserve">细胞组与</w:t>
      </w:r>
    </w:p>
    <w:p w:rsidR="0018722C">
      <w:pPr>
        <w:topLinePunct/>
      </w:pPr>
      <w:r>
        <w:t>HepG2</w:t>
      </w:r>
      <w:r/>
      <w:r w:rsidR="001852F3">
        <w:t xml:space="preserve">细胞组升高，差异具有统计学意义</w:t>
      </w:r>
      <w:r>
        <w:t>(</w:t>
      </w:r>
      <w:r>
        <w:t>P&lt;0.05</w:t>
      </w:r>
      <w:r>
        <w:t>)</w:t>
      </w:r>
      <w:r>
        <w:t xml:space="preserve">. </w:t>
      </w:r>
      <w:r>
        <w:t>HepG2</w:t>
      </w:r>
      <w:r>
        <w:t>/</w:t>
      </w:r>
      <w:r>
        <w:t>HBx</w:t>
      </w:r>
      <w:r/>
      <w:r w:rsidR="001852F3">
        <w:t xml:space="preserve">细胞组在加入</w:t>
      </w:r>
      <w:r>
        <w:t>50 umol</w:t>
      </w:r>
      <w:r>
        <w:t>/</w:t>
      </w:r>
      <w:r>
        <w:t>L NS-398</w:t>
      </w:r>
      <w:r/>
      <w:r w:rsidR="001852F3">
        <w:t xml:space="preserve">作用</w:t>
      </w:r>
      <w:r>
        <w:t>72h</w:t>
      </w:r>
      <w:r/>
      <w:r w:rsidR="001852F3">
        <w:t xml:space="preserve">后继续培养</w:t>
      </w:r>
      <w:r>
        <w:t>1d、2d、3d</w:t>
      </w:r>
      <w:r/>
      <w:r w:rsidR="001852F3">
        <w:t xml:space="preserve">的时间中的增殖速度较未加药</w:t>
      </w:r>
      <w:r w:rsidR="001852F3">
        <w:t>的</w:t>
      </w:r>
    </w:p>
    <w:p w:rsidR="0018722C">
      <w:pPr>
        <w:topLinePunct/>
      </w:pPr>
      <w:r>
        <w:t>HepG2</w:t>
      </w:r>
      <w:r>
        <w:t>/</w:t>
      </w:r>
      <w:r>
        <w:t>HBx</w:t>
      </w:r>
      <w:r w:rsidR="001852F3">
        <w:t xml:space="preserve">细胞组下降，差异具有统计学意义</w:t>
      </w:r>
      <w:r>
        <w:t>(</w:t>
      </w:r>
      <w:r>
        <w:t>P&lt;0.05</w:t>
      </w:r>
      <w:r>
        <w:t>)</w:t>
      </w:r>
      <w:r>
        <w:t>。该部分实验表明</w:t>
      </w:r>
      <w:r w:rsidR="001852F3">
        <w:t xml:space="preserve">HBx</w:t>
      </w:r>
      <w:r w:rsidR="001852F3">
        <w:t xml:space="preserve">促进</w:t>
      </w:r>
    </w:p>
    <w:p w:rsidR="0018722C">
      <w:pPr>
        <w:topLinePunct/>
      </w:pPr>
      <w:r>
        <w:t>HepG2</w:t>
      </w:r>
      <w:r>
        <w:t>/</w:t>
      </w:r>
      <w:r>
        <w:t>HBx</w:t>
      </w:r>
      <w:r w:rsidR="001852F3">
        <w:t xml:space="preserve">细胞的增殖能力依赖</w:t>
      </w:r>
      <w:r w:rsidR="001852F3">
        <w:t xml:space="preserve">COX-2</w:t>
      </w:r>
      <w:r w:rsidR="001852F3">
        <w:t xml:space="preserve">的增高。</w:t>
      </w:r>
    </w:p>
    <w:p w:rsidR="0018722C">
      <w:pPr>
        <w:pStyle w:val="aff7"/>
        <w:topLinePunct/>
      </w:pPr>
      <w:r>
        <w:rPr>
          <w:sz w:val="2"/>
        </w:rPr>
        <w:pict>
          <v:group style="width:7.9pt;height:.550pt;mso-position-horizontal-relative:char;mso-position-vertical-relative:line" coordorigin="0,0" coordsize="158,11">
            <v:line style="position:absolute" from="0,5" to="157,5" stroked="true" strokeweight=".504338pt" strokecolor="#000000">
              <v:stroke dashstyle="solid"/>
            </v:line>
          </v:group>
        </w:pict>
      </w:r>
      <w:r/>
    </w:p>
    <w:p w:rsidR="0018722C">
      <w:spacing w:beforeLines="0" w:before="0" w:afterLines="0" w:after="0" w:line="440" w:lineRule="auto"/>
      <w:pPr>
        <w:sectPr w:rsidR="00556256">
          <w:type w:val="continuous"/>
          <w:pgSz w:w="11910" w:h="16840"/>
          <w:pgMar w:header="0" w:footer="1160" w:top="1540" w:bottom="1400" w:left="1600" w:right="1200"/>
        </w:sect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8</w:t>
      </w:r>
      <w:r>
        <w:t xml:space="preserve">  </w:t>
      </w:r>
      <w:r w:rsidRPr="00DB64CE">
        <w:rPr>
          <w:rFonts w:cstheme="minorBidi" w:hAnsiTheme="minorHAnsi" w:eastAsiaTheme="minorHAnsi" w:asciiTheme="minorHAnsi"/>
        </w:rPr>
        <w:t>CCK-8</w:t>
      </w:r>
      <w:r w:rsidR="001852F3">
        <w:rPr>
          <w:rFonts w:cstheme="minorBidi" w:hAnsiTheme="minorHAnsi" w:eastAsiaTheme="minorHAnsi" w:asciiTheme="minorHAnsi"/>
        </w:rPr>
        <w:t xml:space="preserve">检测三组细胞的增殖能力</w:t>
      </w:r>
      <w:r>
        <w:rPr>
          <w:rFonts w:cstheme="minorBidi" w:hAnsiTheme="minorHAnsi" w:eastAsiaTheme="minorHAnsi" w:asciiTheme="minorHAnsi"/>
        </w:rPr>
        <w:t>(</w:t>
      </w:r>
      <w:r>
        <w:rPr>
          <w:rFonts w:cstheme="minorBidi" w:hAnsiTheme="minorHAnsi" w:eastAsiaTheme="minorHAnsi" w:asciiTheme="minorHAnsi"/>
        </w:rPr>
        <w:t>OD</w:t>
      </w:r>
      <w:r w:rsidR="001852F3">
        <w:rPr>
          <w:rFonts w:cstheme="minorBidi" w:hAnsiTheme="minorHAnsi" w:eastAsiaTheme="minorHAnsi" w:asciiTheme="minorHAnsi"/>
        </w:rPr>
        <w:t xml:space="preserve">值</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X</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n=6</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500" w:bottom="280" w:left="1600" w:right="1200"/>
          <w:cols w:num="2" w:equalWidth="0">
            <w:col w:w="6404" w:space="40"/>
            <w:col w:w="2666"/>
          </w:cols>
        </w:sectPr>
        <w:topLinePunct/>
      </w:pP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72"/>
        <w:gridCol w:w="1733"/>
        <w:gridCol w:w="1890"/>
        <w:gridCol w:w="2409"/>
      </w:tblGrid>
      <w:tr>
        <w:trPr>
          <w:tblHeader/>
        </w:trPr>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1d</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2d</w:t>
            </w:r>
          </w:p>
        </w:tc>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3d</w:t>
            </w:r>
          </w:p>
        </w:tc>
      </w:tr>
      <w:tr>
        <w:tc>
          <w:tcPr>
            <w:tcW w:w="1184" w:type="pct"/>
            <w:vAlign w:val="center"/>
          </w:tcPr>
          <w:p w:rsidR="0018722C">
            <w:pPr>
              <w:pStyle w:val="ac"/>
              <w:topLinePunct/>
              <w:ind w:leftChars="0" w:left="0" w:rightChars="0" w:right="0" w:firstLineChars="0" w:firstLine="0"/>
              <w:spacing w:line="240" w:lineRule="atLeast"/>
            </w:pPr>
            <w:r>
              <w:t>HepG2</w:t>
            </w:r>
          </w:p>
        </w:tc>
        <w:tc>
          <w:tcPr>
            <w:tcW w:w="1096" w:type="pct"/>
            <w:vAlign w:val="center"/>
          </w:tcPr>
          <w:p w:rsidR="0018722C">
            <w:pPr>
              <w:pStyle w:val="a5"/>
              <w:topLinePunct/>
              <w:ind w:leftChars="0" w:left="0" w:rightChars="0" w:right="0" w:firstLineChars="0" w:firstLine="0"/>
              <w:spacing w:line="240" w:lineRule="atLeast"/>
            </w:pPr>
            <w:r>
              <w:t>0.6451±0.0132</w:t>
            </w:r>
          </w:p>
        </w:tc>
        <w:tc>
          <w:tcPr>
            <w:tcW w:w="1196" w:type="pct"/>
            <w:vAlign w:val="center"/>
          </w:tcPr>
          <w:p w:rsidR="0018722C">
            <w:pPr>
              <w:pStyle w:val="a5"/>
              <w:topLinePunct/>
              <w:ind w:leftChars="0" w:left="0" w:rightChars="0" w:right="0" w:firstLineChars="0" w:firstLine="0"/>
              <w:spacing w:line="240" w:lineRule="atLeast"/>
            </w:pPr>
            <w:r>
              <w:t>1.1400±0.0507</w:t>
            </w:r>
          </w:p>
        </w:tc>
        <w:tc>
          <w:tcPr>
            <w:tcW w:w="1524" w:type="pct"/>
            <w:vAlign w:val="center"/>
          </w:tcPr>
          <w:p w:rsidR="0018722C">
            <w:pPr>
              <w:pStyle w:val="ad"/>
              <w:topLinePunct/>
              <w:ind w:leftChars="0" w:left="0" w:rightChars="0" w:right="0" w:firstLineChars="0" w:firstLine="0"/>
              <w:spacing w:line="240" w:lineRule="atLeast"/>
            </w:pPr>
            <w:r>
              <w:t>2.0267±0.0115</w:t>
            </w:r>
          </w:p>
        </w:tc>
      </w:tr>
      <w:tr>
        <w:tc>
          <w:tcPr>
            <w:tcW w:w="1184" w:type="pct"/>
            <w:vAlign w:val="center"/>
          </w:tcPr>
          <w:p w:rsidR="0018722C">
            <w:pPr>
              <w:pStyle w:val="ac"/>
              <w:topLinePunct/>
              <w:ind w:leftChars="0" w:left="0" w:rightChars="0" w:right="0" w:firstLineChars="0" w:firstLine="0"/>
              <w:spacing w:line="240" w:lineRule="atLeast"/>
            </w:pPr>
            <w:r>
              <w:t>HepG2</w:t>
            </w:r>
            <w:r>
              <w:t>/</w:t>
            </w:r>
            <w:r>
              <w:t>mock</w:t>
            </w:r>
          </w:p>
        </w:tc>
        <w:tc>
          <w:tcPr>
            <w:tcW w:w="1096" w:type="pct"/>
            <w:vAlign w:val="center"/>
          </w:tcPr>
          <w:p w:rsidR="0018722C">
            <w:pPr>
              <w:pStyle w:val="a5"/>
              <w:topLinePunct/>
              <w:ind w:leftChars="0" w:left="0" w:rightChars="0" w:right="0" w:firstLineChars="0" w:firstLine="0"/>
              <w:spacing w:line="240" w:lineRule="atLeast"/>
            </w:pPr>
            <w:r>
              <w:t>0.6266±0.0199</w:t>
            </w:r>
          </w:p>
        </w:tc>
        <w:tc>
          <w:tcPr>
            <w:tcW w:w="1196" w:type="pct"/>
            <w:vAlign w:val="center"/>
          </w:tcPr>
          <w:p w:rsidR="0018722C">
            <w:pPr>
              <w:pStyle w:val="a5"/>
              <w:topLinePunct/>
              <w:ind w:leftChars="0" w:left="0" w:rightChars="0" w:right="0" w:firstLineChars="0" w:firstLine="0"/>
              <w:spacing w:line="240" w:lineRule="atLeast"/>
            </w:pPr>
            <w:r>
              <w:t>1.1507±0.0612</w:t>
            </w:r>
          </w:p>
        </w:tc>
        <w:tc>
          <w:tcPr>
            <w:tcW w:w="1524" w:type="pct"/>
            <w:vAlign w:val="center"/>
          </w:tcPr>
          <w:p w:rsidR="0018722C">
            <w:pPr>
              <w:pStyle w:val="ad"/>
              <w:topLinePunct/>
              <w:ind w:leftChars="0" w:left="0" w:rightChars="0" w:right="0" w:firstLineChars="0" w:firstLine="0"/>
              <w:spacing w:line="240" w:lineRule="atLeast"/>
            </w:pPr>
            <w:r>
              <w:t>2.0183±0.0326</w:t>
            </w:r>
          </w:p>
        </w:tc>
      </w:tr>
      <w:tr>
        <w:tc>
          <w:tcPr>
            <w:tcW w:w="1184" w:type="pct"/>
            <w:vAlign w:val="center"/>
          </w:tcPr>
          <w:p w:rsidR="0018722C">
            <w:pPr>
              <w:pStyle w:val="ac"/>
              <w:topLinePunct/>
              <w:ind w:leftChars="0" w:left="0" w:rightChars="0" w:right="0" w:firstLineChars="0" w:firstLine="0"/>
              <w:spacing w:line="240" w:lineRule="atLeast"/>
            </w:pPr>
            <w:r>
              <w:t>HepG2</w:t>
            </w:r>
            <w:r>
              <w:t>/</w:t>
            </w:r>
            <w:r>
              <w:t>HBx</w:t>
            </w:r>
          </w:p>
        </w:tc>
        <w:tc>
          <w:tcPr>
            <w:tcW w:w="1096" w:type="pct"/>
            <w:vAlign w:val="center"/>
          </w:tcPr>
          <w:p w:rsidR="0018722C">
            <w:pPr>
              <w:pStyle w:val="a5"/>
              <w:topLinePunct/>
              <w:ind w:leftChars="0" w:left="0" w:rightChars="0" w:right="0" w:firstLineChars="0" w:firstLine="0"/>
              <w:spacing w:line="240" w:lineRule="atLeast"/>
            </w:pPr>
            <w:r>
              <w:t>0.8740±0.0136</w:t>
            </w:r>
          </w:p>
        </w:tc>
        <w:tc>
          <w:tcPr>
            <w:tcW w:w="1196" w:type="pct"/>
            <w:vAlign w:val="center"/>
          </w:tcPr>
          <w:p w:rsidR="0018722C">
            <w:pPr>
              <w:pStyle w:val="a5"/>
              <w:topLinePunct/>
              <w:ind w:leftChars="0" w:left="0" w:rightChars="0" w:right="0" w:firstLineChars="0" w:firstLine="0"/>
              <w:spacing w:line="240" w:lineRule="atLeast"/>
            </w:pPr>
            <w:r>
              <w:t>1.4772±0.0146</w:t>
            </w:r>
          </w:p>
        </w:tc>
        <w:tc>
          <w:tcPr>
            <w:tcW w:w="1524" w:type="pct"/>
            <w:vAlign w:val="center"/>
          </w:tcPr>
          <w:p w:rsidR="0018722C">
            <w:pPr>
              <w:pStyle w:val="ad"/>
              <w:topLinePunct/>
              <w:ind w:leftChars="0" w:left="0" w:rightChars="0" w:right="0" w:firstLineChars="0" w:firstLine="0"/>
              <w:spacing w:line="240" w:lineRule="atLeast"/>
            </w:pPr>
            <w:r>
              <w:t>2.4175±0.0512</w:t>
            </w:r>
          </w:p>
        </w:tc>
      </w:tr>
      <w:tr>
        <w:tc>
          <w:tcPr>
            <w:tcW w:w="1184" w:type="pct"/>
            <w:vAlign w:val="center"/>
          </w:tcPr>
          <w:p w:rsidR="0018722C">
            <w:pPr>
              <w:pStyle w:val="ac"/>
              <w:topLinePunct/>
              <w:ind w:leftChars="0" w:left="0" w:rightChars="0" w:right="0" w:firstLineChars="0" w:firstLine="0"/>
              <w:spacing w:line="240" w:lineRule="atLeast"/>
            </w:pPr>
            <w:r>
              <w:t>HepG2-NS398</w:t>
            </w:r>
          </w:p>
        </w:tc>
        <w:tc>
          <w:tcPr>
            <w:tcW w:w="1096" w:type="pct"/>
            <w:vAlign w:val="center"/>
          </w:tcPr>
          <w:p w:rsidR="0018722C">
            <w:pPr>
              <w:pStyle w:val="a5"/>
              <w:topLinePunct/>
              <w:ind w:leftChars="0" w:left="0" w:rightChars="0" w:right="0" w:firstLineChars="0" w:firstLine="0"/>
              <w:spacing w:line="240" w:lineRule="atLeast"/>
            </w:pPr>
            <w:r>
              <w:t>0.5196±0.0060</w:t>
            </w:r>
          </w:p>
        </w:tc>
        <w:tc>
          <w:tcPr>
            <w:tcW w:w="1196" w:type="pct"/>
            <w:vAlign w:val="center"/>
          </w:tcPr>
          <w:p w:rsidR="0018722C">
            <w:pPr>
              <w:pStyle w:val="a5"/>
              <w:topLinePunct/>
              <w:ind w:leftChars="0" w:left="0" w:rightChars="0" w:right="0" w:firstLineChars="0" w:firstLine="0"/>
              <w:spacing w:line="240" w:lineRule="atLeast"/>
            </w:pPr>
            <w:r>
              <w:t>0.8699±0.0448</w:t>
            </w:r>
          </w:p>
        </w:tc>
        <w:tc>
          <w:tcPr>
            <w:tcW w:w="1524" w:type="pct"/>
            <w:vAlign w:val="center"/>
          </w:tcPr>
          <w:p w:rsidR="0018722C">
            <w:pPr>
              <w:pStyle w:val="ad"/>
              <w:topLinePunct/>
              <w:ind w:leftChars="0" w:left="0" w:rightChars="0" w:right="0" w:firstLineChars="0" w:firstLine="0"/>
              <w:spacing w:line="240" w:lineRule="atLeast"/>
            </w:pPr>
            <w:r>
              <w:t>1.4357±0.0369</w:t>
            </w:r>
          </w:p>
        </w:tc>
      </w:tr>
      <w:tr>
        <w:tc>
          <w:tcPr>
            <w:tcW w:w="1184" w:type="pct"/>
            <w:vAlign w:val="center"/>
          </w:tcPr>
          <w:p w:rsidR="0018722C">
            <w:pPr>
              <w:pStyle w:val="ac"/>
              <w:topLinePunct/>
              <w:ind w:leftChars="0" w:left="0" w:rightChars="0" w:right="0" w:firstLineChars="0" w:firstLine="0"/>
              <w:spacing w:line="240" w:lineRule="atLeast"/>
            </w:pPr>
            <w:r>
              <w:t>HepG2</w:t>
            </w:r>
            <w:r>
              <w:t>/</w:t>
            </w:r>
            <w:r>
              <w:t>mock-NS398</w:t>
            </w:r>
          </w:p>
        </w:tc>
        <w:tc>
          <w:tcPr>
            <w:tcW w:w="1096" w:type="pct"/>
            <w:vAlign w:val="center"/>
          </w:tcPr>
          <w:p w:rsidR="0018722C">
            <w:pPr>
              <w:pStyle w:val="a5"/>
              <w:topLinePunct/>
              <w:ind w:leftChars="0" w:left="0" w:rightChars="0" w:right="0" w:firstLineChars="0" w:firstLine="0"/>
              <w:spacing w:line="240" w:lineRule="atLeast"/>
            </w:pPr>
            <w:r>
              <w:t>0.5069±0.0037</w:t>
            </w:r>
          </w:p>
        </w:tc>
        <w:tc>
          <w:tcPr>
            <w:tcW w:w="1196" w:type="pct"/>
            <w:vAlign w:val="center"/>
          </w:tcPr>
          <w:p w:rsidR="0018722C">
            <w:pPr>
              <w:pStyle w:val="a5"/>
              <w:topLinePunct/>
              <w:ind w:leftChars="0" w:left="0" w:rightChars="0" w:right="0" w:firstLineChars="0" w:firstLine="0"/>
              <w:spacing w:line="240" w:lineRule="atLeast"/>
            </w:pPr>
            <w:r>
              <w:t>0.8852±0.0665</w:t>
            </w:r>
          </w:p>
        </w:tc>
        <w:tc>
          <w:tcPr>
            <w:tcW w:w="1524" w:type="pct"/>
            <w:vAlign w:val="center"/>
          </w:tcPr>
          <w:p w:rsidR="0018722C">
            <w:pPr>
              <w:pStyle w:val="ad"/>
              <w:topLinePunct/>
              <w:ind w:leftChars="0" w:left="0" w:rightChars="0" w:right="0" w:firstLineChars="0" w:firstLine="0"/>
              <w:spacing w:line="240" w:lineRule="atLeast"/>
            </w:pPr>
            <w:r>
              <w:t>1.3958±0.0392</w:t>
            </w:r>
          </w:p>
        </w:tc>
      </w:tr>
      <w:tr>
        <w:tc>
          <w:tcPr>
            <w:tcW w:w="1184"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HBx-NS398</w:t>
            </w:r>
          </w:p>
        </w:tc>
        <w:tc>
          <w:tcPr>
            <w:tcW w:w="1096" w:type="pct"/>
            <w:vAlign w:val="center"/>
            <w:tcBorders>
              <w:top w:val="single" w:sz="4" w:space="0" w:color="auto"/>
            </w:tcBorders>
          </w:tcPr>
          <w:p w:rsidR="0018722C">
            <w:pPr>
              <w:pStyle w:val="aff1"/>
              <w:topLinePunct/>
              <w:ind w:leftChars="0" w:left="0" w:rightChars="0" w:right="0" w:firstLineChars="0" w:firstLine="0"/>
              <w:spacing w:line="240" w:lineRule="atLeast"/>
            </w:pPr>
            <w:r>
              <w:t>0.5214±0.0137</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0.9552±0.0274</w:t>
            </w:r>
          </w:p>
        </w:tc>
        <w:tc>
          <w:tcPr>
            <w:tcW w:w="1524" w:type="pct"/>
            <w:vAlign w:val="center"/>
            <w:tcBorders>
              <w:top w:val="single" w:sz="4" w:space="0" w:color="auto"/>
            </w:tcBorders>
          </w:tcPr>
          <w:p w:rsidR="0018722C">
            <w:pPr>
              <w:pStyle w:val="ad"/>
              <w:topLinePunct/>
              <w:ind w:leftChars="0" w:left="0" w:rightChars="0" w:right="0" w:firstLineChars="0" w:firstLine="0"/>
              <w:spacing w:line="240" w:lineRule="atLeast"/>
            </w:pPr>
            <w:r>
              <w:t>1.3720±0.0058</w:t>
            </w:r>
          </w:p>
        </w:tc>
      </w:tr>
    </w:tbl>
    <w:p w:rsidR="0018722C">
      <w:pPr>
        <w:topLinePunct/>
        <w:pStyle w:val="affa"/>
      </w:pPr>
    </w:p>
    <w:p w:rsidR="0018722C">
      <w:pPr>
        <w:pStyle w:val="affff5"/>
        <w:topLinePunct/>
      </w:pPr>
      <w:r>
        <w:rPr>
          <w:sz w:val="20"/>
        </w:rPr>
        <w:drawing>
          <wp:inline distT="0" distB="0" distL="0" distR="0">
            <wp:extent cx="4867500" cy="2388936"/>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35" cstate="print"/>
                    <a:stretch>
                      <a:fillRect/>
                    </a:stretch>
                  </pic:blipFill>
                  <pic:spPr>
                    <a:xfrm>
                      <a:off x="0" y="0"/>
                      <a:ext cx="5272592" cy="2587752"/>
                    </a:xfrm>
                    <a:prstGeom prst="rect">
                      <a:avLst/>
                    </a:prstGeom>
                  </pic:spPr>
                </pic:pic>
              </a:graphicData>
            </a:graphic>
          </wp:inline>
        </w:drawing>
      </w:r>
      <w:r/>
    </w:p>
    <w:p w:rsidR="0018722C">
      <w:pPr>
        <w:topLinePunct/>
      </w:pPr>
      <w:r>
        <w:t/>
      </w:r>
      <w:r>
        <w:t>图</w:t>
      </w:r>
      <w:r>
        <w:t>14</w:t>
      </w:r>
      <w:r/>
      <w:r w:rsidR="001852F3">
        <w:t xml:space="preserve">加入</w:t>
      </w:r>
      <w:r>
        <w:t>50</w:t>
      </w:r>
      <w:r>
        <w:t> </w:t>
      </w:r>
      <w:r>
        <w:t>umol</w:t>
      </w:r>
      <w:r>
        <w:t>/</w:t>
      </w:r>
      <w:r>
        <w:t>L</w:t>
      </w:r>
      <w:r>
        <w:t> </w:t>
      </w:r>
      <w:r>
        <w:t>NS-398</w:t>
      </w:r>
      <w:r/>
      <w:r w:rsidR="001852F3">
        <w:t xml:space="preserve">作用</w:t>
      </w:r>
      <w:r>
        <w:t>72h</w:t>
      </w:r>
      <w:r/>
      <w:r w:rsidR="001852F3">
        <w:t xml:space="preserve">后六组细胞的增殖能力水平</w:t>
      </w:r>
      <w:r>
        <w:t>（</w:t>
      </w:r>
      <w:r>
        <w:rPr>
          <w:rFonts w:ascii="Times New Roman" w:eastAsia="宋体"/>
        </w:rPr>
        <w:t>*</w:t>
      </w:r>
      <w:r>
        <w:t>，</w:t>
      </w:r>
      <w:r>
        <w:t>P&lt;0.05，</w:t>
      </w:r>
    </w:p>
    <w:p w:rsidR="0018722C">
      <w:pPr>
        <w:topLinePunct/>
      </w:pPr>
      <w:r>
        <w:t>HepG2</w:t>
      </w:r>
      <w:r>
        <w:t>/</w:t>
      </w:r>
      <w:r>
        <w:t>HBx</w:t>
      </w:r>
      <w:r/>
      <w:r w:rsidR="001852F3">
        <w:t xml:space="preserve">组与</w:t>
      </w:r>
      <w:r>
        <w:t>HepG2</w:t>
      </w:r>
      <w:r>
        <w:t>/</w:t>
      </w:r>
      <w:r>
        <w:t>mock</w:t>
      </w:r>
      <w:r>
        <w:t>、</w:t>
      </w:r>
      <w:r>
        <w:t>HepG2</w:t>
      </w:r>
      <w:r/>
      <w:r w:rsidR="001852F3">
        <w:t xml:space="preserve">组对比；#，</w:t>
      </w:r>
      <w:r>
        <w:t>P&lt;0.05</w:t>
      </w:r>
      <w:r>
        <w:rPr>
          <w:spacing w:val="-55"/>
        </w:rPr>
        <w:t xml:space="preserve">, </w:t>
      </w:r>
      <w:r>
        <w:t>HepG2</w:t>
      </w:r>
      <w:r>
        <w:t>/</w:t>
      </w:r>
      <w:r>
        <w:t>HBx</w:t>
      </w:r>
      <w:r/>
      <w:r w:rsidR="001852F3">
        <w:t xml:space="preserve">组与</w:t>
      </w:r>
      <w:r>
        <w:t>HepG2</w:t>
      </w:r>
      <w:r>
        <w:t>/</w:t>
      </w:r>
      <w:r>
        <w:t>HBx</w:t>
      </w:r>
    </w:p>
    <w:p w:rsidR="0018722C">
      <w:pPr>
        <w:topLinePunct/>
      </w:pPr>
      <w:r>
        <w:t>加入</w:t>
      </w:r>
      <w:r>
        <w:t>NS-398</w:t>
      </w:r>
      <w:r/>
      <w:r w:rsidR="001852F3">
        <w:t xml:space="preserve">组对比</w:t>
      </w:r>
      <w:r>
        <w:t>）</w:t>
      </w:r>
      <w:r>
        <w:t>，</w:t>
      </w:r>
      <w:r>
        <w:t>HBx</w:t>
      </w:r>
      <w:r>
        <w:rPr>
          <w:spacing w:val="-2"/>
        </w:rPr>
        <w:t xml:space="preserve">: </w:t>
      </w:r>
      <w:r>
        <w:t>H</w:t>
      </w:r>
      <w:r>
        <w:t>e</w:t>
      </w:r>
      <w:r>
        <w:t>pG2</w:t>
      </w:r>
      <w:r>
        <w:t>/</w:t>
      </w:r>
      <w:r>
        <w:t>HBx</w:t>
      </w:r>
      <w:r/>
      <w:r w:rsidR="001852F3">
        <w:t xml:space="preserve">细胞; </w:t>
      </w:r>
      <w:r>
        <w:t>Mock</w:t>
      </w:r>
      <w:r>
        <w:rPr>
          <w:spacing w:val="-2"/>
        </w:rPr>
        <w:t xml:space="preserve">: </w:t>
      </w:r>
      <w:r>
        <w:t>HepG2</w:t>
      </w:r>
      <w:r>
        <w:t>/</w:t>
      </w:r>
      <w:r>
        <w:t>mock</w:t>
      </w:r>
      <w:r/>
      <w:r w:rsidR="001852F3">
        <w:t xml:space="preserve">细胞; </w:t>
      </w:r>
      <w:r>
        <w:t>Control：</w:t>
      </w:r>
    </w:p>
    <w:p w:rsidR="0018722C">
      <w:pPr>
        <w:topLinePunct/>
      </w:pPr>
      <w:r>
        <w:t>HepG2</w:t>
      </w:r>
      <w:r w:rsidR="001852F3">
        <w:t xml:space="preserve">细胞</w:t>
      </w:r>
    </w:p>
    <w:p w:rsidR="0018722C">
      <w:pPr>
        <w:pStyle w:val="Heading2"/>
        <w:topLinePunct/>
        <w:ind w:left="171" w:hangingChars="171" w:hanging="171"/>
      </w:pPr>
      <w:bookmarkStart w:id="707272" w:name="_Toc686707272"/>
      <w:bookmarkStart w:name="五 讨论 " w:id="30"/>
      <w:bookmarkEnd w:id="30"/>
      <w:r>
        <w:t>五</w:t>
      </w:r>
      <w:r>
        <w:t xml:space="preserve"> </w:t>
      </w:r>
      <w:r w:rsidRPr="00DB64CE">
        <w:t>讨论</w:t>
      </w:r>
      <w:bookmarkEnd w:id="707272"/>
    </w:p>
    <w:p w:rsidR="0018722C">
      <w:pPr>
        <w:topLinePunct/>
      </w:pPr>
      <w:r>
        <w:t>越来越多的证据表明炎症反应在肝细胞癌的发展中起着重要的角色，它们能</w:t>
      </w:r>
      <w:r>
        <w:t>释放促炎因子和</w:t>
      </w:r>
      <w:r>
        <w:t>ROS，</w:t>
      </w:r>
      <w:r>
        <w:t>在</w:t>
      </w:r>
      <w:r>
        <w:t>DNA</w:t>
      </w:r>
      <w:r/>
      <w:r w:rsidR="001852F3">
        <w:t xml:space="preserve">修复、</w:t>
      </w:r>
      <w:r>
        <w:t>DNA</w:t>
      </w:r>
      <w:r/>
      <w:r w:rsidR="001852F3">
        <w:t xml:space="preserve">甲基化、</w:t>
      </w:r>
      <w:r>
        <w:t>DNA</w:t>
      </w:r>
      <w:r/>
      <w:r w:rsidR="001852F3">
        <w:t xml:space="preserve">的氧化和脂质过氧化中其关键作用</w:t>
      </w:r>
      <w:r>
        <w:rPr>
          <w:vertAlign w:val="superscript"/>
          /&gt;
        </w:rPr>
        <w:t>[</w:t>
      </w:r>
      <w:r>
        <w:rPr>
          <w:vertAlign w:val="superscript"/>
          /&gt;
        </w:rPr>
        <w:t xml:space="preserve">62</w:t>
      </w:r>
      <w:r>
        <w:rPr>
          <w:vertAlign w:val="superscript"/>
          /&gt;
        </w:rPr>
        <w:t>]</w:t>
      </w:r>
      <w:r>
        <w:t>。而线粒体是</w:t>
      </w:r>
      <w:r>
        <w:t>ROS</w:t>
      </w:r>
      <w:r/>
      <w:r w:rsidR="001852F3">
        <w:t xml:space="preserve">的主要来源</w:t>
      </w:r>
      <w:r>
        <w:rPr>
          <w:vertAlign w:val="superscript"/>
          /&gt;
        </w:rPr>
        <w:t>[</w:t>
      </w:r>
      <w:r>
        <w:rPr>
          <w:vertAlign w:val="superscript"/>
          /&gt;
        </w:rPr>
        <w:t xml:space="preserve">34</w:t>
      </w:r>
      <w:r>
        <w:rPr>
          <w:vertAlign w:val="superscript"/>
          /&gt;
        </w:rPr>
        <w:t>]</w:t>
      </w:r>
      <w:r>
        <w:t>，过量的</w:t>
      </w:r>
      <w:r>
        <w:t>ROS</w:t>
      </w:r>
      <w:r/>
      <w:r w:rsidR="001852F3">
        <w:t xml:space="preserve">达到一定的阈值和电化学</w:t>
      </w:r>
      <w:r>
        <w:t>梯度改变共同作用会引起线粒体膜通透性转换孔</w:t>
      </w:r>
      <w:r>
        <w:t>(</w:t>
      </w:r>
      <w:r>
        <w:rPr>
          <w:spacing w:val="3"/>
        </w:rPr>
        <w:t xml:space="preserve"> </w:t>
      </w:r>
      <w:r>
        <w:t>mitochondria</w:t>
      </w:r>
      <w:r>
        <w:rPr>
          <w:spacing w:val="8"/>
        </w:rPr>
        <w:t> </w:t>
      </w:r>
      <w:r>
        <w:t>permeability transition</w:t>
      </w:r>
      <w:r>
        <w:rPr>
          <w:spacing w:val="14"/>
        </w:rPr>
        <w:t> </w:t>
      </w:r>
      <w:r>
        <w:t>pore,</w:t>
      </w:r>
      <w:r>
        <w:rPr>
          <w:spacing w:val="14"/>
        </w:rPr>
        <w:t> </w:t>
      </w:r>
      <w:r>
        <w:t>MPTP</w:t>
      </w:r>
      <w:r>
        <w:t>)</w:t>
      </w:r>
      <w:r>
        <w:t>的开放释放大量的钙离子，导致胞浆钙超载，继而还可</w:t>
      </w:r>
      <w:r>
        <w:t>以激活线粒体上其他两种钙离子通路：线粒体钠-钙交换体</w:t>
      </w:r>
      <w:r>
        <w:t>（</w:t>
      </w:r>
      <w:r>
        <w:t xml:space="preserve">mitochondrial sodium-calcium</w:t>
      </w:r>
      <w:r>
        <w:rPr>
          <w:spacing w:val="16"/>
        </w:rPr>
        <w:t> </w:t>
      </w:r>
      <w:r>
        <w:t>exchanger</w:t>
      </w:r>
      <w:r>
        <w:rPr>
          <w:spacing w:val="-30"/>
        </w:rPr>
        <w:t>,</w:t>
      </w:r>
      <w:r>
        <w:rPr>
          <w:spacing w:val="-30"/>
        </w:rPr>
        <w:t> </w:t>
      </w:r>
      <w:r>
        <w:t>MNCX</w:t>
      </w:r>
      <w:r>
        <w:t>）</w:t>
      </w:r>
      <w:r/>
      <w:r w:rsidR="001852F3">
        <w:t xml:space="preserve">和线粒体钙单向转运体</w:t>
      </w:r>
      <w:r>
        <w:t>（</w:t>
      </w:r>
      <w:r>
        <w:t>mitochondrial calcium</w:t>
      </w:r>
      <w:r>
        <w:rPr>
          <w:spacing w:val="-8"/>
        </w:rPr>
        <w:t> </w:t>
      </w:r>
      <w:r>
        <w:t>uniporter</w:t>
      </w:r>
      <w:r>
        <w:t xml:space="preserve">, </w:t>
      </w:r>
      <w:r>
        <w:t>MCU</w:t>
      </w:r>
      <w:r>
        <w:t>）</w:t>
      </w:r>
      <w:r>
        <w:t>，形成了以线粒体钙通道开放为原因，以胞浆钙超载为标志的多个信号分子、蛋白激酶的激活，并对细胞增殖、细胞周期、坏死和凋亡产生系列影响</w:t>
      </w:r>
      <w:r>
        <w:rPr>
          <w:vertAlign w:val="superscript"/>
          /&gt;
        </w:rPr>
        <w:t>[</w:t>
      </w:r>
      <w:r>
        <w:rPr>
          <w:vertAlign w:val="superscript"/>
          /&gt;
        </w:rPr>
        <w:t>63</w:t>
      </w:r>
      <w:r>
        <w:rPr>
          <w:vertAlign w:val="superscript"/>
          /&gt;
        </w:rPr>
        <w:t>,</w:t>
      </w:r>
      <w:r>
        <w:rPr>
          <w:vertAlign w:val="superscript"/>
          /&gt;
        </w:rPr>
        <w:t> </w:t>
      </w:r>
      <w:r>
        <w:rPr>
          <w:vertAlign w:val="superscript"/>
          /&gt;
        </w:rPr>
        <w:t>64</w:t>
      </w:r>
      <w:r>
        <w:rPr>
          <w:vertAlign w:val="superscript"/>
          /&gt;
        </w:rPr>
        <w:t>]</w:t>
      </w:r>
      <w:r>
        <w:t>。最近，研究发现</w:t>
      </w:r>
      <w:r>
        <w:t>HBx</w:t>
      </w:r>
      <w:r/>
      <w:r w:rsidR="001852F3">
        <w:t xml:space="preserve">定位于线粒体，导致</w:t>
      </w:r>
      <w:r>
        <w:t>ROS</w:t>
      </w:r>
      <w:r w:rsidR="001852F3">
        <w:t xml:space="preserve">产生增多、MPTP</w:t>
      </w:r>
      <w:r>
        <w:t>开放引起胞质</w:t>
      </w:r>
      <w:r>
        <w:t>Ca</w:t>
      </w:r>
      <w:r>
        <w:rPr>
          <w:vertAlign w:val="superscript"/>
          /&gt;
        </w:rPr>
        <w:t>2+</w:t>
      </w:r>
      <w:r>
        <w:t>水平增多，从而上调了炎症介质环氧合酶-2</w:t>
      </w:r>
      <w:r>
        <w:t>（</w:t>
      </w:r>
      <w:r>
        <w:t>COX-2</w:t>
      </w:r>
      <w:r>
        <w:t>）</w:t>
      </w:r>
      <w:r>
        <w:t>的表达，</w:t>
      </w:r>
      <w:r w:rsidR="001852F3">
        <w:t xml:space="preserve">促进细胞炎症反应的发生</w:t>
      </w:r>
      <w:r>
        <w:rPr>
          <w:vertAlign w:val="superscript"/>
          /&gt;
        </w:rPr>
        <w:t>[</w:t>
      </w:r>
      <w:r>
        <w:rPr>
          <w:color w:val="080000"/>
          <w:vertAlign w:val="superscript"/>
          <w:position w:val="12"/>
        </w:rPr>
        <w:t xml:space="preserve">33</w:t>
      </w:r>
      <w:r>
        <w:rPr>
          <w:vertAlign w:val="superscript"/>
          /&gt;
        </w:rPr>
        <w:t>]</w:t>
      </w:r>
      <w:r>
        <w:t>。最后炎症信号由细胞水平扩大到邻近细胞和组织水平，形成组织水平的炎症反应，最后在细胞和组织长期慢性炎症的基础上发生恶</w:t>
      </w:r>
      <w:r>
        <w:t>变。本部分实验表明</w:t>
      </w:r>
      <w:r>
        <w:t>HBx</w:t>
      </w:r>
      <w:r/>
      <w:r w:rsidR="001852F3">
        <w:t xml:space="preserve">与</w:t>
      </w:r>
      <w:r>
        <w:t>COXIII</w:t>
      </w:r>
      <w:r/>
      <w:r w:rsidR="001852F3">
        <w:t xml:space="preserve">共定位后将上调</w:t>
      </w:r>
      <w:r>
        <w:t>ROS</w:t>
      </w:r>
      <w:r/>
      <w:r w:rsidR="001852F3">
        <w:t xml:space="preserve">的水平，从而提高炎症介</w:t>
      </w:r>
      <w:r>
        <w:t>质</w:t>
      </w:r>
      <w:r>
        <w:t>COX-2</w:t>
      </w:r>
      <w:r/>
      <w:r w:rsidR="001852F3">
        <w:t xml:space="preserve">的表达水平。</w:t>
      </w:r>
    </w:p>
    <w:p w:rsidR="0018722C">
      <w:pPr>
        <w:topLinePunct/>
      </w:pPr>
      <w:r>
        <w:t>近几年学者们在不同的模型与条件下对</w:t>
      </w:r>
      <w:r>
        <w:t>HBx</w:t>
      </w:r>
      <w:r/>
      <w:r w:rsidR="001852F3">
        <w:t xml:space="preserve">蛋白促进细胞增殖的作用进行了</w:t>
      </w:r>
      <w:r>
        <w:t>大量的研究，得出了不同的结论。有人发现</w:t>
      </w:r>
      <w:r>
        <w:t>HBx</w:t>
      </w:r>
      <w:r/>
      <w:r w:rsidR="001852F3">
        <w:t xml:space="preserve">蛋白及其结合蛋白</w:t>
      </w:r>
      <w:r>
        <w:t>(</w:t>
      </w:r>
      <w:r>
        <w:t xml:space="preserve">HBXIP</w:t>
      </w:r>
      <w:r>
        <w:t>)</w:t>
      </w:r>
      <w:r w:rsidR="001852F3">
        <w:t xml:space="preserve">通过</w:t>
      </w:r>
      <w:r>
        <w:t>激活</w:t>
      </w:r>
      <w:r>
        <w:t>PI3-K</w:t>
      </w:r>
      <w:r/>
      <w:r w:rsidR="001852F3">
        <w:t xml:space="preserve">通路促进肝癌细胞的增殖</w:t>
      </w:r>
      <w:r>
        <w:rPr>
          <w:vertAlign w:val="superscript"/>
          /&gt;
        </w:rPr>
        <w:t>[</w:t>
      </w:r>
      <w:r>
        <w:rPr>
          <w:color w:val="080000"/>
          <w:vertAlign w:val="superscript"/>
          <w:position w:val="12"/>
        </w:rPr>
        <w:t xml:space="preserve">65</w:t>
      </w:r>
      <w:r>
        <w:rPr>
          <w:vertAlign w:val="superscript"/>
          /&gt;
        </w:rPr>
        <w:t>]</w:t>
      </w:r>
      <w:r>
        <w:t>。</w:t>
      </w:r>
      <w:r>
        <w:t>HBx</w:t>
      </w:r>
      <w:r/>
      <w:r w:rsidR="001852F3">
        <w:t xml:space="preserve">蛋白与</w:t>
      </w:r>
      <w:r>
        <w:t>Akt</w:t>
      </w:r>
      <w:r/>
      <w:r w:rsidR="001852F3">
        <w:t xml:space="preserve">之间相互作用，促进了细胞增殖以及出现致瘤性的转化</w:t>
      </w:r>
      <w:r>
        <w:rPr>
          <w:vertAlign w:val="superscript"/>
          /&gt;
        </w:rPr>
        <w:t>[</w:t>
      </w:r>
      <w:r>
        <w:rPr>
          <w:color w:val="080000"/>
          <w:vertAlign w:val="superscript"/>
          <w:position w:val="12"/>
        </w:rPr>
        <w:t xml:space="preserve">66</w:t>
      </w:r>
      <w:r>
        <w:rPr>
          <w:vertAlign w:val="superscript"/>
          /&gt;
        </w:rPr>
        <w:t>]</w:t>
      </w:r>
      <w:r>
        <w:t>。Gearhart</w:t>
      </w:r>
      <w:r>
        <w:t> </w:t>
      </w:r>
      <w:r>
        <w:t>and</w:t>
      </w:r>
      <w:r>
        <w:t> </w:t>
      </w:r>
      <w:r>
        <w:t>Bouchard</w:t>
      </w:r>
      <w:r/>
      <w:r w:rsidR="001852F3">
        <w:t xml:space="preserve">指出，在人类肝细胞以</w:t>
      </w:r>
      <w:r>
        <w:t>及原代小鼠肝细胞中，</w:t>
      </w:r>
      <w:r>
        <w:t>HBx</w:t>
      </w:r>
      <w:r w:rsidR="001852F3">
        <w:t xml:space="preserve">蛋白依赖胞内钙信号调控细胞周期调节蛋白的表达，从而促进细胞增殖</w:t>
      </w:r>
      <w:r>
        <w:rPr>
          <w:vertAlign w:val="superscript"/>
          /&gt;
        </w:rPr>
        <w:t>[</w:t>
      </w:r>
      <w:r>
        <w:rPr>
          <w:color w:val="080000"/>
          <w:vertAlign w:val="superscript"/>
          <w:position w:val="12"/>
        </w:rPr>
        <w:t xml:space="preserve">67</w:t>
      </w:r>
      <w:r>
        <w:rPr>
          <w:vertAlign w:val="superscript"/>
          /&gt;
        </w:rPr>
        <w:t>]</w:t>
      </w:r>
      <w:r>
        <w:t>。本部分实验也发现，在稳定表达</w:t>
      </w:r>
      <w:r>
        <w:t>HBx</w:t>
      </w:r>
      <w:r/>
      <w:r w:rsidR="001852F3">
        <w:t xml:space="preserve">的</w:t>
      </w:r>
      <w:r>
        <w:t>HepG2</w:t>
      </w:r>
      <w:r/>
      <w:r w:rsidR="001852F3">
        <w:t xml:space="preserve">细胞中，</w:t>
      </w:r>
      <w:r>
        <w:t>HBx</w:t>
      </w:r>
      <w:r/>
      <w:r w:rsidR="001852F3">
        <w:t xml:space="preserve">促进了肝癌细胞的增殖，具有更高的克隆形成率。</w:t>
      </w:r>
      <w:r w:rsidR="001852F3">
        <w:t>近年</w:t>
      </w:r>
      <w:r w:rsidR="001852F3">
        <w:t>有研究发现</w:t>
      </w:r>
      <w:r>
        <w:t>COX-2</w:t>
      </w:r>
      <w:r/>
      <w:r w:rsidR="001852F3">
        <w:t xml:space="preserve">介导的炎</w:t>
      </w:r>
      <w:r>
        <w:t>症反应能够刺激增殖、抑制凋亡从而促进了</w:t>
      </w:r>
      <w:r>
        <w:t>HBx</w:t>
      </w:r>
      <w:r/>
      <w:r w:rsidR="001852F3">
        <w:t xml:space="preserve">转染的肝癌细胞的生长</w:t>
      </w:r>
      <w:r>
        <w:rPr>
          <w:vertAlign w:val="superscript"/>
          /&gt;
        </w:rPr>
        <w:t>[</w:t>
      </w:r>
      <w:r>
        <w:rPr>
          <w:color w:val="080000"/>
          <w:position w:val="12"/>
          <w:sz w:val="12"/>
        </w:rPr>
        <w:t xml:space="preserve">68</w:t>
      </w:r>
      <w:r>
        <w:rPr>
          <w:color w:val="080000"/>
          <w:position w:val="12"/>
          <w:sz w:val="12"/>
        </w:rPr>
        <w:t>,</w:t>
      </w:r>
      <w:r>
        <w:rPr>
          <w:color w:val="080000"/>
          <w:position w:val="12"/>
          <w:sz w:val="12"/>
        </w:rPr>
        <w:t xml:space="preserve"> 69</w:t>
      </w:r>
      <w:r>
        <w:rPr>
          <w:vertAlign w:val="superscript"/>
          /&gt;
        </w:rPr>
        <w:t>]</w:t>
      </w:r>
      <w:r>
        <w:t>。因</w:t>
      </w:r>
      <w:r>
        <w:t>此我们推论稳定表达</w:t>
      </w:r>
      <w:r>
        <w:t>HBx</w:t>
      </w:r>
      <w:r/>
      <w:r w:rsidR="001852F3">
        <w:t xml:space="preserve">促进了</w:t>
      </w:r>
      <w:r>
        <w:t>HepG2</w:t>
      </w:r>
      <w:r/>
      <w:r w:rsidR="001852F3">
        <w:t xml:space="preserve">的增殖是否是因为</w:t>
      </w:r>
      <w:r>
        <w:t>COX-2</w:t>
      </w:r>
      <w:r/>
      <w:r w:rsidR="001852F3">
        <w:t xml:space="preserve">水平的上调。于</w:t>
      </w:r>
      <w:r>
        <w:t>是我们加入了</w:t>
      </w:r>
      <w:r>
        <w:t>COX-2</w:t>
      </w:r>
      <w:r/>
      <w:r w:rsidR="001852F3">
        <w:t xml:space="preserve">的抑制剂</w:t>
      </w:r>
      <w:r>
        <w:t>50</w:t>
      </w:r>
      <w:r>
        <w:t> </w:t>
      </w:r>
      <w:r>
        <w:t>umol</w:t>
      </w:r>
      <w:r>
        <w:t>/</w:t>
      </w:r>
      <w:r>
        <w:t>L</w:t>
      </w:r>
      <w:r>
        <w:t> </w:t>
      </w:r>
      <w:r>
        <w:t>NS-398</w:t>
      </w:r>
      <w:r/>
      <w:r w:rsidR="001852F3">
        <w:t xml:space="preserve">作用</w:t>
      </w:r>
      <w:r>
        <w:t>72h</w:t>
      </w:r>
      <w:r/>
      <w:r w:rsidR="001852F3">
        <w:t xml:space="preserve">，发现随着</w:t>
      </w:r>
      <w:r>
        <w:t>COX-2</w:t>
      </w:r>
      <w:r/>
      <w:r w:rsidR="001852F3">
        <w:t xml:space="preserve">表达水平的下调，HepG2</w:t>
      </w:r>
      <w:r>
        <w:t>/</w:t>
      </w:r>
      <w:r>
        <w:t>HBx</w:t>
      </w:r>
      <w:r/>
      <w:r w:rsidR="001852F3">
        <w:t xml:space="preserve">组细胞的增殖能力也下降了。所以我们得出了结论</w:t>
      </w:r>
      <w:r>
        <w:t>：HB</w:t>
      </w:r>
      <w:r>
        <w:t>x</w:t>
      </w:r>
    </w:p>
    <w:p w:rsidR="0018722C">
      <w:pPr>
        <w:topLinePunct/>
      </w:pPr>
      <w:r>
        <w:t>通过上调</w:t>
      </w:r>
      <w:r w:rsidR="001852F3">
        <w:t xml:space="preserve">COX-2</w:t>
      </w:r>
      <w:r w:rsidR="001852F3">
        <w:t xml:space="preserve">的表达水平来促进</w:t>
      </w:r>
      <w:r w:rsidR="001852F3">
        <w:t xml:space="preserve">HepG2</w:t>
      </w:r>
      <w:r w:rsidR="001852F3">
        <w:t xml:space="preserve">细胞的增殖。</w:t>
      </w:r>
    </w:p>
    <w:p w:rsidR="0018722C">
      <w:pPr>
        <w:topLinePunct/>
      </w:pPr>
      <w:r>
        <w:t>该部分实验表明</w:t>
      </w:r>
      <w:r>
        <w:t>HBx</w:t>
      </w:r>
      <w:r/>
      <w:r w:rsidR="001852F3">
        <w:t xml:space="preserve">与</w:t>
      </w:r>
      <w:r>
        <w:t>COXIII</w:t>
      </w:r>
      <w:r/>
      <w:r w:rsidR="001852F3">
        <w:t xml:space="preserve">共定位后将上调</w:t>
      </w:r>
      <w:r>
        <w:t>ROS</w:t>
      </w:r>
      <w:r/>
      <w:r w:rsidR="001852F3">
        <w:t xml:space="preserve">的水平，从而提高炎症介</w:t>
      </w:r>
      <w:r>
        <w:t>质</w:t>
      </w:r>
      <w:r>
        <w:t>COX-2</w:t>
      </w:r>
      <w:r/>
      <w:r w:rsidR="001852F3">
        <w:t xml:space="preserve">的表达水平，进一步促进</w:t>
      </w:r>
      <w:r>
        <w:t>HepG2</w:t>
      </w:r>
      <w:r/>
      <w:r w:rsidR="001852F3">
        <w:t xml:space="preserve">细胞的增殖。</w:t>
      </w:r>
    </w:p>
    <w:p w:rsidR="0018722C">
      <w:pPr>
        <w:pStyle w:val="Heading1"/>
        <w:topLinePunct/>
      </w:pPr>
      <w:bookmarkStart w:id="707273" w:name="_Toc686707273"/>
      <w:bookmarkStart w:name="_TOC_250004" w:id="31"/>
      <w:bookmarkStart w:name="第四部分 HBx通过上调COX-2水平激活β-catenin信号转导通路促进了H" w:id="32"/>
      <w:r>
        <w:rPr>
          <w:b/>
        </w:rPr>
        <w:t>第四部分 </w:t>
      </w:r>
      <w:r>
        <w:rPr>
          <w:b/>
        </w:rPr>
        <w:t>HBx</w:t>
      </w:r>
      <w:r w:rsidR="001852F3">
        <w:t xml:space="preserve">通过上调</w:t>
      </w:r>
      <w:r>
        <w:rPr>
          <w:b/>
        </w:rPr>
        <w:t>COX-2</w:t>
      </w:r>
      <w:r w:rsidR="001852F3">
        <w:t xml:space="preserve">水平激活</w:t>
      </w:r>
      <w:r>
        <w:rPr>
          <w:b/>
        </w:rPr>
        <w:t>β-catenin</w:t>
      </w:r>
      <w:bookmarkEnd w:id="31"/>
      <w:r w:rsidR="001852F3">
        <w:t xml:space="preserve">信号转导通</w:t>
      </w:r>
      <w:bookmarkEnd w:id="707273"/>
    </w:p>
    <w:p w:rsidR="0018722C">
      <w:pPr>
        <w:outlineLvl w:val="9"/>
        <w:topLinePunct/>
      </w:pPr>
      <w:bookmarkStart w:name="_TOC_250003" w:id="33"/>
      <w:bookmarkEnd w:id="33"/>
      <w:r>
        <w:rPr>
          <w:kern w:val="2"/>
          <w:sz w:val="30"/>
          <w:szCs w:val="30"/>
          <w:rFonts w:cstheme="minorBidi" w:hAnsiTheme="minorHAnsi" w:eastAsiaTheme="minorHAnsi" w:asciiTheme="minorHAnsi" w:ascii="宋体" w:hAnsi="宋体" w:eastAsia="宋体" w:cs="宋体"/>
          <w:b/>
          <w:bCs/>
        </w:rPr>
        <w:t>路促进了</w:t>
      </w:r>
      <w:r w:rsidR="001852F3">
        <w:rPr>
          <w:kern w:val="2"/>
          <w:sz w:val="30"/>
          <w:szCs w:val="30"/>
          <w:rFonts w:cstheme="minorBidi" w:hAnsiTheme="minorHAnsi" w:eastAsiaTheme="minorHAnsi" w:asciiTheme="minorHAnsi" w:ascii="宋体" w:hAnsi="宋体" w:eastAsia="宋体" w:cs="宋体"/>
          <w:b/>
          <w:bCs/>
        </w:rPr>
        <w:t xml:space="preserve">HepG2</w:t>
      </w:r>
      <w:r w:rsidR="001852F3">
        <w:rPr>
          <w:kern w:val="2"/>
          <w:sz w:val="30"/>
          <w:szCs w:val="30"/>
          <w:rFonts w:cstheme="minorBidi" w:hAnsiTheme="minorHAnsi" w:eastAsiaTheme="minorHAnsi" w:asciiTheme="minorHAnsi" w:ascii="宋体" w:hAnsi="宋体" w:eastAsia="宋体" w:cs="宋体"/>
          <w:b/>
          <w:bCs/>
        </w:rPr>
        <w:t xml:space="preserve">细胞的增殖</w:t>
      </w:r>
    </w:p>
    <w:p w:rsidR="0018722C">
      <w:pPr>
        <w:pStyle w:val="Heading2"/>
        <w:topLinePunct/>
        <w:ind w:left="171" w:hangingChars="171" w:hanging="171"/>
      </w:pPr>
      <w:bookmarkStart w:id="707274" w:name="_Toc686707274"/>
      <w:bookmarkStart w:name="一 引言 " w:id="34"/>
      <w:bookmarkEnd w:id="34"/>
      <w:r>
        <w:t>一</w:t>
      </w:r>
      <w:r>
        <w:t xml:space="preserve"> </w:t>
      </w:r>
      <w:r w:rsidRPr="00DB64CE">
        <w:t>引言</w:t>
      </w:r>
      <w:bookmarkEnd w:id="707274"/>
    </w:p>
    <w:p w:rsidR="0018722C">
      <w:pPr>
        <w:topLinePunct/>
      </w:pPr>
      <w:r>
        <w:t>越来越多的研究关注到</w:t>
      </w:r>
      <w:r>
        <w:t>Wnt</w:t>
      </w:r>
      <w:r>
        <w:t>/</w:t>
      </w:r>
      <w:r>
        <w:t>β–catenin</w:t>
      </w:r>
      <w:r/>
      <w:r w:rsidR="001852F3">
        <w:t xml:space="preserve">信号通路上，它在细胞增殖、分化、</w:t>
      </w:r>
      <w:r>
        <w:t>癌变中同样起着重要角色。在</w:t>
      </w:r>
      <w:r>
        <w:t>HBV</w:t>
      </w:r>
      <w:r/>
      <w:r w:rsidR="001852F3">
        <w:t xml:space="preserve">相关的肝细胞癌中，由</w:t>
      </w:r>
      <w:r>
        <w:t>HBx</w:t>
      </w:r>
      <w:r/>
      <w:r w:rsidR="001852F3">
        <w:t xml:space="preserve">蛋白上调</w:t>
      </w:r>
      <w:r w:rsidR="001852F3">
        <w:t>的</w:t>
      </w:r>
    </w:p>
    <w:p w:rsidR="0018722C">
      <w:pPr>
        <w:topLinePunct/>
      </w:pPr>
      <w:r>
        <w:t>β–catenin</w:t>
      </w:r>
      <w:r w:rsidR="001852F3">
        <w:t xml:space="preserve">促进了</w:t>
      </w:r>
      <w:r w:rsidR="001852F3">
        <w:t xml:space="preserve">HBx</w:t>
      </w:r>
      <w:r w:rsidR="001852F3">
        <w:t xml:space="preserve">蛋白的促瘤活性。在</w:t>
      </w:r>
      <w:r w:rsidR="001852F3">
        <w:t xml:space="preserve">Wnt</w:t>
      </w:r>
      <w:r>
        <w:t>/</w:t>
      </w:r>
      <w:r>
        <w:t>β–catenin</w:t>
      </w:r>
      <w:r w:rsidR="001852F3">
        <w:t xml:space="preserve">信号通路中，</w:t>
      </w:r>
    </w:p>
    <w:p w:rsidR="0018722C">
      <w:pPr>
        <w:topLinePunct/>
      </w:pPr>
      <w:r>
        <w:t>β–catenin</w:t>
      </w:r>
      <w:r/>
      <w:r w:rsidR="001852F3">
        <w:t xml:space="preserve">的目标基因，比如</w:t>
      </w:r>
      <w:r>
        <w:t>cyclin-D1, TCF</w:t>
      </w:r>
      <w:r w:rsidR="001852F3">
        <w:t xml:space="preserve">以及</w:t>
      </w:r>
      <w:r w:rsidR="001852F3">
        <w:t xml:space="preserve">c-myc</w:t>
      </w:r>
      <w:r/>
      <w:r w:rsidR="001852F3">
        <w:t xml:space="preserve">的表达上调了</w:t>
      </w:r>
      <w:r>
        <w:rPr>
          <w:vertAlign w:val="superscript"/>
          /&gt;
        </w:rPr>
        <w:t>[</w:t>
      </w:r>
      <w:r>
        <w:rPr>
          <w:color w:val="080000"/>
          <w:position w:val="12"/>
          <w:sz w:val="12"/>
        </w:rPr>
        <w:t xml:space="preserve">38, 39</w:t>
      </w:r>
      <w:r>
        <w:rPr>
          <w:vertAlign w:val="superscript"/>
          /&gt;
        </w:rPr>
        <w:t>]</w:t>
      </w:r>
      <w:r>
        <w:t>。有研究表明在人胆管癌细胞，COX-2</w:t>
      </w:r>
      <w:r/>
      <w:r w:rsidR="001852F3">
        <w:t xml:space="preserve">衍生的前列腺素</w:t>
      </w:r>
      <w:r>
        <w:t>E2</w:t>
      </w:r>
      <w:r/>
      <w:r w:rsidR="001852F3">
        <w:t xml:space="preserve">激活</w:t>
      </w:r>
      <w:r>
        <w:t>β–catenin</w:t>
      </w:r>
      <w:r>
        <w:rPr>
          <w:vertAlign w:val="superscript"/>
          /&gt;
        </w:rPr>
        <w:t>[</w:t>
      </w:r>
      <w:r>
        <w:rPr>
          <w:color w:val="080000"/>
          <w:vertAlign w:val="superscript"/>
          <w:position w:val="12"/>
        </w:rPr>
        <w:t xml:space="preserve">40</w:t>
      </w:r>
      <w:r>
        <w:rPr>
          <w:vertAlign w:val="superscript"/>
          /&gt;
        </w:rPr>
        <w:t>]</w:t>
      </w:r>
      <w:r>
        <w:t>。因</w:t>
      </w:r>
      <w:r>
        <w:t>此我们猜想在</w:t>
      </w:r>
      <w:r>
        <w:t>HepG2</w:t>
      </w:r>
      <w:r>
        <w:t>/</w:t>
      </w:r>
      <w:r>
        <w:t>HBx</w:t>
      </w:r>
      <w:r/>
      <w:r w:rsidR="001852F3">
        <w:t xml:space="preserve">细胞中，增高的</w:t>
      </w:r>
      <w:r>
        <w:t>COX-2</w:t>
      </w:r>
      <w:r/>
      <w:r w:rsidR="001852F3">
        <w:t xml:space="preserve">能否激活</w:t>
      </w:r>
      <w:r>
        <w:t>β–catenin</w:t>
      </w:r>
      <w:r/>
      <w:r w:rsidR="001852F3">
        <w:t xml:space="preserve">信号通路，</w:t>
      </w:r>
      <w:r w:rsidR="001852F3">
        <w:t xml:space="preserve">它们二者是否在引起肝癌的发生、发展中有交集呢？</w:t>
      </w:r>
    </w:p>
    <w:p w:rsidR="0018722C">
      <w:pPr>
        <w:topLinePunct/>
      </w:pPr>
      <w:r>
        <w:t>此部分实验我们将通过</w:t>
      </w:r>
      <w:r>
        <w:t>RT-PCR</w:t>
      </w:r>
      <w:r/>
      <w:r w:rsidR="001852F3">
        <w:t xml:space="preserve">与</w:t>
      </w:r>
      <w:r>
        <w:t>Western blot</w:t>
      </w:r>
      <w:r/>
      <w:r w:rsidR="001852F3">
        <w:t xml:space="preserve">测定</w:t>
      </w:r>
      <w:r>
        <w:t>β–catenin</w:t>
      </w:r>
      <w:r/>
      <w:r w:rsidR="001852F3">
        <w:t xml:space="preserve">的</w:t>
      </w:r>
      <w:r>
        <w:t>mRNA</w:t>
      </w:r>
      <w:r/>
      <w:r w:rsidR="001852F3">
        <w:t xml:space="preserve">与</w:t>
      </w:r>
      <w:r>
        <w:t>蛋白表达水平、</w:t>
      </w:r>
      <w:r>
        <w:t>RT-PCR</w:t>
      </w:r>
      <w:r/>
      <w:r w:rsidR="001852F3">
        <w:t xml:space="preserve">法初步探讨</w:t>
      </w:r>
      <w:r>
        <w:t>β–catenin</w:t>
      </w:r>
      <w:r/>
      <w:r w:rsidR="001852F3">
        <w:t xml:space="preserve">的目标基因</w:t>
      </w:r>
      <w:r>
        <w:t>cyclin-D1</w:t>
      </w:r>
      <w:r/>
      <w:r w:rsidR="001852F3">
        <w:t xml:space="preserve">以及</w:t>
      </w:r>
      <w:r>
        <w:t>c-myc</w:t>
      </w:r>
      <w:r>
        <w:t>的</w:t>
      </w:r>
      <w:r>
        <w:t>mRNA</w:t>
      </w:r>
      <w:r/>
      <w:r w:rsidR="001852F3">
        <w:t xml:space="preserve">表达水平、</w:t>
      </w:r>
      <w:r>
        <w:t>CCK-8</w:t>
      </w:r>
      <w:r/>
      <w:r w:rsidR="001852F3">
        <w:t xml:space="preserve">试验观察细胞的增殖水平。然后加入</w:t>
      </w:r>
      <w:r>
        <w:t>COX-2</w:t>
      </w:r>
      <w:r/>
      <w:r w:rsidR="001852F3">
        <w:t xml:space="preserve">抑制剂</w:t>
      </w:r>
      <w:r>
        <w:t>(</w:t>
      </w:r>
      <w:r>
        <w:t xml:space="preserve">NS-398</w:t>
      </w:r>
      <w:r>
        <w:t>)</w:t>
      </w:r>
      <w:r>
        <w:t>测定</w:t>
      </w:r>
      <w:r>
        <w:t>β–catenin</w:t>
      </w:r>
      <w:r/>
      <w:r w:rsidR="001852F3">
        <w:t xml:space="preserve">的蛋白表达水平，从而探索</w:t>
      </w:r>
      <w:r>
        <w:t>COX-2</w:t>
      </w:r>
      <w:r/>
      <w:r w:rsidR="001852F3">
        <w:t xml:space="preserve">与</w:t>
      </w:r>
      <w:r>
        <w:t>β–catenin</w:t>
      </w:r>
      <w:r/>
      <w:r w:rsidR="001852F3">
        <w:t xml:space="preserve">的关系；接</w:t>
      </w:r>
      <w:r>
        <w:t>着加入</w:t>
      </w:r>
      <w:r w:rsidR="001852F3">
        <w:t xml:space="preserve">β</w:t>
      </w:r>
      <w:r>
        <w:t>–catenin</w:t>
      </w:r>
      <w:r/>
      <w:r w:rsidR="001852F3">
        <w:t xml:space="preserve">的抑制剂</w:t>
      </w:r>
      <w:r>
        <w:t>（</w:t>
      </w:r>
      <w:r>
        <w:t>XAV93</w:t>
      </w:r>
      <w:r>
        <w:rPr>
          <w:spacing w:val="1"/>
        </w:rPr>
        <w:t>9</w:t>
      </w:r>
      <w:r>
        <w:t>）</w:t>
      </w:r>
      <w:r>
        <w:t>，观察细胞增殖能力的改变，从而探</w:t>
      </w:r>
      <w:r>
        <w:t>讨</w:t>
      </w:r>
    </w:p>
    <w:p w:rsidR="0018722C">
      <w:pPr>
        <w:topLinePunct/>
      </w:pPr>
      <w:r>
        <w:t>β–catenin</w:t>
      </w:r>
      <w:r w:rsidR="001852F3">
        <w:t xml:space="preserve">信号通路在</w:t>
      </w:r>
      <w:r w:rsidR="001852F3">
        <w:t xml:space="preserve">HBx</w:t>
      </w:r>
      <w:r w:rsidR="001852F3">
        <w:t xml:space="preserve">致肝癌细胞增殖中的作用。</w:t>
      </w:r>
    </w:p>
    <w:p w:rsidR="0018722C">
      <w:pPr>
        <w:pStyle w:val="Heading2"/>
        <w:topLinePunct/>
        <w:ind w:left="171" w:hangingChars="171" w:hanging="171"/>
      </w:pPr>
      <w:bookmarkStart w:id="707275" w:name="_Toc686707275"/>
      <w:bookmarkStart w:name="二 实验材料与实验仪器 " w:id="35"/>
      <w:bookmarkEnd w:id="35"/>
      <w:r>
        <w:t>二</w:t>
      </w:r>
      <w:r>
        <w:t xml:space="preserve"> </w:t>
      </w:r>
      <w:r w:rsidRPr="00DB64CE">
        <w:t>实验材料与实验仪器</w:t>
      </w:r>
      <w:bookmarkEnd w:id="707275"/>
    </w:p>
    <w:p w:rsidR="0018722C">
      <w:pPr>
        <w:pStyle w:val="Heading3"/>
        <w:topLinePunct/>
        <w:ind w:left="200" w:hangingChars="200" w:hanging="200"/>
      </w:pPr>
      <w:r>
        <w:rPr>
          <w:b/>
        </w:rPr>
        <w:t>1</w:t>
      </w:r>
      <w:r>
        <w:t xml:space="preserve"> </w:t>
      </w:r>
      <w:r>
        <w:t>主要实验材料</w:t>
      </w:r>
    </w:p>
    <w:p w:rsidR="0018722C">
      <w:pPr>
        <w:topLinePunct/>
      </w:pPr>
      <w:r>
        <w:t>HepG2</w:t>
      </w:r>
      <w:r>
        <w:t>/</w:t>
      </w:r>
      <w:r>
        <w:t>HBx</w:t>
      </w:r>
      <w:r/>
      <w:r>
        <w:t>细胞</w:t>
      </w:r>
      <w:r w:rsidR="001852F3">
        <w:t>第一部分构建好的</w:t>
      </w:r>
    </w:p>
    <w:p w:rsidR="0018722C">
      <w:pPr>
        <w:pStyle w:val="BodyText"/>
        <w:tabs>
          <w:tab w:pos="4303" w:val="left" w:leader="none"/>
        </w:tabs>
        <w:spacing w:before="153"/>
        <w:ind w:leftChars="0" w:left="102"/>
        <w:topLinePunct/>
      </w:pPr>
      <w:r>
        <w:t>嘌呤霉素</w:t>
      </w:r>
      <w:r w:rsidRPr="00000000">
        <w:tab/>
        <w:t>Sigma</w:t>
      </w:r>
      <w:r>
        <w:rPr>
          <w:spacing w:val="-30"/>
        </w:rPr>
        <w:t> </w:t>
      </w:r>
      <w:r>
        <w:t>公司</w:t>
      </w:r>
    </w:p>
    <w:p w:rsidR="0018722C">
      <w:pPr>
        <w:topLinePunct/>
      </w:pPr>
      <w:r>
        <w:t>DMEM</w:t>
      </w:r>
      <w:r/>
      <w:r>
        <w:t>培养基</w:t>
      </w:r>
      <w:r w:rsidR="001852F3">
        <w:t>Hyclone</w:t>
      </w:r>
      <w:r/>
      <w:r>
        <w:t>公司</w:t>
      </w:r>
    </w:p>
    <w:p w:rsidR="0018722C">
      <w:pPr>
        <w:pStyle w:val="BodyText"/>
        <w:tabs>
          <w:tab w:pos="4303" w:val="left" w:leader="none"/>
        </w:tabs>
        <w:spacing w:before="153"/>
        <w:ind w:leftChars="0" w:left="102"/>
        <w:topLinePunct/>
      </w:pPr>
      <w:r>
        <w:t>胰蛋白酶</w:t>
      </w:r>
      <w:r w:rsidR="001852F3">
        <w:t>Invitrogen</w:t>
      </w:r>
      <w:r>
        <w:t>公司</w:t>
      </w:r>
    </w:p>
    <w:p w:rsidR="0018722C">
      <w:pPr>
        <w:pStyle w:val="BodyText"/>
        <w:tabs>
          <w:tab w:pos="4303" w:val="left" w:leader="none"/>
        </w:tabs>
        <w:spacing w:before="153"/>
        <w:ind w:leftChars="0" w:left="102"/>
        <w:topLinePunct/>
      </w:pPr>
      <w:r>
        <w:t>胎牛血清</w:t>
      </w:r>
      <w:r w:rsidR="001852F3">
        <w:t>Hyclone</w:t>
      </w:r>
      <w:r w:rsidR="001852F3">
        <w:t xml:space="preserve">公司</w:t>
      </w:r>
    </w:p>
    <w:p w:rsidR="0018722C">
      <w:pPr>
        <w:topLinePunct/>
      </w:pPr>
      <w:r>
        <w:t>TRizol</w:t>
      </w:r>
      <w:r/>
      <w:r>
        <w:t>试剂</w:t>
      </w:r>
      <w:r w:rsidR="001852F3">
        <w:t>Invitrogen</w:t>
      </w:r>
      <w:r w:rsidR="001852F3">
        <w:t xml:space="preserve">公司</w:t>
      </w:r>
    </w:p>
    <w:p w:rsidR="0018722C">
      <w:pPr>
        <w:topLinePunct/>
      </w:pPr>
      <w:r>
        <w:t>RT-PCR</w:t>
      </w:r>
      <w:r/>
      <w:r>
        <w:t>试剂盒</w:t>
      </w:r>
      <w:r w:rsidR="001852F3">
        <w:t>Thermo</w:t>
      </w:r>
      <w:r/>
      <w:r>
        <w:t>公司</w:t>
      </w:r>
    </w:p>
    <w:p w:rsidR="0018722C">
      <w:pPr>
        <w:topLinePunct/>
      </w:pPr>
      <w:r>
        <w:t>100bp DNA Ladder</w:t>
      </w:r>
      <w:r>
        <w:t>加拿大</w:t>
      </w:r>
      <w:r>
        <w:t>Fermentas</w:t>
      </w:r>
      <w:r/>
      <w:r w:rsidR="001852F3">
        <w:t xml:space="preserve">公司</w:t>
      </w:r>
    </w:p>
    <w:p w:rsidR="0018722C">
      <w:pPr>
        <w:topLinePunct/>
      </w:pPr>
      <w:r>
        <w:t>CCK-8</w:t>
      </w:r>
      <w:r>
        <w:t>日本</w:t>
      </w:r>
      <w:r>
        <w:t>DOJINDO</w:t>
      </w:r>
    </w:p>
    <w:p w:rsidR="0018722C">
      <w:pPr>
        <w:topLinePunct/>
      </w:pPr>
      <w:r>
        <w:t>NS-398</w:t>
      </w:r>
      <w:r w:rsidR="001852F3">
        <w:t>上海碧云天公司</w:t>
      </w:r>
    </w:p>
    <w:p w:rsidR="0018722C">
      <w:pPr>
        <w:topLinePunct/>
      </w:pPr>
      <w:r>
        <w:t>XAV939</w:t>
      </w:r>
      <w:r w:rsidRPr="00000000">
        <w:tab/>
      </w:r>
      <w:r>
        <w:rPr>
          <w:rFonts w:ascii="Arial" w:eastAsia="Arial"/>
        </w:rPr>
        <w:t>Selleck</w:t>
      </w:r>
      <w:r>
        <w:rPr>
          <w:rFonts w:ascii="Arial" w:eastAsia="Arial"/>
        </w:rPr>
        <w:t> </w:t>
      </w:r>
      <w:r>
        <w:rPr>
          <w:rFonts w:ascii="Arial" w:eastAsia="Arial"/>
        </w:rPr>
        <w:t>Chemicals</w:t>
      </w:r>
      <w:r>
        <w:t>公司</w:t>
      </w:r>
    </w:p>
    <w:p w:rsidR="0018722C">
      <w:pPr>
        <w:topLinePunct/>
      </w:pPr>
      <w:r>
        <w:t>抗小鼠</w:t>
      </w:r>
      <w:r>
        <w:t> </w:t>
      </w:r>
      <w:r>
        <w:rPr>
          <w:rFonts w:ascii="Arial" w:hAnsi="Arial" w:eastAsia="Arial"/>
        </w:rPr>
        <w:t>β–catenin</w:t>
      </w:r>
      <w:r>
        <w:rPr>
          <w:rFonts w:ascii="Arial" w:hAnsi="Arial" w:eastAsia="Arial"/>
        </w:rPr>
        <w:t> </w:t>
      </w:r>
      <w:r>
        <w:t>一抗</w:t>
      </w:r>
      <w:r w:rsidRPr="00000000">
        <w:tab/>
      </w:r>
      <w:r>
        <w:t>北京中杉金桥生物技术有限公司小鼠抗人β-actin</w:t>
      </w:r>
      <w:r>
        <w:t> </w:t>
      </w:r>
      <w:r>
        <w:t>单克隆抗体        北京中杉金桥生物技术有限公司兔抗小鼠二抗</w:t>
      </w:r>
      <w:r w:rsidRPr="00000000">
        <w:tab/>
      </w:r>
      <w:r>
        <w:t>北京中杉金桥生物技术有限公</w:t>
      </w:r>
      <w:r>
        <w:t>司</w:t>
      </w:r>
    </w:p>
    <w:p w:rsidR="0018722C">
      <w:pPr>
        <w:pStyle w:val="BodyText"/>
        <w:tabs>
          <w:tab w:pos="4423" w:val="left" w:leader="none"/>
        </w:tabs>
        <w:spacing w:before="45"/>
        <w:ind w:leftChars="0" w:left="102"/>
        <w:topLinePunct/>
      </w:pPr>
      <w:r>
        <w:t>抗体稀释液</w:t>
      </w:r>
      <w:r w:rsidR="001852F3">
        <w:t>上海碧云天公司</w:t>
      </w:r>
    </w:p>
    <w:p w:rsidR="0018722C">
      <w:pPr>
        <w:topLinePunct/>
      </w:pPr>
      <w:r>
        <w:t>BCA 蛋白定量试剂盒</w:t>
      </w:r>
      <w:r w:rsidRPr="00000000">
        <w:tab/>
      </w:r>
      <w:r>
        <w:t>碧云天生物科技有限公司哺乳动物细胞总蛋白抽提试剂         碧云天生物科技有限公司蛋白酶抑制剂购</w:t>
      </w:r>
      <w:r w:rsidRPr="00000000">
        <w:tab/>
      </w:r>
      <w:r>
        <w:t>碧云天生物科技有限公</w:t>
      </w:r>
      <w:r>
        <w:t>司</w:t>
      </w:r>
    </w:p>
    <w:p w:rsidR="0018722C">
      <w:pPr>
        <w:topLinePunct/>
      </w:pPr>
      <w:r>
        <w:t>蛋白印迹实验的</w:t>
      </w:r>
      <w:r/>
      <w:r>
        <w:t>ECL</w:t>
      </w:r>
      <w:r/>
      <w:r>
        <w:t>显色试剂</w:t>
      </w:r>
      <w:r w:rsidR="001852F3">
        <w:t>北京中杉金桥生物技术有限公司</w:t>
      </w:r>
    </w:p>
    <w:p w:rsidR="0018722C">
      <w:pPr>
        <w:pStyle w:val="Heading3"/>
        <w:topLinePunct/>
        <w:ind w:left="200" w:hangingChars="200" w:hanging="200"/>
      </w:pPr>
      <w:r>
        <w:rPr>
          <w:b/>
        </w:rPr>
        <w:t>2</w:t>
      </w:r>
      <w:r>
        <w:t xml:space="preserve"> </w:t>
      </w:r>
      <w:r>
        <w:t>主要实验仪器</w:t>
      </w:r>
    </w:p>
    <w:p w:rsidR="0018722C">
      <w:pPr>
        <w:topLinePunct/>
      </w:pPr>
      <w:r>
        <w:t>无菌洁净工作台</w:t>
      </w:r>
      <w:r w:rsidR="001852F3">
        <w:t>苏州净化设备有限公司</w:t>
      </w:r>
    </w:p>
    <w:p w:rsidR="0018722C">
      <w:pPr>
        <w:topLinePunct/>
      </w:pPr>
      <w:r>
        <w:t>PCR 仪 AB2720 型</w:t>
      </w:r>
      <w:r w:rsidRPr="00000000">
        <w:tab/>
        <w:t>美国 AB</w:t>
      </w:r>
      <w:r>
        <w:t> </w:t>
      </w:r>
      <w:r>
        <w:t>公司</w:t>
      </w:r>
    </w:p>
    <w:p w:rsidR="0018722C">
      <w:pPr>
        <w:topLinePunct/>
      </w:pPr>
      <w:r>
        <w:t>稳压稳流电泳仪</w:t>
      </w:r>
      <w:r w:rsidR="001852F3">
        <w:t xml:space="preserve">DYY-5</w:t>
      </w:r>
      <w:r/>
      <w:r>
        <w:t>型</w:t>
      </w:r>
      <w:r w:rsidR="001852F3">
        <w:t>北京六一仪器厂</w:t>
      </w:r>
    </w:p>
    <w:p w:rsidR="0018722C">
      <w:pPr>
        <w:topLinePunct/>
      </w:pPr>
      <w:r>
        <w:t>蛋白电泳及转印设备</w:t>
      </w:r>
      <w:r w:rsidR="001852F3">
        <w:t>美国</w:t>
      </w:r>
      <w:r w:rsidR="001852F3">
        <w:t xml:space="preserve">Bio-Rad</w:t>
      </w:r>
      <w:r w:rsidR="001852F3">
        <w:t xml:space="preserve">公司</w:t>
      </w:r>
    </w:p>
    <w:p w:rsidR="0018722C">
      <w:pPr>
        <w:topLinePunct/>
      </w:pPr>
      <w:r>
        <w:t>5430R</w:t>
      </w:r>
      <w:r/>
      <w:r>
        <w:t>小型高速多功能离心机</w:t>
      </w:r>
      <w:r w:rsidR="001852F3">
        <w:t>Eppendorf</w:t>
      </w:r>
      <w:r w:rsidR="001852F3">
        <w:t xml:space="preserve">公司</w:t>
      </w:r>
    </w:p>
    <w:p w:rsidR="0018722C">
      <w:pPr>
        <w:topLinePunct/>
      </w:pPr>
      <w:r>
        <w:t>5810R 台式高速大容量低温离心机</w:t>
      </w:r>
      <w:r w:rsidRPr="00000000">
        <w:tab/>
        <w:t>Eppendorf 公司倒置相差荧光显微镜 NIKON TE2000-U</w:t>
      </w:r>
      <w:r w:rsidRPr="00000000">
        <w:tab/>
        <w:t>尼康公司</w:t>
      </w:r>
    </w:p>
    <w:p w:rsidR="0018722C">
      <w:pPr>
        <w:topLinePunct/>
      </w:pPr>
      <w:r>
        <w:t>倒置显微镜</w:t>
      </w:r>
      <w:r>
        <w:t>（</w:t>
      </w:r>
      <w:r>
        <w:t>CK2</w:t>
      </w:r>
      <w:r/>
      <w:r>
        <w:t>型</w:t>
      </w:r>
      <w:r>
        <w:t>）</w:t>
      </w:r>
      <w:r w:rsidR="001852F3">
        <w:t>日本</w:t>
      </w:r>
      <w:r/>
      <w:r>
        <w:t>Olympus</w:t>
      </w:r>
      <w:r/>
      <w:r>
        <w:t>公司</w:t>
      </w:r>
    </w:p>
    <w:p w:rsidR="0018722C">
      <w:pPr>
        <w:topLinePunct/>
      </w:pPr>
      <w:r>
        <w:t>凝胶成像仪</w:t>
      </w:r>
      <w:r/>
      <w:r>
        <w:t>Tanon-2500</w:t>
      </w:r>
      <w:r w:rsidR="001852F3">
        <w:t>上海天能科技有限公司</w:t>
      </w:r>
    </w:p>
    <w:p w:rsidR="0018722C">
      <w:pPr>
        <w:topLinePunct/>
      </w:pPr>
      <w:r>
        <w:t>C0</w:t>
      </w:r>
      <w:r>
        <w:rPr>
          <w:vertAlign w:val="subscript"/>
          /&gt;
        </w:rPr>
        <w:t>2</w:t>
      </w:r>
      <w:r>
        <w:rPr>
          <w:vertAlign w:val="subscript"/>
          /&gt;
        </w:rPr>
        <w:t> </w:t>
      </w:r>
      <w:r>
        <w:t>培养箱</w:t>
      </w:r>
      <w:r>
        <w:t>(</w:t>
      </w:r>
      <w:r>
        <w:t>2300</w:t>
      </w:r>
      <w:r>
        <w:t> </w:t>
      </w:r>
      <w:r>
        <w:t>型</w:t>
      </w:r>
      <w:r>
        <w:t>)</w:t>
      </w:r>
      <w:r w:rsidRPr="00000000">
        <w:tab/>
        <w:t>shelden</w:t>
      </w:r>
      <w:r>
        <w:t> </w:t>
      </w:r>
      <w:r>
        <w:t>公司 日立高性能超速离心机</w:t>
      </w:r>
      <w:r>
        <w:t> </w:t>
      </w:r>
      <w:r>
        <w:t>CP100WX</w:t>
      </w:r>
      <w:r w:rsidRPr="00000000">
        <w:tab/>
        <w:tab/>
        <w:t>Hitachi</w:t>
      </w:r>
      <w:r>
        <w:t> </w:t>
      </w:r>
      <w:r>
        <w:t>公司</w:t>
      </w:r>
    </w:p>
    <w:p w:rsidR="0018722C">
      <w:pPr>
        <w:topLinePunct/>
      </w:pPr>
      <w:r>
        <w:t>电热恒温水槽</w:t>
      </w:r>
      <w:r/>
      <w:r>
        <w:t>DK-8D</w:t>
      </w:r>
      <w:r w:rsidR="001852F3">
        <w:t>上海一恒科学仪器有限公司</w:t>
      </w:r>
    </w:p>
    <w:p w:rsidR="0018722C">
      <w:pPr>
        <w:topLinePunct/>
      </w:pPr>
      <w:r>
        <w:t>超低温冰箱</w:t>
      </w:r>
      <w:r>
        <w:t>（</w:t>
      </w:r>
      <w:r>
        <w:t>MDF-283E</w:t>
      </w:r>
      <w:r/>
      <w:r>
        <w:t>型</w:t>
      </w:r>
      <w:r>
        <w:t>）</w:t>
      </w:r>
      <w:r w:rsidR="001852F3">
        <w:t>日本三洋公司</w:t>
      </w:r>
    </w:p>
    <w:p w:rsidR="0018722C">
      <w:pPr>
        <w:pStyle w:val="BodyText"/>
        <w:tabs>
          <w:tab w:pos="4682" w:val="left" w:leader="none"/>
        </w:tabs>
        <w:spacing w:before="154"/>
        <w:ind w:leftChars="0" w:left="121"/>
        <w:topLinePunct/>
      </w:pPr>
      <w:r>
        <w:t>微量移液枪</w:t>
      </w:r>
      <w:r w:rsidR="001852F3">
        <w:t>Eppendorf</w:t>
      </w:r>
      <w:r>
        <w:t>公司</w:t>
      </w:r>
    </w:p>
    <w:p w:rsidR="0018722C">
      <w:pPr>
        <w:topLinePunct/>
      </w:pPr>
      <w:r>
        <w:t>AL104</w:t>
      </w:r>
      <w:r/>
      <w:r>
        <w:t>型电子称</w:t>
      </w:r>
      <w:r w:rsidR="001852F3">
        <w:t>英国</w:t>
      </w:r>
      <w:r/>
      <w:r>
        <w:t>Mettler toledo</w:t>
      </w:r>
      <w:r/>
      <w:r>
        <w:t>公司</w:t>
      </w:r>
    </w:p>
    <w:p w:rsidR="0018722C">
      <w:pPr>
        <w:topLinePunct/>
      </w:pPr>
      <w:r>
        <w:t>干燥箱</w:t>
      </w:r>
      <w:r/>
      <w:r>
        <w:t>UH-686-101A</w:t>
      </w:r>
      <w:r w:rsidR="001852F3">
        <w:t>上海实验仪器有限公司</w:t>
      </w:r>
      <w:r w:rsidR="001852F3">
        <w:t xml:space="preserve">Lab Shaker</w:t>
      </w:r>
      <w:r/>
      <w:r>
        <w:t>恒温摇床</w:t>
      </w:r>
      <w:r>
        <w:t>/</w:t>
      </w:r>
      <w:r>
        <w:t>振荡器</w:t>
      </w:r>
      <w:r>
        <w:t>（</w:t>
      </w:r>
      <w:r>
        <w:t>THZ-031</w:t>
      </w:r>
      <w:r>
        <w:t>）</w:t>
      </w:r>
      <w:r/>
      <w:r w:rsidR="001852F3">
        <w:t xml:space="preserve">上海博彩生物技术有限公司</w:t>
      </w:r>
      <w:bookmarkStart w:name="三 实验步骤 " w:id="36"/>
      <w:bookmarkEnd w:id="36"/>
      <w:r/>
      <w:r>
        <w:rPr>
          <w:b/>
        </w:rPr>
        <w:t>三</w:t>
      </w:r>
      <w:r>
        <w:rPr>
          <w:b/>
        </w:rPr>
        <w:t>实验步</w:t>
      </w:r>
      <w:r>
        <w:rPr>
          <w:b/>
        </w:rPr>
        <w:t>骤</w:t>
      </w:r>
    </w:p>
    <w:p w:rsidR="0018722C">
      <w:pPr>
        <w:pStyle w:val="Heading3"/>
        <w:topLinePunct/>
        <w:ind w:left="200" w:hangingChars="200" w:hanging="200"/>
      </w:pPr>
      <w:r>
        <w:rPr>
          <w:b/>
        </w:rPr>
        <w:t>1</w:t>
      </w:r>
      <w:r>
        <w:t xml:space="preserve"> </w:t>
      </w:r>
      <w:r>
        <w:rPr>
          <w:b/>
        </w:rPr>
        <w:t>RT-PCR</w:t>
      </w:r>
      <w:r w:rsidR="001852F3">
        <w:t xml:space="preserve">检测三组细胞内</w:t>
      </w:r>
      <w:r>
        <w:rPr>
          <w:b/>
        </w:rPr>
        <w:t>β–catenin</w:t>
      </w:r>
      <w:r>
        <w:rPr>
          <w:b/>
        </w:rPr>
        <w:t> </w:t>
      </w:r>
      <w:r>
        <w:rPr>
          <w:b/>
        </w:rPr>
        <w:t>mRNA</w:t>
      </w:r>
      <w:r w:rsidR="001852F3">
        <w:t xml:space="preserve">水平表达变化</w:t>
      </w:r>
    </w:p>
    <w:p w:rsidR="0018722C">
      <w:pPr>
        <w:pStyle w:val="Heading4"/>
        <w:topLinePunct/>
        <w:ind w:left="200" w:hangingChars="200" w:hanging="200"/>
      </w:pPr>
      <w:r>
        <w:rPr>
          <w:b/>
        </w:rPr>
        <w:t>1.1</w:t>
      </w:r>
      <w:r>
        <w:t xml:space="preserve"> </w:t>
      </w:r>
      <w:r>
        <w:rPr>
          <w:b/>
        </w:rPr>
        <w:t>RT</w:t>
      </w:r>
      <w:r w:rsidR="001852F3">
        <w:t xml:space="preserve">反应</w:t>
      </w:r>
    </w:p>
    <w:p w:rsidR="0018722C">
      <w:pPr>
        <w:topLinePunct/>
      </w:pPr>
      <w:r>
        <w:t>分别抽提对数生长期的目的基因组</w:t>
      </w:r>
      <w:r>
        <w:t>HepG2</w:t>
      </w:r>
      <w:r>
        <w:t>/</w:t>
      </w:r>
      <w:r>
        <w:t>HBx</w:t>
      </w:r>
      <w:r>
        <w:t>、空载对照组</w:t>
      </w:r>
      <w:r>
        <w:t>HepG2</w:t>
      </w:r>
      <w:r>
        <w:t>/</w:t>
      </w:r>
      <w:r>
        <w:t>mock</w:t>
      </w:r>
      <w:r>
        <w:t>、空</w:t>
      </w:r>
      <w:r>
        <w:t>白对照组</w:t>
      </w:r>
      <w:r>
        <w:t>HepG2</w:t>
      </w:r>
      <w:r/>
      <w:r w:rsidR="001852F3">
        <w:t xml:space="preserve">三组细胞总的</w:t>
      </w:r>
      <w:r>
        <w:t>RNA，</w:t>
      </w:r>
      <w:r>
        <w:t>逆转录为</w:t>
      </w:r>
      <w:r>
        <w:t>cDNA</w:t>
      </w:r>
      <w:r>
        <w:t>（</w:t>
      </w:r>
      <w:r>
        <w:t>实验方法同第一部分</w:t>
      </w:r>
      <w:r>
        <w:t>）</w:t>
      </w:r>
      <w:r>
        <w:t>。</w:t>
      </w:r>
    </w:p>
    <w:p w:rsidR="0018722C">
      <w:pPr>
        <w:pStyle w:val="Heading4"/>
        <w:topLinePunct/>
        <w:ind w:left="200" w:hangingChars="200" w:hanging="200"/>
      </w:pPr>
      <w:r>
        <w:rPr>
          <w:b/>
        </w:rPr>
        <w:t>1.2</w:t>
      </w:r>
      <w:r>
        <w:t xml:space="preserve"> </w:t>
      </w:r>
      <w:r>
        <w:rPr>
          <w:b/>
        </w:rPr>
        <w:t>PCR</w:t>
      </w:r>
      <w:r w:rsidR="001852F3">
        <w:t xml:space="preserve">反应</w:t>
      </w:r>
    </w:p>
    <w:p w:rsidR="0018722C">
      <w:pPr>
        <w:topLinePunct/>
      </w:pPr>
      <w:r>
        <w:t>以</w:t>
      </w:r>
      <w:r>
        <w:t>2μl</w:t>
      </w:r>
      <w:r/>
      <w:r w:rsidR="001852F3">
        <w:t xml:space="preserve">逆转录产物</w:t>
      </w:r>
      <w:r>
        <w:t>cDNA</w:t>
      </w:r>
      <w:r/>
      <w:r w:rsidR="001852F3">
        <w:t xml:space="preserve">作为扩增模板，并以</w:t>
      </w:r>
      <w:r>
        <w:t>β-actin</w:t>
      </w:r>
      <w:r/>
      <w:r w:rsidR="001852F3">
        <w:t xml:space="preserve">为内参扩增</w:t>
      </w:r>
      <w:r>
        <w:rPr>
          <w:rFonts w:ascii="Arial" w:hAnsi="Arial" w:eastAsia="Arial"/>
        </w:rPr>
        <w:t>β–catenin</w:t>
      </w:r>
    </w:p>
    <w:p w:rsidR="0018722C">
      <w:pPr>
        <w:topLinePunct/>
      </w:pPr>
      <w:r>
        <w:t>基因片段，引物由上海博尚生物技术有限公司合成，序列如下：</w:t>
      </w:r>
    </w:p>
    <w:p w:rsidR="0018722C">
      <w:pPr>
        <w:topLinePunct/>
      </w:pPr>
      <w:r>
        <w:rPr>
          <w:rFonts w:ascii="Arial" w:hAnsi="Arial" w:eastAsia="Arial"/>
        </w:rPr>
        <w:t>β–catenin</w:t>
      </w:r>
      <w:r>
        <w:t>（</w:t>
      </w:r>
      <w:r>
        <w:t xml:space="preserve">产物大小</w:t>
      </w:r>
      <w:r w:rsidR="001852F3">
        <w:t xml:space="preserve">533bp</w:t>
      </w:r>
      <w:r>
        <w:t>）</w:t>
      </w:r>
    </w:p>
    <w:p w:rsidR="0018722C">
      <w:pPr>
        <w:topLinePunct/>
      </w:pPr>
      <w:r>
        <w:t>上游引物：5′AAA TGG TTG CCT TGC TCA AC 3′</w:t>
      </w:r>
      <w:r w:rsidR="001852F3">
        <w:t xml:space="preserve">下游引物：5’TCA GCA CTC TGC TTG TGG TC 3</w:t>
      </w:r>
      <w:r>
        <w:t>'</w:t>
      </w:r>
    </w:p>
    <w:p w:rsidR="0018722C">
      <w:pPr>
        <w:topLinePunct/>
      </w:pPr>
      <w:r>
        <w:t>β-actin</w:t>
      </w:r>
      <w:r>
        <w:t>（</w:t>
      </w:r>
      <w:r>
        <w:t>产物大小</w:t>
      </w:r>
      <w:r w:rsidR="001852F3">
        <w:t xml:space="preserve">600bp</w:t>
      </w:r>
      <w:r>
        <w:t>）</w:t>
      </w:r>
    </w:p>
    <w:p w:rsidR="0018722C">
      <w:pPr>
        <w:topLinePunct/>
      </w:pPr>
      <w:r>
        <w:t>上游引物：5′GGC ATC GTG ATG GAC TCC G 3′</w:t>
      </w:r>
      <w:r w:rsidR="001852F3">
        <w:t xml:space="preserve">下游引物：5′GCT GGA AGG TGG ACA GCG A 3′</w:t>
      </w:r>
    </w:p>
    <w:p w:rsidR="0018722C">
      <w:pPr>
        <w:topLinePunct/>
      </w:pPr>
      <w:r>
        <w:t>PCR</w:t>
      </w:r>
      <w:r w:rsidR="001852F3">
        <w:t xml:space="preserve">体系：</w:t>
      </w:r>
    </w:p>
    <w:tbl>
      <w:tblPr>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
        <w:gridCol w:w="1507"/>
        <w:gridCol w:w="1080"/>
        <w:gridCol w:w="2468"/>
      </w:tblGrid>
      <w:tr>
        <w:trPr>
          <w:trHeight w:val="320" w:hRule="atLeast"/>
        </w:trPr>
        <w:tc>
          <w:tcPr>
            <w:tcW w:w="98" w:type="dxa"/>
            <w:vMerge w:val="restart"/>
          </w:tcPr>
          <w:p w:rsidR="0018722C">
            <w:pPr>
              <w:topLinePunct/>
              <w:ind w:leftChars="0" w:left="0" w:rightChars="0" w:right="0" w:firstLineChars="0" w:firstLine="0"/>
              <w:spacing w:line="240" w:lineRule="atLeast"/>
            </w:pPr>
          </w:p>
        </w:tc>
        <w:tc>
          <w:tcPr>
            <w:tcW w:w="1507" w:type="dxa"/>
            <w:tcBorders>
              <w:bottom w:val="single" w:sz="34" w:space="0" w:color="000000"/>
            </w:tcBorders>
          </w:tcPr>
          <w:p w:rsidR="0018722C">
            <w:pPr>
              <w:topLinePunct/>
              <w:ind w:leftChars="0" w:left="0" w:rightChars="0" w:right="0" w:firstLineChars="0" w:firstLine="0"/>
              <w:spacing w:line="240" w:lineRule="atLeast"/>
            </w:pPr>
            <w:r>
              <w:t>试 剂</w:t>
            </w:r>
          </w:p>
        </w:tc>
        <w:tc>
          <w:tcPr>
            <w:tcW w:w="1080" w:type="dxa"/>
            <w:tcBorders>
              <w:bottom w:val="single" w:sz="34" w:space="0" w:color="000000"/>
            </w:tcBorders>
          </w:tcPr>
          <w:p w:rsidR="0018722C">
            <w:pPr>
              <w:topLinePunct/>
              <w:ind w:leftChars="0" w:left="0" w:rightChars="0" w:right="0" w:firstLineChars="0" w:firstLine="0"/>
              <w:spacing w:line="240" w:lineRule="atLeast"/>
            </w:pPr>
          </w:p>
        </w:tc>
        <w:tc>
          <w:tcPr>
            <w:tcW w:w="2468" w:type="dxa"/>
            <w:tcBorders>
              <w:bottom w:val="single" w:sz="34" w:space="0" w:color="000000"/>
            </w:tcBorders>
          </w:tcPr>
          <w:p w:rsidR="0018722C">
            <w:pPr>
              <w:topLinePunct/>
              <w:ind w:leftChars="0" w:left="0" w:rightChars="0" w:right="0" w:firstLineChars="0" w:firstLine="0"/>
              <w:spacing w:line="240" w:lineRule="atLeast"/>
            </w:pPr>
            <w:r>
              <w:t>体 积</w:t>
            </w:r>
            <w:r>
              <w:t>（</w:t>
            </w:r>
            <w:r>
              <w:t>μl</w:t>
            </w:r>
            <w:r>
              <w:t>）</w:t>
            </w:r>
          </w:p>
        </w:tc>
      </w:tr>
      <w:tr>
        <w:trPr>
          <w:trHeight w:val="40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Borders>
              <w:top w:val="single" w:sz="34" w:space="0" w:color="000000"/>
            </w:tcBorders>
          </w:tcPr>
          <w:p w:rsidR="0018722C">
            <w:pPr>
              <w:topLinePunct/>
              <w:ind w:leftChars="0" w:left="0" w:rightChars="0" w:right="0" w:firstLineChars="0" w:firstLine="0"/>
              <w:spacing w:line="240" w:lineRule="atLeast"/>
            </w:pPr>
            <w:r>
              <w:t>10³Buffer</w:t>
            </w:r>
          </w:p>
        </w:tc>
        <w:tc>
          <w:tcPr>
            <w:tcW w:w="1080" w:type="dxa"/>
            <w:tcBorders>
              <w:top w:val="single" w:sz="34" w:space="0" w:color="000000"/>
            </w:tcBorders>
          </w:tcPr>
          <w:p w:rsidR="0018722C">
            <w:pPr>
              <w:topLinePunct/>
              <w:ind w:leftChars="0" w:left="0" w:rightChars="0" w:right="0" w:firstLineChars="0" w:firstLine="0"/>
              <w:spacing w:line="240" w:lineRule="atLeast"/>
            </w:pPr>
          </w:p>
        </w:tc>
        <w:tc>
          <w:tcPr>
            <w:tcW w:w="2468" w:type="dxa"/>
            <w:tcBorders>
              <w:top w:val="single" w:sz="34" w:space="0" w:color="000000"/>
            </w:tcBorders>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Mgcl2</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D</w:t>
            </w:r>
            <w:r>
              <w:t>NTP MIX</w:t>
            </w:r>
            <w:r>
              <w:t>(</w:t>
            </w:r>
            <w:r>
              <w:t>10</w:t>
            </w:r>
          </w:p>
        </w:tc>
        <w:tc>
          <w:tcPr>
            <w:tcW w:w="1080" w:type="dxa"/>
          </w:tcPr>
          <w:p w:rsidR="0018722C">
            <w:pPr>
              <w:topLinePunct/>
              <w:ind w:leftChars="0" w:left="0" w:rightChars="0" w:right="0" w:firstLineChars="0" w:firstLine="0"/>
              <w:spacing w:line="240" w:lineRule="atLeast"/>
            </w:pPr>
            <w:r>
              <w:t>mM</w:t>
            </w:r>
            <w:r>
              <w:t>)</w:t>
            </w: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上游引物</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下游引物</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TaqDNA 酶</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0.5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cDNA</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2.0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无核酶水</w:t>
            </w:r>
          </w:p>
        </w:tc>
        <w:tc>
          <w:tcPr>
            <w:tcW w:w="1080" w:type="dxa"/>
          </w:tcPr>
          <w:p w:rsidR="0018722C">
            <w:pPr>
              <w:topLinePunct/>
              <w:ind w:leftChars="0" w:left="0" w:rightChars="0" w:right="0" w:firstLineChars="0" w:firstLine="0"/>
              <w:spacing w:line="240" w:lineRule="atLeast"/>
            </w:pPr>
          </w:p>
        </w:tc>
        <w:tc>
          <w:tcPr>
            <w:tcW w:w="2468" w:type="dxa"/>
          </w:tcPr>
          <w:p w:rsidR="0018722C">
            <w:pPr>
              <w:topLinePunct/>
              <w:ind w:leftChars="0" w:left="0" w:rightChars="0" w:right="0" w:firstLineChars="0" w:firstLine="0"/>
              <w:spacing w:line="240" w:lineRule="atLeast"/>
            </w:pPr>
            <w:r>
              <w:t>14.5</w:t>
            </w:r>
          </w:p>
        </w:tc>
      </w:tr>
      <w:tr>
        <w:trPr>
          <w:trHeight w:val="400" w:hRule="atLeast"/>
        </w:trPr>
        <w:tc>
          <w:tcPr>
            <w:tcW w:w="98" w:type="dxa"/>
            <w:tcBorders>
              <w:bottom w:val="single" w:sz="18" w:space="0" w:color="000000"/>
            </w:tcBorders>
          </w:tcPr>
          <w:p w:rsidR="0018722C">
            <w:pPr>
              <w:topLinePunct/>
              <w:ind w:leftChars="0" w:left="0" w:rightChars="0" w:right="0" w:firstLineChars="0" w:firstLine="0"/>
              <w:spacing w:line="240" w:lineRule="atLeast"/>
            </w:pPr>
          </w:p>
        </w:tc>
        <w:tc>
          <w:tcPr>
            <w:tcW w:w="1507" w:type="dxa"/>
            <w:tcBorders>
              <w:bottom w:val="single" w:sz="18" w:space="0" w:color="000000"/>
            </w:tcBorders>
          </w:tcPr>
          <w:p w:rsidR="0018722C">
            <w:pPr>
              <w:topLinePunct/>
              <w:ind w:leftChars="0" w:left="0" w:rightChars="0" w:right="0" w:firstLineChars="0" w:firstLine="0"/>
              <w:spacing w:line="240" w:lineRule="atLeast"/>
            </w:pPr>
            <w:r>
              <w:t>总体积</w:t>
            </w:r>
          </w:p>
        </w:tc>
        <w:tc>
          <w:tcPr>
            <w:tcW w:w="1080" w:type="dxa"/>
            <w:tcBorders>
              <w:bottom w:val="single" w:sz="18" w:space="0" w:color="000000"/>
            </w:tcBorders>
          </w:tcPr>
          <w:p w:rsidR="0018722C">
            <w:pPr>
              <w:topLinePunct/>
              <w:ind w:leftChars="0" w:left="0" w:rightChars="0" w:right="0" w:firstLineChars="0" w:firstLine="0"/>
              <w:spacing w:line="240" w:lineRule="atLeast"/>
            </w:pPr>
          </w:p>
        </w:tc>
        <w:tc>
          <w:tcPr>
            <w:tcW w:w="2468" w:type="dxa"/>
            <w:tcBorders>
              <w:bottom w:val="single" w:sz="18" w:space="0" w:color="000000"/>
            </w:tcBorders>
          </w:tcPr>
          <w:p w:rsidR="0018722C">
            <w:pPr>
              <w:topLinePunct/>
              <w:ind w:leftChars="0" w:left="0" w:rightChars="0" w:right="0" w:firstLineChars="0" w:firstLine="0"/>
              <w:spacing w:line="240" w:lineRule="atLeast"/>
            </w:pPr>
            <w:r>
              <w:t>25</w:t>
            </w:r>
          </w:p>
        </w:tc>
      </w:tr>
    </w:tbl>
    <w:p w:rsidR="0018722C">
      <w:pPr>
        <w:pStyle w:val="affa"/>
      </w:pPr>
    </w:p>
    <w:p w:rsidR="0018722C">
      <w:pPr>
        <w:topLinePunct/>
      </w:pPr>
      <w:r>
        <w:t>PCR</w:t>
      </w:r>
      <w:r/>
      <w:r w:rsidR="001852F3">
        <w:t xml:space="preserve">反应条件：</w:t>
      </w:r>
      <w:r>
        <w:t>94℃</w:t>
      </w:r>
      <w:r/>
      <w:r w:rsidR="001852F3">
        <w:t xml:space="preserve">预变性</w:t>
      </w:r>
      <w:r>
        <w:t>3min，94℃</w:t>
      </w:r>
      <w:r>
        <w:t>变性</w:t>
      </w:r>
      <w:r>
        <w:t>45s，58℃</w:t>
      </w:r>
      <w:r>
        <w:t>退火</w:t>
      </w:r>
      <w:r>
        <w:t>30s，72℃延伸1min，</w:t>
      </w:r>
      <w:r>
        <w:t>共</w:t>
      </w:r>
      <w:r>
        <w:t>30</w:t>
      </w:r>
      <w:r/>
      <w:r w:rsidR="001852F3">
        <w:t xml:space="preserve">个循环</w:t>
      </w:r>
      <w:r>
        <w:t>；72℃</w:t>
      </w:r>
      <w:r>
        <w:t>延伸</w:t>
      </w:r>
      <w:r>
        <w:t>7min。</w:t>
      </w:r>
    </w:p>
    <w:p w:rsidR="0018722C">
      <w:pPr>
        <w:pStyle w:val="Heading4"/>
        <w:topLinePunct/>
        <w:ind w:left="200" w:hangingChars="200" w:hanging="200"/>
      </w:pPr>
      <w:r>
        <w:rPr>
          <w:b/>
        </w:rPr>
        <w:t>1.3</w:t>
      </w:r>
      <w:r>
        <w:t xml:space="preserve"> </w:t>
      </w:r>
      <w:r>
        <w:t>产物电泳</w:t>
      </w:r>
    </w:p>
    <w:p w:rsidR="0018722C">
      <w:pPr>
        <w:topLinePunct/>
      </w:pPr>
      <w:r>
        <w:t>取</w:t>
      </w:r>
      <w:r>
        <w:t>8μlRT-PCR</w:t>
      </w:r>
      <w:r/>
      <w:r w:rsidR="001852F3">
        <w:t xml:space="preserve">产物与</w:t>
      </w:r>
      <w:r>
        <w:t>2μl</w:t>
      </w:r>
      <w:r/>
      <w:r w:rsidR="001852F3">
        <w:t xml:space="preserve">的</w:t>
      </w:r>
      <w:r>
        <w:t>5³Loading Buffer</w:t>
      </w:r>
      <w:r/>
      <w:r w:rsidR="001852F3">
        <w:t xml:space="preserve">混合均匀，加在</w:t>
      </w:r>
      <w:r>
        <w:t>12g</w:t>
      </w:r>
      <w:r>
        <w:t>/</w:t>
      </w:r>
      <w:r>
        <w:t>L</w:t>
      </w:r>
      <w:r/>
      <w:r w:rsidR="001852F3">
        <w:t xml:space="preserve">琼脂</w:t>
      </w:r>
      <w:r>
        <w:t>糖凝胶</w:t>
      </w:r>
      <w:r>
        <w:t>（</w:t>
      </w:r>
      <w:r>
        <w:rPr>
          <w:spacing w:val="1"/>
        </w:rPr>
        <w:t>含</w:t>
      </w:r>
      <w:r>
        <w:rPr>
          <w:spacing w:val="-3"/>
        </w:rPr>
        <w:t>0.5g</w:t>
      </w:r>
      <w:r>
        <w:rPr>
          <w:spacing w:val="-3"/>
        </w:rPr>
        <w:t>/</w:t>
      </w:r>
      <w:r>
        <w:rPr>
          <w:spacing w:val="-3"/>
        </w:rPr>
        <w:t>LGoodview</w:t>
      </w:r>
      <w:r>
        <w:t>）</w:t>
      </w:r>
      <w:r>
        <w:t>上进行电泳，电泳缓冲液为</w:t>
      </w:r>
      <w:r>
        <w:t>1³TBE</w:t>
      </w:r>
      <w:r>
        <w:t>，恒压电泳</w:t>
      </w:r>
      <w:r>
        <w:t>（</w:t>
      </w:r>
      <w:r>
        <w:t>100V</w:t>
      </w:r>
      <w:r>
        <w:t>）</w:t>
      </w:r>
    </w:p>
    <w:p w:rsidR="0018722C">
      <w:pPr>
        <w:topLinePunct/>
      </w:pPr>
      <w:r>
        <w:t>20min。在紫外光下自显影，经计算机扫描成像。</w:t>
      </w:r>
    </w:p>
    <w:p w:rsidR="0018722C">
      <w:pPr>
        <w:pStyle w:val="Heading4"/>
        <w:topLinePunct/>
        <w:ind w:left="200" w:hangingChars="200" w:hanging="200"/>
      </w:pPr>
      <w:r>
        <w:rPr>
          <w:b/>
        </w:rPr>
        <w:t>1.4</w:t>
      </w:r>
      <w:r>
        <w:t xml:space="preserve"> </w:t>
      </w:r>
      <w:r>
        <w:t>结果分析</w:t>
      </w:r>
    </w:p>
    <w:p w:rsidR="0018722C">
      <w:pPr>
        <w:topLinePunct/>
      </w:pPr>
      <w:r>
        <w:t>RT-PCR</w:t>
      </w:r>
      <w:r/>
      <w:r w:rsidR="001852F3">
        <w:t xml:space="preserve">凝胶电泳图片采用</w:t>
      </w:r>
      <w:r>
        <w:t>Image J</w:t>
      </w:r>
      <w:r/>
      <w:r w:rsidR="001852F3">
        <w:t xml:space="preserve">图像分析软件进行扫描分析，获得灰度值数据</w:t>
      </w:r>
      <w:r>
        <w:rPr>
          <w:rFonts w:hint="eastAsia"/>
        </w:rPr>
        <w:t>，</w:t>
      </w:r>
      <w:r>
        <w:t>经过内参照β-actin</w:t>
      </w:r>
      <w:r/>
      <w:r w:rsidR="001852F3">
        <w:t xml:space="preserve">条带灰度进行校正，校正灰度值以</w:t>
      </w:r>
      <w:r>
        <w:t>mean±SD</w:t>
      </w:r>
      <w:r/>
      <w:r w:rsidR="001852F3">
        <w:t xml:space="preserve">表示。</w:t>
      </w:r>
    </w:p>
    <w:p w:rsidR="0018722C">
      <w:pPr>
        <w:pStyle w:val="Heading3"/>
        <w:topLinePunct/>
        <w:ind w:left="200" w:hangingChars="200" w:hanging="200"/>
      </w:pPr>
      <w:r>
        <w:rPr>
          <w:b/>
        </w:rPr>
        <w:t>2</w:t>
      </w:r>
      <w:r>
        <w:t xml:space="preserve"> </w:t>
      </w:r>
      <w:r>
        <w:rPr>
          <w:b/>
        </w:rPr>
        <w:t>Western</w:t>
      </w:r>
      <w:r>
        <w:rPr>
          <w:b/>
        </w:rPr>
        <w:t> </w:t>
      </w:r>
      <w:r>
        <w:rPr>
          <w:b/>
        </w:rPr>
        <w:t>blot</w:t>
      </w:r>
      <w:r w:rsidR="001852F3">
        <w:t xml:space="preserve">检测三组细胞内</w:t>
      </w:r>
      <w:r>
        <w:rPr>
          <w:b/>
        </w:rPr>
        <w:t>β–catenin</w:t>
      </w:r>
      <w:r w:rsidR="001852F3">
        <w:t xml:space="preserve">蛋白表达水平</w:t>
      </w:r>
    </w:p>
    <w:p w:rsidR="0018722C">
      <w:pPr>
        <w:topLinePunct/>
      </w:pPr>
      <w:r>
        <w:t>（</w:t>
      </w:r>
      <w:r>
        <w:t>1</w:t>
      </w:r>
      <w:r>
        <w:t>）</w:t>
      </w:r>
      <w:r>
        <w:t>蛋白抽提、定量配平</w:t>
      </w:r>
      <w:r>
        <w:t>（</w:t>
      </w:r>
      <w:r>
        <w:t>方法同第一部分</w:t>
      </w:r>
      <w:r>
        <w:t>）</w:t>
      </w:r>
      <w:r>
        <w:t>。</w:t>
      </w:r>
    </w:p>
    <w:p w:rsidR="0018722C">
      <w:pPr>
        <w:topLinePunct/>
      </w:pPr>
      <w:r>
        <w:t>（</w:t>
      </w:r>
      <w:r>
        <w:t xml:space="preserve">2</w:t>
      </w:r>
      <w:r>
        <w:t>）</w:t>
      </w:r>
      <w:r>
        <w:t>然后进行</w:t>
      </w:r>
      <w:r w:rsidR="001852F3">
        <w:t xml:space="preserve">10％SDS-PAGE</w:t>
      </w:r>
      <w:r w:rsidR="001852F3">
        <w:t xml:space="preserve">电泳和蛋白印迹</w:t>
      </w:r>
      <w:r>
        <w:t>（</w:t>
      </w:r>
      <w:r>
        <w:t>方法同第一部分</w:t>
      </w:r>
      <w:r>
        <w:t>）</w:t>
      </w:r>
      <w:r>
        <w:t>。</w:t>
      </w:r>
    </w:p>
    <w:p w:rsidR="0018722C">
      <w:pPr>
        <w:topLinePunct/>
      </w:pPr>
      <w:r>
        <w:t>（</w:t>
      </w:r>
      <w:r>
        <w:t xml:space="preserve">3</w:t>
      </w:r>
      <w:r>
        <w:t>）</w:t>
      </w:r>
      <w:r>
        <w:t>用含有</w:t>
      </w:r>
      <w:r>
        <w:t>50g</w:t>
      </w:r>
      <w:r>
        <w:t>/</w:t>
      </w:r>
      <w:r>
        <w:t>L</w:t>
      </w:r>
      <w:r/>
      <w:r w:rsidR="001852F3">
        <w:t xml:space="preserve">脱脂奶粉的</w:t>
      </w:r>
      <w:r>
        <w:t>TBS-T</w:t>
      </w:r>
      <w:r/>
      <w:r w:rsidR="001852F3">
        <w:t xml:space="preserve">溶液封闭</w:t>
      </w:r>
      <w:r>
        <w:t>NC</w:t>
      </w:r>
      <w:r/>
      <w:r w:rsidR="001852F3">
        <w:t xml:space="preserve">膜</w:t>
      </w:r>
      <w:r>
        <w:t>1</w:t>
      </w:r>
      <w:r>
        <w:t> </w:t>
      </w:r>
      <w:r>
        <w:t>h</w:t>
      </w:r>
      <w:r>
        <w:t>，然后将含有相应条</w:t>
      </w:r>
      <w:r>
        <w:t>带的</w:t>
      </w:r>
      <w:r>
        <w:t>NC</w:t>
      </w:r>
      <w:r/>
      <w:r w:rsidR="001852F3">
        <w:t xml:space="preserve">膜分别与</w:t>
      </w:r>
      <w:r>
        <w:rPr>
          <w:rFonts w:ascii="Arial" w:hAnsi="Arial" w:eastAsia="Arial"/>
        </w:rPr>
        <w:t>β–catenin</w:t>
      </w:r>
      <w:r>
        <w:t>单克隆抗体</w:t>
      </w:r>
      <w:r>
        <w:t>（</w:t>
      </w:r>
      <w:r>
        <w:t>用抗体稀释液稀释至</w:t>
      </w:r>
      <w:r>
        <w:t>1</w:t>
      </w:r>
      <w:r>
        <w:t xml:space="preserve">: </w:t>
      </w:r>
      <w:r>
        <w:t>1000</w:t>
      </w:r>
      <w:r>
        <w:t>）</w:t>
      </w:r>
      <w:r>
        <w:t>及鼠抗人β-actin</w:t>
      </w:r>
      <w:r/>
      <w:r w:rsidR="001852F3">
        <w:t xml:space="preserve">单克隆抗体</w:t>
      </w:r>
      <w:r>
        <w:t>(</w:t>
      </w:r>
      <w:r>
        <w:t>1</w:t>
      </w:r>
      <w:r>
        <w:t xml:space="preserve">: </w:t>
      </w:r>
      <w:r>
        <w:t>1000</w:t>
      </w:r>
      <w:r>
        <w:t>)</w:t>
      </w:r>
      <w:r>
        <w:t>在</w:t>
      </w:r>
      <w:r>
        <w:t>4℃</w:t>
      </w:r>
      <w:r>
        <w:t>条件下孵育过夜，孵育后用</w:t>
      </w:r>
      <w:r>
        <w:t>TBST</w:t>
      </w:r>
      <w:r/>
      <w:r w:rsidR="001852F3">
        <w:t xml:space="preserve">洗涤</w:t>
      </w:r>
      <w:r>
        <w:t>3</w:t>
      </w:r>
      <w:r/>
      <w:r w:rsidR="001852F3">
        <w:t xml:space="preserve">次每</w:t>
      </w:r>
      <w:r>
        <w:t>次</w:t>
      </w:r>
      <w:r>
        <w:t>15min，洗涤后分别再与兔抗小鼠二抗</w:t>
      </w:r>
      <w:r>
        <w:t>(</w:t>
      </w:r>
      <w:r>
        <w:t>1</w:t>
      </w:r>
      <w:r>
        <w:t xml:space="preserve">: </w:t>
      </w:r>
      <w:r>
        <w:t>2500</w:t>
      </w:r>
      <w:r>
        <w:t>)</w:t>
      </w:r>
      <w:r>
        <w:t>作用</w:t>
      </w:r>
      <w:r>
        <w:t>1h。</w:t>
      </w:r>
    </w:p>
    <w:p w:rsidR="0018722C">
      <w:pPr>
        <w:topLinePunct/>
      </w:pPr>
      <w:r>
        <w:t>（</w:t>
      </w:r>
      <w:r>
        <w:t>4</w:t>
      </w:r>
      <w:r>
        <w:t>）</w:t>
      </w:r>
      <w:r>
        <w:t>经</w:t>
      </w:r>
      <w:r>
        <w:t>ECL</w:t>
      </w:r>
      <w:r/>
      <w:r w:rsidR="001852F3">
        <w:t xml:space="preserve">显影</w:t>
      </w:r>
      <w:r>
        <w:t>，western blot</w:t>
      </w:r>
      <w:r/>
      <w:r w:rsidR="001852F3">
        <w:t xml:space="preserve">图片采用</w:t>
      </w:r>
      <w:r>
        <w:t>Image J</w:t>
      </w:r>
      <w:r/>
      <w:r w:rsidR="001852F3">
        <w:t xml:space="preserve">图像分析软件进行扫描分</w:t>
      </w:r>
      <w:r>
        <w:t>析，获得灰度值数据</w:t>
      </w:r>
      <w:r>
        <w:rPr>
          <w:rFonts w:hint="eastAsia"/>
        </w:rPr>
        <w:t>，</w:t>
      </w:r>
      <w:r>
        <w:t>经过内参照</w:t>
      </w:r>
      <w:r>
        <w:t>β-actin</w:t>
      </w:r>
      <w:r/>
      <w:r w:rsidR="001852F3">
        <w:t xml:space="preserve">条带灰度进行校正，校正灰度值以</w:t>
      </w:r>
      <w:r>
        <w:t>mea</w:t>
      </w:r>
      <w:r>
        <w:t>n</w:t>
      </w:r>
    </w:p>
    <w:p w:rsidR="0018722C">
      <w:pPr>
        <w:topLinePunct/>
      </w:pPr>
      <w:r>
        <w:t>±SD</w:t>
      </w:r>
      <w:r w:rsidR="001852F3">
        <w:t xml:space="preserve">表示。</w:t>
      </w:r>
    </w:p>
    <w:p w:rsidR="0018722C">
      <w:pPr>
        <w:pStyle w:val="Heading3"/>
        <w:topLinePunct/>
        <w:ind w:left="200" w:hangingChars="200" w:hanging="200"/>
      </w:pPr>
      <w:r>
        <w:rPr>
          <w:b/>
        </w:rPr>
        <w:t>3</w:t>
      </w:r>
      <w:r>
        <w:t xml:space="preserve"> </w:t>
      </w:r>
      <w:r>
        <w:rPr>
          <w:b/>
        </w:rPr>
        <w:t>RT-PCR</w:t>
      </w:r>
      <w:r w:rsidR="001852F3">
        <w:t xml:space="preserve">检测三组细胞内</w:t>
      </w:r>
      <w:r>
        <w:rPr>
          <w:b/>
        </w:rPr>
        <w:t>cyclin-D1</w:t>
      </w:r>
      <w:r>
        <w:rPr>
          <w:b/>
        </w:rPr>
        <w:t> </w:t>
      </w:r>
      <w:r>
        <w:rPr>
          <w:b/>
        </w:rPr>
        <w:t>mRNA</w:t>
      </w:r>
      <w:r w:rsidR="001852F3">
        <w:t xml:space="preserve">水平表达变化</w:t>
      </w:r>
    </w:p>
    <w:p w:rsidR="0018722C">
      <w:pPr>
        <w:pStyle w:val="Heading4"/>
        <w:topLinePunct/>
        <w:ind w:left="200" w:hangingChars="200" w:hanging="200"/>
      </w:pPr>
      <w:r>
        <w:rPr>
          <w:b/>
        </w:rPr>
        <w:t>3.1</w:t>
      </w:r>
      <w:r>
        <w:t xml:space="preserve"> </w:t>
      </w:r>
      <w:r>
        <w:rPr>
          <w:b/>
        </w:rPr>
        <w:t>RT</w:t>
      </w:r>
      <w:r w:rsidR="001852F3">
        <w:t xml:space="preserve">反应</w:t>
      </w:r>
    </w:p>
    <w:p w:rsidR="0018722C">
      <w:pPr>
        <w:topLinePunct/>
      </w:pPr>
      <w:r>
        <w:t>分别抽提对数生长期的目的基因组</w:t>
      </w:r>
      <w:r>
        <w:t>HepG2</w:t>
      </w:r>
      <w:r>
        <w:t>/</w:t>
      </w:r>
      <w:r>
        <w:t>HBx</w:t>
      </w:r>
      <w:r>
        <w:t>、空载对照组</w:t>
      </w:r>
      <w:r>
        <w:t>HepG2</w:t>
      </w:r>
      <w:r>
        <w:t>/</w:t>
      </w:r>
      <w:r>
        <w:t>mock</w:t>
      </w:r>
      <w:r>
        <w:t>、空</w:t>
      </w:r>
      <w:r>
        <w:t>白对照组</w:t>
      </w:r>
      <w:r>
        <w:t>HepG2</w:t>
      </w:r>
      <w:r/>
      <w:r w:rsidR="001852F3">
        <w:t xml:space="preserve">三组细胞总的</w:t>
      </w:r>
      <w:r>
        <w:t>RNA，</w:t>
      </w:r>
      <w:r>
        <w:t>逆转录为</w:t>
      </w:r>
      <w:r>
        <w:t>cDNA</w:t>
      </w:r>
      <w:r>
        <w:t>（</w:t>
      </w:r>
      <w:r>
        <w:t>实验方法同第一部分</w:t>
      </w:r>
      <w:r>
        <w:t>）</w:t>
      </w:r>
      <w:r>
        <w:t>。</w:t>
      </w:r>
    </w:p>
    <w:p w:rsidR="0018722C">
      <w:pPr>
        <w:pStyle w:val="Heading4"/>
        <w:topLinePunct/>
        <w:ind w:left="200" w:hangingChars="200" w:hanging="200"/>
      </w:pPr>
      <w:r>
        <w:rPr>
          <w:b/>
        </w:rPr>
        <w:t>3.2</w:t>
      </w:r>
      <w:r>
        <w:t xml:space="preserve"> </w:t>
      </w:r>
      <w:r>
        <w:rPr>
          <w:b/>
        </w:rPr>
        <w:t>PCR</w:t>
      </w:r>
      <w:r w:rsidR="001852F3">
        <w:t xml:space="preserve">反应</w:t>
      </w:r>
    </w:p>
    <w:p w:rsidR="0018722C">
      <w:pPr>
        <w:topLinePunct/>
      </w:pPr>
      <w:r>
        <w:t>以</w:t>
      </w:r>
      <w:r>
        <w:t>2μl</w:t>
      </w:r>
      <w:r/>
      <w:r w:rsidR="001852F3">
        <w:t xml:space="preserve">逆转录产物</w:t>
      </w:r>
      <w:r>
        <w:t>cDNA</w:t>
      </w:r>
      <w:r/>
      <w:r w:rsidR="001852F3">
        <w:t xml:space="preserve">作为扩增模板，并以</w:t>
      </w:r>
      <w:r>
        <w:t>β-actin</w:t>
      </w:r>
      <w:r/>
      <w:r w:rsidR="001852F3">
        <w:t xml:space="preserve">为内参扩增</w:t>
      </w:r>
      <w:r>
        <w:t>cyclin-D1</w:t>
      </w:r>
      <w:r w:rsidR="001852F3">
        <w:t xml:space="preserve">基因片段，引物由上海博尚生物技术有限公司合成，序列如下：</w:t>
      </w:r>
    </w:p>
    <w:p w:rsidR="0018722C">
      <w:pPr>
        <w:topLinePunct/>
      </w:pPr>
      <w:r>
        <w:t>cyclin-D1</w:t>
      </w:r>
      <w:r>
        <w:t>（</w:t>
      </w:r>
      <w:r>
        <w:t>产物大小</w:t>
      </w:r>
      <w:r w:rsidR="001852F3">
        <w:t xml:space="preserve">416bp</w:t>
      </w:r>
      <w:r>
        <w:t>）</w:t>
      </w:r>
    </w:p>
    <w:p w:rsidR="0018722C">
      <w:pPr>
        <w:topLinePunct/>
      </w:pPr>
      <w:r>
        <w:t>上游引物：5′CTG CCG TCC ATG CGG AAG ATC 3′</w:t>
      </w:r>
      <w:r w:rsidR="001852F3">
        <w:t xml:space="preserve">下游引物：5’GTG GCA CAG AGG GCA ACG AAG 3</w:t>
      </w:r>
      <w:r>
        <w:t>'</w:t>
      </w:r>
    </w:p>
    <w:p w:rsidR="0018722C">
      <w:pPr>
        <w:topLinePunct/>
      </w:pPr>
      <w:r>
        <w:t>β-actin</w:t>
      </w:r>
      <w:r>
        <w:t>（</w:t>
      </w:r>
      <w:r>
        <w:t>产物大小</w:t>
      </w:r>
      <w:r w:rsidR="001852F3">
        <w:t xml:space="preserve">600bp</w:t>
      </w:r>
      <w:r>
        <w:t>）</w:t>
      </w:r>
    </w:p>
    <w:p w:rsidR="0018722C">
      <w:pPr>
        <w:topLinePunct/>
      </w:pPr>
      <w:r>
        <w:t>上游引物：5′GGC ATC GTG ATG GAC TCC G 3′</w:t>
      </w:r>
      <w:r w:rsidR="001852F3">
        <w:t xml:space="preserve">下游引物：5′GCT GGA AGG TGG ACA GCG A 3′</w:t>
      </w:r>
    </w:p>
    <w:p w:rsidR="0018722C">
      <w:pPr>
        <w:topLinePunct/>
      </w:pPr>
      <w:r>
        <w:t>PCR</w:t>
      </w:r>
      <w:r w:rsidR="001852F3">
        <w:t xml:space="preserve">体系：</w:t>
      </w:r>
    </w:p>
    <w:p w:rsidR="0018722C">
      <w:pPr>
        <w:topLinePunct/>
      </w:pPr>
      <w:r>
        <w:t>试</w:t>
      </w:r>
      <w:r w:rsidR="001852F3">
        <w:t xml:space="preserve">剂</w:t>
      </w:r>
      <w:r w:rsidR="001852F3">
        <w:t>体</w:t>
      </w:r>
      <w:r w:rsidR="001852F3">
        <w:t xml:space="preserve">积</w:t>
      </w:r>
      <w:r>
        <w:t>（</w:t>
      </w:r>
      <w:r>
        <w:t>μl</w:t>
      </w:r>
      <w:r>
        <w:t>）</w:t>
      </w:r>
    </w:p>
    <w:p w:rsidR="0018722C">
      <w:pPr>
        <w:rPr/>
        <w:topLinePunct/>
      </w:pPr>
    </w:p>
    <w:tbl>
      <w:tblPr>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
        <w:gridCol w:w="1507"/>
        <w:gridCol w:w="1170"/>
        <w:gridCol w:w="2378"/>
      </w:tblGrid>
      <w:tr>
        <w:trPr>
          <w:trHeight w:val="400" w:hRule="atLeast"/>
        </w:trPr>
        <w:tc>
          <w:tcPr>
            <w:tcW w:w="98" w:type="dxa"/>
            <w:vMerge w:val="restart"/>
          </w:tcPr>
          <w:p w:rsidR="0018722C">
            <w:pPr>
              <w:topLinePunct/>
              <w:ind w:leftChars="0" w:left="0" w:rightChars="0" w:right="0" w:firstLineChars="0" w:firstLine="0"/>
              <w:spacing w:line="240" w:lineRule="atLeast"/>
            </w:pPr>
          </w:p>
        </w:tc>
        <w:tc>
          <w:tcPr>
            <w:tcW w:w="1507" w:type="dxa"/>
            <w:tcBorders>
              <w:top w:val="single" w:sz="34" w:space="0" w:color="000000"/>
            </w:tcBorders>
          </w:tcPr>
          <w:p w:rsidR="0018722C">
            <w:pPr>
              <w:topLinePunct/>
              <w:ind w:leftChars="0" w:left="0" w:rightChars="0" w:right="0" w:firstLineChars="0" w:firstLine="0"/>
              <w:spacing w:line="240" w:lineRule="atLeast"/>
            </w:pPr>
            <w:r>
              <w:t>10³Buffer</w:t>
            </w:r>
          </w:p>
        </w:tc>
        <w:tc>
          <w:tcPr>
            <w:tcW w:w="1170" w:type="dxa"/>
            <w:tcBorders>
              <w:top w:val="single" w:sz="34" w:space="0" w:color="000000"/>
            </w:tcBorders>
          </w:tcPr>
          <w:p w:rsidR="0018722C">
            <w:pPr>
              <w:topLinePunct/>
              <w:ind w:leftChars="0" w:left="0" w:rightChars="0" w:right="0" w:firstLineChars="0" w:firstLine="0"/>
              <w:spacing w:line="240" w:lineRule="atLeast"/>
            </w:pPr>
          </w:p>
        </w:tc>
        <w:tc>
          <w:tcPr>
            <w:tcW w:w="2378" w:type="dxa"/>
            <w:tcBorders>
              <w:top w:val="single" w:sz="34" w:space="0" w:color="000000"/>
            </w:tcBorders>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Mgcl2</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2.5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D</w:t>
            </w:r>
            <w:r>
              <w:t>NTP MIX</w:t>
            </w:r>
            <w:r>
              <w:t>(</w:t>
            </w:r>
            <w:r>
              <w:t>10</w:t>
            </w:r>
          </w:p>
        </w:tc>
        <w:tc>
          <w:tcPr>
            <w:tcW w:w="1170" w:type="dxa"/>
          </w:tcPr>
          <w:p w:rsidR="0018722C">
            <w:pPr>
              <w:topLinePunct/>
              <w:ind w:leftChars="0" w:left="0" w:rightChars="0" w:right="0" w:firstLineChars="0" w:firstLine="0"/>
              <w:spacing w:line="240" w:lineRule="atLeast"/>
            </w:pPr>
            <w:r>
              <w:t>mM</w:t>
            </w:r>
            <w:r>
              <w:t>)</w:t>
            </w:r>
          </w:p>
        </w:tc>
        <w:tc>
          <w:tcPr>
            <w:tcW w:w="237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上游引物</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下游引物</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1.0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TaqDNA 酶</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0.5</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cDNA</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2.0</w:t>
            </w:r>
          </w:p>
        </w:tc>
      </w:tr>
      <w:tr>
        <w:trPr>
          <w:trHeight w:val="460" w:hRule="atLeast"/>
        </w:trPr>
        <w:tc>
          <w:tcPr>
            <w:tcW w:w="98" w:type="dxa"/>
            <w:vMerge/>
            <w:tcBorders>
              <w:top w:val="nil"/>
            </w:tcBorders>
          </w:tcPr>
          <w:p w:rsidR="0018722C">
            <w:pPr>
              <w:topLinePunct/>
              <w:ind w:leftChars="0" w:left="0" w:rightChars="0" w:right="0" w:firstLineChars="0" w:firstLine="0"/>
              <w:spacing w:line="240" w:lineRule="atLeast"/>
            </w:pPr>
          </w:p>
        </w:tc>
        <w:tc>
          <w:tcPr>
            <w:tcW w:w="1507" w:type="dxa"/>
          </w:tcPr>
          <w:p w:rsidR="0018722C">
            <w:pPr>
              <w:topLinePunct/>
              <w:ind w:leftChars="0" w:left="0" w:rightChars="0" w:right="0" w:firstLineChars="0" w:firstLine="0"/>
              <w:spacing w:line="240" w:lineRule="atLeast"/>
            </w:pPr>
            <w:r>
              <w:t>无核酶水</w:t>
            </w:r>
          </w:p>
        </w:tc>
        <w:tc>
          <w:tcPr>
            <w:tcW w:w="1170" w:type="dxa"/>
          </w:tcPr>
          <w:p w:rsidR="0018722C">
            <w:pPr>
              <w:topLinePunct/>
              <w:ind w:leftChars="0" w:left="0" w:rightChars="0" w:right="0" w:firstLineChars="0" w:firstLine="0"/>
              <w:spacing w:line="240" w:lineRule="atLeast"/>
            </w:pPr>
          </w:p>
        </w:tc>
        <w:tc>
          <w:tcPr>
            <w:tcW w:w="2378" w:type="dxa"/>
          </w:tcPr>
          <w:p w:rsidR="0018722C">
            <w:pPr>
              <w:topLinePunct/>
              <w:ind w:leftChars="0" w:left="0" w:rightChars="0" w:right="0" w:firstLineChars="0" w:firstLine="0"/>
              <w:spacing w:line="240" w:lineRule="atLeast"/>
            </w:pPr>
            <w:r>
              <w:t>14.5</w:t>
            </w:r>
          </w:p>
        </w:tc>
      </w:tr>
      <w:tr>
        <w:trPr>
          <w:trHeight w:val="400" w:hRule="atLeast"/>
        </w:trPr>
        <w:tc>
          <w:tcPr>
            <w:tcW w:w="98" w:type="dxa"/>
            <w:tcBorders>
              <w:bottom w:val="single" w:sz="18" w:space="0" w:color="000000"/>
            </w:tcBorders>
          </w:tcPr>
          <w:p w:rsidR="0018722C">
            <w:pPr>
              <w:topLinePunct/>
              <w:ind w:leftChars="0" w:left="0" w:rightChars="0" w:right="0" w:firstLineChars="0" w:firstLine="0"/>
              <w:spacing w:line="240" w:lineRule="atLeast"/>
            </w:pPr>
          </w:p>
        </w:tc>
        <w:tc>
          <w:tcPr>
            <w:tcW w:w="1507" w:type="dxa"/>
            <w:tcBorders>
              <w:bottom w:val="single" w:sz="18" w:space="0" w:color="000000"/>
            </w:tcBorders>
          </w:tcPr>
          <w:p w:rsidR="0018722C">
            <w:pPr>
              <w:topLinePunct/>
              <w:ind w:leftChars="0" w:left="0" w:rightChars="0" w:right="0" w:firstLineChars="0" w:firstLine="0"/>
              <w:spacing w:line="240" w:lineRule="atLeast"/>
            </w:pPr>
            <w:r>
              <w:t>总体积</w:t>
            </w:r>
          </w:p>
        </w:tc>
        <w:tc>
          <w:tcPr>
            <w:tcW w:w="1170" w:type="dxa"/>
            <w:tcBorders>
              <w:bottom w:val="single" w:sz="18" w:space="0" w:color="000000"/>
            </w:tcBorders>
          </w:tcPr>
          <w:p w:rsidR="0018722C">
            <w:pPr>
              <w:topLinePunct/>
              <w:ind w:leftChars="0" w:left="0" w:rightChars="0" w:right="0" w:firstLineChars="0" w:firstLine="0"/>
              <w:spacing w:line="240" w:lineRule="atLeast"/>
            </w:pPr>
          </w:p>
        </w:tc>
        <w:tc>
          <w:tcPr>
            <w:tcW w:w="2378" w:type="dxa"/>
            <w:tcBorders>
              <w:bottom w:val="single" w:sz="18" w:space="0" w:color="000000"/>
            </w:tcBorders>
          </w:tcPr>
          <w:p w:rsidR="0018722C">
            <w:pPr>
              <w:topLinePunct/>
              <w:ind w:leftChars="0" w:left="0" w:rightChars="0" w:right="0" w:firstLineChars="0" w:firstLine="0"/>
              <w:spacing w:line="240" w:lineRule="atLeast"/>
            </w:pPr>
            <w:r>
              <w:t>25</w:t>
            </w:r>
          </w:p>
        </w:tc>
      </w:tr>
    </w:tbl>
    <w:p w:rsidR="0018722C">
      <w:pPr>
        <w:pStyle w:val="affa"/>
      </w:pPr>
    </w:p>
    <w:p w:rsidR="0018722C">
      <w:pPr>
        <w:topLinePunct/>
      </w:pPr>
      <w:r>
        <w:t>PCR</w:t>
      </w:r>
      <w:r/>
      <w:r w:rsidR="001852F3">
        <w:t xml:space="preserve">反应条件：</w:t>
      </w:r>
      <w:r>
        <w:t>94℃</w:t>
      </w:r>
      <w:r/>
      <w:r w:rsidR="001852F3">
        <w:t xml:space="preserve">预变性</w:t>
      </w:r>
      <w:r>
        <w:t>3min，94℃</w:t>
      </w:r>
      <w:r>
        <w:t>变性</w:t>
      </w:r>
      <w:r>
        <w:t>45s，54℃</w:t>
      </w:r>
      <w:r>
        <w:t>退火</w:t>
      </w:r>
      <w:r>
        <w:t>30s，72℃延伸1min，</w:t>
      </w:r>
      <w:r>
        <w:t>共</w:t>
      </w:r>
      <w:r>
        <w:t>30</w:t>
      </w:r>
      <w:r/>
      <w:r w:rsidR="001852F3">
        <w:t xml:space="preserve">个循环</w:t>
      </w:r>
      <w:r>
        <w:t>；72℃</w:t>
      </w:r>
      <w:r>
        <w:t>延伸</w:t>
      </w:r>
      <w:r>
        <w:t>7min。</w:t>
      </w:r>
    </w:p>
    <w:p w:rsidR="0018722C">
      <w:pPr>
        <w:pStyle w:val="Heading4"/>
        <w:topLinePunct/>
        <w:ind w:left="200" w:hangingChars="200" w:hanging="200"/>
      </w:pPr>
      <w:r>
        <w:t>3.3</w:t>
      </w:r>
      <w:r>
        <w:t xml:space="preserve"> </w:t>
      </w:r>
      <w:r>
        <w:t>产物电泳与结果分析</w:t>
      </w:r>
      <w:r>
        <w:t>方法同前</w:t>
      </w:r>
    </w:p>
    <w:p w:rsidR="0018722C">
      <w:pPr>
        <w:pStyle w:val="Heading3"/>
        <w:topLinePunct/>
        <w:ind w:left="200" w:hangingChars="200" w:hanging="200"/>
      </w:pPr>
      <w:r>
        <w:rPr>
          <w:b/>
        </w:rPr>
        <w:t>4</w:t>
      </w:r>
      <w:r>
        <w:t xml:space="preserve"> </w:t>
      </w:r>
      <w:r>
        <w:rPr>
          <w:b/>
        </w:rPr>
        <w:t>RT-PCR</w:t>
      </w:r>
      <w:r w:rsidR="001852F3">
        <w:t xml:space="preserve">检测三组细胞内</w:t>
      </w:r>
      <w:r>
        <w:rPr>
          <w:b/>
        </w:rPr>
        <w:t>c-myc</w:t>
      </w:r>
      <w:r>
        <w:rPr>
          <w:b/>
        </w:rPr>
        <w:t> </w:t>
      </w:r>
      <w:r>
        <w:rPr>
          <w:b/>
        </w:rPr>
        <w:t>mRNA</w:t>
      </w:r>
      <w:r w:rsidR="001852F3">
        <w:t xml:space="preserve">水平表达变化</w:t>
      </w:r>
    </w:p>
    <w:p w:rsidR="0018722C">
      <w:pPr>
        <w:pStyle w:val="Heading4"/>
        <w:topLinePunct/>
        <w:ind w:left="200" w:hangingChars="200" w:hanging="200"/>
      </w:pPr>
      <w:r>
        <w:rPr>
          <w:b/>
        </w:rPr>
        <w:t>4.1</w:t>
      </w:r>
      <w:r>
        <w:t xml:space="preserve"> </w:t>
      </w:r>
      <w:r>
        <w:rPr>
          <w:b/>
        </w:rPr>
        <w:t>RT</w:t>
      </w:r>
      <w:r w:rsidR="001852F3">
        <w:t xml:space="preserve">反应</w:t>
      </w:r>
    </w:p>
    <w:p w:rsidR="0018722C">
      <w:pPr>
        <w:topLinePunct/>
      </w:pPr>
      <w:r>
        <w:t>分别抽提对数生长期的目的基因组</w:t>
      </w:r>
      <w:r>
        <w:t>HepG2</w:t>
      </w:r>
      <w:r>
        <w:t>/</w:t>
      </w:r>
      <w:r>
        <w:t>HBx</w:t>
      </w:r>
      <w:r>
        <w:t>、空载对照组</w:t>
      </w:r>
      <w:r>
        <w:t>HepG2</w:t>
      </w:r>
      <w:r>
        <w:t>/</w:t>
      </w:r>
      <w:r>
        <w:t>mock</w:t>
      </w:r>
      <w:r>
        <w:t>、空</w:t>
      </w:r>
      <w:r>
        <w:t>白对照组</w:t>
      </w:r>
      <w:r>
        <w:t>HepG2</w:t>
      </w:r>
      <w:r/>
      <w:r w:rsidR="001852F3">
        <w:t xml:space="preserve">三组细胞总的</w:t>
      </w:r>
      <w:r>
        <w:t>RNA，</w:t>
      </w:r>
      <w:r>
        <w:t>逆转录为</w:t>
      </w:r>
      <w:r>
        <w:t>cDNA</w:t>
      </w:r>
      <w:r>
        <w:t>（</w:t>
      </w:r>
      <w:r>
        <w:t>实验方法同第一部分</w:t>
      </w:r>
      <w:r>
        <w:t>）</w:t>
      </w:r>
      <w:r>
        <w:t>。</w:t>
      </w:r>
    </w:p>
    <w:p w:rsidR="0018722C">
      <w:pPr>
        <w:pStyle w:val="Heading4"/>
        <w:topLinePunct/>
        <w:ind w:left="200" w:hangingChars="200" w:hanging="200"/>
      </w:pPr>
      <w:r>
        <w:rPr>
          <w:b/>
        </w:rPr>
        <w:t>4.2</w:t>
      </w:r>
      <w:r>
        <w:t xml:space="preserve"> </w:t>
      </w:r>
      <w:r>
        <w:rPr>
          <w:b/>
        </w:rPr>
        <w:t>PCR</w:t>
      </w:r>
      <w:r w:rsidR="001852F3">
        <w:t xml:space="preserve">反应</w:t>
      </w:r>
    </w:p>
    <w:p w:rsidR="0018722C">
      <w:pPr>
        <w:topLinePunct/>
      </w:pPr>
      <w:r>
        <w:t>以</w:t>
      </w:r>
      <w:r>
        <w:t>2μl</w:t>
      </w:r>
      <w:r/>
      <w:r w:rsidR="001852F3">
        <w:t xml:space="preserve">逆转录产物</w:t>
      </w:r>
      <w:r>
        <w:t>cDNA</w:t>
      </w:r>
      <w:r/>
      <w:r w:rsidR="001852F3">
        <w:t xml:space="preserve">作为扩增模板，并以</w:t>
      </w:r>
      <w:r>
        <w:t>β-actin</w:t>
      </w:r>
      <w:r/>
      <w:r w:rsidR="001852F3">
        <w:t xml:space="preserve">为内参扩增</w:t>
      </w:r>
      <w:r>
        <w:t>cyclin-D1</w:t>
      </w:r>
      <w:r w:rsidR="001852F3">
        <w:t xml:space="preserve">基因片段，引物由上海博尚生物技术有限公司合成，序列如下：</w:t>
      </w:r>
    </w:p>
    <w:p w:rsidR="0018722C">
      <w:pPr>
        <w:topLinePunct/>
      </w:pPr>
      <w:r>
        <w:t>c-myc</w:t>
      </w:r>
      <w:r>
        <w:t>（</w:t>
      </w:r>
      <w:r>
        <w:t>产物大小</w:t>
      </w:r>
      <w:r w:rsidR="001852F3">
        <w:t xml:space="preserve">203bp</w:t>
      </w:r>
      <w:r>
        <w:t>）</w:t>
      </w:r>
    </w:p>
    <w:p w:rsidR="0018722C">
      <w:pPr>
        <w:topLinePunct/>
      </w:pPr>
      <w:r>
        <w:t>上游引物：5′TTC</w:t>
      </w:r>
      <w:r>
        <w:t> </w:t>
      </w:r>
      <w:r>
        <w:t>GGG</w:t>
      </w:r>
      <w:r>
        <w:t> </w:t>
      </w:r>
      <w:r>
        <w:t>TAG</w:t>
      </w:r>
      <w:r>
        <w:t> </w:t>
      </w:r>
      <w:r>
        <w:t>TGG</w:t>
      </w:r>
      <w:r>
        <w:t> </w:t>
      </w:r>
      <w:r>
        <w:t>AAA</w:t>
      </w:r>
      <w:r>
        <w:t> </w:t>
      </w:r>
      <w:r>
        <w:t>ACA</w:t>
      </w:r>
      <w:r>
        <w:t> </w:t>
      </w:r>
      <w:r>
        <w:t>G</w:t>
      </w:r>
      <w:r>
        <w:t> </w:t>
      </w:r>
      <w:r>
        <w:t>3′</w:t>
      </w:r>
      <w:r w:rsidR="001852F3">
        <w:t xml:space="preserve">下游引物：5’</w:t>
      </w:r>
      <w:r w:rsidR="001852F3">
        <w:t xml:space="preserve">CAG CAG CTC GAA TTT CTT CC 3</w:t>
      </w:r>
      <w:r>
        <w:t>'</w:t>
      </w:r>
    </w:p>
    <w:p w:rsidR="0018722C">
      <w:pPr>
        <w:topLinePunct/>
      </w:pPr>
      <w:r>
        <w:t>β-actin</w:t>
      </w:r>
      <w:r>
        <w:t>（</w:t>
      </w:r>
      <w:r>
        <w:t>产物大小</w:t>
      </w:r>
      <w:r w:rsidR="001852F3">
        <w:t xml:space="preserve">600bp</w:t>
      </w:r>
      <w:r>
        <w:t>）</w:t>
      </w:r>
    </w:p>
    <w:p w:rsidR="0018722C">
      <w:pPr>
        <w:topLinePunct/>
      </w:pPr>
      <w:r>
        <w:t>上游引物：5′GGC ATC GTG ATG GAC TCC G 3′</w:t>
      </w:r>
      <w:r w:rsidR="001852F3">
        <w:t xml:space="preserve">下游引物：5′GCT GGA AGG TGG ACA GCG A 3′</w:t>
      </w:r>
    </w:p>
    <w:p w:rsidR="0018722C">
      <w:pPr>
        <w:topLinePunct/>
      </w:pPr>
      <w:r>
        <w:t>PCR</w:t>
      </w:r>
      <w:r w:rsidR="001852F3">
        <w:t xml:space="preserve">体系：</w:t>
      </w:r>
    </w:p>
    <w:p w:rsidR="0018722C">
      <w:pPr>
        <w:topLinePunct/>
      </w:pPr>
      <w:r>
        <w:t>试</w:t>
      </w:r>
      <w:r w:rsidR="001852F3">
        <w:t xml:space="preserve">剂</w:t>
      </w:r>
      <w:r w:rsidR="001852F3">
        <w:t>体</w:t>
      </w:r>
      <w:r w:rsidR="001852F3">
        <w:t xml:space="preserve">积</w:t>
      </w:r>
      <w:r>
        <w:t>（</w:t>
      </w:r>
      <w:r>
        <w:t>μl</w:t>
      </w:r>
      <w:r>
        <w:t>）</w:t>
      </w:r>
    </w:p>
    <w:p w:rsidR="0018722C">
      <w:pPr>
        <w:pStyle w:val="ae"/>
        <w:topLinePunct/>
      </w:pPr>
      <w:r>
        <w:pict>
          <v:line style="position:absolute;mso-position-horizontal-relative:page;mso-position-vertical-relative:paragraph;z-index:1576" from="121.849998pt,7.055629pt" to="372.949998pt,5.805629pt" stroked="true" strokeweight="2.25pt" strokecolor="#000000">
            <v:stroke dashstyle="solid"/>
            <w10:wrap type="none"/>
          </v:line>
        </w:pict>
      </w:r>
      <w:r>
        <w:rPr>
          <w:w w:val="110"/>
        </w:rPr>
        <w:t>10³Buffer</w:t>
      </w:r>
      <w:r w:rsidRPr="00000000">
        <w:tab/>
        <w:t>2.5</w:t>
      </w:r>
    </w:p>
    <w:p w:rsidR="0018722C">
      <w:pPr>
        <w:rPr/>
        <w:topLinePunct/>
      </w:pPr>
    </w:p>
    <w:tbl>
      <w:tblPr>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170"/>
        <w:gridCol w:w="2367"/>
      </w:tblGrid>
      <w:tr>
        <w:trPr>
          <w:trHeight w:val="340" w:hRule="atLeast"/>
        </w:trPr>
        <w:tc>
          <w:tcPr>
            <w:tcW w:w="1606" w:type="dxa"/>
          </w:tcPr>
          <w:p w:rsidR="0018722C">
            <w:pPr>
              <w:topLinePunct/>
              <w:ind w:leftChars="0" w:left="0" w:rightChars="0" w:right="0" w:firstLineChars="0" w:firstLine="0"/>
              <w:spacing w:line="240" w:lineRule="atLeast"/>
            </w:pPr>
            <w:r>
              <w:t>Mgcl2</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2.5</w:t>
            </w:r>
          </w:p>
        </w:tc>
      </w:tr>
      <w:tr>
        <w:trPr>
          <w:trHeight w:val="460" w:hRule="atLeast"/>
        </w:trPr>
        <w:tc>
          <w:tcPr>
            <w:tcW w:w="1606" w:type="dxa"/>
          </w:tcPr>
          <w:p w:rsidR="0018722C">
            <w:pPr>
              <w:topLinePunct/>
              <w:ind w:leftChars="0" w:left="0" w:rightChars="0" w:right="0" w:firstLineChars="0" w:firstLine="0"/>
              <w:spacing w:line="240" w:lineRule="atLeast"/>
            </w:pPr>
            <w:r>
              <w:t>D</w:t>
            </w:r>
            <w:r>
              <w:t>NTP MIX</w:t>
            </w:r>
            <w:r>
              <w:t>(</w:t>
            </w:r>
            <w:r>
              <w:t>10</w:t>
            </w:r>
          </w:p>
        </w:tc>
        <w:tc>
          <w:tcPr>
            <w:tcW w:w="1170" w:type="dxa"/>
          </w:tcPr>
          <w:p w:rsidR="0018722C">
            <w:pPr>
              <w:topLinePunct/>
              <w:ind w:leftChars="0" w:left="0" w:rightChars="0" w:right="0" w:firstLineChars="0" w:firstLine="0"/>
              <w:spacing w:line="240" w:lineRule="atLeast"/>
            </w:pPr>
            <w:r>
              <w:t>mM</w:t>
            </w:r>
            <w:r>
              <w:t>)</w:t>
            </w:r>
          </w:p>
        </w:tc>
        <w:tc>
          <w:tcPr>
            <w:tcW w:w="2367" w:type="dxa"/>
          </w:tcPr>
          <w:p w:rsidR="0018722C">
            <w:pPr>
              <w:topLinePunct/>
              <w:ind w:leftChars="0" w:left="0" w:rightChars="0" w:right="0" w:firstLineChars="0" w:firstLine="0"/>
              <w:spacing w:line="240" w:lineRule="atLeast"/>
            </w:pPr>
            <w:r>
              <w:t>1.0</w:t>
            </w:r>
          </w:p>
        </w:tc>
      </w:tr>
      <w:tr>
        <w:trPr>
          <w:trHeight w:val="460" w:hRule="atLeast"/>
        </w:trPr>
        <w:tc>
          <w:tcPr>
            <w:tcW w:w="1606" w:type="dxa"/>
          </w:tcPr>
          <w:p w:rsidR="0018722C">
            <w:pPr>
              <w:topLinePunct/>
              <w:ind w:leftChars="0" w:left="0" w:rightChars="0" w:right="0" w:firstLineChars="0" w:firstLine="0"/>
              <w:spacing w:line="240" w:lineRule="atLeast"/>
            </w:pPr>
            <w:r>
              <w:t>上游引物</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1.0</w:t>
            </w:r>
          </w:p>
        </w:tc>
      </w:tr>
      <w:tr>
        <w:trPr>
          <w:trHeight w:val="460" w:hRule="atLeast"/>
        </w:trPr>
        <w:tc>
          <w:tcPr>
            <w:tcW w:w="1606" w:type="dxa"/>
          </w:tcPr>
          <w:p w:rsidR="0018722C">
            <w:pPr>
              <w:topLinePunct/>
              <w:ind w:leftChars="0" w:left="0" w:rightChars="0" w:right="0" w:firstLineChars="0" w:firstLine="0"/>
              <w:spacing w:line="240" w:lineRule="atLeast"/>
            </w:pPr>
            <w:r>
              <w:t>下游引物</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1.0</w:t>
            </w:r>
          </w:p>
        </w:tc>
      </w:tr>
      <w:tr>
        <w:trPr>
          <w:trHeight w:val="460" w:hRule="atLeast"/>
        </w:trPr>
        <w:tc>
          <w:tcPr>
            <w:tcW w:w="1606" w:type="dxa"/>
          </w:tcPr>
          <w:p w:rsidR="0018722C">
            <w:pPr>
              <w:topLinePunct/>
              <w:ind w:leftChars="0" w:left="0" w:rightChars="0" w:right="0" w:firstLineChars="0" w:firstLine="0"/>
              <w:spacing w:line="240" w:lineRule="atLeast"/>
            </w:pPr>
            <w:r>
              <w:t>TaqDNA 酶</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0.5</w:t>
            </w:r>
          </w:p>
        </w:tc>
      </w:tr>
      <w:tr>
        <w:trPr>
          <w:trHeight w:val="460" w:hRule="atLeast"/>
        </w:trPr>
        <w:tc>
          <w:tcPr>
            <w:tcW w:w="1606" w:type="dxa"/>
          </w:tcPr>
          <w:p w:rsidR="0018722C">
            <w:pPr>
              <w:topLinePunct/>
              <w:ind w:leftChars="0" w:left="0" w:rightChars="0" w:right="0" w:firstLineChars="0" w:firstLine="0"/>
              <w:spacing w:line="240" w:lineRule="atLeast"/>
            </w:pPr>
            <w:r>
              <w:t>cDNA</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2.0</w:t>
            </w:r>
          </w:p>
        </w:tc>
      </w:tr>
      <w:tr>
        <w:trPr>
          <w:trHeight w:val="460" w:hRule="atLeast"/>
        </w:trPr>
        <w:tc>
          <w:tcPr>
            <w:tcW w:w="1606" w:type="dxa"/>
          </w:tcPr>
          <w:p w:rsidR="0018722C">
            <w:pPr>
              <w:topLinePunct/>
              <w:ind w:leftChars="0" w:left="0" w:rightChars="0" w:right="0" w:firstLineChars="0" w:firstLine="0"/>
              <w:spacing w:line="240" w:lineRule="atLeast"/>
            </w:pPr>
            <w:r>
              <w:t>无核酶水</w:t>
            </w:r>
          </w:p>
        </w:tc>
        <w:tc>
          <w:tcPr>
            <w:tcW w:w="1170" w:type="dxa"/>
          </w:tcPr>
          <w:p w:rsidR="0018722C">
            <w:pPr>
              <w:topLinePunct/>
              <w:ind w:leftChars="0" w:left="0" w:rightChars="0" w:right="0" w:firstLineChars="0" w:firstLine="0"/>
              <w:spacing w:line="240" w:lineRule="atLeast"/>
            </w:pPr>
          </w:p>
        </w:tc>
        <w:tc>
          <w:tcPr>
            <w:tcW w:w="2367" w:type="dxa"/>
          </w:tcPr>
          <w:p w:rsidR="0018722C">
            <w:pPr>
              <w:topLinePunct/>
              <w:ind w:leftChars="0" w:left="0" w:rightChars="0" w:right="0" w:firstLineChars="0" w:firstLine="0"/>
              <w:spacing w:line="240" w:lineRule="atLeast"/>
            </w:pPr>
            <w:r>
              <w:t>14.5</w:t>
            </w:r>
          </w:p>
        </w:tc>
      </w:tr>
      <w:tr>
        <w:trPr>
          <w:trHeight w:val="400" w:hRule="atLeast"/>
        </w:trPr>
        <w:tc>
          <w:tcPr>
            <w:tcW w:w="1606" w:type="dxa"/>
            <w:tcBorders>
              <w:bottom w:val="single" w:sz="18" w:space="0" w:color="000000"/>
            </w:tcBorders>
          </w:tcPr>
          <w:p w:rsidR="0018722C">
            <w:pPr>
              <w:topLinePunct/>
              <w:ind w:leftChars="0" w:left="0" w:rightChars="0" w:right="0" w:firstLineChars="0" w:firstLine="0"/>
              <w:spacing w:line="240" w:lineRule="atLeast"/>
            </w:pPr>
            <w:r>
              <w:t>总体积</w:t>
            </w:r>
          </w:p>
        </w:tc>
        <w:tc>
          <w:tcPr>
            <w:tcW w:w="1170" w:type="dxa"/>
            <w:tcBorders>
              <w:bottom w:val="single" w:sz="18" w:space="0" w:color="000000"/>
            </w:tcBorders>
          </w:tcPr>
          <w:p w:rsidR="0018722C">
            <w:pPr>
              <w:topLinePunct/>
              <w:ind w:leftChars="0" w:left="0" w:rightChars="0" w:right="0" w:firstLineChars="0" w:firstLine="0"/>
              <w:spacing w:line="240" w:lineRule="atLeast"/>
            </w:pPr>
          </w:p>
        </w:tc>
        <w:tc>
          <w:tcPr>
            <w:tcW w:w="2367" w:type="dxa"/>
            <w:tcBorders>
              <w:bottom w:val="single" w:sz="18" w:space="0" w:color="000000"/>
            </w:tcBorders>
          </w:tcPr>
          <w:p w:rsidR="0018722C">
            <w:pPr>
              <w:topLinePunct/>
              <w:ind w:leftChars="0" w:left="0" w:rightChars="0" w:right="0" w:firstLineChars="0" w:firstLine="0"/>
              <w:spacing w:line="240" w:lineRule="atLeast"/>
            </w:pPr>
            <w:r>
              <w:t>25</w:t>
            </w:r>
          </w:p>
        </w:tc>
      </w:tr>
    </w:tbl>
    <w:p w:rsidR="0018722C">
      <w:pPr>
        <w:pStyle w:val="affa"/>
      </w:pPr>
    </w:p>
    <w:p w:rsidR="0018722C">
      <w:pPr>
        <w:topLinePunct/>
      </w:pPr>
      <w:r>
        <w:t>PCR</w:t>
      </w:r>
      <w:r/>
      <w:r w:rsidR="001852F3">
        <w:t xml:space="preserve">反应条件：</w:t>
      </w:r>
      <w:r>
        <w:t>94℃</w:t>
      </w:r>
      <w:r/>
      <w:r w:rsidR="001852F3">
        <w:t xml:space="preserve">预变性</w:t>
      </w:r>
      <w:r>
        <w:t>3min，94℃</w:t>
      </w:r>
      <w:r>
        <w:t>变性</w:t>
      </w:r>
      <w:r>
        <w:t>45s，58℃</w:t>
      </w:r>
      <w:r>
        <w:t>退火</w:t>
      </w:r>
      <w:r>
        <w:t>30s，72℃延伸1min，</w:t>
      </w:r>
      <w:r>
        <w:t>共</w:t>
      </w:r>
      <w:r>
        <w:t>30</w:t>
      </w:r>
      <w:r/>
      <w:r w:rsidR="001852F3">
        <w:t xml:space="preserve">个循环</w:t>
      </w:r>
      <w:r>
        <w:t>；72℃</w:t>
      </w:r>
      <w:r>
        <w:t>延伸</w:t>
      </w:r>
      <w:r>
        <w:t>7min。</w:t>
      </w:r>
    </w:p>
    <w:p w:rsidR="0018722C">
      <w:pPr>
        <w:pStyle w:val="Heading4"/>
        <w:topLinePunct/>
        <w:ind w:left="200" w:hangingChars="200" w:hanging="200"/>
      </w:pPr>
      <w:r>
        <w:t>4.3</w:t>
      </w:r>
      <w:r>
        <w:t xml:space="preserve"> </w:t>
      </w:r>
      <w:r>
        <w:t>产物电泳与结果分析</w:t>
      </w:r>
      <w:r>
        <w:t>方法同前</w:t>
      </w:r>
    </w:p>
    <w:p w:rsidR="0018722C">
      <w:pPr>
        <w:pStyle w:val="Heading3"/>
        <w:topLinePunct/>
        <w:ind w:left="200" w:hangingChars="200" w:hanging="200"/>
      </w:pPr>
      <w:r>
        <w:rPr>
          <w:b/>
        </w:rPr>
        <w:t>5</w:t>
      </w:r>
      <w:r>
        <w:t xml:space="preserve"> </w:t>
      </w:r>
      <w:r>
        <w:t>加入</w:t>
      </w:r>
      <w:r w:rsidR="001852F3">
        <w:rPr>
          <w:b/>
        </w:rPr>
        <w:t xml:space="preserve">COX-2</w:t>
      </w:r>
      <w:r w:rsidR="001852F3">
        <w:t xml:space="preserve">抑制剂</w:t>
      </w:r>
      <w:r w:rsidR="001852F3">
        <w:rPr>
          <w:b/>
        </w:rPr>
        <w:t xml:space="preserve">NS-398</w:t>
      </w:r>
      <w:r w:rsidR="001852F3">
        <w:t xml:space="preserve">后，</w:t>
      </w:r>
      <w:r>
        <w:rPr>
          <w:b/>
        </w:rPr>
        <w:t>Western</w:t>
      </w:r>
      <w:r>
        <w:rPr>
          <w:b/>
        </w:rPr>
        <w:t> </w:t>
      </w:r>
      <w:r>
        <w:rPr>
          <w:b/>
        </w:rPr>
        <w:t>blot</w:t>
      </w:r>
      <w:r w:rsidR="001852F3">
        <w:t xml:space="preserve">检测三组细胞内</w:t>
      </w:r>
    </w:p>
    <w:p w:rsidR="0018722C">
      <w:pPr>
        <w:spacing w:before="0"/>
        <w:ind w:leftChars="0" w:left="652" w:rightChars="0" w:right="0" w:firstLineChars="0" w:firstLine="0"/>
        <w:jc w:val="left"/>
        <w:topLinePunct/>
      </w:pPr>
      <w:r>
        <w:rPr>
          <w:kern w:val="2"/>
          <w:sz w:val="28"/>
          <w:szCs w:val="22"/>
          <w:rFonts w:cstheme="minorBidi" w:hAnsiTheme="minorHAnsi" w:eastAsiaTheme="minorHAnsi" w:asciiTheme="minorHAnsi"/>
          <w:b/>
        </w:rPr>
        <w:t>β–catenin</w:t>
      </w:r>
      <w:r w:rsidR="001852F3">
        <w:rPr>
          <w:kern w:val="2"/>
          <w:sz w:val="28"/>
          <w:szCs w:val="22"/>
          <w:rFonts w:cstheme="minorBidi" w:hAnsiTheme="minorHAnsi" w:eastAsiaTheme="minorHAnsi" w:asciiTheme="minorHAnsi"/>
          <w:b/>
        </w:rPr>
        <w:t xml:space="preserve">蛋白表达水平变化</w:t>
      </w:r>
    </w:p>
    <w:p w:rsidR="0018722C">
      <w:pPr>
        <w:pStyle w:val="Heading4"/>
        <w:topLinePunct/>
        <w:ind w:left="200" w:hangingChars="200" w:hanging="200"/>
      </w:pPr>
      <w:r>
        <w:rPr>
          <w:b/>
        </w:rPr>
        <w:t>5.1</w:t>
      </w:r>
      <w:r>
        <w:t xml:space="preserve"> </w:t>
      </w:r>
      <w:r>
        <w:t>细胞培养</w:t>
      </w:r>
    </w:p>
    <w:p w:rsidR="0018722C">
      <w:pPr>
        <w:topLinePunct/>
      </w:pPr>
      <w:r>
        <w:t>将</w:t>
      </w:r>
      <w:r>
        <w:t>HepG2</w:t>
      </w:r>
      <w:r/>
      <w:r w:rsidR="001852F3">
        <w:t xml:space="preserve">细胞以</w:t>
      </w:r>
      <w:r>
        <w:t>4³10</w:t>
      </w:r>
      <w:r>
        <w:rPr>
          <w:vertAlign w:val="superscript"/>
          /&gt;
        </w:rPr>
        <w:t>4</w:t>
      </w:r>
      <w:r>
        <w:t>个每孔的密度接种于含</w:t>
      </w:r>
      <w:r>
        <w:t>10%</w:t>
      </w:r>
      <w:r>
        <w:t>胎牛血清的</w:t>
      </w:r>
      <w:r>
        <w:t>DMEM</w:t>
      </w:r>
      <w:r/>
      <w:r w:rsidR="001852F3">
        <w:t xml:space="preserve">新鲜培养</w:t>
      </w:r>
      <w:r>
        <w:t>液的</w:t>
      </w:r>
      <w:r>
        <w:t>6</w:t>
      </w:r>
      <w:r/>
      <w:r w:rsidR="001852F3">
        <w:t xml:space="preserve">孔细胞培养板中，在</w:t>
      </w:r>
      <w:r>
        <w:t>37</w:t>
      </w:r>
      <w:r>
        <w:rPr>
          <w:rFonts w:ascii="Symbol" w:hAnsi="Symbol" w:eastAsia="Symbol"/>
        </w:rPr>
        <w:t></w:t>
      </w:r>
      <w:r>
        <w:t>C、5% CO2</w:t>
      </w:r>
      <w:r/>
      <w:r w:rsidR="001852F3">
        <w:t xml:space="preserve">条件下常规培养，待</w:t>
      </w:r>
      <w:r>
        <w:t>HepG2</w:t>
      </w:r>
      <w:r/>
      <w:r w:rsidR="001852F3">
        <w:t xml:space="preserve">细胞生长融</w:t>
      </w:r>
      <w:r>
        <w:t>合度达</w:t>
      </w:r>
      <w:r>
        <w:t>50%</w:t>
      </w:r>
      <w:r>
        <w:t>时弃旧培养液，并将细胞用灭菌</w:t>
      </w:r>
      <w:r>
        <w:t>0</w:t>
      </w:r>
      <w:r>
        <w:t>.</w:t>
      </w:r>
      <w:r>
        <w:t>01M PBS</w:t>
      </w:r>
      <w:r w:rsidR="001852F3">
        <w:t xml:space="preserve">缓冲液洗涤一次</w:t>
      </w:r>
      <w:r w:rsidR="001852F3">
        <w:t>，</w:t>
      </w:r>
    </w:p>
    <w:p w:rsidR="0018722C">
      <w:pPr>
        <w:topLinePunct/>
      </w:pPr>
      <w:r>
        <w:t>然后加入含</w:t>
      </w:r>
      <w:r w:rsidR="001852F3">
        <w:t xml:space="preserve">50 umol</w:t>
      </w:r>
      <w:r>
        <w:t>/</w:t>
      </w:r>
      <w:r>
        <w:t>L NS-398</w:t>
      </w:r>
      <w:r w:rsidR="001852F3">
        <w:t xml:space="preserve">的</w:t>
      </w:r>
      <w:r w:rsidR="001852F3">
        <w:t xml:space="preserve">DMEM</w:t>
      </w:r>
      <w:r w:rsidR="001852F3">
        <w:t xml:space="preserve">新鲜培养液继续培养</w:t>
      </w:r>
      <w:r w:rsidR="001852F3">
        <w:t xml:space="preserve">72h。</w:t>
      </w:r>
    </w:p>
    <w:p w:rsidR="0018722C">
      <w:pPr>
        <w:pStyle w:val="Heading4"/>
        <w:topLinePunct/>
        <w:ind w:left="200" w:hangingChars="200" w:hanging="200"/>
      </w:pPr>
      <w:r>
        <w:t>5.2</w:t>
      </w:r>
      <w:r>
        <w:t xml:space="preserve"> </w:t>
      </w:r>
      <w:r>
        <w:t>蛋白抽提、</w:t>
      </w:r>
      <w:r>
        <w:rPr>
          <w:b/>
        </w:rPr>
        <w:t>Western</w:t>
      </w:r>
      <w:r>
        <w:rPr>
          <w:b/>
        </w:rPr>
        <w:t> </w:t>
      </w:r>
      <w:r>
        <w:rPr>
          <w:b/>
        </w:rPr>
        <w:t>blot</w:t>
      </w:r>
      <w:r>
        <w:t>方法同上述</w:t>
      </w:r>
    </w:p>
    <w:p w:rsidR="0018722C">
      <w:pPr>
        <w:pStyle w:val="Heading3"/>
        <w:topLinePunct/>
        <w:ind w:left="200" w:hangingChars="200" w:hanging="200"/>
      </w:pPr>
      <w:r>
        <w:rPr>
          <w:b/>
        </w:rPr>
        <w:t>6</w:t>
      </w:r>
      <w:r>
        <w:t xml:space="preserve"> </w:t>
      </w:r>
      <w:r>
        <w:t>加入</w:t>
      </w:r>
      <w:r>
        <w:rPr>
          <w:b/>
        </w:rPr>
        <w:t>β–catenin</w:t>
      </w:r>
      <w:r w:rsidR="001852F3">
        <w:t xml:space="preserve">抑制剂</w:t>
      </w:r>
      <w:r>
        <w:rPr>
          <w:b/>
        </w:rPr>
        <w:t>XAV939</w:t>
      </w:r>
      <w:r w:rsidR="001852F3">
        <w:t xml:space="preserve">后，</w:t>
      </w:r>
      <w:r>
        <w:rPr>
          <w:b/>
        </w:rPr>
        <w:t>CCK-8</w:t>
      </w:r>
      <w:r w:rsidR="001852F3">
        <w:t xml:space="preserve">法检测细胞增殖活性</w:t>
      </w:r>
    </w:p>
    <w:p w:rsidR="0018722C">
      <w:pPr>
        <w:topLinePunct/>
      </w:pPr>
      <w:r>
        <w:t>取对数期生长的</w:t>
      </w:r>
      <w:r>
        <w:t>HepG2</w:t>
      </w:r>
      <w:r>
        <w:t>/</w:t>
      </w:r>
      <w:r>
        <w:t>HBx</w:t>
      </w:r>
      <w:r>
        <w:t>、</w:t>
      </w:r>
      <w:r>
        <w:t>HepG2</w:t>
      </w:r>
      <w:r>
        <w:t>/</w:t>
      </w:r>
      <w:r>
        <w:t>mock</w:t>
      </w:r>
      <w:r>
        <w:t>、</w:t>
      </w:r>
      <w:r>
        <w:t>HepG2</w:t>
      </w:r>
      <w:r/>
      <w:r w:rsidR="001852F3">
        <w:t xml:space="preserve">三组细胞，以及按照上述方</w:t>
      </w:r>
      <w:r>
        <w:t>法加入含</w:t>
      </w:r>
      <w:r>
        <w:t>20 umol</w:t>
      </w:r>
      <w:r>
        <w:t>/</w:t>
      </w:r>
      <w:r>
        <w:t>L XAV939</w:t>
      </w:r>
      <w:r/>
      <w:r w:rsidR="001852F3">
        <w:t xml:space="preserve">的培养液培养</w:t>
      </w:r>
      <w:r>
        <w:t>24h</w:t>
      </w:r>
      <w:r/>
      <w:r w:rsidR="001852F3">
        <w:t xml:space="preserve">的</w:t>
      </w:r>
      <w:r>
        <w:t>HepG2</w:t>
      </w:r>
      <w:r>
        <w:t>/</w:t>
      </w:r>
      <w:r>
        <w:t xml:space="preserve">HBx、HepG2</w:t>
      </w:r>
      <w:r>
        <w:t>/</w:t>
      </w:r>
      <w:r>
        <w:t xml:space="preserve">mock、HepG2</w:t>
      </w:r>
      <w:r>
        <w:t>三组细胞，</w:t>
      </w:r>
      <w:r w:rsidR="001852F3">
        <w:t xml:space="preserve">经</w:t>
      </w:r>
      <w:r>
        <w:t>0.25％</w:t>
      </w:r>
      <w:r>
        <w:t>的胰蛋白酶消化，用含</w:t>
      </w:r>
      <w:r>
        <w:t>10％</w:t>
      </w:r>
      <w:r>
        <w:t>胎牛血清的</w:t>
      </w:r>
      <w:r>
        <w:t>DMEM</w:t>
      </w:r>
      <w:r/>
      <w:r w:rsidR="001852F3">
        <w:t xml:space="preserve">培养基配成单</w:t>
      </w:r>
      <w:r>
        <w:t>个细胞悬液，细胞计数后，把细胞浓度调至</w:t>
      </w:r>
      <w:r>
        <w:t>3³10</w:t>
      </w:r>
      <w:r>
        <w:rPr>
          <w:vertAlign w:val="superscript"/>
          /&gt;
        </w:rPr>
        <w:t>3</w:t>
      </w:r>
      <w:r>
        <w:t>/</w:t>
      </w:r>
      <w:r>
        <w:t>ml，</w:t>
      </w:r>
      <w:r>
        <w:t>按每孔</w:t>
      </w:r>
      <w:r>
        <w:t>100μl</w:t>
      </w:r>
      <w:r/>
      <w:r w:rsidR="001852F3">
        <w:t xml:space="preserve">接种于</w:t>
      </w:r>
      <w:r>
        <w:t>96</w:t>
      </w:r>
      <w:r>
        <w:t>孔板，并设</w:t>
      </w:r>
      <w:r>
        <w:t>6</w:t>
      </w:r>
      <w:r/>
      <w:r w:rsidR="001852F3">
        <w:t xml:space="preserve">复孔，</w:t>
      </w:r>
      <w:r>
        <w:t>37℃，5％C02</w:t>
      </w:r>
      <w:r/>
      <w:r w:rsidR="001852F3">
        <w:t xml:space="preserve">培养箱中培养。共接种</w:t>
      </w:r>
      <w:r>
        <w:t>3</w:t>
      </w:r>
      <w:r/>
      <w:r w:rsidR="001852F3">
        <w:t xml:space="preserve">块板，分别于培养</w:t>
      </w:r>
      <w:r>
        <w:t>ld</w:t>
      </w:r>
      <w:r>
        <w:t>、</w:t>
      </w:r>
    </w:p>
    <w:p w:rsidR="0018722C">
      <w:pPr>
        <w:topLinePunct/>
      </w:pPr>
      <w:r>
        <w:t>2d</w:t>
      </w:r>
      <w:r>
        <w:t>、</w:t>
      </w:r>
      <w:r>
        <w:t>3d</w:t>
      </w:r>
      <w:r/>
      <w:r w:rsidR="001852F3">
        <w:t xml:space="preserve">后，取出</w:t>
      </w:r>
      <w:r>
        <w:t>96</w:t>
      </w:r>
      <w:r/>
      <w:r w:rsidR="001852F3">
        <w:t xml:space="preserve">孔板，吸弃原有培养液，用</w:t>
      </w:r>
      <w:r>
        <w:t>PBS</w:t>
      </w:r>
      <w:r/>
      <w:r w:rsidR="001852F3">
        <w:t xml:space="preserve">洗涤后，加入</w:t>
      </w:r>
      <w:r>
        <w:t>CCK-8</w:t>
      </w:r>
      <w:r/>
      <w:r w:rsidR="001852F3">
        <w:t xml:space="preserve">试剂与培</w:t>
      </w:r>
    </w:p>
    <w:p w:rsidR="0018722C">
      <w:pPr>
        <w:topLinePunct/>
      </w:pPr>
      <w:r>
        <w:t>养基的混合液，比例为</w:t>
      </w:r>
      <w:r w:rsidR="001852F3">
        <w:t xml:space="preserve">CCK8:培养基=10μl：100μl，经</w:t>
      </w:r>
      <w:r w:rsidR="001852F3">
        <w:t xml:space="preserve">37℃，CO2</w:t>
      </w:r>
      <w:r w:rsidR="001852F3">
        <w:t xml:space="preserve">培养箱培养</w:t>
      </w:r>
    </w:p>
    <w:p w:rsidR="0018722C">
      <w:pPr>
        <w:topLinePunct/>
      </w:pPr>
      <w:r>
        <w:t>3h</w:t>
      </w:r>
      <w:r/>
      <w:r w:rsidR="001852F3">
        <w:t xml:space="preserve">后，于</w:t>
      </w:r>
      <w:r>
        <w:t>450nm</w:t>
      </w:r>
      <w:r/>
      <w:r w:rsidR="001852F3">
        <w:t xml:space="preserve">波长下检测每孔的吸光值</w:t>
      </w:r>
      <w:r>
        <w:t>(</w:t>
      </w:r>
      <w:r>
        <w:t>OD</w:t>
      </w:r>
      <w:r>
        <w:t>)</w:t>
      </w:r>
      <w:r>
        <w:rPr>
          <w:spacing w:val="-2"/>
        </w:rPr>
        <w:t xml:space="preserve">. </w:t>
      </w:r>
      <w:r>
        <w:t>OD</w:t>
      </w:r>
      <w:r/>
      <w:r w:rsidR="001852F3">
        <w:t xml:space="preserve">值即代表细胞的增殖能力，然后根据吸光值绘制生长曲线，比较各组细胞生长速度变化。实验重复三次。</w:t>
      </w:r>
    </w:p>
    <w:p w:rsidR="0018722C">
      <w:pPr>
        <w:pStyle w:val="Heading3"/>
        <w:topLinePunct/>
        <w:ind w:left="200" w:hangingChars="200" w:hanging="200"/>
      </w:pPr>
      <w:r>
        <w:rPr>
          <w:b/>
        </w:rPr>
        <w:t>7</w:t>
      </w:r>
      <w:r>
        <w:t xml:space="preserve"> </w:t>
      </w:r>
      <w:r>
        <w:t>统计学分析结果</w:t>
      </w:r>
    </w:p>
    <w:p w:rsidR="0018722C">
      <w:pPr>
        <w:topLinePunct/>
      </w:pPr>
      <w:r>
        <w:t>各实验结果以</w:t>
      </w:r>
      <w:r>
        <w:t>mean±SD</w:t>
      </w:r>
      <w:r/>
      <w:r w:rsidR="001852F3">
        <w:t xml:space="preserve">表示。采用</w:t>
      </w:r>
      <w:r>
        <w:t>SPSS11.5</w:t>
      </w:r>
      <w:r/>
      <w:r w:rsidR="001852F3">
        <w:t xml:space="preserve">软件，各组比较采用单因素</w:t>
      </w:r>
      <w:r>
        <w:t>ANOVA</w:t>
      </w:r>
      <w:r>
        <w:t>检验，以</w:t>
      </w:r>
      <w:r>
        <w:t>P &lt;0.05</w:t>
      </w:r>
      <w:r/>
      <w:r w:rsidR="001852F3">
        <w:t xml:space="preserve">作为具有显著性差异。</w:t>
      </w:r>
    </w:p>
    <w:p w:rsidR="0018722C">
      <w:pPr>
        <w:pStyle w:val="Heading2"/>
        <w:topLinePunct/>
        <w:ind w:left="171" w:hangingChars="171" w:hanging="171"/>
      </w:pPr>
      <w:bookmarkStart w:id="707276" w:name="_Toc686707276"/>
      <w:bookmarkStart w:name="四 实验结果 " w:id="37"/>
      <w:bookmarkEnd w:id="37"/>
      <w:r>
        <w:t>四</w:t>
      </w:r>
      <w:r>
        <w:t xml:space="preserve"> </w:t>
      </w:r>
      <w:r w:rsidRPr="00DB64CE">
        <w:t>实验结果</w:t>
      </w:r>
      <w:bookmarkEnd w:id="707276"/>
    </w:p>
    <w:p w:rsidR="0018722C">
      <w:pPr>
        <w:topLinePunct/>
      </w:pPr>
      <w:r>
        <w:rPr>
          <w:rFonts w:cstheme="minorBidi" w:hAnsiTheme="minorHAnsi" w:eastAsiaTheme="minorHAnsi" w:asciiTheme="minorHAnsi"/>
          <w:b/>
        </w:rPr>
        <w:t>1 HBx</w:t>
      </w:r>
      <w:r w:rsidR="001852F3">
        <w:rPr>
          <w:rFonts w:cstheme="minorBidi" w:hAnsiTheme="minorHAnsi" w:eastAsiaTheme="minorHAnsi" w:asciiTheme="minorHAnsi"/>
          <w:b/>
        </w:rPr>
        <w:t xml:space="preserve">上调</w:t>
      </w:r>
      <w:r w:rsidR="001852F3">
        <w:rPr>
          <w:rFonts w:cstheme="minorBidi" w:hAnsiTheme="minorHAnsi" w:eastAsiaTheme="minorHAnsi" w:asciiTheme="minorHAnsi"/>
          <w:b/>
        </w:rPr>
        <w:t xml:space="preserve">HepG2</w:t>
      </w:r>
      <w:r w:rsidR="001852F3">
        <w:rPr>
          <w:rFonts w:cstheme="minorBidi" w:hAnsiTheme="minorHAnsi" w:eastAsiaTheme="minorHAnsi" w:asciiTheme="minorHAnsi"/>
          <w:b/>
        </w:rPr>
        <w:t xml:space="preserve">细胞</w:t>
      </w:r>
      <w:r w:rsidR="001852F3">
        <w:rPr>
          <w:rFonts w:cstheme="minorBidi" w:hAnsiTheme="minorHAnsi" w:eastAsiaTheme="minorHAnsi" w:asciiTheme="minorHAnsi"/>
          <w:b/>
        </w:rPr>
        <w:t xml:space="preserve">β–catenin mRNA</w:t>
      </w:r>
      <w:r w:rsidR="001852F3">
        <w:rPr>
          <w:rFonts w:cstheme="minorBidi" w:hAnsiTheme="minorHAnsi" w:eastAsiaTheme="minorHAnsi" w:asciiTheme="minorHAnsi"/>
          <w:b/>
        </w:rPr>
        <w:t xml:space="preserve">水平</w:t>
      </w:r>
    </w:p>
    <w:p w:rsidR="0018722C">
      <w:pPr>
        <w:topLinePunct/>
      </w:pPr>
      <w:r>
        <w:t>三</w:t>
      </w:r>
      <w:r w:rsidR="001852F3">
        <w:t xml:space="preserve">组</w:t>
      </w:r>
      <w:r w:rsidR="001852F3">
        <w:t xml:space="preserve">细</w:t>
      </w:r>
      <w:r w:rsidR="001852F3">
        <w:t xml:space="preserve">胞</w:t>
      </w:r>
      <w:r>
        <w:t>β–catenin</w:t>
      </w:r>
      <w:r>
        <w:t> </w:t>
      </w:r>
      <w:r>
        <w:t>mRNA</w:t>
      </w:r>
      <w:r/>
      <w:r w:rsidR="001852F3">
        <w:t xml:space="preserve">表</w:t>
      </w:r>
      <w:r w:rsidR="001852F3">
        <w:t xml:space="preserve">达</w:t>
      </w:r>
      <w:r w:rsidR="001852F3">
        <w:t xml:space="preserve">情</w:t>
      </w:r>
      <w:r w:rsidR="001852F3">
        <w:t xml:space="preserve">况</w:t>
      </w:r>
      <w:r w:rsidR="001852F3">
        <w:t xml:space="preserve">如</w:t>
      </w:r>
      <w:r w:rsidR="001852F3">
        <w:t xml:space="preserve">图</w:t>
      </w:r>
      <w:r>
        <w:t>1</w:t>
      </w:r>
      <w:r/>
      <w:r w:rsidR="001852F3">
        <w:t xml:space="preserve">所</w:t>
      </w:r>
      <w:r w:rsidR="001852F3">
        <w:t xml:space="preserve">示</w:t>
      </w:r>
      <w:r w:rsidR="001852F3">
        <w:t xml:space="preserve">，</w:t>
      </w:r>
      <w:r>
        <w:t>β–catenin mRNA</w:t>
      </w:r>
      <w:r>
        <w:t>/</w:t>
      </w:r>
      <w:r>
        <w:t>β-actin mRNA</w:t>
      </w:r>
      <w:r/>
      <w:r w:rsidR="001852F3">
        <w:t xml:space="preserve">的相对灰度比值如</w:t>
      </w:r>
      <w:r w:rsidR="001852F3">
        <w:t>表</w:t>
      </w:r>
      <w:r>
        <w:t>1</w:t>
      </w:r>
      <w:r/>
      <w:r w:rsidR="001852F3">
        <w:t xml:space="preserve">所示，统计学分析提示</w:t>
      </w:r>
      <w:r>
        <w:t>，HepG2</w:t>
      </w:r>
      <w:r>
        <w:t>/</w:t>
      </w:r>
      <w:r>
        <w:t xml:space="preserve">HBx</w:t>
      </w:r>
      <w:r>
        <w:t>细胞组中</w:t>
      </w:r>
      <w:r>
        <w:t>β–catenin mRNA</w:t>
      </w:r>
      <w:r/>
      <w:r w:rsidR="001852F3">
        <w:t xml:space="preserve">较</w:t>
      </w:r>
      <w:r>
        <w:t>HepG2</w:t>
      </w:r>
      <w:r>
        <w:t>/</w:t>
      </w:r>
      <w:r>
        <w:t>mock</w:t>
      </w:r>
      <w:r/>
      <w:r w:rsidR="001852F3">
        <w:t xml:space="preserve">细胞组与</w:t>
      </w:r>
      <w:r>
        <w:t>HepG2</w:t>
      </w:r>
      <w:r/>
      <w:r w:rsidR="001852F3">
        <w:t xml:space="preserve">细胞组升高</w:t>
      </w:r>
      <w:r>
        <w:t>（</w:t>
      </w:r>
      <w:r>
        <w:t>图</w:t>
      </w:r>
      <w:r>
        <w:t>2</w:t>
      </w:r>
      <w:r>
        <w:t>）</w:t>
      </w:r>
      <w:r>
        <w:t>，</w:t>
      </w:r>
      <w:r>
        <w:t>差异具有统计学意义</w:t>
      </w:r>
      <w:r>
        <w:t>(</w:t>
      </w:r>
      <w:r>
        <w:t>P&lt;0.05</w:t>
      </w:r>
      <w:r>
        <w:t>)</w:t>
      </w:r>
      <w:r>
        <w:rPr>
          <w:spacing w:val="-2"/>
        </w:rPr>
        <w:t xml:space="preserve">. </w:t>
      </w:r>
      <w:r>
        <w:t>该部分实验表明</w:t>
      </w:r>
      <w:r>
        <w:t>HBx</w:t>
      </w:r>
      <w:r/>
      <w:r w:rsidR="001852F3">
        <w:t xml:space="preserve">可以上调</w:t>
      </w:r>
      <w:r>
        <w:t>HepG2</w:t>
      </w:r>
      <w:r>
        <w:t>/</w:t>
      </w:r>
      <w:r>
        <w:t>HBx</w:t>
      </w:r>
      <w:r/>
      <w:r w:rsidR="001852F3">
        <w:t xml:space="preserve">细胞的β–catenin mRNA</w:t>
      </w:r>
      <w:r/>
      <w:r w:rsidR="001852F3">
        <w:t xml:space="preserve">水平。</w:t>
      </w:r>
    </w:p>
    <w:p w:rsidR="0018722C">
      <w:pPr>
        <w:pStyle w:val="aff7"/>
        <w:topLinePunct/>
      </w:pPr>
      <w:r>
        <w:drawing>
          <wp:inline>
            <wp:extent cx="4471973" cy="777239"/>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36" cstate="print"/>
                    <a:stretch>
                      <a:fillRect/>
                    </a:stretch>
                  </pic:blipFill>
                  <pic:spPr>
                    <a:xfrm>
                      <a:off x="0" y="0"/>
                      <a:ext cx="4471973" cy="777239"/>
                    </a:xfrm>
                    <a:prstGeom prst="rect">
                      <a:avLst/>
                    </a:prstGeom>
                  </pic:spPr>
                </pic:pic>
              </a:graphicData>
            </a:graphic>
          </wp:inline>
        </w:drawing>
      </w:r>
    </w:p>
    <w:p w:rsidR="0018722C">
      <w:pPr>
        <w:topLinePunct/>
      </w:pPr>
      <w:r>
        <w:t/>
      </w:r>
      <w:r>
        <w:t>图</w:t>
      </w:r>
      <w:r>
        <w:t>1</w:t>
      </w:r>
      <w:r/>
      <w:r w:rsidR="001852F3">
        <w:t xml:space="preserve">三</w:t>
      </w:r>
      <w:r w:rsidR="001852F3">
        <w:t>组细胞</w:t>
      </w:r>
      <w:r>
        <w:t>β–catenin mRNA</w:t>
      </w:r>
      <w:r/>
      <w:r w:rsidR="001852F3">
        <w:t xml:space="preserve">的表达水平。</w:t>
      </w:r>
      <w:r>
        <w:t>1</w:t>
      </w:r>
      <w:r/>
      <w:r w:rsidR="001852F3">
        <w:t xml:space="preserve">和</w:t>
      </w:r>
      <w:r>
        <w:t>7、2</w:t>
      </w:r>
      <w:r/>
      <w:r w:rsidR="001852F3">
        <w:t xml:space="preserve">与</w:t>
      </w:r>
      <w:r>
        <w:t>6、3</w:t>
      </w:r>
      <w:r/>
      <w:r w:rsidR="001852F3">
        <w:t xml:space="preserve">与</w:t>
      </w:r>
      <w:r>
        <w:t>5</w:t>
      </w:r>
      <w:r/>
      <w:r w:rsidR="001852F3">
        <w:t xml:space="preserve">分别代</w:t>
      </w:r>
      <w:r>
        <w:t>表</w:t>
      </w:r>
      <w:r>
        <w:t>HepG2、HepG2</w:t>
      </w:r>
      <w:r>
        <w:t>/</w:t>
      </w:r>
      <w:r>
        <w:t>mock、HepG2</w:t>
      </w:r>
      <w:r>
        <w:t>/</w:t>
      </w:r>
      <w:r>
        <w:t>HBx，4</w:t>
      </w:r>
      <w:r/>
      <w:r w:rsidR="001852F3">
        <w:t xml:space="preserve">代表</w:t>
      </w:r>
      <w:r>
        <w:t>marker。</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w:t>
      </w:r>
      <w:r>
        <w:t xml:space="preserve">  </w:t>
      </w:r>
      <w:r w:rsidRPr="00DB64CE">
        <w:rPr>
          <w:rFonts w:cstheme="minorBidi" w:hAnsiTheme="minorHAnsi" w:eastAsiaTheme="minorHAnsi" w:asciiTheme="minorHAnsi"/>
        </w:rPr>
        <w:t>三组细胞</w:t>
      </w:r>
      <w:r>
        <w:rPr>
          <w:rFonts w:cstheme="minorBidi" w:hAnsiTheme="minorHAnsi" w:eastAsiaTheme="minorHAnsi" w:asciiTheme="minorHAnsi"/>
        </w:rPr>
        <w:t>β–catenin</w:t>
      </w:r>
      <w:r>
        <w:rPr>
          <w:rFonts w:cstheme="minorBidi" w:hAnsiTheme="minorHAnsi" w:eastAsiaTheme="minorHAnsi" w:asciiTheme="minorHAnsi"/>
        </w:rPr>
        <w:t>/</w:t>
      </w:r>
      <w:r>
        <w:rPr>
          <w:rFonts w:cstheme="minorBidi" w:hAnsiTheme="minorHAnsi" w:eastAsiaTheme="minorHAnsi" w:asciiTheme="minorHAnsi"/>
        </w:rPr>
        <w:t>β-actin</w:t>
      </w:r>
      <w:r w:rsidRPr="00000000">
        <w:rPr>
          <w:rFonts w:cstheme="minorBidi" w:hAnsiTheme="minorHAnsi" w:eastAsiaTheme="minorHAnsi" w:asciiTheme="minorHAnsi"/>
        </w:rPr>
        <w:tab/>
        <w:t>mRNA</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1207"/>
        <w:gridCol w:w="1154"/>
        <w:gridCol w:w="1154"/>
        <w:gridCol w:w="2780"/>
      </w:tblGrid>
      <w:tr>
        <w:trPr>
          <w:tblHeader/>
        </w:trPr>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5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16" w:type="pct"/>
            <w:vAlign w:val="center"/>
          </w:tcPr>
          <w:p w:rsidR="0018722C">
            <w:pPr>
              <w:pStyle w:val="ac"/>
              <w:topLinePunct/>
              <w:ind w:leftChars="0" w:left="0" w:rightChars="0" w:right="0" w:firstLineChars="0" w:firstLine="0"/>
              <w:spacing w:line="240" w:lineRule="atLeast"/>
            </w:pPr>
            <w:r>
              <w:t>组 别</w:t>
            </w:r>
          </w:p>
        </w:tc>
        <w:tc>
          <w:tcPr>
            <w:tcW w:w="764" w:type="pct"/>
            <w:vAlign w:val="center"/>
          </w:tcPr>
          <w:p w:rsidR="0018722C">
            <w:pPr>
              <w:pStyle w:val="a5"/>
              <w:topLinePunct/>
              <w:ind w:leftChars="0" w:left="0" w:rightChars="0" w:right="0" w:firstLineChars="0" w:firstLine="0"/>
              <w:spacing w:line="240" w:lineRule="atLeast"/>
            </w:pPr>
            <w:r>
              <w:t>第一次</w:t>
            </w:r>
          </w:p>
        </w:tc>
        <w:tc>
          <w:tcPr>
            <w:tcW w:w="730" w:type="pct"/>
            <w:vAlign w:val="center"/>
          </w:tcPr>
          <w:p w:rsidR="0018722C">
            <w:pPr>
              <w:pStyle w:val="a5"/>
              <w:topLinePunct/>
              <w:ind w:leftChars="0" w:left="0" w:rightChars="0" w:right="0" w:firstLineChars="0" w:firstLine="0"/>
              <w:spacing w:line="240" w:lineRule="atLeast"/>
            </w:pPr>
            <w:r>
              <w:t>第二次</w:t>
            </w:r>
          </w:p>
        </w:tc>
        <w:tc>
          <w:tcPr>
            <w:tcW w:w="730" w:type="pct"/>
            <w:vAlign w:val="center"/>
          </w:tcPr>
          <w:p w:rsidR="0018722C">
            <w:pPr>
              <w:pStyle w:val="a5"/>
              <w:topLinePunct/>
              <w:ind w:leftChars="0" w:left="0" w:rightChars="0" w:right="0" w:firstLineChars="0" w:firstLine="0"/>
              <w:spacing w:line="240" w:lineRule="atLeast"/>
            </w:pPr>
            <w:r>
              <w:t>第三次</w:t>
            </w:r>
          </w:p>
        </w:tc>
        <w:tc>
          <w:tcPr>
            <w:tcW w:w="1759"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1016" w:type="pct"/>
            <w:vAlign w:val="center"/>
          </w:tcPr>
          <w:p w:rsidR="0018722C">
            <w:pPr>
              <w:pStyle w:val="ac"/>
              <w:topLinePunct/>
              <w:ind w:leftChars="0" w:left="0" w:rightChars="0" w:right="0" w:firstLineChars="0" w:firstLine="0"/>
              <w:spacing w:line="240" w:lineRule="atLeast"/>
            </w:pPr>
            <w:r>
              <w:t>HepG2</w:t>
            </w:r>
          </w:p>
        </w:tc>
        <w:tc>
          <w:tcPr>
            <w:tcW w:w="764" w:type="pct"/>
            <w:vAlign w:val="center"/>
          </w:tcPr>
          <w:p w:rsidR="0018722C">
            <w:pPr>
              <w:pStyle w:val="affff9"/>
              <w:topLinePunct/>
              <w:ind w:leftChars="0" w:left="0" w:rightChars="0" w:right="0" w:firstLineChars="0" w:firstLine="0"/>
              <w:spacing w:line="240" w:lineRule="atLeast"/>
            </w:pPr>
            <w:r>
              <w:t>0.9420</w:t>
            </w:r>
          </w:p>
        </w:tc>
        <w:tc>
          <w:tcPr>
            <w:tcW w:w="730" w:type="pct"/>
            <w:vAlign w:val="center"/>
          </w:tcPr>
          <w:p w:rsidR="0018722C">
            <w:pPr>
              <w:pStyle w:val="affff9"/>
              <w:topLinePunct/>
              <w:ind w:leftChars="0" w:left="0" w:rightChars="0" w:right="0" w:firstLineChars="0" w:firstLine="0"/>
              <w:spacing w:line="240" w:lineRule="atLeast"/>
            </w:pPr>
            <w:r>
              <w:t>0.4860</w:t>
            </w:r>
          </w:p>
        </w:tc>
        <w:tc>
          <w:tcPr>
            <w:tcW w:w="730" w:type="pct"/>
            <w:vAlign w:val="center"/>
          </w:tcPr>
          <w:p w:rsidR="0018722C">
            <w:pPr>
              <w:pStyle w:val="affff9"/>
              <w:topLinePunct/>
              <w:ind w:leftChars="0" w:left="0" w:rightChars="0" w:right="0" w:firstLineChars="0" w:firstLine="0"/>
              <w:spacing w:line="240" w:lineRule="atLeast"/>
            </w:pPr>
            <w:r>
              <w:t>1.7828</w:t>
            </w:r>
          </w:p>
        </w:tc>
        <w:tc>
          <w:tcPr>
            <w:tcW w:w="1759" w:type="pct"/>
            <w:vAlign w:val="center"/>
          </w:tcPr>
          <w:p w:rsidR="0018722C">
            <w:pPr>
              <w:pStyle w:val="ad"/>
              <w:topLinePunct/>
              <w:ind w:leftChars="0" w:left="0" w:rightChars="0" w:right="0" w:firstLineChars="0" w:firstLine="0"/>
              <w:spacing w:line="240" w:lineRule="atLeast"/>
            </w:pPr>
            <w:r>
              <w:t>1.0703±0.6578</w:t>
            </w:r>
          </w:p>
        </w:tc>
      </w:tr>
      <w:tr>
        <w:tc>
          <w:tcPr>
            <w:tcW w:w="1016" w:type="pct"/>
            <w:vAlign w:val="center"/>
          </w:tcPr>
          <w:p w:rsidR="0018722C">
            <w:pPr>
              <w:pStyle w:val="ac"/>
              <w:topLinePunct/>
              <w:ind w:leftChars="0" w:left="0" w:rightChars="0" w:right="0" w:firstLineChars="0" w:firstLine="0"/>
              <w:spacing w:line="240" w:lineRule="atLeast"/>
            </w:pPr>
            <w:r>
              <w:t>HepG2</w:t>
            </w:r>
            <w:r>
              <w:t>/</w:t>
            </w:r>
            <w:r>
              <w:t>mock</w:t>
            </w:r>
          </w:p>
        </w:tc>
        <w:tc>
          <w:tcPr>
            <w:tcW w:w="764" w:type="pct"/>
            <w:vAlign w:val="center"/>
          </w:tcPr>
          <w:p w:rsidR="0018722C">
            <w:pPr>
              <w:pStyle w:val="affff9"/>
              <w:topLinePunct/>
              <w:ind w:leftChars="0" w:left="0" w:rightChars="0" w:right="0" w:firstLineChars="0" w:firstLine="0"/>
              <w:spacing w:line="240" w:lineRule="atLeast"/>
            </w:pPr>
            <w:r>
              <w:t>1.7951</w:t>
            </w:r>
          </w:p>
        </w:tc>
        <w:tc>
          <w:tcPr>
            <w:tcW w:w="730" w:type="pct"/>
            <w:vAlign w:val="center"/>
          </w:tcPr>
          <w:p w:rsidR="0018722C">
            <w:pPr>
              <w:pStyle w:val="affff9"/>
              <w:topLinePunct/>
              <w:ind w:leftChars="0" w:left="0" w:rightChars="0" w:right="0" w:firstLineChars="0" w:firstLine="0"/>
              <w:spacing w:line="240" w:lineRule="atLeast"/>
            </w:pPr>
            <w:r>
              <w:t>1.4944</w:t>
            </w:r>
          </w:p>
        </w:tc>
        <w:tc>
          <w:tcPr>
            <w:tcW w:w="730" w:type="pct"/>
            <w:vAlign w:val="center"/>
          </w:tcPr>
          <w:p w:rsidR="0018722C">
            <w:pPr>
              <w:pStyle w:val="affff9"/>
              <w:topLinePunct/>
              <w:ind w:leftChars="0" w:left="0" w:rightChars="0" w:right="0" w:firstLineChars="0" w:firstLine="0"/>
              <w:spacing w:line="240" w:lineRule="atLeast"/>
            </w:pPr>
            <w:r>
              <w:t>2.0649</w:t>
            </w:r>
          </w:p>
        </w:tc>
        <w:tc>
          <w:tcPr>
            <w:tcW w:w="1759" w:type="pct"/>
            <w:vAlign w:val="center"/>
          </w:tcPr>
          <w:p w:rsidR="0018722C">
            <w:pPr>
              <w:pStyle w:val="ad"/>
              <w:topLinePunct/>
              <w:ind w:leftChars="0" w:left="0" w:rightChars="0" w:right="0" w:firstLineChars="0" w:firstLine="0"/>
              <w:spacing w:line="240" w:lineRule="atLeast"/>
            </w:pPr>
            <w:r>
              <w:t>1.7848±0.2854</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2.6683</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3.1744</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2.6972</w:t>
            </w:r>
          </w:p>
        </w:tc>
        <w:tc>
          <w:tcPr>
            <w:tcW w:w="1759" w:type="pct"/>
            <w:vAlign w:val="center"/>
            <w:tcBorders>
              <w:top w:val="single" w:sz="4" w:space="0" w:color="auto"/>
            </w:tcBorders>
          </w:tcPr>
          <w:p w:rsidR="0018722C">
            <w:pPr>
              <w:pStyle w:val="ad"/>
              <w:topLinePunct/>
              <w:ind w:leftChars="0" w:left="0" w:rightChars="0" w:right="0" w:firstLineChars="0" w:firstLine="0"/>
              <w:spacing w:line="240" w:lineRule="atLeast"/>
            </w:pPr>
            <w:r>
              <w:t>2.8466±0.2842</w:t>
            </w:r>
          </w:p>
        </w:tc>
      </w:tr>
    </w:tbl>
    <w:p w:rsidR="0018722C">
      <w:pPr>
        <w:rPr/>
        <w:topLinePunct/>
        <w:pStyle w:val="affa"/>
      </w:pPr>
    </w:p>
    <w:p w:rsidR="0018722C">
      <w:pPr>
        <w:pStyle w:val="affff5"/>
        <w:keepNext/>
        <w:topLinePunct/>
      </w:pPr>
      <w:r>
        <w:rPr>
          <w:sz w:val="20"/>
        </w:rPr>
        <w:drawing>
          <wp:inline distT="0" distB="0" distL="0" distR="0">
            <wp:extent cx="3638254" cy="2656331"/>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37" cstate="print"/>
                    <a:stretch>
                      <a:fillRect/>
                    </a:stretch>
                  </pic:blipFill>
                  <pic:spPr>
                    <a:xfrm>
                      <a:off x="0" y="0"/>
                      <a:ext cx="3638254" cy="2656331"/>
                    </a:xfrm>
                    <a:prstGeom prst="rect">
                      <a:avLst/>
                    </a:prstGeom>
                  </pic:spPr>
                </pic:pic>
              </a:graphicData>
            </a:graphic>
          </wp:inline>
        </w:drawing>
      </w:r>
      <w:r/>
    </w:p>
    <w:p w:rsidR="0018722C">
      <w:pPr>
        <w:pStyle w:val="a9"/>
        <w:topLinePunct/>
      </w:pPr>
      <w:r>
        <w:t>图</w:t>
      </w:r>
      <w:r>
        <w:t>2</w:t>
      </w:r>
      <w:r>
        <w:t xml:space="preserve">  </w:t>
      </w:r>
      <w:r>
        <w:t>三组细胞</w:t>
      </w:r>
      <w:r>
        <w:t>β–catenin mRNA</w:t>
      </w:r>
      <w:r/>
      <w:r w:rsidR="001852F3">
        <w:t xml:space="preserve">表达水平</w:t>
      </w:r>
      <w:r>
        <w:t>（</w:t>
      </w:r>
      <w:r>
        <w:rPr>
          <w:rFonts w:ascii="Times New Roman" w:hAnsi="Times New Roman" w:eastAsia="Times New Roman"/>
        </w:rPr>
        <w:t>*</w:t>
      </w:r>
      <w:r w:rsidP="AA7D325B">
        <w:t>，</w:t>
      </w:r>
      <w:r>
        <w:t>P&lt;0.05</w:t>
      </w:r>
      <w:r>
        <w:t>）</w:t>
      </w:r>
      <w:r>
        <w:t>，</w:t>
      </w:r>
      <w:r w:rsidR="001852F3">
        <w:t xml:space="preserve">HBx</w:t>
      </w:r>
      <w:r w:rsidP="AA7D325B">
        <w:t>：</w:t>
      </w:r>
      <w:r>
        <w:t>HepG2</w:t>
      </w:r>
      <w:r>
        <w:t>/</w:t>
      </w:r>
      <w:r>
        <w:t>HBx细胞; Mock</w:t>
      </w:r>
      <w:r w:rsidP="AA7D325B">
        <w:t>：</w:t>
      </w:r>
      <w:r>
        <w:t>HepG2</w:t>
      </w:r>
      <w:r>
        <w:t>/</w:t>
      </w:r>
      <w:r>
        <w:t>mock</w:t>
      </w:r>
      <w:r/>
      <w:r w:rsidR="001852F3">
        <w:t xml:space="preserve">细胞; </w:t>
      </w:r>
      <w:r>
        <w:t>Control</w:t>
      </w:r>
      <w:r w:rsidP="AA7D325B">
        <w:t>：</w:t>
      </w:r>
      <w:r>
        <w:t>HepG2</w:t>
      </w:r>
      <w:r/>
      <w:r w:rsidR="001852F3">
        <w:t xml:space="preserve">细胞</w:t>
      </w:r>
    </w:p>
    <w:p w:rsidR="0018722C">
      <w:pPr>
        <w:topLinePunct/>
      </w:pPr>
      <w:r>
        <w:rPr>
          <w:rFonts w:cstheme="minorBidi" w:hAnsiTheme="minorHAnsi" w:eastAsiaTheme="minorHAnsi" w:asciiTheme="minorHAnsi" w:ascii="宋体" w:hAnsi="宋体" w:eastAsia="宋体" w:cs="宋体"/>
          <w:b/>
        </w:rPr>
        <w:t>2 HBx</w:t>
      </w:r>
      <w:r w:rsidR="001852F3">
        <w:rPr>
          <w:rFonts w:cstheme="minorBidi" w:hAnsiTheme="minorHAnsi" w:eastAsiaTheme="minorHAnsi" w:asciiTheme="minorHAnsi" w:ascii="宋体" w:hAnsi="宋体" w:eastAsia="宋体" w:cs="宋体"/>
          <w:b/>
        </w:rPr>
        <w:t xml:space="preserve">上调</w:t>
      </w:r>
      <w:r w:rsidR="001852F3">
        <w:rPr>
          <w:rFonts w:cstheme="minorBidi" w:hAnsiTheme="minorHAnsi" w:eastAsiaTheme="minorHAnsi" w:asciiTheme="minorHAnsi" w:ascii="宋体" w:hAnsi="宋体" w:eastAsia="宋体" w:cs="宋体"/>
          <w:b/>
        </w:rPr>
        <w:t xml:space="preserve">HepG2</w:t>
      </w:r>
      <w:r w:rsidR="001852F3">
        <w:rPr>
          <w:rFonts w:cstheme="minorBidi" w:hAnsiTheme="minorHAnsi" w:eastAsiaTheme="minorHAnsi" w:asciiTheme="minorHAnsi" w:ascii="宋体" w:hAnsi="宋体" w:eastAsia="宋体" w:cs="宋体"/>
          <w:b/>
        </w:rPr>
        <w:t xml:space="preserve">细胞</w:t>
      </w:r>
      <w:r w:rsidR="001852F3">
        <w:rPr>
          <w:rFonts w:cstheme="minorBidi" w:hAnsiTheme="minorHAnsi" w:eastAsiaTheme="minorHAnsi" w:asciiTheme="minorHAnsi" w:ascii="宋体" w:hAnsi="宋体" w:eastAsia="宋体" w:cs="宋体"/>
          <w:b/>
        </w:rPr>
        <w:t xml:space="preserve">β–catenin</w:t>
      </w:r>
      <w:r w:rsidR="001852F3">
        <w:rPr>
          <w:rFonts w:cstheme="minorBidi" w:hAnsiTheme="minorHAnsi" w:eastAsiaTheme="minorHAnsi" w:asciiTheme="minorHAnsi" w:ascii="宋体" w:hAnsi="宋体" w:eastAsia="宋体" w:cs="宋体"/>
          <w:b/>
        </w:rPr>
        <w:t xml:space="preserve">蛋白表达水平</w:t>
      </w:r>
    </w:p>
    <w:p w:rsidR="0018722C">
      <w:pPr>
        <w:topLinePunct/>
      </w:pPr>
      <w:r>
        <w:t>三组细胞</w:t>
      </w:r>
      <w:r>
        <w:t>β–catenin</w:t>
      </w:r>
      <w:r/>
      <w:r w:rsidR="001852F3">
        <w:t xml:space="preserve">蛋白表达情况如</w:t>
      </w:r>
      <w:r w:rsidR="001852F3">
        <w:t>图</w:t>
      </w:r>
      <w:r>
        <w:t>3</w:t>
      </w:r>
      <w:r/>
      <w:r w:rsidR="001852F3">
        <w:t xml:space="preserve">所示，</w:t>
      </w:r>
      <w:r>
        <w:t>β–catenin</w:t>
      </w:r>
      <w:r>
        <w:t> </w:t>
      </w:r>
      <w:r>
        <w:t>/</w:t>
      </w:r>
      <w:r>
        <w:t xml:space="preserve">β-actin</w:t>
      </w:r>
      <w:r w:rsidR="001852F3">
        <w:t xml:space="preserve">蛋</w:t>
      </w:r>
      <w:r>
        <w:t>白的相对灰度比值如</w:t>
      </w:r>
      <w:r>
        <w:t>表</w:t>
      </w:r>
      <w:r>
        <w:t>2</w:t>
      </w:r>
      <w:r/>
      <w:r w:rsidR="001852F3">
        <w:t xml:space="preserve">所示，统计学分析提示，</w:t>
      </w:r>
      <w:r>
        <w:t>HepG2</w:t>
      </w:r>
      <w:r>
        <w:t>/</w:t>
      </w:r>
      <w:r>
        <w:t>HBx</w:t>
      </w:r>
      <w:r/>
      <w:r w:rsidR="001852F3">
        <w:t xml:space="preserve">细胞组中</w:t>
      </w:r>
      <w:r>
        <w:t>β–catenin</w:t>
      </w:r>
      <w:r>
        <w:t>蛋白水平较</w:t>
      </w:r>
      <w:r>
        <w:t>HepG2</w:t>
      </w:r>
      <w:r>
        <w:t>/</w:t>
      </w:r>
      <w:r>
        <w:t>mock</w:t>
      </w:r>
      <w:r/>
      <w:r w:rsidR="001852F3">
        <w:t xml:space="preserve">细胞组与</w:t>
      </w:r>
      <w:r>
        <w:t>HepG2</w:t>
      </w:r>
      <w:r/>
      <w:r w:rsidR="001852F3">
        <w:t xml:space="preserve">细胞组升高</w:t>
      </w:r>
      <w:r>
        <w:t>（</w:t>
      </w:r>
      <w:r>
        <w:t>图</w:t>
      </w:r>
      <w:r>
        <w:t>4</w:t>
      </w:r>
      <w:r>
        <w:t>）</w:t>
      </w:r>
      <w:r>
        <w:t>，差异具有统计学意</w:t>
      </w:r>
      <w:r>
        <w:t>义</w:t>
      </w:r>
    </w:p>
    <w:p w:rsidR="0018722C">
      <w:pPr>
        <w:topLinePunct/>
      </w:pPr>
      <w:r>
        <w:t>（</w:t>
      </w:r>
      <w:r>
        <w:t>P&lt;0.05</w:t>
      </w:r>
      <w:r>
        <w:t>）</w:t>
      </w:r>
      <w:r>
        <w:rPr>
          <w:spacing w:val="-2"/>
        </w:rPr>
        <w:t xml:space="preserve">. </w:t>
      </w:r>
      <w:r>
        <w:t>该部分实验表明</w:t>
      </w:r>
      <w:r>
        <w:t>HBx</w:t>
      </w:r>
      <w:r/>
      <w:r w:rsidR="001852F3">
        <w:t xml:space="preserve">可以上调</w:t>
      </w:r>
      <w:r>
        <w:t>HepG2</w:t>
      </w:r>
      <w:r>
        <w:t>/</w:t>
      </w:r>
      <w:r>
        <w:t>HBx</w:t>
      </w:r>
      <w:r/>
      <w:r w:rsidR="001852F3">
        <w:t xml:space="preserve">细胞的</w:t>
      </w:r>
      <w:r>
        <w:t>β–catenin</w:t>
      </w:r>
      <w:r/>
      <w:r w:rsidR="001852F3">
        <w:t xml:space="preserve">蛋白表达水平。</w:t>
      </w:r>
    </w:p>
    <w:p w:rsidR="0018722C">
      <w:pPr>
        <w:pStyle w:val="affff5"/>
        <w:keepNext/>
        <w:topLinePunct/>
      </w:pPr>
      <w:r>
        <w:rPr>
          <w:sz w:val="20"/>
        </w:rPr>
        <w:drawing>
          <wp:inline distT="0" distB="0" distL="0" distR="0">
            <wp:extent cx="4481664" cy="1348739"/>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38" cstate="print"/>
                    <a:stretch>
                      <a:fillRect/>
                    </a:stretch>
                  </pic:blipFill>
                  <pic:spPr>
                    <a:xfrm>
                      <a:off x="0" y="0"/>
                      <a:ext cx="4481664" cy="1348739"/>
                    </a:xfrm>
                    <a:prstGeom prst="rect">
                      <a:avLst/>
                    </a:prstGeom>
                  </pic:spPr>
                </pic:pic>
              </a:graphicData>
            </a:graphic>
          </wp:inline>
        </w:drawing>
      </w:r>
      <w:r/>
    </w:p>
    <w:p w:rsidR="0018722C">
      <w:pPr>
        <w:pStyle w:val="a9"/>
        <w:topLinePunct/>
      </w:pPr>
      <w:r>
        <w:t>图</w:t>
      </w:r>
      <w:r>
        <w:t>3</w:t>
      </w:r>
      <w:r>
        <w:t xml:space="preserve">  </w:t>
      </w:r>
      <w:r>
        <w:t>三组细胞</w:t>
      </w:r>
      <w:r>
        <w:t>β–catenin</w:t>
      </w:r>
      <w:r w:rsidR="001852F3">
        <w:t xml:space="preserve">蛋白表达水平，</w:t>
      </w:r>
      <w:r w:rsidR="001852F3">
        <w:t xml:space="preserve">HBx</w:t>
      </w:r>
      <w:r w:rsidP="AA7D325B">
        <w:t>：</w:t>
      </w:r>
      <w:r>
        <w:t>HepG2</w:t>
      </w:r>
      <w:r>
        <w:t>/</w:t>
      </w:r>
      <w:r>
        <w:t>HBx</w:t>
      </w:r>
      <w:r/>
      <w:r w:rsidR="001852F3">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三组细胞</w:t>
      </w:r>
      <w:r>
        <w:rPr>
          <w:rFonts w:cstheme="minorBidi" w:hAnsiTheme="minorHAnsi" w:eastAsiaTheme="minorHAnsi" w:asciiTheme="minorHAnsi"/>
        </w:rPr>
        <w:t>β–catenin</w:t>
      </w:r>
      <w:r>
        <w:rPr>
          <w:rFonts w:cstheme="minorBidi" w:hAnsiTheme="minorHAnsi" w:eastAsiaTheme="minorHAnsi" w:asciiTheme="minorHAnsi"/>
        </w:rPr>
        <w:t>/</w:t>
      </w:r>
      <w:r>
        <w:rPr>
          <w:rFonts w:cstheme="minorBidi" w:hAnsiTheme="minorHAnsi" w:eastAsiaTheme="minorHAnsi" w:asciiTheme="minorHAnsi"/>
        </w:rPr>
        <w:t>β-actin</w:t>
      </w:r>
      <w:r>
        <w:rPr>
          <w:rFonts w:cstheme="minorBidi" w:hAnsiTheme="minorHAnsi" w:eastAsiaTheme="minorHAnsi" w:asciiTheme="minorHAnsi"/>
        </w:rPr>
        <w:t>蛋白</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8"/>
        <w:gridCol w:w="1150"/>
        <w:gridCol w:w="1103"/>
        <w:gridCol w:w="1155"/>
        <w:gridCol w:w="2729"/>
      </w:tblGrid>
      <w:tr>
        <w:trPr>
          <w:tblHeader/>
        </w:trPr>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18" w:type="pct"/>
            <w:vAlign w:val="center"/>
          </w:tcPr>
          <w:p w:rsidR="0018722C">
            <w:pPr>
              <w:pStyle w:val="ac"/>
              <w:topLinePunct/>
              <w:ind w:leftChars="0" w:left="0" w:rightChars="0" w:right="0" w:firstLineChars="0" w:firstLine="0"/>
              <w:spacing w:line="240" w:lineRule="atLeast"/>
            </w:pPr>
            <w:r>
              <w:t>组 别</w:t>
            </w:r>
          </w:p>
        </w:tc>
        <w:tc>
          <w:tcPr>
            <w:tcW w:w="727" w:type="pct"/>
            <w:vAlign w:val="center"/>
          </w:tcPr>
          <w:p w:rsidR="0018722C">
            <w:pPr>
              <w:pStyle w:val="a5"/>
              <w:topLinePunct/>
              <w:ind w:leftChars="0" w:left="0" w:rightChars="0" w:right="0" w:firstLineChars="0" w:firstLine="0"/>
              <w:spacing w:line="240" w:lineRule="atLeast"/>
            </w:pPr>
            <w:r>
              <w:t>第一次</w:t>
            </w:r>
          </w:p>
        </w:tc>
        <w:tc>
          <w:tcPr>
            <w:tcW w:w="698" w:type="pct"/>
            <w:vAlign w:val="center"/>
          </w:tcPr>
          <w:p w:rsidR="0018722C">
            <w:pPr>
              <w:pStyle w:val="a5"/>
              <w:topLinePunct/>
              <w:ind w:leftChars="0" w:left="0" w:rightChars="0" w:right="0" w:firstLineChars="0" w:firstLine="0"/>
              <w:spacing w:line="240" w:lineRule="atLeast"/>
            </w:pPr>
            <w:r>
              <w:t>第二次</w:t>
            </w:r>
          </w:p>
        </w:tc>
        <w:tc>
          <w:tcPr>
            <w:tcW w:w="731" w:type="pct"/>
            <w:vAlign w:val="center"/>
          </w:tcPr>
          <w:p w:rsidR="0018722C">
            <w:pPr>
              <w:pStyle w:val="a5"/>
              <w:topLinePunct/>
              <w:ind w:leftChars="0" w:left="0" w:rightChars="0" w:right="0" w:firstLineChars="0" w:firstLine="0"/>
              <w:spacing w:line="240" w:lineRule="atLeast"/>
            </w:pPr>
            <w:r>
              <w:t>第三次</w:t>
            </w:r>
          </w:p>
        </w:tc>
        <w:tc>
          <w:tcPr>
            <w:tcW w:w="1726"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1118" w:type="pct"/>
            <w:vAlign w:val="center"/>
          </w:tcPr>
          <w:p w:rsidR="0018722C">
            <w:pPr>
              <w:pStyle w:val="ac"/>
              <w:topLinePunct/>
              <w:ind w:leftChars="0" w:left="0" w:rightChars="0" w:right="0" w:firstLineChars="0" w:firstLine="0"/>
              <w:spacing w:line="240" w:lineRule="atLeast"/>
            </w:pPr>
            <w:r>
              <w:t>HepG2</w:t>
            </w:r>
          </w:p>
        </w:tc>
        <w:tc>
          <w:tcPr>
            <w:tcW w:w="727" w:type="pct"/>
            <w:vAlign w:val="center"/>
          </w:tcPr>
          <w:p w:rsidR="0018722C">
            <w:pPr>
              <w:pStyle w:val="affff9"/>
              <w:topLinePunct/>
              <w:ind w:leftChars="0" w:left="0" w:rightChars="0" w:right="0" w:firstLineChars="0" w:firstLine="0"/>
              <w:spacing w:line="240" w:lineRule="atLeast"/>
            </w:pPr>
            <w:r>
              <w:t>0.5110</w:t>
            </w:r>
          </w:p>
        </w:tc>
        <w:tc>
          <w:tcPr>
            <w:tcW w:w="698" w:type="pct"/>
            <w:vAlign w:val="center"/>
          </w:tcPr>
          <w:p w:rsidR="0018722C">
            <w:pPr>
              <w:pStyle w:val="affff9"/>
              <w:topLinePunct/>
              <w:ind w:leftChars="0" w:left="0" w:rightChars="0" w:right="0" w:firstLineChars="0" w:firstLine="0"/>
              <w:spacing w:line="240" w:lineRule="atLeast"/>
            </w:pPr>
            <w:r>
              <w:t>0.5514</w:t>
            </w:r>
          </w:p>
        </w:tc>
        <w:tc>
          <w:tcPr>
            <w:tcW w:w="731" w:type="pct"/>
            <w:vAlign w:val="center"/>
          </w:tcPr>
          <w:p w:rsidR="0018722C">
            <w:pPr>
              <w:pStyle w:val="affff9"/>
              <w:topLinePunct/>
              <w:ind w:leftChars="0" w:left="0" w:rightChars="0" w:right="0" w:firstLineChars="0" w:firstLine="0"/>
              <w:spacing w:line="240" w:lineRule="atLeast"/>
            </w:pPr>
            <w:r>
              <w:t>0.5959</w:t>
            </w:r>
          </w:p>
        </w:tc>
        <w:tc>
          <w:tcPr>
            <w:tcW w:w="1726" w:type="pct"/>
            <w:vAlign w:val="center"/>
          </w:tcPr>
          <w:p w:rsidR="0018722C">
            <w:pPr>
              <w:pStyle w:val="ad"/>
              <w:topLinePunct/>
              <w:ind w:leftChars="0" w:left="0" w:rightChars="0" w:right="0" w:firstLineChars="0" w:firstLine="0"/>
              <w:spacing w:line="240" w:lineRule="atLeast"/>
            </w:pPr>
            <w:r>
              <w:t>0.5527±0.0425</w:t>
            </w:r>
          </w:p>
        </w:tc>
      </w:tr>
      <w:tr>
        <w:tc>
          <w:tcPr>
            <w:tcW w:w="1118" w:type="pct"/>
            <w:vAlign w:val="center"/>
          </w:tcPr>
          <w:p w:rsidR="0018722C">
            <w:pPr>
              <w:pStyle w:val="ac"/>
              <w:topLinePunct/>
              <w:ind w:leftChars="0" w:left="0" w:rightChars="0" w:right="0" w:firstLineChars="0" w:firstLine="0"/>
              <w:spacing w:line="240" w:lineRule="atLeast"/>
            </w:pPr>
            <w:r>
              <w:t>HepG2</w:t>
            </w:r>
            <w:r>
              <w:t>/</w:t>
            </w:r>
            <w:r>
              <w:t>mock</w:t>
            </w:r>
          </w:p>
        </w:tc>
        <w:tc>
          <w:tcPr>
            <w:tcW w:w="727" w:type="pct"/>
            <w:vAlign w:val="center"/>
          </w:tcPr>
          <w:p w:rsidR="0018722C">
            <w:pPr>
              <w:pStyle w:val="affff9"/>
              <w:topLinePunct/>
              <w:ind w:leftChars="0" w:left="0" w:rightChars="0" w:right="0" w:firstLineChars="0" w:firstLine="0"/>
              <w:spacing w:line="240" w:lineRule="atLeast"/>
            </w:pPr>
            <w:r>
              <w:t>0.5041</w:t>
            </w:r>
          </w:p>
        </w:tc>
        <w:tc>
          <w:tcPr>
            <w:tcW w:w="698" w:type="pct"/>
            <w:vAlign w:val="center"/>
          </w:tcPr>
          <w:p w:rsidR="0018722C">
            <w:pPr>
              <w:pStyle w:val="affff9"/>
              <w:topLinePunct/>
              <w:ind w:leftChars="0" w:left="0" w:rightChars="0" w:right="0" w:firstLineChars="0" w:firstLine="0"/>
              <w:spacing w:line="240" w:lineRule="atLeast"/>
            </w:pPr>
            <w:r>
              <w:t>0.5333</w:t>
            </w:r>
          </w:p>
        </w:tc>
        <w:tc>
          <w:tcPr>
            <w:tcW w:w="731" w:type="pct"/>
            <w:vAlign w:val="center"/>
          </w:tcPr>
          <w:p w:rsidR="0018722C">
            <w:pPr>
              <w:pStyle w:val="affff9"/>
              <w:topLinePunct/>
              <w:ind w:leftChars="0" w:left="0" w:rightChars="0" w:right="0" w:firstLineChars="0" w:firstLine="0"/>
              <w:spacing w:line="240" w:lineRule="atLeast"/>
            </w:pPr>
            <w:r>
              <w:t>0.5709</w:t>
            </w:r>
          </w:p>
        </w:tc>
        <w:tc>
          <w:tcPr>
            <w:tcW w:w="1726" w:type="pct"/>
            <w:vAlign w:val="center"/>
          </w:tcPr>
          <w:p w:rsidR="0018722C">
            <w:pPr>
              <w:pStyle w:val="ad"/>
              <w:topLinePunct/>
              <w:ind w:leftChars="0" w:left="0" w:rightChars="0" w:right="0" w:firstLineChars="0" w:firstLine="0"/>
              <w:spacing w:line="240" w:lineRule="atLeast"/>
            </w:pPr>
            <w:r>
              <w:t>0.5361±0.0335</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0.7093</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0.7512</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0.7580</w:t>
            </w:r>
          </w:p>
        </w:tc>
        <w:tc>
          <w:tcPr>
            <w:tcW w:w="1726" w:type="pct"/>
            <w:vAlign w:val="center"/>
            <w:tcBorders>
              <w:top w:val="single" w:sz="4" w:space="0" w:color="auto"/>
            </w:tcBorders>
          </w:tcPr>
          <w:p w:rsidR="0018722C">
            <w:pPr>
              <w:pStyle w:val="ad"/>
              <w:topLinePunct/>
              <w:ind w:leftChars="0" w:left="0" w:rightChars="0" w:right="0" w:firstLineChars="0" w:firstLine="0"/>
              <w:spacing w:line="240" w:lineRule="atLeast"/>
            </w:pPr>
            <w:r>
              <w:t>0.7395±0.0264</w:t>
            </w:r>
          </w:p>
        </w:tc>
      </w:tr>
    </w:tbl>
    <w:p w:rsidR="0018722C">
      <w:pPr>
        <w:rPr/>
        <w:topLinePunct/>
        <w:pStyle w:val="affa"/>
      </w:pPr>
    </w:p>
    <w:p w:rsidR="0018722C">
      <w:pPr>
        <w:pStyle w:val="affff5"/>
        <w:keepNext/>
        <w:topLinePunct/>
      </w:pPr>
      <w:r>
        <w:rPr>
          <w:sz w:val="20"/>
        </w:rPr>
        <w:drawing>
          <wp:inline distT="0" distB="0" distL="0" distR="0">
            <wp:extent cx="3669493" cy="2715768"/>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39" cstate="print"/>
                    <a:stretch>
                      <a:fillRect/>
                    </a:stretch>
                  </pic:blipFill>
                  <pic:spPr>
                    <a:xfrm>
                      <a:off x="0" y="0"/>
                      <a:ext cx="3669493" cy="2715768"/>
                    </a:xfrm>
                    <a:prstGeom prst="rect">
                      <a:avLst/>
                    </a:prstGeom>
                  </pic:spPr>
                </pic:pic>
              </a:graphicData>
            </a:graphic>
          </wp:inline>
        </w:drawing>
      </w:r>
      <w:r/>
    </w:p>
    <w:p w:rsidR="0018722C">
      <w:pPr>
        <w:pStyle w:val="a9"/>
        <w:topLinePunct/>
      </w:pPr>
      <w:r>
        <w:t>图</w:t>
      </w:r>
      <w:r>
        <w:t>4</w:t>
      </w:r>
      <w:r>
        <w:t xml:space="preserve">  </w:t>
      </w:r>
      <w:r>
        <w:t>三组细胞</w:t>
      </w:r>
      <w:r>
        <w:t>β–catenin</w:t>
      </w:r>
      <w:r w:rsidR="001852F3">
        <w:t xml:space="preserve">蛋白表达水平</w:t>
      </w:r>
      <w:r>
        <w:t>（</w:t>
      </w:r>
      <w:r>
        <w:rPr>
          <w:rFonts w:ascii="Times New Roman" w:hAnsi="Times New Roman" w:eastAsia="Times New Roman"/>
        </w:rPr>
        <w:t>*</w:t>
      </w:r>
      <w:r w:rsidP="AA7D325B">
        <w:t>，</w:t>
      </w:r>
      <w:r>
        <w:t>P&lt;0.05</w:t>
      </w:r>
      <w:r>
        <w:t>）</w:t>
      </w:r>
      <w:r>
        <w:t>，</w:t>
      </w:r>
      <w:r w:rsidR="001852F3">
        <w:t xml:space="preserve">HBx</w:t>
      </w:r>
      <w:r w:rsidP="AA7D325B">
        <w:t>：</w:t>
      </w:r>
      <w:r>
        <w:t>HepG2</w:t>
      </w:r>
      <w:r>
        <w:t>/</w:t>
      </w:r>
      <w:r>
        <w:t>HBx细胞; Mock</w:t>
      </w:r>
      <w:r w:rsidP="AA7D325B">
        <w:t>：</w:t>
      </w:r>
      <w:r>
        <w:t>HepG2</w:t>
      </w:r>
      <w:r>
        <w:t>/</w:t>
      </w:r>
      <w:r>
        <w:t>mock</w:t>
      </w:r>
      <w:r/>
      <w:r w:rsidR="001852F3">
        <w:t xml:space="preserve">细胞; </w:t>
      </w:r>
      <w:r>
        <w:t>Control</w:t>
      </w:r>
      <w:r w:rsidP="AA7D325B">
        <w:t>：</w:t>
      </w:r>
      <w:r>
        <w:t>HepG2</w:t>
      </w:r>
      <w:r/>
      <w:r w:rsidR="001852F3">
        <w:t xml:space="preserve">细胞</w:t>
      </w:r>
    </w:p>
    <w:p w:rsidR="0018722C">
      <w:pPr>
        <w:pStyle w:val="cw20"/>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上调</w:t>
      </w:r>
      <w:r>
        <w:rPr>
          <w:rFonts w:cstheme="minorBidi" w:hAnsiTheme="minorHAnsi" w:eastAsiaTheme="minorHAnsi" w:asciiTheme="minorHAnsi" w:ascii="宋体" w:hAnsi="宋体" w:eastAsia="宋体" w:cs="宋体"/>
          <w:b/>
        </w:rPr>
        <w:t>HepG2</w:t>
      </w:r>
      <w:r w:rsidR="001852F3">
        <w:rPr>
          <w:rFonts w:cstheme="minorBidi" w:hAnsiTheme="minorHAnsi" w:eastAsiaTheme="minorHAnsi" w:asciiTheme="minorHAnsi" w:ascii="宋体" w:hAnsi="宋体" w:eastAsia="宋体" w:cs="宋体"/>
          <w:b/>
        </w:rPr>
        <w:t xml:space="preserve">细胞</w:t>
      </w:r>
      <w:r>
        <w:rPr>
          <w:rFonts w:cstheme="minorBidi" w:hAnsiTheme="minorHAnsi" w:eastAsiaTheme="minorHAnsi" w:asciiTheme="minorHAnsi" w:ascii="宋体" w:hAnsi="宋体" w:eastAsia="宋体" w:cs="宋体"/>
          <w:b/>
        </w:rPr>
        <w:t>cyclin-D1</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mRNA</w:t>
      </w:r>
      <w:r w:rsidR="001852F3">
        <w:rPr>
          <w:rFonts w:cstheme="minorBidi" w:hAnsiTheme="minorHAnsi" w:eastAsiaTheme="minorHAnsi" w:asciiTheme="minorHAnsi" w:ascii="宋体" w:hAnsi="宋体" w:eastAsia="宋体" w:cs="宋体"/>
          <w:b/>
        </w:rPr>
        <w:t xml:space="preserve">水平</w:t>
      </w:r>
    </w:p>
    <w:p w:rsidR="0018722C">
      <w:pPr>
        <w:topLinePunct/>
      </w:pPr>
      <w:r>
        <w:t>三组细胞</w:t>
      </w:r>
      <w:r>
        <w:t>cyclin-D1 mRNA</w:t>
      </w:r>
      <w:r/>
      <w:r w:rsidR="001852F3">
        <w:t xml:space="preserve">表达情况如</w:t>
      </w:r>
      <w:r w:rsidR="001852F3">
        <w:t>图</w:t>
      </w:r>
      <w:r>
        <w:t>5</w:t>
      </w:r>
      <w:r/>
      <w:r w:rsidR="001852F3">
        <w:t xml:space="preserve">所示</w:t>
      </w:r>
      <w:r>
        <w:t>，cyclin-D1 mRNA</w:t>
      </w:r>
      <w:r>
        <w:t>/</w:t>
      </w:r>
      <w:r>
        <w:t>β-actin</w:t>
      </w:r>
    </w:p>
    <w:p w:rsidR="0018722C">
      <w:pPr>
        <w:topLinePunct/>
      </w:pPr>
      <w:r>
        <w:t>mRNA</w:t>
      </w:r>
      <w:r/>
      <w:r w:rsidR="001852F3">
        <w:t xml:space="preserve">的相对灰度比值如</w:t>
      </w:r>
      <w:r w:rsidR="001852F3">
        <w:t>表</w:t>
      </w:r>
      <w:r>
        <w:t>3</w:t>
      </w:r>
      <w:r/>
      <w:r w:rsidR="001852F3">
        <w:t xml:space="preserve">所示，</w:t>
      </w:r>
      <w:r w:rsidR="001852F3">
        <w:t xml:space="preserve">统计学分析提示，</w:t>
      </w:r>
      <w:r>
        <w:t>HepG2</w:t>
      </w:r>
      <w:r>
        <w:t>/</w:t>
      </w:r>
      <w:r>
        <w:t>HBx</w:t>
      </w:r>
      <w:r/>
      <w:r w:rsidR="001852F3">
        <w:t xml:space="preserve">细胞组中cyclin-D1 mRNA</w:t>
      </w:r>
      <w:r/>
      <w:r w:rsidR="001852F3">
        <w:t xml:space="preserve">较</w:t>
      </w:r>
      <w:r>
        <w:t>HepG2</w:t>
      </w:r>
      <w:r>
        <w:t>/</w:t>
      </w:r>
      <w:r>
        <w:t>mock</w:t>
      </w:r>
      <w:r/>
      <w:r w:rsidR="001852F3">
        <w:t xml:space="preserve">细胞组与</w:t>
      </w:r>
      <w:r>
        <w:t>HepG2</w:t>
      </w:r>
      <w:r/>
      <w:r w:rsidR="001852F3">
        <w:t xml:space="preserve">细胞组升高</w:t>
      </w:r>
      <w:r>
        <w:t>（</w:t>
      </w:r>
      <w:r>
        <w:t>图</w:t>
      </w:r>
      <w:r>
        <w:t>6</w:t>
      </w:r>
      <w:r>
        <w:t>）</w:t>
      </w:r>
      <w:r>
        <w:t>，差异具有统计学意义</w:t>
      </w:r>
      <w:r>
        <w:t>(</w:t>
      </w:r>
      <w:r>
        <w:t>P&lt;0.05</w:t>
      </w:r>
      <w:r>
        <w:t>)</w:t>
      </w:r>
      <w:r>
        <w:rPr>
          <w:spacing w:val="-2"/>
        </w:rPr>
        <w:t xml:space="preserve">. </w:t>
      </w:r>
      <w:r>
        <w:t>该部分实验表明</w:t>
      </w:r>
      <w:r>
        <w:t>HBx</w:t>
      </w:r>
      <w:r/>
      <w:r w:rsidR="001852F3">
        <w:t xml:space="preserve">可以上调</w:t>
      </w:r>
      <w:r>
        <w:t>HepG2</w:t>
      </w:r>
      <w:r>
        <w:t>/</w:t>
      </w:r>
      <w:r>
        <w:t>HBx</w:t>
      </w:r>
      <w:r/>
      <w:r w:rsidR="001852F3">
        <w:t xml:space="preserve">细胞的</w:t>
      </w:r>
      <w:r>
        <w:t>cyclin-D1 mRNA</w:t>
      </w:r>
      <w:r/>
      <w:r w:rsidR="001852F3">
        <w:t xml:space="preserve">水平。</w:t>
      </w:r>
    </w:p>
    <w:p w:rsidR="0018722C">
      <w:pPr>
        <w:pStyle w:val="affff5"/>
        <w:keepNext/>
        <w:topLinePunct/>
      </w:pPr>
      <w:r>
        <w:rPr>
          <w:sz w:val="20"/>
        </w:rPr>
        <w:drawing>
          <wp:inline distT="0" distB="0" distL="0" distR="0">
            <wp:extent cx="4011590" cy="960120"/>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40" cstate="print"/>
                    <a:stretch>
                      <a:fillRect/>
                    </a:stretch>
                  </pic:blipFill>
                  <pic:spPr>
                    <a:xfrm>
                      <a:off x="0" y="0"/>
                      <a:ext cx="4011590" cy="960120"/>
                    </a:xfrm>
                    <a:prstGeom prst="rect">
                      <a:avLst/>
                    </a:prstGeom>
                  </pic:spPr>
                </pic:pic>
              </a:graphicData>
            </a:graphic>
          </wp:inline>
        </w:drawing>
      </w:r>
      <w:r/>
    </w:p>
    <w:p w:rsidR="0018722C">
      <w:pPr>
        <w:pStyle w:val="a9"/>
        <w:topLinePunct/>
      </w:pPr>
      <w:r>
        <w:t>图5</w:t>
      </w:r>
      <w:r>
        <w:t xml:space="preserve">  </w:t>
      </w:r>
      <w:r w:rsidRPr="00DB64CE">
        <w:t>三组细胞</w:t>
      </w:r>
      <w:r w:rsidR="001852F3">
        <w:t xml:space="preserve">cyclin-D1 mRNA</w:t>
      </w:r>
      <w:r w:rsidR="001852F3">
        <w:t xml:space="preserve">表达水平，</w:t>
      </w:r>
      <w:r w:rsidR="001852F3">
        <w:t xml:space="preserve">HBx</w:t>
      </w:r>
      <w:r w:rsidP="AA7D325B">
        <w:t>：</w:t>
      </w:r>
      <w:r>
        <w:t>HepG2</w:t>
      </w:r>
      <w:r>
        <w:t>/</w:t>
      </w:r>
      <w:r>
        <w:t>HBx</w:t>
      </w:r>
      <w:r w:rsidR="001852F3">
        <w:t xml:space="preserve">细胞; Mock</w:t>
      </w:r>
      <w:r w:rsidP="AA7D325B">
        <w:t>：</w:t>
      </w:r>
      <w:r w:rsidR="001852F3">
        <w:t xml:space="preserve">HepG2</w:t>
      </w:r>
      <w:r>
        <w:t>/</w:t>
      </w:r>
      <w:r>
        <w:t>mock</w:t>
      </w:r>
      <w:r w:rsidR="001852F3">
        <w:t xml:space="preserve">细胞; Control</w:t>
      </w:r>
      <w:r w:rsidP="AA7D325B">
        <w:t>：</w:t>
      </w:r>
      <w:r>
        <w:t>HepG2</w:t>
      </w:r>
      <w:r w:rsidR="001852F3">
        <w:t xml:space="preserve">细胞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Pr>
          <w:rFonts w:cstheme="minorBidi" w:hAnsiTheme="minorHAnsi" w:eastAsiaTheme="minorHAnsi" w:asciiTheme="minorHAnsi"/>
        </w:rPr>
        <w:t>三组细胞</w:t>
      </w:r>
      <w:r>
        <w:rPr>
          <w:rFonts w:cstheme="minorBidi" w:hAnsiTheme="minorHAnsi" w:eastAsiaTheme="minorHAnsi" w:asciiTheme="minorHAnsi"/>
        </w:rPr>
        <w:t>cyclin-D1</w:t>
      </w:r>
      <w:r>
        <w:rPr>
          <w:rFonts w:cstheme="minorBidi" w:hAnsiTheme="minorHAnsi" w:eastAsiaTheme="minorHAnsi" w:asciiTheme="minorHAnsi"/>
        </w:rPr>
        <w:t>/</w:t>
      </w:r>
      <w:r>
        <w:rPr>
          <w:rFonts w:cstheme="minorBidi" w:hAnsiTheme="minorHAnsi" w:eastAsiaTheme="minorHAnsi" w:asciiTheme="minorHAnsi"/>
        </w:rPr>
        <w:t>β-actin</w:t>
      </w:r>
      <w:r w:rsidRPr="00000000">
        <w:rPr>
          <w:rFonts w:cstheme="minorBidi" w:hAnsiTheme="minorHAnsi" w:eastAsiaTheme="minorHAnsi" w:asciiTheme="minorHAnsi"/>
        </w:rPr>
        <w:tab/>
        <w:t>mRNA</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8"/>
        <w:gridCol w:w="1207"/>
        <w:gridCol w:w="1155"/>
        <w:gridCol w:w="1203"/>
        <w:gridCol w:w="2571"/>
      </w:tblGrid>
      <w:tr>
        <w:trPr>
          <w:tblHeader/>
        </w:trPr>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18" w:type="pct"/>
            <w:vAlign w:val="center"/>
          </w:tcPr>
          <w:p w:rsidR="0018722C">
            <w:pPr>
              <w:pStyle w:val="ac"/>
              <w:topLinePunct/>
              <w:ind w:leftChars="0" w:left="0" w:rightChars="0" w:right="0" w:firstLineChars="0" w:firstLine="0"/>
              <w:spacing w:line="240" w:lineRule="atLeast"/>
            </w:pPr>
            <w:r>
              <w:t>组 别</w:t>
            </w:r>
          </w:p>
        </w:tc>
        <w:tc>
          <w:tcPr>
            <w:tcW w:w="764" w:type="pct"/>
            <w:vAlign w:val="center"/>
          </w:tcPr>
          <w:p w:rsidR="0018722C">
            <w:pPr>
              <w:pStyle w:val="a5"/>
              <w:topLinePunct/>
              <w:ind w:leftChars="0" w:left="0" w:rightChars="0" w:right="0" w:firstLineChars="0" w:firstLine="0"/>
              <w:spacing w:line="240" w:lineRule="atLeast"/>
            </w:pPr>
            <w:r>
              <w:t>第一次</w:t>
            </w:r>
          </w:p>
        </w:tc>
        <w:tc>
          <w:tcPr>
            <w:tcW w:w="731" w:type="pct"/>
            <w:vAlign w:val="center"/>
          </w:tcPr>
          <w:p w:rsidR="0018722C">
            <w:pPr>
              <w:pStyle w:val="a5"/>
              <w:topLinePunct/>
              <w:ind w:leftChars="0" w:left="0" w:rightChars="0" w:right="0" w:firstLineChars="0" w:firstLine="0"/>
              <w:spacing w:line="240" w:lineRule="atLeast"/>
            </w:pPr>
            <w:r>
              <w:t>第二次</w:t>
            </w:r>
          </w:p>
        </w:tc>
        <w:tc>
          <w:tcPr>
            <w:tcW w:w="761" w:type="pct"/>
            <w:vAlign w:val="center"/>
          </w:tcPr>
          <w:p w:rsidR="0018722C">
            <w:pPr>
              <w:pStyle w:val="a5"/>
              <w:topLinePunct/>
              <w:ind w:leftChars="0" w:left="0" w:rightChars="0" w:right="0" w:firstLineChars="0" w:firstLine="0"/>
              <w:spacing w:line="240" w:lineRule="atLeast"/>
            </w:pPr>
            <w:r>
              <w:t>第三次</w:t>
            </w:r>
          </w:p>
        </w:tc>
        <w:tc>
          <w:tcPr>
            <w:tcW w:w="1626" w:type="pct"/>
            <w:vAlign w:val="center"/>
          </w:tcPr>
          <w:p w:rsidR="0018722C">
            <w:pPr>
              <w:pStyle w:val="ad"/>
              <w:topLinePunct/>
              <w:ind w:leftChars="0" w:left="0" w:rightChars="0" w:right="0" w:firstLineChars="0" w:firstLine="0"/>
              <w:spacing w:line="240" w:lineRule="atLeast"/>
            </w:pPr>
            <w:r>
              <w:t>X </w:t>
            </w:r>
            <w:r>
              <w:t></w:t>
            </w:r>
            <w:r>
              <w:t> </w:t>
            </w:r>
            <w:r>
              <w:t>s</w:t>
            </w:r>
          </w:p>
        </w:tc>
      </w:tr>
      <w:tr>
        <w:tc>
          <w:tcPr>
            <w:tcW w:w="1118" w:type="pct"/>
            <w:vAlign w:val="center"/>
          </w:tcPr>
          <w:p w:rsidR="0018722C">
            <w:pPr>
              <w:pStyle w:val="ac"/>
              <w:topLinePunct/>
              <w:ind w:leftChars="0" w:left="0" w:rightChars="0" w:right="0" w:firstLineChars="0" w:firstLine="0"/>
              <w:spacing w:line="240" w:lineRule="atLeast"/>
            </w:pPr>
            <w:r>
              <w:t>HepG2</w:t>
            </w:r>
          </w:p>
        </w:tc>
        <w:tc>
          <w:tcPr>
            <w:tcW w:w="764" w:type="pct"/>
            <w:vAlign w:val="center"/>
          </w:tcPr>
          <w:p w:rsidR="0018722C">
            <w:pPr>
              <w:pStyle w:val="affff9"/>
              <w:topLinePunct/>
              <w:ind w:leftChars="0" w:left="0" w:rightChars="0" w:right="0" w:firstLineChars="0" w:firstLine="0"/>
              <w:spacing w:line="240" w:lineRule="atLeast"/>
            </w:pPr>
            <w:r>
              <w:t>0.3309</w:t>
            </w:r>
          </w:p>
        </w:tc>
        <w:tc>
          <w:tcPr>
            <w:tcW w:w="731" w:type="pct"/>
            <w:vAlign w:val="center"/>
          </w:tcPr>
          <w:p w:rsidR="0018722C">
            <w:pPr>
              <w:pStyle w:val="affff9"/>
              <w:topLinePunct/>
              <w:ind w:leftChars="0" w:left="0" w:rightChars="0" w:right="0" w:firstLineChars="0" w:firstLine="0"/>
              <w:spacing w:line="240" w:lineRule="atLeast"/>
            </w:pPr>
            <w:r>
              <w:t>0.1801</w:t>
            </w:r>
          </w:p>
        </w:tc>
        <w:tc>
          <w:tcPr>
            <w:tcW w:w="761" w:type="pct"/>
            <w:vAlign w:val="center"/>
          </w:tcPr>
          <w:p w:rsidR="0018722C">
            <w:pPr>
              <w:pStyle w:val="affff9"/>
              <w:topLinePunct/>
              <w:ind w:leftChars="0" w:left="0" w:rightChars="0" w:right="0" w:firstLineChars="0" w:firstLine="0"/>
              <w:spacing w:line="240" w:lineRule="atLeast"/>
            </w:pPr>
            <w:r>
              <w:t>0.2633</w:t>
            </w:r>
          </w:p>
        </w:tc>
        <w:tc>
          <w:tcPr>
            <w:tcW w:w="1626" w:type="pct"/>
            <w:vAlign w:val="center"/>
          </w:tcPr>
          <w:p w:rsidR="0018722C">
            <w:pPr>
              <w:pStyle w:val="ad"/>
              <w:topLinePunct/>
              <w:ind w:leftChars="0" w:left="0" w:rightChars="0" w:right="0" w:firstLineChars="0" w:firstLine="0"/>
              <w:spacing w:line="240" w:lineRule="atLeast"/>
            </w:pPr>
            <w:r>
              <w:t>0.2581±0.0755</w:t>
            </w:r>
          </w:p>
        </w:tc>
      </w:tr>
      <w:tr>
        <w:tc>
          <w:tcPr>
            <w:tcW w:w="1118" w:type="pct"/>
            <w:vAlign w:val="center"/>
          </w:tcPr>
          <w:p w:rsidR="0018722C">
            <w:pPr>
              <w:pStyle w:val="ac"/>
              <w:topLinePunct/>
              <w:ind w:leftChars="0" w:left="0" w:rightChars="0" w:right="0" w:firstLineChars="0" w:firstLine="0"/>
              <w:spacing w:line="240" w:lineRule="atLeast"/>
            </w:pPr>
            <w:r>
              <w:t>HepG2</w:t>
            </w:r>
            <w:r>
              <w:t>/</w:t>
            </w:r>
            <w:r>
              <w:t>mock</w:t>
            </w:r>
          </w:p>
        </w:tc>
        <w:tc>
          <w:tcPr>
            <w:tcW w:w="764" w:type="pct"/>
            <w:vAlign w:val="center"/>
          </w:tcPr>
          <w:p w:rsidR="0018722C">
            <w:pPr>
              <w:pStyle w:val="affff9"/>
              <w:topLinePunct/>
              <w:ind w:leftChars="0" w:left="0" w:rightChars="0" w:right="0" w:firstLineChars="0" w:firstLine="0"/>
              <w:spacing w:line="240" w:lineRule="atLeast"/>
            </w:pPr>
            <w:r>
              <w:t>0.4620</w:t>
            </w:r>
          </w:p>
        </w:tc>
        <w:tc>
          <w:tcPr>
            <w:tcW w:w="731" w:type="pct"/>
            <w:vAlign w:val="center"/>
          </w:tcPr>
          <w:p w:rsidR="0018722C">
            <w:pPr>
              <w:pStyle w:val="affff9"/>
              <w:topLinePunct/>
              <w:ind w:leftChars="0" w:left="0" w:rightChars="0" w:right="0" w:firstLineChars="0" w:firstLine="0"/>
              <w:spacing w:line="240" w:lineRule="atLeast"/>
            </w:pPr>
            <w:r>
              <w:t>0.4426</w:t>
            </w:r>
          </w:p>
        </w:tc>
        <w:tc>
          <w:tcPr>
            <w:tcW w:w="761" w:type="pct"/>
            <w:vAlign w:val="center"/>
          </w:tcPr>
          <w:p w:rsidR="0018722C">
            <w:pPr>
              <w:pStyle w:val="affff9"/>
              <w:topLinePunct/>
              <w:ind w:leftChars="0" w:left="0" w:rightChars="0" w:right="0" w:firstLineChars="0" w:firstLine="0"/>
              <w:spacing w:line="240" w:lineRule="atLeast"/>
            </w:pPr>
            <w:r>
              <w:t>0.2357</w:t>
            </w:r>
          </w:p>
        </w:tc>
        <w:tc>
          <w:tcPr>
            <w:tcW w:w="1626" w:type="pct"/>
            <w:vAlign w:val="center"/>
          </w:tcPr>
          <w:p w:rsidR="0018722C">
            <w:pPr>
              <w:pStyle w:val="ad"/>
              <w:topLinePunct/>
              <w:ind w:leftChars="0" w:left="0" w:rightChars="0" w:right="0" w:firstLineChars="0" w:firstLine="0"/>
              <w:spacing w:line="240" w:lineRule="atLeast"/>
            </w:pPr>
            <w:r>
              <w:t>0.3801±0.1255</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0.6094</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0.5907</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0.5326</w:t>
            </w:r>
          </w:p>
        </w:tc>
        <w:tc>
          <w:tcPr>
            <w:tcW w:w="1626" w:type="pct"/>
            <w:vAlign w:val="center"/>
            <w:tcBorders>
              <w:top w:val="single" w:sz="4" w:space="0" w:color="auto"/>
            </w:tcBorders>
          </w:tcPr>
          <w:p w:rsidR="0018722C">
            <w:pPr>
              <w:pStyle w:val="ad"/>
              <w:topLinePunct/>
              <w:ind w:leftChars="0" w:left="0" w:rightChars="0" w:right="0" w:firstLineChars="0" w:firstLine="0"/>
              <w:spacing w:line="240" w:lineRule="atLeast"/>
            </w:pPr>
            <w:r>
              <w:t>0.5776±0.0400</w:t>
            </w:r>
          </w:p>
        </w:tc>
      </w:tr>
    </w:tbl>
    <w:p w:rsidR="0018722C">
      <w:pPr>
        <w:rPr/>
        <w:topLinePunct/>
        <w:pStyle w:val="affa"/>
      </w:pPr>
    </w:p>
    <w:p w:rsidR="0018722C">
      <w:pPr>
        <w:pStyle w:val="affff5"/>
        <w:keepNext/>
        <w:topLinePunct/>
      </w:pPr>
      <w:r>
        <w:rPr>
          <w:sz w:val="20"/>
        </w:rPr>
        <w:drawing>
          <wp:inline distT="0" distB="0" distL="0" distR="0">
            <wp:extent cx="4101417" cy="3233737"/>
            <wp:effectExtent l="0" t="0" r="0" b="0"/>
            <wp:docPr id="65" name="image35.png" descr=""/>
            <wp:cNvGraphicFramePr>
              <a:graphicFrameLocks noChangeAspect="1"/>
            </wp:cNvGraphicFramePr>
            <a:graphic>
              <a:graphicData uri="http://schemas.openxmlformats.org/drawingml/2006/picture">
                <pic:pic>
                  <pic:nvPicPr>
                    <pic:cNvPr id="66" name="image35.png"/>
                    <pic:cNvPicPr/>
                  </pic:nvPicPr>
                  <pic:blipFill>
                    <a:blip r:embed="rId41" cstate="print"/>
                    <a:stretch>
                      <a:fillRect/>
                    </a:stretch>
                  </pic:blipFill>
                  <pic:spPr>
                    <a:xfrm>
                      <a:off x="0" y="0"/>
                      <a:ext cx="4101417" cy="3233737"/>
                    </a:xfrm>
                    <a:prstGeom prst="rect">
                      <a:avLst/>
                    </a:prstGeom>
                  </pic:spPr>
                </pic:pic>
              </a:graphicData>
            </a:graphic>
          </wp:inline>
        </w:drawing>
      </w:r>
      <w:r/>
    </w:p>
    <w:p w:rsidR="0018722C">
      <w:pPr>
        <w:pStyle w:val="a9"/>
        <w:topLinePunct/>
      </w:pPr>
      <w:r>
        <w:t>图</w:t>
      </w:r>
      <w:r>
        <w:t>6</w:t>
      </w:r>
      <w:r>
        <w:t xml:space="preserve">  </w:t>
      </w:r>
      <w:r>
        <w:t>三组细胞</w:t>
      </w:r>
      <w:r>
        <w:t>cyclin-D1 mRNA</w:t>
      </w:r>
      <w:r/>
      <w:r w:rsidR="001852F3">
        <w:t xml:space="preserve">表达水平</w:t>
      </w:r>
      <w:r>
        <w:t>（</w:t>
      </w:r>
      <w:r>
        <w:rPr>
          <w:rFonts w:ascii="Times New Roman" w:eastAsia="Times New Roman"/>
        </w:rPr>
        <w:t>*</w:t>
      </w:r>
      <w:r w:rsidP="AA7D325B">
        <w:t>，</w:t>
      </w:r>
      <w:r>
        <w:t>P&lt;0.05</w:t>
      </w:r>
      <w:r>
        <w:t>）</w:t>
      </w:r>
      <w:r>
        <w:t>，</w:t>
      </w:r>
      <w:r w:rsidR="001852F3">
        <w:t xml:space="preserve">HBx</w:t>
      </w:r>
      <w:r w:rsidP="AA7D325B">
        <w:t>：</w:t>
      </w:r>
      <w:r>
        <w:t>HepG2</w:t>
      </w:r>
      <w:r>
        <w:t>/</w:t>
      </w:r>
      <w:r>
        <w:t>HBx</w:t>
      </w:r>
      <w:r/>
      <w:r w:rsidR="001852F3">
        <w:t xml:space="preserve">细胞; Mock</w:t>
      </w:r>
      <w:r w:rsidP="AA7D325B">
        <w:t>：</w:t>
      </w:r>
      <w:r>
        <w:t>HepG2</w:t>
      </w:r>
      <w:r>
        <w:t>/</w:t>
      </w:r>
      <w:r>
        <w:t>mock</w:t>
      </w:r>
      <w:r/>
      <w:r w:rsidR="001852F3">
        <w:t xml:space="preserve">细胞; </w:t>
      </w:r>
      <w:r>
        <w:t>Control</w:t>
      </w:r>
      <w:r w:rsidP="AA7D325B">
        <w:t>：</w:t>
      </w:r>
      <w:r>
        <w:t>HepG2</w:t>
      </w:r>
      <w:r/>
      <w:r w:rsidR="001852F3">
        <w:t xml:space="preserve">细胞</w:t>
      </w:r>
    </w:p>
    <w:p w:rsidR="0018722C">
      <w:pPr>
        <w:pStyle w:val="cw20"/>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上调</w:t>
      </w:r>
      <w:r>
        <w:rPr>
          <w:rFonts w:cstheme="minorBidi" w:hAnsiTheme="minorHAnsi" w:eastAsiaTheme="minorHAnsi" w:asciiTheme="minorHAnsi" w:ascii="宋体" w:hAnsi="宋体" w:eastAsia="宋体" w:cs="宋体"/>
          <w:b/>
        </w:rPr>
        <w:t>HepG2</w:t>
      </w:r>
      <w:r w:rsidR="001852F3">
        <w:rPr>
          <w:rFonts w:cstheme="minorBidi" w:hAnsiTheme="minorHAnsi" w:eastAsiaTheme="minorHAnsi" w:asciiTheme="minorHAnsi" w:ascii="宋体" w:hAnsi="宋体" w:eastAsia="宋体" w:cs="宋体"/>
          <w:b/>
        </w:rPr>
        <w:t xml:space="preserve">细胞</w:t>
      </w:r>
      <w:r>
        <w:rPr>
          <w:rFonts w:cstheme="minorBidi" w:hAnsiTheme="minorHAnsi" w:eastAsiaTheme="minorHAnsi" w:asciiTheme="minorHAnsi" w:ascii="宋体" w:hAnsi="宋体" w:eastAsia="宋体" w:cs="宋体"/>
          <w:b/>
        </w:rPr>
        <w:t>c-myc</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mRNA</w:t>
      </w:r>
      <w:r w:rsidR="001852F3">
        <w:rPr>
          <w:rFonts w:cstheme="minorBidi" w:hAnsiTheme="minorHAnsi" w:eastAsiaTheme="minorHAnsi" w:asciiTheme="minorHAnsi" w:ascii="宋体" w:hAnsi="宋体" w:eastAsia="宋体" w:cs="宋体"/>
          <w:b/>
        </w:rPr>
        <w:t xml:space="preserve">水平</w:t>
      </w:r>
    </w:p>
    <w:p w:rsidR="0018722C">
      <w:pPr>
        <w:topLinePunct/>
      </w:pPr>
      <w:r>
        <w:t>三组细胞</w:t>
      </w:r>
      <w:r>
        <w:t>c-myc mRNA</w:t>
      </w:r>
      <w:r/>
      <w:r w:rsidR="001852F3">
        <w:t xml:space="preserve">表达情况如</w:t>
      </w:r>
      <w:r w:rsidR="001852F3">
        <w:t>图</w:t>
      </w:r>
      <w:r>
        <w:t>7</w:t>
      </w:r>
      <w:r/>
      <w:r w:rsidR="001852F3">
        <w:t xml:space="preserve">所示</w:t>
      </w:r>
      <w:r>
        <w:t>，c-myc mRNA</w:t>
      </w:r>
      <w:r>
        <w:t>/</w:t>
      </w:r>
      <w:r>
        <w:t>β-actin mRNA</w:t>
      </w:r>
      <w:r/>
      <w:r w:rsidR="001852F3">
        <w:t xml:space="preserve">的</w:t>
      </w:r>
      <w:r>
        <w:t>相对灰度比值如</w:t>
      </w:r>
      <w:r>
        <w:t>表</w:t>
      </w:r>
      <w:r>
        <w:t>4</w:t>
      </w:r>
      <w:r/>
      <w:r w:rsidR="001852F3">
        <w:t xml:space="preserve">所示，统计学分析提示</w:t>
      </w:r>
      <w:r>
        <w:t>，HepG2</w:t>
      </w:r>
      <w:r>
        <w:t>/</w:t>
      </w:r>
      <w:r>
        <w:t>HBx</w:t>
      </w:r>
      <w:r/>
      <w:r w:rsidR="001852F3">
        <w:t xml:space="preserve">细胞组中</w:t>
      </w:r>
      <w:r>
        <w:t>c-myc mRNA</w:t>
      </w:r>
      <w:r>
        <w:t> </w:t>
      </w:r>
      <w:r>
        <w:t>较</w:t>
      </w:r>
    </w:p>
    <w:p w:rsidR="0018722C">
      <w:pPr>
        <w:topLinePunct/>
      </w:pPr>
      <w:r>
        <w:t>HepG2</w:t>
      </w:r>
      <w:r>
        <w:t>/</w:t>
      </w:r>
      <w:r>
        <w:t>mock</w:t>
      </w:r>
      <w:r/>
      <w:r w:rsidR="001852F3">
        <w:t xml:space="preserve">细胞组与</w:t>
      </w:r>
      <w:r>
        <w:t>HepG2</w:t>
      </w:r>
      <w:r/>
      <w:r w:rsidR="001852F3">
        <w:t xml:space="preserve">细胞组升高</w:t>
      </w:r>
      <w:r>
        <w:t>（</w:t>
      </w:r>
      <w:r>
        <w:t>图</w:t>
      </w:r>
      <w:r>
        <w:t>8</w:t>
      </w:r>
      <w:r>
        <w:t>）</w:t>
      </w:r>
      <w:r>
        <w:t>，差异具有统计学意义</w:t>
      </w:r>
      <w:r>
        <w:t>(</w:t>
      </w:r>
      <w:r>
        <w:t>P&lt;0.05</w:t>
      </w:r>
      <w:r>
        <w:t>)</w:t>
      </w:r>
      <w:r>
        <w:t>。</w:t>
      </w:r>
      <w:r>
        <w:t>该部分实验表明</w:t>
      </w:r>
      <w:r>
        <w:t>HBx</w:t>
      </w:r>
      <w:r/>
      <w:r w:rsidR="001852F3">
        <w:t xml:space="preserve">可以上调</w:t>
      </w:r>
      <w:r>
        <w:t>HepG2</w:t>
      </w:r>
      <w:r>
        <w:t>/</w:t>
      </w:r>
      <w:r>
        <w:t>HBx</w:t>
      </w:r>
      <w:r/>
      <w:r w:rsidR="001852F3">
        <w:t xml:space="preserve">细胞的</w:t>
      </w:r>
      <w:r>
        <w:t>c-myc mRNA</w:t>
      </w:r>
      <w:r/>
      <w:r w:rsidR="001852F3">
        <w:t xml:space="preserve">水平。</w:t>
      </w:r>
    </w:p>
    <w:p w:rsidR="0018722C">
      <w:pPr>
        <w:pStyle w:val="aff7"/>
        <w:topLinePunct/>
      </w:pPr>
      <w:r>
        <w:drawing>
          <wp:inline>
            <wp:extent cx="4146643" cy="1147381"/>
            <wp:effectExtent l="0" t="0" r="0" b="0"/>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42" cstate="print"/>
                    <a:stretch>
                      <a:fillRect/>
                    </a:stretch>
                  </pic:blipFill>
                  <pic:spPr>
                    <a:xfrm>
                      <a:off x="0" y="0"/>
                      <a:ext cx="4146643" cy="1147381"/>
                    </a:xfrm>
                    <a:prstGeom prst="rect">
                      <a:avLst/>
                    </a:prstGeom>
                  </pic:spPr>
                </pic:pic>
              </a:graphicData>
            </a:graphic>
          </wp:inline>
        </w:drawing>
      </w:r>
    </w:p>
    <w:p w:rsidR="0018722C">
      <w:pPr>
        <w:pStyle w:val="a9"/>
        <w:topLinePunct/>
      </w:pPr>
      <w:r>
        <w:t>图</w:t>
      </w:r>
      <w:r>
        <w:t>7</w:t>
      </w:r>
      <w:r>
        <w:t xml:space="preserve">  </w:t>
      </w:r>
      <w:r>
        <w:t>三组细胞</w:t>
      </w:r>
      <w:r>
        <w:t>c-myc</w:t>
      </w:r>
      <w:r>
        <w:t> </w:t>
      </w:r>
      <w:r>
        <w:t>mRNA</w:t>
      </w:r>
      <w:r/>
      <w:r w:rsidR="001852F3">
        <w:t xml:space="preserve">的表达水平。</w:t>
      </w:r>
      <w:r>
        <w:t>1</w:t>
      </w:r>
      <w:r/>
      <w:r w:rsidR="001852F3">
        <w:t xml:space="preserve">和</w:t>
      </w:r>
      <w:r>
        <w:t>7</w:t>
      </w:r>
      <w:r>
        <w:t>、</w:t>
      </w:r>
      <w:r>
        <w:t>2</w:t>
      </w:r>
      <w:r/>
      <w:r w:rsidR="001852F3">
        <w:t xml:space="preserve">与</w:t>
      </w:r>
      <w:r>
        <w:t>6</w:t>
      </w:r>
      <w:r>
        <w:t>、</w:t>
      </w:r>
      <w:r>
        <w:t>3</w:t>
      </w:r>
      <w:r/>
      <w:r w:rsidR="001852F3">
        <w:t xml:space="preserve">与</w:t>
      </w:r>
      <w:r>
        <w:t>5</w:t>
      </w:r>
      <w:r/>
      <w:r w:rsidR="001852F3">
        <w:t xml:space="preserve">分别代表</w:t>
      </w:r>
      <w:r>
        <w:t>HepG2、</w:t>
      </w:r>
    </w:p>
    <w:p w:rsidR="0018722C">
      <w:pPr>
        <w:topLinePunct/>
      </w:pPr>
      <w:r>
        <w:t>HepG2</w:t>
      </w:r>
      <w:r>
        <w:t>/</w:t>
      </w:r>
      <w:r>
        <w:t>mock、HepG2</w:t>
      </w:r>
      <w:r>
        <w:t>/</w:t>
      </w:r>
      <w:r>
        <w:t>HBx，4</w:t>
      </w:r>
      <w:r w:rsidR="001852F3">
        <w:t xml:space="preserve">代表</w:t>
      </w:r>
      <w:r w:rsidR="001852F3">
        <w:t xml:space="preserve">marker。</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t xml:space="preserve">  </w:t>
      </w:r>
      <w:r>
        <w:rPr>
          <w:rFonts w:cstheme="minorBidi" w:hAnsiTheme="minorHAnsi" w:eastAsiaTheme="minorHAnsi" w:asciiTheme="minorHAnsi"/>
        </w:rPr>
        <w:t>三组细胞</w:t>
      </w:r>
      <w:r>
        <w:rPr>
          <w:rFonts w:cstheme="minorBidi" w:hAnsiTheme="minorHAnsi" w:eastAsiaTheme="minorHAnsi" w:asciiTheme="minorHAnsi"/>
        </w:rPr>
        <w:t>c-myc</w:t>
      </w:r>
      <w:r>
        <w:rPr>
          <w:rFonts w:cstheme="minorBidi" w:hAnsiTheme="minorHAnsi" w:eastAsiaTheme="minorHAnsi" w:asciiTheme="minorHAnsi"/>
        </w:rPr>
        <w:t>/</w:t>
      </w:r>
      <w:r>
        <w:rPr>
          <w:rFonts w:cstheme="minorBidi" w:hAnsiTheme="minorHAnsi" w:eastAsiaTheme="minorHAnsi" w:asciiTheme="minorHAnsi"/>
        </w:rPr>
        <w:t>β-actin</w:t>
      </w:r>
      <w:r w:rsidRPr="00000000">
        <w:rPr>
          <w:rFonts w:cstheme="minorBidi" w:hAnsiTheme="minorHAnsi" w:eastAsiaTheme="minorHAnsi" w:asciiTheme="minorHAnsi"/>
        </w:rPr>
        <w:tab/>
        <w:t>mRNA</w:t>
      </w:r>
      <w:r>
        <w:rPr>
          <w:rFonts w:cstheme="minorBidi" w:hAnsiTheme="minorHAnsi" w:eastAsiaTheme="minorHAnsi" w:asciiTheme="minorHAnsi"/>
        </w:rPr>
        <w:t>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1648;mso-wrap-distance-left:0;mso-wrap-distance-right:0" from="99.550003pt,9.722663pt" to="493.800003pt,9.322663pt" stroked="true" strokeweight="2.25pt" strokecolor="#000000">
            <v:stroke dashstyle="solid"/>
            <w10:wrap type="topAndBottom"/>
          </v:line>
        </w:pict>
      </w:r>
    </w:p>
    <w:p w:rsidR="0018722C">
      <w:pPr>
        <w:pStyle w:val="aff7"/>
        <w:topLinePunct/>
      </w:pPr>
      <w:r>
        <w:rPr>
          <w:sz w:val="2"/>
        </w:rPr>
        <w:pict>
          <v:group style="width:7.9pt;height:.550pt;mso-position-horizontal-relative:char;mso-position-vertical-relative:line" coordorigin="0,0" coordsize="158,11">
            <v:line style="position:absolute" from="0,5" to="157,5" stroked="true" strokeweight=".504338pt" strokecolor="#000000">
              <v:stroke dashstyle="solid"/>
            </v:line>
          </v:group>
        </w:pict>
      </w:r>
      <w:r/>
    </w:p>
    <w:p w:rsidR="0018722C">
      <w:spacing w:beforeLines="0" w:before="0" w:afterLines="0" w:after="0" w:line="440" w:lineRule="auto"/>
      <w:pPr>
        <w:sectPr w:rsidR="00556256">
          <w:type w:val="continuous"/>
          <w:pgSz w:w="11910" w:h="16840"/>
          <w:pgMar w:header="0" w:footer="1160" w:top="1520" w:bottom="1380" w:left="1600" w:right="1460"/>
        </w:sectPr>
        <w:topLinePunct/>
      </w:pPr>
    </w:p>
    <w:p w:rsidR="0018722C">
      <w:pPr>
        <w:pStyle w:val="affff1"/>
        <w:tabs>
          <w:tab w:pos="2517" w:val="left" w:leader="none"/>
          <w:tab w:pos="3672" w:val="left" w:leader="none"/>
          <w:tab w:pos="4826" w:val="left" w:leader="none"/>
        </w:tabs>
        <w:spacing w:line="266" w:lineRule="exact" w:before="0"/>
        <w:ind w:leftChars="0" w:left="1048" w:rightChars="0" w:right="0" w:firstLineChars="0" w:firstLine="0"/>
        <w:jc w:val="left"/>
        <w:topLinePunct/>
      </w:pPr>
      <w:r>
        <w:rPr>
          <w:kern w:val="2"/>
          <w:sz w:val="21"/>
          <w:szCs w:val="22"/>
          <w:rFonts w:cstheme="minorBidi" w:hAnsiTheme="minorHAnsi" w:eastAsiaTheme="minorHAnsi" w:asciiTheme="minorHAnsi"/>
        </w:rPr>
        <w:t>组</w:t>
      </w:r>
      <w:r>
        <w:rPr>
          <w:kern w:val="2"/>
          <w:szCs w:val="22"/>
          <w:rFonts w:cstheme="minorBidi" w:hAnsiTheme="minorHAnsi" w:eastAsiaTheme="minorHAnsi" w:asciiTheme="minorHAnsi"/>
          <w:sz w:val="21"/>
        </w:rPr>
        <w:t>别</w:t>
      </w:r>
      <w:r w:rsidR="001852F3">
        <w:rPr>
          <w:kern w:val="2"/>
          <w:sz w:val="22"/>
          <w:szCs w:val="22"/>
          <w:rFonts w:cstheme="minorBidi" w:hAnsiTheme="minorHAnsi" w:eastAsiaTheme="minorHAnsi" w:asciiTheme="minorHAnsi"/>
        </w:rPr>
        <w:t>第一次</w:t>
      </w:r>
      <w:r w:rsidR="001852F3">
        <w:rPr>
          <w:kern w:val="2"/>
          <w:sz w:val="22"/>
          <w:szCs w:val="22"/>
          <w:rFonts w:cstheme="minorBidi" w:hAnsiTheme="minorHAnsi" w:eastAsiaTheme="minorHAnsi" w:asciiTheme="minorHAnsi"/>
        </w:rPr>
        <w:t>第二次</w:t>
      </w:r>
      <w:r w:rsidR="001852F3">
        <w:rPr>
          <w:kern w:val="2"/>
          <w:sz w:val="22"/>
          <w:szCs w:val="22"/>
          <w:rFonts w:cstheme="minorBidi" w:hAnsiTheme="minorHAnsi" w:eastAsiaTheme="minorHAnsi" w:asciiTheme="minorHAnsi"/>
        </w:rPr>
        <w:t>第三次</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s</w:t>
      </w:r>
    </w:p>
    <w:p w:rsidR="0018722C">
      <w:spacing w:beforeLines="0" w:before="0" w:afterLines="0" w:after="0" w:line="440" w:lineRule="auto"/>
      <w:pPr>
        <w:sectPr w:rsidR="00556256">
          <w:type w:val="continuous"/>
          <w:pgSz w:w="11910" w:h="16840"/>
          <w:pgMar w:top="1500" w:bottom="280" w:left="1600" w:right="1460"/>
          <w:cols w:num="2" w:equalWidth="0">
            <w:col w:w="5457" w:space="40"/>
            <w:col w:w="3353"/>
          </w:cols>
        </w:sectPr>
        <w:topLinePunct/>
      </w:pPr>
    </w:p>
    <w:p w:rsidR="0018722C">
      <w:pPr>
        <w:pStyle w:val="aff7"/>
        <w:topLinePunct/>
      </w:pPr>
      <w:r>
        <w:rPr>
          <w:rFonts w:ascii="Times New Roman"/>
          <w:position w:val="0"/>
          <w:sz w:val="5"/>
        </w:rPr>
        <w:pict>
          <v:group style="width:395.5pt;height:2.7pt;mso-position-horizontal-relative:char;mso-position-vertical-relative:line" coordorigin="0,0" coordsize="7910,54">
            <v:line style="position:absolute" from="13,42" to="7898,13" stroked="true" strokeweight="1.25pt" strokecolor="#000000">
              <v:stroke dashstyle="solid"/>
            </v:line>
          </v:group>
        </w:pict>
      </w:r>
      <w:r/>
    </w:p>
    <w:p w:rsidR="0018722C">
      <w:pPr>
        <w:pStyle w:val="affff1"/>
        <w:topLinePunct/>
      </w:pPr>
      <w:r>
        <w:rPr>
          <w:rFonts w:cstheme="minorBidi" w:hAnsiTheme="minorHAnsi" w:eastAsiaTheme="minorHAnsi" w:asciiTheme="minorHAnsi"/>
        </w:rPr>
        <w:t>HepG2</w:t>
      </w:r>
      <w:r w:rsidRPr="00000000">
        <w:rPr>
          <w:rFonts w:cstheme="minorBidi" w:hAnsiTheme="minorHAnsi" w:eastAsiaTheme="minorHAnsi" w:asciiTheme="minorHAnsi"/>
        </w:rPr>
        <w:tab/>
        <w:t>0.3794</w:t>
      </w:r>
      <w:r w:rsidRPr="00000000">
        <w:rPr>
          <w:rFonts w:cstheme="minorBidi" w:hAnsiTheme="minorHAnsi" w:eastAsiaTheme="minorHAnsi" w:asciiTheme="minorHAnsi"/>
        </w:rPr>
        <w:tab/>
        <w:t>0.1624</w:t>
      </w:r>
      <w:r w:rsidRPr="00000000">
        <w:rPr>
          <w:rFonts w:cstheme="minorBidi" w:hAnsiTheme="minorHAnsi" w:eastAsiaTheme="minorHAnsi" w:asciiTheme="minorHAnsi"/>
        </w:rPr>
        <w:tab/>
        <w:t>0.1752</w:t>
      </w:r>
      <w:r w:rsidRPr="00000000">
        <w:rPr>
          <w:rFonts w:cstheme="minorBidi" w:hAnsiTheme="minorHAnsi" w:eastAsiaTheme="minorHAnsi" w:asciiTheme="minorHAnsi"/>
        </w:rPr>
        <w:tab/>
        <w:t>0.2390±0.1218</w:t>
      </w:r>
    </w:p>
    <w:p w:rsidR="0018722C">
      <w:pPr>
        <w:rPr/>
        <w:topLinePunct/>
      </w:pPr>
    </w:p>
    <w:tbl>
      <w:tblPr>
        <w:tblW w:w="0" w:type="auto"/>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07"/>
        <w:gridCol w:w="1155"/>
        <w:gridCol w:w="1155"/>
        <w:gridCol w:w="2563"/>
      </w:tblGrid>
      <w:tr>
        <w:trPr>
          <w:trHeight w:val="320" w:hRule="atLeast"/>
        </w:trPr>
        <w:tc>
          <w:tcPr>
            <w:tcW w:w="1807" w:type="dxa"/>
          </w:tcPr>
          <w:p w:rsidR="0018722C">
            <w:pPr>
              <w:topLinePunct/>
              <w:ind w:leftChars="0" w:left="0" w:rightChars="0" w:right="0" w:firstLineChars="0" w:firstLine="0"/>
              <w:spacing w:line="240" w:lineRule="atLeast"/>
            </w:pPr>
            <w:r>
              <w:t>HepG2</w:t>
            </w:r>
            <w:r>
              <w:t>/</w:t>
            </w:r>
            <w:r>
              <w:t>mock</w:t>
            </w:r>
          </w:p>
        </w:tc>
        <w:tc>
          <w:tcPr>
            <w:tcW w:w="1207" w:type="dxa"/>
          </w:tcPr>
          <w:p w:rsidR="0018722C">
            <w:pPr>
              <w:topLinePunct/>
              <w:ind w:leftChars="0" w:left="0" w:rightChars="0" w:right="0" w:firstLineChars="0" w:firstLine="0"/>
              <w:spacing w:line="240" w:lineRule="atLeast"/>
            </w:pPr>
            <w:r>
              <w:t>0.1481</w:t>
            </w:r>
          </w:p>
        </w:tc>
        <w:tc>
          <w:tcPr>
            <w:tcW w:w="1155" w:type="dxa"/>
          </w:tcPr>
          <w:p w:rsidR="0018722C">
            <w:pPr>
              <w:topLinePunct/>
              <w:ind w:leftChars="0" w:left="0" w:rightChars="0" w:right="0" w:firstLineChars="0" w:firstLine="0"/>
              <w:spacing w:line="240" w:lineRule="atLeast"/>
            </w:pPr>
            <w:r>
              <w:t>0.3315</w:t>
            </w:r>
          </w:p>
        </w:tc>
        <w:tc>
          <w:tcPr>
            <w:tcW w:w="1155" w:type="dxa"/>
          </w:tcPr>
          <w:p w:rsidR="0018722C">
            <w:pPr>
              <w:topLinePunct/>
              <w:ind w:leftChars="0" w:left="0" w:rightChars="0" w:right="0" w:firstLineChars="0" w:firstLine="0"/>
              <w:spacing w:line="240" w:lineRule="atLeast"/>
            </w:pPr>
            <w:r>
              <w:t>0.4884</w:t>
            </w:r>
          </w:p>
        </w:tc>
        <w:tc>
          <w:tcPr>
            <w:tcW w:w="2563" w:type="dxa"/>
          </w:tcPr>
          <w:p w:rsidR="0018722C">
            <w:pPr>
              <w:topLinePunct/>
              <w:ind w:leftChars="0" w:left="0" w:rightChars="0" w:right="0" w:firstLineChars="0" w:firstLine="0"/>
              <w:spacing w:line="240" w:lineRule="atLeast"/>
            </w:pPr>
            <w:r>
              <w:t>0.3227±0.1703</w:t>
            </w:r>
          </w:p>
        </w:tc>
      </w:tr>
      <w:tr>
        <w:trPr>
          <w:trHeight w:val="480" w:hRule="atLeast"/>
        </w:trPr>
        <w:tc>
          <w:tcPr>
            <w:tcW w:w="1807" w:type="dxa"/>
            <w:tcBorders>
              <w:bottom w:val="single" w:sz="18" w:space="0" w:color="000000"/>
            </w:tcBorders>
          </w:tcPr>
          <w:p w:rsidR="0018722C">
            <w:pPr>
              <w:topLinePunct/>
              <w:ind w:leftChars="0" w:left="0" w:rightChars="0" w:right="0" w:firstLineChars="0" w:firstLine="0"/>
              <w:spacing w:line="240" w:lineRule="atLeast"/>
            </w:pPr>
            <w:r>
              <w:t>HepG2</w:t>
            </w:r>
            <w:r>
              <w:t>/</w:t>
            </w:r>
            <w:r>
              <w:t>HBx</w:t>
            </w:r>
          </w:p>
        </w:tc>
        <w:tc>
          <w:tcPr>
            <w:tcW w:w="1207" w:type="dxa"/>
            <w:tcBorders>
              <w:bottom w:val="single" w:sz="18" w:space="0" w:color="000000"/>
            </w:tcBorders>
          </w:tcPr>
          <w:p w:rsidR="0018722C">
            <w:pPr>
              <w:topLinePunct/>
              <w:ind w:leftChars="0" w:left="0" w:rightChars="0" w:right="0" w:firstLineChars="0" w:firstLine="0"/>
              <w:spacing w:line="240" w:lineRule="atLeast"/>
            </w:pPr>
            <w:r>
              <w:t>0.9432</w:t>
            </w:r>
          </w:p>
        </w:tc>
        <w:tc>
          <w:tcPr>
            <w:tcW w:w="1155" w:type="dxa"/>
            <w:tcBorders>
              <w:bottom w:val="single" w:sz="18" w:space="0" w:color="000000"/>
            </w:tcBorders>
          </w:tcPr>
          <w:p w:rsidR="0018722C">
            <w:pPr>
              <w:topLinePunct/>
              <w:ind w:leftChars="0" w:left="0" w:rightChars="0" w:right="0" w:firstLineChars="0" w:firstLine="0"/>
              <w:spacing w:line="240" w:lineRule="atLeast"/>
            </w:pPr>
            <w:r>
              <w:t>1.1442</w:t>
            </w:r>
          </w:p>
        </w:tc>
        <w:tc>
          <w:tcPr>
            <w:tcW w:w="1155" w:type="dxa"/>
            <w:tcBorders>
              <w:bottom w:val="single" w:sz="18" w:space="0" w:color="000000"/>
            </w:tcBorders>
          </w:tcPr>
          <w:p w:rsidR="0018722C">
            <w:pPr>
              <w:topLinePunct/>
              <w:ind w:leftChars="0" w:left="0" w:rightChars="0" w:right="0" w:firstLineChars="0" w:firstLine="0"/>
              <w:spacing w:line="240" w:lineRule="atLeast"/>
            </w:pPr>
            <w:r>
              <w:t>0.6369</w:t>
            </w:r>
          </w:p>
        </w:tc>
        <w:tc>
          <w:tcPr>
            <w:tcW w:w="2563" w:type="dxa"/>
            <w:tcBorders>
              <w:bottom w:val="single" w:sz="18" w:space="0" w:color="000000"/>
            </w:tcBorders>
          </w:tcPr>
          <w:p w:rsidR="0018722C">
            <w:pPr>
              <w:topLinePunct/>
              <w:ind w:leftChars="0" w:left="0" w:rightChars="0" w:right="0" w:firstLineChars="0" w:firstLine="0"/>
              <w:spacing w:line="240" w:lineRule="atLeast"/>
            </w:pPr>
            <w:r>
              <w:t>0.9081±0.2555</w:t>
            </w:r>
          </w:p>
        </w:tc>
      </w:tr>
    </w:tbl>
    <w:p w:rsidR="0018722C">
      <w:pPr>
        <w:topLinePunct/>
        <w:pStyle w:val="affa"/>
      </w:pPr>
    </w:p>
    <w:p w:rsidR="0018722C">
      <w:pPr>
        <w:pStyle w:val="ae"/>
        <w:topLinePunct/>
      </w:pPr>
      <w:r>
        <w:drawing>
          <wp:inline>
            <wp:extent cx="3747201" cy="2948940"/>
            <wp:effectExtent l="0" t="0" r="0" b="0"/>
            <wp:docPr id="69" name="image37.jpeg" descr=""/>
            <wp:cNvGraphicFramePr>
              <a:graphicFrameLocks noChangeAspect="1"/>
            </wp:cNvGraphicFramePr>
            <a:graphic>
              <a:graphicData uri="http://schemas.openxmlformats.org/drawingml/2006/picture">
                <pic:pic>
                  <pic:nvPicPr>
                    <pic:cNvPr id="70" name="image37.jpeg"/>
                    <pic:cNvPicPr/>
                  </pic:nvPicPr>
                  <pic:blipFill>
                    <a:blip r:embed="rId43" cstate="print"/>
                    <a:stretch>
                      <a:fillRect/>
                    </a:stretch>
                  </pic:blipFill>
                  <pic:spPr>
                    <a:xfrm>
                      <a:off x="0" y="0"/>
                      <a:ext cx="3747201" cy="2948940"/>
                    </a:xfrm>
                    <a:prstGeom prst="rect">
                      <a:avLst/>
                    </a:prstGeom>
                  </pic:spPr>
                </pic:pic>
              </a:graphicData>
            </a:graphic>
          </wp:inline>
        </w:drawing>
      </w:r>
    </w:p>
    <w:p w:rsidR="0018722C">
      <w:pPr>
        <w:pStyle w:val="ae"/>
        <w:topLinePunct/>
      </w:pPr>
      <w:r>
        <w:rPr>
          <w:spacing w:val="-16"/>
        </w:rPr>
        <w:t/>
      </w:r>
      <w:r>
        <w:rPr>
          <w:spacing w:val="-16"/>
        </w:rPr>
        <w:t>图</w:t>
      </w:r>
      <w:r>
        <w:t>8</w:t>
      </w:r>
      <w:r w:rsidR="001852F3">
        <w:rPr>
          <w:spacing w:val="-6"/>
        </w:rPr>
        <w:t xml:space="preserve">三</w:t>
      </w:r>
      <w:r w:rsidR="001852F3">
        <w:rPr>
          <w:spacing w:val="-6"/>
        </w:rPr>
        <w:t>组细胞</w:t>
      </w:r>
      <w:r>
        <w:t>c-myc</w:t>
      </w:r>
      <w:r>
        <w:rPr>
          <w:spacing w:val="-30"/>
        </w:rPr>
        <w:t> </w:t>
      </w:r>
      <w:r>
        <w:t>mRNA</w:t>
      </w:r>
      <w:r w:rsidR="001852F3">
        <w:rPr>
          <w:spacing w:val="-19"/>
        </w:rPr>
        <w:t xml:space="preserve">表达水平</w:t>
      </w:r>
      <w:r>
        <w:t>（</w:t>
      </w:r>
      <w:r>
        <w:rPr>
          <w:rFonts w:ascii="Times New Roman" w:eastAsia="宋体"/>
        </w:rPr>
        <w:t>*</w:t>
      </w:r>
      <w:r>
        <w:rPr>
          <w:spacing w:val="-60"/>
        </w:rPr>
        <w:t xml:space="preserve">, </w:t>
      </w:r>
      <w:r>
        <w:t>P&lt;0.05</w:t>
      </w:r>
      <w:r>
        <w:rPr>
          <w:spacing w:val="-60"/>
        </w:rPr>
        <w:t>）</w:t>
      </w:r>
      <w:r>
        <w:t>，HBx</w:t>
      </w:r>
      <w:r>
        <w:rPr>
          <w:spacing w:val="-60"/>
        </w:rPr>
        <w:t xml:space="preserve">: </w:t>
      </w:r>
      <w:r>
        <w:t>HepG2/HBx</w:t>
      </w:r>
      <w:r w:rsidR="001852F3">
        <w:rPr>
          <w:spacing w:val="-13"/>
        </w:rPr>
        <w:t xml:space="preserve">细胞; </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cw20"/>
        <w:topLinePunct/>
      </w:pPr>
      <w:r>
        <w:rPr>
          <w:rFonts w:cstheme="minorBidi" w:hAnsiTheme="minorHAnsi" w:eastAsiaTheme="minorHAnsi" w:asciiTheme="minorHAnsi" w:ascii="宋体" w:hAnsi="宋体" w:eastAsia="宋体" w:cs="宋体"/>
          <w:b/>
        </w:rPr>
        <w:t>5</w:t>
      </w:r>
      <w:r>
        <w:rPr>
          <w:rFonts w:cstheme="minorBidi" w:hAnsiTheme="minorHAnsi" w:eastAsiaTheme="minorHAnsi" w:asciiTheme="minorHAnsi" w:ascii="宋体" w:hAnsi="宋体" w:eastAsia="宋体" w:cs="宋体"/>
          <w:b/>
        </w:rPr>
        <w:t>加入</w:t>
      </w:r>
      <w:r>
        <w:rPr>
          <w:rFonts w:cstheme="minorBidi" w:hAnsiTheme="minorHAnsi" w:eastAsiaTheme="minorHAnsi" w:asciiTheme="minorHAnsi" w:ascii="宋体" w:hAnsi="宋体" w:eastAsia="宋体" w:cs="宋体"/>
          <w:b/>
        </w:rPr>
        <w:t>COX-2</w:t>
      </w:r>
      <w:r w:rsidR="001852F3">
        <w:rPr>
          <w:rFonts w:cstheme="minorBidi" w:hAnsiTheme="minorHAnsi" w:eastAsiaTheme="minorHAnsi" w:asciiTheme="minorHAnsi" w:ascii="宋体" w:hAnsi="宋体" w:eastAsia="宋体" w:cs="宋体"/>
          <w:b/>
        </w:rPr>
        <w:t xml:space="preserve">抑制剂</w:t>
      </w:r>
      <w:r>
        <w:rPr>
          <w:rFonts w:cstheme="minorBidi" w:hAnsiTheme="minorHAnsi" w:eastAsiaTheme="minorHAnsi" w:asciiTheme="minorHAnsi" w:ascii="宋体" w:hAnsi="宋体" w:eastAsia="宋体" w:cs="宋体"/>
          <w:b/>
        </w:rPr>
        <w:t>NS-398</w:t>
      </w:r>
      <w:r w:rsidR="001852F3">
        <w:rPr>
          <w:rFonts w:cstheme="minorBidi" w:hAnsiTheme="minorHAnsi" w:eastAsiaTheme="minorHAnsi" w:asciiTheme="minorHAnsi" w:ascii="宋体" w:hAnsi="宋体" w:eastAsia="宋体" w:cs="宋体"/>
          <w:b/>
        </w:rPr>
        <w:t xml:space="preserve">后，</w:t>
      </w:r>
      <w:r>
        <w:rPr>
          <w:rFonts w:cstheme="minorBidi" w:hAnsiTheme="minorHAnsi" w:eastAsiaTheme="minorHAnsi" w:asciiTheme="minorHAnsi" w:ascii="宋体" w:hAnsi="宋体" w:eastAsia="宋体" w:cs="宋体"/>
          <w:b/>
        </w:rPr>
        <w:t>HepG2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细胞内</w:t>
      </w:r>
      <w:r>
        <w:rPr>
          <w:rFonts w:cstheme="minorBidi" w:hAnsiTheme="minorHAnsi" w:eastAsiaTheme="minorHAnsi" w:asciiTheme="minorHAnsi" w:ascii="宋体" w:hAnsi="宋体" w:eastAsia="宋体" w:cs="宋体"/>
          <w:b/>
        </w:rPr>
        <w:t>β–catenin</w:t>
      </w:r>
      <w:r w:rsidR="001852F3">
        <w:rPr>
          <w:rFonts w:cstheme="minorBidi" w:hAnsiTheme="minorHAnsi" w:eastAsiaTheme="minorHAnsi" w:asciiTheme="minorHAnsi" w:ascii="宋体" w:hAnsi="宋体" w:eastAsia="宋体" w:cs="宋体"/>
          <w:b/>
        </w:rPr>
        <w:t xml:space="preserve">蛋</w:t>
      </w:r>
      <w:r>
        <w:rPr>
          <w:rFonts w:cstheme="minorBidi" w:hAnsiTheme="minorHAnsi" w:eastAsiaTheme="minorHAnsi" w:asciiTheme="minorHAnsi" w:ascii="宋体" w:hAnsi="宋体" w:eastAsia="宋体" w:cs="宋体"/>
          <w:b/>
        </w:rPr>
        <w:t>白表达水平下降</w:t>
      </w:r>
    </w:p>
    <w:p w:rsidR="0018722C">
      <w:pPr>
        <w:topLinePunct/>
      </w:pPr>
      <w:r>
        <w:t>经</w:t>
      </w:r>
      <w:r>
        <w:t>20</w:t>
      </w:r>
      <w:r>
        <w:t> </w:t>
      </w:r>
      <w:r>
        <w:t>umol</w:t>
      </w:r>
      <w:r>
        <w:t>/</w:t>
      </w:r>
      <w:r>
        <w:t>L</w:t>
      </w:r>
      <w:r>
        <w:t> </w:t>
      </w:r>
      <w:r>
        <w:t>XAV939</w:t>
      </w:r>
      <w:r/>
      <w:r w:rsidR="001852F3">
        <w:t xml:space="preserve">的培养液培养</w:t>
      </w:r>
      <w:r>
        <w:t>24h</w:t>
      </w:r>
      <w:r/>
      <w:r w:rsidR="001852F3">
        <w:t xml:space="preserve">后，六组细胞</w:t>
      </w:r>
      <w:r>
        <w:t>β–catenin</w:t>
      </w:r>
      <w:r w:rsidR="001852F3">
        <w:t xml:space="preserve">蛋白表达</w:t>
      </w:r>
      <w:r>
        <w:t>情况如</w:t>
      </w:r>
      <w:r>
        <w:t>图</w:t>
      </w:r>
      <w:r>
        <w:t>9</w:t>
      </w:r>
      <w:r/>
      <w:r w:rsidR="001852F3">
        <w:t xml:space="preserve">所示，</w:t>
      </w:r>
      <w:r>
        <w:t>β–catenin</w:t>
      </w:r>
      <w:r>
        <w:t>/</w:t>
      </w:r>
      <w:r>
        <w:t>β-actin</w:t>
      </w:r>
      <w:r/>
      <w:r w:rsidR="001852F3">
        <w:t xml:space="preserve">蛋白的相对灰度比值如</w:t>
      </w:r>
      <w:r w:rsidR="001852F3">
        <w:t>表</w:t>
      </w:r>
      <w:r>
        <w:t>5</w:t>
      </w:r>
      <w:r/>
      <w:r w:rsidR="001852F3">
        <w:t xml:space="preserve">所示，统计</w:t>
      </w:r>
      <w:r>
        <w:t>学分析提示，</w:t>
      </w:r>
      <w:r w:rsidR="001852F3">
        <w:t xml:space="preserve">经</w:t>
      </w:r>
      <w:r>
        <w:t>20 umol</w:t>
      </w:r>
      <w:r>
        <w:t>/</w:t>
      </w:r>
      <w:r>
        <w:t>L XAV939</w:t>
      </w:r>
      <w:r/>
      <w:r w:rsidR="001852F3">
        <w:t xml:space="preserve">的培养液培养</w:t>
      </w:r>
      <w:r>
        <w:t>24h</w:t>
      </w:r>
      <w:r/>
      <w:r w:rsidR="001852F3">
        <w:t xml:space="preserve">后的</w:t>
      </w:r>
      <w:r>
        <w:t>HepG2</w:t>
      </w:r>
      <w:r>
        <w:t>/</w:t>
      </w:r>
      <w:r>
        <w:t>HBx</w:t>
      </w:r>
      <w:r/>
      <w:r w:rsidR="001852F3">
        <w:t xml:space="preserve">细胞组</w:t>
      </w:r>
      <w:r w:rsidR="001852F3">
        <w:t>中</w:t>
      </w:r>
    </w:p>
    <w:p w:rsidR="0018722C">
      <w:pPr>
        <w:topLinePunct/>
      </w:pPr>
      <w:r>
        <w:t>β–catenin</w:t>
      </w:r>
      <w:r/>
      <w:r w:rsidR="001852F3">
        <w:t xml:space="preserve">蛋白表达水平较没有加药的</w:t>
      </w:r>
      <w:r>
        <w:t>HepG2</w:t>
      </w:r>
      <w:r>
        <w:t>/</w:t>
      </w:r>
      <w:r>
        <w:t>HBx</w:t>
      </w:r>
      <w:r/>
      <w:r w:rsidR="001852F3">
        <w:t xml:space="preserve">组下降，差异具有统计学意义</w:t>
      </w:r>
      <w:r>
        <w:t>(</w:t>
      </w:r>
      <w:r>
        <w:t>P&lt;0.05</w:t>
      </w:r>
      <w:r>
        <w:t>)</w:t>
      </w:r>
      <w:r>
        <w:t xml:space="preserve">；经</w:t>
      </w:r>
      <w:r>
        <w:t>20 umol</w:t>
      </w:r>
      <w:r>
        <w:t>/</w:t>
      </w:r>
      <w:r>
        <w:t>L XAV939</w:t>
      </w:r>
      <w:r/>
      <w:r w:rsidR="001852F3">
        <w:t xml:space="preserve">的培养液培养</w:t>
      </w:r>
      <w:r>
        <w:t>24h</w:t>
      </w:r>
      <w:r/>
      <w:r w:rsidR="001852F3">
        <w:t xml:space="preserve">后的</w:t>
      </w:r>
      <w:r>
        <w:t>HepG2</w:t>
      </w:r>
      <w:r>
        <w:t>/</w:t>
      </w:r>
      <w:r>
        <w:t>HBx</w:t>
      </w:r>
      <w:r/>
      <w:r w:rsidR="001852F3">
        <w:t xml:space="preserve">细胞组</w:t>
      </w:r>
      <w:r w:rsidR="001852F3">
        <w:t>中</w:t>
      </w:r>
    </w:p>
    <w:p w:rsidR="0018722C">
      <w:pPr>
        <w:topLinePunct/>
      </w:pPr>
      <w:r>
        <w:t>β–catenin</w:t>
      </w:r>
      <w:r w:rsidR="001852F3">
        <w:t xml:space="preserve">蛋白表达水平与经</w:t>
      </w:r>
      <w:r w:rsidR="001852F3">
        <w:t xml:space="preserve">20 umol</w:t>
      </w:r>
      <w:r>
        <w:t>/</w:t>
      </w:r>
      <w:r>
        <w:t>L XAV939</w:t>
      </w:r>
      <w:r w:rsidR="001852F3">
        <w:t xml:space="preserve">的培养液培养</w:t>
      </w:r>
      <w:r w:rsidR="001852F3">
        <w:t xml:space="preserve">24h</w:t>
      </w:r>
      <w:r w:rsidR="001852F3">
        <w:t xml:space="preserve">后的</w:t>
      </w:r>
    </w:p>
    <w:p w:rsidR="0018722C">
      <w:pPr>
        <w:topLinePunct/>
      </w:pPr>
      <w:r>
        <w:t>HepG2</w:t>
      </w:r>
      <w:r>
        <w:t>/</w:t>
      </w:r>
      <w:r>
        <w:t>mock</w:t>
      </w:r>
      <w:r/>
      <w:r w:rsidR="001852F3">
        <w:t xml:space="preserve">细胞组与</w:t>
      </w:r>
      <w:r>
        <w:t>HepG2</w:t>
      </w:r>
      <w:r/>
      <w:r w:rsidR="001852F3">
        <w:t xml:space="preserve">细胞组无差别，差异无统计学意义</w:t>
      </w:r>
      <w:r>
        <w:t>(</w:t>
      </w:r>
      <w:r>
        <w:t>P&gt;</w:t>
      </w:r>
      <w:r w:rsidR="004B696B">
        <w:t xml:space="preserve"> </w:t>
      </w:r>
      <w:r w:rsidR="004B696B">
        <w:t>0.05</w:t>
      </w:r>
      <w:r>
        <w:t>)</w:t>
      </w:r>
      <w:r>
        <w:t>（</w:t>
      </w:r>
      <w:r>
        <w:rPr>
          <w:spacing w:val="-15"/>
        </w:rPr>
        <w:t>图</w:t>
      </w:r>
      <w:r>
        <w:t>1</w:t>
      </w:r>
      <w:r>
        <w:t>0</w:t>
      </w:r>
      <w:r>
        <w:t>）</w:t>
      </w:r>
      <w:r>
        <w:t>。</w:t>
      </w:r>
      <w:r>
        <w:t>该部分实验表明</w:t>
      </w:r>
      <w:r>
        <w:t>HBx</w:t>
      </w:r>
      <w:r/>
      <w:r w:rsidR="001852F3">
        <w:t xml:space="preserve">通过上调</w:t>
      </w:r>
      <w:r>
        <w:t>COX-2</w:t>
      </w:r>
      <w:r/>
      <w:r w:rsidR="001852F3">
        <w:t xml:space="preserve">的水平来增加</w:t>
      </w:r>
      <w:r>
        <w:t>HepG2</w:t>
      </w:r>
      <w:r>
        <w:t>/</w:t>
      </w:r>
      <w:r>
        <w:t>HBx</w:t>
      </w:r>
      <w:r/>
      <w:r w:rsidR="001852F3">
        <w:t xml:space="preserve">细胞的</w:t>
      </w:r>
      <w:r>
        <w:t>β–catenin</w:t>
      </w:r>
      <w:r w:rsidR="001852F3">
        <w:t xml:space="preserve">蛋白表达水平。</w:t>
      </w:r>
    </w:p>
    <w:p w:rsidR="0018722C">
      <w:pPr>
        <w:pStyle w:val="aff7"/>
        <w:topLinePunct/>
      </w:pPr>
      <w:r>
        <w:rPr>
          <w:sz w:val="20"/>
        </w:rPr>
        <w:drawing>
          <wp:inline distT="0" distB="0" distL="0" distR="0">
            <wp:extent cx="4801500" cy="1679008"/>
            <wp:effectExtent l="0" t="0" r="0" b="0"/>
            <wp:docPr id="71" name="image38.jpeg" descr=""/>
            <wp:cNvGraphicFramePr>
              <a:graphicFrameLocks noChangeAspect="1"/>
            </wp:cNvGraphicFramePr>
            <a:graphic>
              <a:graphicData uri="http://schemas.openxmlformats.org/drawingml/2006/picture">
                <pic:pic>
                  <pic:nvPicPr>
                    <pic:cNvPr id="72" name="image38.jpeg"/>
                    <pic:cNvPicPr/>
                  </pic:nvPicPr>
                  <pic:blipFill>
                    <a:blip r:embed="rId44" cstate="print"/>
                    <a:stretch>
                      <a:fillRect/>
                    </a:stretch>
                  </pic:blipFill>
                  <pic:spPr>
                    <a:xfrm>
                      <a:off x="0" y="0"/>
                      <a:ext cx="5216785" cy="1824227"/>
                    </a:xfrm>
                    <a:prstGeom prst="rect">
                      <a:avLst/>
                    </a:prstGeom>
                  </pic:spPr>
                </pic:pic>
              </a:graphicData>
            </a:graphic>
          </wp:inline>
        </w:drawing>
      </w:r>
      <w:r/>
    </w:p>
    <w:p w:rsidR="0018722C">
      <w:pPr>
        <w:pStyle w:val="affff1"/>
        <w:topLinePunct/>
      </w:pPr>
      <w:r>
        <w:t/>
      </w:r>
      <w:r>
        <w:t>图</w:t>
      </w:r>
      <w:r>
        <w:t>9</w:t>
      </w:r>
      <w:r/>
      <w:r w:rsidR="001852F3">
        <w:t xml:space="preserve">六</w:t>
      </w:r>
      <w:r w:rsidR="001852F3">
        <w:t>组细胞</w:t>
      </w:r>
      <w:r>
        <w:t>β–catenin</w:t>
      </w:r>
      <w:r/>
      <w:r w:rsidR="001852F3">
        <w:t xml:space="preserve">蛋白表达水平，左边三组为加入</w:t>
      </w:r>
      <w:r>
        <w:t>20</w:t>
      </w:r>
      <w:r>
        <w:t> </w:t>
      </w:r>
      <w:r>
        <w:t>umol</w:t>
      </w:r>
      <w:r>
        <w:t>/</w:t>
      </w:r>
      <w:r>
        <w:t>L</w:t>
      </w:r>
      <w:r>
        <w:t> </w:t>
      </w:r>
      <w:r>
        <w:t>XAV939</w:t>
      </w:r>
      <w:r>
        <w:t>的培养液培养</w:t>
      </w:r>
      <w:r>
        <w:t>24h，</w:t>
      </w:r>
      <w:r>
        <w:t>右边</w:t>
      </w:r>
      <w:r>
        <w:t>3</w:t>
      </w:r>
      <w:r/>
      <w:r w:rsidR="001852F3">
        <w:t xml:space="preserve">组为无加药对照组，</w:t>
      </w:r>
      <w:r>
        <w:t>HBx</w:t>
      </w:r>
      <w:r>
        <w:t xml:space="preserve">: </w:t>
      </w:r>
      <w:r>
        <w:t>HepG2</w:t>
      </w:r>
      <w:r>
        <w:t>/</w:t>
      </w:r>
      <w:r>
        <w:t>HBx</w:t>
      </w:r>
      <w:r/>
      <w:r w:rsidR="001852F3">
        <w:t xml:space="preserve">细胞</w:t>
      </w:r>
      <w:r>
        <w:rPr>
          <w:rFonts w:hint="eastAsia"/>
        </w:rPr>
        <w:t>；</w:t>
      </w:r>
      <w:r>
        <w:t>Mock：</w:t>
      </w:r>
    </w:p>
    <w:p w:rsidR="0018722C">
      <w:pPr>
        <w:topLinePunct/>
      </w:pPr>
      <w:r>
        <w:t>HepG2</w:t>
      </w:r>
      <w:r>
        <w:t>/</w:t>
      </w:r>
      <w:r>
        <w:t>mock</w:t>
      </w:r>
      <w:r w:rsidR="001852F3">
        <w:t xml:space="preserve">细胞; Control</w:t>
      </w:r>
      <w:r>
        <w:t xml:space="preserve">: </w:t>
      </w:r>
      <w:r>
        <w:t>HepG2</w:t>
      </w:r>
      <w:r w:rsidR="001852F3">
        <w:t xml:space="preserve">细胞</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六组细胞</w:t>
      </w:r>
      <w:r w:rsidR="001852F3">
        <w:rPr>
          <w:rFonts w:cstheme="minorBidi" w:hAnsiTheme="minorHAnsi" w:eastAsiaTheme="minorHAnsi" w:asciiTheme="minorHAnsi"/>
        </w:rPr>
        <w:t xml:space="preserve">β–catenin</w:t>
      </w:r>
      <w:r>
        <w:rPr>
          <w:rFonts w:cstheme="minorBidi" w:hAnsiTheme="minorHAnsi" w:eastAsiaTheme="minorHAnsi" w:asciiTheme="minorHAnsi"/>
        </w:rPr>
        <w:t>/</w:t>
      </w:r>
      <w:r>
        <w:rPr>
          <w:rFonts w:cstheme="minorBidi" w:hAnsiTheme="minorHAnsi" w:eastAsiaTheme="minorHAnsi" w:asciiTheme="minorHAnsi"/>
        </w:rPr>
        <w:t>β-actin</w:t>
      </w:r>
      <w:r w:rsidR="001852F3">
        <w:rPr>
          <w:rFonts w:cstheme="minorBidi" w:hAnsiTheme="minorHAnsi" w:eastAsiaTheme="minorHAnsi" w:asciiTheme="minorHAnsi"/>
        </w:rPr>
        <w:t xml:space="preserve">蛋白相对灰度比值</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22"/>
        <w:gridCol w:w="1103"/>
        <w:gridCol w:w="1154"/>
        <w:gridCol w:w="2733"/>
        <w:gridCol w:w="237"/>
      </w:tblGrid>
      <w:tr>
        <w:trPr>
          <w:tblHeader/>
        </w:trPr>
        <w:tc>
          <w:tcPr>
            <w:tcW w:w="17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5"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组</w:t>
            </w:r>
            <w:r>
              <w:t> </w:t>
            </w:r>
            <w:r>
              <w:t>别</w:t>
            </w:r>
            <w:r w:rsidRPr="00000000">
              <w:tab/>
              <w:t>第一次</w:t>
            </w:r>
          </w:p>
        </w:tc>
        <w:tc>
          <w:tcPr>
            <w:tcW w:w="677" w:type="pct"/>
            <w:vAlign w:val="center"/>
          </w:tcPr>
          <w:p w:rsidR="0018722C">
            <w:pPr>
              <w:pStyle w:val="a5"/>
              <w:topLinePunct/>
              <w:ind w:leftChars="0" w:left="0" w:rightChars="0" w:right="0" w:firstLineChars="0" w:firstLine="0"/>
              <w:spacing w:line="240" w:lineRule="atLeast"/>
            </w:pPr>
            <w:r>
              <w:t>第二次</w:t>
            </w:r>
          </w:p>
        </w:tc>
        <w:tc>
          <w:tcPr>
            <w:tcW w:w="708" w:type="pct"/>
            <w:vAlign w:val="center"/>
          </w:tcPr>
          <w:p w:rsidR="0018722C">
            <w:pPr>
              <w:pStyle w:val="a5"/>
              <w:topLinePunct/>
              <w:ind w:leftChars="0" w:left="0" w:rightChars="0" w:right="0" w:firstLineChars="0" w:firstLine="0"/>
              <w:spacing w:line="240" w:lineRule="atLeast"/>
            </w:pPr>
            <w:r>
              <w:t>第三次</w:t>
            </w:r>
          </w:p>
        </w:tc>
        <w:tc>
          <w:tcPr>
            <w:tcW w:w="1677" w:type="pct"/>
            <w:vAlign w:val="center"/>
          </w:tcPr>
          <w:p w:rsidR="0018722C">
            <w:pPr>
              <w:pStyle w:val="a5"/>
              <w:topLinePunct/>
              <w:ind w:leftChars="0" w:left="0" w:rightChars="0" w:right="0" w:firstLineChars="0" w:firstLine="0"/>
              <w:spacing w:line="240" w:lineRule="atLeast"/>
            </w:pPr>
            <w:r>
              <w:t>X </w:t>
            </w:r>
            <w:r>
              <w:t></w:t>
            </w:r>
            <w:r>
              <w:t> </w:t>
            </w:r>
            <w:r>
              <w:t>s</w:t>
            </w:r>
          </w:p>
        </w:tc>
        <w:tc>
          <w:tcPr>
            <w:tcW w:w="145" w:type="pct"/>
            <w:vMerge/>
            <w:vAlign w:val="center"/>
          </w:tcPr>
          <w:p w:rsidR="0018722C">
            <w:pPr>
              <w:pStyle w:val="ad"/>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HepG2</w:t>
            </w:r>
            <w:r w:rsidRPr="00000000">
              <w:tab/>
              <w:t>0.5110</w:t>
            </w:r>
          </w:p>
        </w:tc>
        <w:tc>
          <w:tcPr>
            <w:tcW w:w="677" w:type="pct"/>
            <w:vAlign w:val="center"/>
          </w:tcPr>
          <w:p w:rsidR="0018722C">
            <w:pPr>
              <w:pStyle w:val="affff9"/>
              <w:topLinePunct/>
              <w:ind w:leftChars="0" w:left="0" w:rightChars="0" w:right="0" w:firstLineChars="0" w:firstLine="0"/>
              <w:spacing w:line="240" w:lineRule="atLeast"/>
            </w:pPr>
            <w:r>
              <w:t>0.5514</w:t>
            </w:r>
          </w:p>
        </w:tc>
        <w:tc>
          <w:tcPr>
            <w:tcW w:w="708" w:type="pct"/>
            <w:vAlign w:val="center"/>
          </w:tcPr>
          <w:p w:rsidR="0018722C">
            <w:pPr>
              <w:pStyle w:val="affff9"/>
              <w:topLinePunct/>
              <w:ind w:leftChars="0" w:left="0" w:rightChars="0" w:right="0" w:firstLineChars="0" w:firstLine="0"/>
              <w:spacing w:line="240" w:lineRule="atLeast"/>
            </w:pPr>
            <w:r>
              <w:t>0.5959</w:t>
            </w:r>
          </w:p>
        </w:tc>
        <w:tc>
          <w:tcPr>
            <w:tcW w:w="1677" w:type="pct"/>
            <w:vAlign w:val="center"/>
          </w:tcPr>
          <w:p w:rsidR="0018722C">
            <w:pPr>
              <w:pStyle w:val="a5"/>
              <w:topLinePunct/>
              <w:ind w:leftChars="0" w:left="0" w:rightChars="0" w:right="0" w:firstLineChars="0" w:firstLine="0"/>
              <w:spacing w:line="240" w:lineRule="atLeast"/>
            </w:pPr>
            <w:r>
              <w:t>0.5527±0.0425</w:t>
            </w:r>
          </w:p>
        </w:tc>
        <w:tc>
          <w:tcPr>
            <w:tcW w:w="145" w:type="pct"/>
            <w:vAlign w:val="center"/>
          </w:tcPr>
          <w:p w:rsidR="0018722C">
            <w:pPr>
              <w:pStyle w:val="ad"/>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HepG2</w:t>
            </w:r>
            <w:r>
              <w:t>/</w:t>
            </w:r>
            <w:r>
              <w:t>mock</w:t>
            </w:r>
            <w:r w:rsidRPr="00000000">
              <w:tab/>
              <w:t>0.5041</w:t>
            </w:r>
          </w:p>
        </w:tc>
        <w:tc>
          <w:tcPr>
            <w:tcW w:w="677" w:type="pct"/>
            <w:vAlign w:val="center"/>
          </w:tcPr>
          <w:p w:rsidR="0018722C">
            <w:pPr>
              <w:pStyle w:val="affff9"/>
              <w:topLinePunct/>
              <w:ind w:leftChars="0" w:left="0" w:rightChars="0" w:right="0" w:firstLineChars="0" w:firstLine="0"/>
              <w:spacing w:line="240" w:lineRule="atLeast"/>
            </w:pPr>
            <w:r>
              <w:t>0.5333</w:t>
            </w:r>
          </w:p>
        </w:tc>
        <w:tc>
          <w:tcPr>
            <w:tcW w:w="708" w:type="pct"/>
            <w:vAlign w:val="center"/>
          </w:tcPr>
          <w:p w:rsidR="0018722C">
            <w:pPr>
              <w:pStyle w:val="affff9"/>
              <w:topLinePunct/>
              <w:ind w:leftChars="0" w:left="0" w:rightChars="0" w:right="0" w:firstLineChars="0" w:firstLine="0"/>
              <w:spacing w:line="240" w:lineRule="atLeast"/>
            </w:pPr>
            <w:r>
              <w:t>0.5709</w:t>
            </w:r>
          </w:p>
        </w:tc>
        <w:tc>
          <w:tcPr>
            <w:tcW w:w="1677" w:type="pct"/>
            <w:vAlign w:val="center"/>
          </w:tcPr>
          <w:p w:rsidR="0018722C">
            <w:pPr>
              <w:pStyle w:val="a5"/>
              <w:topLinePunct/>
              <w:ind w:leftChars="0" w:left="0" w:rightChars="0" w:right="0" w:firstLineChars="0" w:firstLine="0"/>
              <w:spacing w:line="240" w:lineRule="atLeast"/>
            </w:pPr>
            <w:r>
              <w:t>0.5361±0.0335</w:t>
            </w:r>
          </w:p>
        </w:tc>
        <w:tc>
          <w:tcPr>
            <w:tcW w:w="145" w:type="pct"/>
            <w:vAlign w:val="center"/>
          </w:tcPr>
          <w:p w:rsidR="0018722C">
            <w:pPr>
              <w:pStyle w:val="ad"/>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HepG2</w:t>
            </w:r>
            <w:r>
              <w:t>/</w:t>
            </w:r>
            <w:r>
              <w:t>HBx</w:t>
            </w:r>
            <w:r w:rsidRPr="00000000">
              <w:tab/>
              <w:t>0.7093</w:t>
            </w:r>
          </w:p>
        </w:tc>
        <w:tc>
          <w:tcPr>
            <w:tcW w:w="677" w:type="pct"/>
            <w:vAlign w:val="center"/>
          </w:tcPr>
          <w:p w:rsidR="0018722C">
            <w:pPr>
              <w:pStyle w:val="affff9"/>
              <w:topLinePunct/>
              <w:ind w:leftChars="0" w:left="0" w:rightChars="0" w:right="0" w:firstLineChars="0" w:firstLine="0"/>
              <w:spacing w:line="240" w:lineRule="atLeast"/>
            </w:pPr>
            <w:r>
              <w:t>0.7512</w:t>
            </w:r>
          </w:p>
        </w:tc>
        <w:tc>
          <w:tcPr>
            <w:tcW w:w="708" w:type="pct"/>
            <w:vAlign w:val="center"/>
          </w:tcPr>
          <w:p w:rsidR="0018722C">
            <w:pPr>
              <w:pStyle w:val="affff9"/>
              <w:topLinePunct/>
              <w:ind w:leftChars="0" w:left="0" w:rightChars="0" w:right="0" w:firstLineChars="0" w:firstLine="0"/>
              <w:spacing w:line="240" w:lineRule="atLeast"/>
            </w:pPr>
            <w:r>
              <w:t>0.7580</w:t>
            </w:r>
          </w:p>
        </w:tc>
        <w:tc>
          <w:tcPr>
            <w:tcW w:w="1677" w:type="pct"/>
            <w:vAlign w:val="center"/>
          </w:tcPr>
          <w:p w:rsidR="0018722C">
            <w:pPr>
              <w:pStyle w:val="a5"/>
              <w:topLinePunct/>
              <w:ind w:leftChars="0" w:left="0" w:rightChars="0" w:right="0" w:firstLineChars="0" w:firstLine="0"/>
              <w:spacing w:line="240" w:lineRule="atLeast"/>
            </w:pPr>
            <w:r>
              <w:t>0.7395±0.0264</w:t>
            </w:r>
          </w:p>
        </w:tc>
        <w:tc>
          <w:tcPr>
            <w:tcW w:w="145" w:type="pct"/>
            <w:vAlign w:val="center"/>
          </w:tcPr>
          <w:p w:rsidR="0018722C">
            <w:pPr>
              <w:pStyle w:val="ad"/>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HepG2</w:t>
            </w:r>
            <w:r>
              <w:t> </w:t>
            </w:r>
            <w:r>
              <w:t>加</w:t>
            </w:r>
            <w:r>
              <w:t> </w:t>
            </w:r>
            <w:r>
              <w:t>XAV939</w:t>
            </w:r>
            <w:r w:rsidRPr="00000000">
              <w:tab/>
              <w:t>0.1386</w:t>
            </w:r>
          </w:p>
        </w:tc>
        <w:tc>
          <w:tcPr>
            <w:tcW w:w="677" w:type="pct"/>
            <w:vAlign w:val="center"/>
          </w:tcPr>
          <w:p w:rsidR="0018722C">
            <w:pPr>
              <w:pStyle w:val="affff9"/>
              <w:topLinePunct/>
              <w:ind w:leftChars="0" w:left="0" w:rightChars="0" w:right="0" w:firstLineChars="0" w:firstLine="0"/>
              <w:spacing w:line="240" w:lineRule="atLeast"/>
            </w:pPr>
            <w:r>
              <w:t>0.4064</w:t>
            </w:r>
          </w:p>
        </w:tc>
        <w:tc>
          <w:tcPr>
            <w:tcW w:w="708" w:type="pct"/>
            <w:vAlign w:val="center"/>
          </w:tcPr>
          <w:p w:rsidR="0018722C">
            <w:pPr>
              <w:pStyle w:val="affff9"/>
              <w:topLinePunct/>
              <w:ind w:leftChars="0" w:left="0" w:rightChars="0" w:right="0" w:firstLineChars="0" w:firstLine="0"/>
              <w:spacing w:line="240" w:lineRule="atLeast"/>
            </w:pPr>
            <w:r>
              <w:t>0.6423</w:t>
            </w:r>
          </w:p>
        </w:tc>
        <w:tc>
          <w:tcPr>
            <w:tcW w:w="1677" w:type="pct"/>
            <w:vAlign w:val="center"/>
          </w:tcPr>
          <w:p w:rsidR="0018722C">
            <w:pPr>
              <w:pStyle w:val="a5"/>
              <w:topLinePunct/>
              <w:ind w:leftChars="0" w:left="0" w:rightChars="0" w:right="0" w:firstLineChars="0" w:firstLine="0"/>
              <w:spacing w:line="240" w:lineRule="atLeast"/>
            </w:pPr>
            <w:r>
              <w:t>0.3958±0.2520</w:t>
            </w:r>
          </w:p>
        </w:tc>
        <w:tc>
          <w:tcPr>
            <w:tcW w:w="145" w:type="pct"/>
            <w:vAlign w:val="center"/>
          </w:tcPr>
          <w:p w:rsidR="0018722C">
            <w:pPr>
              <w:pStyle w:val="ad"/>
              <w:topLinePunct/>
              <w:ind w:leftChars="0" w:left="0" w:rightChars="0" w:right="0" w:firstLineChars="0" w:firstLine="0"/>
              <w:spacing w:line="240" w:lineRule="atLeast"/>
            </w:pPr>
          </w:p>
        </w:tc>
      </w:tr>
      <w:tr>
        <w:tc>
          <w:tcPr>
            <w:tcW w:w="1793" w:type="pct"/>
            <w:vAlign w:val="center"/>
          </w:tcPr>
          <w:p w:rsidR="0018722C">
            <w:pPr>
              <w:pStyle w:val="ac"/>
              <w:topLinePunct/>
              <w:ind w:leftChars="0" w:left="0" w:rightChars="0" w:right="0" w:firstLineChars="0" w:firstLine="0"/>
              <w:spacing w:line="240" w:lineRule="atLeast"/>
            </w:pPr>
            <w:r>
              <w:t>HepG2</w:t>
            </w:r>
            <w:r>
              <w:t>/</w:t>
            </w:r>
            <w:r>
              <w:t>mock 加 XAV939 0.2205</w:t>
            </w:r>
          </w:p>
        </w:tc>
        <w:tc>
          <w:tcPr>
            <w:tcW w:w="677" w:type="pct"/>
            <w:vAlign w:val="center"/>
          </w:tcPr>
          <w:p w:rsidR="0018722C">
            <w:pPr>
              <w:pStyle w:val="affff9"/>
              <w:topLinePunct/>
              <w:ind w:leftChars="0" w:left="0" w:rightChars="0" w:right="0" w:firstLineChars="0" w:firstLine="0"/>
              <w:spacing w:line="240" w:lineRule="atLeast"/>
            </w:pPr>
            <w:r>
              <w:t>0.1656</w:t>
            </w:r>
          </w:p>
        </w:tc>
        <w:tc>
          <w:tcPr>
            <w:tcW w:w="708" w:type="pct"/>
            <w:vAlign w:val="center"/>
          </w:tcPr>
          <w:p w:rsidR="0018722C">
            <w:pPr>
              <w:pStyle w:val="affff9"/>
              <w:topLinePunct/>
              <w:ind w:leftChars="0" w:left="0" w:rightChars="0" w:right="0" w:firstLineChars="0" w:firstLine="0"/>
              <w:spacing w:line="240" w:lineRule="atLeast"/>
            </w:pPr>
            <w:r>
              <w:t>0.3984</w:t>
            </w:r>
          </w:p>
        </w:tc>
        <w:tc>
          <w:tcPr>
            <w:tcW w:w="1677" w:type="pct"/>
            <w:vAlign w:val="center"/>
          </w:tcPr>
          <w:p w:rsidR="0018722C">
            <w:pPr>
              <w:pStyle w:val="a5"/>
              <w:topLinePunct/>
              <w:ind w:leftChars="0" w:left="0" w:rightChars="0" w:right="0" w:firstLineChars="0" w:firstLine="0"/>
              <w:spacing w:line="240" w:lineRule="atLeast"/>
            </w:pPr>
            <w:r>
              <w:t>0.2615±0.11217</w:t>
            </w:r>
          </w:p>
        </w:tc>
        <w:tc>
          <w:tcPr>
            <w:tcW w:w="145" w:type="pct"/>
            <w:vAlign w:val="center"/>
          </w:tcPr>
          <w:p w:rsidR="0018722C">
            <w:pPr>
              <w:pStyle w:val="ad"/>
              <w:topLinePunct/>
              <w:ind w:leftChars="0" w:left="0" w:rightChars="0" w:right="0" w:firstLineChars="0" w:firstLine="0"/>
              <w:spacing w:line="240" w:lineRule="atLeast"/>
            </w:pPr>
          </w:p>
        </w:tc>
      </w:tr>
      <w:tr>
        <w:tc>
          <w:tcPr>
            <w:tcW w:w="1793" w:type="pct"/>
            <w:vAlign w:val="center"/>
            <w:tcBorders>
              <w:top w:val="single" w:sz="4" w:space="0" w:color="auto"/>
            </w:tcBorders>
          </w:tcPr>
          <w:p w:rsidR="0018722C">
            <w:pPr>
              <w:pStyle w:val="ac"/>
              <w:topLinePunct/>
              <w:ind w:leftChars="0" w:left="0" w:rightChars="0" w:right="0" w:firstLineChars="0" w:firstLine="0"/>
              <w:spacing w:line="240" w:lineRule="atLeast"/>
            </w:pPr>
            <w:r>
              <w:t>HepG2</w:t>
            </w:r>
            <w:r>
              <w:t>/</w:t>
            </w:r>
            <w:r>
              <w:t>HBx</w:t>
            </w:r>
            <w:r>
              <w:t> </w:t>
            </w:r>
            <w:r>
              <w:t>加</w:t>
            </w:r>
            <w:r>
              <w:t> </w:t>
            </w:r>
            <w:r>
              <w:t>XAV939</w:t>
            </w:r>
            <w:r w:rsidRPr="00000000">
              <w:tab/>
            </w:r>
            <w:r>
              <w:t>0.1828</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0.2271</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0.3183</w:t>
            </w:r>
          </w:p>
        </w:tc>
        <w:tc>
          <w:tcPr>
            <w:tcW w:w="1677" w:type="pct"/>
            <w:vAlign w:val="center"/>
            <w:tcBorders>
              <w:top w:val="single" w:sz="4" w:space="0" w:color="auto"/>
            </w:tcBorders>
          </w:tcPr>
          <w:p w:rsidR="0018722C">
            <w:pPr>
              <w:pStyle w:val="aff1"/>
              <w:topLinePunct/>
              <w:ind w:leftChars="0" w:left="0" w:rightChars="0" w:right="0" w:firstLineChars="0" w:firstLine="0"/>
              <w:spacing w:line="240" w:lineRule="atLeast"/>
            </w:pPr>
            <w:r>
              <w:t>0.2427±0.0691</w:t>
            </w:r>
          </w:p>
        </w:tc>
        <w:tc>
          <w:tcPr>
            <w:tcW w:w="1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rPr>
          <w:sz w:val="20"/>
        </w:rPr>
        <w:drawing>
          <wp:inline distT="0" distB="0" distL="0" distR="0">
            <wp:extent cx="4801500" cy="2992195"/>
            <wp:effectExtent l="0" t="0" r="0" b="0"/>
            <wp:docPr id="73" name="image39.jpeg" descr=""/>
            <wp:cNvGraphicFramePr>
              <a:graphicFrameLocks noChangeAspect="1"/>
            </wp:cNvGraphicFramePr>
            <a:graphic>
              <a:graphicData uri="http://schemas.openxmlformats.org/drawingml/2006/picture">
                <pic:pic>
                  <pic:nvPicPr>
                    <pic:cNvPr id="74" name="image39.jpeg"/>
                    <pic:cNvPicPr/>
                  </pic:nvPicPr>
                  <pic:blipFill>
                    <a:blip r:embed="rId45" cstate="print"/>
                    <a:stretch>
                      <a:fillRect/>
                    </a:stretch>
                  </pic:blipFill>
                  <pic:spPr>
                    <a:xfrm>
                      <a:off x="0" y="0"/>
                      <a:ext cx="4966860" cy="3095244"/>
                    </a:xfrm>
                    <a:prstGeom prst="rect">
                      <a:avLst/>
                    </a:prstGeom>
                  </pic:spPr>
                </pic:pic>
              </a:graphicData>
            </a:graphic>
          </wp:inline>
        </w:drawing>
      </w:r>
      <w:r/>
    </w:p>
    <w:p w:rsidR="0018722C">
      <w:pPr>
        <w:rPr/>
        <w:topLinePunct/>
      </w:pPr>
    </w:p>
    <w:p w:rsidR="0018722C">
      <w:pPr>
        <w:topLinePunct/>
      </w:pPr>
      <w:r>
        <w:t/>
      </w:r>
      <w:r>
        <w:t>图</w:t>
      </w:r>
      <w:r>
        <w:t>10</w:t>
      </w:r>
      <w:r/>
      <w:r w:rsidR="001852F3">
        <w:t xml:space="preserve">经</w:t>
      </w:r>
      <w:r>
        <w:t>20 umol</w:t>
      </w:r>
      <w:r>
        <w:t>/</w:t>
      </w:r>
      <w:r>
        <w:t>L XAV939</w:t>
      </w:r>
      <w:r/>
      <w:r w:rsidR="001852F3">
        <w:t xml:space="preserve">的培养液培养</w:t>
      </w:r>
      <w:r>
        <w:t>24h</w:t>
      </w:r>
      <w:r/>
      <w:r w:rsidR="001852F3">
        <w:t xml:space="preserve">后六组细胞</w:t>
      </w:r>
      <w:r>
        <w:t>β–catenin</w:t>
      </w:r>
      <w:r/>
      <w:r w:rsidR="001852F3">
        <w:t xml:space="preserve">蛋白</w:t>
      </w:r>
      <w:r>
        <w:t>表达水平</w:t>
      </w:r>
      <w:r>
        <w:t>（</w:t>
      </w:r>
      <w:r>
        <w:rPr>
          <w:rFonts w:ascii="Times New Roman" w:hAnsi="Times New Roman" w:eastAsia="宋体"/>
        </w:rPr>
        <w:t>*</w:t>
      </w:r>
      <w:r>
        <w:t xml:space="preserve">, </w:t>
      </w:r>
      <w:r>
        <w:t>P&lt;0.05</w:t>
      </w:r>
      <w:r>
        <w:t xml:space="preserve">, </w:t>
      </w:r>
      <w:r>
        <w:t>HepG2</w:t>
      </w:r>
      <w:r>
        <w:t>/</w:t>
      </w:r>
      <w:r>
        <w:t>HBx</w:t>
      </w:r>
      <w:r/>
      <w:r w:rsidR="001852F3">
        <w:t xml:space="preserve">组与</w:t>
      </w:r>
      <w:r>
        <w:t>HepG2</w:t>
      </w:r>
      <w:r>
        <w:t>/</w:t>
      </w:r>
      <w:r>
        <w:t>mock</w:t>
      </w:r>
      <w:r>
        <w:t>、</w:t>
      </w:r>
      <w:r>
        <w:t>HepG2</w:t>
      </w:r>
      <w:r/>
      <w:r w:rsidR="001852F3">
        <w:t xml:space="preserve">组对比；#</w:t>
      </w:r>
      <w:r>
        <w:t xml:space="preserve">, </w:t>
      </w:r>
      <w:r>
        <w:t>P&lt;0.05</w:t>
      </w:r>
      <w:r>
        <w:t>,</w:t>
      </w:r>
      <w:r>
        <w:t> HepG2</w:t>
      </w:r>
      <w:r>
        <w:t>/</w:t>
      </w:r>
      <w:r>
        <w:t>HBx</w:t>
      </w:r>
      <w:r/>
      <w:r w:rsidR="001852F3">
        <w:t xml:space="preserve">组与</w:t>
      </w:r>
      <w:r>
        <w:t>HepG2</w:t>
      </w:r>
      <w:r>
        <w:t>/</w:t>
      </w:r>
      <w:r>
        <w:t>HBx</w:t>
      </w:r>
      <w:r/>
      <w:r w:rsidR="001852F3">
        <w:t xml:space="preserve">加入</w:t>
      </w:r>
      <w:r>
        <w:t>20 umol</w:t>
      </w:r>
      <w:r>
        <w:t>/</w:t>
      </w:r>
      <w:r>
        <w:t>L XAV939</w:t>
      </w:r>
      <w:r/>
      <w:r w:rsidR="001852F3">
        <w:t xml:space="preserve">组对比</w:t>
      </w:r>
      <w:r>
        <w:t>）</w:t>
      </w:r>
      <w:r>
        <w:t>，</w:t>
      </w:r>
      <w:r w:rsidR="001852F3">
        <w:t xml:space="preserve">HBx</w:t>
      </w:r>
      <w:r>
        <w:t xml:space="preserve">: </w:t>
      </w:r>
      <w:r>
        <w:t>HepG2</w:t>
      </w:r>
      <w:r>
        <w:t>/</w:t>
      </w:r>
      <w:r>
        <w:t>HBx细胞; Mock</w:t>
      </w:r>
      <w:r>
        <w:t xml:space="preserve">: </w:t>
      </w:r>
      <w:r>
        <w:t>HepG2</w:t>
      </w:r>
      <w:r>
        <w:t>/</w:t>
      </w:r>
      <w:r>
        <w:t>mock</w:t>
      </w:r>
      <w:r/>
      <w:r w:rsidR="001852F3">
        <w:t xml:space="preserve">细胞; </w:t>
      </w:r>
      <w:r>
        <w:t>Control</w:t>
      </w:r>
      <w:r>
        <w:t xml:space="preserve">: </w:t>
      </w:r>
      <w:r>
        <w:t>HepG2</w:t>
      </w:r>
      <w:r/>
      <w:r w:rsidR="001852F3">
        <w:t xml:space="preserve">细</w:t>
      </w:r>
      <w:r w:rsidR="001852F3">
        <w:t>胞</w:t>
      </w:r>
    </w:p>
    <w:p w:rsidR="0018722C">
      <w:pPr>
        <w:pStyle w:val="cw20"/>
        <w:topLinePunct/>
      </w:pPr>
      <w:r>
        <w:rPr>
          <w:rFonts w:cstheme="minorBidi" w:hAnsiTheme="minorHAnsi" w:eastAsiaTheme="minorHAnsi" w:asciiTheme="minorHAnsi" w:ascii="宋体" w:hAnsi="宋体" w:eastAsia="宋体" w:cs="宋体"/>
          <w:b/>
        </w:rPr>
        <w:t>6</w:t>
      </w:r>
      <w:r>
        <w:rPr>
          <w:rFonts w:cstheme="minorBidi" w:hAnsiTheme="minorHAnsi" w:eastAsiaTheme="minorHAnsi" w:asciiTheme="minorHAnsi" w:ascii="宋体" w:hAnsi="宋体" w:eastAsia="宋体" w:cs="宋体"/>
          <w:b/>
        </w:rPr>
        <w:t>加入</w:t>
      </w:r>
      <w:r>
        <w:rPr>
          <w:rFonts w:cstheme="minorBidi" w:hAnsiTheme="minorHAnsi" w:eastAsiaTheme="minorHAnsi" w:asciiTheme="minorHAnsi" w:ascii="宋体" w:hAnsi="宋体" w:eastAsia="宋体" w:cs="宋体"/>
          <w:b/>
        </w:rPr>
        <w:t>β–catenin</w:t>
      </w:r>
      <w:r w:rsidR="001852F3">
        <w:rPr>
          <w:rFonts w:cstheme="minorBidi" w:hAnsiTheme="minorHAnsi" w:eastAsiaTheme="minorHAnsi" w:asciiTheme="minorHAnsi" w:ascii="宋体" w:hAnsi="宋体" w:eastAsia="宋体" w:cs="宋体"/>
          <w:b/>
        </w:rPr>
        <w:t xml:space="preserve">抑制剂</w:t>
      </w:r>
      <w:r>
        <w:rPr>
          <w:rFonts w:cstheme="minorBidi" w:hAnsiTheme="minorHAnsi" w:eastAsiaTheme="minorHAnsi" w:asciiTheme="minorHAnsi" w:ascii="宋体" w:hAnsi="宋体" w:eastAsia="宋体" w:cs="宋体"/>
          <w:b/>
        </w:rPr>
        <w:t>XAV939</w:t>
      </w:r>
      <w:r w:rsidR="001852F3">
        <w:rPr>
          <w:rFonts w:cstheme="minorBidi" w:hAnsiTheme="minorHAnsi" w:eastAsiaTheme="minorHAnsi" w:asciiTheme="minorHAnsi" w:ascii="宋体" w:hAnsi="宋体" w:eastAsia="宋体" w:cs="宋体"/>
          <w:b/>
        </w:rPr>
        <w:t xml:space="preserve">后，</w:t>
      </w:r>
      <w:r>
        <w:rPr>
          <w:rFonts w:cstheme="minorBidi" w:hAnsiTheme="minorHAnsi" w:eastAsiaTheme="minorHAnsi" w:asciiTheme="minorHAnsi" w:ascii="宋体" w:hAnsi="宋体" w:eastAsia="宋体" w:cs="宋体"/>
          <w:b/>
        </w:rPr>
        <w:t>HepG2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细胞增殖活性下降</w:t>
      </w:r>
    </w:p>
    <w:p w:rsidR="0018722C">
      <w:pPr>
        <w:topLinePunct/>
      </w:pPr>
      <w:r>
        <w:t>经</w:t>
      </w:r>
      <w:r>
        <w:t>20 umol</w:t>
      </w:r>
      <w:r>
        <w:t>/</w:t>
      </w:r>
      <w:r>
        <w:t>L XAV939</w:t>
      </w:r>
      <w:r/>
      <w:r w:rsidR="001852F3">
        <w:t xml:space="preserve">的培养液培养</w:t>
      </w:r>
      <w:r>
        <w:t>24h</w:t>
      </w:r>
      <w:r/>
      <w:r w:rsidR="001852F3">
        <w:t xml:space="preserve">后，六组细胞增殖能力情况如</w:t>
      </w:r>
      <w:r w:rsidR="001852F3">
        <w:t>表</w:t>
      </w:r>
      <w:r>
        <w:t>6</w:t>
      </w:r>
      <w:r/>
      <w:r w:rsidR="001852F3">
        <w:t xml:space="preserve">所示，统计学分析提示，HepG2</w:t>
      </w:r>
      <w:r>
        <w:t>/</w:t>
      </w:r>
      <w:r>
        <w:t>HBx</w:t>
      </w:r>
      <w:r/>
      <w:r w:rsidR="001852F3">
        <w:t xml:space="preserve">细胞组在培养</w:t>
      </w:r>
      <w:r>
        <w:t>1d、2d、3d</w:t>
      </w:r>
      <w:r/>
      <w:r w:rsidR="001852F3">
        <w:t xml:space="preserve">的时间中的增殖速度</w:t>
      </w:r>
      <w:r>
        <w:t>较</w:t>
      </w:r>
      <w:r>
        <w:t>HepG2</w:t>
      </w:r>
      <w:r>
        <w:t>/</w:t>
      </w:r>
      <w:r>
        <w:t>mock</w:t>
      </w:r>
      <w:r/>
      <w:r w:rsidR="001852F3">
        <w:t xml:space="preserve">细胞组与</w:t>
      </w:r>
      <w:r>
        <w:t>HepG2</w:t>
      </w:r>
      <w:r/>
      <w:r w:rsidR="001852F3">
        <w:t xml:space="preserve">细胞组升高，差异具有统计学意义</w:t>
      </w:r>
      <w:r>
        <w:t>(</w:t>
      </w:r>
      <w:r>
        <w:t>P&lt;0.05</w:t>
      </w:r>
      <w:r>
        <w:t>)</w:t>
      </w:r>
      <w:r>
        <w:t>。</w:t>
      </w:r>
    </w:p>
    <w:p w:rsidR="0018722C">
      <w:pPr>
        <w:topLinePunct/>
      </w:pPr>
      <w:r>
        <w:t>HepG2</w:t>
      </w:r>
      <w:r>
        <w:t>/</w:t>
      </w:r>
      <w:r>
        <w:t>HBx</w:t>
      </w:r>
      <w:r/>
      <w:r w:rsidR="001852F3">
        <w:t xml:space="preserve">细胞组在加入</w:t>
      </w:r>
      <w:r>
        <w:t>20</w:t>
      </w:r>
      <w:r>
        <w:t> </w:t>
      </w:r>
      <w:r>
        <w:t>umol</w:t>
      </w:r>
      <w:r>
        <w:t>/</w:t>
      </w:r>
      <w:r>
        <w:t>L</w:t>
      </w:r>
      <w:r>
        <w:t> </w:t>
      </w:r>
      <w:r>
        <w:t>XAV939</w:t>
      </w:r>
      <w:r/>
      <w:r w:rsidR="001852F3">
        <w:t xml:space="preserve">的培养液培养</w:t>
      </w:r>
      <w:r>
        <w:t>24h</w:t>
      </w:r>
      <w:r/>
      <w:r w:rsidR="001852F3">
        <w:t xml:space="preserve">后继续培养</w:t>
      </w:r>
      <w:r>
        <w:t>1d</w:t>
      </w:r>
      <w:r>
        <w:t>、</w:t>
      </w:r>
      <w:r>
        <w:t>2d、</w:t>
      </w:r>
    </w:p>
    <w:p w:rsidR="0018722C">
      <w:pPr>
        <w:topLinePunct/>
      </w:pPr>
      <w:r>
        <w:t>3d</w:t>
      </w:r>
      <w:r w:rsidR="001852F3">
        <w:t xml:space="preserve">的时间中的增殖速度较未加药的</w:t>
      </w:r>
      <w:r w:rsidR="001852F3">
        <w:t xml:space="preserve">HepG2</w:t>
      </w:r>
      <w:r>
        <w:t>/</w:t>
      </w:r>
      <w:r>
        <w:t>HBx</w:t>
      </w:r>
      <w:r w:rsidR="001852F3">
        <w:t xml:space="preserve">细胞组下降，差异具有统计学意义</w:t>
      </w:r>
    </w:p>
    <w:p w:rsidR="0018722C">
      <w:pPr>
        <w:topLinePunct/>
      </w:pPr>
      <w:r>
        <w:t>（</w:t>
      </w:r>
      <w:r>
        <w:t>P&lt;0.05</w:t>
      </w:r>
      <w:r>
        <w:t>）</w:t>
      </w:r>
      <w:r>
        <w:t>，</w:t>
      </w:r>
      <w:r>
        <w:t>如图</w:t>
      </w:r>
      <w:r>
        <w:t>1</w:t>
      </w:r>
      <w:r>
        <w:t>1</w:t>
      </w:r>
      <w:r/>
      <w:r w:rsidR="001852F3">
        <w:t xml:space="preserve">所示。该部分实验表明</w:t>
      </w:r>
      <w:r>
        <w:t>HBx</w:t>
      </w:r>
      <w:r/>
      <w:r w:rsidR="001852F3">
        <w:t xml:space="preserve">促进</w:t>
      </w:r>
      <w:r>
        <w:t>HepG2</w:t>
      </w:r>
      <w:r>
        <w:t>/</w:t>
      </w:r>
      <w:r>
        <w:t>HBx</w:t>
      </w:r>
      <w:r/>
      <w:r w:rsidR="001852F3">
        <w:t xml:space="preserve">细胞的增殖能力依</w:t>
      </w:r>
      <w:r>
        <w:t>赖</w:t>
      </w:r>
      <w:r>
        <w:t>β–catenin</w:t>
      </w:r>
      <w:r/>
      <w:r w:rsidR="001852F3">
        <w:t xml:space="preserve">的上调。</w:t>
      </w:r>
    </w:p>
    <w:p w:rsidR="0018722C">
      <w:pPr>
        <w:pStyle w:val="aff7"/>
        <w:topLinePunct/>
      </w:pPr>
      <w:r>
        <w:rPr>
          <w:sz w:val="2"/>
        </w:rPr>
        <w:pict>
          <v:group style="width:7.9pt;height:.550pt;mso-position-horizontal-relative:char;mso-position-vertical-relative:line" coordorigin="0,0" coordsize="158,11">
            <v:line style="position:absolute" from="0,5" to="157,5" stroked="true" strokeweight=".504338pt" strokecolor="#000000">
              <v:stroke dashstyle="solid"/>
            </v:line>
          </v:group>
        </w:pict>
      </w:r>
      <w:r/>
    </w:p>
    <w:p w:rsidR="0018722C">
      <w:spacing w:beforeLines="0" w:before="0" w:afterLines="0" w:after="0" w:line="440" w:lineRule="auto"/>
      <w:pPr>
        <w:sectPr w:rsidR="00556256">
          <w:type w:val="continuous"/>
          <w:pgSz w:w="11910" w:h="16840"/>
          <w:pgMar w:header="0" w:footer="1160" w:top="1480" w:bottom="1400" w:left="1600" w:right="1460"/>
        </w:sect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6</w:t>
      </w:r>
      <w:r>
        <w:t xml:space="preserve">  </w:t>
      </w:r>
      <w:r w:rsidRPr="00DB64CE">
        <w:rPr>
          <w:rFonts w:cstheme="minorBidi" w:hAnsiTheme="minorHAnsi" w:eastAsiaTheme="minorHAnsi" w:asciiTheme="minorHAnsi"/>
        </w:rPr>
        <w:t>CCK-8</w:t>
      </w:r>
      <w:r w:rsidR="001852F3">
        <w:rPr>
          <w:rFonts w:cstheme="minorBidi" w:hAnsiTheme="minorHAnsi" w:eastAsiaTheme="minorHAnsi" w:asciiTheme="minorHAnsi"/>
        </w:rPr>
        <w:t xml:space="preserve">检测三组细胞的增殖能力</w:t>
      </w:r>
      <w:r>
        <w:rPr>
          <w:rFonts w:cstheme="minorBidi" w:hAnsiTheme="minorHAnsi" w:eastAsiaTheme="minorHAnsi" w:asciiTheme="minorHAnsi"/>
        </w:rPr>
        <w:t>(</w:t>
      </w:r>
      <w:r>
        <w:rPr>
          <w:rFonts w:cstheme="minorBidi" w:hAnsiTheme="minorHAnsi" w:eastAsiaTheme="minorHAnsi" w:asciiTheme="minorHAnsi"/>
        </w:rPr>
        <w:t>OD</w:t>
      </w:r>
      <w:r w:rsidR="001852F3">
        <w:rPr>
          <w:rFonts w:cstheme="minorBidi" w:hAnsiTheme="minorHAnsi" w:eastAsiaTheme="minorHAnsi" w:asciiTheme="minorHAnsi"/>
        </w:rPr>
        <w:t xml:space="preserve">值</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X</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n=6</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500" w:bottom="280" w:left="1600" w:right="1460"/>
          <w:cols w:num="2" w:equalWidth="0">
            <w:col w:w="6404" w:space="40"/>
            <w:col w:w="2406"/>
          </w:cols>
        </w:sectPr>
        <w:topLinePunct/>
      </w:pPr>
    </w:p>
    <w:tbl>
      <w:tblPr>
        <w:tblW w:w="5000" w:type="pct"/>
        <w:tblInd w:w="3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1"/>
        <w:gridCol w:w="1943"/>
        <w:gridCol w:w="1890"/>
        <w:gridCol w:w="2418"/>
      </w:tblGrid>
      <w:tr>
        <w:trPr>
          <w:tblHeader/>
        </w:trPr>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1d</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2d</w:t>
            </w:r>
          </w:p>
        </w:tc>
        <w:tc>
          <w:tcPr>
            <w:tcW w:w="1526" w:type="pct"/>
            <w:vAlign w:val="center"/>
            <w:tcBorders>
              <w:bottom w:val="single" w:sz="4" w:space="0" w:color="auto"/>
            </w:tcBorders>
          </w:tcPr>
          <w:p w:rsidR="0018722C">
            <w:pPr>
              <w:pStyle w:val="a7"/>
              <w:topLinePunct/>
              <w:ind w:leftChars="0" w:left="0" w:rightChars="0" w:right="0" w:firstLineChars="0" w:firstLine="0"/>
              <w:spacing w:line="240" w:lineRule="atLeast"/>
            </w:pPr>
            <w:r>
              <w:t>3d</w:t>
            </w:r>
          </w:p>
        </w:tc>
      </w:tr>
      <w:tr>
        <w:tc>
          <w:tcPr>
            <w:tcW w:w="1055" w:type="pct"/>
            <w:vAlign w:val="center"/>
          </w:tcPr>
          <w:p w:rsidR="0018722C">
            <w:pPr>
              <w:pStyle w:val="ac"/>
              <w:topLinePunct/>
              <w:ind w:leftChars="0" w:left="0" w:rightChars="0" w:right="0" w:firstLineChars="0" w:firstLine="0"/>
              <w:spacing w:line="240" w:lineRule="atLeast"/>
            </w:pPr>
            <w:r>
              <w:t>HepG2</w:t>
            </w:r>
          </w:p>
        </w:tc>
        <w:tc>
          <w:tcPr>
            <w:tcW w:w="1226" w:type="pct"/>
            <w:vAlign w:val="center"/>
          </w:tcPr>
          <w:p w:rsidR="0018722C">
            <w:pPr>
              <w:pStyle w:val="a5"/>
              <w:topLinePunct/>
              <w:ind w:leftChars="0" w:left="0" w:rightChars="0" w:right="0" w:firstLineChars="0" w:firstLine="0"/>
              <w:spacing w:line="240" w:lineRule="atLeast"/>
            </w:pPr>
            <w:r>
              <w:t>0.6619±0.0467</w:t>
            </w:r>
          </w:p>
        </w:tc>
        <w:tc>
          <w:tcPr>
            <w:tcW w:w="1193" w:type="pct"/>
            <w:vAlign w:val="center"/>
          </w:tcPr>
          <w:p w:rsidR="0018722C">
            <w:pPr>
              <w:pStyle w:val="a5"/>
              <w:topLinePunct/>
              <w:ind w:leftChars="0" w:left="0" w:rightChars="0" w:right="0" w:firstLineChars="0" w:firstLine="0"/>
              <w:spacing w:line="240" w:lineRule="atLeast"/>
            </w:pPr>
            <w:r>
              <w:t>1.0525±0.0762</w:t>
            </w:r>
          </w:p>
        </w:tc>
        <w:tc>
          <w:tcPr>
            <w:tcW w:w="1526" w:type="pct"/>
            <w:vAlign w:val="center"/>
          </w:tcPr>
          <w:p w:rsidR="0018722C">
            <w:pPr>
              <w:pStyle w:val="ad"/>
              <w:topLinePunct/>
              <w:ind w:leftChars="0" w:left="0" w:rightChars="0" w:right="0" w:firstLineChars="0" w:firstLine="0"/>
              <w:spacing w:line="240" w:lineRule="atLeast"/>
            </w:pPr>
            <w:r>
              <w:t>2.0125±0.0488</w:t>
            </w:r>
          </w:p>
        </w:tc>
      </w:tr>
      <w:tr>
        <w:tc>
          <w:tcPr>
            <w:tcW w:w="1055" w:type="pct"/>
            <w:vAlign w:val="center"/>
          </w:tcPr>
          <w:p w:rsidR="0018722C">
            <w:pPr>
              <w:pStyle w:val="ac"/>
              <w:topLinePunct/>
              <w:ind w:leftChars="0" w:left="0" w:rightChars="0" w:right="0" w:firstLineChars="0" w:firstLine="0"/>
              <w:spacing w:line="240" w:lineRule="atLeast"/>
            </w:pPr>
            <w:r>
              <w:t>HepG2</w:t>
            </w:r>
            <w:r>
              <w:t>/</w:t>
            </w:r>
            <w:r>
              <w:t>mock</w:t>
            </w:r>
          </w:p>
        </w:tc>
        <w:tc>
          <w:tcPr>
            <w:tcW w:w="1226" w:type="pct"/>
            <w:vAlign w:val="center"/>
          </w:tcPr>
          <w:p w:rsidR="0018722C">
            <w:pPr>
              <w:pStyle w:val="a5"/>
              <w:topLinePunct/>
              <w:ind w:leftChars="0" w:left="0" w:rightChars="0" w:right="0" w:firstLineChars="0" w:firstLine="0"/>
              <w:spacing w:line="240" w:lineRule="atLeast"/>
            </w:pPr>
            <w:r>
              <w:t>0.6684±0.0492</w:t>
            </w:r>
          </w:p>
        </w:tc>
        <w:tc>
          <w:tcPr>
            <w:tcW w:w="1193" w:type="pct"/>
            <w:vAlign w:val="center"/>
          </w:tcPr>
          <w:p w:rsidR="0018722C">
            <w:pPr>
              <w:pStyle w:val="a5"/>
              <w:topLinePunct/>
              <w:ind w:leftChars="0" w:left="0" w:rightChars="0" w:right="0" w:firstLineChars="0" w:firstLine="0"/>
              <w:spacing w:line="240" w:lineRule="atLeast"/>
            </w:pPr>
            <w:r>
              <w:t>1.1112±0.1566</w:t>
            </w:r>
          </w:p>
        </w:tc>
        <w:tc>
          <w:tcPr>
            <w:tcW w:w="1526" w:type="pct"/>
            <w:vAlign w:val="center"/>
          </w:tcPr>
          <w:p w:rsidR="0018722C">
            <w:pPr>
              <w:pStyle w:val="ad"/>
              <w:topLinePunct/>
              <w:ind w:leftChars="0" w:left="0" w:rightChars="0" w:right="0" w:firstLineChars="0" w:firstLine="0"/>
              <w:spacing w:line="240" w:lineRule="atLeast"/>
            </w:pPr>
            <w:r>
              <w:t>1.9901±0.0726</w:t>
            </w:r>
          </w:p>
        </w:tc>
      </w:tr>
      <w:tr>
        <w:tc>
          <w:tcPr>
            <w:tcW w:w="1055" w:type="pct"/>
            <w:vAlign w:val="center"/>
          </w:tcPr>
          <w:p w:rsidR="0018722C">
            <w:pPr>
              <w:pStyle w:val="ac"/>
              <w:topLinePunct/>
              <w:ind w:leftChars="0" w:left="0" w:rightChars="0" w:right="0" w:firstLineChars="0" w:firstLine="0"/>
              <w:spacing w:line="240" w:lineRule="atLeast"/>
            </w:pPr>
            <w:r>
              <w:t>HepG2</w:t>
            </w:r>
            <w:r>
              <w:t>/</w:t>
            </w:r>
            <w:r>
              <w:t>HBx</w:t>
            </w:r>
          </w:p>
        </w:tc>
        <w:tc>
          <w:tcPr>
            <w:tcW w:w="1226" w:type="pct"/>
            <w:vAlign w:val="center"/>
          </w:tcPr>
          <w:p w:rsidR="0018722C">
            <w:pPr>
              <w:pStyle w:val="a5"/>
              <w:topLinePunct/>
              <w:ind w:leftChars="0" w:left="0" w:rightChars="0" w:right="0" w:firstLineChars="0" w:firstLine="0"/>
              <w:spacing w:line="240" w:lineRule="atLeast"/>
            </w:pPr>
            <w:r>
              <w:t>0.8678±0.0584</w:t>
            </w:r>
          </w:p>
        </w:tc>
        <w:tc>
          <w:tcPr>
            <w:tcW w:w="1193" w:type="pct"/>
            <w:vAlign w:val="center"/>
          </w:tcPr>
          <w:p w:rsidR="0018722C">
            <w:pPr>
              <w:pStyle w:val="a5"/>
              <w:topLinePunct/>
              <w:ind w:leftChars="0" w:left="0" w:rightChars="0" w:right="0" w:firstLineChars="0" w:firstLine="0"/>
              <w:spacing w:line="240" w:lineRule="atLeast"/>
            </w:pPr>
            <w:r>
              <w:t>1.4848±0.1561</w:t>
            </w:r>
          </w:p>
        </w:tc>
        <w:tc>
          <w:tcPr>
            <w:tcW w:w="1526" w:type="pct"/>
            <w:vAlign w:val="center"/>
          </w:tcPr>
          <w:p w:rsidR="0018722C">
            <w:pPr>
              <w:pStyle w:val="ad"/>
              <w:topLinePunct/>
              <w:ind w:leftChars="0" w:left="0" w:rightChars="0" w:right="0" w:firstLineChars="0" w:firstLine="0"/>
              <w:spacing w:line="240" w:lineRule="atLeast"/>
            </w:pPr>
            <w:r>
              <w:t>2.4342±0.1068</w:t>
            </w:r>
          </w:p>
        </w:tc>
      </w:tr>
      <w:tr>
        <w:tc>
          <w:tcPr>
            <w:tcW w:w="1055" w:type="pct"/>
            <w:vAlign w:val="center"/>
            <w:tcBorders>
              <w:top w:val="single" w:sz="4" w:space="0" w:color="auto"/>
            </w:tcBorders>
          </w:tcPr>
          <w:p w:rsidR="0018722C">
            <w:pPr>
              <w:pStyle w:val="ac"/>
              <w:topLinePunct/>
              <w:ind w:leftChars="0" w:left="0" w:rightChars="0" w:right="0" w:firstLineChars="0" w:firstLine="0"/>
              <w:spacing w:line="240" w:lineRule="atLeast"/>
            </w:pPr>
            <w:r>
              <w:t>HepG2-XAV939</w:t>
            </w: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0.5369±0.0367</w:t>
            </w:r>
          </w:p>
        </w:tc>
        <w:tc>
          <w:tcPr>
            <w:tcW w:w="1193" w:type="pct"/>
            <w:vAlign w:val="center"/>
            <w:tcBorders>
              <w:top w:val="single" w:sz="4" w:space="0" w:color="auto"/>
            </w:tcBorders>
          </w:tcPr>
          <w:p w:rsidR="0018722C">
            <w:pPr>
              <w:pStyle w:val="aff1"/>
              <w:topLinePunct/>
              <w:ind w:leftChars="0" w:left="0" w:rightChars="0" w:right="0" w:firstLineChars="0" w:firstLine="0"/>
              <w:spacing w:line="240" w:lineRule="atLeast"/>
            </w:pPr>
            <w:r>
              <w:t>0.8404±0.0933</w:t>
            </w:r>
          </w:p>
        </w:tc>
        <w:tc>
          <w:tcPr>
            <w:tcW w:w="1526" w:type="pct"/>
            <w:vAlign w:val="center"/>
            <w:tcBorders>
              <w:top w:val="single" w:sz="4" w:space="0" w:color="auto"/>
            </w:tcBorders>
          </w:tcPr>
          <w:p w:rsidR="0018722C">
            <w:pPr>
              <w:pStyle w:val="ad"/>
              <w:topLinePunct/>
              <w:ind w:leftChars="0" w:left="0" w:rightChars="0" w:right="0" w:firstLineChars="0" w:firstLine="0"/>
              <w:spacing w:line="240" w:lineRule="atLeast"/>
            </w:pPr>
            <w:r>
              <w:t>1.4162±0.0340</w:t>
            </w:r>
          </w:p>
        </w:tc>
      </w:tr>
    </w:tbl>
    <w:p w:rsidR="0018722C">
      <w:pPr>
        <w:topLinePunct/>
        <w:pStyle w:val="affa"/>
      </w:pPr>
    </w:p>
    <w:p w:rsidR="0018722C">
      <w:pPr>
        <w:topLinePunct/>
      </w:pPr>
      <w:r>
        <w:rPr>
          <w:rFonts w:cstheme="minorBidi" w:hAnsiTheme="minorHAnsi" w:eastAsiaTheme="minorHAnsi" w:asciiTheme="minorHAnsi"/>
        </w:rPr>
        <w:t>HepG2</w:t>
      </w:r>
      <w:r>
        <w:rPr>
          <w:rFonts w:cstheme="minorBidi" w:hAnsiTheme="minorHAnsi" w:eastAsiaTheme="minorHAnsi" w:asciiTheme="minorHAnsi"/>
        </w:rPr>
        <w:t>/</w:t>
      </w:r>
      <w:r>
        <w:rPr>
          <w:rFonts w:cstheme="minorBidi" w:hAnsiTheme="minorHAnsi" w:eastAsiaTheme="minorHAnsi" w:asciiTheme="minorHAnsi"/>
        </w:rPr>
        <w:t>mock-</w:t>
      </w:r>
      <w:r>
        <w:rPr>
          <w:rFonts w:cstheme="minorBidi" w:hAnsiTheme="minorHAnsi" w:eastAsiaTheme="minorHAnsi" w:asciiTheme="minorHAnsi"/>
        </w:rPr>
        <w:t> </w:t>
      </w:r>
      <w:r>
        <w:rPr>
          <w:rFonts w:cstheme="minorBidi" w:hAnsiTheme="minorHAnsi" w:eastAsiaTheme="minorHAnsi" w:asciiTheme="minorHAnsi"/>
        </w:rPr>
        <w:t>XAV939</w:t>
      </w:r>
      <w:r w:rsidRPr="00000000">
        <w:rPr>
          <w:rFonts w:cstheme="minorBidi" w:hAnsiTheme="minorHAnsi" w:eastAsiaTheme="minorHAnsi" w:asciiTheme="minorHAnsi"/>
        </w:rPr>
        <w:tab/>
        <w:t>0.5398±0.0399</w:t>
      </w:r>
      <w:r w:rsidRPr="00000000">
        <w:rPr>
          <w:rFonts w:cstheme="minorBidi" w:hAnsiTheme="minorHAnsi" w:eastAsiaTheme="minorHAnsi" w:asciiTheme="minorHAnsi"/>
        </w:rPr>
        <w:tab/>
        <w:t>0.8617±0.1094</w:t>
      </w:r>
      <w:r w:rsidRPr="00000000">
        <w:rPr>
          <w:rFonts w:cstheme="minorBidi" w:hAnsiTheme="minorHAnsi" w:eastAsiaTheme="minorHAnsi" w:asciiTheme="minorHAnsi"/>
        </w:rPr>
        <w:tab/>
        <w:t>1.4152±0.0772</w:t>
      </w:r>
    </w:p>
    <w:p w:rsidR="0018722C">
      <w:pPr>
        <w:topLinePunct/>
      </w:pPr>
      <w:r>
        <w:rPr>
          <w:rFonts w:cstheme="minorBidi" w:hAnsiTheme="minorHAnsi" w:eastAsiaTheme="minorHAnsi" w:asciiTheme="minorHAnsi"/>
        </w:rPr>
        <w:t>HepG2</w:t>
      </w:r>
      <w:r>
        <w:rPr>
          <w:rFonts w:cstheme="minorBidi" w:hAnsiTheme="minorHAnsi" w:eastAsiaTheme="minorHAnsi" w:asciiTheme="minorHAnsi"/>
        </w:rPr>
        <w:t>/</w:t>
      </w:r>
      <w:r>
        <w:rPr>
          <w:rFonts w:cstheme="minorBidi" w:hAnsiTheme="minorHAnsi" w:eastAsiaTheme="minorHAnsi" w:asciiTheme="minorHAnsi"/>
        </w:rPr>
        <w:t>HBx-</w:t>
      </w:r>
      <w:r>
        <w:rPr>
          <w:rFonts w:cstheme="minorBidi" w:hAnsiTheme="minorHAnsi" w:eastAsiaTheme="minorHAnsi" w:asciiTheme="minorHAnsi"/>
        </w:rPr>
        <w:t> </w:t>
      </w:r>
      <w:r>
        <w:rPr>
          <w:rFonts w:cstheme="minorBidi" w:hAnsiTheme="minorHAnsi" w:eastAsiaTheme="minorHAnsi" w:asciiTheme="minorHAnsi"/>
        </w:rPr>
        <w:t>XAV939</w:t>
      </w:r>
      <w:r w:rsidRPr="00000000">
        <w:rPr>
          <w:rFonts w:cstheme="minorBidi" w:hAnsiTheme="minorHAnsi" w:eastAsiaTheme="minorHAnsi" w:asciiTheme="minorHAnsi"/>
        </w:rPr>
        <w:tab/>
        <w:t>0.5994±0.0299</w:t>
      </w:r>
      <w:r w:rsidRPr="00000000">
        <w:rPr>
          <w:rFonts w:cstheme="minorBidi" w:hAnsiTheme="minorHAnsi" w:eastAsiaTheme="minorHAnsi" w:asciiTheme="minorHAnsi"/>
        </w:rPr>
        <w:tab/>
        <w:t>0.9574±0.0726</w:t>
      </w:r>
      <w:r w:rsidRPr="00000000">
        <w:rPr>
          <w:rFonts w:cstheme="minorBidi" w:hAnsiTheme="minorHAnsi" w:eastAsiaTheme="minorHAnsi" w:asciiTheme="minorHAnsi"/>
        </w:rPr>
        <w:tab/>
        <w:t>1.4338±0.0601</w:t>
      </w:r>
    </w:p>
    <w:p w:rsidR="0018722C">
      <w:pPr>
        <w:pStyle w:val="affff5"/>
        <w:topLinePunct/>
      </w:pPr>
      <w:r>
        <w:pict>
          <v:line style="position:absolute;mso-position-horizontal-relative:page;mso-position-vertical-relative:paragraph;z-index:1768;mso-wrap-distance-left:0;mso-wrap-distance-right:0" from="99.550003pt,8.492043pt" to="493.800003pt,8.492043pt" stroked="true" strokeweight="2.25pt" strokecolor="#000000">
            <v:stroke dashstyle="solid"/>
            <w10:wrap type="topAndBottom"/>
          </v:line>
        </w:pict>
      </w:r>
    </w:p>
    <w:p w:rsidR="0018722C">
      <w:pPr>
        <w:rPr/>
        <w:topLinePunct/>
      </w:pPr>
    </w:p>
    <w:p w:rsidR="0018722C">
      <w:pPr>
        <w:pStyle w:val="affff5"/>
        <w:keepNext/>
        <w:topLinePunct/>
      </w:pPr>
      <w:r>
        <w:rPr>
          <w:sz w:val="20"/>
        </w:rPr>
        <w:drawing>
          <wp:inline distT="0" distB="0" distL="0" distR="0">
            <wp:extent cx="4955500" cy="2695243"/>
            <wp:effectExtent l="0" t="0" r="0" b="0"/>
            <wp:docPr id="75" name="image40.jpeg" descr=""/>
            <wp:cNvGraphicFramePr>
              <a:graphicFrameLocks noChangeAspect="1"/>
            </wp:cNvGraphicFramePr>
            <a:graphic>
              <a:graphicData uri="http://schemas.openxmlformats.org/drawingml/2006/picture">
                <pic:pic>
                  <pic:nvPicPr>
                    <pic:cNvPr id="76" name="image40.jpeg"/>
                    <pic:cNvPicPr/>
                  </pic:nvPicPr>
                  <pic:blipFill>
                    <a:blip r:embed="rId46" cstate="print"/>
                    <a:stretch>
                      <a:fillRect/>
                    </a:stretch>
                  </pic:blipFill>
                  <pic:spPr>
                    <a:xfrm>
                      <a:off x="0" y="0"/>
                      <a:ext cx="5270639" cy="2866644"/>
                    </a:xfrm>
                    <a:prstGeom prst="rect">
                      <a:avLst/>
                    </a:prstGeom>
                  </pic:spPr>
                </pic:pic>
              </a:graphicData>
            </a:graphic>
          </wp:inline>
        </w:drawing>
      </w:r>
      <w:r/>
    </w:p>
    <w:p w:rsidR="0018722C">
      <w:pPr>
        <w:pStyle w:val="a9"/>
        <w:topLinePunct/>
      </w:pPr>
      <w:r>
        <w:t>图11</w:t>
      </w:r>
      <w:r>
        <w:t xml:space="preserve">  </w:t>
      </w:r>
      <w:r w:rsidRPr="00DB64CE">
        <w:t>加入</w:t>
      </w:r>
      <w:r w:rsidR="001852F3">
        <w:t xml:space="preserve">20 umol</w:t>
      </w:r>
      <w:r>
        <w:t>/</w:t>
      </w:r>
      <w:r>
        <w:t>L XAV939</w:t>
      </w:r>
      <w:r w:rsidR="001852F3">
        <w:t xml:space="preserve">的培养液培养</w:t>
      </w:r>
      <w:r w:rsidR="001852F3">
        <w:t xml:space="preserve">24h</w:t>
      </w:r>
      <w:r w:rsidR="001852F3">
        <w:t xml:space="preserve">后六组细胞的增殖能力水平</w:t>
      </w:r>
    </w:p>
    <w:p w:rsidR="0018722C">
      <w:pPr>
        <w:pStyle w:val="a3"/>
        <w:topLinePunct/>
      </w:pPr>
      <w:r>
        <w:rPr>
          <w:rFonts w:ascii="Times New Roman" w:eastAsia="Times New Roman"/>
        </w:rPr>
        <w:t>*</w:t>
      </w:r>
      <w:r>
        <w:rPr>
          <w:spacing w:val="-2"/>
        </w:rPr>
        <w:t xml:space="preserve">, </w:t>
      </w:r>
      <w:r>
        <w:t>P&lt;0.05</w:t>
      </w:r>
      <w:r>
        <w:t xml:space="preserve">, </w:t>
      </w:r>
      <w:r>
        <w:t>HepG2</w:t>
      </w:r>
      <w:r>
        <w:t>/</w:t>
      </w:r>
      <w:r>
        <w:t>HBx</w:t>
      </w:r>
      <w:r/>
      <w:r w:rsidR="001852F3">
        <w:t xml:space="preserve">组与</w:t>
      </w:r>
      <w:r>
        <w:t>HepG2</w:t>
      </w:r>
      <w:r>
        <w:t>/</w:t>
      </w:r>
      <w:r>
        <w:t>mock</w:t>
      </w:r>
      <w:r>
        <w:t>、</w:t>
      </w:r>
      <w:r>
        <w:t>HepG2</w:t>
      </w:r>
      <w:r/>
      <w:r w:rsidR="001852F3">
        <w:t xml:space="preserve">组对比；#</w:t>
      </w:r>
      <w:r>
        <w:t xml:space="preserve">, </w:t>
      </w:r>
      <w:r>
        <w:t>P&lt;0.05</w:t>
      </w:r>
      <w:r>
        <w:t xml:space="preserve">, </w:t>
      </w:r>
      <w:r>
        <w:t>HepG2</w:t>
      </w:r>
      <w:r>
        <w:t>/</w:t>
      </w:r>
      <w:r>
        <w:t xml:space="preserve">HBx</w:t>
      </w:r>
      <w:r>
        <w:t>组与</w:t>
      </w:r>
      <w:r>
        <w:t>HepG2</w:t>
      </w:r>
      <w:r>
        <w:t>/</w:t>
      </w:r>
      <w:r>
        <w:t>HBx</w:t>
      </w:r>
      <w:r/>
      <w:r w:rsidR="001852F3">
        <w:t xml:space="preserve">加入</w:t>
      </w:r>
      <w:r>
        <w:t>XAV939</w:t>
      </w:r>
      <w:r/>
      <w:r w:rsidR="001852F3">
        <w:t xml:space="preserve">组对比</w:t>
      </w:r>
      <w:r>
        <w:t>）</w:t>
      </w:r>
      <w:r>
        <w:t>，</w:t>
      </w:r>
      <w:r>
        <w:t>HBx</w:t>
      </w:r>
      <w:r>
        <w:rPr>
          <w:spacing w:val="-13"/>
        </w:rPr>
        <w:t xml:space="preserve">: </w:t>
      </w:r>
      <w:r>
        <w:t>HepG2</w:t>
      </w:r>
      <w:r>
        <w:t>/</w:t>
      </w:r>
      <w:r>
        <w:t>HBx</w:t>
      </w:r>
      <w:r/>
      <w:r w:rsidR="001852F3">
        <w:t xml:space="preserve">细胞; </w:t>
      </w:r>
      <w:r>
        <w:t>Mock</w:t>
      </w:r>
      <w:r>
        <w:rPr>
          <w:spacing w:val="-13"/>
        </w:rPr>
        <w:t xml:space="preserve">: </w:t>
      </w:r>
      <w:r>
        <w:t>HepG2</w:t>
      </w:r>
      <w:r>
        <w:t>/</w:t>
      </w:r>
      <w:r>
        <w:t>mock细胞; Control</w:t>
      </w:r>
      <w:r>
        <w:t xml:space="preserve">: </w:t>
      </w:r>
      <w:r>
        <w:t>HepG2</w:t>
      </w:r>
      <w:r/>
      <w:r w:rsidR="001852F3">
        <w:t xml:space="preserve">细胞</w:t>
      </w:r>
    </w:p>
    <w:p w:rsidR="0018722C">
      <w:pPr>
        <w:pStyle w:val="Heading2"/>
        <w:topLinePunct/>
        <w:ind w:left="171" w:hangingChars="171" w:hanging="171"/>
      </w:pPr>
      <w:bookmarkStart w:id="707277" w:name="_Toc686707277"/>
      <w:bookmarkStart w:name="五 讨论 " w:id="38"/>
      <w:bookmarkEnd w:id="38"/>
      <w:r>
        <w:t>五</w:t>
      </w:r>
      <w:r>
        <w:t xml:space="preserve"> </w:t>
      </w:r>
      <w:r w:rsidRPr="00DB64CE">
        <w:t>讨论</w:t>
      </w:r>
      <w:bookmarkEnd w:id="707277"/>
    </w:p>
    <w:p w:rsidR="0018722C">
      <w:pPr>
        <w:topLinePunct/>
      </w:pPr>
      <w:r>
        <w:t xml:space="preserve">Wnt</w:t>
      </w:r>
      <w:r/>
      <w:r w:rsidR="001852F3">
        <w:t xml:space="preserve">信号转导通路参与了多种生理过程、胚胎发育和癌症的发生，使其在过去的二十年中成为广为研究的课题。事实上，它在肝病理学中担任许多角色，尽管其在成年肝中主要是静止的。这条通路在高度动态的环境中调节肝细胞增殖、存</w:t>
      </w:r>
      <w:r>
        <w:t xml:space="preserve">活和分化，它的异常活化将导致一系列肝肿瘤诸如肝母细胞瘤与肝细胞癌的发生与发展。Wnt</w:t>
      </w:r>
      <w:r/>
      <w:r w:rsidR="001852F3">
        <w:t xml:space="preserve">蛋白通过自分泌或旁分泌作用与位于细胞膜上的受体相结合</w:t>
      </w:r>
      <w:r>
        <w:rPr>
          <w:rFonts w:hint="eastAsia"/>
        </w:rPr>
        <w:t xml:space="preserve">，</w:t>
      </w:r>
      <w:r>
        <w:t xml:space="preserve">激活细</w:t>
      </w:r>
      <w:r>
        <w:t xml:space="preserve">胞内信号通路调节靶基因的表达</w:t>
      </w:r>
      <w:r>
        <w:rPr>
          <w:rFonts w:hint="eastAsia"/>
        </w:rPr>
        <w:t xml:space="preserve">，</w:t>
      </w:r>
      <w:r>
        <w:t xml:space="preserve">对细胞的增殖、分化、迁移、极性化和凋亡起到</w:t>
      </w:r>
      <w:r>
        <w:t xml:space="preserve">重要作用。经典</w:t>
      </w:r>
      <w:r>
        <w:t xml:space="preserve">Wnt</w:t>
      </w:r>
      <w:r/>
      <w:r w:rsidR="001852F3">
        <w:t xml:space="preserve">通路描述当</w:t>
      </w:r>
      <w:r>
        <w:t xml:space="preserve">Wnt</w:t>
      </w:r>
      <w:r/>
      <w:r w:rsidR="001852F3">
        <w:t xml:space="preserve">蛋白于细胞表面</w:t>
      </w:r>
      <w:r>
        <w:t xml:space="preserve">Frizzled</w:t>
      </w:r>
      <w:r/>
      <w:r w:rsidR="001852F3">
        <w:t xml:space="preserve">受体家族结合后的</w:t>
      </w:r>
      <w:r>
        <w:t xml:space="preserve">一系列反应，</w:t>
      </w:r>
      <w:r w:rsidR="001852F3">
        <w:t xml:space="preserve">包括</w:t>
      </w:r>
      <w:r>
        <w:t xml:space="preserve">Dishevelled</w:t>
      </w:r>
      <w:r/>
      <w:r w:rsidR="001852F3">
        <w:t xml:space="preserve">受体家族蛋白质</w:t>
      </w:r>
      <w:r w:rsidR="001852F3">
        <w:t xml:space="preserve">的激活及最终细胞核内β-catenin</w:t>
      </w:r>
      <w:r/>
      <w:r w:rsidR="001852F3">
        <w:t xml:space="preserve">水平的变化。</w:t>
      </w:r>
      <w:r>
        <w:t xml:space="preserve">Dishevelled </w:t>
      </w:r>
      <w:r>
        <w:t xml:space="preserve">(</w:t>
      </w:r>
      <w:r>
        <w:t xml:space="preserve">DSH</w:t>
      </w:r>
      <w:r>
        <w:t xml:space="preserve">)</w:t>
      </w:r>
      <w:r/>
      <w:r w:rsidR="001852F3">
        <w:t xml:space="preserve">是细胞膜相关</w:t>
      </w:r>
      <w:r>
        <w:t xml:space="preserve">Wnt</w:t>
      </w:r>
      <w:r/>
      <w:r w:rsidR="001852F3">
        <w:t xml:space="preserve">受体复合物的关</w:t>
      </w:r>
      <w:r>
        <w:t xml:space="preserve">键成分，它与</w:t>
      </w:r>
      <w:r>
        <w:t xml:space="preserve">Wnt</w:t>
      </w:r>
      <w:r/>
      <w:r w:rsidR="001852F3">
        <w:t xml:space="preserve">结合后被激活，并抑制下游蛋白质复合物，包括</w:t>
      </w:r>
      <w:r>
        <w:t xml:space="preserve">axin、GSK-3、</w:t>
      </w:r>
      <w:r>
        <w:t xml:space="preserve">与</w:t>
      </w:r>
      <w:r>
        <w:t xml:space="preserve">APC</w:t>
      </w:r>
      <w:r/>
      <w:r w:rsidR="001852F3">
        <w:t xml:space="preserve">蛋白。</w:t>
      </w:r>
      <w:hyperlink r:id="rId47">
        <w:r>
          <w:t xml:space="preserve">axin</w:t>
        </w:r>
        <w:r>
          <w:t xml:space="preserve">/</w:t>
        </w:r>
        <w:r>
          <w:t xml:space="preserve">GSK-3</w:t>
        </w:r>
        <w:r>
          <w:t xml:space="preserve">/</w:t>
        </w:r>
        <w:r>
          <w:t xml:space="preserve">APC</w:t>
        </w:r>
        <w:r w:rsidR="001852F3">
          <w:t xml:space="preserve">复合体可促进细胞内</w:t>
        </w:r>
      </w:hyperlink>
      <w:r>
        <w:t xml:space="preserve">信号分子</w:t>
      </w:r>
      <w:r>
        <w:t xml:space="preserve">β-catenin</w:t>
      </w:r>
      <w:r/>
      <w:r w:rsidR="001852F3">
        <w:t xml:space="preserve">的降解。当“β-catenin</w:t>
      </w:r>
      <w:r w:rsidR="001852F3">
        <w:t xml:space="preserve">降解复合物”被抑制后，胞浆内的</w:t>
      </w:r>
      <w:r>
        <w:t xml:space="preserve">β-catenin</w:t>
      </w:r>
      <w:r/>
      <w:r w:rsidR="001852F3">
        <w:t xml:space="preserve">得以稳定存在，</w:t>
      </w:r>
      <w:r w:rsidR="001852F3">
        <w:t xml:space="preserve">部分</w:t>
      </w:r>
      <w:r w:rsidR="001852F3">
        <w:t xml:space="preserve">β-catenin</w:t>
      </w:r>
      <w:r/>
      <w:r w:rsidR="001852F3">
        <w:t xml:space="preserve">进入细胞核与</w:t>
      </w:r>
      <w:r>
        <w:t xml:space="preserve">TCF</w:t>
      </w:r>
      <w:r>
        <w:t xml:space="preserve">/</w:t>
      </w:r>
      <w:r>
        <w:t xml:space="preserve">LEF</w:t>
      </w:r>
      <w:r/>
      <w:r w:rsidR="001852F3">
        <w:t xml:space="preserve">转录因子家族作用并促进特定基因的表达</w:t>
      </w:r>
      <w:r>
        <w:rPr>
          <w:vertAlign w:val="superscript"/>
          /&gt;
        </w:rPr>
        <w:t xml:space="preserve">[</w:t>
      </w:r>
      <w:r>
        <w:rPr>
          <w:color w:val="080000"/>
          <w:spacing w:val="-5"/>
          <w:position w:val="12"/>
          <w:sz w:val="12"/>
        </w:rPr>
        <w:t xml:space="preserve">70, 71</w:t>
      </w:r>
      <w:r>
        <w:rPr>
          <w:vertAlign w:val="superscript"/>
          /&gt;
        </w:rPr>
        <w:t xml:space="preserve">]</w:t>
      </w:r>
      <w:r>
        <w:t xml:space="preserve">。由此可见，β-catenin</w:t>
      </w:r>
      <w:r/>
      <w:r w:rsidR="001852F3">
        <w:t xml:space="preserve">是</w:t>
      </w:r>
      <w:r>
        <w:t xml:space="preserve">Wnt</w:t>
      </w:r>
      <w:r/>
      <w:r w:rsidR="001852F3">
        <w:t xml:space="preserve">信号通路的一个关键组成部分，其易位至</w:t>
      </w:r>
      <w:r w:rsidR="001852F3">
        <w:t>细</w:t>
      </w:r>
    </w:p>
    <w:p w:rsidR="0018722C">
      <w:pPr>
        <w:topLinePunct/>
      </w:pPr>
      <w:r>
        <w:t>胞核将发起下游靶基因的转录，比如</w:t>
      </w:r>
      <w:r>
        <w:t>c-myc</w:t>
      </w:r>
      <w:r/>
      <w:r w:rsidR="001852F3">
        <w:t xml:space="preserve">基因和</w:t>
      </w:r>
      <w:r>
        <w:t>cyclinD1</w:t>
      </w:r>
      <w:r/>
      <w:r w:rsidR="001852F3">
        <w:t xml:space="preserve">的转录</w:t>
      </w:r>
      <w:r>
        <w:rPr>
          <w:vertAlign w:val="superscript"/>
          /&gt;
        </w:rPr>
        <w:t>[</w:t>
      </w:r>
      <w:r>
        <w:rPr>
          <w:vertAlign w:val="superscript"/>
          /&gt;
        </w:rPr>
        <w:t xml:space="preserve">72</w:t>
      </w:r>
      <w:r>
        <w:rPr>
          <w:vertAlign w:val="superscript"/>
          /&gt;
        </w:rPr>
        <w:t>,</w:t>
      </w:r>
      <w:r>
        <w:rPr>
          <w:vertAlign w:val="superscript"/>
          /&gt;
        </w:rPr>
        <w:t xml:space="preserve"> 73</w:t>
      </w:r>
      <w:r>
        <w:rPr>
          <w:vertAlign w:val="superscript"/>
          /&gt;
        </w:rPr>
        <w:t>]</w:t>
      </w:r>
      <w:r>
        <w:t>。而异常</w:t>
      </w:r>
      <w:r>
        <w:t>激活的</w:t>
      </w:r>
      <w:r>
        <w:t>β-catenin</w:t>
      </w:r>
      <w:r/>
      <w:r w:rsidR="001852F3">
        <w:t xml:space="preserve">是肝细胞癌发生的强大推动力。</w:t>
      </w:r>
    </w:p>
    <w:p w:rsidR="0018722C">
      <w:pPr>
        <w:topLinePunct/>
      </w:pPr>
      <w:r>
        <w:t/>
      </w:r>
      <w:r>
        <w:t>近年</w:t>
      </w:r>
      <w:r>
        <w:t>有研究报道在在体内与体外试验中稳定转染</w:t>
      </w:r>
      <w:r>
        <w:t>HBx</w:t>
      </w:r>
      <w:r/>
      <w:r w:rsidR="001852F3">
        <w:t xml:space="preserve">的</w:t>
      </w:r>
      <w:r>
        <w:t>HepG2</w:t>
      </w:r>
      <w:r/>
      <w:r w:rsidR="001852F3">
        <w:t xml:space="preserve">细胞中高表达Oct-4</w:t>
      </w:r>
      <w:r>
        <w:t>、</w:t>
      </w:r>
      <w:r>
        <w:t>Nanog</w:t>
      </w:r>
      <w:r>
        <w:t>、</w:t>
      </w:r>
      <w:r>
        <w:t>Klf-4</w:t>
      </w:r>
      <w:r>
        <w:t>、</w:t>
      </w:r>
      <w:r>
        <w:t>b-catenin</w:t>
      </w:r>
      <w:r/>
      <w:r w:rsidR="001852F3">
        <w:t xml:space="preserve">以及</w:t>
      </w:r>
      <w:r w:rsidR="001852F3">
        <w:t xml:space="preserve">上皮细胞粘附分子</w:t>
      </w:r>
      <w:r>
        <w:t>（</w:t>
      </w:r>
      <w:r>
        <w:t>EpCAM</w:t>
      </w:r>
      <w:r>
        <w:t>）</w:t>
      </w:r>
      <w:r>
        <w:t>。此外，</w:t>
      </w:r>
      <w:r>
        <w:t>HBx</w:t>
      </w:r>
      <w:r>
        <w:t>能刺激细胞的迁移、生长在软琼脂以及球体形成。这意味着</w:t>
      </w:r>
      <w:r>
        <w:t>HBx</w:t>
      </w:r>
      <w:r/>
      <w:r w:rsidR="001852F3">
        <w:t xml:space="preserve">能促进成熟肝细胞的分化以及癌细胞外观的形成而促进肝癌的发生</w:t>
      </w:r>
      <w:r>
        <w:rPr>
          <w:vertAlign w:val="superscript"/>
          /&gt;
        </w:rPr>
        <w:t>[</w:t>
      </w:r>
      <w:r>
        <w:rPr>
          <w:color w:val="080000"/>
          <w:vertAlign w:val="superscript"/>
          <w:position w:val="12"/>
        </w:rPr>
        <w:t xml:space="preserve">74</w:t>
      </w:r>
      <w:r>
        <w:rPr>
          <w:vertAlign w:val="superscript"/>
          /&gt;
        </w:rPr>
        <w:t>]</w:t>
      </w:r>
      <w:r>
        <w:t>。与此同时，研究者们还发</w:t>
      </w:r>
      <w:r>
        <w:t>现</w:t>
      </w:r>
      <w:r>
        <w:t>HBx</w:t>
      </w:r>
      <w:r/>
      <w:r w:rsidR="001852F3">
        <w:t xml:space="preserve">能通过激活</w:t>
      </w:r>
      <w:r>
        <w:t>WNT</w:t>
      </w:r>
      <w:r>
        <w:t>/</w:t>
      </w:r>
      <w:r>
        <w:t>b-catenin</w:t>
      </w:r>
      <w:r/>
      <w:r w:rsidR="001852F3">
        <w:t xml:space="preserve">信号通路抑制肝祖细胞的凋亡</w:t>
      </w:r>
      <w:r>
        <w:rPr>
          <w:vertAlign w:val="superscript"/>
          /&gt;
        </w:rPr>
        <w:t>[</w:t>
      </w:r>
      <w:r>
        <w:rPr>
          <w:color w:val="080000"/>
          <w:vertAlign w:val="superscript"/>
          <w:position w:val="12"/>
        </w:rPr>
        <w:t xml:space="preserve">38</w:t>
      </w:r>
      <w:r>
        <w:rPr>
          <w:vertAlign w:val="superscript"/>
          /&gt;
        </w:rPr>
        <w:t>]</w:t>
      </w:r>
      <w:r>
        <w:t>。另外，在人</w:t>
      </w:r>
      <w:r>
        <w:t>胆管癌细胞，</w:t>
      </w:r>
      <w:r>
        <w:rPr>
          <w:rFonts w:ascii="Arial" w:hAnsi="Arial" w:eastAsia="Arial"/>
        </w:rPr>
        <w:t>COX-2</w:t>
      </w:r>
      <w:r>
        <w:t>衍生的前列腺素</w:t>
      </w:r>
      <w:r>
        <w:t>E2</w:t>
      </w:r>
      <w:r/>
      <w:r w:rsidR="001852F3">
        <w:t xml:space="preserve">能激活</w:t>
      </w:r>
      <w:r>
        <w:t>β–catenin</w:t>
      </w:r>
      <w:r>
        <w:rPr>
          <w:vertAlign w:val="superscript"/>
          /&gt;
        </w:rPr>
        <w:t>[</w:t>
      </w:r>
      <w:r>
        <w:rPr>
          <w:color w:val="080000"/>
          <w:vertAlign w:val="superscript"/>
          <w:position w:val="12"/>
        </w:rPr>
        <w:t xml:space="preserve">40</w:t>
      </w:r>
      <w:r>
        <w:rPr>
          <w:vertAlign w:val="superscript"/>
          /&gt;
        </w:rPr>
        <w:t>]</w:t>
      </w:r>
      <w:r>
        <w:t>。但是二者在肝癌细胞发生发展中是否有交集，尚无定论。</w:t>
      </w:r>
    </w:p>
    <w:p w:rsidR="0018722C">
      <w:pPr>
        <w:topLinePunct/>
      </w:pPr>
      <w:r>
        <w:t>本部分研究发现了在稳定表达</w:t>
      </w:r>
      <w:r>
        <w:t>HBx</w:t>
      </w:r>
      <w:r/>
      <w:r w:rsidR="001852F3">
        <w:t xml:space="preserve">的</w:t>
      </w:r>
      <w:r>
        <w:t>HepG2</w:t>
      </w:r>
      <w:r/>
      <w:r w:rsidR="001852F3">
        <w:t xml:space="preserve">细胞中</w:t>
      </w:r>
      <w:r>
        <w:t>，β–catenin</w:t>
      </w:r>
      <w:r/>
      <w:r w:rsidR="001852F3">
        <w:t xml:space="preserve">的</w:t>
      </w:r>
      <w:r>
        <w:t>mRNA</w:t>
      </w:r>
      <w:r/>
      <w:r w:rsidR="001852F3">
        <w:t xml:space="preserve">以</w:t>
      </w:r>
      <w:r>
        <w:t>及蛋白水平表达上调了，另外</w:t>
      </w:r>
      <w:r>
        <w:t>β-catenin</w:t>
      </w:r>
      <w:r/>
      <w:r w:rsidR="001852F3">
        <w:t xml:space="preserve">的下游靶基因</w:t>
      </w:r>
      <w:r>
        <w:t>c-myc</w:t>
      </w:r>
      <w:r/>
      <w:r w:rsidR="001852F3">
        <w:t xml:space="preserve">基因和</w:t>
      </w:r>
      <w:r>
        <w:t>cyclinD1</w:t>
      </w:r>
      <w:r>
        <w:t>的转录水平增高。当加入</w:t>
      </w:r>
      <w:r>
        <w:t>COX-2</w:t>
      </w:r>
      <w:r/>
      <w:r w:rsidR="001852F3">
        <w:t xml:space="preserve">的抑制剂</w:t>
      </w:r>
      <w:r>
        <w:t>NS-398</w:t>
      </w:r>
      <w:r/>
      <w:r w:rsidR="001852F3">
        <w:t xml:space="preserve">后，</w:t>
      </w:r>
      <w:r>
        <w:t>β-catenin</w:t>
      </w:r>
      <w:r/>
      <w:r w:rsidR="001852F3">
        <w:t xml:space="preserve">蛋白表达水平下</w:t>
      </w:r>
      <w:r>
        <w:t>降，意味着</w:t>
      </w:r>
      <w:r>
        <w:t>COX-2</w:t>
      </w:r>
      <w:r/>
      <w:r w:rsidR="001852F3">
        <w:t xml:space="preserve">表达水平的增高可以上调</w:t>
      </w:r>
      <w:r>
        <w:t>β-catenin</w:t>
      </w:r>
      <w:r/>
      <w:r w:rsidR="001852F3">
        <w:t xml:space="preserve">的表达。接着我们发现稳</w:t>
      </w:r>
      <w:r>
        <w:t>定表达</w:t>
      </w:r>
      <w:r>
        <w:t>HBx</w:t>
      </w:r>
      <w:r/>
      <w:r w:rsidR="001852F3">
        <w:t xml:space="preserve">的</w:t>
      </w:r>
      <w:r>
        <w:t>HepG2</w:t>
      </w:r>
      <w:r/>
      <w:r w:rsidR="001852F3">
        <w:t xml:space="preserve">细胞的增殖能力比</w:t>
      </w:r>
      <w:r>
        <w:t>HepG2</w:t>
      </w:r>
      <w:r>
        <w:t>/</w:t>
      </w:r>
      <w:r>
        <w:t>mock</w:t>
      </w:r>
      <w:r>
        <w:t>、</w:t>
      </w:r>
      <w:r>
        <w:t>HepG2</w:t>
      </w:r>
      <w:r/>
      <w:r w:rsidR="001852F3">
        <w:t xml:space="preserve">组提高，而加入β-catenin</w:t>
      </w:r>
      <w:r/>
      <w:r w:rsidR="001852F3">
        <w:t xml:space="preserve">的抑制剂</w:t>
      </w:r>
      <w:r>
        <w:t>XAV939</w:t>
      </w:r>
      <w:r/>
      <w:r w:rsidR="001852F3">
        <w:t xml:space="preserve">后，</w:t>
      </w:r>
      <w:r>
        <w:t>HepG2</w:t>
      </w:r>
      <w:r>
        <w:t>/</w:t>
      </w:r>
      <w:r>
        <w:t>HBx</w:t>
      </w:r>
      <w:r/>
      <w:r w:rsidR="001852F3">
        <w:t xml:space="preserve">的增殖能力下降了，这表明</w:t>
      </w:r>
      <w:r>
        <w:t>HBx</w:t>
      </w:r>
      <w:r/>
      <w:r w:rsidR="001852F3">
        <w:t xml:space="preserve">通过</w:t>
      </w:r>
      <w:r>
        <w:t>上调</w:t>
      </w:r>
      <w:r>
        <w:t>β-catenin</w:t>
      </w:r>
      <w:r/>
      <w:r w:rsidR="001852F3">
        <w:t xml:space="preserve">的表达提高</w:t>
      </w:r>
      <w:r>
        <w:t>HepG2</w:t>
      </w:r>
      <w:r>
        <w:t>/</w:t>
      </w:r>
      <w:r>
        <w:t>HBx</w:t>
      </w:r>
      <w:r/>
      <w:r w:rsidR="001852F3">
        <w:t xml:space="preserve">细胞的增殖能力。总之，该部分实验阐述</w:t>
      </w:r>
      <w:r>
        <w:t>了稳定表达</w:t>
      </w:r>
      <w:r>
        <w:t>HBx</w:t>
      </w:r>
      <w:r/>
      <w:r w:rsidR="001852F3">
        <w:t xml:space="preserve">的</w:t>
      </w:r>
      <w:r>
        <w:t>HepG2</w:t>
      </w:r>
      <w:r/>
      <w:r w:rsidR="001852F3">
        <w:t xml:space="preserve">细胞通过上调</w:t>
      </w:r>
      <w:r>
        <w:t>COX-2</w:t>
      </w:r>
      <w:r/>
      <w:r w:rsidR="001852F3">
        <w:t xml:space="preserve">的表达水平激活</w:t>
      </w:r>
      <w:r>
        <w:t>β-catenin</w:t>
      </w:r>
      <w:r/>
      <w:r w:rsidR="001852F3">
        <w:t xml:space="preserve">的表达，</w:t>
      </w:r>
      <w:r w:rsidR="001852F3">
        <w:t xml:space="preserve">从而提高细胞的增殖能力。</w:t>
      </w:r>
    </w:p>
    <w:p w:rsidR="0018722C">
      <w:pPr>
        <w:pStyle w:val="affd"/>
        <w:topLinePunct/>
      </w:pPr>
      <w:bookmarkStart w:id="707278" w:name="_Toc686707278"/>
      <w:bookmarkStart w:name="_TOC_250002" w:id="39"/>
      <w:bookmarkStart w:name="结论 " w:id="40"/>
      <w:bookmarkEnd w:id="39"/>
      <w:r>
        <w:t>结</w:t>
      </w:r>
      <w:r w:rsidR="004F241D">
        <w:rPr>
          <w:b/>
        </w:rPr>
        <w:t xml:space="preserve">  </w:t>
      </w:r>
      <w:r w:rsidR="004F241D">
        <w:rPr>
          <w:b/>
        </w:rPr>
        <w:t xml:space="preserve">论</w:t>
      </w:r>
      <w:bookmarkEnd w:id="707278"/>
    </w:p>
    <w:p w:rsidR="0018722C">
      <w:pPr>
        <w:pStyle w:val="cw20"/>
        <w:topLinePunct/>
      </w:pPr>
      <w:r>
        <w:rPr>
          <w:rFonts w:ascii="宋体" w:eastAsia="宋体" w:hint="eastAsia"/>
        </w:rPr>
        <w:t>1</w:t>
      </w:r>
      <w:r>
        <w:rPr>
          <w:rFonts w:ascii="宋体" w:eastAsia="宋体" w:hint="eastAsia"/>
        </w:rPr>
        <w:t>利用慢病毒载体成功构建稳定表达</w:t>
      </w:r>
      <w:r>
        <w:rPr>
          <w:rFonts w:ascii="宋体" w:eastAsia="宋体" w:hint="eastAsia"/>
        </w:rPr>
        <w:t>HBx</w:t>
      </w:r>
      <w:r w:rsidR="001852F3">
        <w:rPr>
          <w:rFonts w:ascii="宋体" w:eastAsia="宋体" w:hint="eastAsia"/>
        </w:rPr>
        <w:t xml:space="preserve">的肝癌细胞株</w:t>
      </w:r>
      <w:r>
        <w:rPr>
          <w:rFonts w:ascii="宋体" w:eastAsia="宋体" w:hint="eastAsia"/>
        </w:rPr>
        <w:t>HepG2</w:t>
      </w:r>
      <w:r>
        <w:rPr>
          <w:rFonts w:ascii="宋体" w:eastAsia="宋体" w:hint="eastAsia"/>
        </w:rPr>
        <w:t>/</w:t>
      </w:r>
      <w:r>
        <w:rPr>
          <w:rFonts w:ascii="宋体" w:eastAsia="宋体" w:hint="eastAsia"/>
        </w:rPr>
        <w:t>HBx</w:t>
      </w:r>
      <w:r>
        <w:rPr>
          <w:rFonts w:ascii="宋体" w:eastAsia="宋体" w:hint="eastAsia"/>
        </w:rPr>
        <w:t>，经过反复传代，HBx</w:t>
      </w:r>
      <w:r w:rsidR="001852F3">
        <w:rPr>
          <w:rFonts w:ascii="宋体" w:eastAsia="宋体" w:hint="eastAsia"/>
        </w:rPr>
        <w:t xml:space="preserve">始终保持着较高的表达水平。</w:t>
      </w:r>
    </w:p>
    <w:p w:rsidR="0018722C">
      <w:pPr>
        <w:pStyle w:val="cw20"/>
        <w:topLinePunct/>
      </w:pPr>
      <w:r>
        <w:rPr>
          <w:rFonts w:ascii="宋体" w:hAnsi="宋体" w:eastAsia="宋体" w:hint="eastAsia"/>
        </w:rPr>
        <w:t>2 </w:t>
      </w:r>
      <w:r>
        <w:rPr>
          <w:rFonts w:ascii="宋体" w:hAnsi="宋体" w:eastAsia="宋体" w:hint="eastAsia"/>
        </w:rPr>
        <w:t>HBx</w:t>
      </w:r>
      <w:r w:rsidR="001852F3">
        <w:rPr>
          <w:rFonts w:ascii="宋体" w:hAnsi="宋体" w:eastAsia="宋体" w:hint="eastAsia"/>
        </w:rPr>
        <w:t xml:space="preserve">与</w:t>
      </w:r>
      <w:r>
        <w:rPr>
          <w:rFonts w:ascii="宋体" w:hAnsi="宋体" w:eastAsia="宋体" w:hint="eastAsia"/>
        </w:rPr>
        <w:t>COXⅢ</w:t>
      </w:r>
      <w:r w:rsidR="001852F3">
        <w:rPr>
          <w:rFonts w:ascii="宋体" w:hAnsi="宋体" w:eastAsia="宋体" w:hint="eastAsia"/>
        </w:rPr>
        <w:t xml:space="preserve">能够在</w:t>
      </w:r>
      <w:r>
        <w:rPr>
          <w:rFonts w:ascii="宋体" w:hAnsi="宋体" w:eastAsia="宋体" w:hint="eastAsia"/>
        </w:rPr>
        <w:t>HepG2</w:t>
      </w:r>
      <w:r w:rsidR="001852F3">
        <w:rPr>
          <w:rFonts w:ascii="宋体" w:hAnsi="宋体" w:eastAsia="宋体" w:hint="eastAsia"/>
        </w:rPr>
        <w:t xml:space="preserve">细胞线粒体中共定位，通过转录后水平调节</w:t>
      </w:r>
      <w:r>
        <w:rPr>
          <w:rFonts w:ascii="宋体" w:hAnsi="宋体" w:eastAsia="宋体" w:hint="eastAsia"/>
        </w:rPr>
        <w:t>COX</w:t>
      </w:r>
      <w:r>
        <w:rPr>
          <w:rFonts w:ascii="宋体" w:hAnsi="宋体" w:eastAsia="宋体" w:hint="eastAsia"/>
        </w:rPr>
        <w:t>Ⅲ的表达，上调</w:t>
      </w:r>
      <w:r>
        <w:rPr>
          <w:rFonts w:ascii="宋体" w:hAnsi="宋体" w:eastAsia="宋体" w:hint="eastAsia"/>
        </w:rPr>
        <w:t>COX</w:t>
      </w:r>
      <w:r w:rsidR="001852F3">
        <w:rPr>
          <w:rFonts w:ascii="宋体" w:hAnsi="宋体" w:eastAsia="宋体" w:hint="eastAsia"/>
        </w:rPr>
        <w:t xml:space="preserve">酶活性，增加线粒体膜电位，并导致线粒体脊轻微的肿胀。</w:t>
      </w:r>
    </w:p>
    <w:p w:rsidR="0018722C">
      <w:pPr>
        <w:pStyle w:val="cw20"/>
        <w:topLinePunct/>
      </w:pPr>
      <w:r>
        <w:rPr>
          <w:rFonts w:ascii="宋体" w:eastAsia="宋体" w:hint="eastAsia"/>
        </w:rPr>
        <w:t>3</w:t>
      </w:r>
      <w:r>
        <w:rPr>
          <w:rFonts w:ascii="宋体" w:eastAsia="宋体" w:hint="eastAsia"/>
        </w:rPr>
        <w:t>稳定表达的</w:t>
      </w:r>
      <w:r>
        <w:rPr>
          <w:rFonts w:ascii="宋体" w:eastAsia="宋体" w:hint="eastAsia"/>
        </w:rPr>
        <w:t>HBx</w:t>
      </w:r>
      <w:r w:rsidR="001852F3">
        <w:rPr>
          <w:rFonts w:ascii="宋体" w:eastAsia="宋体" w:hint="eastAsia"/>
        </w:rPr>
        <w:t xml:space="preserve">上调</w:t>
      </w:r>
      <w:r>
        <w:rPr>
          <w:rFonts w:ascii="宋体" w:eastAsia="宋体" w:hint="eastAsia"/>
        </w:rPr>
        <w:t>HepG2</w:t>
      </w:r>
      <w:r w:rsidR="001852F3">
        <w:rPr>
          <w:rFonts w:ascii="宋体" w:eastAsia="宋体" w:hint="eastAsia"/>
        </w:rPr>
        <w:t xml:space="preserve">细胞</w:t>
      </w:r>
      <w:r>
        <w:rPr>
          <w:rFonts w:ascii="宋体" w:eastAsia="宋体" w:hint="eastAsia"/>
        </w:rPr>
        <w:t>ROS</w:t>
      </w:r>
      <w:r w:rsidR="001852F3">
        <w:rPr>
          <w:rFonts w:ascii="宋体" w:eastAsia="宋体" w:hint="eastAsia"/>
        </w:rPr>
        <w:t xml:space="preserve">的水平，从而提高炎症介质</w:t>
      </w:r>
      <w:r>
        <w:rPr>
          <w:rFonts w:ascii="宋体" w:eastAsia="宋体" w:hint="eastAsia"/>
        </w:rPr>
        <w:t>COX-2</w:t>
      </w:r>
      <w:r w:rsidR="001852F3">
        <w:rPr>
          <w:rFonts w:ascii="宋体" w:eastAsia="宋体" w:hint="eastAsia"/>
        </w:rPr>
        <w:t xml:space="preserve">的</w:t>
      </w:r>
      <w:r>
        <w:rPr>
          <w:rFonts w:ascii="宋体" w:eastAsia="宋体" w:hint="eastAsia"/>
        </w:rPr>
        <w:t>表达，进一步促进</w:t>
      </w:r>
      <w:r>
        <w:rPr>
          <w:rFonts w:ascii="宋体" w:eastAsia="宋体" w:hint="eastAsia"/>
        </w:rPr>
        <w:t>HepG2</w:t>
      </w:r>
      <w:r w:rsidR="001852F3">
        <w:rPr>
          <w:rFonts w:ascii="宋体" w:eastAsia="宋体" w:hint="eastAsia"/>
        </w:rPr>
        <w:t xml:space="preserve">细胞的增殖。</w:t>
      </w:r>
    </w:p>
    <w:p w:rsidR="0018722C">
      <w:pPr>
        <w:pStyle w:val="cw20"/>
        <w:topLinePunct/>
      </w:pPr>
      <w:r>
        <w:rPr>
          <w:rFonts w:ascii="宋体" w:hAnsi="宋体" w:eastAsia="宋体" w:hint="eastAsia"/>
        </w:rPr>
        <w:t>4</w:t>
      </w:r>
      <w:r>
        <w:rPr>
          <w:rFonts w:ascii="宋体" w:hAnsi="宋体" w:eastAsia="宋体" w:hint="eastAsia"/>
        </w:rPr>
        <w:t>稳定表达的</w:t>
      </w:r>
      <w:r>
        <w:rPr>
          <w:rFonts w:ascii="宋体" w:hAnsi="宋体" w:eastAsia="宋体" w:hint="eastAsia"/>
        </w:rPr>
        <w:t>HBxH</w:t>
      </w:r>
      <w:r w:rsidR="001852F3">
        <w:rPr>
          <w:rFonts w:ascii="宋体" w:hAnsi="宋体" w:eastAsia="宋体" w:hint="eastAsia"/>
        </w:rPr>
        <w:t xml:space="preserve">通过上调</w:t>
      </w:r>
      <w:r>
        <w:rPr>
          <w:rFonts w:ascii="宋体" w:hAnsi="宋体" w:eastAsia="宋体" w:hint="eastAsia"/>
        </w:rPr>
        <w:t>epG2</w:t>
      </w:r>
      <w:r w:rsidR="001852F3">
        <w:rPr>
          <w:rFonts w:ascii="宋体" w:hAnsi="宋体" w:eastAsia="宋体" w:hint="eastAsia"/>
        </w:rPr>
        <w:t xml:space="preserve">细胞</w:t>
      </w:r>
      <w:r>
        <w:rPr>
          <w:rFonts w:ascii="宋体" w:hAnsi="宋体" w:eastAsia="宋体" w:hint="eastAsia"/>
        </w:rPr>
        <w:t>COX-2</w:t>
      </w:r>
      <w:r w:rsidR="001852F3">
        <w:rPr>
          <w:rFonts w:ascii="宋体" w:hAnsi="宋体" w:eastAsia="宋体" w:hint="eastAsia"/>
        </w:rPr>
        <w:t xml:space="preserve">的表达水平激活</w:t>
      </w:r>
      <w:r>
        <w:rPr>
          <w:rFonts w:ascii="宋体" w:hAnsi="宋体" w:eastAsia="宋体" w:hint="eastAsia"/>
        </w:rPr>
        <w:t>β-catenin</w:t>
      </w:r>
      <w:r w:rsidR="001852F3">
        <w:rPr>
          <w:rFonts w:ascii="宋体" w:hAnsi="宋体" w:eastAsia="宋体" w:hint="eastAsia"/>
        </w:rPr>
        <w:t xml:space="preserve">的表达，从而提高细胞的增殖能力。</w:t>
      </w:r>
    </w:p>
    <w:p w:rsidR="0018722C">
      <w:pPr>
        <w:pStyle w:val="afff1"/>
        <w:topLinePunct/>
      </w:pPr>
      <w:bookmarkStart w:id="707279" w:name="_Toc686707279"/>
      <w:bookmarkStart w:name="_TOC_250001" w:id="41"/>
      <w:bookmarkStart w:name="参考文献 " w:id="42"/>
      <w:bookmarkEnd w:id="41"/>
      <w:r>
        <w:t>参考文献</w:t>
      </w:r>
      <w:bookmarkEnd w:id="707279"/>
    </w:p>
    <w:p w:rsidR="0018722C">
      <w:pPr>
        <w:pStyle w:val="ab"/>
        <w:topLinePunct/>
        <w:ind w:left="200" w:hangingChars="200" w:hanging="200"/>
      </w:pPr>
      <w:r>
        <w:t>[</w:t>
      </w:r>
      <w:r>
        <w:t xml:space="preserve">1</w:t>
      </w:r>
      <w:r>
        <w:t>]</w:t>
      </w:r>
      <w:r w:rsidRPr="00281126">
        <w:t xml:space="preserve">  </w:t>
      </w:r>
      <w:r>
        <w:t>Buendia M, Neuveut C. Hepatocellular Carcinoma</w:t>
      </w:r>
      <w:r>
        <w:t>[</w:t>
      </w:r>
      <w:r>
        <w:t>J</w:t>
      </w:r>
      <w:r>
        <w:t>]</w:t>
      </w:r>
      <w:r>
        <w:t xml:space="preserve">. Cold Spring Harb Perspect Med,</w:t>
      </w:r>
      <w:r>
        <w:t xml:space="preserve"> </w:t>
      </w:r>
      <w:r>
        <w:t>2015,</w:t>
      </w:r>
      <w:r>
        <w:t xml:space="preserve"> </w:t>
      </w:r>
      <w:r>
        <w:t>5</w:t>
      </w:r>
      <w:r>
        <w:t>(</w:t>
      </w:r>
      <w:r>
        <w:t>2</w:t>
      </w:r>
      <w:r>
        <w:t>)</w:t>
      </w:r>
      <w:r>
        <w:t xml:space="preserve">:</w:t>
      </w:r>
      <w:r>
        <w:t xml:space="preserve"> </w:t>
      </w:r>
      <w:r>
        <w:t>1-11.</w:t>
      </w:r>
    </w:p>
    <w:p w:rsidR="0018722C">
      <w:pPr>
        <w:pStyle w:val="ab"/>
        <w:topLinePunct/>
        <w:ind w:left="200" w:hangingChars="200" w:hanging="200"/>
      </w:pPr>
      <w:r>
        <w:t>[</w:t>
      </w:r>
      <w:r>
        <w:t xml:space="preserve">2</w:t>
      </w:r>
      <w:r>
        <w:t>]</w:t>
      </w:r>
      <w:r w:rsidRPr="00281126">
        <w:t xml:space="preserve">  </w:t>
      </w:r>
      <w:r>
        <w:t>Ferlay J, Shin H R, Bray F, Forman D, Mathers C, Parkin D M. Estimates of worldwide burden of cancer in 2008: GLOBOCAN 2008</w:t>
      </w:r>
      <w:r>
        <w:t>[</w:t>
      </w:r>
      <w:r>
        <w:t>J</w:t>
      </w:r>
      <w:r>
        <w:t>]</w:t>
      </w:r>
      <w:r>
        <w:t xml:space="preserve">. Int J Cancer,</w:t>
      </w:r>
      <w:r>
        <w:t xml:space="preserve"> </w:t>
      </w:r>
      <w:r>
        <w:t>2010,</w:t>
      </w:r>
      <w:r>
        <w:t xml:space="preserve"> </w:t>
      </w:r>
      <w:r>
        <w:t>127</w:t>
      </w:r>
      <w:r>
        <w:t>(</w:t>
      </w:r>
      <w:r>
        <w:t>12</w:t>
      </w:r>
      <w:r>
        <w:t>)</w:t>
      </w:r>
      <w:r>
        <w:t xml:space="preserve">:</w:t>
      </w:r>
      <w:r>
        <w:t xml:space="preserve"> </w:t>
      </w:r>
      <w:r>
        <w:t>2893-2917.</w:t>
      </w:r>
    </w:p>
    <w:p w:rsidR="0018722C">
      <w:pPr>
        <w:pStyle w:val="ab"/>
        <w:topLinePunct/>
        <w:ind w:left="200" w:hangingChars="200" w:hanging="200"/>
      </w:pPr>
      <w:r>
        <w:t>[</w:t>
      </w:r>
      <w:r>
        <w:t xml:space="preserve">3</w:t>
      </w:r>
      <w:r>
        <w:t>]</w:t>
      </w:r>
      <w:r w:rsidRPr="00281126">
        <w:t xml:space="preserve">  </w:t>
      </w:r>
      <w:r>
        <w:t>Tian Y, Yang W, Song J, Wu Y, Ni B. Hepatitis B virus X protein-induced aberrant epigenetic modifications contributing to human hepatocellular carcinoma pathogenesis</w:t>
      </w:r>
      <w:r>
        <w:t>[</w:t>
      </w:r>
      <w:r>
        <w:t>J</w:t>
      </w:r>
      <w:r>
        <w:t>]</w:t>
      </w:r>
      <w:r>
        <w:t>. Mol Cell</w:t>
      </w:r>
      <w:r>
        <w:t> </w:t>
      </w:r>
      <w:r>
        <w:t xml:space="preserve">Biol,</w:t>
      </w:r>
      <w:r>
        <w:t xml:space="preserve"> </w:t>
      </w:r>
      <w:r>
        <w:t>2013,</w:t>
      </w:r>
      <w:r>
        <w:t xml:space="preserve"> </w:t>
      </w:r>
      <w:r>
        <w:t>33</w:t>
      </w:r>
      <w:r>
        <w:t>(</w:t>
      </w:r>
      <w:r>
        <w:t>15</w:t>
      </w:r>
      <w:r>
        <w:t>)</w:t>
      </w:r>
      <w:r>
        <w:t xml:space="preserve">:</w:t>
      </w:r>
      <w:r>
        <w:t xml:space="preserve"> </w:t>
      </w:r>
      <w:r>
        <w:t>2810-2816.</w:t>
      </w:r>
    </w:p>
    <w:p w:rsidR="0018722C">
      <w:pPr>
        <w:pStyle w:val="ab"/>
        <w:topLinePunct/>
        <w:ind w:left="200" w:hangingChars="200" w:hanging="200"/>
      </w:pPr>
      <w:r>
        <w:t>[</w:t>
      </w:r>
      <w:r>
        <w:t xml:space="preserve">4</w:t>
      </w:r>
      <w:r>
        <w:t>]</w:t>
      </w:r>
      <w:r w:rsidRPr="00281126">
        <w:t xml:space="preserve">  </w:t>
      </w:r>
      <w:r>
        <w:t>Xu C, Zhou W, Wang Y, Qiao L. Hepatitis B virus-induced hepatocellular carcinoma</w:t>
      </w:r>
      <w:r>
        <w:t>[</w:t>
      </w:r>
      <w:r>
        <w:t>J</w:t>
      </w:r>
      <w:r>
        <w:t>]</w:t>
      </w:r>
      <w:r>
        <w:t>. Cancer</w:t>
      </w:r>
      <w:r>
        <w:t> </w:t>
      </w:r>
      <w:r>
        <w:t xml:space="preserve">Letters,</w:t>
      </w:r>
      <w:r>
        <w:t xml:space="preserve"> </w:t>
      </w:r>
      <w:r>
        <w:t>2014,</w:t>
      </w:r>
      <w:r>
        <w:t xml:space="preserve"> </w:t>
      </w:r>
      <w:r>
        <w:t>345</w:t>
      </w:r>
      <w:r>
        <w:t>(</w:t>
      </w:r>
      <w:r>
        <w:t>2</w:t>
      </w:r>
      <w:r>
        <w:t>)</w:t>
      </w:r>
      <w:r>
        <w:t xml:space="preserve">:</w:t>
      </w:r>
      <w:r>
        <w:t xml:space="preserve"> </w:t>
      </w:r>
      <w:r>
        <w:t>216-222.</w:t>
      </w:r>
    </w:p>
    <w:p w:rsidR="0018722C">
      <w:pPr>
        <w:pStyle w:val="ab"/>
        <w:topLinePunct/>
        <w:ind w:left="200" w:hangingChars="200" w:hanging="200"/>
      </w:pPr>
      <w:r>
        <w:t>[</w:t>
      </w:r>
      <w:r>
        <w:t xml:space="preserve">5</w:t>
      </w:r>
      <w:r>
        <w:t>]</w:t>
      </w:r>
      <w:r w:rsidRPr="00281126">
        <w:t xml:space="preserve">  </w:t>
      </w:r>
      <w:r>
        <w:t>Bouchard M J, Schneider R J. The enigmatic X gene of hepatitis B virus</w:t>
      </w:r>
      <w:r>
        <w:t>[</w:t>
      </w:r>
      <w:r>
        <w:t>J</w:t>
      </w:r>
      <w:r>
        <w:t>]</w:t>
      </w:r>
      <w:r>
        <w:t xml:space="preserve">. J Virol,</w:t>
      </w:r>
      <w:r>
        <w:t xml:space="preserve"> </w:t>
      </w:r>
      <w:r>
        <w:t>2004,</w:t>
      </w:r>
      <w:r>
        <w:t xml:space="preserve"> </w:t>
      </w:r>
      <w:r>
        <w:t>78</w:t>
      </w:r>
      <w:r>
        <w:t>(</w:t>
      </w:r>
      <w:r>
        <w:t>23</w:t>
      </w:r>
      <w:r>
        <w:t>)</w:t>
      </w:r>
      <w:r>
        <w:t xml:space="preserve">:</w:t>
      </w:r>
      <w:r>
        <w:t xml:space="preserve"> </w:t>
      </w:r>
      <w:r>
        <w:t>12725-12734.</w:t>
      </w:r>
    </w:p>
    <w:p w:rsidR="0018722C">
      <w:pPr>
        <w:pStyle w:val="ab"/>
        <w:topLinePunct/>
        <w:ind w:left="200" w:hangingChars="200" w:hanging="200"/>
      </w:pPr>
      <w:r>
        <w:t>[</w:t>
      </w:r>
      <w:r>
        <w:t xml:space="preserve">6</w:t>
      </w:r>
      <w:r>
        <w:t>]</w:t>
      </w:r>
      <w:r w:rsidRPr="00281126">
        <w:t xml:space="preserve">  </w:t>
      </w:r>
      <w:r>
        <w:t>Tarn C, Zou L, Hullinger R L, Andrisani O M. Hepatitis B virus X</w:t>
      </w:r>
      <w:r w:rsidR="001852F3">
        <w:t xml:space="preserve"> protein activates the p38 mitogen-activated protein kinase pathway in dedifferentiated hepatocytes</w:t>
      </w:r>
      <w:r>
        <w:t>[</w:t>
      </w:r>
      <w:r>
        <w:t>J</w:t>
      </w:r>
      <w:r>
        <w:t>]</w:t>
      </w:r>
      <w:r>
        <w:t>. J</w:t>
      </w:r>
      <w:r>
        <w:t> </w:t>
      </w:r>
      <w:r>
        <w:t xml:space="preserve">Virol,</w:t>
      </w:r>
      <w:r>
        <w:t xml:space="preserve"> </w:t>
      </w:r>
      <w:r>
        <w:t>2002,</w:t>
      </w:r>
      <w:r>
        <w:t xml:space="preserve"> </w:t>
      </w:r>
      <w:r>
        <w:t>76</w:t>
      </w:r>
      <w:r>
        <w:t>(</w:t>
      </w:r>
      <w:r>
        <w:t>19</w:t>
      </w:r>
      <w:r>
        <w:t>)</w:t>
      </w:r>
      <w:r>
        <w:t xml:space="preserve">:</w:t>
      </w:r>
      <w:r>
        <w:t xml:space="preserve"> </w:t>
      </w:r>
      <w:r>
        <w:t>9763-9772.</w:t>
      </w:r>
    </w:p>
    <w:p w:rsidR="0018722C">
      <w:pPr>
        <w:pStyle w:val="ab"/>
        <w:topLinePunct/>
        <w:ind w:left="200" w:hangingChars="200" w:hanging="200"/>
      </w:pPr>
      <w:r>
        <w:t>[</w:t>
      </w:r>
      <w:r>
        <w:t xml:space="preserve">7</w:t>
      </w:r>
      <w:r>
        <w:t>]</w:t>
      </w:r>
      <w:r w:rsidRPr="00281126">
        <w:t xml:space="preserve">  </w:t>
      </w:r>
      <w:r>
        <w:t>Bouchard M J, Wang L H, Schneider R J. Calcium signaling by HBx protein in hepatitis B virus DNA replication</w:t>
      </w:r>
      <w:r>
        <w:t>[</w:t>
      </w:r>
      <w:r>
        <w:t>J</w:t>
      </w:r>
      <w:r>
        <w:t>]</w:t>
      </w:r>
      <w:r>
        <w:t>.</w:t>
      </w:r>
      <w:r>
        <w:t> </w:t>
      </w:r>
      <w:r>
        <w:t xml:space="preserve">Science,</w:t>
      </w:r>
      <w:r>
        <w:t xml:space="preserve"> </w:t>
      </w:r>
      <w:r>
        <w:t>2001,</w:t>
      </w:r>
      <w:r>
        <w:t xml:space="preserve"> </w:t>
      </w:r>
      <w:r>
        <w:t>294</w:t>
      </w:r>
      <w:r>
        <w:t>(</w:t>
      </w:r>
      <w:r>
        <w:t>5550</w:t>
      </w:r>
      <w:r>
        <w:t>)</w:t>
      </w:r>
      <w:r>
        <w:t xml:space="preserve">:</w:t>
      </w:r>
      <w:r>
        <w:t xml:space="preserve"> </w:t>
      </w:r>
      <w:r>
        <w:t>2376-2378.</w:t>
      </w:r>
    </w:p>
    <w:p w:rsidR="0018722C">
      <w:pPr>
        <w:pStyle w:val="ab"/>
        <w:topLinePunct/>
        <w:ind w:left="200" w:hangingChars="200" w:hanging="200"/>
      </w:pPr>
      <w:r>
        <w:t>[</w:t>
      </w:r>
      <w:r>
        <w:t xml:space="preserve">8</w:t>
      </w:r>
      <w:r>
        <w:t>]</w:t>
      </w:r>
      <w:r w:rsidRPr="00281126">
        <w:t xml:space="preserve">  </w:t>
      </w:r>
      <w:r>
        <w:t>Hodgson A J, Keasler V V, Slagle B L. Premature cell cycle entry induced by hepatitis B virus regulatory HBx protein during compensatory liver regeneration</w:t>
      </w:r>
      <w:r>
        <w:t>[</w:t>
      </w:r>
      <w:r>
        <w:t>J</w:t>
      </w:r>
      <w:r>
        <w:t>]</w:t>
      </w:r>
      <w:r>
        <w:t>. Cancer</w:t>
      </w:r>
      <w:r>
        <w:t> </w:t>
      </w:r>
      <w:r>
        <w:t xml:space="preserve">Res,</w:t>
      </w:r>
      <w:r>
        <w:t xml:space="preserve"> </w:t>
      </w:r>
      <w:r>
        <w:t>2008,</w:t>
      </w:r>
      <w:r>
        <w:t xml:space="preserve"> </w:t>
      </w:r>
      <w:r>
        <w:t>68</w:t>
      </w:r>
      <w:r>
        <w:t>(</w:t>
      </w:r>
      <w:r>
        <w:t>24</w:t>
      </w:r>
      <w:r>
        <w:t>)</w:t>
      </w:r>
      <w:r>
        <w:t xml:space="preserve">:</w:t>
      </w:r>
      <w:r>
        <w:t xml:space="preserve"> </w:t>
      </w:r>
      <w:r>
        <w:t>10341-10348.</w:t>
      </w:r>
    </w:p>
    <w:p w:rsidR="0018722C">
      <w:pPr>
        <w:pStyle w:val="ab"/>
        <w:topLinePunct/>
        <w:ind w:left="200" w:hangingChars="200" w:hanging="200"/>
      </w:pPr>
      <w:r>
        <w:t>[</w:t>
      </w:r>
      <w:r>
        <w:t xml:space="preserve">9</w:t>
      </w:r>
      <w:r>
        <w:t>]</w:t>
      </w:r>
      <w:r w:rsidRPr="00281126">
        <w:t xml:space="preserve">  </w:t>
      </w:r>
      <w:r>
        <w:t>Wu B K, Li C C, Chen H J, Chang J L, Jeng K S, Chou C K, Hsu M T, Tsai T F. Blocking of G1</w:t>
      </w:r>
      <w:r>
        <w:t>/</w:t>
      </w:r>
      <w:r>
        <w:t>S transition and cell death in the regenerating liver of Hepatitis B virus X protein transgenic mice</w:t>
      </w:r>
      <w:r>
        <w:t>[</w:t>
      </w:r>
      <w:r>
        <w:t>J</w:t>
      </w:r>
      <w:r>
        <w:t>]</w:t>
      </w:r>
      <w:r>
        <w:t>. Biochem Biophys Res</w:t>
      </w:r>
      <w:r>
        <w:t> </w:t>
      </w:r>
      <w:r>
        <w:t xml:space="preserve">Commun,</w:t>
      </w:r>
      <w:r>
        <w:t xml:space="preserve"> </w:t>
      </w:r>
      <w:r>
        <w:t>2006,</w:t>
      </w:r>
      <w:r>
        <w:t xml:space="preserve"> </w:t>
      </w:r>
      <w:r>
        <w:t>340</w:t>
      </w:r>
      <w:r>
        <w:t>(</w:t>
      </w:r>
      <w:r>
        <w:t>3</w:t>
      </w:r>
      <w:r>
        <w:t>)</w:t>
      </w:r>
      <w:r>
        <w:t xml:space="preserve">:</w:t>
      </w:r>
      <w:r>
        <w:t xml:space="preserve"> </w:t>
      </w:r>
      <w:r>
        <w:t>916-928.</w:t>
      </w:r>
    </w:p>
    <w:p w:rsidR="0018722C">
      <w:pPr>
        <w:pStyle w:val="ab"/>
        <w:topLinePunct/>
        <w:ind w:left="200" w:hangingChars="200" w:hanging="200"/>
      </w:pPr>
      <w:r>
        <w:t>[</w:t>
      </w:r>
      <w:r>
        <w:t xml:space="preserve">10</w:t>
      </w:r>
      <w:r>
        <w:t>]</w:t>
      </w:r>
      <w:r w:rsidRPr="00281126">
        <w:t xml:space="preserve"> </w:t>
      </w:r>
      <w:r>
        <w:t>He P, Zhang D, Li H, Yang X, Li D, Zhai Y, Ma L, Feng G. Hepatitis B virus X protein modulates apoptosis in human renal proximal tubular epithelial cells by activating the JAK2</w:t>
      </w:r>
      <w:r>
        <w:t>/</w:t>
      </w:r>
      <w:r>
        <w:t>STAT3 signaling pathway</w:t>
      </w:r>
      <w:r>
        <w:t>[</w:t>
      </w:r>
      <w:r>
        <w:t>J</w:t>
      </w:r>
      <w:r>
        <w:t>]</w:t>
      </w:r>
      <w:r>
        <w:t xml:space="preserve">. Int J Mol Med,</w:t>
      </w:r>
      <w:r>
        <w:t xml:space="preserve"> </w:t>
      </w:r>
      <w:r>
        <w:t>2013,</w:t>
      </w:r>
      <w:r>
        <w:t xml:space="preserve"> </w:t>
      </w:r>
      <w:r>
        <w:t>31</w:t>
      </w:r>
      <w:r>
        <w:t>(</w:t>
      </w:r>
      <w:r>
        <w:t>5</w:t>
      </w:r>
      <w:r>
        <w:t>)</w:t>
      </w:r>
      <w:r>
        <w:t xml:space="preserve">:</w:t>
      </w:r>
      <w:r>
        <w:t xml:space="preserve"> </w:t>
      </w:r>
      <w:r>
        <w:t>1017-1029.</w:t>
      </w:r>
    </w:p>
    <w:p w:rsidR="0018722C">
      <w:pPr>
        <w:pStyle w:val="ab"/>
        <w:topLinePunct/>
        <w:ind w:left="200" w:hangingChars="200" w:hanging="200"/>
      </w:pPr>
      <w:bookmarkStart w:id="707290" w:name="_cwCmt10"/>
      <w:bookmarkStart w:id="707289" w:name="_cwCmt9"/>
      <w:r>
        <w:t>[</w:t>
      </w:r>
      <w:r>
        <w:t xml:space="preserve">11</w:t>
      </w:r>
      <w:r>
        <w:t>]</w:t>
      </w:r>
      <w:r w:rsidRPr="00281126">
        <w:t xml:space="preserve"> </w:t>
      </w:r>
      <w:r>
        <w:t>Kim</w:t>
      </w:r>
      <w:r>
        <w:t> </w:t>
      </w:r>
      <w:r>
        <w:t>H</w:t>
      </w:r>
      <w:r>
        <w:t> </w:t>
      </w:r>
      <w:r>
        <w:t>J,</w:t>
      </w:r>
      <w:r>
        <w:t> </w:t>
      </w:r>
      <w:r>
        <w:t>Kim</w:t>
      </w:r>
      <w:r>
        <w:t> </w:t>
      </w:r>
      <w:r>
        <w:t>S</w:t>
      </w:r>
      <w:r>
        <w:t> </w:t>
      </w:r>
      <w:r>
        <w:t>Y,</w:t>
      </w:r>
      <w:r>
        <w:t> </w:t>
      </w:r>
      <w:r>
        <w:t>Kim</w:t>
      </w:r>
      <w:r>
        <w:t> </w:t>
      </w:r>
      <w:r>
        <w:t>J,</w:t>
      </w:r>
      <w:r>
        <w:t> </w:t>
      </w:r>
      <w:r>
        <w:t>Lee</w:t>
      </w:r>
      <w:r>
        <w:t> </w:t>
      </w:r>
      <w:r>
        <w:t>H,</w:t>
      </w:r>
      <w:r>
        <w:t> </w:t>
      </w:r>
      <w:r>
        <w:t>Choi</w:t>
      </w:r>
      <w:r>
        <w:t> </w:t>
      </w:r>
      <w:r>
        <w:t>M,</w:t>
      </w:r>
      <w:r>
        <w:t> </w:t>
      </w:r>
      <w:r>
        <w:t>Kim</w:t>
      </w:r>
      <w:r>
        <w:t> </w:t>
      </w:r>
      <w:r>
        <w:t>J</w:t>
      </w:r>
      <w:r>
        <w:t> </w:t>
      </w:r>
      <w:r>
        <w:t>K,</w:t>
      </w:r>
      <w:r>
        <w:t> </w:t>
      </w:r>
      <w:r>
        <w:t>Ahn</w:t>
      </w:r>
      <w:r>
        <w:t> </w:t>
      </w:r>
      <w:r>
        <w:t>J</w:t>
      </w:r>
      <w:r>
        <w:t> </w:t>
      </w:r>
      <w:r>
        <w:t>K.</w:t>
      </w:r>
      <w:r>
        <w:t> </w:t>
      </w:r>
      <w:r>
        <w:t>Hepatitis</w:t>
      </w:r>
      <w:r>
        <w:t> </w:t>
      </w:r>
      <w:r>
        <w:t>B</w:t>
      </w:r>
      <w:r>
        <w:t> </w:t>
      </w:r>
      <w:r>
        <w:t>virus</w:t>
      </w:r>
      <w:r>
        <w:t> </w:t>
      </w:r>
      <w:r>
        <w:t>X</w:t>
      </w:r>
      <w:bookmarkEnd w:id="707289"/>
      <w:bookmarkEnd w:id="707290"/>
    </w:p>
    <w:p w:rsidR="0018722C">
      <w:pPr>
        <w:topLinePunct/>
      </w:pPr>
      <w:r>
        <w:rPr>
          <w:rFonts w:ascii="Times New Roman"/>
        </w:rPr>
        <w:t/>
      </w:r>
      <w:r>
        <w:rPr>
          <w:rFonts w:ascii="Times New Roman"/>
        </w:rPr>
        <w:t>P</w:t>
      </w:r>
      <w:r>
        <w:rPr>
          <w:rFonts w:ascii="Times New Roman"/>
        </w:rPr>
        <w:t>rotein induces apoptosis by enhancing translocation of Bax to mitochondria</w:t>
      </w:r>
      <w:r>
        <w:rPr>
          <w:rFonts w:ascii="Times New Roman"/>
        </w:rPr>
        <w:t>[</w:t>
      </w:r>
      <w:r>
        <w:rPr>
          <w:rFonts w:ascii="Times New Roman"/>
        </w:rPr>
        <w:t>J</w:t>
      </w:r>
      <w:r>
        <w:rPr>
          <w:rFonts w:ascii="Times New Roman"/>
        </w:rPr>
        <w:t>]</w:t>
      </w:r>
      <w:r>
        <w:rPr>
          <w:rFonts w:ascii="Times New Roman"/>
        </w:rPr>
        <w:t xml:space="preserve">. </w:t>
      </w:r>
      <w:r w:rsidR="001852F3">
        <w:rPr>
          <w:rFonts w:ascii="Times New Roman"/>
        </w:rPr>
        <w:t xml:space="preserve">IUBMB</w:t>
      </w:r>
      <w:r>
        <w:rPr>
          <w:rFonts w:ascii="Times New Roman"/>
        </w:rPr>
        <w:t xml:space="preserve"> </w:t>
      </w:r>
      <w:r>
        <w:rPr>
          <w:rFonts w:ascii="Times New Roman"/>
        </w:rPr>
        <w:t>Life,2008,60</w:t>
      </w:r>
      <w:r>
        <w:rPr>
          <w:rFonts w:ascii="Times New Roman"/>
        </w:rPr>
        <w:t>(</w:t>
      </w:r>
      <w:r>
        <w:rPr>
          <w:rFonts w:ascii="Times New Roman"/>
        </w:rPr>
        <w:t>7</w:t>
      </w:r>
      <w:r>
        <w:rPr>
          <w:rFonts w:ascii="Times New Roman"/>
        </w:rPr>
        <w:t>)</w:t>
      </w:r>
      <w:r>
        <w:rPr>
          <w:rFonts w:ascii="Times New Roman"/>
        </w:rPr>
        <w:t>:473-480.</w:t>
      </w:r>
    </w:p>
    <w:p w:rsidR="0018722C">
      <w:pPr>
        <w:pStyle w:val="ab"/>
        <w:topLinePunct/>
        <w:ind w:left="200" w:hangingChars="200" w:hanging="200"/>
      </w:pPr>
      <w:r>
        <w:t>[</w:t>
      </w:r>
      <w:r>
        <w:t xml:space="preserve">12</w:t>
      </w:r>
      <w:r>
        <w:t>]</w:t>
      </w:r>
      <w:r w:rsidRPr="00281126">
        <w:t xml:space="preserve"> </w:t>
      </w:r>
      <w:r>
        <w:t>Miao J, Chen G G, Chun S Y, Lai P P. Hepatitis B virus X protein induces apoptosis in hepatoma cells through inhibiting Bcl-xL expression</w:t>
      </w:r>
      <w:r>
        <w:t>[</w:t>
      </w:r>
      <w:r>
        <w:t>J</w:t>
      </w:r>
      <w:r>
        <w:t>]</w:t>
      </w:r>
      <w:r>
        <w:t xml:space="preserve">. Cancer Lett,</w:t>
      </w:r>
      <w:r>
        <w:t xml:space="preserve"> </w:t>
      </w:r>
      <w:r>
        <w:t>2006,</w:t>
      </w:r>
      <w:r>
        <w:t xml:space="preserve"> </w:t>
      </w:r>
      <w:r>
        <w:t>236</w:t>
      </w:r>
      <w:r>
        <w:t>(</w:t>
      </w:r>
      <w:r>
        <w:t>1</w:t>
      </w:r>
      <w:r>
        <w:t>)</w:t>
      </w:r>
      <w:r>
        <w:t xml:space="preserve">:</w:t>
      </w:r>
      <w:r>
        <w:t xml:space="preserve"> </w:t>
      </w:r>
      <w:r>
        <w:t>115-124.</w:t>
      </w:r>
    </w:p>
    <w:p w:rsidR="0018722C">
      <w:pPr>
        <w:pStyle w:val="ab"/>
        <w:topLinePunct/>
        <w:ind w:left="200" w:hangingChars="200" w:hanging="200"/>
      </w:pPr>
      <w:r>
        <w:t>[</w:t>
      </w:r>
      <w:r>
        <w:t xml:space="preserve">13</w:t>
      </w:r>
      <w:r>
        <w:t>]</w:t>
      </w:r>
      <w:r w:rsidRPr="00281126">
        <w:t xml:space="preserve"> </w:t>
      </w:r>
      <w:r>
        <w:t>Kim S Y, Park S G, Jung H, Chi S W, Yu D Y, Lee S C, Bae K H. RKIP downregulation induces the HBx-mediated Raf-1 mitochondrial translocation</w:t>
      </w:r>
      <w:r>
        <w:t>[</w:t>
      </w:r>
      <w:r>
        <w:t>J</w:t>
      </w:r>
      <w:r>
        <w:t>]</w:t>
      </w:r>
      <w:r>
        <w:t>. J Microbiol</w:t>
      </w:r>
      <w:r>
        <w:t> </w:t>
      </w:r>
      <w:r>
        <w:t xml:space="preserve">Biotechnol,</w:t>
      </w:r>
      <w:r>
        <w:t xml:space="preserve"> </w:t>
      </w:r>
      <w:r>
        <w:t>2011,</w:t>
      </w:r>
      <w:r>
        <w:t xml:space="preserve"> </w:t>
      </w:r>
      <w:r>
        <w:t>21</w:t>
      </w:r>
      <w:r>
        <w:t>(</w:t>
      </w:r>
      <w:r>
        <w:t>5</w:t>
      </w:r>
      <w:r>
        <w:t>)</w:t>
      </w:r>
      <w:r>
        <w:t xml:space="preserve">:</w:t>
      </w:r>
      <w:r>
        <w:t xml:space="preserve"> </w:t>
      </w:r>
      <w:r>
        <w:t>525-528.</w:t>
      </w:r>
    </w:p>
    <w:p w:rsidR="0018722C">
      <w:pPr>
        <w:pStyle w:val="ab"/>
        <w:topLinePunct/>
        <w:ind w:left="200" w:hangingChars="200" w:hanging="200"/>
      </w:pPr>
      <w:r>
        <w:t>[</w:t>
      </w:r>
      <w:r>
        <w:t xml:space="preserve">14</w:t>
      </w:r>
      <w:r>
        <w:t>]</w:t>
      </w:r>
      <w:r w:rsidRPr="00281126">
        <w:t xml:space="preserve"> </w:t>
      </w:r>
      <w:r>
        <w:t>Pan J, Duan L X, Sun B S, Feitelson M A. Hepatitis B virus X protein protects against anti-Fas-mediated apoptosis in human liver cells by inducing NF-kappa B</w:t>
      </w:r>
      <w:r>
        <w:t>[</w:t>
      </w:r>
      <w:r>
        <w:t>J</w:t>
      </w:r>
      <w:r>
        <w:t>]</w:t>
      </w:r>
      <w:r>
        <w:t xml:space="preserve">. J Gen Virol,</w:t>
      </w:r>
      <w:r>
        <w:t xml:space="preserve"> </w:t>
      </w:r>
      <w:r>
        <w:t>2001,</w:t>
      </w:r>
      <w:r>
        <w:t xml:space="preserve"> </w:t>
      </w:r>
      <w:r>
        <w:t>82</w:t>
      </w:r>
      <w:r>
        <w:t>(</w:t>
      </w:r>
      <w:r>
        <w:t>Pt</w:t>
      </w:r>
      <w:r>
        <w:t> </w:t>
      </w:r>
      <w:r>
        <w:t>1</w:t>
      </w:r>
      <w:r>
        <w:t>)</w:t>
      </w:r>
      <w:r>
        <w:t xml:space="preserve">:</w:t>
      </w:r>
      <w:r>
        <w:t xml:space="preserve"> </w:t>
      </w:r>
      <w:r>
        <w:t>171-182.</w:t>
      </w:r>
    </w:p>
    <w:p w:rsidR="0018722C">
      <w:pPr>
        <w:pStyle w:val="ab"/>
        <w:topLinePunct/>
        <w:ind w:left="200" w:hangingChars="200" w:hanging="200"/>
      </w:pPr>
      <w:r>
        <w:t>[</w:t>
      </w:r>
      <w:r>
        <w:t xml:space="preserve">15</w:t>
      </w:r>
      <w:r>
        <w:t>]</w:t>
      </w:r>
      <w:r w:rsidRPr="00281126">
        <w:t xml:space="preserve"> </w:t>
      </w:r>
      <w:r>
        <w:t>Shih W L, Kuo M L, Chuang S E, Cheng A L, Doong S L. Hepatitis B virus X protein inhibits transforming growth factor-beta -induced apoptosis through the activation of phosphatidylinositol 3-kinase pathway</w:t>
      </w:r>
      <w:r>
        <w:t>[</w:t>
      </w:r>
      <w:r>
        <w:t>J</w:t>
      </w:r>
      <w:r>
        <w:t>]</w:t>
      </w:r>
      <w:r>
        <w:t xml:space="preserve">. J Biol Chem,</w:t>
      </w:r>
      <w:r>
        <w:t xml:space="preserve"> </w:t>
      </w:r>
      <w:r>
        <w:t>2000,</w:t>
      </w:r>
      <w:r>
        <w:t xml:space="preserve"> </w:t>
      </w:r>
      <w:r>
        <w:t>275</w:t>
      </w:r>
      <w:r>
        <w:t>(</w:t>
      </w:r>
      <w:r>
        <w:t>33</w:t>
      </w:r>
      <w:r>
        <w:t>)</w:t>
      </w:r>
      <w:r>
        <w:t xml:space="preserve">:</w:t>
      </w:r>
      <w:r>
        <w:t xml:space="preserve"> </w:t>
      </w:r>
      <w:r>
        <w:t>25858-25864.</w:t>
      </w:r>
    </w:p>
    <w:p w:rsidR="0018722C">
      <w:pPr>
        <w:pStyle w:val="ab"/>
        <w:topLinePunct/>
        <w:ind w:left="200" w:hangingChars="200" w:hanging="200"/>
      </w:pPr>
      <w:r>
        <w:t>[</w:t>
      </w:r>
      <w:r>
        <w:t xml:space="preserve">16</w:t>
      </w:r>
      <w:r>
        <w:t>]</w:t>
      </w:r>
      <w:r w:rsidRPr="00281126">
        <w:t xml:space="preserve"> </w:t>
      </w:r>
      <w:r>
        <w:t>Koike K. Hepatitis B virus X gene is implicated in liver carcinogenesis</w:t>
      </w:r>
      <w:r>
        <w:t>[</w:t>
      </w:r>
      <w:r>
        <w:t>J</w:t>
      </w:r>
      <w:r>
        <w:t>]</w:t>
      </w:r>
      <w:r>
        <w:t xml:space="preserve">. Cancer Lett,</w:t>
      </w:r>
      <w:r>
        <w:t xml:space="preserve"> </w:t>
      </w:r>
      <w:r>
        <w:t>2009,</w:t>
      </w:r>
      <w:r>
        <w:t xml:space="preserve"> </w:t>
      </w:r>
      <w:r>
        <w:t>286</w:t>
      </w:r>
      <w:r>
        <w:t>(</w:t>
      </w:r>
      <w:r>
        <w:t>1</w:t>
      </w:r>
      <w:r>
        <w:t>)</w:t>
      </w:r>
      <w:r>
        <w:t xml:space="preserve">:</w:t>
      </w:r>
      <w:r>
        <w:t xml:space="preserve"> </w:t>
      </w:r>
      <w:r>
        <w:t>60-68.</w:t>
      </w:r>
    </w:p>
    <w:p w:rsidR="0018722C">
      <w:pPr>
        <w:pStyle w:val="ab"/>
        <w:topLinePunct/>
        <w:ind w:left="200" w:hangingChars="200" w:hanging="200"/>
      </w:pPr>
      <w:r>
        <w:t xml:space="preserve">[</w:t>
      </w:r>
      <w:r>
        <w:t xml:space="preserve">17</w:t>
      </w:r>
      <w:r>
        <w:t xml:space="preserve">]</w:t>
      </w:r>
      <w:r w:rsidRPr="00281126">
        <w:t xml:space="preserve"> </w:t>
      </w:r>
      <w:r>
        <w:t xml:space="preserve">Ma J, Sun T, Park S, Shen G, Liu J. The role of hepatitis B virus X protein is related to its differential intracellular localization</w:t>
      </w:r>
      <w:r>
        <w:t xml:space="preserve">[</w:t>
      </w:r>
      <w:r>
        <w:t xml:space="preserve">J</w:t>
      </w:r>
      <w:r>
        <w:t xml:space="preserve">]</w:t>
      </w:r>
      <w:r>
        <w:t xml:space="preserve">. Acta Biochim Biophys Sin </w:t>
      </w:r>
      <w:r>
        <w:t xml:space="preserve">(</w:t>
      </w:r>
      <w:r>
        <w:rPr>
          <w:sz w:val="24"/>
        </w:rPr>
        <w:t xml:space="preserve">Shanghai</w:t>
      </w:r>
      <w:r>
        <w:t xml:space="preserve">)</w:t>
      </w:r>
      <w:r>
        <w:t xml:space="preserve">,</w:t>
      </w:r>
      <w:r>
        <w:t xml:space="preserve"> </w:t>
      </w:r>
      <w:r>
        <w:t>2011,</w:t>
      </w:r>
      <w:r>
        <w:t xml:space="preserve"> </w:t>
      </w:r>
      <w:r>
        <w:t>43</w:t>
      </w:r>
      <w:r>
        <w:t xml:space="preserve">(</w:t>
      </w:r>
      <w:r>
        <w:rPr>
          <w:sz w:val="24"/>
        </w:rPr>
        <w:t xml:space="preserve">8</w:t>
      </w:r>
      <w:r>
        <w:t xml:space="preserve">)</w:t>
      </w:r>
      <w:r>
        <w:t xml:space="preserve">:</w:t>
      </w:r>
      <w:r>
        <w:t xml:space="preserve"> </w:t>
      </w:r>
      <w:r>
        <w:t>583-588.</w:t>
      </w:r>
    </w:p>
    <w:p w:rsidR="0018722C">
      <w:pPr>
        <w:pStyle w:val="ab"/>
        <w:topLinePunct/>
        <w:ind w:left="200" w:hangingChars="200" w:hanging="200"/>
      </w:pPr>
      <w:r>
        <w:t>[</w:t>
      </w:r>
      <w:r>
        <w:t xml:space="preserve">18</w:t>
      </w:r>
      <w:r>
        <w:t>]</w:t>
      </w:r>
      <w:r w:rsidRPr="00281126">
        <w:t xml:space="preserve"> </w:t>
      </w:r>
      <w:r>
        <w:t>Rawat S, Clippinger A J, Bouchard M J. Modulation of apoptotic signaling by the hepatitis B virus X protein</w:t>
      </w:r>
      <w:r>
        <w:t>[</w:t>
      </w:r>
      <w:r>
        <w:t>J</w:t>
      </w:r>
      <w:r>
        <w:t>]</w:t>
      </w:r>
      <w:r>
        <w:t>.</w:t>
      </w:r>
      <w:r>
        <w:t> </w:t>
      </w:r>
      <w:r>
        <w:t xml:space="preserve">Viruses,</w:t>
      </w:r>
      <w:r>
        <w:t xml:space="preserve"> </w:t>
      </w:r>
      <w:r>
        <w:t>2012,</w:t>
      </w:r>
      <w:r>
        <w:t xml:space="preserve"> </w:t>
      </w:r>
      <w:r>
        <w:t>4</w:t>
      </w:r>
      <w:r>
        <w:t>(</w:t>
      </w:r>
      <w:r>
        <w:t>11</w:t>
      </w:r>
      <w:r>
        <w:t>)</w:t>
      </w:r>
      <w:r>
        <w:t xml:space="preserve">:</w:t>
      </w:r>
      <w:r>
        <w:t xml:space="preserve"> </w:t>
      </w:r>
      <w:r>
        <w:t>2945-2972.</w:t>
      </w:r>
    </w:p>
    <w:p w:rsidR="0018722C">
      <w:pPr>
        <w:pStyle w:val="ab"/>
        <w:topLinePunct/>
        <w:ind w:left="200" w:hangingChars="200" w:hanging="200"/>
      </w:pPr>
      <w:r>
        <w:t>[</w:t>
      </w:r>
      <w:r>
        <w:t xml:space="preserve">19</w:t>
      </w:r>
      <w:r>
        <w:t>]</w:t>
      </w:r>
      <w:r w:rsidRPr="00281126">
        <w:t xml:space="preserve"> </w:t>
      </w:r>
      <w:r>
        <w:t>Mcbride H, Scorrano L. Mitochondrial dynamics and physiology</w:t>
      </w:r>
      <w:r>
        <w:t>[</w:t>
      </w:r>
      <w:r>
        <w:t>J</w:t>
      </w:r>
      <w:r>
        <w:t>]</w:t>
      </w:r>
      <w:r>
        <w:t>. Biochim Biophys</w:t>
      </w:r>
      <w:r>
        <w:t> </w:t>
      </w:r>
      <w:r>
        <w:t xml:space="preserve">Acta,</w:t>
      </w:r>
      <w:r>
        <w:t xml:space="preserve"> </w:t>
      </w:r>
      <w:r>
        <w:t>2013,</w:t>
      </w:r>
      <w:r>
        <w:t xml:space="preserve"> </w:t>
      </w:r>
      <w:r>
        <w:t>1833</w:t>
      </w:r>
      <w:r>
        <w:t>(</w:t>
      </w:r>
      <w:r>
        <w:t>1</w:t>
      </w:r>
      <w:r>
        <w:t>)</w:t>
      </w:r>
      <w:r>
        <w:t xml:space="preserve">:</w:t>
      </w:r>
      <w:r>
        <w:t xml:space="preserve"> </w:t>
      </w:r>
      <w:r>
        <w:t>148-149.</w:t>
      </w:r>
    </w:p>
    <w:p w:rsidR="0018722C">
      <w:pPr>
        <w:pStyle w:val="ab"/>
        <w:topLinePunct/>
        <w:ind w:left="200" w:hangingChars="200" w:hanging="200"/>
      </w:pPr>
      <w:r>
        <w:t>[</w:t>
      </w:r>
      <w:r>
        <w:t xml:space="preserve">20</w:t>
      </w:r>
      <w:r>
        <w:t>]</w:t>
      </w:r>
      <w:r w:rsidRPr="00281126">
        <w:t xml:space="preserve"> </w:t>
      </w:r>
      <w:r>
        <w:t>Nickel A, Kohlhaas M, Maack C. Mitochondrial reactive oxygen species production and elimination</w:t>
      </w:r>
      <w:r>
        <w:t>[</w:t>
      </w:r>
      <w:r>
        <w:rPr>
          <w:sz w:val="24"/>
        </w:rPr>
        <w:t>J</w:t>
      </w:r>
      <w:r>
        <w:t>]</w:t>
      </w:r>
      <w:r>
        <w:t>. J Mol Cell</w:t>
      </w:r>
      <w:r>
        <w:t> </w:t>
      </w:r>
      <w:r>
        <w:t xml:space="preserve">Cardiol,</w:t>
      </w:r>
      <w:r>
        <w:t xml:space="preserve"> </w:t>
      </w:r>
      <w:r>
        <w:t>2014,</w:t>
      </w:r>
      <w:r>
        <w:t xml:space="preserve"> </w:t>
      </w:r>
      <w:r>
        <w:t>73:</w:t>
      </w:r>
      <w:r>
        <w:t xml:space="preserve"> </w:t>
      </w:r>
      <w:r>
        <w:t>26-33.</w:t>
      </w:r>
    </w:p>
    <w:p w:rsidR="0018722C">
      <w:pPr>
        <w:pStyle w:val="ab"/>
        <w:topLinePunct/>
        <w:ind w:left="200" w:hangingChars="200" w:hanging="200"/>
      </w:pPr>
      <w:bookmarkStart w:id="707285" w:name="_cwCmt5"/>
      <w:r>
        <w:t>[</w:t>
      </w:r>
      <w:r>
        <w:t xml:space="preserve">21</w:t>
      </w:r>
      <w:r>
        <w:t>]</w:t>
      </w:r>
      <w:r w:rsidRPr="00281126">
        <w:t xml:space="preserve"> </w:t>
      </w:r>
      <w:r>
        <w:t>Salvioli S, Bonafe M, Capri M, Monti D, Franceschi C. Mitochondria, aging and longevity--a new perspective</w:t>
      </w:r>
      <w:r>
        <w:t>[</w:t>
      </w:r>
      <w:r>
        <w:t>J</w:t>
      </w:r>
      <w:r>
        <w:t>]</w:t>
      </w:r>
      <w:r>
        <w:t>. FEBS</w:t>
      </w:r>
      <w:r>
        <w:t> </w:t>
      </w:r>
      <w:r>
        <w:t xml:space="preserve">Lett,</w:t>
      </w:r>
      <w:r>
        <w:t xml:space="preserve"> </w:t>
      </w:r>
      <w:r>
        <w:t>2001,</w:t>
      </w:r>
      <w:r>
        <w:t xml:space="preserve"> </w:t>
      </w:r>
      <w:r>
        <w:t>492</w:t>
      </w:r>
      <w:r>
        <w:t>(</w:t>
      </w:r>
      <w:r>
        <w:t>1-2</w:t>
      </w:r>
      <w:r>
        <w:t>)</w:t>
      </w:r>
      <w:r>
        <w:t xml:space="preserve">:</w:t>
      </w:r>
      <w:r>
        <w:t xml:space="preserve"> </w:t>
      </w:r>
      <w:r>
        <w:t>9-13.</w:t>
      </w:r>
      <w:bookmarkEnd w:id="707285"/>
    </w:p>
    <w:p w:rsidR="0018722C">
      <w:pPr>
        <w:pStyle w:val="ab"/>
        <w:topLinePunct/>
        <w:ind w:left="200" w:hangingChars="200" w:hanging="200"/>
      </w:pPr>
      <w:r>
        <w:t>[</w:t>
      </w:r>
      <w:r>
        <w:t xml:space="preserve">22</w:t>
      </w:r>
      <w:r>
        <w:t>]</w:t>
      </w:r>
      <w:r w:rsidRPr="00281126">
        <w:t xml:space="preserve"> </w:t>
      </w:r>
      <w:r>
        <w:t>Liesa</w:t>
      </w:r>
      <w:r w:rsidR="001852F3">
        <w:t xml:space="preserve"> M, </w:t>
      </w:r>
      <w:r w:rsidR="001852F3">
        <w:t xml:space="preserve">Shirihai</w:t>
      </w:r>
      <w:r w:rsidR="001852F3">
        <w:t xml:space="preserve"> O</w:t>
      </w:r>
      <w:r w:rsidR="001852F3">
        <w:t xml:space="preserve"> S. </w:t>
      </w:r>
      <w:r w:rsidR="001852F3">
        <w:t xml:space="preserve">Mitochondrial</w:t>
      </w:r>
      <w:r w:rsidR="001852F3">
        <w:t xml:space="preserve"> dynamics</w:t>
      </w:r>
      <w:r w:rsidR="001852F3">
        <w:t xml:space="preserve"> in</w:t>
      </w:r>
      <w:r w:rsidR="001852F3">
        <w:t xml:space="preserve"> the</w:t>
      </w:r>
      <w:r w:rsidR="001852F3">
        <w:t xml:space="preserve"> regulation</w:t>
      </w:r>
      <w:r w:rsidR="001852F3">
        <w:t xml:space="preserve"> of</w:t>
      </w:r>
      <w:r>
        <w:t> </w:t>
      </w:r>
      <w:r>
        <w:t>nutrient</w:t>
      </w:r>
      <w:r>
        <w:rPr>
          <w:rFonts w:ascii="Times New Roman"/>
        </w:rPr>
        <w:t>utilization and energy expenditure</w:t>
      </w:r>
      <w:r>
        <w:rPr>
          <w:rFonts w:ascii="Times New Roman"/>
        </w:rPr>
        <w:t>[</w:t>
      </w:r>
      <w:r>
        <w:rPr>
          <w:rFonts w:ascii="Times New Roman"/>
        </w:rPr>
        <w:t>J</w:t>
      </w:r>
      <w:r>
        <w:rPr>
          <w:rFonts w:ascii="Times New Roman"/>
        </w:rPr>
        <w:t>]</w:t>
      </w:r>
      <w:r>
        <w:rPr>
          <w:rFonts w:ascii="Times New Roman"/>
        </w:rPr>
        <w:t xml:space="preserve">. Cell Metab,</w:t>
      </w:r>
      <w:r>
        <w:rPr>
          <w:rFonts w:ascii="Times New Roman"/>
        </w:rPr>
        <w:t xml:space="preserve"> </w:t>
      </w:r>
      <w:r>
        <w:rPr>
          <w:rFonts w:ascii="Times New Roman"/>
        </w:rPr>
        <w:t>2013,</w:t>
      </w:r>
      <w:r>
        <w:rPr>
          <w:rFonts w:ascii="Times New Roman"/>
        </w:rPr>
        <w:t xml:space="preserve"> </w:t>
      </w:r>
      <w:r>
        <w:rPr>
          <w:rFonts w:ascii="Times New Roman"/>
        </w:rPr>
        <w:t>17</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491-506.</w:t>
      </w:r>
    </w:p>
    <w:p w:rsidR="0018722C">
      <w:pPr>
        <w:pStyle w:val="ab"/>
        <w:topLinePunct/>
        <w:ind w:left="200" w:hangingChars="200" w:hanging="200"/>
      </w:pPr>
      <w:r>
        <w:t>[</w:t>
      </w:r>
      <w:r>
        <w:t xml:space="preserve">23</w:t>
      </w:r>
      <w:r>
        <w:t>]</w:t>
      </w:r>
      <w:r w:rsidRPr="00281126">
        <w:t xml:space="preserve"> </w:t>
      </w:r>
      <w:r>
        <w:t>Wang X Z, Li D, Tao Q M, Lin N, Chen Z X. A novel hepatitis B virus X-interactive protein: cytochrome C oxidase III</w:t>
      </w:r>
      <w:r>
        <w:t>[</w:t>
      </w:r>
      <w:r>
        <w:t>J</w:t>
      </w:r>
      <w:r>
        <w:t>]</w:t>
      </w:r>
      <w:r>
        <w:t>. J</w:t>
      </w:r>
      <w:r>
        <w:t> </w:t>
      </w:r>
      <w:r>
        <w:t xml:space="preserve">Gastroenterol Hepatol,</w:t>
      </w:r>
      <w:r>
        <w:t xml:space="preserve"> </w:t>
      </w:r>
      <w:r>
        <w:t>2006,</w:t>
      </w:r>
      <w:r>
        <w:t xml:space="preserve"> </w:t>
      </w:r>
      <w:r>
        <w:t>21</w:t>
      </w:r>
      <w:r>
        <w:t>(</w:t>
      </w:r>
      <w:r>
        <w:t>4</w:t>
      </w:r>
      <w:r>
        <w:t>)</w:t>
      </w:r>
      <w:r>
        <w:t xml:space="preserve">:</w:t>
      </w:r>
      <w:r>
        <w:t xml:space="preserve"> </w:t>
      </w:r>
      <w:r>
        <w:t>711-715.</w:t>
      </w:r>
    </w:p>
    <w:p w:rsidR="0018722C">
      <w:pPr>
        <w:pStyle w:val="ab"/>
        <w:topLinePunct/>
        <w:ind w:left="200" w:hangingChars="200" w:hanging="200"/>
      </w:pPr>
      <w:r>
        <w:t>[</w:t>
      </w:r>
      <w:r>
        <w:t xml:space="preserve">24</w:t>
      </w:r>
      <w:r>
        <w:t>]</w:t>
      </w:r>
      <w:r w:rsidRPr="00281126">
        <w:t xml:space="preserve"> </w:t>
      </w:r>
      <w:r>
        <w:t>Li D, Wang X Z, Yu J P, Chen Z X, Huang Y H, Tao Q M. Cytochrome C oxidase III interacts with hepatitis B virus X protein in vivo by yeast two-hybrid system</w:t>
      </w:r>
      <w:r>
        <w:t>[</w:t>
      </w:r>
      <w:r>
        <w:t>J</w:t>
      </w:r>
      <w:r>
        <w:t>]</w:t>
      </w:r>
      <w:r>
        <w:t>. World J</w:t>
      </w:r>
      <w:r>
        <w:t> </w:t>
      </w:r>
      <w:r>
        <w:t xml:space="preserve">Gastroenterol,</w:t>
      </w:r>
      <w:r>
        <w:t xml:space="preserve"> </w:t>
      </w:r>
      <w:r>
        <w:t>2004,</w:t>
      </w:r>
      <w:r>
        <w:t xml:space="preserve"> </w:t>
      </w:r>
      <w:r>
        <w:t>10</w:t>
      </w:r>
      <w:r>
        <w:t>(</w:t>
      </w:r>
      <w:r>
        <w:t>19</w:t>
      </w:r>
      <w:r>
        <w:t>)</w:t>
      </w:r>
      <w:r>
        <w:t xml:space="preserve">:</w:t>
      </w:r>
      <w:r>
        <w:t xml:space="preserve"> </w:t>
      </w:r>
      <w:r>
        <w:t>2805-2808.</w:t>
      </w:r>
    </w:p>
    <w:p w:rsidR="0018722C">
      <w:pPr>
        <w:pStyle w:val="ab"/>
        <w:topLinePunct/>
        <w:ind w:left="200" w:hangingChars="200" w:hanging="200"/>
      </w:pPr>
      <w:r>
        <w:t>[</w:t>
      </w:r>
      <w:r>
        <w:t xml:space="preserve">25</w:t>
      </w:r>
      <w:r>
        <w:t>]</w:t>
      </w:r>
      <w:r w:rsidRPr="00281126">
        <w:t xml:space="preserve"> </w:t>
      </w:r>
      <w:r>
        <w:t>Diaz F, Fukui H, Garcia S, Moraes C T. Cytochrome c oxidase is required for the assembly</w:t>
      </w:r>
      <w:r>
        <w:t>/</w:t>
      </w:r>
      <w:r>
        <w:t>stability of respiratory complex I in mouse fibroblasts</w:t>
      </w:r>
      <w:r>
        <w:t>[</w:t>
      </w:r>
      <w:r>
        <w:t>J</w:t>
      </w:r>
      <w:r>
        <w:t>]</w:t>
      </w:r>
      <w:r>
        <w:t xml:space="preserve">. Mol Cell Biol,</w:t>
      </w:r>
      <w:r>
        <w:t xml:space="preserve"> </w:t>
      </w:r>
      <w:r>
        <w:t>2006,</w:t>
      </w:r>
      <w:r>
        <w:t xml:space="preserve"> </w:t>
      </w:r>
      <w:r>
        <w:t>26</w:t>
      </w:r>
      <w:r>
        <w:t>(</w:t>
      </w:r>
      <w:r>
        <w:t>13</w:t>
      </w:r>
      <w:r>
        <w:t>)</w:t>
      </w:r>
      <w:r>
        <w:t xml:space="preserve">:</w:t>
      </w:r>
      <w:r>
        <w:t xml:space="preserve"> </w:t>
      </w:r>
      <w:r>
        <w:t>4872-4881.</w:t>
      </w:r>
    </w:p>
    <w:p w:rsidR="0018722C">
      <w:pPr>
        <w:pStyle w:val="ab"/>
        <w:topLinePunct/>
        <w:ind w:left="200" w:hangingChars="200" w:hanging="200"/>
      </w:pPr>
      <w:r>
        <w:t>[</w:t>
      </w:r>
      <w:r>
        <w:t xml:space="preserve">26</w:t>
      </w:r>
      <w:r>
        <w:t>]</w:t>
      </w:r>
      <w:r w:rsidRPr="00281126">
        <w:t xml:space="preserve"> </w:t>
      </w:r>
      <w:r>
        <w:t>Mkaouar-Rebai E, Ellouze E, Chamkha I, Kammoun F, Triki C, Fakhfakh F. Molecular-clinical correlation in a family with a novel heteroplasmic Leigh syndrome missense mutation in the mitochondrial cytochrome c oxidase III gene</w:t>
      </w:r>
      <w:r>
        <w:t>[</w:t>
      </w:r>
      <w:r>
        <w:t>J</w:t>
      </w:r>
      <w:r>
        <w:t>]</w:t>
      </w:r>
      <w:r>
        <w:t xml:space="preserve">. J Child Neurol,</w:t>
      </w:r>
      <w:r>
        <w:t xml:space="preserve"> </w:t>
      </w:r>
      <w:r>
        <w:t>2011,</w:t>
      </w:r>
      <w:r>
        <w:t xml:space="preserve"> </w:t>
      </w:r>
      <w:r>
        <w:t>26</w:t>
      </w:r>
      <w:r>
        <w:t>(</w:t>
      </w:r>
      <w:r>
        <w:t>1</w:t>
      </w:r>
      <w:r>
        <w:t>)</w:t>
      </w:r>
      <w:r>
        <w:t xml:space="preserve">:</w:t>
      </w:r>
      <w:r>
        <w:t xml:space="preserve"> </w:t>
      </w:r>
      <w:r>
        <w:t>12-20.</w:t>
      </w:r>
    </w:p>
    <w:p w:rsidR="0018722C">
      <w:pPr>
        <w:pStyle w:val="ab"/>
        <w:topLinePunct/>
        <w:ind w:left="200" w:hangingChars="200" w:hanging="200"/>
      </w:pPr>
      <w:r>
        <w:t>[</w:t>
      </w:r>
      <w:r>
        <w:t xml:space="preserve">27</w:t>
      </w:r>
      <w:r>
        <w:t>]</w:t>
      </w:r>
      <w:r w:rsidRPr="00281126">
        <w:t xml:space="preserve"> </w:t>
      </w:r>
      <w:r>
        <w:t>Qi Z, He J, Su Y, He Q, Liu J, Yu L, Al-Attas O, Hussain T, Ding S, Ji L, Qian M. Physical exercise regulates p53 activity targeting SCO2 and increases mitochondrial COX biogenesis in cardiac muscle with age</w:t>
      </w:r>
      <w:r>
        <w:t>[</w:t>
      </w:r>
      <w:r>
        <w:t>J</w:t>
      </w:r>
      <w:r>
        <w:t>]</w:t>
      </w:r>
      <w:r>
        <w:t>. PLoS</w:t>
      </w:r>
      <w:r>
        <w:t> </w:t>
      </w:r>
      <w:r>
        <w:t xml:space="preserve">One,</w:t>
      </w:r>
      <w:r>
        <w:t xml:space="preserve"> </w:t>
      </w:r>
      <w:r>
        <w:t>2011,</w:t>
      </w:r>
      <w:r>
        <w:t xml:space="preserve"> </w:t>
      </w:r>
      <w:r>
        <w:t>6</w:t>
      </w:r>
      <w:r>
        <w:t>(</w:t>
      </w:r>
      <w:r>
        <w:t>7</w:t>
      </w:r>
      <w:r>
        <w:t>)</w:t>
      </w:r>
      <w:r>
        <w:t xml:space="preserve">:</w:t>
      </w:r>
      <w:r>
        <w:t xml:space="preserve"> </w:t>
      </w:r>
      <w:r>
        <w:t>e21140.</w:t>
      </w:r>
    </w:p>
    <w:p w:rsidR="0018722C">
      <w:pPr>
        <w:pStyle w:val="ab"/>
        <w:topLinePunct/>
        <w:ind w:left="200" w:hangingChars="200" w:hanging="200"/>
      </w:pPr>
      <w:r>
        <w:t>[</w:t>
      </w:r>
      <w:r>
        <w:t xml:space="preserve">28</w:t>
      </w:r>
      <w:r>
        <w:t>]</w:t>
      </w:r>
      <w:r w:rsidRPr="00281126">
        <w:t xml:space="preserve"> </w:t>
      </w:r>
      <w:r>
        <w:t>Bafna S, Singh A P, Moniaux N, Eudy J D, Meza J L, Batra S K. MUC4, a multifunctional transmembrane glycoprotein, induces oncogenic transformation of NIH3T3 mouse fibroblast cells</w:t>
      </w:r>
      <w:r>
        <w:t>[</w:t>
      </w:r>
      <w:r>
        <w:t>J</w:t>
      </w:r>
      <w:r>
        <w:t>]</w:t>
      </w:r>
      <w:r>
        <w:t>. Cancer</w:t>
      </w:r>
      <w:r>
        <w:t> </w:t>
      </w:r>
      <w:r>
        <w:t xml:space="preserve">Res,</w:t>
      </w:r>
      <w:r>
        <w:t xml:space="preserve"> </w:t>
      </w:r>
      <w:r>
        <w:t>2008,</w:t>
      </w:r>
      <w:r>
        <w:t xml:space="preserve"> </w:t>
      </w:r>
      <w:r>
        <w:t>68</w:t>
      </w:r>
      <w:r>
        <w:t>(</w:t>
      </w:r>
      <w:r>
        <w:t>22</w:t>
      </w:r>
      <w:r>
        <w:t>)</w:t>
      </w:r>
      <w:r>
        <w:t xml:space="preserve">:</w:t>
      </w:r>
      <w:r>
        <w:t xml:space="preserve"> </w:t>
      </w:r>
      <w:r>
        <w:t>9231-9238.</w:t>
      </w:r>
    </w:p>
    <w:p w:rsidR="0018722C">
      <w:pPr>
        <w:pStyle w:val="ab"/>
        <w:topLinePunct/>
        <w:ind w:left="200" w:hangingChars="200" w:hanging="200"/>
      </w:pPr>
      <w:r>
        <w:t>[</w:t>
      </w:r>
      <w:r>
        <w:t xml:space="preserve">29</w:t>
      </w:r>
      <w:r>
        <w:t>]</w:t>
      </w:r>
      <w:r w:rsidRPr="00281126">
        <w:t xml:space="preserve"> </w:t>
      </w:r>
      <w:r>
        <w:t>Wu H, Rao G N, Dai B, Singh P. Autocrine gastrins in colon cancer cells Up-regulate cytochrome c oxidase Vb and down-regulate efflux of cytochrome c and activation of caspase-3</w:t>
      </w:r>
      <w:r>
        <w:t>[</w:t>
      </w:r>
      <w:r>
        <w:t>J</w:t>
      </w:r>
      <w:r>
        <w:t>]</w:t>
      </w:r>
      <w:r>
        <w:t>. J Biol</w:t>
      </w:r>
      <w:r>
        <w:t> </w:t>
      </w:r>
      <w:r>
        <w:t xml:space="preserve">Chem,</w:t>
      </w:r>
      <w:r>
        <w:t xml:space="preserve"> </w:t>
      </w:r>
      <w:r>
        <w:t>2000,</w:t>
      </w:r>
      <w:r>
        <w:t xml:space="preserve"> </w:t>
      </w:r>
      <w:r>
        <w:t>275</w:t>
      </w:r>
      <w:r>
        <w:t>(</w:t>
      </w:r>
      <w:r>
        <w:t>42</w:t>
      </w:r>
      <w:r>
        <w:t>)</w:t>
      </w:r>
      <w:r>
        <w:t xml:space="preserve">:</w:t>
      </w:r>
      <w:r>
        <w:t xml:space="preserve"> </w:t>
      </w:r>
      <w:r>
        <w:t>32491-32498.</w:t>
      </w:r>
    </w:p>
    <w:p w:rsidR="0018722C">
      <w:pPr>
        <w:pStyle w:val="ab"/>
        <w:topLinePunct/>
        <w:ind w:left="200" w:hangingChars="200" w:hanging="200"/>
      </w:pPr>
      <w:r>
        <w:t>[</w:t>
      </w:r>
      <w:r>
        <w:t xml:space="preserve">30</w:t>
      </w:r>
      <w:r>
        <w:t>]</w:t>
      </w:r>
      <w:r w:rsidRPr="00281126">
        <w:t xml:space="preserve"> </w:t>
      </w:r>
      <w:r>
        <w:t>Strogolova V, Furness A, Robb-Mcgrath M, Garlich J, Stuart R A. Rcf1 and Rcf2, members of the hypoxia-induced gene 1 protein family, are critical components of the mitochondrial cytochrome bc1-cytochrome c oxidase supercomplex</w:t>
      </w:r>
      <w:r>
        <w:t>[</w:t>
      </w:r>
      <w:r>
        <w:t>J</w:t>
      </w:r>
      <w:r>
        <w:t>]</w:t>
      </w:r>
      <w:r>
        <w:t xml:space="preserve">. Mol Cell Biol,</w:t>
      </w:r>
      <w:r>
        <w:t xml:space="preserve"> </w:t>
      </w:r>
      <w:r>
        <w:t>2012,</w:t>
      </w:r>
      <w:r>
        <w:t xml:space="preserve"> </w:t>
      </w:r>
      <w:r>
        <w:t>32</w:t>
      </w:r>
      <w:r>
        <w:t>(</w:t>
      </w:r>
      <w:r>
        <w:t>8</w:t>
      </w:r>
      <w:r>
        <w:t>)</w:t>
      </w:r>
      <w:r>
        <w:t xml:space="preserve">:</w:t>
      </w:r>
      <w:r>
        <w:t xml:space="preserve"> </w:t>
      </w:r>
      <w:r>
        <w:t>1363-1373.</w:t>
      </w:r>
    </w:p>
    <w:p w:rsidR="0018722C">
      <w:pPr>
        <w:pStyle w:val="ab"/>
        <w:topLinePunct/>
        <w:ind w:left="200" w:hangingChars="200" w:hanging="200"/>
      </w:pPr>
      <w:r>
        <w:t>[</w:t>
      </w:r>
      <w:r>
        <w:t xml:space="preserve">31</w:t>
      </w:r>
      <w:r>
        <w:t>]</w:t>
      </w:r>
      <w:r w:rsidRPr="00281126">
        <w:t xml:space="preserve"> </w:t>
      </w:r>
      <w:r>
        <w:t>Wang S B, Murray C I, Chung H S, Van Eyk J E. Redox regulation of mitochondrial ATP synthase</w:t>
      </w:r>
      <w:r>
        <w:t>[</w:t>
      </w:r>
      <w:r>
        <w:t>J</w:t>
      </w:r>
      <w:r>
        <w:t>]</w:t>
      </w:r>
      <w:r>
        <w:t>. Trends Cardiovasc</w:t>
      </w:r>
      <w:r>
        <w:t> </w:t>
      </w:r>
      <w:r>
        <w:t xml:space="preserve">Med,</w:t>
      </w:r>
      <w:r>
        <w:t xml:space="preserve"> </w:t>
      </w:r>
      <w:r>
        <w:t>2013,</w:t>
      </w:r>
      <w:r>
        <w:t xml:space="preserve"> </w:t>
      </w:r>
      <w:r>
        <w:t>23</w:t>
      </w:r>
      <w:r>
        <w:t>(</w:t>
      </w:r>
      <w:r>
        <w:t>1</w:t>
      </w:r>
      <w:r>
        <w:t>)</w:t>
      </w:r>
      <w:r>
        <w:t xml:space="preserve">:</w:t>
      </w:r>
      <w:r>
        <w:t xml:space="preserve"> </w:t>
      </w:r>
      <w:r>
        <w:t>14-18.</w:t>
      </w:r>
    </w:p>
    <w:p w:rsidR="0018722C">
      <w:pPr>
        <w:pStyle w:val="ab"/>
        <w:topLinePunct/>
        <w:ind w:left="200" w:hangingChars="200" w:hanging="200"/>
      </w:pPr>
      <w:r>
        <w:t>[</w:t>
      </w:r>
      <w:r>
        <w:t xml:space="preserve">32</w:t>
      </w:r>
      <w:r>
        <w:t>]</w:t>
      </w:r>
      <w:r w:rsidRPr="00281126">
        <w:t xml:space="preserve"> </w:t>
      </w:r>
      <w:r>
        <w:t>You</w:t>
      </w:r>
      <w:r w:rsidR="001852F3">
        <w:t xml:space="preserve"> K</w:t>
      </w:r>
      <w:r w:rsidR="001852F3">
        <w:t xml:space="preserve"> R, </w:t>
      </w:r>
      <w:r w:rsidR="001852F3">
        <w:t xml:space="preserve">Wen</w:t>
      </w:r>
      <w:r w:rsidR="001852F3">
        <w:t xml:space="preserve"> J, </w:t>
      </w:r>
      <w:r w:rsidR="001852F3">
        <w:t xml:space="preserve">Lee</w:t>
      </w:r>
      <w:r w:rsidR="001852F3">
        <w:t xml:space="preserve"> S</w:t>
      </w:r>
      <w:r w:rsidR="001852F3">
        <w:t xml:space="preserve"> T, </w:t>
      </w:r>
      <w:r w:rsidR="001852F3">
        <w:t xml:space="preserve">Kim</w:t>
      </w:r>
      <w:r w:rsidR="001852F3">
        <w:t xml:space="preserve"> D</w:t>
      </w:r>
      <w:r w:rsidR="001852F3">
        <w:t xml:space="preserve"> G. </w:t>
      </w:r>
      <w:r w:rsidR="001852F3">
        <w:t xml:space="preserve">Cytochrome</w:t>
      </w:r>
      <w:r w:rsidR="001852F3">
        <w:t xml:space="preserve"> c</w:t>
      </w:r>
      <w:r w:rsidR="001852F3">
        <w:t xml:space="preserve"> oxidase</w:t>
      </w:r>
      <w:r w:rsidR="001852F3">
        <w:t xml:space="preserve"> subunit</w:t>
      </w:r>
      <w:r w:rsidR="001852F3">
        <w:t xml:space="preserve"> III:</w:t>
      </w:r>
      <w:r>
        <w:t> </w:t>
      </w:r>
      <w:r>
        <w:t>a</w:t>
      </w:r>
    </w:p>
    <w:p w:rsidR="0018722C">
      <w:pPr>
        <w:topLinePunct/>
      </w:pPr>
      <w:r>
        <w:rPr>
          <w:rFonts w:ascii="Times New Roman"/>
        </w:rPr>
        <w:t/>
      </w:r>
      <w:r>
        <w:rPr>
          <w:rFonts w:ascii="Times New Roman"/>
        </w:rPr>
        <w:t>M</w:t>
      </w:r>
      <w:r>
        <w:rPr>
          <w:rFonts w:ascii="Times New Roman"/>
        </w:rPr>
        <w:t>olecular</w:t>
      </w:r>
      <w:r w:rsidR="001852F3">
        <w:rPr>
          <w:rFonts w:ascii="Times New Roman"/>
        </w:rPr>
        <w:t xml:space="preserve">  marker</w:t>
      </w:r>
      <w:r w:rsidR="001852F3">
        <w:rPr>
          <w:rFonts w:ascii="Times New Roman"/>
        </w:rPr>
        <w:t xml:space="preserve">  for</w:t>
      </w:r>
      <w:r w:rsidR="001852F3">
        <w:rPr>
          <w:rFonts w:ascii="Times New Roman"/>
        </w:rPr>
        <w:t xml:space="preserve">  N-</w:t>
      </w:r>
      <w:r>
        <w:rPr>
          <w:rFonts w:ascii="Times New Roman"/>
        </w:rPr>
        <w:t>(</w:t>
      </w:r>
      <w:r>
        <w:rPr>
          <w:rFonts w:ascii="Times New Roman"/>
        </w:rPr>
        <w:t>4-hydroxyphenyl</w:t>
      </w:r>
      <w:r>
        <w:rPr>
          <w:rFonts w:ascii="Times New Roman"/>
        </w:rPr>
        <w:t>)</w:t>
      </w:r>
      <w:r w:rsidR="004B696B">
        <w:rPr>
          <w:rFonts w:ascii="Times New Roman"/>
        </w:rPr>
        <w:t xml:space="preserve"> </w:t>
      </w:r>
      <w:r>
        <w:rPr>
          <w:rFonts w:ascii="Times New Roman"/>
        </w:rPr>
        <w:t>retinamise-induced</w:t>
      </w:r>
      <w:r w:rsidR="001852F3">
        <w:rPr>
          <w:rFonts w:ascii="Times New Roman"/>
        </w:rPr>
        <w:t xml:space="preserve">  oxidative</w:t>
      </w:r>
      <w:r w:rsidR="001852F3">
        <w:rPr>
          <w:rFonts w:ascii="Times New Roman"/>
        </w:rPr>
        <w:t xml:space="preserve">  stress</w:t>
      </w:r>
      <w:r w:rsidR="001852F3">
        <w:rPr>
          <w:rFonts w:ascii="Times New Roman"/>
        </w:rPr>
        <w:t xml:space="preserve"> in</w:t>
      </w:r>
    </w:p>
    <w:p w:rsidR="0018722C">
      <w:pPr>
        <w:topLinePunct/>
      </w:pPr>
      <w:r>
        <w:rPr>
          <w:rFonts w:ascii="Times New Roman"/>
        </w:rPr>
        <w:t/>
      </w:r>
      <w:r>
        <w:rPr>
          <w:rFonts w:ascii="Times New Roman"/>
        </w:rPr>
        <w:t>H</w:t>
      </w:r>
      <w:r>
        <w:rPr>
          <w:rFonts w:ascii="Times New Roman"/>
        </w:rPr>
        <w:t>epatoma cells</w:t>
      </w:r>
      <w:r>
        <w:rPr>
          <w:rFonts w:ascii="Times New Roman"/>
        </w:rPr>
        <w:t>[</w:t>
      </w:r>
      <w:r>
        <w:rPr>
          <w:rFonts w:ascii="Times New Roman"/>
        </w:rPr>
        <w:t>J</w:t>
      </w:r>
      <w:r>
        <w:rPr>
          <w:rFonts w:ascii="Times New Roman"/>
        </w:rPr>
        <w:t>]</w:t>
      </w:r>
      <w:r>
        <w:rPr>
          <w:rFonts w:ascii="Times New Roman"/>
        </w:rPr>
        <w:t>. J Biol Chem,2002,277</w:t>
      </w:r>
      <w:r>
        <w:rPr>
          <w:rFonts w:ascii="Times New Roman"/>
        </w:rPr>
        <w:t>(</w:t>
      </w:r>
      <w:r>
        <w:rPr>
          <w:rFonts w:ascii="Times New Roman"/>
        </w:rPr>
        <w:t>6</w:t>
      </w:r>
      <w:r>
        <w:rPr>
          <w:rFonts w:ascii="Times New Roman"/>
        </w:rPr>
        <w:t>)</w:t>
      </w:r>
      <w:r>
        <w:rPr>
          <w:rFonts w:ascii="Times New Roman"/>
        </w:rPr>
        <w:t>:3870-3877.</w:t>
      </w:r>
    </w:p>
    <w:p w:rsidR="0018722C">
      <w:pPr>
        <w:pStyle w:val="ab"/>
        <w:topLinePunct/>
        <w:ind w:left="200" w:hangingChars="200" w:hanging="200"/>
      </w:pPr>
      <w:r>
        <w:t>[</w:t>
      </w:r>
      <w:r>
        <w:t xml:space="preserve">33</w:t>
      </w:r>
      <w:r>
        <w:t>]</w:t>
      </w:r>
      <w:r w:rsidRPr="00281126">
        <w:t xml:space="preserve"> </w:t>
      </w:r>
      <w:r>
        <w:t>Lim W, Kwon S H, Cho H, Kim S, Lee S, Ryu W S, Cho H. HBx targeting to mitochondria and ROS generation are necessary but insufficient for HBV-induced cyclooxygenase-2 expression</w:t>
      </w:r>
      <w:r>
        <w:t>[</w:t>
      </w:r>
      <w:r>
        <w:t>J</w:t>
      </w:r>
      <w:r>
        <w:t>]</w:t>
      </w:r>
      <w:r>
        <w:t>. J Mol Med</w:t>
      </w:r>
      <w:r>
        <w:t> </w:t>
      </w:r>
      <w:r>
        <w:t>(</w:t>
      </w:r>
      <w:r>
        <w:rPr>
          <w:sz w:val="24"/>
        </w:rPr>
        <w:t xml:space="preserve">Berl</w:t>
      </w:r>
      <w:r>
        <w:t>)</w:t>
      </w:r>
      <w:r>
        <w:t xml:space="preserve">,</w:t>
      </w:r>
      <w:r>
        <w:t xml:space="preserve"> </w:t>
      </w:r>
      <w:r>
        <w:t>2010,</w:t>
      </w:r>
      <w:r>
        <w:t xml:space="preserve"> </w:t>
      </w:r>
      <w:r>
        <w:t>88</w:t>
      </w:r>
      <w:r>
        <w:t>(</w:t>
      </w:r>
      <w:r>
        <w:rPr>
          <w:sz w:val="24"/>
        </w:rPr>
        <w:t>4</w:t>
      </w:r>
      <w:r>
        <w:t>)</w:t>
      </w:r>
      <w:r>
        <w:t xml:space="preserve">:</w:t>
      </w:r>
      <w:r>
        <w:t xml:space="preserve"> </w:t>
      </w:r>
      <w:r>
        <w:t>359-369.</w:t>
      </w:r>
    </w:p>
    <w:p w:rsidR="0018722C">
      <w:pPr>
        <w:pStyle w:val="ab"/>
        <w:topLinePunct/>
        <w:ind w:left="200" w:hangingChars="200" w:hanging="200"/>
      </w:pPr>
      <w:bookmarkStart w:id="707291" w:name="_cwCmt11"/>
      <w:r>
        <w:t>[</w:t>
      </w:r>
      <w:r>
        <w:t xml:space="preserve">34</w:t>
      </w:r>
      <w:r>
        <w:t>]</w:t>
      </w:r>
      <w:r w:rsidRPr="00281126">
        <w:t xml:space="preserve"> </w:t>
      </w:r>
      <w:r>
        <w:t>Lee Y I, Hwang J M, Im J H, Lee Y I, Kim N S, Kim D G, Yu D Y, Moon H B, Park S K. Human hepatitis B virus-X protein alters mitochondrial function and physiology in human liver cells</w:t>
      </w:r>
      <w:r>
        <w:t>[</w:t>
      </w:r>
      <w:r>
        <w:t>J</w:t>
      </w:r>
      <w:r>
        <w:t>]</w:t>
      </w:r>
      <w:r>
        <w:t>. J Biol</w:t>
      </w:r>
      <w:r>
        <w:t> </w:t>
      </w:r>
      <w:r>
        <w:t xml:space="preserve">Chem,</w:t>
      </w:r>
      <w:r>
        <w:t xml:space="preserve"> </w:t>
      </w:r>
      <w:r>
        <w:t>2004,</w:t>
      </w:r>
      <w:r>
        <w:t xml:space="preserve"> </w:t>
      </w:r>
      <w:r>
        <w:t>279</w:t>
      </w:r>
      <w:r>
        <w:t>(</w:t>
      </w:r>
      <w:r>
        <w:t>15</w:t>
      </w:r>
      <w:r>
        <w:t>)</w:t>
      </w:r>
      <w:r>
        <w:t xml:space="preserve">:</w:t>
      </w:r>
      <w:r>
        <w:t xml:space="preserve"> </w:t>
      </w:r>
      <w:r>
        <w:t>15460-15471.</w:t>
      </w:r>
      <w:bookmarkEnd w:id="707291"/>
    </w:p>
    <w:p w:rsidR="0018722C">
      <w:pPr>
        <w:pStyle w:val="ab"/>
        <w:topLinePunct/>
        <w:ind w:left="200" w:hangingChars="200" w:hanging="200"/>
      </w:pPr>
      <w:r>
        <w:t>[</w:t>
      </w:r>
      <w:r>
        <w:t xml:space="preserve">35</w:t>
      </w:r>
      <w:r>
        <w:t>]</w:t>
      </w:r>
      <w:r w:rsidRPr="00281126">
        <w:t xml:space="preserve"> </w:t>
      </w:r>
      <w:r>
        <w:t>Ha H L, Yu D Y. HBx-induced reactive oxygen species activates hepatocellular carcinogenesis via dysregulation of PTEN</w:t>
      </w:r>
      <w:r>
        <w:t>/</w:t>
      </w:r>
      <w:r>
        <w:t>Akt pathway</w:t>
      </w:r>
      <w:r>
        <w:t>[</w:t>
      </w:r>
      <w:r>
        <w:t>J</w:t>
      </w:r>
      <w:r>
        <w:t>]</w:t>
      </w:r>
      <w:r>
        <w:t xml:space="preserve">. World J Gastroenterol,</w:t>
      </w:r>
      <w:r>
        <w:t xml:space="preserve"> </w:t>
      </w:r>
      <w:r>
        <w:t>2010,</w:t>
      </w:r>
      <w:r>
        <w:t xml:space="preserve"> </w:t>
      </w:r>
      <w:r>
        <w:t>16</w:t>
      </w:r>
      <w:r>
        <w:t>(</w:t>
      </w:r>
      <w:r>
        <w:t>39</w:t>
      </w:r>
      <w:r>
        <w:t>)</w:t>
      </w:r>
      <w:r>
        <w:t xml:space="preserve">:</w:t>
      </w:r>
      <w:r>
        <w:t xml:space="preserve"> </w:t>
      </w:r>
      <w:r>
        <w:t>4932-4937.</w:t>
      </w:r>
    </w:p>
    <w:p w:rsidR="0018722C">
      <w:pPr>
        <w:pStyle w:val="ab"/>
        <w:topLinePunct/>
        <w:ind w:left="200" w:hangingChars="200" w:hanging="200"/>
      </w:pPr>
      <w:r>
        <w:t>[</w:t>
      </w:r>
      <w:r>
        <w:t xml:space="preserve">36</w:t>
      </w:r>
      <w:r>
        <w:t>]</w:t>
      </w:r>
      <w:r w:rsidRPr="00281126">
        <w:t xml:space="preserve"> </w:t>
      </w:r>
      <w:r>
        <w:t>Bhogal R H, Curbishley S M, Weston C J, Adams D H, Afford S C. Reactive oxygen species mediate human hepatocyte injury during hypoxia</w:t>
      </w:r>
      <w:r>
        <w:t>/</w:t>
      </w:r>
      <w:r>
        <w:t>reoxygenation</w:t>
      </w:r>
      <w:r>
        <w:t>[</w:t>
      </w:r>
      <w:r>
        <w:t>J</w:t>
      </w:r>
      <w:r>
        <w:t>]</w:t>
      </w:r>
      <w:r>
        <w:t>. Liver</w:t>
      </w:r>
      <w:r>
        <w:t> </w:t>
      </w:r>
      <w:r>
        <w:t xml:space="preserve">Transpl,</w:t>
      </w:r>
      <w:r>
        <w:t xml:space="preserve"> </w:t>
      </w:r>
      <w:r>
        <w:t>2010,</w:t>
      </w:r>
      <w:r>
        <w:t xml:space="preserve"> </w:t>
      </w:r>
      <w:r>
        <w:t>16</w:t>
      </w:r>
      <w:r>
        <w:t>(</w:t>
      </w:r>
      <w:r>
        <w:t>11</w:t>
      </w:r>
      <w:r>
        <w:t>)</w:t>
      </w:r>
      <w:r>
        <w:t xml:space="preserve">:</w:t>
      </w:r>
      <w:r>
        <w:t xml:space="preserve"> </w:t>
      </w:r>
      <w:r>
        <w:t>1303-1313.</w:t>
      </w:r>
    </w:p>
    <w:p w:rsidR="0018722C">
      <w:pPr>
        <w:pStyle w:val="ab"/>
        <w:topLinePunct/>
        <w:ind w:left="200" w:hangingChars="200" w:hanging="200"/>
      </w:pPr>
      <w:r>
        <w:t>[</w:t>
      </w:r>
      <w:r>
        <w:t xml:space="preserve">37</w:t>
      </w:r>
      <w:r>
        <w:t>]</w:t>
      </w:r>
      <w:r w:rsidRPr="00281126">
        <w:t xml:space="preserve"> </w:t>
      </w:r>
      <w:r>
        <w:t>Jain M, Rivera S, Monclus E A, Synenki L, Zirk A, Eisenbart J, Feghali-Bostwick C, Mutlu G M, Budinger G R, Chandel N S. Mitochondrial reactive oxygen species regulate transforming growth factor-beta signaling</w:t>
      </w:r>
      <w:r>
        <w:t>[</w:t>
      </w:r>
      <w:r>
        <w:t>J</w:t>
      </w:r>
      <w:r>
        <w:t>]</w:t>
      </w:r>
      <w:r>
        <w:t xml:space="preserve">. J Biol Chem,</w:t>
      </w:r>
      <w:r>
        <w:t xml:space="preserve"> </w:t>
      </w:r>
      <w:r>
        <w:t>2013,</w:t>
      </w:r>
      <w:r>
        <w:t xml:space="preserve"> </w:t>
      </w:r>
      <w:r>
        <w:t>288</w:t>
      </w:r>
      <w:r>
        <w:t>(</w:t>
      </w:r>
      <w:r>
        <w:t>2</w:t>
      </w:r>
      <w:r>
        <w:t>)</w:t>
      </w:r>
      <w:r>
        <w:t xml:space="preserve">:</w:t>
      </w:r>
      <w:r>
        <w:t xml:space="preserve"> </w:t>
      </w:r>
      <w:r>
        <w:t>770-777.</w:t>
      </w:r>
    </w:p>
    <w:p w:rsidR="0018722C">
      <w:pPr>
        <w:pStyle w:val="ab"/>
        <w:topLinePunct/>
        <w:ind w:left="200" w:hangingChars="200" w:hanging="200"/>
      </w:pPr>
      <w:r>
        <w:t xml:space="preserve">[</w:t>
      </w:r>
      <w:r>
        <w:t xml:space="preserve">38</w:t>
      </w:r>
      <w:r>
        <w:t xml:space="preserve">]</w:t>
      </w:r>
      <w:r w:rsidRPr="00281126">
        <w:t xml:space="preserve"> </w:t>
      </w:r>
      <w:r>
        <w:t xml:space="preserve">Shen L, Zhang X, Hu D, Feng T, Li H, Lu Y, Huang J. Hepatitis B virus X </w:t>
      </w:r>
      <w:r>
        <w:t xml:space="preserve">(</w:t>
      </w:r>
      <w:r>
        <w:rPr>
          <w:sz w:val="24"/>
        </w:rPr>
        <w:t xml:space="preserve">HBx</w:t>
      </w:r>
      <w:r>
        <w:t xml:space="preserve">)</w:t>
      </w:r>
      <w:r>
        <w:t xml:space="preserve"> play an anti-apoptosis role in hepatic progenitor cells by activating Wnt</w:t>
      </w:r>
      <w:r>
        <w:t xml:space="preserve">/</w:t>
      </w:r>
      <w:r>
        <w:t xml:space="preserve">beta-catenin pathway</w:t>
      </w:r>
      <w:r>
        <w:t xml:space="preserve">[</w:t>
      </w:r>
      <w:r>
        <w:t xml:space="preserve">J</w:t>
      </w:r>
      <w:r>
        <w:t xml:space="preserve">]</w:t>
      </w:r>
      <w:r>
        <w:t xml:space="preserve">. Mol Cell</w:t>
      </w:r>
      <w:r>
        <w:t xml:space="preserve"> </w:t>
      </w:r>
      <w:r>
        <w:t xml:space="preserve">Biochem,</w:t>
      </w:r>
      <w:r>
        <w:t xml:space="preserve"> </w:t>
      </w:r>
      <w:r>
        <w:t>2013,</w:t>
      </w:r>
      <w:r>
        <w:t xml:space="preserve"> </w:t>
      </w:r>
      <w:r>
        <w:t>383</w:t>
      </w:r>
      <w:r>
        <w:t xml:space="preserve">(</w:t>
      </w:r>
      <w:r>
        <w:rPr>
          <w:sz w:val="24"/>
        </w:rPr>
        <w:t xml:space="preserve">1-2</w:t>
      </w:r>
      <w:r>
        <w:t xml:space="preserve">)</w:t>
      </w:r>
      <w:r>
        <w:t xml:space="preserve">:</w:t>
      </w:r>
      <w:r>
        <w:t xml:space="preserve"> </w:t>
      </w:r>
      <w:r>
        <w:t>213-222.</w:t>
      </w:r>
    </w:p>
    <w:p w:rsidR="0018722C">
      <w:pPr>
        <w:pStyle w:val="ab"/>
        <w:topLinePunct/>
        <w:ind w:left="200" w:hangingChars="200" w:hanging="200"/>
      </w:pPr>
      <w:r>
        <w:t xml:space="preserve">[</w:t>
      </w:r>
      <w:r>
        <w:t xml:space="preserve">39</w:t>
      </w:r>
      <w:r>
        <w:t xml:space="preserve">]</w:t>
      </w:r>
      <w:r w:rsidRPr="00281126">
        <w:t xml:space="preserve"> </w:t>
      </w:r>
      <w:r>
        <w:t xml:space="preserve">Srisuttee R, Koh S S, Kim S J, Malilas W, Boonying W, Cho I R, Jhun B H, Ito M, Horio Y, Seto E, Oh S, Chung Y H. Hepatitis B virus X </w:t>
      </w:r>
      <w:r>
        <w:t xml:space="preserve">(</w:t>
      </w:r>
      <w:r>
        <w:rPr>
          <w:sz w:val="24"/>
        </w:rPr>
        <w:t xml:space="preserve">HBX</w:t>
      </w:r>
      <w:r>
        <w:t xml:space="preserve">)</w:t>
      </w:r>
      <w:r>
        <w:t xml:space="preserve"> protein upregulates beta-catenin in a human hepatic cell line by sequestering SIRT1 deacetylase</w:t>
      </w:r>
      <w:r>
        <w:t xml:space="preserve">[</w:t>
      </w:r>
      <w:r>
        <w:t xml:space="preserve">J</w:t>
      </w:r>
      <w:r>
        <w:t xml:space="preserve">]</w:t>
      </w:r>
      <w:r>
        <w:t xml:space="preserve">. Oncol Rep,</w:t>
      </w:r>
      <w:r>
        <w:t xml:space="preserve"> </w:t>
      </w:r>
      <w:r>
        <w:t>2012,</w:t>
      </w:r>
      <w:r>
        <w:t xml:space="preserve"> </w:t>
      </w:r>
      <w:r>
        <w:t>28</w:t>
      </w:r>
      <w:r>
        <w:t xml:space="preserve">(</w:t>
      </w:r>
      <w:r>
        <w:rPr>
          <w:sz w:val="24"/>
        </w:rPr>
        <w:t xml:space="preserve">1</w:t>
      </w:r>
      <w:r>
        <w:t xml:space="preserve">)</w:t>
      </w:r>
      <w:r>
        <w:t xml:space="preserve">:</w:t>
      </w:r>
      <w:r>
        <w:t xml:space="preserve"> </w:t>
      </w:r>
      <w:r>
        <w:t>276-282.</w:t>
      </w:r>
    </w:p>
    <w:p w:rsidR="0018722C">
      <w:pPr>
        <w:pStyle w:val="ab"/>
        <w:topLinePunct/>
        <w:ind w:left="200" w:hangingChars="200" w:hanging="200"/>
      </w:pPr>
      <w:r>
        <w:t>[</w:t>
      </w:r>
      <w:r>
        <w:t xml:space="preserve">40</w:t>
      </w:r>
      <w:r>
        <w:t>]</w:t>
      </w:r>
      <w:r w:rsidRPr="00281126">
        <w:t xml:space="preserve"> </w:t>
      </w:r>
      <w:r>
        <w:t>Lim K, Han C, Xu L, Isse K, Demetris A J, Wu T. Cyclooxygenase-2-derived prostaglandin E2 activates beta-catenin in human cholangiocarcinoma cells: evidence for inhibition of these signaling pathways by omega 3 polyunsaturated fatty acids</w:t>
      </w:r>
      <w:r>
        <w:t>[</w:t>
      </w:r>
      <w:r>
        <w:t>J</w:t>
      </w:r>
      <w:r>
        <w:t>]</w:t>
      </w:r>
      <w:r>
        <w:t>. Cancer</w:t>
      </w:r>
      <w:r>
        <w:t> </w:t>
      </w:r>
      <w:r>
        <w:t xml:space="preserve">Res,</w:t>
      </w:r>
      <w:r>
        <w:t xml:space="preserve"> </w:t>
      </w:r>
      <w:r>
        <w:t>2008,</w:t>
      </w:r>
      <w:r>
        <w:t xml:space="preserve"> </w:t>
      </w:r>
      <w:r>
        <w:t>68</w:t>
      </w:r>
      <w:r>
        <w:t>(</w:t>
      </w:r>
      <w:r>
        <w:t>2</w:t>
      </w:r>
      <w:r>
        <w:t>)</w:t>
      </w:r>
      <w:r>
        <w:t xml:space="preserve">:</w:t>
      </w:r>
      <w:r>
        <w:t xml:space="preserve"> </w:t>
      </w:r>
      <w:r>
        <w:t>553-560.</w:t>
      </w:r>
    </w:p>
    <w:p w:rsidR="0018722C">
      <w:pPr>
        <w:pStyle w:val="ab"/>
        <w:topLinePunct/>
        <w:ind w:left="200" w:hangingChars="200" w:hanging="200"/>
      </w:pPr>
      <w:r>
        <w:t>[</w:t>
      </w:r>
      <w:r>
        <w:t xml:space="preserve">41</w:t>
      </w:r>
      <w:r>
        <w:t>]</w:t>
      </w:r>
      <w:r w:rsidRPr="00281126">
        <w:t xml:space="preserve"> </w:t>
      </w:r>
      <w:r>
        <w:t>Mcmahon</w:t>
      </w:r>
      <w:r>
        <w:t> </w:t>
      </w:r>
      <w:r>
        <w:t>J</w:t>
      </w:r>
      <w:r>
        <w:t> </w:t>
      </w:r>
      <w:r>
        <w:t>M,</w:t>
      </w:r>
      <w:r>
        <w:t> </w:t>
      </w:r>
      <w:r>
        <w:t>Conroy</w:t>
      </w:r>
      <w:r>
        <w:t> </w:t>
      </w:r>
      <w:r>
        <w:t>S,</w:t>
      </w:r>
      <w:r>
        <w:t> </w:t>
      </w:r>
      <w:r>
        <w:t>Lyons</w:t>
      </w:r>
      <w:r>
        <w:t> </w:t>
      </w:r>
      <w:r>
        <w:t>M,</w:t>
      </w:r>
      <w:r>
        <w:t> </w:t>
      </w:r>
      <w:r>
        <w:t>Greiser</w:t>
      </w:r>
      <w:r>
        <w:t> </w:t>
      </w:r>
      <w:r>
        <w:t>U,</w:t>
      </w:r>
      <w:r>
        <w:t> </w:t>
      </w:r>
      <w:r>
        <w:t>O'Shea</w:t>
      </w:r>
      <w:r>
        <w:t> </w:t>
      </w:r>
      <w:r>
        <w:t>C,</w:t>
      </w:r>
      <w:r>
        <w:t> </w:t>
      </w:r>
      <w:r>
        <w:t>Strappe</w:t>
      </w:r>
      <w:r>
        <w:t> </w:t>
      </w:r>
      <w:r>
        <w:t>P,</w:t>
      </w:r>
      <w:r>
        <w:t> </w:t>
      </w:r>
      <w:r>
        <w:t>Howard</w:t>
      </w:r>
      <w:r>
        <w:t> </w:t>
      </w:r>
      <w:r>
        <w:t>L,</w:t>
      </w:r>
    </w:p>
    <w:p w:rsidR="0018722C">
      <w:pPr>
        <w:topLinePunct/>
      </w:pPr>
      <w:r>
        <w:rPr>
          <w:rFonts w:ascii="Times New Roman"/>
        </w:rPr>
        <w:t>Murphy</w:t>
      </w:r>
      <w:r w:rsidR="001852F3">
        <w:rPr>
          <w:rFonts w:ascii="Times New Roman"/>
        </w:rPr>
        <w:t xml:space="preserve"> M, </w:t>
      </w:r>
      <w:r w:rsidR="001852F3">
        <w:rPr>
          <w:rFonts w:ascii="Times New Roman"/>
        </w:rPr>
        <w:t xml:space="preserve">Barry</w:t>
      </w:r>
      <w:r w:rsidR="001852F3">
        <w:rPr>
          <w:rFonts w:ascii="Times New Roman"/>
        </w:rPr>
        <w:t xml:space="preserve"> F, </w:t>
      </w:r>
      <w:r w:rsidR="001852F3">
        <w:rPr>
          <w:rFonts w:ascii="Times New Roman"/>
        </w:rPr>
        <w:t xml:space="preserve">O'Brien</w:t>
      </w:r>
      <w:r w:rsidR="001852F3">
        <w:rPr>
          <w:rFonts w:ascii="Times New Roman"/>
        </w:rPr>
        <w:t xml:space="preserve"> T. </w:t>
      </w:r>
      <w:r w:rsidR="001852F3">
        <w:rPr>
          <w:rFonts w:ascii="Times New Roman"/>
        </w:rPr>
        <w:t xml:space="preserve">Gene</w:t>
      </w:r>
      <w:r w:rsidR="001852F3">
        <w:rPr>
          <w:rFonts w:ascii="Times New Roman"/>
        </w:rPr>
        <w:t xml:space="preserve"> transfer</w:t>
      </w:r>
      <w:r w:rsidR="001852F3">
        <w:rPr>
          <w:rFonts w:ascii="Times New Roman"/>
        </w:rPr>
        <w:t xml:space="preserve"> into</w:t>
      </w:r>
      <w:r w:rsidR="001852F3">
        <w:rPr>
          <w:rFonts w:ascii="Times New Roman"/>
        </w:rPr>
        <w:t xml:space="preserve"> rat</w:t>
      </w:r>
      <w:r w:rsidR="001852F3">
        <w:rPr>
          <w:rFonts w:ascii="Times New Roman"/>
        </w:rPr>
        <w:t xml:space="preserve"> mesenchymal</w:t>
      </w:r>
      <w:r w:rsidR="001852F3">
        <w:rPr>
          <w:rFonts w:ascii="Times New Roman"/>
        </w:rPr>
        <w:t xml:space="preserve"> stem</w:t>
      </w:r>
      <w:r w:rsidR="001852F3">
        <w:rPr>
          <w:rFonts w:ascii="Times New Roman"/>
        </w:rPr>
        <w:t xml:space="preserve"> cells: a</w:t>
      </w:r>
    </w:p>
    <w:p w:rsidR="0018722C">
      <w:pPr>
        <w:topLinePunct/>
      </w:pPr>
      <w:r>
        <w:rPr>
          <w:rFonts w:ascii="Times New Roman"/>
        </w:rPr>
        <w:t/>
      </w:r>
      <w:r>
        <w:rPr>
          <w:rFonts w:ascii="Times New Roman"/>
        </w:rPr>
        <w:t>C</w:t>
      </w:r>
      <w:r>
        <w:rPr>
          <w:rFonts w:ascii="Times New Roman"/>
        </w:rPr>
        <w:t>omparative study of viral and nonviral vectors</w:t>
      </w:r>
      <w:r>
        <w:rPr>
          <w:rFonts w:ascii="Times New Roman"/>
        </w:rPr>
        <w:t>[</w:t>
      </w:r>
      <w:r>
        <w:rPr>
          <w:rFonts w:ascii="Times New Roman"/>
        </w:rPr>
        <w:t>J</w:t>
      </w:r>
      <w:r>
        <w:rPr>
          <w:rFonts w:ascii="Times New Roman"/>
        </w:rPr>
        <w:t>]</w:t>
      </w:r>
      <w:r>
        <w:rPr>
          <w:rFonts w:ascii="Times New Roman"/>
        </w:rPr>
        <w:t>. Stem Cells Dev,2006,15</w:t>
      </w:r>
      <w:r>
        <w:rPr>
          <w:rFonts w:ascii="Times New Roman"/>
        </w:rPr>
        <w:t>(</w:t>
      </w:r>
      <w:r>
        <w:rPr>
          <w:rFonts w:ascii="Times New Roman"/>
        </w:rPr>
        <w:t>1</w:t>
      </w:r>
      <w:r>
        <w:rPr>
          <w:rFonts w:ascii="Times New Roman"/>
        </w:rPr>
        <w:t>)</w:t>
      </w:r>
      <w:r>
        <w:rPr>
          <w:rFonts w:ascii="Times New Roman"/>
        </w:rPr>
        <w:t>:87-96.</w:t>
      </w:r>
    </w:p>
    <w:p w:rsidR="0018722C">
      <w:pPr>
        <w:pStyle w:val="ab"/>
        <w:topLinePunct/>
        <w:ind w:left="200" w:hangingChars="200" w:hanging="200"/>
      </w:pPr>
      <w:r>
        <w:t>[</w:t>
      </w:r>
      <w:r>
        <w:t xml:space="preserve">42</w:t>
      </w:r>
      <w:r>
        <w:t>]</w:t>
      </w:r>
      <w:r w:rsidRPr="00281126">
        <w:t xml:space="preserve"> </w:t>
      </w:r>
      <w:r>
        <w:t>Rubinson D A, Dillon C P, Kwiatkowski A V, Sievers C, Yang L, Kopinja J, Rooney</w:t>
      </w:r>
      <w:r>
        <w:t> </w:t>
      </w:r>
      <w:r>
        <w:t>D</w:t>
      </w:r>
      <w:r>
        <w:t> </w:t>
      </w:r>
      <w:r>
        <w:t>L,</w:t>
      </w:r>
      <w:r>
        <w:t> </w:t>
      </w:r>
      <w:r>
        <w:t>Zhang</w:t>
      </w:r>
      <w:r>
        <w:t> </w:t>
      </w:r>
      <w:r>
        <w:t>M,</w:t>
      </w:r>
      <w:r>
        <w:t> </w:t>
      </w:r>
      <w:r>
        <w:t>Ihrig</w:t>
      </w:r>
      <w:r>
        <w:t> </w:t>
      </w:r>
      <w:r>
        <w:t>M</w:t>
      </w:r>
      <w:r>
        <w:t> </w:t>
      </w:r>
      <w:r>
        <w:t>M,</w:t>
      </w:r>
      <w:r>
        <w:t> </w:t>
      </w:r>
      <w:r>
        <w:t>Mcmanus</w:t>
      </w:r>
      <w:r>
        <w:t> </w:t>
      </w:r>
      <w:r>
        <w:t>M</w:t>
      </w:r>
      <w:r>
        <w:t> </w:t>
      </w:r>
      <w:r>
        <w:t>T,</w:t>
      </w:r>
      <w:r>
        <w:t> </w:t>
      </w:r>
      <w:r>
        <w:t>Gertler</w:t>
      </w:r>
      <w:r>
        <w:t> </w:t>
      </w:r>
      <w:r>
        <w:t>F</w:t>
      </w:r>
      <w:r>
        <w:t> </w:t>
      </w:r>
      <w:r>
        <w:t>B,</w:t>
      </w:r>
      <w:r>
        <w:t> </w:t>
      </w:r>
      <w:r>
        <w:t>Scott</w:t>
      </w:r>
      <w:r>
        <w:t> </w:t>
      </w:r>
      <w:r>
        <w:t>M</w:t>
      </w:r>
      <w:r>
        <w:t> </w:t>
      </w:r>
      <w:r>
        <w:t>L,</w:t>
      </w:r>
      <w:r>
        <w:t> </w:t>
      </w:r>
      <w:r>
        <w:t>Van</w:t>
      </w:r>
      <w:r>
        <w:t> </w:t>
      </w:r>
      <w:r>
        <w:t>Parijs</w:t>
      </w:r>
      <w:r>
        <w:rPr>
          <w:rFonts w:ascii="Times New Roman"/>
        </w:rPr>
        <w:t>L. A lentivirus-based system to functionally silence genes in primary mammalian cells, stem cells and transgenic mice by RNA interference</w:t>
      </w:r>
      <w:r>
        <w:rPr>
          <w:rFonts w:ascii="Times New Roman"/>
        </w:rPr>
        <w:t>[</w:t>
      </w:r>
      <w:r>
        <w:rPr>
          <w:rFonts w:ascii="Times New Roman"/>
        </w:rPr>
        <w:t>J</w:t>
      </w:r>
      <w:r>
        <w:rPr>
          <w:rFonts w:ascii="Times New Roman"/>
        </w:rPr>
        <w:t>]</w:t>
      </w:r>
      <w:r>
        <w:rPr>
          <w:rFonts w:ascii="Times New Roman"/>
        </w:rPr>
        <w:t xml:space="preserve">. Nat Genet,</w:t>
      </w:r>
      <w:r>
        <w:rPr>
          <w:rFonts w:ascii="Times New Roman"/>
        </w:rPr>
        <w:t xml:space="preserve"> </w:t>
      </w:r>
      <w:r>
        <w:rPr>
          <w:rFonts w:ascii="Times New Roman"/>
        </w:rPr>
        <w:t>2003,</w:t>
      </w:r>
      <w:r>
        <w:rPr>
          <w:rFonts w:ascii="Times New Roman"/>
        </w:rPr>
        <w:t xml:space="preserve"> </w:t>
      </w:r>
      <w:r>
        <w:rPr>
          <w:rFonts w:ascii="Times New Roman"/>
        </w:rPr>
        <w:t>33</w:t>
      </w:r>
      <w:r>
        <w:rPr>
          <w:rFonts w:ascii="Times New Roman"/>
        </w:rPr>
        <w:t>(</w:t>
      </w:r>
      <w:r>
        <w:rPr>
          <w:rFonts w:ascii="Times New Roman"/>
        </w:rPr>
        <w:t>3</w:t>
      </w:r>
      <w:r>
        <w:rPr>
          <w:rFonts w:ascii="Times New Roman"/>
        </w:rPr>
        <w:t>)</w:t>
      </w:r>
      <w:r>
        <w:rPr>
          <w:rFonts w:ascii="Times New Roman"/>
        </w:rPr>
        <w:t xml:space="preserve">:</w:t>
      </w:r>
      <w:r>
        <w:rPr>
          <w:rFonts w:ascii="Times New Roman"/>
        </w:rPr>
        <w:t xml:space="preserve"> </w:t>
      </w:r>
      <w:r>
        <w:rPr>
          <w:rFonts w:ascii="Times New Roman"/>
        </w:rPr>
        <w:t>401-406.</w:t>
      </w:r>
    </w:p>
    <w:p w:rsidR="0018722C">
      <w:pPr>
        <w:pStyle w:val="ab"/>
        <w:topLinePunct/>
        <w:ind w:left="200" w:hangingChars="200" w:hanging="200"/>
      </w:pPr>
      <w:r>
        <w:t>[</w:t>
      </w:r>
      <w:r>
        <w:t xml:space="preserve">43</w:t>
      </w:r>
      <w:r>
        <w:t>]</w:t>
      </w:r>
      <w:r w:rsidRPr="00281126">
        <w:t xml:space="preserve"> </w:t>
      </w:r>
      <w:r>
        <w:t>Kumar M, Jung S Y, Hodgson A J, Madden C R, Qin J, Slagle B L. Hepatitis B virus regulatory HBx protein binds to adaptor protein IPS-1 and inhibits the activation</w:t>
      </w:r>
      <w:r w:rsidR="001852F3">
        <w:t xml:space="preserve"> of beta interferon</w:t>
      </w:r>
      <w:r>
        <w:t>[</w:t>
      </w:r>
      <w:r>
        <w:t>J</w:t>
      </w:r>
      <w:r>
        <w:t>]</w:t>
      </w:r>
      <w:r>
        <w:t>. J</w:t>
      </w:r>
      <w:r>
        <w:t> </w:t>
      </w:r>
      <w:r>
        <w:t xml:space="preserve">Virol,</w:t>
      </w:r>
      <w:r>
        <w:t xml:space="preserve"> </w:t>
      </w:r>
      <w:r>
        <w:t>2011,</w:t>
      </w:r>
      <w:r>
        <w:t xml:space="preserve"> </w:t>
      </w:r>
      <w:r>
        <w:t>85</w:t>
      </w:r>
      <w:r>
        <w:t>(</w:t>
      </w:r>
      <w:r>
        <w:t>2</w:t>
      </w:r>
      <w:r>
        <w:t>)</w:t>
      </w:r>
      <w:r>
        <w:t xml:space="preserve">:</w:t>
      </w:r>
      <w:r>
        <w:t xml:space="preserve"> </w:t>
      </w:r>
      <w:r>
        <w:t>987-995.</w:t>
      </w:r>
    </w:p>
    <w:p w:rsidR="0018722C">
      <w:pPr>
        <w:pStyle w:val="ab"/>
        <w:topLinePunct/>
        <w:ind w:left="200" w:hangingChars="200" w:hanging="200"/>
      </w:pPr>
      <w:bookmarkStart w:id="707283" w:name="_cwCmt3"/>
      <w:r>
        <w:t>[</w:t>
      </w:r>
      <w:r>
        <w:t xml:space="preserve">44</w:t>
      </w:r>
      <w:r>
        <w:t>]</w:t>
      </w:r>
      <w:r w:rsidRPr="00281126">
        <w:t xml:space="preserve"> </w:t>
      </w:r>
      <w:r>
        <w:t>Gearhart T L, Bouchard M J. The hepatitis B virus HBx protein modulates cell cycle regulatory proteins in cultured primary human hepatocytes</w:t>
      </w:r>
      <w:r>
        <w:t>[</w:t>
      </w:r>
      <w:r>
        <w:t>J</w:t>
      </w:r>
      <w:r>
        <w:t>]</w:t>
      </w:r>
      <w:r>
        <w:t xml:space="preserve">. Virus Res,</w:t>
      </w:r>
      <w:r>
        <w:t xml:space="preserve"> </w:t>
      </w:r>
      <w:r>
        <w:t>2011,</w:t>
      </w:r>
      <w:r>
        <w:t xml:space="preserve"> </w:t>
      </w:r>
      <w:r>
        <w:t>155</w:t>
      </w:r>
      <w:r>
        <w:t>(</w:t>
      </w:r>
      <w:r>
        <w:t>1</w:t>
      </w:r>
      <w:r>
        <w:t>)</w:t>
      </w:r>
      <w:r>
        <w:t xml:space="preserve">:</w:t>
      </w:r>
      <w:r>
        <w:t xml:space="preserve"> </w:t>
      </w:r>
      <w:r>
        <w:t>363-367.</w:t>
      </w:r>
      <w:bookmarkEnd w:id="707283"/>
    </w:p>
    <w:p w:rsidR="0018722C">
      <w:pPr>
        <w:pStyle w:val="ab"/>
        <w:topLinePunct/>
        <w:ind w:left="200" w:hangingChars="200" w:hanging="200"/>
      </w:pPr>
      <w:r>
        <w:t>[</w:t>
      </w:r>
      <w:r>
        <w:t xml:space="preserve">45</w:t>
      </w:r>
      <w:r>
        <w:t>]</w:t>
      </w:r>
      <w:r w:rsidRPr="00281126">
        <w:t xml:space="preserve"> </w:t>
      </w:r>
      <w:r>
        <w:t>Cheng B, Guo X, Zheng Y, Wang Y, Liu C, Li P. The effects of HBx gene on the expression of DNA repair enzymes hOGG1 and hMYHalpha mRNA in HepG2 cells</w:t>
      </w:r>
      <w:r>
        <w:t>[</w:t>
      </w:r>
      <w:r>
        <w:t>J</w:t>
      </w:r>
      <w:r>
        <w:t>]</w:t>
      </w:r>
      <w:r>
        <w:t>. J Huazhong Univ Sci Technolog Med</w:t>
      </w:r>
      <w:r>
        <w:t> </w:t>
      </w:r>
      <w:r>
        <w:t xml:space="preserve">Sci,</w:t>
      </w:r>
      <w:r>
        <w:t xml:space="preserve"> </w:t>
      </w:r>
      <w:r>
        <w:t>2009,</w:t>
      </w:r>
      <w:r>
        <w:t xml:space="preserve"> </w:t>
      </w:r>
      <w:r>
        <w:t>29</w:t>
      </w:r>
      <w:r>
        <w:t>(</w:t>
      </w:r>
      <w:r>
        <w:t>2</w:t>
      </w:r>
      <w:r>
        <w:t>)</w:t>
      </w:r>
      <w:r>
        <w:t xml:space="preserve">:</w:t>
      </w:r>
      <w:r>
        <w:t xml:space="preserve"> </w:t>
      </w:r>
      <w:r>
        <w:t>187-192.</w:t>
      </w:r>
    </w:p>
    <w:p w:rsidR="0018722C">
      <w:pPr>
        <w:pStyle w:val="ab"/>
        <w:topLinePunct/>
        <w:ind w:left="200" w:hangingChars="200" w:hanging="200"/>
      </w:pPr>
      <w:r>
        <w:t>[</w:t>
      </w:r>
      <w:r>
        <w:t xml:space="preserve">46</w:t>
      </w:r>
      <w:r>
        <w:t>]</w:t>
      </w:r>
      <w:r w:rsidRPr="00281126">
        <w:t xml:space="preserve"> </w:t>
      </w:r>
      <w:r>
        <w:t>Guifang Y, Yuehong Y, Ruixin W, Xianbo L, Wenting Z, Zhukelun. Establishment of a HepG2 cell line stably transduced with a lentivirus expressing the HBV X gene</w:t>
      </w:r>
      <w:r>
        <w:t>[</w:t>
      </w:r>
      <w:r>
        <w:t>J</w:t>
      </w:r>
      <w:r>
        <w:t>]</w:t>
      </w:r>
      <w:r>
        <w:t>. World Chinese Journal Of</w:t>
      </w:r>
      <w:r>
        <w:t> </w:t>
      </w:r>
      <w:r>
        <w:t xml:space="preserve">Digestology,</w:t>
      </w:r>
      <w:r>
        <w:t xml:space="preserve"> </w:t>
      </w:r>
      <w:r>
        <w:t>2012,</w:t>
      </w:r>
      <w:r>
        <w:t xml:space="preserve"> </w:t>
      </w:r>
      <w:r>
        <w:t>20</w:t>
      </w:r>
      <w:r>
        <w:t>(</w:t>
      </w:r>
      <w:r>
        <w:t>08</w:t>
      </w:r>
      <w:r>
        <w:t>)</w:t>
      </w:r>
      <w:r>
        <w:t xml:space="preserve">:</w:t>
      </w:r>
      <w:r>
        <w:t xml:space="preserve"> </w:t>
      </w:r>
      <w:r>
        <w:t>638-643.</w:t>
      </w:r>
    </w:p>
    <w:p w:rsidR="0018722C">
      <w:pPr>
        <w:pStyle w:val="ab"/>
        <w:topLinePunct/>
        <w:ind w:left="200" w:hangingChars="200" w:hanging="200"/>
      </w:pPr>
      <w:r>
        <w:t>[</w:t>
      </w:r>
      <w:r>
        <w:t xml:space="preserve">47</w:t>
      </w:r>
      <w:r>
        <w:t>]</w:t>
      </w:r>
      <w:r w:rsidRPr="00281126">
        <w:t xml:space="preserve"> </w:t>
      </w:r>
      <w:r>
        <w:t>Hu T, Fu Q, Chen P, Zhang K, Guo D. Generation of a stable mammalian cell line for simultaneous expression of multiple genes by using 2A peptide-based lentiviral vector</w:t>
      </w:r>
      <w:r>
        <w:t>[</w:t>
      </w:r>
      <w:r>
        <w:t>J</w:t>
      </w:r>
      <w:r>
        <w:t>]</w:t>
      </w:r>
      <w:r>
        <w:t>. Biotechnol</w:t>
      </w:r>
      <w:r>
        <w:t> </w:t>
      </w:r>
      <w:r>
        <w:t xml:space="preserve">Lett,</w:t>
      </w:r>
      <w:r>
        <w:t xml:space="preserve"> </w:t>
      </w:r>
      <w:r>
        <w:t>2009,</w:t>
      </w:r>
      <w:r>
        <w:t xml:space="preserve"> </w:t>
      </w:r>
      <w:r>
        <w:t>31</w:t>
      </w:r>
      <w:r>
        <w:t>(</w:t>
      </w:r>
      <w:r>
        <w:t>3</w:t>
      </w:r>
      <w:r>
        <w:t>)</w:t>
      </w:r>
      <w:r>
        <w:t xml:space="preserve">:</w:t>
      </w:r>
      <w:r>
        <w:t xml:space="preserve"> </w:t>
      </w:r>
      <w:r>
        <w:t>353-359.</w:t>
      </w:r>
    </w:p>
    <w:p w:rsidR="0018722C">
      <w:pPr>
        <w:pStyle w:val="ab"/>
        <w:topLinePunct/>
        <w:ind w:left="200" w:hangingChars="200" w:hanging="200"/>
      </w:pPr>
      <w:r>
        <w:t>[</w:t>
      </w:r>
      <w:r>
        <w:t xml:space="preserve">48</w:t>
      </w:r>
      <w:r>
        <w:t>]</w:t>
      </w:r>
      <w:r w:rsidRPr="00281126">
        <w:t xml:space="preserve"> </w:t>
      </w:r>
      <w:r>
        <w:t>Su J, Zhu Z, Wang Y, Xiong F, Zou J. The cytomegalovirus promoter-driven short hairpin RNA constructs mediate effective RNA interference in zebrafish in vivo</w:t>
      </w:r>
      <w:r>
        <w:t>[</w:t>
      </w:r>
      <w:r>
        <w:t>J</w:t>
      </w:r>
      <w:r>
        <w:t>]</w:t>
      </w:r>
      <w:r>
        <w:t>. Mar Biotechnol</w:t>
      </w:r>
      <w:r>
        <w:t> </w:t>
      </w:r>
      <w:r>
        <w:t>(</w:t>
      </w:r>
      <w:r>
        <w:rPr>
          <w:sz w:val="24"/>
        </w:rPr>
        <w:t xml:space="preserve">NY</w:t>
      </w:r>
      <w:r>
        <w:t>)</w:t>
      </w:r>
      <w:r>
        <w:t xml:space="preserve">,</w:t>
      </w:r>
      <w:r>
        <w:t xml:space="preserve"> </w:t>
      </w:r>
      <w:r>
        <w:t>2008,</w:t>
      </w:r>
      <w:r>
        <w:t xml:space="preserve"> </w:t>
      </w:r>
      <w:r>
        <w:t>10</w:t>
      </w:r>
      <w:r>
        <w:t>(</w:t>
      </w:r>
      <w:r>
        <w:rPr>
          <w:sz w:val="24"/>
        </w:rPr>
        <w:t>3</w:t>
      </w:r>
      <w:r>
        <w:t>)</w:t>
      </w:r>
      <w:r>
        <w:t xml:space="preserve">:</w:t>
      </w:r>
      <w:r>
        <w:t xml:space="preserve"> </w:t>
      </w:r>
      <w:r>
        <w:t>262-269.</w:t>
      </w:r>
    </w:p>
    <w:p w:rsidR="0018722C">
      <w:pPr>
        <w:pStyle w:val="ab"/>
        <w:topLinePunct/>
        <w:ind w:left="200" w:hangingChars="200" w:hanging="200"/>
      </w:pPr>
      <w:r>
        <w:t>[</w:t>
      </w:r>
      <w:r>
        <w:t xml:space="preserve">49</w:t>
      </w:r>
      <w:r>
        <w:t>]</w:t>
      </w:r>
      <w:r w:rsidRPr="00281126">
        <w:t xml:space="preserve"> </w:t>
      </w:r>
      <w:r>
        <w:t>Nybo K. GFP imaging in fixed cells</w:t>
      </w:r>
      <w:r>
        <w:t>[</w:t>
      </w:r>
      <w:r>
        <w:t>J</w:t>
      </w:r>
      <w:r>
        <w:t>]</w:t>
      </w:r>
      <w:r>
        <w:t>.</w:t>
      </w:r>
      <w:r>
        <w:t> </w:t>
      </w:r>
      <w:r>
        <w:t xml:space="preserve">Biotechniques,</w:t>
      </w:r>
      <w:r>
        <w:t xml:space="preserve"> </w:t>
      </w:r>
      <w:r>
        <w:t>2012,</w:t>
      </w:r>
      <w:r>
        <w:t xml:space="preserve"> </w:t>
      </w:r>
      <w:r>
        <w:t>52</w:t>
      </w:r>
      <w:r>
        <w:t>(</w:t>
      </w:r>
      <w:r>
        <w:t>6</w:t>
      </w:r>
      <w:r>
        <w:t>)</w:t>
      </w:r>
      <w:r>
        <w:t xml:space="preserve">:</w:t>
      </w:r>
      <w:r>
        <w:t xml:space="preserve"> </w:t>
      </w:r>
      <w:r>
        <w:t>359-360.</w:t>
      </w:r>
    </w:p>
    <w:p w:rsidR="0018722C">
      <w:pPr>
        <w:pStyle w:val="ab"/>
        <w:topLinePunct/>
        <w:ind w:left="200" w:hangingChars="200" w:hanging="200"/>
      </w:pPr>
      <w:r>
        <w:t>[</w:t>
      </w:r>
      <w:r>
        <w:t xml:space="preserve">50</w:t>
      </w:r>
      <w:r>
        <w:t>]</w:t>
      </w:r>
      <w:r w:rsidRPr="00281126">
        <w:t xml:space="preserve"> </w:t>
      </w:r>
      <w:r>
        <w:t>Motavaf M, Safari S, Saffari J M, Alavian S M. Hepatitis B virus-induced hepatocellular carcinoma: the role of the virus x protein</w:t>
      </w:r>
      <w:r>
        <w:t>[</w:t>
      </w:r>
      <w:r>
        <w:t>J</w:t>
      </w:r>
      <w:r>
        <w:t>]</w:t>
      </w:r>
      <w:r>
        <w:t xml:space="preserve">. Acta Virol,</w:t>
      </w:r>
      <w:r>
        <w:t xml:space="preserve"> </w:t>
      </w:r>
      <w:r>
        <w:t>2013,</w:t>
      </w:r>
      <w:r>
        <w:t xml:space="preserve"> </w:t>
      </w:r>
      <w:r>
        <w:t>57</w:t>
      </w:r>
      <w:r>
        <w:t>(</w:t>
      </w:r>
      <w:r>
        <w:t>4</w:t>
      </w:r>
      <w:r>
        <w:t>)</w:t>
      </w:r>
      <w:r>
        <w:t xml:space="preserve">:</w:t>
      </w:r>
      <w:r>
        <w:t xml:space="preserve"> </w:t>
      </w:r>
      <w:r>
        <w:t>389-396.</w:t>
      </w:r>
    </w:p>
    <w:p w:rsidR="0018722C">
      <w:pPr>
        <w:pStyle w:val="ab"/>
        <w:topLinePunct/>
        <w:ind w:left="200" w:hangingChars="200" w:hanging="200"/>
      </w:pPr>
      <w:r>
        <w:t>[</w:t>
      </w:r>
      <w:r>
        <w:t xml:space="preserve">51</w:t>
      </w:r>
      <w:r>
        <w:t>]</w:t>
      </w:r>
      <w:r w:rsidRPr="00281126">
        <w:t xml:space="preserve"> </w:t>
      </w:r>
      <w:r>
        <w:t>Tian</w:t>
      </w:r>
      <w:r w:rsidR="001852F3">
        <w:t xml:space="preserve"> Y, </w:t>
      </w:r>
      <w:r w:rsidR="001852F3">
        <w:t xml:space="preserve">Yang</w:t>
      </w:r>
      <w:r w:rsidR="001852F3">
        <w:t xml:space="preserve"> W, </w:t>
      </w:r>
      <w:r w:rsidR="001852F3">
        <w:t xml:space="preserve">Song</w:t>
      </w:r>
      <w:r w:rsidR="001852F3">
        <w:t xml:space="preserve"> J, </w:t>
      </w:r>
      <w:r w:rsidR="001852F3">
        <w:t xml:space="preserve">Wu</w:t>
      </w:r>
      <w:r w:rsidR="001852F3">
        <w:t xml:space="preserve"> Y, </w:t>
      </w:r>
      <w:r w:rsidR="001852F3">
        <w:t xml:space="preserve">Ni</w:t>
      </w:r>
      <w:r w:rsidR="001852F3">
        <w:t xml:space="preserve"> B. </w:t>
      </w:r>
      <w:r w:rsidR="001852F3">
        <w:t xml:space="preserve">Hepatitis</w:t>
      </w:r>
      <w:r w:rsidR="001852F3">
        <w:t xml:space="preserve"> B</w:t>
      </w:r>
      <w:r w:rsidR="001852F3">
        <w:t xml:space="preserve"> virus</w:t>
      </w:r>
      <w:r w:rsidR="001852F3">
        <w:t xml:space="preserve"> X</w:t>
      </w:r>
      <w:r>
        <w:t> </w:t>
      </w:r>
      <w:r>
        <w:t>protein-induced</w:t>
      </w:r>
      <w:r>
        <w:rPr>
          <w:rFonts w:ascii="Times New Roman"/>
        </w:rPr>
        <w:t>aberrant epigenetic modifications contributing to human hepatocellular carcinoma pathogenesis</w:t>
      </w:r>
      <w:r>
        <w:rPr>
          <w:rFonts w:ascii="Times New Roman"/>
        </w:rPr>
        <w:t>[</w:t>
      </w:r>
      <w:r>
        <w:rPr>
          <w:rFonts w:ascii="Times New Roman"/>
        </w:rPr>
        <w:t>J</w:t>
      </w:r>
      <w:r>
        <w:rPr>
          <w:rFonts w:ascii="Times New Roman"/>
        </w:rPr>
        <w:t>]</w:t>
      </w:r>
      <w:r>
        <w:rPr>
          <w:rFonts w:ascii="Times New Roman"/>
        </w:rPr>
        <w:t xml:space="preserve">. Mol Cell Biol,</w:t>
      </w:r>
      <w:r>
        <w:rPr>
          <w:rFonts w:ascii="Times New Roman"/>
        </w:rPr>
        <w:t xml:space="preserve"> </w:t>
      </w:r>
      <w:r>
        <w:rPr>
          <w:rFonts w:ascii="Times New Roman"/>
        </w:rPr>
        <w:t>2013,</w:t>
      </w:r>
      <w:r>
        <w:rPr>
          <w:rFonts w:ascii="Times New Roman"/>
        </w:rPr>
        <w:t xml:space="preserve"> </w:t>
      </w:r>
      <w:r>
        <w:rPr>
          <w:rFonts w:ascii="Times New Roman"/>
        </w:rPr>
        <w:t>33</w:t>
      </w:r>
      <w:r>
        <w:rPr>
          <w:rFonts w:ascii="Times New Roman"/>
        </w:rPr>
        <w:t>(</w:t>
      </w:r>
      <w:r>
        <w:rPr>
          <w:rFonts w:ascii="Times New Roman"/>
        </w:rPr>
        <w:t>15</w:t>
      </w:r>
      <w:r>
        <w:rPr>
          <w:rFonts w:ascii="Times New Roman"/>
        </w:rPr>
        <w:t>)</w:t>
      </w:r>
      <w:r>
        <w:rPr>
          <w:rFonts w:ascii="Times New Roman"/>
        </w:rPr>
        <w:t xml:space="preserve">:</w:t>
      </w:r>
      <w:r>
        <w:rPr>
          <w:rFonts w:ascii="Times New Roman"/>
        </w:rPr>
        <w:t xml:space="preserve"> </w:t>
      </w:r>
      <w:r>
        <w:rPr>
          <w:rFonts w:ascii="Times New Roman"/>
        </w:rPr>
        <w:t>2810-2816.</w:t>
      </w:r>
    </w:p>
    <w:p w:rsidR="0018722C">
      <w:pPr>
        <w:pStyle w:val="ab"/>
        <w:topLinePunct/>
        <w:ind w:left="200" w:hangingChars="200" w:hanging="200"/>
      </w:pPr>
      <w:r>
        <w:t>[</w:t>
      </w:r>
      <w:r>
        <w:t xml:space="preserve">52</w:t>
      </w:r>
      <w:r>
        <w:t>]</w:t>
      </w:r>
      <w:r w:rsidRPr="00281126">
        <w:t xml:space="preserve"> </w:t>
      </w:r>
      <w:r>
        <w:t>Ng S A, Lee C. Hepatitis B virus X gene and hepatocarcinogenesis</w:t>
      </w:r>
      <w:r>
        <w:t>[</w:t>
      </w:r>
      <w:r>
        <w:t>J</w:t>
      </w:r>
      <w:r>
        <w:t>]</w:t>
      </w:r>
      <w:r>
        <w:t xml:space="preserve">. J Gastroenterol,</w:t>
      </w:r>
      <w:r>
        <w:t xml:space="preserve"> </w:t>
      </w:r>
      <w:r>
        <w:t>2011,</w:t>
      </w:r>
      <w:r>
        <w:t xml:space="preserve"> </w:t>
      </w:r>
      <w:r>
        <w:t>46</w:t>
      </w:r>
      <w:r>
        <w:t>(</w:t>
      </w:r>
      <w:r>
        <w:t>8</w:t>
      </w:r>
      <w:r>
        <w:t>)</w:t>
      </w:r>
      <w:r>
        <w:t xml:space="preserve">:</w:t>
      </w:r>
      <w:r>
        <w:t xml:space="preserve"> </w:t>
      </w:r>
      <w:r>
        <w:t>974-990.</w:t>
      </w:r>
    </w:p>
    <w:p w:rsidR="0018722C">
      <w:pPr>
        <w:pStyle w:val="ab"/>
        <w:topLinePunct/>
        <w:ind w:left="200" w:hangingChars="200" w:hanging="200"/>
      </w:pPr>
      <w:bookmarkStart w:id="707286" w:name="_cwCmt6"/>
      <w:r>
        <w:t>[</w:t>
      </w:r>
      <w:r>
        <w:t xml:space="preserve">53</w:t>
      </w:r>
      <w:r>
        <w:t>]</w:t>
      </w:r>
      <w:r w:rsidRPr="00281126">
        <w:t xml:space="preserve"> </w:t>
      </w:r>
      <w:r>
        <w:t>Rahmani Z, Huh K W, Lasher R, Siddiqui A. Hepatitis B virus X protein colocalizes to mitochondria with a human voltage-dependent anion channel, HVDAC3, and alters its transmembrane potential</w:t>
      </w:r>
      <w:r>
        <w:t>[</w:t>
      </w:r>
      <w:r>
        <w:t>J</w:t>
      </w:r>
      <w:r>
        <w:t>]</w:t>
      </w:r>
      <w:r>
        <w:t>. J</w:t>
      </w:r>
      <w:r>
        <w:t> </w:t>
      </w:r>
      <w:r>
        <w:t xml:space="preserve">Virol,</w:t>
      </w:r>
      <w:r>
        <w:t xml:space="preserve"> </w:t>
      </w:r>
      <w:r>
        <w:t>2000,</w:t>
      </w:r>
      <w:r>
        <w:t xml:space="preserve"> </w:t>
      </w:r>
      <w:r>
        <w:t>74</w:t>
      </w:r>
      <w:r>
        <w:t>(</w:t>
      </w:r>
      <w:r>
        <w:t>6</w:t>
      </w:r>
      <w:r>
        <w:t>)</w:t>
      </w:r>
      <w:r>
        <w:t xml:space="preserve">:</w:t>
      </w:r>
      <w:r>
        <w:t xml:space="preserve"> </w:t>
      </w:r>
      <w:r>
        <w:t>2840-2846.</w:t>
      </w:r>
      <w:bookmarkEnd w:id="707286"/>
    </w:p>
    <w:p w:rsidR="0018722C">
      <w:pPr>
        <w:pStyle w:val="ab"/>
        <w:topLinePunct/>
        <w:ind w:left="200" w:hangingChars="200" w:hanging="200"/>
      </w:pPr>
      <w:bookmarkStart w:id="707287" w:name="_cwCmt7"/>
      <w:r>
        <w:t>[</w:t>
      </w:r>
      <w:r>
        <w:t xml:space="preserve">54</w:t>
      </w:r>
      <w:r>
        <w:t>]</w:t>
      </w:r>
      <w:r w:rsidRPr="00281126">
        <w:t xml:space="preserve"> </w:t>
      </w:r>
      <w:r>
        <w:t>Takada S, Shirakata Y, Kaneniwa N, Koike K. Association of hepatitis B virus X protein with mitochondria causes mitochondrial aggregation at the nuclear periphery, leading to cell death</w:t>
      </w:r>
      <w:r>
        <w:t>[</w:t>
      </w:r>
      <w:r>
        <w:t>J</w:t>
      </w:r>
      <w:r>
        <w:t>]</w:t>
      </w:r>
      <w:r>
        <w:t>.</w:t>
      </w:r>
      <w:r>
        <w:t> </w:t>
      </w:r>
      <w:r>
        <w:t xml:space="preserve">Oncogene,</w:t>
      </w:r>
      <w:r>
        <w:t xml:space="preserve"> </w:t>
      </w:r>
      <w:r>
        <w:t>1999,</w:t>
      </w:r>
      <w:r>
        <w:t xml:space="preserve"> </w:t>
      </w:r>
      <w:r>
        <w:t>18</w:t>
      </w:r>
      <w:r>
        <w:t>(</w:t>
      </w:r>
      <w:r>
        <w:t>50</w:t>
      </w:r>
      <w:r>
        <w:t>)</w:t>
      </w:r>
      <w:r>
        <w:t xml:space="preserve">:</w:t>
      </w:r>
      <w:r>
        <w:t xml:space="preserve"> </w:t>
      </w:r>
      <w:r>
        <w:t>6965-6973.</w:t>
      </w:r>
      <w:bookmarkEnd w:id="707287"/>
    </w:p>
    <w:p w:rsidR="0018722C">
      <w:pPr>
        <w:pStyle w:val="ab"/>
        <w:topLinePunct/>
        <w:ind w:left="200" w:hangingChars="200" w:hanging="200"/>
      </w:pPr>
      <w:r>
        <w:t>[</w:t>
      </w:r>
      <w:r>
        <w:t xml:space="preserve">55</w:t>
      </w:r>
      <w:r>
        <w:t>]</w:t>
      </w:r>
      <w:r w:rsidRPr="00281126">
        <w:t xml:space="preserve"> </w:t>
      </w:r>
      <w:r>
        <w:t>Geng X, Harry B L, Zhou Q, Skeen-Gaar R R, Ge X, Lee E S, Mitani S, Xue D. Hepatitis B virus X protein targets the Bcl-2 protein CED-9 to induce intracellular Ca2+ increase and cell death in Caenorhabditis elegans</w:t>
      </w:r>
      <w:r>
        <w:t>[</w:t>
      </w:r>
      <w:r>
        <w:t>J</w:t>
      </w:r>
      <w:r>
        <w:t>]</w:t>
      </w:r>
      <w:r>
        <w:t xml:space="preserve">. Proc Natl Acad Sci U S A,</w:t>
      </w:r>
      <w:r>
        <w:t xml:space="preserve"> </w:t>
      </w:r>
      <w:r>
        <w:t>2012,</w:t>
      </w:r>
      <w:r>
        <w:t xml:space="preserve"> </w:t>
      </w:r>
      <w:r>
        <w:t>109</w:t>
      </w:r>
      <w:r>
        <w:t>(</w:t>
      </w:r>
      <w:r>
        <w:t>45</w:t>
      </w:r>
      <w:r>
        <w:t>)</w:t>
      </w:r>
      <w:r>
        <w:t xml:space="preserve">:</w:t>
      </w:r>
      <w:r>
        <w:t xml:space="preserve"> </w:t>
      </w:r>
      <w:r>
        <w:t>18465-18470.</w:t>
      </w:r>
    </w:p>
    <w:p w:rsidR="0018722C">
      <w:pPr>
        <w:pStyle w:val="ab"/>
        <w:topLinePunct/>
        <w:ind w:left="200" w:hangingChars="200" w:hanging="200"/>
      </w:pPr>
      <w:bookmarkStart w:id="707282" w:name="_cwCmt2"/>
      <w:r>
        <w:t>[</w:t>
      </w:r>
      <w:r>
        <w:t xml:space="preserve">56</w:t>
      </w:r>
      <w:r>
        <w:t>]</w:t>
      </w:r>
      <w:r w:rsidRPr="00281126">
        <w:t xml:space="preserve"> </w:t>
      </w:r>
      <w:r>
        <w:t>Yang B, Bouchard M J. The hepatitis B virus X protein elevates cytosolic calcium signals by modulating</w:t>
      </w:r>
      <w:r w:rsidR="001852F3">
        <w:t xml:space="preserve">   mitochondrial calcium uptake</w:t>
      </w:r>
      <w:r>
        <w:t>[</w:t>
      </w:r>
      <w:r>
        <w:t>J</w:t>
      </w:r>
      <w:r>
        <w:t>]</w:t>
      </w:r>
      <w:r>
        <w:t>. J</w:t>
      </w:r>
      <w:r>
        <w:t> </w:t>
      </w:r>
      <w:r>
        <w:t xml:space="preserve">Virol,</w:t>
      </w:r>
      <w:r>
        <w:t xml:space="preserve"> </w:t>
      </w:r>
      <w:r>
        <w:t>2012,</w:t>
      </w:r>
      <w:r>
        <w:t xml:space="preserve"> </w:t>
      </w:r>
      <w:r>
        <w:t>86</w:t>
      </w:r>
      <w:r>
        <w:t>(</w:t>
      </w:r>
      <w:r>
        <w:t>1</w:t>
      </w:r>
      <w:r>
        <w:t>)</w:t>
      </w:r>
      <w:r>
        <w:t xml:space="preserve">:</w:t>
      </w:r>
      <w:r>
        <w:t xml:space="preserve"> </w:t>
      </w:r>
      <w:r>
        <w:t>313-327.</w:t>
      </w:r>
      <w:bookmarkEnd w:id="707282"/>
    </w:p>
    <w:p w:rsidR="0018722C">
      <w:pPr>
        <w:pStyle w:val="ab"/>
        <w:topLinePunct/>
        <w:ind w:left="200" w:hangingChars="200" w:hanging="200"/>
      </w:pPr>
      <w:r>
        <w:t>[</w:t>
      </w:r>
      <w:r>
        <w:t xml:space="preserve">57</w:t>
      </w:r>
      <w:r>
        <w:t>]</w:t>
      </w:r>
      <w:r w:rsidRPr="00281126">
        <w:t xml:space="preserve"> </w:t>
      </w:r>
      <w:r>
        <w:t>Kim S J, Khan M, Quan J, Till A, Subramani S, Siddiqui A. Hepatitis B virus disrupts mitochondrial dynamics: induces fission and mitophagy to attenuate apoptosis</w:t>
      </w:r>
      <w:r>
        <w:t>[</w:t>
      </w:r>
      <w:r>
        <w:t>J</w:t>
      </w:r>
      <w:r>
        <w:t>]</w:t>
      </w:r>
      <w:r>
        <w:t>. PLoS</w:t>
      </w:r>
      <w:r>
        <w:t> </w:t>
      </w:r>
      <w:r>
        <w:t xml:space="preserve">Pathog,</w:t>
      </w:r>
      <w:r>
        <w:t xml:space="preserve"> </w:t>
      </w:r>
      <w:r>
        <w:t>2013,</w:t>
      </w:r>
      <w:r>
        <w:t xml:space="preserve"> </w:t>
      </w:r>
      <w:r>
        <w:t>9</w:t>
      </w:r>
      <w:r>
        <w:t>(</w:t>
      </w:r>
      <w:r>
        <w:t>12</w:t>
      </w:r>
      <w:r>
        <w:t>)</w:t>
      </w:r>
      <w:r>
        <w:t xml:space="preserve">:</w:t>
      </w:r>
      <w:r>
        <w:t xml:space="preserve"> </w:t>
      </w:r>
      <w:r>
        <w:t>e1003722.</w:t>
      </w:r>
    </w:p>
    <w:p w:rsidR="0018722C">
      <w:pPr>
        <w:pStyle w:val="ab"/>
        <w:topLinePunct/>
        <w:ind w:left="200" w:hangingChars="200" w:hanging="200"/>
      </w:pPr>
      <w:r>
        <w:t>[</w:t>
      </w:r>
      <w:r>
        <w:t xml:space="preserve">58</w:t>
      </w:r>
      <w:r>
        <w:t>]</w:t>
      </w:r>
      <w:r w:rsidRPr="00281126">
        <w:t xml:space="preserve"> </w:t>
      </w:r>
      <w:r>
        <w:t>Liang L, Qu L, Ding Y. Protein and mRNA characterization in human colorectal carcinoma cell lines with different metastatic potentials</w:t>
      </w:r>
      <w:r>
        <w:t>[</w:t>
      </w:r>
      <w:r>
        <w:t>J</w:t>
      </w:r>
      <w:r>
        <w:t>]</w:t>
      </w:r>
      <w:r>
        <w:t xml:space="preserve">. Cancer Invest,</w:t>
      </w:r>
      <w:r>
        <w:t xml:space="preserve"> </w:t>
      </w:r>
      <w:r>
        <w:t>2007,</w:t>
      </w:r>
      <w:r>
        <w:t xml:space="preserve"> </w:t>
      </w:r>
      <w:r>
        <w:t>25</w:t>
      </w:r>
      <w:r>
        <w:t>(</w:t>
      </w:r>
      <w:r>
        <w:t>6</w:t>
      </w:r>
      <w:r>
        <w:t>)</w:t>
      </w:r>
      <w:r>
        <w:t xml:space="preserve">:</w:t>
      </w:r>
      <w:r>
        <w:t xml:space="preserve"> </w:t>
      </w:r>
      <w:r>
        <w:t>427-434.</w:t>
      </w:r>
    </w:p>
    <w:p w:rsidR="0018722C">
      <w:pPr>
        <w:pStyle w:val="ab"/>
        <w:topLinePunct/>
        <w:ind w:left="200" w:hangingChars="200" w:hanging="200"/>
      </w:pPr>
      <w:r>
        <w:t>[</w:t>
      </w:r>
      <w:r>
        <w:t xml:space="preserve">59</w:t>
      </w:r>
      <w:r>
        <w:t>]</w:t>
      </w:r>
      <w:r w:rsidRPr="00281126">
        <w:t xml:space="preserve"> </w:t>
      </w:r>
      <w:r>
        <w:t>Szabo G, Lippai D. Molecular hepatic carcinogenesis: impact of inflammation</w:t>
      </w:r>
      <w:r>
        <w:t>[</w:t>
      </w:r>
      <w:r>
        <w:t>J</w:t>
      </w:r>
      <w:r>
        <w:t>]</w:t>
      </w:r>
      <w:r>
        <w:t>. Dig</w:t>
      </w:r>
      <w:r>
        <w:t> </w:t>
      </w:r>
      <w:r>
        <w:t xml:space="preserve">Dis,</w:t>
      </w:r>
      <w:r>
        <w:t xml:space="preserve"> </w:t>
      </w:r>
      <w:r>
        <w:t>2012,</w:t>
      </w:r>
      <w:r>
        <w:t xml:space="preserve"> </w:t>
      </w:r>
      <w:r>
        <w:t>30</w:t>
      </w:r>
      <w:r>
        <w:t>(</w:t>
      </w:r>
      <w:r>
        <w:t>3</w:t>
      </w:r>
      <w:r>
        <w:t>)</w:t>
      </w:r>
      <w:r>
        <w:t xml:space="preserve">:</w:t>
      </w:r>
      <w:r>
        <w:t xml:space="preserve"> </w:t>
      </w:r>
      <w:r>
        <w:t>243-248.</w:t>
      </w:r>
    </w:p>
    <w:p w:rsidR="0018722C">
      <w:pPr>
        <w:pStyle w:val="ab"/>
        <w:topLinePunct/>
        <w:ind w:left="200" w:hangingChars="200" w:hanging="200"/>
      </w:pPr>
      <w:bookmarkStart w:id="707284" w:name="_cwCmt4"/>
      <w:r>
        <w:t>[</w:t>
      </w:r>
      <w:r>
        <w:t xml:space="preserve">60</w:t>
      </w:r>
      <w:r>
        <w:t>]</w:t>
      </w:r>
      <w:r w:rsidRPr="00281126">
        <w:t xml:space="preserve"> </w:t>
      </w:r>
      <w:r>
        <w:t>Cheng</w:t>
      </w:r>
      <w:r>
        <w:t> </w:t>
      </w:r>
      <w:r>
        <w:t>A</w:t>
      </w:r>
      <w:r>
        <w:t> </w:t>
      </w:r>
      <w:r>
        <w:t>S,</w:t>
      </w:r>
      <w:r>
        <w:t> </w:t>
      </w:r>
      <w:r>
        <w:t>Chan</w:t>
      </w:r>
      <w:r>
        <w:t> </w:t>
      </w:r>
      <w:r>
        <w:t>H</w:t>
      </w:r>
      <w:r>
        <w:t> </w:t>
      </w:r>
      <w:r>
        <w:t>L,</w:t>
      </w:r>
      <w:r>
        <w:t> </w:t>
      </w:r>
      <w:r>
        <w:t>Leung</w:t>
      </w:r>
      <w:r>
        <w:t> </w:t>
      </w:r>
      <w:r>
        <w:t>W</w:t>
      </w:r>
      <w:r>
        <w:t> </w:t>
      </w:r>
      <w:r>
        <w:t>K,</w:t>
      </w:r>
      <w:r>
        <w:t> </w:t>
      </w:r>
      <w:r>
        <w:t>To</w:t>
      </w:r>
      <w:r>
        <w:t> </w:t>
      </w:r>
      <w:r>
        <w:t>K</w:t>
      </w:r>
      <w:r>
        <w:t> </w:t>
      </w:r>
      <w:r>
        <w:t>F,</w:t>
      </w:r>
      <w:r>
        <w:t> </w:t>
      </w:r>
      <w:r>
        <w:t>Go</w:t>
      </w:r>
      <w:r>
        <w:t> </w:t>
      </w:r>
      <w:r>
        <w:t>M</w:t>
      </w:r>
      <w:r>
        <w:t> </w:t>
      </w:r>
      <w:r>
        <w:t>Y,</w:t>
      </w:r>
      <w:r>
        <w:t> </w:t>
      </w:r>
      <w:r>
        <w:t>Chan</w:t>
      </w:r>
      <w:r>
        <w:t> </w:t>
      </w:r>
      <w:r>
        <w:t>J</w:t>
      </w:r>
      <w:r>
        <w:t> </w:t>
      </w:r>
      <w:r>
        <w:t>Y,</w:t>
      </w:r>
      <w:r>
        <w:t> </w:t>
      </w:r>
      <w:r>
        <w:t>Liew</w:t>
      </w:r>
      <w:r>
        <w:t> </w:t>
      </w:r>
      <w:r>
        <w:t>C</w:t>
      </w:r>
      <w:r>
        <w:t> </w:t>
      </w:r>
      <w:r>
        <w:t>T,</w:t>
      </w:r>
      <w:r>
        <w:t> </w:t>
      </w:r>
      <w:r>
        <w:t>Sung</w:t>
      </w:r>
      <w:r>
        <w:t> </w:t>
      </w:r>
      <w:r>
        <w:t>J</w:t>
      </w:r>
      <w:r>
        <w:rPr>
          <w:rFonts w:ascii="Times New Roman"/>
        </w:rPr>
        <w:t>J. Expression of HBx and COX-2 in chronic hepatitis B, cirrhosis and hepatocellular carcinoma: implication of HBx in upregulation of COX-2</w:t>
      </w:r>
      <w:r>
        <w:rPr>
          <w:rFonts w:ascii="Times New Roman"/>
        </w:rPr>
        <w:t>[</w:t>
      </w:r>
      <w:r>
        <w:rPr>
          <w:rFonts w:ascii="Times New Roman"/>
        </w:rPr>
        <w:t>J</w:t>
      </w:r>
      <w:r>
        <w:rPr>
          <w:rFonts w:ascii="Times New Roman"/>
        </w:rPr>
        <w:t>]</w:t>
      </w:r>
      <w:r>
        <w:rPr>
          <w:rFonts w:ascii="Times New Roman"/>
        </w:rPr>
        <w:t xml:space="preserve">. Mod Pathol,</w:t>
      </w:r>
      <w:r>
        <w:rPr>
          <w:rFonts w:ascii="Times New Roman"/>
        </w:rPr>
        <w:t xml:space="preserve"> </w:t>
      </w:r>
      <w:r>
        <w:rPr>
          <w:rFonts w:ascii="Times New Roman"/>
        </w:rPr>
        <w:t>2004,</w:t>
      </w:r>
      <w:r>
        <w:rPr>
          <w:rFonts w:ascii="Times New Roman"/>
        </w:rPr>
        <w:t xml:space="preserve"> </w:t>
      </w:r>
      <w:r>
        <w:rPr>
          <w:rFonts w:ascii="Times New Roman"/>
        </w:rPr>
        <w:t>17</w:t>
      </w:r>
      <w:r>
        <w:rPr>
          <w:rFonts w:ascii="Times New Roman"/>
        </w:rPr>
        <w:t>(</w:t>
      </w:r>
      <w:r>
        <w:rPr>
          <w:rFonts w:ascii="Times New Roman"/>
        </w:rPr>
        <w:t>10</w:t>
      </w:r>
      <w:r>
        <w:rPr>
          <w:rFonts w:ascii="Times New Roman"/>
        </w:rPr>
        <w:t>)</w:t>
      </w:r>
      <w:r>
        <w:rPr>
          <w:rFonts w:ascii="Times New Roman"/>
        </w:rPr>
        <w:t xml:space="preserve">:</w:t>
      </w:r>
      <w:r>
        <w:rPr>
          <w:rFonts w:ascii="Times New Roman"/>
        </w:rPr>
        <w:t xml:space="preserve"> </w:t>
      </w:r>
      <w:r>
        <w:rPr>
          <w:rFonts w:ascii="Times New Roman"/>
        </w:rPr>
        <w:t>1169-1179.</w:t>
      </w:r>
      <w:bookmarkEnd w:id="707284"/>
    </w:p>
    <w:p w:rsidR="0018722C">
      <w:pPr>
        <w:pStyle w:val="ab"/>
        <w:topLinePunct/>
        <w:ind w:left="200" w:hangingChars="200" w:hanging="200"/>
      </w:pPr>
      <w:r>
        <w:t>[</w:t>
      </w:r>
      <w:r>
        <w:t xml:space="preserve">61</w:t>
      </w:r>
      <w:r>
        <w:t>]</w:t>
      </w:r>
      <w:r w:rsidRPr="00281126">
        <w:t xml:space="preserve"> </w:t>
      </w:r>
      <w:r>
        <w:t>Bu X, Zhao C. The association between cyclooxygenase-2 1195 G</w:t>
      </w:r>
      <w:r>
        <w:t>/</w:t>
      </w:r>
      <w:r>
        <w:t>A polymorphism and hepatocellular carcinoma: evidence from a meta-analysis</w:t>
      </w:r>
      <w:r>
        <w:t>[</w:t>
      </w:r>
      <w:r>
        <w:t>J</w:t>
      </w:r>
      <w:r>
        <w:t>]</w:t>
      </w:r>
      <w:r>
        <w:t xml:space="preserve">. Tumour Biol,</w:t>
      </w:r>
      <w:r>
        <w:t xml:space="preserve"> </w:t>
      </w:r>
      <w:r>
        <w:t>2013,</w:t>
      </w:r>
      <w:r>
        <w:t xml:space="preserve"> </w:t>
      </w:r>
      <w:r>
        <w:t>34</w:t>
      </w:r>
      <w:r>
        <w:t>(</w:t>
      </w:r>
      <w:r>
        <w:t>3</w:t>
      </w:r>
      <w:r>
        <w:t>)</w:t>
      </w:r>
      <w:r>
        <w:t xml:space="preserve">:</w:t>
      </w:r>
      <w:r>
        <w:t xml:space="preserve"> </w:t>
      </w:r>
      <w:r>
        <w:t>1479-1484.</w:t>
      </w:r>
    </w:p>
    <w:p w:rsidR="0018722C">
      <w:pPr>
        <w:pStyle w:val="ab"/>
        <w:topLinePunct/>
        <w:ind w:left="200" w:hangingChars="200" w:hanging="200"/>
      </w:pPr>
      <w:r>
        <w:t>[</w:t>
      </w:r>
      <w:r>
        <w:t xml:space="preserve">62</w:t>
      </w:r>
      <w:r>
        <w:t>]</w:t>
      </w:r>
      <w:r w:rsidRPr="00281126">
        <w:t xml:space="preserve"> </w:t>
      </w:r>
      <w:r>
        <w:t>Hino</w:t>
      </w:r>
      <w:r>
        <w:t> </w:t>
      </w:r>
      <w:r>
        <w:t>K,</w:t>
      </w:r>
      <w:r>
        <w:t> </w:t>
      </w:r>
      <w:r>
        <w:t>Hara</w:t>
      </w:r>
      <w:r>
        <w:t> </w:t>
      </w:r>
      <w:r>
        <w:t>Y,</w:t>
      </w:r>
      <w:r>
        <w:t> </w:t>
      </w:r>
      <w:r>
        <w:t>Nishina</w:t>
      </w:r>
      <w:r>
        <w:t> </w:t>
      </w:r>
      <w:r>
        <w:t>S.</w:t>
      </w:r>
      <w:r>
        <w:t> </w:t>
      </w:r>
      <w:r>
        <w:t>Mitochondrial</w:t>
      </w:r>
      <w:r>
        <w:t> </w:t>
      </w:r>
      <w:r>
        <w:t>reactive</w:t>
      </w:r>
      <w:r>
        <w:t> </w:t>
      </w:r>
      <w:r>
        <w:t>oxygen</w:t>
      </w:r>
      <w:r>
        <w:t> </w:t>
      </w:r>
      <w:r>
        <w:t>species</w:t>
      </w:r>
      <w:r>
        <w:t> </w:t>
      </w:r>
      <w:r>
        <w:t>as</w:t>
      </w:r>
      <w:r>
        <w:t> </w:t>
      </w:r>
      <w:r>
        <w:t>a</w:t>
      </w:r>
      <w:r>
        <w:t> </w:t>
      </w:r>
      <w:r>
        <w:t>mystery</w:t>
      </w:r>
    </w:p>
    <w:p w:rsidR="0018722C">
      <w:pPr>
        <w:topLinePunct/>
      </w:pPr>
      <w:r>
        <w:rPr>
          <w:rFonts w:ascii="Times New Roman"/>
        </w:rPr>
        <w:t/>
      </w:r>
      <w:r>
        <w:rPr>
          <w:rFonts w:ascii="Times New Roman"/>
        </w:rPr>
        <w:t>V</w:t>
      </w:r>
      <w:r>
        <w:rPr>
          <w:rFonts w:ascii="Times New Roman"/>
        </w:rPr>
        <w:t>oice in hepatitis C</w:t>
      </w:r>
      <w:r>
        <w:rPr>
          <w:rFonts w:ascii="Times New Roman"/>
        </w:rPr>
        <w:t>[</w:t>
      </w:r>
      <w:r>
        <w:rPr>
          <w:rFonts w:ascii="Times New Roman"/>
        </w:rPr>
        <w:t>J</w:t>
      </w:r>
      <w:r>
        <w:rPr>
          <w:rFonts w:ascii="Times New Roman"/>
        </w:rPr>
        <w:t>]</w:t>
      </w:r>
      <w:r>
        <w:rPr>
          <w:rFonts w:ascii="Times New Roman"/>
        </w:rPr>
        <w:t>. Hepatol Res,2014,44</w:t>
      </w:r>
      <w:r>
        <w:rPr>
          <w:rFonts w:ascii="Times New Roman"/>
        </w:rPr>
        <w:t>(</w:t>
      </w:r>
      <w:r>
        <w:rPr>
          <w:rFonts w:ascii="Times New Roman"/>
        </w:rPr>
        <w:t>2</w:t>
      </w:r>
      <w:r>
        <w:rPr>
          <w:rFonts w:ascii="Times New Roman"/>
        </w:rPr>
        <w:t>)</w:t>
      </w:r>
      <w:r>
        <w:rPr>
          <w:rFonts w:ascii="Times New Roman"/>
        </w:rPr>
        <w:t>:123-132.</w:t>
      </w:r>
    </w:p>
    <w:p w:rsidR="0018722C">
      <w:pPr>
        <w:pStyle w:val="ab"/>
        <w:topLinePunct/>
        <w:ind w:left="200" w:hangingChars="200" w:hanging="200"/>
      </w:pPr>
      <w:r>
        <w:t>[</w:t>
      </w:r>
      <w:r>
        <w:t xml:space="preserve">63</w:t>
      </w:r>
      <w:r>
        <w:t>]</w:t>
      </w:r>
      <w:r w:rsidRPr="00281126">
        <w:t xml:space="preserve"> </w:t>
      </w:r>
      <w:r>
        <w:t>Yang B, Bouchard M J. The hepatitis B virus X protein elevates cytosolic calcium signals by modulating</w:t>
      </w:r>
      <w:r w:rsidR="001852F3">
        <w:t xml:space="preserve">   mitochondrial calcium uptake</w:t>
      </w:r>
      <w:r>
        <w:t>[</w:t>
      </w:r>
      <w:r>
        <w:t>J</w:t>
      </w:r>
      <w:r>
        <w:t>]</w:t>
      </w:r>
      <w:r>
        <w:t>. J</w:t>
      </w:r>
      <w:r>
        <w:t> </w:t>
      </w:r>
      <w:r>
        <w:t xml:space="preserve">Virol,</w:t>
      </w:r>
      <w:r>
        <w:t xml:space="preserve"> </w:t>
      </w:r>
      <w:r>
        <w:t>2012,</w:t>
      </w:r>
      <w:r>
        <w:t xml:space="preserve"> </w:t>
      </w:r>
      <w:r>
        <w:t>86</w:t>
      </w:r>
      <w:r>
        <w:t>(</w:t>
      </w:r>
      <w:r>
        <w:t>1</w:t>
      </w:r>
      <w:r>
        <w:t>)</w:t>
      </w:r>
      <w:r>
        <w:t xml:space="preserve">:</w:t>
      </w:r>
      <w:r>
        <w:t xml:space="preserve"> </w:t>
      </w:r>
      <w:r>
        <w:t>313-327.</w:t>
      </w:r>
    </w:p>
    <w:p w:rsidR="0018722C">
      <w:pPr>
        <w:pStyle w:val="ab"/>
        <w:topLinePunct/>
        <w:ind w:left="200" w:hangingChars="200" w:hanging="200"/>
      </w:pPr>
      <w:r>
        <w:t>[</w:t>
      </w:r>
      <w:r>
        <w:t xml:space="preserve">64</w:t>
      </w:r>
      <w:r>
        <w:t>]</w:t>
      </w:r>
      <w:r w:rsidRPr="00281126">
        <w:t xml:space="preserve"> </w:t>
      </w:r>
      <w:r>
        <w:t>Gearhart T L, Bouchard M J. Replication of the hepatitis B virus requires a calcium-dependent</w:t>
      </w:r>
      <w:r w:rsidR="001852F3">
        <w:t xml:space="preserve">   </w:t>
      </w:r>
      <w:r>
        <w:t> </w:t>
      </w:r>
      <w:r>
        <w:t>HBx-induced</w:t>
      </w:r>
      <w:r w:rsidR="001852F3">
        <w:t xml:space="preserve">   </w:t>
      </w:r>
      <w:r>
        <w:t> </w:t>
      </w:r>
      <w:r>
        <w:t>G1</w:t>
      </w:r>
      <w:r>
        <w:t>phase</w:t>
      </w:r>
      <w:r w:rsidR="001852F3">
        <w:t xml:space="preserve">     arrest</w:t>
      </w:r>
      <w:r w:rsidR="001852F3">
        <w:t xml:space="preserve">   </w:t>
      </w:r>
      <w:r>
        <w:t> </w:t>
      </w:r>
      <w:r>
        <w:t>of</w:t>
      </w:r>
      <w:r w:rsidR="001852F3">
        <w:t xml:space="preserve">   </w:t>
      </w:r>
      <w:r>
        <w:t> </w:t>
      </w:r>
      <w:r>
        <w:t>hepatocytes</w:t>
      </w:r>
      <w:r>
        <w:t>[</w:t>
      </w:r>
      <w:r>
        <w:t>J</w:t>
      </w:r>
      <w:r>
        <w:t>]</w:t>
      </w:r>
      <w:r>
        <w:t xml:space="preserve">. Virology,</w:t>
      </w:r>
      <w:r>
        <w:t xml:space="preserve"> </w:t>
      </w:r>
      <w:r>
        <w:t>2010,</w:t>
      </w:r>
      <w:r>
        <w:t xml:space="preserve"> </w:t>
      </w:r>
      <w:r>
        <w:t>407</w:t>
      </w:r>
      <w:r>
        <w:t>(</w:t>
      </w:r>
      <w:r>
        <w:t>1</w:t>
      </w:r>
      <w:r>
        <w:t>)</w:t>
      </w:r>
      <w:r>
        <w:t xml:space="preserve">:</w:t>
      </w:r>
      <w:r>
        <w:t xml:space="preserve"> </w:t>
      </w:r>
      <w:r>
        <w:t>14-25.</w:t>
      </w:r>
    </w:p>
    <w:p w:rsidR="0018722C">
      <w:pPr>
        <w:pStyle w:val="ab"/>
        <w:topLinePunct/>
        <w:ind w:left="200" w:hangingChars="200" w:hanging="200"/>
      </w:pPr>
      <w:r>
        <w:t xml:space="preserve">[</w:t>
      </w:r>
      <w:r>
        <w:t xml:space="preserve">65</w:t>
      </w:r>
      <w:r>
        <w:t xml:space="preserve">]</w:t>
      </w:r>
      <w:r w:rsidRPr="00281126">
        <w:t xml:space="preserve"> </w:t>
      </w:r>
      <w:r>
        <w:t xml:space="preserve">Tang R, Kong F, Hu L, You H, Zhang P, Du W, Zheng K. Role of hepatitis B virus X protein in regulating LIM and SH3 protein 1 </w:t>
      </w:r>
      <w:r>
        <w:t xml:space="preserve">(</w:t>
      </w:r>
      <w:r>
        <w:rPr>
          <w:sz w:val="24"/>
        </w:rPr>
        <w:t xml:space="preserve">LASP-1</w:t>
      </w:r>
      <w:r>
        <w:t xml:space="preserve">)</w:t>
      </w:r>
      <w:r>
        <w:t xml:space="preserve"> expression to mediate proliferation and migration of hepatoma cells</w:t>
      </w:r>
      <w:r>
        <w:t xml:space="preserve">[</w:t>
      </w:r>
      <w:r>
        <w:rPr>
          <w:sz w:val="24"/>
        </w:rPr>
        <w:t xml:space="preserve">J</w:t>
      </w:r>
      <w:r>
        <w:t xml:space="preserve">]</w:t>
      </w:r>
      <w:r>
        <w:t xml:space="preserve">. Virol</w:t>
      </w:r>
      <w:r>
        <w:t xml:space="preserve"> </w:t>
      </w:r>
      <w:r>
        <w:t xml:space="preserve">J,</w:t>
      </w:r>
      <w:r>
        <w:t xml:space="preserve"> </w:t>
      </w:r>
      <w:r>
        <w:t>2012,</w:t>
      </w:r>
      <w:r>
        <w:t xml:space="preserve"> </w:t>
      </w:r>
      <w:r>
        <w:t>9:</w:t>
      </w:r>
      <w:r>
        <w:t xml:space="preserve"> </w:t>
      </w:r>
      <w:r>
        <w:t>163.</w:t>
      </w:r>
    </w:p>
    <w:p w:rsidR="0018722C">
      <w:pPr>
        <w:pStyle w:val="ab"/>
        <w:topLinePunct/>
        <w:ind w:left="200" w:hangingChars="200" w:hanging="200"/>
      </w:pPr>
      <w:r>
        <w:t>[</w:t>
      </w:r>
      <w:r>
        <w:t xml:space="preserve">66</w:t>
      </w:r>
      <w:r>
        <w:t>]</w:t>
      </w:r>
      <w:r w:rsidRPr="00281126">
        <w:t xml:space="preserve"> </w:t>
      </w:r>
      <w:r>
        <w:t>Khattar E, Mukherji A, Kumar V. Akt augments the oncogenic potential of the HBx protein of hepatitis B virus by phosphorylation</w:t>
      </w:r>
      <w:r>
        <w:t>[</w:t>
      </w:r>
      <w:r>
        <w:t>J</w:t>
      </w:r>
      <w:r>
        <w:t>]</w:t>
      </w:r>
      <w:r>
        <w:t>. FEBS</w:t>
      </w:r>
      <w:r w:rsidR="001852F3">
        <w:t xml:space="preserve"> J,</w:t>
      </w:r>
      <w:r w:rsidR="001852F3">
        <w:t xml:space="preserve"> </w:t>
      </w:r>
      <w:r w:rsidR="001852F3">
        <w:t>2012,</w:t>
      </w:r>
      <w:r w:rsidR="001852F3">
        <w:t xml:space="preserve"> </w:t>
      </w:r>
      <w:r w:rsidR="001852F3">
        <w:t>279</w:t>
      </w:r>
      <w:r>
        <w:t>(</w:t>
      </w:r>
      <w:r>
        <w:t>7</w:t>
      </w:r>
      <w:r>
        <w:t>)</w:t>
      </w:r>
      <w:r>
        <w:t xml:space="preserve">:</w:t>
      </w:r>
      <w:r>
        <w:t xml:space="preserve"> </w:t>
      </w:r>
      <w:r>
        <w:t>1220-1230.</w:t>
      </w:r>
    </w:p>
    <w:p w:rsidR="0018722C">
      <w:pPr>
        <w:pStyle w:val="ab"/>
        <w:topLinePunct/>
        <w:ind w:left="200" w:hangingChars="200" w:hanging="200"/>
      </w:pPr>
      <w:r>
        <w:t>[</w:t>
      </w:r>
      <w:r>
        <w:t xml:space="preserve">67</w:t>
      </w:r>
      <w:r>
        <w:t>]</w:t>
      </w:r>
      <w:r w:rsidRPr="00281126">
        <w:t xml:space="preserve"> </w:t>
      </w:r>
      <w:r>
        <w:t>Gearhart T L, Bouchard M J. The hepatitis B virus HBx protein modulates cell cycle regulatory proteins in cultured primary human hepatocytes</w:t>
      </w:r>
      <w:r>
        <w:t>[</w:t>
      </w:r>
      <w:r>
        <w:t>J</w:t>
      </w:r>
      <w:r>
        <w:t>]</w:t>
      </w:r>
      <w:r>
        <w:t xml:space="preserve">. Virus Res,</w:t>
      </w:r>
      <w:r>
        <w:t xml:space="preserve"> </w:t>
      </w:r>
      <w:r>
        <w:t>2011,</w:t>
      </w:r>
      <w:r>
        <w:t xml:space="preserve"> </w:t>
      </w:r>
      <w:r>
        <w:t>155</w:t>
      </w:r>
      <w:r>
        <w:t>(</w:t>
      </w:r>
      <w:r>
        <w:t>1</w:t>
      </w:r>
      <w:r>
        <w:t>)</w:t>
      </w:r>
      <w:r>
        <w:t xml:space="preserve">:</w:t>
      </w:r>
      <w:r>
        <w:t xml:space="preserve"> </w:t>
      </w:r>
      <w:r>
        <w:t>363-367.</w:t>
      </w:r>
    </w:p>
    <w:p w:rsidR="0018722C">
      <w:pPr>
        <w:pStyle w:val="ab"/>
        <w:topLinePunct/>
        <w:ind w:left="200" w:hangingChars="200" w:hanging="200"/>
      </w:pPr>
      <w:r>
        <w:t>[</w:t>
      </w:r>
      <w:r>
        <w:t xml:space="preserve">68</w:t>
      </w:r>
      <w:r>
        <w:t>]</w:t>
      </w:r>
      <w:r w:rsidRPr="00281126">
        <w:t xml:space="preserve"> </w:t>
      </w:r>
      <w:r>
        <w:t>Cheng</w:t>
      </w:r>
      <w:r>
        <w:t> </w:t>
      </w:r>
      <w:r>
        <w:t>A</w:t>
      </w:r>
      <w:r>
        <w:t> </w:t>
      </w:r>
      <w:r>
        <w:t>S,</w:t>
      </w:r>
      <w:r>
        <w:t> </w:t>
      </w:r>
      <w:r>
        <w:t>Chan</w:t>
      </w:r>
      <w:r>
        <w:t> </w:t>
      </w:r>
      <w:r>
        <w:t>H</w:t>
      </w:r>
      <w:r>
        <w:t> </w:t>
      </w:r>
      <w:r>
        <w:t>L,</w:t>
      </w:r>
      <w:r>
        <w:t> </w:t>
      </w:r>
      <w:r>
        <w:t>Leung</w:t>
      </w:r>
      <w:r>
        <w:t> </w:t>
      </w:r>
      <w:r>
        <w:t>W</w:t>
      </w:r>
      <w:r>
        <w:t> </w:t>
      </w:r>
      <w:r>
        <w:t>K,</w:t>
      </w:r>
      <w:r>
        <w:t> </w:t>
      </w:r>
      <w:r>
        <w:t>To</w:t>
      </w:r>
      <w:r>
        <w:t> </w:t>
      </w:r>
      <w:r>
        <w:t>K</w:t>
      </w:r>
      <w:r>
        <w:t> </w:t>
      </w:r>
      <w:r>
        <w:t>F,</w:t>
      </w:r>
      <w:r>
        <w:t> </w:t>
      </w:r>
      <w:r>
        <w:t>Go</w:t>
      </w:r>
      <w:r>
        <w:t> </w:t>
      </w:r>
      <w:r>
        <w:t>M</w:t>
      </w:r>
      <w:r>
        <w:t> </w:t>
      </w:r>
      <w:r>
        <w:t>Y,</w:t>
      </w:r>
      <w:r>
        <w:t> </w:t>
      </w:r>
      <w:r>
        <w:t>Chan</w:t>
      </w:r>
      <w:r>
        <w:t> </w:t>
      </w:r>
      <w:r>
        <w:t>J</w:t>
      </w:r>
      <w:r>
        <w:t> </w:t>
      </w:r>
      <w:r>
        <w:t>Y,</w:t>
      </w:r>
      <w:r>
        <w:t> </w:t>
      </w:r>
      <w:r>
        <w:t>Liew</w:t>
      </w:r>
      <w:r>
        <w:t> </w:t>
      </w:r>
      <w:r>
        <w:t>C</w:t>
      </w:r>
      <w:r>
        <w:t> </w:t>
      </w:r>
      <w:r>
        <w:t>T,</w:t>
      </w:r>
      <w:r>
        <w:t> </w:t>
      </w:r>
      <w:r>
        <w:t>Sung</w:t>
      </w:r>
      <w:r>
        <w:t> </w:t>
      </w:r>
      <w:r>
        <w:t>J</w:t>
      </w:r>
      <w:r>
        <w:rPr>
          <w:rFonts w:ascii="Times New Roman"/>
        </w:rPr>
        <w:t>J. Expression of HBx and COX-2 in chronic hepatitis B, cirrhosis and hepatocellular carcinoma: implication of HBx in upregulation of COX-2</w:t>
      </w:r>
      <w:r>
        <w:rPr>
          <w:rFonts w:ascii="Times New Roman"/>
        </w:rPr>
        <w:t>[</w:t>
      </w:r>
      <w:r>
        <w:rPr>
          <w:rFonts w:ascii="Times New Roman"/>
        </w:rPr>
        <w:t>J</w:t>
      </w:r>
      <w:r>
        <w:rPr>
          <w:rFonts w:ascii="Times New Roman"/>
        </w:rPr>
        <w:t>]</w:t>
      </w:r>
      <w:r>
        <w:rPr>
          <w:rFonts w:ascii="Times New Roman"/>
        </w:rPr>
        <w:t xml:space="preserve">. Mod Pathol,</w:t>
      </w:r>
      <w:r>
        <w:rPr>
          <w:rFonts w:ascii="Times New Roman"/>
        </w:rPr>
        <w:t xml:space="preserve"> </w:t>
      </w:r>
      <w:r>
        <w:rPr>
          <w:rFonts w:ascii="Times New Roman"/>
        </w:rPr>
        <w:t>2004,</w:t>
      </w:r>
      <w:r>
        <w:rPr>
          <w:rFonts w:ascii="Times New Roman"/>
        </w:rPr>
        <w:t xml:space="preserve"> </w:t>
      </w:r>
      <w:r>
        <w:rPr>
          <w:rFonts w:ascii="Times New Roman"/>
        </w:rPr>
        <w:t>17</w:t>
      </w:r>
      <w:r>
        <w:rPr>
          <w:rFonts w:ascii="Times New Roman"/>
        </w:rPr>
        <w:t>(</w:t>
      </w:r>
      <w:r>
        <w:rPr>
          <w:rFonts w:ascii="Times New Roman"/>
        </w:rPr>
        <w:t>10</w:t>
      </w:r>
      <w:r>
        <w:rPr>
          <w:rFonts w:ascii="Times New Roman"/>
        </w:rPr>
        <w:t>)</w:t>
      </w:r>
      <w:r>
        <w:rPr>
          <w:rFonts w:ascii="Times New Roman"/>
        </w:rPr>
        <w:t xml:space="preserve">:</w:t>
      </w:r>
      <w:r>
        <w:rPr>
          <w:rFonts w:ascii="Times New Roman"/>
        </w:rPr>
        <w:t xml:space="preserve"> </w:t>
      </w:r>
      <w:r>
        <w:rPr>
          <w:rFonts w:ascii="Times New Roman"/>
        </w:rPr>
        <w:t>1169-1179.</w:t>
      </w:r>
    </w:p>
    <w:p w:rsidR="0018722C">
      <w:pPr>
        <w:pStyle w:val="ab"/>
        <w:topLinePunct/>
        <w:ind w:left="200" w:hangingChars="200" w:hanging="200"/>
      </w:pPr>
      <w:r>
        <w:t>[</w:t>
      </w:r>
      <w:r>
        <w:t xml:space="preserve">69</w:t>
      </w:r>
      <w:r>
        <w:t>]</w:t>
      </w:r>
      <w:r w:rsidRPr="00281126">
        <w:t xml:space="preserve"> </w:t>
      </w:r>
      <w:r>
        <w:t>Cheng A S, Yu J, Lai P B, Chan H L, Sung J J. COX-2 mediates hepatitis B virus</w:t>
      </w:r>
      <w:r w:rsidR="001852F3">
        <w:t xml:space="preserve"> X protein abrogation of p53-induced apoptosis</w:t>
      </w:r>
      <w:r>
        <w:t>[</w:t>
      </w:r>
      <w:r>
        <w:t>J</w:t>
      </w:r>
      <w:r>
        <w:t>]</w:t>
      </w:r>
      <w:r>
        <w:t xml:space="preserve">. Biochem Biophys Res Commun,</w:t>
      </w:r>
      <w:r>
        <w:t xml:space="preserve"> </w:t>
      </w:r>
      <w:r>
        <w:t>2008,</w:t>
      </w:r>
      <w:r>
        <w:t xml:space="preserve"> </w:t>
      </w:r>
      <w:r>
        <w:t>374</w:t>
      </w:r>
      <w:r>
        <w:t>(</w:t>
      </w:r>
      <w:r>
        <w:t>2</w:t>
      </w:r>
      <w:r>
        <w:t>)</w:t>
      </w:r>
      <w:r>
        <w:t xml:space="preserve">:</w:t>
      </w:r>
      <w:r>
        <w:t xml:space="preserve"> </w:t>
      </w:r>
      <w:r>
        <w:t>175-180.</w:t>
      </w:r>
    </w:p>
    <w:p w:rsidR="0018722C">
      <w:pPr>
        <w:pStyle w:val="ab"/>
        <w:topLinePunct/>
        <w:ind w:left="200" w:hangingChars="200" w:hanging="200"/>
      </w:pPr>
      <w:r>
        <w:t>[</w:t>
      </w:r>
      <w:r>
        <w:t xml:space="preserve">70</w:t>
      </w:r>
      <w:r>
        <w:t>]</w:t>
      </w:r>
      <w:r w:rsidRPr="00281126">
        <w:t xml:space="preserve"> </w:t>
      </w:r>
      <w:r>
        <w:t>Nejak-Bowen K N, Monga S P. Beta-catenin signaling, liver regeneration and hepatocellular cancer: sorting the good from the bad</w:t>
      </w:r>
      <w:r>
        <w:t>[</w:t>
      </w:r>
      <w:r>
        <w:t>J</w:t>
      </w:r>
      <w:r>
        <w:t>]</w:t>
      </w:r>
      <w:r>
        <w:t xml:space="preserve">. Semin Cancer Biol,</w:t>
      </w:r>
      <w:r>
        <w:t xml:space="preserve"> </w:t>
      </w:r>
      <w:r>
        <w:t>2011,</w:t>
      </w:r>
      <w:r>
        <w:t xml:space="preserve"> </w:t>
      </w:r>
      <w:r>
        <w:t>21</w:t>
      </w:r>
      <w:r>
        <w:t>(</w:t>
      </w:r>
      <w:r>
        <w:t>1</w:t>
      </w:r>
      <w:r>
        <w:t>)</w:t>
      </w:r>
      <w:r>
        <w:t xml:space="preserve">:</w:t>
      </w:r>
      <w:r>
        <w:t xml:space="preserve"> </w:t>
      </w:r>
      <w:r>
        <w:t>44-58.</w:t>
      </w:r>
    </w:p>
    <w:p w:rsidR="0018722C">
      <w:pPr>
        <w:pStyle w:val="ab"/>
        <w:topLinePunct/>
        <w:ind w:left="200" w:hangingChars="200" w:hanging="200"/>
      </w:pPr>
      <w:r>
        <w:t>[</w:t>
      </w:r>
      <w:r>
        <w:t xml:space="preserve">71</w:t>
      </w:r>
      <w:r>
        <w:t>]</w:t>
      </w:r>
      <w:r w:rsidRPr="00281126">
        <w:t xml:space="preserve"> </w:t>
      </w:r>
      <w:r>
        <w:t>Lachenmayer A, Alsinet C, Savic R, Cabellos L, Toffanin S, Hoshida Y, Villanueva A, Minguez B, Newell P, Tsai H W, Barretina J, Thung S, Ward S C, Bruix J, Mazzaferro V, Schwartz M, Friedman S L, Llovet J M. Wnt-pathway activation in two</w:t>
      </w:r>
      <w:r w:rsidR="001852F3">
        <w:t xml:space="preserve"> molecular</w:t>
      </w:r>
      <w:r w:rsidR="001852F3">
        <w:t xml:space="preserve"> classes</w:t>
      </w:r>
      <w:r w:rsidR="001852F3">
        <w:t xml:space="preserve"> of</w:t>
      </w:r>
      <w:r w:rsidR="001852F3">
        <w:t xml:space="preserve"> hepatocellular</w:t>
      </w:r>
      <w:r w:rsidR="001852F3">
        <w:t xml:space="preserve"> carcinoma</w:t>
      </w:r>
      <w:r w:rsidR="001852F3">
        <w:t xml:space="preserve"> and</w:t>
      </w:r>
      <w:r w:rsidR="001852F3">
        <w:t xml:space="preserve"> experimental</w:t>
      </w:r>
      <w:r w:rsidR="001852F3">
        <w:t xml:space="preserve"> modulation</w:t>
      </w:r>
      <w:r>
        <w:t> </w:t>
      </w:r>
      <w:r>
        <w:t>by</w:t>
      </w:r>
      <w:r>
        <w:rPr>
          <w:rFonts w:ascii="Times New Roman"/>
        </w:rPr>
        <w:t>sorafenib</w:t>
      </w:r>
      <w:r>
        <w:rPr>
          <w:rFonts w:ascii="Times New Roman"/>
        </w:rPr>
        <w:t>[</w:t>
      </w:r>
      <w:r>
        <w:rPr>
          <w:rFonts w:ascii="Times New Roman"/>
        </w:rPr>
        <w:t>J</w:t>
      </w:r>
      <w:r>
        <w:rPr>
          <w:rFonts w:ascii="Times New Roman"/>
        </w:rPr>
        <w:t>]</w:t>
      </w:r>
      <w:r>
        <w:rPr>
          <w:rFonts w:ascii="Times New Roman"/>
        </w:rPr>
        <w:t xml:space="preserve">. Clin Cancer Res,</w:t>
      </w:r>
      <w:r>
        <w:rPr>
          <w:rFonts w:ascii="Times New Roman"/>
        </w:rPr>
        <w:t xml:space="preserve"> </w:t>
      </w:r>
      <w:r>
        <w:rPr>
          <w:rFonts w:ascii="Times New Roman"/>
        </w:rPr>
        <w:t>2012,</w:t>
      </w:r>
      <w:r>
        <w:rPr>
          <w:rFonts w:ascii="Times New Roman"/>
        </w:rPr>
        <w:t xml:space="preserve"> </w:t>
      </w:r>
      <w:r>
        <w:rPr>
          <w:rFonts w:ascii="Times New Roman"/>
        </w:rPr>
        <w:t>18</w:t>
      </w:r>
      <w:r>
        <w:rPr>
          <w:rFonts w:ascii="Times New Roman"/>
        </w:rPr>
        <w:t>(</w:t>
      </w:r>
      <w:r>
        <w:rPr>
          <w:rFonts w:ascii="Times New Roman"/>
        </w:rPr>
        <w:t>18</w:t>
      </w:r>
      <w:r>
        <w:rPr>
          <w:rFonts w:ascii="Times New Roman"/>
        </w:rPr>
        <w:t>)</w:t>
      </w:r>
      <w:r>
        <w:rPr>
          <w:rFonts w:ascii="Times New Roman"/>
        </w:rPr>
        <w:t xml:space="preserve">:</w:t>
      </w:r>
      <w:r>
        <w:rPr>
          <w:rFonts w:ascii="Times New Roman"/>
        </w:rPr>
        <w:t xml:space="preserve"> </w:t>
      </w:r>
      <w:r>
        <w:rPr>
          <w:rFonts w:ascii="Times New Roman"/>
        </w:rPr>
        <w:t>4997-5007.</w:t>
      </w:r>
    </w:p>
    <w:p w:rsidR="0018722C">
      <w:pPr>
        <w:pStyle w:val="ab"/>
        <w:topLinePunct/>
        <w:ind w:left="200" w:hangingChars="200" w:hanging="200"/>
      </w:pPr>
      <w:r>
        <w:t>[</w:t>
      </w:r>
      <w:r>
        <w:t xml:space="preserve">72</w:t>
      </w:r>
      <w:r>
        <w:t>]</w:t>
      </w:r>
      <w:r w:rsidRPr="00281126">
        <w:t xml:space="preserve"> </w:t>
      </w:r>
      <w:r>
        <w:t>Tetsu O, Mccormick F. Beta-catenin regulates expression of cyclin D1 in colon carcinoma cells</w:t>
      </w:r>
      <w:r>
        <w:t>[</w:t>
      </w:r>
      <w:r>
        <w:t>J</w:t>
      </w:r>
      <w:r>
        <w:t>]</w:t>
      </w:r>
      <w:r>
        <w:t>.</w:t>
      </w:r>
      <w:r>
        <w:t> </w:t>
      </w:r>
      <w:r>
        <w:t xml:space="preserve">Nature,</w:t>
      </w:r>
      <w:r>
        <w:t xml:space="preserve"> </w:t>
      </w:r>
      <w:r>
        <w:t>1999,</w:t>
      </w:r>
      <w:r>
        <w:t xml:space="preserve"> </w:t>
      </w:r>
      <w:r>
        <w:t>398</w:t>
      </w:r>
      <w:r>
        <w:t>(</w:t>
      </w:r>
      <w:r>
        <w:t>6726</w:t>
      </w:r>
      <w:r>
        <w:t>)</w:t>
      </w:r>
      <w:r>
        <w:t xml:space="preserve">:</w:t>
      </w:r>
      <w:r>
        <w:t xml:space="preserve"> </w:t>
      </w:r>
      <w:r>
        <w:t>422-426.</w:t>
      </w:r>
    </w:p>
    <w:p w:rsidR="0018722C">
      <w:pPr>
        <w:pStyle w:val="ab"/>
        <w:topLinePunct/>
        <w:ind w:left="200" w:hangingChars="200" w:hanging="200"/>
      </w:pPr>
      <w:r>
        <w:t>[</w:t>
      </w:r>
      <w:r>
        <w:t xml:space="preserve">73</w:t>
      </w:r>
      <w:r>
        <w:t>]</w:t>
      </w:r>
      <w:r w:rsidRPr="00281126">
        <w:t xml:space="preserve"> </w:t>
      </w:r>
      <w:r>
        <w:t>Gheorghiade M, Palazzuoli A, Ronco C. Acute heart failure treatment: traditional and new drugs</w:t>
      </w:r>
      <w:r>
        <w:t>[</w:t>
      </w:r>
      <w:r>
        <w:rPr>
          <w:sz w:val="24"/>
        </w:rPr>
        <w:t>J</w:t>
      </w:r>
      <w:r>
        <w:t>]</w:t>
      </w:r>
      <w:r>
        <w:t>. Contrib</w:t>
      </w:r>
      <w:r>
        <w:t> </w:t>
      </w:r>
      <w:r>
        <w:t xml:space="preserve">Nephrol,</w:t>
      </w:r>
      <w:r>
        <w:t xml:space="preserve"> </w:t>
      </w:r>
      <w:r>
        <w:t>2010,</w:t>
      </w:r>
      <w:r>
        <w:t xml:space="preserve"> </w:t>
      </w:r>
      <w:r>
        <w:t>165:</w:t>
      </w:r>
      <w:r>
        <w:t xml:space="preserve"> </w:t>
      </w:r>
      <w:r>
        <w:t>112-128.</w:t>
      </w:r>
    </w:p>
    <w:p w:rsidR="0018722C">
      <w:pPr>
        <w:pStyle w:val="ab"/>
        <w:topLinePunct/>
        <w:ind w:left="200" w:hangingChars="200" w:hanging="200"/>
      </w:pPr>
      <w:r>
        <w:t>[</w:t>
      </w:r>
      <w:r>
        <w:t xml:space="preserve">74</w:t>
      </w:r>
      <w:r>
        <w:t>]</w:t>
      </w:r>
      <w:r w:rsidRPr="00281126">
        <w:t xml:space="preserve"> </w:t>
      </w:r>
      <w:r>
        <w:t>Arzumanyan A, Friedman T, Ng I O, Clayton M M, Lian Z, Feitelson M A. Does the hepatitis B antigen HBx promote the appearance of liver cancer stem cells</w:t>
      </w:r>
      <w:r>
        <w:t>[</w:t>
      </w:r>
      <w:r>
        <w:t>J</w:t>
      </w:r>
      <w:r>
        <w:t>]</w:t>
      </w:r>
      <w:r>
        <w:t>. Cancer</w:t>
      </w:r>
      <w:r/>
      <w:r>
        <w:t xml:space="preserve">Res,</w:t>
      </w:r>
      <w:r>
        <w:t xml:space="preserve"> </w:t>
      </w:r>
      <w:r>
        <w:t>2011,</w:t>
      </w:r>
      <w:r>
        <w:t xml:space="preserve"> </w:t>
      </w:r>
      <w:r>
        <w:t>71</w:t>
      </w:r>
      <w:r>
        <w:t>(</w:t>
      </w:r>
      <w:r>
        <w:t>10</w:t>
      </w:r>
      <w:r>
        <w:t>)</w:t>
      </w:r>
      <w:r>
        <w:t xml:space="preserve">:</w:t>
      </w:r>
      <w:r>
        <w:t xml:space="preserve"> </w:t>
      </w:r>
      <w:r>
        <w:t>3701-3708.</w:t>
      </w:r>
    </w:p>
    <w:p w:rsidR="0018722C">
      <w:pPr>
        <w:topLinePunct/>
      </w:pPr>
      <w:bookmarkStart w:name="综述：HBV X蛋白与线粒体相关的致病机制 " w:id="43"/>
      <w:bookmarkEnd w:id="43"/>
      <w:r>
        <w:rPr>
          <w:rFonts w:cstheme="minorBidi" w:hAnsiTheme="minorHAnsi" w:eastAsiaTheme="minorHAnsi" w:asciiTheme="minorHAnsi" w:ascii="宋体" w:hAnsi="宋体" w:eastAsia="宋体" w:cs="宋体"/>
          <w:b/>
        </w:rPr>
        <w:t>HBV X</w:t>
      </w:r>
      <w:r w:rsidR="001852F3">
        <w:rPr>
          <w:rFonts w:cstheme="minorBidi" w:hAnsiTheme="minorHAnsi" w:eastAsiaTheme="minorHAnsi" w:asciiTheme="minorHAnsi" w:ascii="宋体" w:hAnsi="宋体" w:eastAsia="宋体" w:cs="宋体"/>
          <w:b/>
        </w:rPr>
        <w:t xml:space="preserve">蛋白与线粒体相关的致病机制</w:t>
      </w:r>
    </w:p>
    <w:p w:rsidR="0018722C">
      <w:pPr>
        <w:pStyle w:val="aff0"/>
        <w:topLinePunct/>
      </w:pPr>
      <w:r>
        <w:rPr>
          <w:rFonts w:eastAsia="黑体" w:ascii="Times New Roman"/>
          <w:rStyle w:val="aff4"/>
          <w:b/>
        </w:rPr>
        <w:t>【</w:t>
      </w:r>
      <w:r>
        <w:rPr>
          <w:rFonts w:eastAsia="黑体" w:ascii="Times New Roman"/>
          <w:rStyle w:val="aff4"/>
          <w:b/>
        </w:rPr>
        <w:t>摘要</w:t>
      </w:r>
      <w:r>
        <w:rPr>
          <w:rFonts w:eastAsia="黑体" w:ascii="Times New Roman"/>
          <w:rStyle w:val="aff4"/>
          <w:b/>
        </w:rPr>
        <w:t>】</w:t>
      </w:r>
      <w:r>
        <w:t>HBV</w:t>
      </w:r>
      <w:r/>
      <w:r w:rsidR="001852F3">
        <w:t xml:space="preserve">慢性感染与肝细胞癌</w:t>
      </w:r>
      <w:r>
        <w:t>（</w:t>
      </w:r>
      <w:r>
        <w:t>HCC</w:t>
      </w:r>
      <w:r>
        <w:t>）</w:t>
      </w:r>
      <w:r>
        <w:t>的发生、发展显著相关。由</w:t>
      </w:r>
      <w:r>
        <w:t>HBV X</w:t>
      </w:r>
      <w:r/>
      <w:r w:rsidR="001852F3">
        <w:t xml:space="preserve">基因</w:t>
      </w:r>
      <w:r>
        <w:t>编码的</w:t>
      </w:r>
      <w:r>
        <w:t>x</w:t>
      </w:r>
      <w:r/>
      <w:r w:rsidR="001852F3">
        <w:t xml:space="preserve">蛋白</w:t>
      </w:r>
      <w:r>
        <w:t>(</w:t>
      </w:r>
      <w:r>
        <w:t>HBx</w:t>
      </w:r>
      <w:r>
        <w:t>)</w:t>
      </w:r>
      <w:r>
        <w:t>是一种多功能蛋白，可以定位在线粒体，它通过蛋白质—蛋白</w:t>
      </w:r>
      <w:r>
        <w:t>质相互作用影响线粒体生理及其功能，导致线粒体膜通透性改变、膜电位的丢失</w:t>
      </w:r>
      <w:r>
        <w:t>、、</w:t>
      </w:r>
    </w:p>
    <w:p w:rsidR="0018722C">
      <w:pPr>
        <w:pStyle w:val="aff0"/>
        <w:topLinePunct/>
      </w:pPr>
      <w:r>
        <w:t>ATP</w:t>
      </w:r>
      <w:r/>
      <w:r w:rsidR="001852F3">
        <w:t xml:space="preserve">合成降低、细胞色素</w:t>
      </w:r>
      <w:r>
        <w:t>C</w:t>
      </w:r>
      <w:r/>
      <w:r w:rsidR="001852F3">
        <w:t xml:space="preserve">的释放、凋亡诱导因子以及钙释放到细胞质中、</w:t>
      </w:r>
      <w:r>
        <w:t>ROS</w:t>
      </w:r>
      <w:r/>
      <w:r w:rsidR="001852F3">
        <w:t xml:space="preserve">增</w:t>
      </w:r>
      <w:r>
        <w:t>加、影响呼吸链酶复合体的表达和稳定性，并且调节细胞中铁代谢、诱导</w:t>
      </w:r>
      <w:r>
        <w:t>COX-2</w:t>
      </w:r>
      <w:r>
        <w:t>的表达增加，从而诱发肝细胞癌的发生、发展。本文针对以上问题，对</w:t>
      </w:r>
      <w:r>
        <w:t>HBx</w:t>
      </w:r>
      <w:r/>
      <w:r w:rsidR="001852F3">
        <w:t xml:space="preserve">与线粒体相关的致病机制进行综述。</w:t>
      </w:r>
    </w:p>
    <w:p w:rsidR="0018722C">
      <w:pPr>
        <w:pStyle w:val="aff"/>
        <w:topLinePunct/>
      </w:pPr>
      <w:r>
        <w:rPr>
          <w:rStyle w:val="afe"/>
          <w:rFonts w:eastAsia="黑体" w:ascii="Times New Roman" w:cstheme="minorBidi" w:hAnsiTheme="minorHAnsi" w:eastAsiaTheme="minorHAnsi" w:asciiTheme="minorHAnsi"/>
          <w:b/>
        </w:rPr>
        <w:t>【</w:t>
      </w:r>
      <w:r>
        <w:rPr>
          <w:rStyle w:val="afe"/>
          <w:rFonts w:eastAsia="黑体" w:ascii="Times New Roman" w:cstheme="minorBidi" w:hAnsiTheme="minorHAnsi" w:eastAsiaTheme="minorHAnsi" w:asciiTheme="minorHAnsi"/>
          <w:b/>
        </w:rPr>
        <w:t xml:space="preserve">关键词</w:t>
      </w:r>
      <w:r>
        <w:rPr>
          <w:rStyle w:val="afe"/>
          <w:rFonts w:eastAsia="黑体" w:ascii="Times New Roman" w:cstheme="minorBidi" w:hAnsiTheme="minorHAnsi" w:eastAsiaTheme="minorHAnsi" w:asciiTheme="minorHAnsi"/>
          <w:b/>
        </w:rPr>
        <w:t>】</w:t>
      </w:r>
      <w:r>
        <w:rPr>
          <w:rFonts w:cstheme="minorBidi" w:hAnsiTheme="minorHAnsi" w:eastAsiaTheme="minorHAnsi" w:asciiTheme="minorHAnsi"/>
        </w:rPr>
        <w:t>HBV X 蛋白；线粒体；致病机制</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hAnsi="Times New Roman" w:eastAsia="Times New Roman" w:cs="Times New Roman"/>
          <w:b/>
        </w:rPr>
        <w:t>The Correlation of HBx Molecular Mechanisms with Mitochondria</w:t>
      </w:r>
    </w:p>
    <w:p w:rsidR="0018722C">
      <w:pPr>
        <w:pStyle w:val="afc"/>
        <w:topLinePunct/>
      </w:pPr>
      <w:r>
        <w:rPr>
          <w:rFonts w:eastAsia="黑体" w:ascii="Times New Roman"/>
          <w:rStyle w:val="aff4"/>
          <w:b/>
        </w:rPr>
        <w:t>【</w:t>
      </w:r>
      <w:r>
        <w:rPr>
          <w:rStyle w:val="aff4"/>
          <w:rFonts w:ascii="Times New Roman" w:eastAsia="黑体"/>
          <w:b/>
        </w:rPr>
        <w:t>Abstract</w:t>
      </w:r>
      <w:r>
        <w:rPr>
          <w:rFonts w:eastAsia="黑体" w:ascii="Times New Roman"/>
          <w:rStyle w:val="aff4"/>
          <w:b/>
        </w:rPr>
        <w:t>】</w:t>
      </w:r>
      <w:r>
        <w:rPr>
          <w:rFonts w:ascii="Times New Roman" w:eastAsia="Times New Roman"/>
        </w:rPr>
        <w:t>Chronic</w:t>
      </w:r>
      <w:r w:rsidR="001852F3">
        <w:rPr>
          <w:rFonts w:ascii="Times New Roman" w:eastAsia="Times New Roman"/>
        </w:rPr>
        <w:t xml:space="preserve"> infection</w:t>
      </w:r>
      <w:r w:rsidR="001852F3">
        <w:rPr>
          <w:rFonts w:ascii="Times New Roman" w:eastAsia="Times New Roman"/>
        </w:rPr>
        <w:t xml:space="preserve"> with</w:t>
      </w:r>
      <w:r w:rsidR="001852F3">
        <w:rPr>
          <w:rFonts w:ascii="Times New Roman" w:eastAsia="Times New Roman"/>
        </w:rPr>
        <w:t xml:space="preserve"> HBV</w:t>
      </w:r>
      <w:r w:rsidR="001852F3">
        <w:rPr>
          <w:rFonts w:ascii="Times New Roman" w:eastAsia="Times New Roman"/>
        </w:rPr>
        <w:t xml:space="preserve"> has</w:t>
      </w:r>
      <w:r w:rsidR="001852F3">
        <w:rPr>
          <w:rFonts w:ascii="Times New Roman" w:eastAsia="Times New Roman"/>
        </w:rPr>
        <w:t xml:space="preserve"> been</w:t>
      </w:r>
      <w:r w:rsidR="001852F3">
        <w:rPr>
          <w:rFonts w:ascii="Times New Roman" w:eastAsia="Times New Roman"/>
        </w:rPr>
        <w:t xml:space="preserve"> strongly</w:t>
      </w:r>
      <w:r w:rsidR="001852F3">
        <w:rPr>
          <w:rFonts w:ascii="Times New Roman" w:eastAsia="Times New Roman"/>
        </w:rPr>
        <w:t xml:space="preserve"> associated</w:t>
      </w:r>
      <w:r w:rsidR="001852F3">
        <w:rPr>
          <w:rFonts w:ascii="Times New Roman" w:eastAsia="Times New Roman"/>
        </w:rPr>
        <w:t xml:space="preserve"> with</w:t>
      </w:r>
      <w:r w:rsidR="001852F3">
        <w:rPr>
          <w:rFonts w:ascii="Times New Roman" w:eastAsia="Times New Roman"/>
        </w:rPr>
        <w:t xml:space="preserve"> the</w:t>
      </w:r>
    </w:p>
    <w:p w:rsidR="0018722C">
      <w:pPr>
        <w:topLinePunct/>
      </w:pPr>
      <w:r>
        <w:rPr>
          <w:rFonts w:ascii="Times New Roman"/>
        </w:rPr>
        <w:t/>
      </w:r>
      <w:r>
        <w:rPr>
          <w:rFonts w:ascii="Times New Roman"/>
        </w:rPr>
        <w:t>D</w:t>
      </w:r>
      <w:r>
        <w:rPr>
          <w:rFonts w:ascii="Times New Roman"/>
        </w:rPr>
        <w:t>evelopment of hepatocellular carcinoma</w:t>
      </w:r>
      <w:r w:rsidR="001852F3">
        <w:rPr>
          <w:rFonts w:ascii="Times New Roman"/>
        </w:rPr>
        <w:t xml:space="preserve"> </w:t>
      </w:r>
      <w:r>
        <w:rPr>
          <w:rFonts w:ascii="Times New Roman"/>
        </w:rPr>
        <w:t xml:space="preserve">(</w:t>
      </w:r>
      <w:r>
        <w:rPr>
          <w:rFonts w:ascii="Times New Roman"/>
        </w:rPr>
        <w:t xml:space="preserve">HCC</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HBx</w:t>
      </w:r>
      <w:r w:rsidR="004B696B">
        <w:rPr>
          <w:rFonts w:ascii="Times New Roman"/>
        </w:rPr>
        <w:t xml:space="preserve">,</w:t>
      </w:r>
      <w:r w:rsidR="004B696B">
        <w:rPr>
          <w:rFonts w:ascii="Times New Roman"/>
        </w:rPr>
        <w:t xml:space="preserve"> </w:t>
      </w:r>
      <w:r w:rsidR="004B696B">
        <w:rPr>
          <w:rFonts w:ascii="Times New Roman"/>
        </w:rPr>
        <w:t xml:space="preserve">encoded</w:t>
      </w:r>
      <w:r w:rsidR="001852F3">
        <w:rPr>
          <w:rFonts w:ascii="Times New Roman"/>
        </w:rPr>
        <w:t xml:space="preserve"> by</w:t>
      </w:r>
      <w:r w:rsidR="001852F3">
        <w:rPr>
          <w:rFonts w:ascii="Times New Roman"/>
        </w:rPr>
        <w:t xml:space="preserve"> the</w:t>
      </w:r>
      <w:r w:rsidR="001852F3">
        <w:rPr>
          <w:rFonts w:ascii="Times New Roman"/>
        </w:rPr>
        <w:t xml:space="preserve"> HBV genome</w:t>
      </w:r>
      <w:r w:rsidR="004B696B">
        <w:rPr>
          <w:rFonts w:ascii="Times New Roman"/>
        </w:rPr>
        <w:t xml:space="preserve">,</w:t>
      </w:r>
      <w:r w:rsidR="001852F3">
        <w:rPr>
          <w:rFonts w:ascii="Times New Roman"/>
        </w:rPr>
        <w:t xml:space="preserve"> </w:t>
      </w:r>
      <w:r w:rsidR="001852F3">
        <w:rPr>
          <w:rFonts w:ascii="Times New Roman"/>
        </w:rPr>
        <w:t xml:space="preserve">can be located on the mitochondrial membrane and acts as a multifunctional protein that interacts mitochondrial physiology and function though protein-protein interaction. HBx causes mitochondrial permeability transition,</w:t>
      </w:r>
      <w:r w:rsidR="001852F3">
        <w:rPr>
          <w:rFonts w:ascii="Times New Roman"/>
        </w:rPr>
        <w:t xml:space="preserve"> </w:t>
      </w:r>
      <w:r w:rsidR="001852F3">
        <w:rPr>
          <w:rFonts w:ascii="Times New Roman"/>
        </w:rPr>
        <w:t xml:space="preserve">loss of mitochondrial membrane potential and ATP generation,</w:t>
      </w:r>
      <w:r w:rsidR="001852F3">
        <w:rPr>
          <w:rFonts w:ascii="Times New Roman"/>
        </w:rPr>
        <w:t xml:space="preserve"> </w:t>
      </w:r>
      <w:r w:rsidR="001852F3">
        <w:rPr>
          <w:rFonts w:ascii="Times New Roman"/>
        </w:rPr>
        <w:t xml:space="preserve">releasing of cytochrome C as well as apoptogenic factors and Ca2+ to the cytoplasm,</w:t>
      </w:r>
      <w:r w:rsidR="001852F3">
        <w:rPr>
          <w:rFonts w:ascii="Times New Roman"/>
        </w:rPr>
        <w:t xml:space="preserve"> </w:t>
      </w:r>
      <w:r w:rsidR="001852F3">
        <w:rPr>
          <w:rFonts w:ascii="Times New Roman"/>
        </w:rPr>
        <w:t xml:space="preserve">increasing of ROS,</w:t>
      </w:r>
      <w:r w:rsidR="001852F3">
        <w:rPr>
          <w:rFonts w:ascii="Times New Roman"/>
        </w:rPr>
        <w:t xml:space="preserve"> </w:t>
      </w:r>
      <w:r w:rsidR="001852F3">
        <w:rPr>
          <w:rFonts w:ascii="Times New Roman"/>
        </w:rPr>
        <w:t xml:space="preserve">changing the expression and stability of Respiratory Chain Enzyme Complex</w:t>
      </w:r>
      <w:r w:rsidR="004B696B">
        <w:rPr>
          <w:rFonts w:ascii="Times New Roman"/>
        </w:rPr>
        <w:t xml:space="preserve">,</w:t>
      </w:r>
      <w:r w:rsidR="001852F3">
        <w:rPr>
          <w:rFonts w:ascii="Times New Roman"/>
        </w:rPr>
        <w:t xml:space="preserve"> </w:t>
      </w:r>
      <w:r w:rsidR="001852F3">
        <w:rPr>
          <w:rFonts w:ascii="Times New Roman"/>
        </w:rPr>
        <w:t xml:space="preserve">Also HBx regulates iron metabolism in cells,</w:t>
      </w:r>
      <w:r w:rsidR="001852F3">
        <w:rPr>
          <w:rFonts w:ascii="Times New Roman"/>
        </w:rPr>
        <w:t xml:space="preserve"> </w:t>
      </w:r>
      <w:r w:rsidR="001852F3">
        <w:rPr>
          <w:rFonts w:ascii="Times New Roman"/>
        </w:rPr>
        <w:t xml:space="preserve">induces expression of COX-2, then induces the development of hepatocellular carcinoma </w:t>
      </w:r>
      <w:r>
        <w:rPr>
          <w:rFonts w:ascii="Times New Roman"/>
        </w:rPr>
        <w:t xml:space="preserve">(</w:t>
      </w:r>
      <w:r>
        <w:rPr>
          <w:rFonts w:ascii="Times New Roman"/>
        </w:rPr>
        <w:t xml:space="preserve">HCC</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In this article, the correlation of HBx molecular mechanisms with mitochondria is discussed.</w:t>
      </w:r>
    </w:p>
    <w:p w:rsidR="0018722C">
      <w:pPr>
        <w:topLinePunct/>
      </w:pPr>
      <w:r>
        <w:rPr>
          <w:rFonts w:cstheme="minorBidi" w:hAnsiTheme="minorHAnsi" w:eastAsiaTheme="minorHAnsi" w:asciiTheme="minorHAnsi"/>
          <w:b/>
        </w:rPr>
        <w:t>【</w:t>
      </w:r>
      <w:r>
        <w:rPr>
          <w:rFonts w:ascii="Times New Roman" w:eastAsia="Times New Roman" w:cstheme="minorBidi" w:hAnsiTheme="minorHAnsi"/>
          <w:b/>
        </w:rPr>
        <w:t>Key words</w:t>
      </w:r>
      <w:r>
        <w:rPr>
          <w:rFonts w:cstheme="minorBidi" w:hAnsiTheme="minorHAnsi" w:eastAsiaTheme="minorHAnsi" w:asciiTheme="minorHAnsi"/>
          <w:b/>
        </w:rPr>
        <w:t>】</w:t>
      </w:r>
      <w:r>
        <w:rPr>
          <w:rFonts w:ascii="Times New Roman" w:eastAsia="Times New Roman" w:cstheme="minorBidi" w:hAnsiTheme="minorHAnsi"/>
        </w:rPr>
        <w:t>HBV X protein</w:t>
      </w:r>
      <w:r w:rsidR="004B696B">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Mitochondria; Mechanism</w:t>
      </w:r>
    </w:p>
    <w:p w:rsidR="0018722C">
      <w:pPr>
        <w:topLinePunct/>
      </w:pPr>
      <w:r>
        <w:t>目前全球约有</w:t>
      </w:r>
      <w:r>
        <w:t>3．5—4</w:t>
      </w:r>
      <w:r/>
      <w:r w:rsidR="001852F3">
        <w:t xml:space="preserve">亿乙型肝炎病毒</w:t>
      </w:r>
      <w:r>
        <w:t>(</w:t>
      </w:r>
      <w:r>
        <w:t xml:space="preserve">hepatitis B virus</w:t>
      </w:r>
      <w:r>
        <w:t xml:space="preserve">, </w:t>
      </w:r>
      <w:r>
        <w:t xml:space="preserve">HBV</w:t>
      </w:r>
      <w:r>
        <w:t>)</w:t>
      </w:r>
      <w:r>
        <w:t>慢性携带者</w:t>
      </w:r>
      <w:r>
        <w:rPr>
          <w:vertAlign w:val="superscript"/>
          /&gt;
        </w:rPr>
        <w:t>[</w:t>
      </w:r>
      <w:r>
        <w:rPr>
          <w:vertAlign w:val="superscript"/>
          /&gt;
        </w:rPr>
        <w:t xml:space="preserve">1</w:t>
      </w:r>
      <w:r>
        <w:rPr>
          <w:vertAlign w:val="superscript"/>
          /&gt;
        </w:rPr>
        <w:t>]</w:t>
      </w:r>
      <w:r/>
      <w:r>
        <w:rPr>
          <w:vertAlign w:val="superscript"/>
          /&gt;
        </w:rPr>
        <w:t>[</w:t>
      </w:r>
      <w:r>
        <w:rPr>
          <w:vertAlign w:val="superscript"/>
          /&gt;
        </w:rPr>
        <w:t>2</w:t>
      </w:r>
      <w:r>
        <w:rPr>
          <w:vertAlign w:val="superscript"/>
          /&gt;
        </w:rPr>
        <w:t>]</w:t>
      </w:r>
      <w:r>
        <w:t>，每年约</w:t>
      </w:r>
      <w:r>
        <w:t>1</w:t>
      </w:r>
      <w:r/>
      <w:r w:rsidR="001852F3">
        <w:t xml:space="preserve">百万死于</w:t>
      </w:r>
      <w:r>
        <w:t>HBV</w:t>
      </w:r>
      <w:r/>
      <w:r w:rsidR="001852F3">
        <w:t xml:space="preserve">感染所致的肝衰竭、肝硬化、原发性肝癌</w:t>
      </w:r>
      <w:r>
        <w:rPr>
          <w:vertAlign w:val="superscript"/>
          /&gt;
        </w:rPr>
        <w:t>[</w:t>
      </w:r>
      <w:r>
        <w:rPr>
          <w:vertAlign w:val="superscript"/>
          /&gt;
        </w:rPr>
        <w:t xml:space="preserve">3</w:t>
      </w:r>
      <w:r>
        <w:rPr>
          <w:vertAlign w:val="superscript"/>
          /&gt;
        </w:rPr>
        <w:t>]</w:t>
      </w:r>
      <w:r>
        <w:t>。HBV</w:t>
      </w:r>
      <w:r>
        <w:t>慢性感染与肝细胞癌</w:t>
      </w:r>
      <w:r>
        <w:t>（</w:t>
      </w:r>
      <w:r>
        <w:t>HCC</w:t>
      </w:r>
      <w:r>
        <w:t>）</w:t>
      </w:r>
      <w:r>
        <w:t>的发生、发展相关，但是二者的关系还没有完全阐明</w:t>
      </w:r>
      <w:r>
        <w:t>清楚，可能包括的机制有免疫介导的损伤、伴随的肝细胞再生以及</w:t>
      </w:r>
      <w:r>
        <w:t>HBX</w:t>
      </w:r>
      <w:r/>
      <w:r w:rsidR="001852F3">
        <w:t xml:space="preserve">蛋白的活性作用</w:t>
      </w:r>
      <w:r>
        <w:rPr>
          <w:vertAlign w:val="superscript"/>
          /&gt;
        </w:rPr>
        <w:t>[</w:t>
      </w:r>
      <w:r>
        <w:rPr>
          <w:vertAlign w:val="superscript"/>
          <w:position w:val="12"/>
        </w:rPr>
        <w:t xml:space="preserve">1</w:t>
      </w:r>
      <w:r>
        <w:rPr>
          <w:vertAlign w:val="superscript"/>
          /&gt;
        </w:rPr>
        <w:t>]</w:t>
      </w:r>
      <w:r>
        <w:t>。因此，</w:t>
      </w:r>
      <w:r>
        <w:t>近年</w:t>
      </w:r>
      <w:r>
        <w:t>来对</w:t>
      </w:r>
      <w:r>
        <w:t>HBV X</w:t>
      </w:r>
      <w:r/>
      <w:r w:rsidR="001852F3">
        <w:t xml:space="preserve">蛋白的研究越来越热。</w:t>
      </w:r>
    </w:p>
    <w:p w:rsidR="0018722C">
      <w:pPr>
        <w:topLinePunct/>
      </w:pPr>
      <w:r>
        <w:t>HBV</w:t>
      </w:r>
      <w:r/>
      <w:r w:rsidR="001852F3">
        <w:t xml:space="preserve">为含</w:t>
      </w:r>
      <w:r>
        <w:t>3．2</w:t>
      </w:r>
      <w:r>
        <w:t> </w:t>
      </w:r>
      <w:r>
        <w:t>kb</w:t>
      </w:r>
      <w:r/>
      <w:r w:rsidR="001852F3">
        <w:t xml:space="preserve">部分双链环状</w:t>
      </w:r>
      <w:r>
        <w:t>DNA</w:t>
      </w:r>
      <w:r/>
      <w:r w:rsidR="001852F3">
        <w:t xml:space="preserve">的包膜病毒，其基因组含有</w:t>
      </w:r>
      <w:r>
        <w:t>4</w:t>
      </w:r>
      <w:r/>
      <w:r w:rsidR="001852F3">
        <w:t xml:space="preserve">个重叠的开</w:t>
      </w:r>
      <w:r>
        <w:t>放读码框架，分别称为</w:t>
      </w:r>
      <w:r>
        <w:t>S、C、P</w:t>
      </w:r>
      <w:r/>
      <w:r w:rsidR="001852F3">
        <w:t xml:space="preserve">和</w:t>
      </w:r>
      <w:r>
        <w:t>x</w:t>
      </w:r>
      <w:r/>
      <w:r w:rsidR="001852F3">
        <w:t xml:space="preserve">区，此外还包括众多启动子和增强子等转录调节元件。HBx</w:t>
      </w:r>
      <w:r/>
      <w:r w:rsidR="001852F3">
        <w:t xml:space="preserve">是</w:t>
      </w:r>
      <w:r>
        <w:t>HBV 4</w:t>
      </w:r>
      <w:r/>
      <w:r w:rsidR="001852F3">
        <w:t xml:space="preserve">个开放读码框</w:t>
      </w:r>
      <w:r>
        <w:t>(</w:t>
      </w:r>
      <w:r>
        <w:t xml:space="preserve">ORF</w:t>
      </w:r>
      <w:r>
        <w:t>)</w:t>
      </w:r>
      <w:r>
        <w:t>中的</w:t>
      </w:r>
      <w:r w:rsidR="001852F3">
        <w:t xml:space="preserve"> </w:t>
      </w:r>
      <w:r w:rsidR="001852F3">
        <w:t xml:space="preserve">x 2ORF</w:t>
      </w:r>
      <w:r/>
      <w:r w:rsidR="001852F3">
        <w:t xml:space="preserve">编码的病毒蛋白</w:t>
      </w:r>
      <w:r>
        <w:rPr>
          <w:rFonts w:hint="eastAsia"/>
        </w:rPr>
        <w:t>，</w:t>
      </w:r>
      <w:r>
        <w:t>为含</w:t>
      </w:r>
      <w:r>
        <w:t>有</w:t>
      </w:r>
      <w:r>
        <w:t>154</w:t>
      </w:r>
      <w:r/>
      <w:r w:rsidR="001852F3">
        <w:t xml:space="preserve">个氨基酸的多肽</w:t>
      </w:r>
      <w:r>
        <w:rPr>
          <w:rFonts w:hint="eastAsia"/>
        </w:rPr>
        <w:t>，</w:t>
      </w:r>
      <w:r>
        <w:t>分子量</w:t>
      </w:r>
      <w:r>
        <w:t>17ku</w:t>
      </w:r>
      <w:r/>
      <w:r>
        <w:rPr>
          <w:rFonts w:hint="eastAsia"/>
        </w:rPr>
        <w:t>，</w:t>
      </w:r>
      <w:r>
        <w:t>由于其基因位于第</w:t>
      </w:r>
      <w:r>
        <w:t>1374—1836</w:t>
      </w:r>
      <w:r/>
      <w:r w:rsidR="001852F3">
        <w:t xml:space="preserve">位核苷酸之间</w:t>
      </w:r>
      <w:r>
        <w:rPr>
          <w:rFonts w:hint="eastAsia"/>
        </w:rPr>
        <w:t>，</w:t>
      </w:r>
      <w:r>
        <w:t>是</w:t>
      </w:r>
      <w:r w:rsidR="001852F3">
        <w:t xml:space="preserve">HBV</w:t>
      </w:r>
      <w:r w:rsidR="001852F3">
        <w:t xml:space="preserve">基因组内功能重叠最明显的区域</w:t>
      </w:r>
      <w:r>
        <w:rPr>
          <w:rFonts w:hint="eastAsia"/>
        </w:rPr>
        <w:t>，</w:t>
      </w:r>
      <w:r>
        <w:t>因此决定了</w:t>
      </w:r>
      <w:r w:rsidR="001852F3">
        <w:t xml:space="preserve">HBx</w:t>
      </w:r>
      <w:r w:rsidR="001852F3">
        <w:t xml:space="preserve">功能的多样性。</w:t>
      </w:r>
      <w:r>
        <w:t>它并不直接与</w:t>
      </w:r>
      <w:r>
        <w:t>DNA</w:t>
      </w:r>
      <w:r/>
      <w:r w:rsidR="001852F3">
        <w:t xml:space="preserve">结合，而是通过蛋白质—蛋白质相互作用来发挥功能的</w:t>
      </w:r>
      <w:r>
        <w:rPr>
          <w:vertAlign w:val="superscript"/>
          /&gt;
        </w:rPr>
        <w:t>[</w:t>
      </w:r>
      <w:r>
        <w:rPr>
          <w:vertAlign w:val="superscript"/>
          <w:position w:val="12"/>
        </w:rPr>
        <w:t xml:space="preserve">4</w:t>
      </w:r>
      <w:r>
        <w:rPr>
          <w:vertAlign w:val="superscript"/>
          /&gt;
        </w:rPr>
        <w:t>]</w:t>
      </w:r>
      <w:r>
        <w:t>。HBx</w:t>
      </w:r>
      <w:r w:rsidR="001852F3">
        <w:t xml:space="preserve">具有广泛的基因转录调控作用，并能与宿主细胞的多种蛋白相互作用，从而调节基因表达及细胞蛋白功能，进而影响病毒自身的复制、宿主细胞的信号转导、细胞增殖与分化、细胞凋亡以及细胞癌变等。它可激活多种启动子和增强子，包含AP-1、AP-2、ATF／CREB、NF．kB、c／EBP、PI-3K</w:t>
      </w:r>
      <w:r/>
      <w:r w:rsidR="001852F3">
        <w:t xml:space="preserve">及</w:t>
      </w:r>
      <w:r>
        <w:t>Egr—l</w:t>
      </w:r>
      <w:r/>
      <w:r w:rsidR="001852F3">
        <w:t xml:space="preserve">或钙离子激活</w:t>
      </w:r>
      <w:r w:rsidR="001852F3">
        <w:t>因</w:t>
      </w:r>
      <w:r w:rsidR="001852F3">
        <w:t>子</w:t>
      </w:r>
    </w:p>
    <w:p w:rsidR="0018722C">
      <w:pPr>
        <w:topLinePunct/>
      </w:pPr>
      <w:r>
        <w:t>NF—AT</w:t>
      </w:r>
      <w:r/>
      <w:r w:rsidR="001852F3">
        <w:t xml:space="preserve">的</w:t>
      </w:r>
      <w:r>
        <w:t>DNA</w:t>
      </w:r>
      <w:r/>
      <w:r w:rsidR="001852F3">
        <w:t xml:space="preserve">结合位点，还可激活</w:t>
      </w:r>
      <w:r>
        <w:t>RNA</w:t>
      </w:r>
      <w:r/>
      <w:r w:rsidR="001852F3">
        <w:t xml:space="preserve">聚合酶</w:t>
      </w:r>
      <w:r>
        <w:t>I、Ⅱ、Ⅲ依赖性的启动子。研究</w:t>
      </w:r>
      <w:r>
        <w:t>表明</w:t>
      </w:r>
      <w:r>
        <w:t>HBx</w:t>
      </w:r>
      <w:r/>
      <w:r w:rsidR="001852F3">
        <w:t xml:space="preserve">可与普通转录元件</w:t>
      </w:r>
      <w:r>
        <w:t>(</w:t>
      </w:r>
      <w:r>
        <w:t>TFIIB</w:t>
      </w:r>
      <w:r>
        <w:t>、</w:t>
      </w:r>
      <w:r>
        <w:t>TFIIH</w:t>
      </w:r>
      <w:r>
        <w:t>、</w:t>
      </w:r>
      <w:r>
        <w:t>RPB5</w:t>
      </w:r>
      <w:r>
        <w:t> </w:t>
      </w:r>
      <w:r>
        <w:t>and</w:t>
      </w:r>
      <w:r>
        <w:t> </w:t>
      </w:r>
      <w:r>
        <w:t>TBP</w:t>
      </w:r>
      <w:r>
        <w:t>)</w:t>
      </w:r>
      <w:r>
        <w:t>，转录因子</w:t>
      </w:r>
      <w:r>
        <w:t>（</w:t>
      </w:r>
      <w:r>
        <w:t>CREB／ATF</w:t>
      </w:r>
      <w:r>
        <w:t>、</w:t>
      </w:r>
    </w:p>
    <w:p w:rsidR="0018722C">
      <w:pPr>
        <w:topLinePunct/>
      </w:pPr>
      <w:r>
        <w:t>ATF2</w:t>
      </w:r>
      <w:r>
        <w:t xml:space="preserve">, </w:t>
      </w:r>
      <w:r>
        <w:t>C／EBPa、ATF3</w:t>
      </w:r>
      <w:r>
        <w:t> </w:t>
      </w:r>
      <w:r>
        <w:t>1</w:t>
      </w:r>
      <w:r>
        <w:t> </w:t>
      </w:r>
      <w:r>
        <w:t>NF—IL-6，Octl，SMAD4</w:t>
      </w:r>
      <w:r>
        <w:t> </w:t>
      </w:r>
      <w:r>
        <w:t>and</w:t>
      </w:r>
      <w:r>
        <w:t> </w:t>
      </w:r>
      <w:r>
        <w:t>SREBPl</w:t>
      </w:r>
      <w:r>
        <w:t>）</w:t>
      </w:r>
      <w:r>
        <w:t>及转录辅因子相互作用</w:t>
      </w:r>
      <w:r>
        <w:rPr>
          <w:vertAlign w:val="superscript"/>
          /&gt;
        </w:rPr>
        <w:t>[</w:t>
      </w:r>
      <w:r>
        <w:rPr>
          <w:vertAlign w:val="superscript"/>
          /&gt;
        </w:rPr>
        <w:t xml:space="preserve">5</w:t>
      </w:r>
      <w:r>
        <w:rPr>
          <w:vertAlign w:val="superscript"/>
          /&gt;
        </w:rPr>
        <w:t>]</w:t>
      </w:r>
      <w:r>
        <w:t>。然而，</w:t>
      </w:r>
      <w:r>
        <w:t>HBx</w:t>
      </w:r>
      <w:r/>
      <w:r w:rsidR="001852F3">
        <w:t xml:space="preserve">的表达究竟是怎样影响病毒复制并导致</w:t>
      </w:r>
      <w:r>
        <w:t>HCC</w:t>
      </w:r>
      <w:r/>
      <w:r w:rsidR="001852F3">
        <w:t xml:space="preserve">的发展还存在很大的争议。</w:t>
      </w:r>
    </w:p>
    <w:p w:rsidR="0018722C">
      <w:pPr>
        <w:topLinePunct/>
      </w:pPr>
      <w:r>
        <w:t>HBx</w:t>
      </w:r>
      <w:r/>
      <w:r w:rsidR="001852F3">
        <w:t xml:space="preserve">功能复杂多样，它在细胞中的不同定位发挥着不同的作用。</w:t>
      </w:r>
      <w:r>
        <w:t>HBx</w:t>
      </w:r>
      <w:r/>
      <w:r w:rsidR="001852F3">
        <w:t xml:space="preserve">可以定位于细胞质和细胞核</w:t>
      </w:r>
      <w:r>
        <w:rPr>
          <w:vertAlign w:val="superscript"/>
          /&gt;
        </w:rPr>
        <w:t>[</w:t>
      </w:r>
      <w:r>
        <w:rPr>
          <w:vertAlign w:val="superscript"/>
          /&gt;
        </w:rPr>
        <w:t xml:space="preserve">6</w:t>
      </w:r>
      <w:r>
        <w:rPr>
          <w:vertAlign w:val="superscript"/>
          /&gt;
        </w:rPr>
        <w:t>]</w:t>
      </w:r>
      <w:r>
        <w:t>。事实上，在感染</w:t>
      </w:r>
      <w:r>
        <w:t>HBV</w:t>
      </w:r>
      <w:r/>
      <w:r w:rsidR="001852F3">
        <w:t xml:space="preserve">的病人以及大多数培养的肝细胞中发</w:t>
      </w:r>
      <w:r w:rsidR="001852F3">
        <w:t>现</w:t>
      </w:r>
    </w:p>
    <w:p w:rsidR="0018722C">
      <w:pPr>
        <w:topLinePunct/>
      </w:pPr>
      <w:r>
        <w:t>HBx</w:t>
      </w:r>
      <w:r/>
      <w:r w:rsidR="001852F3">
        <w:t xml:space="preserve">主要定位在细胞质</w:t>
      </w:r>
      <w:r>
        <w:rPr>
          <w:vertAlign w:val="superscript"/>
          /&gt;
        </w:rPr>
        <w:t>[</w:t>
      </w:r>
      <w:r>
        <w:rPr>
          <w:vertAlign w:val="superscript"/>
          /&gt;
        </w:rPr>
        <w:t xml:space="preserve">7</w:t>
      </w:r>
      <w:r>
        <w:rPr>
          <w:vertAlign w:val="superscript"/>
          /&gt;
        </w:rPr>
        <w:t>]</w:t>
      </w:r>
      <w:r>
        <w:t>，而且也利用荧光显微镜和激光共聚焦显微镜发现</w:t>
      </w:r>
      <w:r>
        <w:t>HBx</w:t>
      </w:r>
      <w:r/>
      <w:r w:rsidR="001852F3">
        <w:t xml:space="preserve">大部分在细胞质和核周表达</w:t>
      </w:r>
      <w:r>
        <w:rPr>
          <w:vertAlign w:val="superscript"/>
          /&gt;
        </w:rPr>
        <w:t>[</w:t>
      </w:r>
      <w:r>
        <w:rPr>
          <w:vertAlign w:val="superscript"/>
          /&gt;
        </w:rPr>
        <w:t xml:space="preserve">8</w:t>
      </w:r>
      <w:r>
        <w:rPr>
          <w:vertAlign w:val="superscript"/>
          /&gt;
        </w:rPr>
        <w:t>]</w:t>
      </w:r>
      <w:r>
        <w:t>。一些学者通过免疫荧光显微镜和亚细胞分级分离技术</w:t>
      </w:r>
      <w:r>
        <w:t>提出</w:t>
      </w:r>
      <w:r>
        <w:t>HBx</w:t>
      </w:r>
      <w:r/>
      <w:r w:rsidR="001852F3">
        <w:t xml:space="preserve">可以定位在线粒体</w:t>
      </w:r>
      <w:r>
        <w:rPr>
          <w:vertAlign w:val="superscript"/>
          /&gt;
        </w:rPr>
        <w:t>[</w:t>
      </w:r>
      <w:r>
        <w:rPr>
          <w:vertAlign w:val="superscript"/>
          /&gt;
        </w:rPr>
        <w:t xml:space="preserve">9</w:t>
      </w:r>
      <w:r>
        <w:rPr>
          <w:vertAlign w:val="superscript"/>
          /&gt;
        </w:rPr>
        <w:t>]</w:t>
      </w:r>
      <w:r/>
      <w:r>
        <w:rPr>
          <w:vertAlign w:val="superscript"/>
          /&gt;
        </w:rPr>
        <w:t>[</w:t>
      </w:r>
      <w:r>
        <w:rPr>
          <w:vertAlign w:val="superscript"/>
          /&gt;
        </w:rPr>
        <w:t>10</w:t>
      </w:r>
      <w:r>
        <w:rPr>
          <w:vertAlign w:val="superscript"/>
          /&gt;
        </w:rPr>
        <w:t>]</w:t>
      </w:r>
      <w:r>
        <w:t>。而线粒体是调节细胞凋亡、细胞能量代谢以及信号转导通路的关键细胞器</w:t>
      </w:r>
      <w:r>
        <w:rPr>
          <w:vertAlign w:val="superscript"/>
          /&gt;
        </w:rPr>
        <w:t>[</w:t>
      </w:r>
      <w:r>
        <w:rPr>
          <w:vertAlign w:val="superscript"/>
          /&gt;
        </w:rPr>
        <w:t xml:space="preserve">11</w:t>
      </w:r>
      <w:r>
        <w:rPr>
          <w:vertAlign w:val="superscript"/>
          /&gt;
        </w:rPr>
        <w:t>]</w:t>
      </w:r>
      <w:r>
        <w:t>。</w:t>
      </w:r>
      <w:r>
        <w:t>HBx</w:t>
      </w:r>
      <w:r/>
      <w:r w:rsidR="001852F3">
        <w:t xml:space="preserve">作用于肝瘤细胞系线粒体导致其生理及相关功能</w:t>
      </w:r>
      <w:r>
        <w:t>受影响：提高了活性氧</w:t>
      </w:r>
      <w:r>
        <w:t>（</w:t>
      </w:r>
      <w:r>
        <w:t>ROS</w:t>
      </w:r>
      <w:r>
        <w:t>）</w:t>
      </w:r>
      <w:r>
        <w:t>的水平，提高了脂质过氧化氢的产量，使线粒体膜</w:t>
      </w:r>
      <w:r>
        <w:t>电位增敏</w:t>
      </w:r>
      <w:r>
        <w:rPr>
          <w:vertAlign w:val="superscript"/>
          /&gt;
        </w:rPr>
        <w:t>[</w:t>
      </w:r>
      <w:r>
        <w:rPr>
          <w:vertAlign w:val="superscript"/>
          <w:position w:val="12"/>
        </w:rPr>
        <w:t xml:space="preserve">12</w:t>
      </w:r>
      <w:r>
        <w:rPr>
          <w:vertAlign w:val="superscript"/>
          /&gt;
        </w:rPr>
        <w:t>]</w:t>
      </w:r>
      <w:r>
        <w:t>。有证据表明局部过氧化物及自由基增多是致癌的关键因素</w:t>
      </w:r>
      <w:r>
        <w:rPr>
          <w:vertAlign w:val="superscript"/>
          /&gt;
        </w:rPr>
        <w:t>[</w:t>
      </w:r>
      <w:r>
        <w:rPr>
          <w:vertAlign w:val="superscript"/>
          <w:position w:val="12"/>
        </w:rPr>
        <w:t xml:space="preserve">13</w:t>
      </w:r>
      <w:r>
        <w:rPr>
          <w:vertAlign w:val="superscript"/>
          /&gt;
        </w:rPr>
        <w:t>]</w:t>
      </w:r>
      <w:r>
        <w:t>。这些</w:t>
      </w:r>
      <w:r>
        <w:t>充分提示了</w:t>
      </w:r>
      <w:r>
        <w:t>HBx</w:t>
      </w:r>
      <w:r/>
      <w:r w:rsidR="001852F3">
        <w:t xml:space="preserve">引起的</w:t>
      </w:r>
      <w:r>
        <w:t>HCC</w:t>
      </w:r>
      <w:r/>
      <w:r w:rsidR="001852F3">
        <w:t xml:space="preserve">可能通过</w:t>
      </w:r>
      <w:r>
        <w:t>HBx</w:t>
      </w:r>
      <w:r/>
      <w:r w:rsidR="001852F3">
        <w:t xml:space="preserve">与线粒体的相互作用来实现的。因此</w:t>
      </w:r>
      <w:r w:rsidR="001852F3">
        <w:t>，</w:t>
      </w:r>
    </w:p>
    <w:p w:rsidR="0018722C">
      <w:pPr>
        <w:topLinePunct/>
      </w:pPr>
      <w:r>
        <w:t>在这里我们对</w:t>
      </w:r>
      <w:r>
        <w:t>HBx</w:t>
      </w:r>
      <w:r/>
      <w:r w:rsidR="001852F3">
        <w:t xml:space="preserve">对线粒体的生理及其功能的影响进行综述，旨在进一步阐明</w:t>
      </w:r>
      <w:r>
        <w:t>HBx</w:t>
      </w:r>
      <w:r>
        <w:t>的作用机制，为</w:t>
      </w:r>
      <w:r>
        <w:t>HBV</w:t>
      </w:r>
      <w:r/>
      <w:r w:rsidR="001852F3">
        <w:t xml:space="preserve">感染导致的肝脏损伤以及与其相关的肝细胞癌的进展的治疗提供新的靶点和依据。</w:t>
      </w:r>
    </w:p>
    <w:p w:rsidR="0018722C">
      <w:pPr>
        <w:pStyle w:val="cw20"/>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HBV</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X</w:t>
      </w:r>
      <w:r w:rsidR="001852F3">
        <w:rPr>
          <w:rFonts w:cstheme="minorBidi" w:hAnsiTheme="minorHAnsi" w:eastAsiaTheme="minorHAnsi" w:asciiTheme="minorHAnsi" w:ascii="宋体" w:hAnsi="宋体" w:eastAsia="宋体" w:cs="宋体"/>
          <w:b/>
        </w:rPr>
        <w:t xml:space="preserve">蛋白在线粒体的定位</w:t>
      </w:r>
    </w:p>
    <w:p w:rsidR="0018722C">
      <w:pPr>
        <w:pStyle w:val="cw20"/>
        <w:topLinePunct/>
      </w:pPr>
      <w:r>
        <w:rPr>
          <w:rFonts w:ascii="宋体" w:eastAsia="宋体" w:hint="eastAsia"/>
          <w:b/>
        </w:rPr>
        <w:t>1.1 </w:t>
      </w:r>
      <w:r>
        <w:rPr>
          <w:rFonts w:ascii="宋体" w:eastAsia="宋体" w:hint="eastAsia"/>
          <w:b/>
        </w:rPr>
        <w:t>HBx</w:t>
      </w:r>
      <w:r w:rsidR="001852F3">
        <w:rPr>
          <w:rFonts w:ascii="宋体" w:eastAsia="宋体" w:hint="eastAsia"/>
          <w:b/>
        </w:rPr>
        <w:t xml:space="preserve">大部分定位于线粒体外膜</w:t>
      </w:r>
    </w:p>
    <w:p w:rsidR="0018722C">
      <w:pPr>
        <w:topLinePunct/>
      </w:pPr>
      <w:r>
        <w:t>在表达</w:t>
      </w:r>
      <w:r>
        <w:t>HBx</w:t>
      </w:r>
      <w:r/>
      <w:r w:rsidR="001852F3">
        <w:t xml:space="preserve">的</w:t>
      </w:r>
      <w:r>
        <w:t>COS</w:t>
      </w:r>
      <w:r/>
      <w:r w:rsidR="001852F3">
        <w:t xml:space="preserve">细胞</w:t>
      </w:r>
      <w:r>
        <w:rPr>
          <w:vertAlign w:val="superscript"/>
          /&gt;
        </w:rPr>
        <w:t>[</w:t>
      </w:r>
      <w:r>
        <w:rPr>
          <w:vertAlign w:val="superscript"/>
          /&gt;
        </w:rPr>
        <w:t xml:space="preserve">14</w:t>
      </w:r>
      <w:r>
        <w:rPr>
          <w:vertAlign w:val="superscript"/>
          /&gt;
        </w:rPr>
        <w:t>]</w:t>
      </w:r>
      <w:r>
        <w:t>（</w:t>
      </w:r>
      <w:r>
        <w:t>一种猴肾细胞系细胞</w:t>
      </w:r>
      <w:r>
        <w:t>）</w:t>
      </w:r>
      <w:r>
        <w:t>、HepG2.215</w:t>
      </w:r>
      <w:r/>
      <w:r w:rsidR="001852F3">
        <w:t xml:space="preserve">细胞</w:t>
      </w:r>
      <w:r>
        <w:rPr>
          <w:vertAlign w:val="superscript"/>
          /&gt;
        </w:rPr>
        <w:t>[</w:t>
      </w:r>
      <w:r>
        <w:rPr>
          <w:vertAlign w:val="superscript"/>
          /&gt;
        </w:rPr>
        <w:t xml:space="preserve">15</w:t>
      </w:r>
      <w:r>
        <w:rPr>
          <w:vertAlign w:val="superscript"/>
          /&gt;
        </w:rPr>
        <w:t>]</w:t>
      </w:r>
      <w:r>
        <w:t>（</w:t>
      </w:r>
      <w:r>
        <w:t>一种</w:t>
      </w:r>
      <w:r>
        <w:rPr>
          <w:spacing w:val="-6"/>
        </w:rPr>
        <w:t>稳定表达</w:t>
      </w:r>
      <w:r>
        <w:t>HBV cDNA</w:t>
      </w:r>
      <w:r w:rsidR="001852F3">
        <w:rPr>
          <w:spacing w:val="-8"/>
        </w:rPr>
        <w:t xml:space="preserve">复制复合物的</w:t>
      </w:r>
      <w:r>
        <w:t>HepG2</w:t>
      </w:r>
      <w:r w:rsidR="001852F3">
        <w:rPr>
          <w:spacing w:val="-5"/>
        </w:rPr>
        <w:t xml:space="preserve">细胞系细胞</w:t>
      </w:r>
      <w:r>
        <w:t>）</w:t>
      </w:r>
      <w:r>
        <w:t>、Huh7</w:t>
      </w:r>
      <w:r/>
      <w:r w:rsidR="001852F3">
        <w:t xml:space="preserve">细胞</w:t>
      </w:r>
      <w:r>
        <w:rPr>
          <w:vertAlign w:val="superscript"/>
          /&gt;
        </w:rPr>
        <w:t>[</w:t>
      </w:r>
      <w:r>
        <w:rPr>
          <w:vertAlign w:val="superscript"/>
          <w:position w:val="12"/>
        </w:rPr>
        <w:t xml:space="preserve">16</w:t>
      </w:r>
      <w:r>
        <w:rPr>
          <w:vertAlign w:val="superscript"/>
          /&gt;
        </w:rPr>
        <w:t>]</w:t>
      </w:r>
      <w:r>
        <w:t>和</w:t>
      </w:r>
      <w:r>
        <w:t>HBx</w:t>
      </w:r>
      <w:r/>
      <w:r w:rsidR="001852F3">
        <w:t xml:space="preserve">转基因小鼠肝细胞中</w:t>
      </w:r>
      <w:r>
        <w:rPr>
          <w:vertAlign w:val="superscript"/>
          /&gt;
        </w:rPr>
        <w:t>[</w:t>
      </w:r>
      <w:r>
        <w:rPr>
          <w:vertAlign w:val="superscript"/>
          <w:position w:val="12"/>
        </w:rPr>
        <w:t xml:space="preserve">17</w:t>
      </w:r>
      <w:r>
        <w:rPr>
          <w:vertAlign w:val="superscript"/>
          /&gt;
        </w:rPr>
        <w:t>]</w:t>
      </w:r>
      <w:r>
        <w:t>，都发现</w:t>
      </w:r>
      <w:r>
        <w:t>HBx</w:t>
      </w:r>
      <w:r/>
      <w:r w:rsidR="001852F3">
        <w:t xml:space="preserve">定位于线粒体。</w:t>
      </w:r>
      <w:r>
        <w:t>Amy J. Clippinger and Michael J.</w:t>
      </w:r>
    </w:p>
    <w:p w:rsidR="0018722C">
      <w:pPr>
        <w:topLinePunct/>
      </w:pPr>
      <w:r>
        <w:t>Bouchard</w:t>
      </w:r>
      <w:r>
        <w:rPr>
          <w:vertAlign w:val="superscript"/>
          /&gt;
        </w:rPr>
        <w:t>[</w:t>
      </w:r>
      <w:r>
        <w:rPr>
          <w:vertAlign w:val="superscript"/>
          /&gt;
        </w:rPr>
        <w:t xml:space="preserve">18</w:t>
      </w:r>
      <w:r>
        <w:rPr>
          <w:vertAlign w:val="superscript"/>
          /&gt;
        </w:rPr>
        <w:t>]</w:t>
      </w:r>
      <w:r>
        <w:t>为了更好的模拟正常肝细胞的生理和功能，以原代小鼠肝细胞为模型</w:t>
      </w:r>
      <w:r>
        <w:t>系统，发现在原代小鼠肝细胞中</w:t>
      </w:r>
      <w:r>
        <w:t>HBx</w:t>
      </w:r>
      <w:r/>
      <w:r w:rsidR="001852F3">
        <w:t xml:space="preserve">全部插入到线粒体外膜中，而在</w:t>
      </w:r>
      <w:r>
        <w:t>HepG2</w:t>
      </w:r>
      <w:r/>
      <w:r w:rsidR="001852F3">
        <w:t xml:space="preserve">细胞</w:t>
      </w:r>
      <w:r>
        <w:t>中，</w:t>
      </w:r>
      <w:r>
        <w:t>HBx</w:t>
      </w:r>
      <w:r/>
      <w:r w:rsidR="001852F3">
        <w:t xml:space="preserve">部分暴露在线粒体表面，部分插入到线粒体外膜中。虽然这些研究是在不同的细胞系细胞中展开的，但是他们都共同指出了线粒体大部分定位于线粒体外膜。</w:t>
      </w:r>
    </w:p>
    <w:p w:rsidR="0018722C">
      <w:pPr>
        <w:pStyle w:val="cw20"/>
        <w:topLinePunct/>
      </w:pPr>
      <w:r>
        <w:rPr>
          <w:rFonts w:cstheme="minorBidi" w:hAnsiTheme="minorHAnsi" w:eastAsiaTheme="minorHAnsi" w:asciiTheme="minorHAnsi" w:ascii="宋体" w:hAnsi="宋体" w:eastAsia="宋体" w:cs="宋体"/>
          <w:b/>
        </w:rPr>
        <w:t>1.2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氨基酸序列中与线粒体定位有关的区域</w:t>
      </w:r>
    </w:p>
    <w:p w:rsidR="0018722C">
      <w:pPr>
        <w:topLinePunct/>
      </w:pPr>
      <w:r>
        <w:t>既然</w:t>
      </w:r>
      <w:r>
        <w:t>HBx</w:t>
      </w:r>
      <w:r/>
      <w:r w:rsidR="001852F3">
        <w:t xml:space="preserve">定位于线粒体，那么</w:t>
      </w:r>
      <w:r>
        <w:t>HBx</w:t>
      </w:r>
      <w:r/>
      <w:r w:rsidR="001852F3">
        <w:t xml:space="preserve">氨基酸序列中有关线粒体定位的必需区域的研究就显得格外重要。Kyung-Won Huh and Aleem Siddiqui</w:t>
      </w:r>
      <w:r>
        <w:rPr>
          <w:vertAlign w:val="superscript"/>
          /&gt;
        </w:rPr>
        <w:t>[</w:t>
      </w:r>
      <w:r>
        <w:rPr>
          <w:vertAlign w:val="superscript"/>
          /&gt;
        </w:rPr>
        <w:t xml:space="preserve">19</w:t>
      </w:r>
      <w:r>
        <w:rPr>
          <w:vertAlign w:val="superscript"/>
          /&gt;
        </w:rPr>
        <w:t>]</w:t>
      </w:r>
      <w:r>
        <w:t>绘制了</w:t>
      </w:r>
      <w:r>
        <w:t>HBX</w:t>
      </w:r>
      <w:r/>
      <w:r w:rsidR="001852F3">
        <w:t xml:space="preserve">中有关线粒体定位的区域，推断出一段跨膜区域</w:t>
      </w:r>
      <w:r>
        <w:t>（</w:t>
      </w:r>
      <w:r>
        <w:t>aa54-70</w:t>
      </w:r>
      <w:r>
        <w:t>）</w:t>
      </w:r>
      <w:r>
        <w:t>与线粒体定位相关，并指</w:t>
      </w:r>
      <w:r>
        <w:t>出</w:t>
      </w:r>
      <w:r>
        <w:t>HBx a-螺旋区域</w:t>
      </w:r>
      <w:r>
        <w:t>(</w:t>
      </w:r>
      <w:r>
        <w:t>aa 75–88 and aa 109–131</w:t>
      </w:r>
      <w:r>
        <w:t>)</w:t>
      </w:r>
      <w:r/>
      <w:r w:rsidR="001852F3">
        <w:t xml:space="preserve">有助于</w:t>
      </w:r>
      <w:r>
        <w:t>HBx</w:t>
      </w:r>
      <w:r/>
      <w:r w:rsidR="001852F3">
        <w:t xml:space="preserve">定位于线粒体。他</w:t>
      </w:r>
      <w:r>
        <w:t>们还进一步阐明</w:t>
      </w:r>
      <w:r>
        <w:t>HBX</w:t>
      </w:r>
      <w:r/>
      <w:r w:rsidR="001852F3">
        <w:t xml:space="preserve">大多数定位于线粒体外膜，是它的本质特征，是基于它对胰</w:t>
      </w:r>
      <w:r>
        <w:t>岛素治疗的敏感和对碱治疗的抵抗。有研究发现，</w:t>
      </w:r>
      <w:r>
        <w:t>HBx</w:t>
      </w:r>
      <w:r/>
      <w:r w:rsidR="001852F3">
        <w:t xml:space="preserve">定位在线粒体上的结合区域</w:t>
      </w:r>
      <w:r>
        <w:t>是</w:t>
      </w:r>
      <w:r>
        <w:t>aa68-117，这一区域是细胞凋亡必须的，但对于反式激活作用并非必须</w:t>
      </w:r>
      <w:r>
        <w:rPr>
          <w:vertAlign w:val="superscript"/>
          /&gt;
        </w:rPr>
        <w:t>[</w:t>
      </w:r>
      <w:r>
        <w:rPr>
          <w:vertAlign w:val="superscript"/>
          <w:position w:val="12"/>
        </w:rPr>
        <w:t xml:space="preserve">20</w:t>
      </w:r>
      <w:r>
        <w:rPr>
          <w:vertAlign w:val="superscript"/>
          /&gt;
        </w:rPr>
        <w:t>]</w:t>
      </w:r>
      <w:r>
        <w:t>。</w:t>
      </w:r>
      <w:r>
        <w:t>Sai Kam Li</w:t>
      </w:r>
      <w:r/>
      <w:r w:rsidR="001852F3">
        <w:t xml:space="preserve">等</w:t>
      </w:r>
      <w:r>
        <w:rPr>
          <w:vertAlign w:val="superscript"/>
          /&gt;
        </w:rPr>
        <w:t>[</w:t>
      </w:r>
      <w:r>
        <w:rPr>
          <w:vertAlign w:val="superscript"/>
          <w:position w:val="12"/>
        </w:rPr>
        <w:t xml:space="preserve">21</w:t>
      </w:r>
      <w:r>
        <w:rPr>
          <w:vertAlign w:val="superscript"/>
          /&gt;
        </w:rPr>
        <w:t>]</w:t>
      </w:r>
      <w:r>
        <w:t>通过</w:t>
      </w:r>
      <w:r>
        <w:t>HBx</w:t>
      </w:r>
      <w:r/>
      <w:r w:rsidR="001852F3">
        <w:t xml:space="preserve">中</w:t>
      </w:r>
      <w:r>
        <w:t>GFP</w:t>
      </w:r>
      <w:r/>
      <w:r w:rsidR="001852F3">
        <w:t xml:space="preserve">绿色荧光蛋白的表达，以及人类肝细胞系带有</w:t>
      </w:r>
      <w:r>
        <w:t>GFP</w:t>
      </w:r>
      <w:r/>
      <w:r w:rsidR="001852F3">
        <w:t xml:space="preserve">标</w:t>
      </w:r>
      <w:r>
        <w:t>签的</w:t>
      </w:r>
      <w:r>
        <w:t>HBx</w:t>
      </w:r>
      <w:r/>
      <w:r w:rsidR="001852F3">
        <w:t xml:space="preserve">缩短突变的研究，显示</w:t>
      </w:r>
      <w:r>
        <w:t>HBx</w:t>
      </w:r>
      <w:r/>
      <w:r w:rsidR="001852F3">
        <w:t xml:space="preserve">氨基酸序列的</w:t>
      </w:r>
      <w:r>
        <w:t>C</w:t>
      </w:r>
      <w:r/>
      <w:r w:rsidR="001852F3">
        <w:t xml:space="preserve">末端对于它特异性定位于线</w:t>
      </w:r>
      <w:r>
        <w:t>粒体是不可缺少的。他们绘制出一段由</w:t>
      </w:r>
      <w:r>
        <w:t>7</w:t>
      </w:r>
      <w:r/>
      <w:r w:rsidR="001852F3">
        <w:t xml:space="preserve">个氨基酸组成的</w:t>
      </w:r>
      <w:r>
        <w:t>C</w:t>
      </w:r>
      <w:r/>
      <w:r w:rsidR="001852F3">
        <w:t xml:space="preserve">末端重要区域，指出</w:t>
      </w:r>
      <w:r>
        <w:t>该区域中第</w:t>
      </w:r>
      <w:r>
        <w:t>115</w:t>
      </w:r>
      <w:r/>
      <w:r w:rsidR="001852F3">
        <w:t xml:space="preserve">位的半胱氨酸残基是</w:t>
      </w:r>
      <w:r>
        <w:t>HBx</w:t>
      </w:r>
      <w:r/>
      <w:r w:rsidR="001852F3">
        <w:t xml:space="preserve">亚细胞定位最重要的残基，当它突变为丙氨酸时，HBx</w:t>
      </w:r>
      <w:r/>
      <w:r w:rsidR="001852F3">
        <w:t xml:space="preserve">就不能特异性定位于线粒体。</w:t>
      </w:r>
    </w:p>
    <w:p w:rsidR="0018722C">
      <w:pPr>
        <w:topLinePunct/>
      </w:pPr>
      <w:r>
        <w:t>HBx</w:t>
      </w:r>
      <w:r/>
      <w:r w:rsidR="001852F3">
        <w:t xml:space="preserve">大多数定位于线粒体外膜，这将为进一步研究</w:t>
      </w:r>
      <w:r>
        <w:t>HBV</w:t>
      </w:r>
      <w:r/>
      <w:r w:rsidR="001852F3">
        <w:t xml:space="preserve">相关的肝细胞癌提供线</w:t>
      </w:r>
      <w:r>
        <w:t>索和方向。同时</w:t>
      </w:r>
      <w:r>
        <w:t>HBx</w:t>
      </w:r>
      <w:r/>
      <w:r w:rsidR="001852F3">
        <w:t xml:space="preserve">氨基酸序列中与线粒体定位有关的区域可以为</w:t>
      </w:r>
      <w:r>
        <w:t>RNi</w:t>
      </w:r>
      <w:r w:rsidR="001852F3">
        <w:t xml:space="preserve">技术治疗慢性乙肝及其相关肝细胞癌提供新靶点。</w:t>
      </w:r>
    </w:p>
    <w:p w:rsidR="0018722C">
      <w:pPr>
        <w:pStyle w:val="cw20"/>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HBV</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X</w:t>
      </w:r>
      <w:r w:rsidR="001852F3">
        <w:rPr>
          <w:rFonts w:cstheme="minorBidi" w:hAnsiTheme="minorHAnsi" w:eastAsiaTheme="minorHAnsi" w:asciiTheme="minorHAnsi" w:ascii="宋体" w:hAnsi="宋体" w:eastAsia="宋体" w:cs="宋体"/>
          <w:b/>
        </w:rPr>
        <w:t xml:space="preserve">蛋白与线粒体相关的蛋白相互作用</w:t>
      </w:r>
    </w:p>
    <w:p w:rsidR="0018722C">
      <w:pPr>
        <w:topLinePunct/>
      </w:pPr>
      <w:r>
        <w:t>线粒体是调节细胞凋亡、细胞能量代谢以及信号转导通路的关键细胞器</w:t>
      </w:r>
      <w:r>
        <w:rPr>
          <w:vertAlign w:val="superscript"/>
          /&gt;
        </w:rPr>
        <w:t>[</w:t>
      </w:r>
      <w:r>
        <w:rPr>
          <w:vertAlign w:val="superscript"/>
          <w:position w:val="12"/>
        </w:rPr>
        <w:t xml:space="preserve">11</w:t>
      </w:r>
      <w:r>
        <w:rPr>
          <w:vertAlign w:val="superscript"/>
          /&gt;
        </w:rPr>
        <w:t>]</w:t>
      </w:r>
      <w:r>
        <w:t>。</w:t>
      </w:r>
      <w:r>
        <w:t>而</w:t>
      </w:r>
      <w:r>
        <w:t>HBx</w:t>
      </w:r>
      <w:r/>
      <w:r w:rsidR="001852F3">
        <w:t xml:space="preserve">大多数定位于线粒体外膜，因此研究</w:t>
      </w:r>
      <w:r>
        <w:t>HBx</w:t>
      </w:r>
      <w:r/>
      <w:r w:rsidR="001852F3">
        <w:t xml:space="preserve">对线粒体生理及其功能的影响将</w:t>
      </w:r>
      <w:r>
        <w:t>使</w:t>
      </w:r>
      <w:r>
        <w:t>HBV</w:t>
      </w:r>
      <w:r/>
      <w:r w:rsidR="001852F3">
        <w:t xml:space="preserve">相关的肝细胞癌的致病机制进一步明朗。既然</w:t>
      </w:r>
      <w:r>
        <w:t>HBx</w:t>
      </w:r>
      <w:r/>
      <w:r w:rsidR="001852F3">
        <w:t xml:space="preserve">并不直接与</w:t>
      </w:r>
      <w:r>
        <w:t>DNA</w:t>
      </w:r>
      <w:r/>
      <w:r w:rsidR="001852F3">
        <w:t xml:space="preserve">结合，</w:t>
      </w:r>
      <w:r w:rsidR="001852F3">
        <w:t xml:space="preserve">而是通过蛋白质—蛋白质相互作用来发挥功能的</w:t>
      </w:r>
      <w:r>
        <w:rPr>
          <w:vertAlign w:val="superscript"/>
          /&gt;
        </w:rPr>
        <w:t>[</w:t>
      </w:r>
      <w:r>
        <w:rPr>
          <w:vertAlign w:val="superscript"/>
          <w:position w:val="12"/>
        </w:rPr>
        <w:t xml:space="preserve">4</w:t>
      </w:r>
      <w:r>
        <w:rPr>
          <w:vertAlign w:val="superscript"/>
          /&gt;
        </w:rPr>
        <w:t>]</w:t>
      </w:r>
      <w:r>
        <w:t>，那么有必要对与</w:t>
      </w:r>
      <w:r>
        <w:t>HBx</w:t>
      </w:r>
      <w:r/>
      <w:r w:rsidR="001852F3">
        <w:t xml:space="preserve">相互作用的与线粒体相关的蛋白进行研究。</w:t>
      </w:r>
    </w:p>
    <w:p w:rsidR="0018722C">
      <w:pPr>
        <w:pStyle w:val="cw20"/>
        <w:topLinePunct/>
      </w:pPr>
      <w:r>
        <w:rPr>
          <w:rFonts w:cstheme="minorBidi" w:hAnsiTheme="minorHAnsi" w:eastAsiaTheme="minorHAnsi" w:asciiTheme="minorHAnsi" w:ascii="宋体" w:hAnsi="宋体" w:eastAsia="宋体" w:cs="宋体"/>
          <w:b/>
        </w:rPr>
        <w:t>2.1</w:t>
      </w:r>
      <w:r>
        <w:rPr>
          <w:rFonts w:cstheme="minorBidi" w:hAnsiTheme="minorHAnsi" w:eastAsiaTheme="minorHAnsi" w:asciiTheme="minorHAnsi" w:ascii="宋体" w:hAnsi="宋体" w:eastAsia="宋体" w:cs="宋体"/>
          <w:b/>
        </w:rPr>
        <w:t>线粒体膜完整性相关蛋白</w:t>
      </w:r>
    </w:p>
    <w:p w:rsidR="0018722C">
      <w:pPr>
        <w:pStyle w:val="cw20"/>
        <w:topLinePunct/>
      </w:pPr>
      <w:r>
        <w:rPr>
          <w:rFonts w:ascii="宋体" w:eastAsia="宋体" w:hint="eastAsia"/>
          <w:b/>
        </w:rPr>
        <w:t>2.1.1</w:t>
      </w:r>
      <w:r>
        <w:rPr>
          <w:rFonts w:ascii="宋体" w:eastAsia="宋体" w:hint="eastAsia"/>
          <w:b/>
        </w:rPr>
        <w:t>人类电压依赖型离子通道蛋白</w:t>
      </w:r>
      <w:r>
        <w:rPr>
          <w:rFonts w:ascii="宋体" w:eastAsia="宋体" w:hint="eastAsia"/>
          <w:b/>
        </w:rPr>
        <w:t>3</w:t>
      </w:r>
      <w:r>
        <w:rPr>
          <w:rFonts w:ascii="宋体" w:eastAsia="宋体" w:hint="eastAsia"/>
          <w:b/>
        </w:rPr>
        <w:t>(</w:t>
      </w:r>
      <w:r>
        <w:rPr>
          <w:rFonts w:ascii="宋体" w:eastAsia="宋体" w:hint="eastAsia"/>
          <w:b/>
        </w:rPr>
        <w:t>HVDAC3</w:t>
      </w:r>
      <w:r>
        <w:rPr>
          <w:rFonts w:ascii="宋体" w:eastAsia="宋体" w:hint="eastAsia"/>
          <w:b/>
        </w:rPr>
        <w:t>)</w:t>
      </w:r>
    </w:p>
    <w:p w:rsidR="0018722C">
      <w:pPr>
        <w:topLinePunct/>
      </w:pPr>
      <w:r>
        <w:t>VDAC</w:t>
      </w:r>
      <w:r/>
      <w:r w:rsidR="001852F3">
        <w:t xml:space="preserve">是位于线粒体外膜的离子型孔道，对进出线粒体的代谢物的转运非常重</w:t>
      </w:r>
      <w:r>
        <w:t>要。有研究表明</w:t>
      </w:r>
      <w:r>
        <w:t>VDAC</w:t>
      </w:r>
      <w:r w:rsidR="001852F3">
        <w:t xml:space="preserve">是线粒体膜上通透转位核孔复合体的成分之一，能调节线粒体的跨膜电位和细胞色素</w:t>
      </w:r>
      <w:r w:rsidR="001852F3">
        <w:t xml:space="preserve">C</w:t>
      </w:r>
      <w:r/>
      <w:r w:rsidR="001852F3">
        <w:t xml:space="preserve">的释放</w:t>
      </w:r>
      <w:r>
        <w:rPr>
          <w:vertAlign w:val="superscript"/>
          /&gt;
        </w:rPr>
        <w:t>[</w:t>
      </w:r>
      <w:r>
        <w:rPr>
          <w:position w:val="12"/>
          <w:sz w:val="12"/>
        </w:rPr>
        <w:t xml:space="preserve">22</w:t>
      </w:r>
      <w:r>
        <w:rPr>
          <w:vertAlign w:val="superscript"/>
          /&gt;
        </w:rPr>
        <w:t>]</w:t>
      </w:r>
      <w:r/>
      <w:r>
        <w:rPr>
          <w:vertAlign w:val="superscript"/>
          /&gt;
        </w:rPr>
        <w:t>[</w:t>
      </w:r>
      <w:r>
        <w:rPr>
          <w:vertAlign w:val="superscript"/>
          <w:position w:val="12"/>
        </w:rPr>
        <w:t>23</w:t>
      </w:r>
      <w:r>
        <w:rPr>
          <w:vertAlign w:val="superscript"/>
          /&gt;
        </w:rPr>
        <w:t>]</w:t>
      </w:r>
      <w:r>
        <w:t>。Rahman i</w:t>
      </w:r>
      <w:r>
        <w:rPr>
          <w:vertAlign w:val="superscript"/>
          /&gt;
        </w:rPr>
        <w:t>[</w:t>
      </w:r>
      <w:r>
        <w:rPr>
          <w:position w:val="12"/>
          <w:sz w:val="12"/>
        </w:rPr>
        <w:t xml:space="preserve">24</w:t>
      </w:r>
      <w:r>
        <w:rPr>
          <w:vertAlign w:val="superscript"/>
          /&gt;
        </w:rPr>
        <w:t>]</w:t>
      </w:r>
      <w:r>
        <w:t>等通过酵母双杂交鉴定出能与</w:t>
      </w:r>
      <w:r w:rsidR="001852F3">
        <w:t xml:space="preserve">HBx</w:t>
      </w:r>
      <w:r/>
      <w:r w:rsidR="001852F3">
        <w:t xml:space="preserve">结合的新的靶蛋白</w:t>
      </w:r>
      <w:r>
        <w:rPr>
          <w:rFonts w:hint="eastAsia"/>
        </w:rPr>
        <w:t>，</w:t>
      </w:r>
      <w:r w:rsidR="001852F3">
        <w:t xml:space="preserve">是电压依赖性离子通道蛋白家族的新成员</w:t>
      </w:r>
      <w:r>
        <w:rPr>
          <w:rFonts w:hint="eastAsia"/>
        </w:rPr>
        <w:t>，</w:t>
      </w:r>
      <w:r w:rsidR="001852F3">
        <w:t xml:space="preserve">命名</w:t>
      </w:r>
      <w:r w:rsidR="001852F3">
        <w:t>为</w:t>
      </w:r>
    </w:p>
    <w:p w:rsidR="0018722C">
      <w:pPr>
        <w:topLinePunct/>
      </w:pPr>
      <w:r>
        <w:t>HVDAC3</w:t>
      </w:r>
      <w:r>
        <w:t>，他们认为</w:t>
      </w:r>
      <w:r>
        <w:t>HBx</w:t>
      </w:r>
      <w:r/>
      <w:r w:rsidR="001852F3">
        <w:t xml:space="preserve">通过与</w:t>
      </w:r>
      <w:r>
        <w:t>HVDAC3</w:t>
      </w:r>
      <w:r/>
      <w:r w:rsidR="001852F3">
        <w:t xml:space="preserve">相互作用，改变线粒体的功能。近来有学者</w:t>
      </w:r>
      <w:r>
        <w:t>利用激光共聚焦显微镜中双重免疫荧光证实了</w:t>
      </w:r>
      <w:r>
        <w:t>HVDAC3</w:t>
      </w:r>
      <w:r/>
      <w:r w:rsidR="001852F3">
        <w:t xml:space="preserve">与</w:t>
      </w:r>
      <w:r>
        <w:t>HBx</w:t>
      </w:r>
      <w:r/>
      <w:r w:rsidR="001852F3">
        <w:t xml:space="preserve">共同定位于线粒体，</w:t>
      </w:r>
      <w:r w:rsidR="001852F3">
        <w:t xml:space="preserve">并导致线粒体膜电位的改变</w:t>
      </w:r>
      <w:r>
        <w:rPr>
          <w:vertAlign w:val="superscript"/>
          /&gt;
        </w:rPr>
        <w:t>[</w:t>
      </w:r>
      <w:r>
        <w:rPr>
          <w:vertAlign w:val="superscript"/>
          <w:position w:val="12"/>
        </w:rPr>
        <w:t xml:space="preserve">25</w:t>
      </w:r>
      <w:r>
        <w:rPr>
          <w:vertAlign w:val="superscript"/>
          /&gt;
        </w:rPr>
        <w:t>]</w:t>
      </w:r>
      <w:r>
        <w:t>。但也有人在</w:t>
      </w:r>
      <w:r>
        <w:t>HepG2</w:t>
      </w:r>
      <w:r/>
      <w:r w:rsidR="001852F3">
        <w:t xml:space="preserve">细胞或者原代小鼠肝细胞中免</w:t>
      </w:r>
      <w:r>
        <w:t>疫共沉淀</w:t>
      </w:r>
      <w:r>
        <w:t>HBx</w:t>
      </w:r>
      <w:r/>
      <w:r w:rsidR="001852F3">
        <w:t xml:space="preserve">与</w:t>
      </w:r>
      <w:r>
        <w:t>VDAC</w:t>
      </w:r>
      <w:r/>
      <w:r w:rsidR="001852F3">
        <w:t xml:space="preserve">并不成功</w:t>
      </w:r>
      <w:r>
        <w:rPr>
          <w:vertAlign w:val="superscript"/>
          /&gt;
        </w:rPr>
        <w:t>[</w:t>
      </w:r>
      <w:r>
        <w:rPr>
          <w:vertAlign w:val="superscript"/>
          <w:position w:val="12"/>
        </w:rPr>
        <w:t xml:space="preserve">26</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线粒体膜通透性转换孔</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MPTP</w:t>
      </w:r>
      <w:r>
        <w:rPr>
          <w:rFonts w:cstheme="minorBidi" w:hAnsiTheme="minorHAnsi" w:eastAsiaTheme="minorHAnsi" w:asciiTheme="minorHAnsi" w:ascii="宋体" w:hAnsi="宋体" w:eastAsia="宋体" w:cs="宋体"/>
          <w:b/>
        </w:rPr>
        <w:t>）</w:t>
      </w:r>
    </w:p>
    <w:p w:rsidR="0018722C">
      <w:pPr>
        <w:topLinePunct/>
      </w:pPr>
      <w:r>
        <w:t>线粒体膜通透性转换孔</w:t>
      </w:r>
      <w:r>
        <w:t>（</w:t>
      </w:r>
      <w:r>
        <w:t>MPTP</w:t>
      </w:r>
      <w:r>
        <w:t>）</w:t>
      </w:r>
      <w:r>
        <w:t>是一种位于线粒体内膜的非选择性孔道，正</w:t>
      </w:r>
      <w:r>
        <w:t>常情况下，</w:t>
      </w:r>
      <w:r>
        <w:t>MPTP</w:t>
      </w:r>
      <w:r/>
      <w:r w:rsidR="001852F3">
        <w:t xml:space="preserve">孔容许分子量小于</w:t>
      </w:r>
      <w:r>
        <w:t>1500</w:t>
      </w:r>
      <w:r/>
      <w:r w:rsidR="001852F3">
        <w:t xml:space="preserve">的溶质通过，它的开放引起线粒体膜通透性改变，导致细胞色素</w:t>
      </w:r>
      <w:r>
        <w:t>C</w:t>
      </w:r>
      <w:r>
        <w:t>、凋亡诱导因子和</w:t>
      </w:r>
      <w:r>
        <w:t>Ca2+及膜间隙中的胱冬肽酶原等凋亡</w:t>
      </w:r>
      <w:r>
        <w:t>因子释放到细胞质中，致使细胞整体结构破坏、功能紊乱，发生凋亡。</w:t>
      </w:r>
      <w:r>
        <w:t>McClain</w:t>
      </w:r>
      <w:r/>
      <w:r w:rsidR="001852F3">
        <w:t xml:space="preserve">等</w:t>
      </w:r>
      <w:r>
        <w:t>发现在</w:t>
      </w:r>
      <w:r>
        <w:t>HepG2</w:t>
      </w:r>
      <w:r/>
      <w:r w:rsidR="001852F3">
        <w:t xml:space="preserve">细胞中</w:t>
      </w:r>
      <w:r>
        <w:t>，HBx</w:t>
      </w:r>
      <w:r/>
      <w:r w:rsidR="001852F3">
        <w:t xml:space="preserve">作用于</w:t>
      </w:r>
      <w:r>
        <w:t>MPTP</w:t>
      </w:r>
      <w:r/>
      <w:r w:rsidR="001852F3">
        <w:t xml:space="preserve">导致细胞质中钙水平的上升，应用环孢</w:t>
      </w:r>
      <w:r w:rsidR="001852F3">
        <w:t>素</w:t>
      </w:r>
    </w:p>
    <w:p w:rsidR="0018722C">
      <w:pPr>
        <w:topLinePunct/>
      </w:pPr>
      <w:r>
        <w:t>A—</w:t>
      </w:r>
      <w:r>
        <w:t>一种</w:t>
      </w:r>
      <w:r>
        <w:t>MPTP</w:t>
      </w:r>
      <w:r/>
      <w:r w:rsidR="001852F3">
        <w:t xml:space="preserve">的抑制剂，可以阻断细胞质中钙水平的上升</w:t>
      </w:r>
      <w:r>
        <w:rPr>
          <w:vertAlign w:val="superscript"/>
          /&gt;
        </w:rPr>
        <w:t>[</w:t>
      </w:r>
      <w:r>
        <w:rPr>
          <w:vertAlign w:val="superscript"/>
          <w:position w:val="12"/>
        </w:rPr>
        <w:t xml:space="preserve">27</w:t>
      </w:r>
      <w:r>
        <w:rPr>
          <w:vertAlign w:val="superscript"/>
          /&gt;
        </w:rPr>
        <w:t>]</w:t>
      </w:r>
      <w:r>
        <w:t>。细胞之中钙信号以</w:t>
      </w:r>
      <w:r>
        <w:t>及</w:t>
      </w:r>
      <w:r>
        <w:t>MPTP</w:t>
      </w:r>
      <w:r/>
      <w:r w:rsidR="001852F3">
        <w:t xml:space="preserve">的活性在</w:t>
      </w:r>
      <w:r>
        <w:t>HBx</w:t>
      </w:r>
      <w:r/>
      <w:r w:rsidR="001852F3">
        <w:t xml:space="preserve">刺激</w:t>
      </w:r>
      <w:r>
        <w:t>HBV</w:t>
      </w:r>
      <w:r/>
      <w:r w:rsidR="001852F3">
        <w:t xml:space="preserve">复制以及影响细胞周期调节蛋白方面是必须的</w:t>
      </w:r>
      <w:r>
        <w:rPr>
          <w:vertAlign w:val="superscript"/>
          /&gt;
        </w:rPr>
        <w:t>[</w:t>
      </w:r>
      <w:r>
        <w:rPr>
          <w:vertAlign w:val="superscript"/>
          <w:position w:val="12"/>
        </w:rPr>
        <w:t xml:space="preserve">28</w:t>
      </w:r>
      <w:r>
        <w:rPr>
          <w:vertAlign w:val="superscript"/>
          /&gt;
        </w:rPr>
        <w:t>]</w:t>
      </w:r>
      <w:r>
        <w:t>。</w:t>
      </w:r>
      <w:r>
        <w:t>环孢菌素的衍生物</w:t>
      </w:r>
      <w:r>
        <w:t>SD2</w:t>
      </w:r>
      <w:r>
        <w:t> </w:t>
      </w:r>
      <w:r>
        <w:t>NIM811</w:t>
      </w:r>
      <w:r/>
      <w:r w:rsidR="001852F3">
        <w:t xml:space="preserve">可以特异性阻断</w:t>
      </w:r>
      <w:r>
        <w:t>MPTP</w:t>
      </w:r>
      <w:r>
        <w:t>，从而影响</w:t>
      </w:r>
      <w:r>
        <w:t>HBV</w:t>
      </w:r>
      <w:r/>
      <w:r w:rsidR="001852F3">
        <w:t xml:space="preserve">的复制</w:t>
      </w:r>
      <w:r>
        <w:rPr>
          <w:vertAlign w:val="superscript"/>
          /&gt;
        </w:rPr>
        <w:t>[</w:t>
      </w:r>
      <w:r>
        <w:rPr>
          <w:vertAlign w:val="superscript"/>
          <w:position w:val="12"/>
        </w:rPr>
        <w:t xml:space="preserve">29</w:t>
      </w:r>
      <w:r>
        <w:rPr>
          <w:vertAlign w:val="superscript"/>
          /&gt;
        </w:rPr>
        <w:t>]</w:t>
      </w:r>
      <w:r>
        <w:t>。这</w:t>
      </w:r>
      <w:r>
        <w:t>些研究都提出了一个推断：MPTP</w:t>
      </w:r>
      <w:r/>
      <w:r w:rsidR="001852F3">
        <w:t xml:space="preserve">是一种与</w:t>
      </w:r>
      <w:r>
        <w:t>HBx</w:t>
      </w:r>
      <w:r/>
      <w:r w:rsidR="001852F3">
        <w:t xml:space="preserve">相互作用的蛋白，其机制有待进一步研究。</w:t>
      </w:r>
    </w:p>
    <w:p w:rsidR="0018722C">
      <w:pPr>
        <w:pStyle w:val="cw20"/>
        <w:topLinePunct/>
      </w:pPr>
      <w:r>
        <w:rPr>
          <w:rFonts w:cstheme="minorBidi" w:hAnsiTheme="minorHAnsi" w:eastAsiaTheme="minorHAnsi" w:asciiTheme="minorHAnsi" w:ascii="宋体" w:hAnsi="宋体" w:eastAsia="宋体" w:cs="宋体"/>
          <w:b/>
        </w:rPr>
        <w:t xml:space="preserve">2.2</w:t>
      </w:r>
      <w:r>
        <w:rPr>
          <w:rFonts w:cstheme="minorBidi" w:hAnsiTheme="minorHAnsi" w:eastAsiaTheme="minorHAnsi" w:asciiTheme="minorHAnsi" w:ascii="宋体" w:hAnsi="宋体" w:eastAsia="宋体" w:cs="宋体"/>
          <w:b/>
        </w:rPr>
        <w:t xml:space="preserve">细胞色素</w:t>
      </w:r>
      <w:r>
        <w:rPr>
          <w:rFonts w:cstheme="minorBidi" w:hAnsiTheme="minorHAnsi" w:eastAsiaTheme="minorHAnsi" w:asciiTheme="minorHAnsi" w:ascii="宋体" w:hAnsi="宋体" w:eastAsia="宋体" w:cs="宋体"/>
          <w:b/>
        </w:rPr>
        <w:t xml:space="preserve">C</w:t>
      </w:r>
      <w:r w:rsidR="001852F3">
        <w:rPr>
          <w:rFonts w:cstheme="minorBidi" w:hAnsiTheme="minorHAnsi" w:eastAsiaTheme="minorHAnsi" w:asciiTheme="minorHAnsi" w:ascii="宋体" w:hAnsi="宋体" w:eastAsia="宋体" w:cs="宋体"/>
          <w:b/>
        </w:rPr>
        <w:t xml:space="preserve">氧化酶</w:t>
      </w:r>
      <w:r>
        <w:rPr>
          <w:rFonts w:cstheme="minorBidi" w:hAnsiTheme="minorHAnsi" w:eastAsiaTheme="minorHAnsi" w:asciiTheme="minorHAnsi" w:ascii="宋体" w:hAnsi="宋体" w:eastAsia="宋体" w:cs="宋体"/>
          <w:b/>
        </w:rPr>
        <w:t xml:space="preserve">III</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COXIII</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w:t>
      </w:r>
    </w:p>
    <w:p w:rsidR="0018722C">
      <w:pPr>
        <w:topLinePunct/>
      </w:pPr>
      <w:r>
        <w:t>细胞色素</w:t>
      </w:r>
      <w:r>
        <w:t>c</w:t>
      </w:r>
      <w:r/>
      <w:r w:rsidR="001852F3">
        <w:t xml:space="preserve">氧化酶复合体是最具特征的呼吸链酶复合体，由</w:t>
      </w:r>
      <w:r>
        <w:t>13</w:t>
      </w:r>
      <w:r/>
      <w:r w:rsidR="001852F3">
        <w:t xml:space="preserve">个亚基组成，</w:t>
      </w:r>
    </w:p>
    <w:p w:rsidR="0018722C">
      <w:pPr>
        <w:topLinePunct/>
      </w:pPr>
      <w:r>
        <w:t>COX</w:t>
      </w:r>
      <w:r>
        <w:t> </w:t>
      </w:r>
      <w:r>
        <w:t>III</w:t>
      </w:r>
      <w:r/>
      <w:r w:rsidR="001852F3">
        <w:t xml:space="preserve">在复合酶的聚集和稳定性中起重要作用，并参与质子的传递和细胞色素</w:t>
      </w:r>
      <w:r>
        <w:t>c</w:t>
      </w:r>
      <w:r w:rsidR="001852F3">
        <w:t xml:space="preserve">氧化酶介导的能量转换</w:t>
      </w:r>
      <w:r>
        <w:rPr>
          <w:vertAlign w:val="superscript"/>
          /&gt;
        </w:rPr>
        <w:t>[</w:t>
      </w:r>
      <w:r>
        <w:rPr>
          <w:vertAlign w:val="superscript"/>
          /&gt;
        </w:rPr>
        <w:t xml:space="preserve">30</w:t>
      </w:r>
      <w:r>
        <w:rPr>
          <w:vertAlign w:val="superscript"/>
          /&gt;
        </w:rPr>
        <w:t>]</w:t>
      </w:r>
      <w:r>
        <w:t>。</w:t>
      </w:r>
      <w:r>
        <w:t>LI</w:t>
      </w:r>
      <w:r/>
      <w:r w:rsidR="001852F3">
        <w:t xml:space="preserve">等通过酵母双杂交体系从成人正常肝细胞</w:t>
      </w:r>
      <w:r>
        <w:t>eDNA</w:t>
      </w:r>
      <w:r/>
      <w:r w:rsidR="001852F3">
        <w:t xml:space="preserve">文库</w:t>
      </w:r>
      <w:r>
        <w:t>中筛选出一种新的</w:t>
      </w:r>
      <w:r>
        <w:t>x</w:t>
      </w:r>
      <w:r/>
      <w:r w:rsidR="001852F3">
        <w:t xml:space="preserve">结合蛋白细胞色素</w:t>
      </w:r>
      <w:r>
        <w:t>C</w:t>
      </w:r>
      <w:r/>
      <w:r w:rsidR="001852F3">
        <w:t xml:space="preserve">氧化酶</w:t>
      </w:r>
      <w:r>
        <w:t>Ⅲ</w:t>
      </w:r>
      <w:r>
        <w:t>(</w:t>
      </w:r>
      <w:r>
        <w:t>cyto—chrome</w:t>
      </w:r>
      <w:r>
        <w:rPr>
          <w:spacing w:val="-4"/>
        </w:rPr>
        <w:t> </w:t>
      </w:r>
      <w:r>
        <w:t>c</w:t>
      </w:r>
      <w:r>
        <w:rPr>
          <w:spacing w:val="-4"/>
        </w:rPr>
        <w:t> </w:t>
      </w:r>
      <w:r>
        <w:t>oxidaseIII</w:t>
      </w:r>
      <w:r>
        <w:t>,</w:t>
      </w:r>
      <w:r>
        <w:t> COXIII</w:t>
      </w:r>
      <w:r>
        <w:t>)</w:t>
      </w:r>
      <w:r>
        <w:t>，</w:t>
      </w:r>
      <w:r>
        <w:t>并指出</w:t>
      </w:r>
      <w:r>
        <w:t>HBV X</w:t>
      </w:r>
      <w:r/>
      <w:r w:rsidR="001852F3">
        <w:t xml:space="preserve">基因下调</w:t>
      </w:r>
      <w:r>
        <w:t>COX</w:t>
      </w:r>
      <w:r/>
      <w:r w:rsidR="001852F3">
        <w:t xml:space="preserve">蛋白表达</w:t>
      </w:r>
      <w:r>
        <w:rPr>
          <w:rFonts w:hint="eastAsia"/>
        </w:rPr>
        <w:t>，</w:t>
      </w:r>
      <w:r>
        <w:t>而对</w:t>
      </w:r>
      <w:r>
        <w:t>mRNA</w:t>
      </w:r>
      <w:r/>
      <w:r w:rsidR="001852F3">
        <w:t xml:space="preserve">表达没有影响</w:t>
      </w:r>
      <w:r>
        <w:rPr>
          <w:rFonts w:hint="eastAsia"/>
        </w:rPr>
        <w:t>，</w:t>
      </w:r>
      <w:r w:rsidR="001852F3">
        <w:t xml:space="preserve">说明HBV</w:t>
      </w:r>
      <w:r>
        <w:t> </w:t>
      </w:r>
      <w:r>
        <w:t>X</w:t>
      </w:r>
      <w:r/>
      <w:r w:rsidR="001852F3">
        <w:t xml:space="preserve">基因主要影响</w:t>
      </w:r>
      <w:r>
        <w:t>COXIII</w:t>
      </w:r>
      <w:r/>
      <w:r w:rsidR="001852F3">
        <w:t xml:space="preserve">的转录后表达水平</w:t>
      </w:r>
      <w:r>
        <w:rPr>
          <w:vertAlign w:val="superscript"/>
          /&gt;
        </w:rPr>
        <w:t>[</w:t>
      </w:r>
      <w:r>
        <w:rPr>
          <w:vertAlign w:val="superscript"/>
          <w:position w:val="12"/>
        </w:rPr>
        <w:t xml:space="preserve">31</w:t>
      </w:r>
      <w:r>
        <w:rPr>
          <w:vertAlign w:val="superscript"/>
          /&gt;
        </w:rPr>
        <w:t>]</w:t>
      </w:r>
      <w:r>
        <w:t>。HBV</w:t>
      </w:r>
      <w:r>
        <w:t> </w:t>
      </w:r>
      <w:r>
        <w:t>X</w:t>
      </w:r>
      <w:r/>
      <w:r w:rsidR="001852F3">
        <w:t xml:space="preserve">基因抑制</w:t>
      </w:r>
      <w:r>
        <w:t>COXIII</w:t>
      </w:r>
      <w:r/>
      <w:r w:rsidR="001852F3">
        <w:t xml:space="preserve">蛋白表</w:t>
      </w:r>
      <w:r>
        <w:t>达，还可能通过与</w:t>
      </w:r>
      <w:r>
        <w:t>COXIII</w:t>
      </w:r>
      <w:r/>
      <w:r w:rsidR="001852F3">
        <w:t xml:space="preserve">结合改变其三维空间构象，导致复合物</w:t>
      </w:r>
      <w:r>
        <w:t>IV</w:t>
      </w:r>
      <w:r/>
      <w:r w:rsidR="001852F3">
        <w:t xml:space="preserve">稳定性下降</w:t>
      </w:r>
      <w:r>
        <w:rPr>
          <w:vertAlign w:val="superscript"/>
          /&gt;
        </w:rPr>
        <w:t>[</w:t>
      </w:r>
      <w:r>
        <w:rPr>
          <w:vertAlign w:val="superscript"/>
          <w:position w:val="12"/>
        </w:rPr>
        <w:t xml:space="preserve">32</w:t>
      </w:r>
      <w:r>
        <w:rPr>
          <w:vertAlign w:val="superscript"/>
          /&gt;
        </w:rPr>
        <w:t>]</w:t>
      </w:r>
      <w:r>
        <w:t>。</w:t>
      </w:r>
      <w:r>
        <w:t>而抑制复合物</w:t>
      </w:r>
      <w:r>
        <w:t>IV</w:t>
      </w:r>
      <w:r/>
      <w:r w:rsidR="001852F3">
        <w:t xml:space="preserve">活性可影响复合物</w:t>
      </w:r>
      <w:r>
        <w:t>I</w:t>
      </w:r>
      <w:r/>
      <w:r w:rsidR="001852F3">
        <w:t xml:space="preserve">和复合物</w:t>
      </w:r>
      <w:r>
        <w:t>II</w:t>
      </w:r>
      <w:r>
        <w:t>、</w:t>
      </w:r>
      <w:r>
        <w:t>III</w:t>
      </w:r>
      <w:r/>
      <w:r w:rsidR="001852F3">
        <w:t xml:space="preserve">的活性，进而影响呼吸链功能</w:t>
      </w:r>
      <w:r>
        <w:rPr>
          <w:rFonts w:hint="eastAsia"/>
        </w:rPr>
        <w:t>，</w:t>
      </w:r>
      <w:r>
        <w:t>导致跨膜电位下降</w:t>
      </w:r>
      <w:r>
        <w:rPr>
          <w:vertAlign w:val="superscript"/>
          /&gt;
        </w:rPr>
        <w:t>[</w:t>
      </w:r>
      <w:r>
        <w:rPr>
          <w:vertAlign w:val="superscript"/>
          <w:position w:val="12"/>
        </w:rPr>
        <w:t xml:space="preserve">33</w:t>
      </w:r>
      <w:r>
        <w:rPr>
          <w:vertAlign w:val="superscript"/>
          /&gt;
        </w:rPr>
        <w:t>]</w:t>
      </w:r>
      <w:r>
        <w:t>。</w:t>
      </w:r>
      <w:r>
        <w:t>COXIII</w:t>
      </w:r>
      <w:r/>
      <w:r w:rsidR="001852F3">
        <w:t xml:space="preserve">的发现为研究</w:t>
      </w:r>
      <w:r>
        <w:t>HBV</w:t>
      </w:r>
      <w:r>
        <w:t> </w:t>
      </w:r>
      <w:r>
        <w:t>X</w:t>
      </w:r>
      <w:r/>
      <w:r w:rsidR="001852F3">
        <w:t xml:space="preserve">基因在</w:t>
      </w:r>
      <w:r>
        <w:t>HCC</w:t>
      </w:r>
      <w:r/>
      <w:r w:rsidR="001852F3">
        <w:t xml:space="preserve">发生、发展过程中的作用机制提供了良好的基础。</w:t>
      </w:r>
    </w:p>
    <w:p w:rsidR="0018722C">
      <w:pPr>
        <w:topLinePunct/>
      </w:pPr>
      <w:r>
        <w:t>至于</w:t>
      </w:r>
      <w:r>
        <w:t>HBx</w:t>
      </w:r>
      <w:r/>
      <w:r w:rsidR="001852F3">
        <w:t xml:space="preserve">与</w:t>
      </w:r>
      <w:r>
        <w:t>COXIII</w:t>
      </w:r>
      <w:r/>
      <w:r w:rsidR="001852F3">
        <w:t xml:space="preserve">是如何作用，又是如何影响线粒体生理及其功能而作用于</w:t>
      </w:r>
      <w:r>
        <w:t>HBV</w:t>
      </w:r>
      <w:r w:rsidR="001852F3">
        <w:t xml:space="preserve">相关的肝细胞癌，这些问题有待进一步研究探讨。</w:t>
      </w:r>
    </w:p>
    <w:p w:rsidR="0018722C">
      <w:pPr>
        <w:pStyle w:val="cw20"/>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热休克蛋白</w:t>
      </w:r>
      <w:r>
        <w:rPr>
          <w:rFonts w:cstheme="minorBidi" w:hAnsiTheme="minorHAnsi" w:eastAsiaTheme="minorHAnsi" w:asciiTheme="minorHAnsi" w:ascii="宋体" w:hAnsi="宋体" w:eastAsia="宋体" w:cs="宋体"/>
          <w:b/>
        </w:rPr>
        <w:t>60、70</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w:t>
      </w:r>
      <w:r>
        <w:rPr>
          <w:rFonts w:cstheme="minorBidi" w:hAnsiTheme="minorHAnsi" w:eastAsiaTheme="minorHAnsi" w:asciiTheme="minorHAnsi" w:ascii="宋体" w:hAnsi="宋体" w:eastAsia="宋体" w:cs="宋体"/>
          <w:b/>
        </w:rPr>
        <w:t>HSP60、HSP70</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w:t>
      </w:r>
    </w:p>
    <w:p w:rsidR="0018722C">
      <w:pPr>
        <w:topLinePunct/>
      </w:pPr>
      <w:r>
        <w:t>研究发现，</w:t>
      </w:r>
      <w:r>
        <w:t>HSP70</w:t>
      </w:r>
      <w:r/>
      <w:r w:rsidR="001852F3">
        <w:t xml:space="preserve">几乎全部定位在线粒体</w:t>
      </w:r>
      <w:r>
        <w:rPr>
          <w:vertAlign w:val="superscript"/>
          /&gt;
        </w:rPr>
        <w:t>[</w:t>
      </w:r>
      <w:r>
        <w:rPr>
          <w:vertAlign w:val="superscript"/>
          <w:position w:val="12"/>
        </w:rPr>
        <w:t xml:space="preserve">34</w:t>
      </w:r>
      <w:r>
        <w:rPr>
          <w:vertAlign w:val="superscript"/>
          /&gt;
        </w:rPr>
        <w:t>]</w:t>
      </w:r>
      <w:r>
        <w:t>；</w:t>
      </w:r>
      <w:r>
        <w:t>80-85%</w:t>
      </w:r>
      <w:r>
        <w:t>人类</w:t>
      </w:r>
      <w:r>
        <w:t>HSP60</w:t>
      </w:r>
      <w:r/>
      <w:r w:rsidR="001852F3">
        <w:t xml:space="preserve">出现在线粒体，</w:t>
      </w:r>
      <w:r>
        <w:t>其他</w:t>
      </w:r>
      <w:r>
        <w:t>HSP60</w:t>
      </w:r>
      <w:r/>
      <w:r w:rsidR="001852F3">
        <w:t xml:space="preserve">定位在线粒体外的区域，比如线粒体外膜附近、内质网以及细胞表面</w:t>
      </w:r>
      <w:r>
        <w:rPr>
          <w:vertAlign w:val="superscript"/>
          /&gt;
        </w:rPr>
        <w:t>[</w:t>
      </w:r>
      <w:r>
        <w:rPr>
          <w:vertAlign w:val="superscript"/>
          <w:position w:val="12"/>
        </w:rPr>
        <w:t xml:space="preserve">35</w:t>
      </w:r>
      <w:r>
        <w:rPr>
          <w:vertAlign w:val="superscript"/>
          /&gt;
        </w:rPr>
        <w:t>]</w:t>
      </w:r>
      <w:r>
        <w:t>。</w:t>
      </w:r>
      <w:r>
        <w:t>因</w:t>
      </w:r>
      <w:r>
        <w:t>HBx</w:t>
      </w:r>
      <w:r/>
      <w:r w:rsidR="001852F3">
        <w:t xml:space="preserve">也大部分定位于线粒体外膜，我们可以大胆假设</w:t>
      </w:r>
      <w:r>
        <w:t>HBx</w:t>
      </w:r>
      <w:r/>
      <w:r w:rsidR="001852F3">
        <w:t xml:space="preserve">与</w:t>
      </w:r>
      <w:r>
        <w:t>HSP60</w:t>
      </w:r>
      <w:r>
        <w:t>、</w:t>
      </w:r>
      <w:r>
        <w:t>HSP70</w:t>
      </w:r>
      <w:r/>
      <w:r w:rsidR="001852F3">
        <w:t xml:space="preserve">之间可能存在相互作用。有人已经在试管和活体内利用亲和纯析和质谱法发现</w:t>
      </w:r>
      <w:r>
        <w:t>HBx</w:t>
      </w:r>
      <w:r/>
      <w:r w:rsidR="001852F3">
        <w:t xml:space="preserve">的</w:t>
      </w:r>
      <w:r>
        <w:t>新的靶蛋白</w:t>
      </w:r>
      <w:r>
        <w:t>HSP60，利用标准免疫沉淀和免疫印迹法证实了</w:t>
      </w:r>
      <w:r>
        <w:t>HBX</w:t>
      </w:r>
      <w:r/>
      <w:r w:rsidR="001852F3">
        <w:t xml:space="preserve">可以与线粒</w:t>
      </w:r>
      <w:r w:rsidR="001852F3">
        <w:t>体</w:t>
      </w:r>
    </w:p>
    <w:p w:rsidR="0018722C">
      <w:pPr>
        <w:topLinePunct/>
      </w:pPr>
      <w:r>
        <w:t>HSP60</w:t>
      </w:r>
      <w:r/>
      <w:r w:rsidR="001852F3">
        <w:t xml:space="preserve">相互作用，从而促发</w:t>
      </w:r>
      <w:r>
        <w:t>HBx</w:t>
      </w:r>
      <w:r/>
      <w:r w:rsidR="001852F3">
        <w:t xml:space="preserve">诱导的细胞凋亡，还指出</w:t>
      </w:r>
      <w:r>
        <w:t>HBx</w:t>
      </w:r>
      <w:r/>
      <w:r w:rsidR="001852F3">
        <w:t xml:space="preserve">氨基酸序列中</w:t>
      </w:r>
      <w:r>
        <w:t>aa88-117</w:t>
      </w:r>
      <w:r>
        <w:t>是</w:t>
      </w:r>
      <w:r>
        <w:t>HSP60</w:t>
      </w:r>
      <w:r/>
      <w:r w:rsidR="001852F3">
        <w:t xml:space="preserve">的结合区域</w:t>
      </w:r>
      <w:r>
        <w:rPr>
          <w:vertAlign w:val="superscript"/>
          /&gt;
        </w:rPr>
        <w:t>[</w:t>
      </w:r>
      <w:r>
        <w:rPr>
          <w:vertAlign w:val="superscript"/>
          <w:position w:val="12"/>
        </w:rPr>
        <w:t xml:space="preserve">36</w:t>
      </w:r>
      <w:r>
        <w:rPr>
          <w:vertAlign w:val="superscript"/>
          /&gt;
        </w:rPr>
        <w:t>]</w:t>
      </w:r>
      <w:r>
        <w:t>。</w:t>
      </w:r>
      <w:r>
        <w:t>S.</w:t>
      </w:r>
      <w:r>
        <w:t> </w:t>
      </w:r>
      <w:r>
        <w:t>M.</w:t>
      </w:r>
      <w:r>
        <w:t> </w:t>
      </w:r>
      <w:r>
        <w:t>Zhang</w:t>
      </w:r>
      <w:r>
        <w:rPr>
          <w:vertAlign w:val="superscript"/>
          /&gt;
        </w:rPr>
        <w:t>[</w:t>
      </w:r>
      <w:r>
        <w:rPr>
          <w:vertAlign w:val="superscript"/>
          <w:position w:val="12"/>
        </w:rPr>
        <w:t xml:space="preserve">37</w:t>
      </w:r>
      <w:r>
        <w:rPr>
          <w:vertAlign w:val="superscript"/>
          /&gt;
        </w:rPr>
        <w:t>]</w:t>
      </w:r>
      <w:r>
        <w:t>等利用双向凝胶电泳法以及质谱法发现</w:t>
      </w:r>
      <w:r>
        <w:t>HBx</w:t>
      </w:r>
      <w:r>
        <w:t>可以与人类肝细胞线粒体</w:t>
      </w:r>
      <w:r>
        <w:t>HSP60</w:t>
      </w:r>
      <w:r>
        <w:t>(</w:t>
      </w:r>
      <w:r>
        <w:t>GrpE</w:t>
      </w:r>
      <w:r>
        <w:t>)</w:t>
      </w:r>
      <w:r>
        <w:t>以及</w:t>
      </w:r>
      <w:r>
        <w:t>HSP70</w:t>
      </w:r>
      <w:r>
        <w:t>（</w:t>
      </w:r>
      <w:r>
        <w:t>DnaK</w:t>
      </w:r>
      <w:r>
        <w:t>）</w:t>
      </w:r>
      <w:r>
        <w:t>形成复合物，从而发</w:t>
      </w:r>
      <w:r>
        <w:t>挥它的功能，启动下游生物事件。还有学者报道</w:t>
      </w:r>
      <w:r>
        <w:t>HSP60</w:t>
      </w:r>
      <w:r/>
      <w:r w:rsidR="001852F3">
        <w:t xml:space="preserve">与</w:t>
      </w:r>
      <w:r>
        <w:t>HSP70</w:t>
      </w:r>
      <w:r/>
      <w:r w:rsidR="001852F3">
        <w:t xml:space="preserve">与鼠肝炎病毒基</w:t>
      </w:r>
      <w:r>
        <w:t>因组的</w:t>
      </w:r>
      <w:r>
        <w:t>3’端非翻译区结合</w:t>
      </w:r>
      <w:r>
        <w:rPr>
          <w:vertAlign w:val="superscript"/>
          /&gt;
        </w:rPr>
        <w:t>[</w:t>
      </w:r>
      <w:r>
        <w:rPr>
          <w:vertAlign w:val="superscript"/>
          <w:position w:val="12"/>
        </w:rPr>
        <w:t xml:space="preserve">38</w:t>
      </w:r>
      <w:r>
        <w:rPr>
          <w:vertAlign w:val="superscript"/>
          /&gt;
        </w:rPr>
        <w:t>]</w:t>
      </w:r>
      <w:r>
        <w:t>。HBx</w:t>
      </w:r>
      <w:r/>
      <w:r w:rsidR="001852F3">
        <w:t xml:space="preserve">与线粒体热休克蛋白的相互作用将为研究</w:t>
      </w:r>
      <w:r>
        <w:t>HBV</w:t>
      </w:r>
      <w:r w:rsidR="001852F3">
        <w:t xml:space="preserve">的致病机制提供一个新的研究方向。</w:t>
      </w:r>
    </w:p>
    <w:p w:rsidR="0018722C">
      <w:pPr>
        <w:pStyle w:val="cw20"/>
        <w:topLinePunct/>
      </w:pPr>
      <w:r>
        <w:rPr>
          <w:rFonts w:cstheme="minorBidi" w:hAnsiTheme="minorHAnsi" w:eastAsiaTheme="minorHAnsi" w:asciiTheme="minorHAnsi" w:ascii="宋体" w:hAnsi="宋体" w:eastAsia="宋体" w:cs="宋体"/>
          <w:b/>
        </w:rPr>
        <w:t>2.4</w:t>
      </w:r>
      <w:r>
        <w:rPr>
          <w:rFonts w:cstheme="minorBidi" w:hAnsiTheme="minorHAnsi" w:eastAsiaTheme="minorHAnsi" w:asciiTheme="minorHAnsi" w:ascii="宋体" w:hAnsi="宋体" w:eastAsia="宋体" w:cs="宋体"/>
          <w:b/>
        </w:rPr>
        <w:t>转位到线粒体与</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作用的蛋白</w:t>
      </w:r>
    </w:p>
    <w:p w:rsidR="0018722C">
      <w:pPr>
        <w:pStyle w:val="cw20"/>
        <w:topLinePunct/>
      </w:pPr>
      <w:r>
        <w:rPr>
          <w:rFonts w:ascii="宋体" w:eastAsia="宋体" w:hint="eastAsia"/>
          <w:b/>
        </w:rPr>
        <w:t>2.4.1</w:t>
      </w:r>
      <w:r>
        <w:rPr>
          <w:rFonts w:ascii="宋体" w:eastAsia="宋体" w:hint="eastAsia"/>
          <w:b/>
        </w:rPr>
        <w:t>原癌基因</w:t>
      </w:r>
      <w:r>
        <w:rPr>
          <w:rFonts w:ascii="宋体" w:eastAsia="宋体" w:hint="eastAsia"/>
          <w:b/>
        </w:rPr>
        <w:t>Raf-1</w:t>
      </w:r>
      <w:r w:rsidR="001852F3">
        <w:rPr>
          <w:rFonts w:ascii="宋体" w:eastAsia="宋体" w:hint="eastAsia"/>
          <w:b/>
        </w:rPr>
        <w:t xml:space="preserve">的线粒体转位</w:t>
      </w:r>
    </w:p>
    <w:p w:rsidR="0018722C">
      <w:pPr>
        <w:topLinePunct/>
      </w:pPr>
      <w:r>
        <w:t>Raf-1</w:t>
      </w:r>
      <w:r w:rsidR="001852F3">
        <w:t xml:space="preserve">是细胞质中一种分子量为</w:t>
      </w:r>
      <w:r w:rsidR="001852F3">
        <w:t xml:space="preserve">300-500kDa</w:t>
      </w:r>
      <w:r w:rsidR="001852F3">
        <w:t xml:space="preserve">的多蛋白复合体，由热休克蛋白</w:t>
      </w:r>
    </w:p>
    <w:p w:rsidR="0018722C">
      <w:pPr>
        <w:topLinePunct/>
      </w:pPr>
      <w:r>
        <w:t>90</w:t>
      </w:r>
      <w:r/>
      <w:r w:rsidR="001852F3">
        <w:t xml:space="preserve">以及二聚蛋白</w:t>
      </w:r>
      <w:r>
        <w:t>14-3-3</w:t>
      </w:r>
      <w:r/>
      <w:r w:rsidR="001852F3">
        <w:t xml:space="preserve">组成的，它定位到线粒体将保护细胞免于压力介导的凋亡</w:t>
      </w:r>
    </w:p>
    <w:p w:rsidR="0018722C">
      <w:pPr>
        <w:topLinePunct/>
      </w:pPr>
      <w:r>
        <w:t>[</w:t>
      </w:r>
      <w:r>
        <w:t xml:space="preserve">39</w:t>
      </w:r>
      <w:r>
        <w:t>]</w:t>
      </w:r>
      <w:r>
        <w:rPr>
          <w:spacing w:val="-4"/>
        </w:rPr>
        <w:t xml:space="preserve">. </w:t>
      </w:r>
      <w:r>
        <w:t>近期</w:t>
      </w:r>
      <w:r>
        <w:t>发现在</w:t>
      </w:r>
      <w:r>
        <w:t>HBx</w:t>
      </w:r>
      <w:r/>
      <w:r w:rsidR="001852F3">
        <w:t xml:space="preserve">诱导的氧化应激可以导致</w:t>
      </w:r>
      <w:r>
        <w:t>Raf-1</w:t>
      </w:r>
      <w:r/>
      <w:r w:rsidR="001852F3">
        <w:t xml:space="preserve">转位到线粒体，在</w:t>
      </w:r>
      <w:r>
        <w:t>HBx</w:t>
      </w:r>
      <w:r/>
      <w:r w:rsidR="001852F3">
        <w:t xml:space="preserve">转基</w:t>
      </w:r>
      <w:r>
        <w:t>因小鼠中也发现这个现象，免疫共沉淀法证实了</w:t>
      </w:r>
      <w:r>
        <w:t>HBx</w:t>
      </w:r>
      <w:r/>
      <w:r w:rsidR="001852F3">
        <w:t xml:space="preserve">与</w:t>
      </w:r>
      <w:r>
        <w:t>Raf-1</w:t>
      </w:r>
      <w:r/>
      <w:r w:rsidR="001852F3">
        <w:t xml:space="preserve">形成一个蛋白-蛋</w:t>
      </w:r>
      <w:r w:rsidR="001852F3">
        <w:t>白</w:t>
      </w:r>
    </w:p>
    <w:p w:rsidR="0018722C">
      <w:pPr>
        <w:topLinePunct/>
      </w:pPr>
      <w:r>
        <w:t>复合物</w:t>
      </w:r>
      <w:r>
        <w:t>[</w:t>
      </w:r>
      <w:r>
        <w:t xml:space="preserve">40</w:t>
      </w:r>
      <w:r>
        <w:t>]</w:t>
      </w:r>
      <w:r>
        <w:t>。RKIP</w:t>
      </w:r>
      <w:r/>
      <w:r w:rsidR="001852F3">
        <w:t xml:space="preserve">是</w:t>
      </w:r>
      <w:r>
        <w:t>Raf-1</w:t>
      </w:r>
      <w:r/>
      <w:r w:rsidR="001852F3">
        <w:t xml:space="preserve">激酶的抑制剂，它可以与</w:t>
      </w:r>
      <w:r>
        <w:t>Raf-1</w:t>
      </w:r>
      <w:r/>
      <w:r w:rsidR="001852F3">
        <w:t xml:space="preserve">结合，调节多条信号通</w:t>
      </w:r>
      <w:r>
        <w:t>路，特别是抑制</w:t>
      </w:r>
      <w:r>
        <w:t>Ras-Raf-1-MEK1</w:t>
      </w:r>
      <w:r>
        <w:t>/</w:t>
      </w:r>
      <w:r>
        <w:t>2-ERK1</w:t>
      </w:r>
      <w:r>
        <w:t>/</w:t>
      </w:r>
      <w:r>
        <w:t>2</w:t>
      </w:r>
      <w:r/>
      <w:r w:rsidR="001852F3">
        <w:t xml:space="preserve">通路。在</w:t>
      </w:r>
      <w:r>
        <w:t>HBx</w:t>
      </w:r>
      <w:r/>
      <w:r w:rsidR="001852F3">
        <w:t xml:space="preserve">介导的肝癌形成过程中</w:t>
      </w:r>
      <w:r w:rsidR="001852F3">
        <w:t>，</w:t>
      </w:r>
    </w:p>
    <w:p w:rsidR="0018722C">
      <w:pPr>
        <w:topLinePunct/>
      </w:pPr>
      <w:r>
        <w:t>RKIP</w:t>
      </w:r>
      <w:r/>
      <w:r w:rsidR="001852F3">
        <w:t xml:space="preserve">的表达下调了，使得</w:t>
      </w:r>
      <w:r>
        <w:t>Raf-1</w:t>
      </w:r>
      <w:r/>
      <w:r w:rsidR="001852F3">
        <w:t xml:space="preserve">的水平提高了，更多的</w:t>
      </w:r>
      <w:r>
        <w:t>Raf-1</w:t>
      </w:r>
      <w:r/>
      <w:r w:rsidR="001852F3">
        <w:t xml:space="preserve">换位到线粒体，从</w:t>
      </w:r>
      <w:r>
        <w:t>而导致</w:t>
      </w:r>
      <w:r>
        <w:t>HBx</w:t>
      </w:r>
      <w:r/>
      <w:r w:rsidR="001852F3">
        <w:t xml:space="preserve">介导的肝细胞癌的形成</w:t>
      </w:r>
      <w:r>
        <w:rPr>
          <w:vertAlign w:val="superscript"/>
        </w:rPr>
        <w:t>[</w:t>
      </w:r>
      <w:r>
        <w:rPr>
          <w:vertAlign w:val="superscript"/>
        </w:rPr>
        <w:t xml:space="preserve">41</w:t>
      </w:r>
      <w:r>
        <w:rPr>
          <w:vertAlign w:val="superscript"/>
        </w:rPr>
        <w:t>]</w:t>
      </w:r>
      <w:r>
        <w:t>。</w:t>
      </w:r>
    </w:p>
    <w:p w:rsidR="0018722C">
      <w:pPr>
        <w:pStyle w:val="cw20"/>
        <w:topLinePunct/>
      </w:pPr>
      <w:r>
        <w:rPr>
          <w:rFonts w:cstheme="minorBidi" w:hAnsiTheme="minorHAnsi" w:eastAsiaTheme="minorHAnsi" w:asciiTheme="minorHAnsi" w:ascii="宋体" w:hAnsi="宋体" w:eastAsia="宋体" w:cs="宋体"/>
          <w:b/>
        </w:rPr>
        <w:t>2.4.2</w:t>
      </w:r>
      <w:r>
        <w:rPr>
          <w:rFonts w:cstheme="minorBidi" w:hAnsiTheme="minorHAnsi" w:eastAsiaTheme="minorHAnsi" w:asciiTheme="minorHAnsi" w:ascii="宋体" w:hAnsi="宋体" w:eastAsia="宋体" w:cs="宋体"/>
          <w:b/>
        </w:rPr>
        <w:t>细胞凋亡基因编码的蛋白</w:t>
      </w:r>
      <w:r>
        <w:rPr>
          <w:rFonts w:cstheme="minorBidi" w:hAnsiTheme="minorHAnsi" w:eastAsiaTheme="minorHAnsi" w:asciiTheme="minorHAnsi" w:ascii="宋体" w:hAnsi="宋体" w:eastAsia="宋体" w:cs="宋体"/>
          <w:b/>
        </w:rPr>
        <w:t>Bax</w:t>
      </w:r>
      <w:r w:rsidR="001852F3">
        <w:rPr>
          <w:rFonts w:cstheme="minorBidi" w:hAnsiTheme="minorHAnsi" w:eastAsiaTheme="minorHAnsi" w:asciiTheme="minorHAnsi" w:ascii="宋体" w:hAnsi="宋体" w:eastAsia="宋体" w:cs="宋体"/>
          <w:b/>
        </w:rPr>
        <w:t xml:space="preserve">的线粒体转位</w:t>
      </w:r>
    </w:p>
    <w:p w:rsidR="0018722C">
      <w:pPr>
        <w:topLinePunct/>
      </w:pPr>
      <w:r>
        <w:t>Bax</w:t>
      </w:r>
      <w:r/>
      <w:r w:rsidR="001852F3">
        <w:t xml:space="preserve">是</w:t>
      </w:r>
      <w:r>
        <w:t>Bcl-2</w:t>
      </w:r>
      <w:r/>
      <w:r w:rsidR="001852F3">
        <w:t xml:space="preserve">家族蛋白的一员，它可以促进线粒体细胞色素</w:t>
      </w:r>
      <w:r>
        <w:t>C</w:t>
      </w:r>
      <w:r/>
      <w:r w:rsidR="001852F3">
        <w:t xml:space="preserve">的释放，而</w:t>
      </w:r>
      <w:r>
        <w:t>Bcl-2</w:t>
      </w:r>
      <w:r w:rsidR="001852F3">
        <w:t xml:space="preserve">可以抑制它的作用</w:t>
      </w:r>
      <w:r>
        <w:rPr>
          <w:vertAlign w:val="superscript"/>
          /&gt;
        </w:rPr>
        <w:t>[</w:t>
      </w:r>
      <w:r>
        <w:rPr>
          <w:vertAlign w:val="superscript"/>
          <w:position w:val="12"/>
        </w:rPr>
        <w:t xml:space="preserve">42</w:t>
      </w:r>
      <w:r>
        <w:rPr>
          <w:vertAlign w:val="superscript"/>
          /&gt;
        </w:rPr>
        <w:t>]</w:t>
      </w:r>
      <w:r>
        <w:t>。</w:t>
      </w:r>
      <w:r>
        <w:t>HBx</w:t>
      </w:r>
      <w:r/>
      <w:r w:rsidR="001852F3">
        <w:t xml:space="preserve">可以直接结合于</w:t>
      </w:r>
      <w:r>
        <w:t>Bax</w:t>
      </w:r>
      <w:r>
        <w:t>，加强它转位到线粒体，进而导致</w:t>
      </w:r>
      <w:r>
        <w:t>线粒体膜电位的丢失和细胞色素</w:t>
      </w:r>
      <w:r>
        <w:t>C</w:t>
      </w:r>
      <w:r/>
      <w:r w:rsidR="001852F3">
        <w:t xml:space="preserve">的释放，从而介导细胞凋亡，而</w:t>
      </w:r>
      <w:r>
        <w:t>Bax</w:t>
      </w:r>
      <w:r/>
      <w:r w:rsidR="001852F3">
        <w:t xml:space="preserve">的抑制剂Bcl-2，</w:t>
      </w:r>
      <w:r>
        <w:t>可以抑制</w:t>
      </w:r>
      <w:r>
        <w:t>Bax</w:t>
      </w:r>
      <w:r/>
      <w:r w:rsidR="001852F3">
        <w:t xml:space="preserve">的这些作用。</w:t>
      </w:r>
      <w:r>
        <w:t>HBx</w:t>
      </w:r>
      <w:r/>
      <w:r w:rsidR="001852F3">
        <w:t xml:space="preserve">诱导细胞凋亡是通过与</w:t>
      </w:r>
      <w:r>
        <w:t>Bax</w:t>
      </w:r>
      <w:r/>
      <w:r w:rsidR="001852F3">
        <w:t xml:space="preserve">相互作用并加强它转位到线粒体</w:t>
      </w:r>
      <w:r>
        <w:rPr>
          <w:vertAlign w:val="superscript"/>
          /&gt;
        </w:rPr>
        <w:t>[</w:t>
      </w:r>
      <w:r>
        <w:rPr>
          <w:vertAlign w:val="superscript"/>
          <w:position w:val="12"/>
        </w:rPr>
        <w:t xml:space="preserve">43</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对线粒体生理功能的影响及其与线粒体相关的致病机制</w:t>
      </w:r>
    </w:p>
    <w:p w:rsidR="0018722C">
      <w:pPr>
        <w:topLinePunct/>
      </w:pPr>
      <w:r>
        <w:t>既然</w:t>
      </w:r>
      <w:r>
        <w:t>HBx</w:t>
      </w:r>
      <w:r/>
      <w:r w:rsidR="001852F3">
        <w:t xml:space="preserve">大部分定位于线粒体，那么它对线粒体生理功能的影响将进一步解</w:t>
      </w:r>
      <w:r>
        <w:t>释</w:t>
      </w:r>
      <w:r>
        <w:t>HBx</w:t>
      </w:r>
      <w:r/>
      <w:r w:rsidR="001852F3">
        <w:t xml:space="preserve">诱导的肝细胞癌的发生机制。我们在前文中提到</w:t>
      </w:r>
      <w:r>
        <w:t>HBx</w:t>
      </w:r>
      <w:r/>
      <w:r w:rsidR="001852F3">
        <w:t xml:space="preserve">与线粒体有关的蛋白</w:t>
      </w:r>
      <w:r>
        <w:t>质相互作用，会导致线粒体膜通透性改变、膜电位的丢失、细胞色素</w:t>
      </w:r>
      <w:r>
        <w:t>C</w:t>
      </w:r>
      <w:r/>
      <w:r w:rsidR="001852F3">
        <w:t xml:space="preserve">的释放、</w:t>
      </w:r>
      <w:r>
        <w:t>凋亡诱导因子以及钙释放到细胞质中、影响呼吸链酶复合体的表达和稳定性。还</w:t>
      </w:r>
      <w:r>
        <w:t>有研究发现</w:t>
      </w:r>
      <w:r>
        <w:t>HBx</w:t>
      </w:r>
      <w:r/>
      <w:r w:rsidR="001852F3">
        <w:t xml:space="preserve">会提高线粒体</w:t>
      </w:r>
      <w:r>
        <w:t>ROS</w:t>
      </w:r>
      <w:r/>
      <w:r w:rsidR="001852F3">
        <w:t xml:space="preserve">的水平来影响线粒体的功能</w:t>
      </w:r>
      <w:r>
        <w:rPr>
          <w:vertAlign w:val="superscript"/>
          /&gt;
        </w:rPr>
        <w:t>[</w:t>
      </w:r>
      <w:r>
        <w:rPr>
          <w:vertAlign w:val="superscript"/>
          <w:position w:val="12"/>
        </w:rPr>
        <w:t xml:space="preserve">44</w:t>
      </w:r>
      <w:r>
        <w:rPr>
          <w:vertAlign w:val="superscript"/>
          /&gt;
        </w:rPr>
        <w:t>]</w:t>
      </w:r>
      <w:r/>
      <w:r>
        <w:rPr>
          <w:vertAlign w:val="superscript"/>
          /&gt;
        </w:rPr>
        <w:t>[</w:t>
      </w:r>
      <w:r>
        <w:rPr>
          <w:vertAlign w:val="superscript"/>
          <w:position w:val="12"/>
        </w:rPr>
        <w:t>45</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3.1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致线粒体膜完整性改变</w:t>
      </w:r>
    </w:p>
    <w:p w:rsidR="0018722C">
      <w:pPr>
        <w:topLinePunct/>
      </w:pPr>
      <w:r>
        <w:t>在经典的细胞凋亡信号明显之前，线粒体经受的最主要的改变是膜的完整性受损，包括外膜和内膜。HBx</w:t>
      </w:r>
      <w:r/>
      <w:r w:rsidR="001852F3">
        <w:t xml:space="preserve">作用于人类电压依赖型离子通道蛋白</w:t>
      </w:r>
      <w:r>
        <w:t>3</w:t>
      </w:r>
      <w:r>
        <w:t>(</w:t>
      </w:r>
      <w:r>
        <w:t>HVDAC3</w:t>
      </w:r>
      <w:r>
        <w:t>)</w:t>
      </w:r>
      <w:r w:rsidR="001852F3">
        <w:t xml:space="preserve">导</w:t>
      </w:r>
      <w:r>
        <w:t>致外膜的通透性改变，从而引起多数的凋亡基因重分布，比如细胞色素</w:t>
      </w:r>
      <w:r>
        <w:t>C、AIF、</w:t>
      </w:r>
      <w:r>
        <w:t>以及线粒体膜间隙的</w:t>
      </w:r>
      <w:r>
        <w:t>Smac</w:t>
      </w:r>
      <w:r>
        <w:t>/</w:t>
      </w:r>
      <w:r>
        <w:t>DIA-BLO</w:t>
      </w:r>
      <w:r>
        <w:rPr>
          <w:vertAlign w:val="superscript"/>
          /&gt;
        </w:rPr>
        <w:t>[</w:t>
      </w:r>
      <w:r>
        <w:rPr>
          <w:vertAlign w:val="superscript"/>
          <w:position w:val="12"/>
        </w:rPr>
        <w:t xml:space="preserve">46</w:t>
      </w:r>
      <w:r>
        <w:rPr>
          <w:vertAlign w:val="superscript"/>
          /&gt;
        </w:rPr>
        <w:t>]</w:t>
      </w:r>
      <w:r/>
      <w:r>
        <w:rPr>
          <w:vertAlign w:val="superscript"/>
          /&gt;
        </w:rPr>
        <w:t>[</w:t>
      </w:r>
      <w:r>
        <w:rPr>
          <w:vertAlign w:val="superscript"/>
          <w:position w:val="12"/>
        </w:rPr>
        <w:t>47</w:t>
      </w:r>
      <w:r>
        <w:rPr>
          <w:vertAlign w:val="superscript"/>
          /&gt;
        </w:rPr>
        <w:t>]</w:t>
      </w:r>
      <w:r>
        <w:t>。而这些细胞凋亡基因的重分布就是细胞</w:t>
      </w:r>
      <w:r>
        <w:t>凋亡的步骤之一。当</w:t>
      </w:r>
      <w:r>
        <w:t>HBx</w:t>
      </w:r>
      <w:r/>
      <w:r w:rsidR="001852F3">
        <w:t xml:space="preserve">作用于</w:t>
      </w:r>
      <w:r>
        <w:t>MPTP</w:t>
      </w:r>
      <w:r/>
      <w:r w:rsidR="001852F3">
        <w:t xml:space="preserve">时，导致线粒体内膜通透性改变，线粒体膜</w:t>
      </w:r>
      <w:r>
        <w:t>电位下降，从而</w:t>
      </w:r>
      <w:r>
        <w:t>ATP</w:t>
      </w:r>
      <w:r/>
      <w:r w:rsidR="001852F3">
        <w:t xml:space="preserve">的产量下降</w:t>
      </w:r>
      <w:r>
        <w:rPr>
          <w:vertAlign w:val="superscript"/>
          /&gt;
        </w:rPr>
        <w:t>[</w:t>
      </w:r>
      <w:r>
        <w:rPr>
          <w:vertAlign w:val="superscript"/>
          <w:position w:val="12"/>
        </w:rPr>
        <w:t xml:space="preserve">48</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3.2 </w:t>
      </w:r>
      <w:r>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致</w:t>
      </w:r>
      <w:r>
        <w:rPr>
          <w:rFonts w:cstheme="minorBidi" w:hAnsiTheme="minorHAnsi" w:eastAsiaTheme="minorHAnsi" w:asciiTheme="minorHAnsi" w:ascii="宋体" w:hAnsi="宋体" w:eastAsia="宋体" w:cs="宋体"/>
          <w:b/>
        </w:rPr>
        <w:t>ROS</w:t>
      </w:r>
      <w:r w:rsidR="001852F3">
        <w:rPr>
          <w:rFonts w:cstheme="minorBidi" w:hAnsiTheme="minorHAnsi" w:eastAsiaTheme="minorHAnsi" w:asciiTheme="minorHAnsi" w:ascii="宋体" w:hAnsi="宋体" w:eastAsia="宋体" w:cs="宋体"/>
          <w:b/>
        </w:rPr>
        <w:t xml:space="preserve">水平升高</w:t>
      </w:r>
    </w:p>
    <w:p w:rsidR="0018722C">
      <w:pPr>
        <w:pStyle w:val="cw20"/>
        <w:topLinePunct/>
      </w:pPr>
      <w:r>
        <w:rPr>
          <w:rFonts w:ascii="宋体" w:eastAsia="宋体" w:hint="eastAsia"/>
          <w:b/>
        </w:rPr>
        <w:t>3.2.1 </w:t>
      </w:r>
      <w:r>
        <w:rPr>
          <w:rFonts w:ascii="宋体" w:eastAsia="宋体" w:hint="eastAsia"/>
          <w:b/>
        </w:rPr>
        <w:t>ROS</w:t>
      </w:r>
      <w:r w:rsidR="001852F3">
        <w:rPr>
          <w:rFonts w:ascii="宋体" w:eastAsia="宋体" w:hint="eastAsia"/>
          <w:b/>
        </w:rPr>
        <w:t xml:space="preserve">促进肝细胞癌的发生</w:t>
      </w:r>
    </w:p>
    <w:p w:rsidR="0018722C">
      <w:pPr>
        <w:topLinePunct/>
      </w:pPr>
      <w:r>
        <w:t>ROS</w:t>
      </w:r>
      <w:r/>
      <w:r w:rsidR="001852F3">
        <w:t xml:space="preserve">是潜在的致癌物，因其在诱发突变、促进肿瘤生长和进展方面的作用</w:t>
      </w:r>
      <w:r>
        <w:rPr>
          <w:vertAlign w:val="superscript"/>
          /&gt;
        </w:rPr>
        <w:t>[</w:t>
      </w:r>
      <w:r>
        <w:rPr>
          <w:vertAlign w:val="superscript"/>
          /&gt;
        </w:rPr>
        <w:t xml:space="preserve">49</w:t>
      </w:r>
      <w:r>
        <w:rPr>
          <w:vertAlign w:val="superscript"/>
          /&gt;
        </w:rPr>
        <w:t>]</w:t>
      </w:r>
      <w:r>
        <w:t>。</w:t>
      </w:r>
      <w:r>
        <w:t>如果没有适当调节好</w:t>
      </w:r>
      <w:r>
        <w:t>ROS</w:t>
      </w:r>
      <w:r/>
      <w:r w:rsidR="001852F3">
        <w:t xml:space="preserve">的水平，那么过量的</w:t>
      </w:r>
      <w:r>
        <w:t>ROS</w:t>
      </w:r>
      <w:r/>
      <w:r w:rsidR="001852F3">
        <w:t xml:space="preserve">将会损伤脂类、蛋白质或者</w:t>
      </w:r>
      <w:r>
        <w:t>DNA，</w:t>
      </w:r>
      <w:r w:rsidR="001852F3">
        <w:t xml:space="preserve">抑制它们正常的功能</w:t>
      </w:r>
      <w:r>
        <w:rPr>
          <w:vertAlign w:val="superscript"/>
          /&gt;
        </w:rPr>
        <w:t>[</w:t>
      </w:r>
      <w:r>
        <w:rPr>
          <w:vertAlign w:val="superscript"/>
          /&gt;
        </w:rPr>
        <w:t xml:space="preserve">50</w:t>
      </w:r>
      <w:r>
        <w:rPr>
          <w:vertAlign w:val="superscript"/>
          /&gt;
        </w:rPr>
        <w:t>]</w:t>
      </w:r>
      <w:r>
        <w:t>。</w:t>
      </w:r>
      <w:r>
        <w:t>ROS</w:t>
      </w:r>
      <w:r/>
      <w:r w:rsidR="001852F3">
        <w:t xml:space="preserve">在所有介导肝脏纤维化的机制中起到了非常重要的作用</w:t>
      </w:r>
      <w:r>
        <w:rPr>
          <w:vertAlign w:val="superscript"/>
          /&gt;
        </w:rPr>
        <w:t>[</w:t>
      </w:r>
      <w:r>
        <w:rPr>
          <w:vertAlign w:val="superscript"/>
          /&gt;
        </w:rPr>
        <w:t xml:space="preserve">51</w:t>
      </w:r>
      <w:r>
        <w:rPr>
          <w:vertAlign w:val="superscript"/>
          /&gt;
        </w:rPr>
        <w:t>]</w:t>
      </w:r>
      <w:r>
        <w:t>。它可以活化细胞信号通路，比如那些由分裂原活化蛋白激酶</w:t>
      </w:r>
      <w:r>
        <w:t>（</w:t>
      </w:r>
      <w:r>
        <w:t>MAPK</w:t>
      </w:r>
      <w:r>
        <w:t>）</w:t>
      </w:r>
      <w:r>
        <w:t>、核</w:t>
      </w:r>
      <w:r>
        <w:t>因</w:t>
      </w:r>
    </w:p>
    <w:p w:rsidR="0018722C">
      <w:pPr>
        <w:topLinePunct/>
      </w:pPr>
      <w:r>
        <w:t>子</w:t>
      </w:r>
      <w:r>
        <w:t>（</w:t>
      </w:r>
      <w:r>
        <w:t>NF-κB</w:t>
      </w:r>
      <w:r>
        <w:t>）</w:t>
      </w:r>
      <w:r>
        <w:t>、磷脂酰肌醇</w:t>
      </w:r>
      <w:r>
        <w:t>3</w:t>
      </w:r>
      <w:r/>
      <w:r w:rsidR="001852F3">
        <w:t xml:space="preserve">激酶</w:t>
      </w:r>
      <w:r>
        <w:t>（</w:t>
      </w:r>
      <w:r>
        <w:t>PI3K</w:t>
      </w:r>
      <w:r>
        <w:t>）</w:t>
      </w:r>
      <w:r>
        <w:t>、p53、β-catenin</w:t>
      </w:r>
      <w:r>
        <w:t>/</w:t>
      </w:r>
      <w:r>
        <w:t>Wnt</w:t>
      </w:r>
      <w:r w:rsidR="001852F3">
        <w:t xml:space="preserve">通路来影响血管发生</w:t>
      </w:r>
      <w:r>
        <w:rPr>
          <w:vertAlign w:val="superscript"/>
          /&gt;
        </w:rPr>
        <w:t>[</w:t>
      </w:r>
      <w:r>
        <w:rPr>
          <w:vertAlign w:val="superscript"/>
          /&gt;
        </w:rPr>
        <w:t xml:space="preserve">52</w:t>
      </w:r>
      <w:r>
        <w:rPr>
          <w:vertAlign w:val="superscript"/>
          /&gt;
        </w:rPr>
        <w:t>]</w:t>
      </w:r>
      <w:r/>
      <w:r>
        <w:rPr>
          <w:vertAlign w:val="superscript"/>
          /&gt;
        </w:rPr>
        <w:t>[</w:t>
      </w:r>
      <w:r>
        <w:rPr>
          <w:vertAlign w:val="superscript"/>
          /&gt;
        </w:rPr>
        <w:t>53</w:t>
      </w:r>
      <w:r>
        <w:rPr>
          <w:vertAlign w:val="superscript"/>
          /&gt;
        </w:rPr>
        <w:t>]</w:t>
      </w:r>
      <w:r/>
      <w:r>
        <w:rPr>
          <w:vertAlign w:val="superscript"/>
          /&gt;
        </w:rPr>
        <w:t>[</w:t>
      </w:r>
      <w:r>
        <w:rPr>
          <w:vertAlign w:val="superscript"/>
          /&gt;
        </w:rPr>
        <w:t>54</w:t>
      </w:r>
      <w:r>
        <w:rPr>
          <w:vertAlign w:val="superscript"/>
          /&gt;
        </w:rPr>
        <w:t>]</w:t>
      </w:r>
      <w:r>
        <w:t>。重要的是</w:t>
      </w:r>
      <w:r>
        <w:t>HBx</w:t>
      </w:r>
      <w:r/>
      <w:r w:rsidR="001852F3">
        <w:t xml:space="preserve">活化</w:t>
      </w:r>
      <w:r>
        <w:t>MAPK、NF-κB、PI3K、p53、β-catenin</w:t>
      </w:r>
      <w:r/>
      <w:r w:rsidR="001852F3">
        <w:t xml:space="preserve">被认</w:t>
      </w:r>
      <w:r>
        <w:t>为是导致</w:t>
      </w:r>
      <w:r>
        <w:t>HCC</w:t>
      </w:r>
      <w:r/>
      <w:r w:rsidR="001852F3">
        <w:t xml:space="preserve">发展的重要因素。最近研究发现增加的</w:t>
      </w:r>
      <w:r>
        <w:t>ROS</w:t>
      </w:r>
      <w:r/>
      <w:r w:rsidR="001852F3">
        <w:t xml:space="preserve">通过氧化灭活</w:t>
      </w:r>
      <w:r>
        <w:t>PTEN</w:t>
      </w:r>
      <w:r>
        <w:t>（</w:t>
      </w:r>
      <w:r>
        <w:t>一</w:t>
      </w:r>
      <w:r>
        <w:rPr>
          <w:spacing w:val="-1"/>
        </w:rPr>
        <w:t>种通过去磷酸化</w:t>
      </w:r>
      <w:r>
        <w:t>Akt</w:t>
      </w:r>
      <w:r w:rsidR="001852F3">
        <w:rPr>
          <w:spacing w:val="-2"/>
        </w:rPr>
        <w:t xml:space="preserve">而发挥作用的肿瘤抑制物</w:t>
      </w:r>
      <w:r>
        <w:t>）</w:t>
      </w:r>
      <w:r>
        <w:t>激活促有丝分裂通路，从而激</w:t>
      </w:r>
      <w:r>
        <w:t>活</w:t>
      </w:r>
    </w:p>
    <w:p w:rsidR="0018722C">
      <w:pPr>
        <w:topLinePunct/>
      </w:pPr>
      <w:r>
        <w:t>Akt</w:t>
      </w:r>
      <w:r>
        <w:t>、加快</w:t>
      </w:r>
      <w:r>
        <w:t>HepG2</w:t>
      </w:r>
      <w:r/>
      <w:r w:rsidR="001852F3">
        <w:t xml:space="preserve">细胞的生长，与</w:t>
      </w:r>
      <w:r>
        <w:t>HBx</w:t>
      </w:r>
      <w:r/>
      <w:r w:rsidR="001852F3">
        <w:t xml:space="preserve">转基因小鼠的肝癌形成密切相关。同时他们</w:t>
      </w:r>
      <w:r>
        <w:t>发现</w:t>
      </w:r>
      <w:r>
        <w:t>HBx</w:t>
      </w:r>
      <w:r/>
      <w:r w:rsidR="001852F3">
        <w:t xml:space="preserve">诱导的</w:t>
      </w:r>
      <w:r>
        <w:t>ROS</w:t>
      </w:r>
      <w:r/>
      <w:r w:rsidR="001852F3">
        <w:t xml:space="preserve">的增多可以进一步刺激</w:t>
      </w:r>
      <w:r>
        <w:t>HBx</w:t>
      </w:r>
      <w:r/>
      <w:r w:rsidR="001852F3">
        <w:t xml:space="preserve">的表达，这提示了一个正反馈通</w:t>
      </w:r>
      <w:r>
        <w:t>路的存在，从而产生大量的</w:t>
      </w:r>
      <w:r>
        <w:t>H2O2，</w:t>
      </w:r>
      <w:r>
        <w:t>通过氧化应激诱导更多</w:t>
      </w:r>
      <w:r>
        <w:t>PTEN</w:t>
      </w:r>
      <w:r/>
      <w:r w:rsidR="001852F3">
        <w:t xml:space="preserve">产生可逆的失活，</w:t>
      </w:r>
      <w:r w:rsidR="001852F3">
        <w:t xml:space="preserve">促进肝癌的发生</w:t>
      </w:r>
      <w:r>
        <w:rPr>
          <w:vertAlign w:val="superscript"/>
          /&gt;
        </w:rPr>
        <w:t>[</w:t>
      </w:r>
      <w:r>
        <w:rPr>
          <w:vertAlign w:val="superscript"/>
          <w:position w:val="12"/>
        </w:rPr>
        <w:t xml:space="preserve">55</w:t>
      </w:r>
      <w:r>
        <w:rPr>
          <w:vertAlign w:val="superscript"/>
          /&gt;
        </w:rPr>
        <w:t>]</w:t>
      </w:r>
      <w:r>
        <w:t>。另外，在氧化应激作用下，HBV</w:t>
      </w:r>
      <w:r/>
      <w:r w:rsidR="001852F3">
        <w:t xml:space="preserve">阳性的细胞通过</w:t>
      </w:r>
      <w:r>
        <w:t>Nrf2</w:t>
      </w:r>
      <w:r>
        <w:t>/</w:t>
      </w:r>
      <w:r>
        <w:t>ARE</w:t>
      </w:r>
      <w:r/>
      <w:r w:rsidR="001852F3">
        <w:t xml:space="preserve">诱导细胞保护基因的表达</w:t>
      </w:r>
      <w:r>
        <w:rPr>
          <w:vertAlign w:val="superscript"/>
          /&gt;
        </w:rPr>
        <w:t>[</w:t>
      </w:r>
      <w:r>
        <w:rPr>
          <w:vertAlign w:val="superscript"/>
          <w:position w:val="12"/>
        </w:rPr>
        <w:t xml:space="preserve">56</w:t>
      </w:r>
      <w:r>
        <w:rPr>
          <w:vertAlign w:val="superscript"/>
          /&gt;
        </w:rPr>
        <w:t>]</w:t>
      </w:r>
      <w:r>
        <w:t>、下调</w:t>
      </w:r>
      <w:r>
        <w:t>p16INK4a</w:t>
      </w:r>
      <w:r/>
      <w:r w:rsidR="001852F3">
        <w:t xml:space="preserve">的表达来逃避细胞凋亡</w:t>
      </w:r>
      <w:r>
        <w:rPr>
          <w:vertAlign w:val="superscript"/>
          /&gt;
        </w:rPr>
        <w:t>[</w:t>
      </w:r>
      <w:r>
        <w:rPr>
          <w:vertAlign w:val="superscript"/>
          <w:position w:val="12"/>
        </w:rPr>
        <w:t xml:space="preserve">57</w:t>
      </w:r>
      <w:r>
        <w:rPr>
          <w:vertAlign w:val="superscript"/>
          /&gt;
        </w:rPr>
        <w:t>]</w:t>
      </w:r>
      <w:r>
        <w:t>、激活</w:t>
      </w:r>
      <w:r w:rsidR="001852F3">
        <w:t xml:space="preserve">H I F-1α</w:t>
      </w:r>
      <w:r/>
      <w:r w:rsidR="001852F3">
        <w:t xml:space="preserve">的表达</w:t>
      </w:r>
      <w:r>
        <w:rPr>
          <w:vertAlign w:val="superscript"/>
          /&gt;
        </w:rPr>
        <w:t>[</w:t>
      </w:r>
      <w:r>
        <w:rPr>
          <w:vertAlign w:val="superscript"/>
          <w:position w:val="12"/>
        </w:rPr>
        <w:t xml:space="preserve">58</w:t>
      </w:r>
      <w:r>
        <w:rPr>
          <w:vertAlign w:val="superscript"/>
          /&gt;
        </w:rPr>
        <w:t>]</w:t>
      </w:r>
      <w:r>
        <w:t>，以及上文提及的促进原癌基因</w:t>
      </w:r>
      <w:r w:rsidR="001852F3">
        <w:t xml:space="preserve">Raf-1</w:t>
      </w:r>
      <w:r/>
      <w:r w:rsidR="001852F3">
        <w:t xml:space="preserve">的线粒体转位，这些都</w:t>
      </w:r>
      <w:r w:rsidR="001852F3">
        <w:t>与</w:t>
      </w:r>
    </w:p>
    <w:p w:rsidR="0018722C">
      <w:pPr>
        <w:topLinePunct/>
      </w:pPr>
      <w:r>
        <w:t>HBx</w:t>
      </w:r>
      <w:r w:rsidR="001852F3">
        <w:t xml:space="preserve">相关的肝细胞癌的发生密切相关。</w:t>
      </w:r>
    </w:p>
    <w:p w:rsidR="0018722C">
      <w:pPr>
        <w:pStyle w:val="cw20"/>
        <w:topLinePunct/>
      </w:pPr>
      <w:r>
        <w:rPr>
          <w:rFonts w:cstheme="minorBidi" w:hAnsiTheme="minorHAnsi" w:eastAsiaTheme="minorHAnsi" w:asciiTheme="minorHAnsi" w:ascii="宋体" w:hAnsi="宋体" w:eastAsia="宋体" w:cs="宋体"/>
          <w:b/>
        </w:rPr>
        <w:t>3.2.2 </w:t>
      </w:r>
      <w:r>
        <w:rPr>
          <w:rFonts w:cstheme="minorBidi" w:hAnsiTheme="minorHAnsi" w:eastAsiaTheme="minorHAnsi" w:asciiTheme="minorHAnsi" w:ascii="宋体" w:hAnsi="宋体" w:eastAsia="宋体" w:cs="宋体"/>
          <w:b/>
        </w:rPr>
        <w:t>ROS</w:t>
      </w:r>
      <w:r w:rsidR="001852F3">
        <w:rPr>
          <w:rFonts w:cstheme="minorBidi" w:hAnsiTheme="minorHAnsi" w:eastAsiaTheme="minorHAnsi" w:asciiTheme="minorHAnsi" w:ascii="宋体" w:hAnsi="宋体" w:eastAsia="宋体" w:cs="宋体"/>
          <w:b/>
        </w:rPr>
        <w:t xml:space="preserve">促进细胞凋亡</w:t>
      </w:r>
    </w:p>
    <w:p w:rsidR="0018722C">
      <w:pPr>
        <w:topLinePunct/>
      </w:pPr>
      <w:r>
        <w:t>相反，最近有学者研究发现表达</w:t>
      </w:r>
      <w:r>
        <w:t>HBx</w:t>
      </w:r>
      <w:r/>
      <w:r w:rsidR="001852F3">
        <w:t xml:space="preserve">的肝细胞在暴露于氧化应激反应中，通</w:t>
      </w:r>
      <w:r>
        <w:t>过</w:t>
      </w:r>
      <w:r>
        <w:t>Caspase-3</w:t>
      </w:r>
      <w:r/>
      <w:r w:rsidR="001852F3">
        <w:t xml:space="preserve">级联反应，加速</w:t>
      </w:r>
      <w:r>
        <w:t>Mcl-1</w:t>
      </w:r>
      <w:r/>
      <w:r w:rsidR="001852F3">
        <w:t xml:space="preserve">蛋白的丢失，显著加强了肝细胞的死亡。</w:t>
      </w:r>
      <w:r>
        <w:t>Mcl-1</w:t>
      </w:r>
      <w:r>
        <w:t>是</w:t>
      </w:r>
      <w:r>
        <w:t>Bcl-2</w:t>
      </w:r>
      <w:r/>
      <w:r w:rsidR="001852F3">
        <w:t xml:space="preserve">家族中的成员，发挥抗凋亡的作用，</w:t>
      </w:r>
      <w:r>
        <w:t>Mcl-1</w:t>
      </w:r>
      <w:r/>
      <w:r w:rsidR="001852F3">
        <w:t xml:space="preserve">蛋白的丢失，增加了肝细胞对凋亡的敏感性</w:t>
      </w:r>
      <w:r>
        <w:rPr>
          <w:vertAlign w:val="superscript"/>
          /&gt;
        </w:rPr>
        <w:t>[</w:t>
      </w:r>
      <w:r>
        <w:rPr>
          <w:vertAlign w:val="superscript"/>
          /&gt;
        </w:rPr>
        <w:t xml:space="preserve">59</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3.2.3 </w:t>
      </w:r>
      <w:r>
        <w:rPr>
          <w:rFonts w:cstheme="minorBidi" w:hAnsiTheme="minorHAnsi" w:eastAsiaTheme="minorHAnsi" w:asciiTheme="minorHAnsi" w:ascii="宋体" w:hAnsi="宋体" w:eastAsia="宋体" w:cs="宋体"/>
          <w:b/>
        </w:rPr>
        <w:t>ROS</w:t>
      </w:r>
      <w:r w:rsidR="001852F3">
        <w:rPr>
          <w:rFonts w:cstheme="minorBidi" w:hAnsiTheme="minorHAnsi" w:eastAsiaTheme="minorHAnsi" w:asciiTheme="minorHAnsi" w:ascii="宋体" w:hAnsi="宋体" w:eastAsia="宋体" w:cs="宋体"/>
          <w:b/>
        </w:rPr>
        <w:t xml:space="preserve">影响肝细胞铁代谢</w:t>
      </w:r>
    </w:p>
    <w:p w:rsidR="0018722C">
      <w:pPr>
        <w:topLinePunct/>
      </w:pPr>
      <w:r>
        <w:t>铁代谢在肝脏疾病中起着重要的作用，在</w:t>
      </w:r>
      <w:r>
        <w:t>HBV</w:t>
      </w:r>
      <w:r/>
      <w:r w:rsidR="001852F3">
        <w:t xml:space="preserve">感染患者中正常的铁调节功能</w:t>
      </w:r>
      <w:r>
        <w:t>紊乱了，导致铁沉积。这些沉积的铁在肝细胞癌的形成过程中发挥着辅因子的作用</w:t>
      </w:r>
      <w:r>
        <w:rPr>
          <w:vertAlign w:val="superscript"/>
          /&gt;
        </w:rPr>
        <w:t>[</w:t>
      </w:r>
      <w:r>
        <w:rPr>
          <w:vertAlign w:val="superscript"/>
          /&gt;
        </w:rPr>
        <w:t xml:space="preserve">60</w:t>
      </w:r>
      <w:r>
        <w:rPr>
          <w:vertAlign w:val="superscript"/>
          /&gt;
        </w:rPr>
        <w:t>]</w:t>
      </w:r>
      <w:r>
        <w:t>。铁是参与细胞复制和凋亡的重要因素，同时在</w:t>
      </w:r>
      <w:r>
        <w:t>ROS</w:t>
      </w:r>
      <w:r/>
      <w:r w:rsidR="001852F3">
        <w:t xml:space="preserve">的产生所致的芬顿反应中也有铁的参加</w:t>
      </w:r>
      <w:r>
        <w:rPr>
          <w:vertAlign w:val="superscript"/>
          /&gt;
        </w:rPr>
        <w:t>[</w:t>
      </w:r>
      <w:r>
        <w:rPr>
          <w:vertAlign w:val="superscript"/>
          /&gt;
        </w:rPr>
        <w:t xml:space="preserve">61</w:t>
      </w:r>
      <w:r>
        <w:rPr>
          <w:vertAlign w:val="superscript"/>
          /&gt;
        </w:rPr>
        <w:t>]</w:t>
      </w:r>
      <w:r>
        <w:t>。有研究发现，在</w:t>
      </w:r>
      <w:r>
        <w:t>Huh7-HBx</w:t>
      </w:r>
      <w:r/>
      <w:r w:rsidR="001852F3">
        <w:t xml:space="preserve">细胞中，随着</w:t>
      </w:r>
      <w:r>
        <w:t>ROS</w:t>
      </w:r>
      <w:r/>
      <w:r w:rsidR="001852F3">
        <w:t xml:space="preserve">水平的增加，转铁蛋白受体</w:t>
      </w:r>
      <w:r>
        <w:t>（</w:t>
      </w:r>
      <w:r>
        <w:rPr>
          <w:spacing w:val="-4"/>
        </w:rPr>
        <w:t>FrR1</w:t>
      </w:r>
      <w:r>
        <w:t>）</w:t>
      </w:r>
      <w:r>
        <w:t>的表达下降了，铁调节蛋白</w:t>
      </w:r>
      <w:r>
        <w:t>1</w:t>
      </w:r>
      <w:r>
        <w:t>（</w:t>
      </w:r>
      <w:r>
        <w:t xml:space="preserve">IRP1</w:t>
      </w:r>
      <w:r>
        <w:t>）</w:t>
      </w:r>
      <w:r>
        <w:t xml:space="preserve">的铁蛋白重链下调了，</w:t>
      </w:r>
      <w:r>
        <w:t>总铁和游离铁水平都改变了，这些结果提示</w:t>
      </w:r>
      <w:r>
        <w:t>HBx</w:t>
      </w:r>
      <w:r/>
      <w:r w:rsidR="001852F3">
        <w:t xml:space="preserve">通过</w:t>
      </w:r>
      <w:r>
        <w:t>ROS</w:t>
      </w:r>
      <w:r/>
      <w:r w:rsidR="001852F3">
        <w:t xml:space="preserve">的水平调节铁代谢，从而导致肝脏的病理状态</w:t>
      </w:r>
      <w:r>
        <w:rPr>
          <w:vertAlign w:val="superscript"/>
          /&gt;
        </w:rPr>
        <w:t>[</w:t>
      </w:r>
      <w:r>
        <w:rPr>
          <w:vertAlign w:val="superscript"/>
          <w:position w:val="12"/>
        </w:rPr>
        <w:t xml:space="preserve">62</w:t>
      </w:r>
      <w:r>
        <w:rPr>
          <w:vertAlign w:val="superscript"/>
          /&gt;
        </w:rPr>
        <w:t>]</w:t>
      </w:r>
      <w:r>
        <w:t>。</w:t>
      </w:r>
    </w:p>
    <w:p w:rsidR="0018722C">
      <w:pPr>
        <w:topLinePunct/>
      </w:pPr>
      <w:r>
        <w:rPr>
          <w:rFonts w:cstheme="minorBidi" w:hAnsiTheme="minorHAnsi" w:eastAsiaTheme="minorHAnsi" w:asciiTheme="minorHAnsi" w:ascii="宋体" w:hAnsi="宋体" w:eastAsia="宋体" w:cs="宋体"/>
          <w:b/>
        </w:rPr>
        <w:t>4.</w:t>
      </w:r>
      <w:r w:rsidR="004B696B">
        <w:rPr>
          <w:rFonts w:cstheme="minorBidi" w:hAnsiTheme="minorHAnsi" w:eastAsiaTheme="minorHAnsi" w:asciiTheme="minorHAnsi" w:ascii="宋体" w:hAnsi="宋体" w:eastAsia="宋体" w:cs="宋体"/>
          <w:b/>
        </w:rPr>
        <w:t xml:space="preserve"> </w:t>
      </w:r>
      <w:r w:rsidR="004B696B">
        <w:rPr>
          <w:rFonts w:cstheme="minorBidi" w:hAnsiTheme="minorHAnsi" w:eastAsiaTheme="minorHAnsi" w:asciiTheme="minorHAnsi" w:ascii="宋体" w:hAnsi="宋体" w:eastAsia="宋体" w:cs="宋体"/>
          <w:b/>
        </w:rPr>
        <w:t>HBx</w:t>
      </w:r>
      <w:r w:rsidR="001852F3">
        <w:rPr>
          <w:rFonts w:cstheme="minorBidi" w:hAnsiTheme="minorHAnsi" w:eastAsiaTheme="minorHAnsi" w:asciiTheme="minorHAnsi" w:ascii="宋体" w:hAnsi="宋体" w:eastAsia="宋体" w:cs="宋体"/>
          <w:b/>
        </w:rPr>
        <w:t xml:space="preserve">致细胞质中钙水平提高</w:t>
      </w:r>
    </w:p>
    <w:p w:rsidR="0018722C">
      <w:pPr>
        <w:topLinePunct/>
      </w:pPr>
      <w:r>
        <w:t>钙离子是细胞中最普遍存在的信号转导原件，可以影响非常多细胞信号通路，</w:t>
      </w:r>
      <w:r w:rsidR="001852F3">
        <w:t xml:space="preserve">从而调节细胞循环进程、细胞复制和细胞凋亡，因此，维持细胞内钙水平的稳定是进行生命活动的关键</w:t>
      </w:r>
      <w:r>
        <w:rPr>
          <w:vertAlign w:val="superscript"/>
          /&gt;
        </w:rPr>
        <w:t>[</w:t>
      </w:r>
      <w:r>
        <w:rPr>
          <w:vertAlign w:val="superscript"/>
          /&gt;
        </w:rPr>
        <w:t xml:space="preserve">63</w:t>
      </w:r>
      <w:r>
        <w:rPr>
          <w:vertAlign w:val="superscript"/>
          /&gt;
        </w:rPr>
        <w:t>]</w:t>
      </w:r>
      <w:r>
        <w:t>。HBx</w:t>
      </w:r>
      <w:r w:rsidR="001852F3">
        <w:t xml:space="preserve">作用于</w:t>
      </w:r>
      <w:r w:rsidR="001852F3">
        <w:t xml:space="preserve">MPTP</w:t>
      </w:r>
      <w:r w:rsidR="001852F3">
        <w:t xml:space="preserve">将使细胞质中钙水平上升，从而增加了</w:t>
      </w:r>
      <w:r w:rsidR="001852F3">
        <w:t xml:space="preserve">HBx</w:t>
      </w:r>
      <w:r w:rsidR="001852F3">
        <w:t xml:space="preserve">刺激的</w:t>
      </w:r>
      <w:r w:rsidR="001852F3">
        <w:t xml:space="preserve">HBV</w:t>
      </w:r>
      <w:r w:rsidR="001852F3">
        <w:t xml:space="preserve">复制；但是环孢菌素的衍生物，通过与线粒体相互作用，阻</w:t>
      </w:r>
      <w:r w:rsidR="001852F3">
        <w:t>止</w:t>
      </w:r>
    </w:p>
    <w:p w:rsidR="0018722C">
      <w:pPr>
        <w:topLinePunct/>
      </w:pPr>
      <w:r>
        <w:t>线粒体内的钙释放，从而抑制</w:t>
      </w:r>
      <w:r>
        <w:t>HBV</w:t>
      </w:r>
      <w:r/>
      <w:r w:rsidR="001852F3">
        <w:t xml:space="preserve">的复制</w:t>
      </w:r>
      <w:r>
        <w:rPr>
          <w:vertAlign w:val="superscript"/>
          /&gt;
        </w:rPr>
        <w:t>[</w:t>
      </w:r>
      <w:r>
        <w:rPr>
          <w:position w:val="12"/>
          <w:sz w:val="12"/>
        </w:rPr>
        <w:t xml:space="preserve">64</w:t>
      </w:r>
      <w:r>
        <w:rPr>
          <w:vertAlign w:val="superscript"/>
          /&gt;
        </w:rPr>
        <w:t>]</w:t>
      </w:r>
      <w:r/>
      <w:r>
        <w:rPr>
          <w:vertAlign w:val="superscript"/>
          /&gt;
        </w:rPr>
        <w:t>[</w:t>
      </w:r>
      <w:r>
        <w:rPr>
          <w:vertAlign w:val="superscript"/>
          <w:position w:val="12"/>
        </w:rPr>
        <w:t>65</w:t>
      </w:r>
      <w:r>
        <w:rPr>
          <w:vertAlign w:val="superscript"/>
          /&gt;
        </w:rPr>
        <w:t>]</w:t>
      </w:r>
      <w:r>
        <w:t>。Tricia L</w:t>
      </w:r>
      <w:r/>
      <w:r w:rsidR="001852F3">
        <w:t xml:space="preserve">等研究发现</w:t>
      </w:r>
      <w:r>
        <w:t>HBx</w:t>
      </w:r>
      <w:r/>
      <w:r w:rsidR="001852F3">
        <w:t xml:space="preserve">依赖于</w:t>
      </w:r>
      <w:r>
        <w:t>线粒体的钙信号使肝细胞脱离</w:t>
      </w:r>
      <w:r>
        <w:t>G0</w:t>
      </w:r>
      <w:r/>
      <w:r w:rsidR="001852F3">
        <w:t xml:space="preserve">期而停滞在</w:t>
      </w:r>
      <w:r>
        <w:t>G1</w:t>
      </w:r>
      <w:r/>
      <w:r w:rsidR="001852F3">
        <w:t xml:space="preserve">期，从而改变细胞内环境，刺</w:t>
      </w:r>
      <w:r w:rsidR="001852F3">
        <w:t>激</w:t>
      </w:r>
    </w:p>
    <w:p w:rsidR="0018722C">
      <w:pPr>
        <w:topLinePunct/>
      </w:pPr>
      <w:r>
        <w:t>HBV</w:t>
      </w:r>
      <w:r/>
      <w:r w:rsidR="001852F3">
        <w:t xml:space="preserve">的复制</w:t>
      </w:r>
      <w:r>
        <w:rPr>
          <w:vertAlign w:val="superscript"/>
          /&gt;
        </w:rPr>
        <w:t>[</w:t>
      </w:r>
      <w:r>
        <w:rPr>
          <w:vertAlign w:val="superscript"/>
          /&gt;
        </w:rPr>
        <w:t xml:space="preserve">28</w:t>
      </w:r>
      <w:r>
        <w:rPr>
          <w:vertAlign w:val="superscript"/>
          /&gt;
        </w:rPr>
        <w:t>]</w:t>
      </w:r>
      <w:r>
        <w:t>。另外，</w:t>
      </w:r>
      <w:r>
        <w:t>HBx</w:t>
      </w:r>
      <w:r/>
      <w:r w:rsidR="001852F3">
        <w:t xml:space="preserve">还依赖于钙信号诱导</w:t>
      </w:r>
      <w:r>
        <w:t>FAK</w:t>
      </w:r>
      <w:r>
        <w:t>（</w:t>
      </w:r>
      <w:r>
        <w:t>局部黏着斑</w:t>
      </w:r>
      <w:r>
        <w:t>）</w:t>
      </w:r>
      <w:r>
        <w:t>的活化，对</w:t>
      </w:r>
      <w:r>
        <w:t>HBx</w:t>
      </w:r>
      <w:r w:rsidR="001852F3">
        <w:t xml:space="preserve">的复杂功能起到重要作用</w:t>
      </w:r>
      <w:r>
        <w:rPr>
          <w:vertAlign w:val="superscript"/>
          /&gt;
        </w:rPr>
        <w:t>[</w:t>
      </w:r>
      <w:r>
        <w:rPr>
          <w:vertAlign w:val="superscript"/>
          <w:position w:val="12"/>
        </w:rPr>
        <w:t xml:space="preserve">66</w:t>
      </w:r>
      <w:r>
        <w:rPr>
          <w:vertAlign w:val="superscript"/>
          /&gt;
        </w:rPr>
        <w:t>]</w:t>
      </w:r>
      <w:r>
        <w:t>。</w:t>
      </w:r>
    </w:p>
    <w:p w:rsidR="0018722C">
      <w:pPr>
        <w:topLinePunct/>
      </w:pPr>
      <w:r>
        <w:rPr>
          <w:rFonts w:cstheme="minorBidi" w:hAnsiTheme="minorHAnsi" w:eastAsiaTheme="minorHAnsi" w:asciiTheme="minorHAnsi" w:ascii="宋体" w:hAnsi="宋体" w:eastAsia="宋体" w:cs="宋体"/>
          <w:b/>
        </w:rPr>
        <w:t>5</w:t>
      </w:r>
      <w:r w:rsidR="001852F3">
        <w:rPr>
          <w:rFonts w:cstheme="minorBidi" w:hAnsiTheme="minorHAnsi" w:eastAsiaTheme="minorHAnsi" w:asciiTheme="minorHAnsi" w:ascii="宋体" w:hAnsi="宋体" w:eastAsia="宋体" w:cs="宋体"/>
          <w:b/>
        </w:rPr>
        <w:t xml:space="preserve">其他</w:t>
      </w:r>
    </w:p>
    <w:p w:rsidR="0018722C">
      <w:pPr>
        <w:topLinePunct/>
      </w:pPr>
      <w:r>
        <w:t>COX-2</w:t>
      </w:r>
      <w:r/>
      <w:r w:rsidR="001852F3">
        <w:t xml:space="preserve">是</w:t>
      </w:r>
      <w:r>
        <w:t>COX</w:t>
      </w:r>
      <w:r/>
      <w:r w:rsidR="001852F3">
        <w:t xml:space="preserve">的一种可诱导的亚型，是炎症反应的关键介质。</w:t>
      </w:r>
      <w:r w:rsidR="001852F3">
        <w:t>近年</w:t>
      </w:r>
      <w:r w:rsidR="001852F3">
        <w:t>来有学者发</w:t>
      </w:r>
      <w:r>
        <w:t>现在转染</w:t>
      </w:r>
      <w:r>
        <w:t>HBV</w:t>
      </w:r>
      <w:r/>
      <w:r w:rsidR="001852F3">
        <w:t xml:space="preserve">的肝细胞中，线粒体</w:t>
      </w:r>
      <w:r>
        <w:t>ROS</w:t>
      </w:r>
      <w:r/>
      <w:r w:rsidR="001852F3">
        <w:t xml:space="preserve">以及细胞质钙信号将诱导</w:t>
      </w:r>
      <w:r>
        <w:t>COX-2 mRNA</w:t>
      </w:r>
      <w:r/>
      <w:r w:rsidR="001852F3">
        <w:t xml:space="preserve">以及蛋白质的表达显著提高</w:t>
      </w:r>
      <w:r>
        <w:rPr>
          <w:vertAlign w:val="superscript"/>
          /&gt;
        </w:rPr>
        <w:t>[</w:t>
      </w:r>
      <w:r>
        <w:rPr>
          <w:vertAlign w:val="superscript"/>
          <w:position w:val="12"/>
        </w:rPr>
        <w:t xml:space="preserve">67</w:t>
      </w:r>
      <w:r>
        <w:rPr>
          <w:vertAlign w:val="superscript"/>
          /&gt;
        </w:rPr>
        <w:t>]</w:t>
      </w:r>
      <w:r>
        <w:t>。还有人指出</w:t>
      </w:r>
      <w:r>
        <w:t>HBx</w:t>
      </w:r>
      <w:r/>
      <w:r w:rsidR="001852F3">
        <w:t xml:space="preserve">作用于线粒体，导致细胞内</w:t>
      </w:r>
      <w:r>
        <w:t>ATP</w:t>
      </w:r>
      <w:r/>
      <w:r w:rsidR="001852F3">
        <w:t xml:space="preserve">水平</w:t>
      </w:r>
      <w:r>
        <w:t>下降，通过</w:t>
      </w:r>
      <w:r>
        <w:t>eIF2α</w:t>
      </w:r>
      <w:r>
        <w:t>/</w:t>
      </w:r>
      <w:r>
        <w:t>ATF4</w:t>
      </w:r>
      <w:r/>
      <w:r w:rsidR="001852F3">
        <w:t xml:space="preserve">通路引起</w:t>
      </w:r>
      <w:r>
        <w:t>COX2</w:t>
      </w:r>
      <w:r/>
      <w:r w:rsidR="001852F3">
        <w:t xml:space="preserve">的表达，从而参与到肝脏的炎症反应中</w:t>
      </w:r>
      <w:r>
        <w:rPr>
          <w:vertAlign w:val="superscript"/>
          /&gt;
        </w:rPr>
        <w:t>[</w:t>
      </w:r>
      <w:r>
        <w:rPr>
          <w:vertAlign w:val="superscript"/>
          <w:position w:val="12"/>
        </w:rPr>
        <w:t xml:space="preserve">68</w:t>
      </w:r>
      <w:r>
        <w:rPr>
          <w:vertAlign w:val="superscript"/>
          /&gt;
        </w:rPr>
        <w:t>]</w:t>
      </w:r>
      <w:r>
        <w:t>。</w:t>
      </w:r>
    </w:p>
    <w:p w:rsidR="0018722C">
      <w:pPr>
        <w:topLinePunct/>
      </w:pPr>
      <w:r>
        <w:t>COX2</w:t>
      </w:r>
      <w:r>
        <w:t>的发现将为</w:t>
      </w:r>
      <w:r>
        <w:t>HBx</w:t>
      </w:r>
      <w:r/>
      <w:r w:rsidR="001852F3">
        <w:t xml:space="preserve">相关的肝细胞癌的致病机制及治疗的研究提供新的思路。总之，HBV</w:t>
      </w:r>
      <w:r>
        <w:t> </w:t>
      </w:r>
      <w:r>
        <w:t>X</w:t>
      </w:r>
      <w:r/>
      <w:r w:rsidR="001852F3">
        <w:t xml:space="preserve">蛋白</w:t>
      </w:r>
      <w:r>
        <w:t>（</w:t>
      </w:r>
      <w:r>
        <w:t>HBx</w:t>
      </w:r>
      <w:r>
        <w:t>）</w:t>
      </w:r>
      <w:r>
        <w:t>大多数定位于线粒体外膜，作用于与线粒体相关的</w:t>
      </w:r>
      <w:r>
        <w:t>蛋</w:t>
      </w:r>
    </w:p>
    <w:p w:rsidR="0018722C">
      <w:pPr>
        <w:topLinePunct/>
      </w:pPr>
      <w:r>
        <w:t>白，包括人类电压依赖型离子通道蛋白</w:t>
      </w:r>
      <w:r w:rsidR="001852F3">
        <w:t xml:space="preserve">3</w:t>
      </w:r>
      <w:r>
        <w:t>(</w:t>
      </w:r>
      <w:r>
        <w:t>HVDAC3</w:t>
      </w:r>
      <w:r>
        <w:t>)</w:t>
      </w:r>
      <w:r w:rsidR="001852F3">
        <w:t xml:space="preserve">、线粒体膜通透性转换孔</w:t>
      </w:r>
    </w:p>
    <w:p w:rsidR="0018722C">
      <w:pPr>
        <w:topLinePunct/>
      </w:pPr>
      <w:r>
        <w:t xml:space="preserve">（</w:t>
      </w:r>
      <w:r>
        <w:t xml:space="preserve">MPTP</w:t>
      </w:r>
      <w:r>
        <w:t xml:space="preserve">）</w:t>
      </w:r>
      <w:r>
        <w:t xml:space="preserve">、细胞色素</w:t>
      </w:r>
      <w:r>
        <w:t xml:space="preserve">C</w:t>
      </w:r>
      <w:r/>
      <w:r w:rsidR="001852F3">
        <w:t xml:space="preserve">氧化酶</w:t>
      </w:r>
      <w:r>
        <w:t xml:space="preserve">III</w:t>
      </w:r>
      <w:r>
        <w:t xml:space="preserve"> </w:t>
      </w:r>
      <w:r>
        <w:t xml:space="preserve">(</w:t>
      </w:r>
      <w:r>
        <w:rPr>
          <w:spacing w:val="-20"/>
        </w:rPr>
        <w:t xml:space="preserve"> </w:t>
      </w:r>
      <w:r>
        <w:t xml:space="preserve">COXIII</w:t>
      </w:r>
      <w:r>
        <w:t xml:space="preserve">)</w:t>
      </w:r>
      <w:r/>
      <w:r w:rsidR="001852F3">
        <w:t xml:space="preserve">热休克蛋白</w:t>
      </w:r>
      <w:r>
        <w:t xml:space="preserve">60</w:t>
      </w:r>
      <w:r>
        <w:t xml:space="preserve">、</w:t>
      </w:r>
      <w:r>
        <w:t xml:space="preserve">7</w:t>
      </w:r>
      <w:r>
        <w:t xml:space="preserve">0</w:t>
      </w:r>
      <w:r>
        <w:t xml:space="preserve">（</w:t>
      </w:r>
      <w:r>
        <w:t xml:space="preserve">HSP60</w:t>
      </w:r>
      <w:r>
        <w:rPr>
          <w:spacing w:val="-17"/>
        </w:rPr>
        <w:t xml:space="preserve">、</w:t>
      </w:r>
      <w:r>
        <w:t xml:space="preserve">HSP70</w:t>
      </w:r>
      <w:r>
        <w:t xml:space="preserve">）</w:t>
      </w:r>
      <w:r>
        <w:t xml:space="preserve">、</w:t>
      </w:r>
      <w:r>
        <w:t xml:space="preserve">以及转位到线粒体与</w:t>
      </w:r>
      <w:r>
        <w:t xml:space="preserve">HBx</w:t>
      </w:r>
      <w:r/>
      <w:r w:rsidR="001852F3">
        <w:t xml:space="preserve">作用的蛋白——原癌基因</w:t>
      </w:r>
      <w:r>
        <w:t xml:space="preserve">Raf-1</w:t>
      </w:r>
      <w:r/>
      <w:r w:rsidR="001852F3">
        <w:t xml:space="preserve">和细胞凋亡基因编码的</w:t>
      </w:r>
    </w:p>
    <w:p w:rsidR="0018722C">
      <w:pPr>
        <w:topLinePunct/>
      </w:pPr>
      <w:r>
        <w:t>Bax</w:t>
      </w:r>
      <w:r/>
      <w:r w:rsidR="001852F3">
        <w:t xml:space="preserve">蛋白，从而影响线粒体的生理及其功能，导致线粒体膜通透性改变、膜电位的</w:t>
      </w:r>
      <w:r>
        <w:t>丢失、细胞色素</w:t>
      </w:r>
      <w:r>
        <w:t>C</w:t>
      </w:r>
      <w:r/>
      <w:r w:rsidR="001852F3">
        <w:t xml:space="preserve">的释放、</w:t>
      </w:r>
      <w:r>
        <w:t>ROS</w:t>
      </w:r>
      <w:r/>
      <w:r w:rsidR="001852F3">
        <w:t xml:space="preserve">增加、</w:t>
      </w:r>
      <w:r>
        <w:t>ATP</w:t>
      </w:r>
      <w:r/>
      <w:r w:rsidR="001852F3">
        <w:t xml:space="preserve">合成降低、凋亡诱导因子以及钙释放到</w:t>
      </w:r>
      <w:r>
        <w:t>细胞质中、影响呼吸链酶复合体的表达和稳定性，并且调节细胞中铁代谢、诱导COX-2</w:t>
      </w:r>
      <w:r/>
      <w:r w:rsidR="001852F3">
        <w:t xml:space="preserve">的表达增加。线粒体生理及其功能受损后，引起线粒体相关的细胞凋亡、导致肝细胞病理状态的出现，并促进了肝细胞癌的发生。</w:t>
      </w:r>
    </w:p>
    <w:p w:rsidR="0018722C">
      <w:pPr>
        <w:pStyle w:val="afff1"/>
        <w:topLinePunct/>
      </w:pPr>
      <w:bookmarkStart w:id="707280" w:name="_Toc686707280"/>
      <w:r>
        <w:t>参考文献：</w:t>
      </w:r>
      <w:bookmarkEnd w:id="707280"/>
    </w:p>
    <w:p w:rsidR="0018722C">
      <w:pPr>
        <w:pStyle w:val="aff7"/>
        <w:topLinePunct/>
      </w:pPr>
      <w:r>
        <w:pict>
          <v:line style="position:absolute;mso-position-horizontal-relative:page;mso-position-vertical-relative:paragraph;z-index:1792;mso-wrap-distance-left:0;mso-wrap-distance-right:0" from="85.099998pt,12.956644pt" to="229.099998pt,12.956644pt" stroked="true" strokeweight=".54004pt" strokecolor="#000000">
            <v:stroke dashstyle="solid"/>
            <w10:wrap type="topAndBottom"/>
          </v:line>
        </w:pic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sidRPr="00281126">
        <w:t xml:space="preserve">  </w:t>
      </w:r>
      <w:r>
        <w:rPr>
          <w:rFonts w:ascii="Times New Roman" w:hAnsi="Times New Roman"/>
        </w:rPr>
        <w:t xml:space="preserve">Seeger, C., F. Zoulim, and W. Mason. 2007. Hepadnaviruses, p. 2977–3029.</w:t>
      </w:r>
      <w:r>
        <w:rPr>
          <w:rFonts w:ascii="Times New Roman" w:hAnsi="Times New Roman"/>
        </w:rPr>
        <w:t xml:space="preserve"> </w:t>
      </w:r>
      <w:r>
        <w:rPr>
          <w:rFonts w:ascii="Times New Roman" w:hAnsi="Times New Roman"/>
        </w:rPr>
        <w:t xml:space="preserve">In D. M. Knipe and P. M. Howley </w:t>
      </w:r>
      <w:r>
        <w:rPr>
          <w:rFonts w:ascii="Times New Roman" w:hAnsi="Times New Roman"/>
        </w:rPr>
        <w:t xml:space="preserve">(</w:t>
      </w:r>
      <w:r>
        <w:rPr>
          <w:rFonts w:ascii="Times New Roman" w:hAnsi="Times New Roman"/>
        </w:rPr>
        <w:t xml:space="preserve">ed.</w:t>
      </w:r>
      <w:r>
        <w:rPr>
          <w:rFonts w:ascii="Times New Roman" w:hAnsi="Times New Roman"/>
        </w:rPr>
        <w:t xml:space="preserve">)</w:t>
      </w:r>
      <w:r>
        <w:rPr>
          <w:rFonts w:ascii="Times New Roman" w:hAnsi="Times New Roman"/>
        </w:rPr>
        <w:t xml:space="preserve">, Field</w:t>
      </w:r>
      <w:r>
        <w:rPr>
          <w:rFonts w:ascii="Times New Roman" w:hAnsi="Times New Roman"/>
        </w:rPr>
        <w:t xml:space="preserve">'</w:t>
      </w:r>
      <w:r>
        <w:rPr>
          <w:rFonts w:ascii="Times New Roman" w:hAnsi="Times New Roman"/>
        </w:rPr>
        <w:t xml:space="preserve">s virology, vol. 2. Lippincott Williams &amp; Wilkins, Philadelphia, PA.</w:t>
      </w:r>
    </w:p>
    <w:p w:rsidR="0018722C">
      <w:pPr>
        <w:pStyle w:val="ab"/>
        <w:topLinePunct/>
        <w:ind w:left="200" w:hangingChars="200" w:hanging="200"/>
      </w:pPr>
      <w:r>
        <w:rPr>
          <w:rFonts w:ascii="Times New Roman"/>
        </w:rPr>
        <w:t>[</w:t>
      </w:r>
      <w:r>
        <w:rPr>
          <w:rFonts w:ascii="Times New Roman"/>
        </w:rPr>
        <w:t xml:space="preserve">2</w:t>
      </w:r>
      <w:r>
        <w:rPr>
          <w:rFonts w:ascii="Times New Roman"/>
        </w:rPr>
        <w:t>]</w:t>
      </w:r>
      <w:r w:rsidRPr="00281126">
        <w:t xml:space="preserve">  </w:t>
      </w:r>
      <w:r>
        <w:rPr>
          <w:rFonts w:ascii="Times New Roman"/>
        </w:rPr>
        <w:t xml:space="preserve">WHO. 2000, posting date. Hepatitis B fact sheet.</w:t>
      </w:r>
      <w:r>
        <w:rPr>
          <w:rFonts w:ascii="Times New Roman"/>
        </w:rPr>
        <w:t xml:space="preserve"> </w:t>
      </w:r>
      <w:r>
        <w:rPr>
          <w:rFonts w:ascii="Times New Roman"/>
        </w:rPr>
        <w:t>http:</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who.</w:t>
      </w:r>
      <w:r w:rsidR="004B696B">
        <w:rPr>
          <w:rFonts w:ascii="Times New Roman"/>
        </w:rPr>
        <w:t xml:space="preserve"> </w:t>
      </w:r>
      <w:r w:rsidR="004B696B">
        <w:rPr>
          <w:rFonts w:ascii="Times New Roman"/>
        </w:rPr>
        <w:t>int</w:t>
      </w:r>
      <w:r>
        <w:rPr>
          <w:rFonts w:ascii="Times New Roman"/>
        </w:rPr>
        <w:t>/</w:t>
      </w:r>
      <w:r>
        <w:rPr>
          <w:rFonts w:ascii="Times New Roman"/>
        </w:rPr>
        <w:t>mediacentre</w:t>
      </w:r>
      <w:r>
        <w:rPr>
          <w:rFonts w:ascii="Times New Roman"/>
        </w:rPr>
        <w:t>/</w:t>
      </w:r>
      <w:r>
        <w:rPr>
          <w:rFonts w:ascii="Times New Roman"/>
        </w:rPr>
        <w:t>factsheets</w:t>
      </w:r>
      <w:r>
        <w:rPr>
          <w:rFonts w:ascii="Times New Roman"/>
        </w:rPr>
        <w:t>/</w:t>
      </w:r>
      <w:r>
        <w:rPr>
          <w:rFonts w:ascii="Times New Roman"/>
        </w:rPr>
        <w:t>fs204</w:t>
      </w:r>
      <w:r>
        <w:rPr>
          <w:rFonts w:ascii="Times New Roman"/>
        </w:rPr>
        <w:t>/</w:t>
      </w:r>
      <w:r>
        <w:rPr>
          <w:rFonts w:ascii="Times New Roman"/>
        </w:rPr>
        <w:t>en</w:t>
      </w:r>
      <w:r>
        <w:rPr>
          <w:rFonts w:ascii="Times New Roman"/>
        </w:rPr>
        <w:t>/</w:t>
      </w:r>
      <w:r>
        <w:rPr>
          <w:rFonts w:ascii="Times New Roman"/>
        </w:rPr>
        <w:t>print.</w:t>
      </w:r>
      <w:r w:rsidR="004B696B">
        <w:rPr>
          <w:rFonts w:ascii="Times New Roman"/>
        </w:rPr>
        <w:t xml:space="preserve"> </w:t>
      </w:r>
      <w:r w:rsidR="004B696B">
        <w:rPr>
          <w:rFonts w:ascii="Times New Roman"/>
        </w:rPr>
        <w:t>html.</w:t>
      </w:r>
    </w:p>
    <w:p w:rsidR="0018722C">
      <w:pPr>
        <w:pStyle w:val="ab"/>
        <w:topLinePunct/>
        <w:ind w:left="200" w:hangingChars="200" w:hanging="200"/>
      </w:pPr>
      <w:r>
        <w:rPr>
          <w:rFonts w:ascii="Times New Roman" w:eastAsia="宋体"/>
        </w:rPr>
        <w:t>[</w:t>
      </w:r>
      <w:r>
        <w:rPr>
          <w:rFonts w:ascii="Times New Roman" w:eastAsia="宋体"/>
        </w:rPr>
        <w:t xml:space="preserve">3</w:t>
      </w:r>
      <w:r>
        <w:rPr>
          <w:rFonts w:ascii="Times New Roman" w:eastAsia="宋体"/>
        </w:rPr>
        <w:t>]</w:t>
      </w:r>
      <w:r w:rsidRPr="00281126">
        <w:t xml:space="preserve">  </w:t>
      </w:r>
      <w:r>
        <w:rPr>
          <w:rFonts w:ascii="Times New Roman" w:eastAsia="宋体"/>
        </w:rPr>
        <w:t>Neuveut</w:t>
      </w:r>
      <w:r>
        <w:t>C</w:t>
      </w:r>
      <w:r>
        <w:t>,</w:t>
      </w:r>
      <w:r>
        <w:t> </w:t>
      </w:r>
      <w:r>
        <w:rPr>
          <w:rFonts w:ascii="Times New Roman" w:eastAsia="宋体"/>
        </w:rPr>
        <w:t>Wei</w:t>
      </w:r>
      <w:r>
        <w:t>Y</w:t>
      </w:r>
      <w:r>
        <w:t>,</w:t>
      </w:r>
      <w:r>
        <w:t> </w:t>
      </w:r>
      <w:r>
        <w:rPr>
          <w:rFonts w:ascii="Times New Roman" w:eastAsia="宋体"/>
        </w:rPr>
        <w:t>Buendia</w:t>
      </w:r>
      <w:r>
        <w:t>M</w:t>
      </w:r>
      <w:r>
        <w:t>A</w:t>
      </w:r>
      <w:r>
        <w:t xml:space="preserve">．</w:t>
      </w:r>
      <w:r>
        <w:t xml:space="preserve"> </w:t>
      </w:r>
      <w:r/>
      <w:r>
        <w:rPr>
          <w:rFonts w:ascii="Times New Roman" w:eastAsia="宋体"/>
        </w:rPr>
        <w:t>Mechanisms</w:t>
      </w:r>
      <w:r>
        <w:t>of</w:t>
      </w:r>
      <w:r>
        <w:t>HBV-related hepatocarcinogenesis</w:t>
      </w:r>
      <w:r>
        <w:t>[</w:t>
      </w:r>
      <w:r>
        <w:t>J</w:t>
      </w:r>
      <w:r>
        <w:t>]</w:t>
      </w:r>
      <w:r>
        <w:t xml:space="preserve">．</w:t>
      </w:r>
      <w:r>
        <w:t xml:space="preserve"> </w:t>
      </w:r>
      <w:r>
        <w:rPr>
          <w:rFonts w:ascii="Times New Roman" w:eastAsia="宋体"/>
        </w:rPr>
        <w:t>Hepatol</w:t>
      </w:r>
      <w:r>
        <w:t xml:space="preserve">, </w:t>
      </w:r>
      <w:r>
        <w:rPr>
          <w:rFonts w:ascii="Times New Roman" w:eastAsia="宋体"/>
        </w:rPr>
        <w:t>2010</w:t>
      </w:r>
      <w:r>
        <w:t xml:space="preserve">, </w:t>
      </w:r>
      <w:r>
        <w:rPr>
          <w:rFonts w:ascii="Times New Roman" w:eastAsia="宋体"/>
        </w:rPr>
        <w:t>52</w:t>
      </w:r>
      <w:r>
        <w:rPr>
          <w:rFonts w:ascii="Times New Roman" w:eastAsia="宋体"/>
        </w:rPr>
        <w:t>(</w:t>
      </w:r>
      <w:r>
        <w:rPr>
          <w:rFonts w:ascii="Times New Roman" w:eastAsia="宋体"/>
        </w:rPr>
        <w:t>4</w:t>
      </w:r>
      <w:r>
        <w:rPr>
          <w:rFonts w:ascii="Times New Roman" w:eastAsia="宋体"/>
        </w:rPr>
        <w:t>)</w:t>
      </w:r>
      <w:r>
        <w:t xml:space="preserve">: </w:t>
      </w:r>
      <w:r>
        <w:rPr>
          <w:rFonts w:ascii="Times New Roman" w:eastAsia="宋体"/>
        </w:rPr>
        <w:t>594-604</w:t>
      </w:r>
      <w:r>
        <w:t>．</w:t>
      </w:r>
    </w:p>
    <w:p w:rsidR="0018722C">
      <w:pPr>
        <w:pStyle w:val="aff7"/>
        <w:topLinePunct/>
      </w:pPr>
      <w:r>
        <w:rPr>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hAnsi="Times New Roman"/>
        </w:rPr>
        <w:t>[</w:t>
      </w:r>
      <w:r>
        <w:rPr>
          <w:rFonts w:ascii="Times New Roman" w:hAnsi="Times New Roman"/>
        </w:rPr>
        <w:t xml:space="preserve">4</w:t>
      </w:r>
      <w:r>
        <w:rPr>
          <w:rFonts w:ascii="Times New Roman" w:hAnsi="Times New Roman"/>
        </w:rPr>
        <w:t>]</w:t>
      </w:r>
      <w:r w:rsidRPr="00281126">
        <w:t xml:space="preserve">  </w:t>
      </w:r>
      <w:r>
        <w:rPr>
          <w:rFonts w:ascii="Times New Roman" w:hAnsi="Times New Roman"/>
        </w:rPr>
        <w:t>Maguire HF, Hoefﬂer JP, Siddiqui A. HBV X protein alters the DNA binding speciﬁcity of CREB and ATF-2 by protein-protein interactions. Science</w:t>
      </w:r>
      <w:r w:rsidR="001852F3">
        <w:rPr>
          <w:rFonts w:ascii="Times New Roman" w:hAnsi="Times New Roman"/>
        </w:rPr>
        <w:t xml:space="preserve"> 1991;</w:t>
      </w:r>
      <w:r w:rsidR="001852F3">
        <w:rPr>
          <w:rFonts w:ascii="Times New Roman" w:hAnsi="Times New Roman"/>
        </w:rPr>
        <w:t xml:space="preserve"> </w:t>
      </w:r>
      <w:r w:rsidR="001852F3">
        <w:rPr>
          <w:rFonts w:ascii="Times New Roman" w:hAnsi="Times New Roman"/>
        </w:rPr>
        <w:t>252:</w:t>
      </w:r>
      <w:r w:rsidR="001852F3">
        <w:rPr>
          <w:rFonts w:ascii="Times New Roman" w:hAnsi="Times New Roman"/>
        </w:rPr>
        <w:t xml:space="preserve"> </w:t>
      </w:r>
      <w:r w:rsidR="001852F3">
        <w:rPr>
          <w:rFonts w:ascii="Times New Roman" w:hAnsi="Times New Roman"/>
        </w:rPr>
        <w:t>842–4</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rPr>
          <w:rFonts w:ascii="Times New Roman" w:eastAsia="Times New Roman"/>
        </w:rPr>
        <w:t>Haviv</w:t>
      </w:r>
      <w:r w:rsidR="001852F3">
        <w:rPr>
          <w:rFonts w:ascii="Times New Roman" w:eastAsia="Times New Roman"/>
        </w:rPr>
        <w:t xml:space="preserve"> I</w:t>
      </w:r>
      <w:r>
        <w:t xml:space="preserve">, </w:t>
      </w:r>
      <w:r>
        <w:rPr>
          <w:rFonts w:ascii="Times New Roman" w:eastAsia="Times New Roman"/>
        </w:rPr>
        <w:t>Shamay</w:t>
      </w:r>
      <w:r w:rsidR="001852F3">
        <w:rPr>
          <w:rFonts w:ascii="Times New Roman" w:eastAsia="Times New Roman"/>
        </w:rPr>
        <w:t xml:space="preserve"> M</w:t>
      </w:r>
      <w:r>
        <w:t xml:space="preserve">, </w:t>
      </w:r>
      <w:r>
        <w:rPr>
          <w:rFonts w:ascii="Times New Roman" w:eastAsia="Times New Roman"/>
        </w:rPr>
        <w:t>Doitsh</w:t>
      </w:r>
      <w:r w:rsidR="001852F3">
        <w:rPr>
          <w:rFonts w:ascii="Times New Roman" w:eastAsia="Times New Roman"/>
        </w:rPr>
        <w:t xml:space="preserve"> O</w:t>
      </w:r>
      <w:r>
        <w:t xml:space="preserve">, </w:t>
      </w:r>
      <w:r>
        <w:rPr>
          <w:rFonts w:ascii="Times New Roman" w:eastAsia="Times New Roman"/>
        </w:rPr>
        <w:t>et</w:t>
      </w:r>
      <w:r w:rsidR="001852F3">
        <w:rPr>
          <w:rFonts w:ascii="Times New Roman" w:eastAsia="Times New Roman"/>
        </w:rPr>
        <w:t xml:space="preserve"> a1</w:t>
      </w:r>
      <w:r>
        <w:t xml:space="preserve">．</w:t>
      </w:r>
      <w:r>
        <w:t xml:space="preserve"> </w:t>
      </w:r>
      <w:r>
        <w:rPr>
          <w:rFonts w:ascii="Times New Roman" w:eastAsia="Times New Roman"/>
        </w:rPr>
        <w:t>Hepatitis</w:t>
      </w:r>
      <w:r w:rsidR="001852F3">
        <w:rPr>
          <w:rFonts w:ascii="Times New Roman" w:eastAsia="Times New Roman"/>
        </w:rPr>
        <w:t xml:space="preserve"> B</w:t>
      </w:r>
      <w:r w:rsidR="001852F3">
        <w:rPr>
          <w:rFonts w:ascii="Times New Roman" w:eastAsia="Times New Roman"/>
        </w:rPr>
        <w:t xml:space="preserve"> virus</w:t>
      </w:r>
      <w:r w:rsidR="001852F3">
        <w:rPr>
          <w:rFonts w:ascii="Times New Roman" w:eastAsia="Times New Roman"/>
        </w:rPr>
        <w:t xml:space="preserve"> pX</w:t>
      </w:r>
      <w:r w:rsidR="001852F3">
        <w:rPr>
          <w:rFonts w:ascii="Times New Roman" w:eastAsia="Times New Roman"/>
        </w:rPr>
        <w:t xml:space="preserve"> targets</w:t>
      </w:r>
      <w:r w:rsidR="001852F3">
        <w:rPr>
          <w:rFonts w:ascii="Times New Roman" w:eastAsia="Times New Roman"/>
        </w:rPr>
        <w:t xml:space="preserve"> TEIIB in</w:t>
      </w:r>
      <w:r>
        <w:rPr>
          <w:rFonts w:ascii="Times New Roman" w:hAnsi="Times New Roman" w:eastAsia="Times New Roman"/>
        </w:rPr>
        <w:t>transcription eoactivation</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rPr>
          <w:rFonts w:ascii="Times New Roman" w:hAnsi="Times New Roman" w:eastAsia="Times New Roman"/>
        </w:rPr>
        <w:t>Mol Cell Bid</w:t>
      </w:r>
      <w:r>
        <w:t xml:space="preserve">, </w:t>
      </w:r>
      <w:r>
        <w:rPr>
          <w:rFonts w:ascii="Times New Roman" w:hAnsi="Times New Roman" w:eastAsia="Times New Roman"/>
        </w:rPr>
        <w:t>1998</w:t>
      </w:r>
      <w:r>
        <w:t xml:space="preserve">, </w:t>
      </w:r>
      <w:r>
        <w:rPr>
          <w:rFonts w:ascii="Times New Roman" w:hAnsi="Times New Roman" w:eastAsia="Times New Roman"/>
        </w:rPr>
        <w:t>18</w:t>
      </w:r>
      <w:r>
        <w:t xml:space="preserve">, </w:t>
      </w:r>
      <w:r>
        <w:rPr>
          <w:rFonts w:ascii="Times New Roman" w:hAnsi="Times New Roman" w:eastAsia="Times New Roman"/>
        </w:rPr>
        <w:t>1562—1569</w:t>
      </w:r>
      <w:r>
        <w:t>．</w:t>
      </w:r>
    </w:p>
    <w:p w:rsidR="0018722C">
      <w:pPr>
        <w:pStyle w:val="ab"/>
        <w:topLinePunct/>
        <w:ind w:left="200" w:hangingChars="200" w:hanging="200"/>
      </w:pPr>
      <w:r>
        <w:rPr>
          <w:rFonts w:ascii="Times New Roman" w:hAnsi="Times New Roman"/>
        </w:rPr>
        <w:t>[</w:t>
      </w:r>
      <w:r>
        <w:rPr>
          <w:rFonts w:ascii="Times New Roman" w:hAnsi="Times New Roman"/>
        </w:rPr>
        <w:t xml:space="preserve">6</w:t>
      </w:r>
      <w:r>
        <w:rPr>
          <w:rFonts w:ascii="Times New Roman" w:hAnsi="Times New Roman"/>
        </w:rPr>
        <w:t>]</w:t>
      </w:r>
      <w:r w:rsidRPr="00281126">
        <w:t xml:space="preserve">  </w:t>
      </w:r>
      <w:r>
        <w:rPr>
          <w:rFonts w:ascii="Times New Roman" w:hAnsi="Times New Roman"/>
        </w:rPr>
        <w:t xml:space="preserve">Henkler, F., J. Hoare, N. Waseem, R. Goldin, M. McGarvey, R. Koshy, and I. King. 2001. Intracellular localization of the hepatitis B virus HBx protein. J. Gen. Virol. 82:</w:t>
      </w:r>
      <w:r>
        <w:rPr>
          <w:rFonts w:ascii="Times New Roman" w:hAnsi="Times New Roman"/>
        </w:rPr>
        <w:t xml:space="preserve"> </w:t>
      </w:r>
      <w:r>
        <w:rPr>
          <w:rFonts w:ascii="Times New Roman" w:hAnsi="Times New Roman"/>
        </w:rPr>
        <w:t>871–882.</w:t>
      </w:r>
    </w:p>
    <w:p w:rsidR="0018722C">
      <w:pPr>
        <w:pStyle w:val="ab"/>
        <w:topLinePunct/>
        <w:ind w:left="200" w:hangingChars="200" w:hanging="200"/>
      </w:pPr>
      <w:r>
        <w:rPr>
          <w:rFonts w:ascii="Times New Roman"/>
        </w:rPr>
        <w:t>[</w:t>
      </w:r>
      <w:r>
        <w:rPr>
          <w:rFonts w:ascii="Times New Roman"/>
        </w:rPr>
        <w:t xml:space="preserve">7</w:t>
      </w:r>
      <w:r>
        <w:rPr>
          <w:rFonts w:ascii="Times New Roman"/>
        </w:rPr>
        <w:t>]</w:t>
      </w:r>
      <w:r w:rsidRPr="00281126">
        <w:t xml:space="preserve">  </w:t>
      </w:r>
      <w:r>
        <w:rPr>
          <w:rFonts w:ascii="Times New Roman"/>
        </w:rPr>
        <w:t xml:space="preserve">Hoare, J., F. Henkler, J. J. Dowling,</w:t>
      </w:r>
      <w:r>
        <w:rPr>
          <w:rFonts w:ascii="Times New Roman"/>
        </w:rPr>
        <w:t xml:space="preserve"> </w:t>
      </w:r>
      <w:r>
        <w:rPr>
          <w:rFonts w:ascii="Times New Roman"/>
        </w:rPr>
        <w:t xml:space="preserve">W. Errington, R. D. Goldin, D. Fish, and M. J.</w:t>
      </w:r>
      <w:r>
        <w:rPr>
          <w:rFonts w:ascii="Times New Roman"/>
        </w:rPr>
        <w:t xml:space="preserve"> </w:t>
      </w:r>
      <w:r>
        <w:rPr>
          <w:rFonts w:ascii="Times New Roman" w:hAnsi="Times New Roman"/>
        </w:rPr>
        <w:t>McGarvey. 2001. Subcellular localisation of the X protein in HBV infected</w:t>
      </w:r>
      <w:r w:rsidR="001852F3">
        <w:rPr>
          <w:rFonts w:ascii="Times New Roman" w:hAnsi="Times New Roman"/>
        </w:rPr>
        <w:t xml:space="preserve"> hepatocytes. J. Med. Virol.</w:t>
      </w:r>
      <w:r>
        <w:rPr>
          <w:rFonts w:ascii="Times New Roman" w:hAnsi="Times New Roman"/>
        </w:rPr>
        <w:t> </w:t>
      </w:r>
      <w:r>
        <w:rPr>
          <w:rFonts w:ascii="Times New Roman" w:hAnsi="Times New Roman"/>
        </w:rPr>
        <w:t xml:space="preserve">64:</w:t>
      </w:r>
      <w:r>
        <w:rPr>
          <w:rFonts w:ascii="Times New Roman" w:hAnsi="Times New Roman"/>
        </w:rPr>
        <w:t xml:space="preserve"> </w:t>
      </w:r>
      <w:r>
        <w:rPr>
          <w:rFonts w:ascii="Times New Roman" w:hAnsi="Times New Roman"/>
        </w:rPr>
        <w:t>419–426.</w:t>
      </w:r>
    </w:p>
    <w:p w:rsidR="0018722C">
      <w:pPr>
        <w:pStyle w:val="ab"/>
        <w:topLinePunct/>
        <w:ind w:left="200" w:hangingChars="200" w:hanging="200"/>
      </w:pPr>
      <w:r>
        <w:rPr>
          <w:rFonts w:ascii="Times New Roman"/>
        </w:rPr>
        <w:t>[</w:t>
      </w:r>
      <w:r>
        <w:rPr>
          <w:rFonts w:ascii="Times New Roman"/>
        </w:rPr>
        <w:t xml:space="preserve">8</w:t>
      </w:r>
      <w:r>
        <w:rPr>
          <w:rFonts w:ascii="Times New Roman"/>
        </w:rPr>
        <w:t>]</w:t>
      </w:r>
      <w:r w:rsidRPr="00281126">
        <w:t xml:space="preserve">  </w:t>
      </w:r>
      <w:r>
        <w:rPr>
          <w:rFonts w:ascii="Times New Roman"/>
        </w:rPr>
        <w:t>Y. He, F. Yang, F. Wang, </w:t>
      </w:r>
      <w:r w:rsidR="001852F3">
        <w:rPr>
          <w:rFonts w:ascii="Times New Roman"/>
        </w:rPr>
        <w:t xml:space="preserve">S.</w:t>
      </w:r>
      <w:r w:rsidR="001852F3">
        <w:rPr>
          <w:rFonts w:ascii="Times New Roman"/>
        </w:rPr>
        <w:t xml:space="preserve"> </w:t>
      </w:r>
      <w:r w:rsidR="001852F3">
        <w:rPr>
          <w:rFonts w:ascii="Times New Roman"/>
        </w:rPr>
        <w:t xml:space="preserve">-X. </w:t>
      </w:r>
      <w:r w:rsidR="001852F3">
        <w:rPr>
          <w:rFonts w:ascii="Times New Roman"/>
        </w:rPr>
        <w:t xml:space="preserve">Song, D.</w:t>
      </w:r>
      <w:r w:rsidR="001852F3">
        <w:rPr>
          <w:rFonts w:ascii="Times New Roman"/>
        </w:rPr>
        <w:t xml:space="preserve"> </w:t>
      </w:r>
      <w:r w:rsidR="001852F3">
        <w:rPr>
          <w:rFonts w:ascii="Times New Roman"/>
        </w:rPr>
        <w:t xml:space="preserve">-A. Li, </w:t>
      </w:r>
      <w:r w:rsidR="001852F3">
        <w:rPr>
          <w:rFonts w:ascii="Times New Roman"/>
        </w:rPr>
        <w:t xml:space="preserve">Y.</w:t>
      </w:r>
      <w:r w:rsidR="001852F3">
        <w:rPr>
          <w:rFonts w:ascii="Times New Roman"/>
        </w:rPr>
        <w:t xml:space="preserve"> </w:t>
      </w:r>
      <w:r w:rsidR="001852F3">
        <w:rPr>
          <w:rFonts w:ascii="Times New Roman"/>
        </w:rPr>
        <w:t xml:space="preserve">-J. </w:t>
      </w:r>
      <w:r w:rsidR="001852F3">
        <w:rPr>
          <w:rFonts w:ascii="Times New Roman"/>
        </w:rPr>
        <w:t xml:space="preserve">Guo &amp;</w:t>
      </w:r>
      <w:r w:rsidR="001852F3">
        <w:rPr>
          <w:rFonts w:ascii="Times New Roman"/>
        </w:rPr>
        <w:t xml:space="preserve"> S.</w:t>
      </w:r>
      <w:r w:rsidR="001852F3">
        <w:rPr>
          <w:rFonts w:ascii="Times New Roman"/>
        </w:rPr>
        <w:t xml:space="preserve"> </w:t>
      </w:r>
      <w:r w:rsidR="001852F3">
        <w:rPr>
          <w:rFonts w:ascii="Times New Roman"/>
        </w:rPr>
        <w:t xml:space="preserve">-H. Sun. 2007. The</w:t>
      </w:r>
      <w:r>
        <w:rPr>
          <w:rFonts w:ascii="Times New Roman" w:hAnsi="Times New Roman"/>
        </w:rPr>
        <w:t>Upregulation of Expressed Proteins in HepG2 Cells Transfected by the Recombinant Plasmid-containing HBx Gene</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Blackwell Publishing Ltd. Scandinavian Journal of Immunology 65, 249–256</w:t>
      </w:r>
    </w:p>
    <w:p w:rsidR="0018722C">
      <w:pPr>
        <w:pStyle w:val="ab"/>
        <w:topLinePunct/>
        <w:ind w:left="200" w:hangingChars="200" w:hanging="200"/>
      </w:pPr>
      <w:r>
        <w:rPr>
          <w:rFonts w:ascii="Times New Roman"/>
        </w:rPr>
        <w:t>[</w:t>
      </w:r>
      <w:r>
        <w:rPr>
          <w:rFonts w:ascii="Times New Roman"/>
        </w:rPr>
        <w:t xml:space="preserve">9</w:t>
      </w:r>
      <w:r>
        <w:rPr>
          <w:rFonts w:ascii="Times New Roman"/>
        </w:rPr>
        <w:t>]</w:t>
      </w:r>
      <w:r w:rsidRPr="00281126">
        <w:t xml:space="preserve">  </w:t>
      </w:r>
      <w:r>
        <w:rPr>
          <w:rFonts w:ascii="Times New Roman"/>
        </w:rPr>
        <w:t xml:space="preserve">Henkler, F., J. Hoare, N. Waseem, R. D. Goldin, M. J. McGarvey, R. Koshy, and I. A.</w:t>
      </w:r>
      <w:r>
        <w:rPr>
          <w:rFonts w:ascii="Times New Roman"/>
        </w:rPr>
        <w:t xml:space="preserve"> </w:t>
      </w:r>
      <w:r>
        <w:rPr>
          <w:rFonts w:ascii="Times New Roman" w:hAnsi="Times New Roman"/>
        </w:rPr>
        <w:t xml:space="preserve">King. 2001. Intracellular localization of the hepatitis B virus HBx protein. J. Gen. Virol. 82: 871–882.</w:t>
      </w:r>
    </w:p>
    <w:p w:rsidR="0018722C">
      <w:pPr>
        <w:pStyle w:val="ab"/>
        <w:topLinePunct/>
        <w:ind w:left="200" w:hangingChars="200" w:hanging="200"/>
      </w:pPr>
      <w:bookmarkStart w:id="707288" w:name="_cwCmt8"/>
      <w:r>
        <w:rPr>
          <w:rFonts w:ascii="Times New Roman"/>
        </w:rPr>
        <w:t>[</w:t>
      </w:r>
      <w:r>
        <w:rPr>
          <w:rFonts w:ascii="Times New Roman"/>
        </w:rPr>
        <w:t xml:space="preserve">10</w:t>
      </w:r>
      <w:r>
        <w:rPr>
          <w:rFonts w:ascii="Times New Roman"/>
        </w:rPr>
        <w:t>]</w:t>
      </w:r>
      <w:r w:rsidRPr="00281126">
        <w:t xml:space="preserve"> </w:t>
      </w:r>
      <w:r>
        <w:rPr>
          <w:rFonts w:ascii="Times New Roman"/>
        </w:rPr>
        <w:t>Shirakata, Y., and K. Koike. 2003. Hepatitis B virus X protein induces cell</w:t>
      </w:r>
      <w:r w:rsidR="001852F3">
        <w:rPr>
          <w:rFonts w:ascii="Times New Roman"/>
        </w:rPr>
        <w:t xml:space="preserve"> death by</w:t>
      </w:r>
      <w:r>
        <w:rPr>
          <w:rFonts w:ascii="Times New Roman" w:hAnsi="Times New Roman"/>
        </w:rPr>
        <w:t xml:space="preserve">causing loss of mitochondrial membrane potential. J. Biol. Chem. 278: 22071–22078.</w:t>
      </w:r>
      <w:bookmarkEnd w:id="707288"/>
    </w:p>
    <w:p w:rsidR="0018722C">
      <w:pPr>
        <w:pStyle w:val="ab"/>
        <w:topLinePunct/>
        <w:ind w:left="200" w:hangingChars="200" w:hanging="200"/>
      </w:pPr>
      <w:r>
        <w:rPr>
          <w:rFonts w:ascii="Times New Roman" w:hAnsi="Times New Roman"/>
        </w:rPr>
        <w:t>[</w:t>
      </w:r>
      <w:r>
        <w:rPr>
          <w:rFonts w:ascii="Times New Roman" w:hAnsi="Times New Roman"/>
        </w:rPr>
        <w:t xml:space="preserve">11</w:t>
      </w:r>
      <w:r>
        <w:rPr>
          <w:rFonts w:ascii="Times New Roman" w:hAnsi="Times New Roman"/>
        </w:rPr>
        <w:t>]</w:t>
      </w:r>
      <w:r w:rsidRPr="00281126">
        <w:t xml:space="preserve"> </w:t>
      </w:r>
      <w:r>
        <w:rPr>
          <w:rFonts w:ascii="Times New Roman" w:hAnsi="Times New Roman"/>
        </w:rPr>
        <w:t xml:space="preserve">Salvioli, S., Bonafe, M., Capri, M., Monti, D., Franceschi, C., 2001.</w:t>
      </w:r>
      <w:r>
        <w:rPr>
          <w:rFonts w:ascii="Times New Roman" w:hAnsi="Times New Roman"/>
        </w:rPr>
        <w:t xml:space="preserve"> </w:t>
      </w:r>
      <w:r>
        <w:rPr>
          <w:rFonts w:ascii="Times New Roman" w:hAnsi="Times New Roman"/>
        </w:rPr>
        <w:t xml:space="preserve">Mitochondria, aging and longevity. FEBS Lett. 492, 9–13.</w:t>
      </w:r>
    </w:p>
    <w:p w:rsidR="0018722C">
      <w:pPr>
        <w:pStyle w:val="ab"/>
        <w:topLinePunct/>
        <w:ind w:left="200" w:hangingChars="200" w:hanging="200"/>
      </w:pPr>
      <w:r>
        <w:rPr>
          <w:rFonts w:ascii="Times New Roman" w:hAnsi="Times New Roman"/>
        </w:rPr>
        <w:t>[</w:t>
      </w:r>
      <w:r>
        <w:rPr>
          <w:rFonts w:ascii="Times New Roman" w:hAnsi="Times New Roman"/>
        </w:rPr>
        <w:t xml:space="preserve">12</w:t>
      </w:r>
      <w:r>
        <w:rPr>
          <w:rFonts w:ascii="Times New Roman" w:hAnsi="Times New Roman"/>
        </w:rPr>
        <w:t>]</w:t>
      </w:r>
      <w:r w:rsidRPr="00281126">
        <w:t xml:space="preserve"> </w:t>
      </w:r>
      <w:r>
        <w:rPr>
          <w:rFonts w:ascii="Times New Roman" w:hAnsi="Times New Roman"/>
        </w:rPr>
        <w:t>Young Ik Lee</w:t>
      </w:r>
      <w:r w:rsidR="004B696B">
        <w:rPr>
          <w:rFonts w:ascii="Times New Roman" w:hAnsi="Times New Roman"/>
        </w:rPr>
        <w:t>, Jung Me Hwang, Jee Hye Im, et al. Human Hepatitis B Virus-X</w:t>
      </w:r>
      <w:r>
        <w:rPr>
          <w:rFonts w:ascii="Times New Roman" w:hAnsi="Times New Roman"/>
        </w:rPr>
        <w:t xml:space="preserve">Protein Alters Mitochondrial Function and Physiology in Human Liver Cells, 2004</w:t>
      </w:r>
      <w:r w:rsidR="004B696B">
        <w:rPr>
          <w:rFonts w:ascii="Times New Roman" w:hAnsi="Times New Roman"/>
        </w:rPr>
        <w:t xml:space="preserve">. The American Society for Biochemistry and Molecular Biology, Inc. Vol. 279, No. 15, Issue of April 9, pp. 15460–15471</w:t>
      </w:r>
    </w:p>
    <w:p w:rsidR="0018722C">
      <w:pPr>
        <w:pStyle w:val="ab"/>
        <w:topLinePunct/>
        <w:ind w:left="200" w:hangingChars="200" w:hanging="200"/>
      </w:pPr>
      <w:r>
        <w:rPr>
          <w:rFonts w:ascii="Times New Roman"/>
        </w:rPr>
        <w:t>[</w:t>
      </w:r>
      <w:r>
        <w:rPr>
          <w:rFonts w:ascii="Times New Roman"/>
        </w:rPr>
        <w:t xml:space="preserve">13</w:t>
      </w:r>
      <w:r>
        <w:rPr>
          <w:rFonts w:ascii="Times New Roman"/>
        </w:rPr>
        <w:t>]</w:t>
      </w:r>
      <w:r w:rsidRPr="00281126">
        <w:t xml:space="preserve"> </w:t>
      </w:r>
      <w:r>
        <w:rPr>
          <w:rFonts w:ascii="Times New Roman"/>
        </w:rPr>
        <w:t>Asare GA, Mossanda KS</w:t>
      </w:r>
      <w:r w:rsidR="004B696B">
        <w:rPr>
          <w:rFonts w:ascii="Times New Roman"/>
        </w:rPr>
        <w:t>, Kew M C</w:t>
      </w:r>
      <w:r w:rsidR="004B696B">
        <w:rPr>
          <w:rFonts w:ascii="Times New Roman"/>
        </w:rPr>
        <w:t>, et al. Hepatocellular carcinoma caused by</w:t>
      </w:r>
      <w:r>
        <w:rPr>
          <w:rFonts w:ascii="Times New Roman"/>
        </w:rPr>
        <w:t xml:space="preserve">iron overl ad: a possible mechanism of direct hepatocarcinogenicity </w:t>
      </w:r>
      <w:r>
        <w:rPr>
          <w:rFonts w:ascii="Times New Roman"/>
        </w:rPr>
        <w:t xml:space="preserve">[</w:t>
      </w:r>
      <w:r>
        <w:rPr>
          <w:rFonts w:ascii="Times New Roman"/>
        </w:rPr>
        <w:t xml:space="preserve"> J</w:t>
      </w:r>
      <w:r>
        <w:rPr>
          <w:rFonts w:ascii="Times New Roman"/>
        </w:rPr>
        <w:t xml:space="preserve">]</w:t>
      </w:r>
      <w:r w:rsidR="004B696B">
        <w:rPr>
          <w:rFonts w:ascii="Times New Roman"/>
        </w:rPr>
        <w:t xml:space="preserve">. Toxicology</w:t>
      </w:r>
      <w:r w:rsidR="004B696B">
        <w:rPr>
          <w:rFonts w:ascii="Times New Roman"/>
        </w:rPr>
        <w:t xml:space="preserve">, 2006</w:t>
      </w:r>
      <w:r w:rsidR="004B696B">
        <w:rPr>
          <w:rFonts w:ascii="Times New Roman"/>
        </w:rPr>
        <w:t xml:space="preserve">, 219 </w:t>
      </w:r>
      <w:r>
        <w:rPr>
          <w:rFonts w:ascii="Times New Roman"/>
        </w:rPr>
        <w:t xml:space="preserve">(</w:t>
      </w:r>
      <w:r>
        <w:rPr>
          <w:rFonts w:ascii="Times New Roman"/>
        </w:rPr>
        <w:t xml:space="preserve"> 13</w:t>
      </w:r>
      <w:r>
        <w:rPr>
          <w:rFonts w:ascii="Times New Roman"/>
        </w:rPr>
        <w:t xml:space="preserve">)</w:t>
      </w:r>
      <w:r>
        <w:rPr>
          <w:rFonts w:ascii="Times New Roman"/>
        </w:rPr>
        <w:t xml:space="preserve"> : 41-52.</w:t>
      </w:r>
    </w:p>
    <w:p w:rsidR="0018722C">
      <w:pPr>
        <w:pStyle w:val="ab"/>
        <w:topLinePunct/>
        <w:ind w:left="200" w:hangingChars="200" w:hanging="200"/>
      </w:pPr>
      <w:r>
        <w:rPr>
          <w:rFonts w:ascii="Times New Roman"/>
        </w:rPr>
        <w:t>[</w:t>
      </w:r>
      <w:r>
        <w:rPr>
          <w:rFonts w:ascii="Times New Roman"/>
        </w:rPr>
        <w:t xml:space="preserve">14</w:t>
      </w:r>
      <w:r>
        <w:rPr>
          <w:rFonts w:ascii="Times New Roman"/>
        </w:rPr>
        <w:t>]</w:t>
      </w:r>
      <w:r w:rsidRPr="00281126">
        <w:t xml:space="preserve"> </w:t>
      </w:r>
      <w:r>
        <w:rPr>
          <w:rFonts w:ascii="Times New Roman"/>
        </w:rPr>
        <w:t xml:space="preserve">Rahmani, Z., K.</w:t>
      </w:r>
      <w:r>
        <w:rPr>
          <w:rFonts w:ascii="Times New Roman"/>
        </w:rPr>
        <w:t xml:space="preserve"> </w:t>
      </w:r>
      <w:r>
        <w:rPr>
          <w:rFonts w:ascii="Times New Roman"/>
        </w:rPr>
        <w:t xml:space="preserve">-W. Huh, R. Lasher, and A. Siddiqui. 2000. Hepatitis B virus X</w:t>
      </w:r>
    </w:p>
    <w:p w:rsidR="0018722C">
      <w:pPr>
        <w:topLinePunct/>
      </w:pPr>
      <w:r>
        <w:rPr>
          <w:rFonts w:ascii="Times New Roman" w:hAnsi="Times New Roman"/>
        </w:rPr>
        <w:t/>
      </w:r>
      <w:r>
        <w:rPr>
          <w:rFonts w:ascii="Times New Roman" w:hAnsi="Times New Roman"/>
        </w:rPr>
        <w:t>P</w:t>
      </w:r>
      <w:r>
        <w:rPr>
          <w:rFonts w:ascii="Times New Roman" w:hAnsi="Times New Roman"/>
        </w:rPr>
        <w:t>rotein colocalizes to mitochondria with human voltage-dependent anion channel, HVDAC3, and alters its transmembrane potential. J. Virol. 74:2840–2846.</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hAnsi="Times New Roman"/>
        </w:rPr>
        <w:t>[</w:t>
      </w:r>
      <w:r>
        <w:rPr>
          <w:rFonts w:ascii="Times New Roman" w:hAnsi="Times New Roman"/>
        </w:rPr>
        <w:t xml:space="preserve">15</w:t>
      </w:r>
      <w:r>
        <w:rPr>
          <w:rFonts w:ascii="Times New Roman" w:hAnsi="Times New Roman"/>
        </w:rPr>
        <w:t>]</w:t>
      </w:r>
      <w:r w:rsidRPr="00281126">
        <w:t xml:space="preserve"> </w:t>
      </w:r>
      <w:r>
        <w:rPr>
          <w:rFonts w:ascii="Times New Roman" w:hAnsi="Times New Roman"/>
        </w:rPr>
        <w:t xml:space="preserve">Takada, S., Y. Shirakata, N. Kaneniwa, and K. Koike. 1999. Association of hepatitis B virus X protein with mitochondria causes mitochondrial aggre-gation at the nuclear periphery, leading to cell death. Oncogene 18:</w:t>
      </w:r>
      <w:r>
        <w:rPr>
          <w:rFonts w:ascii="Times New Roman" w:hAnsi="Times New Roman"/>
        </w:rPr>
        <w:t xml:space="preserve"> </w:t>
      </w:r>
      <w:r>
        <w:rPr>
          <w:rFonts w:ascii="Times New Roman" w:hAnsi="Times New Roman"/>
        </w:rPr>
        <w:t>6965–6973.</w:t>
      </w:r>
    </w:p>
    <w:p w:rsidR="0018722C">
      <w:pPr>
        <w:pStyle w:val="ab"/>
        <w:topLinePunct/>
        <w:ind w:left="200" w:hangingChars="200" w:hanging="200"/>
      </w:pPr>
      <w:r>
        <w:rPr>
          <w:rFonts w:ascii="Times New Roman"/>
        </w:rPr>
        <w:t>[</w:t>
      </w:r>
      <w:r>
        <w:rPr>
          <w:rFonts w:ascii="Times New Roman"/>
        </w:rPr>
        <w:t xml:space="preserve">16</w:t>
      </w:r>
      <w:r>
        <w:rPr>
          <w:rFonts w:ascii="Times New Roman"/>
        </w:rPr>
        <w:t>]</w:t>
      </w:r>
      <w:r w:rsidRPr="00281126">
        <w:t xml:space="preserve"> </w:t>
      </w:r>
      <w:r>
        <w:rPr>
          <w:rFonts w:ascii="Times New Roman"/>
        </w:rPr>
        <w:t>Huh, K., and A. Siddiqui. 2002. Characterization of the mitochondrial association of</w:t>
      </w:r>
      <w:r>
        <w:rPr>
          <w:rFonts w:ascii="Times New Roman" w:hAnsi="Times New Roman"/>
        </w:rPr>
        <w:t xml:space="preserve">hepatitis B virus X protein, HBx. Mitochondrion 1: 349–359.</w:t>
      </w:r>
    </w:p>
    <w:p w:rsidR="0018722C">
      <w:pPr>
        <w:pStyle w:val="ab"/>
        <w:topLinePunct/>
        <w:ind w:left="200" w:hangingChars="200" w:hanging="200"/>
      </w:pPr>
      <w:r>
        <w:rPr>
          <w:rFonts w:ascii="Times New Roman" w:hAnsi="Times New Roman"/>
        </w:rPr>
        <w:t>[</w:t>
      </w:r>
      <w:r>
        <w:rPr>
          <w:rFonts w:ascii="Times New Roman" w:hAnsi="Times New Roman"/>
        </w:rPr>
        <w:t xml:space="preserve">17</w:t>
      </w:r>
      <w:r>
        <w:rPr>
          <w:rFonts w:ascii="Times New Roman" w:hAnsi="Times New Roman"/>
        </w:rPr>
        <w:t>]</w:t>
      </w:r>
      <w:r w:rsidRPr="00281126">
        <w:t xml:space="preserve"> </w:t>
      </w:r>
      <w:r>
        <w:rPr>
          <w:rFonts w:ascii="Times New Roman" w:hAnsi="Times New Roman"/>
        </w:rPr>
        <w:t xml:space="preserve">Chen, J., and A. Siddiqui. 2007. Hepatitis B virus X protein stimulates the mitochondrial translocation of Raf-1 via oxidative stress. J. Virol. 81:</w:t>
      </w:r>
      <w:r>
        <w:rPr>
          <w:rFonts w:ascii="Times New Roman" w:hAnsi="Times New Roman"/>
        </w:rPr>
        <w:t xml:space="preserve"> </w:t>
      </w:r>
      <w:r>
        <w:rPr>
          <w:rFonts w:ascii="Times New Roman" w:hAnsi="Times New Roman"/>
        </w:rPr>
        <w:t>6757–6760.</w:t>
      </w:r>
    </w:p>
    <w:p w:rsidR="0018722C">
      <w:pPr>
        <w:pStyle w:val="ab"/>
        <w:topLinePunct/>
        <w:ind w:left="200" w:hangingChars="200" w:hanging="200"/>
      </w:pPr>
      <w:r>
        <w:rPr>
          <w:rFonts w:ascii="Times New Roman"/>
        </w:rPr>
        <w:t>[</w:t>
      </w:r>
      <w:r>
        <w:rPr>
          <w:rFonts w:ascii="Times New Roman"/>
        </w:rPr>
        <w:t xml:space="preserve">18</w:t>
      </w:r>
      <w:r>
        <w:rPr>
          <w:rFonts w:ascii="Times New Roman"/>
        </w:rPr>
        <w:t>]</w:t>
      </w:r>
      <w:r w:rsidRPr="00281126">
        <w:t xml:space="preserve"> </w:t>
      </w:r>
      <w:r>
        <w:rPr>
          <w:rFonts w:ascii="Times New Roman"/>
        </w:rPr>
        <w:t>Amy</w:t>
      </w:r>
      <w:r w:rsidR="001852F3">
        <w:rPr>
          <w:rFonts w:ascii="Times New Roman"/>
        </w:rPr>
        <w:t xml:space="preserve"> J. </w:t>
      </w:r>
      <w:r w:rsidR="001852F3">
        <w:rPr>
          <w:rFonts w:ascii="Times New Roman"/>
        </w:rPr>
        <w:t xml:space="preserve">Clippinger</w:t>
      </w:r>
      <w:r w:rsidR="001852F3">
        <w:rPr>
          <w:rFonts w:ascii="Times New Roman"/>
        </w:rPr>
        <w:t xml:space="preserve"> and</w:t>
      </w:r>
      <w:r w:rsidR="001852F3">
        <w:rPr>
          <w:rFonts w:ascii="Times New Roman"/>
        </w:rPr>
        <w:t xml:space="preserve"> Michael</w:t>
      </w:r>
      <w:r w:rsidR="001852F3">
        <w:rPr>
          <w:rFonts w:ascii="Times New Roman"/>
        </w:rPr>
        <w:t xml:space="preserve"> J. </w:t>
      </w:r>
      <w:r w:rsidR="001852F3">
        <w:rPr>
          <w:rFonts w:ascii="Times New Roman"/>
        </w:rPr>
        <w:t xml:space="preserve">Bouchard.</w:t>
      </w:r>
      <w:r w:rsidR="001852F3">
        <w:rPr>
          <w:rFonts w:ascii="Times New Roman"/>
        </w:rPr>
        <w:t xml:space="preserve"> </w:t>
      </w:r>
      <w:r w:rsidR="001852F3">
        <w:rPr>
          <w:rFonts w:ascii="Times New Roman"/>
        </w:rPr>
        <w:t>Hepatitis</w:t>
      </w:r>
      <w:r w:rsidR="001852F3">
        <w:rPr>
          <w:rFonts w:ascii="Times New Roman"/>
        </w:rPr>
        <w:t xml:space="preserve"> B</w:t>
      </w:r>
      <w:r w:rsidR="001852F3">
        <w:rPr>
          <w:rFonts w:ascii="Times New Roman"/>
        </w:rPr>
        <w:t xml:space="preserve"> Virus</w:t>
      </w:r>
      <w:r w:rsidR="001852F3">
        <w:rPr>
          <w:rFonts w:ascii="Times New Roman"/>
        </w:rPr>
        <w:t xml:space="preserve"> HBx</w:t>
      </w:r>
      <w:r w:rsidR="001852F3">
        <w:rPr>
          <w:rFonts w:ascii="Times New Roman"/>
        </w:rPr>
        <w:t xml:space="preserve"> Protein</w:t>
      </w:r>
      <w:r>
        <w:rPr>
          <w:rFonts w:ascii="Times New Roman" w:hAnsi="Times New Roman"/>
        </w:rPr>
        <w:t xml:space="preserve">Localizes to Mitochondria in Primary Rat Hepatocytes and Modulates Mitochondrial Membrane Potential. J. JOURNAL OF VIROLOGY, July 2008, p. 6798–6811</w:t>
      </w:r>
    </w:p>
    <w:p w:rsidR="0018722C">
      <w:pPr>
        <w:pStyle w:val="ab"/>
        <w:topLinePunct/>
        <w:ind w:left="200" w:hangingChars="200" w:hanging="200"/>
      </w:pPr>
      <w:r>
        <w:rPr>
          <w:rFonts w:ascii="Times New Roman"/>
        </w:rPr>
        <w:t>[</w:t>
      </w:r>
      <w:r>
        <w:rPr>
          <w:rFonts w:ascii="Times New Roman"/>
        </w:rPr>
        <w:t xml:space="preserve">19</w:t>
      </w:r>
      <w:r>
        <w:rPr>
          <w:rFonts w:ascii="Times New Roman"/>
        </w:rPr>
        <w:t>]</w:t>
      </w:r>
      <w:r w:rsidRPr="00281126">
        <w:t xml:space="preserve"> </w:t>
      </w:r>
      <w:r>
        <w:rPr>
          <w:rFonts w:ascii="Times New Roman"/>
        </w:rPr>
        <w:t xml:space="preserve">Kyung-Won Huh, Aleem Siddiqui.</w:t>
      </w:r>
      <w:r>
        <w:rPr>
          <w:rFonts w:ascii="Times New Roman"/>
        </w:rPr>
        <w:t xml:space="preserve"> </w:t>
      </w:r>
      <w:r>
        <w:rPr>
          <w:rFonts w:ascii="Times New Roman"/>
        </w:rPr>
        <w:t xml:space="preserve">Characterization of the mitochondrial association</w:t>
      </w:r>
      <w:r>
        <w:rPr>
          <w:rFonts w:ascii="Times New Roman" w:hAnsi="Times New Roman"/>
        </w:rPr>
        <w:t xml:space="preserve">of hepatitis B virus X protein, HBx. J. Mitochondrion 1 </w:t>
      </w:r>
      <w:r>
        <w:rPr>
          <w:rFonts w:ascii="Times New Roman" w:hAnsi="Times New Roman"/>
        </w:rPr>
        <w:t xml:space="preserve">(</w:t>
      </w:r>
      <w:r>
        <w:rPr>
          <w:rFonts w:ascii="Times New Roman" w:hAnsi="Times New Roman"/>
        </w:rPr>
        <w:t xml:space="preserve">2002</w:t>
      </w:r>
      <w:r>
        <w:rPr>
          <w:rFonts w:ascii="Times New Roman" w:hAnsi="Times New Roman"/>
        </w:rPr>
        <w:t xml:space="preserve">)</w:t>
      </w:r>
      <w:r>
        <w:rPr>
          <w:rFonts w:ascii="Times New Roman" w:hAnsi="Times New Roman"/>
        </w:rPr>
        <w:t xml:space="preserve"> 349–359</w:t>
      </w:r>
    </w:p>
    <w:p w:rsidR="0018722C">
      <w:pPr>
        <w:pStyle w:val="ab"/>
        <w:topLinePunct/>
        <w:ind w:left="200" w:hangingChars="200" w:hanging="200"/>
      </w:pPr>
      <w:r>
        <w:rPr>
          <w:rFonts w:ascii="Times New Roman" w:hAnsi="Times New Roman" w:eastAsia="宋体"/>
        </w:rPr>
        <w:t>[</w:t>
      </w:r>
      <w:r>
        <w:rPr>
          <w:rFonts w:ascii="Times New Roman" w:hAnsi="Times New Roman" w:eastAsia="宋体"/>
        </w:rPr>
        <w:t xml:space="preserve">20</w:t>
      </w:r>
      <w:r>
        <w:rPr>
          <w:rFonts w:ascii="Times New Roman" w:hAnsi="Times New Roman" w:eastAsia="宋体"/>
        </w:rPr>
        <w:t>]</w:t>
      </w:r>
      <w:r w:rsidRPr="00281126">
        <w:t xml:space="preserve"> </w:t>
      </w:r>
      <w:r>
        <w:rPr>
          <w:rFonts w:ascii="Times New Roman" w:hAnsi="Times New Roman" w:eastAsia="宋体"/>
        </w:rPr>
        <w:t>Shirakata Y</w:t>
      </w:r>
      <w:r>
        <w:t xml:space="preserve">, </w:t>
      </w:r>
      <w:r>
        <w:rPr>
          <w:rFonts w:ascii="Times New Roman" w:hAnsi="Times New Roman" w:eastAsia="宋体"/>
        </w:rPr>
        <w:t>Koike K</w:t>
      </w:r>
      <w:r>
        <w:t xml:space="preserve">．</w:t>
      </w:r>
      <w:r>
        <w:t xml:space="preserve"> </w:t>
      </w:r>
      <w:r>
        <w:rPr>
          <w:rFonts w:ascii="Times New Roman" w:hAnsi="Times New Roman" w:eastAsia="宋体"/>
        </w:rPr>
        <w:t>Hepatitis B virus X protein induces cell death by causing loss of mitochondrial membrane potential</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 xml:space="preserve">．</w:t>
      </w:r>
      <w:r>
        <w:t xml:space="preserve"> </w:t>
      </w:r>
      <w:r/>
      <w:r>
        <w:rPr>
          <w:rFonts w:ascii="Times New Roman" w:hAnsi="Times New Roman" w:eastAsia="宋体"/>
        </w:rPr>
        <w:t>J Biol Chem</w:t>
      </w:r>
      <w:r>
        <w:t>,</w:t>
      </w:r>
      <w:r>
        <w:t> </w:t>
      </w:r>
      <w:r>
        <w:rPr>
          <w:rFonts w:ascii="Times New Roman" w:hAnsi="Times New Roman" w:eastAsia="宋体"/>
        </w:rPr>
        <w:t>2003</w:t>
      </w:r>
      <w:r>
        <w:t>,</w:t>
      </w:r>
      <w:r>
        <w:t> </w:t>
      </w:r>
      <w:r>
        <w:rPr>
          <w:rFonts w:ascii="Times New Roman" w:hAnsi="Times New Roman" w:eastAsia="宋体"/>
        </w:rPr>
        <w:t>278</w:t>
      </w:r>
      <w:r>
        <w:rPr>
          <w:rFonts w:ascii="Times New Roman" w:hAnsi="Times New Roman" w:eastAsia="宋体"/>
        </w:rPr>
        <w:t>(</w:t>
      </w:r>
      <w:r>
        <w:rPr>
          <w:rFonts w:ascii="Times New Roman" w:hAnsi="Times New Roman" w:eastAsia="宋体"/>
        </w:rPr>
        <w:t xml:space="preserve">24</w:t>
      </w:r>
      <w:r>
        <w:rPr>
          <w:rFonts w:ascii="Times New Roman" w:hAnsi="Times New Roman" w:eastAsia="宋体"/>
        </w:rPr>
        <w:t>)</w:t>
      </w:r>
      <w:r>
        <w:t>:</w:t>
      </w:r>
      <w:r>
        <w:t> </w:t>
      </w:r>
      <w:r>
        <w:rPr>
          <w:rFonts w:ascii="Times New Roman" w:hAnsi="Times New Roman" w:eastAsia="宋体"/>
        </w:rPr>
        <w:t>22071—22078</w:t>
      </w:r>
      <w:r>
        <w:t>．</w:t>
      </w:r>
    </w:p>
    <w:p w:rsidR="0018722C">
      <w:pPr>
        <w:pStyle w:val="ab"/>
        <w:topLinePunct/>
        <w:ind w:left="200" w:hangingChars="200" w:hanging="200"/>
      </w:pPr>
      <w:r>
        <w:rPr>
          <w:rFonts w:ascii="Times New Roman" w:hAnsi="Times New Roman"/>
        </w:rPr>
        <w:t>[</w:t>
      </w:r>
      <w:r>
        <w:rPr>
          <w:rFonts w:ascii="Times New Roman" w:hAnsi="Times New Roman"/>
        </w:rPr>
        <w:t xml:space="preserve">21</w:t>
      </w:r>
      <w:r>
        <w:rPr>
          <w:rFonts w:ascii="Times New Roman" w:hAnsi="Times New Roman"/>
        </w:rPr>
        <w:t>]</w:t>
      </w:r>
      <w:r w:rsidRPr="00281126">
        <w:t xml:space="preserve"> </w:t>
      </w:r>
      <w:r>
        <w:rPr>
          <w:rFonts w:ascii="Times New Roman" w:hAnsi="Times New Roman"/>
        </w:rPr>
        <w:t xml:space="preserve">Sai Kam Li, Sai Fan Ho,</w:t>
      </w:r>
      <w:r>
        <w:rPr>
          <w:rFonts w:ascii="Times New Roman" w:hAnsi="Times New Roman"/>
        </w:rPr>
        <w:t xml:space="preserve"> </w:t>
      </w:r>
      <w:r>
        <w:rPr>
          <w:rFonts w:ascii="Times New Roman" w:hAnsi="Times New Roman"/>
        </w:rPr>
        <w:t xml:space="preserve">et al.</w:t>
      </w:r>
      <w:r>
        <w:rPr>
          <w:rFonts w:ascii="Times New Roman" w:hAnsi="Times New Roman"/>
        </w:rPr>
        <w:t xml:space="preserve"> </w:t>
      </w:r>
      <w:r>
        <w:rPr>
          <w:rFonts w:ascii="Times New Roman" w:hAnsi="Times New Roman"/>
        </w:rPr>
        <w:t xml:space="preserve">Identiﬁcation of functionally important amino acid residues in the mitochondria</w:t>
      </w:r>
      <w:r>
        <w:rPr>
          <w:rFonts w:ascii="Times New Roman" w:hAnsi="Times New Roman"/>
        </w:rPr>
        <w:t xml:space="preserve">targeting sequence of Hepatitis B virus X protein. J. Virology. Virology 381 </w:t>
      </w:r>
      <w:r>
        <w:rPr>
          <w:rFonts w:ascii="Times New Roman" w:hAnsi="Times New Roman"/>
        </w:rPr>
        <w:t xml:space="preserve">(</w:t>
      </w:r>
      <w:r>
        <w:rPr>
          <w:rFonts w:ascii="Times New Roman" w:hAnsi="Times New Roman"/>
        </w:rPr>
        <w:t xml:space="preserve">2008</w:t>
      </w:r>
      <w:r>
        <w:rPr>
          <w:rFonts w:ascii="Times New Roman" w:hAnsi="Times New Roman"/>
        </w:rPr>
        <w:t xml:space="preserve">)</w:t>
      </w:r>
      <w:r>
        <w:rPr>
          <w:rFonts w:ascii="Times New Roman" w:hAnsi="Times New Roman"/>
        </w:rPr>
        <w:t xml:space="preserve"> 81–88</w:t>
      </w:r>
    </w:p>
    <w:p w:rsidR="0018722C">
      <w:pPr>
        <w:pStyle w:val="ab"/>
        <w:topLinePunct/>
        <w:ind w:left="200" w:hangingChars="200" w:hanging="200"/>
      </w:pPr>
      <w:bookmarkStart w:id="707292" w:name="_cwCmt12"/>
      <w:r>
        <w:rPr>
          <w:rFonts w:ascii="Times New Roman" w:hAnsi="Times New Roman"/>
        </w:rPr>
        <w:t>[</w:t>
      </w:r>
      <w:r>
        <w:rPr>
          <w:rFonts w:ascii="Times New Roman" w:hAnsi="Times New Roman"/>
        </w:rPr>
        <w:t xml:space="preserve">22</w:t>
      </w:r>
      <w:r>
        <w:rPr>
          <w:rFonts w:ascii="Times New Roman" w:hAnsi="Times New Roman"/>
        </w:rPr>
        <w:t>]</w:t>
      </w:r>
      <w:r w:rsidRPr="00281126">
        <w:t xml:space="preserve"> </w:t>
      </w:r>
      <w:r>
        <w:rPr>
          <w:rFonts w:ascii="Times New Roman" w:hAnsi="Times New Roman"/>
        </w:rPr>
        <w:t xml:space="preserve">Green, D. R., and J. C. Reed. 1998. Mitochondria and apoptosis. Science 281:</w:t>
      </w:r>
      <w:r>
        <w:rPr>
          <w:rFonts w:ascii="Times New Roman" w:hAnsi="Times New Roman"/>
        </w:rPr>
        <w:t xml:space="preserve"> </w:t>
      </w:r>
      <w:r>
        <w:rPr>
          <w:rFonts w:ascii="Times New Roman" w:hAnsi="Times New Roman"/>
        </w:rPr>
        <w:t>1309–1312.</w:t>
      </w:r>
      <w:bookmarkEnd w:id="707292"/>
    </w:p>
    <w:p w:rsidR="0018722C">
      <w:pPr>
        <w:pStyle w:val="ab"/>
        <w:topLinePunct/>
        <w:ind w:left="200" w:hangingChars="200" w:hanging="200"/>
      </w:pPr>
      <w:r>
        <w:rPr>
          <w:rFonts w:ascii="Times New Roman" w:hAnsi="Times New Roman"/>
        </w:rPr>
        <w:t>[</w:t>
      </w:r>
      <w:r>
        <w:rPr>
          <w:rFonts w:ascii="Times New Roman" w:hAnsi="Times New Roman"/>
        </w:rPr>
        <w:t xml:space="preserve">23</w:t>
      </w:r>
      <w:r>
        <w:rPr>
          <w:rFonts w:ascii="Times New Roman" w:hAnsi="Times New Roman"/>
        </w:rPr>
        <w:t>]</w:t>
      </w:r>
      <w:r w:rsidRPr="00281126">
        <w:t xml:space="preserve"> </w:t>
      </w:r>
      <w:r>
        <w:rPr>
          <w:rFonts w:ascii="Times New Roman" w:hAnsi="Times New Roman"/>
        </w:rPr>
        <w:t xml:space="preserve">Marzo, I., C. Brenner, N. Zazami, S. A. Susin, G. Beutner, D. Brdiczka, R.</w:t>
      </w:r>
      <w:r>
        <w:rPr>
          <w:rFonts w:ascii="Times New Roman" w:hAnsi="Times New Roman"/>
        </w:rPr>
        <w:t xml:space="preserve"> </w:t>
      </w:r>
      <w:r>
        <w:rPr>
          <w:rFonts w:ascii="Times New Roman" w:hAnsi="Times New Roman"/>
        </w:rPr>
        <w:t xml:space="preserve">Remy, Z. Xie, J. C. Reed, and G. Kroemer. 1998. The permeability transition complex: a target</w:t>
      </w:r>
      <w:r w:rsidR="001852F3">
        <w:rPr>
          <w:rFonts w:ascii="Times New Roman" w:hAnsi="Times New Roman"/>
        </w:rPr>
        <w:t xml:space="preserve"> for apoptosis regulation by caspase and Bcl2-related proteins. J. Exp. Med. 187:</w:t>
      </w:r>
      <w:r w:rsidR="001852F3">
        <w:rPr>
          <w:rFonts w:ascii="Times New Roman" w:hAnsi="Times New Roman"/>
        </w:rPr>
        <w:t xml:space="preserve"> </w:t>
      </w:r>
      <w:r w:rsidR="001852F3">
        <w:rPr>
          <w:rFonts w:ascii="Times New Roman" w:hAnsi="Times New Roman"/>
        </w:rPr>
        <w:t>1261–1271.</w:t>
      </w:r>
    </w:p>
    <w:p w:rsidR="0018722C">
      <w:pPr>
        <w:pStyle w:val="ab"/>
        <w:topLinePunct/>
        <w:ind w:left="200" w:hangingChars="200" w:hanging="200"/>
      </w:pPr>
      <w:r>
        <w:rPr>
          <w:rFonts w:ascii="Times New Roman"/>
        </w:rPr>
        <w:t>[</w:t>
      </w:r>
      <w:r>
        <w:rPr>
          <w:rFonts w:ascii="Times New Roman"/>
        </w:rPr>
        <w:t xml:space="preserve">24</w:t>
      </w:r>
      <w:r>
        <w:rPr>
          <w:rFonts w:ascii="Times New Roman"/>
        </w:rPr>
        <w:t>]</w:t>
      </w:r>
      <w:r w:rsidRPr="00281126">
        <w:t xml:space="preserve"> </w:t>
      </w:r>
      <w:r>
        <w:rPr>
          <w:rFonts w:ascii="Times New Roman"/>
        </w:rPr>
        <w:t>Rahmani Z</w:t>
      </w:r>
      <w:r w:rsidR="004B696B">
        <w:rPr>
          <w:rFonts w:ascii="Times New Roman"/>
        </w:rPr>
        <w:t>, Maunoury C, SidiquiA. Isolation of a novel human voltagedependent</w:t>
      </w:r>
      <w:r>
        <w:rPr>
          <w:rFonts w:ascii="Times New Roman"/>
        </w:rPr>
        <w:t xml:space="preserve">anion channel gene </w:t>
      </w:r>
      <w:r>
        <w:rPr>
          <w:rFonts w:ascii="Times New Roman"/>
        </w:rPr>
        <w:t xml:space="preserve">[</w:t>
      </w:r>
      <w:r>
        <w:rPr>
          <w:rFonts w:ascii="Times New Roman"/>
        </w:rPr>
        <w:t xml:space="preserve"> J </w:t>
      </w:r>
      <w:r>
        <w:rPr>
          <w:rFonts w:ascii="Times New Roman"/>
        </w:rPr>
        <w:t xml:space="preserve">]</w:t>
      </w:r>
      <w:r>
        <w:rPr>
          <w:rFonts w:ascii="Times New Roman"/>
        </w:rPr>
        <w:t xml:space="preserve">. Eur JH um Genet</w:t>
      </w:r>
      <w:r w:rsidR="004B696B">
        <w:rPr>
          <w:rFonts w:ascii="Times New Roman"/>
        </w:rPr>
        <w:t xml:space="preserve">, 1998</w:t>
      </w:r>
      <w:r w:rsidR="004B696B">
        <w:rPr>
          <w:rFonts w:ascii="Times New Roman"/>
        </w:rPr>
        <w:t xml:space="preserve">, 6</w:t>
      </w:r>
      <w:r>
        <w:rPr>
          <w:rFonts w:ascii="Times New Roman"/>
        </w:rPr>
        <w:t xml:space="preserve">(</w:t>
      </w:r>
      <w:r>
        <w:rPr>
          <w:rFonts w:ascii="Times New Roman"/>
        </w:rPr>
        <w:t xml:space="preserve"> 4</w:t>
      </w:r>
      <w:r>
        <w:rPr>
          <w:rFonts w:ascii="Times New Roman"/>
        </w:rPr>
        <w:t xml:space="preserve">)</w:t>
      </w:r>
      <w:r>
        <w:rPr>
          <w:rFonts w:ascii="Times New Roman"/>
        </w:rPr>
        <w:t xml:space="preserve"> : 337340.</w:t>
      </w:r>
    </w:p>
    <w:p w:rsidR="0018722C">
      <w:pPr>
        <w:pStyle w:val="ab"/>
        <w:topLinePunct/>
        <w:ind w:left="200" w:hangingChars="200" w:hanging="200"/>
      </w:pPr>
      <w:r>
        <w:rPr>
          <w:rFonts w:ascii="Times New Roman" w:hAnsi="Times New Roman"/>
        </w:rPr>
        <w:t>[</w:t>
      </w:r>
      <w:r>
        <w:rPr>
          <w:rFonts w:ascii="Times New Roman" w:hAnsi="Times New Roman"/>
        </w:rPr>
        <w:t xml:space="preserve">25</w:t>
      </w:r>
      <w:r>
        <w:rPr>
          <w:rFonts w:ascii="Times New Roman" w:hAnsi="Times New Roman"/>
        </w:rPr>
        <w:t>]</w:t>
      </w:r>
      <w:r w:rsidRPr="00281126">
        <w:t xml:space="preserve"> </w:t>
      </w:r>
      <w:r>
        <w:rPr>
          <w:rFonts w:ascii="Times New Roman" w:hAnsi="Times New Roman"/>
        </w:rPr>
        <w:t xml:space="preserve">ZOHRA RAHMANI, KYUNG-WON HUH,</w:t>
      </w:r>
      <w:r>
        <w:rPr>
          <w:rFonts w:ascii="Times New Roman" w:hAnsi="Times New Roman"/>
        </w:rPr>
        <w:t xml:space="preserve"> </w:t>
      </w:r>
      <w:r>
        <w:rPr>
          <w:rFonts w:ascii="Times New Roman" w:hAnsi="Times New Roman"/>
        </w:rPr>
        <w:t xml:space="preserve">ROBERT LASHER,</w:t>
      </w:r>
      <w:r>
        <w:rPr>
          <w:rFonts w:ascii="Times New Roman" w:hAnsi="Times New Roman"/>
        </w:rPr>
        <w:t xml:space="preserve"> </w:t>
      </w:r>
      <w:r>
        <w:rPr>
          <w:rFonts w:ascii="Times New Roman" w:hAnsi="Times New Roman"/>
        </w:rPr>
        <w:t xml:space="preserve">AND ALEEM SIDDIQUI.</w:t>
      </w:r>
      <w:r>
        <w:rPr>
          <w:rFonts w:ascii="Times New Roman" w:hAnsi="Times New Roman"/>
        </w:rPr>
        <w:t xml:space="preserve"> </w:t>
      </w:r>
      <w:r>
        <w:rPr>
          <w:rFonts w:ascii="Times New Roman" w:hAnsi="Times New Roman"/>
        </w:rPr>
        <w:t xml:space="preserve">Hepatitis B Virus X Protein Colocalizes to Mitochondria with a Human Voltage-Dependent Anion Channel, HVDAC3,</w:t>
      </w:r>
      <w:r>
        <w:rPr>
          <w:rFonts w:ascii="Times New Roman" w:hAnsi="Times New Roman"/>
        </w:rPr>
        <w:t xml:space="preserve"> </w:t>
      </w:r>
      <w:r>
        <w:rPr>
          <w:rFonts w:ascii="Times New Roman" w:hAnsi="Times New Roman"/>
        </w:rPr>
        <w:t xml:space="preserve">and Alters Its Transmembrane Potential.</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JOURNAL OF VIROLOGY, Mar. 2000, p. 2840–2846</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hAnsi="Times New Roman"/>
        </w:rPr>
        <w:t>[</w:t>
      </w:r>
      <w:r>
        <w:rPr>
          <w:rFonts w:ascii="Times New Roman" w:hAnsi="Times New Roman"/>
        </w:rPr>
        <w:t xml:space="preserve">26</w:t>
      </w:r>
      <w:r>
        <w:rPr>
          <w:rFonts w:ascii="Times New Roman" w:hAnsi="Times New Roman"/>
        </w:rPr>
        <w:t>]</w:t>
      </w:r>
      <w:r w:rsidRPr="00281126">
        <w:t xml:space="preserve"> </w:t>
      </w:r>
      <w:r>
        <w:rPr>
          <w:rFonts w:ascii="Times New Roman" w:hAnsi="Times New Roman"/>
        </w:rPr>
        <w:t xml:space="preserve">Clippinger, A.</w:t>
      </w:r>
      <w:r>
        <w:rPr>
          <w:rFonts w:ascii="Times New Roman" w:hAnsi="Times New Roman"/>
        </w:rPr>
        <w:t xml:space="preserve"> </w:t>
      </w:r>
      <w:r>
        <w:rPr>
          <w:rFonts w:ascii="Times New Roman" w:hAnsi="Times New Roman"/>
        </w:rPr>
        <w:t xml:space="preserve">J., Bouchard,</w:t>
      </w:r>
      <w:r>
        <w:rPr>
          <w:rFonts w:ascii="Times New Roman" w:hAnsi="Times New Roman"/>
        </w:rPr>
        <w:t xml:space="preserve"> </w:t>
      </w:r>
      <w:r>
        <w:rPr>
          <w:rFonts w:ascii="Times New Roman" w:hAnsi="Times New Roman"/>
        </w:rPr>
        <w:t>M.</w:t>
      </w:r>
      <w:r>
        <w:rPr>
          <w:rFonts w:ascii="Times New Roman" w:hAnsi="Times New Roman"/>
        </w:rPr>
        <w:t xml:space="preserve"> </w:t>
      </w:r>
      <w:r>
        <w:rPr>
          <w:rFonts w:ascii="Times New Roman" w:hAnsi="Times New Roman"/>
        </w:rPr>
        <w:t xml:space="preserve">J., 2008. Hepatitis B virus HBx protein localizes to mitochondria in primary rat hepatocytes and modulates mitochondrial membrane potential. J. Virol. 82, 6798–6811.</w:t>
      </w:r>
    </w:p>
    <w:p w:rsidR="0018722C">
      <w:pPr>
        <w:pStyle w:val="ab"/>
        <w:topLinePunct/>
        <w:ind w:left="200" w:hangingChars="200" w:hanging="200"/>
      </w:pPr>
      <w:r>
        <w:rPr>
          <w:rFonts w:ascii="Times New Roman"/>
        </w:rPr>
        <w:t>[</w:t>
      </w:r>
      <w:r>
        <w:rPr>
          <w:rFonts w:ascii="Times New Roman"/>
        </w:rPr>
        <w:t xml:space="preserve">27</w:t>
      </w:r>
      <w:r>
        <w:rPr>
          <w:rFonts w:ascii="Times New Roman"/>
        </w:rPr>
        <w:t>]</w:t>
      </w:r>
      <w:r w:rsidRPr="00281126">
        <w:t xml:space="preserve"> </w:t>
      </w:r>
      <w:r>
        <w:rPr>
          <w:rFonts w:ascii="Times New Roman"/>
        </w:rPr>
        <w:t>McClain, </w:t>
      </w:r>
      <w:r w:rsidR="001852F3">
        <w:rPr>
          <w:rFonts w:ascii="Times New Roman"/>
        </w:rPr>
        <w:t xml:space="preserve">S.</w:t>
      </w:r>
      <w:r w:rsidR="001852F3">
        <w:rPr>
          <w:rFonts w:ascii="Times New Roman"/>
        </w:rPr>
        <w:t xml:space="preserve"> </w:t>
      </w:r>
      <w:r w:rsidR="001852F3">
        <w:rPr>
          <w:rFonts w:ascii="Times New Roman"/>
        </w:rPr>
        <w:t xml:space="preserve">L., </w:t>
      </w:r>
      <w:r w:rsidR="001852F3">
        <w:rPr>
          <w:rFonts w:ascii="Times New Roman"/>
        </w:rPr>
        <w:t xml:space="preserve">Clippinger, </w:t>
      </w:r>
      <w:r w:rsidR="001852F3">
        <w:rPr>
          <w:rFonts w:ascii="Times New Roman"/>
        </w:rPr>
        <w:t xml:space="preserve">A.</w:t>
      </w:r>
      <w:r w:rsidR="001852F3">
        <w:rPr>
          <w:rFonts w:ascii="Times New Roman"/>
        </w:rPr>
        <w:t xml:space="preserve"> </w:t>
      </w:r>
      <w:r w:rsidR="001852F3">
        <w:rPr>
          <w:rFonts w:ascii="Times New Roman"/>
        </w:rPr>
        <w:t xml:space="preserve">J., </w:t>
      </w:r>
      <w:r w:rsidR="001852F3">
        <w:rPr>
          <w:rFonts w:ascii="Times New Roman"/>
        </w:rPr>
        <w:t xml:space="preserve">et</w:t>
      </w:r>
      <w:r w:rsidR="001852F3">
        <w:rPr>
          <w:rFonts w:ascii="Times New Roman"/>
        </w:rPr>
        <w:t xml:space="preserve"> al., </w:t>
      </w:r>
      <w:r w:rsidR="001852F3">
        <w:rPr>
          <w:rFonts w:ascii="Times New Roman"/>
        </w:rPr>
        <w:t xml:space="preserve">2007. </w:t>
      </w:r>
      <w:r w:rsidR="001852F3">
        <w:rPr>
          <w:rFonts w:ascii="Times New Roman"/>
        </w:rPr>
        <w:t xml:space="preserve">Hepatitis</w:t>
      </w:r>
      <w:r w:rsidR="001852F3">
        <w:rPr>
          <w:rFonts w:ascii="Times New Roman"/>
        </w:rPr>
        <w:t xml:space="preserve"> B</w:t>
      </w:r>
      <w:r w:rsidR="001852F3">
        <w:rPr>
          <w:rFonts w:ascii="Times New Roman"/>
        </w:rPr>
        <w:t xml:space="preserve"> virus</w:t>
      </w:r>
      <w:r w:rsidR="001852F3">
        <w:rPr>
          <w:rFonts w:ascii="Times New Roman"/>
        </w:rPr>
        <w:t xml:space="preserve"> replication</w:t>
      </w:r>
      <w:r w:rsidR="001852F3">
        <w:rPr>
          <w:rFonts w:ascii="Times New Roman"/>
        </w:rPr>
        <w:t xml:space="preserve"> is</w:t>
      </w:r>
      <w:r>
        <w:rPr>
          <w:rFonts w:ascii="Times New Roman" w:hAnsi="Times New Roman"/>
        </w:rPr>
        <w:t xml:space="preserve">associated with an HBx-dependent mitochondrion-regulated increase in cytosolic calcium levels. J. Virol. 81 </w:t>
      </w:r>
      <w:r>
        <w:rPr>
          <w:rFonts w:ascii="Times New Roman" w:hAnsi="Times New Roman"/>
        </w:rPr>
        <w:t xml:space="preserve">(</w:t>
      </w:r>
      <w:r>
        <w:rPr>
          <w:rFonts w:ascii="Times New Roman" w:hAnsi="Times New Roman"/>
        </w:rPr>
        <w:t xml:space="preserve">21</w:t>
      </w:r>
      <w:r>
        <w:rPr>
          <w:rFonts w:ascii="Times New Roman" w:hAnsi="Times New Roman"/>
        </w:rPr>
        <w:t xml:space="preserve">)</w:t>
      </w:r>
      <w:r>
        <w:rPr>
          <w:rFonts w:ascii="Times New Roman" w:hAnsi="Times New Roman"/>
        </w:rPr>
        <w:t xml:space="preserve">, 12061–12065.</w:t>
      </w:r>
    </w:p>
    <w:p w:rsidR="0018722C">
      <w:pPr>
        <w:pStyle w:val="ab"/>
        <w:topLinePunct/>
        <w:ind w:left="200" w:hangingChars="200" w:hanging="200"/>
      </w:pPr>
      <w:r>
        <w:rPr>
          <w:rFonts w:ascii="Times New Roman"/>
        </w:rPr>
        <w:t>[</w:t>
      </w:r>
      <w:r>
        <w:rPr>
          <w:rFonts w:ascii="Times New Roman"/>
        </w:rPr>
        <w:t xml:space="preserve">28</w:t>
      </w:r>
      <w:r>
        <w:rPr>
          <w:rFonts w:ascii="Times New Roman"/>
        </w:rPr>
        <w:t>]</w:t>
      </w:r>
      <w:r w:rsidRPr="00281126">
        <w:t xml:space="preserve"> </w:t>
      </w:r>
      <w:r>
        <w:rPr>
          <w:rFonts w:ascii="Times New Roman"/>
        </w:rPr>
        <w:t xml:space="preserve">Tricia L. Gearhart, Michael J. Bouchard</w:t>
      </w:r>
      <w:r w:rsidR="004B696B">
        <w:rPr>
          <w:rFonts w:ascii="Times New Roman"/>
        </w:rPr>
        <w:t xml:space="preserve">,</w:t>
      </w:r>
      <w:r>
        <w:rPr>
          <w:rFonts w:ascii="Times New Roman"/>
        </w:rPr>
        <w:t xml:space="preserve"> </w:t>
      </w:r>
      <w:r>
        <w:rPr>
          <w:rFonts w:ascii="Times New Roman"/>
        </w:rPr>
        <w:t xml:space="preserve">Replication of the hepatitis B virus requires</w:t>
      </w:r>
      <w:r>
        <w:rPr>
          <w:rFonts w:ascii="Times New Roman" w:hAnsi="Times New Roman"/>
        </w:rPr>
        <w:t xml:space="preserve">a calcium-dependent HBx-induced G1 phase arrest of hepatocytes. J. Virology 407 </w:t>
      </w:r>
      <w:r>
        <w:rPr>
          <w:rFonts w:ascii="Times New Roman" w:hAnsi="Times New Roman"/>
        </w:rPr>
        <w:t xml:space="preserve">(</w:t>
      </w:r>
      <w:r>
        <w:rPr>
          <w:rFonts w:ascii="Times New Roman" w:hAnsi="Times New Roman"/>
        </w:rPr>
        <w:t xml:space="preserve">2010</w:t>
      </w:r>
      <w:r>
        <w:rPr>
          <w:rFonts w:ascii="Times New Roman" w:hAnsi="Times New Roman"/>
        </w:rPr>
        <w:t xml:space="preserve">)</w:t>
      </w:r>
      <w:r>
        <w:rPr>
          <w:rFonts w:ascii="Times New Roman" w:hAnsi="Times New Roman"/>
        </w:rPr>
        <w:t xml:space="preserve"> 14–25</w:t>
      </w:r>
    </w:p>
    <w:p w:rsidR="0018722C">
      <w:pPr>
        <w:pStyle w:val="ab"/>
        <w:topLinePunct/>
        <w:ind w:left="200" w:hangingChars="200" w:hanging="200"/>
      </w:pPr>
      <w:r>
        <w:rPr>
          <w:rFonts w:ascii="Times New Roman"/>
        </w:rPr>
        <w:t>[</w:t>
      </w:r>
      <w:r>
        <w:rPr>
          <w:rFonts w:ascii="Times New Roman"/>
        </w:rPr>
        <w:t xml:space="preserve">29</w:t>
      </w:r>
      <w:r>
        <w:rPr>
          <w:rFonts w:ascii="Times New Roman"/>
        </w:rPr>
        <w:t>]</w:t>
      </w:r>
      <w:r w:rsidRPr="00281126">
        <w:t xml:space="preserve"> </w:t>
      </w:r>
      <w:r>
        <w:rPr>
          <w:rFonts w:ascii="Times New Roman"/>
        </w:rPr>
        <w:t>Michael</w:t>
      </w:r>
      <w:r w:rsidRPr="00000000">
        <w:t xml:space="preserve">J.</w:t>
      </w:r>
      <w:r w:rsidRPr="00000000">
        <w:t xml:space="preserve"> </w:t>
      </w:r>
      <w:r w:rsidRPr="00000000">
        <w:t xml:space="preserve">Bouchard,</w:t>
      </w:r>
      <w:r w:rsidRPr="00000000">
        <w:t xml:space="preserve"> </w:t>
      </w:r>
      <w:r>
        <w:t>Robyn</w:t>
      </w:r>
      <w:r w:rsidRPr="00000000">
        <w:t xml:space="preserve">J.</w:t>
      </w:r>
      <w:r w:rsidRPr="00000000">
        <w:t xml:space="preserve"> </w:t>
      </w:r>
      <w:r w:rsidRPr="00000000">
        <w:t xml:space="preserve">Puro,</w:t>
      </w:r>
      <w:r w:rsidRPr="00000000">
        <w:t xml:space="preserve"> </w:t>
      </w:r>
      <w:r>
        <w:t>Lihua</w:t>
      </w:r>
      <w:r w:rsidRPr="00000000">
        <w:t xml:space="preserve">Wang,</w:t>
      </w:r>
      <w:r w:rsidRPr="00000000">
        <w:t xml:space="preserve"> </w:t>
      </w:r>
      <w:r>
        <w:t>and</w:t>
      </w:r>
      <w:r>
        <w:t>Robert</w:t>
      </w:r>
      <w:r w:rsidRPr="00000000">
        <w:t xml:space="preserve">J.</w:t>
      </w:r>
      <w:r w:rsidRPr="00000000">
        <w:t xml:space="preserve"> </w:t>
      </w:r>
      <w:r>
        <w:rPr>
          <w:rFonts w:ascii="Times New Roman" w:hAnsi="Times New Roman"/>
        </w:rPr>
        <w:t xml:space="preserve">Schneider. Activation and Inhibition of Cellular Calcium and Tyrosine Kinase Signaling Pathways Identify Targets of the HBx Protein Involved in Hepatitis B Virus Replication. J. JOURNAL OF VIROLOGY, July 2003, p. 7713–7719</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rPr>
          <w:rFonts w:ascii="Times New Roman" w:eastAsia="Times New Roman"/>
        </w:rPr>
        <w:t>Hynes</w:t>
      </w:r>
      <w:r w:rsidR="001852F3">
        <w:rPr>
          <w:rFonts w:ascii="Times New Roman" w:eastAsia="Times New Roman"/>
        </w:rPr>
        <w:t xml:space="preserve"> RO</w:t>
      </w:r>
      <w:r>
        <w:t xml:space="preserve">．</w:t>
      </w:r>
      <w:r>
        <w:t xml:space="preserve"> </w:t>
      </w:r>
      <w:r>
        <w:rPr>
          <w:rFonts w:ascii="Times New Roman" w:eastAsia="Times New Roman"/>
        </w:rPr>
        <w:t>Integrins</w:t>
      </w:r>
      <w:r>
        <w:t xml:space="preserve">: </w:t>
      </w:r>
      <w:r>
        <w:rPr>
          <w:rFonts w:ascii="Times New Roman" w:eastAsia="Times New Roman"/>
        </w:rPr>
        <w:t>Bidirectional</w:t>
      </w:r>
      <w:r>
        <w:t xml:space="preserve">, </w:t>
      </w:r>
      <w:r>
        <w:rPr>
          <w:rFonts w:ascii="Times New Roman" w:eastAsia="Times New Roman"/>
        </w:rPr>
        <w:t>allosteric</w:t>
      </w:r>
      <w:r w:rsidR="001852F3">
        <w:rPr>
          <w:rFonts w:ascii="Times New Roman" w:eastAsia="Times New Roman"/>
        </w:rPr>
        <w:t xml:space="preserve"> signaling</w:t>
      </w:r>
      <w:r w:rsidR="001852F3">
        <w:rPr>
          <w:rFonts w:ascii="Times New Roman" w:eastAsia="Times New Roman"/>
        </w:rPr>
        <w:t xml:space="preserve"> machines</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Pr>
          <w:rFonts w:ascii="Times New Roman" w:eastAsia="Times New Roman"/>
        </w:rPr>
        <w:t>Cell</w:t>
      </w:r>
      <w:r>
        <w:t>,</w:t>
      </w:r>
    </w:p>
    <w:p w:rsidR="0018722C">
      <w:pPr>
        <w:pStyle w:val="afffff"/>
        <w:topLinePunct/>
      </w:pPr>
      <w:r>
        <w:rPr>
          <w:rFonts w:ascii="Times New Roman" w:hAnsi="Times New Roman" w:eastAsia="Times New Roman"/>
        </w:rPr>
        <w:t>2002</w:t>
      </w:r>
      <w:r>
        <w:t xml:space="preserve">, </w:t>
      </w:r>
      <w:r>
        <w:rPr>
          <w:rFonts w:ascii="Times New Roman" w:hAnsi="Times New Roman" w:eastAsia="Times New Roman"/>
        </w:rPr>
        <w:t>110</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t xml:space="preserve">: </w:t>
      </w:r>
      <w:r>
        <w:rPr>
          <w:rFonts w:ascii="Times New Roman" w:hAnsi="Times New Roman" w:eastAsia="Times New Roman"/>
        </w:rPr>
        <w:t>673—687</w:t>
      </w:r>
      <w:r>
        <w:t>．</w:t>
      </w:r>
    </w:p>
    <w:p w:rsidR="0018722C">
      <w:pPr>
        <w:pStyle w:val="ab"/>
        <w:topLinePunct/>
        <w:ind w:left="200" w:hangingChars="200" w:hanging="200"/>
      </w:pPr>
      <w:r>
        <w:rPr>
          <w:rFonts w:ascii="Times New Roman"/>
        </w:rPr>
        <w:t xml:space="preserve">[</w:t>
      </w:r>
      <w:r>
        <w:rPr>
          <w:rFonts w:ascii="Times New Roman"/>
        </w:rPr>
        <w:t xml:space="preserve">31</w:t>
      </w:r>
      <w:r>
        <w:rPr>
          <w:rFonts w:ascii="Times New Roman"/>
        </w:rPr>
        <w:t xml:space="preserve">]</w:t>
      </w:r>
      <w:r w:rsidRPr="00281126">
        <w:t xml:space="preserve"> </w:t>
      </w:r>
      <w:r>
        <w:rPr>
          <w:rFonts w:ascii="Times New Roman"/>
        </w:rPr>
        <w:t xml:space="preserve">Lin N, Li D, ChenHY,</w:t>
      </w:r>
      <w:r>
        <w:rPr>
          <w:rFonts w:ascii="Times New Roman"/>
        </w:rPr>
        <w:t xml:space="preserve"> </w:t>
      </w:r>
      <w:r>
        <w:rPr>
          <w:rFonts w:ascii="Times New Roman"/>
        </w:rPr>
        <w:t xml:space="preserve">et</w:t>
      </w:r>
      <w:r>
        <w:rPr>
          <w:rFonts w:ascii="Times New Roman"/>
        </w:rPr>
        <w:t xml:space="preserve"> </w:t>
      </w:r>
      <w:r>
        <w:rPr>
          <w:rFonts w:ascii="Times New Roman"/>
        </w:rPr>
        <w:t xml:space="preserve">al.</w:t>
      </w:r>
      <w:r>
        <w:rPr>
          <w:rFonts w:ascii="Times New Roman"/>
        </w:rPr>
        <w:t xml:space="preserve"> </w:t>
      </w:r>
      <w:r>
        <w:t xml:space="preserve">Effect of HBV X gene on mitochondria</w:t>
      </w:r>
      <w:r>
        <w:rPr>
          <w:rFonts w:ascii="Times New Roman"/>
        </w:rPr>
        <w:t xml:space="preserve"> </w:t>
      </w:r>
      <w:r>
        <w:rPr>
          <w:rFonts w:ascii="Times New Roman"/>
        </w:rPr>
        <w:t xml:space="preserve">in</w:t>
      </w:r>
      <w:r>
        <w:rPr>
          <w:rFonts w:ascii="Times New Roman"/>
        </w:rPr>
        <w:t xml:space="preserve"> </w:t>
      </w:r>
      <w:r>
        <w:rPr>
          <w:rFonts w:ascii="Times New Roman"/>
        </w:rPr>
        <w:t xml:space="preserve">HL7702 cells </w:t>
      </w:r>
      <w:r>
        <w:rPr>
          <w:rFonts w:ascii="Times New Roman"/>
        </w:rPr>
        <w:t xml:space="preserve">[</w:t>
      </w:r>
      <w:r>
        <w:rPr>
          <w:rFonts w:ascii="Times New Roman"/>
        </w:rPr>
        <w:t xml:space="preserve"> J</w:t>
      </w:r>
      <w:r>
        <w:rPr>
          <w:rFonts w:ascii="Times New Roman"/>
        </w:rPr>
        <w:t xml:space="preserve">]</w:t>
      </w:r>
      <w:r w:rsidR="004B696B">
        <w:rPr>
          <w:rFonts w:ascii="Times New Roman"/>
        </w:rPr>
        <w:t xml:space="preserve">. Xi Bao Yu Fen ZiM i an Yi Xue Za Zhi</w:t>
      </w:r>
      <w:r w:rsidR="004B696B">
        <w:rPr>
          <w:rFonts w:ascii="Times New Roman"/>
        </w:rPr>
        <w:t xml:space="preserve">,</w:t>
      </w:r>
      <w:r>
        <w:rPr>
          <w:rFonts w:ascii="Times New Roman"/>
        </w:rPr>
        <w:t xml:space="preserve"> </w:t>
      </w:r>
      <w:r>
        <w:rPr>
          <w:rFonts w:ascii="Times New Roman"/>
        </w:rPr>
        <w:t xml:space="preserve">2008</w:t>
      </w:r>
      <w:r w:rsidR="004B696B">
        <w:rPr>
          <w:rFonts w:ascii="Times New Roman"/>
        </w:rPr>
        <w:t xml:space="preserve">,</w:t>
      </w:r>
      <w:r>
        <w:rPr>
          <w:rFonts w:ascii="Times New Roman"/>
        </w:rPr>
        <w:t xml:space="preserve"> </w:t>
      </w:r>
      <w:r>
        <w:rPr>
          <w:rFonts w:ascii="Times New Roman"/>
        </w:rPr>
        <w:t xml:space="preserve">24 </w:t>
      </w:r>
      <w:r>
        <w:rPr>
          <w:rFonts w:ascii="Times New Roman"/>
        </w:rPr>
        <w:t xml:space="preserve">(</w:t>
      </w:r>
      <w:r>
        <w:rPr>
          <w:rFonts w:ascii="Times New Roman"/>
        </w:rPr>
        <w:t xml:space="preserve"> 10</w:t>
      </w:r>
      <w:r>
        <w:rPr>
          <w:rFonts w:ascii="Times New Roman"/>
        </w:rPr>
        <w:t xml:space="preserve">)</w:t>
      </w:r>
      <w:r w:rsidR="004B696B">
        <w:rPr>
          <w:rFonts w:ascii="Times New Roman"/>
        </w:rPr>
        <w:t xml:space="preserve">: 972974</w:t>
      </w:r>
      <w:r>
        <w:rPr>
          <w:rFonts w:ascii="Times New Roman"/>
        </w:rPr>
        <w:t xml:space="preserve"> </w:t>
      </w:r>
      <w:r>
        <w:rPr>
          <w:rFonts w:ascii="Times New Roman"/>
        </w:rPr>
        <w:t xml:space="preserve">.</w:t>
      </w:r>
    </w:p>
    <w:p w:rsidR="0018722C">
      <w:pPr>
        <w:pStyle w:val="ab"/>
        <w:topLinePunct/>
        <w:ind w:left="200" w:hangingChars="200" w:hanging="200"/>
      </w:pPr>
      <w:r>
        <w:rPr>
          <w:rFonts w:ascii="Times New Roman"/>
        </w:rPr>
        <w:t>[</w:t>
      </w:r>
      <w:r>
        <w:rPr>
          <w:rFonts w:ascii="Times New Roman"/>
        </w:rPr>
        <w:t xml:space="preserve">32</w:t>
      </w:r>
      <w:r>
        <w:rPr>
          <w:rFonts w:ascii="Times New Roman"/>
        </w:rPr>
        <w:t>]</w:t>
      </w:r>
      <w:r w:rsidRPr="00281126">
        <w:t xml:space="preserve"> </w:t>
      </w:r>
      <w:r>
        <w:rPr>
          <w:rFonts w:ascii="Times New Roman"/>
        </w:rPr>
        <w:t>Li Y, D Aurelio M, Deng J H, et al. An assembled complex maintains the stability</w:t>
      </w:r>
      <w:r>
        <w:rPr>
          <w:rFonts w:ascii="Times New Roman"/>
        </w:rPr>
        <w:t xml:space="preserve">and activity of complex I in mammalian mitochondria </w:t>
      </w:r>
      <w:r>
        <w:rPr>
          <w:rFonts w:ascii="Times New Roman"/>
        </w:rPr>
        <w:t xml:space="preserve">[</w:t>
      </w:r>
      <w:r>
        <w:rPr>
          <w:rFonts w:ascii="Times New Roman"/>
        </w:rPr>
        <w:t xml:space="preserve"> J</w:t>
      </w:r>
      <w:r>
        <w:rPr>
          <w:rFonts w:ascii="Times New Roman"/>
        </w:rPr>
        <w:t xml:space="preserve">]</w:t>
      </w:r>
      <w:r w:rsidR="004B696B">
        <w:rPr>
          <w:rFonts w:ascii="Times New Roman"/>
        </w:rPr>
        <w:t xml:space="preserve">. J Biol Chem, 2007</w:t>
      </w:r>
      <w:r w:rsidR="004B696B">
        <w:rPr>
          <w:rFonts w:ascii="Times New Roman"/>
        </w:rPr>
        <w:t xml:space="preserve">,      282</w:t>
      </w:r>
      <w:r>
        <w:rPr>
          <w:rFonts w:ascii="Times New Roman"/>
        </w:rPr>
        <w:t xml:space="preserve">(</w:t>
      </w:r>
      <w:r>
        <w:rPr>
          <w:rFonts w:ascii="Times New Roman"/>
        </w:rPr>
        <w:t xml:space="preserve"> 24 </w:t>
      </w:r>
      <w:r>
        <w:rPr>
          <w:rFonts w:ascii="Times New Roman"/>
        </w:rPr>
        <w:t xml:space="preserve">)</w:t>
      </w:r>
      <w:r>
        <w:rPr>
          <w:rFonts w:ascii="Times New Roman"/>
        </w:rPr>
        <w:t xml:space="preserve"> :</w:t>
      </w:r>
      <w:r>
        <w:rPr>
          <w:rFonts w:ascii="Times New Roman"/>
        </w:rPr>
        <w:t xml:space="preserve"> </w:t>
      </w:r>
      <w:r>
        <w:rPr>
          <w:rFonts w:ascii="Times New Roman"/>
        </w:rPr>
        <w:t xml:space="preserve">17557-17562.</w:t>
      </w:r>
    </w:p>
    <w:p w:rsidR="0018722C">
      <w:pPr>
        <w:pStyle w:val="ab"/>
        <w:topLinePunct/>
        <w:ind w:left="200" w:hangingChars="200" w:hanging="200"/>
      </w:pPr>
      <w:r>
        <w:rPr>
          <w:rFonts w:ascii="Times New Roman"/>
        </w:rPr>
        <w:t>[</w:t>
      </w:r>
      <w:r>
        <w:rPr>
          <w:rFonts w:ascii="Times New Roman"/>
        </w:rPr>
        <w:t xml:space="preserve">33</w:t>
      </w:r>
      <w:r>
        <w:rPr>
          <w:rFonts w:ascii="Times New Roman"/>
        </w:rPr>
        <w:t>]</w:t>
      </w:r>
      <w:r w:rsidRPr="00281126">
        <w:t xml:space="preserve"> </w:t>
      </w:r>
      <w:r>
        <w:rPr>
          <w:rFonts w:ascii="Times New Roman"/>
        </w:rPr>
        <w:t>Hargreaves I P</w:t>
      </w:r>
      <w:r w:rsidR="004B696B">
        <w:rPr>
          <w:rFonts w:ascii="Times New Roman"/>
        </w:rPr>
        <w:t>, Dun can AJ</w:t>
      </w:r>
      <w:r w:rsidR="004B696B">
        <w:rPr>
          <w:rFonts w:ascii="Times New Roman"/>
        </w:rPr>
        <w:t>, Wu L</w:t>
      </w:r>
      <w:r w:rsidR="004B696B">
        <w:rPr>
          <w:rFonts w:ascii="Times New Roman"/>
        </w:rPr>
        <w:t>, et a l. I nhibition of mitochondrial complex IV</w:t>
      </w:r>
      <w:r>
        <w:rPr>
          <w:rFonts w:ascii="Times New Roman"/>
        </w:rPr>
        <w:t xml:space="preserve">leads to secondary loss complex II -III activit y : implications for the pathogenesis and treatment of mitochondrial encephalo myopathies </w:t>
      </w:r>
      <w:r>
        <w:rPr>
          <w:rFonts w:ascii="Times New Roman"/>
        </w:rPr>
        <w:t xml:space="preserve">[</w:t>
      </w:r>
      <w:r>
        <w:rPr>
          <w:rFonts w:ascii="Times New Roman"/>
        </w:rPr>
        <w:t xml:space="preserve"> J </w:t>
      </w:r>
      <w:r>
        <w:rPr>
          <w:rFonts w:ascii="Times New Roman"/>
        </w:rPr>
        <w:t xml:space="preserve">]</w:t>
      </w:r>
      <w:r w:rsidR="004B696B">
        <w:rPr>
          <w:rFonts w:ascii="Times New Roman"/>
        </w:rPr>
        <w:t xml:space="preserve">. Mitochondrion</w:t>
      </w:r>
      <w:r w:rsidR="004B696B">
        <w:rPr>
          <w:rFonts w:ascii="Times New Roman"/>
        </w:rPr>
        <w:t xml:space="preserve">, 2007</w:t>
      </w:r>
      <w:r w:rsidR="004B696B">
        <w:rPr>
          <w:rFonts w:ascii="Times New Roman"/>
        </w:rPr>
        <w:t xml:space="preserve">, 7 </w:t>
      </w:r>
      <w:r>
        <w:rPr>
          <w:rFonts w:ascii="Times New Roman"/>
        </w:rPr>
        <w:t xml:space="preserve">(</w:t>
      </w:r>
      <w:r>
        <w:rPr>
          <w:rFonts w:ascii="Times New Roman"/>
        </w:rPr>
        <w:t xml:space="preserve"> 4</w:t>
      </w:r>
      <w:r>
        <w:rPr>
          <w:rFonts w:ascii="Times New Roman"/>
        </w:rPr>
        <w:t xml:space="preserve">)</w:t>
      </w:r>
      <w:r>
        <w:rPr>
          <w:rFonts w:ascii="Times New Roman"/>
        </w:rPr>
        <w:t xml:space="preserve"> : 284-287.</w:t>
      </w:r>
    </w:p>
    <w:p w:rsidR="0018722C">
      <w:pPr>
        <w:pStyle w:val="ab"/>
        <w:topLinePunct/>
        <w:ind w:left="200" w:hangingChars="200" w:hanging="200"/>
      </w:pPr>
      <w:r>
        <w:rPr>
          <w:rFonts w:ascii="Times New Roman"/>
        </w:rPr>
        <w:t xml:space="preserve">[</w:t>
      </w:r>
      <w:r>
        <w:rPr>
          <w:rFonts w:ascii="Times New Roman"/>
        </w:rPr>
        <w:t xml:space="preserve">34</w:t>
      </w:r>
      <w:r>
        <w:rPr>
          <w:rFonts w:ascii="Times New Roman"/>
        </w:rPr>
        <w:t xml:space="preserve">]</w:t>
      </w:r>
      <w:r w:rsidRPr="00281126">
        <w:t xml:space="preserve"> </w:t>
      </w:r>
      <w:r>
        <w:rPr>
          <w:rFonts w:ascii="Times New Roman"/>
        </w:rPr>
        <w:t xml:space="preserve">Timothy</w:t>
      </w:r>
      <w:r w:rsidR="001852F3">
        <w:rPr>
          <w:rFonts w:ascii="Times New Roman"/>
        </w:rPr>
        <w:t xml:space="preserve"> B, </w:t>
      </w:r>
      <w:r w:rsidR="001852F3">
        <w:rPr>
          <w:rFonts w:ascii="Times New Roman"/>
        </w:rPr>
        <w:t xml:space="preserve">Nathony</w:t>
      </w:r>
      <w:r w:rsidR="001852F3">
        <w:rPr>
          <w:rFonts w:ascii="Times New Roman"/>
        </w:rPr>
        <w:t xml:space="preserve"> NK, </w:t>
      </w:r>
      <w:r w:rsidR="001852F3">
        <w:rPr>
          <w:rFonts w:ascii="Times New Roman"/>
        </w:rPr>
        <w:t xml:space="preserve">et</w:t>
      </w:r>
      <w:r w:rsidR="001852F3">
        <w:rPr>
          <w:rFonts w:ascii="Times New Roman"/>
        </w:rPr>
        <w:t xml:space="preserve"> al. </w:t>
      </w:r>
      <w:r>
        <w:rPr>
          <w:rFonts w:ascii="Times New Roman"/>
        </w:rPr>
        <w:t xml:space="preserve">(</w:t>
      </w:r>
      <w:r>
        <w:rPr>
          <w:rFonts w:ascii="Times New Roman"/>
        </w:rPr>
        <w:t xml:space="preserve">1995</w:t>
      </w:r>
      <w:r>
        <w:rPr>
          <w:rFonts w:ascii="Times New Roman"/>
        </w:rPr>
        <w:t xml:space="preserve">)</w:t>
      </w:r>
      <w:r w:rsidR="001852F3">
        <w:rPr>
          <w:rFonts w:ascii="Times New Roman"/>
        </w:rPr>
        <w:t xml:space="preserve"> Cloning</w:t>
      </w:r>
      <w:r w:rsidR="001852F3">
        <w:rPr>
          <w:rFonts w:ascii="Times New Roman"/>
        </w:rPr>
        <w:t xml:space="preserve"> and</w:t>
      </w:r>
      <w:r w:rsidR="001852F3">
        <w:rPr>
          <w:rFonts w:ascii="Times New Roman"/>
        </w:rPr>
        <w:t xml:space="preserve"> subcellular</w:t>
      </w:r>
      <w:r w:rsidR="001852F3">
        <w:rPr>
          <w:rFonts w:ascii="Times New Roman"/>
        </w:rPr>
        <w:t xml:space="preserve"> localization of</w:t>
      </w:r>
      <w:r>
        <w:rPr>
          <w:rFonts w:ascii="Times New Roman" w:hAnsi="Times New Roman"/>
        </w:rPr>
        <w:t>human mitochondrial hsp70. J. Biol Chem 270: 1705–1710</w: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35</w:t>
      </w:r>
      <w:r>
        <w:rPr>
          <w:rFonts w:ascii="Times New Roman" w:hAnsi="Times New Roman"/>
        </w:rPr>
        <w:t xml:space="preserve">]</w:t>
      </w:r>
      <w:r w:rsidRPr="00281126">
        <w:t xml:space="preserve"> </w:t>
      </w:r>
      <w:r>
        <w:rPr>
          <w:rFonts w:ascii="Times New Roman" w:hAnsi="Times New Roman"/>
        </w:rPr>
        <w:t xml:space="preserve">Soltys BJ, Gupta RS </w:t>
      </w:r>
      <w:r>
        <w:rPr>
          <w:rFonts w:ascii="Times New Roman" w:hAnsi="Times New Roman"/>
        </w:rPr>
        <w:t xml:space="preserve">(</w:t>
      </w:r>
      <w:r>
        <w:rPr>
          <w:rFonts w:ascii="Times New Roman" w:hAnsi="Times New Roman"/>
        </w:rPr>
        <w:t xml:space="preserve">1996</w:t>
      </w:r>
      <w:r>
        <w:rPr>
          <w:rFonts w:ascii="Times New Roman" w:hAnsi="Times New Roman"/>
        </w:rPr>
        <w:t xml:space="preserve">)</w:t>
      </w:r>
      <w:r>
        <w:rPr>
          <w:rFonts w:ascii="Times New Roman" w:hAnsi="Times New Roman"/>
        </w:rPr>
        <w:t xml:space="preserve"> Immunoelectronmicroscopic localization of the 60-kDa heat shock chaperonin protein </w:t>
      </w:r>
      <w:r>
        <w:rPr>
          <w:rFonts w:ascii="Times New Roman" w:hAnsi="Times New Roman"/>
        </w:rPr>
        <w:t xml:space="preserve">(</w:t>
      </w:r>
      <w:r>
        <w:rPr>
          <w:rFonts w:ascii="Times New Roman" w:hAnsi="Times New Roman"/>
        </w:rPr>
        <w:t xml:space="preserve">Hsp60</w:t>
      </w:r>
      <w:r>
        <w:rPr>
          <w:rFonts w:ascii="Times New Roman" w:hAnsi="Times New Roman"/>
        </w:rPr>
        <w:t xml:space="preserve">)</w:t>
      </w:r>
      <w:r>
        <w:rPr>
          <w:rFonts w:ascii="Times New Roman" w:hAnsi="Times New Roman"/>
        </w:rPr>
        <w:t xml:space="preserve"> in mammalian cells. Exp Cell Res 222: 16–27</w:t>
      </w:r>
    </w:p>
    <w:p w:rsidR="0018722C">
      <w:pPr>
        <w:pStyle w:val="ab"/>
        <w:topLinePunct/>
        <w:ind w:left="200" w:hangingChars="200" w:hanging="200"/>
      </w:pPr>
      <w:r>
        <w:rPr>
          <w:rFonts w:ascii="Times New Roman"/>
        </w:rPr>
        <w:t xml:space="preserve">[</w:t>
      </w:r>
      <w:r>
        <w:rPr>
          <w:rFonts w:ascii="Times New Roman"/>
        </w:rPr>
        <w:t xml:space="preserve">36</w:t>
      </w:r>
      <w:r>
        <w:rPr>
          <w:rFonts w:ascii="Times New Roman"/>
        </w:rPr>
        <w:t xml:space="preserve">]</w:t>
      </w:r>
      <w:r w:rsidRPr="00281126">
        <w:t xml:space="preserve"> </w:t>
      </w:r>
      <w:r>
        <w:rPr>
          <w:rFonts w:ascii="Times New Roman"/>
        </w:rPr>
        <w:t xml:space="preserve">Yasuo T, Fumihiko K, Takayuki K </w:t>
      </w:r>
      <w:r>
        <w:rPr>
          <w:rFonts w:ascii="Times New Roman"/>
        </w:rPr>
        <w:t xml:space="preserve">(</w:t>
      </w:r>
      <w:r>
        <w:rPr>
          <w:rFonts w:ascii="Times New Roman"/>
        </w:rPr>
        <w:t xml:space="preserve">2004</w:t>
      </w:r>
      <w:r>
        <w:rPr>
          <w:rFonts w:ascii="Times New Roman"/>
        </w:rPr>
        <w:t xml:space="preserve">)</w:t>
      </w:r>
      <w:r>
        <w:rPr>
          <w:rFonts w:ascii="Times New Roman"/>
        </w:rPr>
        <w:t xml:space="preserve"> Interaction of the hepatitis B virus X</w:t>
      </w:r>
    </w:p>
    <w:p w:rsidR="0018722C">
      <w:pPr>
        <w:topLinePunct/>
      </w:pPr>
      <w:r>
        <w:rPr>
          <w:rFonts w:ascii="Times New Roman" w:hAnsi="Times New Roman"/>
        </w:rPr>
        <w:t/>
      </w:r>
      <w:r>
        <w:rPr>
          <w:rFonts w:ascii="Times New Roman" w:hAnsi="Times New Roman"/>
        </w:rPr>
        <w:t>P</w:t>
      </w:r>
      <w:r>
        <w:rPr>
          <w:rFonts w:ascii="Times New Roman" w:hAnsi="Times New Roman"/>
        </w:rPr>
        <w:t xml:space="preserve">rotein </w:t>
      </w:r>
      <w:r>
        <w:rPr>
          <w:rFonts w:ascii="Times New Roman" w:hAnsi="Times New Roman"/>
        </w:rPr>
        <w:t xml:space="preserve">(</w:t>
      </w:r>
      <w:r>
        <w:rPr>
          <w:rFonts w:ascii="Times New Roman" w:hAnsi="Times New Roman"/>
        </w:rPr>
        <w:t xml:space="preserve">HBx</w:t>
      </w:r>
      <w:r>
        <w:rPr>
          <w:rFonts w:ascii="Times New Roman" w:hAnsi="Times New Roman"/>
        </w:rPr>
        <w:t xml:space="preserve">)</w:t>
      </w:r>
      <w:r>
        <w:rPr>
          <w:rFonts w:ascii="Times New Roman" w:hAnsi="Times New Roman"/>
        </w:rPr>
        <w:t xml:space="preserve"> with heat shock protein 60 enhances HBx-mediated apoptosis. Biochem Bioph Res Co 318: 461–46</w:t>
      </w:r>
      <w:r>
        <w:rPr>
          <w:rFonts w:ascii="Times New Roman" w:hAnsi="Times New Roman"/>
        </w:rPr>
        <w:t>9</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37</w:t>
      </w:r>
      <w:r>
        <w:rPr>
          <w:rFonts w:ascii="Times New Roman" w:hAnsi="Times New Roman"/>
        </w:rPr>
        <w:t xml:space="preserve">]</w:t>
      </w:r>
      <w:r w:rsidRPr="00281126">
        <w:t xml:space="preserve"> </w:t>
      </w:r>
      <w:r>
        <w:rPr>
          <w:rFonts w:ascii="Times New Roman" w:hAnsi="Times New Roman"/>
        </w:rPr>
        <w:t xml:space="preserve">S. M. Zhang, D. C. Sun, S. Lou, X. C. Bo, Z. Lu,</w:t>
      </w:r>
      <w:r>
        <w:rPr>
          <w:rFonts w:ascii="Times New Roman" w:hAnsi="Times New Roman"/>
        </w:rPr>
        <w:t xml:space="preserve"> </w:t>
      </w:r>
      <w:r>
        <w:rPr>
          <w:rFonts w:ascii="Times New Roman" w:hAnsi="Times New Roman"/>
        </w:rPr>
        <w:t xml:space="preserve">X. H. Qian, and S. Q.</w:t>
      </w:r>
      <w:r>
        <w:rPr>
          <w:rFonts w:ascii="Times New Roman" w:hAnsi="Times New Roman"/>
        </w:rPr>
        <w:t xml:space="preserve"> </w:t>
      </w:r>
      <w:r>
        <w:rPr>
          <w:rFonts w:ascii="Times New Roman" w:hAnsi="Times New Roman"/>
        </w:rPr>
        <w:t>Wang.</w:t>
      </w:r>
      <w:r>
        <w:rPr>
          <w:rFonts w:ascii="Times New Roman" w:hAnsi="Times New Roman"/>
        </w:rPr>
        <w:t xml:space="preserve"> </w:t>
      </w:r>
      <w:r>
        <w:rPr>
          <w:rFonts w:ascii="Times New Roman" w:hAnsi="Times New Roman"/>
        </w:rPr>
        <w:t xml:space="preserve">HBx protein of hepatitis B virus </w:t>
      </w:r>
      <w:r>
        <w:rPr>
          <w:rFonts w:ascii="Times New Roman" w:hAnsi="Times New Roman"/>
        </w:rPr>
        <w:t xml:space="preserve">(</w:t>
      </w:r>
      <w:r>
        <w:rPr>
          <w:rFonts w:ascii="Times New Roman" w:hAnsi="Times New Roman"/>
        </w:rPr>
        <w:t xml:space="preserve">HBV</w:t>
      </w:r>
      <w:r>
        <w:rPr>
          <w:rFonts w:ascii="Times New Roman" w:hAnsi="Times New Roman"/>
        </w:rPr>
        <w:t xml:space="preserve">)</w:t>
      </w:r>
      <w:r>
        <w:rPr>
          <w:rFonts w:ascii="Times New Roman" w:hAnsi="Times New Roman"/>
        </w:rPr>
        <w:t xml:space="preserve"> can form complex with mitochondrial HSP60 and HSP70.</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Arch Virol </w:t>
      </w:r>
      <w:r>
        <w:rPr>
          <w:rFonts w:ascii="Times New Roman" w:hAnsi="Times New Roman"/>
        </w:rPr>
        <w:t xml:space="preserve">(</w:t>
      </w:r>
      <w:r>
        <w:rPr>
          <w:rFonts w:ascii="Times New Roman" w:hAnsi="Times New Roman"/>
        </w:rPr>
        <w:t xml:space="preserve">2005</w:t>
      </w:r>
      <w:r>
        <w:rPr>
          <w:rFonts w:ascii="Times New Roman" w:hAnsi="Times New Roman"/>
        </w:rPr>
        <w:t xml:space="preserve">)</w:t>
      </w:r>
      <w:r>
        <w:rPr>
          <w:rFonts w:ascii="Times New Roman" w:hAnsi="Times New Roman"/>
        </w:rPr>
        <w:t xml:space="preserve"> 150: 1579–1590</w:t>
      </w:r>
    </w:p>
    <w:p w:rsidR="0018722C">
      <w:pPr>
        <w:pStyle w:val="ab"/>
        <w:topLinePunct/>
        <w:ind w:left="200" w:hangingChars="200" w:hanging="200"/>
      </w:pPr>
      <w:r>
        <w:rPr>
          <w:rFonts w:ascii="Times New Roman"/>
        </w:rPr>
        <w:t xml:space="preserve">[</w:t>
      </w:r>
      <w:r>
        <w:rPr>
          <w:rFonts w:ascii="Times New Roman"/>
        </w:rPr>
        <w:t xml:space="preserve">38</w:t>
      </w:r>
      <w:r>
        <w:rPr>
          <w:rFonts w:ascii="Times New Roman"/>
        </w:rPr>
        <w:t xml:space="preserve">]</w:t>
      </w:r>
      <w:r w:rsidRPr="00281126">
        <w:t xml:space="preserve"> </w:t>
      </w:r>
      <w:r>
        <w:rPr>
          <w:rFonts w:ascii="Times New Roman"/>
        </w:rPr>
        <w:t xml:space="preserve">Nanda SK, Johnson RF, Liu Q </w:t>
      </w:r>
      <w:r>
        <w:rPr>
          <w:rFonts w:ascii="Times New Roman"/>
        </w:rPr>
        <w:t xml:space="preserve">(</w:t>
      </w:r>
      <w:r>
        <w:rPr>
          <w:rFonts w:ascii="Times New Roman"/>
        </w:rPr>
        <w:t xml:space="preserve">2004</w:t>
      </w:r>
      <w:r>
        <w:rPr>
          <w:rFonts w:ascii="Times New Roman"/>
        </w:rPr>
        <w:t xml:space="preserve">)</w:t>
      </w:r>
      <w:r w:rsidR="004B696B">
        <w:rPr>
          <w:rFonts w:ascii="Times New Roman"/>
        </w:rPr>
        <w:t xml:space="preserve"> </w:t>
      </w:r>
      <w:r>
        <w:rPr>
          <w:rFonts w:ascii="Times New Roman"/>
        </w:rPr>
        <w:t xml:space="preserve">Mitochondrial HSP70, HSP40, and HSP60</w:t>
      </w:r>
      <w:r>
        <w:rPr>
          <w:rFonts w:ascii="Times New Roman" w:hAnsi="Times New Roman"/>
        </w:rPr>
        <w:t xml:space="preserve">bind to the 3'untranslated region of the Murine hepatitis virus genome. Arch Virol 149: 93–111</w:t>
      </w:r>
    </w:p>
    <w:p w:rsidR="0018722C">
      <w:pPr>
        <w:pStyle w:val="ab"/>
        <w:topLinePunct/>
        <w:ind w:left="200" w:hangingChars="200" w:hanging="200"/>
      </w:pPr>
      <w:r>
        <w:rPr>
          <w:rFonts w:ascii="Times New Roman"/>
        </w:rPr>
        <w:t>[</w:t>
      </w:r>
      <w:r>
        <w:rPr>
          <w:rFonts w:ascii="Times New Roman"/>
        </w:rPr>
        <w:t xml:space="preserve">39</w:t>
      </w:r>
      <w:r>
        <w:rPr>
          <w:rFonts w:ascii="Times New Roman"/>
        </w:rPr>
        <w:t>]</w:t>
      </w:r>
      <w:r w:rsidRPr="00281126">
        <w:t xml:space="preserve"> </w:t>
      </w:r>
      <w:r>
        <w:rPr>
          <w:rFonts w:ascii="Times New Roman"/>
        </w:rPr>
        <w:t>Fabian, R., I. O. Daar, and D. K. Morrison. 1998. Critical tyrosine residues regulate</w:t>
      </w:r>
      <w:r>
        <w:rPr>
          <w:rFonts w:ascii="Times New Roman" w:hAnsi="Times New Roman"/>
        </w:rPr>
        <w:t xml:space="preserve">the enzymatic and biological activity of Raf-1 kinase. Mol. Cell. Biol. 13: 7170–7179.</w:t>
      </w:r>
    </w:p>
    <w:p w:rsidR="0018722C">
      <w:pPr>
        <w:pStyle w:val="ab"/>
        <w:topLinePunct/>
        <w:ind w:left="200" w:hangingChars="200" w:hanging="200"/>
      </w:pPr>
      <w:r>
        <w:rPr>
          <w:rFonts w:ascii="Times New Roman" w:hAnsi="Times New Roman"/>
        </w:rPr>
        <w:t>[</w:t>
      </w:r>
      <w:r>
        <w:rPr>
          <w:rFonts w:ascii="Times New Roman" w:hAnsi="Times New Roman"/>
        </w:rPr>
        <w:t xml:space="preserve">40</w:t>
      </w:r>
      <w:r>
        <w:rPr>
          <w:rFonts w:ascii="Times New Roman" w:hAnsi="Times New Roman"/>
        </w:rPr>
        <w:t>]</w:t>
      </w:r>
      <w:r w:rsidRPr="00281126">
        <w:t xml:space="preserve"> </w:t>
      </w:r>
      <w:r>
        <w:rPr>
          <w:rFonts w:ascii="Times New Roman" w:hAnsi="Times New Roman"/>
        </w:rPr>
        <w:t xml:space="preserve">Jun Chen1,</w:t>
      </w:r>
      <w:r>
        <w:rPr>
          <w:rFonts w:ascii="Times New Roman" w:hAnsi="Times New Roman"/>
        </w:rPr>
        <w:t xml:space="preserve"> </w:t>
      </w:r>
      <w:r>
        <w:rPr>
          <w:rFonts w:ascii="Times New Roman" w:hAnsi="Times New Roman"/>
        </w:rPr>
        <w:t xml:space="preserve">and Aleem Siddiqui.</w:t>
      </w:r>
      <w:r>
        <w:rPr>
          <w:rFonts w:ascii="Times New Roman" w:hAnsi="Times New Roman"/>
        </w:rPr>
        <w:t xml:space="preserve"> </w:t>
      </w:r>
      <w:r>
        <w:rPr>
          <w:rFonts w:ascii="Times New Roman" w:hAnsi="Times New Roman"/>
        </w:rPr>
        <w:t xml:space="preserve">Hepatitis B Virus X Protein Stimulates the Mitochondrial Translocation of Raf-1 via Oxidative Stress.</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JOURNAL OF VIROLOGY, June 2007, p. 6757–6760</w:t>
      </w:r>
    </w:p>
    <w:p w:rsidR="0018722C">
      <w:pPr>
        <w:pStyle w:val="ab"/>
        <w:topLinePunct/>
        <w:ind w:left="200" w:hangingChars="200" w:hanging="200"/>
      </w:pPr>
      <w:r>
        <w:rPr>
          <w:rFonts w:ascii="Times New Roman"/>
        </w:rPr>
        <w:t>[</w:t>
      </w:r>
      <w:r>
        <w:rPr>
          <w:rFonts w:ascii="Times New Roman"/>
        </w:rPr>
        <w:t xml:space="preserve">41</w:t>
      </w:r>
      <w:r>
        <w:rPr>
          <w:rFonts w:ascii="Times New Roman"/>
        </w:rPr>
        <w:t>]</w:t>
      </w:r>
      <w:r w:rsidRPr="00281126">
        <w:t xml:space="preserve"> </w:t>
      </w:r>
      <w:r>
        <w:rPr>
          <w:rFonts w:ascii="Times New Roman"/>
        </w:rPr>
        <w:t xml:space="preserve">Kim, Sun Young, Sung Goo Park, Hyeyun Jung, Seung-Wook Chi, Dae Yeul Yu,</w:t>
      </w:r>
      <w:r>
        <w:rPr>
          <w:rFonts w:ascii="Times New Roman"/>
        </w:rPr>
        <w:t xml:space="preserve"> </w:t>
      </w:r>
      <w:r>
        <w:rPr>
          <w:rFonts w:ascii="Times New Roman" w:hAnsi="Times New Roman"/>
        </w:rPr>
        <w:t xml:space="preserve">Sang Chul Lee, and Kwang-Hee Bae. RKIP Downregulation Induces the HBx-Mediated Raf-1 Mitochondrial Translocation. J. Microbiol. Biotechnol. </w:t>
      </w:r>
      <w:r>
        <w:rPr>
          <w:rFonts w:ascii="Times New Roman" w:hAnsi="Times New Roman"/>
        </w:rPr>
        <w:t xml:space="preserve">(</w:t>
      </w:r>
      <w:r>
        <w:rPr>
          <w:rFonts w:ascii="Times New Roman" w:hAnsi="Times New Roman"/>
        </w:rPr>
        <w:t xml:space="preserve">2011</w:t>
      </w:r>
      <w:r>
        <w:rPr>
          <w:rFonts w:ascii="Times New Roman" w:hAnsi="Times New Roman"/>
        </w:rPr>
        <w:t xml:space="preserve">)</w:t>
      </w:r>
      <w:r>
        <w:rPr>
          <w:rFonts w:ascii="Times New Roman" w:hAnsi="Times New Roman"/>
        </w:rPr>
        <w:t xml:space="preserve">, 21</w:t>
      </w:r>
      <w:r>
        <w:rPr>
          <w:rFonts w:ascii="Times New Roman" w:hAnsi="Times New Roman"/>
        </w:rPr>
        <w:t xml:space="preserve">(</w:t>
      </w:r>
      <w:r>
        <w:rPr>
          <w:rFonts w:ascii="Times New Roman" w:hAnsi="Times New Roman"/>
        </w:rPr>
        <w:t xml:space="preserve">5</w:t>
      </w:r>
      <w:r>
        <w:rPr>
          <w:rFonts w:ascii="Times New Roman" w:hAnsi="Times New Roman"/>
        </w:rPr>
        <w:t xml:space="preserve">)</w:t>
      </w:r>
      <w:r>
        <w:rPr>
          <w:rFonts w:ascii="Times New Roman" w:hAnsi="Times New Roman"/>
        </w:rPr>
        <w:t xml:space="preserve">, 525–528</w:t>
      </w:r>
    </w:p>
    <w:p w:rsidR="0018722C">
      <w:pPr>
        <w:pStyle w:val="ab"/>
        <w:topLinePunct/>
        <w:ind w:left="200" w:hangingChars="200" w:hanging="200"/>
      </w:pPr>
      <w:r>
        <w:rPr>
          <w:rFonts w:ascii="Times New Roman" w:hAnsi="Times New Roman"/>
        </w:rPr>
        <w:t>[</w:t>
      </w:r>
      <w:r>
        <w:rPr>
          <w:rFonts w:ascii="Times New Roman" w:hAnsi="Times New Roman"/>
        </w:rPr>
        <w:t xml:space="preserve">42</w:t>
      </w:r>
      <w:r>
        <w:rPr>
          <w:rFonts w:ascii="Times New Roman" w:hAnsi="Times New Roman"/>
        </w:rPr>
        <w:t>]</w:t>
      </w:r>
      <w:r w:rsidRPr="00281126">
        <w:t xml:space="preserve"> </w:t>
      </w:r>
      <w:hyperlink r:id="rId49">
        <w:r>
          <w:rPr>
            <w:rFonts w:ascii="Times New Roman" w:hAnsi="Times New Roman"/>
          </w:rPr>
          <w:t>Rossé</w:t>
        </w:r>
        <w:r w:rsidR="001852F3">
          <w:rPr>
            <w:rFonts w:ascii="Times New Roman" w:hAnsi="Times New Roman"/>
          </w:rPr>
          <w:t xml:space="preserve">T</w:t>
        </w:r>
      </w:hyperlink>
      <w:r>
        <w:rPr>
          <w:rFonts w:ascii="Times New Roman" w:hAnsi="Times New Roman"/>
        </w:rPr>
        <w:t>, </w:t>
      </w:r>
      <w:hyperlink r:id="rId50">
        <w:r>
          <w:rPr>
            <w:rFonts w:ascii="Times New Roman" w:hAnsi="Times New Roman"/>
          </w:rPr>
          <w:t>Olivier R</w:t>
        </w:r>
      </w:hyperlink>
      <w:r>
        <w:rPr>
          <w:rFonts w:ascii="Times New Roman" w:hAnsi="Times New Roman"/>
        </w:rPr>
        <w:t>, </w:t>
      </w:r>
      <w:hyperlink r:id="rId51">
        <w:r>
          <w:rPr>
            <w:rFonts w:ascii="Times New Roman" w:hAnsi="Times New Roman"/>
          </w:rPr>
          <w:t>Monney L</w:t>
        </w:r>
      </w:hyperlink>
      <w:r>
        <w:rPr>
          <w:rFonts w:ascii="Times New Roman" w:hAnsi="Times New Roman"/>
        </w:rPr>
        <w:t>, </w:t>
      </w:r>
      <w:hyperlink r:id="rId52">
        <w:r>
          <w:rPr>
            <w:rFonts w:ascii="Times New Roman" w:hAnsi="Times New Roman"/>
          </w:rPr>
          <w:t>Rager M</w:t>
        </w:r>
      </w:hyperlink>
      <w:r>
        <w:rPr>
          <w:rFonts w:ascii="Times New Roman" w:hAnsi="Times New Roman"/>
        </w:rPr>
        <w:t>, </w:t>
      </w:r>
      <w:hyperlink r:id="rId53">
        <w:r>
          <w:rPr>
            <w:rFonts w:ascii="Times New Roman" w:hAnsi="Times New Roman"/>
          </w:rPr>
          <w:t>Conus S</w:t>
        </w:r>
      </w:hyperlink>
      <w:r>
        <w:rPr>
          <w:rFonts w:ascii="Times New Roman" w:hAnsi="Times New Roman"/>
        </w:rPr>
        <w:t>, </w:t>
      </w:r>
      <w:hyperlink r:id="rId54">
        <w:r>
          <w:rPr>
            <w:rFonts w:ascii="Times New Roman" w:hAnsi="Times New Roman"/>
          </w:rPr>
          <w:t>Fellay I</w:t>
        </w:r>
      </w:hyperlink>
      <w:r>
        <w:rPr>
          <w:rFonts w:ascii="Times New Roman" w:hAnsi="Times New Roman"/>
        </w:rPr>
        <w:t>, </w:t>
      </w:r>
      <w:hyperlink r:id="rId55">
        <w:r>
          <w:rPr>
            <w:rFonts w:ascii="Times New Roman" w:hAnsi="Times New Roman"/>
          </w:rPr>
          <w:t>Jansen B</w:t>
        </w:r>
      </w:hyperlink>
      <w:r>
        <w:rPr>
          <w:rFonts w:ascii="Times New Roman" w:hAnsi="Times New Roman"/>
        </w:rPr>
        <w:t>, </w:t>
      </w:r>
      <w:hyperlink r:id="rId56">
        <w:r>
          <w:rPr>
            <w:rFonts w:ascii="Times New Roman" w:hAnsi="Times New Roman"/>
          </w:rPr>
          <w:t>Borner</w:t>
        </w:r>
      </w:hyperlink>
      <w:r>
        <w:rPr>
          <w:rFonts w:ascii="Times New Roman" w:hAnsi="Times New Roman"/>
        </w:rPr>
        <w:t> </w:t>
      </w:r>
      <w:hyperlink r:id="rId56">
        <w:r>
          <w:rPr>
            <w:rFonts w:ascii="Times New Roman" w:hAnsi="Times New Roman"/>
          </w:rPr>
          <w:t>C</w:t>
        </w:r>
      </w:hyperlink>
      <w:r>
        <w:rPr>
          <w:rFonts w:ascii="Times New Roman" w:hAnsi="Times New Roman"/>
        </w:rPr>
        <w:t>.</w:t>
      </w:r>
      <w:r w:rsidR="001852F3">
        <w:rPr>
          <w:rFonts w:ascii="Times New Roman" w:hAnsi="Times New Roman"/>
        </w:rPr>
        <w:t xml:space="preserve"> </w:t>
      </w:r>
      <w:r w:rsidR="001852F3">
        <w:rPr>
          <w:rFonts w:ascii="Times New Roman" w:hAnsi="Times New Roman"/>
        </w:rPr>
        <w:t xml:space="preserve">Bcl-2 prolongs cell survival after Bax-induced release of cytochrome c.</w:t>
      </w:r>
      <w:r w:rsidR="001852F3">
        <w:rPr>
          <w:rFonts w:ascii="Times New Roman" w:hAnsi="Times New Roman"/>
        </w:rPr>
        <w:t xml:space="preserve"> </w:t>
      </w:r>
      <w:hyperlink r:id="rId57">
        <w:r>
          <w:rPr>
            <w:rFonts w:ascii="Times New Roman" w:hAnsi="Times New Roman"/>
          </w:rPr>
          <w:t>Nature. 1998</w:t>
        </w:r>
      </w:hyperlink>
      <w:r>
        <w:rPr>
          <w:rFonts w:ascii="Times New Roman" w:hAnsi="Times New Roman"/>
        </w:rPr>
        <w:t> </w:t>
      </w:r>
      <w:hyperlink r:id="rId57">
        <w:r>
          <w:rPr>
            <w:rFonts w:ascii="Times New Roman" w:hAnsi="Times New Roman"/>
          </w:rPr>
          <w:t xml:space="preserve">Jan 29;</w:t>
        </w:r>
        <w:r>
          <w:rPr>
            <w:rFonts w:ascii="Times New Roman" w:hAnsi="Times New Roman"/>
          </w:rPr>
          <w:t xml:space="preserve"> </w:t>
        </w:r>
        <w:r>
          <w:rPr>
            <w:rFonts w:ascii="Times New Roman" w:hAnsi="Times New Roman"/>
          </w:rPr>
          <w:t>391</w:t>
        </w:r>
      </w:hyperlink>
      <w:r>
        <w:rPr>
          <w:rFonts w:ascii="Times New Roman" w:hAnsi="Times New Roman"/>
        </w:rPr>
        <w:t xml:space="preserve">,</w:t>
      </w:r>
      <w:r>
        <w:rPr>
          <w:rFonts w:ascii="Times New Roman" w:hAnsi="Times New Roman"/>
        </w:rPr>
        <w:t xml:space="preserve"> </w:t>
      </w:r>
      <w:r>
        <w:rPr>
          <w:rFonts w:ascii="Times New Roman" w:hAnsi="Times New Roman"/>
        </w:rPr>
        <w:t>496-499.</w:t>
      </w:r>
    </w:p>
    <w:p w:rsidR="0018722C">
      <w:pPr>
        <w:pStyle w:val="ab"/>
        <w:topLinePunct/>
        <w:ind w:left="200" w:hangingChars="200" w:hanging="200"/>
      </w:pPr>
      <w:r>
        <w:rPr>
          <w:rFonts w:ascii="Times New Roman"/>
        </w:rPr>
        <w:t>[</w:t>
      </w:r>
      <w:r>
        <w:rPr>
          <w:rFonts w:ascii="Times New Roman"/>
        </w:rPr>
        <w:t xml:space="preserve">43</w:t>
      </w:r>
      <w:r>
        <w:rPr>
          <w:rFonts w:ascii="Times New Roman"/>
        </w:rPr>
        <w:t>]</w:t>
      </w:r>
      <w:r w:rsidRPr="00281126">
        <w:t xml:space="preserve"> </w:t>
      </w:r>
      <w:hyperlink r:id="rId58">
        <w:r>
          <w:rPr>
            <w:rFonts w:ascii="Times New Roman"/>
          </w:rPr>
          <w:t>Kim HJ,</w:t>
        </w:r>
      </w:hyperlink>
      <w:r>
        <w:rPr>
          <w:rFonts w:ascii="Times New Roman"/>
        </w:rPr>
        <w:t> </w:t>
      </w:r>
      <w:hyperlink r:id="rId59">
        <w:r>
          <w:rPr>
            <w:rFonts w:ascii="Times New Roman"/>
          </w:rPr>
          <w:t>Kim SY,</w:t>
        </w:r>
      </w:hyperlink>
      <w:r>
        <w:rPr>
          <w:rFonts w:ascii="Times New Roman"/>
        </w:rPr>
        <w:t> </w:t>
      </w:r>
      <w:hyperlink r:id="rId60">
        <w:r>
          <w:rPr>
            <w:rFonts w:ascii="Times New Roman"/>
          </w:rPr>
          <w:t>Kim J,</w:t>
        </w:r>
      </w:hyperlink>
      <w:r>
        <w:rPr>
          <w:rFonts w:ascii="Times New Roman"/>
        </w:rPr>
        <w:t> </w:t>
      </w:r>
      <w:hyperlink r:id="rId61">
        <w:r>
          <w:rPr>
            <w:rFonts w:ascii="Times New Roman"/>
          </w:rPr>
          <w:t>Lee H</w:t>
        </w:r>
      </w:hyperlink>
      <w:r>
        <w:rPr>
          <w:rFonts w:ascii="Times New Roman"/>
        </w:rPr>
        <w:t>, </w:t>
      </w:r>
      <w:hyperlink r:id="rId62">
        <w:r>
          <w:rPr>
            <w:rFonts w:ascii="Times New Roman"/>
          </w:rPr>
          <w:t>Choi M,</w:t>
        </w:r>
      </w:hyperlink>
      <w:r>
        <w:rPr>
          <w:rFonts w:ascii="Times New Roman"/>
        </w:rPr>
        <w:t> </w:t>
      </w:r>
      <w:hyperlink r:id="rId63">
        <w:r>
          <w:rPr>
            <w:rFonts w:ascii="Times New Roman"/>
          </w:rPr>
          <w:t>Kim JK,</w:t>
        </w:r>
      </w:hyperlink>
      <w:r>
        <w:rPr>
          <w:rFonts w:ascii="Times New Roman"/>
        </w:rPr>
        <w:t> </w:t>
      </w:r>
      <w:hyperlink r:id="rId64">
        <w:r>
          <w:rPr>
            <w:rFonts w:ascii="Times New Roman"/>
          </w:rPr>
          <w:t>Ahn JK</w:t>
        </w:r>
      </w:hyperlink>
      <w:r>
        <w:rPr>
          <w:rFonts w:ascii="Times New Roman"/>
        </w:rPr>
        <w:t xml:space="preserve">.</w:t>
      </w:r>
      <w:r>
        <w:rPr>
          <w:rFonts w:ascii="Times New Roman"/>
        </w:rPr>
        <w:t xml:space="preserve"> </w:t>
      </w:r>
      <w:r>
        <w:rPr>
          <w:rFonts w:ascii="Times New Roman"/>
        </w:rPr>
        <w:t xml:space="preserve">Hepatitis B virus X</w:t>
      </w:r>
      <w:r>
        <w:rPr>
          <w:rFonts w:ascii="Times New Roman"/>
        </w:rPr>
        <w:t xml:space="preserve">protein induces apoptosis by enhancing translocation of Bax to mitochondria. J. IUBMB Life. 2008 Jul; 60</w:t>
      </w:r>
      <w:r>
        <w:rPr>
          <w:rFonts w:ascii="Times New Roman"/>
        </w:rPr>
        <w:t>(</w:t>
      </w:r>
      <w:r>
        <w:rPr>
          <w:rFonts w:ascii="Times New Roman"/>
        </w:rPr>
        <w:t>7</w:t>
      </w:r>
      <w:r>
        <w:rPr>
          <w:rFonts w:ascii="Times New Roman"/>
        </w:rPr>
        <w:t>)</w:t>
      </w:r>
      <w:r>
        <w:rPr>
          <w:rFonts w:ascii="Times New Roman"/>
        </w:rPr>
        <w:t xml:space="preserve">:</w:t>
      </w:r>
      <w:r>
        <w:rPr>
          <w:rFonts w:ascii="Times New Roman"/>
        </w:rPr>
        <w:t xml:space="preserve"> </w:t>
      </w:r>
      <w:r>
        <w:rPr>
          <w:rFonts w:ascii="Times New Roman"/>
        </w:rPr>
        <w:t>473-80.</w:t>
      </w:r>
    </w:p>
    <w:p w:rsidR="0018722C">
      <w:pPr>
        <w:pStyle w:val="ab"/>
        <w:topLinePunct/>
        <w:ind w:left="200" w:hangingChars="200" w:hanging="200"/>
      </w:pPr>
      <w:r>
        <w:rPr>
          <w:rFonts w:ascii="Times New Roman"/>
        </w:rPr>
        <w:t>[</w:t>
      </w:r>
      <w:r>
        <w:rPr>
          <w:rFonts w:ascii="Times New Roman"/>
        </w:rPr>
        <w:t xml:space="preserve">44</w:t>
      </w:r>
      <w:r>
        <w:rPr>
          <w:rFonts w:ascii="Times New Roman"/>
        </w:rPr>
        <w:t>]</w:t>
      </w:r>
      <w:r w:rsidRPr="00281126">
        <w:t xml:space="preserve"> </w:t>
      </w:r>
      <w:r>
        <w:rPr>
          <w:rFonts w:ascii="Times New Roman"/>
        </w:rPr>
        <w:t>Lee YI, Hwang JM, Im JH, Lee YI, Kim NS, Kim DG, Yu DY, Moon HB, Park SK. Human hepatitis B virus-X protein alters mitochondrial function and physiology in human liver cells. J Biol Chem 2004; 279: 15460-15471</w:t>
      </w:r>
    </w:p>
    <w:p w:rsidR="0018722C">
      <w:pPr>
        <w:pStyle w:val="ab"/>
        <w:topLinePunct/>
        <w:ind w:left="200" w:hangingChars="200" w:hanging="200"/>
      </w:pPr>
      <w:r>
        <w:rPr>
          <w:rFonts w:ascii="Times New Roman"/>
        </w:rPr>
        <w:t>[</w:t>
      </w:r>
      <w:r>
        <w:rPr>
          <w:rFonts w:ascii="Times New Roman"/>
        </w:rPr>
        <w:t xml:space="preserve">45</w:t>
      </w:r>
      <w:r>
        <w:rPr>
          <w:rFonts w:ascii="Times New Roman"/>
        </w:rPr>
        <w:t>]</w:t>
      </w:r>
      <w:r w:rsidRPr="00281126">
        <w:t xml:space="preserve"> </w:t>
      </w:r>
      <w:r>
        <w:rPr>
          <w:rFonts w:ascii="Times New Roman"/>
        </w:rPr>
        <w:t>Lim W, Kwon SH, Cho H, Kim S, Lee S, Ryu WS, Cho H. HBx targeting to</w:t>
      </w:r>
      <w:r>
        <w:rPr>
          <w:rFonts w:ascii="Times New Roman"/>
        </w:rPr>
        <w:t>mitochondria and ROS generation are necessary but insufficient for HBV-induced cyclooxygenase-2 expression. J Mol Med 2010; 88: 359-369</w: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46</w:t>
      </w:r>
      <w:r>
        <w:rPr>
          <w:rFonts w:ascii="Times New Roman" w:hAnsi="Times New Roman"/>
        </w:rPr>
        <w:t xml:space="preserve">]</w:t>
      </w:r>
      <w:r w:rsidRPr="00281126">
        <w:t xml:space="preserve"> </w:t>
      </w:r>
      <w:r>
        <w:rPr>
          <w:rFonts w:ascii="Times New Roman" w:hAnsi="Times New Roman"/>
        </w:rPr>
        <w:t xml:space="preserve">Green, D. R., and Reed, J. C. </w:t>
      </w:r>
      <w:r>
        <w:rPr>
          <w:rFonts w:ascii="Times New Roman" w:hAnsi="Times New Roman"/>
        </w:rPr>
        <w:t xml:space="preserve">(</w:t>
      </w:r>
      <w:r>
        <w:rPr>
          <w:rFonts w:ascii="Times New Roman" w:hAnsi="Times New Roman"/>
        </w:rPr>
        <w:t xml:space="preserve">1998</w:t>
      </w:r>
      <w:r>
        <w:rPr>
          <w:rFonts w:ascii="Times New Roman" w:hAnsi="Times New Roman"/>
        </w:rPr>
        <w:t xml:space="preserve">)</w:t>
      </w:r>
      <w:r>
        <w:rPr>
          <w:rFonts w:ascii="Times New Roman" w:hAnsi="Times New Roman"/>
        </w:rPr>
        <w:t xml:space="preserve"> Science 281, 1309–1312</w: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47</w:t>
      </w:r>
      <w:r>
        <w:rPr>
          <w:rFonts w:ascii="Times New Roman" w:hAnsi="Times New Roman"/>
        </w:rPr>
        <w:t xml:space="preserve">]</w:t>
      </w:r>
      <w:r w:rsidRPr="00281126">
        <w:t xml:space="preserve"> </w:t>
      </w:r>
      <w:r>
        <w:rPr>
          <w:rFonts w:ascii="Times New Roman" w:hAnsi="Times New Roman"/>
        </w:rPr>
        <w:t xml:space="preserve">Kroemer, G., and Reed, J. C. </w:t>
      </w:r>
      <w:r>
        <w:rPr>
          <w:rFonts w:ascii="Times New Roman" w:hAnsi="Times New Roman"/>
        </w:rPr>
        <w:t xml:space="preserve">(</w:t>
      </w:r>
      <w:r>
        <w:rPr>
          <w:rFonts w:ascii="Times New Roman" w:hAnsi="Times New Roman"/>
        </w:rPr>
        <w:t xml:space="preserve">2000</w:t>
      </w:r>
      <w:r>
        <w:rPr>
          <w:rFonts w:ascii="Times New Roman" w:hAnsi="Times New Roman"/>
        </w:rPr>
        <w:t xml:space="preserve">)</w:t>
      </w:r>
      <w:r>
        <w:rPr>
          <w:rFonts w:ascii="Times New Roman" w:hAnsi="Times New Roman"/>
        </w:rPr>
        <w:t xml:space="preserve"> Nat. Med. 6, 513–519</w:t>
      </w:r>
    </w:p>
    <w:p w:rsidR="0018722C">
      <w:pPr>
        <w:pStyle w:val="ab"/>
        <w:topLinePunct/>
        <w:ind w:left="200" w:hangingChars="200" w:hanging="200"/>
      </w:pPr>
      <w:r>
        <w:rPr>
          <w:rFonts w:ascii="Times New Roman" w:hAnsi="Times New Roman"/>
        </w:rPr>
        <w:t>[</w:t>
      </w:r>
      <w:r>
        <w:rPr>
          <w:rFonts w:ascii="Times New Roman" w:hAnsi="Times New Roman"/>
        </w:rPr>
        <w:t xml:space="preserve">48</w:t>
      </w:r>
      <w:r>
        <w:rPr>
          <w:rFonts w:ascii="Times New Roman" w:hAnsi="Times New Roman"/>
        </w:rPr>
        <w:t>]</w:t>
      </w:r>
      <w:r w:rsidRPr="00281126">
        <w:t xml:space="preserve"> </w:t>
      </w:r>
      <w:r>
        <w:rPr>
          <w:rFonts w:ascii="Times New Roman" w:hAnsi="Times New Roman"/>
        </w:rPr>
        <w:t xml:space="preserve">Yumiko Shirakata and Katsuro Koike.</w:t>
      </w:r>
      <w:r>
        <w:rPr>
          <w:rFonts w:ascii="Times New Roman" w:hAnsi="Times New Roman"/>
        </w:rPr>
        <w:t xml:space="preserve"> </w:t>
      </w:r>
      <w:r>
        <w:rPr>
          <w:rFonts w:ascii="Times New Roman" w:hAnsi="Times New Roman"/>
        </w:rPr>
        <w:t xml:space="preserve">Hepatitis B Virus X Protein Induces Cell Death by Causing Loss of Mitochondrial Membrane Potential.</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THE JOURNAL OF BIOLOGICAL CHEMISTRY.</w:t>
      </w:r>
      <w:r>
        <w:rPr>
          <w:rFonts w:ascii="Times New Roman" w:hAnsi="Times New Roman"/>
        </w:rPr>
        <w:t xml:space="preserve"> </w:t>
      </w:r>
      <w:r>
        <w:rPr>
          <w:rFonts w:ascii="Times New Roman" w:hAnsi="Times New Roman"/>
        </w:rPr>
        <w:t>2003.</w:t>
      </w:r>
      <w:r>
        <w:rPr>
          <w:rFonts w:ascii="Times New Roman" w:hAnsi="Times New Roman"/>
        </w:rPr>
        <w:t xml:space="preserve"> </w:t>
      </w:r>
      <w:r>
        <w:rPr>
          <w:rFonts w:ascii="Times New Roman" w:hAnsi="Times New Roman"/>
        </w:rPr>
        <w:t>pp.</w:t>
      </w:r>
      <w:r>
        <w:rPr>
          <w:rFonts w:ascii="Times New Roman" w:hAnsi="Times New Roman"/>
        </w:rPr>
        <w:t> </w:t>
      </w:r>
      <w:r>
        <w:rPr>
          <w:rFonts w:ascii="Times New Roman" w:hAnsi="Times New Roman"/>
        </w:rPr>
        <w:t>22071–22078.</w:t>
      </w:r>
    </w:p>
    <w:p w:rsidR="0018722C">
      <w:pPr>
        <w:pStyle w:val="ab"/>
        <w:topLinePunct/>
        <w:ind w:left="200" w:hangingChars="200" w:hanging="200"/>
      </w:pPr>
      <w:r>
        <w:rPr>
          <w:rFonts w:ascii="Times New Roman" w:hAnsi="Times New Roman"/>
        </w:rPr>
        <w:t>[</w:t>
      </w:r>
      <w:r>
        <w:rPr>
          <w:rFonts w:ascii="Times New Roman" w:hAnsi="Times New Roman"/>
        </w:rPr>
        <w:t xml:space="preserve">49</w:t>
      </w:r>
      <w:r>
        <w:rPr>
          <w:rFonts w:ascii="Times New Roman" w:hAnsi="Times New Roman"/>
        </w:rPr>
        <w:t>]</w:t>
      </w:r>
      <w:r w:rsidRPr="00281126">
        <w:t xml:space="preserve"> </w:t>
      </w:r>
      <w:r>
        <w:rPr>
          <w:rFonts w:ascii="Times New Roman" w:hAnsi="Times New Roman"/>
        </w:rPr>
        <w:t>Drög e W. Oxidative stress and aging. Adv Exp Med Biol 2003; 543: 191-200</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rPr>
        <w:t>[</w:t>
      </w:r>
      <w:r>
        <w:rPr>
          <w:rFonts w:ascii="Times New Roman"/>
        </w:rPr>
        <w:t xml:space="preserve">50</w:t>
      </w:r>
      <w:r>
        <w:rPr>
          <w:rFonts w:ascii="Times New Roman"/>
        </w:rPr>
        <w:t>]</w:t>
      </w:r>
      <w:r w:rsidRPr="00281126">
        <w:t xml:space="preserve"> </w:t>
      </w:r>
      <w:r>
        <w:rPr>
          <w:rFonts w:ascii="Times New Roman"/>
        </w:rPr>
        <w:t>Perry G, Raina AK, Nunomura A, Wataya T, Sayre LM, Smith MA. How important is oxidative damage</w:t>
      </w:r>
      <w:r w:rsidR="001852F3">
        <w:rPr>
          <w:rFonts w:ascii="Times New Roman"/>
        </w:rPr>
        <w:t xml:space="preserve">Lessons</w:t>
      </w:r>
      <w:r w:rsidR="001852F3">
        <w:rPr>
          <w:rFonts w:ascii="Times New Roman"/>
        </w:rPr>
        <w:t xml:space="preserve">from</w:t>
      </w:r>
      <w:r w:rsidR="001852F3">
        <w:rPr>
          <w:rFonts w:ascii="Times New Roman"/>
        </w:rPr>
        <w:t xml:space="preserve">Alzheimer's</w:t>
      </w:r>
      <w:r w:rsidR="001852F3">
        <w:rPr>
          <w:rFonts w:ascii="Times New Roman"/>
        </w:rPr>
        <w:t xml:space="preserve">disease. Free</w:t>
      </w:r>
      <w:r w:rsidR="001852F3">
        <w:rPr>
          <w:rFonts w:ascii="Times New Roman"/>
        </w:rPr>
        <w:t xml:space="preserve">Radic</w:t>
      </w:r>
      <w:r w:rsidR="001852F3">
        <w:rPr>
          <w:rFonts w:ascii="Times New Roman"/>
        </w:rPr>
        <w:t xml:space="preserve">Biol</w:t>
      </w:r>
      <w:r w:rsidR="001852F3">
        <w:rPr>
          <w:rFonts w:ascii="Times New Roman"/>
        </w:rPr>
        <w:t xml:space="preserve">Med</w:t>
      </w:r>
      <w:r w:rsidR="001852F3">
        <w:rPr>
          <w:rFonts w:ascii="Times New Roman"/>
        </w:rPr>
        <w:t xml:space="preserve">2000;</w:t>
      </w:r>
      <w:r w:rsidR="001852F3">
        <w:rPr>
          <w:rFonts w:ascii="Times New Roman"/>
        </w:rPr>
        <w:t xml:space="preserve"> </w:t>
      </w:r>
      <w:r w:rsidR="001852F3">
        <w:rPr>
          <w:rFonts w:ascii="Times New Roman"/>
        </w:rPr>
        <w:t xml:space="preserve">28: 831-834</w:t>
      </w:r>
    </w:p>
    <w:p w:rsidR="0018722C">
      <w:pPr>
        <w:pStyle w:val="ab"/>
        <w:topLinePunct/>
        <w:ind w:left="200" w:hangingChars="200" w:hanging="200"/>
      </w:pPr>
      <w:r>
        <w:rPr>
          <w:rFonts w:ascii="Times New Roman"/>
        </w:rPr>
        <w:t>[</w:t>
      </w:r>
      <w:r>
        <w:rPr>
          <w:rFonts w:ascii="Times New Roman"/>
        </w:rPr>
        <w:t xml:space="preserve">51</w:t>
      </w:r>
      <w:r>
        <w:rPr>
          <w:rFonts w:ascii="Times New Roman"/>
        </w:rPr>
        <w:t>]</w:t>
      </w:r>
      <w:r w:rsidRPr="00281126">
        <w:t xml:space="preserve"> </w:t>
      </w:r>
      <w:r>
        <w:rPr>
          <w:rFonts w:ascii="Times New Roman"/>
        </w:rPr>
        <w:t>Parola M, Robino G. Oxidative stress-related molecules and liver fibrosis. J Hepatol</w:t>
      </w:r>
    </w:p>
    <w:p w:rsidR="0018722C">
      <w:pPr>
        <w:pStyle w:val="afffff"/>
        <w:topLinePunct/>
      </w:pPr>
      <w:r>
        <w:rPr>
          <w:rFonts w:ascii="Times New Roman"/>
        </w:rPr>
        <w:t>2001; 35: 297-306</w:t>
      </w:r>
    </w:p>
    <w:p w:rsidR="0018722C">
      <w:pPr>
        <w:pStyle w:val="ab"/>
        <w:topLinePunct/>
        <w:ind w:left="200" w:hangingChars="200" w:hanging="200"/>
      </w:pPr>
      <w:r>
        <w:rPr>
          <w:rFonts w:ascii="Times New Roman"/>
        </w:rPr>
        <w:t>[</w:t>
      </w:r>
      <w:r>
        <w:rPr>
          <w:rFonts w:ascii="Times New Roman"/>
        </w:rPr>
        <w:t xml:space="preserve">52</w:t>
      </w:r>
      <w:r>
        <w:rPr>
          <w:rFonts w:ascii="Times New Roman"/>
        </w:rPr>
        <w:t>]</w:t>
      </w:r>
      <w:r w:rsidRPr="00281126">
        <w:t xml:space="preserve"> </w:t>
      </w:r>
      <w:r>
        <w:rPr>
          <w:rFonts w:ascii="Times New Roman"/>
        </w:rPr>
        <w:t>Martindale JL, Holbrook NJ. Cellular response to oxidative stress: signaling for suicide and survival. J Cell Physiol 2002; 192: 1-15</w:t>
      </w:r>
    </w:p>
    <w:p w:rsidR="0018722C">
      <w:pPr>
        <w:pStyle w:val="ab"/>
        <w:topLinePunct/>
        <w:ind w:left="200" w:hangingChars="200" w:hanging="200"/>
      </w:pPr>
      <w:r>
        <w:rPr>
          <w:rFonts w:ascii="Times New Roman"/>
        </w:rPr>
        <w:t>[</w:t>
      </w:r>
      <w:r>
        <w:rPr>
          <w:rFonts w:ascii="Times New Roman"/>
        </w:rPr>
        <w:t xml:space="preserve">53</w:t>
      </w:r>
      <w:r>
        <w:rPr>
          <w:rFonts w:ascii="Times New Roman"/>
        </w:rPr>
        <w:t>]</w:t>
      </w:r>
      <w:r w:rsidRPr="00281126">
        <w:t xml:space="preserve"> </w:t>
      </w:r>
      <w:r>
        <w:rPr>
          <w:rFonts w:ascii="Times New Roman"/>
        </w:rPr>
        <w:t>Tien Kuo M, Savaraj N. Roles of reactive oxygen species in hepatocarcinogenesis</w:t>
      </w:r>
      <w:r>
        <w:rPr>
          <w:rFonts w:ascii="Times New Roman"/>
        </w:rPr>
        <w:t>and drug resistance gene expression in liver cancers. Mol Carcinog 2006; 45: 701-709</w:t>
      </w:r>
    </w:p>
    <w:p w:rsidR="0018722C">
      <w:pPr>
        <w:pStyle w:val="ab"/>
        <w:topLinePunct/>
        <w:ind w:left="200" w:hangingChars="200" w:hanging="200"/>
      </w:pPr>
      <w:r>
        <w:rPr>
          <w:rFonts w:ascii="Times New Roman"/>
        </w:rPr>
        <w:t>[</w:t>
      </w:r>
      <w:r>
        <w:rPr>
          <w:rFonts w:ascii="Times New Roman"/>
        </w:rPr>
        <w:t xml:space="preserve">54</w:t>
      </w:r>
      <w:r>
        <w:rPr>
          <w:rFonts w:ascii="Times New Roman"/>
        </w:rPr>
        <w:t>]</w:t>
      </w:r>
      <w:r w:rsidRPr="00281126">
        <w:t xml:space="preserve"> </w:t>
      </w:r>
      <w:r>
        <w:rPr>
          <w:rFonts w:ascii="Times New Roman"/>
        </w:rPr>
        <w:t>Czaja MJ. Cell signaling in oxidative stress-induced liver injury. Semin Liver Dis 2007; 27: 378-389</w:t>
      </w:r>
    </w:p>
    <w:p w:rsidR="0018722C">
      <w:pPr>
        <w:pStyle w:val="ab"/>
        <w:topLinePunct/>
        <w:ind w:left="200" w:hangingChars="200" w:hanging="200"/>
      </w:pPr>
      <w:r>
        <w:rPr>
          <w:rFonts w:ascii="Times New Roman"/>
        </w:rPr>
        <w:t>[</w:t>
      </w:r>
      <w:r>
        <w:rPr>
          <w:rFonts w:ascii="Times New Roman"/>
        </w:rPr>
        <w:t xml:space="preserve">55</w:t>
      </w:r>
      <w:r>
        <w:rPr>
          <w:rFonts w:ascii="Times New Roman"/>
        </w:rPr>
        <w:t>]</w:t>
      </w:r>
      <w:r w:rsidRPr="00281126">
        <w:t xml:space="preserve"> </w:t>
      </w:r>
      <w:r>
        <w:rPr>
          <w:rFonts w:ascii="Times New Roman"/>
        </w:rPr>
        <w:t>Hye-Lin</w:t>
      </w:r>
      <w:r w:rsidR="001852F3">
        <w:rPr>
          <w:rFonts w:ascii="Times New Roman"/>
        </w:rPr>
        <w:t xml:space="preserve">  Ha, </w:t>
      </w:r>
      <w:r w:rsidR="001852F3">
        <w:rPr>
          <w:rFonts w:ascii="Times New Roman"/>
        </w:rPr>
        <w:t xml:space="preserve"> Dae-Yeul</w:t>
      </w:r>
      <w:r w:rsidR="001852F3">
        <w:rPr>
          <w:rFonts w:ascii="Times New Roman"/>
        </w:rPr>
        <w:t xml:space="preserve">  Yu.</w:t>
      </w:r>
      <w:r w:rsidR="001852F3">
        <w:rPr>
          <w:rFonts w:ascii="Times New Roman"/>
        </w:rPr>
        <w:t xml:space="preserve"> </w:t>
      </w:r>
      <w:r w:rsidR="001852F3">
        <w:rPr>
          <w:rFonts w:ascii="Times New Roman"/>
        </w:rPr>
        <w:t>HBx-induced</w:t>
      </w:r>
      <w:r w:rsidR="001852F3">
        <w:rPr>
          <w:rFonts w:ascii="Times New Roman"/>
        </w:rPr>
        <w:t xml:space="preserve">  reactive</w:t>
      </w:r>
      <w:r w:rsidR="001852F3">
        <w:rPr>
          <w:rFonts w:ascii="Times New Roman"/>
        </w:rPr>
        <w:t xml:space="preserve">  oxygen</w:t>
      </w:r>
      <w:r w:rsidR="001852F3">
        <w:rPr>
          <w:rFonts w:ascii="Times New Roman"/>
        </w:rPr>
        <w:t xml:space="preserve">  species</w:t>
      </w:r>
      <w:r w:rsidR="001852F3">
        <w:rPr>
          <w:rFonts w:ascii="Times New Roman"/>
        </w:rPr>
        <w:t xml:space="preserve">  activates</w:t>
      </w:r>
      <w:r>
        <w:rPr>
          <w:rFonts w:ascii="Times New Roman"/>
        </w:rPr>
        <w:t>hepatocellular carcinogenesis via dysregulation of PTEN</w:t>
      </w:r>
      <w:r>
        <w:rPr>
          <w:rFonts w:ascii="Times New Roman"/>
        </w:rPr>
        <w:t>/</w:t>
      </w:r>
      <w:r>
        <w:rPr>
          <w:rFonts w:ascii="Times New Roman"/>
        </w:rPr>
        <w:t xml:space="preserve">Akt pathway.</w:t>
      </w:r>
      <w:r>
        <w:rPr>
          <w:rFonts w:ascii="Times New Roman"/>
        </w:rPr>
        <w:t xml:space="preserve"> </w:t>
      </w:r>
      <w:r>
        <w:rPr>
          <w:rFonts w:ascii="Times New Roman"/>
        </w:rPr>
        <w:t>J.</w:t>
      </w:r>
      <w:r>
        <w:rPr>
          <w:rFonts w:ascii="Times New Roman"/>
        </w:rPr>
        <w:t xml:space="preserve"> </w:t>
      </w:r>
      <w:r>
        <w:rPr>
          <w:rFonts w:ascii="Times New Roman"/>
        </w:rPr>
        <w:t xml:space="preserve">World J Gastroenterol</w:t>
      </w:r>
      <w:r>
        <w:t>2010 October 21; 16</w:t>
      </w:r>
      <w:r>
        <w:t>(</w:t>
      </w:r>
      <w:r>
        <w:t>39</w:t>
      </w:r>
      <w:r>
        <w:t>)</w:t>
      </w:r>
      <w:r>
        <w:t>:</w:t>
      </w:r>
      <w:r>
        <w:rPr>
          <w:rFonts w:ascii="Times New Roman"/>
        </w:rPr>
        <w:t> </w:t>
      </w:r>
      <w:r>
        <w:rPr>
          <w:rFonts w:ascii="Times New Roman"/>
        </w:rPr>
        <w:t>4932-4937</w:t>
      </w:r>
    </w:p>
    <w:p w:rsidR="0018722C">
      <w:pPr>
        <w:pStyle w:val="ab"/>
        <w:topLinePunct/>
        <w:ind w:left="200" w:hangingChars="200" w:hanging="200"/>
      </w:pPr>
      <w:r>
        <w:rPr>
          <w:rFonts w:ascii="Times New Roman"/>
        </w:rPr>
        <w:t>[</w:t>
      </w:r>
      <w:r>
        <w:rPr>
          <w:rFonts w:ascii="Times New Roman"/>
        </w:rPr>
        <w:t xml:space="preserve">56</w:t>
      </w:r>
      <w:r>
        <w:rPr>
          <w:rFonts w:ascii="Times New Roman"/>
        </w:rPr>
        <w:t>]</w:t>
      </w:r>
      <w:r w:rsidRPr="00281126">
        <w:t xml:space="preserve"> </w:t>
      </w:r>
      <w:r>
        <w:rPr>
          <w:rFonts w:ascii="Times New Roman"/>
        </w:rPr>
        <w:t xml:space="preserve">Stephanie Schaedler, Janis Krause, Kiyoshi Himmelsbach,</w:t>
      </w:r>
      <w:r>
        <w:rPr>
          <w:rFonts w:ascii="Times New Roman"/>
        </w:rPr>
        <w:t xml:space="preserve"> </w:t>
      </w:r>
      <w:r>
        <w:rPr>
          <w:rFonts w:ascii="Times New Roman"/>
        </w:rPr>
        <w:t xml:space="preserve">Monica Carvajal-Yepes,</w:t>
      </w:r>
      <w:r>
        <w:rPr>
          <w:rFonts w:ascii="Times New Roman"/>
        </w:rPr>
        <w:t xml:space="preserve"> </w:t>
      </w:r>
      <w:r>
        <w:rPr>
          <w:rFonts w:ascii="Times New Roman" w:hAnsi="Times New Roman"/>
        </w:rPr>
        <w:t xml:space="preserve">Franziska Lieder, Karin Klingel, Michael Nassal, Thomas S. Weiss, SabineWerner, and Eberhard Hildt. Hepatitis B Virus Induces Expression of Antioxidant ResponseElement-regulated Genes by Activation of Nrf2. J. THE JOURNAL OF BIOLOGICAL CHEMISTRY VOL. 2010; 285</w:t>
      </w:r>
      <w:r>
        <w:rPr>
          <w:rFonts w:ascii="Times New Roman" w:hAnsi="Times New Roman"/>
        </w:rPr>
        <w:t>(</w:t>
      </w:r>
      <w:r>
        <w:rPr>
          <w:rFonts w:ascii="Times New Roman" w:hAnsi="Times New Roman"/>
        </w:rPr>
        <w:t>52</w:t>
      </w:r>
      <w:r>
        <w:rPr>
          <w:rFonts w:ascii="Times New Roman" w:hAnsi="Times New Roman"/>
        </w:rPr>
        <w:t>)</w:t>
      </w:r>
      <w:r>
        <w:rPr>
          <w:rFonts w:ascii="Times New Roman" w:hAnsi="Times New Roman"/>
        </w:rPr>
        <w:t>: 41074–41086.</w:t>
      </w:r>
    </w:p>
    <w:p w:rsidR="0018722C">
      <w:pPr>
        <w:pStyle w:val="ab"/>
        <w:topLinePunct/>
        <w:ind w:left="200" w:hangingChars="200" w:hanging="200"/>
      </w:pPr>
      <w:r>
        <w:rPr>
          <w:rFonts w:ascii="Times New Roman"/>
        </w:rPr>
        <w:t>[</w:t>
      </w:r>
      <w:r>
        <w:rPr>
          <w:rFonts w:ascii="Times New Roman"/>
        </w:rPr>
        <w:t xml:space="preserve">57</w:t>
      </w:r>
      <w:r>
        <w:rPr>
          <w:rFonts w:ascii="Times New Roman"/>
        </w:rPr>
        <w:t>]</w:t>
      </w:r>
      <w:r w:rsidRPr="00281126">
        <w:t xml:space="preserve"> </w:t>
      </w:r>
      <w:r>
        <w:rPr>
          <w:rFonts w:ascii="Times New Roman"/>
        </w:rPr>
        <w:t xml:space="preserve">Ye-Jin Kim, Jin Kyu Jung</w:t>
      </w:r>
      <w:r w:rsidR="004B696B">
        <w:rPr>
          <w:rFonts w:ascii="Times New Roman"/>
        </w:rPr>
        <w:t xml:space="preserve">, Sun Young Lee, Kyung Lib Jang.</w:t>
      </w:r>
      <w:r>
        <w:rPr>
          <w:rFonts w:ascii="Times New Roman"/>
        </w:rPr>
        <w:t xml:space="preserve"> </w:t>
      </w:r>
      <w:r>
        <w:rPr>
          <w:rFonts w:ascii="Times New Roman"/>
        </w:rPr>
        <w:t xml:space="preserve">Hepatitis B virus X</w:t>
      </w:r>
      <w:r>
        <w:rPr>
          <w:rFonts w:ascii="Times New Roman" w:hAnsi="Times New Roman"/>
        </w:rPr>
        <w:t xml:space="preserve">protein overcomes stress-induced premature senescence by repressing p16INK4a expression via DNA methylation. J. Cancer Letters 288 </w:t>
      </w:r>
      <w:r>
        <w:rPr>
          <w:rFonts w:ascii="Times New Roman" w:hAnsi="Times New Roman"/>
        </w:rPr>
        <w:t xml:space="preserve">(</w:t>
      </w:r>
      <w:r>
        <w:rPr>
          <w:rFonts w:ascii="Times New Roman" w:hAnsi="Times New Roman"/>
        </w:rPr>
        <w:t xml:space="preserve">2010</w:t>
      </w:r>
      <w:r>
        <w:rPr>
          <w:rFonts w:ascii="Times New Roman" w:hAnsi="Times New Roman"/>
        </w:rPr>
        <w:t xml:space="preserve">)</w:t>
      </w:r>
      <w:r>
        <w:rPr>
          <w:rFonts w:ascii="Times New Roman" w:hAnsi="Times New Roman"/>
        </w:rPr>
        <w:t xml:space="preserve"> 226–235</w:t>
      </w:r>
    </w:p>
    <w:p w:rsidR="0018722C">
      <w:pPr>
        <w:pStyle w:val="ab"/>
        <w:topLinePunct/>
        <w:ind w:left="200" w:hangingChars="200" w:hanging="200"/>
      </w:pPr>
      <w:r>
        <w:rPr>
          <w:rFonts w:ascii="Times New Roman"/>
        </w:rPr>
        <w:t>[</w:t>
      </w:r>
      <w:r>
        <w:rPr>
          <w:rFonts w:ascii="Times New Roman"/>
        </w:rPr>
        <w:t xml:space="preserve">58</w:t>
      </w:r>
      <w:r>
        <w:rPr>
          <w:rFonts w:ascii="Times New Roman"/>
        </w:rPr>
        <w:t>]</w:t>
      </w:r>
      <w:r w:rsidRPr="00281126">
        <w:t xml:space="preserve"> </w:t>
      </w:r>
      <w:r>
        <w:rPr>
          <w:rFonts w:ascii="Times New Roman"/>
        </w:rPr>
        <w:t>L</w:t>
      </w:r>
      <w:r w:rsidR="001852F3">
        <w:rPr>
          <w:rFonts w:ascii="Times New Roman"/>
        </w:rPr>
        <w:t xml:space="preserve"> i</w:t>
      </w:r>
      <w:r w:rsidR="001852F3">
        <w:rPr>
          <w:rFonts w:ascii="Times New Roman"/>
        </w:rPr>
        <w:t xml:space="preserve"> u</w:t>
      </w:r>
      <w:r w:rsidR="001852F3">
        <w:rPr>
          <w:rFonts w:ascii="Times New Roman"/>
        </w:rPr>
        <w:t xml:space="preserve"> KG, </w:t>
      </w:r>
      <w:r w:rsidR="001852F3">
        <w:rPr>
          <w:rFonts w:ascii="Times New Roman"/>
        </w:rPr>
        <w:t xml:space="preserve">X</w:t>
      </w:r>
      <w:r w:rsidR="001852F3">
        <w:rPr>
          <w:rFonts w:ascii="Times New Roman"/>
        </w:rPr>
        <w:t xml:space="preserve"> ieHH, </w:t>
      </w:r>
      <w:r w:rsidR="001852F3">
        <w:rPr>
          <w:rFonts w:ascii="Times New Roman"/>
        </w:rPr>
        <w:t xml:space="preserve">L</w:t>
      </w:r>
      <w:r w:rsidR="001852F3">
        <w:rPr>
          <w:rFonts w:ascii="Times New Roman"/>
        </w:rPr>
        <w:t xml:space="preserve"> i</w:t>
      </w:r>
      <w:r w:rsidR="001852F3">
        <w:rPr>
          <w:rFonts w:ascii="Times New Roman"/>
        </w:rPr>
        <w:t xml:space="preserve"> u</w:t>
      </w:r>
      <w:r w:rsidR="001852F3">
        <w:rPr>
          <w:rFonts w:ascii="Times New Roman"/>
        </w:rPr>
        <w:t xml:space="preserve"> J</w:t>
      </w:r>
      <w:r w:rsidR="004B696B">
        <w:rPr>
          <w:rFonts w:ascii="Times New Roman"/>
        </w:rPr>
        <w:t xml:space="preserve">. </w:t>
      </w:r>
      <w:r w:rsidR="001852F3">
        <w:rPr>
          <w:rFonts w:ascii="Times New Roman"/>
        </w:rPr>
        <w:t xml:space="preserve">Expressions</w:t>
      </w:r>
      <w:r w:rsidR="001852F3">
        <w:rPr>
          <w:rFonts w:ascii="Times New Roman"/>
        </w:rPr>
        <w:t xml:space="preserve"> of</w:t>
      </w:r>
      <w:r w:rsidR="001852F3">
        <w:rPr>
          <w:rFonts w:ascii="Times New Roman"/>
        </w:rPr>
        <w:t xml:space="preserve"> hepatitis</w:t>
      </w:r>
      <w:r w:rsidR="001852F3">
        <w:rPr>
          <w:rFonts w:ascii="Times New Roman"/>
        </w:rPr>
        <w:t xml:space="preserve"> B</w:t>
      </w:r>
      <w:r w:rsidR="001852F3">
        <w:rPr>
          <w:rFonts w:ascii="Times New Roman"/>
        </w:rPr>
        <w:t xml:space="preserve"> virus</w:t>
      </w:r>
      <w:r w:rsidR="001852F3">
        <w:rPr>
          <w:rFonts w:ascii="Times New Roman"/>
        </w:rPr>
        <w:t xml:space="preserve"> X</w:t>
      </w:r>
      <w:r w:rsidR="001852F3">
        <w:rPr>
          <w:rFonts w:ascii="Times New Roman"/>
        </w:rPr>
        <w:t xml:space="preserve"> protein and</w:t>
      </w:r>
      <w:r>
        <w:rPr>
          <w:rFonts w:ascii="Times New Roman"/>
        </w:rPr>
        <w:t xml:space="preserve">hypoxiainducible factor-1 i n hepatocellular carcinoma and possible relationships </w:t>
      </w:r>
      <w:r>
        <w:rPr>
          <w:rFonts w:ascii="Times New Roman"/>
        </w:rPr>
        <w:t xml:space="preserve">[</w:t>
      </w:r>
      <w:r>
        <w:rPr>
          <w:rFonts w:ascii="Times New Roman"/>
        </w:rPr>
        <w:t xml:space="preserve"> J</w:t>
      </w:r>
      <w:r>
        <w:rPr>
          <w:rFonts w:ascii="Times New Roman"/>
        </w:rPr>
        <w:t xml:space="preserve">]</w:t>
      </w:r>
      <w:r w:rsidR="004B696B">
        <w:rPr>
          <w:rFonts w:ascii="Times New Roman"/>
        </w:rPr>
        <w:t xml:space="preserve">. Ch i n JH epatol</w:t>
      </w:r>
      <w:r w:rsidR="004B696B">
        <w:rPr>
          <w:rFonts w:ascii="Times New Roman"/>
        </w:rPr>
        <w:t xml:space="preserve">, 2007</w:t>
      </w:r>
      <w:r w:rsidR="004B696B">
        <w:rPr>
          <w:rFonts w:ascii="Times New Roman"/>
        </w:rPr>
        <w:t xml:space="preserve">, 15</w:t>
      </w:r>
      <w:r>
        <w:rPr>
          <w:rFonts w:ascii="Times New Roman"/>
        </w:rPr>
        <w:t xml:space="preserve">(</w:t>
      </w:r>
      <w:r>
        <w:rPr>
          <w:rFonts w:ascii="Times New Roman"/>
        </w:rPr>
        <w:t xml:space="preserve"> 2</w:t>
      </w:r>
      <w:r>
        <w:rPr>
          <w:rFonts w:ascii="Times New Roman"/>
        </w:rPr>
        <w:t xml:space="preserve">)</w:t>
      </w:r>
      <w:r>
        <w:rPr>
          <w:rFonts w:ascii="Times New Roman"/>
        </w:rPr>
        <w:t xml:space="preserve"> : 122126 .</w:t>
      </w:r>
    </w:p>
    <w:p w:rsidR="0018722C">
      <w:pPr>
        <w:pStyle w:val="ab"/>
        <w:topLinePunct/>
        <w:ind w:left="200" w:hangingChars="200" w:hanging="200"/>
      </w:pPr>
      <w:r>
        <w:rPr>
          <w:rFonts w:ascii="Times New Roman"/>
        </w:rPr>
        <w:t>[</w:t>
      </w:r>
      <w:r>
        <w:rPr>
          <w:rFonts w:ascii="Times New Roman"/>
        </w:rPr>
        <w:t xml:space="preserve">59</w:t>
      </w:r>
      <w:r>
        <w:rPr>
          <w:rFonts w:ascii="Times New Roman"/>
        </w:rPr>
        <w:t>]</w:t>
      </w:r>
      <w:r w:rsidRPr="00281126">
        <w:t xml:space="preserve"> </w:t>
      </w:r>
      <w:r>
        <w:rPr>
          <w:rFonts w:ascii="Times New Roman"/>
        </w:rPr>
        <w:t>Liang Hu1, Lei Chen, GuangZhen Yang, Liang Li, HanYong Sun, YanXin</w:t>
      </w:r>
      <w:r>
        <w:rPr>
          <w:rFonts w:ascii="Times New Roman"/>
        </w:rPr>
        <w:t> </w:t>
      </w:r>
      <w:r>
        <w:rPr>
          <w:rFonts w:ascii="Times New Roman"/>
        </w:rPr>
        <w:t xml:space="preserve">Chang,</w:t>
      </w:r>
      <w:r>
        <w:rPr>
          <w:rFonts w:ascii="Times New Roman"/>
        </w:rPr>
        <w:t xml:space="preserve"> </w:t>
      </w:r>
      <w:r>
        <w:rPr>
          <w:rFonts w:ascii="Times New Roman"/>
        </w:rPr>
        <w:t xml:space="preserve">QianQian Tu, MengChao Wu and HongYang Wang. HBx Sensitizes Cells to Oxidative Stress-induced Apoptosis by Accelerating the Loss of Mcl-1 Protein via Caspase-3 Cascade. J. Hu et al. Molecular Cancer 2011, 10: 43</w:t>
      </w:r>
    </w:p>
    <w:p w:rsidR="0018722C">
      <w:pPr>
        <w:pStyle w:val="ab"/>
        <w:topLinePunct/>
        <w:ind w:left="200" w:hangingChars="200" w:hanging="200"/>
      </w:pPr>
      <w:r>
        <w:rPr>
          <w:rFonts w:ascii="Times New Roman"/>
        </w:rPr>
        <w:t>[</w:t>
      </w:r>
      <w:r>
        <w:rPr>
          <w:rFonts w:ascii="Times New Roman"/>
        </w:rPr>
        <w:t xml:space="preserve">60</w:t>
      </w:r>
      <w:r>
        <w:rPr>
          <w:rFonts w:ascii="Times New Roman"/>
        </w:rPr>
        <w:t>]</w:t>
      </w:r>
      <w:r w:rsidRPr="00281126">
        <w:t xml:space="preserve"> </w:t>
      </w:r>
      <w:r>
        <w:rPr>
          <w:rFonts w:ascii="Times New Roman"/>
        </w:rPr>
        <w:t>Huang, X., </w:t>
      </w:r>
      <w:r w:rsidR="001852F3">
        <w:rPr>
          <w:rFonts w:ascii="Times New Roman"/>
        </w:rPr>
        <w:t xml:space="preserve">2003. </w:t>
      </w:r>
      <w:r w:rsidR="001852F3">
        <w:rPr>
          <w:rFonts w:ascii="Times New Roman"/>
        </w:rPr>
        <w:t xml:space="preserve">Iron</w:t>
      </w:r>
      <w:r w:rsidR="001852F3">
        <w:rPr>
          <w:rFonts w:ascii="Times New Roman"/>
        </w:rPr>
        <w:t xml:space="preserve"> overload</w:t>
      </w:r>
      <w:r w:rsidR="001852F3">
        <w:rPr>
          <w:rFonts w:ascii="Times New Roman"/>
        </w:rPr>
        <w:t xml:space="preserve"> and</w:t>
      </w:r>
      <w:r w:rsidR="001852F3">
        <w:rPr>
          <w:rFonts w:ascii="Times New Roman"/>
        </w:rPr>
        <w:t xml:space="preserve"> its</w:t>
      </w:r>
      <w:r w:rsidR="001852F3">
        <w:rPr>
          <w:rFonts w:ascii="Times New Roman"/>
        </w:rPr>
        <w:t xml:space="preserve"> association</w:t>
      </w:r>
      <w:r w:rsidR="001852F3">
        <w:rPr>
          <w:rFonts w:ascii="Times New Roman"/>
        </w:rPr>
        <w:t xml:space="preserve"> with</w:t>
      </w:r>
      <w:r w:rsidR="001852F3">
        <w:rPr>
          <w:rFonts w:ascii="Times New Roman"/>
        </w:rPr>
        <w:t xml:space="preserve"> cancer</w:t>
      </w:r>
      <w:r w:rsidR="001852F3">
        <w:rPr>
          <w:rFonts w:ascii="Times New Roman"/>
        </w:rPr>
        <w:t xml:space="preserve"> risk</w:t>
      </w:r>
      <w:r w:rsidR="001852F3">
        <w:rPr>
          <w:rFonts w:ascii="Times New Roman"/>
        </w:rPr>
        <w:t xml:space="preserve"> in humans:</w:t>
      </w:r>
      <w:r w:rsidR="001852F3">
        <w:rPr>
          <w:rFonts w:ascii="Times New Roman"/>
        </w:rPr>
        <w:t xml:space="preserve"> </w:t>
      </w:r>
      <w:r>
        <w:rPr>
          <w:rFonts w:ascii="Times New Roman" w:hAnsi="Times New Roman"/>
        </w:rPr>
        <w:t xml:space="preserve">evidence for iron as a carcinogenic metal. Mutat. Res. 533 </w:t>
      </w:r>
      <w:r>
        <w:rPr>
          <w:rFonts w:ascii="Times New Roman" w:hAnsi="Times New Roman"/>
        </w:rPr>
        <w:t xml:space="preserve">(</w:t>
      </w:r>
      <w:r>
        <w:rPr>
          <w:rFonts w:ascii="Times New Roman" w:hAnsi="Times New Roman"/>
        </w:rPr>
        <w:t xml:space="preserve">1–2</w:t>
      </w:r>
      <w:r>
        <w:rPr>
          <w:rFonts w:ascii="Times New Roman" w:hAnsi="Times New Roman"/>
        </w:rPr>
        <w:t xml:space="preserve">)</w:t>
      </w:r>
      <w:r>
        <w:rPr>
          <w:rFonts w:ascii="Times New Roman" w:hAnsi="Times New Roman"/>
        </w:rPr>
        <w:t xml:space="preserve">, 153–171.</w: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61</w:t>
      </w:r>
      <w:r>
        <w:rPr>
          <w:rFonts w:ascii="Times New Roman" w:hAnsi="Times New Roman"/>
        </w:rPr>
        <w:t xml:space="preserve">]</w:t>
      </w:r>
      <w:r w:rsidRPr="00281126">
        <w:t xml:space="preserve"> </w:t>
      </w:r>
      <w:r>
        <w:rPr>
          <w:rFonts w:ascii="Times New Roman" w:hAnsi="Times New Roman"/>
        </w:rPr>
        <w:t xml:space="preserve">Toyokuni, S., 2002. Iron and carcinogenesis: from Fenton reaction to target genes. Redox Rep. 7 </w:t>
      </w:r>
      <w:r>
        <w:rPr>
          <w:rFonts w:ascii="Times New Roman" w:hAnsi="Times New Roman"/>
        </w:rPr>
        <w:t xml:space="preserve">(</w:t>
      </w:r>
      <w:r>
        <w:rPr>
          <w:rFonts w:ascii="Times New Roman" w:hAnsi="Times New Roman"/>
        </w:rPr>
        <w:t xml:space="preserve">4</w:t>
      </w:r>
      <w:r>
        <w:rPr>
          <w:rFonts w:ascii="Times New Roman" w:hAnsi="Times New Roman"/>
        </w:rPr>
        <w:t xml:space="preserve">)</w:t>
      </w:r>
      <w:r>
        <w:rPr>
          <w:rFonts w:ascii="Times New Roman" w:hAnsi="Times New Roman"/>
        </w:rPr>
        <w:t xml:space="preserve">, 189–197.</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62</w:t>
      </w:r>
      <w:r>
        <w:rPr>
          <w:rFonts w:ascii="Times New Roman" w:hAnsi="Times New Roman"/>
        </w:rPr>
        <w:t xml:space="preserve">]</w:t>
      </w:r>
      <w:r w:rsidRPr="00281126">
        <w:t xml:space="preserve"> </w:t>
      </w:r>
      <w:r>
        <w:rPr>
          <w:rFonts w:ascii="Times New Roman" w:hAnsi="Times New Roman"/>
        </w:rPr>
        <w:t xml:space="preserve">Jin-Mo Gu</w:t>
      </w:r>
      <w:r w:rsidR="004B696B">
        <w:rPr>
          <w:rFonts w:ascii="Times New Roman" w:hAnsi="Times New Roman"/>
        </w:rPr>
        <w:t xml:space="preserve">, Seung Oe Lim, Sae Jin Oh</w:t>
      </w:r>
      <w:r w:rsidR="004B696B">
        <w:rPr>
          <w:rFonts w:ascii="Times New Roman" w:hAnsi="Times New Roman"/>
        </w:rPr>
        <w:t xml:space="preserve">, So-Mi Yoon,</w:t>
      </w:r>
      <w:r>
        <w:rPr>
          <w:rFonts w:ascii="Times New Roman" w:hAnsi="Times New Roman"/>
        </w:rPr>
        <w:t xml:space="preserve"> </w:t>
      </w:r>
      <w:r>
        <w:rPr>
          <w:rFonts w:ascii="Times New Roman" w:hAnsi="Times New Roman"/>
        </w:rPr>
        <w:t xml:space="preserve">Je Kyung Seong</w:t>
      </w:r>
      <w:r w:rsidR="004B696B">
        <w:rPr>
          <w:rFonts w:ascii="Times New Roman" w:hAnsi="Times New Roman"/>
        </w:rPr>
        <w:t xml:space="preserve">, Guhung Jung</w:t>
      </w:r>
      <w:r w:rsidR="004B696B">
        <w:rPr>
          <w:rFonts w:ascii="Times New Roman" w:hAnsi="Times New Roman"/>
        </w:rPr>
        <w:t xml:space="preserve">.</w:t>
      </w:r>
      <w:r>
        <w:rPr>
          <w:rFonts w:ascii="Times New Roman" w:hAnsi="Times New Roman"/>
        </w:rPr>
        <w:t xml:space="preserve"> </w:t>
      </w:r>
      <w:r>
        <w:rPr>
          <w:rFonts w:ascii="Times New Roman" w:hAnsi="Times New Roman"/>
        </w:rPr>
        <w:t xml:space="preserve">HBx modulates iron regulatory protein 1-mediated iron metabolism via reactive oxygen species.</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Virus Research 133 </w:t>
      </w:r>
      <w:r>
        <w:rPr>
          <w:rFonts w:ascii="Times New Roman" w:hAnsi="Times New Roman"/>
        </w:rPr>
        <w:t xml:space="preserve">(</w:t>
      </w:r>
      <w:r>
        <w:rPr>
          <w:rFonts w:ascii="Times New Roman" w:hAnsi="Times New Roman"/>
        </w:rPr>
        <w:t xml:space="preserve">2008</w:t>
      </w:r>
      <w:r>
        <w:rPr>
          <w:rFonts w:ascii="Times New Roman" w:hAnsi="Times New Roman"/>
        </w:rPr>
        <w:t xml:space="preserve">)</w:t>
      </w:r>
      <w:r>
        <w:rPr>
          <w:rFonts w:ascii="Times New Roman" w:hAnsi="Times New Roman"/>
        </w:rPr>
        <w:t xml:space="preserve"> 167–177</w:t>
      </w:r>
    </w:p>
    <w:p w:rsidR="0018722C">
      <w:pPr>
        <w:pStyle w:val="ab"/>
        <w:topLinePunct/>
        <w:ind w:left="200" w:hangingChars="200" w:hanging="200"/>
      </w:pPr>
      <w:r>
        <w:rPr>
          <w:rFonts w:ascii="Times New Roman"/>
        </w:rPr>
        <w:t>[</w:t>
      </w:r>
      <w:r>
        <w:rPr>
          <w:rFonts w:ascii="Times New Roman"/>
        </w:rPr>
        <w:t xml:space="preserve">63</w:t>
      </w:r>
      <w:r>
        <w:rPr>
          <w:rFonts w:ascii="Times New Roman"/>
        </w:rPr>
        <w:t>]</w:t>
      </w:r>
      <w:r w:rsidRPr="00281126">
        <w:t xml:space="preserve"> </w:t>
      </w:r>
      <w:r>
        <w:rPr>
          <w:rFonts w:ascii="Times New Roman"/>
        </w:rPr>
        <w:t>Nicotera P, Zhivotovsky B, Orrenius S. Nuclear calcium transport and the role of</w:t>
      </w:r>
      <w:r>
        <w:rPr>
          <w:rFonts w:ascii="Times New Roman"/>
        </w:rPr>
        <w:t xml:space="preserve">calcium in apoptosis. Cell Calcium 1994; 16: 279-88</w:t>
      </w:r>
    </w:p>
    <w:p w:rsidR="0018722C">
      <w:pPr>
        <w:pStyle w:val="ab"/>
        <w:topLinePunct/>
        <w:ind w:left="200" w:hangingChars="200" w:hanging="200"/>
      </w:pPr>
      <w:r>
        <w:rPr>
          <w:rFonts w:ascii="Times New Roman"/>
        </w:rPr>
        <w:t>[</w:t>
      </w:r>
      <w:r>
        <w:rPr>
          <w:rFonts w:ascii="Times New Roman"/>
        </w:rPr>
        <w:t xml:space="preserve">64</w:t>
      </w:r>
      <w:r>
        <w:rPr>
          <w:rFonts w:ascii="Times New Roman"/>
        </w:rPr>
        <w:t>]</w:t>
      </w:r>
      <w:r w:rsidRPr="00281126">
        <w:t xml:space="preserve"> </w:t>
      </w:r>
      <w:r>
        <w:rPr>
          <w:rFonts w:ascii="Times New Roman"/>
        </w:rPr>
        <w:t>J</w:t>
      </w:r>
      <w:r>
        <w:rPr>
          <w:rFonts w:ascii="Times New Roman"/>
        </w:rPr>
        <w:t xml:space="preserve">Jane C. Oh, Deuk-Lim Jeong,</w:t>
      </w:r>
      <w:r>
        <w:rPr>
          <w:rFonts w:ascii="Times New Roman"/>
        </w:rPr>
        <w:t xml:space="preserve"> </w:t>
      </w:r>
      <w:r>
        <w:rPr>
          <w:rFonts w:ascii="Times New Roman"/>
        </w:rPr>
        <w:t xml:space="preserve">In-Kyung Kim and Sang-Hwan Oh.</w:t>
      </w:r>
      <w:r>
        <w:rPr>
          <w:rFonts w:ascii="Times New Roman"/>
        </w:rPr>
        <w:t xml:space="preserve"> </w:t>
      </w:r>
      <w:r>
        <w:rPr>
          <w:rFonts w:ascii="Times New Roman"/>
        </w:rPr>
        <w:t xml:space="preserve">Activation of calcium signaling by hepatitis B virus-X protein in liver cells.</w:t>
      </w:r>
      <w:r>
        <w:rPr>
          <w:rFonts w:ascii="Times New Roman"/>
        </w:rPr>
        <w:t xml:space="preserve"> </w:t>
      </w:r>
      <w:r>
        <w:rPr>
          <w:rFonts w:ascii="Times New Roman"/>
        </w:rPr>
        <w:t>J.</w:t>
      </w:r>
      <w:r>
        <w:rPr>
          <w:rFonts w:ascii="Times New Roman"/>
        </w:rPr>
        <w:t xml:space="preserve"> </w:t>
      </w:r>
      <w:r>
        <w:rPr>
          <w:rFonts w:ascii="Times New Roman"/>
        </w:rPr>
        <w:t xml:space="preserve">EXPERIMENTAL and MOLECULAR MEDICINE.</w:t>
      </w:r>
      <w:r>
        <w:rPr>
          <w:rFonts w:ascii="Times New Roman"/>
        </w:rPr>
        <w:t xml:space="preserve"> </w:t>
      </w:r>
      <w:r>
        <w:rPr>
          <w:rFonts w:ascii="Times New Roman"/>
        </w:rPr>
        <w:t xml:space="preserve">2003. 35</w:t>
      </w:r>
      <w:r>
        <w:rPr>
          <w:rFonts w:ascii="Times New Roman"/>
        </w:rPr>
        <w:t>(</w:t>
      </w:r>
      <w:r>
        <w:rPr>
          <w:rFonts w:ascii="Times New Roman"/>
        </w:rPr>
        <w:t xml:space="preserve"> 4</w:t>
      </w:r>
      <w:r>
        <w:rPr>
          <w:rFonts w:ascii="Times New Roman"/>
        </w:rPr>
        <w:t>)</w:t>
      </w:r>
      <w:r>
        <w:rPr>
          <w:rFonts w:ascii="Times New Roman"/>
        </w:rPr>
        <w:t xml:space="preserve"> 301-309.</w:t>
      </w:r>
    </w:p>
    <w:p w:rsidR="0018722C">
      <w:pPr>
        <w:pStyle w:val="ab"/>
        <w:topLinePunct/>
        <w:ind w:left="200" w:hangingChars="200" w:hanging="200"/>
      </w:pPr>
      <w:r>
        <w:rPr>
          <w:rFonts w:ascii="Times New Roman"/>
        </w:rPr>
        <w:t>[</w:t>
      </w:r>
      <w:r>
        <w:rPr>
          <w:rFonts w:ascii="Times New Roman"/>
        </w:rPr>
        <w:t xml:space="preserve">65</w:t>
      </w:r>
      <w:r>
        <w:rPr>
          <w:rFonts w:ascii="Times New Roman"/>
        </w:rPr>
        <w:t>]</w:t>
      </w:r>
      <w:r w:rsidRPr="00281126">
        <w:t xml:space="preserve"> </w:t>
      </w:r>
      <w:r>
        <w:rPr>
          <w:rFonts w:ascii="Times New Roman"/>
        </w:rPr>
        <w:t xml:space="preserve">Wei-Liang Xia,</w:t>
      </w:r>
      <w:r>
        <w:rPr>
          <w:rFonts w:ascii="Times New Roman"/>
        </w:rPr>
        <w:t xml:space="preserve"> </w:t>
      </w:r>
      <w:r>
        <w:rPr>
          <w:rFonts w:ascii="Times New Roman"/>
        </w:rPr>
        <w:t xml:space="preserve">Yan Shen and Shu-Sen Zheng.</w:t>
      </w:r>
      <w:r>
        <w:rPr>
          <w:rFonts w:ascii="Times New Roman"/>
        </w:rPr>
        <w:t xml:space="preserve"> </w:t>
      </w:r>
      <w:r>
        <w:rPr>
          <w:rFonts w:ascii="Times New Roman"/>
        </w:rPr>
        <w:t xml:space="preserve">Inhibitory effect of cyclosporine A on</w:t>
      </w:r>
      <w:r>
        <w:rPr>
          <w:rFonts w:ascii="Times New Roman"/>
        </w:rPr>
        <w:t xml:space="preserve">hepatitis B virus replication in vitro and its possible mechanisms. J. Hepatobiliary Pancreat Dis Int 2005; 4: 18-22.</w:t>
      </w:r>
    </w:p>
    <w:p w:rsidR="0018722C">
      <w:pPr>
        <w:pStyle w:val="ab"/>
        <w:topLinePunct/>
        <w:ind w:left="200" w:hangingChars="200" w:hanging="200"/>
      </w:pPr>
      <w:r>
        <w:rPr>
          <w:rFonts w:ascii="Times New Roman" w:hAnsi="Times New Roman"/>
        </w:rPr>
        <w:t>[</w:t>
      </w:r>
      <w:r>
        <w:rPr>
          <w:rFonts w:ascii="Times New Roman" w:hAnsi="Times New Roman"/>
        </w:rPr>
        <w:t xml:space="preserve">66</w:t>
      </w:r>
      <w:r>
        <w:rPr>
          <w:rFonts w:ascii="Times New Roman" w:hAnsi="Times New Roman"/>
        </w:rPr>
        <w:t>]</w:t>
      </w:r>
      <w:r w:rsidRPr="00281126">
        <w:t xml:space="preserve"> </w:t>
      </w:r>
      <w:r>
        <w:rPr>
          <w:rFonts w:ascii="Times New Roman" w:hAnsi="Times New Roman"/>
        </w:rPr>
        <w:t xml:space="preserve">Michael J. Bouchard,</w:t>
      </w:r>
      <w:r>
        <w:rPr>
          <w:rFonts w:ascii="Times New Roman" w:hAnsi="Times New Roman"/>
        </w:rPr>
        <w:t xml:space="preserve"> </w:t>
      </w:r>
      <w:r>
        <w:rPr>
          <w:rFonts w:ascii="Times New Roman" w:hAnsi="Times New Roman"/>
        </w:rPr>
        <w:t xml:space="preserve">Lihua Wang,</w:t>
      </w:r>
      <w:r>
        <w:rPr>
          <w:rFonts w:ascii="Times New Roman" w:hAnsi="Times New Roman"/>
        </w:rPr>
        <w:t xml:space="preserve"> </w:t>
      </w:r>
      <w:r>
        <w:rPr>
          <w:rFonts w:ascii="Times New Roman" w:hAnsi="Times New Roman"/>
        </w:rPr>
        <w:t xml:space="preserve">and Robert J. Schneider.</w:t>
      </w:r>
      <w:r>
        <w:rPr>
          <w:rFonts w:ascii="Times New Roman" w:hAnsi="Times New Roman"/>
        </w:rPr>
        <w:t xml:space="preserve"> </w:t>
      </w:r>
      <w:r>
        <w:rPr>
          <w:rFonts w:ascii="Times New Roman" w:hAnsi="Times New Roman"/>
        </w:rPr>
        <w:t xml:space="preserve">Activation of Focal Adhesion Kinase by Hepatitis B Virus HBx Protein: Multiple Functions in Viral Replication.</w:t>
      </w:r>
      <w:r>
        <w:rPr>
          <w:rFonts w:ascii="Times New Roman" w:hAnsi="Times New Roman"/>
        </w:rPr>
        <w:t xml:space="preserve"> </w:t>
      </w:r>
      <w:r>
        <w:rPr>
          <w:rFonts w:ascii="Times New Roman" w:hAnsi="Times New Roman"/>
        </w:rPr>
        <w:t>J.</w:t>
      </w:r>
      <w:r>
        <w:rPr>
          <w:rFonts w:ascii="Times New Roman" w:hAnsi="Times New Roman"/>
        </w:rPr>
        <w:t xml:space="preserve"> </w:t>
      </w:r>
      <w:r>
        <w:rPr>
          <w:rFonts w:ascii="Times New Roman" w:hAnsi="Times New Roman"/>
        </w:rPr>
        <w:t xml:space="preserve">JOURNAL OF VIROLOGY, May 2006, p. 4406–4414</w:t>
      </w:r>
    </w:p>
    <w:p w:rsidR="0018722C">
      <w:pPr>
        <w:pStyle w:val="ab"/>
        <w:topLinePunct/>
        <w:ind w:left="200" w:hangingChars="200" w:hanging="200"/>
      </w:pPr>
      <w:r>
        <w:rPr>
          <w:rFonts w:ascii="Times New Roman"/>
        </w:rPr>
        <w:t>[</w:t>
      </w:r>
      <w:r>
        <w:rPr>
          <w:rFonts w:ascii="Times New Roman"/>
        </w:rPr>
        <w:t xml:space="preserve">67</w:t>
      </w:r>
      <w:r>
        <w:rPr>
          <w:rFonts w:ascii="Times New Roman"/>
        </w:rPr>
        <w:t>]</w:t>
      </w:r>
      <w:r w:rsidRPr="00281126">
        <w:t xml:space="preserve"> </w:t>
      </w:r>
      <w:r>
        <w:rPr>
          <w:rFonts w:ascii="Times New Roman"/>
        </w:rPr>
        <w:t xml:space="preserve">Wonchung Lim</w:t>
      </w:r>
      <w:r w:rsidR="004B696B">
        <w:rPr>
          <w:rFonts w:ascii="Times New Roman"/>
        </w:rPr>
        <w:t xml:space="preserve">, Soon-Hwan Kwon</w:t>
      </w:r>
      <w:r w:rsidR="004B696B">
        <w:rPr>
          <w:rFonts w:ascii="Times New Roman"/>
        </w:rPr>
        <w:t xml:space="preserve">, Hyeseon Cho,</w:t>
      </w:r>
      <w:r>
        <w:rPr>
          <w:rFonts w:ascii="Times New Roman"/>
        </w:rPr>
        <w:t xml:space="preserve"> </w:t>
      </w:r>
      <w:r>
        <w:rPr>
          <w:rFonts w:ascii="Times New Roman"/>
        </w:rPr>
        <w:t xml:space="preserve">Sujeong Kim</w:t>
      </w:r>
      <w:r w:rsidR="004B696B">
        <w:rPr>
          <w:rFonts w:ascii="Times New Roman"/>
        </w:rPr>
        <w:t xml:space="preserve">, Seungmin Lee</w:t>
      </w:r>
      <w:r w:rsidR="004B696B">
        <w:rPr>
          <w:rFonts w:ascii="Times New Roman"/>
        </w:rPr>
        <w:t xml:space="preserve">,</w:t>
      </w:r>
      <w:r>
        <w:rPr>
          <w:rFonts w:ascii="Times New Roman"/>
        </w:rPr>
        <w:t xml:space="preserve"> </w:t>
      </w:r>
      <w:r>
        <w:rPr>
          <w:rFonts w:ascii="Times New Roman" w:hAnsi="Times New Roman"/>
        </w:rPr>
        <w:t xml:space="preserve">Wang-Shick Ryu</w:t>
      </w:r>
      <w:r w:rsidR="004B696B">
        <w:rPr>
          <w:rFonts w:ascii="Times New Roman" w:hAnsi="Times New Roman"/>
        </w:rPr>
        <w:t xml:space="preserve">, Hyeseong Cho. HBx targeting to mitochondria and ROS generation are necessary but insufficient for HBV-induced cyclooxygenase-2 expression. J. Mol Med </w:t>
      </w:r>
      <w:r>
        <w:rPr>
          <w:rFonts w:ascii="Times New Roman" w:hAnsi="Times New Roman"/>
        </w:rPr>
        <w:t xml:space="preserve">(</w:t>
      </w:r>
      <w:r>
        <w:rPr>
          <w:rFonts w:ascii="Times New Roman" w:hAnsi="Times New Roman"/>
        </w:rPr>
        <w:t xml:space="preserve">2010</w:t>
      </w:r>
      <w:r>
        <w:rPr>
          <w:rFonts w:ascii="Times New Roman" w:hAnsi="Times New Roman"/>
        </w:rPr>
        <w:t xml:space="preserve">)</w:t>
      </w:r>
      <w:r>
        <w:rPr>
          <w:rFonts w:ascii="Times New Roman" w:hAnsi="Times New Roman"/>
        </w:rPr>
        <w:t xml:space="preserve"> </w:t>
      </w:r>
      <w:r>
        <w:rPr>
          <w:rFonts w:ascii="Times New Roman" w:hAnsi="Times New Roman"/>
        </w:rPr>
        <w:t xml:space="preserve">88:</w:t>
      </w:r>
      <w:r>
        <w:rPr>
          <w:rFonts w:ascii="Times New Roman" w:hAnsi="Times New Roman"/>
        </w:rPr>
        <w:t xml:space="preserve"> </w:t>
      </w:r>
      <w:r>
        <w:rPr>
          <w:rFonts w:ascii="Times New Roman" w:hAnsi="Times New Roman"/>
        </w:rPr>
        <w:t>359–369</w:t>
      </w:r>
    </w:p>
    <w:p w:rsidR="0018722C">
      <w:pPr>
        <w:pStyle w:val="ab"/>
        <w:topLinePunct/>
        <w:ind w:left="200" w:hangingChars="200" w:hanging="200"/>
      </w:pPr>
      <w:r>
        <w:rPr>
          <w:rFonts w:ascii="Times New Roman"/>
        </w:rPr>
        <w:t>[</w:t>
      </w:r>
      <w:r>
        <w:rPr>
          <w:rFonts w:ascii="Times New Roman"/>
        </w:rPr>
        <w:t xml:space="preserve">68</w:t>
      </w:r>
      <w:r>
        <w:rPr>
          <w:rFonts w:ascii="Times New Roman"/>
        </w:rPr>
        <w:t>]</w:t>
      </w:r>
      <w:r w:rsidRPr="00281126">
        <w:t xml:space="preserve"> </w:t>
      </w:r>
      <w:r>
        <w:rPr>
          <w:rFonts w:ascii="Times New Roman"/>
        </w:rPr>
        <w:t>Hyun</w:t>
      </w:r>
      <w:r w:rsidR="001852F3">
        <w:rPr>
          <w:rFonts w:ascii="Times New Roman"/>
        </w:rPr>
        <w:t xml:space="preserve">  Kook</w:t>
      </w:r>
      <w:r w:rsidR="001852F3">
        <w:rPr>
          <w:rFonts w:ascii="Times New Roman"/>
        </w:rPr>
        <w:t xml:space="preserve">  CHO, </w:t>
      </w:r>
      <w:r w:rsidR="001852F3">
        <w:rPr>
          <w:rFonts w:ascii="Times New Roman"/>
        </w:rPr>
        <w:t xml:space="preserve"> Kyu</w:t>
      </w:r>
      <w:r w:rsidR="001852F3">
        <w:rPr>
          <w:rFonts w:ascii="Times New Roman"/>
        </w:rPr>
        <w:t xml:space="preserve">  Jin</w:t>
      </w:r>
      <w:r w:rsidR="001852F3">
        <w:rPr>
          <w:rFonts w:ascii="Times New Roman"/>
        </w:rPr>
        <w:t xml:space="preserve">  CHEONG, </w:t>
      </w:r>
      <w:r w:rsidR="001852F3">
        <w:rPr>
          <w:rFonts w:ascii="Times New Roman"/>
        </w:rPr>
        <w:t xml:space="preserve"> Hye</w:t>
      </w:r>
      <w:r w:rsidR="001852F3">
        <w:rPr>
          <w:rFonts w:ascii="Times New Roman"/>
        </w:rPr>
        <w:t xml:space="preserve">  Young</w:t>
      </w:r>
      <w:r w:rsidR="001852F3">
        <w:rPr>
          <w:rFonts w:ascii="Times New Roman"/>
        </w:rPr>
        <w:t xml:space="preserve">  KIM</w:t>
      </w:r>
      <w:r w:rsidR="001852F3">
        <w:rPr>
          <w:rFonts w:ascii="Times New Roman"/>
        </w:rPr>
        <w:t xml:space="preserve">  and</w:t>
      </w:r>
      <w:r w:rsidR="001852F3">
        <w:rPr>
          <w:rFonts w:ascii="Times New Roman"/>
        </w:rPr>
        <w:t xml:space="preserve">  JaeHun</w:t>
      </w:r>
    </w:p>
    <w:p w:rsidR="0018722C">
      <w:pPr>
        <w:topLinePunct/>
      </w:pPr>
      <w:r>
        <w:rPr>
          <w:rFonts w:ascii="Times New Roman" w:hAnsi="Times New Roman"/>
        </w:rPr>
        <w:t>CHEONG.</w:t>
      </w:r>
      <w:r w:rsidR="004B696B">
        <w:rPr>
          <w:rFonts w:ascii="Times New Roman" w:hAnsi="Times New Roman"/>
        </w:rPr>
        <w:t xml:space="preserve"> </w:t>
      </w:r>
      <w:r w:rsidR="004B696B">
        <w:rPr>
          <w:rFonts w:ascii="Times New Roman" w:hAnsi="Times New Roman"/>
        </w:rPr>
        <w:t>Endoplasmic reticulum stress induced by hepatitis B virus X protein enhances cyclo-oxygenase 2 expression via activating transcription factor 4. J. Biochem</w:t>
      </w:r>
      <w:r>
        <w:rPr>
          <w:rFonts w:ascii="Times New Roman" w:hAnsi="Times New Roman"/>
        </w:rPr>
        <w:t>(</w:t>
      </w:r>
      <w:r>
        <w:rPr>
          <w:rFonts w:ascii="Times New Roman" w:hAnsi="Times New Roman"/>
        </w:rPr>
        <w:t>2011</w:t>
      </w:r>
      <w:r>
        <w:rPr>
          <w:rFonts w:ascii="Times New Roman" w:hAnsi="Times New Roman"/>
        </w:rPr>
        <w:t>)</w:t>
      </w:r>
      <w:r>
        <w:rPr>
          <w:rFonts w:ascii="Times New Roman" w:hAnsi="Times New Roman"/>
        </w:rPr>
        <w:t xml:space="preserve"> 435,</w:t>
      </w:r>
      <w:r>
        <w:rPr>
          <w:rFonts w:ascii="Times New Roman" w:hAnsi="Times New Roman"/>
        </w:rPr>
        <w:t> </w:t>
      </w:r>
      <w:r>
        <w:rPr>
          <w:rFonts w:ascii="Times New Roman" w:hAnsi="Times New Roman"/>
        </w:rPr>
        <w:t>431–4</w:t>
      </w:r>
      <w:r>
        <w:rPr>
          <w:rFonts w:ascii="Times New Roman" w:hAnsi="Times New Roman"/>
        </w:rPr>
        <w:t>3</w:t>
      </w:r>
      <w:r>
        <w:rPr>
          <w:rFonts w:ascii="Times New Roman" w:hAnsi="Times New Roman"/>
        </w:rPr>
        <w:t>9</w:t>
      </w:r>
    </w:p>
    <w:p w:rsidR="0018722C">
      <w:pPr>
        <w:pStyle w:val="aff7"/>
        <w:topLinePunct/>
      </w:pPr>
      <w:r>
        <w:rPr>
          <w:rFonts w:ascii="Times New Roman"/>
          <w:sz w:val="2"/>
        </w:rPr>
        <w:pict>
          <v:group style="width:425.3pt;height:.550pt;mso-position-horizontal-relative:char;mso-position-vertical-relative:line" coordorigin="0,0" coordsize="8506,11">
            <v:line style="position:absolute" from="0,5" to="8505,5" stroked="true" strokeweight=".54pt" strokecolor="#000000">
              <v:stroke dashstyle="solid"/>
            </v:line>
          </v:group>
        </w:pict>
      </w:r>
      <w:r/>
    </w:p>
    <w:p w:rsidR="0018722C">
      <w:pPr>
        <w:pStyle w:val="aff2"/>
        <w:topLinePunct/>
      </w:pPr>
      <w:bookmarkStart w:name="_TOC_250000" w:id="44"/>
      <w:bookmarkStart w:name="致谢 " w:id="45"/>
      <w:r/>
      <w:bookmarkEnd w:id="44"/>
      <w:r>
        <w:t>致</w:t>
      </w:r>
      <w:r w:rsidR="004F241D">
        <w:t xml:space="preserve">  </w:t>
      </w:r>
      <w:r w:rsidR="004F241D">
        <w:t xml:space="preserve">谢</w:t>
      </w:r>
    </w:p>
    <w:p w:rsidR="0018722C">
      <w:pPr>
        <w:topLinePunct/>
      </w:pPr>
      <w:r>
        <w:t>时光荏苒，博士生生涯即将结束。这三年时间里，在老师和同学的帮助下一路走来，经历过实验的迷茫与磨练，也有临床的兴奋与挑战，每一步都凝聚了自己的汗水，每一步都离不开老师的关怀。</w:t>
      </w:r>
    </w:p>
    <w:p w:rsidR="0018722C">
      <w:pPr>
        <w:topLinePunct/>
      </w:pPr>
      <w:r>
        <w:t>在此，我首先要衷心感谢我尊敬的导师王小众教授，三年来不但在学习、科研、临床工作上对我严格要求，悉心教导和辛勤栽培，同时在生活上也给予我无微不至的关怀和照顾，我将铭记于心。导师精湛的医学技术、严谨求实的科学态度、朴实无华的人格魅力和宽厚待人的博大胸怀，深深地感染并激励着我，使我受益终身。</w:t>
      </w:r>
    </w:p>
    <w:p w:rsidR="0018722C">
      <w:pPr>
        <w:topLinePunct/>
      </w:pPr>
      <w:r>
        <w:t>感谢福建医科大学附属协和医院消化研究所的黄月红老师和陈治新老师在科研过程中给予的帮助与指导！感谢消化研究所各位师兄师姐的帮助与支持！</w:t>
      </w:r>
    </w:p>
    <w:p w:rsidR="0018722C">
      <w:pPr>
        <w:topLinePunct/>
      </w:pPr>
      <w:r>
        <w:t>感谢福建医科大学附属协和医院消化内科的各位前辈们，在临床学习过程中给予的悉心指导与帮助。</w:t>
      </w:r>
    </w:p>
    <w:p w:rsidR="0018722C">
      <w:pPr>
        <w:topLinePunct/>
      </w:pPr>
      <w:r>
        <w:t>感谢三年来每一位曾经帮助、关心、支持我的老师、朋友和同学，特别感谢师</w:t>
      </w:r>
      <w:r>
        <w:t>姐邹来玉博士、方雪芬硕士、庄铭锴硕士、郭杞兰硕士等等，在生活、学习及实验过程中给予的无私帮助。</w:t>
      </w:r>
    </w:p>
    <w:p w:rsidR="0018722C">
      <w:pPr>
        <w:topLinePunct/>
      </w:pPr>
      <w:r>
        <w:t>感谢我的家人在这三年来对我学习、工作、生活的支持与关怀，正是你们一直以来默默的付出和支持才让我顺利完成学业！</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91.200012pt;margin-top:770.799988pt;width:13pt;height:12pt;mso-position-horizontal-relative:page;mso-position-vertical-relative:page;z-index:-9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91.200012pt;margin-top:770.799988pt;width:13pt;height:12pt;mso-position-horizontal-relative:page;mso-position-vertical-relative:page;z-index:-9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_Ref665165567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第二部分 HBx与COXIII在HepG2细胞中共定位及其对线粒体结</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3"/>
      <w:numFmt w:val="decimal"/>
      <w:lvlText w:val="%1"/>
      <w:lvlJc w:val="left"/>
      <w:pPr>
        <w:ind w:left="344" w:hanging="243"/>
        <w:jc w:val="left"/>
      </w:pPr>
      <w:rPr>
        <w:rFonts w:hint="default" w:ascii="宋体" w:hAnsi="宋体" w:eastAsia="宋体" w:cs="宋体"/>
        <w:b/>
        <w:bCs/>
        <w:w w:val="99"/>
        <w:sz w:val="24"/>
        <w:szCs w:val="24"/>
      </w:rPr>
    </w:lvl>
    <w:lvl w:ilvl="1">
      <w:start w:val="1"/>
      <w:numFmt w:val="decimal"/>
      <w:lvlText w:val="%1.%2"/>
      <w:lvlJc w:val="left"/>
      <w:pPr>
        <w:ind w:left="586" w:hanging="485"/>
        <w:jc w:val="left"/>
      </w:pPr>
      <w:rPr>
        <w:rFonts w:hint="default" w:ascii="宋体" w:hAnsi="宋体" w:eastAsia="宋体" w:cs="宋体"/>
        <w:b/>
        <w:bCs/>
        <w:spacing w:val="0"/>
        <w:w w:val="99"/>
        <w:sz w:val="24"/>
        <w:szCs w:val="24"/>
      </w:rPr>
    </w:lvl>
    <w:lvl w:ilvl="2">
      <w:start w:val="1"/>
      <w:numFmt w:val="decimal"/>
      <w:lvlText w:val="%1.%2.%3"/>
      <w:lvlJc w:val="left"/>
      <w:pPr>
        <w:ind w:left="706" w:hanging="605"/>
        <w:jc w:val="left"/>
      </w:pPr>
      <w:rPr>
        <w:rFonts w:hint="default" w:ascii="宋体" w:hAnsi="宋体" w:eastAsia="宋体" w:cs="宋体"/>
        <w:b/>
        <w:bCs/>
        <w:spacing w:val="-60"/>
        <w:w w:val="99"/>
        <w:sz w:val="22"/>
        <w:szCs w:val="22"/>
      </w:rPr>
    </w:lvl>
    <w:lvl w:ilvl="3">
      <w:start w:val="0"/>
      <w:numFmt w:val="bullet"/>
      <w:lvlText w:val="•"/>
      <w:lvlJc w:val="left"/>
      <w:pPr>
        <w:ind w:left="1715" w:hanging="605"/>
      </w:pPr>
      <w:rPr>
        <w:rFonts w:hint="default"/>
      </w:rPr>
    </w:lvl>
    <w:lvl w:ilvl="4">
      <w:start w:val="0"/>
      <w:numFmt w:val="bullet"/>
      <w:lvlText w:val="•"/>
      <w:lvlJc w:val="left"/>
      <w:pPr>
        <w:ind w:left="2731" w:hanging="605"/>
      </w:pPr>
      <w:rPr>
        <w:rFonts w:hint="default"/>
      </w:rPr>
    </w:lvl>
    <w:lvl w:ilvl="5">
      <w:start w:val="0"/>
      <w:numFmt w:val="bullet"/>
      <w:lvlText w:val="•"/>
      <w:lvlJc w:val="left"/>
      <w:pPr>
        <w:ind w:left="3747" w:hanging="605"/>
      </w:pPr>
      <w:rPr>
        <w:rFonts w:hint="default"/>
      </w:rPr>
    </w:lvl>
    <w:lvl w:ilvl="6">
      <w:start w:val="0"/>
      <w:numFmt w:val="bullet"/>
      <w:lvlText w:val="•"/>
      <w:lvlJc w:val="left"/>
      <w:pPr>
        <w:ind w:left="4763" w:hanging="605"/>
      </w:pPr>
      <w:rPr>
        <w:rFonts w:hint="default"/>
      </w:rPr>
    </w:lvl>
    <w:lvl w:ilvl="7">
      <w:start w:val="0"/>
      <w:numFmt w:val="bullet"/>
      <w:lvlText w:val="•"/>
      <w:lvlJc w:val="left"/>
      <w:pPr>
        <w:ind w:left="5779" w:hanging="605"/>
      </w:pPr>
      <w:rPr>
        <w:rFonts w:hint="default"/>
      </w:rPr>
    </w:lvl>
    <w:lvl w:ilvl="8">
      <w:start w:val="0"/>
      <w:numFmt w:val="bullet"/>
      <w:lvlText w:val="•"/>
      <w:lvlJc w:val="left"/>
      <w:pPr>
        <w:ind w:left="6794" w:hanging="605"/>
      </w:pPr>
      <w:rPr>
        <w:rFonts w:hint="default"/>
      </w:rPr>
    </w:lvl>
  </w:abstractNum>
  <w:abstractNum w:abstractNumId="16">
    <w:multiLevelType w:val="hybridMultilevel"/>
    <w:lvl w:ilvl="0">
      <w:start w:val="1"/>
      <w:numFmt w:val="decimal"/>
      <w:lvlText w:val="%1"/>
      <w:lvlJc w:val="left"/>
      <w:pPr>
        <w:ind w:left="344" w:hanging="243"/>
        <w:jc w:val="left"/>
      </w:pPr>
      <w:rPr>
        <w:rFonts w:hint="default" w:ascii="宋体" w:hAnsi="宋体" w:eastAsia="宋体" w:cs="宋体"/>
        <w:b/>
        <w:bCs/>
        <w:w w:val="99"/>
        <w:sz w:val="24"/>
        <w:szCs w:val="24"/>
      </w:rPr>
    </w:lvl>
    <w:lvl w:ilvl="1">
      <w:start w:val="1"/>
      <w:numFmt w:val="decimal"/>
      <w:lvlText w:val="%1.%2"/>
      <w:lvlJc w:val="left"/>
      <w:pPr>
        <w:ind w:left="586" w:hanging="485"/>
        <w:jc w:val="left"/>
      </w:pPr>
      <w:rPr>
        <w:rFonts w:hint="default" w:ascii="宋体" w:hAnsi="宋体" w:eastAsia="宋体" w:cs="宋体"/>
        <w:b/>
        <w:bCs/>
        <w:spacing w:val="0"/>
        <w:w w:val="99"/>
        <w:sz w:val="24"/>
        <w:szCs w:val="24"/>
      </w:rPr>
    </w:lvl>
    <w:lvl w:ilvl="2">
      <w:start w:val="1"/>
      <w:numFmt w:val="decimal"/>
      <w:lvlText w:val="%1.%2.%3"/>
      <w:lvlJc w:val="left"/>
      <w:pPr>
        <w:ind w:left="828" w:hanging="726"/>
        <w:jc w:val="left"/>
      </w:pPr>
      <w:rPr>
        <w:rFonts w:hint="default" w:ascii="宋体" w:hAnsi="宋体" w:eastAsia="宋体" w:cs="宋体"/>
        <w:b/>
        <w:bCs/>
        <w:w w:val="99"/>
        <w:sz w:val="24"/>
        <w:szCs w:val="24"/>
      </w:rPr>
    </w:lvl>
    <w:lvl w:ilvl="3">
      <w:start w:val="0"/>
      <w:numFmt w:val="bullet"/>
      <w:lvlText w:val="•"/>
      <w:lvlJc w:val="left"/>
      <w:pPr>
        <w:ind w:left="760" w:hanging="726"/>
      </w:pPr>
      <w:rPr>
        <w:rFonts w:hint="default"/>
      </w:rPr>
    </w:lvl>
    <w:lvl w:ilvl="4">
      <w:start w:val="0"/>
      <w:numFmt w:val="bullet"/>
      <w:lvlText w:val="•"/>
      <w:lvlJc w:val="left"/>
      <w:pPr>
        <w:ind w:left="820" w:hanging="726"/>
      </w:pPr>
      <w:rPr>
        <w:rFonts w:hint="default"/>
      </w:rPr>
    </w:lvl>
    <w:lvl w:ilvl="5">
      <w:start w:val="0"/>
      <w:numFmt w:val="bullet"/>
      <w:lvlText w:val="•"/>
      <w:lvlJc w:val="left"/>
      <w:pPr>
        <w:ind w:left="2137" w:hanging="726"/>
      </w:pPr>
      <w:rPr>
        <w:rFonts w:hint="default"/>
      </w:rPr>
    </w:lvl>
    <w:lvl w:ilvl="6">
      <w:start w:val="0"/>
      <w:numFmt w:val="bullet"/>
      <w:lvlText w:val="•"/>
      <w:lvlJc w:val="left"/>
      <w:pPr>
        <w:ind w:left="3455" w:hanging="726"/>
      </w:pPr>
      <w:rPr>
        <w:rFonts w:hint="default"/>
      </w:rPr>
    </w:lvl>
    <w:lvl w:ilvl="7">
      <w:start w:val="0"/>
      <w:numFmt w:val="bullet"/>
      <w:lvlText w:val="•"/>
      <w:lvlJc w:val="left"/>
      <w:pPr>
        <w:ind w:left="4773" w:hanging="726"/>
      </w:pPr>
      <w:rPr>
        <w:rFonts w:hint="default"/>
      </w:rPr>
    </w:lvl>
    <w:lvl w:ilvl="8">
      <w:start w:val="0"/>
      <w:numFmt w:val="bullet"/>
      <w:lvlText w:val="•"/>
      <w:lvlJc w:val="left"/>
      <w:pPr>
        <w:ind w:left="6090" w:hanging="726"/>
      </w:pPr>
      <w:rPr>
        <w:rFonts w:hint="default"/>
      </w:rPr>
    </w:lvl>
  </w:abstractNum>
  <w:abstractNum w:abstractNumId="15">
    <w:multiLevelType w:val="hybridMultilevel"/>
    <w:lvl w:ilvl="0">
      <w:start w:val="1"/>
      <w:numFmt w:val="decimal"/>
      <w:lvlText w:val="[%1]"/>
      <w:lvlJc w:val="left"/>
      <w:pPr>
        <w:ind w:left="102" w:hanging="361"/>
        <w:jc w:val="right"/>
      </w:pPr>
      <w:rPr>
        <w:rFonts w:hint="default" w:ascii="Times New Roman" w:hAnsi="Times New Roman" w:eastAsia="Times New Roman" w:cs="Times New Roman"/>
        <w:w w:val="99"/>
        <w:sz w:val="24"/>
        <w:szCs w:val="24"/>
      </w:rPr>
    </w:lvl>
    <w:lvl w:ilvl="1">
      <w:start w:val="0"/>
      <w:numFmt w:val="bullet"/>
      <w:lvlText w:val="•"/>
      <w:lvlJc w:val="left"/>
      <w:pPr>
        <w:ind w:left="962" w:hanging="361"/>
      </w:pPr>
      <w:rPr>
        <w:rFonts w:hint="default"/>
      </w:rPr>
    </w:lvl>
    <w:lvl w:ilvl="2">
      <w:start w:val="0"/>
      <w:numFmt w:val="bullet"/>
      <w:lvlText w:val="•"/>
      <w:lvlJc w:val="left"/>
      <w:pPr>
        <w:ind w:left="1825" w:hanging="361"/>
      </w:pPr>
      <w:rPr>
        <w:rFonts w:hint="default"/>
      </w:rPr>
    </w:lvl>
    <w:lvl w:ilvl="3">
      <w:start w:val="0"/>
      <w:numFmt w:val="bullet"/>
      <w:lvlText w:val="•"/>
      <w:lvlJc w:val="left"/>
      <w:pPr>
        <w:ind w:left="268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13" w:hanging="361"/>
      </w:pPr>
      <w:rPr>
        <w:rFonts w:hint="default"/>
      </w:rPr>
    </w:lvl>
    <w:lvl w:ilvl="6">
      <w:start w:val="0"/>
      <w:numFmt w:val="bullet"/>
      <w:lvlText w:val="•"/>
      <w:lvlJc w:val="left"/>
      <w:pPr>
        <w:ind w:left="5275" w:hanging="361"/>
      </w:pPr>
      <w:rPr>
        <w:rFonts w:hint="default"/>
      </w:rPr>
    </w:lvl>
    <w:lvl w:ilvl="7">
      <w:start w:val="0"/>
      <w:numFmt w:val="bullet"/>
      <w:lvlText w:val="•"/>
      <w:lvlJc w:val="left"/>
      <w:pPr>
        <w:ind w:left="6138" w:hanging="361"/>
      </w:pPr>
      <w:rPr>
        <w:rFonts w:hint="default"/>
      </w:rPr>
    </w:lvl>
    <w:lvl w:ilvl="8">
      <w:start w:val="0"/>
      <w:numFmt w:val="bullet"/>
      <w:lvlText w:val="•"/>
      <w:lvlJc w:val="left"/>
      <w:pPr>
        <w:ind w:left="7001" w:hanging="361"/>
      </w:pPr>
      <w:rPr>
        <w:rFonts w:hint="default"/>
      </w:rPr>
    </w:lvl>
  </w:abstractNum>
  <w:abstractNum w:abstractNumId="14">
    <w:multiLevelType w:val="hybridMultilevel"/>
    <w:lvl w:ilvl="0">
      <w:start w:val="3"/>
      <w:numFmt w:val="decimal"/>
      <w:lvlText w:val="%1"/>
      <w:lvlJc w:val="left"/>
      <w:pPr>
        <w:ind w:left="102" w:hanging="284"/>
        <w:jc w:val="left"/>
      </w:pPr>
      <w:rPr>
        <w:rFonts w:hint="default" w:ascii="宋体" w:hAnsi="宋体" w:eastAsia="宋体" w:cs="宋体"/>
        <w:b/>
        <w:bCs/>
        <w:w w:val="99"/>
        <w:sz w:val="28"/>
        <w:szCs w:val="28"/>
      </w:rPr>
    </w:lvl>
    <w:lvl w:ilvl="1">
      <w:start w:val="1"/>
      <w:numFmt w:val="decimal"/>
      <w:lvlText w:val="%2"/>
      <w:lvlJc w:val="left"/>
      <w:pPr>
        <w:ind w:left="102" w:hanging="240"/>
        <w:jc w:val="left"/>
      </w:pPr>
      <w:rPr>
        <w:rFonts w:hint="default" w:ascii="宋体" w:hAnsi="宋体" w:eastAsia="宋体" w:cs="宋体"/>
        <w:spacing w:val="-76"/>
        <w:w w:val="100"/>
        <w:sz w:val="24"/>
        <w:szCs w:val="24"/>
      </w:rPr>
    </w:lvl>
    <w:lvl w:ilvl="2">
      <w:start w:val="0"/>
      <w:numFmt w:val="bullet"/>
      <w:lvlText w:val="•"/>
      <w:lvlJc w:val="left"/>
      <w:pPr>
        <w:ind w:left="1825" w:hanging="240"/>
      </w:pPr>
      <w:rPr>
        <w:rFonts w:hint="default"/>
      </w:rPr>
    </w:lvl>
    <w:lvl w:ilvl="3">
      <w:start w:val="0"/>
      <w:numFmt w:val="bullet"/>
      <w:lvlText w:val="•"/>
      <w:lvlJc w:val="left"/>
      <w:pPr>
        <w:ind w:left="2687" w:hanging="240"/>
      </w:pPr>
      <w:rPr>
        <w:rFonts w:hint="default"/>
      </w:rPr>
    </w:lvl>
    <w:lvl w:ilvl="4">
      <w:start w:val="0"/>
      <w:numFmt w:val="bullet"/>
      <w:lvlText w:val="•"/>
      <w:lvlJc w:val="left"/>
      <w:pPr>
        <w:ind w:left="3550" w:hanging="240"/>
      </w:pPr>
      <w:rPr>
        <w:rFonts w:hint="default"/>
      </w:rPr>
    </w:lvl>
    <w:lvl w:ilvl="5">
      <w:start w:val="0"/>
      <w:numFmt w:val="bullet"/>
      <w:lvlText w:val="•"/>
      <w:lvlJc w:val="left"/>
      <w:pPr>
        <w:ind w:left="4413" w:hanging="240"/>
      </w:pPr>
      <w:rPr>
        <w:rFonts w:hint="default"/>
      </w:rPr>
    </w:lvl>
    <w:lvl w:ilvl="6">
      <w:start w:val="0"/>
      <w:numFmt w:val="bullet"/>
      <w:lvlText w:val="•"/>
      <w:lvlJc w:val="left"/>
      <w:pPr>
        <w:ind w:left="5275" w:hanging="240"/>
      </w:pPr>
      <w:rPr>
        <w:rFonts w:hint="default"/>
      </w:rPr>
    </w:lvl>
    <w:lvl w:ilvl="7">
      <w:start w:val="0"/>
      <w:numFmt w:val="bullet"/>
      <w:lvlText w:val="•"/>
      <w:lvlJc w:val="left"/>
      <w:pPr>
        <w:ind w:left="6138" w:hanging="240"/>
      </w:pPr>
      <w:rPr>
        <w:rFonts w:hint="default"/>
      </w:rPr>
    </w:lvl>
    <w:lvl w:ilvl="8">
      <w:start w:val="0"/>
      <w:numFmt w:val="bullet"/>
      <w:lvlText w:val="•"/>
      <w:lvlJc w:val="left"/>
      <w:pPr>
        <w:ind w:left="7001" w:hanging="240"/>
      </w:pPr>
      <w:rPr>
        <w:rFonts w:hint="default"/>
      </w:rPr>
    </w:lvl>
  </w:abstractNum>
  <w:abstractNum w:abstractNumId="13">
    <w:multiLevelType w:val="hybridMultilevel"/>
    <w:lvl w:ilvl="0">
      <w:start w:val="1"/>
      <w:numFmt w:val="decimal"/>
      <w:lvlText w:val="%1"/>
      <w:lvlJc w:val="left"/>
      <w:pPr>
        <w:ind w:left="385" w:hanging="284"/>
        <w:jc w:val="left"/>
      </w:pPr>
      <w:rPr>
        <w:rFonts w:hint="default" w:ascii="宋体" w:hAnsi="宋体" w:eastAsia="宋体" w:cs="宋体"/>
        <w:b/>
        <w:bCs/>
        <w:w w:val="99"/>
        <w:sz w:val="28"/>
        <w:szCs w:val="28"/>
      </w:rPr>
    </w:lvl>
    <w:lvl w:ilvl="1">
      <w:start w:val="1"/>
      <w:numFmt w:val="decimal"/>
      <w:lvlText w:val="%1.%2"/>
      <w:lvlJc w:val="left"/>
      <w:pPr>
        <w:ind w:left="586" w:hanging="485"/>
        <w:jc w:val="left"/>
      </w:pPr>
      <w:rPr>
        <w:rFonts w:hint="default" w:ascii="宋体" w:hAnsi="宋体" w:eastAsia="宋体" w:cs="宋体"/>
        <w:b/>
        <w:bCs/>
        <w:spacing w:val="0"/>
        <w:w w:val="99"/>
        <w:sz w:val="24"/>
        <w:szCs w:val="24"/>
      </w:rPr>
    </w:lvl>
    <w:lvl w:ilvl="2">
      <w:start w:val="0"/>
      <w:numFmt w:val="bullet"/>
      <w:lvlText w:val="•"/>
      <w:lvlJc w:val="left"/>
      <w:pPr>
        <w:ind w:left="1485" w:hanging="485"/>
      </w:pPr>
      <w:rPr>
        <w:rFonts w:hint="default"/>
      </w:rPr>
    </w:lvl>
    <w:lvl w:ilvl="3">
      <w:start w:val="0"/>
      <w:numFmt w:val="bullet"/>
      <w:lvlText w:val="•"/>
      <w:lvlJc w:val="left"/>
      <w:pPr>
        <w:ind w:left="2390" w:hanging="485"/>
      </w:pPr>
      <w:rPr>
        <w:rFonts w:hint="default"/>
      </w:rPr>
    </w:lvl>
    <w:lvl w:ilvl="4">
      <w:start w:val="0"/>
      <w:numFmt w:val="bullet"/>
      <w:lvlText w:val="•"/>
      <w:lvlJc w:val="left"/>
      <w:pPr>
        <w:ind w:left="3295" w:hanging="485"/>
      </w:pPr>
      <w:rPr>
        <w:rFonts w:hint="default"/>
      </w:rPr>
    </w:lvl>
    <w:lvl w:ilvl="5">
      <w:start w:val="0"/>
      <w:numFmt w:val="bullet"/>
      <w:lvlText w:val="•"/>
      <w:lvlJc w:val="left"/>
      <w:pPr>
        <w:ind w:left="4200" w:hanging="485"/>
      </w:pPr>
      <w:rPr>
        <w:rFonts w:hint="default"/>
      </w:rPr>
    </w:lvl>
    <w:lvl w:ilvl="6">
      <w:start w:val="0"/>
      <w:numFmt w:val="bullet"/>
      <w:lvlText w:val="•"/>
      <w:lvlJc w:val="left"/>
      <w:pPr>
        <w:ind w:left="5105" w:hanging="485"/>
      </w:pPr>
      <w:rPr>
        <w:rFonts w:hint="default"/>
      </w:rPr>
    </w:lvl>
    <w:lvl w:ilvl="7">
      <w:start w:val="0"/>
      <w:numFmt w:val="bullet"/>
      <w:lvlText w:val="•"/>
      <w:lvlJc w:val="left"/>
      <w:pPr>
        <w:ind w:left="6010" w:hanging="485"/>
      </w:pPr>
      <w:rPr>
        <w:rFonts w:hint="default"/>
      </w:rPr>
    </w:lvl>
    <w:lvl w:ilvl="8">
      <w:start w:val="0"/>
      <w:numFmt w:val="bullet"/>
      <w:lvlText w:val="•"/>
      <w:lvlJc w:val="left"/>
      <w:pPr>
        <w:ind w:left="6916" w:hanging="485"/>
      </w:pPr>
      <w:rPr>
        <w:rFonts w:hint="default"/>
      </w:rPr>
    </w:lvl>
  </w:abstractNum>
  <w:abstractNum w:abstractNumId="12">
    <w:multiLevelType w:val="hybridMultilevel"/>
    <w:lvl w:ilvl="0">
      <w:start w:val="1"/>
      <w:numFmt w:val="decimal"/>
      <w:lvlText w:val="%1"/>
      <w:lvlJc w:val="left"/>
      <w:pPr>
        <w:ind w:left="334" w:hanging="213"/>
        <w:jc w:val="left"/>
      </w:pPr>
      <w:rPr>
        <w:rFonts w:hint="default" w:ascii="宋体" w:hAnsi="宋体" w:eastAsia="宋体" w:cs="宋体"/>
        <w:b/>
        <w:bCs/>
        <w:w w:val="99"/>
        <w:sz w:val="28"/>
        <w:szCs w:val="28"/>
      </w:rPr>
    </w:lvl>
    <w:lvl w:ilvl="1">
      <w:start w:val="0"/>
      <w:numFmt w:val="bullet"/>
      <w:lvlText w:val="•"/>
      <w:lvlJc w:val="left"/>
      <w:pPr>
        <w:ind w:left="1192" w:hanging="213"/>
      </w:pPr>
      <w:rPr>
        <w:rFonts w:hint="default"/>
      </w:rPr>
    </w:lvl>
    <w:lvl w:ilvl="2">
      <w:start w:val="0"/>
      <w:numFmt w:val="bullet"/>
      <w:lvlText w:val="•"/>
      <w:lvlJc w:val="left"/>
      <w:pPr>
        <w:ind w:left="2045" w:hanging="213"/>
      </w:pPr>
      <w:rPr>
        <w:rFonts w:hint="default"/>
      </w:rPr>
    </w:lvl>
    <w:lvl w:ilvl="3">
      <w:start w:val="0"/>
      <w:numFmt w:val="bullet"/>
      <w:lvlText w:val="•"/>
      <w:lvlJc w:val="left"/>
      <w:pPr>
        <w:ind w:left="2897" w:hanging="213"/>
      </w:pPr>
      <w:rPr>
        <w:rFonts w:hint="default"/>
      </w:rPr>
    </w:lvl>
    <w:lvl w:ilvl="4">
      <w:start w:val="0"/>
      <w:numFmt w:val="bullet"/>
      <w:lvlText w:val="•"/>
      <w:lvlJc w:val="left"/>
      <w:pPr>
        <w:ind w:left="3750" w:hanging="213"/>
      </w:pPr>
      <w:rPr>
        <w:rFonts w:hint="default"/>
      </w:rPr>
    </w:lvl>
    <w:lvl w:ilvl="5">
      <w:start w:val="0"/>
      <w:numFmt w:val="bullet"/>
      <w:lvlText w:val="•"/>
      <w:lvlJc w:val="left"/>
      <w:pPr>
        <w:ind w:left="4603" w:hanging="213"/>
      </w:pPr>
      <w:rPr>
        <w:rFonts w:hint="default"/>
      </w:rPr>
    </w:lvl>
    <w:lvl w:ilvl="6">
      <w:start w:val="0"/>
      <w:numFmt w:val="bullet"/>
      <w:lvlText w:val="•"/>
      <w:lvlJc w:val="left"/>
      <w:pPr>
        <w:ind w:left="5455" w:hanging="213"/>
      </w:pPr>
      <w:rPr>
        <w:rFonts w:hint="default"/>
      </w:rPr>
    </w:lvl>
    <w:lvl w:ilvl="7">
      <w:start w:val="0"/>
      <w:numFmt w:val="bullet"/>
      <w:lvlText w:val="•"/>
      <w:lvlJc w:val="left"/>
      <w:pPr>
        <w:ind w:left="6308" w:hanging="213"/>
      </w:pPr>
      <w:rPr>
        <w:rFonts w:hint="default"/>
      </w:rPr>
    </w:lvl>
    <w:lvl w:ilvl="8">
      <w:start w:val="0"/>
      <w:numFmt w:val="bullet"/>
      <w:lvlText w:val="•"/>
      <w:lvlJc w:val="left"/>
      <w:pPr>
        <w:ind w:left="7161" w:hanging="213"/>
      </w:pPr>
      <w:rPr>
        <w:rFonts w:hint="default"/>
      </w:rPr>
    </w:lvl>
  </w:abstractNum>
  <w:abstractNum w:abstractNumId="11">
    <w:multiLevelType w:val="hybridMultilevel"/>
    <w:lvl w:ilvl="0">
      <w:start w:val="1"/>
      <w:numFmt w:val="decimal"/>
      <w:lvlText w:val="%1"/>
      <w:lvlJc w:val="left"/>
      <w:pPr>
        <w:ind w:left="385" w:hanging="284"/>
        <w:jc w:val="right"/>
      </w:pPr>
      <w:rPr>
        <w:rFonts w:hint="default" w:ascii="宋体" w:hAnsi="宋体" w:eastAsia="宋体" w:cs="宋体"/>
        <w:b/>
        <w:bCs/>
        <w:w w:val="99"/>
        <w:sz w:val="28"/>
        <w:szCs w:val="28"/>
      </w:rPr>
    </w:lvl>
    <w:lvl w:ilvl="1">
      <w:start w:val="0"/>
      <w:numFmt w:val="bullet"/>
      <w:lvlText w:val="•"/>
      <w:lvlJc w:val="left"/>
      <w:pPr>
        <w:ind w:left="1214" w:hanging="284"/>
      </w:pPr>
      <w:rPr>
        <w:rFonts w:hint="default"/>
      </w:rPr>
    </w:lvl>
    <w:lvl w:ilvl="2">
      <w:start w:val="0"/>
      <w:numFmt w:val="bullet"/>
      <w:lvlText w:val="•"/>
      <w:lvlJc w:val="left"/>
      <w:pPr>
        <w:ind w:left="2049" w:hanging="284"/>
      </w:pPr>
      <w:rPr>
        <w:rFonts w:hint="default"/>
      </w:rPr>
    </w:lvl>
    <w:lvl w:ilvl="3">
      <w:start w:val="0"/>
      <w:numFmt w:val="bullet"/>
      <w:lvlText w:val="•"/>
      <w:lvlJc w:val="left"/>
      <w:pPr>
        <w:ind w:left="2883" w:hanging="284"/>
      </w:pPr>
      <w:rPr>
        <w:rFonts w:hint="default"/>
      </w:rPr>
    </w:lvl>
    <w:lvl w:ilvl="4">
      <w:start w:val="0"/>
      <w:numFmt w:val="bullet"/>
      <w:lvlText w:val="•"/>
      <w:lvlJc w:val="left"/>
      <w:pPr>
        <w:ind w:left="3718" w:hanging="284"/>
      </w:pPr>
      <w:rPr>
        <w:rFonts w:hint="default"/>
      </w:rPr>
    </w:lvl>
    <w:lvl w:ilvl="5">
      <w:start w:val="0"/>
      <w:numFmt w:val="bullet"/>
      <w:lvlText w:val="•"/>
      <w:lvlJc w:val="left"/>
      <w:pPr>
        <w:ind w:left="4553" w:hanging="284"/>
      </w:pPr>
      <w:rPr>
        <w:rFonts w:hint="default"/>
      </w:rPr>
    </w:lvl>
    <w:lvl w:ilvl="6">
      <w:start w:val="0"/>
      <w:numFmt w:val="bullet"/>
      <w:lvlText w:val="•"/>
      <w:lvlJc w:val="left"/>
      <w:pPr>
        <w:ind w:left="5387" w:hanging="284"/>
      </w:pPr>
      <w:rPr>
        <w:rFonts w:hint="default"/>
      </w:rPr>
    </w:lvl>
    <w:lvl w:ilvl="7">
      <w:start w:val="0"/>
      <w:numFmt w:val="bullet"/>
      <w:lvlText w:val="•"/>
      <w:lvlJc w:val="left"/>
      <w:pPr>
        <w:ind w:left="6222" w:hanging="284"/>
      </w:pPr>
      <w:rPr>
        <w:rFonts w:hint="default"/>
      </w:rPr>
    </w:lvl>
    <w:lvl w:ilvl="8">
      <w:start w:val="0"/>
      <w:numFmt w:val="bullet"/>
      <w:lvlText w:val="•"/>
      <w:lvlJc w:val="left"/>
      <w:pPr>
        <w:ind w:left="7057" w:hanging="284"/>
      </w:pPr>
      <w:rPr>
        <w:rFonts w:hint="default"/>
      </w:rPr>
    </w:lvl>
  </w:abstractNum>
  <w:abstractNum w:abstractNumId="10">
    <w:multiLevelType w:val="hybridMultilevel"/>
    <w:lvl w:ilvl="0">
      <w:start w:val="1"/>
      <w:numFmt w:val="decimal"/>
      <w:lvlText w:val="%1"/>
      <w:lvlJc w:val="left"/>
      <w:pPr>
        <w:ind w:left="482" w:hanging="360"/>
        <w:jc w:val="left"/>
      </w:pPr>
      <w:rPr>
        <w:rFonts w:hint="default" w:ascii="宋体" w:hAnsi="宋体" w:eastAsia="宋体" w:cs="宋体"/>
        <w:b/>
        <w:bCs/>
        <w:w w:val="99"/>
        <w:sz w:val="28"/>
        <w:szCs w:val="28"/>
      </w:rPr>
    </w:lvl>
    <w:lvl w:ilvl="1">
      <w:start w:val="1"/>
      <w:numFmt w:val="decimal"/>
      <w:lvlText w:val="%2"/>
      <w:lvlJc w:val="left"/>
      <w:pPr>
        <w:ind w:left="122" w:hanging="284"/>
        <w:jc w:val="right"/>
      </w:pPr>
      <w:rPr>
        <w:rFonts w:hint="default" w:ascii="宋体" w:hAnsi="宋体" w:eastAsia="宋体" w:cs="宋体"/>
        <w:b/>
        <w:bCs/>
        <w:w w:val="99"/>
        <w:sz w:val="28"/>
        <w:szCs w:val="28"/>
      </w:rPr>
    </w:lvl>
    <w:lvl w:ilvl="2">
      <w:start w:val="1"/>
      <w:numFmt w:val="decimal"/>
      <w:lvlText w:val="%2.%3"/>
      <w:lvlJc w:val="left"/>
      <w:pPr>
        <w:ind w:left="665" w:hanging="424"/>
        <w:jc w:val="left"/>
      </w:pPr>
      <w:rPr>
        <w:rFonts w:hint="default" w:ascii="宋体" w:hAnsi="宋体" w:eastAsia="宋体" w:cs="宋体"/>
        <w:b/>
        <w:bCs/>
        <w:spacing w:val="0"/>
        <w:w w:val="99"/>
        <w:sz w:val="24"/>
        <w:szCs w:val="24"/>
      </w:rPr>
    </w:lvl>
    <w:lvl w:ilvl="3">
      <w:start w:val="0"/>
      <w:numFmt w:val="bullet"/>
      <w:lvlText w:val="•"/>
      <w:lvlJc w:val="left"/>
      <w:pPr>
        <w:ind w:left="580" w:hanging="424"/>
      </w:pPr>
      <w:rPr>
        <w:rFonts w:hint="default"/>
      </w:rPr>
    </w:lvl>
    <w:lvl w:ilvl="4">
      <w:start w:val="0"/>
      <w:numFmt w:val="bullet"/>
      <w:lvlText w:val="•"/>
      <w:lvlJc w:val="left"/>
      <w:pPr>
        <w:ind w:left="600" w:hanging="424"/>
      </w:pPr>
      <w:rPr>
        <w:rFonts w:hint="default"/>
      </w:rPr>
    </w:lvl>
    <w:lvl w:ilvl="5">
      <w:start w:val="0"/>
      <w:numFmt w:val="bullet"/>
      <w:lvlText w:val="•"/>
      <w:lvlJc w:val="left"/>
      <w:pPr>
        <w:ind w:left="660" w:hanging="424"/>
      </w:pPr>
      <w:rPr>
        <w:rFonts w:hint="default"/>
      </w:rPr>
    </w:lvl>
    <w:lvl w:ilvl="6">
      <w:start w:val="0"/>
      <w:numFmt w:val="bullet"/>
      <w:lvlText w:val="•"/>
      <w:lvlJc w:val="left"/>
      <w:pPr>
        <w:ind w:left="720" w:hanging="424"/>
      </w:pPr>
      <w:rPr>
        <w:rFonts w:hint="default"/>
      </w:rPr>
    </w:lvl>
    <w:lvl w:ilvl="7">
      <w:start w:val="0"/>
      <w:numFmt w:val="bullet"/>
      <w:lvlText w:val="•"/>
      <w:lvlJc w:val="left"/>
      <w:pPr>
        <w:ind w:left="2696" w:hanging="424"/>
      </w:pPr>
      <w:rPr>
        <w:rFonts w:hint="default"/>
      </w:rPr>
    </w:lvl>
    <w:lvl w:ilvl="8">
      <w:start w:val="0"/>
      <w:numFmt w:val="bullet"/>
      <w:lvlText w:val="•"/>
      <w:lvlJc w:val="left"/>
      <w:pPr>
        <w:ind w:left="4673" w:hanging="424"/>
      </w:pPr>
      <w:rPr>
        <w:rFonts w:hint="default"/>
      </w:rPr>
    </w:lvl>
  </w:abstractNum>
  <w:abstractNum w:abstractNumId="9">
    <w:multiLevelType w:val="hybridMultilevel"/>
    <w:lvl w:ilvl="0">
      <w:start w:val="1"/>
      <w:numFmt w:val="decimal"/>
      <w:lvlText w:val="%1"/>
      <w:lvlJc w:val="left"/>
      <w:pPr>
        <w:ind w:left="385" w:hanging="284"/>
        <w:jc w:val="left"/>
      </w:pPr>
      <w:rPr>
        <w:rFonts w:hint="default" w:ascii="宋体" w:hAnsi="宋体" w:eastAsia="宋体" w:cs="宋体"/>
        <w:b/>
        <w:bCs/>
        <w:w w:val="99"/>
        <w:sz w:val="28"/>
        <w:szCs w:val="28"/>
      </w:rPr>
    </w:lvl>
    <w:lvl w:ilvl="1">
      <w:start w:val="0"/>
      <w:numFmt w:val="bullet"/>
      <w:lvlText w:val="•"/>
      <w:lvlJc w:val="left"/>
      <w:pPr>
        <w:ind w:left="1214" w:hanging="284"/>
      </w:pPr>
      <w:rPr>
        <w:rFonts w:hint="default"/>
      </w:rPr>
    </w:lvl>
    <w:lvl w:ilvl="2">
      <w:start w:val="0"/>
      <w:numFmt w:val="bullet"/>
      <w:lvlText w:val="•"/>
      <w:lvlJc w:val="left"/>
      <w:pPr>
        <w:ind w:left="2049" w:hanging="284"/>
      </w:pPr>
      <w:rPr>
        <w:rFonts w:hint="default"/>
      </w:rPr>
    </w:lvl>
    <w:lvl w:ilvl="3">
      <w:start w:val="0"/>
      <w:numFmt w:val="bullet"/>
      <w:lvlText w:val="•"/>
      <w:lvlJc w:val="left"/>
      <w:pPr>
        <w:ind w:left="2883" w:hanging="284"/>
      </w:pPr>
      <w:rPr>
        <w:rFonts w:hint="default"/>
      </w:rPr>
    </w:lvl>
    <w:lvl w:ilvl="4">
      <w:start w:val="0"/>
      <w:numFmt w:val="bullet"/>
      <w:lvlText w:val="•"/>
      <w:lvlJc w:val="left"/>
      <w:pPr>
        <w:ind w:left="3718" w:hanging="284"/>
      </w:pPr>
      <w:rPr>
        <w:rFonts w:hint="default"/>
      </w:rPr>
    </w:lvl>
    <w:lvl w:ilvl="5">
      <w:start w:val="0"/>
      <w:numFmt w:val="bullet"/>
      <w:lvlText w:val="•"/>
      <w:lvlJc w:val="left"/>
      <w:pPr>
        <w:ind w:left="4553" w:hanging="284"/>
      </w:pPr>
      <w:rPr>
        <w:rFonts w:hint="default"/>
      </w:rPr>
    </w:lvl>
    <w:lvl w:ilvl="6">
      <w:start w:val="0"/>
      <w:numFmt w:val="bullet"/>
      <w:lvlText w:val="•"/>
      <w:lvlJc w:val="left"/>
      <w:pPr>
        <w:ind w:left="5387" w:hanging="284"/>
      </w:pPr>
      <w:rPr>
        <w:rFonts w:hint="default"/>
      </w:rPr>
    </w:lvl>
    <w:lvl w:ilvl="7">
      <w:start w:val="0"/>
      <w:numFmt w:val="bullet"/>
      <w:lvlText w:val="•"/>
      <w:lvlJc w:val="left"/>
      <w:pPr>
        <w:ind w:left="6222" w:hanging="284"/>
      </w:pPr>
      <w:rPr>
        <w:rFonts w:hint="default"/>
      </w:rPr>
    </w:lvl>
    <w:lvl w:ilvl="8">
      <w:start w:val="0"/>
      <w:numFmt w:val="bullet"/>
      <w:lvlText w:val="•"/>
      <w:lvlJc w:val="left"/>
      <w:pPr>
        <w:ind w:left="7057" w:hanging="284"/>
      </w:pPr>
      <w:rPr>
        <w:rFonts w:hint="default"/>
      </w:rPr>
    </w:lvl>
  </w:abstractNum>
  <w:abstractNum w:abstractNumId="8">
    <w:multiLevelType w:val="hybridMultilevel"/>
    <w:lvl w:ilvl="0">
      <w:start w:val="1"/>
      <w:numFmt w:val="decimal"/>
      <w:lvlText w:val="%1"/>
      <w:lvlJc w:val="left"/>
      <w:pPr>
        <w:ind w:left="405" w:hanging="284"/>
        <w:jc w:val="left"/>
      </w:pPr>
      <w:rPr>
        <w:rFonts w:hint="default" w:ascii="宋体" w:hAnsi="宋体" w:eastAsia="宋体" w:cs="宋体"/>
        <w:b/>
        <w:bCs/>
        <w:w w:val="99"/>
        <w:sz w:val="28"/>
        <w:szCs w:val="28"/>
      </w:rPr>
    </w:lvl>
    <w:lvl w:ilvl="1">
      <w:start w:val="1"/>
      <w:numFmt w:val="decimal"/>
      <w:lvlText w:val="%1.%2"/>
      <w:lvlJc w:val="left"/>
      <w:pPr>
        <w:ind w:left="605" w:hanging="484"/>
        <w:jc w:val="left"/>
      </w:pPr>
      <w:rPr>
        <w:rFonts w:hint="default" w:ascii="宋体" w:hAnsi="宋体" w:eastAsia="宋体" w:cs="宋体"/>
        <w:b/>
        <w:bCs/>
        <w:spacing w:val="0"/>
        <w:w w:val="99"/>
        <w:sz w:val="24"/>
        <w:szCs w:val="24"/>
      </w:rPr>
    </w:lvl>
    <w:lvl w:ilvl="2">
      <w:start w:val="1"/>
      <w:numFmt w:val="decimal"/>
      <w:lvlText w:val="%1.%2.%3"/>
      <w:lvlJc w:val="left"/>
      <w:pPr>
        <w:ind w:left="828" w:hanging="726"/>
        <w:jc w:val="left"/>
      </w:pPr>
      <w:rPr>
        <w:rFonts w:hint="default" w:ascii="宋体" w:hAnsi="宋体" w:eastAsia="宋体" w:cs="宋体"/>
        <w:b/>
        <w:bCs/>
        <w:spacing w:val="0"/>
        <w:w w:val="99"/>
        <w:sz w:val="24"/>
        <w:szCs w:val="24"/>
      </w:rPr>
    </w:lvl>
    <w:lvl w:ilvl="3">
      <w:start w:val="0"/>
      <w:numFmt w:val="bullet"/>
      <w:lvlText w:val="•"/>
      <w:lvlJc w:val="left"/>
      <w:pPr>
        <w:ind w:left="820" w:hanging="726"/>
      </w:pPr>
      <w:rPr>
        <w:rFonts w:hint="default"/>
      </w:rPr>
    </w:lvl>
    <w:lvl w:ilvl="4">
      <w:start w:val="0"/>
      <w:numFmt w:val="bullet"/>
      <w:lvlText w:val="•"/>
      <w:lvlJc w:val="left"/>
      <w:pPr>
        <w:ind w:left="1949" w:hanging="726"/>
      </w:pPr>
      <w:rPr>
        <w:rFonts w:hint="default"/>
      </w:rPr>
    </w:lvl>
    <w:lvl w:ilvl="5">
      <w:start w:val="0"/>
      <w:numFmt w:val="bullet"/>
      <w:lvlText w:val="•"/>
      <w:lvlJc w:val="left"/>
      <w:pPr>
        <w:ind w:left="3078" w:hanging="726"/>
      </w:pPr>
      <w:rPr>
        <w:rFonts w:hint="default"/>
      </w:rPr>
    </w:lvl>
    <w:lvl w:ilvl="6">
      <w:start w:val="0"/>
      <w:numFmt w:val="bullet"/>
      <w:lvlText w:val="•"/>
      <w:lvlJc w:val="left"/>
      <w:pPr>
        <w:ind w:left="4208" w:hanging="726"/>
      </w:pPr>
      <w:rPr>
        <w:rFonts w:hint="default"/>
      </w:rPr>
    </w:lvl>
    <w:lvl w:ilvl="7">
      <w:start w:val="0"/>
      <w:numFmt w:val="bullet"/>
      <w:lvlText w:val="•"/>
      <w:lvlJc w:val="left"/>
      <w:pPr>
        <w:ind w:left="5337" w:hanging="726"/>
      </w:pPr>
      <w:rPr>
        <w:rFonts w:hint="default"/>
      </w:rPr>
    </w:lvl>
    <w:lvl w:ilvl="8">
      <w:start w:val="0"/>
      <w:numFmt w:val="bullet"/>
      <w:lvlText w:val="•"/>
      <w:lvlJc w:val="left"/>
      <w:pPr>
        <w:ind w:left="6467" w:hanging="726"/>
      </w:pPr>
      <w:rPr>
        <w:rFonts w:hint="default"/>
      </w:rPr>
    </w:lvl>
  </w:abstractNum>
  <w:abstractNum w:abstractNumId="7">
    <w:multiLevelType w:val="hybridMultilevel"/>
    <w:lvl w:ilvl="0">
      <w:start w:val="1"/>
      <w:numFmt w:val="decimal"/>
      <w:lvlText w:val="%1"/>
      <w:lvlJc w:val="left"/>
      <w:pPr>
        <w:ind w:left="502" w:hanging="360"/>
        <w:jc w:val="left"/>
      </w:pPr>
      <w:rPr>
        <w:rFonts w:hint="default" w:ascii="宋体" w:hAnsi="宋体" w:eastAsia="宋体" w:cs="宋体"/>
        <w:b/>
        <w:bCs/>
        <w:w w:val="99"/>
        <w:sz w:val="28"/>
        <w:szCs w:val="28"/>
      </w:rPr>
    </w:lvl>
    <w:lvl w:ilvl="1">
      <w:start w:val="0"/>
      <w:numFmt w:val="bullet"/>
      <w:lvlText w:val="•"/>
      <w:lvlJc w:val="left"/>
      <w:pPr>
        <w:ind w:left="1326" w:hanging="360"/>
      </w:pPr>
      <w:rPr>
        <w:rFonts w:hint="default"/>
      </w:rPr>
    </w:lvl>
    <w:lvl w:ilvl="2">
      <w:start w:val="0"/>
      <w:numFmt w:val="bullet"/>
      <w:lvlText w:val="•"/>
      <w:lvlJc w:val="left"/>
      <w:pPr>
        <w:ind w:left="2153" w:hanging="360"/>
      </w:pPr>
      <w:rPr>
        <w:rFonts w:hint="default"/>
      </w:rPr>
    </w:lvl>
    <w:lvl w:ilvl="3">
      <w:start w:val="0"/>
      <w:numFmt w:val="bullet"/>
      <w:lvlText w:val="•"/>
      <w:lvlJc w:val="left"/>
      <w:pPr>
        <w:ind w:left="2979" w:hanging="360"/>
      </w:pPr>
      <w:rPr>
        <w:rFonts w:hint="default"/>
      </w:rPr>
    </w:lvl>
    <w:lvl w:ilvl="4">
      <w:start w:val="0"/>
      <w:numFmt w:val="bullet"/>
      <w:lvlText w:val="•"/>
      <w:lvlJc w:val="left"/>
      <w:pPr>
        <w:ind w:left="3806" w:hanging="360"/>
      </w:pPr>
      <w:rPr>
        <w:rFonts w:hint="default"/>
      </w:rPr>
    </w:lvl>
    <w:lvl w:ilvl="5">
      <w:start w:val="0"/>
      <w:numFmt w:val="bullet"/>
      <w:lvlText w:val="•"/>
      <w:lvlJc w:val="left"/>
      <w:pPr>
        <w:ind w:left="4633" w:hanging="360"/>
      </w:pPr>
      <w:rPr>
        <w:rFonts w:hint="default"/>
      </w:rPr>
    </w:lvl>
    <w:lvl w:ilvl="6">
      <w:start w:val="0"/>
      <w:numFmt w:val="bullet"/>
      <w:lvlText w:val="•"/>
      <w:lvlJc w:val="left"/>
      <w:pPr>
        <w:ind w:left="5459" w:hanging="360"/>
      </w:pPr>
      <w:rPr>
        <w:rFonts w:hint="default"/>
      </w:rPr>
    </w:lvl>
    <w:lvl w:ilvl="7">
      <w:start w:val="0"/>
      <w:numFmt w:val="bullet"/>
      <w:lvlText w:val="•"/>
      <w:lvlJc w:val="left"/>
      <w:pPr>
        <w:ind w:left="6286" w:hanging="360"/>
      </w:pPr>
      <w:rPr>
        <w:rFonts w:hint="default"/>
      </w:rPr>
    </w:lvl>
    <w:lvl w:ilvl="8">
      <w:start w:val="0"/>
      <w:numFmt w:val="bullet"/>
      <w:lvlText w:val="•"/>
      <w:lvlJc w:val="left"/>
      <w:pPr>
        <w:ind w:left="7113" w:hanging="360"/>
      </w:pPr>
      <w:rPr>
        <w:rFonts w:hint="default"/>
      </w:rPr>
    </w:lvl>
  </w:abstractNum>
  <w:abstractNum w:abstractNumId="6">
    <w:multiLevelType w:val="hybridMultilevel"/>
    <w:lvl w:ilvl="0">
      <w:start w:val="1"/>
      <w:numFmt w:val="decimal"/>
      <w:lvlText w:val="%1"/>
      <w:lvlJc w:val="left"/>
      <w:pPr>
        <w:ind w:left="385" w:hanging="284"/>
        <w:jc w:val="left"/>
      </w:pPr>
      <w:rPr>
        <w:rFonts w:hint="default" w:ascii="宋体" w:hAnsi="宋体" w:eastAsia="宋体" w:cs="宋体"/>
        <w:b/>
        <w:bCs/>
        <w:w w:val="99"/>
        <w:sz w:val="28"/>
        <w:szCs w:val="28"/>
      </w:rPr>
    </w:lvl>
    <w:lvl w:ilvl="1">
      <w:start w:val="0"/>
      <w:numFmt w:val="bullet"/>
      <w:lvlText w:val="•"/>
      <w:lvlJc w:val="left"/>
      <w:pPr>
        <w:ind w:left="1226" w:hanging="284"/>
      </w:pPr>
      <w:rPr>
        <w:rFonts w:hint="default"/>
      </w:rPr>
    </w:lvl>
    <w:lvl w:ilvl="2">
      <w:start w:val="0"/>
      <w:numFmt w:val="bullet"/>
      <w:lvlText w:val="•"/>
      <w:lvlJc w:val="left"/>
      <w:pPr>
        <w:ind w:left="2073" w:hanging="284"/>
      </w:pPr>
      <w:rPr>
        <w:rFonts w:hint="default"/>
      </w:rPr>
    </w:lvl>
    <w:lvl w:ilvl="3">
      <w:start w:val="0"/>
      <w:numFmt w:val="bullet"/>
      <w:lvlText w:val="•"/>
      <w:lvlJc w:val="left"/>
      <w:pPr>
        <w:ind w:left="2919" w:hanging="284"/>
      </w:pPr>
      <w:rPr>
        <w:rFonts w:hint="default"/>
      </w:rPr>
    </w:lvl>
    <w:lvl w:ilvl="4">
      <w:start w:val="0"/>
      <w:numFmt w:val="bullet"/>
      <w:lvlText w:val="•"/>
      <w:lvlJc w:val="left"/>
      <w:pPr>
        <w:ind w:left="3766" w:hanging="284"/>
      </w:pPr>
      <w:rPr>
        <w:rFonts w:hint="default"/>
      </w:rPr>
    </w:lvl>
    <w:lvl w:ilvl="5">
      <w:start w:val="0"/>
      <w:numFmt w:val="bullet"/>
      <w:lvlText w:val="•"/>
      <w:lvlJc w:val="left"/>
      <w:pPr>
        <w:ind w:left="4613" w:hanging="284"/>
      </w:pPr>
      <w:rPr>
        <w:rFonts w:hint="default"/>
      </w:rPr>
    </w:lvl>
    <w:lvl w:ilvl="6">
      <w:start w:val="0"/>
      <w:numFmt w:val="bullet"/>
      <w:lvlText w:val="•"/>
      <w:lvlJc w:val="left"/>
      <w:pPr>
        <w:ind w:left="5459" w:hanging="284"/>
      </w:pPr>
      <w:rPr>
        <w:rFonts w:hint="default"/>
      </w:rPr>
    </w:lvl>
    <w:lvl w:ilvl="7">
      <w:start w:val="0"/>
      <w:numFmt w:val="bullet"/>
      <w:lvlText w:val="•"/>
      <w:lvlJc w:val="left"/>
      <w:pPr>
        <w:ind w:left="6306" w:hanging="284"/>
      </w:pPr>
      <w:rPr>
        <w:rFonts w:hint="default"/>
      </w:rPr>
    </w:lvl>
    <w:lvl w:ilvl="8">
      <w:start w:val="0"/>
      <w:numFmt w:val="bullet"/>
      <w:lvlText w:val="•"/>
      <w:lvlJc w:val="left"/>
      <w:pPr>
        <w:ind w:left="7153" w:hanging="284"/>
      </w:pPr>
      <w:rPr>
        <w:rFonts w:hint="default"/>
      </w:rPr>
    </w:lvl>
  </w:abstractNum>
  <w:abstractNum w:abstractNumId="5">
    <w:multiLevelType w:val="hybridMultilevel"/>
    <w:lvl w:ilvl="0">
      <w:start w:val="1"/>
      <w:numFmt w:val="decimal"/>
      <w:lvlText w:val="（%1）"/>
      <w:lvlJc w:val="left"/>
      <w:pPr>
        <w:ind w:left="102" w:hanging="717"/>
        <w:jc w:val="right"/>
      </w:pPr>
      <w:rPr>
        <w:rFonts w:hint="default" w:ascii="宋体" w:hAnsi="宋体" w:eastAsia="宋体" w:cs="宋体"/>
        <w:w w:val="100"/>
        <w:sz w:val="24"/>
        <w:szCs w:val="24"/>
      </w:rPr>
    </w:lvl>
    <w:lvl w:ilvl="1">
      <w:start w:val="0"/>
      <w:numFmt w:val="bullet"/>
      <w:lvlText w:val="•"/>
      <w:lvlJc w:val="left"/>
      <w:pPr>
        <w:ind w:left="972" w:hanging="717"/>
      </w:pPr>
      <w:rPr>
        <w:rFonts w:hint="default"/>
      </w:rPr>
    </w:lvl>
    <w:lvl w:ilvl="2">
      <w:start w:val="0"/>
      <w:numFmt w:val="bullet"/>
      <w:lvlText w:val="•"/>
      <w:lvlJc w:val="left"/>
      <w:pPr>
        <w:ind w:left="1845" w:hanging="717"/>
      </w:pPr>
      <w:rPr>
        <w:rFonts w:hint="default"/>
      </w:rPr>
    </w:lvl>
    <w:lvl w:ilvl="3">
      <w:start w:val="0"/>
      <w:numFmt w:val="bullet"/>
      <w:lvlText w:val="•"/>
      <w:lvlJc w:val="left"/>
      <w:pPr>
        <w:ind w:left="2717" w:hanging="717"/>
      </w:pPr>
      <w:rPr>
        <w:rFonts w:hint="default"/>
      </w:rPr>
    </w:lvl>
    <w:lvl w:ilvl="4">
      <w:start w:val="0"/>
      <w:numFmt w:val="bullet"/>
      <w:lvlText w:val="•"/>
      <w:lvlJc w:val="left"/>
      <w:pPr>
        <w:ind w:left="3590" w:hanging="717"/>
      </w:pPr>
      <w:rPr>
        <w:rFonts w:hint="default"/>
      </w:rPr>
    </w:lvl>
    <w:lvl w:ilvl="5">
      <w:start w:val="0"/>
      <w:numFmt w:val="bullet"/>
      <w:lvlText w:val="•"/>
      <w:lvlJc w:val="left"/>
      <w:pPr>
        <w:ind w:left="4463" w:hanging="717"/>
      </w:pPr>
      <w:rPr>
        <w:rFonts w:hint="default"/>
      </w:rPr>
    </w:lvl>
    <w:lvl w:ilvl="6">
      <w:start w:val="0"/>
      <w:numFmt w:val="bullet"/>
      <w:lvlText w:val="•"/>
      <w:lvlJc w:val="left"/>
      <w:pPr>
        <w:ind w:left="5335" w:hanging="717"/>
      </w:pPr>
      <w:rPr>
        <w:rFonts w:hint="default"/>
      </w:rPr>
    </w:lvl>
    <w:lvl w:ilvl="7">
      <w:start w:val="0"/>
      <w:numFmt w:val="bullet"/>
      <w:lvlText w:val="•"/>
      <w:lvlJc w:val="left"/>
      <w:pPr>
        <w:ind w:left="6208" w:hanging="717"/>
      </w:pPr>
      <w:rPr>
        <w:rFonts w:hint="default"/>
      </w:rPr>
    </w:lvl>
    <w:lvl w:ilvl="8">
      <w:start w:val="0"/>
      <w:numFmt w:val="bullet"/>
      <w:lvlText w:val="•"/>
      <w:lvlJc w:val="left"/>
      <w:pPr>
        <w:ind w:left="7081" w:hanging="717"/>
      </w:pPr>
      <w:rPr>
        <w:rFonts w:hint="default"/>
      </w:rPr>
    </w:lvl>
  </w:abstractNum>
  <w:abstractNum w:abstractNumId="4">
    <w:multiLevelType w:val="hybridMultilevel"/>
    <w:lvl w:ilvl="0">
      <w:start w:val="3"/>
      <w:numFmt w:val="decimal"/>
      <w:lvlText w:val="%1"/>
      <w:lvlJc w:val="left"/>
      <w:pPr>
        <w:ind w:left="828" w:hanging="726"/>
        <w:jc w:val="left"/>
      </w:pPr>
      <w:rPr>
        <w:rFonts w:hint="default"/>
      </w:rPr>
    </w:lvl>
    <w:lvl w:ilvl="1">
      <w:start w:val="2"/>
      <w:numFmt w:val="decimal"/>
      <w:lvlText w:val="%1.%2"/>
      <w:lvlJc w:val="left"/>
      <w:pPr>
        <w:ind w:left="828" w:hanging="726"/>
        <w:jc w:val="left"/>
      </w:pPr>
      <w:rPr>
        <w:rFonts w:hint="default"/>
      </w:rPr>
    </w:lvl>
    <w:lvl w:ilvl="2">
      <w:start w:val="2"/>
      <w:numFmt w:val="decimal"/>
      <w:lvlText w:val="%1.%2.%3"/>
      <w:lvlJc w:val="left"/>
      <w:pPr>
        <w:ind w:left="828" w:hanging="726"/>
        <w:jc w:val="left"/>
      </w:pPr>
      <w:rPr>
        <w:rFonts w:hint="default" w:ascii="宋体" w:hAnsi="宋体" w:eastAsia="宋体" w:cs="宋体"/>
        <w:b/>
        <w:bCs/>
        <w:w w:val="99"/>
        <w:sz w:val="24"/>
        <w:szCs w:val="24"/>
      </w:rPr>
    </w:lvl>
    <w:lvl w:ilvl="3">
      <w:start w:val="1"/>
      <w:numFmt w:val="decimal"/>
      <w:lvlText w:val="（%4）"/>
      <w:lvlJc w:val="left"/>
      <w:pPr>
        <w:ind w:left="102" w:hanging="681"/>
        <w:jc w:val="left"/>
      </w:pPr>
      <w:rPr>
        <w:rFonts w:hint="default" w:ascii="宋体" w:hAnsi="宋体" w:eastAsia="宋体" w:cs="宋体"/>
        <w:w w:val="100"/>
        <w:sz w:val="24"/>
        <w:szCs w:val="24"/>
      </w:rPr>
    </w:lvl>
    <w:lvl w:ilvl="4">
      <w:start w:val="0"/>
      <w:numFmt w:val="bullet"/>
      <w:lvlText w:val="•"/>
      <w:lvlJc w:val="left"/>
      <w:pPr>
        <w:ind w:left="3488" w:hanging="681"/>
      </w:pPr>
      <w:rPr>
        <w:rFonts w:hint="default"/>
      </w:rPr>
    </w:lvl>
    <w:lvl w:ilvl="5">
      <w:start w:val="0"/>
      <w:numFmt w:val="bullet"/>
      <w:lvlText w:val="•"/>
      <w:lvlJc w:val="left"/>
      <w:pPr>
        <w:ind w:left="4378" w:hanging="681"/>
      </w:pPr>
      <w:rPr>
        <w:rFonts w:hint="default"/>
      </w:rPr>
    </w:lvl>
    <w:lvl w:ilvl="6">
      <w:start w:val="0"/>
      <w:numFmt w:val="bullet"/>
      <w:lvlText w:val="•"/>
      <w:lvlJc w:val="left"/>
      <w:pPr>
        <w:ind w:left="5268" w:hanging="681"/>
      </w:pPr>
      <w:rPr>
        <w:rFonts w:hint="default"/>
      </w:rPr>
    </w:lvl>
    <w:lvl w:ilvl="7">
      <w:start w:val="0"/>
      <w:numFmt w:val="bullet"/>
      <w:lvlText w:val="•"/>
      <w:lvlJc w:val="left"/>
      <w:pPr>
        <w:ind w:left="6157" w:hanging="681"/>
      </w:pPr>
      <w:rPr>
        <w:rFonts w:hint="default"/>
      </w:rPr>
    </w:lvl>
    <w:lvl w:ilvl="8">
      <w:start w:val="0"/>
      <w:numFmt w:val="bullet"/>
      <w:lvlText w:val="•"/>
      <w:lvlJc w:val="left"/>
      <w:pPr>
        <w:ind w:left="7047" w:hanging="681"/>
      </w:pPr>
      <w:rPr>
        <w:rFonts w:hint="default"/>
      </w:rPr>
    </w:lvl>
  </w:abstractNum>
  <w:abstractNum w:abstractNumId="3">
    <w:multiLevelType w:val="hybridMultilevel"/>
    <w:lvl w:ilvl="0">
      <w:start w:val="3"/>
      <w:numFmt w:val="decimal"/>
      <w:lvlText w:val="%1"/>
      <w:lvlJc w:val="left"/>
      <w:pPr>
        <w:ind w:left="646" w:hanging="485"/>
        <w:jc w:val="left"/>
      </w:pPr>
      <w:rPr>
        <w:rFonts w:hint="default"/>
      </w:rPr>
    </w:lvl>
    <w:lvl w:ilvl="1">
      <w:start w:val="1"/>
      <w:numFmt w:val="decimal"/>
      <w:lvlText w:val="%1.%2"/>
      <w:lvlJc w:val="left"/>
      <w:pPr>
        <w:ind w:left="646" w:hanging="485"/>
        <w:jc w:val="left"/>
      </w:pPr>
      <w:rPr>
        <w:rFonts w:hint="default" w:ascii="宋体" w:hAnsi="宋体" w:eastAsia="宋体" w:cs="宋体"/>
        <w:b/>
        <w:bCs/>
        <w:spacing w:val="0"/>
        <w:w w:val="99"/>
        <w:sz w:val="24"/>
        <w:szCs w:val="24"/>
      </w:rPr>
    </w:lvl>
    <w:lvl w:ilvl="2">
      <w:start w:val="1"/>
      <w:numFmt w:val="decimal"/>
      <w:lvlText w:val="%1.%2.%3"/>
      <w:lvlJc w:val="left"/>
      <w:pPr>
        <w:ind w:left="888" w:hanging="726"/>
        <w:jc w:val="left"/>
      </w:pPr>
      <w:rPr>
        <w:rFonts w:hint="default" w:ascii="宋体" w:hAnsi="宋体" w:eastAsia="宋体" w:cs="宋体"/>
        <w:b/>
        <w:bCs/>
        <w:w w:val="99"/>
        <w:sz w:val="24"/>
        <w:szCs w:val="24"/>
      </w:rPr>
    </w:lvl>
    <w:lvl w:ilvl="3">
      <w:start w:val="0"/>
      <w:numFmt w:val="bullet"/>
      <w:lvlText w:val="•"/>
      <w:lvlJc w:val="left"/>
      <w:pPr>
        <w:ind w:left="2663" w:hanging="726"/>
      </w:pPr>
      <w:rPr>
        <w:rFonts w:hint="default"/>
      </w:rPr>
    </w:lvl>
    <w:lvl w:ilvl="4">
      <w:start w:val="0"/>
      <w:numFmt w:val="bullet"/>
      <w:lvlText w:val="•"/>
      <w:lvlJc w:val="left"/>
      <w:pPr>
        <w:ind w:left="3555" w:hanging="726"/>
      </w:pPr>
      <w:rPr>
        <w:rFonts w:hint="default"/>
      </w:rPr>
    </w:lvl>
    <w:lvl w:ilvl="5">
      <w:start w:val="0"/>
      <w:numFmt w:val="bullet"/>
      <w:lvlText w:val="•"/>
      <w:lvlJc w:val="left"/>
      <w:pPr>
        <w:ind w:left="4447" w:hanging="726"/>
      </w:pPr>
      <w:rPr>
        <w:rFonts w:hint="default"/>
      </w:rPr>
    </w:lvl>
    <w:lvl w:ilvl="6">
      <w:start w:val="0"/>
      <w:numFmt w:val="bullet"/>
      <w:lvlText w:val="•"/>
      <w:lvlJc w:val="left"/>
      <w:pPr>
        <w:ind w:left="5339" w:hanging="726"/>
      </w:pPr>
      <w:rPr>
        <w:rFonts w:hint="default"/>
      </w:rPr>
    </w:lvl>
    <w:lvl w:ilvl="7">
      <w:start w:val="0"/>
      <w:numFmt w:val="bullet"/>
      <w:lvlText w:val="•"/>
      <w:lvlJc w:val="left"/>
      <w:pPr>
        <w:ind w:left="6230" w:hanging="726"/>
      </w:pPr>
      <w:rPr>
        <w:rFonts w:hint="default"/>
      </w:rPr>
    </w:lvl>
    <w:lvl w:ilvl="8">
      <w:start w:val="0"/>
      <w:numFmt w:val="bullet"/>
      <w:lvlText w:val="•"/>
      <w:lvlJc w:val="left"/>
      <w:pPr>
        <w:ind w:left="7122" w:hanging="726"/>
      </w:pPr>
      <w:rPr>
        <w:rFonts w:hint="default"/>
      </w:rPr>
    </w:lvl>
  </w:abstractNum>
  <w:abstractNum w:abstractNumId="2">
    <w:multiLevelType w:val="hybridMultilevel"/>
    <w:lvl w:ilvl="0">
      <w:start w:val="2"/>
      <w:numFmt w:val="decimal"/>
      <w:lvlText w:val="%1"/>
      <w:lvlJc w:val="left"/>
      <w:pPr>
        <w:ind w:left="596" w:hanging="484"/>
        <w:jc w:val="left"/>
      </w:pPr>
      <w:rPr>
        <w:rFonts w:hint="default"/>
      </w:rPr>
    </w:lvl>
    <w:lvl w:ilvl="1">
      <w:start w:val="2"/>
      <w:numFmt w:val="decimal"/>
      <w:lvlText w:val="%1.%2"/>
      <w:lvlJc w:val="left"/>
      <w:pPr>
        <w:ind w:left="596" w:hanging="484"/>
        <w:jc w:val="left"/>
      </w:pPr>
      <w:rPr>
        <w:rFonts w:hint="default" w:ascii="宋体" w:hAnsi="宋体" w:eastAsia="宋体" w:cs="宋体"/>
        <w:b/>
        <w:bCs/>
        <w:spacing w:val="0"/>
        <w:w w:val="99"/>
        <w:sz w:val="24"/>
        <w:szCs w:val="24"/>
      </w:rPr>
    </w:lvl>
    <w:lvl w:ilvl="2">
      <w:start w:val="0"/>
      <w:numFmt w:val="bullet"/>
      <w:lvlText w:val="•"/>
      <w:lvlJc w:val="left"/>
      <w:pPr>
        <w:ind w:left="2261" w:hanging="484"/>
      </w:pPr>
      <w:rPr>
        <w:rFonts w:hint="default"/>
      </w:rPr>
    </w:lvl>
    <w:lvl w:ilvl="3">
      <w:start w:val="0"/>
      <w:numFmt w:val="bullet"/>
      <w:lvlText w:val="•"/>
      <w:lvlJc w:val="left"/>
      <w:pPr>
        <w:ind w:left="3091" w:hanging="484"/>
      </w:pPr>
      <w:rPr>
        <w:rFonts w:hint="default"/>
      </w:rPr>
    </w:lvl>
    <w:lvl w:ilvl="4">
      <w:start w:val="0"/>
      <w:numFmt w:val="bullet"/>
      <w:lvlText w:val="•"/>
      <w:lvlJc w:val="left"/>
      <w:pPr>
        <w:ind w:left="3922" w:hanging="484"/>
      </w:pPr>
      <w:rPr>
        <w:rFonts w:hint="default"/>
      </w:rPr>
    </w:lvl>
    <w:lvl w:ilvl="5">
      <w:start w:val="0"/>
      <w:numFmt w:val="bullet"/>
      <w:lvlText w:val="•"/>
      <w:lvlJc w:val="left"/>
      <w:pPr>
        <w:ind w:left="4753" w:hanging="484"/>
      </w:pPr>
      <w:rPr>
        <w:rFonts w:hint="default"/>
      </w:rPr>
    </w:lvl>
    <w:lvl w:ilvl="6">
      <w:start w:val="0"/>
      <w:numFmt w:val="bullet"/>
      <w:lvlText w:val="•"/>
      <w:lvlJc w:val="left"/>
      <w:pPr>
        <w:ind w:left="5583" w:hanging="484"/>
      </w:pPr>
      <w:rPr>
        <w:rFonts w:hint="default"/>
      </w:rPr>
    </w:lvl>
    <w:lvl w:ilvl="7">
      <w:start w:val="0"/>
      <w:numFmt w:val="bullet"/>
      <w:lvlText w:val="•"/>
      <w:lvlJc w:val="left"/>
      <w:pPr>
        <w:ind w:left="6414" w:hanging="484"/>
      </w:pPr>
      <w:rPr>
        <w:rFonts w:hint="default"/>
      </w:rPr>
    </w:lvl>
    <w:lvl w:ilvl="8">
      <w:start w:val="0"/>
      <w:numFmt w:val="bullet"/>
      <w:lvlText w:val="•"/>
      <w:lvlJc w:val="left"/>
      <w:pPr>
        <w:ind w:left="7245" w:hanging="484"/>
      </w:pPr>
      <w:rPr>
        <w:rFonts w:hint="default"/>
      </w:rPr>
    </w:lvl>
  </w:abstractNum>
  <w:abstractNum w:abstractNumId="1">
    <w:multiLevelType w:val="hybridMultilevel"/>
    <w:lvl w:ilvl="0">
      <w:start w:val="2"/>
      <w:numFmt w:val="decimal"/>
      <w:lvlText w:val="%1"/>
      <w:lvlJc w:val="left"/>
      <w:pPr>
        <w:ind w:left="768" w:hanging="666"/>
        <w:jc w:val="left"/>
      </w:pPr>
      <w:rPr>
        <w:rFonts w:hint="default"/>
      </w:rPr>
    </w:lvl>
    <w:lvl w:ilvl="1">
      <w:start w:val="1"/>
      <w:numFmt w:val="decimal"/>
      <w:lvlText w:val="%1.%2"/>
      <w:lvlJc w:val="left"/>
      <w:pPr>
        <w:ind w:left="768" w:hanging="666"/>
        <w:jc w:val="left"/>
      </w:pPr>
      <w:rPr>
        <w:rFonts w:hint="default"/>
      </w:rPr>
    </w:lvl>
    <w:lvl w:ilvl="2">
      <w:start w:val="1"/>
      <w:numFmt w:val="decimal"/>
      <w:lvlText w:val="%1.%2.%3"/>
      <w:lvlJc w:val="left"/>
      <w:pPr>
        <w:ind w:left="768" w:hanging="666"/>
        <w:jc w:val="left"/>
      </w:pPr>
      <w:rPr>
        <w:rFonts w:hint="default" w:ascii="宋体" w:hAnsi="宋体" w:eastAsia="宋体" w:cs="宋体"/>
        <w:b/>
        <w:bCs/>
        <w:spacing w:val="0"/>
        <w:w w:val="99"/>
        <w:sz w:val="24"/>
        <w:szCs w:val="24"/>
      </w:rPr>
    </w:lvl>
    <w:lvl w:ilvl="3">
      <w:start w:val="0"/>
      <w:numFmt w:val="bullet"/>
      <w:lvlText w:val="•"/>
      <w:lvlJc w:val="left"/>
      <w:pPr>
        <w:ind w:left="2988" w:hanging="666"/>
      </w:pPr>
      <w:rPr>
        <w:rFonts w:hint="default"/>
      </w:rPr>
    </w:lvl>
    <w:lvl w:ilvl="4">
      <w:start w:val="0"/>
      <w:numFmt w:val="bullet"/>
      <w:lvlText w:val="•"/>
      <w:lvlJc w:val="left"/>
      <w:pPr>
        <w:ind w:left="3822" w:hanging="666"/>
      </w:pPr>
      <w:rPr>
        <w:rFonts w:hint="default"/>
      </w:rPr>
    </w:lvl>
    <w:lvl w:ilvl="5">
      <w:start w:val="0"/>
      <w:numFmt w:val="bullet"/>
      <w:lvlText w:val="•"/>
      <w:lvlJc w:val="left"/>
      <w:pPr>
        <w:ind w:left="4656" w:hanging="666"/>
      </w:pPr>
      <w:rPr>
        <w:rFonts w:hint="default"/>
      </w:rPr>
    </w:lvl>
    <w:lvl w:ilvl="6">
      <w:start w:val="0"/>
      <w:numFmt w:val="bullet"/>
      <w:lvlText w:val="•"/>
      <w:lvlJc w:val="left"/>
      <w:pPr>
        <w:ind w:left="5490" w:hanging="666"/>
      </w:pPr>
      <w:rPr>
        <w:rFonts w:hint="default"/>
      </w:rPr>
    </w:lvl>
    <w:lvl w:ilvl="7">
      <w:start w:val="0"/>
      <w:numFmt w:val="bullet"/>
      <w:lvlText w:val="•"/>
      <w:lvlJc w:val="left"/>
      <w:pPr>
        <w:ind w:left="6324" w:hanging="666"/>
      </w:pPr>
      <w:rPr>
        <w:rFonts w:hint="default"/>
      </w:rPr>
    </w:lvl>
    <w:lvl w:ilvl="8">
      <w:start w:val="0"/>
      <w:numFmt w:val="bullet"/>
      <w:lvlText w:val="•"/>
      <w:lvlJc w:val="left"/>
      <w:pPr>
        <w:ind w:left="7158" w:hanging="666"/>
      </w:pPr>
      <w:rPr>
        <w:rFonts w:hint="default"/>
      </w:rPr>
    </w:lvl>
  </w:abstractNum>
  <w:abstractNum w:abstractNumId="0">
    <w:multiLevelType w:val="hybridMultilevel"/>
    <w:lvl w:ilvl="0">
      <w:start w:val="1"/>
      <w:numFmt w:val="decimal"/>
      <w:lvlText w:val="%1"/>
      <w:lvlJc w:val="left"/>
      <w:pPr>
        <w:ind w:left="525" w:hanging="284"/>
        <w:jc w:val="left"/>
      </w:pPr>
      <w:rPr>
        <w:rFonts w:hint="default" w:ascii="宋体" w:hAnsi="宋体" w:eastAsia="宋体" w:cs="宋体"/>
        <w:b/>
        <w:bCs/>
        <w:w w:val="99"/>
        <w:sz w:val="28"/>
        <w:szCs w:val="28"/>
      </w:rPr>
    </w:lvl>
    <w:lvl w:ilvl="1">
      <w:start w:val="0"/>
      <w:numFmt w:val="bullet"/>
      <w:lvlText w:val="•"/>
      <w:lvlJc w:val="left"/>
      <w:pPr>
        <w:ind w:left="720" w:hanging="284"/>
      </w:pPr>
      <w:rPr>
        <w:rFonts w:hint="default"/>
      </w:rPr>
    </w:lvl>
    <w:lvl w:ilvl="2">
      <w:start w:val="0"/>
      <w:numFmt w:val="bullet"/>
      <w:lvlText w:val="•"/>
      <w:lvlJc w:val="left"/>
      <w:pPr>
        <w:ind w:left="1625" w:hanging="284"/>
      </w:pPr>
      <w:rPr>
        <w:rFonts w:hint="default"/>
      </w:rPr>
    </w:lvl>
    <w:lvl w:ilvl="3">
      <w:start w:val="0"/>
      <w:numFmt w:val="bullet"/>
      <w:lvlText w:val="•"/>
      <w:lvlJc w:val="left"/>
      <w:pPr>
        <w:ind w:left="2530" w:hanging="284"/>
      </w:pPr>
      <w:rPr>
        <w:rFonts w:hint="default"/>
      </w:rPr>
    </w:lvl>
    <w:lvl w:ilvl="4">
      <w:start w:val="0"/>
      <w:numFmt w:val="bullet"/>
      <w:lvlText w:val="•"/>
      <w:lvlJc w:val="left"/>
      <w:pPr>
        <w:ind w:left="3435" w:hanging="284"/>
      </w:pPr>
      <w:rPr>
        <w:rFonts w:hint="default"/>
      </w:rPr>
    </w:lvl>
    <w:lvl w:ilvl="5">
      <w:start w:val="0"/>
      <w:numFmt w:val="bullet"/>
      <w:lvlText w:val="•"/>
      <w:lvlJc w:val="left"/>
      <w:pPr>
        <w:ind w:left="4340" w:hanging="284"/>
      </w:pPr>
      <w:rPr>
        <w:rFonts w:hint="default"/>
      </w:rPr>
    </w:lvl>
    <w:lvl w:ilvl="6">
      <w:start w:val="0"/>
      <w:numFmt w:val="bullet"/>
      <w:lvlText w:val="•"/>
      <w:lvlJc w:val="left"/>
      <w:pPr>
        <w:ind w:left="5245" w:hanging="284"/>
      </w:pPr>
      <w:rPr>
        <w:rFonts w:hint="default"/>
      </w:rPr>
    </w:lvl>
    <w:lvl w:ilvl="7">
      <w:start w:val="0"/>
      <w:numFmt w:val="bullet"/>
      <w:lvlText w:val="•"/>
      <w:lvlJc w:val="left"/>
      <w:pPr>
        <w:ind w:left="6150" w:hanging="284"/>
      </w:pPr>
      <w:rPr>
        <w:rFonts w:hint="default"/>
      </w:rPr>
    </w:lvl>
    <w:lvl w:ilvl="8">
      <w:start w:val="0"/>
      <w:numFmt w:val="bullet"/>
      <w:lvlText w:val="•"/>
      <w:lvlJc w:val="left"/>
      <w:pPr>
        <w:ind w:left="7056" w:hanging="28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6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02"/>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hyperlink" Target="http://www.iherb.cn/NAC-N-Acetyl-Cysteine"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pn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jpeg"/><Relationship Id="rId38" Type="http://schemas.openxmlformats.org/officeDocument/2006/relationships/image" Target="media/image32.jpeg"/><Relationship Id="rId39" Type="http://schemas.openxmlformats.org/officeDocument/2006/relationships/image" Target="media/image33.png"/><Relationship Id="rId40" Type="http://schemas.openxmlformats.org/officeDocument/2006/relationships/image" Target="media/image34.jpeg"/><Relationship Id="rId41" Type="http://schemas.openxmlformats.org/officeDocument/2006/relationships/image" Target="media/image35.png"/><Relationship Id="rId42" Type="http://schemas.openxmlformats.org/officeDocument/2006/relationships/image" Target="media/image36.jpe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image" Target="media/image39.jpeg"/><Relationship Id="rId46" Type="http://schemas.openxmlformats.org/officeDocument/2006/relationships/image" Target="media/image40.jpeg"/><Relationship Id="rId47" Type="http://schemas.openxmlformats.org/officeDocument/2006/relationships/hyperlink" Target="http://www.bio1000.com/zhuanti/product/201308/444257.html" TargetMode="External"/><Relationship Id="rId48" Type="http://schemas.openxmlformats.org/officeDocument/2006/relationships/hyperlink" Target="http://www.who.int/mediacentre/factsheets/fs204/en/print.html" TargetMode="External"/><Relationship Id="rId49" Type="http://schemas.openxmlformats.org/officeDocument/2006/relationships/hyperlink" Target="http://www.ncbi.nlm.nih.gov/pubmed?term=%22Ross%18%16%20T%22%5bAuthor%5d" TargetMode="External"/><Relationship Id="rId50" Type="http://schemas.openxmlformats.org/officeDocument/2006/relationships/hyperlink" Target="http://www.ncbi.nlm.nih.gov/pubmed?term=%22Olivier%20R%22%5bAuthor%5d" TargetMode="External"/><Relationship Id="rId51" Type="http://schemas.openxmlformats.org/officeDocument/2006/relationships/hyperlink" Target="http://www.ncbi.nlm.nih.gov/pubmed?term=%22Monney%20L%22%5bAuthor%5d" TargetMode="External"/><Relationship Id="rId52" Type="http://schemas.openxmlformats.org/officeDocument/2006/relationships/hyperlink" Target="http://www.ncbi.nlm.nih.gov/pubmed?term=%22Rager%20M%22%5bAuthor%5d" TargetMode="External"/><Relationship Id="rId53" Type="http://schemas.openxmlformats.org/officeDocument/2006/relationships/hyperlink" Target="http://www.ncbi.nlm.nih.gov/pubmed?term=%22Conus%20S%22%5bAuthor%5d" TargetMode="External"/><Relationship Id="rId54" Type="http://schemas.openxmlformats.org/officeDocument/2006/relationships/hyperlink" Target="http://www.ncbi.nlm.nih.gov/pubmed?term=%22Fellay%20I%22%5bAuthor%5d" TargetMode="External"/><Relationship Id="rId55" Type="http://schemas.openxmlformats.org/officeDocument/2006/relationships/hyperlink" Target="http://www.ncbi.nlm.nih.gov/pubmed?term=%22Jansen%20B%22%5bAuthor%5d" TargetMode="External"/><Relationship Id="rId56" Type="http://schemas.openxmlformats.org/officeDocument/2006/relationships/hyperlink" Target="http://www.ncbi.nlm.nih.gov/pubmed?term=%22Borner%20C%22%5bAuthor%5d" TargetMode="External"/><Relationship Id="rId57" Type="http://schemas.openxmlformats.org/officeDocument/2006/relationships/hyperlink" Target="http://www.ncbi.nlm.nih.gov/pubmed/9461208" TargetMode="External"/><Relationship Id="rId58" Type="http://schemas.openxmlformats.org/officeDocument/2006/relationships/hyperlink" Target="http://www.ncbi.nlm.nih.gov/pubmed?term=%22Kim%20HJ%22%5bAuthor%5d" TargetMode="External"/><Relationship Id="rId59" Type="http://schemas.openxmlformats.org/officeDocument/2006/relationships/hyperlink" Target="http://www.ncbi.nlm.nih.gov/pubmed?term=%22Kim%20SY%22%5bAuthor%5d" TargetMode="External"/><Relationship Id="rId60" Type="http://schemas.openxmlformats.org/officeDocument/2006/relationships/hyperlink" Target="http://www.ncbi.nlm.nih.gov/pubmed?term=%22Kim%20J%22%5bAuthor%5d" TargetMode="External"/><Relationship Id="rId61" Type="http://schemas.openxmlformats.org/officeDocument/2006/relationships/hyperlink" Target="http://www.ncbi.nlm.nih.gov/pubmed?term=%22Lee%20H%22%5bAuthor%5d" TargetMode="External"/><Relationship Id="rId62" Type="http://schemas.openxmlformats.org/officeDocument/2006/relationships/hyperlink" Target="http://www.ncbi.nlm.nih.gov/pubmed?term=%22Choi%20M%22%5bAuthor%5d" TargetMode="External"/><Relationship Id="rId63" Type="http://schemas.openxmlformats.org/officeDocument/2006/relationships/hyperlink" Target="http://www.ncbi.nlm.nih.gov/pubmed?term=%22Kim%20JK%22%5bAuthor%5d" TargetMode="External"/><Relationship Id="rId64" Type="http://schemas.openxmlformats.org/officeDocument/2006/relationships/hyperlink" Target="http://www.ncbi.nlm.nih.gov/pubmed?term=%22Ahn%20JK%22%5bAuthor%5d" TargetMode="Externa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footer" Target="footer2.xml"/><Relationship Id="rId69" Type="http://schemas.openxmlformats.org/officeDocument/2006/relationships/footer" Target="footer7.xml"/><Relationship Id="rId70" Type="http://schemas.openxmlformats.org/officeDocument/2006/relationships/header" Target="header7.xml"/><Relationship Id="rId71" Type="http://schemas.openxmlformats.org/officeDocument/2006/relationships/footer" Target="footer8.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header" Target="header8.xml"/><Relationship Id="rId76" Type="http://schemas.openxmlformats.org/officeDocument/2006/relationships/header" Target="header9.xml"/><Relationship Id="rId77" Type="http://schemas.openxmlformats.org/officeDocument/2006/relationships/footer" Target="footer12.xml"/><Relationship Id="rId78" Type="http://schemas.openxmlformats.org/officeDocument/2006/relationships/header" Target="header10.xml"/><Relationship Id="rId79" Type="http://schemas.openxmlformats.org/officeDocument/2006/relationships/header" Target="header11.xml"/><Relationship Id="rId80" Type="http://schemas.openxmlformats.org/officeDocument/2006/relationships/header" Target="header12.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erms:created xsi:type="dcterms:W3CDTF">2017-03-18T23:31:46Z</dcterms:created>
  <dcterms:modified xsi:type="dcterms:W3CDTF">2017-03-18T23:31:46Z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