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adjustRightInd w:val="0"/>
        <w:snapToGrid w:val="0"/>
        <w:spacing w:before="156" w:beforeLines="50" w:line="400" w:lineRule="atLeast"/>
        <w:rPr>
          <w:rFonts w:eastAsia="仿宋_GB2312"/>
          <w:bCs/>
          <w:sz w:val="30"/>
        </w:rPr>
      </w:pPr>
      <w:bookmarkStart w:id="9" w:name="_GoBack"/>
      <w:bookmarkEnd w:id="9"/>
    </w:p>
    <w:p>
      <w:pPr>
        <w:spacing w:line="500" w:lineRule="exact"/>
        <w:jc w:val="center"/>
        <w:rPr>
          <w:rFonts w:eastAsia="黑体"/>
          <w:b/>
          <w:sz w:val="32"/>
        </w:rPr>
      </w:pPr>
    </w:p>
    <w:p>
      <w:pPr>
        <w:spacing w:line="360" w:lineRule="auto"/>
        <w:jc w:val="center"/>
        <w:rPr>
          <w:rFonts w:eastAsia="黑体"/>
          <w:sz w:val="34"/>
        </w:rPr>
      </w:pPr>
      <w:r>
        <w:rPr>
          <w:kern w:val="0"/>
        </w:rPr>
        <w:t xml:space="preserve"> </w:t>
      </w:r>
      <w:bookmarkStart w:id="0" w:name="_1064953734"/>
      <w:bookmarkEnd w:id="0"/>
      <w:bookmarkStart w:id="1" w:name="_1065102613"/>
      <w:bookmarkEnd w:id="1"/>
      <w:r>
        <w:rPr>
          <w:kern w:val="0"/>
        </w:rPr>
        <w:object>
          <v:shape id="_x0000_i1025" o:spt="75" type="#_x0000_t75" style="height:46.5pt;width:206.05pt;" o:ole="t" filled="t" o:preferrelative="t" stroked="f" coordsize="21600,21600">
            <v:path/>
            <v:fill on="t" focussize="0,0"/>
            <v:stroke on="f" joinstyle="miter"/>
            <v:imagedata r:id="rId10" o:title=""/>
            <o:lock v:ext="edit" aspectratio="t"/>
            <w10:wrap type="none"/>
            <w10:anchorlock/>
          </v:shape>
          <o:OLEObject Type="Embed" ProgID="Word.Picture.8" ShapeID="_x0000_i1025" DrawAspect="Content" ObjectID="_1468075725" r:id="rId9">
            <o:LockedField>false</o:LockedField>
          </o:OLEObject>
        </w:object>
      </w:r>
    </w:p>
    <w:p>
      <w:pPr>
        <w:adjustRightInd w:val="0"/>
        <w:snapToGrid w:val="0"/>
        <w:jc w:val="center"/>
        <w:rPr>
          <w:b/>
          <w:bCs/>
          <w:spacing w:val="20"/>
          <w:sz w:val="18"/>
        </w:rPr>
      </w:pPr>
    </w:p>
    <w:p>
      <w:pPr>
        <w:adjustRightInd w:val="0"/>
        <w:snapToGrid w:val="0"/>
        <w:jc w:val="center"/>
        <w:rPr>
          <w:b/>
          <w:bCs/>
          <w:spacing w:val="20"/>
          <w:sz w:val="18"/>
        </w:rPr>
      </w:pPr>
    </w:p>
    <w:p>
      <w:pPr>
        <w:spacing w:line="360" w:lineRule="auto"/>
        <w:jc w:val="center"/>
        <w:rPr>
          <w:rFonts w:eastAsia="华文中宋"/>
          <w:b/>
          <w:bCs/>
          <w:sz w:val="72"/>
          <w:szCs w:val="72"/>
        </w:rPr>
      </w:pPr>
      <w:r>
        <w:rPr>
          <w:rFonts w:eastAsia="华文中宋"/>
          <w:b/>
          <w:bCs/>
          <w:spacing w:val="20"/>
          <w:sz w:val="72"/>
          <w:szCs w:val="72"/>
        </w:rPr>
        <w:t>本科毕业设计[论文]</w:t>
      </w:r>
    </w:p>
    <w:p>
      <w:pPr>
        <w:spacing w:line="360" w:lineRule="auto"/>
        <w:jc w:val="center"/>
        <w:rPr>
          <w:rFonts w:eastAsia="楷体_GB2312"/>
          <w:bCs/>
          <w:color w:val="FF0000"/>
          <w:sz w:val="36"/>
          <w:szCs w:val="36"/>
        </w:rPr>
      </w:pPr>
    </w:p>
    <w:p>
      <w:pPr>
        <w:adjustRightInd w:val="0"/>
        <w:snapToGrid w:val="0"/>
        <w:spacing w:line="264" w:lineRule="auto"/>
        <w:rPr>
          <w:rFonts w:eastAsia="华文中宋"/>
          <w:b/>
          <w:bCs/>
          <w:spacing w:val="12"/>
          <w:sz w:val="52"/>
          <w:szCs w:val="32"/>
        </w:rPr>
      </w:pPr>
    </w:p>
    <w:p>
      <w:pPr>
        <w:spacing w:line="360" w:lineRule="auto"/>
        <w:jc w:val="center"/>
        <w:rPr>
          <w:rFonts w:eastAsia="黑体"/>
          <w:bCs/>
          <w:color w:val="FF0000"/>
          <w:sz w:val="36"/>
          <w:szCs w:val="36"/>
        </w:rPr>
      </w:pPr>
      <w:r>
        <w:rPr>
          <w:rFonts w:eastAsia="黑体"/>
          <w:b/>
          <w:sz w:val="44"/>
          <w:szCs w:val="44"/>
        </w:rPr>
        <w:t>企业违规处罚公告与股票收益</w:t>
      </w:r>
    </w:p>
    <w:p>
      <w:pPr>
        <w:adjustRightInd w:val="0"/>
        <w:snapToGrid w:val="0"/>
        <w:spacing w:line="264" w:lineRule="auto"/>
        <w:rPr>
          <w:rFonts w:eastAsia="华文中宋"/>
          <w:b/>
          <w:bCs/>
          <w:spacing w:val="12"/>
          <w:sz w:val="52"/>
          <w:szCs w:val="32"/>
        </w:rPr>
      </w:pPr>
    </w:p>
    <w:p>
      <w:pPr>
        <w:adjustRightInd w:val="0"/>
        <w:snapToGrid w:val="0"/>
        <w:spacing w:line="264" w:lineRule="auto"/>
        <w:rPr>
          <w:rFonts w:eastAsia="华文中宋"/>
          <w:b/>
          <w:bCs/>
          <w:spacing w:val="12"/>
          <w:sz w:val="52"/>
          <w:szCs w:val="32"/>
        </w:rPr>
      </w:pPr>
    </w:p>
    <w:p>
      <w:pPr>
        <w:spacing w:line="720" w:lineRule="auto"/>
        <w:jc w:val="center"/>
        <w:rPr>
          <w:rFonts w:eastAsia="华文中宋"/>
          <w:kern w:val="0"/>
          <w:sz w:val="32"/>
          <w:szCs w:val="32"/>
          <w:u w:val="single"/>
        </w:rPr>
      </w:pPr>
      <w:r>
        <w:rPr>
          <w:rFonts w:eastAsia="华文中宋"/>
          <w:kern w:val="0"/>
          <w:sz w:val="32"/>
          <w:szCs w:val="32"/>
        </w:rPr>
        <w:t>院    系</w:t>
      </w:r>
      <w:r>
        <w:rPr>
          <w:rFonts w:eastAsia="华文中宋"/>
          <w:kern w:val="0"/>
          <w:sz w:val="32"/>
          <w:szCs w:val="32"/>
          <w:u w:val="single"/>
        </w:rPr>
        <w:t xml:space="preserve">   管理学院财务金融系   </w:t>
      </w:r>
    </w:p>
    <w:p>
      <w:pPr>
        <w:spacing w:line="720" w:lineRule="auto"/>
        <w:ind w:firstLine="1920" w:firstLineChars="600"/>
        <w:rPr>
          <w:rFonts w:eastAsia="华文中宋"/>
          <w:kern w:val="0"/>
          <w:sz w:val="32"/>
          <w:szCs w:val="32"/>
          <w:u w:val="single"/>
        </w:rPr>
      </w:pPr>
      <w:r>
        <w:rPr>
          <w:rFonts w:eastAsia="华文中宋"/>
          <w:kern w:val="0"/>
          <w:sz w:val="32"/>
          <w:szCs w:val="32"/>
        </w:rPr>
        <w:t>专业班级</w:t>
      </w:r>
      <w:r>
        <w:rPr>
          <w:rFonts w:eastAsia="华文中宋"/>
          <w:kern w:val="0"/>
          <w:sz w:val="32"/>
          <w:szCs w:val="32"/>
          <w:u w:val="single"/>
        </w:rPr>
        <w:t xml:space="preserve">    </w:t>
      </w:r>
      <w:r>
        <w:rPr>
          <w:rFonts w:hint="eastAsia" w:eastAsia="华文中宋"/>
          <w:kern w:val="0"/>
          <w:sz w:val="32"/>
          <w:szCs w:val="32"/>
          <w:u w:val="single"/>
          <w:lang w:val="en-US" w:eastAsia="zh-CN"/>
        </w:rPr>
        <w:t xml:space="preserve"> </w:t>
      </w:r>
      <w:r>
        <w:rPr>
          <w:rFonts w:eastAsia="华文中宋"/>
          <w:kern w:val="0"/>
          <w:sz w:val="32"/>
          <w:szCs w:val="32"/>
          <w:u w:val="single"/>
        </w:rPr>
        <w:t xml:space="preserve">财务管理1802班    </w:t>
      </w:r>
    </w:p>
    <w:p>
      <w:pPr>
        <w:spacing w:line="720" w:lineRule="auto"/>
        <w:ind w:firstLine="1920" w:firstLineChars="600"/>
        <w:rPr>
          <w:rFonts w:eastAsia="华文中宋"/>
          <w:kern w:val="0"/>
          <w:sz w:val="32"/>
          <w:szCs w:val="32"/>
          <w:u w:val="single"/>
        </w:rPr>
      </w:pPr>
      <w:r>
        <w:rPr>
          <w:rFonts w:eastAsia="华文中宋"/>
          <w:kern w:val="0"/>
          <w:sz w:val="32"/>
          <w:szCs w:val="32"/>
        </w:rPr>
        <w:t>姓    名</w:t>
      </w:r>
      <w:r>
        <w:rPr>
          <w:rFonts w:eastAsia="华文中宋"/>
          <w:kern w:val="0"/>
          <w:sz w:val="32"/>
          <w:szCs w:val="32"/>
          <w:u w:val="single"/>
        </w:rPr>
        <w:t xml:space="preserve">         周兆祺         </w:t>
      </w:r>
    </w:p>
    <w:p>
      <w:pPr>
        <w:spacing w:line="720" w:lineRule="auto"/>
        <w:ind w:firstLine="1920" w:firstLineChars="600"/>
        <w:jc w:val="left"/>
        <w:rPr>
          <w:rFonts w:hint="eastAsia" w:eastAsia="华文中宋"/>
          <w:kern w:val="0"/>
          <w:sz w:val="32"/>
          <w:szCs w:val="32"/>
          <w:u w:val="single"/>
          <w:lang w:val="en-US" w:eastAsia="zh-CN"/>
        </w:rPr>
      </w:pPr>
      <w:r>
        <w:rPr>
          <w:rFonts w:eastAsia="华文中宋"/>
          <w:kern w:val="0"/>
          <w:sz w:val="32"/>
          <w:szCs w:val="32"/>
        </w:rPr>
        <w:t>学    号</w:t>
      </w:r>
      <w:r>
        <w:rPr>
          <w:rFonts w:eastAsia="华文中宋"/>
          <w:kern w:val="0"/>
          <w:sz w:val="32"/>
          <w:szCs w:val="32"/>
          <w:u w:val="single"/>
        </w:rPr>
        <w:t xml:space="preserve">     </w:t>
      </w:r>
      <w:r>
        <w:rPr>
          <w:rFonts w:hint="eastAsia" w:eastAsia="华文中宋"/>
          <w:kern w:val="0"/>
          <w:sz w:val="32"/>
          <w:szCs w:val="32"/>
          <w:u w:val="single"/>
          <w:lang w:val="en-US" w:eastAsia="zh-CN"/>
        </w:rPr>
        <w:t xml:space="preserve">  </w:t>
      </w:r>
      <w:r>
        <w:rPr>
          <w:rFonts w:hint="default" w:ascii="Times New Roman" w:hAnsi="Times New Roman" w:eastAsia="黑体" w:cs="Times New Roman"/>
          <w:kern w:val="0"/>
          <w:sz w:val="32"/>
          <w:szCs w:val="32"/>
          <w:u w:val="single"/>
        </w:rPr>
        <w:t>U201815924</w:t>
      </w:r>
      <w:r>
        <w:rPr>
          <w:rFonts w:hint="eastAsia" w:eastAsia="黑体" w:cs="Times New Roman"/>
          <w:kern w:val="0"/>
          <w:sz w:val="32"/>
          <w:szCs w:val="32"/>
          <w:u w:val="single"/>
          <w:lang w:val="en-US" w:eastAsia="zh-CN"/>
        </w:rPr>
        <w:t xml:space="preserve"> </w:t>
      </w:r>
      <w:r>
        <w:rPr>
          <w:rFonts w:hint="eastAsia" w:eastAsia="华文中宋"/>
          <w:kern w:val="0"/>
          <w:sz w:val="32"/>
          <w:szCs w:val="32"/>
          <w:u w:val="single"/>
          <w:lang w:val="en-US" w:eastAsia="zh-CN"/>
        </w:rPr>
        <w:t xml:space="preserve"> </w:t>
      </w:r>
      <w:r>
        <w:rPr>
          <w:rFonts w:eastAsia="华文中宋"/>
          <w:kern w:val="0"/>
          <w:sz w:val="32"/>
          <w:szCs w:val="32"/>
          <w:u w:val="single"/>
        </w:rPr>
        <w:t xml:space="preserve">     </w:t>
      </w:r>
    </w:p>
    <w:p>
      <w:pPr>
        <w:spacing w:line="720" w:lineRule="auto"/>
        <w:ind w:firstLine="1920" w:firstLineChars="600"/>
        <w:rPr>
          <w:rFonts w:eastAsia="华文中宋"/>
          <w:kern w:val="0"/>
          <w:sz w:val="32"/>
          <w:szCs w:val="32"/>
          <w:u w:val="single"/>
        </w:rPr>
      </w:pPr>
      <w:r>
        <w:rPr>
          <w:rFonts w:eastAsia="华文中宋"/>
          <w:kern w:val="0"/>
          <w:sz w:val="32"/>
          <w:szCs w:val="32"/>
        </w:rPr>
        <w:t>指导教师</w:t>
      </w:r>
      <w:r>
        <w:rPr>
          <w:rFonts w:eastAsia="华文中宋"/>
          <w:kern w:val="0"/>
          <w:sz w:val="32"/>
          <w:szCs w:val="32"/>
          <w:u w:val="single"/>
        </w:rPr>
        <w:t xml:space="preserve">          滕敏          </w:t>
      </w:r>
    </w:p>
    <w:p>
      <w:pPr>
        <w:spacing w:line="720" w:lineRule="auto"/>
        <w:ind w:firstLine="1920" w:firstLineChars="600"/>
        <w:rPr>
          <w:rFonts w:eastAsia="华文中宋"/>
          <w:kern w:val="0"/>
          <w:sz w:val="32"/>
          <w:szCs w:val="32"/>
          <w:u w:val="single"/>
        </w:rPr>
      </w:pPr>
    </w:p>
    <w:p>
      <w:pPr>
        <w:spacing w:line="360" w:lineRule="auto"/>
        <w:jc w:val="center"/>
        <w:rPr>
          <w:rFonts w:eastAsia="黑体"/>
          <w:bCs/>
          <w:color w:val="FF0000"/>
          <w:sz w:val="36"/>
          <w:szCs w:val="36"/>
        </w:rPr>
      </w:pPr>
      <w:r>
        <w:rPr>
          <w:rFonts w:eastAsia="华文中宋"/>
          <w:bCs/>
          <w:kern w:val="0"/>
          <w:sz w:val="32"/>
          <w:szCs w:val="32"/>
        </w:rPr>
        <w:t>2022年5月</w:t>
      </w:r>
      <w:r>
        <w:rPr>
          <w:rFonts w:hint="eastAsia" w:eastAsia="华文中宋"/>
          <w:bCs/>
          <w:kern w:val="0"/>
          <w:sz w:val="32"/>
          <w:szCs w:val="32"/>
          <w:lang w:val="en-US" w:eastAsia="zh-CN"/>
        </w:rPr>
        <w:t>18</w:t>
      </w:r>
      <w:r>
        <w:rPr>
          <w:rFonts w:eastAsia="华文中宋"/>
          <w:bCs/>
          <w:kern w:val="0"/>
          <w:sz w:val="32"/>
          <w:szCs w:val="32"/>
        </w:rPr>
        <w:t>日</w:t>
      </w:r>
    </w:p>
    <w:p>
      <w:pPr>
        <w:rPr>
          <w:b/>
          <w:bCs/>
          <w:sz w:val="28"/>
          <w:szCs w:val="30"/>
        </w:rPr>
        <w:sectPr>
          <w:pgSz w:w="11906" w:h="16838"/>
          <w:pgMar w:top="1418" w:right="1701" w:bottom="1134" w:left="1701" w:header="851" w:footer="992" w:gutter="0"/>
          <w:pgBorders>
            <w:top w:val="none" w:sz="0" w:space="0"/>
            <w:left w:val="none" w:sz="0" w:space="0"/>
            <w:bottom w:val="none" w:sz="0" w:space="0"/>
            <w:right w:val="none" w:sz="0" w:space="0"/>
          </w:pgBorders>
          <w:cols w:space="720" w:num="1"/>
          <w:titlePg/>
          <w:docGrid w:type="lines" w:linePitch="312" w:charSpace="0"/>
        </w:sectPr>
      </w:pPr>
    </w:p>
    <w:p>
      <w:pPr>
        <w:spacing w:before="468" w:beforeLines="150" w:line="360" w:lineRule="auto"/>
        <w:jc w:val="center"/>
        <w:rPr>
          <w:rFonts w:eastAsia="黑体"/>
          <w:b/>
          <w:bCs/>
          <w:sz w:val="36"/>
          <w:szCs w:val="36"/>
        </w:rPr>
      </w:pPr>
      <w:r>
        <w:rPr>
          <w:rFonts w:eastAsia="黑体"/>
          <w:b/>
          <w:bCs/>
          <w:sz w:val="36"/>
          <w:szCs w:val="36"/>
        </w:rPr>
        <w:t>学位论文原创性声明</w:t>
      </w:r>
    </w:p>
    <w:p>
      <w:pPr>
        <w:spacing w:line="360" w:lineRule="auto"/>
        <w:ind w:firstLine="480" w:firstLineChars="200"/>
        <w:rPr>
          <w:sz w:val="24"/>
          <w:szCs w:val="21"/>
        </w:rPr>
      </w:pPr>
      <w:r>
        <w:rPr>
          <w:sz w:val="24"/>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pPr>
        <w:spacing w:line="360" w:lineRule="auto"/>
        <w:jc w:val="center"/>
        <w:rPr>
          <w:rFonts w:eastAsia="楷体_GB2312"/>
          <w:color w:val="FF0000"/>
        </w:rPr>
      </w:pPr>
    </w:p>
    <w:p>
      <w:pPr>
        <w:wordWrap w:val="0"/>
        <w:spacing w:line="360" w:lineRule="auto"/>
        <w:jc w:val="right"/>
        <w:rPr>
          <w:sz w:val="24"/>
        </w:rPr>
      </w:pPr>
      <w:r>
        <w:rPr>
          <w:sz w:val="24"/>
        </w:rPr>
        <w:t>作者签名：             年   月    日</w:t>
      </w:r>
    </w:p>
    <w:p>
      <w:pPr>
        <w:spacing w:before="312" w:beforeLines="100" w:line="360" w:lineRule="auto"/>
        <w:jc w:val="center"/>
        <w:rPr>
          <w:b/>
          <w:bCs/>
          <w:sz w:val="40"/>
          <w:szCs w:val="36"/>
        </w:rPr>
      </w:pPr>
    </w:p>
    <w:p>
      <w:pPr>
        <w:spacing w:before="468" w:beforeLines="150" w:line="360" w:lineRule="auto"/>
        <w:jc w:val="center"/>
        <w:rPr>
          <w:rFonts w:eastAsia="黑体"/>
          <w:b/>
          <w:bCs/>
          <w:sz w:val="36"/>
          <w:szCs w:val="36"/>
        </w:rPr>
      </w:pPr>
      <w:r>
        <w:rPr>
          <w:rFonts w:eastAsia="黑体"/>
          <w:b/>
          <w:bCs/>
          <w:sz w:val="36"/>
          <w:szCs w:val="36"/>
        </w:rPr>
        <w:t>学位论文版权使用授权书</w:t>
      </w:r>
    </w:p>
    <w:p>
      <w:pPr>
        <w:spacing w:line="360" w:lineRule="auto"/>
        <w:ind w:firstLine="480" w:firstLineChars="200"/>
        <w:rPr>
          <w:sz w:val="24"/>
          <w:szCs w:val="21"/>
        </w:rPr>
      </w:pPr>
      <w:r>
        <w:rPr>
          <w:sz w:val="24"/>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pPr>
        <w:spacing w:line="360" w:lineRule="auto"/>
        <w:ind w:firstLine="480" w:firstLineChars="200"/>
        <w:rPr>
          <w:sz w:val="24"/>
          <w:szCs w:val="21"/>
        </w:rPr>
      </w:pPr>
      <w:r>
        <w:rPr>
          <w:sz w:val="24"/>
          <w:szCs w:val="21"/>
        </w:rPr>
        <w:t>本学位论文属于 1、保密   囗 ，在    年解密后适用本授权书。</w:t>
      </w:r>
    </w:p>
    <w:p>
      <w:pPr>
        <w:spacing w:line="360" w:lineRule="auto"/>
        <w:ind w:firstLine="2280" w:firstLineChars="950"/>
        <w:rPr>
          <w:sz w:val="24"/>
          <w:szCs w:val="21"/>
        </w:rPr>
      </w:pPr>
      <w:r>
        <w:rPr>
          <w:sz w:val="24"/>
          <w:szCs w:val="21"/>
        </w:rPr>
        <w:t>2、不保密 囗 。</w:t>
      </w:r>
    </w:p>
    <w:p>
      <w:pPr>
        <w:spacing w:line="360" w:lineRule="auto"/>
        <w:ind w:firstLine="2160" w:firstLineChars="900"/>
        <w:rPr>
          <w:sz w:val="24"/>
          <w:szCs w:val="21"/>
        </w:rPr>
      </w:pPr>
      <w:r>
        <w:rPr>
          <w:sz w:val="24"/>
          <w:szCs w:val="21"/>
        </w:rPr>
        <w:t>（请在以上相应方框内打“√”）</w:t>
      </w:r>
    </w:p>
    <w:p>
      <w:pPr>
        <w:spacing w:line="360" w:lineRule="auto"/>
        <w:ind w:firstLine="2160" w:firstLineChars="900"/>
        <w:rPr>
          <w:sz w:val="24"/>
          <w:szCs w:val="21"/>
        </w:rPr>
      </w:pPr>
    </w:p>
    <w:p>
      <w:pPr>
        <w:wordWrap w:val="0"/>
        <w:spacing w:line="360" w:lineRule="auto"/>
        <w:jc w:val="right"/>
        <w:rPr>
          <w:sz w:val="24"/>
        </w:rPr>
      </w:pPr>
      <w:r>
        <w:rPr>
          <w:sz w:val="24"/>
        </w:rPr>
        <w:t>作者签名：             年   月    日</w:t>
      </w:r>
    </w:p>
    <w:p>
      <w:pPr>
        <w:wordWrap w:val="0"/>
        <w:spacing w:line="360" w:lineRule="auto"/>
        <w:jc w:val="right"/>
        <w:rPr>
          <w:sz w:val="24"/>
        </w:rPr>
      </w:pPr>
      <w:r>
        <w:rPr>
          <w:sz w:val="24"/>
        </w:rPr>
        <w:t>导师签名：             年   月    日</w:t>
      </w:r>
    </w:p>
    <w:p>
      <w:pPr>
        <w:jc w:val="right"/>
        <w:rPr>
          <w:sz w:val="24"/>
        </w:rPr>
      </w:pPr>
    </w:p>
    <w:p>
      <w:pPr>
        <w:jc w:val="right"/>
        <w:rPr>
          <w:sz w:val="24"/>
        </w:rPr>
      </w:pPr>
    </w:p>
    <w:p>
      <w:pPr>
        <w:spacing w:line="360" w:lineRule="auto"/>
        <w:jc w:val="center"/>
        <w:rPr>
          <w:rFonts w:eastAsia="楷体_GB2312"/>
          <w:color w:val="FF0000"/>
        </w:rPr>
      </w:pPr>
    </w:p>
    <w:p>
      <w:pPr>
        <w:spacing w:line="360" w:lineRule="auto"/>
        <w:jc w:val="center"/>
        <w:rPr>
          <w:rFonts w:eastAsia="楷体_GB2312"/>
          <w:color w:val="FF0000"/>
        </w:rPr>
      </w:pPr>
    </w:p>
    <w:p>
      <w:pPr>
        <w:spacing w:line="360" w:lineRule="auto"/>
        <w:jc w:val="center"/>
        <w:rPr>
          <w:rFonts w:eastAsia="楷体_GB2312"/>
          <w:color w:val="FF0000"/>
        </w:rPr>
      </w:pPr>
    </w:p>
    <w:p>
      <w:pPr>
        <w:spacing w:line="360" w:lineRule="auto"/>
        <w:jc w:val="center"/>
        <w:rPr>
          <w:rFonts w:eastAsia="楷体_GB2312"/>
          <w:color w:val="FF0000"/>
        </w:rPr>
      </w:pPr>
    </w:p>
    <w:p>
      <w:pPr>
        <w:spacing w:line="360" w:lineRule="auto"/>
        <w:jc w:val="center"/>
        <w:rPr>
          <w:rFonts w:eastAsia="楷体_GB2312"/>
          <w:color w:val="FF0000"/>
        </w:rPr>
      </w:pPr>
    </w:p>
    <w:p>
      <w:pPr>
        <w:spacing w:before="156" w:beforeLines="50" w:after="156" w:afterLines="50"/>
        <w:jc w:val="center"/>
        <w:rPr>
          <w:rFonts w:eastAsia="黑体"/>
          <w:b/>
          <w:sz w:val="36"/>
          <w:szCs w:val="36"/>
        </w:rPr>
        <w:sectPr>
          <w:headerReference r:id="rId3" w:type="default"/>
          <w:footerReference r:id="rId4" w:type="default"/>
          <w:pgSz w:w="11906" w:h="16838"/>
          <w:pgMar w:top="1418" w:right="1701" w:bottom="1134" w:left="1701"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p>
    <w:p>
      <w:pPr>
        <w:spacing w:before="156" w:beforeLines="50" w:after="156" w:afterLines="50"/>
        <w:jc w:val="center"/>
        <w:rPr>
          <w:rFonts w:eastAsia="黑体"/>
          <w:sz w:val="36"/>
          <w:szCs w:val="36"/>
        </w:rPr>
      </w:pPr>
      <w:r>
        <w:rPr>
          <w:rFonts w:eastAsia="黑体"/>
          <w:b/>
          <w:sz w:val="36"/>
          <w:szCs w:val="36"/>
        </w:rPr>
        <w:t xml:space="preserve">摘    要 </w:t>
      </w:r>
    </w:p>
    <w:p>
      <w:pPr>
        <w:pStyle w:val="11"/>
        <w:spacing w:line="360" w:lineRule="auto"/>
        <w:ind w:firstLine="480" w:firstLineChars="200"/>
        <w:rPr>
          <w:rFonts w:hint="eastAsia" w:ascii="Times New Roman" w:cs="Times New Roman"/>
          <w:lang w:eastAsia="zh-CN"/>
        </w:rPr>
      </w:pPr>
      <w:r>
        <w:rPr>
          <w:rFonts w:ascii="Times New Roman" w:cs="Times New Roman"/>
        </w:rPr>
        <w:t>在中国股市这样一个尚不成熟的资本市场，大量散户交易者活跃其中，信息作为引发投资者情绪的重要来源，往往会带来相应的股票价格反应，因为信息提前泄露等情况的存在、上市公司对于股价波动的反应措施，以及投资者情绪的反应时间和消退，股票的价格反应并不是迅速的，也不仅仅是单向的，提前反应以及反应后回调充斥于市场之中。此外，即使信息披露能够引发投资者情绪，但投资者情绪变动是否足以引发股价显著波动还有待商榷</w:t>
      </w:r>
      <w:r>
        <w:rPr>
          <w:rFonts w:hint="eastAsia" w:ascii="Times New Roman" w:cs="Times New Roman"/>
          <w:lang w:eastAsia="zh-CN"/>
        </w:rPr>
        <w:t>。</w:t>
      </w:r>
    </w:p>
    <w:p>
      <w:pPr>
        <w:pStyle w:val="11"/>
        <w:spacing w:line="360" w:lineRule="auto"/>
        <w:ind w:firstLine="480" w:firstLineChars="200"/>
        <w:jc w:val="both"/>
        <w:rPr>
          <w:rFonts w:ascii="Times New Roman" w:cs="Times New Roman"/>
        </w:rPr>
      </w:pPr>
      <w:r>
        <w:rPr>
          <w:rFonts w:ascii="Times New Roman" w:cs="Times New Roman"/>
        </w:rPr>
        <w:t>早期基于中国证券市场的研究表明，我国投资者对于个股层面的信息以及负面信息均存在明显的反应不足现象，那么对于个股层面的负面信息，譬如“企业违规处罚公告发布”</w:t>
      </w:r>
      <w:r>
        <w:rPr>
          <w:rFonts w:hint="eastAsia" w:ascii="Times New Roman" w:cs="Times New Roman"/>
          <w:lang w:val="en-US" w:eastAsia="zh-CN"/>
        </w:rPr>
        <w:t>事件</w:t>
      </w:r>
      <w:r>
        <w:rPr>
          <w:rFonts w:ascii="Times New Roman" w:cs="Times New Roman"/>
        </w:rPr>
        <w:t>，在当下是否能引起投资者显著反应，这个问题值得我们的思考，一方面，我们可以通过对这个问题的探索更新我们对于投资者情绪反应的认识，另一方面，我们也可以更深入了解股价对于官方公告类个股层面负面信息的反应模式。我们基于这一背景对企业违规处罚公告发布前后的股价反应进行了考察。我们发现，企业违规处罚公告发布具有负面价格效应，创业板股票反应最迅速且最敏感，其次是中小板，主板A股表现较为迟钝，而在主板股票中，国企和</w:t>
      </w:r>
      <w:r>
        <w:rPr>
          <w:rFonts w:hint="eastAsia" w:ascii="Times New Roman" w:cs="Times New Roman"/>
          <w:lang w:eastAsia="zh-CN"/>
        </w:rPr>
        <w:t>民营</w:t>
      </w:r>
      <w:r>
        <w:rPr>
          <w:rFonts w:ascii="Times New Roman" w:cs="Times New Roman"/>
        </w:rPr>
        <w:t>表现为明显的差异，国企虽然反应较为迟缓但仍有显著负价格效应，而</w:t>
      </w:r>
      <w:r>
        <w:rPr>
          <w:rFonts w:hint="eastAsia" w:ascii="Times New Roman" w:cs="Times New Roman"/>
          <w:lang w:eastAsia="zh-CN"/>
        </w:rPr>
        <w:t>民营</w:t>
      </w:r>
      <w:r>
        <w:rPr>
          <w:rFonts w:ascii="Times New Roman" w:cs="Times New Roman"/>
        </w:rPr>
        <w:t>面对违规处罚公告发布反而有异常收益。此外，我们还发现了提前反应与事后回调的存在。</w:t>
      </w:r>
    </w:p>
    <w:p>
      <w:pPr>
        <w:pStyle w:val="11"/>
        <w:spacing w:line="360" w:lineRule="auto"/>
        <w:ind w:firstLine="480" w:firstLineChars="200"/>
        <w:rPr>
          <w:rFonts w:ascii="Times New Roman" w:cs="Times New Roman"/>
        </w:rPr>
      </w:pPr>
      <w:r>
        <w:rPr>
          <w:rFonts w:ascii="Times New Roman" w:cs="Times New Roman"/>
        </w:rPr>
        <w:t>本文启示了监管部门对于内部消息的严格管控应当予以重视，并给短期投资者和投机者一定的决策支持。</w:t>
      </w:r>
    </w:p>
    <w:p>
      <w:pPr>
        <w:spacing w:before="156" w:beforeLines="50" w:line="360" w:lineRule="auto"/>
        <w:rPr>
          <w:sz w:val="24"/>
        </w:rPr>
      </w:pPr>
      <w:r>
        <w:rPr>
          <w:rFonts w:eastAsia="黑体"/>
          <w:b/>
          <w:bCs/>
          <w:sz w:val="24"/>
        </w:rPr>
        <w:t>关键词：</w:t>
      </w:r>
      <w:r>
        <w:rPr>
          <w:sz w:val="24"/>
        </w:rPr>
        <w:t>违规处罚公告；事件研究；投资者情绪；股票回报</w:t>
      </w:r>
    </w:p>
    <w:p>
      <w:pPr>
        <w:spacing w:line="360" w:lineRule="auto"/>
        <w:rPr>
          <w:color w:val="FF0000"/>
          <w:sz w:val="24"/>
        </w:rPr>
      </w:pPr>
      <w:r>
        <w:rPr>
          <w:rFonts w:eastAsia="楷体_GB2312"/>
          <w:color w:val="FF0000"/>
        </w:rPr>
        <w:t xml:space="preserve">  </w:t>
      </w:r>
      <w:r>
        <w:rPr>
          <w:sz w:val="26"/>
        </w:rPr>
        <w:t xml:space="preserve">    </w:t>
      </w:r>
    </w:p>
    <w:p>
      <w:pPr>
        <w:spacing w:before="156" w:beforeLines="50" w:after="156" w:afterLines="50" w:line="300" w:lineRule="auto"/>
      </w:pPr>
    </w:p>
    <w:p>
      <w:pPr>
        <w:spacing w:before="156" w:beforeLines="50" w:after="156" w:afterLines="50" w:line="360" w:lineRule="auto"/>
        <w:jc w:val="center"/>
        <w:rPr>
          <w:rFonts w:eastAsia="黑体"/>
          <w:color w:val="FF0000"/>
          <w:sz w:val="24"/>
        </w:rPr>
      </w:pPr>
      <w:r>
        <w:rPr>
          <w:b/>
          <w:bCs/>
          <w:sz w:val="24"/>
        </w:rPr>
        <w:br w:type="page"/>
      </w:r>
      <w:r>
        <w:rPr>
          <w:rFonts w:eastAsia="黑体"/>
          <w:b/>
          <w:sz w:val="36"/>
          <w:szCs w:val="36"/>
        </w:rPr>
        <w:t>Abstract</w:t>
      </w:r>
    </w:p>
    <w:p>
      <w:pPr>
        <w:pStyle w:val="11"/>
        <w:spacing w:line="360" w:lineRule="auto"/>
        <w:ind w:firstLine="480" w:firstLineChars="200"/>
        <w:jc w:val="both"/>
        <w:rPr>
          <w:rFonts w:ascii="Times New Roman" w:cs="Times New Roman"/>
        </w:rPr>
      </w:pPr>
      <w:r>
        <w:rPr>
          <w:rFonts w:ascii="Times New Roman" w:cs="Times New Roman"/>
        </w:rPr>
        <w:t xml:space="preserve">In an immature capital market such as China's stock market, a large number of retail investors are active in it. As an important source of investor sentiment, information often brings corresponding stock price reactions. Because of the existence of information leakage in advance, listed companies’ reaction of stock price fluctuations, as well as the reaction time and subsidence of investor sentiment, the price reaction of stocks is not rapid, and it is not only one-direction. Early reactions and post-reaction callbacks are flooded in the market. In addition, even if information disclosure can trigger investor sentiment, it remains to be seen whether changes in investor sentiment are enough to trigger significant stock price fluctuations. </w:t>
      </w:r>
    </w:p>
    <w:p>
      <w:pPr>
        <w:pStyle w:val="11"/>
        <w:spacing w:line="360" w:lineRule="auto"/>
        <w:ind w:firstLine="480" w:firstLineChars="200"/>
        <w:jc w:val="both"/>
        <w:rPr>
          <w:sz w:val="24"/>
        </w:rPr>
      </w:pPr>
      <w:r>
        <w:rPr>
          <w:rFonts w:ascii="Times New Roman" w:cs="Times New Roman"/>
        </w:rPr>
        <w:t>Early research based on China's securities market has shown that Chinese investors have insufficient response to individual stock-level information and negative information, then for the negative information at the individual stock level, such as "announcement of corporate violation penalties", whether it can arouse a significant response from investors at the moment, this issue deserves our consideration. On the one hand, we can explore and update this our understanding of the emotional reaction of investors, on the other hand, we can also have a deeper understanding of the reaction model of stock prices to the negative information at the level of individual stock of official announcemen</w:t>
      </w:r>
      <w:r>
        <w:rPr>
          <w:rFonts w:hint="default" w:ascii="Times New Roman" w:hAnsi="Times New Roman" w:cs="Times New Roman"/>
        </w:rPr>
        <w:t>ts.</w:t>
      </w:r>
      <w:r>
        <w:rPr>
          <w:rFonts w:hint="default" w:ascii="Times New Roman" w:hAnsi="Times New Roman" w:cs="Times New Roman"/>
          <w:color w:val="000000"/>
          <w:kern w:val="0"/>
          <w:sz w:val="24"/>
        </w:rPr>
        <w:t xml:space="preserve">Based on this background, we examined the stock price response before and after the announcement of corporate violation penalties. We found that the announcement of corporate violation penalties has a negative price effect. GEM stocks are the fastest and most sensitive, followed by small and medium-sized boards. Although state-owned enterprises are slow to respond, they still have a significant negative price effect, while private enterprises have abnormal returns in the face of announcements of violation penalties. In addition, we also found the existence of early reaction and post-event callback. </w:t>
      </w:r>
      <w:r>
        <w:rPr>
          <w:rFonts w:hint="default" w:ascii="Times New Roman" w:hAnsi="Times New Roman" w:cs="Times New Roman"/>
          <w:sz w:val="24"/>
        </w:rPr>
        <w:t xml:space="preserve"> </w:t>
      </w:r>
    </w:p>
    <w:p>
      <w:pPr>
        <w:spacing w:line="360" w:lineRule="auto"/>
        <w:ind w:firstLine="480" w:firstLineChars="200"/>
        <w:rPr>
          <w:sz w:val="26"/>
        </w:rPr>
      </w:pPr>
      <w:r>
        <w:rPr>
          <w:sz w:val="24"/>
        </w:rPr>
        <w:t>This paper enlightens that the regulatory authorities should pay attention to the strict control of inside information, and give certain decision-making support to short-term investors and speculators.</w:t>
      </w:r>
    </w:p>
    <w:p>
      <w:pPr>
        <w:spacing w:line="300" w:lineRule="auto"/>
        <w:rPr>
          <w:b/>
          <w:sz w:val="24"/>
        </w:rPr>
      </w:pPr>
      <w:r>
        <w:rPr>
          <w:b/>
          <w:sz w:val="24"/>
        </w:rPr>
        <w:t>Key Words：</w:t>
      </w:r>
      <w:r>
        <w:rPr>
          <w:sz w:val="24"/>
          <w:szCs w:val="24"/>
        </w:rPr>
        <w:t>announcement of violation penalties</w:t>
      </w:r>
      <w:r>
        <w:rPr>
          <w:color w:val="000000"/>
          <w:kern w:val="0"/>
          <w:sz w:val="24"/>
        </w:rPr>
        <w:t>; event study; investor sentiment; stock return</w:t>
      </w: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tabs>
          <w:tab w:val="left" w:pos="2985"/>
        </w:tabs>
      </w:pPr>
    </w:p>
    <w:p>
      <w:pPr>
        <w:tabs>
          <w:tab w:val="left" w:pos="2985"/>
        </w:tabs>
      </w:pPr>
    </w:p>
    <w:p>
      <w:pPr>
        <w:tabs>
          <w:tab w:val="left" w:pos="2985"/>
        </w:tabs>
      </w:pPr>
    </w:p>
    <w:p>
      <w:pPr>
        <w:tabs>
          <w:tab w:val="left" w:pos="2985"/>
        </w:tabs>
      </w:pPr>
    </w:p>
    <w:p>
      <w:pPr>
        <w:tabs>
          <w:tab w:val="left" w:pos="2985"/>
        </w:tabs>
      </w:pPr>
    </w:p>
    <w:p>
      <w:pPr>
        <w:tabs>
          <w:tab w:val="left" w:pos="2985"/>
        </w:tabs>
      </w:pPr>
    </w:p>
    <w:p>
      <w:pPr>
        <w:tabs>
          <w:tab w:val="left" w:pos="2985"/>
        </w:tabs>
      </w:pPr>
    </w:p>
    <w:p>
      <w:pPr>
        <w:tabs>
          <w:tab w:val="left" w:pos="2985"/>
        </w:tabs>
      </w:pPr>
    </w:p>
    <w:p>
      <w:pPr>
        <w:tabs>
          <w:tab w:val="left" w:pos="2985"/>
        </w:tabs>
      </w:pPr>
    </w:p>
    <w:p>
      <w:pPr>
        <w:tabs>
          <w:tab w:val="left" w:pos="2985"/>
        </w:tabs>
      </w:pPr>
    </w:p>
    <w:p>
      <w:pPr>
        <w:tabs>
          <w:tab w:val="left" w:pos="2985"/>
        </w:tabs>
      </w:pPr>
    </w:p>
    <w:p>
      <w:pPr>
        <w:tabs>
          <w:tab w:val="left" w:pos="2985"/>
        </w:tabs>
      </w:pPr>
    </w:p>
    <w:p>
      <w:pPr>
        <w:tabs>
          <w:tab w:val="left" w:pos="2985"/>
        </w:tabs>
      </w:pPr>
    </w:p>
    <w:p>
      <w:pPr>
        <w:tabs>
          <w:tab w:val="left" w:pos="2985"/>
        </w:tabs>
      </w:pPr>
    </w:p>
    <w:p>
      <w:pPr>
        <w:tabs>
          <w:tab w:val="left" w:pos="2985"/>
        </w:tabs>
      </w:pPr>
    </w:p>
    <w:p>
      <w:pPr>
        <w:tabs>
          <w:tab w:val="left" w:pos="2985"/>
        </w:tabs>
      </w:pPr>
    </w:p>
    <w:p>
      <w:pPr>
        <w:tabs>
          <w:tab w:val="left" w:pos="2985"/>
        </w:tabs>
      </w:pPr>
    </w:p>
    <w:p>
      <w:pPr>
        <w:tabs>
          <w:tab w:val="left" w:pos="2985"/>
        </w:tabs>
      </w:pPr>
    </w:p>
    <w:p>
      <w:pPr>
        <w:tabs>
          <w:tab w:val="left" w:pos="2985"/>
        </w:tabs>
      </w:pPr>
    </w:p>
    <w:p>
      <w:pPr>
        <w:tabs>
          <w:tab w:val="left" w:pos="2985"/>
        </w:tabs>
      </w:pPr>
    </w:p>
    <w:p>
      <w:pPr>
        <w:tabs>
          <w:tab w:val="left" w:pos="2985"/>
        </w:tabs>
      </w:pPr>
    </w:p>
    <w:p>
      <w:pPr>
        <w:tabs>
          <w:tab w:val="left" w:pos="2985"/>
        </w:tabs>
      </w:pPr>
    </w:p>
    <w:p>
      <w:pPr>
        <w:tabs>
          <w:tab w:val="left" w:pos="2985"/>
        </w:tabs>
      </w:pPr>
    </w:p>
    <w:p>
      <w:pPr>
        <w:tabs>
          <w:tab w:val="left" w:pos="2985"/>
        </w:tabs>
      </w:pPr>
    </w:p>
    <w:p>
      <w:pPr>
        <w:tabs>
          <w:tab w:val="left" w:pos="2985"/>
        </w:tabs>
      </w:pPr>
    </w:p>
    <w:p>
      <w:pPr>
        <w:tabs>
          <w:tab w:val="left" w:pos="2985"/>
        </w:tabs>
      </w:pPr>
    </w:p>
    <w:p>
      <w:pPr>
        <w:tabs>
          <w:tab w:val="left" w:pos="2985"/>
        </w:tabs>
      </w:pPr>
    </w:p>
    <w:p>
      <w:pPr>
        <w:tabs>
          <w:tab w:val="left" w:pos="2985"/>
        </w:tabs>
      </w:pPr>
    </w:p>
    <w:p>
      <w:pPr>
        <w:tabs>
          <w:tab w:val="left" w:pos="2985"/>
        </w:tabs>
      </w:pPr>
    </w:p>
    <w:p>
      <w:pPr>
        <w:tabs>
          <w:tab w:val="left" w:pos="2985"/>
        </w:tabs>
      </w:pPr>
    </w:p>
    <w:p>
      <w:pPr>
        <w:tabs>
          <w:tab w:val="left" w:pos="2985"/>
        </w:tabs>
      </w:pPr>
    </w:p>
    <w:p>
      <w:pPr>
        <w:spacing w:before="156" w:beforeLines="50" w:after="156" w:afterLines="50"/>
        <w:ind w:right="2411" w:rightChars="1148"/>
        <w:jc w:val="center"/>
        <w:rPr>
          <w:rFonts w:eastAsia="黑体"/>
          <w:b/>
          <w:sz w:val="36"/>
          <w:szCs w:val="36"/>
        </w:rPr>
        <w:sectPr>
          <w:footerReference r:id="rId5" w:type="default"/>
          <w:pgSz w:w="11906" w:h="16838"/>
          <w:pgMar w:top="1418" w:right="1701" w:bottom="1134" w:left="1701"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bookmarkStart w:id="2" w:name="_Toc169776804"/>
      <w:bookmarkStart w:id="3" w:name="_Toc169531124"/>
      <w:bookmarkStart w:id="4" w:name="_Toc169709665"/>
      <w:bookmarkStart w:id="5" w:name="_Toc169531621"/>
      <w:bookmarkStart w:id="6" w:name="_Toc169703550"/>
      <w:bookmarkStart w:id="7" w:name="_Toc177972378"/>
      <w:bookmarkStart w:id="8" w:name="_Toc169531231"/>
    </w:p>
    <w:p>
      <w:pPr>
        <w:spacing w:before="156" w:beforeLines="50" w:after="156" w:afterLines="50"/>
        <w:ind w:right="2411" w:rightChars="1148"/>
        <w:jc w:val="center"/>
        <w:rPr>
          <w:rStyle w:val="8"/>
          <w:rFonts w:eastAsia="黑体"/>
          <w:b/>
          <w:color w:val="auto"/>
          <w:sz w:val="36"/>
          <w:szCs w:val="36"/>
          <w:u w:val="none"/>
        </w:rPr>
      </w:pPr>
      <w:r>
        <w:rPr>
          <w:rFonts w:eastAsia="黑体"/>
          <w:b/>
          <w:sz w:val="36"/>
          <w:szCs w:val="36"/>
        </w:rPr>
        <w:t xml:space="preserve">             目    录</w:t>
      </w:r>
    </w:p>
    <w:p>
      <w:pPr>
        <w:pStyle w:val="5"/>
      </w:pPr>
      <w:r>
        <w:rPr>
          <w:b/>
        </w:rPr>
        <w:t>摘要</w:t>
      </w:r>
      <w:r>
        <w:rPr>
          <w:rStyle w:val="8"/>
          <w:u w:val="none"/>
        </w:rPr>
        <w:tab/>
      </w:r>
      <w:r>
        <w:rPr>
          <w:rStyle w:val="8"/>
          <w:u w:val="none"/>
        </w:rPr>
        <w:t>Ⅰ</w:t>
      </w:r>
    </w:p>
    <w:p>
      <w:pPr>
        <w:pStyle w:val="5"/>
        <w:rPr>
          <w:color w:val="000000"/>
        </w:rPr>
      </w:pPr>
      <w:r>
        <w:rPr>
          <w:b/>
        </w:rPr>
        <w:t>Abstract</w:t>
      </w:r>
      <w:r>
        <w:rPr>
          <w:rStyle w:val="8"/>
          <w:u w:val="none"/>
        </w:rPr>
        <w:tab/>
      </w:r>
      <w:r>
        <w:rPr>
          <w:rStyle w:val="8"/>
          <w:u w:val="none"/>
        </w:rPr>
        <w:t>Ⅱ</w:t>
      </w:r>
    </w:p>
    <w:p>
      <w:pPr>
        <w:pStyle w:val="5"/>
        <w:rPr>
          <w:b/>
        </w:rPr>
      </w:pPr>
      <w:r>
        <w:rPr>
          <w:rStyle w:val="8"/>
          <w:b/>
          <w:u w:val="none"/>
        </w:rPr>
        <w:t xml:space="preserve">1      </w:t>
      </w:r>
      <w:r>
        <w:rPr>
          <w:b/>
        </w:rPr>
        <w:t>绪论</w:t>
      </w:r>
      <w:r>
        <w:rPr>
          <w:rStyle w:val="8"/>
          <w:b/>
          <w:u w:val="none"/>
        </w:rPr>
        <w:tab/>
      </w:r>
      <w:r>
        <w:rPr>
          <w:rStyle w:val="8"/>
          <w:b/>
          <w:u w:val="none"/>
        </w:rPr>
        <w:t>1</w:t>
      </w:r>
    </w:p>
    <w:p>
      <w:pPr>
        <w:pStyle w:val="5"/>
      </w:pPr>
      <w:r>
        <w:rPr>
          <w:rStyle w:val="8"/>
          <w:u w:val="none"/>
        </w:rPr>
        <w:t>1.1    研究背景与研究问题</w:t>
      </w:r>
      <w:r>
        <w:tab/>
      </w:r>
      <w:r>
        <w:t>1</w:t>
      </w:r>
    </w:p>
    <w:p>
      <w:pPr>
        <w:pStyle w:val="5"/>
        <w:rPr>
          <w:rFonts w:hint="eastAsia" w:eastAsia="宋体"/>
          <w:lang w:eastAsia="zh-CN"/>
        </w:rPr>
      </w:pPr>
      <w:r>
        <w:rPr>
          <w:rStyle w:val="8"/>
          <w:u w:val="none"/>
        </w:rPr>
        <w:t>1.2    研究目的与研究意义</w:t>
      </w:r>
      <w:r>
        <w:tab/>
      </w:r>
      <w:r>
        <w:rPr>
          <w:rFonts w:hint="eastAsia"/>
          <w:lang w:val="en-US" w:eastAsia="zh-CN"/>
        </w:rPr>
        <w:t>3</w:t>
      </w:r>
    </w:p>
    <w:p>
      <w:pPr>
        <w:pStyle w:val="5"/>
        <w:rPr>
          <w:rFonts w:hint="eastAsia" w:eastAsia="宋体"/>
          <w:lang w:eastAsia="zh-CN"/>
        </w:rPr>
      </w:pPr>
      <w:r>
        <w:t xml:space="preserve">1.3    </w:t>
      </w:r>
      <w:r>
        <w:rPr>
          <w:rStyle w:val="8"/>
          <w:u w:val="none"/>
        </w:rPr>
        <w:t>研究方法与研究内容</w:t>
      </w:r>
      <w:r>
        <w:tab/>
      </w:r>
      <w:r>
        <w:rPr>
          <w:rFonts w:hint="eastAsia"/>
          <w:lang w:val="en-US" w:eastAsia="zh-CN"/>
        </w:rPr>
        <w:t>4</w:t>
      </w:r>
    </w:p>
    <w:p>
      <w:pPr>
        <w:pStyle w:val="5"/>
        <w:rPr>
          <w:b/>
        </w:rPr>
      </w:pPr>
      <w:r>
        <w:rPr>
          <w:rStyle w:val="8"/>
          <w:b/>
          <w:u w:val="none"/>
        </w:rPr>
        <w:t xml:space="preserve">2      </w:t>
      </w:r>
      <w:r>
        <w:rPr>
          <w:b/>
        </w:rPr>
        <w:t>文献综述</w:t>
      </w:r>
      <w:r>
        <w:rPr>
          <w:rStyle w:val="8"/>
          <w:b/>
          <w:u w:val="none"/>
        </w:rPr>
        <w:tab/>
      </w:r>
      <w:r>
        <w:rPr>
          <w:rStyle w:val="8"/>
          <w:b/>
          <w:u w:val="none"/>
        </w:rPr>
        <w:t>6</w:t>
      </w:r>
    </w:p>
    <w:p>
      <w:pPr>
        <w:pStyle w:val="5"/>
      </w:pPr>
      <w:r>
        <w:t xml:space="preserve">2.1    </w:t>
      </w:r>
      <w:r>
        <w:rPr>
          <w:rStyle w:val="8"/>
          <w:u w:val="none"/>
        </w:rPr>
        <w:t>上市公司违规处罚与股票回报</w:t>
      </w:r>
      <w:r>
        <w:tab/>
      </w:r>
      <w:r>
        <w:t>6</w:t>
      </w:r>
    </w:p>
    <w:p>
      <w:pPr>
        <w:pStyle w:val="5"/>
      </w:pPr>
      <w:r>
        <w:t>2.</w:t>
      </w:r>
      <w:r>
        <w:rPr>
          <w:rFonts w:hint="eastAsia"/>
          <w:lang w:val="en-US" w:eastAsia="zh-CN"/>
        </w:rPr>
        <w:t>2</w:t>
      </w:r>
      <w:r>
        <w:t xml:space="preserve">    </w:t>
      </w:r>
      <w:r>
        <w:rPr>
          <w:rStyle w:val="8"/>
          <w:u w:val="none"/>
        </w:rPr>
        <w:t>信息披露、投资者情绪和资产回报</w:t>
      </w:r>
      <w:r>
        <w:tab/>
      </w:r>
      <w:r>
        <w:t>7</w:t>
      </w:r>
    </w:p>
    <w:p>
      <w:pPr>
        <w:pStyle w:val="5"/>
      </w:pPr>
      <w:r>
        <w:t>2.</w:t>
      </w:r>
      <w:r>
        <w:rPr>
          <w:rFonts w:hint="eastAsia"/>
          <w:lang w:val="en-US" w:eastAsia="zh-CN"/>
        </w:rPr>
        <w:t>3</w:t>
      </w:r>
      <w:r>
        <w:t xml:space="preserve">    </w:t>
      </w:r>
      <w:r>
        <w:rPr>
          <w:rStyle w:val="8"/>
          <w:u w:val="none"/>
        </w:rPr>
        <w:t>投资者关注、投资者情绪和资产回报</w:t>
      </w:r>
      <w:r>
        <w:tab/>
      </w:r>
      <w:r>
        <w:t>8</w:t>
      </w:r>
    </w:p>
    <w:p>
      <w:pPr>
        <w:pStyle w:val="5"/>
      </w:pPr>
      <w:r>
        <w:t>2.</w:t>
      </w:r>
      <w:r>
        <w:rPr>
          <w:rFonts w:hint="eastAsia"/>
          <w:lang w:val="en-US" w:eastAsia="zh-CN"/>
        </w:rPr>
        <w:t>4</w:t>
      </w:r>
      <w:r>
        <w:t xml:space="preserve">    </w:t>
      </w:r>
      <w:r>
        <w:rPr>
          <w:rStyle w:val="8"/>
          <w:u w:val="none"/>
        </w:rPr>
        <w:t>投资者情绪</w:t>
      </w:r>
      <w:r>
        <w:rPr>
          <w:rStyle w:val="8"/>
          <w:rFonts w:hint="eastAsia"/>
          <w:u w:val="none"/>
          <w:lang w:val="en-US" w:eastAsia="zh-CN"/>
        </w:rPr>
        <w:t>及其与股票回报</w:t>
      </w:r>
      <w:r>
        <w:tab/>
      </w:r>
      <w:r>
        <w:t>8</w:t>
      </w:r>
    </w:p>
    <w:p>
      <w:pPr>
        <w:pStyle w:val="5"/>
        <w:rPr>
          <w:b/>
          <w:bCs/>
        </w:rPr>
      </w:pPr>
      <w:r>
        <w:rPr>
          <w:rStyle w:val="8"/>
          <w:b/>
          <w:bCs/>
          <w:u w:val="none"/>
        </w:rPr>
        <w:t>3      假设提出与研究设计</w:t>
      </w:r>
      <w:r>
        <w:rPr>
          <w:rStyle w:val="8"/>
          <w:b/>
          <w:bCs/>
          <w:u w:val="none"/>
        </w:rPr>
        <w:tab/>
      </w:r>
      <w:r>
        <w:rPr>
          <w:rStyle w:val="8"/>
          <w:b/>
          <w:bCs/>
          <w:u w:val="none"/>
        </w:rPr>
        <w:t>10</w:t>
      </w:r>
    </w:p>
    <w:p>
      <w:pPr>
        <w:pStyle w:val="5"/>
      </w:pPr>
      <w:r>
        <w:rPr>
          <w:rStyle w:val="8"/>
          <w:u w:val="none"/>
        </w:rPr>
        <w:t>3.1    假设提出</w:t>
      </w:r>
      <w:r>
        <w:tab/>
      </w:r>
      <w:r>
        <w:t>10</w:t>
      </w:r>
    </w:p>
    <w:p>
      <w:pPr>
        <w:pStyle w:val="5"/>
        <w:rPr>
          <w:rFonts w:hint="eastAsia" w:eastAsia="宋体"/>
          <w:lang w:eastAsia="zh-CN"/>
        </w:rPr>
      </w:pPr>
      <w:r>
        <w:rPr>
          <w:rStyle w:val="8"/>
          <w:u w:val="none"/>
        </w:rPr>
        <w:t>3.2    研究设计</w:t>
      </w:r>
      <w:r>
        <w:tab/>
      </w:r>
      <w:r>
        <w:t>1</w:t>
      </w:r>
      <w:r>
        <w:rPr>
          <w:rFonts w:hint="eastAsia"/>
          <w:lang w:val="en-US" w:eastAsia="zh-CN"/>
        </w:rPr>
        <w:t>2</w:t>
      </w:r>
    </w:p>
    <w:p>
      <w:pPr>
        <w:pStyle w:val="5"/>
        <w:rPr>
          <w:rStyle w:val="8"/>
          <w:rFonts w:hint="eastAsia" w:eastAsia="宋体"/>
          <w:b/>
          <w:u w:val="none"/>
          <w:lang w:eastAsia="zh-CN"/>
        </w:rPr>
      </w:pPr>
      <w:r>
        <w:rPr>
          <w:b/>
        </w:rPr>
        <w:t>4      实证结果</w:t>
      </w:r>
      <w:r>
        <w:rPr>
          <w:rStyle w:val="8"/>
          <w:b/>
          <w:u w:val="none"/>
        </w:rPr>
        <w:tab/>
      </w:r>
      <w:r>
        <w:rPr>
          <w:rStyle w:val="8"/>
          <w:b/>
          <w:u w:val="none"/>
        </w:rPr>
        <w:t>1</w:t>
      </w:r>
      <w:r>
        <w:rPr>
          <w:rStyle w:val="8"/>
          <w:rFonts w:hint="eastAsia"/>
          <w:b/>
          <w:u w:val="none"/>
          <w:lang w:val="en-US" w:eastAsia="zh-CN"/>
        </w:rPr>
        <w:t>5</w:t>
      </w:r>
    </w:p>
    <w:p>
      <w:pPr>
        <w:pStyle w:val="5"/>
        <w:rPr>
          <w:rFonts w:hint="eastAsia" w:eastAsia="宋体"/>
          <w:lang w:eastAsia="zh-CN"/>
        </w:rPr>
      </w:pPr>
      <w:r>
        <w:rPr>
          <w:rStyle w:val="8"/>
          <w:u w:val="none"/>
        </w:rPr>
        <w:t>4.1    描述性统计</w:t>
      </w:r>
      <w:r>
        <w:tab/>
      </w:r>
      <w:r>
        <w:t>1</w:t>
      </w:r>
      <w:r>
        <w:rPr>
          <w:rFonts w:hint="eastAsia"/>
          <w:lang w:val="en-US" w:eastAsia="zh-CN"/>
        </w:rPr>
        <w:t>5</w:t>
      </w:r>
    </w:p>
    <w:p>
      <w:pPr>
        <w:pStyle w:val="5"/>
        <w:rPr>
          <w:rFonts w:hint="eastAsia" w:eastAsia="宋体"/>
          <w:lang w:eastAsia="zh-CN"/>
        </w:rPr>
      </w:pPr>
      <w:r>
        <w:rPr>
          <w:rStyle w:val="8"/>
          <w:u w:val="none"/>
        </w:rPr>
        <w:t>4.2    事件研究的初步结果</w:t>
      </w:r>
      <w:r>
        <w:tab/>
      </w:r>
      <w:r>
        <w:t>1</w:t>
      </w:r>
      <w:r>
        <w:rPr>
          <w:rFonts w:hint="eastAsia"/>
          <w:lang w:val="en-US" w:eastAsia="zh-CN"/>
        </w:rPr>
        <w:t>7</w:t>
      </w:r>
    </w:p>
    <w:p>
      <w:pPr>
        <w:pStyle w:val="5"/>
        <w:rPr>
          <w:rFonts w:hint="default" w:eastAsia="宋体"/>
          <w:lang w:val="en-US" w:eastAsia="zh-CN"/>
        </w:rPr>
      </w:pPr>
      <w:r>
        <w:rPr>
          <w:rStyle w:val="8"/>
          <w:u w:val="none"/>
        </w:rPr>
        <w:t>4.3    单一</w:t>
      </w:r>
      <w:r>
        <w:rPr>
          <w:rStyle w:val="8"/>
          <w:rFonts w:hint="eastAsia"/>
          <w:u w:val="none"/>
          <w:lang w:val="en-US" w:eastAsia="zh-CN"/>
        </w:rPr>
        <w:t>类别</w:t>
      </w:r>
      <w:r>
        <w:rPr>
          <w:rStyle w:val="8"/>
          <w:u w:val="none"/>
        </w:rPr>
        <w:t>处罚的分板块研究</w:t>
      </w:r>
      <w:r>
        <w:tab/>
      </w:r>
      <w:r>
        <w:rPr>
          <w:rFonts w:hint="eastAsia"/>
          <w:lang w:val="en-US" w:eastAsia="zh-CN"/>
        </w:rPr>
        <w:t>23</w:t>
      </w:r>
    </w:p>
    <w:p>
      <w:pPr>
        <w:pStyle w:val="5"/>
        <w:rPr>
          <w:rFonts w:hint="default" w:eastAsia="宋体"/>
          <w:b/>
          <w:lang w:val="en-US" w:eastAsia="zh-CN"/>
        </w:rPr>
      </w:pPr>
      <w:r>
        <w:rPr>
          <w:b/>
        </w:rPr>
        <w:t>5      总结与展望</w:t>
      </w:r>
      <w:r>
        <w:rPr>
          <w:rStyle w:val="8"/>
          <w:b/>
          <w:u w:val="none"/>
        </w:rPr>
        <w:tab/>
      </w:r>
      <w:r>
        <w:rPr>
          <w:rStyle w:val="8"/>
          <w:rFonts w:hint="eastAsia"/>
          <w:b/>
          <w:u w:val="none"/>
          <w:lang w:val="en-US" w:eastAsia="zh-CN"/>
        </w:rPr>
        <w:t>31</w:t>
      </w:r>
    </w:p>
    <w:p>
      <w:pPr>
        <w:pStyle w:val="5"/>
        <w:rPr>
          <w:rFonts w:hint="default" w:eastAsia="宋体"/>
          <w:lang w:val="en-US" w:eastAsia="zh-CN"/>
        </w:rPr>
      </w:pPr>
      <w:r>
        <w:rPr>
          <w:rStyle w:val="8"/>
          <w:u w:val="none"/>
        </w:rPr>
        <w:t>5.1    结论</w:t>
      </w:r>
      <w:r>
        <w:tab/>
      </w:r>
      <w:r>
        <w:rPr>
          <w:rFonts w:hint="eastAsia"/>
          <w:lang w:val="en-US" w:eastAsia="zh-CN"/>
        </w:rPr>
        <w:t>31</w:t>
      </w:r>
    </w:p>
    <w:p>
      <w:pPr>
        <w:pStyle w:val="5"/>
        <w:rPr>
          <w:rFonts w:hint="default" w:eastAsia="宋体"/>
          <w:lang w:val="en-US" w:eastAsia="zh-CN"/>
        </w:rPr>
      </w:pPr>
      <w:r>
        <w:rPr>
          <w:rStyle w:val="8"/>
          <w:u w:val="none"/>
        </w:rPr>
        <w:t>5.2    不足与展望</w:t>
      </w:r>
      <w:r>
        <w:tab/>
      </w:r>
      <w:r>
        <w:rPr>
          <w:rFonts w:hint="eastAsia"/>
          <w:lang w:val="en-US" w:eastAsia="zh-CN"/>
        </w:rPr>
        <w:t>31</w:t>
      </w:r>
    </w:p>
    <w:p>
      <w:pPr>
        <w:pStyle w:val="5"/>
        <w:rPr>
          <w:rStyle w:val="8"/>
          <w:rFonts w:hint="default" w:eastAsia="宋体"/>
          <w:b/>
          <w:u w:val="none"/>
          <w:lang w:val="en-US" w:eastAsia="zh-CN"/>
        </w:rPr>
      </w:pPr>
      <w:r>
        <w:rPr>
          <w:b/>
        </w:rPr>
        <w:t>致谢</w:t>
      </w:r>
      <w:r>
        <w:rPr>
          <w:rStyle w:val="8"/>
          <w:b/>
          <w:u w:val="none"/>
        </w:rPr>
        <w:tab/>
      </w:r>
      <w:r>
        <w:rPr>
          <w:rStyle w:val="8"/>
          <w:rFonts w:hint="eastAsia"/>
          <w:b/>
          <w:u w:val="none"/>
          <w:lang w:val="en-US" w:eastAsia="zh-CN"/>
        </w:rPr>
        <w:t>34</w:t>
      </w:r>
    </w:p>
    <w:p>
      <w:pPr>
        <w:pStyle w:val="5"/>
        <w:rPr>
          <w:rFonts w:hint="default" w:eastAsia="宋体"/>
          <w:b/>
          <w:color w:val="000000"/>
          <w:lang w:val="en-US" w:eastAsia="zh-CN"/>
        </w:rPr>
      </w:pPr>
      <w:r>
        <w:rPr>
          <w:b/>
        </w:rPr>
        <w:t>参考文献</w:t>
      </w:r>
      <w:r>
        <w:rPr>
          <w:rStyle w:val="8"/>
          <w:b/>
          <w:u w:val="none"/>
        </w:rPr>
        <w:tab/>
      </w:r>
      <w:r>
        <w:rPr>
          <w:rFonts w:hint="eastAsia"/>
          <w:b/>
          <w:lang w:val="en-US" w:eastAsia="zh-CN"/>
        </w:rPr>
        <w:t>35</w:t>
      </w:r>
    </w:p>
    <w:p>
      <w:pPr>
        <w:pStyle w:val="5"/>
        <w:rPr>
          <w:rFonts w:hint="eastAsia" w:eastAsia="宋体"/>
          <w:b/>
          <w:color w:val="000000"/>
          <w:lang w:val="en-US" w:eastAsia="zh-CN"/>
        </w:rPr>
      </w:pPr>
      <w:r>
        <w:rPr>
          <w:b/>
        </w:rPr>
        <w:t>附录  stata输出结果</w:t>
      </w:r>
      <w:r>
        <w:rPr>
          <w:rStyle w:val="8"/>
          <w:b/>
          <w:u w:val="none"/>
        </w:rPr>
        <w:tab/>
      </w:r>
      <w:r>
        <w:rPr>
          <w:b/>
        </w:rPr>
        <w:t>3</w:t>
      </w:r>
      <w:r>
        <w:rPr>
          <w:rFonts w:hint="eastAsia"/>
          <w:b/>
          <w:lang w:val="en-US" w:eastAsia="zh-CN"/>
        </w:rPr>
        <w:t>8</w:t>
      </w:r>
    </w:p>
    <w:bookmarkEnd w:id="2"/>
    <w:bookmarkEnd w:id="3"/>
    <w:bookmarkEnd w:id="4"/>
    <w:bookmarkEnd w:id="5"/>
    <w:bookmarkEnd w:id="6"/>
    <w:bookmarkEnd w:id="7"/>
    <w:bookmarkEnd w:id="8"/>
    <w:p>
      <w:pPr>
        <w:spacing w:before="156" w:beforeLines="50" w:after="156" w:afterLines="50"/>
        <w:jc w:val="center"/>
        <w:rPr>
          <w:rFonts w:eastAsia="黑体"/>
          <w:b/>
          <w:sz w:val="36"/>
          <w:szCs w:val="36"/>
        </w:rPr>
      </w:pPr>
    </w:p>
    <w:p>
      <w:pPr>
        <w:spacing w:before="156" w:beforeLines="50" w:after="156" w:afterLines="50"/>
        <w:jc w:val="center"/>
        <w:rPr>
          <w:rFonts w:eastAsia="黑体"/>
          <w:b/>
          <w:sz w:val="36"/>
          <w:szCs w:val="36"/>
        </w:rPr>
      </w:pPr>
    </w:p>
    <w:p>
      <w:pPr>
        <w:spacing w:before="156" w:beforeLines="50" w:after="156" w:afterLines="50"/>
        <w:jc w:val="center"/>
        <w:rPr>
          <w:rFonts w:eastAsia="黑体"/>
          <w:b/>
          <w:sz w:val="36"/>
          <w:szCs w:val="36"/>
        </w:rPr>
        <w:sectPr>
          <w:footerReference r:id="rId6" w:type="default"/>
          <w:pgSz w:w="11906" w:h="16838"/>
          <w:pgMar w:top="1418" w:right="1701" w:bottom="1134" w:left="1701"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p>
    <w:p>
      <w:pPr>
        <w:spacing w:before="156" w:beforeLines="50" w:after="156" w:afterLines="50"/>
        <w:jc w:val="center"/>
        <w:rPr>
          <w:rFonts w:eastAsia="楷体_GB2312"/>
        </w:rPr>
      </w:pPr>
      <w:r>
        <w:rPr>
          <w:rFonts w:eastAsia="黑体"/>
          <w:b/>
          <w:sz w:val="36"/>
          <w:szCs w:val="36"/>
        </w:rPr>
        <w:t>1  绪论</w:t>
      </w:r>
    </w:p>
    <w:p>
      <w:pPr>
        <w:spacing w:before="156" w:beforeLines="50" w:after="156" w:afterLines="50"/>
      </w:pPr>
      <w:r>
        <w:rPr>
          <w:b/>
          <w:sz w:val="28"/>
          <w:szCs w:val="28"/>
        </w:rPr>
        <w:t xml:space="preserve">1.1  </w:t>
      </w:r>
      <w:r>
        <w:rPr>
          <w:rFonts w:eastAsia="黑体"/>
          <w:b/>
          <w:sz w:val="28"/>
          <w:szCs w:val="28"/>
        </w:rPr>
        <w:t>研究背景与研究问题</w:t>
      </w:r>
    </w:p>
    <w:p>
      <w:pPr>
        <w:spacing w:line="360" w:lineRule="auto"/>
        <w:rPr>
          <w:b/>
          <w:sz w:val="24"/>
        </w:rPr>
      </w:pPr>
      <w:r>
        <w:rPr>
          <w:b/>
          <w:sz w:val="24"/>
        </w:rPr>
        <w:t xml:space="preserve">1.1.1  </w:t>
      </w:r>
      <w:r>
        <w:rPr>
          <w:rFonts w:eastAsia="黑体"/>
          <w:b/>
          <w:sz w:val="24"/>
        </w:rPr>
        <w:t>研究背景</w:t>
      </w:r>
    </w:p>
    <w:p>
      <w:pPr>
        <w:spacing w:line="360" w:lineRule="auto"/>
        <w:ind w:firstLine="480" w:firstLineChars="200"/>
        <w:rPr>
          <w:sz w:val="24"/>
        </w:rPr>
      </w:pPr>
      <w:r>
        <w:rPr>
          <w:sz w:val="24"/>
        </w:rPr>
        <w:t>2014年，文章背叛马伊琍后，股民以“声援马伊琍”为口号爆发式买入伊利股份造成伊利股份连续两天大涨；2020年，“量子物理”概念大火，股票名为“量子生物”的制糖企业在业绩亏损的情况下在两个月内股价翻番；而就在不久前的冬奥会，谷爱凌接连夺冠后，股票名为“远望谷”的科技上市公司接连涨停。</w:t>
      </w:r>
    </w:p>
    <w:p>
      <w:pPr>
        <w:spacing w:line="360" w:lineRule="auto"/>
        <w:ind w:firstLine="480" w:firstLineChars="200"/>
        <w:jc w:val="both"/>
        <w:rPr>
          <w:sz w:val="24"/>
        </w:rPr>
      </w:pPr>
      <w:r>
        <w:rPr>
          <w:sz w:val="24"/>
        </w:rPr>
        <w:t>即使没有信息与股票的实质关联和理性逻辑的支持，信息的“谐音”、概念的误解，都有可能引发投资者情绪波动，从而造成股票价格的异常波动，除了</w:t>
      </w:r>
      <w:r>
        <w:rPr>
          <w:rFonts w:hint="eastAsia"/>
          <w:sz w:val="24"/>
          <w:lang w:val="en-US" w:eastAsia="zh-CN"/>
        </w:rPr>
        <w:t>金融</w:t>
      </w:r>
      <w:r>
        <w:rPr>
          <w:sz w:val="24"/>
        </w:rPr>
        <w:t>机构的炒作外，这些现象更多体现的是投资者的有限关注和市场中广泛存在的噪声交易。当然，并非每一个高关注度的新闻或社会事件都会通过“谐音”、“误解”等方式引发广泛的投资者情绪从而造成剧烈的个股价格波动，比起具备极大偶然性的事件，我们更为关心与好奇的是，在中国这样一个活跃着大量散户投资者的市场，许多情况下投资者表现为受信息影响、受情绪支配，那么，类似“上市公司违规处罚公告”这样</w:t>
      </w:r>
      <w:r>
        <w:rPr>
          <w:rFonts w:hint="eastAsia"/>
          <w:sz w:val="24"/>
          <w:lang w:eastAsia="zh-CN"/>
        </w:rPr>
        <w:t>，</w:t>
      </w:r>
      <w:r>
        <w:rPr>
          <w:rFonts w:hint="eastAsia"/>
          <w:sz w:val="24"/>
          <w:lang w:val="en-US" w:eastAsia="zh-CN"/>
        </w:rPr>
        <w:t>既会引起投资者对于股价重新思考，也</w:t>
      </w:r>
      <w:r>
        <w:rPr>
          <w:sz w:val="24"/>
        </w:rPr>
        <w:t>会引起股票投资者及外部投资者负面情绪的信息是怎样影响市场表现的呢？这种影响是否具备必然性呢？</w:t>
      </w:r>
    </w:p>
    <w:p>
      <w:pPr>
        <w:spacing w:line="360" w:lineRule="auto"/>
        <w:ind w:firstLine="480" w:firstLineChars="200"/>
        <w:rPr>
          <w:sz w:val="24"/>
        </w:rPr>
      </w:pPr>
      <w:r>
        <w:rPr>
          <w:sz w:val="24"/>
        </w:rPr>
        <w:t>HS模型把作用</w:t>
      </w:r>
      <w:r>
        <w:rPr>
          <w:rFonts w:hint="eastAsia"/>
          <w:sz w:val="24"/>
          <w:lang w:val="en-US" w:eastAsia="zh-CN"/>
        </w:rPr>
        <w:t>者</w:t>
      </w:r>
      <w:r>
        <w:rPr>
          <w:sz w:val="24"/>
        </w:rPr>
        <w:t>分为</w:t>
      </w:r>
      <w:r>
        <w:rPr>
          <w:rFonts w:hint="eastAsia"/>
          <w:sz w:val="24"/>
          <w:lang w:eastAsia="zh-CN"/>
        </w:rPr>
        <w:t>“</w:t>
      </w:r>
      <w:r>
        <w:rPr>
          <w:sz w:val="24"/>
        </w:rPr>
        <w:t>消息观测者</w:t>
      </w:r>
      <w:r>
        <w:rPr>
          <w:rFonts w:hint="eastAsia"/>
          <w:sz w:val="24"/>
          <w:lang w:eastAsia="zh-CN"/>
        </w:rPr>
        <w:t>”</w:t>
      </w:r>
      <w:r>
        <w:rPr>
          <w:rFonts w:hint="eastAsia"/>
          <w:sz w:val="24"/>
          <w:lang w:val="en-US" w:eastAsia="zh-CN"/>
        </w:rPr>
        <w:t>以及</w:t>
      </w:r>
      <w:r>
        <w:rPr>
          <w:rFonts w:hint="eastAsia"/>
          <w:sz w:val="24"/>
          <w:lang w:eastAsia="zh-CN"/>
        </w:rPr>
        <w:t>“</w:t>
      </w:r>
      <w:r>
        <w:rPr>
          <w:sz w:val="24"/>
        </w:rPr>
        <w:t>动量交易者</w:t>
      </w:r>
      <w:r>
        <w:rPr>
          <w:rFonts w:hint="eastAsia"/>
          <w:sz w:val="24"/>
          <w:lang w:eastAsia="zh-CN"/>
        </w:rPr>
        <w:t>”</w:t>
      </w:r>
      <w:r>
        <w:rPr>
          <w:sz w:val="24"/>
        </w:rPr>
        <w:t>（Hong&amp;Stein，1999），并通过信息扩散假设来解释资产的价格反映；而面对中国股票市场存在的过度反应和反应不足现象，刘煜辉等（2003）发现，对于宏观政策或市场层面产生影响的公共信息，股票收益存在过度反应现象；但个股层面的信息，个股收益率明显反应不足；此外，投资者倾向于对利好消息反应过度而对利空消息反应不足，后者是受到处置效应的影响。然而，中国股票市场经历了十余年快速稳健的发展后，市场反应过度和反应不足现象是否依旧显著存在？面对个股层面的负面信息披露，譬如上市公司违规行为，投资者情绪是否反应在投资者行为上，进而在个股收益上体现？对于不同分市场的股票，这种体现是否具有差异性？遗憾的是少有文献聚焦这一细化问题并给出明确的回答。</w:t>
      </w:r>
    </w:p>
    <w:p>
      <w:pPr>
        <w:spacing w:line="360" w:lineRule="auto"/>
        <w:ind w:firstLine="480" w:firstLineChars="200"/>
        <w:rPr>
          <w:sz w:val="24"/>
        </w:rPr>
      </w:pPr>
      <w:r>
        <w:rPr>
          <w:sz w:val="24"/>
        </w:rPr>
        <w:t>基于行为金融学的视角，我们认为，由“两所一会”（上海证券交易所、深圳证券交易</w:t>
      </w:r>
      <w:r>
        <w:rPr>
          <w:rFonts w:hint="eastAsia"/>
          <w:sz w:val="24"/>
          <w:lang w:eastAsia="zh-CN"/>
        </w:rPr>
        <w:t>、</w:t>
      </w:r>
      <w:r>
        <w:rPr>
          <w:sz w:val="24"/>
        </w:rPr>
        <w:t>中国证监会所及其地方分支机构）官方发布的上市公司违规处罚公告会一定程度上引起投资者关注，并且由违规处罚公告这一负面信息带来的负面投资者情绪会在噪声投资者之间蔓延并影响投资者的决策，从而可能导致该公司股票的显著异常回报。考虑到普遍存在的反应不足问题，我们认为上市公司违规处罚公告披露对于不同规模大小的股票是有差异的，例如沪深A股主板市场股票和创业板市场股票，其所在细分板块成熟度，以及板块内上市公司性质均有很大差异，因此分属这两种市场的上市公司股票对于相似的违规处罚公告的披露可能会有不同程度的反应。</w:t>
      </w:r>
    </w:p>
    <w:p>
      <w:pPr>
        <w:spacing w:line="360" w:lineRule="auto"/>
        <w:ind w:firstLine="480" w:firstLineChars="200"/>
        <w:rPr>
          <w:sz w:val="24"/>
        </w:rPr>
      </w:pPr>
    </w:p>
    <w:p>
      <w:pPr>
        <w:spacing w:line="360" w:lineRule="auto"/>
        <w:rPr>
          <w:b/>
          <w:bCs/>
          <w:sz w:val="24"/>
        </w:rPr>
      </w:pPr>
      <w:r>
        <w:rPr>
          <w:b/>
          <w:bCs/>
          <w:sz w:val="24"/>
        </w:rPr>
        <w:t xml:space="preserve">1.1.2  </w:t>
      </w:r>
      <w:r>
        <w:rPr>
          <w:rFonts w:eastAsia="黑体"/>
          <w:b/>
          <w:bCs/>
          <w:sz w:val="24"/>
        </w:rPr>
        <w:t>研究问题</w:t>
      </w:r>
    </w:p>
    <w:p>
      <w:pPr>
        <w:spacing w:line="360" w:lineRule="auto"/>
        <w:ind w:firstLine="481"/>
        <w:rPr>
          <w:sz w:val="24"/>
        </w:rPr>
      </w:pPr>
      <w:r>
        <w:rPr>
          <w:sz w:val="24"/>
        </w:rPr>
        <w:t>基于1.1.1中的背景与思考，本文主要探讨以下两个问题：</w:t>
      </w:r>
    </w:p>
    <w:p>
      <w:pPr>
        <w:numPr>
          <w:ilvl w:val="0"/>
          <w:numId w:val="1"/>
        </w:numPr>
        <w:spacing w:line="360" w:lineRule="auto"/>
        <w:ind w:firstLine="481"/>
        <w:rPr>
          <w:b/>
          <w:bCs/>
          <w:sz w:val="24"/>
        </w:rPr>
      </w:pPr>
      <w:r>
        <w:rPr>
          <w:b/>
          <w:bCs/>
          <w:sz w:val="24"/>
        </w:rPr>
        <w:t>在沪深A股不同板块，上市公司违规处罚公告的股票</w:t>
      </w:r>
      <w:r>
        <w:rPr>
          <w:rFonts w:hint="eastAsia"/>
          <w:b/>
          <w:bCs/>
          <w:sz w:val="24"/>
          <w:lang w:val="en-US" w:eastAsia="zh-CN"/>
        </w:rPr>
        <w:t>价格</w:t>
      </w:r>
      <w:r>
        <w:rPr>
          <w:b/>
          <w:bCs/>
          <w:sz w:val="24"/>
        </w:rPr>
        <w:t>反应</w:t>
      </w:r>
    </w:p>
    <w:p>
      <w:pPr>
        <w:spacing w:line="360" w:lineRule="auto"/>
        <w:ind w:firstLine="480"/>
        <w:rPr>
          <w:sz w:val="24"/>
        </w:rPr>
      </w:pPr>
      <w:r>
        <w:rPr>
          <w:sz w:val="24"/>
        </w:rPr>
        <w:t>在中国各分板块中相对成熟、板块中股票市值较高，且投资者关注度较高的沪深A股主板市场，上市公司违规处罚公告是否能引起足够的投资者关注从而引发足够的投资者情绪波动？这种投资者情绪是否会显著影响股票回报？对于起步较晚、发展尚且不够成熟的创业板市场，上市公司违规处罚公告是否能得到足够关注并转化为影响股票回报的情绪？违规处罚公告对于创业板股票的影响与对A股的影响有哪些差异？造成这些差异的原因可能是什么？</w:t>
      </w:r>
    </w:p>
    <w:p>
      <w:pPr>
        <w:numPr>
          <w:ilvl w:val="0"/>
          <w:numId w:val="1"/>
        </w:numPr>
        <w:spacing w:line="360" w:lineRule="auto"/>
        <w:ind w:firstLine="481"/>
        <w:rPr>
          <w:b/>
          <w:bCs/>
          <w:sz w:val="24"/>
        </w:rPr>
      </w:pPr>
      <w:r>
        <w:rPr>
          <w:b/>
          <w:bCs/>
          <w:sz w:val="24"/>
        </w:rPr>
        <w:t>对于不同违规处罚方式，上市公司股票的价格反应是否也会存在差异</w:t>
      </w:r>
    </w:p>
    <w:p>
      <w:pPr>
        <w:spacing w:line="360" w:lineRule="auto"/>
        <w:ind w:firstLine="480"/>
        <w:rPr>
          <w:sz w:val="24"/>
        </w:rPr>
      </w:pPr>
      <w:r>
        <w:rPr>
          <w:sz w:val="24"/>
        </w:rPr>
        <w:t>可能会对股票价格对于违规处罚公告发布这一事件相应的价格反应产生影响的，除了上市公司自身因素之外，还存在违规处罚程度的因素，对于不同违规处罚方式的反应是否具有差异体现了投资者对于违规处罚公告内容的关注与否，所以投资者敏感的究竟是“企业违规受到处罚”本身，还是“企业违规受到何种处罚”，这个问题需要我们进一步探索。</w:t>
      </w:r>
    </w:p>
    <w:p>
      <w:pPr>
        <w:numPr>
          <w:ilvl w:val="0"/>
          <w:numId w:val="1"/>
        </w:numPr>
        <w:spacing w:line="360" w:lineRule="auto"/>
        <w:ind w:firstLine="481"/>
        <w:rPr>
          <w:b/>
          <w:bCs/>
          <w:sz w:val="24"/>
        </w:rPr>
      </w:pPr>
      <w:r>
        <w:rPr>
          <w:b/>
          <w:bCs/>
          <w:sz w:val="24"/>
        </w:rPr>
        <w:t>违规处罚公告的发布是否存在提前泄露的情况</w:t>
      </w:r>
    </w:p>
    <w:p>
      <w:pPr>
        <w:spacing w:line="360" w:lineRule="auto"/>
        <w:ind w:firstLine="480"/>
        <w:rPr>
          <w:sz w:val="24"/>
        </w:rPr>
      </w:pPr>
      <w:r>
        <w:rPr>
          <w:sz w:val="24"/>
        </w:rPr>
        <w:t>当处罚下达日和公告日不是同一日时，公告的提前泄露现象已经被前人的研究证实。从企业违规情况发生，到企业接受稽查，到违规处罚的下达与公告，任何一个环节都有可能造成信息的泄露，官方的公告发布需要一定的时间和标准化的流程，那么究竟是否存在公告内容或公告事件提前泄露情况？</w:t>
      </w:r>
    </w:p>
    <w:p>
      <w:pPr>
        <w:spacing w:line="360" w:lineRule="auto"/>
        <w:rPr>
          <w:b/>
          <w:bCs/>
          <w:sz w:val="24"/>
        </w:rPr>
      </w:pPr>
    </w:p>
    <w:p>
      <w:pPr>
        <w:spacing w:before="156" w:beforeLines="50" w:after="156" w:afterLines="50"/>
      </w:pPr>
      <w:r>
        <w:rPr>
          <w:b/>
          <w:sz w:val="28"/>
          <w:szCs w:val="28"/>
        </w:rPr>
        <w:t xml:space="preserve">1.2  </w:t>
      </w:r>
      <w:r>
        <w:rPr>
          <w:rFonts w:eastAsia="黑体"/>
          <w:b/>
          <w:sz w:val="28"/>
          <w:szCs w:val="28"/>
        </w:rPr>
        <w:t>研究目的与研究意义</w:t>
      </w:r>
    </w:p>
    <w:p>
      <w:pPr>
        <w:spacing w:line="360" w:lineRule="auto"/>
        <w:rPr>
          <w:b/>
          <w:sz w:val="24"/>
        </w:rPr>
      </w:pPr>
      <w:r>
        <w:rPr>
          <w:b/>
          <w:sz w:val="24"/>
        </w:rPr>
        <w:t xml:space="preserve">1.2.1  </w:t>
      </w:r>
      <w:r>
        <w:rPr>
          <w:rFonts w:eastAsia="黑体"/>
          <w:b/>
          <w:sz w:val="24"/>
        </w:rPr>
        <w:t>研究目的</w:t>
      </w:r>
    </w:p>
    <w:p>
      <w:pPr>
        <w:spacing w:line="360" w:lineRule="auto"/>
        <w:ind w:firstLine="480"/>
        <w:rPr>
          <w:sz w:val="24"/>
        </w:rPr>
      </w:pPr>
      <w:r>
        <w:rPr>
          <w:sz w:val="24"/>
        </w:rPr>
        <w:t>基于1.1中所述的研究背景和研究问题，本文的研究目的如下：</w:t>
      </w:r>
    </w:p>
    <w:p>
      <w:pPr>
        <w:numPr>
          <w:ilvl w:val="0"/>
          <w:numId w:val="2"/>
        </w:numPr>
        <w:spacing w:line="360" w:lineRule="auto"/>
        <w:ind w:firstLine="480"/>
        <w:rPr>
          <w:b/>
          <w:bCs/>
          <w:sz w:val="24"/>
        </w:rPr>
      </w:pPr>
      <w:r>
        <w:rPr>
          <w:rFonts w:hint="eastAsia"/>
          <w:b/>
          <w:bCs/>
          <w:sz w:val="24"/>
          <w:lang w:val="en-US" w:eastAsia="zh-CN"/>
        </w:rPr>
        <w:t>厘清企业违规处罚公告对股票回报的异质性影响</w:t>
      </w:r>
    </w:p>
    <w:p>
      <w:pPr>
        <w:spacing w:line="360" w:lineRule="auto"/>
        <w:rPr>
          <w:sz w:val="24"/>
        </w:rPr>
      </w:pPr>
      <w:r>
        <w:rPr>
          <w:sz w:val="24"/>
        </w:rPr>
        <w:t xml:space="preserve">    我们将通过实证研究，分别探究上市公司违规处罚公告对</w:t>
      </w:r>
      <w:r>
        <w:rPr>
          <w:rFonts w:hint="eastAsia"/>
          <w:sz w:val="24"/>
          <w:lang w:val="en-US" w:eastAsia="zh-CN"/>
        </w:rPr>
        <w:t>不同板块</w:t>
      </w:r>
      <w:r>
        <w:rPr>
          <w:sz w:val="24"/>
        </w:rPr>
        <w:t>中</w:t>
      </w:r>
      <w:r>
        <w:rPr>
          <w:rFonts w:hint="eastAsia"/>
          <w:sz w:val="24"/>
          <w:lang w:eastAsia="zh-CN"/>
        </w:rPr>
        <w:t>、</w:t>
      </w:r>
      <w:r>
        <w:rPr>
          <w:rFonts w:hint="eastAsia"/>
          <w:sz w:val="24"/>
          <w:lang w:val="en-US" w:eastAsia="zh-CN"/>
        </w:rPr>
        <w:t>不同所有制所</w:t>
      </w:r>
      <w:r>
        <w:rPr>
          <w:sz w:val="24"/>
        </w:rPr>
        <w:t>关联个股股票收益的影响，</w:t>
      </w:r>
      <w:r>
        <w:rPr>
          <w:rFonts w:hint="eastAsia"/>
          <w:sz w:val="24"/>
          <w:lang w:val="en-US" w:eastAsia="zh-CN"/>
        </w:rPr>
        <w:t>以及不同处罚带来的异质性影响，</w:t>
      </w:r>
      <w:r>
        <w:rPr>
          <w:sz w:val="24"/>
        </w:rPr>
        <w:t>并试图结合已有文献和理论对</w:t>
      </w:r>
      <w:r>
        <w:rPr>
          <w:rFonts w:hint="eastAsia"/>
          <w:sz w:val="24"/>
          <w:lang w:val="en-US" w:eastAsia="zh-CN"/>
        </w:rPr>
        <w:t>影响的异质性</w:t>
      </w:r>
      <w:r>
        <w:rPr>
          <w:sz w:val="24"/>
        </w:rPr>
        <w:t>进行分析。</w:t>
      </w:r>
    </w:p>
    <w:p>
      <w:pPr>
        <w:numPr>
          <w:ilvl w:val="0"/>
          <w:numId w:val="2"/>
        </w:numPr>
        <w:spacing w:line="360" w:lineRule="auto"/>
        <w:ind w:firstLine="480"/>
        <w:rPr>
          <w:b/>
          <w:bCs/>
          <w:sz w:val="24"/>
        </w:rPr>
      </w:pPr>
      <w:r>
        <w:rPr>
          <w:b/>
          <w:bCs/>
          <w:sz w:val="24"/>
        </w:rPr>
        <w:t>一定程度上对现有文献进行补充</w:t>
      </w:r>
    </w:p>
    <w:p>
      <w:pPr>
        <w:spacing w:line="360" w:lineRule="auto"/>
        <w:rPr>
          <w:sz w:val="24"/>
        </w:rPr>
      </w:pPr>
      <w:r>
        <w:rPr>
          <w:sz w:val="24"/>
        </w:rPr>
        <w:t xml:space="preserve">    我们希望通过我们的研究</w:t>
      </w:r>
      <w:r>
        <w:rPr>
          <w:rFonts w:hint="eastAsia"/>
          <w:sz w:val="24"/>
          <w:lang w:eastAsia="zh-CN"/>
        </w:rPr>
        <w:t>。</w:t>
      </w:r>
      <w:r>
        <w:rPr>
          <w:sz w:val="24"/>
        </w:rPr>
        <w:t>对有关“企业负面信息披露对股票回报的影响”、“投资者情绪与个股收益”</w:t>
      </w:r>
      <w:r>
        <w:rPr>
          <w:rFonts w:hint="eastAsia"/>
          <w:sz w:val="24"/>
          <w:lang w:val="en-US" w:eastAsia="zh-CN"/>
        </w:rPr>
        <w:t>等相关方面</w:t>
      </w:r>
      <w:r>
        <w:rPr>
          <w:sz w:val="24"/>
        </w:rPr>
        <w:t>的文献进行一定的补充，并基于投资者情绪这一大的话题，聚焦“企业违规处罚公告对股票回报影响”这个小范围，期望能够做出“抛砖引玉”的初步探索。</w:t>
      </w:r>
    </w:p>
    <w:p>
      <w:pPr>
        <w:numPr>
          <w:ilvl w:val="0"/>
          <w:numId w:val="2"/>
        </w:numPr>
        <w:spacing w:line="360" w:lineRule="auto"/>
        <w:ind w:firstLine="480"/>
        <w:rPr>
          <w:b/>
          <w:bCs/>
          <w:sz w:val="24"/>
        </w:rPr>
      </w:pPr>
      <w:r>
        <w:rPr>
          <w:b/>
          <w:bCs/>
          <w:sz w:val="24"/>
        </w:rPr>
        <w:t>给散户投资者提供一定的投资参考</w:t>
      </w:r>
    </w:p>
    <w:p>
      <w:pPr>
        <w:spacing w:line="360" w:lineRule="auto"/>
        <w:ind w:firstLine="480" w:firstLineChars="200"/>
        <w:rPr>
          <w:sz w:val="24"/>
        </w:rPr>
      </w:pPr>
      <w:r>
        <w:rPr>
          <w:sz w:val="24"/>
        </w:rPr>
        <w:t>散户投资者很容易受到噪声的干扰，并在情绪驱使下做出不理智的决策，进而遭受损失。在一个非有效市场，“不完全理性”的投资者一方面可以通过加强金融素养来加强理性思考的能力，另一方面，也可以通过掌握市场对投资者情绪的反应规律，将投资者情绪作为一种决策信息。我们希望能为后者做出一点微薄的贡献。</w:t>
      </w:r>
    </w:p>
    <w:p>
      <w:pPr>
        <w:spacing w:line="360" w:lineRule="auto"/>
        <w:ind w:firstLine="480" w:firstLineChars="200"/>
        <w:rPr>
          <w:sz w:val="24"/>
        </w:rPr>
      </w:pPr>
    </w:p>
    <w:p>
      <w:pPr>
        <w:spacing w:line="360" w:lineRule="auto"/>
        <w:rPr>
          <w:b/>
          <w:sz w:val="24"/>
        </w:rPr>
      </w:pPr>
      <w:r>
        <w:rPr>
          <w:b/>
          <w:sz w:val="24"/>
        </w:rPr>
        <w:t xml:space="preserve">1.2.2  </w:t>
      </w:r>
      <w:r>
        <w:rPr>
          <w:rFonts w:eastAsia="黑体"/>
          <w:b/>
          <w:sz w:val="24"/>
        </w:rPr>
        <w:t>研究意义</w:t>
      </w:r>
    </w:p>
    <w:p>
      <w:pPr>
        <w:spacing w:line="360" w:lineRule="auto"/>
        <w:ind w:firstLine="480"/>
        <w:rPr>
          <w:sz w:val="24"/>
        </w:rPr>
      </w:pPr>
      <w:r>
        <w:rPr>
          <w:sz w:val="24"/>
        </w:rPr>
        <w:t>从理论和现实两个维度考量，本文的研究意义如下：</w:t>
      </w:r>
    </w:p>
    <w:p>
      <w:pPr>
        <w:spacing w:line="360" w:lineRule="auto"/>
        <w:ind w:firstLine="482" w:firstLineChars="200"/>
        <w:rPr>
          <w:b/>
          <w:bCs/>
          <w:sz w:val="24"/>
        </w:rPr>
      </w:pPr>
      <w:r>
        <w:rPr>
          <w:b/>
          <w:bCs/>
          <w:sz w:val="24"/>
        </w:rPr>
        <w:t>1）理论意义</w:t>
      </w:r>
    </w:p>
    <w:p>
      <w:pPr>
        <w:spacing w:line="360" w:lineRule="auto"/>
        <w:rPr>
          <w:sz w:val="24"/>
        </w:rPr>
      </w:pPr>
      <w:r>
        <w:rPr>
          <w:sz w:val="24"/>
        </w:rPr>
        <w:t xml:space="preserve">    首先，本文给出了违规处罚公告发布对沪深A股市场上市公司股票价格造成负面影响的直接证据，其次，本文将</w:t>
      </w:r>
      <w:r>
        <w:rPr>
          <w:rFonts w:hint="eastAsia"/>
          <w:sz w:val="24"/>
          <w:lang w:val="en-US" w:eastAsia="zh-CN"/>
        </w:rPr>
        <w:t>沪深A股</w:t>
      </w:r>
      <w:r>
        <w:rPr>
          <w:sz w:val="24"/>
        </w:rPr>
        <w:t>主板、中小板、创业板股票进行对比分析，且在主板股票的分析中引入所有制的差异，呈现了市值规模、所有制带来的反应差异，此外，本文还验证了提前反应、反向反应、事后回调的存在，这让我们对于企业违规处罚公告发布前后一定时间内，各类股票的价格反映有了明确的梳理和认识，对于公司治理、投资者情绪相关的文献进行了一定程度上的补充。</w:t>
      </w:r>
    </w:p>
    <w:p>
      <w:pPr>
        <w:spacing w:line="360" w:lineRule="auto"/>
        <w:ind w:firstLine="482" w:firstLineChars="200"/>
        <w:rPr>
          <w:b/>
          <w:bCs/>
          <w:sz w:val="24"/>
        </w:rPr>
      </w:pPr>
      <w:r>
        <w:rPr>
          <w:b/>
          <w:bCs/>
          <w:sz w:val="24"/>
        </w:rPr>
        <w:t>2）现实意义</w:t>
      </w:r>
    </w:p>
    <w:p>
      <w:pPr>
        <w:spacing w:line="360" w:lineRule="auto"/>
        <w:ind w:firstLine="480" w:firstLineChars="200"/>
        <w:rPr>
          <w:sz w:val="24"/>
        </w:rPr>
      </w:pPr>
      <w:r>
        <w:rPr>
          <w:sz w:val="24"/>
        </w:rPr>
        <w:t>在中国股票市场这个尚且不成熟且企业违规受罚事件频发的市场，我们首先验证了股票收益显著受到违规受罚事件的负面影响，这在一定程度上警示了公司主体对于公司治理的重视，有益于市场的健康发展；其次，我们发现了提前反应的广泛存在，这启示了监管部门（两所一会及其地方分支机构）对于内部消息的保密管理仍需加强；此外，事后回调的存在以及不同板块、不同所有制股票的差异性反应，也给予了投资者一定的决策支持，投资者可以根据自己持有股票所属的类别和信息披露前的价格表现，将我们发现的规律作为一种经验信息作为决策的依据之一。</w:t>
      </w:r>
    </w:p>
    <w:p>
      <w:pPr>
        <w:spacing w:line="360" w:lineRule="auto"/>
        <w:ind w:firstLine="480" w:firstLineChars="200"/>
        <w:rPr>
          <w:sz w:val="24"/>
        </w:rPr>
      </w:pPr>
    </w:p>
    <w:p>
      <w:pPr>
        <w:spacing w:before="156" w:beforeLines="50" w:after="156" w:afterLines="50"/>
      </w:pPr>
      <w:r>
        <w:rPr>
          <w:b/>
          <w:sz w:val="28"/>
          <w:szCs w:val="28"/>
        </w:rPr>
        <w:t xml:space="preserve">1.3  </w:t>
      </w:r>
      <w:r>
        <w:rPr>
          <w:rFonts w:eastAsia="黑体"/>
          <w:b/>
          <w:sz w:val="28"/>
          <w:szCs w:val="28"/>
        </w:rPr>
        <w:t>研究方法与研究内容</w:t>
      </w:r>
    </w:p>
    <w:p>
      <w:pPr>
        <w:spacing w:line="360" w:lineRule="auto"/>
        <w:rPr>
          <w:b/>
          <w:sz w:val="24"/>
        </w:rPr>
      </w:pPr>
      <w:r>
        <w:rPr>
          <w:b/>
          <w:sz w:val="24"/>
        </w:rPr>
        <w:t xml:space="preserve">1.3.1  </w:t>
      </w:r>
      <w:r>
        <w:rPr>
          <w:rFonts w:eastAsia="黑体"/>
          <w:b/>
          <w:sz w:val="24"/>
        </w:rPr>
        <w:t>研究方法</w:t>
      </w:r>
    </w:p>
    <w:p>
      <w:pPr>
        <w:spacing w:line="360" w:lineRule="auto"/>
        <w:ind w:firstLine="480"/>
        <w:rPr>
          <w:sz w:val="24"/>
        </w:rPr>
      </w:pPr>
      <w:r>
        <w:rPr>
          <w:sz w:val="24"/>
        </w:rPr>
        <w:t>本文主要采用文献研究法和实证研究法来开展研究，具体如下：</w:t>
      </w:r>
    </w:p>
    <w:p>
      <w:pPr>
        <w:spacing w:line="360" w:lineRule="auto"/>
        <w:ind w:firstLine="482" w:firstLineChars="200"/>
        <w:rPr>
          <w:b/>
          <w:bCs/>
          <w:sz w:val="24"/>
        </w:rPr>
      </w:pPr>
      <w:r>
        <w:rPr>
          <w:b/>
          <w:bCs/>
          <w:sz w:val="24"/>
        </w:rPr>
        <w:t>1）文献研究法</w:t>
      </w:r>
    </w:p>
    <w:p>
      <w:pPr>
        <w:spacing w:line="360" w:lineRule="auto"/>
        <w:ind w:firstLine="480" w:firstLineChars="200"/>
        <w:rPr>
          <w:sz w:val="24"/>
        </w:rPr>
      </w:pPr>
      <w:r>
        <w:rPr>
          <w:sz w:val="24"/>
        </w:rPr>
        <w:t>首先，我们对相关文献进行了梳理和总结，我们研究的文献范围包括投资者关注、投资者情绪与股票收益、舆情与股票收益、公司治理等多个方面，以了解现有研究的成果及不足之处；然后，我们通过对文献的思考和分析提出了我们的研究问题和逻辑链条。</w:t>
      </w:r>
    </w:p>
    <w:p>
      <w:pPr>
        <w:numPr>
          <w:ilvl w:val="0"/>
          <w:numId w:val="3"/>
        </w:numPr>
        <w:spacing w:line="360" w:lineRule="auto"/>
        <w:ind w:firstLine="482" w:firstLineChars="200"/>
        <w:rPr>
          <w:b/>
          <w:bCs/>
          <w:sz w:val="24"/>
        </w:rPr>
      </w:pPr>
      <w:r>
        <w:rPr>
          <w:b/>
          <w:bCs/>
          <w:sz w:val="24"/>
        </w:rPr>
        <w:t>实证研究法</w:t>
      </w:r>
    </w:p>
    <w:p>
      <w:pPr>
        <w:spacing w:line="360" w:lineRule="auto"/>
        <w:ind w:firstLine="480"/>
        <w:rPr>
          <w:sz w:val="24"/>
        </w:rPr>
      </w:pPr>
      <w:r>
        <w:rPr>
          <w:sz w:val="24"/>
        </w:rPr>
        <w:t>我们采用的核心方法是事件研究法。我们从国泰安数据库（CSMAR）收集相关数据，利用stata软件，通过对累计平均异常回报率（CAAR）的计量分析来探讨上市公司违规处罚公告发布与股票回报表现的相关关系。</w:t>
      </w:r>
    </w:p>
    <w:p>
      <w:pPr>
        <w:spacing w:line="360" w:lineRule="auto"/>
        <w:ind w:firstLine="480"/>
        <w:rPr>
          <w:sz w:val="24"/>
        </w:rPr>
      </w:pPr>
    </w:p>
    <w:p>
      <w:pPr>
        <w:spacing w:line="360" w:lineRule="auto"/>
        <w:rPr>
          <w:b/>
          <w:bCs/>
          <w:sz w:val="24"/>
        </w:rPr>
      </w:pPr>
      <w:r>
        <w:rPr>
          <w:b/>
          <w:bCs/>
          <w:sz w:val="24"/>
        </w:rPr>
        <w:t xml:space="preserve">1.3.2  </w:t>
      </w:r>
      <w:r>
        <w:rPr>
          <w:rFonts w:eastAsia="黑体"/>
          <w:b/>
          <w:bCs/>
          <w:sz w:val="24"/>
        </w:rPr>
        <w:t>研究内容</w:t>
      </w:r>
    </w:p>
    <w:p>
      <w:pPr>
        <w:spacing w:line="360" w:lineRule="auto"/>
        <w:ind w:firstLine="480"/>
        <w:rPr>
          <w:sz w:val="24"/>
        </w:rPr>
      </w:pPr>
      <w:r>
        <w:rPr>
          <w:sz w:val="24"/>
        </w:rPr>
        <w:t>基于1.1.2中提出的研究问题，我们首先探究了上市公司违规处罚公告的发布是否会引起股票异常收益，并针对这种影响在沪深A股市场和创业板市场的差异进行了分析讨论。我们的所有数据均来源于深圳国泰安（CSMAR）数据库，我们总共收集了2017-2021年间6001则由“两所一会”发布的对沪深A股和创业板股票的企业违规处罚公告，经过数据清洗，最终我们选取了沪深A股市场的2724次违规处罚公告事件进行分析与研究。应用Ball和Brown（1968）提出的事件研究法，我们发现，在上市公司违规处罚公告发布前，既有异常回报发生，也有异常损失发生，其中，异常回报先于异常损失发生，在违规处罚公告发布后，上市公司普遍遭受异常损失，其中，低市值股票反应较为迅速，且反应更为显著，高市值股票则相反，且国企反应强于</w:t>
      </w:r>
      <w:r>
        <w:rPr>
          <w:rFonts w:hint="eastAsia"/>
          <w:sz w:val="24"/>
          <w:lang w:eastAsia="zh-CN"/>
        </w:rPr>
        <w:t>民营</w:t>
      </w:r>
      <w:r>
        <w:rPr>
          <w:sz w:val="24"/>
        </w:rPr>
        <w:t>，此外，在遭受异常损失后，许多上市公司都出现了回调，但在我们的观测窗口内，回调不足以覆盖异常损失。</w:t>
      </w:r>
    </w:p>
    <w:p>
      <w:pPr>
        <w:spacing w:line="360" w:lineRule="auto"/>
        <w:ind w:firstLine="480"/>
        <w:rPr>
          <w:sz w:val="24"/>
        </w:rPr>
      </w:pPr>
      <w:r>
        <w:rPr>
          <w:sz w:val="24"/>
        </w:rPr>
        <w:t>全文结构安排如下：</w:t>
      </w:r>
    </w:p>
    <w:p>
      <w:pPr>
        <w:spacing w:line="360" w:lineRule="auto"/>
        <w:ind w:firstLine="480"/>
        <w:rPr>
          <w:sz w:val="24"/>
        </w:rPr>
      </w:pPr>
      <w:r>
        <w:rPr>
          <w:sz w:val="24"/>
        </w:rPr>
        <w:t>第2章作为本文文献综述部分，我们就“上市公司违规处罚与股票回报”、“投资者关注、投资者情绪与资产回报”、“信息披露、投资者情绪和资产回报”以及“投资者情绪与股票回报”</w:t>
      </w:r>
      <w:r>
        <w:rPr>
          <w:rFonts w:hint="eastAsia"/>
          <w:sz w:val="24"/>
          <w:lang w:val="en-US" w:eastAsia="zh-CN"/>
        </w:rPr>
        <w:t>四</w:t>
      </w:r>
      <w:r>
        <w:rPr>
          <w:sz w:val="24"/>
        </w:rPr>
        <w:t>个部分梳理并分析了相关文献。</w:t>
      </w:r>
    </w:p>
    <w:p>
      <w:pPr>
        <w:spacing w:line="360" w:lineRule="auto"/>
        <w:ind w:firstLine="480"/>
        <w:rPr>
          <w:sz w:val="24"/>
        </w:rPr>
      </w:pPr>
      <w:r>
        <w:rPr>
          <w:sz w:val="24"/>
        </w:rPr>
        <w:t>第3章是提出假设以及研究设计的部分，我们基于第2章中对文献的理解与分析，以及现有理论框架和我们的研究问题提出假设；同时，我们详细解释了数据的来源和筛选原则，以便减少事件之间的相互干扰，同时便于读者检验我们结果的可靠性。</w:t>
      </w:r>
    </w:p>
    <w:p>
      <w:pPr>
        <w:spacing w:line="360" w:lineRule="auto"/>
        <w:ind w:firstLine="480"/>
        <w:rPr>
          <w:sz w:val="24"/>
        </w:rPr>
      </w:pPr>
      <w:r>
        <w:rPr>
          <w:sz w:val="24"/>
        </w:rPr>
        <w:t>第4章呈现了我们实证分析的结果。我们按照不同的分类方式对企业违规处罚公告发布前后股票回报的异常波动进行了研究，证实了我们第3章中提出的假设，发现了板块差异性、所有制差异性，并发现了提前反应、反向反应和事后回调的存在。</w:t>
      </w:r>
    </w:p>
    <w:p>
      <w:pPr>
        <w:spacing w:line="360" w:lineRule="auto"/>
        <w:ind w:firstLine="480"/>
        <w:rPr>
          <w:sz w:val="24"/>
        </w:rPr>
      </w:pPr>
      <w:r>
        <w:rPr>
          <w:sz w:val="24"/>
        </w:rPr>
        <w:t>第5章总结了我们得到的结论，并提出了目前的不足以及对于进一步研究方向的思考。</w:t>
      </w:r>
    </w:p>
    <w:p>
      <w:pPr>
        <w:spacing w:line="360" w:lineRule="auto"/>
        <w:rPr>
          <w:sz w:val="24"/>
        </w:rPr>
      </w:pPr>
      <w:r>
        <w:rPr>
          <w:b/>
          <w:bCs/>
          <w:sz w:val="24"/>
        </w:rPr>
        <w:t xml:space="preserve">    </w:t>
      </w:r>
    </w:p>
    <w:p>
      <w:pPr>
        <w:spacing w:line="360" w:lineRule="auto"/>
        <w:rPr>
          <w:sz w:val="24"/>
        </w:rPr>
      </w:pPr>
    </w:p>
    <w:p>
      <w:pPr>
        <w:spacing w:line="360" w:lineRule="auto"/>
        <w:rPr>
          <w:sz w:val="24"/>
        </w:rPr>
      </w:pPr>
    </w:p>
    <w:p>
      <w:pPr>
        <w:spacing w:line="360" w:lineRule="auto"/>
        <w:rPr>
          <w:sz w:val="24"/>
        </w:rPr>
      </w:pPr>
    </w:p>
    <w:p>
      <w:pPr>
        <w:spacing w:line="360" w:lineRule="auto"/>
        <w:rPr>
          <w:sz w:val="24"/>
        </w:rPr>
      </w:pPr>
    </w:p>
    <w:p>
      <w:pPr>
        <w:spacing w:line="360" w:lineRule="auto"/>
        <w:rPr>
          <w:sz w:val="24"/>
        </w:rPr>
      </w:pPr>
    </w:p>
    <w:p>
      <w:pPr>
        <w:spacing w:line="360" w:lineRule="auto"/>
        <w:rPr>
          <w:sz w:val="24"/>
        </w:rPr>
      </w:pPr>
    </w:p>
    <w:p>
      <w:pPr>
        <w:spacing w:line="360" w:lineRule="auto"/>
        <w:rPr>
          <w:sz w:val="24"/>
        </w:rPr>
      </w:pPr>
    </w:p>
    <w:p>
      <w:pPr>
        <w:spacing w:before="156" w:beforeLines="50" w:after="156" w:afterLines="50"/>
        <w:rPr>
          <w:rFonts w:eastAsia="黑体"/>
          <w:b/>
          <w:sz w:val="36"/>
          <w:szCs w:val="36"/>
        </w:rPr>
      </w:pPr>
    </w:p>
    <w:p>
      <w:pPr>
        <w:spacing w:before="156" w:beforeLines="50" w:after="156" w:afterLines="50"/>
        <w:jc w:val="center"/>
        <w:rPr>
          <w:rFonts w:eastAsia="黑体"/>
        </w:rPr>
      </w:pPr>
      <w:r>
        <w:rPr>
          <w:rFonts w:eastAsia="黑体"/>
          <w:b/>
          <w:sz w:val="36"/>
          <w:szCs w:val="36"/>
        </w:rPr>
        <w:t>2  文献综述</w:t>
      </w:r>
    </w:p>
    <w:p>
      <w:pPr>
        <w:spacing w:line="360" w:lineRule="auto"/>
        <w:ind w:firstLine="480" w:firstLineChars="200"/>
        <w:rPr>
          <w:sz w:val="24"/>
        </w:rPr>
      </w:pPr>
      <w:r>
        <w:rPr>
          <w:sz w:val="24"/>
        </w:rPr>
        <w:t>目前学界有关类似话题的研究较少，</w:t>
      </w:r>
      <w:r>
        <w:rPr>
          <w:rFonts w:hint="eastAsia"/>
          <w:sz w:val="24"/>
          <w:lang w:val="en-US" w:eastAsia="zh-CN"/>
        </w:rPr>
        <w:t>我们将从违规处罚公告入手，外延到消息披露</w:t>
      </w:r>
      <w:r>
        <w:rPr>
          <w:sz w:val="24"/>
        </w:rPr>
        <w:t>，</w:t>
      </w:r>
      <w:r>
        <w:rPr>
          <w:rFonts w:hint="eastAsia"/>
          <w:sz w:val="24"/>
          <w:lang w:val="en-US" w:eastAsia="zh-CN"/>
        </w:rPr>
        <w:t>并着重探讨投资者情绪这一影响机制，</w:t>
      </w:r>
      <w:r>
        <w:rPr>
          <w:sz w:val="24"/>
        </w:rPr>
        <w:t>逐步梳理相关文献，力图为我们的研究做好理论铺垫。</w:t>
      </w:r>
    </w:p>
    <w:p>
      <w:pPr>
        <w:spacing w:before="156" w:beforeLines="50" w:after="156" w:afterLines="50"/>
        <w:rPr>
          <w:rFonts w:eastAsia="黑体"/>
          <w:b/>
          <w:sz w:val="28"/>
          <w:szCs w:val="28"/>
        </w:rPr>
      </w:pPr>
      <w:r>
        <w:rPr>
          <w:b/>
          <w:sz w:val="28"/>
          <w:szCs w:val="28"/>
        </w:rPr>
        <w:t>2.</w:t>
      </w:r>
      <w:r>
        <w:rPr>
          <w:rFonts w:hint="eastAsia"/>
          <w:b/>
          <w:sz w:val="28"/>
          <w:szCs w:val="28"/>
          <w:lang w:val="en-US" w:eastAsia="zh-CN"/>
        </w:rPr>
        <w:t>1</w:t>
      </w:r>
      <w:r>
        <w:rPr>
          <w:b/>
          <w:sz w:val="28"/>
          <w:szCs w:val="28"/>
        </w:rPr>
        <w:t xml:space="preserve">  </w:t>
      </w:r>
      <w:r>
        <w:rPr>
          <w:rFonts w:eastAsia="黑体"/>
          <w:b/>
          <w:sz w:val="28"/>
          <w:szCs w:val="28"/>
        </w:rPr>
        <w:t>上市公司违规处罚与股票回报</w:t>
      </w:r>
    </w:p>
    <w:p>
      <w:pPr>
        <w:spacing w:line="360" w:lineRule="auto"/>
        <w:ind w:firstLine="480" w:firstLineChars="200"/>
        <w:rPr>
          <w:sz w:val="24"/>
        </w:rPr>
      </w:pPr>
      <w:r>
        <w:rPr>
          <w:sz w:val="24"/>
        </w:rPr>
        <w:t>有的学者将目光聚焦在处罚力度和监管机构内部管理上，例如，陈国进等（2005）发现处罚公告日前后投资者遭受了非正常损失，一方面证券执法尚未对潜在违法违规者起到真正的威慑作用，另一方面我国现行证券法规尚有缺陷,受害的投资者得不到充分补偿。杨兴哲和周翔翼（2020）研究发现上市公司违规处理公告存在提前泄露的现象，这意味着当处理下批日期和公告发布日期存在时间间隔时，知情交易者可以规避部分损失甚至套利。</w:t>
      </w:r>
    </w:p>
    <w:p>
      <w:pPr>
        <w:spacing w:line="360" w:lineRule="auto"/>
        <w:ind w:firstLine="480" w:firstLineChars="200"/>
        <w:rPr>
          <w:sz w:val="24"/>
        </w:rPr>
      </w:pPr>
      <w:r>
        <w:rPr>
          <w:sz w:val="24"/>
        </w:rPr>
        <w:t>还有部分学者对于企业违规行为的影响因素和结果进行了研究，例如，陆瑶等（2012）发现机构投资者持股降低了公司违规倾向，且同时增加了公司违规行为被稽查的可能性，而机构投资者对信息披露违规的影响强于公司经营违规的影响；周开国等（2016）发现对于越是频繁违规的公司，媒体监督的治理效果越明显，且媒体监督效果逐年提升。对公司违规行为后果的研究发现，上市公司被处罚当年及之后的年份会被要求更高的审计费用，且审计师出具非标准审计意见的概率更高（朱春艳和伍利娜，2009）。</w:t>
      </w:r>
    </w:p>
    <w:p>
      <w:pPr>
        <w:spacing w:line="360" w:lineRule="auto"/>
        <w:ind w:firstLine="480" w:firstLineChars="200"/>
        <w:rPr>
          <w:sz w:val="24"/>
        </w:rPr>
      </w:pPr>
    </w:p>
    <w:p>
      <w:pPr>
        <w:spacing w:before="156" w:beforeLines="50" w:after="156" w:afterLines="50"/>
        <w:rPr>
          <w:rFonts w:eastAsia="黑体"/>
          <w:b/>
          <w:sz w:val="28"/>
          <w:szCs w:val="28"/>
        </w:rPr>
      </w:pPr>
      <w:r>
        <w:rPr>
          <w:b/>
          <w:sz w:val="28"/>
          <w:szCs w:val="28"/>
        </w:rPr>
        <w:t>2.</w:t>
      </w:r>
      <w:r>
        <w:rPr>
          <w:rFonts w:hint="eastAsia"/>
          <w:b/>
          <w:sz w:val="28"/>
          <w:szCs w:val="28"/>
          <w:lang w:val="en-US" w:eastAsia="zh-CN"/>
        </w:rPr>
        <w:t>2</w:t>
      </w:r>
      <w:r>
        <w:rPr>
          <w:b/>
          <w:sz w:val="28"/>
          <w:szCs w:val="28"/>
        </w:rPr>
        <w:t xml:space="preserve"> </w:t>
      </w:r>
      <w:r>
        <w:rPr>
          <w:rFonts w:eastAsia="黑体"/>
          <w:b/>
          <w:sz w:val="28"/>
          <w:szCs w:val="28"/>
        </w:rPr>
        <w:t>信息披露、投资者情绪和资产回报</w:t>
      </w:r>
    </w:p>
    <w:p>
      <w:pPr>
        <w:spacing w:line="360" w:lineRule="auto"/>
        <w:ind w:firstLine="480" w:firstLineChars="200"/>
        <w:rPr>
          <w:sz w:val="24"/>
        </w:rPr>
      </w:pPr>
      <w:r>
        <w:rPr>
          <w:sz w:val="24"/>
        </w:rPr>
        <w:t>企业各方面正面或负面信息的披露往往会引发投资者的情绪波动，而投资者情绪反应很可能造成短期资产回报异常波动。汪昌云和武佳薇（2015）发现负面媒体语气能很好地解释IPO抑价率，并验证了媒体语气作为投资者情绪代理变量的可靠性；Tetlock等（2008）认为报道中负面用词会给股票回报带来显著负面影响，而负面情绪在市场乐观的条件下往往不能对股票收益产生显著影响（章宁和沈文标，2016）。新闻联播的报道也会引起投资者关注，进而导致股票短期出现异常超额收益，然而长期看来会出现反转，表现为超额收益不显著（王春和王进猛，2020）。</w:t>
      </w:r>
    </w:p>
    <w:p>
      <w:pPr>
        <w:spacing w:line="360" w:lineRule="auto"/>
        <w:ind w:firstLine="480" w:firstLineChars="200"/>
        <w:rPr>
          <w:sz w:val="24"/>
        </w:rPr>
      </w:pPr>
      <w:r>
        <w:rPr>
          <w:sz w:val="24"/>
        </w:rPr>
        <w:t>大量的研究表明，官方公告往往也会带来公告效应。例如，李俊峰等（2011）发现大股东增持公告事件窗口内有显著为正的公告效应；刘力等（2003）对A股市场增发的市场反应和原因进行分析发现增发公告具有显著的负价格效应；权小锋和吴世农（2010）发现投资者关注与盈余公告效应呈现显著负向关系，谭伟强（2008）发现投资者的有限关注使得对于不同时间发布的盈余公告有不同程度的关注和反应，并且我国上市公司为了减少投资者关注度倾向于在周六公布负面信息；但吕长江和许静静（2010）的研究表明，比起股票股利，市场对现金股利变更并不敏感，现金股利的发放没有带来显著的价格效应。</w:t>
      </w:r>
    </w:p>
    <w:p>
      <w:pPr>
        <w:spacing w:line="360" w:lineRule="auto"/>
        <w:ind w:firstLine="480" w:firstLineChars="200"/>
        <w:rPr>
          <w:sz w:val="24"/>
        </w:rPr>
      </w:pPr>
    </w:p>
    <w:p>
      <w:pPr>
        <w:spacing w:before="156" w:beforeLines="50" w:after="156" w:afterLines="50"/>
        <w:rPr>
          <w:rFonts w:eastAsia="黑体"/>
          <w:b/>
          <w:sz w:val="28"/>
          <w:szCs w:val="28"/>
        </w:rPr>
      </w:pPr>
      <w:r>
        <w:rPr>
          <w:b/>
          <w:sz w:val="28"/>
          <w:szCs w:val="28"/>
        </w:rPr>
        <w:t>2.</w:t>
      </w:r>
      <w:r>
        <w:rPr>
          <w:rFonts w:hint="eastAsia"/>
          <w:b/>
          <w:sz w:val="28"/>
          <w:szCs w:val="28"/>
          <w:lang w:val="en-US" w:eastAsia="zh-CN"/>
        </w:rPr>
        <w:t>3</w:t>
      </w:r>
      <w:r>
        <w:rPr>
          <w:b/>
          <w:sz w:val="28"/>
          <w:szCs w:val="28"/>
        </w:rPr>
        <w:t xml:space="preserve">  </w:t>
      </w:r>
      <w:r>
        <w:rPr>
          <w:rFonts w:eastAsia="黑体"/>
          <w:b/>
          <w:sz w:val="28"/>
          <w:szCs w:val="28"/>
        </w:rPr>
        <w:t>投资者关注、投资者情绪和资产回报</w:t>
      </w:r>
    </w:p>
    <w:p>
      <w:pPr>
        <w:spacing w:line="360" w:lineRule="auto"/>
        <w:ind w:firstLine="480" w:firstLineChars="200"/>
        <w:rPr>
          <w:sz w:val="24"/>
        </w:rPr>
      </w:pPr>
      <w:r>
        <w:rPr>
          <w:sz w:val="24"/>
        </w:rPr>
        <w:t>投资者关注分为关注和有限关注，体现了外部信息被理解和选择反应的需求（Engelherg等，2012），投资者情绪和投资者关注会驱使投资者进行特定的信息检索（张谊浩等，2014），这意味着投资者可能会把关注主要分配给自己所持有或计划持有的股票；而Rowe等（2007）也发现投资者情绪的唤醒水平会影响投资者关注的分配，在乐观和悲观的市场情绪氛围下，投资者可能会有不同的关注点；李小晗和朱红军（2011）认为投资者关注程度仅影响信息解读和传播的效率，长期来看并不影响结果，但仅仅对于短期而言，投资者关注程度仍然对于资产回报有显著影响。</w:t>
      </w:r>
    </w:p>
    <w:p>
      <w:pPr>
        <w:spacing w:line="360" w:lineRule="auto"/>
        <w:ind w:firstLine="480" w:firstLineChars="200"/>
        <w:rPr>
          <w:sz w:val="24"/>
        </w:rPr>
      </w:pPr>
    </w:p>
    <w:p>
      <w:pPr>
        <w:spacing w:before="156" w:beforeLines="50" w:after="156" w:afterLines="50"/>
        <w:rPr>
          <w:rFonts w:hint="eastAsia" w:eastAsia="黑体"/>
          <w:b/>
          <w:sz w:val="28"/>
          <w:szCs w:val="28"/>
          <w:lang w:val="en-US" w:eastAsia="zh-CN"/>
        </w:rPr>
      </w:pPr>
      <w:r>
        <w:rPr>
          <w:b/>
          <w:sz w:val="28"/>
          <w:szCs w:val="28"/>
        </w:rPr>
        <w:t>2.</w:t>
      </w:r>
      <w:r>
        <w:rPr>
          <w:rFonts w:hint="eastAsia"/>
          <w:b/>
          <w:sz w:val="28"/>
          <w:szCs w:val="28"/>
          <w:lang w:val="en-US" w:eastAsia="zh-CN"/>
        </w:rPr>
        <w:t>4</w:t>
      </w:r>
      <w:r>
        <w:rPr>
          <w:b/>
          <w:sz w:val="28"/>
          <w:szCs w:val="28"/>
        </w:rPr>
        <w:t xml:space="preserve">  </w:t>
      </w:r>
      <w:r>
        <w:rPr>
          <w:rFonts w:eastAsia="黑体"/>
          <w:b/>
          <w:sz w:val="28"/>
          <w:szCs w:val="28"/>
        </w:rPr>
        <w:t>投资者情绪</w:t>
      </w:r>
      <w:r>
        <w:rPr>
          <w:rFonts w:hint="eastAsia" w:eastAsia="黑体"/>
          <w:b/>
          <w:sz w:val="28"/>
          <w:szCs w:val="28"/>
          <w:lang w:val="en-US" w:eastAsia="zh-CN"/>
        </w:rPr>
        <w:t>及其与股票回报</w:t>
      </w:r>
    </w:p>
    <w:p>
      <w:pPr>
        <w:spacing w:line="360" w:lineRule="auto"/>
        <w:jc w:val="left"/>
        <w:rPr>
          <w:rFonts w:hint="eastAsia" w:eastAsia="黑体"/>
          <w:b/>
          <w:sz w:val="28"/>
          <w:szCs w:val="28"/>
          <w:lang w:val="en-US" w:eastAsia="zh-CN"/>
        </w:rPr>
      </w:pPr>
      <w:r>
        <w:rPr>
          <w:rFonts w:hint="eastAsia"/>
          <w:b/>
          <w:bCs/>
          <w:sz w:val="24"/>
          <w:lang w:val="en-US" w:eastAsia="zh-CN"/>
        </w:rPr>
        <w:t>2</w:t>
      </w:r>
      <w:r>
        <w:rPr>
          <w:b/>
          <w:bCs/>
          <w:sz w:val="24"/>
        </w:rPr>
        <w:t>.</w:t>
      </w:r>
      <w:r>
        <w:rPr>
          <w:rFonts w:hint="eastAsia"/>
          <w:b/>
          <w:bCs/>
          <w:sz w:val="24"/>
          <w:lang w:val="en-US" w:eastAsia="zh-CN"/>
        </w:rPr>
        <w:t>4</w:t>
      </w:r>
      <w:r>
        <w:rPr>
          <w:b/>
          <w:bCs/>
          <w:sz w:val="24"/>
        </w:rPr>
        <w:t>.1</w:t>
      </w:r>
      <w:r>
        <w:rPr>
          <w:sz w:val="24"/>
        </w:rPr>
        <w:t xml:space="preserve"> </w:t>
      </w:r>
      <w:r>
        <w:rPr>
          <w:b/>
          <w:bCs/>
          <w:sz w:val="24"/>
        </w:rPr>
        <w:t xml:space="preserve"> </w:t>
      </w:r>
      <w:r>
        <w:rPr>
          <w:rFonts w:hint="eastAsia" w:eastAsia="黑体"/>
          <w:b/>
          <w:bCs/>
          <w:sz w:val="24"/>
          <w:lang w:val="en-US" w:eastAsia="zh-CN"/>
        </w:rPr>
        <w:t>投资者情绪</w:t>
      </w:r>
    </w:p>
    <w:p>
      <w:pPr>
        <w:spacing w:line="360" w:lineRule="auto"/>
        <w:ind w:firstLine="480" w:firstLineChars="200"/>
        <w:rPr>
          <w:sz w:val="24"/>
        </w:rPr>
      </w:pPr>
      <w:r>
        <w:rPr>
          <w:sz w:val="24"/>
        </w:rPr>
        <w:t>投资者情绪，是一种对于资产未来现金流以及风险的信念，而这种信念并不完全是对既有事实的反应（Baker</w:t>
      </w:r>
      <w:r>
        <w:rPr>
          <w:rFonts w:hint="eastAsia"/>
          <w:sz w:val="24"/>
          <w:lang w:val="en-US" w:eastAsia="zh-CN"/>
        </w:rPr>
        <w:t>和</w:t>
      </w:r>
      <w:r>
        <w:rPr>
          <w:sz w:val="24"/>
        </w:rPr>
        <w:t>Wurgler，2006）。</w:t>
      </w:r>
    </w:p>
    <w:p>
      <w:pPr>
        <w:spacing w:line="360" w:lineRule="auto"/>
        <w:ind w:firstLine="480" w:firstLineChars="200"/>
        <w:jc w:val="both"/>
        <w:rPr>
          <w:sz w:val="24"/>
        </w:rPr>
      </w:pPr>
      <w:r>
        <w:rPr>
          <w:sz w:val="24"/>
        </w:rPr>
        <w:t>对于投资者情绪的衡量，一直以来，都有两类方式。一类是通过对投资者的问卷调查等直接形式获得投资者主观信念与情绪，这样获得的主观情绪具有事前性，这种投资者情绪既可以是针对某个市场的，也可以是针对具体某项资产的；另一类是基于市场公开统计得到的交易数据从侧面推算出来的投资者情绪，这样间接获得的投资者情绪具有事后性。</w:t>
      </w:r>
    </w:p>
    <w:p>
      <w:pPr>
        <w:spacing w:line="360" w:lineRule="auto"/>
        <w:ind w:firstLine="480" w:firstLineChars="200"/>
        <w:rPr>
          <w:sz w:val="24"/>
        </w:rPr>
      </w:pPr>
      <w:r>
        <w:rPr>
          <w:sz w:val="24"/>
        </w:rPr>
        <w:t>投资者情绪衡量的不仅仅是投资者的心理特征和行为倾向，还与投资者对宏观经济周期的感知与反应有关。许多研究者们都发现投资者情绪（信心）与宏观经济的繁荣具有正相关关系（Ludvigsion, 2004; Baker&amp;Wurgler，2006），而投资者情绪中与宏观经济相关的部分蕴含着理性预期（王擎，2004），所以在构造情绪指数时，应剔除宏观因素的影响（易志高和茅宁，2009）。除了宏观经济因素外，雷光勇、王文和金鑫（2012）发现公司治理质量与外部投资者信心呈现正向相关。</w:t>
      </w:r>
    </w:p>
    <w:p>
      <w:pPr>
        <w:spacing w:line="360" w:lineRule="auto"/>
        <w:ind w:firstLine="480" w:firstLineChars="200"/>
        <w:rPr>
          <w:sz w:val="24"/>
        </w:rPr>
      </w:pPr>
    </w:p>
    <w:p>
      <w:pPr>
        <w:spacing w:line="360" w:lineRule="auto"/>
        <w:jc w:val="left"/>
        <w:rPr>
          <w:rFonts w:hint="default" w:eastAsia="黑体"/>
          <w:b/>
          <w:sz w:val="28"/>
          <w:szCs w:val="28"/>
          <w:lang w:val="en-US" w:eastAsia="zh-CN"/>
        </w:rPr>
      </w:pPr>
      <w:r>
        <w:rPr>
          <w:rFonts w:hint="eastAsia"/>
          <w:b/>
          <w:bCs/>
          <w:sz w:val="24"/>
          <w:lang w:val="en-US" w:eastAsia="zh-CN"/>
        </w:rPr>
        <w:t>2</w:t>
      </w:r>
      <w:r>
        <w:rPr>
          <w:b/>
          <w:bCs/>
          <w:sz w:val="24"/>
        </w:rPr>
        <w:t>.</w:t>
      </w:r>
      <w:r>
        <w:rPr>
          <w:rFonts w:hint="eastAsia"/>
          <w:b/>
          <w:bCs/>
          <w:sz w:val="24"/>
          <w:lang w:val="en-US" w:eastAsia="zh-CN"/>
        </w:rPr>
        <w:t>4</w:t>
      </w:r>
      <w:r>
        <w:rPr>
          <w:b/>
          <w:bCs/>
          <w:sz w:val="24"/>
        </w:rPr>
        <w:t>.</w:t>
      </w:r>
      <w:r>
        <w:rPr>
          <w:rFonts w:hint="eastAsia"/>
          <w:b/>
          <w:bCs/>
          <w:sz w:val="24"/>
          <w:lang w:val="en-US" w:eastAsia="zh-CN"/>
        </w:rPr>
        <w:t>2</w:t>
      </w:r>
      <w:r>
        <w:rPr>
          <w:sz w:val="24"/>
        </w:rPr>
        <w:t xml:space="preserve"> </w:t>
      </w:r>
      <w:r>
        <w:rPr>
          <w:b/>
          <w:bCs/>
          <w:sz w:val="24"/>
        </w:rPr>
        <w:t xml:space="preserve"> </w:t>
      </w:r>
      <w:r>
        <w:rPr>
          <w:rFonts w:hint="eastAsia" w:eastAsia="黑体"/>
          <w:b/>
          <w:bCs/>
          <w:sz w:val="24"/>
          <w:lang w:val="en-US" w:eastAsia="zh-CN"/>
        </w:rPr>
        <w:t>投资者情绪与股票回报</w:t>
      </w:r>
    </w:p>
    <w:p>
      <w:pPr>
        <w:spacing w:line="360" w:lineRule="auto"/>
        <w:ind w:firstLine="480" w:firstLineChars="200"/>
        <w:rPr>
          <w:sz w:val="24"/>
        </w:rPr>
      </w:pPr>
      <w:r>
        <w:rPr>
          <w:sz w:val="24"/>
        </w:rPr>
        <w:t>投资者情绪本身，就可以作为一个变量对未来股票市场回报产生影响，大多数研究对市场水平投资者情绪的衡量是基于消费者信心指数、换手率、封闭基金折溢价率等构造的投资者情绪指数。例如，Wenzhao Wang, Chen Su等（2021）用消费者信心指数（CCI）作为投资者情绪的替代变量，对全球50个股票市场的回归显示在不同的市场投资者情绪和未来2-12个月股票回报均呈现负相关关系，其中在新兴市场影响产生更迅速，在发达市场影响更持久，如果具有足够长的时间序列，意味着我们可以利用投资者情绪对股票市场回报的影响变化来佐证市场的发展；而早在2002年，Jones（2002）利用换手率作为情绪的代理变量就揭示了投资者情绪会在未来带来负向收益；黄德龙等（2009）利用ISI指数也证明了高涨的投资者情绪会带来未来的负收益，以上研究均证明了，高涨的投资者情绪并不会带来真正的超额收益，短期噪声交易带来的市场波动在长期会回落；张宗新和王海亮（2013）引入主观信念变量，证实了不同的信息偏好会导致不同频率的情绪波动，而情绪对信念、市场市盈率、波动率都有正面冲击，这与Wenzhao Wang等（2021）的研究有一定的相合之处，后者把情绪影响的差异归结为跨市场的文化因素，一般情况下，如果进行的是同一个市场内的研究，则更多考虑的是不同分板块、分行业的股票特点及投资者关注程度。</w:t>
      </w:r>
    </w:p>
    <w:p>
      <w:pPr>
        <w:spacing w:line="360" w:lineRule="auto"/>
        <w:ind w:firstLine="480" w:firstLineChars="200"/>
        <w:rPr>
          <w:sz w:val="24"/>
        </w:rPr>
      </w:pPr>
      <w:r>
        <w:rPr>
          <w:sz w:val="24"/>
        </w:rPr>
        <w:t>投资者情绪也可以作为中介变量来引起股票波动。曹泽仁，徐盛和王亚童（2021）基于投资者情绪的中介效应，研究了宏观经济政策变化对微观公司债券发行信用利差的影响，发现经济政策变化与公司债券发行信用利差之间存在显著正相关性；李莉和林钰颜（2021）发现提高环保绩效会提高财务绩效，投资者信心对环保绩效与财务绩效正相关关系起部分中介作用，这很有可能是因为投资者认为有能力进行环保工作的公司拥有更好的治理能力和现金流，从而对股票未来收益产生乐观预期；黄宏斌，翟淑萍，陈静楠（2016）基于投资者情绪调节效应来研究企业生命周期、融资方式与融资约束等相关问题，发现不同生命周期企业融资约束状态不同，利用高涨投资者情绪缓解融资约束的程度及途径均存有差异；Matthew Muntifering （2021）利用空气污染指数等负面投资者情绪的专有指数进行研究发现，随着投资者负面情绪的增强，食品和批发的投资组合平均回报率会增加。与由各种市场投资者情绪指数间接衡量的投资者情绪不同，当投资者情绪作为中介变量时，引发情绪的变量往往具备信号功能，从而引发投资者对于股票未来的情绪反应，进而导致股票回报的异常波动。</w:t>
      </w:r>
    </w:p>
    <w:p>
      <w:pPr>
        <w:spacing w:line="360" w:lineRule="auto"/>
        <w:ind w:firstLine="480" w:firstLineChars="200"/>
        <w:rPr>
          <w:sz w:val="24"/>
        </w:rPr>
      </w:pPr>
    </w:p>
    <w:p>
      <w:pPr>
        <w:spacing w:line="360" w:lineRule="auto"/>
        <w:ind w:firstLine="480" w:firstLineChars="200"/>
        <w:rPr>
          <w:sz w:val="24"/>
        </w:rPr>
      </w:pPr>
    </w:p>
    <w:p>
      <w:pPr>
        <w:spacing w:line="360" w:lineRule="auto"/>
        <w:ind w:firstLine="480" w:firstLineChars="200"/>
        <w:rPr>
          <w:sz w:val="24"/>
        </w:rPr>
      </w:pPr>
    </w:p>
    <w:p>
      <w:pPr>
        <w:rPr>
          <w:rFonts w:eastAsia="楷体_GB2312"/>
        </w:rPr>
      </w:pPr>
    </w:p>
    <w:p/>
    <w:p>
      <w:pPr>
        <w:rPr>
          <w:b/>
        </w:rPr>
      </w:pPr>
    </w:p>
    <w:p>
      <w:pPr>
        <w:jc w:val="center"/>
      </w:pPr>
    </w:p>
    <w:p>
      <w:pPr>
        <w:jc w:val="center"/>
      </w:pPr>
    </w:p>
    <w:p>
      <w:pPr>
        <w:jc w:val="center"/>
      </w:pPr>
    </w:p>
    <w:p>
      <w:pPr>
        <w:jc w:val="center"/>
      </w:pPr>
    </w:p>
    <w:p>
      <w:pPr>
        <w:jc w:val="center"/>
      </w:pPr>
    </w:p>
    <w:p>
      <w:pPr>
        <w:jc w:val="center"/>
      </w:pPr>
    </w:p>
    <w:p/>
    <w:p/>
    <w:p/>
    <w:p/>
    <w:p/>
    <w:p/>
    <w:p/>
    <w:p/>
    <w:p/>
    <w:p/>
    <w:p/>
    <w:p/>
    <w:p/>
    <w:p/>
    <w:p/>
    <w:p/>
    <w:p>
      <w:pPr>
        <w:spacing w:before="156" w:beforeLines="50" w:after="156" w:afterLines="50"/>
        <w:jc w:val="center"/>
        <w:rPr>
          <w:rFonts w:eastAsia="黑体"/>
          <w:b/>
          <w:sz w:val="36"/>
          <w:szCs w:val="36"/>
        </w:rPr>
      </w:pPr>
      <w:r>
        <w:rPr>
          <w:rFonts w:eastAsia="黑体"/>
          <w:b/>
          <w:sz w:val="36"/>
          <w:szCs w:val="36"/>
        </w:rPr>
        <w:t>3  假设提出与研究设计</w:t>
      </w:r>
    </w:p>
    <w:p>
      <w:pPr>
        <w:spacing w:line="360" w:lineRule="auto"/>
        <w:ind w:firstLine="480" w:firstLineChars="200"/>
        <w:rPr>
          <w:sz w:val="24"/>
        </w:rPr>
      </w:pPr>
      <w:r>
        <w:rPr>
          <w:sz w:val="24"/>
        </w:rPr>
        <w:t>基于第2章中对文献的梳理分析，我们对于计划研究的问题进行了理论上的分析，并提出了相应的假设。我们基于现有文献提出的研究方法得到了符合我们研究需求的研究设计，全文的实证分析将严格按照3.2节列出的研究设计进行。</w:t>
      </w:r>
    </w:p>
    <w:p>
      <w:pPr>
        <w:spacing w:before="156" w:beforeLines="50" w:after="156" w:afterLines="50"/>
      </w:pPr>
      <w:r>
        <w:rPr>
          <w:b/>
          <w:sz w:val="28"/>
          <w:szCs w:val="28"/>
        </w:rPr>
        <w:t xml:space="preserve">3.1  </w:t>
      </w:r>
      <w:r>
        <w:rPr>
          <w:rFonts w:eastAsia="黑体"/>
          <w:b/>
          <w:sz w:val="28"/>
          <w:szCs w:val="28"/>
        </w:rPr>
        <w:t>假设提出</w:t>
      </w:r>
    </w:p>
    <w:p>
      <w:pPr>
        <w:spacing w:line="360" w:lineRule="auto"/>
        <w:ind w:firstLine="480" w:firstLineChars="200"/>
        <w:rPr>
          <w:sz w:val="24"/>
        </w:rPr>
      </w:pPr>
      <w:r>
        <w:rPr>
          <w:sz w:val="24"/>
        </w:rPr>
        <w:t>“两所一会”发布的违规处罚公告大多是针对上市公司或公司高管推迟披露、虚假记载、内幕交易、违规买卖等经济违规行为，这种经济上的违规甚至违法并不利于企业长久健康发展，譬如谢盛纹和陶然（2017）就发现，年报预约披露推迟就显著提高了股价在未来崩盘的风险；而内幕交易行为会加剧信息不对称，</w:t>
      </w:r>
      <w:r>
        <w:rPr>
          <w:rFonts w:hint="eastAsia"/>
          <w:sz w:val="24"/>
          <w:lang w:val="en-US" w:eastAsia="zh-CN"/>
        </w:rPr>
        <w:t>从而</w:t>
      </w:r>
      <w:r>
        <w:rPr>
          <w:sz w:val="24"/>
        </w:rPr>
        <w:t>提高股价波动性（史永东和蒋贤锋，2004）。纵使种种负面影响，上市公司违规行为依旧不绝如缕，其中一个现实原因在于监管与处罚力度仍有待加强（陈国进等，2005），另一个可能的外部原因在于投资者情绪对于个股层面的负面信息反应不足（贺菊煌等，2003）。对于后者，我们有以下思考：自2003年起，中国股市经历了十余年发展后，反应不足是否依旧显著存在？近年由企业违规行为引起的负面投资者情绪是否可以对股价造成显著影响？</w:t>
      </w:r>
    </w:p>
    <w:p>
      <w:pPr>
        <w:spacing w:line="360" w:lineRule="auto"/>
        <w:ind w:firstLine="480" w:firstLineChars="200"/>
        <w:rPr>
          <w:sz w:val="24"/>
        </w:rPr>
      </w:pPr>
      <w:r>
        <w:rPr>
          <w:sz w:val="24"/>
        </w:rPr>
        <w:t>而从公司</w:t>
      </w:r>
      <w:r>
        <w:rPr>
          <w:rFonts w:hint="eastAsia"/>
          <w:sz w:val="24"/>
          <w:lang w:val="en-US" w:eastAsia="zh-CN"/>
        </w:rPr>
        <w:t>发生</w:t>
      </w:r>
      <w:r>
        <w:rPr>
          <w:sz w:val="24"/>
        </w:rPr>
        <w:t>违规</w:t>
      </w:r>
      <w:r>
        <w:rPr>
          <w:rFonts w:hint="eastAsia"/>
          <w:sz w:val="24"/>
          <w:lang w:val="en-US" w:eastAsia="zh-CN"/>
        </w:rPr>
        <w:t>行为</w:t>
      </w:r>
      <w:r>
        <w:rPr>
          <w:sz w:val="24"/>
        </w:rPr>
        <w:t>，到</w:t>
      </w:r>
      <w:r>
        <w:rPr>
          <w:rFonts w:hint="eastAsia"/>
          <w:sz w:val="24"/>
          <w:lang w:val="en-US" w:eastAsia="zh-CN"/>
        </w:rPr>
        <w:t>接受</w:t>
      </w:r>
      <w:r>
        <w:rPr>
          <w:sz w:val="24"/>
        </w:rPr>
        <w:t>相关部门稽查、</w:t>
      </w:r>
      <w:r>
        <w:rPr>
          <w:rFonts w:hint="eastAsia"/>
          <w:sz w:val="24"/>
          <w:lang w:val="en-US" w:eastAsia="zh-CN"/>
        </w:rPr>
        <w:t>相关部门内部流程，到</w:t>
      </w:r>
      <w:r>
        <w:rPr>
          <w:sz w:val="24"/>
        </w:rPr>
        <w:t>处罚</w:t>
      </w:r>
      <w:r>
        <w:rPr>
          <w:rFonts w:hint="eastAsia"/>
          <w:sz w:val="24"/>
          <w:lang w:val="en-US" w:eastAsia="zh-CN"/>
        </w:rPr>
        <w:t>正式</w:t>
      </w:r>
      <w:r>
        <w:rPr>
          <w:sz w:val="24"/>
        </w:rPr>
        <w:t>下达</w:t>
      </w:r>
      <w:r>
        <w:rPr>
          <w:rFonts w:hint="eastAsia"/>
          <w:sz w:val="24"/>
          <w:lang w:val="en-US" w:eastAsia="zh-CN"/>
        </w:rPr>
        <w:t>至公司</w:t>
      </w:r>
      <w:r>
        <w:rPr>
          <w:sz w:val="24"/>
        </w:rPr>
        <w:t>，以及最终的处罚公告发布并不是瞬间完成的，有时从处罚到公告发布甚至间隔数年之久，此外，即使从处罚到官方公告时间间隔并不长，也存在处罚公告提前泄露的情况（杨兴哲和周翔翼，2020）。从公司违规行为首次曝光，到官方稽查处理，以及最终的官方公告发布，均会在一定范围内受到投资者关注，可以说，如果企业违规行为对其股价的影响存在，那么这个影响是在长时间段内逐步体现的，鉴于此，我们难以完整剥离出仅受上市公司违规行为影响的部分，故而我们的研究只能抓住其中一个阶段的异常回报进行分析。由“两所一会”发布的企业违规处罚公告</w:t>
      </w:r>
      <w:r>
        <w:rPr>
          <w:rFonts w:hint="eastAsia"/>
          <w:sz w:val="24"/>
          <w:lang w:val="en-US" w:eastAsia="zh-CN"/>
        </w:rPr>
        <w:t>面向大众、</w:t>
      </w:r>
      <w:r>
        <w:rPr>
          <w:sz w:val="24"/>
        </w:rPr>
        <w:t>公开透明，且具有绝对权威性，并且有准确的时间点供研究参考。</w:t>
      </w:r>
    </w:p>
    <w:p>
      <w:pPr>
        <w:spacing w:line="360" w:lineRule="auto"/>
        <w:ind w:firstLine="480" w:firstLineChars="200"/>
        <w:rPr>
          <w:rFonts w:hint="default" w:eastAsia="宋体"/>
          <w:sz w:val="24"/>
          <w:lang w:val="en-US" w:eastAsia="zh-CN"/>
        </w:rPr>
      </w:pPr>
      <w:r>
        <w:rPr>
          <w:rFonts w:hint="eastAsia"/>
          <w:sz w:val="24"/>
          <w:lang w:val="en-US" w:eastAsia="zh-CN"/>
        </w:rPr>
        <w:t>根据我们的逻辑脉络，在企业违规处罚公告发布后，会在一定程度上引起投资者的关注，特别是违规处罚公告所关联个股的持有者。违规处罚公告具备一定的信息披露作用，投资者根据该信息对于企业价值的判断具备一定的理性；与此同时，违规处罚公告作为一种负面信息，也是引发投资者负面情绪的一种可能来源，进而通过投资者情绪的波动引发投资者“不理性”的行为，造成股票价格反应，如图3-1所示。</w:t>
      </w:r>
    </w:p>
    <w:p>
      <w:pPr>
        <w:spacing w:line="360" w:lineRule="auto"/>
        <w:jc w:val="center"/>
      </w:pPr>
      <w:r>
        <w:rPr>
          <w:rFonts w:hint="eastAsia" w:eastAsia="宋体"/>
          <w:sz w:val="24"/>
          <w:lang w:eastAsia="zh-CN"/>
        </w:rPr>
        <w:drawing>
          <wp:inline distT="0" distB="0" distL="114300" distR="114300">
            <wp:extent cx="3635375" cy="2435225"/>
            <wp:effectExtent l="0" t="0" r="0" b="3175"/>
            <wp:docPr id="6" name="图片 6" descr="A7EFD69D57A40EB98D4039037B877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7EFD69D57A40EB98D4039037B877433"/>
                    <pic:cNvPicPr>
                      <a:picLocks noChangeAspect="1"/>
                    </pic:cNvPicPr>
                  </pic:nvPicPr>
                  <pic:blipFill>
                    <a:blip r:embed="rId11"/>
                    <a:srcRect l="358" t="4609" r="-1217" b="16341"/>
                    <a:stretch>
                      <a:fillRect/>
                    </a:stretch>
                  </pic:blipFill>
                  <pic:spPr>
                    <a:xfrm>
                      <a:off x="0" y="0"/>
                      <a:ext cx="3635375" cy="2435225"/>
                    </a:xfrm>
                    <a:prstGeom prst="rect">
                      <a:avLst/>
                    </a:prstGeom>
                  </pic:spPr>
                </pic:pic>
              </a:graphicData>
            </a:graphic>
          </wp:inline>
        </w:drawing>
      </w:r>
    </w:p>
    <w:p>
      <w:pPr>
        <w:spacing w:line="360" w:lineRule="auto"/>
        <w:ind w:left="120" w:hanging="120" w:hangingChars="50"/>
        <w:jc w:val="center"/>
        <w:rPr>
          <w:rFonts w:hint="default" w:eastAsia="黑体"/>
          <w:sz w:val="24"/>
          <w:lang w:val="en-US" w:eastAsia="zh-CN"/>
        </w:rPr>
      </w:pPr>
      <w:r>
        <w:rPr>
          <w:rFonts w:eastAsia="黑体"/>
          <w:sz w:val="24"/>
        </w:rPr>
        <w:t>图</w:t>
      </w:r>
      <w:r>
        <w:rPr>
          <w:rFonts w:hint="eastAsia" w:eastAsia="黑体"/>
          <w:sz w:val="24"/>
          <w:lang w:val="en-US" w:eastAsia="zh-CN"/>
        </w:rPr>
        <w:t>3</w:t>
      </w:r>
      <w:r>
        <w:rPr>
          <w:kern w:val="0"/>
          <w:sz w:val="24"/>
        </w:rPr>
        <w:t xml:space="preserve">-1  </w:t>
      </w:r>
      <w:r>
        <w:rPr>
          <w:rFonts w:hint="eastAsia" w:eastAsia="黑体"/>
          <w:kern w:val="0"/>
          <w:sz w:val="24"/>
          <w:lang w:val="en-US" w:eastAsia="zh-CN"/>
        </w:rPr>
        <w:t>违规处罚公告与股票价格反应逻辑关系图</w:t>
      </w:r>
    </w:p>
    <w:p>
      <w:pPr>
        <w:spacing w:line="360" w:lineRule="auto"/>
        <w:jc w:val="center"/>
        <w:rPr>
          <w:rFonts w:hint="eastAsia" w:eastAsia="宋体"/>
          <w:sz w:val="24"/>
          <w:lang w:eastAsia="zh-CN"/>
        </w:rPr>
      </w:pPr>
    </w:p>
    <w:p>
      <w:pPr>
        <w:spacing w:line="360" w:lineRule="auto"/>
        <w:ind w:firstLine="480" w:firstLineChars="200"/>
        <w:rPr>
          <w:rFonts w:hint="eastAsia"/>
          <w:sz w:val="24"/>
          <w:lang w:val="en-US" w:eastAsia="zh-CN"/>
        </w:rPr>
      </w:pPr>
      <w:r>
        <w:rPr>
          <w:rFonts w:hint="eastAsia"/>
          <w:sz w:val="24"/>
          <w:lang w:val="en-US" w:eastAsia="zh-CN"/>
        </w:rPr>
        <w:t>由此，我们提出假设一：</w:t>
      </w:r>
      <w:r>
        <w:rPr>
          <w:sz w:val="24"/>
        </w:rPr>
        <w:t>上市公司违规处罚公告发布</w:t>
      </w:r>
      <w:r>
        <w:rPr>
          <w:rFonts w:hint="eastAsia"/>
          <w:sz w:val="24"/>
          <w:lang w:val="en-US" w:eastAsia="zh-CN"/>
        </w:rPr>
        <w:t>前后会有负的价格效应。</w:t>
      </w:r>
    </w:p>
    <w:p>
      <w:pPr>
        <w:spacing w:line="360" w:lineRule="auto"/>
        <w:ind w:firstLine="480" w:firstLineChars="200"/>
        <w:rPr>
          <w:rFonts w:hint="default" w:eastAsia="宋体"/>
          <w:sz w:val="24"/>
          <w:lang w:val="en-US" w:eastAsia="zh-CN"/>
        </w:rPr>
      </w:pPr>
      <w:r>
        <w:rPr>
          <w:sz w:val="24"/>
        </w:rPr>
        <w:t>此外，上市公司规模作为影响股价波动性的因素之一，也有可能会导致不同市值规模股票对于企业违规处罚公告这一事件的差异化反应，简单地说，我们认为，不同板块（主板、中小板、创业板等）的股票很可能对于相似的违规处罚公告具有不同程度的反应。</w:t>
      </w:r>
      <w:r>
        <w:rPr>
          <w:rFonts w:hint="eastAsia"/>
          <w:sz w:val="24"/>
          <w:lang w:val="en-US" w:eastAsia="zh-CN"/>
        </w:rPr>
        <w:t>值得注意的是，2021年4月6日起，中小板正式并入深证A股主板，为了减少板块合并带来的分歧，本文对于股票板块的界定采用2021年4月合并之前的分类，即本文所述的“主板股票”均不包括2021年4月前曾归属于中小板的股票，而中小板股票并入主板后的违规处罚公告发布事件依旧归属于中小板股票关联事件。</w:t>
      </w:r>
    </w:p>
    <w:p>
      <w:pPr>
        <w:spacing w:line="360" w:lineRule="auto"/>
        <w:ind w:firstLine="480" w:firstLineChars="200"/>
        <w:rPr>
          <w:rFonts w:hint="default"/>
          <w:sz w:val="24"/>
          <w:lang w:val="en-US" w:eastAsia="zh-CN"/>
        </w:rPr>
      </w:pPr>
      <w:r>
        <w:rPr>
          <w:rFonts w:hint="eastAsia"/>
          <w:sz w:val="24"/>
          <w:lang w:val="en-US" w:eastAsia="zh-CN"/>
        </w:rPr>
        <w:t>由此，我提出假设二：市值规模越大（小）的股票，受违规处罚公告发布的影响越小（大）。</w:t>
      </w:r>
    </w:p>
    <w:p>
      <w:pPr>
        <w:spacing w:line="360" w:lineRule="auto"/>
        <w:ind w:firstLine="480" w:firstLineChars="200"/>
        <w:rPr>
          <w:rFonts w:hint="eastAsia"/>
          <w:sz w:val="24"/>
          <w:lang w:val="en-US" w:eastAsia="zh-CN"/>
        </w:rPr>
      </w:pPr>
    </w:p>
    <w:p>
      <w:pPr>
        <w:spacing w:line="360" w:lineRule="auto"/>
        <w:jc w:val="left"/>
        <w:rPr>
          <w:rFonts w:eastAsia="黑体"/>
          <w:b/>
          <w:sz w:val="28"/>
          <w:szCs w:val="28"/>
        </w:rPr>
      </w:pPr>
      <w:r>
        <w:rPr>
          <w:b/>
          <w:sz w:val="28"/>
          <w:szCs w:val="28"/>
        </w:rPr>
        <w:t xml:space="preserve">3.2  </w:t>
      </w:r>
      <w:r>
        <w:rPr>
          <w:rFonts w:eastAsia="黑体"/>
          <w:b/>
          <w:sz w:val="28"/>
          <w:szCs w:val="28"/>
        </w:rPr>
        <w:t>研究设计</w:t>
      </w:r>
    </w:p>
    <w:p>
      <w:pPr>
        <w:spacing w:line="360" w:lineRule="auto"/>
        <w:ind w:left="120" w:leftChars="57" w:firstLine="360" w:firstLineChars="150"/>
        <w:jc w:val="left"/>
        <w:rPr>
          <w:sz w:val="24"/>
        </w:rPr>
      </w:pPr>
      <w:r>
        <w:rPr>
          <w:sz w:val="24"/>
        </w:rPr>
        <w:t>本文所选取的数据均来源于国泰安数据库（CSMAR），我们通过人工筛选的方式筛选出符合我们要求的数据，进而验证假设</w:t>
      </w:r>
      <w:r>
        <w:rPr>
          <w:rFonts w:hint="eastAsia"/>
          <w:sz w:val="24"/>
          <w:lang w:eastAsia="zh-CN"/>
        </w:rPr>
        <w:t>假设</w:t>
      </w:r>
      <w:r>
        <w:rPr>
          <w:rFonts w:hint="eastAsia"/>
          <w:sz w:val="24"/>
          <w:lang w:val="en-US" w:eastAsia="zh-CN"/>
        </w:rPr>
        <w:t>一</w:t>
      </w:r>
      <w:r>
        <w:rPr>
          <w:rFonts w:hint="eastAsia"/>
          <w:sz w:val="24"/>
          <w:vertAlign w:val="baseline"/>
          <w:lang w:val="en-US" w:eastAsia="zh-CN"/>
        </w:rPr>
        <w:t>和假设二</w:t>
      </w:r>
      <w:r>
        <w:rPr>
          <w:sz w:val="24"/>
        </w:rPr>
        <w:t>。</w:t>
      </w:r>
    </w:p>
    <w:p>
      <w:pPr>
        <w:spacing w:line="360" w:lineRule="auto"/>
        <w:ind w:left="120" w:leftChars="57" w:firstLine="360" w:firstLineChars="150"/>
        <w:jc w:val="left"/>
        <w:rPr>
          <w:sz w:val="24"/>
        </w:rPr>
      </w:pPr>
    </w:p>
    <w:p>
      <w:pPr>
        <w:spacing w:line="360" w:lineRule="auto"/>
        <w:jc w:val="left"/>
        <w:rPr>
          <w:rFonts w:eastAsia="黑体"/>
          <w:b/>
          <w:bCs/>
          <w:sz w:val="24"/>
        </w:rPr>
      </w:pPr>
      <w:r>
        <w:rPr>
          <w:b/>
          <w:bCs/>
          <w:sz w:val="24"/>
        </w:rPr>
        <w:t>3.2.1</w:t>
      </w:r>
      <w:r>
        <w:rPr>
          <w:sz w:val="24"/>
        </w:rPr>
        <w:t xml:space="preserve"> </w:t>
      </w:r>
      <w:r>
        <w:rPr>
          <w:b/>
          <w:bCs/>
          <w:sz w:val="24"/>
        </w:rPr>
        <w:t xml:space="preserve"> </w:t>
      </w:r>
      <w:r>
        <w:rPr>
          <w:rFonts w:eastAsia="黑体"/>
          <w:b/>
          <w:bCs/>
          <w:sz w:val="24"/>
        </w:rPr>
        <w:t>变量定义与说明</w:t>
      </w:r>
    </w:p>
    <w:p>
      <w:pPr>
        <w:spacing w:line="360" w:lineRule="auto"/>
        <w:ind w:firstLine="482" w:firstLineChars="200"/>
        <w:jc w:val="left"/>
        <w:rPr>
          <w:b/>
          <w:bCs/>
          <w:sz w:val="24"/>
        </w:rPr>
      </w:pPr>
      <w:r>
        <w:rPr>
          <w:b/>
          <w:bCs/>
          <w:sz w:val="24"/>
        </w:rPr>
        <w:t>1）上市公司违规处罚公告事件</w:t>
      </w:r>
    </w:p>
    <w:p>
      <w:pPr>
        <w:spacing w:line="360" w:lineRule="auto"/>
        <w:ind w:firstLine="480" w:firstLineChars="200"/>
        <w:rPr>
          <w:sz w:val="24"/>
        </w:rPr>
      </w:pPr>
      <w:r>
        <w:rPr>
          <w:sz w:val="24"/>
        </w:rPr>
        <w:t>我们选取的事件为国泰安数据库中2017-2021年间由“两所一会”及其地方分支机构发布的企业违规处罚公告。因为我们的关注的重点是上市公司违规处罚事件，所以选取的事件中违规主体均为上市公司而非仅仅是股东或公司高管，我们选取上市公司违规行为确凿、官方处罚方式明确的公告作为研究对象。对于同一企业在2017-2021年间存在多次违规受罚事件的情况，首先，我们排除了在公告日前一年内（365天）存在违规处罚公告的事件，避免之前违规处罚事件的情绪反应造成估计窗口的偏差，其次，在针对“其他”这一违规处罚方式的细化研究中，我们在多次事件中选取了最近一次事件，我们认为过去事件的经验属于投资者认知的一部分，会对投资者情绪造成影响，我们更加关注最新的事件是出于结果贡献性的考虑，最新的事件能体现最接近于当下状况的投资者情绪反应，从而使得我们的结论更加具备现实指导意义。另外，考虑到处罚公告提前泄露的情况（杨兴哲和周翔翼，2020），为了减轻这一现实对我们结果的影响与误导，我们剔除了处罚下达日和公告发布日不同的数据。</w:t>
      </w:r>
    </w:p>
    <w:p>
      <w:pPr>
        <w:spacing w:line="360" w:lineRule="auto"/>
        <w:ind w:firstLine="480" w:firstLineChars="200"/>
        <w:rPr>
          <w:sz w:val="24"/>
        </w:rPr>
      </w:pPr>
      <w:r>
        <w:rPr>
          <w:sz w:val="24"/>
        </w:rPr>
        <w:t>基于上述步骤，我们从2017-2021年沪深A股主板和创业板股票关联的6001则企业违规处罚公告中筛选出了2724则，而针对“其他”这一违规处罚方式的细化研究我们筛选出了757则，其中，沪深A股主板关联549则，创业板关联208则。</w:t>
      </w:r>
    </w:p>
    <w:p>
      <w:pPr>
        <w:spacing w:line="360" w:lineRule="auto"/>
        <w:ind w:firstLine="482" w:firstLineChars="200"/>
        <w:jc w:val="left"/>
        <w:rPr>
          <w:b/>
          <w:bCs/>
          <w:sz w:val="24"/>
        </w:rPr>
      </w:pPr>
      <w:r>
        <w:rPr>
          <w:b/>
          <w:bCs/>
          <w:sz w:val="24"/>
        </w:rPr>
        <w:t>2）个股回报率与市场回报率</w:t>
      </w:r>
    </w:p>
    <w:p>
      <w:pPr>
        <w:spacing w:line="360" w:lineRule="auto"/>
        <w:ind w:firstLine="480" w:firstLineChars="200"/>
        <w:rPr>
          <w:sz w:val="24"/>
        </w:rPr>
      </w:pPr>
      <w:r>
        <w:rPr>
          <w:sz w:val="24"/>
        </w:rPr>
        <w:t>我们基于研究计划和实证模型，采用的回报率数据为：事件关联股票的日回报率、沪深A股</w:t>
      </w:r>
      <w:r>
        <w:rPr>
          <w:rFonts w:hint="eastAsia"/>
          <w:sz w:val="24"/>
          <w:lang w:val="en-US" w:eastAsia="zh-CN"/>
        </w:rPr>
        <w:t>各分市场</w:t>
      </w:r>
      <w:r>
        <w:rPr>
          <w:sz w:val="24"/>
        </w:rPr>
        <w:t>市场的日回报率。其中，市场水平的日回报率采用“考虑现金红利再投资的流通市值加权平均”法计算出的数据。</w:t>
      </w:r>
    </w:p>
    <w:p>
      <w:pPr>
        <w:spacing w:line="360" w:lineRule="auto"/>
        <w:ind w:firstLine="480" w:firstLineChars="200"/>
        <w:rPr>
          <w:sz w:val="24"/>
        </w:rPr>
      </w:pPr>
    </w:p>
    <w:p>
      <w:pPr>
        <w:spacing w:line="360" w:lineRule="auto"/>
        <w:jc w:val="left"/>
        <w:rPr>
          <w:rFonts w:eastAsia="黑体"/>
          <w:b/>
          <w:bCs/>
          <w:sz w:val="24"/>
        </w:rPr>
      </w:pPr>
      <w:r>
        <w:rPr>
          <w:b/>
          <w:bCs/>
          <w:sz w:val="24"/>
        </w:rPr>
        <w:t>3.2.2</w:t>
      </w:r>
      <w:r>
        <w:rPr>
          <w:sz w:val="24"/>
        </w:rPr>
        <w:t xml:space="preserve"> </w:t>
      </w:r>
      <w:r>
        <w:rPr>
          <w:b/>
          <w:bCs/>
          <w:sz w:val="24"/>
        </w:rPr>
        <w:t xml:space="preserve"> </w:t>
      </w:r>
      <w:r>
        <w:rPr>
          <w:rFonts w:eastAsia="黑体"/>
          <w:b/>
          <w:bCs/>
          <w:sz w:val="24"/>
        </w:rPr>
        <w:t>模型的选取与说明</w:t>
      </w:r>
    </w:p>
    <w:p>
      <w:pPr>
        <w:spacing w:line="360" w:lineRule="auto"/>
        <w:ind w:firstLine="480" w:firstLineChars="200"/>
        <w:rPr>
          <w:sz w:val="24"/>
        </w:rPr>
      </w:pPr>
      <w:r>
        <w:rPr>
          <w:sz w:val="24"/>
        </w:rPr>
        <w:t>我们依据Ball和Brown（1968）提出的事件研究法进行研究，首先，我们通过事件前210天至前11天的个股市场表现，估计出个股在事件窗口期的估计回报率，然后通过估计回报率计算窗口期的异常回报率（AR</w:t>
      </w:r>
      <w:r>
        <w:rPr>
          <w:sz w:val="24"/>
          <w:vertAlign w:val="subscript"/>
        </w:rPr>
        <w:t>i，t</w:t>
      </w:r>
      <w:r>
        <w:rPr>
          <w:sz w:val="24"/>
        </w:rPr>
        <w:t>），并由此计算出不同窗口期的累计异常回报率（CAR</w:t>
      </w:r>
      <w:r>
        <w:rPr>
          <w:sz w:val="24"/>
          <w:vertAlign w:val="subscript"/>
        </w:rPr>
        <w:t xml:space="preserve">i </w:t>
      </w:r>
      <w:r>
        <w:rPr>
          <w:sz w:val="24"/>
        </w:rPr>
        <w:t>[t</w:t>
      </w:r>
      <w:r>
        <w:rPr>
          <w:sz w:val="24"/>
          <w:vertAlign w:val="subscript"/>
        </w:rPr>
        <w:t>1</w:t>
      </w:r>
      <w:r>
        <w:rPr>
          <w:sz w:val="24"/>
        </w:rPr>
        <w:t>，t</w:t>
      </w:r>
      <w:r>
        <w:rPr>
          <w:sz w:val="24"/>
          <w:vertAlign w:val="subscript"/>
        </w:rPr>
        <w:t>2</w:t>
      </w:r>
      <w:r>
        <w:rPr>
          <w:sz w:val="24"/>
        </w:rPr>
        <w:t>]），stata中的程序会帮助我们根据个股的累计异常回报率得到考察对象整体的累积平均异常回报率（CAAR）。模型表达式如下：</w:t>
      </w:r>
    </w:p>
    <w:p>
      <w:pPr>
        <w:spacing w:line="360" w:lineRule="auto"/>
        <w:ind w:firstLine="480" w:firstLineChars="200"/>
        <w:rPr>
          <w:sz w:val="24"/>
        </w:rPr>
      </w:pPr>
      <w:r>
        <w:rPr>
          <w:sz w:val="24"/>
        </w:rPr>
        <w:t xml:space="preserve">            AR</w:t>
      </w:r>
      <w:r>
        <w:rPr>
          <w:sz w:val="24"/>
          <w:vertAlign w:val="subscript"/>
        </w:rPr>
        <w:t xml:space="preserve">i，t </w:t>
      </w:r>
      <w:r>
        <w:rPr>
          <w:sz w:val="24"/>
        </w:rPr>
        <w:t>= R</w:t>
      </w:r>
      <w:r>
        <w:rPr>
          <w:sz w:val="24"/>
          <w:vertAlign w:val="subscript"/>
        </w:rPr>
        <w:t xml:space="preserve">i，t </w:t>
      </w:r>
      <w:r>
        <w:rPr>
          <w:sz w:val="24"/>
        </w:rPr>
        <w:t>- ER</w:t>
      </w:r>
      <w:r>
        <w:rPr>
          <w:sz w:val="24"/>
          <w:vertAlign w:val="subscript"/>
        </w:rPr>
        <w:t xml:space="preserve">i，t                    </w:t>
      </w:r>
      <w:r>
        <w:rPr>
          <w:sz w:val="24"/>
        </w:rPr>
        <w:t xml:space="preserve">  （3-1）</w:t>
      </w:r>
    </w:p>
    <w:p>
      <w:pPr>
        <w:spacing w:line="360" w:lineRule="auto"/>
        <w:ind w:left="120" w:hanging="120" w:hangingChars="50"/>
        <w:jc w:val="left"/>
        <w:rPr>
          <w:sz w:val="24"/>
        </w:rPr>
      </w:pPr>
      <w:r>
        <w:rPr>
          <w:sz w:val="24"/>
        </w:rPr>
        <w:t xml:space="preserve">                CAR</w:t>
      </w:r>
      <w:r>
        <w:rPr>
          <w:sz w:val="24"/>
          <w:vertAlign w:val="subscript"/>
        </w:rPr>
        <w:t xml:space="preserve">i </w:t>
      </w:r>
      <w:r>
        <w:rPr>
          <w:sz w:val="24"/>
        </w:rPr>
        <w:t>[t</w:t>
      </w:r>
      <w:r>
        <w:rPr>
          <w:sz w:val="24"/>
          <w:vertAlign w:val="subscript"/>
        </w:rPr>
        <w:t>1</w:t>
      </w:r>
      <w:r>
        <w:rPr>
          <w:sz w:val="24"/>
        </w:rPr>
        <w:t>，t</w:t>
      </w:r>
      <w:r>
        <w:rPr>
          <w:sz w:val="24"/>
          <w:vertAlign w:val="subscript"/>
        </w:rPr>
        <w:t>2</w:t>
      </w:r>
      <w:r>
        <w:rPr>
          <w:sz w:val="24"/>
        </w:rPr>
        <w:t>]=</w:t>
      </w:r>
      <m:oMath>
        <m:nary>
          <m:naryPr>
            <m:chr m:val="∑"/>
            <m:limLoc m:val="undOvr"/>
            <m:ctrlPr>
              <w:rPr>
                <w:rFonts w:ascii="Cambria Math" w:hAnsi="Cambria Math"/>
                <w:i/>
                <w:sz w:val="24"/>
              </w:rPr>
            </m:ctrlPr>
          </m:naryPr>
          <m:sub>
            <m:r>
              <m:rPr/>
              <w:rPr>
                <w:rFonts w:ascii="Cambria Math" w:hAnsi="Cambria Math"/>
                <w:sz w:val="24"/>
              </w:rPr>
              <m:t>t1</m:t>
            </m:r>
            <m:ctrlPr>
              <w:rPr>
                <w:rFonts w:ascii="Cambria Math" w:hAnsi="Cambria Math"/>
                <w:i/>
                <w:sz w:val="24"/>
              </w:rPr>
            </m:ctrlPr>
          </m:sub>
          <m:sup>
            <m:r>
              <m:rPr/>
              <w:rPr>
                <w:rFonts w:ascii="Cambria Math" w:hAnsi="Cambria Math"/>
                <w:sz w:val="24"/>
              </w:rPr>
              <m:t>t2</m:t>
            </m:r>
            <m:ctrlPr>
              <w:rPr>
                <w:rFonts w:ascii="Cambria Math" w:hAnsi="Cambria Math"/>
                <w:i/>
                <w:sz w:val="24"/>
              </w:rPr>
            </m:ctrlPr>
          </m:sup>
          <m:e>
            <m:sSub>
              <m:sSubPr>
                <m:ctrlPr>
                  <w:rPr>
                    <w:rFonts w:ascii="Cambria Math" w:hAnsi="Cambria Math"/>
                    <w:sz w:val="24"/>
                  </w:rPr>
                </m:ctrlPr>
              </m:sSubPr>
              <m:e>
                <m:r>
                  <m:rPr>
                    <m:sty m:val="p"/>
                  </m:rPr>
                  <w:rPr>
                    <w:rFonts w:ascii="Cambria Math" w:hAnsi="Cambria Math"/>
                    <w:sz w:val="24"/>
                  </w:rPr>
                  <m:t>AR</m:t>
                </m:r>
                <m:ctrlPr>
                  <w:rPr>
                    <w:rFonts w:ascii="Cambria Math" w:hAnsi="Cambria Math"/>
                    <w:sz w:val="24"/>
                  </w:rPr>
                </m:ctrlPr>
              </m:e>
              <m:sub>
                <m:r>
                  <m:rPr>
                    <m:sty m:val="p"/>
                  </m:rPr>
                  <w:rPr>
                    <w:rFonts w:ascii="Cambria Math" w:hAnsi="Cambria Math"/>
                    <w:sz w:val="24"/>
                  </w:rPr>
                  <m:t>i,t</m:t>
                </m:r>
                <m:ctrlPr>
                  <w:rPr>
                    <w:rFonts w:ascii="Cambria Math" w:hAnsi="Cambria Math"/>
                    <w:sz w:val="24"/>
                  </w:rPr>
                </m:ctrlPr>
              </m:sub>
            </m:sSub>
            <m:r>
              <m:rPr>
                <m:sty m:val="p"/>
              </m:rPr>
              <w:rPr>
                <w:rFonts w:ascii="Cambria Math" w:hAnsi="Cambria Math"/>
                <w:sz w:val="24"/>
                <w:vertAlign w:val="subscript"/>
              </w:rPr>
              <m:t xml:space="preserve"> </m:t>
            </m:r>
            <m:ctrlPr>
              <w:rPr>
                <w:rFonts w:ascii="Cambria Math" w:hAnsi="Cambria Math"/>
                <w:i/>
                <w:sz w:val="24"/>
              </w:rPr>
            </m:ctrlPr>
          </m:e>
        </m:nary>
      </m:oMath>
      <w:r>
        <w:rPr>
          <w:sz w:val="24"/>
        </w:rPr>
        <w:t xml:space="preserve">           （3-2）</w:t>
      </w:r>
    </w:p>
    <w:p>
      <w:pPr>
        <w:spacing w:line="360" w:lineRule="auto"/>
        <w:rPr>
          <w:sz w:val="24"/>
        </w:rPr>
      </w:pPr>
      <w:r>
        <w:rPr>
          <w:sz w:val="24"/>
        </w:rPr>
        <w:t>其中，R</w:t>
      </w:r>
      <w:r>
        <w:rPr>
          <w:sz w:val="24"/>
          <w:vertAlign w:val="subscript"/>
        </w:rPr>
        <w:t>i，t</w:t>
      </w:r>
      <w:r>
        <w:rPr>
          <w:sz w:val="24"/>
        </w:rPr>
        <w:t>代表股票i在时刻t的实际回报率，ER</w:t>
      </w:r>
      <w:r>
        <w:rPr>
          <w:sz w:val="24"/>
          <w:vertAlign w:val="subscript"/>
        </w:rPr>
        <w:t xml:space="preserve">i，t </w:t>
      </w:r>
      <w:r>
        <w:rPr>
          <w:sz w:val="24"/>
        </w:rPr>
        <w:t>代表股票i在t时刻的估计报率，本文采取的回报率估计模型为市场模型（FM），其表达式如下：</w:t>
      </w:r>
    </w:p>
    <w:p>
      <w:pPr>
        <w:spacing w:line="360" w:lineRule="auto"/>
        <w:rPr>
          <w:sz w:val="24"/>
        </w:rPr>
      </w:pPr>
      <w:r>
        <w:rPr>
          <w:sz w:val="24"/>
        </w:rPr>
        <w:t xml:space="preserve">                ER</w:t>
      </w:r>
      <w:r>
        <w:rPr>
          <w:sz w:val="24"/>
          <w:vertAlign w:val="subscript"/>
        </w:rPr>
        <w:t xml:space="preserve">i，t </w:t>
      </w:r>
      <w:r>
        <w:rPr>
          <w:sz w:val="24"/>
        </w:rPr>
        <w:t xml:space="preserve">= </w:t>
      </w:r>
      <w:r>
        <w:rPr>
          <w:rFonts w:eastAsia="微软雅黑"/>
          <w:sz w:val="24"/>
        </w:rPr>
        <w:t>ɑ</w:t>
      </w:r>
      <w:r>
        <w:rPr>
          <w:sz w:val="24"/>
          <w:vertAlign w:val="subscript"/>
        </w:rPr>
        <w:t xml:space="preserve">i </w:t>
      </w:r>
      <w:r>
        <w:rPr>
          <w:sz w:val="24"/>
        </w:rPr>
        <w:t>+ β</w:t>
      </w:r>
      <w:r>
        <w:rPr>
          <w:sz w:val="24"/>
          <w:vertAlign w:val="subscript"/>
        </w:rPr>
        <w:t xml:space="preserve">i </w:t>
      </w:r>
      <w:r>
        <w:rPr>
          <w:sz w:val="24"/>
        </w:rPr>
        <w:t>R</w:t>
      </w:r>
      <w:r>
        <w:rPr>
          <w:sz w:val="24"/>
          <w:vertAlign w:val="subscript"/>
        </w:rPr>
        <w:t>m，t</w:t>
      </w:r>
      <w:r>
        <w:rPr>
          <w:sz w:val="24"/>
        </w:rPr>
        <w:t>+</w:t>
      </w:r>
      <w:r>
        <w:rPr>
          <w:b/>
          <w:bCs/>
          <w:sz w:val="24"/>
        </w:rPr>
        <w:t>ε</w:t>
      </w:r>
      <w:r>
        <w:rPr>
          <w:sz w:val="24"/>
          <w:vertAlign w:val="subscript"/>
        </w:rPr>
        <w:t xml:space="preserve">i,t               </w:t>
      </w:r>
      <w:r>
        <w:rPr>
          <w:rFonts w:hint="eastAsia"/>
          <w:sz w:val="24"/>
          <w:vertAlign w:val="subscript"/>
          <w:lang w:val="en-US" w:eastAsia="zh-CN"/>
        </w:rPr>
        <w:t xml:space="preserve">   </w:t>
      </w:r>
      <w:r>
        <w:rPr>
          <w:sz w:val="24"/>
        </w:rPr>
        <w:t>（3-3）</w:t>
      </w:r>
    </w:p>
    <w:p>
      <w:pPr>
        <w:spacing w:line="360" w:lineRule="auto"/>
        <w:rPr>
          <w:sz w:val="24"/>
        </w:rPr>
      </w:pPr>
      <w:r>
        <w:rPr>
          <w:sz w:val="24"/>
        </w:rPr>
        <w:t>其中，</w:t>
      </w:r>
      <w:r>
        <w:rPr>
          <w:sz w:val="24"/>
          <w:vertAlign w:val="subscript"/>
        </w:rPr>
        <w:t xml:space="preserve"> </w:t>
      </w:r>
      <w:r>
        <w:rPr>
          <w:sz w:val="24"/>
        </w:rPr>
        <w:t>R</w:t>
      </w:r>
      <w:r>
        <w:rPr>
          <w:sz w:val="24"/>
          <w:vertAlign w:val="subscript"/>
        </w:rPr>
        <w:t>m，t</w:t>
      </w:r>
      <w:r>
        <w:rPr>
          <w:sz w:val="24"/>
        </w:rPr>
        <w:t>为t时刻，股票i所处市场的市场水平回报率。</w:t>
      </w:r>
    </w:p>
    <w:p>
      <w:pPr>
        <w:spacing w:line="360" w:lineRule="auto"/>
        <w:rPr>
          <w:sz w:val="24"/>
        </w:rPr>
      </w:pPr>
    </w:p>
    <w:p>
      <w:pPr>
        <w:spacing w:line="360" w:lineRule="auto"/>
        <w:jc w:val="left"/>
        <w:rPr>
          <w:rFonts w:eastAsia="黑体"/>
          <w:b/>
          <w:bCs/>
          <w:sz w:val="24"/>
        </w:rPr>
      </w:pPr>
      <w:r>
        <w:rPr>
          <w:b/>
          <w:bCs/>
          <w:sz w:val="24"/>
        </w:rPr>
        <w:t>3.2.3</w:t>
      </w:r>
      <w:r>
        <w:rPr>
          <w:sz w:val="24"/>
        </w:rPr>
        <w:t xml:space="preserve"> </w:t>
      </w:r>
      <w:r>
        <w:rPr>
          <w:b/>
          <w:bCs/>
          <w:sz w:val="24"/>
        </w:rPr>
        <w:t xml:space="preserve"> </w:t>
      </w:r>
      <w:r>
        <w:rPr>
          <w:rFonts w:eastAsia="黑体"/>
          <w:b/>
          <w:bCs/>
          <w:sz w:val="24"/>
        </w:rPr>
        <w:t>事件窗口的选取与说明</w:t>
      </w:r>
    </w:p>
    <w:p>
      <w:pPr>
        <w:spacing w:line="360" w:lineRule="auto"/>
        <w:ind w:firstLine="480" w:firstLineChars="200"/>
        <w:rPr>
          <w:sz w:val="24"/>
        </w:rPr>
      </w:pPr>
      <w:r>
        <w:rPr>
          <w:sz w:val="24"/>
        </w:rPr>
        <w:t>我们希望通过设置不同的窗口期，获得以下信息：（1）企业违规处罚公告发布是否会带来股价反映；（2）股价的反映是否迅速地还是滞后地；（3）是否会存在投资者提前反应的现象</w:t>
      </w:r>
      <w:r>
        <w:rPr>
          <w:rFonts w:hint="eastAsia"/>
          <w:sz w:val="24"/>
          <w:lang w:eastAsia="zh-CN"/>
        </w:rPr>
        <w:t>；（</w:t>
      </w:r>
      <w:r>
        <w:rPr>
          <w:rFonts w:hint="eastAsia"/>
          <w:sz w:val="24"/>
          <w:lang w:val="en-US" w:eastAsia="zh-CN"/>
        </w:rPr>
        <w:t>4</w:t>
      </w:r>
      <w:r>
        <w:rPr>
          <w:rFonts w:hint="eastAsia"/>
          <w:sz w:val="24"/>
          <w:lang w:eastAsia="zh-CN"/>
        </w:rPr>
        <w:t>）</w:t>
      </w:r>
      <w:r>
        <w:rPr>
          <w:rFonts w:hint="eastAsia"/>
          <w:sz w:val="24"/>
          <w:lang w:val="en-US" w:eastAsia="zh-CN"/>
        </w:rPr>
        <w:t>在反应之后是否会存在股价回调</w:t>
      </w:r>
      <w:r>
        <w:rPr>
          <w:sz w:val="24"/>
        </w:rPr>
        <w:t>。</w:t>
      </w:r>
    </w:p>
    <w:p>
      <w:pPr>
        <w:spacing w:line="360" w:lineRule="auto"/>
        <w:ind w:firstLine="480" w:firstLineChars="200"/>
        <w:rPr>
          <w:sz w:val="24"/>
        </w:rPr>
      </w:pPr>
      <w:r>
        <w:rPr>
          <w:sz w:val="24"/>
        </w:rPr>
        <w:t>基于以上诉求，我们设置的窗口期如下：±1、±2、±3、±5、±10、[0,3]、[0,5]、[0,10]、[-10,0]、[-5,0]。</w:t>
      </w:r>
    </w:p>
    <w:p>
      <w:pPr>
        <w:spacing w:line="360" w:lineRule="auto"/>
        <w:ind w:firstLine="480" w:firstLineChars="200"/>
        <w:rPr>
          <w:sz w:val="24"/>
        </w:rPr>
      </w:pPr>
      <w:r>
        <w:rPr>
          <w:sz w:val="24"/>
        </w:rPr>
        <w:t>另外，我们也将着重分析[-10,10]这个最大窗口期内，单日平均异常回报率（AAR）的数据，力求我们的结果更加精确。</w:t>
      </w:r>
    </w:p>
    <w:p>
      <w:pPr>
        <w:spacing w:line="360" w:lineRule="auto"/>
        <w:rPr>
          <w:rFonts w:eastAsia="黑体"/>
          <w:b/>
          <w:sz w:val="36"/>
          <w:szCs w:val="36"/>
        </w:rPr>
      </w:pPr>
    </w:p>
    <w:p>
      <w:pPr>
        <w:spacing w:line="360" w:lineRule="auto"/>
        <w:ind w:firstLine="482" w:firstLineChars="200"/>
        <w:jc w:val="left"/>
        <w:rPr>
          <w:rFonts w:hint="eastAsia" w:eastAsia="黑体"/>
          <w:b/>
          <w:bCs/>
          <w:sz w:val="24"/>
          <w:lang w:val="en-US" w:eastAsia="zh-CN"/>
        </w:rPr>
      </w:pPr>
      <w:r>
        <w:rPr>
          <w:b/>
          <w:bCs/>
          <w:sz w:val="24"/>
        </w:rPr>
        <w:t>3.2.</w:t>
      </w:r>
      <w:r>
        <w:rPr>
          <w:rFonts w:hint="eastAsia"/>
          <w:b/>
          <w:bCs/>
          <w:sz w:val="24"/>
          <w:lang w:val="en-US" w:eastAsia="zh-CN"/>
        </w:rPr>
        <w:t>4</w:t>
      </w:r>
      <w:r>
        <w:rPr>
          <w:b/>
          <w:bCs/>
          <w:sz w:val="24"/>
        </w:rPr>
        <w:t xml:space="preserve"> </w:t>
      </w:r>
      <w:r>
        <w:rPr>
          <w:rFonts w:hint="eastAsia"/>
          <w:b/>
          <w:bCs/>
          <w:sz w:val="24"/>
          <w:lang w:val="en-US" w:eastAsia="zh-CN"/>
        </w:rPr>
        <w:t xml:space="preserve"> </w:t>
      </w:r>
      <w:r>
        <w:rPr>
          <w:rFonts w:hint="eastAsia" w:eastAsia="黑体"/>
          <w:b/>
          <w:bCs/>
          <w:sz w:val="24"/>
          <w:lang w:val="en-US" w:eastAsia="zh-CN"/>
        </w:rPr>
        <w:t>对假设的验证逻辑</w:t>
      </w:r>
    </w:p>
    <w:p>
      <w:pPr>
        <w:spacing w:line="360" w:lineRule="auto"/>
        <w:ind w:firstLine="482" w:firstLineChars="200"/>
        <w:jc w:val="left"/>
        <w:rPr>
          <w:rFonts w:hint="default" w:eastAsia="宋体"/>
          <w:b/>
          <w:bCs/>
          <w:sz w:val="24"/>
          <w:vertAlign w:val="baseline"/>
          <w:lang w:val="en-US" w:eastAsia="zh-CN"/>
        </w:rPr>
      </w:pPr>
      <w:r>
        <w:rPr>
          <w:b/>
          <w:bCs/>
          <w:sz w:val="24"/>
        </w:rPr>
        <w:t>1）</w:t>
      </w:r>
      <w:r>
        <w:rPr>
          <w:rFonts w:hint="eastAsia"/>
          <w:b/>
          <w:bCs/>
          <w:sz w:val="24"/>
          <w:lang w:val="en-US" w:eastAsia="zh-CN"/>
        </w:rPr>
        <w:t>对假设一</w:t>
      </w:r>
      <w:r>
        <w:rPr>
          <w:rFonts w:hint="eastAsia"/>
          <w:b/>
          <w:bCs/>
          <w:sz w:val="24"/>
          <w:vertAlign w:val="baseline"/>
          <w:lang w:val="en-US" w:eastAsia="zh-CN"/>
        </w:rPr>
        <w:t>的验证——事件研究法</w:t>
      </w:r>
    </w:p>
    <w:p>
      <w:pPr>
        <w:spacing w:line="360" w:lineRule="auto"/>
        <w:ind w:firstLine="480" w:firstLineChars="200"/>
        <w:jc w:val="left"/>
        <w:rPr>
          <w:rFonts w:hint="eastAsia"/>
          <w:sz w:val="24"/>
          <w:lang w:val="en-US" w:eastAsia="zh-CN"/>
        </w:rPr>
      </w:pPr>
      <w:r>
        <w:rPr>
          <w:rFonts w:hint="eastAsia"/>
          <w:sz w:val="24"/>
          <w:lang w:val="en-US" w:eastAsia="zh-CN"/>
        </w:rPr>
        <w:t>我们采用stata软件的eventstudy2外部命令，对企业违规处罚公告发布这一事件进行事件研究，显著性参考stata输出的t检验结果。另外，我们认为投资者情绪是骑着的重要机制之一，要想证明股票异常回报与投资者情绪有关，较为直接的方法是研究公告发布前后投资者情绪的主观表达，前人的研究利用股吧帖子数、评论情绪等来对此进行衡量。我们对于2017-2021股吧帖子整体情况的统计分析发现，股吧作为曾经集合股民言论的平台，在当今受到的关注锐减，大多个股每日关联的帖子数为0，即使有关联帖子，其评论数与浏览量也极低，而热门股如茅台、比亚迪等则与许多话题相关，仅仅从帖子数无法简单衡量投资者情绪。此外，随着时代发展，股民的交流渠道也变得多元化、私人化，从公开数据库得到个股层面的投资者情绪十分困难。</w:t>
      </w:r>
    </w:p>
    <w:p>
      <w:pPr>
        <w:spacing w:line="360" w:lineRule="auto"/>
        <w:ind w:firstLine="480" w:firstLineChars="200"/>
        <w:rPr>
          <w:rFonts w:hint="default"/>
          <w:sz w:val="24"/>
          <w:lang w:val="en-US" w:eastAsia="zh-CN"/>
        </w:rPr>
      </w:pPr>
      <w:r>
        <w:rPr>
          <w:rFonts w:hint="eastAsia"/>
          <w:sz w:val="24"/>
          <w:lang w:val="en-US" w:eastAsia="zh-CN"/>
        </w:rPr>
        <w:t>本文通过侧面反证的方法，来证实投资者情绪对股票回报的影响。投资者的行为决策可以被分为理性驱动的部分和情绪驱动的部分，我们要想说明企业违规处罚公告发布后的股票价格反应受投资者情绪的影响，即要说明价格反应不完全来自于理性决策。我们以事后回调为投资者情绪影响存在的现象支持的逻辑依据，且正如文献综述中提到的，投资者情绪在长期并不会影响股票的价格，股票价格的回调是投资者情绪影响的一种有效佐证。本文选取窗口内的单日显著价格回调作为不完全理性决策，即情绪驱动的交易存在的表象证据，用来说明股票回报的异常表现与投资者情绪有关。</w:t>
      </w:r>
    </w:p>
    <w:p>
      <w:pPr>
        <w:spacing w:line="360" w:lineRule="auto"/>
        <w:ind w:firstLine="482" w:firstLineChars="200"/>
        <w:jc w:val="left"/>
        <w:rPr>
          <w:rFonts w:hint="default" w:eastAsia="宋体"/>
          <w:b/>
          <w:bCs/>
          <w:sz w:val="24"/>
          <w:lang w:val="en-US" w:eastAsia="zh-CN"/>
        </w:rPr>
      </w:pPr>
      <w:r>
        <w:rPr>
          <w:rFonts w:hint="eastAsia"/>
          <w:b/>
          <w:bCs/>
          <w:sz w:val="24"/>
          <w:lang w:val="en-US" w:eastAsia="zh-CN"/>
        </w:rPr>
        <w:t>2</w:t>
      </w:r>
      <w:r>
        <w:rPr>
          <w:b/>
          <w:bCs/>
          <w:sz w:val="24"/>
        </w:rPr>
        <w:t>）</w:t>
      </w:r>
      <w:r>
        <w:rPr>
          <w:rFonts w:hint="eastAsia"/>
          <w:b/>
          <w:bCs/>
          <w:sz w:val="24"/>
          <w:lang w:val="en-US" w:eastAsia="zh-CN"/>
        </w:rPr>
        <w:t>对假设2的验证——分类研究</w:t>
      </w:r>
    </w:p>
    <w:p>
      <w:pPr>
        <w:spacing w:line="360" w:lineRule="auto"/>
        <w:ind w:firstLine="480" w:firstLineChars="200"/>
        <w:rPr>
          <w:rFonts w:hint="default" w:eastAsia="宋体"/>
          <w:sz w:val="24"/>
          <w:lang w:val="en-US" w:eastAsia="zh-CN"/>
        </w:rPr>
      </w:pPr>
      <w:r>
        <w:rPr>
          <w:sz w:val="24"/>
        </w:rPr>
        <w:t>我们</w:t>
      </w:r>
      <w:r>
        <w:rPr>
          <w:rFonts w:hint="eastAsia"/>
          <w:sz w:val="24"/>
          <w:lang w:val="en-US" w:eastAsia="zh-CN"/>
        </w:rPr>
        <w:t>选择对样本进行不同的分类方式进行分类，来探究不同板块（即不同市值规模）、不同处罚方式、所有制差异带来的异质性反应。当然，因为我们采取了许多不同的分类方式，即我们将板块差异、处罚方式差异、所有制差异等作为我们关注的变量，本研究的重点不在于结果的稳健性，而在于结果的差异性。</w:t>
      </w:r>
    </w:p>
    <w:p>
      <w:pPr>
        <w:spacing w:line="360" w:lineRule="auto"/>
        <w:rPr>
          <w:rFonts w:eastAsia="黑体"/>
          <w:b/>
          <w:sz w:val="36"/>
          <w:szCs w:val="36"/>
        </w:rPr>
      </w:pPr>
    </w:p>
    <w:p>
      <w:pPr>
        <w:spacing w:line="360" w:lineRule="auto"/>
        <w:rPr>
          <w:rFonts w:eastAsia="黑体"/>
          <w:b/>
          <w:sz w:val="36"/>
          <w:szCs w:val="36"/>
        </w:rPr>
      </w:pPr>
    </w:p>
    <w:p>
      <w:pPr>
        <w:spacing w:line="360" w:lineRule="auto"/>
        <w:rPr>
          <w:rFonts w:eastAsia="黑体"/>
          <w:b/>
          <w:sz w:val="36"/>
          <w:szCs w:val="36"/>
        </w:rPr>
      </w:pPr>
    </w:p>
    <w:p>
      <w:pPr>
        <w:spacing w:line="360" w:lineRule="auto"/>
        <w:rPr>
          <w:rFonts w:eastAsia="黑体"/>
          <w:b/>
          <w:sz w:val="36"/>
          <w:szCs w:val="36"/>
        </w:rPr>
      </w:pPr>
    </w:p>
    <w:p>
      <w:pPr>
        <w:spacing w:line="360" w:lineRule="auto"/>
        <w:rPr>
          <w:rFonts w:eastAsia="黑体"/>
          <w:b/>
          <w:sz w:val="36"/>
          <w:szCs w:val="36"/>
        </w:rPr>
      </w:pPr>
    </w:p>
    <w:p>
      <w:pPr>
        <w:spacing w:line="360" w:lineRule="auto"/>
        <w:rPr>
          <w:rFonts w:eastAsia="黑体"/>
          <w:b/>
          <w:sz w:val="36"/>
          <w:szCs w:val="36"/>
        </w:rPr>
      </w:pPr>
    </w:p>
    <w:p>
      <w:pPr>
        <w:spacing w:line="360" w:lineRule="auto"/>
        <w:rPr>
          <w:rFonts w:eastAsia="黑体"/>
          <w:b/>
          <w:sz w:val="36"/>
          <w:szCs w:val="36"/>
        </w:rPr>
      </w:pPr>
    </w:p>
    <w:p>
      <w:pPr>
        <w:spacing w:line="360" w:lineRule="auto"/>
        <w:rPr>
          <w:rFonts w:eastAsia="黑体"/>
          <w:b/>
          <w:sz w:val="36"/>
          <w:szCs w:val="36"/>
        </w:rPr>
      </w:pPr>
    </w:p>
    <w:p>
      <w:pPr>
        <w:spacing w:line="360" w:lineRule="auto"/>
        <w:rPr>
          <w:rFonts w:eastAsia="黑体"/>
          <w:b/>
          <w:sz w:val="36"/>
          <w:szCs w:val="36"/>
        </w:rPr>
      </w:pPr>
    </w:p>
    <w:p>
      <w:pPr>
        <w:spacing w:line="360" w:lineRule="auto"/>
        <w:rPr>
          <w:rFonts w:eastAsia="黑体"/>
          <w:b/>
          <w:sz w:val="36"/>
          <w:szCs w:val="36"/>
        </w:rPr>
      </w:pPr>
    </w:p>
    <w:p>
      <w:pPr>
        <w:spacing w:line="360" w:lineRule="auto"/>
        <w:rPr>
          <w:rFonts w:eastAsia="黑体"/>
          <w:b/>
          <w:sz w:val="36"/>
          <w:szCs w:val="36"/>
        </w:rPr>
      </w:pPr>
    </w:p>
    <w:p>
      <w:pPr>
        <w:spacing w:line="360" w:lineRule="auto"/>
        <w:rPr>
          <w:rFonts w:eastAsia="黑体"/>
          <w:b/>
          <w:sz w:val="36"/>
          <w:szCs w:val="36"/>
        </w:rPr>
      </w:pPr>
    </w:p>
    <w:p>
      <w:pPr>
        <w:spacing w:line="360" w:lineRule="auto"/>
        <w:rPr>
          <w:rFonts w:eastAsia="黑体"/>
          <w:b/>
          <w:sz w:val="36"/>
          <w:szCs w:val="36"/>
        </w:rPr>
      </w:pPr>
    </w:p>
    <w:p>
      <w:pPr>
        <w:spacing w:line="360" w:lineRule="auto"/>
        <w:ind w:left="181" w:hanging="181" w:hangingChars="50"/>
        <w:jc w:val="center"/>
        <w:rPr>
          <w:rFonts w:eastAsia="黑体"/>
          <w:b/>
          <w:sz w:val="36"/>
          <w:szCs w:val="36"/>
        </w:rPr>
      </w:pPr>
      <w:r>
        <w:rPr>
          <w:rFonts w:eastAsia="黑体"/>
          <w:b/>
          <w:sz w:val="36"/>
          <w:szCs w:val="36"/>
        </w:rPr>
        <w:t>4  实证结果</w:t>
      </w:r>
    </w:p>
    <w:p>
      <w:pPr>
        <w:spacing w:line="360" w:lineRule="auto"/>
        <w:ind w:firstLine="480" w:firstLineChars="200"/>
        <w:rPr>
          <w:rFonts w:hint="eastAsia" w:eastAsia="宋体"/>
          <w:sz w:val="24"/>
          <w:vertAlign w:val="subscript"/>
          <w:lang w:val="en-US" w:eastAsia="zh-CN"/>
        </w:rPr>
      </w:pPr>
      <w:r>
        <w:rPr>
          <w:sz w:val="24"/>
        </w:rPr>
        <w:t>根据第三章中提出的假设及研究方案，我们通过事件研究法得到了初步的结果，并对结果进行了初步分析。我们的实证结果证实了</w:t>
      </w:r>
      <w:r>
        <w:rPr>
          <w:rFonts w:hint="eastAsia"/>
          <w:sz w:val="24"/>
          <w:lang w:val="en-US" w:eastAsia="zh-CN"/>
        </w:rPr>
        <w:t>假设一和假设二</w:t>
      </w:r>
      <w:r>
        <w:rPr>
          <w:sz w:val="24"/>
        </w:rPr>
        <w:t>成立，这说明企业违规处罚公告的发布确实会对股票价格造成</w:t>
      </w:r>
      <w:r>
        <w:rPr>
          <w:rFonts w:hint="eastAsia"/>
          <w:sz w:val="24"/>
          <w:lang w:val="en-US" w:eastAsia="zh-CN"/>
        </w:rPr>
        <w:t>负价格效应</w:t>
      </w:r>
      <w:r>
        <w:rPr>
          <w:sz w:val="24"/>
        </w:rPr>
        <w:t>，</w:t>
      </w:r>
      <w:r>
        <w:rPr>
          <w:rFonts w:hint="eastAsia"/>
          <w:sz w:val="24"/>
          <w:lang w:val="en-US" w:eastAsia="zh-CN"/>
        </w:rPr>
        <w:t>而</w:t>
      </w:r>
      <w:r>
        <w:rPr>
          <w:sz w:val="24"/>
        </w:rPr>
        <w:t>对于不同板块的股票以及不同的处罚方式，</w:t>
      </w:r>
      <w:r>
        <w:rPr>
          <w:rFonts w:hint="eastAsia"/>
          <w:sz w:val="24"/>
          <w:lang w:val="en-US" w:eastAsia="zh-CN"/>
        </w:rPr>
        <w:t>股票价格</w:t>
      </w:r>
      <w:r>
        <w:rPr>
          <w:sz w:val="24"/>
        </w:rPr>
        <w:t>的反应均有</w:t>
      </w:r>
      <w:r>
        <w:rPr>
          <w:rFonts w:hint="eastAsia"/>
          <w:sz w:val="24"/>
          <w:lang w:val="en-US" w:eastAsia="zh-CN"/>
        </w:rPr>
        <w:t>差异性</w:t>
      </w:r>
      <w:r>
        <w:rPr>
          <w:sz w:val="24"/>
        </w:rPr>
        <w:t>，这</w:t>
      </w:r>
      <w:r>
        <w:rPr>
          <w:rFonts w:hint="eastAsia"/>
          <w:sz w:val="24"/>
          <w:lang w:val="en-US" w:eastAsia="zh-CN"/>
        </w:rPr>
        <w:t>种差异</w:t>
      </w:r>
      <w:r>
        <w:rPr>
          <w:sz w:val="24"/>
        </w:rPr>
        <w:t>与股票的市值规模及处罚方式有关。</w:t>
      </w:r>
    </w:p>
    <w:p>
      <w:pPr>
        <w:spacing w:line="360" w:lineRule="auto"/>
        <w:ind w:firstLine="480" w:firstLineChars="200"/>
        <w:rPr>
          <w:sz w:val="24"/>
        </w:rPr>
      </w:pPr>
    </w:p>
    <w:p>
      <w:pPr>
        <w:spacing w:line="360" w:lineRule="auto"/>
        <w:jc w:val="left"/>
        <w:rPr>
          <w:rFonts w:eastAsia="黑体"/>
          <w:b/>
          <w:sz w:val="28"/>
          <w:szCs w:val="28"/>
        </w:rPr>
      </w:pPr>
      <w:r>
        <w:rPr>
          <w:b/>
          <w:sz w:val="28"/>
          <w:szCs w:val="28"/>
        </w:rPr>
        <w:t xml:space="preserve">4.1  </w:t>
      </w:r>
      <w:r>
        <w:rPr>
          <w:rFonts w:eastAsia="黑体"/>
          <w:b/>
          <w:sz w:val="28"/>
          <w:szCs w:val="28"/>
        </w:rPr>
        <w:t>描述性统计</w:t>
      </w:r>
    </w:p>
    <w:p>
      <w:pPr>
        <w:spacing w:line="360" w:lineRule="auto"/>
        <w:ind w:firstLine="480" w:firstLineChars="200"/>
        <w:rPr>
          <w:sz w:val="24"/>
        </w:rPr>
      </w:pPr>
      <w:r>
        <w:rPr>
          <w:sz w:val="24"/>
        </w:rPr>
        <w:t>我们截取的时间段为2017年1月1日至2021年12月31日，在此期间，“两所一会”及其地方分支机构总计发布了对于沪深A股（包括</w:t>
      </w:r>
      <w:r>
        <w:rPr>
          <w:rFonts w:hint="eastAsia"/>
          <w:sz w:val="24"/>
          <w:lang w:val="en-US" w:eastAsia="zh-CN"/>
        </w:rPr>
        <w:t>主板、</w:t>
      </w:r>
      <w:r>
        <w:rPr>
          <w:sz w:val="24"/>
        </w:rPr>
        <w:t>中小板及创业板）关联的2005家上市公司的6001则违规处罚公告，其中，上市公司违规事实确凿且“两所一会”及其地方分支机构发布了明确处罚措施的共计2724则，我们将其按照板块以及“两所一会”官方处罚方式代码进行分类，如表4-1所示。其中，“其他”这一大类对应的处罚方式主要为责令整改、监管函、警示函等。</w:t>
      </w:r>
    </w:p>
    <w:p>
      <w:pPr>
        <w:spacing w:line="360" w:lineRule="auto"/>
        <w:ind w:firstLine="480" w:firstLineChars="200"/>
        <w:rPr>
          <w:sz w:val="24"/>
        </w:rPr>
      </w:pPr>
    </w:p>
    <w:p>
      <w:pPr>
        <w:spacing w:line="300" w:lineRule="exact"/>
        <w:ind w:firstLine="480" w:firstLineChars="200"/>
        <w:jc w:val="center"/>
        <w:rPr>
          <w:rFonts w:eastAsia="黑体"/>
          <w:sz w:val="24"/>
        </w:rPr>
      </w:pPr>
      <w:r>
        <w:rPr>
          <w:rFonts w:eastAsia="黑体"/>
          <w:sz w:val="24"/>
        </w:rPr>
        <w:t>表4-1  处罚公告分类分布情况</w:t>
      </w:r>
    </w:p>
    <w:p>
      <w:pPr>
        <w:spacing w:line="300" w:lineRule="exact"/>
        <w:ind w:firstLine="480" w:firstLineChars="200"/>
        <w:jc w:val="center"/>
        <w:rPr>
          <w:rFonts w:eastAsia="黑体"/>
          <w:sz w:val="24"/>
        </w:rPr>
      </w:pPr>
    </w:p>
    <w:tbl>
      <w:tblPr>
        <w:tblStyle w:val="6"/>
        <w:tblW w:w="8316" w:type="dxa"/>
        <w:jc w:val="center"/>
        <w:tblLayout w:type="autofit"/>
        <w:tblCellMar>
          <w:top w:w="0" w:type="dxa"/>
          <w:left w:w="108" w:type="dxa"/>
          <w:bottom w:w="0" w:type="dxa"/>
          <w:right w:w="108" w:type="dxa"/>
        </w:tblCellMar>
      </w:tblPr>
      <w:tblGrid>
        <w:gridCol w:w="1655"/>
        <w:gridCol w:w="1469"/>
        <w:gridCol w:w="1303"/>
        <w:gridCol w:w="1303"/>
        <w:gridCol w:w="1469"/>
        <w:gridCol w:w="1117"/>
      </w:tblGrid>
      <w:tr>
        <w:tblPrEx>
          <w:tblCellMar>
            <w:top w:w="0" w:type="dxa"/>
            <w:left w:w="108" w:type="dxa"/>
            <w:bottom w:w="0" w:type="dxa"/>
            <w:right w:w="108" w:type="dxa"/>
          </w:tblCellMar>
        </w:tblPrEx>
        <w:trPr>
          <w:trHeight w:val="397" w:hRule="atLeast"/>
          <w:jc w:val="center"/>
        </w:trPr>
        <w:tc>
          <w:tcPr>
            <w:tcW w:w="1655" w:type="dxa"/>
            <w:tcBorders>
              <w:top w:val="single" w:color="auto" w:sz="4" w:space="0"/>
              <w:left w:val="nil"/>
              <w:bottom w:val="single" w:color="auto" w:sz="4" w:space="0"/>
              <w:right w:val="nil"/>
            </w:tcBorders>
            <w:shd w:val="clear" w:color="auto" w:fill="auto"/>
            <w:vAlign w:val="center"/>
          </w:tcPr>
          <w:p>
            <w:pPr>
              <w:jc w:val="center"/>
              <w:rPr>
                <w:color w:val="000000"/>
                <w:szCs w:val="21"/>
              </w:rPr>
            </w:pPr>
          </w:p>
        </w:tc>
        <w:tc>
          <w:tcPr>
            <w:tcW w:w="1469" w:type="dxa"/>
            <w:tcBorders>
              <w:top w:val="single" w:color="auto" w:sz="4" w:space="0"/>
              <w:left w:val="nil"/>
              <w:bottom w:val="single" w:color="auto" w:sz="4" w:space="0"/>
              <w:right w:val="nil"/>
            </w:tcBorders>
            <w:shd w:val="clear" w:color="auto" w:fill="auto"/>
            <w:vAlign w:val="center"/>
          </w:tcPr>
          <w:p>
            <w:pPr>
              <w:widowControl/>
              <w:jc w:val="center"/>
              <w:textAlignment w:val="center"/>
              <w:rPr>
                <w:color w:val="000000"/>
                <w:szCs w:val="21"/>
              </w:rPr>
            </w:pPr>
            <w:r>
              <w:rPr>
                <w:color w:val="000000"/>
                <w:kern w:val="0"/>
                <w:szCs w:val="21"/>
                <w:lang w:bidi="ar"/>
              </w:rPr>
              <w:t>深A主板</w:t>
            </w:r>
          </w:p>
        </w:tc>
        <w:tc>
          <w:tcPr>
            <w:tcW w:w="1303" w:type="dxa"/>
            <w:tcBorders>
              <w:top w:val="single" w:color="auto" w:sz="4" w:space="0"/>
              <w:left w:val="nil"/>
              <w:bottom w:val="single" w:color="auto" w:sz="4" w:space="0"/>
              <w:right w:val="nil"/>
            </w:tcBorders>
            <w:shd w:val="clear" w:color="auto" w:fill="auto"/>
            <w:vAlign w:val="center"/>
          </w:tcPr>
          <w:p>
            <w:pPr>
              <w:widowControl/>
              <w:jc w:val="center"/>
              <w:textAlignment w:val="center"/>
              <w:rPr>
                <w:color w:val="000000"/>
                <w:szCs w:val="21"/>
              </w:rPr>
            </w:pPr>
            <w:r>
              <w:rPr>
                <w:color w:val="000000"/>
                <w:kern w:val="0"/>
                <w:szCs w:val="21"/>
                <w:lang w:bidi="ar"/>
              </w:rPr>
              <w:t>中小板</w:t>
            </w:r>
          </w:p>
        </w:tc>
        <w:tc>
          <w:tcPr>
            <w:tcW w:w="1303" w:type="dxa"/>
            <w:tcBorders>
              <w:top w:val="single" w:color="auto" w:sz="4" w:space="0"/>
              <w:left w:val="nil"/>
              <w:bottom w:val="single" w:color="auto" w:sz="4" w:space="0"/>
              <w:right w:val="nil"/>
            </w:tcBorders>
            <w:shd w:val="clear" w:color="auto" w:fill="auto"/>
            <w:vAlign w:val="center"/>
          </w:tcPr>
          <w:p>
            <w:pPr>
              <w:widowControl/>
              <w:jc w:val="center"/>
              <w:textAlignment w:val="center"/>
              <w:rPr>
                <w:color w:val="000000"/>
                <w:szCs w:val="21"/>
              </w:rPr>
            </w:pPr>
            <w:r>
              <w:rPr>
                <w:color w:val="000000"/>
                <w:kern w:val="0"/>
                <w:szCs w:val="21"/>
                <w:lang w:bidi="ar"/>
              </w:rPr>
              <w:t>创业板</w:t>
            </w:r>
          </w:p>
        </w:tc>
        <w:tc>
          <w:tcPr>
            <w:tcW w:w="1469" w:type="dxa"/>
            <w:tcBorders>
              <w:top w:val="single" w:color="auto" w:sz="4" w:space="0"/>
              <w:left w:val="nil"/>
              <w:bottom w:val="single" w:color="auto" w:sz="4" w:space="0"/>
              <w:right w:val="nil"/>
            </w:tcBorders>
            <w:shd w:val="clear" w:color="auto" w:fill="auto"/>
            <w:vAlign w:val="center"/>
          </w:tcPr>
          <w:p>
            <w:pPr>
              <w:widowControl/>
              <w:jc w:val="center"/>
              <w:textAlignment w:val="center"/>
              <w:rPr>
                <w:color w:val="000000"/>
                <w:szCs w:val="21"/>
              </w:rPr>
            </w:pPr>
            <w:r>
              <w:rPr>
                <w:color w:val="000000"/>
                <w:kern w:val="0"/>
                <w:szCs w:val="21"/>
                <w:lang w:bidi="ar"/>
              </w:rPr>
              <w:t>上A主板</w:t>
            </w:r>
          </w:p>
        </w:tc>
        <w:tc>
          <w:tcPr>
            <w:tcW w:w="1117" w:type="dxa"/>
            <w:tcBorders>
              <w:top w:val="single" w:color="auto" w:sz="4" w:space="0"/>
              <w:left w:val="nil"/>
              <w:bottom w:val="single" w:color="auto" w:sz="4" w:space="0"/>
              <w:right w:val="nil"/>
            </w:tcBorders>
            <w:shd w:val="clear" w:color="auto" w:fill="auto"/>
            <w:vAlign w:val="center"/>
          </w:tcPr>
          <w:p>
            <w:pPr>
              <w:widowControl/>
              <w:jc w:val="center"/>
              <w:textAlignment w:val="center"/>
              <w:rPr>
                <w:color w:val="000000"/>
                <w:szCs w:val="21"/>
              </w:rPr>
            </w:pPr>
            <w:r>
              <w:rPr>
                <w:color w:val="000000"/>
                <w:kern w:val="0"/>
                <w:szCs w:val="21"/>
                <w:lang w:bidi="ar"/>
              </w:rPr>
              <w:t>合计</w:t>
            </w:r>
          </w:p>
        </w:tc>
      </w:tr>
      <w:tr>
        <w:tblPrEx>
          <w:tblCellMar>
            <w:top w:w="0" w:type="dxa"/>
            <w:left w:w="108" w:type="dxa"/>
            <w:bottom w:w="0" w:type="dxa"/>
            <w:right w:w="108" w:type="dxa"/>
          </w:tblCellMar>
        </w:tblPrEx>
        <w:trPr>
          <w:trHeight w:val="397" w:hRule="atLeast"/>
          <w:jc w:val="center"/>
        </w:trPr>
        <w:tc>
          <w:tcPr>
            <w:tcW w:w="1655" w:type="dxa"/>
            <w:tcBorders>
              <w:top w:val="single" w:color="auto" w:sz="4" w:space="0"/>
              <w:left w:val="nil"/>
              <w:bottom w:val="nil"/>
              <w:right w:val="nil"/>
            </w:tcBorders>
            <w:shd w:val="clear" w:color="auto" w:fill="auto"/>
            <w:vAlign w:val="center"/>
          </w:tcPr>
          <w:p>
            <w:pPr>
              <w:widowControl/>
              <w:jc w:val="center"/>
              <w:textAlignment w:val="center"/>
              <w:rPr>
                <w:color w:val="000000"/>
                <w:szCs w:val="21"/>
              </w:rPr>
            </w:pPr>
            <w:r>
              <w:rPr>
                <w:color w:val="000000"/>
                <w:kern w:val="0"/>
                <w:szCs w:val="21"/>
                <w:lang w:bidi="ar"/>
              </w:rPr>
              <w:t>警告、罚款</w:t>
            </w:r>
          </w:p>
        </w:tc>
        <w:tc>
          <w:tcPr>
            <w:tcW w:w="1469" w:type="dxa"/>
            <w:tcBorders>
              <w:top w:val="single" w:color="auto" w:sz="4" w:space="0"/>
              <w:left w:val="nil"/>
              <w:bottom w:val="nil"/>
              <w:right w:val="nil"/>
            </w:tcBorders>
            <w:shd w:val="clear" w:color="auto" w:fill="auto"/>
            <w:vAlign w:val="center"/>
          </w:tcPr>
          <w:p>
            <w:pPr>
              <w:widowControl/>
              <w:jc w:val="center"/>
              <w:textAlignment w:val="center"/>
              <w:rPr>
                <w:color w:val="000000"/>
                <w:szCs w:val="21"/>
              </w:rPr>
            </w:pPr>
            <w:r>
              <w:rPr>
                <w:color w:val="000000"/>
                <w:kern w:val="0"/>
                <w:szCs w:val="21"/>
                <w:lang w:bidi="ar"/>
              </w:rPr>
              <w:t>9</w:t>
            </w:r>
          </w:p>
        </w:tc>
        <w:tc>
          <w:tcPr>
            <w:tcW w:w="1303" w:type="dxa"/>
            <w:tcBorders>
              <w:top w:val="single" w:color="auto" w:sz="4" w:space="0"/>
              <w:left w:val="nil"/>
              <w:bottom w:val="nil"/>
              <w:right w:val="nil"/>
            </w:tcBorders>
            <w:shd w:val="clear" w:color="auto" w:fill="auto"/>
            <w:vAlign w:val="center"/>
          </w:tcPr>
          <w:p>
            <w:pPr>
              <w:widowControl/>
              <w:jc w:val="center"/>
              <w:textAlignment w:val="center"/>
              <w:rPr>
                <w:color w:val="000000"/>
                <w:szCs w:val="21"/>
              </w:rPr>
            </w:pPr>
            <w:r>
              <w:rPr>
                <w:color w:val="000000"/>
                <w:kern w:val="0"/>
                <w:szCs w:val="21"/>
                <w:lang w:bidi="ar"/>
              </w:rPr>
              <w:t>15</w:t>
            </w:r>
          </w:p>
        </w:tc>
        <w:tc>
          <w:tcPr>
            <w:tcW w:w="1303" w:type="dxa"/>
            <w:tcBorders>
              <w:top w:val="single" w:color="auto" w:sz="4" w:space="0"/>
              <w:left w:val="nil"/>
              <w:bottom w:val="nil"/>
              <w:right w:val="nil"/>
            </w:tcBorders>
            <w:shd w:val="clear" w:color="auto" w:fill="auto"/>
            <w:vAlign w:val="center"/>
          </w:tcPr>
          <w:p>
            <w:pPr>
              <w:widowControl/>
              <w:jc w:val="center"/>
              <w:textAlignment w:val="center"/>
              <w:rPr>
                <w:color w:val="000000"/>
                <w:szCs w:val="21"/>
              </w:rPr>
            </w:pPr>
            <w:r>
              <w:rPr>
                <w:color w:val="000000"/>
                <w:kern w:val="0"/>
                <w:szCs w:val="21"/>
                <w:lang w:bidi="ar"/>
              </w:rPr>
              <w:t>9</w:t>
            </w:r>
          </w:p>
        </w:tc>
        <w:tc>
          <w:tcPr>
            <w:tcW w:w="1469" w:type="dxa"/>
            <w:tcBorders>
              <w:top w:val="single" w:color="auto" w:sz="4" w:space="0"/>
              <w:left w:val="nil"/>
              <w:bottom w:val="nil"/>
              <w:right w:val="nil"/>
            </w:tcBorders>
            <w:shd w:val="clear" w:color="auto" w:fill="auto"/>
            <w:vAlign w:val="center"/>
          </w:tcPr>
          <w:p>
            <w:pPr>
              <w:widowControl/>
              <w:jc w:val="center"/>
              <w:textAlignment w:val="center"/>
              <w:rPr>
                <w:color w:val="000000"/>
                <w:szCs w:val="21"/>
              </w:rPr>
            </w:pPr>
            <w:r>
              <w:rPr>
                <w:color w:val="000000"/>
                <w:kern w:val="0"/>
                <w:szCs w:val="21"/>
                <w:lang w:bidi="ar"/>
              </w:rPr>
              <w:t>30</w:t>
            </w:r>
          </w:p>
        </w:tc>
        <w:tc>
          <w:tcPr>
            <w:tcW w:w="1117" w:type="dxa"/>
            <w:tcBorders>
              <w:top w:val="single" w:color="auto" w:sz="4" w:space="0"/>
              <w:left w:val="nil"/>
              <w:bottom w:val="nil"/>
              <w:right w:val="nil"/>
            </w:tcBorders>
            <w:shd w:val="clear" w:color="auto" w:fill="auto"/>
            <w:vAlign w:val="center"/>
          </w:tcPr>
          <w:p>
            <w:pPr>
              <w:widowControl/>
              <w:jc w:val="center"/>
              <w:textAlignment w:val="center"/>
              <w:rPr>
                <w:color w:val="000000"/>
                <w:szCs w:val="21"/>
              </w:rPr>
            </w:pPr>
            <w:r>
              <w:rPr>
                <w:color w:val="000000"/>
                <w:kern w:val="0"/>
                <w:szCs w:val="21"/>
                <w:lang w:bidi="ar"/>
              </w:rPr>
              <w:t>63</w:t>
            </w:r>
          </w:p>
        </w:tc>
      </w:tr>
      <w:tr>
        <w:tblPrEx>
          <w:tblCellMar>
            <w:top w:w="0" w:type="dxa"/>
            <w:left w:w="108" w:type="dxa"/>
            <w:bottom w:w="0" w:type="dxa"/>
            <w:right w:w="108" w:type="dxa"/>
          </w:tblCellMar>
        </w:tblPrEx>
        <w:trPr>
          <w:trHeight w:val="397" w:hRule="atLeast"/>
          <w:jc w:val="center"/>
        </w:trPr>
        <w:tc>
          <w:tcPr>
            <w:tcW w:w="1655" w:type="dxa"/>
            <w:tcBorders>
              <w:top w:val="nil"/>
              <w:left w:val="nil"/>
              <w:bottom w:val="nil"/>
              <w:right w:val="nil"/>
            </w:tcBorders>
            <w:shd w:val="clear" w:color="auto" w:fill="auto"/>
            <w:vAlign w:val="center"/>
          </w:tcPr>
          <w:p>
            <w:pPr>
              <w:widowControl/>
              <w:jc w:val="center"/>
              <w:textAlignment w:val="center"/>
              <w:rPr>
                <w:color w:val="000000"/>
                <w:szCs w:val="21"/>
              </w:rPr>
            </w:pPr>
            <w:r>
              <w:rPr>
                <w:color w:val="000000"/>
                <w:kern w:val="0"/>
                <w:szCs w:val="21"/>
                <w:lang w:bidi="ar"/>
              </w:rPr>
              <w:t>批评</w:t>
            </w:r>
          </w:p>
        </w:tc>
        <w:tc>
          <w:tcPr>
            <w:tcW w:w="1469" w:type="dxa"/>
            <w:tcBorders>
              <w:top w:val="nil"/>
              <w:left w:val="nil"/>
              <w:bottom w:val="nil"/>
              <w:right w:val="nil"/>
            </w:tcBorders>
            <w:shd w:val="clear" w:color="auto" w:fill="auto"/>
            <w:vAlign w:val="center"/>
          </w:tcPr>
          <w:p>
            <w:pPr>
              <w:widowControl/>
              <w:jc w:val="center"/>
              <w:textAlignment w:val="center"/>
              <w:rPr>
                <w:color w:val="000000"/>
                <w:szCs w:val="21"/>
              </w:rPr>
            </w:pPr>
            <w:r>
              <w:rPr>
                <w:color w:val="000000"/>
                <w:kern w:val="0"/>
                <w:szCs w:val="21"/>
                <w:lang w:bidi="ar"/>
              </w:rPr>
              <w:t>61</w:t>
            </w:r>
          </w:p>
        </w:tc>
        <w:tc>
          <w:tcPr>
            <w:tcW w:w="1303" w:type="dxa"/>
            <w:tcBorders>
              <w:top w:val="nil"/>
              <w:left w:val="nil"/>
              <w:bottom w:val="nil"/>
              <w:right w:val="nil"/>
            </w:tcBorders>
            <w:shd w:val="clear" w:color="auto" w:fill="auto"/>
            <w:vAlign w:val="center"/>
          </w:tcPr>
          <w:p>
            <w:pPr>
              <w:widowControl/>
              <w:jc w:val="center"/>
              <w:textAlignment w:val="center"/>
              <w:rPr>
                <w:color w:val="000000"/>
                <w:szCs w:val="21"/>
              </w:rPr>
            </w:pPr>
            <w:r>
              <w:rPr>
                <w:color w:val="000000"/>
                <w:kern w:val="0"/>
                <w:szCs w:val="21"/>
                <w:lang w:bidi="ar"/>
              </w:rPr>
              <w:t>161</w:t>
            </w:r>
          </w:p>
        </w:tc>
        <w:tc>
          <w:tcPr>
            <w:tcW w:w="1303" w:type="dxa"/>
            <w:tcBorders>
              <w:top w:val="nil"/>
              <w:left w:val="nil"/>
              <w:bottom w:val="nil"/>
              <w:right w:val="nil"/>
            </w:tcBorders>
            <w:shd w:val="clear" w:color="auto" w:fill="auto"/>
            <w:vAlign w:val="center"/>
          </w:tcPr>
          <w:p>
            <w:pPr>
              <w:widowControl/>
              <w:jc w:val="center"/>
              <w:textAlignment w:val="center"/>
              <w:rPr>
                <w:color w:val="000000"/>
                <w:szCs w:val="21"/>
              </w:rPr>
            </w:pPr>
            <w:r>
              <w:rPr>
                <w:color w:val="000000"/>
                <w:kern w:val="0"/>
                <w:szCs w:val="21"/>
                <w:lang w:bidi="ar"/>
              </w:rPr>
              <w:t>140</w:t>
            </w:r>
          </w:p>
        </w:tc>
        <w:tc>
          <w:tcPr>
            <w:tcW w:w="1469" w:type="dxa"/>
            <w:tcBorders>
              <w:top w:val="nil"/>
              <w:left w:val="nil"/>
              <w:bottom w:val="nil"/>
              <w:right w:val="nil"/>
            </w:tcBorders>
            <w:shd w:val="clear" w:color="auto" w:fill="auto"/>
            <w:vAlign w:val="center"/>
          </w:tcPr>
          <w:p>
            <w:pPr>
              <w:widowControl/>
              <w:jc w:val="center"/>
              <w:textAlignment w:val="center"/>
              <w:rPr>
                <w:color w:val="000000"/>
                <w:szCs w:val="21"/>
              </w:rPr>
            </w:pPr>
            <w:r>
              <w:rPr>
                <w:color w:val="000000"/>
                <w:kern w:val="0"/>
                <w:szCs w:val="21"/>
                <w:lang w:bidi="ar"/>
              </w:rPr>
              <w:t>196</w:t>
            </w:r>
          </w:p>
        </w:tc>
        <w:tc>
          <w:tcPr>
            <w:tcW w:w="1117" w:type="dxa"/>
            <w:tcBorders>
              <w:top w:val="nil"/>
              <w:left w:val="nil"/>
              <w:bottom w:val="nil"/>
              <w:right w:val="nil"/>
            </w:tcBorders>
            <w:shd w:val="clear" w:color="auto" w:fill="auto"/>
            <w:vAlign w:val="center"/>
          </w:tcPr>
          <w:p>
            <w:pPr>
              <w:widowControl/>
              <w:jc w:val="center"/>
              <w:textAlignment w:val="center"/>
              <w:rPr>
                <w:color w:val="000000"/>
                <w:szCs w:val="21"/>
              </w:rPr>
            </w:pPr>
            <w:r>
              <w:rPr>
                <w:color w:val="000000"/>
                <w:kern w:val="0"/>
                <w:szCs w:val="21"/>
                <w:lang w:bidi="ar"/>
              </w:rPr>
              <w:t>558</w:t>
            </w:r>
          </w:p>
        </w:tc>
      </w:tr>
      <w:tr>
        <w:tblPrEx>
          <w:tblCellMar>
            <w:top w:w="0" w:type="dxa"/>
            <w:left w:w="108" w:type="dxa"/>
            <w:bottom w:w="0" w:type="dxa"/>
            <w:right w:w="108" w:type="dxa"/>
          </w:tblCellMar>
        </w:tblPrEx>
        <w:trPr>
          <w:trHeight w:val="397" w:hRule="atLeast"/>
          <w:jc w:val="center"/>
        </w:trPr>
        <w:tc>
          <w:tcPr>
            <w:tcW w:w="1655" w:type="dxa"/>
            <w:tcBorders>
              <w:top w:val="nil"/>
              <w:left w:val="nil"/>
              <w:bottom w:val="nil"/>
              <w:right w:val="nil"/>
            </w:tcBorders>
            <w:shd w:val="clear" w:color="auto" w:fill="auto"/>
            <w:vAlign w:val="center"/>
          </w:tcPr>
          <w:p>
            <w:pPr>
              <w:widowControl/>
              <w:jc w:val="center"/>
              <w:textAlignment w:val="center"/>
              <w:rPr>
                <w:color w:val="000000"/>
                <w:szCs w:val="21"/>
              </w:rPr>
            </w:pPr>
            <w:r>
              <w:rPr>
                <w:color w:val="000000"/>
                <w:kern w:val="0"/>
                <w:szCs w:val="21"/>
                <w:lang w:bidi="ar"/>
              </w:rPr>
              <w:t>谴责</w:t>
            </w:r>
          </w:p>
        </w:tc>
        <w:tc>
          <w:tcPr>
            <w:tcW w:w="1469" w:type="dxa"/>
            <w:tcBorders>
              <w:top w:val="nil"/>
              <w:left w:val="nil"/>
              <w:bottom w:val="nil"/>
              <w:right w:val="nil"/>
            </w:tcBorders>
            <w:shd w:val="clear" w:color="auto" w:fill="auto"/>
            <w:vAlign w:val="center"/>
          </w:tcPr>
          <w:p>
            <w:pPr>
              <w:widowControl/>
              <w:jc w:val="center"/>
              <w:textAlignment w:val="center"/>
              <w:rPr>
                <w:color w:val="000000"/>
                <w:szCs w:val="21"/>
              </w:rPr>
            </w:pPr>
            <w:r>
              <w:rPr>
                <w:color w:val="000000"/>
                <w:kern w:val="0"/>
                <w:szCs w:val="21"/>
                <w:lang w:bidi="ar"/>
              </w:rPr>
              <w:t>44</w:t>
            </w:r>
          </w:p>
        </w:tc>
        <w:tc>
          <w:tcPr>
            <w:tcW w:w="1303" w:type="dxa"/>
            <w:tcBorders>
              <w:top w:val="nil"/>
              <w:left w:val="nil"/>
              <w:bottom w:val="nil"/>
              <w:right w:val="nil"/>
            </w:tcBorders>
            <w:shd w:val="clear" w:color="auto" w:fill="auto"/>
            <w:vAlign w:val="center"/>
          </w:tcPr>
          <w:p>
            <w:pPr>
              <w:widowControl/>
              <w:jc w:val="center"/>
              <w:textAlignment w:val="center"/>
              <w:rPr>
                <w:color w:val="000000"/>
                <w:szCs w:val="21"/>
              </w:rPr>
            </w:pPr>
            <w:r>
              <w:rPr>
                <w:color w:val="000000"/>
                <w:kern w:val="0"/>
                <w:szCs w:val="21"/>
                <w:lang w:bidi="ar"/>
              </w:rPr>
              <w:t>68</w:t>
            </w:r>
          </w:p>
        </w:tc>
        <w:tc>
          <w:tcPr>
            <w:tcW w:w="1303" w:type="dxa"/>
            <w:tcBorders>
              <w:top w:val="nil"/>
              <w:left w:val="nil"/>
              <w:bottom w:val="nil"/>
              <w:right w:val="nil"/>
            </w:tcBorders>
            <w:shd w:val="clear" w:color="auto" w:fill="auto"/>
            <w:vAlign w:val="center"/>
          </w:tcPr>
          <w:p>
            <w:pPr>
              <w:widowControl/>
              <w:jc w:val="center"/>
              <w:textAlignment w:val="center"/>
              <w:rPr>
                <w:color w:val="000000"/>
                <w:szCs w:val="21"/>
              </w:rPr>
            </w:pPr>
            <w:r>
              <w:rPr>
                <w:color w:val="000000"/>
                <w:kern w:val="0"/>
                <w:szCs w:val="21"/>
                <w:lang w:bidi="ar"/>
              </w:rPr>
              <w:t>43</w:t>
            </w:r>
          </w:p>
        </w:tc>
        <w:tc>
          <w:tcPr>
            <w:tcW w:w="1469" w:type="dxa"/>
            <w:tcBorders>
              <w:top w:val="nil"/>
              <w:left w:val="nil"/>
              <w:bottom w:val="nil"/>
              <w:right w:val="nil"/>
            </w:tcBorders>
            <w:shd w:val="clear" w:color="auto" w:fill="auto"/>
            <w:vAlign w:val="center"/>
          </w:tcPr>
          <w:p>
            <w:pPr>
              <w:widowControl/>
              <w:jc w:val="center"/>
              <w:textAlignment w:val="center"/>
              <w:rPr>
                <w:color w:val="000000"/>
                <w:szCs w:val="21"/>
              </w:rPr>
            </w:pPr>
            <w:r>
              <w:rPr>
                <w:color w:val="000000"/>
                <w:kern w:val="0"/>
                <w:szCs w:val="21"/>
                <w:lang w:bidi="ar"/>
              </w:rPr>
              <w:t>116</w:t>
            </w:r>
          </w:p>
        </w:tc>
        <w:tc>
          <w:tcPr>
            <w:tcW w:w="1117" w:type="dxa"/>
            <w:tcBorders>
              <w:top w:val="nil"/>
              <w:left w:val="nil"/>
              <w:bottom w:val="nil"/>
              <w:right w:val="nil"/>
            </w:tcBorders>
            <w:shd w:val="clear" w:color="auto" w:fill="auto"/>
            <w:vAlign w:val="center"/>
          </w:tcPr>
          <w:p>
            <w:pPr>
              <w:widowControl/>
              <w:jc w:val="center"/>
              <w:textAlignment w:val="center"/>
              <w:rPr>
                <w:color w:val="000000"/>
                <w:szCs w:val="21"/>
              </w:rPr>
            </w:pPr>
            <w:r>
              <w:rPr>
                <w:color w:val="000000"/>
                <w:kern w:val="0"/>
                <w:szCs w:val="21"/>
                <w:lang w:bidi="ar"/>
              </w:rPr>
              <w:t>271</w:t>
            </w:r>
          </w:p>
        </w:tc>
      </w:tr>
      <w:tr>
        <w:tblPrEx>
          <w:tblCellMar>
            <w:top w:w="0" w:type="dxa"/>
            <w:left w:w="108" w:type="dxa"/>
            <w:bottom w:w="0" w:type="dxa"/>
            <w:right w:w="108" w:type="dxa"/>
          </w:tblCellMar>
        </w:tblPrEx>
        <w:trPr>
          <w:trHeight w:val="397" w:hRule="atLeast"/>
          <w:jc w:val="center"/>
        </w:trPr>
        <w:tc>
          <w:tcPr>
            <w:tcW w:w="1655" w:type="dxa"/>
            <w:tcBorders>
              <w:top w:val="nil"/>
              <w:left w:val="nil"/>
              <w:bottom w:val="nil"/>
              <w:right w:val="nil"/>
            </w:tcBorders>
            <w:shd w:val="clear" w:color="auto" w:fill="auto"/>
            <w:vAlign w:val="center"/>
          </w:tcPr>
          <w:p>
            <w:pPr>
              <w:widowControl/>
              <w:jc w:val="center"/>
              <w:textAlignment w:val="center"/>
              <w:rPr>
                <w:color w:val="000000"/>
                <w:szCs w:val="21"/>
              </w:rPr>
            </w:pPr>
            <w:r>
              <w:rPr>
                <w:color w:val="000000"/>
                <w:kern w:val="0"/>
                <w:szCs w:val="21"/>
                <w:lang w:bidi="ar"/>
              </w:rPr>
              <w:t>其他</w:t>
            </w:r>
          </w:p>
        </w:tc>
        <w:tc>
          <w:tcPr>
            <w:tcW w:w="1469" w:type="dxa"/>
            <w:tcBorders>
              <w:top w:val="nil"/>
              <w:left w:val="nil"/>
              <w:bottom w:val="nil"/>
              <w:right w:val="nil"/>
            </w:tcBorders>
            <w:shd w:val="clear" w:color="auto" w:fill="auto"/>
            <w:vAlign w:val="center"/>
          </w:tcPr>
          <w:p>
            <w:pPr>
              <w:widowControl/>
              <w:jc w:val="center"/>
              <w:textAlignment w:val="center"/>
              <w:rPr>
                <w:color w:val="000000"/>
                <w:szCs w:val="21"/>
              </w:rPr>
            </w:pPr>
            <w:r>
              <w:rPr>
                <w:color w:val="000000"/>
                <w:kern w:val="0"/>
                <w:szCs w:val="21"/>
                <w:lang w:bidi="ar"/>
              </w:rPr>
              <w:t>333</w:t>
            </w:r>
          </w:p>
        </w:tc>
        <w:tc>
          <w:tcPr>
            <w:tcW w:w="1303" w:type="dxa"/>
            <w:tcBorders>
              <w:top w:val="nil"/>
              <w:left w:val="nil"/>
              <w:bottom w:val="nil"/>
              <w:right w:val="nil"/>
            </w:tcBorders>
            <w:shd w:val="clear" w:color="auto" w:fill="auto"/>
            <w:vAlign w:val="center"/>
          </w:tcPr>
          <w:p>
            <w:pPr>
              <w:widowControl/>
              <w:jc w:val="center"/>
              <w:textAlignment w:val="center"/>
              <w:rPr>
                <w:color w:val="000000"/>
                <w:szCs w:val="21"/>
              </w:rPr>
            </w:pPr>
            <w:r>
              <w:rPr>
                <w:color w:val="000000"/>
                <w:kern w:val="0"/>
                <w:szCs w:val="21"/>
                <w:lang w:bidi="ar"/>
              </w:rPr>
              <w:t>648</w:t>
            </w:r>
          </w:p>
        </w:tc>
        <w:tc>
          <w:tcPr>
            <w:tcW w:w="1303" w:type="dxa"/>
            <w:tcBorders>
              <w:top w:val="nil"/>
              <w:left w:val="nil"/>
              <w:bottom w:val="nil"/>
              <w:right w:val="nil"/>
            </w:tcBorders>
            <w:shd w:val="clear" w:color="auto" w:fill="auto"/>
            <w:vAlign w:val="center"/>
          </w:tcPr>
          <w:p>
            <w:pPr>
              <w:widowControl/>
              <w:jc w:val="center"/>
              <w:textAlignment w:val="center"/>
              <w:rPr>
                <w:color w:val="000000"/>
                <w:szCs w:val="21"/>
              </w:rPr>
            </w:pPr>
            <w:r>
              <w:rPr>
                <w:color w:val="000000"/>
                <w:kern w:val="0"/>
                <w:szCs w:val="21"/>
                <w:lang w:bidi="ar"/>
              </w:rPr>
              <w:t>442</w:t>
            </w:r>
          </w:p>
        </w:tc>
        <w:tc>
          <w:tcPr>
            <w:tcW w:w="1469" w:type="dxa"/>
            <w:tcBorders>
              <w:top w:val="nil"/>
              <w:left w:val="nil"/>
              <w:bottom w:val="nil"/>
              <w:right w:val="nil"/>
            </w:tcBorders>
            <w:shd w:val="clear" w:color="auto" w:fill="auto"/>
            <w:vAlign w:val="center"/>
          </w:tcPr>
          <w:p>
            <w:pPr>
              <w:widowControl/>
              <w:jc w:val="center"/>
              <w:textAlignment w:val="center"/>
              <w:rPr>
                <w:color w:val="000000"/>
                <w:szCs w:val="21"/>
              </w:rPr>
            </w:pPr>
            <w:r>
              <w:rPr>
                <w:color w:val="000000"/>
                <w:kern w:val="0"/>
                <w:szCs w:val="21"/>
                <w:lang w:bidi="ar"/>
              </w:rPr>
              <w:t>409</w:t>
            </w:r>
          </w:p>
        </w:tc>
        <w:tc>
          <w:tcPr>
            <w:tcW w:w="1117" w:type="dxa"/>
            <w:tcBorders>
              <w:top w:val="nil"/>
              <w:left w:val="nil"/>
              <w:bottom w:val="nil"/>
              <w:right w:val="nil"/>
            </w:tcBorders>
            <w:shd w:val="clear" w:color="auto" w:fill="auto"/>
            <w:vAlign w:val="center"/>
          </w:tcPr>
          <w:p>
            <w:pPr>
              <w:widowControl/>
              <w:jc w:val="center"/>
              <w:textAlignment w:val="center"/>
              <w:rPr>
                <w:color w:val="000000"/>
                <w:szCs w:val="21"/>
              </w:rPr>
            </w:pPr>
            <w:r>
              <w:rPr>
                <w:color w:val="000000"/>
                <w:kern w:val="0"/>
                <w:szCs w:val="21"/>
                <w:lang w:bidi="ar"/>
              </w:rPr>
              <w:t>1832</w:t>
            </w:r>
          </w:p>
        </w:tc>
      </w:tr>
      <w:tr>
        <w:tblPrEx>
          <w:tblCellMar>
            <w:top w:w="0" w:type="dxa"/>
            <w:left w:w="108" w:type="dxa"/>
            <w:bottom w:w="0" w:type="dxa"/>
            <w:right w:w="108" w:type="dxa"/>
          </w:tblCellMar>
        </w:tblPrEx>
        <w:trPr>
          <w:trHeight w:val="397" w:hRule="atLeast"/>
          <w:jc w:val="center"/>
        </w:trPr>
        <w:tc>
          <w:tcPr>
            <w:tcW w:w="1655" w:type="dxa"/>
            <w:tcBorders>
              <w:top w:val="nil"/>
              <w:left w:val="nil"/>
              <w:bottom w:val="single" w:color="auto" w:sz="4" w:space="0"/>
              <w:right w:val="nil"/>
            </w:tcBorders>
            <w:shd w:val="clear" w:color="auto" w:fill="auto"/>
            <w:vAlign w:val="center"/>
          </w:tcPr>
          <w:p>
            <w:pPr>
              <w:widowControl/>
              <w:jc w:val="center"/>
              <w:textAlignment w:val="center"/>
              <w:rPr>
                <w:color w:val="000000"/>
                <w:szCs w:val="21"/>
              </w:rPr>
            </w:pPr>
            <w:r>
              <w:rPr>
                <w:color w:val="000000"/>
                <w:kern w:val="0"/>
                <w:szCs w:val="21"/>
                <w:lang w:bidi="ar"/>
              </w:rPr>
              <w:t>合计</w:t>
            </w:r>
          </w:p>
        </w:tc>
        <w:tc>
          <w:tcPr>
            <w:tcW w:w="1469" w:type="dxa"/>
            <w:tcBorders>
              <w:top w:val="nil"/>
              <w:left w:val="nil"/>
              <w:bottom w:val="single" w:color="auto" w:sz="4" w:space="0"/>
              <w:right w:val="nil"/>
            </w:tcBorders>
            <w:shd w:val="clear" w:color="auto" w:fill="auto"/>
            <w:vAlign w:val="center"/>
          </w:tcPr>
          <w:p>
            <w:pPr>
              <w:widowControl/>
              <w:jc w:val="center"/>
              <w:textAlignment w:val="center"/>
              <w:rPr>
                <w:color w:val="000000"/>
                <w:szCs w:val="21"/>
              </w:rPr>
            </w:pPr>
            <w:r>
              <w:rPr>
                <w:color w:val="000000"/>
                <w:kern w:val="0"/>
                <w:szCs w:val="21"/>
                <w:lang w:bidi="ar"/>
              </w:rPr>
              <w:t>447</w:t>
            </w:r>
          </w:p>
        </w:tc>
        <w:tc>
          <w:tcPr>
            <w:tcW w:w="1303" w:type="dxa"/>
            <w:tcBorders>
              <w:top w:val="nil"/>
              <w:left w:val="nil"/>
              <w:bottom w:val="single" w:color="auto" w:sz="4" w:space="0"/>
              <w:right w:val="nil"/>
            </w:tcBorders>
            <w:shd w:val="clear" w:color="auto" w:fill="auto"/>
            <w:vAlign w:val="center"/>
          </w:tcPr>
          <w:p>
            <w:pPr>
              <w:widowControl/>
              <w:jc w:val="center"/>
              <w:textAlignment w:val="center"/>
              <w:rPr>
                <w:color w:val="000000"/>
                <w:szCs w:val="21"/>
              </w:rPr>
            </w:pPr>
            <w:r>
              <w:rPr>
                <w:color w:val="000000"/>
                <w:kern w:val="0"/>
                <w:szCs w:val="21"/>
                <w:lang w:bidi="ar"/>
              </w:rPr>
              <w:t>892</w:t>
            </w:r>
          </w:p>
        </w:tc>
        <w:tc>
          <w:tcPr>
            <w:tcW w:w="1303" w:type="dxa"/>
            <w:tcBorders>
              <w:top w:val="nil"/>
              <w:left w:val="nil"/>
              <w:bottom w:val="single" w:color="auto" w:sz="4" w:space="0"/>
              <w:right w:val="nil"/>
            </w:tcBorders>
            <w:shd w:val="clear" w:color="auto" w:fill="auto"/>
            <w:vAlign w:val="center"/>
          </w:tcPr>
          <w:p>
            <w:pPr>
              <w:widowControl/>
              <w:jc w:val="center"/>
              <w:textAlignment w:val="center"/>
              <w:rPr>
                <w:color w:val="000000"/>
                <w:szCs w:val="21"/>
              </w:rPr>
            </w:pPr>
            <w:r>
              <w:rPr>
                <w:color w:val="000000"/>
                <w:kern w:val="0"/>
                <w:szCs w:val="21"/>
                <w:lang w:bidi="ar"/>
              </w:rPr>
              <w:t>634</w:t>
            </w:r>
          </w:p>
        </w:tc>
        <w:tc>
          <w:tcPr>
            <w:tcW w:w="1469" w:type="dxa"/>
            <w:tcBorders>
              <w:top w:val="nil"/>
              <w:left w:val="nil"/>
              <w:bottom w:val="single" w:color="auto" w:sz="4" w:space="0"/>
              <w:right w:val="nil"/>
            </w:tcBorders>
            <w:shd w:val="clear" w:color="auto" w:fill="auto"/>
            <w:vAlign w:val="center"/>
          </w:tcPr>
          <w:p>
            <w:pPr>
              <w:widowControl/>
              <w:jc w:val="center"/>
              <w:textAlignment w:val="center"/>
              <w:rPr>
                <w:color w:val="000000"/>
                <w:szCs w:val="21"/>
              </w:rPr>
            </w:pPr>
            <w:r>
              <w:rPr>
                <w:color w:val="000000"/>
                <w:kern w:val="0"/>
                <w:szCs w:val="21"/>
                <w:lang w:bidi="ar"/>
              </w:rPr>
              <w:t>751</w:t>
            </w:r>
          </w:p>
        </w:tc>
        <w:tc>
          <w:tcPr>
            <w:tcW w:w="1117" w:type="dxa"/>
            <w:tcBorders>
              <w:top w:val="nil"/>
              <w:left w:val="nil"/>
              <w:bottom w:val="single" w:color="auto" w:sz="4" w:space="0"/>
              <w:right w:val="nil"/>
            </w:tcBorders>
            <w:shd w:val="clear" w:color="auto" w:fill="auto"/>
            <w:vAlign w:val="center"/>
          </w:tcPr>
          <w:p>
            <w:pPr>
              <w:widowControl/>
              <w:jc w:val="center"/>
              <w:textAlignment w:val="center"/>
              <w:rPr>
                <w:color w:val="000000"/>
                <w:szCs w:val="21"/>
              </w:rPr>
            </w:pPr>
            <w:r>
              <w:rPr>
                <w:color w:val="000000"/>
                <w:kern w:val="0"/>
                <w:szCs w:val="21"/>
                <w:lang w:bidi="ar"/>
              </w:rPr>
              <w:t>2724</w:t>
            </w:r>
          </w:p>
        </w:tc>
      </w:tr>
    </w:tbl>
    <w:p>
      <w:pPr>
        <w:spacing w:line="360" w:lineRule="auto"/>
        <w:ind w:firstLine="480" w:firstLineChars="200"/>
        <w:rPr>
          <w:sz w:val="24"/>
        </w:rPr>
      </w:pPr>
    </w:p>
    <w:p>
      <w:pPr>
        <w:spacing w:line="360" w:lineRule="auto"/>
        <w:ind w:firstLine="480" w:firstLineChars="200"/>
        <w:rPr>
          <w:sz w:val="24"/>
        </w:rPr>
      </w:pPr>
      <w:r>
        <w:rPr>
          <w:sz w:val="24"/>
        </w:rPr>
        <w:t>在数量上，如图4-1所示，“两所一会”及其分支机构较少使用“警告、罚款”这一处罚方式；最多的采用的处罚方式为“其他”，即整改、出具监管函或警示函等监管措施，这类监管措施对于企业的影响往往是长期的，也是我们重点关注的。另外，针对一支股票关联的上市公司多次受到违规处罚的情况，我们对沪深A股主板及创业板分别进行了统计，如图4-2所示。我们发现，对于主板市场</w:t>
      </w:r>
      <w:r>
        <w:rPr>
          <w:rFonts w:hint="eastAsia"/>
          <w:sz w:val="24"/>
          <w:lang w:eastAsia="zh-CN"/>
        </w:rPr>
        <w:t>、</w:t>
      </w:r>
      <w:r>
        <w:rPr>
          <w:rFonts w:hint="eastAsia"/>
          <w:sz w:val="24"/>
          <w:lang w:val="en-US" w:eastAsia="zh-CN"/>
        </w:rPr>
        <w:t>中小板市场</w:t>
      </w:r>
      <w:r>
        <w:rPr>
          <w:sz w:val="24"/>
        </w:rPr>
        <w:t>和创业板市场，违规处罚次数的分布非常类似，对于在我们的考察期受到违规处罚的股票而言，不存在板块间的违规频率差异。</w:t>
      </w:r>
    </w:p>
    <w:p>
      <w:pPr>
        <w:spacing w:line="360" w:lineRule="auto"/>
        <w:ind w:firstLine="420" w:firstLineChars="200"/>
      </w:pPr>
      <w:r>
        <w:drawing>
          <wp:inline distT="0" distB="0" distL="114300" distR="114300">
            <wp:extent cx="5348605" cy="2743200"/>
            <wp:effectExtent l="4445" t="4445" r="6350" b="46355"/>
            <wp:docPr id="61" name="图表 2" descr="7b0a202020202263686172745265734964223a20223230343732313936220a7d0a"/>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pPr>
        <w:spacing w:line="360" w:lineRule="auto"/>
        <w:ind w:left="120" w:hanging="120" w:hangingChars="50"/>
        <w:jc w:val="center"/>
        <w:rPr>
          <w:rFonts w:eastAsia="黑体"/>
          <w:sz w:val="24"/>
        </w:rPr>
      </w:pPr>
      <w:r>
        <w:rPr>
          <w:rFonts w:eastAsia="黑体"/>
          <w:sz w:val="24"/>
        </w:rPr>
        <w:t>图4</w:t>
      </w:r>
      <w:r>
        <w:rPr>
          <w:kern w:val="0"/>
          <w:sz w:val="24"/>
        </w:rPr>
        <w:t xml:space="preserve">-1  </w:t>
      </w:r>
      <w:r>
        <w:rPr>
          <w:rFonts w:eastAsia="黑体"/>
          <w:kern w:val="0"/>
          <w:sz w:val="24"/>
        </w:rPr>
        <w:t>考察期内</w:t>
      </w:r>
      <w:r>
        <w:rPr>
          <w:rFonts w:eastAsia="黑体"/>
          <w:sz w:val="24"/>
        </w:rPr>
        <w:t>违规处罚方式分布图</w:t>
      </w:r>
    </w:p>
    <w:p>
      <w:pPr>
        <w:spacing w:line="360" w:lineRule="auto"/>
      </w:pPr>
    </w:p>
    <w:p>
      <w:pPr>
        <w:spacing w:line="360" w:lineRule="auto"/>
        <w:jc w:val="center"/>
        <w:rPr>
          <w:rFonts w:hint="eastAsia" w:eastAsiaTheme="minorEastAsia"/>
          <w:lang w:eastAsia="zh-CN"/>
        </w:rPr>
      </w:pPr>
      <w:r>
        <w:rPr>
          <w:rFonts w:hint="eastAsia" w:eastAsiaTheme="minorEastAsia"/>
          <w:lang w:eastAsia="zh-CN"/>
        </w:rPr>
        <w:drawing>
          <wp:inline distT="0" distB="0" distL="114300" distR="114300">
            <wp:extent cx="1440180" cy="1440180"/>
            <wp:effectExtent l="0" t="0" r="7620" b="762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13"/>
                    <a:srcRect l="21882" r="21882"/>
                    <a:stretch>
                      <a:fillRect/>
                    </a:stretch>
                  </pic:blipFill>
                  <pic:spPr>
                    <a:xfrm>
                      <a:off x="0" y="0"/>
                      <a:ext cx="1440180" cy="1440180"/>
                    </a:xfrm>
                    <a:prstGeom prst="rect">
                      <a:avLst/>
                    </a:prstGeom>
                  </pic:spPr>
                </pic:pic>
              </a:graphicData>
            </a:graphic>
          </wp:inline>
        </w:drawing>
      </w:r>
      <w:r>
        <w:rPr>
          <w:rFonts w:hint="eastAsia" w:eastAsiaTheme="minorEastAsia"/>
          <w:lang w:eastAsia="zh-CN"/>
        </w:rPr>
        <w:drawing>
          <wp:inline distT="0" distB="0" distL="114300" distR="114300">
            <wp:extent cx="1440180" cy="1440180"/>
            <wp:effectExtent l="0" t="0" r="7620" b="7620"/>
            <wp:docPr id="4" name="图片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
                    <pic:cNvPicPr>
                      <a:picLocks noChangeAspect="1"/>
                    </pic:cNvPicPr>
                  </pic:nvPicPr>
                  <pic:blipFill>
                    <a:blip r:embed="rId14"/>
                    <a:srcRect l="19944" r="19944"/>
                    <a:stretch>
                      <a:fillRect/>
                    </a:stretch>
                  </pic:blipFill>
                  <pic:spPr>
                    <a:xfrm>
                      <a:off x="0" y="0"/>
                      <a:ext cx="1440180" cy="1440180"/>
                    </a:xfrm>
                    <a:prstGeom prst="rect">
                      <a:avLst/>
                    </a:prstGeom>
                  </pic:spPr>
                </pic:pic>
              </a:graphicData>
            </a:graphic>
          </wp:inline>
        </w:drawing>
      </w:r>
      <w:r>
        <w:rPr>
          <w:rFonts w:hint="eastAsia" w:eastAsiaTheme="minorEastAsia"/>
          <w:lang w:eastAsia="zh-CN"/>
        </w:rPr>
        <w:drawing>
          <wp:inline distT="0" distB="0" distL="114300" distR="114300">
            <wp:extent cx="1440180" cy="1440180"/>
            <wp:effectExtent l="0" t="0" r="7620" b="7620"/>
            <wp:docPr id="43" name="图片 4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3"/>
                    <pic:cNvPicPr>
                      <a:picLocks noChangeAspect="1"/>
                    </pic:cNvPicPr>
                  </pic:nvPicPr>
                  <pic:blipFill>
                    <a:blip r:embed="rId15"/>
                    <a:srcRect l="19944" r="19944"/>
                    <a:stretch>
                      <a:fillRect/>
                    </a:stretch>
                  </pic:blipFill>
                  <pic:spPr>
                    <a:xfrm>
                      <a:off x="0" y="0"/>
                      <a:ext cx="1440180" cy="1440180"/>
                    </a:xfrm>
                    <a:prstGeom prst="rect">
                      <a:avLst/>
                    </a:prstGeom>
                  </pic:spPr>
                </pic:pic>
              </a:graphicData>
            </a:graphic>
          </wp:inline>
        </w:drawing>
      </w:r>
    </w:p>
    <w:p>
      <w:pPr>
        <w:spacing w:line="360" w:lineRule="auto"/>
        <w:jc w:val="center"/>
        <w:rPr>
          <w:rFonts w:hint="eastAsia" w:eastAsiaTheme="minorEastAsia"/>
          <w:lang w:eastAsia="zh-CN"/>
        </w:rPr>
      </w:pPr>
      <w:r>
        <w:drawing>
          <wp:inline distT="0" distB="0" distL="114300" distR="114300">
            <wp:extent cx="2373630" cy="227965"/>
            <wp:effectExtent l="0" t="0" r="1270" b="635"/>
            <wp:docPr id="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
                    <pic:cNvPicPr>
                      <a:picLocks noChangeAspect="1"/>
                    </pic:cNvPicPr>
                  </pic:nvPicPr>
                  <pic:blipFill>
                    <a:blip r:embed="rId16"/>
                    <a:stretch>
                      <a:fillRect/>
                    </a:stretch>
                  </pic:blipFill>
                  <pic:spPr>
                    <a:xfrm>
                      <a:off x="0" y="0"/>
                      <a:ext cx="2373630" cy="227965"/>
                    </a:xfrm>
                    <a:prstGeom prst="rect">
                      <a:avLst/>
                    </a:prstGeom>
                    <a:noFill/>
                    <a:ln>
                      <a:noFill/>
                    </a:ln>
                  </pic:spPr>
                </pic:pic>
              </a:graphicData>
            </a:graphic>
          </wp:inline>
        </w:drawing>
      </w:r>
    </w:p>
    <w:p>
      <w:pPr>
        <w:spacing w:line="360" w:lineRule="auto"/>
        <w:ind w:left="120" w:hanging="120" w:hangingChars="50"/>
        <w:jc w:val="center"/>
        <w:rPr>
          <w:rFonts w:hint="eastAsia" w:eastAsia="黑体"/>
          <w:lang w:eastAsia="zh-CN"/>
        </w:rPr>
      </w:pPr>
      <w:r>
        <w:rPr>
          <w:rFonts w:eastAsia="黑体"/>
          <w:sz w:val="24"/>
        </w:rPr>
        <w:t>图4</w:t>
      </w:r>
      <w:r>
        <w:rPr>
          <w:kern w:val="0"/>
          <w:sz w:val="24"/>
        </w:rPr>
        <w:t>-</w:t>
      </w:r>
      <w:r>
        <w:rPr>
          <w:rFonts w:hint="eastAsia"/>
          <w:kern w:val="0"/>
          <w:sz w:val="24"/>
          <w:lang w:val="en-US" w:eastAsia="zh-CN"/>
        </w:rPr>
        <w:t>2</w:t>
      </w:r>
      <w:r>
        <w:rPr>
          <w:kern w:val="0"/>
          <w:sz w:val="24"/>
        </w:rPr>
        <w:t xml:space="preserve">  </w:t>
      </w:r>
      <w:r>
        <w:rPr>
          <w:rFonts w:eastAsia="黑体"/>
          <w:sz w:val="24"/>
        </w:rPr>
        <w:t>违规处罚公告次数分布图</w:t>
      </w:r>
      <w:r>
        <w:rPr>
          <w:rFonts w:hint="eastAsia" w:eastAsia="黑体"/>
          <w:sz w:val="24"/>
          <w:lang w:eastAsia="zh-CN"/>
        </w:rPr>
        <w:t>（</w:t>
      </w:r>
      <w:r>
        <w:rPr>
          <w:rFonts w:hint="eastAsia" w:eastAsia="黑体"/>
          <w:sz w:val="24"/>
          <w:lang w:val="en-US" w:eastAsia="zh-CN"/>
        </w:rPr>
        <w:t>从左至右分别为主板、中小板、创业板</w:t>
      </w:r>
      <w:r>
        <w:rPr>
          <w:rFonts w:hint="eastAsia" w:eastAsia="黑体"/>
          <w:sz w:val="24"/>
          <w:lang w:eastAsia="zh-CN"/>
        </w:rPr>
        <w:t>）</w:t>
      </w:r>
    </w:p>
    <w:p/>
    <w:p/>
    <w:p>
      <w:pPr>
        <w:spacing w:line="360" w:lineRule="auto"/>
        <w:jc w:val="left"/>
        <w:rPr>
          <w:rFonts w:eastAsia="黑体"/>
          <w:b/>
          <w:sz w:val="28"/>
          <w:szCs w:val="28"/>
        </w:rPr>
      </w:pPr>
      <w:r>
        <w:rPr>
          <w:b/>
          <w:sz w:val="28"/>
          <w:szCs w:val="28"/>
        </w:rPr>
        <w:t xml:space="preserve">4.2  </w:t>
      </w:r>
      <w:r>
        <w:rPr>
          <w:rFonts w:eastAsia="黑体"/>
          <w:b/>
          <w:sz w:val="28"/>
          <w:szCs w:val="28"/>
        </w:rPr>
        <w:t>事件研究的初步结果</w:t>
      </w:r>
    </w:p>
    <w:p>
      <w:pPr>
        <w:spacing w:line="360" w:lineRule="auto"/>
        <w:ind w:firstLine="480" w:firstLineChars="200"/>
        <w:rPr>
          <w:sz w:val="24"/>
        </w:rPr>
      </w:pPr>
      <w:r>
        <w:rPr>
          <w:sz w:val="24"/>
        </w:rPr>
        <w:t>首先，我们分别按照所在板块和处罚方式这两种分类方式对我们的假设进行事件研究。我们按照板块，将沪深A股分为深证A股主板、中小板、创业板以及上证A股；我们按照处罚方式，将违规处罚公告分为批评、谴责、警告且罚款和其他（此类处罚方式基本上为整改、监管函或警示函）。我们利用stata软件的eventstudy2外部命令包辅助我们进行研究，我们主要参考t检验呈现出来的显著性结果。</w:t>
      </w:r>
    </w:p>
    <w:p>
      <w:pPr>
        <w:spacing w:line="360" w:lineRule="auto"/>
        <w:ind w:firstLine="480" w:firstLineChars="200"/>
        <w:rPr>
          <w:sz w:val="24"/>
        </w:rPr>
      </w:pPr>
      <w:r>
        <w:rPr>
          <w:sz w:val="24"/>
        </w:rPr>
        <w:t>由于数据量的约束，我们无法对样本全部进行板块-处罚双分类（即每一类别为单一板块单一处罚），故我们在本节得到的结果仅仅是一个初步的分析，我们的目的也仅仅在于初步验证企业违规处罚公告发布对股票回报的影响，分类研究的初衷在于尽可能将我们关注的影响细化具体，使我们的结果尽量准确。</w:t>
      </w:r>
    </w:p>
    <w:p>
      <w:pPr>
        <w:spacing w:line="360" w:lineRule="auto"/>
        <w:ind w:firstLine="480" w:firstLineChars="200"/>
        <w:rPr>
          <w:sz w:val="24"/>
        </w:rPr>
      </w:pPr>
    </w:p>
    <w:p>
      <w:pPr>
        <w:spacing w:line="360" w:lineRule="auto"/>
        <w:jc w:val="left"/>
        <w:rPr>
          <w:rFonts w:eastAsia="黑体"/>
          <w:b/>
          <w:bCs/>
          <w:sz w:val="24"/>
        </w:rPr>
      </w:pPr>
      <w:r>
        <w:rPr>
          <w:b/>
          <w:bCs/>
          <w:sz w:val="24"/>
        </w:rPr>
        <w:t>4.2.1</w:t>
      </w:r>
      <w:r>
        <w:rPr>
          <w:sz w:val="24"/>
        </w:rPr>
        <w:t xml:space="preserve"> </w:t>
      </w:r>
      <w:r>
        <w:rPr>
          <w:b/>
          <w:bCs/>
          <w:sz w:val="24"/>
        </w:rPr>
        <w:t xml:space="preserve"> </w:t>
      </w:r>
      <w:r>
        <w:rPr>
          <w:rFonts w:eastAsia="黑体"/>
          <w:b/>
          <w:bCs/>
          <w:sz w:val="24"/>
        </w:rPr>
        <w:t>不同板块对于违规处罚公告发布的反应</w:t>
      </w:r>
    </w:p>
    <w:p>
      <w:pPr>
        <w:spacing w:line="360" w:lineRule="auto"/>
        <w:ind w:firstLine="480" w:firstLineChars="200"/>
        <w:jc w:val="left"/>
        <w:rPr>
          <w:rFonts w:hint="eastAsia"/>
          <w:sz w:val="24"/>
          <w:lang w:val="en-US" w:eastAsia="zh-CN"/>
        </w:rPr>
      </w:pPr>
      <w:r>
        <w:rPr>
          <w:sz w:val="24"/>
        </w:rPr>
        <w:t>我们对深证A股主板、中小板、创业板以及上证A股分别进行事件研究，在经过如第三章所述的数据筛选后，我们得到的事件共计1377则，其中，经过stata筛选，有效的样本数据为，深证A股主板171则，中小板387则，创业板290则，上证A股主板453则，得到的结果如</w:t>
      </w:r>
      <w:r>
        <w:rPr>
          <w:rFonts w:hint="eastAsia"/>
          <w:sz w:val="24"/>
          <w:lang w:val="en-US" w:eastAsia="zh-CN"/>
        </w:rPr>
        <w:t>图4-3、图4-4、图4-5和图4-6以及</w:t>
      </w:r>
      <w:r>
        <w:rPr>
          <w:sz w:val="24"/>
        </w:rPr>
        <w:t>表4-2、表4-3所示（各版块具体输出数据见附录）。</w:t>
      </w:r>
      <w:r>
        <w:rPr>
          <w:rFonts w:hint="eastAsia"/>
          <w:sz w:val="24"/>
          <w:lang w:val="en-US" w:eastAsia="zh-CN"/>
        </w:rPr>
        <w:t xml:space="preserve"> </w:t>
      </w:r>
    </w:p>
    <w:p>
      <w:pPr>
        <w:spacing w:line="360" w:lineRule="auto"/>
        <w:ind w:firstLine="480" w:firstLineChars="200"/>
        <w:jc w:val="left"/>
        <w:rPr>
          <w:rFonts w:hint="eastAsia"/>
          <w:sz w:val="24"/>
          <w:lang w:val="en-US" w:eastAsia="zh-CN"/>
        </w:rPr>
      </w:pPr>
    </w:p>
    <w:p>
      <w:pPr>
        <w:spacing w:line="360" w:lineRule="auto"/>
        <w:jc w:val="left"/>
        <w:rPr>
          <w:rFonts w:hint="eastAsia" w:eastAsia="宋体"/>
          <w:sz w:val="24"/>
          <w:lang w:eastAsia="zh-CN"/>
        </w:rPr>
      </w:pPr>
      <w:r>
        <w:rPr>
          <w:rFonts w:hint="eastAsia" w:eastAsia="宋体"/>
          <w:sz w:val="24"/>
          <w:lang w:eastAsia="zh-CN"/>
        </w:rPr>
        <w:drawing>
          <wp:inline distT="0" distB="0" distL="114935" distR="114935">
            <wp:extent cx="2640330" cy="1922145"/>
            <wp:effectExtent l="0" t="0" r="1270" b="8255"/>
            <wp:docPr id="45" name="图片 45" descr="深A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深A图片"/>
                    <pic:cNvPicPr>
                      <a:picLocks noChangeAspect="1"/>
                    </pic:cNvPicPr>
                  </pic:nvPicPr>
                  <pic:blipFill>
                    <a:blip r:embed="rId17"/>
                    <a:stretch>
                      <a:fillRect/>
                    </a:stretch>
                  </pic:blipFill>
                  <pic:spPr>
                    <a:xfrm>
                      <a:off x="0" y="0"/>
                      <a:ext cx="2640330" cy="1922145"/>
                    </a:xfrm>
                    <a:prstGeom prst="rect">
                      <a:avLst/>
                    </a:prstGeom>
                  </pic:spPr>
                </pic:pic>
              </a:graphicData>
            </a:graphic>
          </wp:inline>
        </w:drawing>
      </w:r>
      <w:r>
        <w:rPr>
          <w:rFonts w:hint="eastAsia"/>
          <w:sz w:val="24"/>
          <w:lang w:val="en-US" w:eastAsia="zh-CN"/>
        </w:rPr>
        <w:t xml:space="preserve"> </w:t>
      </w:r>
      <w:r>
        <w:rPr>
          <w:rFonts w:hint="eastAsia" w:eastAsia="宋体"/>
          <w:sz w:val="24"/>
          <w:lang w:eastAsia="zh-CN"/>
        </w:rPr>
        <w:drawing>
          <wp:inline distT="0" distB="0" distL="114300" distR="114300">
            <wp:extent cx="2640330" cy="1922145"/>
            <wp:effectExtent l="0" t="0" r="1270" b="8255"/>
            <wp:docPr id="44" name="图片 44" descr="中小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中小板"/>
                    <pic:cNvPicPr>
                      <a:picLocks noChangeAspect="1"/>
                    </pic:cNvPicPr>
                  </pic:nvPicPr>
                  <pic:blipFill>
                    <a:blip r:embed="rId18"/>
                    <a:stretch>
                      <a:fillRect/>
                    </a:stretch>
                  </pic:blipFill>
                  <pic:spPr>
                    <a:xfrm>
                      <a:off x="0" y="0"/>
                      <a:ext cx="2640330" cy="1922145"/>
                    </a:xfrm>
                    <a:prstGeom prst="rect">
                      <a:avLst/>
                    </a:prstGeom>
                  </pic:spPr>
                </pic:pic>
              </a:graphicData>
            </a:graphic>
          </wp:inline>
        </w:drawing>
      </w:r>
    </w:p>
    <w:p>
      <w:pPr>
        <w:spacing w:line="360" w:lineRule="auto"/>
        <w:ind w:firstLine="720" w:firstLineChars="300"/>
        <w:jc w:val="left"/>
        <w:rPr>
          <w:rFonts w:hint="default" w:ascii="Times New Roman" w:hAnsi="Times New Roman" w:cs="Times New Roman"/>
          <w:sz w:val="24"/>
          <w:lang w:val="en-US" w:eastAsia="zh-CN"/>
        </w:rPr>
      </w:pPr>
      <w:r>
        <w:rPr>
          <w:rFonts w:hint="default" w:ascii="Times New Roman" w:hAnsi="Times New Roman" w:eastAsia="黑体" w:cs="Times New Roman"/>
          <w:sz w:val="24"/>
          <w:lang w:val="en-US" w:eastAsia="zh-CN"/>
        </w:rPr>
        <w:t>图4-</w:t>
      </w:r>
      <w:r>
        <w:rPr>
          <w:rFonts w:hint="eastAsia" w:eastAsia="黑体" w:cs="Times New Roman"/>
          <w:sz w:val="24"/>
          <w:lang w:val="en-US" w:eastAsia="zh-CN"/>
        </w:rPr>
        <w:t>3</w:t>
      </w:r>
      <w:r>
        <w:rPr>
          <w:rFonts w:hint="default" w:ascii="Times New Roman" w:hAnsi="Times New Roman" w:eastAsia="黑体" w:cs="Times New Roman"/>
          <w:sz w:val="24"/>
          <w:lang w:val="en-US" w:eastAsia="zh-CN"/>
        </w:rPr>
        <w:t>深A主板CAAR</w:t>
      </w:r>
      <w:r>
        <w:rPr>
          <w:rFonts w:hint="eastAsia" w:ascii="黑体" w:hAnsi="黑体" w:eastAsia="黑体" w:cs="黑体"/>
          <w:sz w:val="24"/>
          <w:lang w:val="en-US" w:eastAsia="zh-CN"/>
        </w:rPr>
        <w:t xml:space="preserve">图  </w:t>
      </w:r>
      <w:r>
        <w:rPr>
          <w:rFonts w:hint="default" w:ascii="Times New Roman" w:hAnsi="Times New Roman" w:cs="Times New Roman"/>
          <w:sz w:val="24"/>
          <w:lang w:val="en-US" w:eastAsia="zh-CN"/>
        </w:rPr>
        <w:t xml:space="preserve">            </w:t>
      </w:r>
      <w:r>
        <w:rPr>
          <w:rFonts w:hint="default" w:ascii="Times New Roman" w:hAnsi="Times New Roman" w:eastAsia="黑体" w:cs="Times New Roman"/>
          <w:sz w:val="24"/>
          <w:lang w:val="en-US" w:eastAsia="zh-CN"/>
        </w:rPr>
        <w:t>图4-</w:t>
      </w:r>
      <w:r>
        <w:rPr>
          <w:rFonts w:hint="eastAsia" w:eastAsia="黑体" w:cs="Times New Roman"/>
          <w:sz w:val="24"/>
          <w:lang w:val="en-US" w:eastAsia="zh-CN"/>
        </w:rPr>
        <w:t>4</w:t>
      </w:r>
      <w:r>
        <w:rPr>
          <w:rFonts w:hint="default" w:ascii="Times New Roman" w:hAnsi="Times New Roman" w:eastAsia="黑体" w:cs="Times New Roman"/>
          <w:sz w:val="24"/>
          <w:lang w:val="en-US" w:eastAsia="zh-CN"/>
        </w:rPr>
        <w:t xml:space="preserve"> 中小板CAAR图</w:t>
      </w:r>
    </w:p>
    <w:p>
      <w:pPr>
        <w:spacing w:line="360" w:lineRule="auto"/>
        <w:ind w:firstLine="720" w:firstLineChars="300"/>
        <w:jc w:val="left"/>
        <w:rPr>
          <w:rFonts w:hint="default"/>
          <w:sz w:val="24"/>
          <w:lang w:val="en-US" w:eastAsia="zh-CN"/>
        </w:rPr>
      </w:pPr>
    </w:p>
    <w:p>
      <w:pPr>
        <w:spacing w:line="360" w:lineRule="auto"/>
        <w:jc w:val="left"/>
        <w:rPr>
          <w:rFonts w:hint="eastAsia" w:eastAsia="宋体"/>
          <w:sz w:val="24"/>
          <w:lang w:eastAsia="zh-CN"/>
        </w:rPr>
      </w:pPr>
      <w:r>
        <w:rPr>
          <w:rFonts w:hint="eastAsia" w:eastAsia="宋体"/>
          <w:sz w:val="24"/>
          <w:lang w:eastAsia="zh-CN"/>
        </w:rPr>
        <w:drawing>
          <wp:inline distT="0" distB="0" distL="114300" distR="114300">
            <wp:extent cx="2642870" cy="1922145"/>
            <wp:effectExtent l="0" t="0" r="11430" b="8255"/>
            <wp:docPr id="46" name="图片 46" descr="cy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yb"/>
                    <pic:cNvPicPr>
                      <a:picLocks noChangeAspect="1"/>
                    </pic:cNvPicPr>
                  </pic:nvPicPr>
                  <pic:blipFill>
                    <a:blip r:embed="rId19"/>
                    <a:stretch>
                      <a:fillRect/>
                    </a:stretch>
                  </pic:blipFill>
                  <pic:spPr>
                    <a:xfrm>
                      <a:off x="0" y="0"/>
                      <a:ext cx="2642870" cy="1922145"/>
                    </a:xfrm>
                    <a:prstGeom prst="rect">
                      <a:avLst/>
                    </a:prstGeom>
                  </pic:spPr>
                </pic:pic>
              </a:graphicData>
            </a:graphic>
          </wp:inline>
        </w:drawing>
      </w:r>
      <w:r>
        <w:rPr>
          <w:rFonts w:hint="eastAsia"/>
          <w:sz w:val="24"/>
          <w:lang w:val="en-US" w:eastAsia="zh-CN"/>
        </w:rPr>
        <w:t xml:space="preserve"> </w:t>
      </w:r>
      <w:r>
        <w:drawing>
          <wp:inline distT="0" distB="0" distL="114300" distR="114300">
            <wp:extent cx="2642870" cy="1922145"/>
            <wp:effectExtent l="0" t="0" r="11430" b="8255"/>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20"/>
                    <a:stretch>
                      <a:fillRect/>
                    </a:stretch>
                  </pic:blipFill>
                  <pic:spPr>
                    <a:xfrm>
                      <a:off x="0" y="0"/>
                      <a:ext cx="2642870" cy="1922145"/>
                    </a:xfrm>
                    <a:prstGeom prst="rect">
                      <a:avLst/>
                    </a:prstGeom>
                    <a:noFill/>
                    <a:ln>
                      <a:noFill/>
                    </a:ln>
                  </pic:spPr>
                </pic:pic>
              </a:graphicData>
            </a:graphic>
          </wp:inline>
        </w:drawing>
      </w:r>
    </w:p>
    <w:p>
      <w:pPr>
        <w:spacing w:line="360" w:lineRule="auto"/>
        <w:ind w:firstLine="960" w:firstLineChars="400"/>
        <w:jc w:val="left"/>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图4-</w:t>
      </w:r>
      <w:r>
        <w:rPr>
          <w:rFonts w:hint="eastAsia" w:eastAsia="黑体" w:cs="Times New Roman"/>
          <w:sz w:val="24"/>
          <w:lang w:val="en-US" w:eastAsia="zh-CN"/>
        </w:rPr>
        <w:t>5</w:t>
      </w:r>
      <w:r>
        <w:rPr>
          <w:rFonts w:hint="default" w:ascii="Times New Roman" w:hAnsi="Times New Roman" w:eastAsia="黑体" w:cs="Times New Roman"/>
          <w:sz w:val="24"/>
          <w:lang w:val="en-US" w:eastAsia="zh-CN"/>
        </w:rPr>
        <w:t xml:space="preserve"> 创业板CAAR图              图4-</w:t>
      </w:r>
      <w:r>
        <w:rPr>
          <w:rFonts w:hint="eastAsia" w:eastAsia="黑体" w:cs="Times New Roman"/>
          <w:sz w:val="24"/>
          <w:lang w:val="en-US" w:eastAsia="zh-CN"/>
        </w:rPr>
        <w:t>6</w:t>
      </w:r>
      <w:r>
        <w:rPr>
          <w:rFonts w:hint="default" w:ascii="Times New Roman" w:hAnsi="Times New Roman" w:eastAsia="黑体" w:cs="Times New Roman"/>
          <w:sz w:val="24"/>
          <w:lang w:val="en-US" w:eastAsia="zh-CN"/>
        </w:rPr>
        <w:t xml:space="preserve"> 上A主板CAAR图</w:t>
      </w:r>
    </w:p>
    <w:p>
      <w:pPr>
        <w:spacing w:line="360" w:lineRule="auto"/>
        <w:jc w:val="left"/>
        <w:rPr>
          <w:rFonts w:hint="eastAsia" w:ascii="Times New Roman" w:hAnsi="Times New Roman" w:eastAsia="黑体" w:cs="Times New Roman"/>
          <w:sz w:val="24"/>
          <w:lang w:val="en-US" w:eastAsia="zh-CN"/>
        </w:rPr>
      </w:pPr>
    </w:p>
    <w:p>
      <w:pPr>
        <w:spacing w:line="300" w:lineRule="exact"/>
        <w:ind w:firstLine="480" w:firstLineChars="200"/>
        <w:jc w:val="center"/>
        <w:rPr>
          <w:rFonts w:hint="eastAsia" w:eastAsia="黑体"/>
          <w:sz w:val="24"/>
          <w:lang w:val="en-US" w:eastAsia="zh-CN"/>
        </w:rPr>
      </w:pPr>
      <w:r>
        <w:rPr>
          <w:rFonts w:eastAsia="黑体"/>
          <w:sz w:val="24"/>
        </w:rPr>
        <w:t>表4-2  按板块分类的</w:t>
      </w:r>
      <w:r>
        <w:rPr>
          <w:rFonts w:hint="eastAsia" w:eastAsia="黑体"/>
          <w:sz w:val="24"/>
          <w:lang w:val="en-US" w:eastAsia="zh-CN"/>
        </w:rPr>
        <w:t>单日</w:t>
      </w:r>
      <w:r>
        <w:rPr>
          <w:rFonts w:eastAsia="黑体"/>
          <w:sz w:val="24"/>
        </w:rPr>
        <w:t>价格反应</w:t>
      </w:r>
      <w:r>
        <w:rPr>
          <w:rFonts w:hint="eastAsia" w:eastAsia="黑体"/>
          <w:sz w:val="24"/>
          <w:lang w:eastAsia="zh-CN"/>
        </w:rPr>
        <w:t>（</w:t>
      </w:r>
      <w:r>
        <w:rPr>
          <w:rFonts w:hint="eastAsia" w:eastAsia="黑体"/>
          <w:sz w:val="24"/>
          <w:lang w:val="en-US" w:eastAsia="zh-CN"/>
        </w:rPr>
        <w:t>AAR</w:t>
      </w:r>
      <w:r>
        <w:rPr>
          <w:rFonts w:hint="eastAsia" w:eastAsia="黑体"/>
          <w:sz w:val="24"/>
          <w:lang w:eastAsia="zh-CN"/>
        </w:rPr>
        <w:t>）</w:t>
      </w:r>
    </w:p>
    <w:p>
      <w:pPr>
        <w:spacing w:line="300" w:lineRule="exact"/>
        <w:ind w:firstLine="480" w:firstLineChars="200"/>
        <w:jc w:val="center"/>
        <w:rPr>
          <w:rFonts w:eastAsia="黑体"/>
          <w:sz w:val="24"/>
        </w:rPr>
      </w:pPr>
    </w:p>
    <w:tbl>
      <w:tblPr>
        <w:tblStyle w:val="6"/>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68"/>
        <w:gridCol w:w="1753"/>
        <w:gridCol w:w="2014"/>
        <w:gridCol w:w="1953"/>
        <w:gridCol w:w="20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62" w:hRule="atLeast"/>
        </w:trPr>
        <w:tc>
          <w:tcPr>
            <w:tcW w:w="555" w:type="pct"/>
            <w:tcBorders>
              <w:top w:val="single" w:color="000000" w:themeColor="text1" w:sz="4" w:space="0"/>
              <w:left w:val="nil"/>
              <w:bottom w:val="single" w:color="000000" w:themeColor="text1" w:sz="4" w:space="0"/>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b w:val="0"/>
                <w:bCs w:val="0"/>
                <w:i w:val="0"/>
                <w:iCs w:val="0"/>
                <w:color w:val="000000"/>
                <w:sz w:val="21"/>
                <w:szCs w:val="21"/>
                <w:u w:val="none"/>
              </w:rPr>
            </w:pPr>
          </w:p>
        </w:tc>
        <w:tc>
          <w:tcPr>
            <w:tcW w:w="1005" w:type="pct"/>
            <w:tcBorders>
              <w:top w:val="single" w:color="000000" w:themeColor="text1" w:sz="4" w:space="0"/>
              <w:left w:val="nil"/>
              <w:bottom w:val="single" w:color="000000" w:themeColor="text1" w:sz="4" w:space="0"/>
              <w:right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深A主板</w:t>
            </w:r>
          </w:p>
        </w:tc>
        <w:tc>
          <w:tcPr>
            <w:tcW w:w="1155" w:type="pct"/>
            <w:tcBorders>
              <w:top w:val="single" w:color="000000" w:themeColor="text1" w:sz="4" w:space="0"/>
              <w:left w:val="nil"/>
              <w:bottom w:val="single" w:color="000000" w:themeColor="text1" w:sz="4" w:space="0"/>
              <w:right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中小板</w:t>
            </w:r>
          </w:p>
        </w:tc>
        <w:tc>
          <w:tcPr>
            <w:tcW w:w="1120" w:type="pct"/>
            <w:tcBorders>
              <w:top w:val="single" w:color="000000" w:themeColor="text1" w:sz="4" w:space="0"/>
              <w:left w:val="nil"/>
              <w:bottom w:val="single" w:color="000000" w:themeColor="text1" w:sz="4" w:space="0"/>
              <w:right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创业板</w:t>
            </w:r>
          </w:p>
        </w:tc>
        <w:tc>
          <w:tcPr>
            <w:tcW w:w="1163" w:type="pct"/>
            <w:tcBorders>
              <w:top w:val="single" w:color="000000" w:themeColor="text1" w:sz="4" w:space="0"/>
              <w:left w:val="nil"/>
              <w:bottom w:val="single" w:color="000000" w:themeColor="text1" w:sz="4" w:space="0"/>
              <w:right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上A主板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8" w:hRule="atLeast"/>
        </w:trPr>
        <w:tc>
          <w:tcPr>
            <w:tcW w:w="555" w:type="pct"/>
            <w:tcBorders>
              <w:top w:val="single" w:color="000000" w:themeColor="text1" w:sz="4" w:space="0"/>
              <w:left w:val="nil"/>
              <w:bottom w:val="nil"/>
              <w:right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-10</w:t>
            </w:r>
          </w:p>
        </w:tc>
        <w:tc>
          <w:tcPr>
            <w:tcW w:w="1005" w:type="pct"/>
            <w:tcBorders>
              <w:top w:val="single" w:color="000000" w:themeColor="text1" w:sz="4" w:space="0"/>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0.0019</w:t>
            </w:r>
          </w:p>
        </w:tc>
        <w:tc>
          <w:tcPr>
            <w:tcW w:w="1155" w:type="pct"/>
            <w:tcBorders>
              <w:top w:val="single" w:color="000000" w:themeColor="text1" w:sz="4" w:space="0"/>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0.0017</w:t>
            </w:r>
          </w:p>
        </w:tc>
        <w:tc>
          <w:tcPr>
            <w:tcW w:w="1120" w:type="pct"/>
            <w:tcBorders>
              <w:top w:val="single" w:color="000000" w:themeColor="text1" w:sz="4" w:space="0"/>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0.0021</w:t>
            </w:r>
          </w:p>
        </w:tc>
        <w:tc>
          <w:tcPr>
            <w:tcW w:w="1163" w:type="pct"/>
            <w:tcBorders>
              <w:top w:val="single" w:color="000000" w:themeColor="text1" w:sz="4" w:space="0"/>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6.79e-06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8" w:hRule="atLeast"/>
        </w:trPr>
        <w:tc>
          <w:tcPr>
            <w:tcW w:w="555" w:type="pct"/>
            <w:tcBorders>
              <w:top w:val="nil"/>
              <w:left w:val="nil"/>
              <w:bottom w:val="nil"/>
              <w:right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-9</w:t>
            </w:r>
          </w:p>
        </w:tc>
        <w:tc>
          <w:tcPr>
            <w:tcW w:w="1005"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-0.0017</w:t>
            </w:r>
          </w:p>
        </w:tc>
        <w:tc>
          <w:tcPr>
            <w:tcW w:w="1155"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0.0013</w:t>
            </w:r>
          </w:p>
        </w:tc>
        <w:tc>
          <w:tcPr>
            <w:tcW w:w="1120"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-0.0024</w:t>
            </w:r>
          </w:p>
        </w:tc>
        <w:tc>
          <w:tcPr>
            <w:tcW w:w="1163"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8" w:hRule="atLeast"/>
        </w:trPr>
        <w:tc>
          <w:tcPr>
            <w:tcW w:w="555" w:type="pct"/>
            <w:tcBorders>
              <w:top w:val="nil"/>
              <w:left w:val="nil"/>
              <w:bottom w:val="nil"/>
              <w:right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-8</w:t>
            </w:r>
          </w:p>
        </w:tc>
        <w:tc>
          <w:tcPr>
            <w:tcW w:w="1005"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0.0005</w:t>
            </w:r>
          </w:p>
        </w:tc>
        <w:tc>
          <w:tcPr>
            <w:tcW w:w="1155"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-0.0018</w:t>
            </w:r>
          </w:p>
        </w:tc>
        <w:tc>
          <w:tcPr>
            <w:tcW w:w="1120" w:type="pct"/>
            <w:tcBorders>
              <w:top w:val="nil"/>
              <w:left w:val="nil"/>
              <w:bottom w:val="nil"/>
              <w:right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0.0053***</w:t>
            </w:r>
          </w:p>
        </w:tc>
        <w:tc>
          <w:tcPr>
            <w:tcW w:w="1163"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8" w:hRule="atLeast"/>
        </w:trPr>
        <w:tc>
          <w:tcPr>
            <w:tcW w:w="555" w:type="pct"/>
            <w:tcBorders>
              <w:top w:val="nil"/>
              <w:left w:val="nil"/>
              <w:bottom w:val="nil"/>
              <w:right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-7</w:t>
            </w:r>
          </w:p>
        </w:tc>
        <w:tc>
          <w:tcPr>
            <w:tcW w:w="1005"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0.0013</w:t>
            </w:r>
          </w:p>
        </w:tc>
        <w:tc>
          <w:tcPr>
            <w:tcW w:w="1155"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0.0005</w:t>
            </w:r>
          </w:p>
        </w:tc>
        <w:tc>
          <w:tcPr>
            <w:tcW w:w="1120"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-0.0007</w:t>
            </w:r>
          </w:p>
        </w:tc>
        <w:tc>
          <w:tcPr>
            <w:tcW w:w="1163"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8" w:hRule="atLeast"/>
        </w:trPr>
        <w:tc>
          <w:tcPr>
            <w:tcW w:w="555" w:type="pct"/>
            <w:tcBorders>
              <w:top w:val="nil"/>
              <w:left w:val="nil"/>
              <w:bottom w:val="nil"/>
              <w:right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-6</w:t>
            </w:r>
          </w:p>
        </w:tc>
        <w:tc>
          <w:tcPr>
            <w:tcW w:w="1005"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0.0001</w:t>
            </w:r>
          </w:p>
        </w:tc>
        <w:tc>
          <w:tcPr>
            <w:tcW w:w="1155"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-0.0019</w:t>
            </w:r>
          </w:p>
        </w:tc>
        <w:tc>
          <w:tcPr>
            <w:tcW w:w="1120"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0.0032</w:t>
            </w:r>
          </w:p>
        </w:tc>
        <w:tc>
          <w:tcPr>
            <w:tcW w:w="1163"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8" w:hRule="atLeast"/>
        </w:trPr>
        <w:tc>
          <w:tcPr>
            <w:tcW w:w="555" w:type="pct"/>
            <w:tcBorders>
              <w:top w:val="nil"/>
              <w:left w:val="nil"/>
              <w:bottom w:val="nil"/>
              <w:right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-5</w:t>
            </w:r>
          </w:p>
        </w:tc>
        <w:tc>
          <w:tcPr>
            <w:tcW w:w="1005"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-0.0001</w:t>
            </w:r>
          </w:p>
        </w:tc>
        <w:tc>
          <w:tcPr>
            <w:tcW w:w="1155" w:type="pct"/>
            <w:tcBorders>
              <w:top w:val="nil"/>
              <w:left w:val="nil"/>
              <w:bottom w:val="nil"/>
              <w:right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-0.0037***</w:t>
            </w:r>
          </w:p>
        </w:tc>
        <w:tc>
          <w:tcPr>
            <w:tcW w:w="1120"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-0.0011</w:t>
            </w:r>
          </w:p>
        </w:tc>
        <w:tc>
          <w:tcPr>
            <w:tcW w:w="1163"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8" w:hRule="atLeast"/>
        </w:trPr>
        <w:tc>
          <w:tcPr>
            <w:tcW w:w="555" w:type="pct"/>
            <w:tcBorders>
              <w:top w:val="nil"/>
              <w:left w:val="nil"/>
              <w:bottom w:val="nil"/>
              <w:right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-4</w:t>
            </w:r>
          </w:p>
        </w:tc>
        <w:tc>
          <w:tcPr>
            <w:tcW w:w="1005"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-0.0021</w:t>
            </w:r>
          </w:p>
        </w:tc>
        <w:tc>
          <w:tcPr>
            <w:tcW w:w="1155" w:type="pct"/>
            <w:tcBorders>
              <w:top w:val="nil"/>
              <w:left w:val="nil"/>
              <w:bottom w:val="nil"/>
              <w:right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-0.0032**</w:t>
            </w:r>
          </w:p>
        </w:tc>
        <w:tc>
          <w:tcPr>
            <w:tcW w:w="1120" w:type="pct"/>
            <w:tcBorders>
              <w:top w:val="nil"/>
              <w:left w:val="nil"/>
              <w:bottom w:val="nil"/>
              <w:right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-0.0048**</w:t>
            </w:r>
          </w:p>
        </w:tc>
        <w:tc>
          <w:tcPr>
            <w:tcW w:w="1163"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b w:val="0"/>
                <w:bCs w:val="0"/>
                <w:i w:val="0"/>
                <w:iCs w:val="0"/>
                <w:color w:val="000000"/>
                <w:sz w:val="21"/>
                <w:szCs w:val="21"/>
                <w:u w:val="none"/>
              </w:rPr>
            </w:pPr>
            <w:r>
              <w:rPr>
                <w:rFonts w:hint="eastAsia" w:cs="Times New Roman"/>
                <w:b w:val="0"/>
                <w:bCs w:val="0"/>
                <w:i w:val="0"/>
                <w:iCs w:val="0"/>
                <w:color w:val="000000"/>
                <w:sz w:val="21"/>
                <w:szCs w:val="21"/>
                <w:u w:val="none"/>
                <w:lang w:val="en-US" w:eastAsia="zh-CN"/>
              </w:rPr>
              <w:t>0.0004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8" w:hRule="atLeast"/>
        </w:trPr>
        <w:tc>
          <w:tcPr>
            <w:tcW w:w="555" w:type="pct"/>
            <w:tcBorders>
              <w:top w:val="nil"/>
              <w:left w:val="nil"/>
              <w:bottom w:val="nil"/>
              <w:right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-3</w:t>
            </w:r>
          </w:p>
        </w:tc>
        <w:tc>
          <w:tcPr>
            <w:tcW w:w="1005"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0.0006</w:t>
            </w:r>
          </w:p>
        </w:tc>
        <w:tc>
          <w:tcPr>
            <w:tcW w:w="1155"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-0.0015</w:t>
            </w:r>
          </w:p>
        </w:tc>
        <w:tc>
          <w:tcPr>
            <w:tcW w:w="1120" w:type="pct"/>
            <w:tcBorders>
              <w:top w:val="nil"/>
              <w:left w:val="nil"/>
              <w:bottom w:val="nil"/>
              <w:right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-0.0033*</w:t>
            </w:r>
          </w:p>
        </w:tc>
        <w:tc>
          <w:tcPr>
            <w:tcW w:w="1163"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8" w:hRule="atLeast"/>
        </w:trPr>
        <w:tc>
          <w:tcPr>
            <w:tcW w:w="555" w:type="pct"/>
            <w:tcBorders>
              <w:top w:val="nil"/>
              <w:left w:val="nil"/>
              <w:bottom w:val="nil"/>
              <w:right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-2</w:t>
            </w:r>
          </w:p>
        </w:tc>
        <w:tc>
          <w:tcPr>
            <w:tcW w:w="1005"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0.0018</w:t>
            </w:r>
          </w:p>
        </w:tc>
        <w:tc>
          <w:tcPr>
            <w:tcW w:w="1155"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-0.0002</w:t>
            </w:r>
          </w:p>
        </w:tc>
        <w:tc>
          <w:tcPr>
            <w:tcW w:w="1120"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-0.0003</w:t>
            </w:r>
          </w:p>
        </w:tc>
        <w:tc>
          <w:tcPr>
            <w:tcW w:w="1163" w:type="pct"/>
            <w:tcBorders>
              <w:top w:val="nil"/>
              <w:left w:val="nil"/>
              <w:bottom w:val="nil"/>
              <w:right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trPr>
        <w:tc>
          <w:tcPr>
            <w:tcW w:w="555" w:type="pct"/>
            <w:tcBorders>
              <w:top w:val="nil"/>
              <w:left w:val="nil"/>
              <w:bottom w:val="nil"/>
              <w:right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w:t>
            </w:r>
          </w:p>
        </w:tc>
        <w:tc>
          <w:tcPr>
            <w:tcW w:w="1005"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0.0019</w:t>
            </w:r>
          </w:p>
        </w:tc>
        <w:tc>
          <w:tcPr>
            <w:tcW w:w="1155"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-0.0004</w:t>
            </w:r>
          </w:p>
        </w:tc>
        <w:tc>
          <w:tcPr>
            <w:tcW w:w="1120"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0.0025</w:t>
            </w:r>
          </w:p>
        </w:tc>
        <w:tc>
          <w:tcPr>
            <w:tcW w:w="1163"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8" w:hRule="atLeast"/>
        </w:trPr>
        <w:tc>
          <w:tcPr>
            <w:tcW w:w="555" w:type="pct"/>
            <w:tcBorders>
              <w:top w:val="nil"/>
              <w:left w:val="nil"/>
              <w:bottom w:val="nil"/>
              <w:right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w:t>
            </w:r>
          </w:p>
        </w:tc>
        <w:tc>
          <w:tcPr>
            <w:tcW w:w="1005" w:type="pct"/>
            <w:tcBorders>
              <w:top w:val="nil"/>
              <w:left w:val="nil"/>
              <w:bottom w:val="nil"/>
              <w:right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0.0039*</w:t>
            </w:r>
          </w:p>
        </w:tc>
        <w:tc>
          <w:tcPr>
            <w:tcW w:w="1155"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-0.0013</w:t>
            </w:r>
          </w:p>
        </w:tc>
        <w:tc>
          <w:tcPr>
            <w:tcW w:w="1120"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0.0007</w:t>
            </w:r>
          </w:p>
        </w:tc>
        <w:tc>
          <w:tcPr>
            <w:tcW w:w="1163"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8" w:hRule="atLeast"/>
        </w:trPr>
        <w:tc>
          <w:tcPr>
            <w:tcW w:w="555" w:type="pct"/>
            <w:tcBorders>
              <w:top w:val="nil"/>
              <w:left w:val="nil"/>
              <w:bottom w:val="nil"/>
              <w:right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w:t>
            </w:r>
          </w:p>
        </w:tc>
        <w:tc>
          <w:tcPr>
            <w:tcW w:w="1005"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-0.0003</w:t>
            </w:r>
          </w:p>
        </w:tc>
        <w:tc>
          <w:tcPr>
            <w:tcW w:w="1155"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-0.0007</w:t>
            </w:r>
          </w:p>
        </w:tc>
        <w:tc>
          <w:tcPr>
            <w:tcW w:w="1120" w:type="pct"/>
            <w:tcBorders>
              <w:top w:val="nil"/>
              <w:left w:val="nil"/>
              <w:bottom w:val="nil"/>
              <w:right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-0.0066***</w:t>
            </w:r>
          </w:p>
        </w:tc>
        <w:tc>
          <w:tcPr>
            <w:tcW w:w="1163" w:type="pct"/>
            <w:tcBorders>
              <w:top w:val="nil"/>
              <w:left w:val="nil"/>
              <w:bottom w:val="nil"/>
              <w:right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-0.0024*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8" w:hRule="atLeast"/>
        </w:trPr>
        <w:tc>
          <w:tcPr>
            <w:tcW w:w="555" w:type="pct"/>
            <w:tcBorders>
              <w:top w:val="nil"/>
              <w:left w:val="nil"/>
              <w:bottom w:val="nil"/>
              <w:right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w:t>
            </w:r>
          </w:p>
        </w:tc>
        <w:tc>
          <w:tcPr>
            <w:tcW w:w="1005"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0.0017</w:t>
            </w:r>
          </w:p>
        </w:tc>
        <w:tc>
          <w:tcPr>
            <w:tcW w:w="1155"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-0.0018</w:t>
            </w:r>
          </w:p>
        </w:tc>
        <w:tc>
          <w:tcPr>
            <w:tcW w:w="1120" w:type="pct"/>
            <w:tcBorders>
              <w:top w:val="nil"/>
              <w:left w:val="nil"/>
              <w:bottom w:val="nil"/>
              <w:right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-0.0037*</w:t>
            </w:r>
          </w:p>
        </w:tc>
        <w:tc>
          <w:tcPr>
            <w:tcW w:w="1163"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28" w:hRule="atLeast"/>
        </w:trPr>
        <w:tc>
          <w:tcPr>
            <w:tcW w:w="555" w:type="pct"/>
            <w:tcBorders>
              <w:top w:val="nil"/>
              <w:left w:val="nil"/>
              <w:bottom w:val="nil"/>
              <w:right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w:t>
            </w:r>
          </w:p>
        </w:tc>
        <w:tc>
          <w:tcPr>
            <w:tcW w:w="1005"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0.0020</w:t>
            </w:r>
          </w:p>
        </w:tc>
        <w:tc>
          <w:tcPr>
            <w:tcW w:w="1155"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0.0001</w:t>
            </w:r>
          </w:p>
        </w:tc>
        <w:tc>
          <w:tcPr>
            <w:tcW w:w="1120"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-0.0001</w:t>
            </w:r>
          </w:p>
        </w:tc>
        <w:tc>
          <w:tcPr>
            <w:tcW w:w="1163"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trPr>
        <w:tc>
          <w:tcPr>
            <w:tcW w:w="555" w:type="pct"/>
            <w:tcBorders>
              <w:top w:val="nil"/>
              <w:left w:val="nil"/>
              <w:bottom w:val="nil"/>
              <w:right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4</w:t>
            </w:r>
          </w:p>
        </w:tc>
        <w:tc>
          <w:tcPr>
            <w:tcW w:w="1005"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0.0030</w:t>
            </w:r>
          </w:p>
        </w:tc>
        <w:tc>
          <w:tcPr>
            <w:tcW w:w="1155"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-0.0011</w:t>
            </w:r>
          </w:p>
        </w:tc>
        <w:tc>
          <w:tcPr>
            <w:tcW w:w="1120"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-0.0016</w:t>
            </w:r>
          </w:p>
        </w:tc>
        <w:tc>
          <w:tcPr>
            <w:tcW w:w="1163"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8" w:hRule="atLeast"/>
        </w:trPr>
        <w:tc>
          <w:tcPr>
            <w:tcW w:w="555" w:type="pct"/>
            <w:tcBorders>
              <w:top w:val="nil"/>
              <w:left w:val="nil"/>
              <w:bottom w:val="nil"/>
              <w:right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5</w:t>
            </w:r>
          </w:p>
        </w:tc>
        <w:tc>
          <w:tcPr>
            <w:tcW w:w="1005"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0.0004</w:t>
            </w:r>
          </w:p>
        </w:tc>
        <w:tc>
          <w:tcPr>
            <w:tcW w:w="1155"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0.0014</w:t>
            </w:r>
          </w:p>
        </w:tc>
        <w:tc>
          <w:tcPr>
            <w:tcW w:w="1120"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0.0025</w:t>
            </w:r>
          </w:p>
        </w:tc>
        <w:tc>
          <w:tcPr>
            <w:tcW w:w="1163"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78" w:hRule="atLeast"/>
        </w:trPr>
        <w:tc>
          <w:tcPr>
            <w:tcW w:w="555" w:type="pct"/>
            <w:tcBorders>
              <w:top w:val="nil"/>
              <w:left w:val="nil"/>
              <w:bottom w:val="nil"/>
              <w:right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6</w:t>
            </w:r>
          </w:p>
        </w:tc>
        <w:tc>
          <w:tcPr>
            <w:tcW w:w="1005"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0.0021</w:t>
            </w:r>
          </w:p>
        </w:tc>
        <w:tc>
          <w:tcPr>
            <w:tcW w:w="1155"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0.0003</w:t>
            </w:r>
          </w:p>
        </w:tc>
        <w:tc>
          <w:tcPr>
            <w:tcW w:w="1120"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0.0031</w:t>
            </w:r>
          </w:p>
        </w:tc>
        <w:tc>
          <w:tcPr>
            <w:tcW w:w="1163"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8" w:hRule="atLeast"/>
        </w:trPr>
        <w:tc>
          <w:tcPr>
            <w:tcW w:w="555" w:type="pct"/>
            <w:tcBorders>
              <w:top w:val="nil"/>
              <w:left w:val="nil"/>
              <w:bottom w:val="nil"/>
              <w:right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7</w:t>
            </w:r>
          </w:p>
        </w:tc>
        <w:tc>
          <w:tcPr>
            <w:tcW w:w="1005"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0.0014</w:t>
            </w:r>
          </w:p>
        </w:tc>
        <w:tc>
          <w:tcPr>
            <w:tcW w:w="1155" w:type="pct"/>
            <w:tcBorders>
              <w:top w:val="nil"/>
              <w:left w:val="nil"/>
              <w:bottom w:val="nil"/>
              <w:right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-0.0027*</w:t>
            </w:r>
          </w:p>
        </w:tc>
        <w:tc>
          <w:tcPr>
            <w:tcW w:w="1120"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-0.0025</w:t>
            </w:r>
          </w:p>
        </w:tc>
        <w:tc>
          <w:tcPr>
            <w:tcW w:w="1163"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trPr>
        <w:tc>
          <w:tcPr>
            <w:tcW w:w="555" w:type="pct"/>
            <w:tcBorders>
              <w:top w:val="nil"/>
              <w:left w:val="nil"/>
              <w:bottom w:val="nil"/>
              <w:right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8</w:t>
            </w:r>
          </w:p>
        </w:tc>
        <w:tc>
          <w:tcPr>
            <w:tcW w:w="1005"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0.0020</w:t>
            </w:r>
          </w:p>
        </w:tc>
        <w:tc>
          <w:tcPr>
            <w:tcW w:w="1155" w:type="pct"/>
            <w:tcBorders>
              <w:top w:val="nil"/>
              <w:left w:val="nil"/>
              <w:bottom w:val="nil"/>
              <w:right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0.0028**</w:t>
            </w:r>
          </w:p>
        </w:tc>
        <w:tc>
          <w:tcPr>
            <w:tcW w:w="1120"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-0.0021</w:t>
            </w:r>
          </w:p>
        </w:tc>
        <w:tc>
          <w:tcPr>
            <w:tcW w:w="1163"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trPr>
        <w:tc>
          <w:tcPr>
            <w:tcW w:w="555" w:type="pct"/>
            <w:tcBorders>
              <w:top w:val="nil"/>
              <w:left w:val="nil"/>
              <w:bottom w:val="nil"/>
              <w:right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9</w:t>
            </w:r>
          </w:p>
        </w:tc>
        <w:tc>
          <w:tcPr>
            <w:tcW w:w="1005"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-0.0010</w:t>
            </w:r>
          </w:p>
        </w:tc>
        <w:tc>
          <w:tcPr>
            <w:tcW w:w="1155"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0.0006</w:t>
            </w:r>
          </w:p>
        </w:tc>
        <w:tc>
          <w:tcPr>
            <w:tcW w:w="1120"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-0.0002</w:t>
            </w:r>
          </w:p>
        </w:tc>
        <w:tc>
          <w:tcPr>
            <w:tcW w:w="1163" w:type="pct"/>
            <w:tcBorders>
              <w:top w:val="nil"/>
              <w:left w:val="nil"/>
              <w:bottom w:val="nil"/>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58" w:hRule="atLeast"/>
        </w:trPr>
        <w:tc>
          <w:tcPr>
            <w:tcW w:w="555" w:type="pct"/>
            <w:tcBorders>
              <w:top w:val="nil"/>
              <w:left w:val="nil"/>
              <w:bottom w:val="single" w:color="000000" w:themeColor="text1" w:sz="4" w:space="0"/>
              <w:right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10</w:t>
            </w:r>
          </w:p>
        </w:tc>
        <w:tc>
          <w:tcPr>
            <w:tcW w:w="1005" w:type="pct"/>
            <w:tcBorders>
              <w:top w:val="nil"/>
              <w:left w:val="nil"/>
              <w:bottom w:val="single" w:color="000000" w:themeColor="text1" w:sz="4" w:space="0"/>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-0.0009</w:t>
            </w:r>
          </w:p>
        </w:tc>
        <w:tc>
          <w:tcPr>
            <w:tcW w:w="1155" w:type="pct"/>
            <w:tcBorders>
              <w:top w:val="nil"/>
              <w:left w:val="nil"/>
              <w:bottom w:val="single" w:color="000000" w:themeColor="text1" w:sz="4" w:space="0"/>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b/>
                <w:bCs/>
                <w:i w:val="0"/>
                <w:iCs w:val="0"/>
                <w:color w:val="000000"/>
                <w:sz w:val="21"/>
                <w:szCs w:val="21"/>
                <w:u w:val="none"/>
                <w:lang w:val="en-US" w:eastAsia="zh-CN"/>
              </w:rPr>
              <w:t>-0.0024*</w:t>
            </w:r>
          </w:p>
        </w:tc>
        <w:tc>
          <w:tcPr>
            <w:tcW w:w="1120" w:type="pct"/>
            <w:tcBorders>
              <w:top w:val="nil"/>
              <w:left w:val="nil"/>
              <w:bottom w:val="single" w:color="000000" w:themeColor="text1" w:sz="4" w:space="0"/>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0.0003</w:t>
            </w:r>
          </w:p>
        </w:tc>
        <w:tc>
          <w:tcPr>
            <w:tcW w:w="1163" w:type="pct"/>
            <w:tcBorders>
              <w:top w:val="nil"/>
              <w:left w:val="nil"/>
              <w:bottom w:val="single" w:color="000000" w:themeColor="text1" w:sz="4" w:space="0"/>
              <w:right w:val="nil"/>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240" w:lineRule="auto"/>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0.0005</w:t>
            </w:r>
          </w:p>
        </w:tc>
      </w:tr>
    </w:tbl>
    <w:p>
      <w:pPr>
        <w:spacing w:line="360" w:lineRule="auto"/>
        <w:jc w:val="left"/>
        <w:rPr>
          <w:sz w:val="24"/>
        </w:rPr>
      </w:pPr>
      <w:r>
        <w:rPr>
          <w:sz w:val="24"/>
        </w:rPr>
        <w:t>（*，**，***分别代表在10%，5%，1%水平上显著</w:t>
      </w:r>
      <w:r>
        <w:rPr>
          <w:rFonts w:hint="eastAsia"/>
          <w:sz w:val="24"/>
          <w:lang w:eastAsia="zh-CN"/>
        </w:rPr>
        <w:t>，</w:t>
      </w:r>
      <w:r>
        <w:rPr>
          <w:rFonts w:hint="eastAsia"/>
          <w:sz w:val="24"/>
          <w:lang w:val="en-US" w:eastAsia="zh-CN"/>
        </w:rPr>
        <w:t>后续图表均以此方式表述</w:t>
      </w:r>
      <w:r>
        <w:rPr>
          <w:sz w:val="24"/>
        </w:rPr>
        <w:t>）</w:t>
      </w:r>
    </w:p>
    <w:p>
      <w:pPr>
        <w:spacing w:line="360" w:lineRule="auto"/>
        <w:ind w:firstLine="480" w:firstLineChars="200"/>
        <w:jc w:val="left"/>
        <w:rPr>
          <w:sz w:val="24"/>
        </w:rPr>
      </w:pPr>
    </w:p>
    <w:p>
      <w:pPr>
        <w:spacing w:line="300" w:lineRule="exact"/>
        <w:ind w:firstLine="480" w:firstLineChars="200"/>
        <w:jc w:val="center"/>
        <w:rPr>
          <w:rFonts w:eastAsia="黑体"/>
          <w:sz w:val="24"/>
        </w:rPr>
      </w:pPr>
      <w:r>
        <w:rPr>
          <w:rFonts w:eastAsia="黑体"/>
          <w:sz w:val="24"/>
        </w:rPr>
        <w:t>表4-3  按板块分类的</w:t>
      </w:r>
      <w:r>
        <w:rPr>
          <w:rFonts w:hint="eastAsia" w:eastAsia="黑体"/>
          <w:sz w:val="24"/>
          <w:lang w:val="en-US" w:eastAsia="zh-CN"/>
        </w:rPr>
        <w:t>累计</w:t>
      </w:r>
      <w:r>
        <w:rPr>
          <w:rFonts w:eastAsia="黑体"/>
          <w:sz w:val="24"/>
        </w:rPr>
        <w:t>异常回报</w:t>
      </w:r>
    </w:p>
    <w:p>
      <w:pPr>
        <w:spacing w:line="300" w:lineRule="exact"/>
        <w:ind w:firstLine="480" w:firstLineChars="200"/>
        <w:jc w:val="center"/>
        <w:rPr>
          <w:rFonts w:eastAsia="黑体"/>
          <w:sz w:val="24"/>
        </w:rPr>
      </w:pPr>
    </w:p>
    <w:tbl>
      <w:tblPr>
        <w:tblStyle w:val="6"/>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474"/>
        <w:gridCol w:w="1611"/>
        <w:gridCol w:w="2196"/>
        <w:gridCol w:w="1836"/>
        <w:gridCol w:w="16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1" w:hRule="atLeast"/>
        </w:trPr>
        <w:tc>
          <w:tcPr>
            <w:tcW w:w="845" w:type="pct"/>
            <w:tcBorders>
              <w:top w:val="single" w:color="auto" w:sz="4" w:space="0"/>
              <w:left w:val="nil"/>
              <w:bottom w:val="single" w:color="000000" w:themeColor="text1" w:sz="4" w:space="0"/>
              <w:right w:val="nil"/>
            </w:tcBorders>
            <w:shd w:val="clear" w:color="auto" w:fill="auto"/>
            <w:vAlign w:val="center"/>
          </w:tcPr>
          <w:p>
            <w:pPr>
              <w:jc w:val="center"/>
              <w:rPr>
                <w:rFonts w:hint="default" w:ascii="Times New Roman" w:hAnsi="Times New Roman" w:eastAsia="宋体" w:cs="Times New Roman"/>
                <w:b/>
                <w:bCs/>
                <w:i w:val="0"/>
                <w:iCs w:val="0"/>
                <w:color w:val="auto"/>
                <w:sz w:val="21"/>
                <w:szCs w:val="21"/>
                <w:u w:val="none"/>
              </w:rPr>
            </w:pPr>
          </w:p>
        </w:tc>
        <w:tc>
          <w:tcPr>
            <w:tcW w:w="924" w:type="pct"/>
            <w:tcBorders>
              <w:top w:val="single" w:color="auto" w:sz="4" w:space="0"/>
              <w:left w:val="nil"/>
              <w:bottom w:val="single" w:color="000000" w:themeColor="text1" w:sz="4" w:space="0"/>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auto"/>
                <w:sz w:val="21"/>
                <w:szCs w:val="21"/>
                <w:u w:val="none"/>
              </w:rPr>
            </w:pPr>
            <w:r>
              <w:rPr>
                <w:rFonts w:hint="default" w:ascii="Times New Roman" w:hAnsi="Times New Roman" w:eastAsia="宋体" w:cs="Times New Roman"/>
                <w:b w:val="0"/>
                <w:bCs w:val="0"/>
                <w:i w:val="0"/>
                <w:iCs w:val="0"/>
                <w:color w:val="auto"/>
                <w:kern w:val="0"/>
                <w:sz w:val="21"/>
                <w:szCs w:val="21"/>
                <w:u w:val="none"/>
                <w:lang w:val="en-US" w:eastAsia="zh-CN" w:bidi="ar"/>
              </w:rPr>
              <w:t>深A主板</w:t>
            </w:r>
          </w:p>
        </w:tc>
        <w:tc>
          <w:tcPr>
            <w:tcW w:w="1259" w:type="pct"/>
            <w:tcBorders>
              <w:top w:val="single" w:color="auto" w:sz="4" w:space="0"/>
              <w:left w:val="nil"/>
              <w:bottom w:val="single" w:color="000000" w:themeColor="text1" w:sz="4" w:space="0"/>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auto"/>
                <w:sz w:val="21"/>
                <w:szCs w:val="21"/>
                <w:u w:val="none"/>
              </w:rPr>
            </w:pPr>
            <w:r>
              <w:rPr>
                <w:rFonts w:hint="default" w:ascii="Times New Roman" w:hAnsi="Times New Roman" w:eastAsia="宋体" w:cs="Times New Roman"/>
                <w:b w:val="0"/>
                <w:bCs w:val="0"/>
                <w:i w:val="0"/>
                <w:iCs w:val="0"/>
                <w:color w:val="auto"/>
                <w:kern w:val="0"/>
                <w:sz w:val="21"/>
                <w:szCs w:val="21"/>
                <w:u w:val="none"/>
                <w:lang w:val="en-US" w:eastAsia="zh-CN" w:bidi="ar"/>
              </w:rPr>
              <w:t>中小板</w:t>
            </w:r>
          </w:p>
        </w:tc>
        <w:tc>
          <w:tcPr>
            <w:tcW w:w="1053" w:type="pct"/>
            <w:tcBorders>
              <w:top w:val="single" w:color="auto" w:sz="4" w:space="0"/>
              <w:left w:val="nil"/>
              <w:bottom w:val="single" w:color="000000" w:themeColor="text1" w:sz="4" w:space="0"/>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auto"/>
                <w:sz w:val="21"/>
                <w:szCs w:val="21"/>
                <w:u w:val="none"/>
              </w:rPr>
            </w:pPr>
            <w:r>
              <w:rPr>
                <w:rFonts w:hint="default" w:ascii="Times New Roman" w:hAnsi="Times New Roman" w:eastAsia="宋体" w:cs="Times New Roman"/>
                <w:b w:val="0"/>
                <w:bCs w:val="0"/>
                <w:i w:val="0"/>
                <w:iCs w:val="0"/>
                <w:color w:val="auto"/>
                <w:kern w:val="0"/>
                <w:sz w:val="21"/>
                <w:szCs w:val="21"/>
                <w:u w:val="none"/>
                <w:lang w:val="en-US" w:eastAsia="zh-CN" w:bidi="ar"/>
              </w:rPr>
              <w:t>创业板</w:t>
            </w:r>
          </w:p>
        </w:tc>
        <w:tc>
          <w:tcPr>
            <w:tcW w:w="917" w:type="pct"/>
            <w:tcBorders>
              <w:top w:val="single" w:color="auto" w:sz="4" w:space="0"/>
              <w:left w:val="nil"/>
              <w:bottom w:val="single" w:color="000000" w:themeColor="text1" w:sz="4" w:space="0"/>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auto"/>
                <w:sz w:val="21"/>
                <w:szCs w:val="21"/>
                <w:u w:val="none"/>
              </w:rPr>
            </w:pPr>
            <w:r>
              <w:rPr>
                <w:rFonts w:hint="default" w:ascii="Times New Roman" w:hAnsi="Times New Roman" w:eastAsia="宋体" w:cs="Times New Roman"/>
                <w:b w:val="0"/>
                <w:bCs w:val="0"/>
                <w:i w:val="0"/>
                <w:iCs w:val="0"/>
                <w:color w:val="auto"/>
                <w:kern w:val="0"/>
                <w:sz w:val="21"/>
                <w:szCs w:val="21"/>
                <w:u w:val="none"/>
                <w:lang w:val="en-US" w:eastAsia="zh-CN" w:bidi="ar"/>
              </w:rPr>
              <w:t>上A主板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1" w:hRule="atLeast"/>
        </w:trPr>
        <w:tc>
          <w:tcPr>
            <w:tcW w:w="845" w:type="pct"/>
            <w:tcBorders>
              <w:top w:val="single" w:color="000000" w:themeColor="text1" w:sz="4" w:space="0"/>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[-1.1]</w:t>
            </w:r>
          </w:p>
        </w:tc>
        <w:tc>
          <w:tcPr>
            <w:tcW w:w="924" w:type="pct"/>
            <w:tcBorders>
              <w:top w:val="single" w:color="000000" w:themeColor="text1" w:sz="4" w:space="0"/>
              <w:left w:val="nil"/>
              <w:bottom w:val="nil"/>
              <w:right w:val="nil"/>
            </w:tcBorders>
            <w:shd w:val="clear" w:color="auto" w:fill="auto"/>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0.0059</w:t>
            </w:r>
          </w:p>
        </w:tc>
        <w:tc>
          <w:tcPr>
            <w:tcW w:w="1259" w:type="pct"/>
            <w:tcBorders>
              <w:top w:val="single" w:color="000000" w:themeColor="text1" w:sz="4" w:space="0"/>
              <w:left w:val="nil"/>
              <w:bottom w:val="nil"/>
              <w:right w:val="nil"/>
            </w:tcBorders>
            <w:shd w:val="clear" w:color="auto" w:fill="auto"/>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-0.0024</w:t>
            </w:r>
          </w:p>
        </w:tc>
        <w:tc>
          <w:tcPr>
            <w:tcW w:w="1053" w:type="pct"/>
            <w:tcBorders>
              <w:top w:val="single" w:color="000000" w:themeColor="text1" w:sz="4" w:space="0"/>
              <w:left w:val="nil"/>
              <w:bottom w:val="nil"/>
              <w:right w:val="nil"/>
            </w:tcBorders>
            <w:shd w:val="clear" w:color="auto" w:fill="auto"/>
            <w:vAlign w:val="center"/>
          </w:tcPr>
          <w:p>
            <w:pPr>
              <w:jc w:val="center"/>
              <w:rPr>
                <w:rFonts w:hint="default" w:ascii="Times New Roman" w:hAnsi="Times New Roman" w:eastAsia="宋体" w:cs="Times New Roman"/>
                <w:b w:val="0"/>
                <w:bCs w:val="0"/>
                <w:i w:val="0"/>
                <w:iCs w:val="0"/>
                <w:color w:val="auto"/>
                <w:sz w:val="21"/>
                <w:szCs w:val="21"/>
                <w:u w:val="none"/>
                <w:lang w:val="en-US"/>
              </w:rPr>
            </w:pPr>
            <w:r>
              <w:rPr>
                <w:rFonts w:hint="eastAsia" w:cs="Times New Roman"/>
                <w:i w:val="0"/>
                <w:iCs w:val="0"/>
                <w:color w:val="auto"/>
                <w:sz w:val="21"/>
                <w:szCs w:val="21"/>
                <w:u w:val="none"/>
                <w:lang w:val="en-US" w:eastAsia="zh-CN"/>
              </w:rPr>
              <w:t>-0.0034</w:t>
            </w:r>
          </w:p>
        </w:tc>
        <w:tc>
          <w:tcPr>
            <w:tcW w:w="917" w:type="pct"/>
            <w:tcBorders>
              <w:top w:val="single" w:color="000000" w:themeColor="text1" w:sz="4" w:space="0"/>
              <w:left w:val="nil"/>
              <w:bottom w:val="nil"/>
              <w:right w:val="nil"/>
            </w:tcBorders>
            <w:shd w:val="clear" w:color="auto" w:fill="auto"/>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1" w:hRule="atLeast"/>
        </w:trPr>
        <w:tc>
          <w:tcPr>
            <w:tcW w:w="845" w:type="pct"/>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[-2,2]</w:t>
            </w:r>
          </w:p>
        </w:tc>
        <w:tc>
          <w:tcPr>
            <w:tcW w:w="924" w:type="pct"/>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auto"/>
                <w:sz w:val="21"/>
                <w:szCs w:val="21"/>
                <w:u w:val="none"/>
                <w:lang w:val="en-US" w:eastAsia="zh-CN"/>
              </w:rPr>
            </w:pPr>
            <w:r>
              <w:rPr>
                <w:rFonts w:hint="eastAsia" w:cs="Times New Roman"/>
                <w:i w:val="0"/>
                <w:iCs w:val="0"/>
                <w:color w:val="auto"/>
                <w:sz w:val="21"/>
                <w:szCs w:val="21"/>
                <w:u w:val="none"/>
                <w:lang w:val="en-US" w:eastAsia="zh-CN"/>
              </w:rPr>
              <w:t>0.0096</w:t>
            </w:r>
          </w:p>
        </w:tc>
        <w:tc>
          <w:tcPr>
            <w:tcW w:w="1259" w:type="pct"/>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auto"/>
                <w:sz w:val="21"/>
                <w:szCs w:val="21"/>
                <w:u w:val="none"/>
                <w:lang w:val="en-US" w:eastAsia="zh-CN"/>
              </w:rPr>
            </w:pPr>
            <w:r>
              <w:rPr>
                <w:rFonts w:hint="eastAsia" w:cs="Times New Roman"/>
                <w:i w:val="0"/>
                <w:iCs w:val="0"/>
                <w:color w:val="auto"/>
                <w:sz w:val="21"/>
                <w:szCs w:val="21"/>
                <w:u w:val="none"/>
                <w:lang w:val="en-US" w:eastAsia="zh-CN"/>
              </w:rPr>
              <w:t>-0.0043</w:t>
            </w:r>
          </w:p>
        </w:tc>
        <w:tc>
          <w:tcPr>
            <w:tcW w:w="1053" w:type="pct"/>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auto"/>
                <w:sz w:val="21"/>
                <w:szCs w:val="21"/>
                <w:u w:val="none"/>
              </w:rPr>
            </w:pPr>
            <w:r>
              <w:rPr>
                <w:rFonts w:hint="eastAsia" w:cs="Times New Roman"/>
                <w:i w:val="0"/>
                <w:iCs w:val="0"/>
                <w:color w:val="auto"/>
                <w:sz w:val="21"/>
                <w:szCs w:val="21"/>
                <w:u w:val="none"/>
                <w:lang w:val="en-US" w:eastAsia="zh-CN"/>
              </w:rPr>
              <w:t>-0.0074</w:t>
            </w:r>
          </w:p>
        </w:tc>
        <w:tc>
          <w:tcPr>
            <w:tcW w:w="917" w:type="pct"/>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auto"/>
                <w:sz w:val="21"/>
                <w:szCs w:val="21"/>
                <w:u w:val="none"/>
                <w:lang w:val="en-US" w:eastAsia="zh-CN"/>
              </w:rPr>
            </w:pPr>
            <w:r>
              <w:rPr>
                <w:rFonts w:hint="eastAsia" w:cs="Times New Roman"/>
                <w:i w:val="0"/>
                <w:iCs w:val="0"/>
                <w:color w:val="auto"/>
                <w:sz w:val="21"/>
                <w:szCs w:val="21"/>
                <w:u w:val="none"/>
                <w:lang w:val="en-US" w:eastAsia="zh-CN"/>
              </w:rPr>
              <w:t>0.0001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1" w:hRule="atLeast"/>
        </w:trPr>
        <w:tc>
          <w:tcPr>
            <w:tcW w:w="845" w:type="pct"/>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[-3,3]</w:t>
            </w:r>
          </w:p>
        </w:tc>
        <w:tc>
          <w:tcPr>
            <w:tcW w:w="924" w:type="pct"/>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auto"/>
                <w:sz w:val="21"/>
                <w:szCs w:val="21"/>
                <w:u w:val="none"/>
                <w:lang w:val="en-US" w:eastAsia="zh-CN"/>
              </w:rPr>
            </w:pPr>
            <w:r>
              <w:rPr>
                <w:rFonts w:hint="eastAsia" w:cs="Times New Roman"/>
                <w:i w:val="0"/>
                <w:iCs w:val="0"/>
                <w:color w:val="auto"/>
                <w:sz w:val="21"/>
                <w:szCs w:val="21"/>
                <w:u w:val="none"/>
                <w:lang w:val="en-US" w:eastAsia="zh-CN"/>
              </w:rPr>
              <w:t>0.0112</w:t>
            </w:r>
          </w:p>
        </w:tc>
        <w:tc>
          <w:tcPr>
            <w:tcW w:w="1259" w:type="pct"/>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auto"/>
                <w:sz w:val="21"/>
                <w:szCs w:val="21"/>
                <w:u w:val="none"/>
                <w:lang w:val="en-US" w:eastAsia="zh-CN"/>
              </w:rPr>
            </w:pPr>
            <w:r>
              <w:rPr>
                <w:rFonts w:hint="eastAsia" w:cs="Times New Roman"/>
                <w:i w:val="0"/>
                <w:iCs w:val="0"/>
                <w:color w:val="auto"/>
                <w:sz w:val="21"/>
                <w:szCs w:val="21"/>
                <w:u w:val="none"/>
                <w:lang w:val="en-US" w:eastAsia="zh-CN"/>
              </w:rPr>
              <w:t>-0.0059</w:t>
            </w:r>
          </w:p>
        </w:tc>
        <w:tc>
          <w:tcPr>
            <w:tcW w:w="1053" w:type="pct"/>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auto"/>
                <w:sz w:val="21"/>
                <w:szCs w:val="21"/>
                <w:u w:val="none"/>
              </w:rPr>
            </w:pPr>
            <w:r>
              <w:rPr>
                <w:rFonts w:hint="default" w:ascii="Times New Roman" w:hAnsi="Times New Roman" w:eastAsia="宋体" w:cs="Times New Roman"/>
                <w:b/>
                <w:bCs/>
                <w:i w:val="0"/>
                <w:iCs w:val="0"/>
                <w:color w:val="auto"/>
                <w:kern w:val="0"/>
                <w:sz w:val="21"/>
                <w:szCs w:val="21"/>
                <w:u w:val="none"/>
                <w:lang w:val="en-US" w:eastAsia="zh-CN" w:bidi="ar"/>
              </w:rPr>
              <w:t>-0.0107***</w:t>
            </w:r>
          </w:p>
        </w:tc>
        <w:tc>
          <w:tcPr>
            <w:tcW w:w="917" w:type="pct"/>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auto"/>
                <w:sz w:val="21"/>
                <w:szCs w:val="21"/>
                <w:u w:val="none"/>
                <w:lang w:val="en-US" w:eastAsia="zh-CN"/>
              </w:rPr>
            </w:pPr>
            <w:r>
              <w:rPr>
                <w:rFonts w:hint="eastAsia" w:cs="Times New Roman"/>
                <w:i w:val="0"/>
                <w:iCs w:val="0"/>
                <w:color w:val="auto"/>
                <w:sz w:val="21"/>
                <w:szCs w:val="21"/>
                <w:u w:val="none"/>
                <w:lang w:val="en-US" w:eastAsia="zh-CN"/>
              </w:rPr>
              <w:t>-0.0020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1" w:hRule="atLeast"/>
        </w:trPr>
        <w:tc>
          <w:tcPr>
            <w:tcW w:w="845" w:type="pct"/>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[-5,5]</w:t>
            </w:r>
          </w:p>
        </w:tc>
        <w:tc>
          <w:tcPr>
            <w:tcW w:w="924" w:type="pct"/>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auto"/>
                <w:sz w:val="21"/>
                <w:szCs w:val="21"/>
                <w:u w:val="none"/>
                <w:lang w:val="en-US" w:eastAsia="zh-CN"/>
              </w:rPr>
            </w:pPr>
            <w:r>
              <w:rPr>
                <w:rFonts w:hint="eastAsia" w:cs="Times New Roman"/>
                <w:i w:val="0"/>
                <w:iCs w:val="0"/>
                <w:color w:val="auto"/>
                <w:sz w:val="21"/>
                <w:szCs w:val="21"/>
                <w:u w:val="none"/>
                <w:lang w:val="en-US" w:eastAsia="zh-CN"/>
              </w:rPr>
              <w:t>0.0157</w:t>
            </w:r>
          </w:p>
        </w:tc>
        <w:tc>
          <w:tcPr>
            <w:tcW w:w="1259" w:type="pct"/>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auto"/>
                <w:sz w:val="21"/>
                <w:szCs w:val="21"/>
                <w:u w:val="none"/>
              </w:rPr>
            </w:pPr>
            <w:r>
              <w:rPr>
                <w:rFonts w:hint="default" w:ascii="Times New Roman" w:hAnsi="Times New Roman" w:eastAsia="宋体" w:cs="Times New Roman"/>
                <w:b/>
                <w:bCs/>
                <w:i w:val="0"/>
                <w:iCs w:val="0"/>
                <w:color w:val="auto"/>
                <w:kern w:val="0"/>
                <w:sz w:val="21"/>
                <w:szCs w:val="21"/>
                <w:u w:val="none"/>
                <w:lang w:val="en-US" w:eastAsia="zh-CN" w:bidi="ar"/>
              </w:rPr>
              <w:t>-0.011**</w:t>
            </w:r>
          </w:p>
        </w:tc>
        <w:tc>
          <w:tcPr>
            <w:tcW w:w="1053" w:type="pct"/>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auto"/>
                <w:sz w:val="21"/>
                <w:szCs w:val="21"/>
                <w:u w:val="none"/>
              </w:rPr>
            </w:pPr>
            <w:r>
              <w:rPr>
                <w:rFonts w:hint="default" w:ascii="Times New Roman" w:hAnsi="Times New Roman" w:eastAsia="宋体" w:cs="Times New Roman"/>
                <w:b/>
                <w:bCs/>
                <w:i w:val="0"/>
                <w:iCs w:val="0"/>
                <w:color w:val="auto"/>
                <w:kern w:val="0"/>
                <w:sz w:val="21"/>
                <w:szCs w:val="21"/>
                <w:u w:val="none"/>
                <w:lang w:val="en-US" w:eastAsia="zh-CN" w:bidi="ar"/>
              </w:rPr>
              <w:t>-0.0164**</w:t>
            </w:r>
          </w:p>
        </w:tc>
        <w:tc>
          <w:tcPr>
            <w:tcW w:w="917" w:type="pct"/>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auto"/>
                <w:sz w:val="21"/>
                <w:szCs w:val="21"/>
                <w:u w:val="none"/>
                <w:lang w:val="en-US" w:eastAsia="zh-CN"/>
              </w:rPr>
            </w:pPr>
            <w:r>
              <w:rPr>
                <w:rFonts w:hint="eastAsia" w:cs="Times New Roman"/>
                <w:i w:val="0"/>
                <w:iCs w:val="0"/>
                <w:color w:val="auto"/>
                <w:sz w:val="21"/>
                <w:szCs w:val="21"/>
                <w:u w:val="none"/>
                <w:lang w:val="en-US" w:eastAsia="zh-CN"/>
              </w:rPr>
              <w:t>0.0010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1" w:hRule="atLeast"/>
        </w:trPr>
        <w:tc>
          <w:tcPr>
            <w:tcW w:w="845" w:type="pct"/>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[-10,10]</w:t>
            </w:r>
          </w:p>
        </w:tc>
        <w:tc>
          <w:tcPr>
            <w:tcW w:w="924" w:type="pct"/>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auto"/>
                <w:sz w:val="21"/>
                <w:szCs w:val="21"/>
                <w:u w:val="none"/>
                <w:lang w:val="en-US" w:eastAsia="zh-CN"/>
              </w:rPr>
            </w:pPr>
            <w:r>
              <w:rPr>
                <w:rFonts w:hint="eastAsia" w:cs="Times New Roman"/>
                <w:i w:val="0"/>
                <w:iCs w:val="0"/>
                <w:color w:val="auto"/>
                <w:sz w:val="21"/>
                <w:szCs w:val="21"/>
                <w:u w:val="none"/>
                <w:lang w:val="en-US" w:eastAsia="zh-CN"/>
              </w:rPr>
              <w:t>0.0214</w:t>
            </w:r>
          </w:p>
        </w:tc>
        <w:tc>
          <w:tcPr>
            <w:tcW w:w="1259" w:type="pct"/>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auto"/>
                <w:sz w:val="21"/>
                <w:szCs w:val="21"/>
                <w:u w:val="none"/>
              </w:rPr>
            </w:pPr>
            <w:r>
              <w:rPr>
                <w:rFonts w:hint="default" w:ascii="Times New Roman" w:hAnsi="Times New Roman" w:eastAsia="宋体" w:cs="Times New Roman"/>
                <w:b/>
                <w:bCs/>
                <w:i w:val="0"/>
                <w:iCs w:val="0"/>
                <w:color w:val="auto"/>
                <w:kern w:val="0"/>
                <w:sz w:val="21"/>
                <w:szCs w:val="21"/>
                <w:u w:val="none"/>
                <w:lang w:val="en-US" w:eastAsia="zh-CN" w:bidi="ar"/>
              </w:rPr>
              <w:t>-0.113*</w:t>
            </w:r>
          </w:p>
        </w:tc>
        <w:tc>
          <w:tcPr>
            <w:tcW w:w="1053" w:type="pct"/>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auto"/>
                <w:sz w:val="21"/>
                <w:szCs w:val="21"/>
                <w:u w:val="none"/>
                <w:lang w:val="en-US" w:eastAsia="zh-CN"/>
              </w:rPr>
            </w:pPr>
            <w:r>
              <w:rPr>
                <w:rFonts w:hint="eastAsia" w:cs="Times New Roman"/>
                <w:i w:val="0"/>
                <w:iCs w:val="0"/>
                <w:color w:val="auto"/>
                <w:sz w:val="21"/>
                <w:szCs w:val="21"/>
                <w:u w:val="none"/>
                <w:lang w:val="en-US" w:eastAsia="zh-CN"/>
              </w:rPr>
              <w:t>-0.0060</w:t>
            </w:r>
          </w:p>
        </w:tc>
        <w:tc>
          <w:tcPr>
            <w:tcW w:w="917" w:type="pct"/>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auto"/>
                <w:sz w:val="21"/>
                <w:szCs w:val="21"/>
                <w:u w:val="none"/>
                <w:lang w:val="en-US" w:eastAsia="zh-CN"/>
              </w:rPr>
            </w:pPr>
            <w:r>
              <w:rPr>
                <w:rFonts w:hint="eastAsia" w:cs="Times New Roman"/>
                <w:i w:val="0"/>
                <w:iCs w:val="0"/>
                <w:color w:val="auto"/>
                <w:sz w:val="21"/>
                <w:szCs w:val="21"/>
                <w:u w:val="none"/>
                <w:lang w:val="en-US" w:eastAsia="zh-CN"/>
              </w:rPr>
              <w:t>0.0025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1" w:hRule="atLeast"/>
        </w:trPr>
        <w:tc>
          <w:tcPr>
            <w:tcW w:w="845" w:type="pct"/>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[0,3]</w:t>
            </w:r>
          </w:p>
        </w:tc>
        <w:tc>
          <w:tcPr>
            <w:tcW w:w="924" w:type="pct"/>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auto"/>
                <w:sz w:val="21"/>
                <w:szCs w:val="21"/>
                <w:u w:val="none"/>
                <w:lang w:val="en-US" w:eastAsia="zh-CN"/>
              </w:rPr>
            </w:pPr>
            <w:r>
              <w:rPr>
                <w:rFonts w:hint="eastAsia" w:cs="Times New Roman"/>
                <w:i w:val="0"/>
                <w:iCs w:val="0"/>
                <w:color w:val="auto"/>
                <w:sz w:val="21"/>
                <w:szCs w:val="21"/>
                <w:u w:val="none"/>
                <w:lang w:val="en-US" w:eastAsia="zh-CN"/>
              </w:rPr>
              <w:t>0.0078</w:t>
            </w:r>
          </w:p>
        </w:tc>
        <w:tc>
          <w:tcPr>
            <w:tcW w:w="1259" w:type="pct"/>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auto"/>
                <w:sz w:val="21"/>
                <w:szCs w:val="21"/>
                <w:u w:val="none"/>
                <w:lang w:val="en-US" w:eastAsia="zh-CN"/>
              </w:rPr>
            </w:pPr>
            <w:r>
              <w:rPr>
                <w:rFonts w:hint="eastAsia" w:cs="Times New Roman"/>
                <w:i w:val="0"/>
                <w:iCs w:val="0"/>
                <w:color w:val="auto"/>
                <w:sz w:val="21"/>
                <w:szCs w:val="21"/>
                <w:u w:val="none"/>
                <w:lang w:val="en-US" w:eastAsia="zh-CN"/>
              </w:rPr>
              <w:t>-0.0032</w:t>
            </w:r>
          </w:p>
        </w:tc>
        <w:tc>
          <w:tcPr>
            <w:tcW w:w="1053" w:type="pct"/>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auto"/>
                <w:sz w:val="21"/>
                <w:szCs w:val="21"/>
                <w:u w:val="none"/>
              </w:rPr>
            </w:pPr>
            <w:r>
              <w:rPr>
                <w:rFonts w:hint="default" w:ascii="Times New Roman" w:hAnsi="Times New Roman" w:eastAsia="宋体" w:cs="Times New Roman"/>
                <w:b/>
                <w:bCs/>
                <w:i w:val="0"/>
                <w:iCs w:val="0"/>
                <w:color w:val="auto"/>
                <w:kern w:val="0"/>
                <w:sz w:val="21"/>
                <w:szCs w:val="21"/>
                <w:u w:val="none"/>
                <w:lang w:val="en-US" w:eastAsia="zh-CN" w:bidi="ar"/>
              </w:rPr>
              <w:t>-0.0094**</w:t>
            </w:r>
          </w:p>
        </w:tc>
        <w:tc>
          <w:tcPr>
            <w:tcW w:w="917" w:type="pct"/>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auto"/>
                <w:sz w:val="21"/>
                <w:szCs w:val="21"/>
                <w:u w:val="none"/>
                <w:lang w:val="en-US" w:eastAsia="zh-CN"/>
              </w:rPr>
            </w:pPr>
            <w:r>
              <w:rPr>
                <w:rFonts w:hint="eastAsia" w:cs="Times New Roman"/>
                <w:i w:val="0"/>
                <w:iCs w:val="0"/>
                <w:color w:val="auto"/>
                <w:sz w:val="21"/>
                <w:szCs w:val="21"/>
                <w:u w:val="none"/>
                <w:lang w:val="en-US" w:eastAsia="zh-CN"/>
              </w:rPr>
              <w:t>-0.0041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1" w:hRule="atLeast"/>
        </w:trPr>
        <w:tc>
          <w:tcPr>
            <w:tcW w:w="845" w:type="pct"/>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[0,5]</w:t>
            </w:r>
          </w:p>
        </w:tc>
        <w:tc>
          <w:tcPr>
            <w:tcW w:w="924" w:type="pct"/>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auto"/>
                <w:sz w:val="21"/>
                <w:szCs w:val="21"/>
                <w:u w:val="none"/>
              </w:rPr>
            </w:pPr>
            <w:r>
              <w:rPr>
                <w:rFonts w:hint="default" w:ascii="Times New Roman" w:hAnsi="Times New Roman" w:eastAsia="宋体" w:cs="Times New Roman"/>
                <w:b/>
                <w:bCs/>
                <w:i w:val="0"/>
                <w:iCs w:val="0"/>
                <w:color w:val="auto"/>
                <w:kern w:val="0"/>
                <w:sz w:val="21"/>
                <w:szCs w:val="21"/>
                <w:u w:val="none"/>
                <w:lang w:val="en-US" w:eastAsia="zh-CN" w:bidi="ar"/>
              </w:rPr>
              <w:t>0.0127*</w:t>
            </w:r>
          </w:p>
        </w:tc>
        <w:tc>
          <w:tcPr>
            <w:tcW w:w="1259" w:type="pct"/>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auto"/>
                <w:sz w:val="21"/>
                <w:szCs w:val="21"/>
                <w:u w:val="none"/>
                <w:lang w:val="en-US" w:eastAsia="zh-CN"/>
              </w:rPr>
            </w:pPr>
            <w:r>
              <w:rPr>
                <w:rFonts w:hint="eastAsia" w:cs="Times New Roman"/>
                <w:i w:val="0"/>
                <w:iCs w:val="0"/>
                <w:color w:val="auto"/>
                <w:sz w:val="21"/>
                <w:szCs w:val="21"/>
                <w:u w:val="none"/>
                <w:lang w:val="en-US" w:eastAsia="zh-CN"/>
              </w:rPr>
              <w:t>-0.0025</w:t>
            </w:r>
          </w:p>
        </w:tc>
        <w:tc>
          <w:tcPr>
            <w:tcW w:w="1053" w:type="pct"/>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auto"/>
                <w:sz w:val="21"/>
                <w:szCs w:val="21"/>
                <w:u w:val="none"/>
              </w:rPr>
            </w:pPr>
            <w:r>
              <w:rPr>
                <w:rFonts w:hint="default" w:ascii="Times New Roman" w:hAnsi="Times New Roman" w:eastAsia="宋体" w:cs="Times New Roman"/>
                <w:b/>
                <w:bCs/>
                <w:i w:val="0"/>
                <w:iCs w:val="0"/>
                <w:color w:val="auto"/>
                <w:kern w:val="0"/>
                <w:sz w:val="21"/>
                <w:szCs w:val="21"/>
                <w:u w:val="none"/>
                <w:lang w:val="en-US" w:eastAsia="zh-CN" w:bidi="ar"/>
              </w:rPr>
              <w:t>-0.0083*</w:t>
            </w:r>
          </w:p>
        </w:tc>
        <w:tc>
          <w:tcPr>
            <w:tcW w:w="917" w:type="pct"/>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auto"/>
                <w:sz w:val="21"/>
                <w:szCs w:val="21"/>
                <w:u w:val="none"/>
                <w:lang w:val="en-US" w:eastAsia="zh-CN"/>
              </w:rPr>
            </w:pPr>
            <w:r>
              <w:rPr>
                <w:rFonts w:hint="eastAsia" w:cs="Times New Roman"/>
                <w:i w:val="0"/>
                <w:iCs w:val="0"/>
                <w:color w:val="auto"/>
                <w:sz w:val="21"/>
                <w:szCs w:val="21"/>
                <w:u w:val="none"/>
                <w:lang w:val="en-US" w:eastAsia="zh-CN"/>
              </w:rPr>
              <w:t>-0.0049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1" w:hRule="atLeast"/>
        </w:trPr>
        <w:tc>
          <w:tcPr>
            <w:tcW w:w="845" w:type="pct"/>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[0,10]</w:t>
            </w:r>
          </w:p>
        </w:tc>
        <w:tc>
          <w:tcPr>
            <w:tcW w:w="924" w:type="pct"/>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auto"/>
                <w:sz w:val="21"/>
                <w:szCs w:val="21"/>
                <w:u w:val="none"/>
              </w:rPr>
            </w:pPr>
            <w:r>
              <w:rPr>
                <w:rFonts w:hint="default" w:ascii="Times New Roman" w:hAnsi="Times New Roman" w:eastAsia="宋体" w:cs="Times New Roman"/>
                <w:b/>
                <w:bCs/>
                <w:i w:val="0"/>
                <w:iCs w:val="0"/>
                <w:color w:val="auto"/>
                <w:kern w:val="0"/>
                <w:sz w:val="21"/>
                <w:szCs w:val="21"/>
                <w:u w:val="none"/>
                <w:lang w:val="en-US" w:eastAsia="zh-CN" w:bidi="ar"/>
              </w:rPr>
              <w:t>0.0162*</w:t>
            </w:r>
          </w:p>
        </w:tc>
        <w:tc>
          <w:tcPr>
            <w:tcW w:w="1259" w:type="pct"/>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lang w:val="en-US" w:eastAsia="zh-CN"/>
              </w:rPr>
            </w:pPr>
            <w:r>
              <w:rPr>
                <w:rFonts w:hint="eastAsia" w:cs="Times New Roman"/>
                <w:i w:val="0"/>
                <w:iCs w:val="0"/>
                <w:color w:val="auto"/>
                <w:sz w:val="21"/>
                <w:szCs w:val="21"/>
                <w:u w:val="none"/>
                <w:lang w:val="en-US" w:eastAsia="zh-CN"/>
              </w:rPr>
              <w:t>-0.0035</w:t>
            </w:r>
          </w:p>
        </w:tc>
        <w:tc>
          <w:tcPr>
            <w:tcW w:w="1053" w:type="pct"/>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auto"/>
                <w:sz w:val="21"/>
                <w:szCs w:val="21"/>
                <w:u w:val="none"/>
                <w:lang w:val="en-US" w:eastAsia="zh-CN"/>
              </w:rPr>
            </w:pPr>
            <w:r>
              <w:rPr>
                <w:rFonts w:hint="eastAsia" w:cs="Times New Roman"/>
                <w:i w:val="0"/>
                <w:iCs w:val="0"/>
                <w:color w:val="auto"/>
                <w:sz w:val="21"/>
                <w:szCs w:val="21"/>
                <w:u w:val="none"/>
                <w:lang w:val="en-US" w:eastAsia="zh-CN"/>
              </w:rPr>
              <w:t>-0.0078</w:t>
            </w:r>
          </w:p>
        </w:tc>
        <w:tc>
          <w:tcPr>
            <w:tcW w:w="917" w:type="pct"/>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auto"/>
                <w:sz w:val="21"/>
                <w:szCs w:val="21"/>
                <w:u w:val="none"/>
                <w:lang w:val="en-US" w:eastAsia="zh-CN"/>
              </w:rPr>
            </w:pPr>
            <w:r>
              <w:rPr>
                <w:rFonts w:hint="eastAsia" w:cs="Times New Roman"/>
                <w:i w:val="0"/>
                <w:iCs w:val="0"/>
                <w:color w:val="auto"/>
                <w:sz w:val="21"/>
                <w:szCs w:val="21"/>
                <w:u w:val="none"/>
                <w:lang w:val="en-US" w:eastAsia="zh-CN"/>
              </w:rPr>
              <w:t>-0.0026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1" w:hRule="atLeast"/>
        </w:trPr>
        <w:tc>
          <w:tcPr>
            <w:tcW w:w="845" w:type="pct"/>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[-10,0]</w:t>
            </w:r>
          </w:p>
        </w:tc>
        <w:tc>
          <w:tcPr>
            <w:tcW w:w="924" w:type="pct"/>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auto"/>
                <w:sz w:val="21"/>
                <w:szCs w:val="21"/>
                <w:u w:val="none"/>
                <w:lang w:val="en-US" w:eastAsia="zh-CN"/>
              </w:rPr>
            </w:pPr>
            <w:r>
              <w:rPr>
                <w:rFonts w:hint="eastAsia" w:cs="Times New Roman"/>
                <w:i w:val="0"/>
                <w:iCs w:val="0"/>
                <w:color w:val="auto"/>
                <w:sz w:val="21"/>
                <w:szCs w:val="21"/>
                <w:u w:val="none"/>
                <w:lang w:val="en-US" w:eastAsia="zh-CN"/>
              </w:rPr>
              <w:t>0.0104</w:t>
            </w:r>
          </w:p>
        </w:tc>
        <w:tc>
          <w:tcPr>
            <w:tcW w:w="1259" w:type="pct"/>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auto"/>
                <w:sz w:val="21"/>
                <w:szCs w:val="21"/>
                <w:u w:val="none"/>
              </w:rPr>
            </w:pPr>
            <w:r>
              <w:rPr>
                <w:rFonts w:hint="default" w:ascii="Times New Roman" w:hAnsi="Times New Roman" w:eastAsia="宋体" w:cs="Times New Roman"/>
                <w:b/>
                <w:bCs/>
                <w:i w:val="0"/>
                <w:iCs w:val="0"/>
                <w:color w:val="auto"/>
                <w:kern w:val="0"/>
                <w:sz w:val="21"/>
                <w:szCs w:val="21"/>
                <w:u w:val="none"/>
                <w:lang w:val="en-US" w:eastAsia="zh-CN" w:bidi="ar"/>
              </w:rPr>
              <w:t>-0.0087*</w:t>
            </w:r>
          </w:p>
        </w:tc>
        <w:tc>
          <w:tcPr>
            <w:tcW w:w="1053" w:type="pct"/>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auto"/>
                <w:sz w:val="21"/>
                <w:szCs w:val="21"/>
                <w:u w:val="none"/>
                <w:lang w:val="en-US" w:eastAsia="zh-CN"/>
              </w:rPr>
            </w:pPr>
            <w:r>
              <w:rPr>
                <w:rFonts w:hint="eastAsia" w:cs="Times New Roman"/>
                <w:i w:val="0"/>
                <w:iCs w:val="0"/>
                <w:color w:val="auto"/>
                <w:sz w:val="21"/>
                <w:szCs w:val="21"/>
                <w:u w:val="none"/>
                <w:lang w:val="en-US" w:eastAsia="zh-CN"/>
              </w:rPr>
              <w:t>0.0001</w:t>
            </w:r>
          </w:p>
        </w:tc>
        <w:tc>
          <w:tcPr>
            <w:tcW w:w="917" w:type="pct"/>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auto"/>
                <w:sz w:val="21"/>
                <w:szCs w:val="21"/>
                <w:u w:val="none"/>
                <w:lang w:val="en-US" w:eastAsia="zh-CN"/>
              </w:rPr>
            </w:pPr>
            <w:r>
              <w:rPr>
                <w:rFonts w:hint="eastAsia" w:cs="Times New Roman"/>
                <w:i w:val="0"/>
                <w:iCs w:val="0"/>
                <w:color w:val="auto"/>
                <w:sz w:val="21"/>
                <w:szCs w:val="21"/>
                <w:u w:val="none"/>
                <w:lang w:val="en-US" w:eastAsia="zh-CN"/>
              </w:rPr>
              <w:t>0.0032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1" w:hRule="atLeast"/>
        </w:trPr>
        <w:tc>
          <w:tcPr>
            <w:tcW w:w="845" w:type="pct"/>
            <w:tcBorders>
              <w:top w:val="nil"/>
              <w:left w:val="nil"/>
              <w:bottom w:val="single" w:color="auto" w:sz="4" w:space="0"/>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[-5,0]</w:t>
            </w:r>
          </w:p>
        </w:tc>
        <w:tc>
          <w:tcPr>
            <w:tcW w:w="924" w:type="pct"/>
            <w:tcBorders>
              <w:top w:val="nil"/>
              <w:left w:val="nil"/>
              <w:bottom w:val="single" w:color="auto" w:sz="4" w:space="0"/>
              <w:right w:val="nil"/>
            </w:tcBorders>
            <w:shd w:val="clear" w:color="auto" w:fill="auto"/>
            <w:vAlign w:val="center"/>
          </w:tcPr>
          <w:p>
            <w:pPr>
              <w:jc w:val="center"/>
              <w:rPr>
                <w:rFonts w:hint="default" w:ascii="Times New Roman" w:hAnsi="Times New Roman" w:eastAsia="宋体" w:cs="Times New Roman"/>
                <w:i w:val="0"/>
                <w:iCs w:val="0"/>
                <w:color w:val="auto"/>
                <w:sz w:val="21"/>
                <w:szCs w:val="21"/>
                <w:u w:val="none"/>
                <w:lang w:val="en-US" w:eastAsia="zh-CN"/>
              </w:rPr>
            </w:pPr>
            <w:r>
              <w:rPr>
                <w:rFonts w:hint="eastAsia" w:cs="Times New Roman"/>
                <w:i w:val="0"/>
                <w:iCs w:val="0"/>
                <w:color w:val="auto"/>
                <w:sz w:val="21"/>
                <w:szCs w:val="21"/>
                <w:u w:val="none"/>
                <w:lang w:val="en-US" w:eastAsia="zh-CN"/>
              </w:rPr>
              <w:t xml:space="preserve">0.0073 </w:t>
            </w:r>
          </w:p>
        </w:tc>
        <w:tc>
          <w:tcPr>
            <w:tcW w:w="1259" w:type="pct"/>
            <w:tcBorders>
              <w:top w:val="nil"/>
              <w:left w:val="nil"/>
              <w:bottom w:val="single" w:color="auto" w:sz="4" w:space="0"/>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auto"/>
                <w:sz w:val="21"/>
                <w:szCs w:val="21"/>
                <w:u w:val="none"/>
              </w:rPr>
            </w:pPr>
            <w:r>
              <w:rPr>
                <w:rFonts w:hint="default" w:ascii="Times New Roman" w:hAnsi="Times New Roman" w:eastAsia="宋体" w:cs="Times New Roman"/>
                <w:b/>
                <w:bCs/>
                <w:i w:val="0"/>
                <w:iCs w:val="0"/>
                <w:color w:val="auto"/>
                <w:kern w:val="0"/>
                <w:sz w:val="21"/>
                <w:szCs w:val="21"/>
                <w:u w:val="none"/>
                <w:lang w:val="en-US" w:eastAsia="zh-CN" w:bidi="ar"/>
              </w:rPr>
              <w:t>-0.0093***</w:t>
            </w:r>
          </w:p>
        </w:tc>
        <w:tc>
          <w:tcPr>
            <w:tcW w:w="1053" w:type="pct"/>
            <w:tcBorders>
              <w:top w:val="nil"/>
              <w:left w:val="nil"/>
              <w:bottom w:val="single" w:color="auto" w:sz="4" w:space="0"/>
              <w:right w:val="nil"/>
            </w:tcBorders>
            <w:shd w:val="clear" w:color="auto" w:fill="auto"/>
            <w:vAlign w:val="center"/>
          </w:tcPr>
          <w:p>
            <w:pPr>
              <w:jc w:val="center"/>
              <w:rPr>
                <w:rFonts w:hint="default" w:ascii="Times New Roman" w:hAnsi="Times New Roman" w:eastAsia="宋体" w:cs="Times New Roman"/>
                <w:i w:val="0"/>
                <w:iCs w:val="0"/>
                <w:color w:val="auto"/>
                <w:sz w:val="21"/>
                <w:szCs w:val="21"/>
                <w:u w:val="none"/>
                <w:lang w:val="en-US" w:eastAsia="zh-CN"/>
              </w:rPr>
            </w:pPr>
            <w:r>
              <w:rPr>
                <w:rFonts w:hint="eastAsia" w:cs="Times New Roman"/>
                <w:i w:val="0"/>
                <w:iCs w:val="0"/>
                <w:color w:val="auto"/>
                <w:sz w:val="21"/>
                <w:szCs w:val="21"/>
                <w:u w:val="none"/>
                <w:lang w:val="en-US" w:eastAsia="zh-CN"/>
              </w:rPr>
              <w:t>-0.0070</w:t>
            </w:r>
          </w:p>
        </w:tc>
        <w:tc>
          <w:tcPr>
            <w:tcW w:w="917" w:type="pct"/>
            <w:tcBorders>
              <w:top w:val="nil"/>
              <w:left w:val="nil"/>
              <w:bottom w:val="single" w:color="auto" w:sz="4" w:space="0"/>
              <w:right w:val="nil"/>
            </w:tcBorders>
            <w:shd w:val="clear" w:color="auto" w:fill="auto"/>
            <w:vAlign w:val="center"/>
          </w:tcPr>
          <w:p>
            <w:pPr>
              <w:jc w:val="center"/>
              <w:rPr>
                <w:rFonts w:hint="default" w:ascii="Times New Roman" w:hAnsi="Times New Roman" w:eastAsia="宋体" w:cs="Times New Roman"/>
                <w:i w:val="0"/>
                <w:iCs w:val="0"/>
                <w:color w:val="auto"/>
                <w:sz w:val="21"/>
                <w:szCs w:val="21"/>
                <w:u w:val="none"/>
                <w:lang w:val="en-US" w:eastAsia="zh-CN"/>
              </w:rPr>
            </w:pPr>
            <w:r>
              <w:rPr>
                <w:rFonts w:hint="eastAsia" w:cs="Times New Roman"/>
                <w:i w:val="0"/>
                <w:iCs w:val="0"/>
                <w:color w:val="auto"/>
                <w:sz w:val="21"/>
                <w:szCs w:val="21"/>
                <w:u w:val="none"/>
                <w:lang w:val="en-US" w:eastAsia="zh-CN"/>
              </w:rPr>
              <w:t>0.0050</w:t>
            </w:r>
          </w:p>
        </w:tc>
      </w:tr>
    </w:tbl>
    <w:p>
      <w:pPr>
        <w:spacing w:line="360" w:lineRule="auto"/>
        <w:ind w:firstLine="480" w:firstLineChars="200"/>
        <w:jc w:val="left"/>
        <w:rPr>
          <w:sz w:val="24"/>
        </w:rPr>
      </w:pPr>
    </w:p>
    <w:p>
      <w:pPr>
        <w:spacing w:line="360" w:lineRule="auto"/>
        <w:ind w:firstLine="480" w:firstLineChars="200"/>
        <w:rPr>
          <w:sz w:val="24"/>
        </w:rPr>
      </w:pPr>
      <w:r>
        <w:rPr>
          <w:sz w:val="24"/>
        </w:rPr>
        <w:t>深证A股主板的股票从我们研究得到的数据上看仅仅在公告日当日会有在10%水平上显著的价格反应，并且这个价格反应与我们的假设恰好相反，此外，上证A股主板股票和创业板股票分别在违规处罚公告发布前的第两日和第八日在10%和1%的水平上显著出现反向提前反应，即产生异常回报，而与我们的假设相符的是，创业板股票虽然在违规处罚公告发布日的前的第八日出现了异常正向回报，但违规处罚公告发布前的第四日和第三日均有显著的负向回报，这个结果验证了提前反应的同时，也让我们对于提前反应的主体有了更全面的理解，</w:t>
      </w:r>
      <w:r>
        <w:rPr>
          <w:rFonts w:hint="eastAsia"/>
          <w:sz w:val="24"/>
          <w:lang w:val="en-US" w:eastAsia="zh-CN"/>
        </w:rPr>
        <w:t>而在</w:t>
      </w:r>
      <w:r>
        <w:rPr>
          <w:sz w:val="24"/>
        </w:rPr>
        <w:t>此前，我们提出了提前反应的猜想，但我们仅仅认为，公告消息存在提前泄露的可能性，而投资者可能会因为一些非官方的信息渠道得知消息并提前反应，而得到的实证结果却让我们发现提前反应的主体并不仅仅是噪声交易者，也有可能是上市公司的股东或相关金融机构。例如，上海证监局课题组（2006）就曾提出，大股东具备信息优势，可能与机构勾结操纵股价，张宗新等（2005）学者也发现我国股市存在较为严重的内幕信息操纵股价的行为；谢琳等（2011）对于定向增发事件的研究中，也发现了大股东利用内幕信息操纵股价从而牟取利润；至于股价操纵的机制，Allen和Gale（1992）提出了基于行为、基于信息、基于交易的三类操纵方式，我国研究者李梦雨和李志辉（2019）发现市场操纵通过影响投资者情绪达到目的。虽然反向反应的具体机制我们还不清楚，但反向反应的存在拓宽了我们对于反应主体的认知。</w:t>
      </w:r>
    </w:p>
    <w:p>
      <w:pPr>
        <w:spacing w:line="360" w:lineRule="auto"/>
        <w:ind w:firstLine="480" w:firstLineChars="200"/>
        <w:rPr>
          <w:sz w:val="24"/>
        </w:rPr>
      </w:pPr>
      <w:r>
        <w:rPr>
          <w:sz w:val="24"/>
        </w:rPr>
        <w:t>当我们把目光放在违规处罚公告发布后的回报率异常波动，不难发现股票收益对于违规处罚公告的敏感程度与上市公司市值规模有关，主板股票表现得不太敏感，而创业板表现得尤其敏感。不论是沪市还是深市，A股主板对于违规处罚公告发布的反应都显得较为迟钝，甚至违规处罚公告前后出现异常增长。创业板股票在公告发布后的一天单日平均异常下跌了0.66%，不过在第二天单日平均异常下跌仅0.34%，这个数据在10%的水平上显著，随后几日并未见显著的单日平均异常回报，但统计结果表明在[0,3]这个窗口期内异常下跌在5%的水平上显著，累计平均异常回报率达到0.94%。中小板股票更多反应先于公告发布发生，在公告日前第五日和第四日，单日平均异常回报率达到0.37%和0.32%，这两个数据分别在1%和5%的水平上显著，在[-5,0]这个窗口期的累积平均异常回报率达到0.93%；中小板股票在事后的不同窗口期并没有显著异常回报，且股价在公告日后第八日出现了单日平均0.28%的回调，</w:t>
      </w:r>
      <w:r>
        <w:rPr>
          <w:rFonts w:hint="eastAsia"/>
          <w:sz w:val="24"/>
          <w:lang w:val="en-US" w:eastAsia="zh-CN"/>
        </w:rPr>
        <w:t>这有助于我们对于投资者情绪影响机制进行理解，事后回调意味着股票价格反应不是单向的，如果股票价格反应全部来自于投资者理性判断，随着信息披露后逐渐得到投资者关注，每一个单日及事件后窗口的异常回报都应该是负的，或者至少不是显著为正，即不会产生价格回调，回调的现象给“价格反应部分由投资者情绪引发”提供了一定的现象支持，</w:t>
      </w:r>
      <w:r>
        <w:rPr>
          <w:sz w:val="24"/>
        </w:rPr>
        <w:t>不过</w:t>
      </w:r>
      <w:r>
        <w:rPr>
          <w:rFonts w:hint="eastAsia"/>
          <w:sz w:val="24"/>
          <w:lang w:val="en-US" w:eastAsia="zh-CN"/>
        </w:rPr>
        <w:t>基于[-10,10]这个窗口的数据，</w:t>
      </w:r>
      <w:r>
        <w:rPr>
          <w:sz w:val="24"/>
        </w:rPr>
        <w:t>回调并没有明显的持续，并且回调幅度远小于窗口期累计下跌幅度，在[-10,10]这个长达二十一天的窗口期整体看来，违规处罚公告发布对于中小板股票回报的影响依旧是负面的，累计平均异常回报率达到1.13%（10%水平显著）。</w:t>
      </w:r>
    </w:p>
    <w:p>
      <w:pPr>
        <w:spacing w:line="360" w:lineRule="auto"/>
        <w:ind w:firstLine="480" w:firstLineChars="200"/>
        <w:rPr>
          <w:sz w:val="24"/>
        </w:rPr>
      </w:pPr>
      <w:r>
        <w:rPr>
          <w:sz w:val="24"/>
        </w:rPr>
        <w:t>综合本小节得到的结果，我们发现企业违规处罚公告发布确实会在短期内降低股票回报，且存在投资者提前反应以及事后回调，此外，违规处罚公告发布对于股票回报的影响具有差异性，中小板和创业板这类低市值股票对于违规处罚公告发布更加敏感</w:t>
      </w:r>
      <w:r>
        <w:rPr>
          <w:rFonts w:hint="eastAsia"/>
          <w:sz w:val="24"/>
          <w:lang w:eastAsia="zh-CN"/>
        </w:rPr>
        <w:t>，</w:t>
      </w:r>
      <w:r>
        <w:rPr>
          <w:rFonts w:hint="eastAsia"/>
          <w:sz w:val="24"/>
          <w:lang w:val="en-US" w:eastAsia="zh-CN"/>
        </w:rPr>
        <w:t>我们的假设一和假设二得到了初步的验证</w:t>
      </w:r>
      <w:r>
        <w:rPr>
          <w:sz w:val="24"/>
        </w:rPr>
        <w:t>。</w:t>
      </w:r>
    </w:p>
    <w:p>
      <w:pPr>
        <w:spacing w:line="360" w:lineRule="auto"/>
        <w:ind w:firstLine="480" w:firstLineChars="200"/>
        <w:rPr>
          <w:sz w:val="24"/>
        </w:rPr>
      </w:pPr>
    </w:p>
    <w:p>
      <w:pPr>
        <w:spacing w:line="360" w:lineRule="auto"/>
        <w:jc w:val="left"/>
        <w:rPr>
          <w:rFonts w:eastAsia="黑体"/>
          <w:b/>
          <w:bCs/>
          <w:sz w:val="24"/>
        </w:rPr>
      </w:pPr>
      <w:r>
        <w:rPr>
          <w:b/>
          <w:bCs/>
          <w:sz w:val="24"/>
        </w:rPr>
        <w:t>4.2.2</w:t>
      </w:r>
      <w:r>
        <w:rPr>
          <w:sz w:val="24"/>
        </w:rPr>
        <w:t xml:space="preserve"> </w:t>
      </w:r>
      <w:r>
        <w:rPr>
          <w:b/>
          <w:bCs/>
          <w:sz w:val="24"/>
        </w:rPr>
        <w:t xml:space="preserve"> </w:t>
      </w:r>
      <w:r>
        <w:rPr>
          <w:rFonts w:eastAsia="黑体"/>
          <w:b/>
          <w:bCs/>
          <w:sz w:val="24"/>
        </w:rPr>
        <w:t>不同处罚导致的差异化反应</w:t>
      </w:r>
    </w:p>
    <w:p>
      <w:pPr>
        <w:spacing w:line="360" w:lineRule="auto"/>
        <w:ind w:firstLine="480" w:firstLineChars="200"/>
        <w:rPr>
          <w:sz w:val="24"/>
        </w:rPr>
      </w:pPr>
      <w:r>
        <w:rPr>
          <w:sz w:val="24"/>
        </w:rPr>
        <w:t>我们分别对四大类处罚方式分类进行事件研究，按照第三章中所述的流程对事件进行筛选并由stata剔除后，我们最终得到“批评”处罚事件公告217则，“谴责”处罚事件公告95则，“警告、罚款”处罚事件公告7则，“其他”（监管函、警示函、整改）处罚事公告件811则。得到的结果如</w:t>
      </w:r>
      <w:r>
        <w:rPr>
          <w:rFonts w:hint="eastAsia"/>
          <w:sz w:val="24"/>
          <w:lang w:val="en-US" w:eastAsia="zh-CN"/>
        </w:rPr>
        <w:t>图4-7至图4-10，以及</w:t>
      </w:r>
      <w:r>
        <w:rPr>
          <w:sz w:val="24"/>
        </w:rPr>
        <w:t>表4-4和表4-5所示（具体输出数据见附录）。</w:t>
      </w:r>
    </w:p>
    <w:p>
      <w:pPr>
        <w:spacing w:line="360" w:lineRule="auto"/>
        <w:ind w:firstLine="480" w:firstLineChars="200"/>
        <w:rPr>
          <w:sz w:val="24"/>
        </w:rPr>
      </w:pPr>
      <w:r>
        <w:rPr>
          <w:sz w:val="24"/>
        </w:rPr>
        <w:t>我们</w:t>
      </w:r>
      <w:r>
        <w:rPr>
          <w:rFonts w:hint="eastAsia"/>
          <w:sz w:val="24"/>
          <w:lang w:val="en-US" w:eastAsia="zh-CN"/>
        </w:rPr>
        <w:t>对AAR的研究</w:t>
      </w:r>
      <w:r>
        <w:rPr>
          <w:sz w:val="24"/>
        </w:rPr>
        <w:t>发现，不论公告中的处罚方式是什么，违规处罚公告的发布都会在一定程度上影响到股票回报率，且提前反应以及提前反向反应依旧存在。当处罚方式为“批评”时，在公告后第一日会出现0.48%的平均单日异常亏损（p=0.05），而对于“谴责”这一处罚，在我们设定的不同长度观测窗口均未见到显</w:t>
      </w:r>
    </w:p>
    <w:p>
      <w:pPr>
        <w:spacing w:line="360" w:lineRule="auto"/>
        <w:ind w:firstLine="480" w:firstLineChars="200"/>
        <w:rPr>
          <w:sz w:val="24"/>
        </w:rPr>
      </w:pPr>
    </w:p>
    <w:p>
      <w:pPr>
        <w:spacing w:line="360" w:lineRule="auto"/>
        <w:rPr>
          <w:rFonts w:hint="eastAsia" w:eastAsia="宋体"/>
          <w:sz w:val="24"/>
          <w:lang w:val="en-US" w:eastAsia="zh-CN"/>
        </w:rPr>
      </w:pPr>
      <w:r>
        <w:drawing>
          <wp:inline distT="0" distB="0" distL="114300" distR="114300">
            <wp:extent cx="2642870" cy="1922145"/>
            <wp:effectExtent l="0" t="0" r="11430" b="8255"/>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21"/>
                    <a:stretch>
                      <a:fillRect/>
                    </a:stretch>
                  </pic:blipFill>
                  <pic:spPr>
                    <a:xfrm>
                      <a:off x="0" y="0"/>
                      <a:ext cx="2642870" cy="192214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642870" cy="1922145"/>
            <wp:effectExtent l="0" t="0" r="11430" b="825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22"/>
                    <a:stretch>
                      <a:fillRect/>
                    </a:stretch>
                  </pic:blipFill>
                  <pic:spPr>
                    <a:xfrm>
                      <a:off x="0" y="0"/>
                      <a:ext cx="2642870" cy="1922145"/>
                    </a:xfrm>
                    <a:prstGeom prst="rect">
                      <a:avLst/>
                    </a:prstGeom>
                    <a:noFill/>
                    <a:ln>
                      <a:noFill/>
                    </a:ln>
                  </pic:spPr>
                </pic:pic>
              </a:graphicData>
            </a:graphic>
          </wp:inline>
        </w:drawing>
      </w:r>
    </w:p>
    <w:p>
      <w:pPr>
        <w:spacing w:line="360" w:lineRule="auto"/>
        <w:ind w:firstLine="720" w:firstLineChars="300"/>
        <w:jc w:val="left"/>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图4-</w:t>
      </w:r>
      <w:r>
        <w:rPr>
          <w:rFonts w:hint="eastAsia" w:eastAsia="黑体" w:cs="Times New Roman"/>
          <w:sz w:val="24"/>
          <w:lang w:val="en-US" w:eastAsia="zh-CN"/>
        </w:rPr>
        <w:t>7</w:t>
      </w:r>
      <w:r>
        <w:rPr>
          <w:rFonts w:hint="default" w:ascii="Times New Roman" w:hAnsi="Times New Roman" w:eastAsia="黑体" w:cs="Times New Roman"/>
          <w:sz w:val="24"/>
          <w:lang w:val="en-US" w:eastAsia="zh-CN"/>
        </w:rPr>
        <w:t xml:space="preserve"> </w:t>
      </w:r>
      <w:r>
        <w:rPr>
          <w:rFonts w:hint="eastAsia" w:eastAsia="黑体" w:cs="Times New Roman"/>
          <w:sz w:val="24"/>
          <w:lang w:val="en-US" w:eastAsia="zh-CN"/>
        </w:rPr>
        <w:t>“批评”</w:t>
      </w:r>
      <w:r>
        <w:rPr>
          <w:rFonts w:hint="default" w:ascii="Times New Roman" w:hAnsi="Times New Roman" w:eastAsia="黑体" w:cs="Times New Roman"/>
          <w:sz w:val="24"/>
          <w:lang w:val="en-US" w:eastAsia="zh-CN"/>
        </w:rPr>
        <w:t>CAAR</w:t>
      </w:r>
      <w:r>
        <w:rPr>
          <w:rFonts w:hint="eastAsia" w:ascii="黑体" w:hAnsi="黑体" w:eastAsia="黑体" w:cs="黑体"/>
          <w:sz w:val="24"/>
          <w:lang w:val="en-US" w:eastAsia="zh-CN"/>
        </w:rPr>
        <w:t>图</w:t>
      </w:r>
      <w:r>
        <w:rPr>
          <w:rFonts w:hint="default" w:ascii="Times New Roman" w:hAnsi="Times New Roman" w:cs="Times New Roman"/>
          <w:sz w:val="24"/>
          <w:lang w:val="en-US" w:eastAsia="zh-CN"/>
        </w:rPr>
        <w:t xml:space="preserve">          </w:t>
      </w:r>
      <w:r>
        <w:rPr>
          <w:rFonts w:hint="default" w:ascii="Times New Roman" w:hAnsi="Times New Roman" w:eastAsia="黑体" w:cs="Times New Roman"/>
          <w:sz w:val="24"/>
          <w:lang w:val="en-US" w:eastAsia="zh-CN"/>
        </w:rPr>
        <w:t>图4-</w:t>
      </w:r>
      <w:r>
        <w:rPr>
          <w:rFonts w:hint="eastAsia" w:eastAsia="黑体" w:cs="Times New Roman"/>
          <w:sz w:val="24"/>
          <w:lang w:val="en-US" w:eastAsia="zh-CN"/>
        </w:rPr>
        <w:t>8</w:t>
      </w:r>
      <w:r>
        <w:rPr>
          <w:rFonts w:hint="default" w:ascii="Times New Roman" w:hAnsi="Times New Roman" w:eastAsia="黑体" w:cs="Times New Roman"/>
          <w:sz w:val="24"/>
          <w:lang w:val="en-US" w:eastAsia="zh-CN"/>
        </w:rPr>
        <w:t xml:space="preserve"> </w:t>
      </w:r>
      <w:r>
        <w:rPr>
          <w:rFonts w:hint="eastAsia" w:eastAsia="黑体" w:cs="Times New Roman"/>
          <w:sz w:val="24"/>
          <w:lang w:val="en-US" w:eastAsia="zh-CN"/>
        </w:rPr>
        <w:t>“警告、处罚”</w:t>
      </w:r>
      <w:r>
        <w:rPr>
          <w:rFonts w:hint="default" w:ascii="Times New Roman" w:hAnsi="Times New Roman" w:eastAsia="黑体" w:cs="Times New Roman"/>
          <w:sz w:val="24"/>
          <w:lang w:val="en-US" w:eastAsia="zh-CN"/>
        </w:rPr>
        <w:t>CAAR图</w:t>
      </w:r>
    </w:p>
    <w:p>
      <w:pPr>
        <w:spacing w:line="360" w:lineRule="auto"/>
      </w:pPr>
      <w:r>
        <w:drawing>
          <wp:inline distT="0" distB="0" distL="114300" distR="114300">
            <wp:extent cx="2642870" cy="1922145"/>
            <wp:effectExtent l="0" t="0" r="11430" b="8255"/>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23"/>
                    <a:stretch>
                      <a:fillRect/>
                    </a:stretch>
                  </pic:blipFill>
                  <pic:spPr>
                    <a:xfrm>
                      <a:off x="0" y="0"/>
                      <a:ext cx="2642870" cy="192214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642870" cy="1922145"/>
            <wp:effectExtent l="0" t="0" r="11430" b="8255"/>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24"/>
                    <a:stretch>
                      <a:fillRect/>
                    </a:stretch>
                  </pic:blipFill>
                  <pic:spPr>
                    <a:xfrm>
                      <a:off x="0" y="0"/>
                      <a:ext cx="2642870" cy="1922145"/>
                    </a:xfrm>
                    <a:prstGeom prst="rect">
                      <a:avLst/>
                    </a:prstGeom>
                    <a:noFill/>
                    <a:ln>
                      <a:noFill/>
                    </a:ln>
                  </pic:spPr>
                </pic:pic>
              </a:graphicData>
            </a:graphic>
          </wp:inline>
        </w:drawing>
      </w:r>
    </w:p>
    <w:p>
      <w:pPr>
        <w:spacing w:line="360" w:lineRule="auto"/>
        <w:ind w:firstLine="720" w:firstLineChars="300"/>
        <w:jc w:val="left"/>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图4-</w:t>
      </w:r>
      <w:r>
        <w:rPr>
          <w:rFonts w:hint="eastAsia" w:eastAsia="黑体" w:cs="Times New Roman"/>
          <w:sz w:val="24"/>
          <w:lang w:val="en-US" w:eastAsia="zh-CN"/>
        </w:rPr>
        <w:t>9</w:t>
      </w:r>
      <w:r>
        <w:rPr>
          <w:rFonts w:hint="default" w:ascii="Times New Roman" w:hAnsi="Times New Roman" w:eastAsia="黑体" w:cs="Times New Roman"/>
          <w:sz w:val="24"/>
          <w:lang w:val="en-US" w:eastAsia="zh-CN"/>
        </w:rPr>
        <w:t xml:space="preserve"> </w:t>
      </w:r>
      <w:r>
        <w:rPr>
          <w:rFonts w:hint="eastAsia" w:eastAsia="黑体" w:cs="Times New Roman"/>
          <w:sz w:val="24"/>
          <w:lang w:val="en-US" w:eastAsia="zh-CN"/>
        </w:rPr>
        <w:t>“谴责”</w:t>
      </w:r>
      <w:r>
        <w:rPr>
          <w:rFonts w:hint="default" w:ascii="Times New Roman" w:hAnsi="Times New Roman" w:eastAsia="黑体" w:cs="Times New Roman"/>
          <w:sz w:val="24"/>
          <w:lang w:val="en-US" w:eastAsia="zh-CN"/>
        </w:rPr>
        <w:t>CAAR</w:t>
      </w:r>
      <w:r>
        <w:rPr>
          <w:rFonts w:hint="eastAsia" w:ascii="黑体" w:hAnsi="黑体" w:eastAsia="黑体" w:cs="黑体"/>
          <w:sz w:val="24"/>
          <w:lang w:val="en-US" w:eastAsia="zh-CN"/>
        </w:rPr>
        <w:t>图</w:t>
      </w:r>
      <w:r>
        <w:rPr>
          <w:rFonts w:hint="default" w:ascii="Times New Roman" w:hAnsi="Times New Roman" w:cs="Times New Roman"/>
          <w:sz w:val="24"/>
          <w:lang w:val="en-US" w:eastAsia="zh-CN"/>
        </w:rPr>
        <w:t xml:space="preserve">              </w:t>
      </w:r>
      <w:r>
        <w:rPr>
          <w:rFonts w:hint="default" w:ascii="Times New Roman" w:hAnsi="Times New Roman" w:eastAsia="黑体" w:cs="Times New Roman"/>
          <w:sz w:val="24"/>
          <w:lang w:val="en-US" w:eastAsia="zh-CN"/>
        </w:rPr>
        <w:t>图4-</w:t>
      </w:r>
      <w:r>
        <w:rPr>
          <w:rFonts w:hint="eastAsia" w:eastAsia="黑体" w:cs="Times New Roman"/>
          <w:sz w:val="24"/>
          <w:lang w:val="en-US" w:eastAsia="zh-CN"/>
        </w:rPr>
        <w:t>10</w:t>
      </w:r>
      <w:r>
        <w:rPr>
          <w:rFonts w:hint="default" w:ascii="Times New Roman" w:hAnsi="Times New Roman" w:eastAsia="黑体" w:cs="Times New Roman"/>
          <w:sz w:val="24"/>
          <w:lang w:val="en-US" w:eastAsia="zh-CN"/>
        </w:rPr>
        <w:t xml:space="preserve"> </w:t>
      </w:r>
      <w:r>
        <w:rPr>
          <w:rFonts w:hint="eastAsia" w:eastAsia="黑体" w:cs="Times New Roman"/>
          <w:sz w:val="24"/>
          <w:lang w:val="en-US" w:eastAsia="zh-CN"/>
        </w:rPr>
        <w:t>“其他”</w:t>
      </w:r>
      <w:r>
        <w:rPr>
          <w:rFonts w:hint="default" w:ascii="Times New Roman" w:hAnsi="Times New Roman" w:eastAsia="黑体" w:cs="Times New Roman"/>
          <w:sz w:val="24"/>
          <w:lang w:val="en-US" w:eastAsia="zh-CN"/>
        </w:rPr>
        <w:t>CAAR图</w:t>
      </w:r>
    </w:p>
    <w:p>
      <w:pPr>
        <w:spacing w:line="360" w:lineRule="auto"/>
        <w:ind w:firstLine="720" w:firstLineChars="300"/>
        <w:jc w:val="left"/>
        <w:rPr>
          <w:rFonts w:hint="eastAsia" w:ascii="Times New Roman" w:hAnsi="Times New Roman" w:eastAsia="黑体" w:cs="Times New Roman"/>
          <w:sz w:val="24"/>
          <w:lang w:val="en-US" w:eastAsia="zh-CN"/>
        </w:rPr>
      </w:pPr>
    </w:p>
    <w:p>
      <w:pPr>
        <w:spacing w:line="300" w:lineRule="exact"/>
        <w:ind w:firstLine="480" w:firstLineChars="200"/>
        <w:jc w:val="center"/>
        <w:rPr>
          <w:rFonts w:hint="eastAsia" w:eastAsia="黑体"/>
          <w:sz w:val="24"/>
          <w:lang w:val="en-US" w:eastAsia="zh-CN"/>
        </w:rPr>
      </w:pPr>
      <w:r>
        <w:rPr>
          <w:rFonts w:eastAsia="黑体"/>
          <w:sz w:val="24"/>
        </w:rPr>
        <w:t>表4-4  按处罚方式分类的</w:t>
      </w:r>
      <w:r>
        <w:rPr>
          <w:rFonts w:hint="eastAsia" w:eastAsia="黑体"/>
          <w:sz w:val="24"/>
          <w:lang w:val="en-US" w:eastAsia="zh-CN"/>
        </w:rPr>
        <w:t>单日AAR</w:t>
      </w:r>
    </w:p>
    <w:p>
      <w:pPr>
        <w:spacing w:line="300" w:lineRule="exact"/>
        <w:ind w:firstLine="480" w:firstLineChars="200"/>
        <w:jc w:val="center"/>
        <w:rPr>
          <w:rFonts w:hint="default" w:eastAsia="黑体"/>
          <w:sz w:val="24"/>
          <w:lang w:val="en-US" w:eastAsia="zh-CN"/>
        </w:rPr>
      </w:pPr>
    </w:p>
    <w:tbl>
      <w:tblPr>
        <w:tblStyle w:val="6"/>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77"/>
        <w:gridCol w:w="1821"/>
        <w:gridCol w:w="2008"/>
        <w:gridCol w:w="1863"/>
        <w:gridCol w:w="204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560" w:type="pct"/>
            <w:tcBorders>
              <w:top w:val="single" w:color="auto" w:sz="4" w:space="0"/>
              <w:left w:val="nil"/>
              <w:bottom w:val="single" w:color="000000" w:sz="4" w:space="0"/>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rPr>
            </w:pPr>
          </w:p>
        </w:tc>
        <w:tc>
          <w:tcPr>
            <w:tcW w:w="1044" w:type="pct"/>
            <w:tcBorders>
              <w:top w:val="single" w:color="auto" w:sz="4" w:space="0"/>
              <w:left w:val="nil"/>
              <w:bottom w:val="single" w:color="000000" w:sz="4" w:space="0"/>
              <w:right w:val="nil"/>
            </w:tcBorders>
            <w:shd w:val="clear" w:color="auto" w:fill="FFFFFF" w:themeFill="background1"/>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auto"/>
                <w:sz w:val="21"/>
                <w:szCs w:val="21"/>
                <w:u w:val="none"/>
              </w:rPr>
            </w:pPr>
            <w:r>
              <w:rPr>
                <w:rFonts w:hint="default" w:ascii="Times New Roman" w:hAnsi="Times New Roman" w:eastAsia="宋体" w:cs="Times New Roman"/>
                <w:b w:val="0"/>
                <w:bCs w:val="0"/>
                <w:i w:val="0"/>
                <w:iCs w:val="0"/>
                <w:color w:val="auto"/>
                <w:kern w:val="0"/>
                <w:sz w:val="21"/>
                <w:szCs w:val="21"/>
                <w:u w:val="none"/>
                <w:lang w:val="en-US" w:eastAsia="zh-CN" w:bidi="ar"/>
              </w:rPr>
              <w:t>批评</w:t>
            </w:r>
          </w:p>
        </w:tc>
        <w:tc>
          <w:tcPr>
            <w:tcW w:w="1151" w:type="pct"/>
            <w:tcBorders>
              <w:top w:val="single" w:color="auto" w:sz="4" w:space="0"/>
              <w:left w:val="nil"/>
              <w:bottom w:val="single" w:color="000000" w:sz="4" w:space="0"/>
              <w:right w:val="nil"/>
            </w:tcBorders>
            <w:shd w:val="clear" w:color="auto" w:fill="FFFFFF" w:themeFill="background1"/>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auto"/>
                <w:sz w:val="21"/>
                <w:szCs w:val="21"/>
                <w:u w:val="none"/>
              </w:rPr>
            </w:pPr>
            <w:r>
              <w:rPr>
                <w:rFonts w:hint="default" w:ascii="Times New Roman" w:hAnsi="Times New Roman" w:eastAsia="宋体" w:cs="Times New Roman"/>
                <w:b w:val="0"/>
                <w:bCs w:val="0"/>
                <w:i w:val="0"/>
                <w:iCs w:val="0"/>
                <w:color w:val="auto"/>
                <w:kern w:val="0"/>
                <w:sz w:val="21"/>
                <w:szCs w:val="21"/>
                <w:u w:val="none"/>
                <w:lang w:val="en-US" w:eastAsia="zh-CN" w:bidi="ar"/>
              </w:rPr>
              <w:t>警告、罚款</w:t>
            </w:r>
          </w:p>
        </w:tc>
        <w:tc>
          <w:tcPr>
            <w:tcW w:w="1068" w:type="pct"/>
            <w:tcBorders>
              <w:top w:val="single" w:color="auto" w:sz="4" w:space="0"/>
              <w:left w:val="nil"/>
              <w:bottom w:val="single" w:color="000000" w:sz="4" w:space="0"/>
              <w:right w:val="nil"/>
            </w:tcBorders>
            <w:shd w:val="clear" w:color="auto" w:fill="FFFFFF" w:themeFill="background1"/>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auto"/>
                <w:sz w:val="21"/>
                <w:szCs w:val="21"/>
                <w:u w:val="none"/>
              </w:rPr>
            </w:pPr>
            <w:r>
              <w:rPr>
                <w:rFonts w:hint="default" w:ascii="Times New Roman" w:hAnsi="Times New Roman" w:eastAsia="宋体" w:cs="Times New Roman"/>
                <w:b w:val="0"/>
                <w:bCs w:val="0"/>
                <w:i w:val="0"/>
                <w:iCs w:val="0"/>
                <w:color w:val="auto"/>
                <w:kern w:val="0"/>
                <w:sz w:val="21"/>
                <w:szCs w:val="21"/>
                <w:u w:val="none"/>
                <w:lang w:val="en-US" w:eastAsia="zh-CN" w:bidi="ar"/>
              </w:rPr>
              <w:t>谴责</w:t>
            </w:r>
          </w:p>
        </w:tc>
        <w:tc>
          <w:tcPr>
            <w:tcW w:w="1175" w:type="pct"/>
            <w:tcBorders>
              <w:top w:val="single" w:color="auto" w:sz="4" w:space="0"/>
              <w:left w:val="nil"/>
              <w:bottom w:val="single" w:color="000000" w:sz="4" w:space="0"/>
              <w:right w:val="nil"/>
            </w:tcBorders>
            <w:shd w:val="clear" w:color="auto" w:fill="FFFFFF" w:themeFill="background1"/>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auto"/>
                <w:sz w:val="21"/>
                <w:szCs w:val="21"/>
                <w:u w:val="none"/>
              </w:rPr>
            </w:pPr>
            <w:r>
              <w:rPr>
                <w:rFonts w:hint="default" w:ascii="Times New Roman" w:hAnsi="Times New Roman" w:eastAsia="宋体" w:cs="Times New Roman"/>
                <w:b w:val="0"/>
                <w:bCs w:val="0"/>
                <w:i w:val="0"/>
                <w:iCs w:val="0"/>
                <w:color w:val="auto"/>
                <w:kern w:val="0"/>
                <w:sz w:val="21"/>
                <w:szCs w:val="21"/>
                <w:u w:val="none"/>
                <w:lang w:val="en-US" w:eastAsia="zh-CN" w:bidi="ar"/>
              </w:rPr>
              <w:t>其他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560" w:type="pct"/>
            <w:tcBorders>
              <w:top w:val="single" w:color="000000" w:sz="4" w:space="0"/>
              <w:left w:val="nil"/>
              <w:bottom w:val="nil"/>
              <w:right w:val="nil"/>
            </w:tcBorders>
            <w:shd w:val="clear" w:color="auto" w:fill="FFFFFF" w:themeFill="background1"/>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auto"/>
                <w:sz w:val="21"/>
                <w:szCs w:val="21"/>
                <w:u w:val="none"/>
              </w:rPr>
            </w:pPr>
            <w:r>
              <w:rPr>
                <w:rFonts w:hint="default" w:ascii="Times New Roman" w:hAnsi="Times New Roman" w:eastAsia="宋体" w:cs="Times New Roman"/>
                <w:b w:val="0"/>
                <w:bCs w:val="0"/>
                <w:i w:val="0"/>
                <w:iCs w:val="0"/>
                <w:color w:val="auto"/>
                <w:kern w:val="0"/>
                <w:sz w:val="21"/>
                <w:szCs w:val="21"/>
                <w:u w:val="none"/>
                <w:lang w:val="en-US" w:eastAsia="zh-CN" w:bidi="ar"/>
              </w:rPr>
              <w:t>-10</w:t>
            </w:r>
          </w:p>
        </w:tc>
        <w:tc>
          <w:tcPr>
            <w:tcW w:w="1044" w:type="pct"/>
            <w:tcBorders>
              <w:top w:val="single" w:color="000000" w:sz="4" w:space="0"/>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0.0009</w:t>
            </w:r>
          </w:p>
        </w:tc>
        <w:tc>
          <w:tcPr>
            <w:tcW w:w="1151" w:type="pct"/>
            <w:tcBorders>
              <w:top w:val="single" w:color="000000" w:sz="4" w:space="0"/>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bCs/>
                <w:i w:val="0"/>
                <w:iCs w:val="0"/>
                <w:color w:val="auto"/>
                <w:sz w:val="21"/>
                <w:szCs w:val="21"/>
                <w:u w:val="none"/>
                <w:lang w:val="en-US" w:eastAsia="zh-CN"/>
              </w:rPr>
              <w:t>0.0164**</w:t>
            </w:r>
          </w:p>
        </w:tc>
        <w:tc>
          <w:tcPr>
            <w:tcW w:w="1068" w:type="pct"/>
            <w:tcBorders>
              <w:top w:val="single" w:color="000000" w:sz="4" w:space="0"/>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-0.0003</w:t>
            </w:r>
          </w:p>
        </w:tc>
        <w:tc>
          <w:tcPr>
            <w:tcW w:w="1175" w:type="pct"/>
            <w:tcBorders>
              <w:top w:val="single" w:color="000000" w:sz="4" w:space="0"/>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bCs/>
                <w:i w:val="0"/>
                <w:iCs w:val="0"/>
                <w:color w:val="auto"/>
                <w:sz w:val="21"/>
                <w:szCs w:val="21"/>
                <w:u w:val="none"/>
                <w:lang w:val="en-US" w:eastAsia="zh-CN"/>
              </w:rPr>
              <w:t>0.0016*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560" w:type="pct"/>
            <w:tcBorders>
              <w:top w:val="nil"/>
              <w:left w:val="nil"/>
              <w:bottom w:val="nil"/>
              <w:right w:val="nil"/>
            </w:tcBorders>
            <w:shd w:val="clear" w:color="auto" w:fill="FFFFFF" w:themeFill="background1"/>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auto"/>
                <w:sz w:val="21"/>
                <w:szCs w:val="21"/>
                <w:u w:val="none"/>
              </w:rPr>
            </w:pPr>
            <w:r>
              <w:rPr>
                <w:rFonts w:hint="default" w:ascii="Times New Roman" w:hAnsi="Times New Roman" w:eastAsia="宋体" w:cs="Times New Roman"/>
                <w:b w:val="0"/>
                <w:bCs w:val="0"/>
                <w:i w:val="0"/>
                <w:iCs w:val="0"/>
                <w:color w:val="auto"/>
                <w:kern w:val="0"/>
                <w:sz w:val="21"/>
                <w:szCs w:val="21"/>
                <w:u w:val="none"/>
                <w:lang w:val="en-US" w:eastAsia="zh-CN" w:bidi="ar"/>
              </w:rPr>
              <w:t>-9</w:t>
            </w:r>
          </w:p>
        </w:tc>
        <w:tc>
          <w:tcPr>
            <w:tcW w:w="1044"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-0.0007</w:t>
            </w:r>
          </w:p>
        </w:tc>
        <w:tc>
          <w:tcPr>
            <w:tcW w:w="1151"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0.0088</w:t>
            </w:r>
          </w:p>
        </w:tc>
        <w:tc>
          <w:tcPr>
            <w:tcW w:w="1068"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-0.0042</w:t>
            </w:r>
          </w:p>
        </w:tc>
        <w:tc>
          <w:tcPr>
            <w:tcW w:w="1175"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rPr>
            </w:pPr>
            <w:r>
              <w:rPr>
                <w:rFonts w:hint="eastAsia" w:cs="Times New Roman"/>
                <w:b w:val="0"/>
                <w:bCs w:val="0"/>
                <w:i w:val="0"/>
                <w:iCs w:val="0"/>
                <w:color w:val="auto"/>
                <w:sz w:val="21"/>
                <w:szCs w:val="21"/>
                <w:u w:val="none"/>
                <w:lang w:val="en-US" w:eastAsia="zh-CN"/>
              </w:rPr>
              <w:t>-0.0003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560" w:type="pct"/>
            <w:tcBorders>
              <w:top w:val="nil"/>
              <w:left w:val="nil"/>
              <w:bottom w:val="nil"/>
              <w:right w:val="nil"/>
            </w:tcBorders>
            <w:shd w:val="clear" w:color="auto" w:fill="FFFFFF" w:themeFill="background1"/>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auto"/>
                <w:sz w:val="21"/>
                <w:szCs w:val="21"/>
                <w:u w:val="none"/>
              </w:rPr>
            </w:pPr>
            <w:r>
              <w:rPr>
                <w:rFonts w:hint="default" w:ascii="Times New Roman" w:hAnsi="Times New Roman" w:eastAsia="宋体" w:cs="Times New Roman"/>
                <w:b w:val="0"/>
                <w:bCs w:val="0"/>
                <w:i w:val="0"/>
                <w:iCs w:val="0"/>
                <w:color w:val="auto"/>
                <w:kern w:val="0"/>
                <w:sz w:val="21"/>
                <w:szCs w:val="21"/>
                <w:u w:val="none"/>
                <w:lang w:val="en-US" w:eastAsia="zh-CN" w:bidi="ar"/>
              </w:rPr>
              <w:t>-8</w:t>
            </w:r>
          </w:p>
        </w:tc>
        <w:tc>
          <w:tcPr>
            <w:tcW w:w="1044"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-0.0027</w:t>
            </w:r>
          </w:p>
        </w:tc>
        <w:tc>
          <w:tcPr>
            <w:tcW w:w="1151"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0.0034</w:t>
            </w:r>
          </w:p>
        </w:tc>
        <w:tc>
          <w:tcPr>
            <w:tcW w:w="1068"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0.0012</w:t>
            </w:r>
          </w:p>
        </w:tc>
        <w:tc>
          <w:tcPr>
            <w:tcW w:w="1175"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560" w:type="pct"/>
            <w:tcBorders>
              <w:top w:val="nil"/>
              <w:left w:val="nil"/>
              <w:bottom w:val="nil"/>
              <w:right w:val="nil"/>
            </w:tcBorders>
            <w:shd w:val="clear" w:color="auto" w:fill="FFFFFF" w:themeFill="background1"/>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auto"/>
                <w:sz w:val="21"/>
                <w:szCs w:val="21"/>
                <w:u w:val="none"/>
              </w:rPr>
            </w:pPr>
            <w:r>
              <w:rPr>
                <w:rFonts w:hint="default" w:ascii="Times New Roman" w:hAnsi="Times New Roman" w:eastAsia="宋体" w:cs="Times New Roman"/>
                <w:b w:val="0"/>
                <w:bCs w:val="0"/>
                <w:i w:val="0"/>
                <w:iCs w:val="0"/>
                <w:color w:val="auto"/>
                <w:kern w:val="0"/>
                <w:sz w:val="21"/>
                <w:szCs w:val="21"/>
                <w:u w:val="none"/>
                <w:lang w:val="en-US" w:eastAsia="zh-CN" w:bidi="ar"/>
              </w:rPr>
              <w:t>-7</w:t>
            </w:r>
          </w:p>
        </w:tc>
        <w:tc>
          <w:tcPr>
            <w:tcW w:w="1044"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-0.0012</w:t>
            </w:r>
          </w:p>
        </w:tc>
        <w:tc>
          <w:tcPr>
            <w:tcW w:w="1151"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-0.0016</w:t>
            </w:r>
          </w:p>
        </w:tc>
        <w:tc>
          <w:tcPr>
            <w:tcW w:w="1068"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0.0028</w:t>
            </w:r>
          </w:p>
        </w:tc>
        <w:tc>
          <w:tcPr>
            <w:tcW w:w="1175"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560" w:type="pct"/>
            <w:tcBorders>
              <w:top w:val="nil"/>
              <w:left w:val="nil"/>
              <w:bottom w:val="nil"/>
              <w:right w:val="nil"/>
            </w:tcBorders>
            <w:shd w:val="clear" w:color="auto" w:fill="FFFFFF" w:themeFill="background1"/>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auto"/>
                <w:sz w:val="21"/>
                <w:szCs w:val="21"/>
                <w:u w:val="none"/>
              </w:rPr>
            </w:pPr>
            <w:r>
              <w:rPr>
                <w:rFonts w:hint="default" w:ascii="Times New Roman" w:hAnsi="Times New Roman" w:eastAsia="宋体" w:cs="Times New Roman"/>
                <w:b w:val="0"/>
                <w:bCs w:val="0"/>
                <w:i w:val="0"/>
                <w:iCs w:val="0"/>
                <w:color w:val="auto"/>
                <w:kern w:val="0"/>
                <w:sz w:val="21"/>
                <w:szCs w:val="21"/>
                <w:u w:val="none"/>
                <w:lang w:val="en-US" w:eastAsia="zh-CN" w:bidi="ar"/>
              </w:rPr>
              <w:t>-6</w:t>
            </w:r>
          </w:p>
        </w:tc>
        <w:tc>
          <w:tcPr>
            <w:tcW w:w="1044"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0.0014</w:t>
            </w:r>
          </w:p>
        </w:tc>
        <w:tc>
          <w:tcPr>
            <w:tcW w:w="1151"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0.0118</w:t>
            </w:r>
          </w:p>
        </w:tc>
        <w:tc>
          <w:tcPr>
            <w:tcW w:w="1068"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0.0022</w:t>
            </w:r>
          </w:p>
        </w:tc>
        <w:tc>
          <w:tcPr>
            <w:tcW w:w="1175"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560" w:type="pct"/>
            <w:tcBorders>
              <w:top w:val="nil"/>
              <w:left w:val="nil"/>
              <w:bottom w:val="nil"/>
              <w:right w:val="nil"/>
            </w:tcBorders>
            <w:shd w:val="clear" w:color="auto" w:fill="FFFFFF" w:themeFill="background1"/>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auto"/>
                <w:sz w:val="21"/>
                <w:szCs w:val="21"/>
                <w:u w:val="none"/>
              </w:rPr>
            </w:pPr>
            <w:r>
              <w:rPr>
                <w:rFonts w:hint="default" w:ascii="Times New Roman" w:hAnsi="Times New Roman" w:eastAsia="宋体" w:cs="Times New Roman"/>
                <w:b w:val="0"/>
                <w:bCs w:val="0"/>
                <w:i w:val="0"/>
                <w:iCs w:val="0"/>
                <w:color w:val="auto"/>
                <w:kern w:val="0"/>
                <w:sz w:val="21"/>
                <w:szCs w:val="21"/>
                <w:u w:val="none"/>
                <w:lang w:val="en-US" w:eastAsia="zh-CN" w:bidi="ar"/>
              </w:rPr>
              <w:t>-5</w:t>
            </w:r>
          </w:p>
        </w:tc>
        <w:tc>
          <w:tcPr>
            <w:tcW w:w="1044"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0.0012</w:t>
            </w:r>
          </w:p>
        </w:tc>
        <w:tc>
          <w:tcPr>
            <w:tcW w:w="1151"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0.0042</w:t>
            </w:r>
          </w:p>
        </w:tc>
        <w:tc>
          <w:tcPr>
            <w:tcW w:w="1068"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-0.0021</w:t>
            </w:r>
          </w:p>
        </w:tc>
        <w:tc>
          <w:tcPr>
            <w:tcW w:w="1175" w:type="pct"/>
            <w:tcBorders>
              <w:top w:val="nil"/>
              <w:left w:val="nil"/>
              <w:bottom w:val="nil"/>
              <w:right w:val="nil"/>
            </w:tcBorders>
            <w:shd w:val="clear" w:color="auto" w:fill="FFFFFF" w:themeFill="background1"/>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auto"/>
                <w:sz w:val="21"/>
                <w:szCs w:val="21"/>
                <w:u w:val="none"/>
              </w:rPr>
            </w:pPr>
            <w:r>
              <w:rPr>
                <w:rFonts w:hint="default" w:ascii="Times New Roman" w:hAnsi="Times New Roman" w:eastAsia="宋体" w:cs="Times New Roman"/>
                <w:b/>
                <w:bCs/>
                <w:i w:val="0"/>
                <w:iCs w:val="0"/>
                <w:color w:val="auto"/>
                <w:kern w:val="0"/>
                <w:sz w:val="21"/>
                <w:szCs w:val="21"/>
                <w:u w:val="none"/>
                <w:lang w:val="en-US" w:eastAsia="zh-CN" w:bidi="ar"/>
              </w:rPr>
              <w:t>-0.0016*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560" w:type="pct"/>
            <w:tcBorders>
              <w:top w:val="nil"/>
              <w:left w:val="nil"/>
              <w:bottom w:val="nil"/>
              <w:right w:val="nil"/>
            </w:tcBorders>
            <w:shd w:val="clear" w:color="auto" w:fill="FFFFFF" w:themeFill="background1"/>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auto"/>
                <w:sz w:val="21"/>
                <w:szCs w:val="21"/>
                <w:u w:val="none"/>
              </w:rPr>
            </w:pPr>
            <w:r>
              <w:rPr>
                <w:rFonts w:hint="default" w:ascii="Times New Roman" w:hAnsi="Times New Roman" w:eastAsia="宋体" w:cs="Times New Roman"/>
                <w:b w:val="0"/>
                <w:bCs w:val="0"/>
                <w:i w:val="0"/>
                <w:iCs w:val="0"/>
                <w:color w:val="auto"/>
                <w:kern w:val="0"/>
                <w:sz w:val="21"/>
                <w:szCs w:val="21"/>
                <w:u w:val="none"/>
                <w:lang w:val="en-US" w:eastAsia="zh-CN" w:bidi="ar"/>
              </w:rPr>
              <w:t>-4</w:t>
            </w:r>
          </w:p>
        </w:tc>
        <w:tc>
          <w:tcPr>
            <w:tcW w:w="1044"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-0.0023</w:t>
            </w:r>
          </w:p>
        </w:tc>
        <w:tc>
          <w:tcPr>
            <w:tcW w:w="1151" w:type="pct"/>
            <w:tcBorders>
              <w:top w:val="nil"/>
              <w:left w:val="nil"/>
              <w:bottom w:val="nil"/>
              <w:right w:val="nil"/>
            </w:tcBorders>
            <w:shd w:val="clear" w:color="auto" w:fill="FFFFFF" w:themeFill="background1"/>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auto"/>
                <w:sz w:val="21"/>
                <w:szCs w:val="21"/>
                <w:u w:val="none"/>
              </w:rPr>
            </w:pPr>
            <w:r>
              <w:rPr>
                <w:rFonts w:hint="default" w:ascii="Times New Roman" w:hAnsi="Times New Roman" w:eastAsia="宋体" w:cs="Times New Roman"/>
                <w:b/>
                <w:bCs/>
                <w:i w:val="0"/>
                <w:iCs w:val="0"/>
                <w:color w:val="auto"/>
                <w:kern w:val="0"/>
                <w:sz w:val="21"/>
                <w:szCs w:val="21"/>
                <w:u w:val="none"/>
                <w:lang w:val="en-US" w:eastAsia="zh-CN" w:bidi="ar"/>
              </w:rPr>
              <w:t>0.0157*</w:t>
            </w:r>
          </w:p>
        </w:tc>
        <w:tc>
          <w:tcPr>
            <w:tcW w:w="1068"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-0.0030</w:t>
            </w:r>
          </w:p>
        </w:tc>
        <w:tc>
          <w:tcPr>
            <w:tcW w:w="1175" w:type="pct"/>
            <w:tcBorders>
              <w:top w:val="nil"/>
              <w:left w:val="nil"/>
              <w:bottom w:val="nil"/>
              <w:right w:val="nil"/>
            </w:tcBorders>
            <w:shd w:val="clear" w:color="auto" w:fill="FFFFFF" w:themeFill="background1"/>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auto"/>
                <w:sz w:val="21"/>
                <w:szCs w:val="21"/>
                <w:u w:val="none"/>
              </w:rPr>
            </w:pPr>
            <w:r>
              <w:rPr>
                <w:rFonts w:hint="default" w:ascii="Times New Roman" w:hAnsi="Times New Roman" w:eastAsia="宋体" w:cs="Times New Roman"/>
                <w:b/>
                <w:bCs/>
                <w:i w:val="0"/>
                <w:iCs w:val="0"/>
                <w:color w:val="auto"/>
                <w:kern w:val="0"/>
                <w:sz w:val="21"/>
                <w:szCs w:val="21"/>
                <w:u w:val="none"/>
                <w:lang w:val="en-US" w:eastAsia="zh-CN" w:bidi="ar"/>
              </w:rPr>
              <w:t>-0.0017*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560" w:type="pct"/>
            <w:tcBorders>
              <w:top w:val="nil"/>
              <w:left w:val="nil"/>
              <w:bottom w:val="nil"/>
              <w:right w:val="nil"/>
            </w:tcBorders>
            <w:shd w:val="clear" w:color="auto" w:fill="FFFFFF" w:themeFill="background1"/>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auto"/>
                <w:sz w:val="21"/>
                <w:szCs w:val="21"/>
                <w:u w:val="none"/>
              </w:rPr>
            </w:pPr>
            <w:r>
              <w:rPr>
                <w:rFonts w:hint="default" w:ascii="Times New Roman" w:hAnsi="Times New Roman" w:eastAsia="宋体" w:cs="Times New Roman"/>
                <w:b w:val="0"/>
                <w:bCs w:val="0"/>
                <w:i w:val="0"/>
                <w:iCs w:val="0"/>
                <w:color w:val="auto"/>
                <w:kern w:val="0"/>
                <w:sz w:val="21"/>
                <w:szCs w:val="21"/>
                <w:u w:val="none"/>
                <w:lang w:val="en-US" w:eastAsia="zh-CN" w:bidi="ar"/>
              </w:rPr>
              <w:t>-3</w:t>
            </w:r>
          </w:p>
        </w:tc>
        <w:tc>
          <w:tcPr>
            <w:tcW w:w="1044"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0.0007</w:t>
            </w:r>
          </w:p>
        </w:tc>
        <w:tc>
          <w:tcPr>
            <w:tcW w:w="1151" w:type="pct"/>
            <w:tcBorders>
              <w:top w:val="nil"/>
              <w:left w:val="nil"/>
              <w:bottom w:val="nil"/>
              <w:right w:val="nil"/>
            </w:tcBorders>
            <w:shd w:val="clear" w:color="auto" w:fill="FFFFFF" w:themeFill="background1"/>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auto"/>
                <w:sz w:val="21"/>
                <w:szCs w:val="21"/>
                <w:u w:val="none"/>
              </w:rPr>
            </w:pPr>
            <w:r>
              <w:rPr>
                <w:rFonts w:hint="default" w:ascii="Times New Roman" w:hAnsi="Times New Roman" w:eastAsia="宋体" w:cs="Times New Roman"/>
                <w:b/>
                <w:bCs/>
                <w:i w:val="0"/>
                <w:iCs w:val="0"/>
                <w:color w:val="auto"/>
                <w:kern w:val="0"/>
                <w:sz w:val="21"/>
                <w:szCs w:val="21"/>
                <w:u w:val="none"/>
                <w:lang w:val="en-US" w:eastAsia="zh-CN" w:bidi="ar"/>
              </w:rPr>
              <w:t>0.0188**</w:t>
            </w:r>
          </w:p>
        </w:tc>
        <w:tc>
          <w:tcPr>
            <w:tcW w:w="1068"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-0.0002</w:t>
            </w:r>
          </w:p>
        </w:tc>
        <w:tc>
          <w:tcPr>
            <w:tcW w:w="1175"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560" w:type="pct"/>
            <w:tcBorders>
              <w:top w:val="nil"/>
              <w:left w:val="nil"/>
              <w:bottom w:val="nil"/>
              <w:right w:val="nil"/>
            </w:tcBorders>
            <w:shd w:val="clear" w:color="auto" w:fill="FFFFFF" w:themeFill="background1"/>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auto"/>
                <w:sz w:val="21"/>
                <w:szCs w:val="21"/>
                <w:u w:val="none"/>
              </w:rPr>
            </w:pPr>
            <w:r>
              <w:rPr>
                <w:rFonts w:hint="default" w:ascii="Times New Roman" w:hAnsi="Times New Roman" w:eastAsia="宋体" w:cs="Times New Roman"/>
                <w:b w:val="0"/>
                <w:bCs w:val="0"/>
                <w:i w:val="0"/>
                <w:iCs w:val="0"/>
                <w:color w:val="auto"/>
                <w:kern w:val="0"/>
                <w:sz w:val="21"/>
                <w:szCs w:val="21"/>
                <w:u w:val="none"/>
                <w:lang w:val="en-US" w:eastAsia="zh-CN" w:bidi="ar"/>
              </w:rPr>
              <w:t>-2</w:t>
            </w:r>
          </w:p>
        </w:tc>
        <w:tc>
          <w:tcPr>
            <w:tcW w:w="1044"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0.0012</w:t>
            </w:r>
          </w:p>
        </w:tc>
        <w:tc>
          <w:tcPr>
            <w:tcW w:w="1151"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0.0017</w:t>
            </w:r>
          </w:p>
        </w:tc>
        <w:tc>
          <w:tcPr>
            <w:tcW w:w="1068"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0.0017</w:t>
            </w:r>
          </w:p>
        </w:tc>
        <w:tc>
          <w:tcPr>
            <w:tcW w:w="1175"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560" w:type="pct"/>
            <w:tcBorders>
              <w:top w:val="nil"/>
              <w:left w:val="nil"/>
              <w:bottom w:val="nil"/>
              <w:right w:val="nil"/>
            </w:tcBorders>
            <w:shd w:val="clear" w:color="auto" w:fill="FFFFFF" w:themeFill="background1"/>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auto"/>
                <w:sz w:val="21"/>
                <w:szCs w:val="21"/>
                <w:u w:val="none"/>
              </w:rPr>
            </w:pPr>
            <w:r>
              <w:rPr>
                <w:rFonts w:hint="default" w:ascii="Times New Roman" w:hAnsi="Times New Roman" w:eastAsia="宋体" w:cs="Times New Roman"/>
                <w:b w:val="0"/>
                <w:bCs w:val="0"/>
                <w:i w:val="0"/>
                <w:iCs w:val="0"/>
                <w:color w:val="auto"/>
                <w:kern w:val="0"/>
                <w:sz w:val="21"/>
                <w:szCs w:val="21"/>
                <w:u w:val="none"/>
                <w:lang w:val="en-US" w:eastAsia="zh-CN" w:bidi="ar"/>
              </w:rPr>
              <w:t>-1</w:t>
            </w:r>
          </w:p>
        </w:tc>
        <w:tc>
          <w:tcPr>
            <w:tcW w:w="1044"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rPr>
            </w:pPr>
            <w:r>
              <w:rPr>
                <w:rFonts w:hint="eastAsia" w:cs="Times New Roman"/>
                <w:b w:val="0"/>
                <w:bCs w:val="0"/>
                <w:i w:val="0"/>
                <w:iCs w:val="0"/>
                <w:color w:val="auto"/>
                <w:sz w:val="21"/>
                <w:szCs w:val="21"/>
                <w:u w:val="none"/>
                <w:lang w:val="en-US" w:eastAsia="zh-CN"/>
              </w:rPr>
              <w:t>0.0019</w:t>
            </w:r>
          </w:p>
        </w:tc>
        <w:tc>
          <w:tcPr>
            <w:tcW w:w="1151" w:type="pct"/>
            <w:tcBorders>
              <w:top w:val="nil"/>
              <w:left w:val="nil"/>
              <w:bottom w:val="nil"/>
              <w:right w:val="nil"/>
            </w:tcBorders>
            <w:shd w:val="clear" w:color="auto" w:fill="FFFFFF" w:themeFill="background1"/>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auto"/>
                <w:sz w:val="21"/>
                <w:szCs w:val="21"/>
                <w:u w:val="none"/>
              </w:rPr>
            </w:pPr>
            <w:r>
              <w:rPr>
                <w:rFonts w:hint="default" w:ascii="Times New Roman" w:hAnsi="Times New Roman" w:eastAsia="宋体" w:cs="Times New Roman"/>
                <w:b/>
                <w:bCs/>
                <w:i w:val="0"/>
                <w:iCs w:val="0"/>
                <w:color w:val="auto"/>
                <w:kern w:val="0"/>
                <w:sz w:val="21"/>
                <w:szCs w:val="21"/>
                <w:u w:val="none"/>
                <w:lang w:val="en-US" w:eastAsia="zh-CN" w:bidi="ar"/>
              </w:rPr>
              <w:t>-0.0181**</w:t>
            </w:r>
          </w:p>
        </w:tc>
        <w:tc>
          <w:tcPr>
            <w:tcW w:w="1068"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-0.0005</w:t>
            </w:r>
          </w:p>
        </w:tc>
        <w:tc>
          <w:tcPr>
            <w:tcW w:w="1175"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560" w:type="pct"/>
            <w:tcBorders>
              <w:top w:val="nil"/>
              <w:left w:val="nil"/>
              <w:bottom w:val="nil"/>
              <w:right w:val="nil"/>
            </w:tcBorders>
            <w:shd w:val="clear" w:color="auto" w:fill="FFFFFF" w:themeFill="background1"/>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auto"/>
                <w:sz w:val="21"/>
                <w:szCs w:val="21"/>
                <w:u w:val="none"/>
              </w:rPr>
            </w:pPr>
            <w:r>
              <w:rPr>
                <w:rFonts w:hint="default" w:ascii="Times New Roman" w:hAnsi="Times New Roman" w:eastAsia="宋体" w:cs="Times New Roman"/>
                <w:b w:val="0"/>
                <w:bCs w:val="0"/>
                <w:i w:val="0"/>
                <w:iCs w:val="0"/>
                <w:color w:val="auto"/>
                <w:kern w:val="0"/>
                <w:sz w:val="21"/>
                <w:szCs w:val="21"/>
                <w:u w:val="none"/>
                <w:lang w:val="en-US" w:eastAsia="zh-CN" w:bidi="ar"/>
              </w:rPr>
              <w:t>0</w:t>
            </w:r>
          </w:p>
        </w:tc>
        <w:tc>
          <w:tcPr>
            <w:tcW w:w="1044"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rPr>
            </w:pPr>
            <w:r>
              <w:rPr>
                <w:rFonts w:hint="eastAsia" w:cs="Times New Roman"/>
                <w:b w:val="0"/>
                <w:bCs w:val="0"/>
                <w:i w:val="0"/>
                <w:iCs w:val="0"/>
                <w:color w:val="auto"/>
                <w:sz w:val="21"/>
                <w:szCs w:val="21"/>
                <w:u w:val="none"/>
                <w:lang w:val="en-US" w:eastAsia="zh-CN"/>
              </w:rPr>
              <w:t>0.0012</w:t>
            </w:r>
          </w:p>
        </w:tc>
        <w:tc>
          <w:tcPr>
            <w:tcW w:w="1151"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-0.0093</w:t>
            </w:r>
          </w:p>
        </w:tc>
        <w:tc>
          <w:tcPr>
            <w:tcW w:w="1068"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0.0028</w:t>
            </w:r>
          </w:p>
        </w:tc>
        <w:tc>
          <w:tcPr>
            <w:tcW w:w="1175" w:type="pct"/>
            <w:tcBorders>
              <w:top w:val="nil"/>
              <w:left w:val="nil"/>
              <w:bottom w:val="nil"/>
              <w:right w:val="nil"/>
            </w:tcBorders>
            <w:shd w:val="clear" w:color="auto" w:fill="FFFFFF" w:themeFill="background1"/>
            <w:vAlign w:val="center"/>
          </w:tcPr>
          <w:p>
            <w:pPr>
              <w:jc w:val="center"/>
              <w:rPr>
                <w:rFonts w:hint="default"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3.86e-06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560" w:type="pct"/>
            <w:tcBorders>
              <w:top w:val="nil"/>
              <w:left w:val="nil"/>
              <w:bottom w:val="nil"/>
              <w:right w:val="nil"/>
            </w:tcBorders>
            <w:shd w:val="clear" w:color="auto" w:fill="FFFFFF" w:themeFill="background1"/>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auto"/>
                <w:sz w:val="21"/>
                <w:szCs w:val="21"/>
                <w:u w:val="none"/>
              </w:rPr>
            </w:pPr>
            <w:r>
              <w:rPr>
                <w:rFonts w:hint="default" w:ascii="Times New Roman" w:hAnsi="Times New Roman" w:eastAsia="宋体" w:cs="Times New Roman"/>
                <w:b w:val="0"/>
                <w:bCs w:val="0"/>
                <w:i w:val="0"/>
                <w:iCs w:val="0"/>
                <w:color w:val="auto"/>
                <w:kern w:val="0"/>
                <w:sz w:val="21"/>
                <w:szCs w:val="21"/>
                <w:u w:val="none"/>
                <w:lang w:val="en-US" w:eastAsia="zh-CN" w:bidi="ar"/>
              </w:rPr>
              <w:t>1</w:t>
            </w:r>
          </w:p>
        </w:tc>
        <w:tc>
          <w:tcPr>
            <w:tcW w:w="1044" w:type="pct"/>
            <w:tcBorders>
              <w:top w:val="nil"/>
              <w:left w:val="nil"/>
              <w:bottom w:val="nil"/>
              <w:right w:val="nil"/>
            </w:tcBorders>
            <w:shd w:val="clear" w:color="auto" w:fill="FFFFFF" w:themeFill="background1"/>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auto"/>
                <w:sz w:val="21"/>
                <w:szCs w:val="21"/>
                <w:u w:val="none"/>
              </w:rPr>
            </w:pPr>
            <w:r>
              <w:rPr>
                <w:rFonts w:hint="default" w:ascii="Times New Roman" w:hAnsi="Times New Roman" w:eastAsia="宋体" w:cs="Times New Roman"/>
                <w:b/>
                <w:bCs/>
                <w:i w:val="0"/>
                <w:iCs w:val="0"/>
                <w:color w:val="auto"/>
                <w:kern w:val="0"/>
                <w:sz w:val="21"/>
                <w:szCs w:val="21"/>
                <w:u w:val="none"/>
                <w:lang w:val="en-US" w:eastAsia="zh-CN" w:bidi="ar"/>
              </w:rPr>
              <w:t>-0.0048**</w:t>
            </w:r>
          </w:p>
        </w:tc>
        <w:tc>
          <w:tcPr>
            <w:tcW w:w="1151"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0.0097</w:t>
            </w:r>
          </w:p>
        </w:tc>
        <w:tc>
          <w:tcPr>
            <w:tcW w:w="1068"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-0.0020</w:t>
            </w:r>
          </w:p>
        </w:tc>
        <w:tc>
          <w:tcPr>
            <w:tcW w:w="1175" w:type="pct"/>
            <w:tcBorders>
              <w:top w:val="nil"/>
              <w:left w:val="nil"/>
              <w:bottom w:val="nil"/>
              <w:right w:val="nil"/>
            </w:tcBorders>
            <w:shd w:val="clear" w:color="auto" w:fill="FFFFFF" w:themeFill="background1"/>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auto"/>
                <w:sz w:val="21"/>
                <w:szCs w:val="21"/>
                <w:u w:val="none"/>
              </w:rPr>
            </w:pPr>
            <w:r>
              <w:rPr>
                <w:rFonts w:hint="default" w:ascii="Times New Roman" w:hAnsi="Times New Roman" w:eastAsia="宋体" w:cs="Times New Roman"/>
                <w:b/>
                <w:bCs/>
                <w:i w:val="0"/>
                <w:iCs w:val="0"/>
                <w:color w:val="auto"/>
                <w:kern w:val="0"/>
                <w:sz w:val="21"/>
                <w:szCs w:val="21"/>
                <w:u w:val="none"/>
                <w:lang w:val="en-US" w:eastAsia="zh-CN" w:bidi="ar"/>
              </w:rPr>
              <w:t>-0.0023**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560" w:type="pct"/>
            <w:tcBorders>
              <w:top w:val="nil"/>
              <w:left w:val="nil"/>
              <w:bottom w:val="nil"/>
              <w:right w:val="nil"/>
            </w:tcBorders>
            <w:shd w:val="clear" w:color="auto" w:fill="FFFFFF" w:themeFill="background1"/>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auto"/>
                <w:sz w:val="21"/>
                <w:szCs w:val="21"/>
                <w:u w:val="none"/>
              </w:rPr>
            </w:pPr>
            <w:r>
              <w:rPr>
                <w:rFonts w:hint="default" w:ascii="Times New Roman" w:hAnsi="Times New Roman" w:eastAsia="宋体" w:cs="Times New Roman"/>
                <w:b w:val="0"/>
                <w:bCs w:val="0"/>
                <w:i w:val="0"/>
                <w:iCs w:val="0"/>
                <w:color w:val="auto"/>
                <w:kern w:val="0"/>
                <w:sz w:val="21"/>
                <w:szCs w:val="21"/>
                <w:u w:val="none"/>
                <w:lang w:val="en-US" w:eastAsia="zh-CN" w:bidi="ar"/>
              </w:rPr>
              <w:t>2</w:t>
            </w:r>
          </w:p>
        </w:tc>
        <w:tc>
          <w:tcPr>
            <w:tcW w:w="1044"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-0.0008</w:t>
            </w:r>
          </w:p>
        </w:tc>
        <w:tc>
          <w:tcPr>
            <w:tcW w:w="1151"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-0.0058</w:t>
            </w:r>
          </w:p>
        </w:tc>
        <w:tc>
          <w:tcPr>
            <w:tcW w:w="1068"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0.0003</w:t>
            </w:r>
          </w:p>
        </w:tc>
        <w:tc>
          <w:tcPr>
            <w:tcW w:w="1175"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560" w:type="pct"/>
            <w:tcBorders>
              <w:top w:val="nil"/>
              <w:left w:val="nil"/>
              <w:bottom w:val="nil"/>
              <w:right w:val="nil"/>
            </w:tcBorders>
            <w:shd w:val="clear" w:color="auto" w:fill="FFFFFF" w:themeFill="background1"/>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auto"/>
                <w:sz w:val="21"/>
                <w:szCs w:val="21"/>
                <w:u w:val="none"/>
              </w:rPr>
            </w:pPr>
            <w:r>
              <w:rPr>
                <w:rFonts w:hint="default" w:ascii="Times New Roman" w:hAnsi="Times New Roman" w:eastAsia="宋体" w:cs="Times New Roman"/>
                <w:b w:val="0"/>
                <w:bCs w:val="0"/>
                <w:i w:val="0"/>
                <w:iCs w:val="0"/>
                <w:color w:val="auto"/>
                <w:kern w:val="0"/>
                <w:sz w:val="21"/>
                <w:szCs w:val="21"/>
                <w:u w:val="none"/>
                <w:lang w:val="en-US" w:eastAsia="zh-CN" w:bidi="ar"/>
              </w:rPr>
              <w:t>3</w:t>
            </w:r>
          </w:p>
        </w:tc>
        <w:tc>
          <w:tcPr>
            <w:tcW w:w="1044"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-0.0002</w:t>
            </w:r>
          </w:p>
        </w:tc>
        <w:tc>
          <w:tcPr>
            <w:tcW w:w="1151"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0.0043</w:t>
            </w:r>
          </w:p>
        </w:tc>
        <w:tc>
          <w:tcPr>
            <w:tcW w:w="1068"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-0.0018</w:t>
            </w:r>
          </w:p>
        </w:tc>
        <w:tc>
          <w:tcPr>
            <w:tcW w:w="1175"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560" w:type="pct"/>
            <w:tcBorders>
              <w:top w:val="nil"/>
              <w:left w:val="nil"/>
              <w:bottom w:val="nil"/>
              <w:right w:val="nil"/>
            </w:tcBorders>
            <w:shd w:val="clear" w:color="auto" w:fill="FFFFFF" w:themeFill="background1"/>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auto"/>
                <w:sz w:val="21"/>
                <w:szCs w:val="21"/>
                <w:u w:val="none"/>
              </w:rPr>
            </w:pPr>
            <w:r>
              <w:rPr>
                <w:rFonts w:hint="default" w:ascii="Times New Roman" w:hAnsi="Times New Roman" w:eastAsia="宋体" w:cs="Times New Roman"/>
                <w:b w:val="0"/>
                <w:bCs w:val="0"/>
                <w:i w:val="0"/>
                <w:iCs w:val="0"/>
                <w:color w:val="auto"/>
                <w:kern w:val="0"/>
                <w:sz w:val="21"/>
                <w:szCs w:val="21"/>
                <w:u w:val="none"/>
                <w:lang w:val="en-US" w:eastAsia="zh-CN" w:bidi="ar"/>
              </w:rPr>
              <w:t>4</w:t>
            </w:r>
          </w:p>
        </w:tc>
        <w:tc>
          <w:tcPr>
            <w:tcW w:w="1044"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-0.0005</w:t>
            </w:r>
          </w:p>
        </w:tc>
        <w:tc>
          <w:tcPr>
            <w:tcW w:w="1151"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-0.0055</w:t>
            </w:r>
          </w:p>
        </w:tc>
        <w:tc>
          <w:tcPr>
            <w:tcW w:w="1068"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-0.0015</w:t>
            </w:r>
          </w:p>
        </w:tc>
        <w:tc>
          <w:tcPr>
            <w:tcW w:w="1175"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560" w:type="pct"/>
            <w:tcBorders>
              <w:top w:val="nil"/>
              <w:left w:val="nil"/>
              <w:bottom w:val="nil"/>
              <w:right w:val="nil"/>
            </w:tcBorders>
            <w:shd w:val="clear" w:color="auto" w:fill="FFFFFF" w:themeFill="background1"/>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auto"/>
                <w:sz w:val="21"/>
                <w:szCs w:val="21"/>
                <w:u w:val="none"/>
              </w:rPr>
            </w:pPr>
            <w:r>
              <w:rPr>
                <w:rFonts w:hint="default" w:ascii="Times New Roman" w:hAnsi="Times New Roman" w:eastAsia="宋体" w:cs="Times New Roman"/>
                <w:b w:val="0"/>
                <w:bCs w:val="0"/>
                <w:i w:val="0"/>
                <w:iCs w:val="0"/>
                <w:color w:val="auto"/>
                <w:kern w:val="0"/>
                <w:sz w:val="21"/>
                <w:szCs w:val="21"/>
                <w:u w:val="none"/>
                <w:lang w:val="en-US" w:eastAsia="zh-CN" w:bidi="ar"/>
              </w:rPr>
              <w:t>5</w:t>
            </w:r>
          </w:p>
        </w:tc>
        <w:tc>
          <w:tcPr>
            <w:tcW w:w="1044"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0.0025</w:t>
            </w:r>
          </w:p>
        </w:tc>
        <w:tc>
          <w:tcPr>
            <w:tcW w:w="1151"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-0.0052</w:t>
            </w:r>
          </w:p>
        </w:tc>
        <w:tc>
          <w:tcPr>
            <w:tcW w:w="1068"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0.0016</w:t>
            </w:r>
          </w:p>
        </w:tc>
        <w:tc>
          <w:tcPr>
            <w:tcW w:w="1175"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560" w:type="pct"/>
            <w:tcBorders>
              <w:top w:val="nil"/>
              <w:left w:val="nil"/>
              <w:bottom w:val="nil"/>
              <w:right w:val="nil"/>
            </w:tcBorders>
            <w:shd w:val="clear" w:color="auto" w:fill="FFFFFF" w:themeFill="background1"/>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auto"/>
                <w:sz w:val="21"/>
                <w:szCs w:val="21"/>
                <w:u w:val="none"/>
              </w:rPr>
            </w:pPr>
            <w:r>
              <w:rPr>
                <w:rFonts w:hint="default" w:ascii="Times New Roman" w:hAnsi="Times New Roman" w:eastAsia="宋体" w:cs="Times New Roman"/>
                <w:b w:val="0"/>
                <w:bCs w:val="0"/>
                <w:i w:val="0"/>
                <w:iCs w:val="0"/>
                <w:color w:val="auto"/>
                <w:kern w:val="0"/>
                <w:sz w:val="21"/>
                <w:szCs w:val="21"/>
                <w:u w:val="none"/>
                <w:lang w:val="en-US" w:eastAsia="zh-CN" w:bidi="ar"/>
              </w:rPr>
              <w:t>6</w:t>
            </w:r>
          </w:p>
        </w:tc>
        <w:tc>
          <w:tcPr>
            <w:tcW w:w="1044"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0.0016</w:t>
            </w:r>
          </w:p>
        </w:tc>
        <w:tc>
          <w:tcPr>
            <w:tcW w:w="1151"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-0.0036</w:t>
            </w:r>
          </w:p>
        </w:tc>
        <w:tc>
          <w:tcPr>
            <w:tcW w:w="1068"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0.0047</w:t>
            </w:r>
          </w:p>
        </w:tc>
        <w:tc>
          <w:tcPr>
            <w:tcW w:w="1175"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560" w:type="pct"/>
            <w:tcBorders>
              <w:top w:val="nil"/>
              <w:left w:val="nil"/>
              <w:bottom w:val="nil"/>
              <w:right w:val="nil"/>
            </w:tcBorders>
            <w:shd w:val="clear" w:color="auto" w:fill="FFFFFF" w:themeFill="background1"/>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auto"/>
                <w:sz w:val="21"/>
                <w:szCs w:val="21"/>
                <w:u w:val="none"/>
              </w:rPr>
            </w:pPr>
            <w:r>
              <w:rPr>
                <w:rFonts w:hint="default" w:ascii="Times New Roman" w:hAnsi="Times New Roman" w:eastAsia="宋体" w:cs="Times New Roman"/>
                <w:b w:val="0"/>
                <w:bCs w:val="0"/>
                <w:i w:val="0"/>
                <w:iCs w:val="0"/>
                <w:color w:val="auto"/>
                <w:kern w:val="0"/>
                <w:sz w:val="21"/>
                <w:szCs w:val="21"/>
                <w:u w:val="none"/>
                <w:lang w:val="en-US" w:eastAsia="zh-CN" w:bidi="ar"/>
              </w:rPr>
              <w:t>7</w:t>
            </w:r>
          </w:p>
        </w:tc>
        <w:tc>
          <w:tcPr>
            <w:tcW w:w="1044"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-0.0016</w:t>
            </w:r>
          </w:p>
        </w:tc>
        <w:tc>
          <w:tcPr>
            <w:tcW w:w="1151"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-0.0047</w:t>
            </w:r>
          </w:p>
        </w:tc>
        <w:tc>
          <w:tcPr>
            <w:tcW w:w="1068"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0.0017</w:t>
            </w:r>
          </w:p>
        </w:tc>
        <w:tc>
          <w:tcPr>
            <w:tcW w:w="1175" w:type="pct"/>
            <w:tcBorders>
              <w:top w:val="nil"/>
              <w:left w:val="nil"/>
              <w:bottom w:val="nil"/>
              <w:right w:val="nil"/>
            </w:tcBorders>
            <w:shd w:val="clear" w:color="auto" w:fill="FFFFFF" w:themeFill="background1"/>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auto"/>
                <w:sz w:val="21"/>
                <w:szCs w:val="21"/>
                <w:u w:val="none"/>
              </w:rPr>
            </w:pPr>
            <w:r>
              <w:rPr>
                <w:rFonts w:hint="default" w:ascii="Times New Roman" w:hAnsi="Times New Roman" w:eastAsia="宋体" w:cs="Times New Roman"/>
                <w:b/>
                <w:bCs/>
                <w:i w:val="0"/>
                <w:iCs w:val="0"/>
                <w:color w:val="auto"/>
                <w:kern w:val="0"/>
                <w:sz w:val="21"/>
                <w:szCs w:val="21"/>
                <w:u w:val="none"/>
                <w:lang w:val="en-US" w:eastAsia="zh-CN" w:bidi="ar"/>
              </w:rPr>
              <w:t>-0.0016*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560" w:type="pct"/>
            <w:tcBorders>
              <w:top w:val="nil"/>
              <w:left w:val="nil"/>
              <w:bottom w:val="nil"/>
              <w:right w:val="nil"/>
            </w:tcBorders>
            <w:shd w:val="clear" w:color="auto" w:fill="FFFFFF" w:themeFill="background1"/>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auto"/>
                <w:sz w:val="21"/>
                <w:szCs w:val="21"/>
                <w:u w:val="none"/>
              </w:rPr>
            </w:pPr>
            <w:r>
              <w:rPr>
                <w:rFonts w:hint="default" w:ascii="Times New Roman" w:hAnsi="Times New Roman" w:eastAsia="宋体" w:cs="Times New Roman"/>
                <w:b w:val="0"/>
                <w:bCs w:val="0"/>
                <w:i w:val="0"/>
                <w:iCs w:val="0"/>
                <w:color w:val="auto"/>
                <w:kern w:val="0"/>
                <w:sz w:val="21"/>
                <w:szCs w:val="21"/>
                <w:u w:val="none"/>
                <w:lang w:val="en-US" w:eastAsia="zh-CN" w:bidi="ar"/>
              </w:rPr>
              <w:t>8</w:t>
            </w:r>
          </w:p>
        </w:tc>
        <w:tc>
          <w:tcPr>
            <w:tcW w:w="1044"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0.0019</w:t>
            </w:r>
          </w:p>
        </w:tc>
        <w:tc>
          <w:tcPr>
            <w:tcW w:w="1151"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-0.0095</w:t>
            </w:r>
          </w:p>
        </w:tc>
        <w:tc>
          <w:tcPr>
            <w:tcW w:w="1068"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-0.0014</w:t>
            </w:r>
          </w:p>
        </w:tc>
        <w:tc>
          <w:tcPr>
            <w:tcW w:w="1175"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560" w:type="pct"/>
            <w:tcBorders>
              <w:top w:val="nil"/>
              <w:left w:val="nil"/>
              <w:bottom w:val="nil"/>
              <w:right w:val="nil"/>
            </w:tcBorders>
            <w:shd w:val="clear" w:color="auto" w:fill="FFFFFF" w:themeFill="background1"/>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auto"/>
                <w:sz w:val="21"/>
                <w:szCs w:val="21"/>
                <w:u w:val="none"/>
              </w:rPr>
            </w:pPr>
            <w:r>
              <w:rPr>
                <w:rFonts w:hint="default" w:ascii="Times New Roman" w:hAnsi="Times New Roman" w:eastAsia="宋体" w:cs="Times New Roman"/>
                <w:b w:val="0"/>
                <w:bCs w:val="0"/>
                <w:i w:val="0"/>
                <w:iCs w:val="0"/>
                <w:color w:val="auto"/>
                <w:kern w:val="0"/>
                <w:sz w:val="21"/>
                <w:szCs w:val="21"/>
                <w:u w:val="none"/>
                <w:lang w:val="en-US" w:eastAsia="zh-CN" w:bidi="ar"/>
              </w:rPr>
              <w:t>9</w:t>
            </w:r>
          </w:p>
        </w:tc>
        <w:tc>
          <w:tcPr>
            <w:tcW w:w="1044"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0.0007</w:t>
            </w:r>
          </w:p>
        </w:tc>
        <w:tc>
          <w:tcPr>
            <w:tcW w:w="1151"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-0.0061</w:t>
            </w:r>
          </w:p>
        </w:tc>
        <w:tc>
          <w:tcPr>
            <w:tcW w:w="1068"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0.0012</w:t>
            </w:r>
          </w:p>
        </w:tc>
        <w:tc>
          <w:tcPr>
            <w:tcW w:w="1175" w:type="pct"/>
            <w:tcBorders>
              <w:top w:val="nil"/>
              <w:left w:val="nil"/>
              <w:bottom w:val="nil"/>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560" w:type="pct"/>
            <w:tcBorders>
              <w:top w:val="nil"/>
              <w:left w:val="nil"/>
              <w:bottom w:val="single" w:color="auto" w:sz="4" w:space="0"/>
              <w:right w:val="nil"/>
            </w:tcBorders>
            <w:shd w:val="clear" w:color="auto" w:fill="FFFFFF" w:themeFill="background1"/>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auto"/>
                <w:sz w:val="21"/>
                <w:szCs w:val="21"/>
                <w:u w:val="none"/>
              </w:rPr>
            </w:pPr>
            <w:r>
              <w:rPr>
                <w:rFonts w:hint="default" w:ascii="Times New Roman" w:hAnsi="Times New Roman" w:eastAsia="宋体" w:cs="Times New Roman"/>
                <w:b w:val="0"/>
                <w:bCs w:val="0"/>
                <w:i w:val="0"/>
                <w:iCs w:val="0"/>
                <w:color w:val="auto"/>
                <w:kern w:val="0"/>
                <w:sz w:val="21"/>
                <w:szCs w:val="21"/>
                <w:u w:val="none"/>
                <w:lang w:val="en-US" w:eastAsia="zh-CN" w:bidi="ar"/>
              </w:rPr>
              <w:t>10</w:t>
            </w:r>
          </w:p>
        </w:tc>
        <w:tc>
          <w:tcPr>
            <w:tcW w:w="1044" w:type="pct"/>
            <w:tcBorders>
              <w:top w:val="nil"/>
              <w:left w:val="nil"/>
              <w:bottom w:val="single" w:color="auto" w:sz="4" w:space="0"/>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0.0021</w:t>
            </w:r>
          </w:p>
        </w:tc>
        <w:tc>
          <w:tcPr>
            <w:tcW w:w="1151" w:type="pct"/>
            <w:tcBorders>
              <w:top w:val="nil"/>
              <w:left w:val="nil"/>
              <w:bottom w:val="single" w:color="auto" w:sz="4" w:space="0"/>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0.0093</w:t>
            </w:r>
          </w:p>
        </w:tc>
        <w:tc>
          <w:tcPr>
            <w:tcW w:w="1068" w:type="pct"/>
            <w:tcBorders>
              <w:top w:val="nil"/>
              <w:left w:val="nil"/>
              <w:bottom w:val="single" w:color="auto" w:sz="4" w:space="0"/>
              <w:right w:val="nil"/>
            </w:tcBorders>
            <w:shd w:val="clear" w:color="auto" w:fill="FFFFFF" w:themeFill="background1"/>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auto"/>
                <w:sz w:val="21"/>
                <w:szCs w:val="21"/>
                <w:u w:val="none"/>
              </w:rPr>
            </w:pPr>
            <w:r>
              <w:rPr>
                <w:rFonts w:hint="default" w:ascii="Times New Roman" w:hAnsi="Times New Roman" w:eastAsia="宋体" w:cs="Times New Roman"/>
                <w:b/>
                <w:bCs/>
                <w:i w:val="0"/>
                <w:iCs w:val="0"/>
                <w:color w:val="auto"/>
                <w:kern w:val="0"/>
                <w:sz w:val="21"/>
                <w:szCs w:val="21"/>
                <w:u w:val="none"/>
                <w:lang w:val="en-US" w:eastAsia="zh-CN" w:bidi="ar"/>
              </w:rPr>
              <w:t>-0.0059*</w:t>
            </w:r>
          </w:p>
        </w:tc>
        <w:tc>
          <w:tcPr>
            <w:tcW w:w="1175" w:type="pct"/>
            <w:tcBorders>
              <w:top w:val="nil"/>
              <w:left w:val="nil"/>
              <w:bottom w:val="single" w:color="auto" w:sz="4" w:space="0"/>
              <w:right w:val="nil"/>
            </w:tcBorders>
            <w:shd w:val="clear" w:color="auto" w:fill="FFFFFF" w:themeFill="background1"/>
            <w:vAlign w:val="center"/>
          </w:tcPr>
          <w:p>
            <w:pPr>
              <w:jc w:val="center"/>
              <w:rPr>
                <w:rFonts w:hint="default" w:ascii="Times New Roman" w:hAnsi="Times New Roman" w:eastAsia="宋体" w:cs="Times New Roman"/>
                <w:b w:val="0"/>
                <w:bCs w:val="0"/>
                <w:i w:val="0"/>
                <w:iCs w:val="0"/>
                <w:color w:val="auto"/>
                <w:sz w:val="21"/>
                <w:szCs w:val="21"/>
                <w:u w:val="none"/>
                <w:lang w:val="en-US" w:eastAsia="zh-CN"/>
              </w:rPr>
            </w:pPr>
            <w:r>
              <w:rPr>
                <w:rFonts w:hint="eastAsia" w:cs="Times New Roman"/>
                <w:b w:val="0"/>
                <w:bCs w:val="0"/>
                <w:i w:val="0"/>
                <w:iCs w:val="0"/>
                <w:color w:val="auto"/>
                <w:sz w:val="21"/>
                <w:szCs w:val="21"/>
                <w:u w:val="none"/>
                <w:lang w:val="en-US" w:eastAsia="zh-CN"/>
              </w:rPr>
              <w:t>-0.0012</w:t>
            </w:r>
          </w:p>
        </w:tc>
      </w:tr>
    </w:tbl>
    <w:p>
      <w:pPr>
        <w:spacing w:line="360" w:lineRule="auto"/>
        <w:jc w:val="left"/>
        <w:rPr>
          <w:sz w:val="24"/>
        </w:rPr>
      </w:pPr>
    </w:p>
    <w:p>
      <w:pPr>
        <w:spacing w:line="300" w:lineRule="exact"/>
        <w:ind w:firstLine="480" w:firstLineChars="200"/>
        <w:jc w:val="center"/>
        <w:rPr>
          <w:rFonts w:eastAsia="黑体"/>
          <w:sz w:val="24"/>
        </w:rPr>
      </w:pPr>
      <w:r>
        <w:rPr>
          <w:rFonts w:eastAsia="黑体"/>
          <w:sz w:val="24"/>
        </w:rPr>
        <w:t>表4-5  按处罚方式分类的</w:t>
      </w:r>
      <w:r>
        <w:rPr>
          <w:rFonts w:hint="eastAsia" w:eastAsia="黑体"/>
          <w:sz w:val="24"/>
          <w:lang w:val="en-US" w:eastAsia="zh-CN"/>
        </w:rPr>
        <w:t>累计</w:t>
      </w:r>
      <w:r>
        <w:rPr>
          <w:rFonts w:eastAsia="黑体"/>
          <w:sz w:val="24"/>
        </w:rPr>
        <w:t>异常回报</w:t>
      </w:r>
    </w:p>
    <w:p>
      <w:pPr>
        <w:spacing w:line="300" w:lineRule="exact"/>
        <w:ind w:firstLine="480" w:firstLineChars="200"/>
        <w:jc w:val="center"/>
        <w:rPr>
          <w:rFonts w:eastAsia="黑体"/>
          <w:sz w:val="24"/>
        </w:rPr>
      </w:pPr>
    </w:p>
    <w:tbl>
      <w:tblPr>
        <w:tblStyle w:val="6"/>
        <w:tblW w:w="8632"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726"/>
        <w:gridCol w:w="1726"/>
        <w:gridCol w:w="1726"/>
        <w:gridCol w:w="1726"/>
        <w:gridCol w:w="17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1726" w:type="dxa"/>
            <w:tcBorders>
              <w:top w:val="single" w:color="000000" w:themeColor="text1" w:sz="4" w:space="0"/>
              <w:left w:val="nil"/>
              <w:bottom w:val="single" w:color="000000" w:sz="4" w:space="0"/>
              <w:right w:val="nil"/>
            </w:tcBorders>
            <w:shd w:val="clear" w:color="auto" w:fill="auto"/>
            <w:vAlign w:val="center"/>
          </w:tcPr>
          <w:p>
            <w:pPr>
              <w:jc w:val="center"/>
              <w:rPr>
                <w:rFonts w:hint="default" w:ascii="Times New Roman" w:hAnsi="Times New Roman" w:eastAsia="宋体" w:cs="Times New Roman"/>
                <w:b/>
                <w:bCs/>
                <w:i w:val="0"/>
                <w:iCs w:val="0"/>
                <w:color w:val="000000"/>
                <w:sz w:val="21"/>
                <w:szCs w:val="21"/>
                <w:u w:val="none"/>
              </w:rPr>
            </w:pPr>
          </w:p>
        </w:tc>
        <w:tc>
          <w:tcPr>
            <w:tcW w:w="1726" w:type="dxa"/>
            <w:tcBorders>
              <w:top w:val="single" w:color="000000" w:themeColor="text1"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批评</w:t>
            </w:r>
          </w:p>
        </w:tc>
        <w:tc>
          <w:tcPr>
            <w:tcW w:w="1726" w:type="dxa"/>
            <w:tcBorders>
              <w:top w:val="single" w:color="000000" w:themeColor="text1"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警告、罚款</w:t>
            </w:r>
          </w:p>
        </w:tc>
        <w:tc>
          <w:tcPr>
            <w:tcW w:w="1726" w:type="dxa"/>
            <w:tcBorders>
              <w:top w:val="single" w:color="000000" w:themeColor="text1"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谴责</w:t>
            </w:r>
          </w:p>
        </w:tc>
        <w:tc>
          <w:tcPr>
            <w:tcW w:w="1728" w:type="dxa"/>
            <w:tcBorders>
              <w:top w:val="single" w:color="000000" w:themeColor="text1"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其他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1726" w:type="dxa"/>
            <w:tcBorders>
              <w:top w:val="single" w:color="000000" w:sz="4" w:space="0"/>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[-1.1]</w:t>
            </w:r>
          </w:p>
        </w:tc>
        <w:tc>
          <w:tcPr>
            <w:tcW w:w="1726" w:type="dxa"/>
            <w:tcBorders>
              <w:top w:val="single" w:color="000000" w:sz="4" w:space="0"/>
              <w:left w:val="nil"/>
              <w:bottom w:val="nil"/>
              <w:right w:val="nil"/>
            </w:tcBorders>
            <w:shd w:val="clear" w:color="auto" w:fill="auto"/>
            <w:vAlign w:val="center"/>
          </w:tcPr>
          <w:p>
            <w:pPr>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-0.0031</w:t>
            </w:r>
          </w:p>
        </w:tc>
        <w:tc>
          <w:tcPr>
            <w:tcW w:w="1726" w:type="dxa"/>
            <w:tcBorders>
              <w:top w:val="single" w:color="000000" w:sz="4" w:space="0"/>
              <w:left w:val="nil"/>
              <w:bottom w:val="nil"/>
              <w:right w:val="nil"/>
            </w:tcBorders>
            <w:shd w:val="clear" w:color="auto" w:fill="auto"/>
            <w:vAlign w:val="center"/>
          </w:tcPr>
          <w:p>
            <w:pPr>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-0.0177</w:t>
            </w:r>
          </w:p>
        </w:tc>
        <w:tc>
          <w:tcPr>
            <w:tcW w:w="1726" w:type="dxa"/>
            <w:tcBorders>
              <w:top w:val="single" w:color="000000" w:sz="4" w:space="0"/>
              <w:left w:val="nil"/>
              <w:bottom w:val="nil"/>
              <w:right w:val="nil"/>
            </w:tcBorders>
            <w:shd w:val="clear" w:color="auto" w:fill="auto"/>
            <w:vAlign w:val="center"/>
          </w:tcPr>
          <w:p>
            <w:pPr>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0.0003</w:t>
            </w:r>
          </w:p>
        </w:tc>
        <w:tc>
          <w:tcPr>
            <w:tcW w:w="1728" w:type="dxa"/>
            <w:tcBorders>
              <w:top w:val="single" w:color="000000" w:sz="4" w:space="0"/>
              <w:left w:val="nil"/>
              <w:bottom w:val="nil"/>
              <w:right w:val="nil"/>
            </w:tcBorders>
            <w:shd w:val="clear" w:color="auto" w:fill="auto"/>
            <w:vAlign w:val="center"/>
          </w:tcPr>
          <w:p>
            <w:pPr>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1726"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[-2,2]</w:t>
            </w:r>
          </w:p>
        </w:tc>
        <w:tc>
          <w:tcPr>
            <w:tcW w:w="1726" w:type="dxa"/>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-0.0025</w:t>
            </w:r>
          </w:p>
        </w:tc>
        <w:tc>
          <w:tcPr>
            <w:tcW w:w="1726" w:type="dxa"/>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-0.0218</w:t>
            </w:r>
          </w:p>
        </w:tc>
        <w:tc>
          <w:tcPr>
            <w:tcW w:w="1726" w:type="dxa"/>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0.0049</w:t>
            </w:r>
          </w:p>
        </w:tc>
        <w:tc>
          <w:tcPr>
            <w:tcW w:w="1728" w:type="dxa"/>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1726"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[-3,3]</w:t>
            </w:r>
          </w:p>
        </w:tc>
        <w:tc>
          <w:tcPr>
            <w:tcW w:w="1726" w:type="dxa"/>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-0.0036</w:t>
            </w:r>
          </w:p>
        </w:tc>
        <w:tc>
          <w:tcPr>
            <w:tcW w:w="1726" w:type="dxa"/>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0.0014</w:t>
            </w:r>
          </w:p>
        </w:tc>
        <w:tc>
          <w:tcPr>
            <w:tcW w:w="1726" w:type="dxa"/>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0.0026</w:t>
            </w:r>
          </w:p>
        </w:tc>
        <w:tc>
          <w:tcPr>
            <w:tcW w:w="1728" w:type="dxa"/>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1726"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[-5,5]</w:t>
            </w:r>
          </w:p>
        </w:tc>
        <w:tc>
          <w:tcPr>
            <w:tcW w:w="1726" w:type="dxa"/>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-0.0009</w:t>
            </w:r>
          </w:p>
        </w:tc>
        <w:tc>
          <w:tcPr>
            <w:tcW w:w="1726" w:type="dxa"/>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0.0106</w:t>
            </w:r>
          </w:p>
        </w:tc>
        <w:tc>
          <w:tcPr>
            <w:tcW w:w="1726" w:type="dxa"/>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0.0042</w:t>
            </w:r>
          </w:p>
        </w:tc>
        <w:tc>
          <w:tcPr>
            <w:tcW w:w="1728" w:type="dxa"/>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1726"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[-10,10]</w:t>
            </w:r>
          </w:p>
        </w:tc>
        <w:tc>
          <w:tcPr>
            <w:tcW w:w="1726" w:type="dxa"/>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0.0020</w:t>
            </w:r>
          </w:p>
        </w:tc>
        <w:tc>
          <w:tcPr>
            <w:tcW w:w="1726" w:type="dxa"/>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0.0349</w:t>
            </w:r>
          </w:p>
        </w:tc>
        <w:tc>
          <w:tcPr>
            <w:tcW w:w="1726" w:type="dxa"/>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0.0209</w:t>
            </w:r>
          </w:p>
        </w:tc>
        <w:tc>
          <w:tcPr>
            <w:tcW w:w="1728" w:type="dxa"/>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1726"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[0,3]</w:t>
            </w:r>
          </w:p>
        </w:tc>
        <w:tc>
          <w:tcPr>
            <w:tcW w:w="1726" w:type="dxa"/>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-0.0053</w:t>
            </w:r>
          </w:p>
        </w:tc>
        <w:tc>
          <w:tcPr>
            <w:tcW w:w="1726" w:type="dxa"/>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-0.0011</w:t>
            </w:r>
          </w:p>
        </w:tc>
        <w:tc>
          <w:tcPr>
            <w:tcW w:w="1726" w:type="dxa"/>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-0.0017</w:t>
            </w:r>
          </w:p>
        </w:tc>
        <w:tc>
          <w:tcPr>
            <w:tcW w:w="1728" w:type="dxa"/>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726"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[0,5]</w:t>
            </w:r>
          </w:p>
        </w:tc>
        <w:tc>
          <w:tcPr>
            <w:tcW w:w="1726" w:type="dxa"/>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-0.0039</w:t>
            </w:r>
          </w:p>
        </w:tc>
        <w:tc>
          <w:tcPr>
            <w:tcW w:w="1726" w:type="dxa"/>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-0.0117</w:t>
            </w:r>
          </w:p>
        </w:tc>
        <w:tc>
          <w:tcPr>
            <w:tcW w:w="1726" w:type="dxa"/>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0.0015</w:t>
            </w:r>
          </w:p>
        </w:tc>
        <w:tc>
          <w:tcPr>
            <w:tcW w:w="1728" w:type="dxa"/>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1726"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[0,10]</w:t>
            </w:r>
          </w:p>
        </w:tc>
        <w:tc>
          <w:tcPr>
            <w:tcW w:w="1726" w:type="dxa"/>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0.0014</w:t>
            </w:r>
          </w:p>
        </w:tc>
        <w:tc>
          <w:tcPr>
            <w:tcW w:w="1726" w:type="dxa"/>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-0.0263</w:t>
            </w:r>
          </w:p>
        </w:tc>
        <w:tc>
          <w:tcPr>
            <w:tcW w:w="1726" w:type="dxa"/>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0.0066</w:t>
            </w:r>
          </w:p>
        </w:tc>
        <w:tc>
          <w:tcPr>
            <w:tcW w:w="1728" w:type="dxa"/>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726"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[-10,0]</w:t>
            </w:r>
          </w:p>
        </w:tc>
        <w:tc>
          <w:tcPr>
            <w:tcW w:w="1726" w:type="dxa"/>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0.0010</w:t>
            </w:r>
          </w:p>
        </w:tc>
        <w:tc>
          <w:tcPr>
            <w:tcW w:w="1726"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0.0519*</w:t>
            </w:r>
          </w:p>
        </w:tc>
        <w:tc>
          <w:tcPr>
            <w:tcW w:w="1726" w:type="dxa"/>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0.0070</w:t>
            </w:r>
          </w:p>
        </w:tc>
        <w:tc>
          <w:tcPr>
            <w:tcW w:w="1728" w:type="dxa"/>
            <w:tcBorders>
              <w:top w:val="nil"/>
              <w:left w:val="nil"/>
              <w:bottom w:val="nil"/>
              <w:right w:val="nil"/>
            </w:tcBorders>
            <w:shd w:val="clear" w:color="auto" w:fill="auto"/>
            <w:vAlign w:val="center"/>
          </w:tcPr>
          <w:p>
            <w:pPr>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1726" w:type="dxa"/>
            <w:tcBorders>
              <w:top w:val="nil"/>
              <w:left w:val="nil"/>
              <w:bottom w:val="single" w:color="000000" w:themeColor="text1" w:sz="4" w:space="0"/>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[-5,0]</w:t>
            </w:r>
          </w:p>
        </w:tc>
        <w:tc>
          <w:tcPr>
            <w:tcW w:w="1726" w:type="dxa"/>
            <w:tcBorders>
              <w:top w:val="nil"/>
              <w:left w:val="nil"/>
              <w:bottom w:val="single" w:color="000000" w:themeColor="text1" w:sz="4" w:space="0"/>
              <w:right w:val="nil"/>
            </w:tcBorders>
            <w:shd w:val="clear" w:color="auto" w:fill="auto"/>
            <w:vAlign w:val="center"/>
          </w:tcPr>
          <w:p>
            <w:pPr>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0.0025</w:t>
            </w:r>
          </w:p>
        </w:tc>
        <w:tc>
          <w:tcPr>
            <w:tcW w:w="1726" w:type="dxa"/>
            <w:tcBorders>
              <w:top w:val="nil"/>
              <w:left w:val="nil"/>
              <w:bottom w:val="single" w:color="000000" w:themeColor="text1" w:sz="4" w:space="0"/>
              <w:right w:val="nil"/>
            </w:tcBorders>
            <w:shd w:val="clear" w:color="auto" w:fill="auto"/>
            <w:vAlign w:val="center"/>
          </w:tcPr>
          <w:p>
            <w:pPr>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0.0130</w:t>
            </w:r>
          </w:p>
        </w:tc>
        <w:tc>
          <w:tcPr>
            <w:tcW w:w="1726" w:type="dxa"/>
            <w:tcBorders>
              <w:top w:val="nil"/>
              <w:left w:val="nil"/>
              <w:bottom w:val="single" w:color="000000" w:themeColor="text1" w:sz="4" w:space="0"/>
              <w:right w:val="nil"/>
            </w:tcBorders>
            <w:shd w:val="clear" w:color="auto" w:fill="auto"/>
            <w:vAlign w:val="center"/>
          </w:tcPr>
          <w:p>
            <w:pPr>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0.0042</w:t>
            </w:r>
          </w:p>
        </w:tc>
        <w:tc>
          <w:tcPr>
            <w:tcW w:w="1728" w:type="dxa"/>
            <w:tcBorders>
              <w:top w:val="nil"/>
              <w:left w:val="nil"/>
              <w:bottom w:val="single" w:color="000000" w:themeColor="text1" w:sz="4" w:space="0"/>
              <w:right w:val="nil"/>
            </w:tcBorders>
            <w:shd w:val="clear" w:color="auto" w:fill="auto"/>
            <w:vAlign w:val="center"/>
          </w:tcPr>
          <w:p>
            <w:pPr>
              <w:jc w:val="center"/>
              <w:rPr>
                <w:rFonts w:hint="default" w:ascii="Times New Roman" w:hAnsi="Times New Roman" w:eastAsia="宋体" w:cs="Times New Roman"/>
                <w:i w:val="0"/>
                <w:iCs w:val="0"/>
                <w:color w:val="000000"/>
                <w:sz w:val="21"/>
                <w:szCs w:val="21"/>
                <w:u w:val="none"/>
                <w:lang w:val="en-US" w:eastAsia="zh-CN"/>
              </w:rPr>
            </w:pPr>
            <w:r>
              <w:rPr>
                <w:rFonts w:hint="eastAsia" w:cs="Times New Roman"/>
                <w:i w:val="0"/>
                <w:iCs w:val="0"/>
                <w:color w:val="000000"/>
                <w:sz w:val="21"/>
                <w:szCs w:val="21"/>
                <w:u w:val="none"/>
                <w:lang w:val="en-US" w:eastAsia="zh-CN"/>
              </w:rPr>
              <w:t>-0.0021</w:t>
            </w:r>
          </w:p>
        </w:tc>
      </w:tr>
    </w:tbl>
    <w:p>
      <w:pPr>
        <w:spacing w:line="360" w:lineRule="auto"/>
        <w:jc w:val="both"/>
        <w:rPr>
          <w:sz w:val="24"/>
        </w:rPr>
      </w:pPr>
    </w:p>
    <w:p>
      <w:pPr>
        <w:spacing w:line="360" w:lineRule="auto"/>
        <w:jc w:val="both"/>
        <w:rPr>
          <w:rFonts w:hint="eastAsia" w:eastAsia="宋体"/>
          <w:sz w:val="24"/>
          <w:lang w:eastAsia="zh-CN"/>
        </w:rPr>
      </w:pPr>
      <w:r>
        <w:rPr>
          <w:sz w:val="24"/>
        </w:rPr>
        <w:t>著的股价反映，仅在公告日后第十日出现了平均单日0.59%（p=0.1）的异常损失；对于“警告、罚款”这一处罚，我们得到的有效事件仅为7则，数据表明，对于这类处罚公告发布，股价反应提前于公告发布，在公告发布前的第四天和第三条平均单日股价异常增长0.16%（p=0.1）和0.19%（p=0.05），而在公告日前一日的</w:t>
      </w:r>
      <w:r>
        <w:rPr>
          <w:rFonts w:hint="eastAsia"/>
          <w:sz w:val="24"/>
          <w:lang w:val="en-US" w:eastAsia="zh-CN"/>
        </w:rPr>
        <w:t>平均</w:t>
      </w:r>
    </w:p>
    <w:p>
      <w:pPr>
        <w:spacing w:line="360" w:lineRule="auto"/>
        <w:rPr>
          <w:sz w:val="24"/>
        </w:rPr>
      </w:pPr>
      <w:r>
        <w:rPr>
          <w:sz w:val="24"/>
        </w:rPr>
        <w:t>单日异常损失达到1.81%；对于“其他”这一类处罚的公告，在公告发布的后一日出现了0.23%（p=0.05）的平均单日异常损失，而在公告发布前的第五日和第四日分别出现了0.16%（p=0.1）和0.17%（p=0.1）的平均单日异常损失。</w:t>
      </w:r>
    </w:p>
    <w:p>
      <w:pPr>
        <w:spacing w:line="360" w:lineRule="auto"/>
        <w:ind w:firstLine="480" w:firstLineChars="200"/>
        <w:rPr>
          <w:sz w:val="24"/>
        </w:rPr>
      </w:pPr>
      <w:r>
        <w:rPr>
          <w:sz w:val="24"/>
        </w:rPr>
        <w:t>综合本小节的研究结果发现，各种处罚方式的违规处罚公告发布均会对股票回报产生影响，虽然从我们的统计结果上看来，这种影响随着处罚方式的不同有所差异，但我们尚未发现这种差异的明显规律，处罚的严厉程度也并非导致投资者情绪高低的唯一因素。本小节的结果佐证了违规处罚公告对于股票回报的影响以及双向提前反应的客观事实，一方面，企业违规处罚公告发布确实会造成短期股票回报率下降，另一方面，违规处罚公告存在提前泄露的情况，且提前于处罚下达，这种泄露的对象既包括企业本身，也包括部分投资者。</w:t>
      </w:r>
    </w:p>
    <w:p>
      <w:pPr>
        <w:spacing w:line="360" w:lineRule="auto"/>
        <w:ind w:firstLine="480" w:firstLineChars="200"/>
        <w:rPr>
          <w:sz w:val="24"/>
        </w:rPr>
      </w:pPr>
    </w:p>
    <w:p>
      <w:pPr>
        <w:spacing w:line="360" w:lineRule="auto"/>
        <w:jc w:val="left"/>
        <w:rPr>
          <w:rFonts w:eastAsia="黑体"/>
          <w:b/>
          <w:sz w:val="28"/>
          <w:szCs w:val="28"/>
        </w:rPr>
      </w:pPr>
      <w:r>
        <w:rPr>
          <w:b/>
          <w:sz w:val="28"/>
          <w:szCs w:val="28"/>
        </w:rPr>
        <w:t xml:space="preserve">4.3  </w:t>
      </w:r>
      <w:r>
        <w:rPr>
          <w:rFonts w:eastAsia="黑体"/>
          <w:b/>
          <w:sz w:val="28"/>
          <w:szCs w:val="28"/>
        </w:rPr>
        <w:t>单一</w:t>
      </w:r>
      <w:r>
        <w:rPr>
          <w:rFonts w:hint="eastAsia" w:eastAsia="黑体"/>
          <w:b/>
          <w:sz w:val="28"/>
          <w:szCs w:val="28"/>
          <w:lang w:val="en-US" w:eastAsia="zh-CN"/>
        </w:rPr>
        <w:t>类别</w:t>
      </w:r>
      <w:r>
        <w:rPr>
          <w:rFonts w:eastAsia="黑体"/>
          <w:b/>
          <w:sz w:val="28"/>
          <w:szCs w:val="28"/>
        </w:rPr>
        <w:t>处罚的分板块研究</w:t>
      </w:r>
    </w:p>
    <w:p>
      <w:pPr>
        <w:spacing w:line="360" w:lineRule="auto"/>
        <w:ind w:firstLine="480" w:firstLineChars="200"/>
        <w:rPr>
          <w:sz w:val="24"/>
        </w:rPr>
      </w:pPr>
      <w:r>
        <w:rPr>
          <w:sz w:val="24"/>
        </w:rPr>
        <w:t>在4.2节的初步研究中，我们事件样本按照板块和处罚方式两种分类方法分别进行了粗略的分类研究，然而，事件数量的约束让我们无法进行</w:t>
      </w:r>
      <w:r>
        <w:rPr>
          <w:rFonts w:hint="eastAsia"/>
          <w:sz w:val="24"/>
          <w:lang w:eastAsia="zh-CN"/>
        </w:rPr>
        <w:t>“</w:t>
      </w:r>
      <w:r>
        <w:rPr>
          <w:rFonts w:hint="eastAsia"/>
          <w:sz w:val="24"/>
          <w:lang w:val="en-US" w:eastAsia="zh-CN"/>
        </w:rPr>
        <w:t>板块-处罚</w:t>
      </w:r>
      <w:r>
        <w:rPr>
          <w:rFonts w:hint="eastAsia"/>
          <w:sz w:val="24"/>
          <w:lang w:eastAsia="zh-CN"/>
        </w:rPr>
        <w:t>”</w:t>
      </w:r>
      <w:r>
        <w:rPr>
          <w:rFonts w:hint="eastAsia"/>
          <w:sz w:val="24"/>
          <w:lang w:val="en-US" w:eastAsia="zh-CN"/>
        </w:rPr>
        <w:t>双分</w:t>
      </w:r>
      <w:r>
        <w:rPr>
          <w:sz w:val="24"/>
        </w:rPr>
        <w:t>类研究，所以我们选择了事件数量较多的“其他”这一处罚</w:t>
      </w:r>
      <w:r>
        <w:rPr>
          <w:rFonts w:hint="eastAsia"/>
          <w:sz w:val="24"/>
          <w:lang w:val="en-US" w:eastAsia="zh-CN"/>
        </w:rPr>
        <w:t>大类</w:t>
      </w:r>
      <w:r>
        <w:rPr>
          <w:sz w:val="24"/>
        </w:rPr>
        <w:t>进行分板块研究，除了对我们的事件样本进行如第三章所述的处理外，我们对于处理后仍存在多次违规处罚公告的情况，选取最近一次违规处罚公告作为样本进行考察，这是出于结果贡献性的考量：我们认为，投资者对于违规处罚公告事件的经验属于投资者情绪反应的重要影响因素，我们希望我们的结果能体现最接近于当下现实的状态，这样我们的结果对于可能阅读到本文的个体投资者而言更具备短期投资指导作用。</w:t>
      </w:r>
    </w:p>
    <w:p>
      <w:pPr>
        <w:spacing w:line="360" w:lineRule="auto"/>
        <w:ind w:firstLine="480" w:firstLineChars="200"/>
        <w:rPr>
          <w:sz w:val="24"/>
        </w:rPr>
      </w:pPr>
      <w:r>
        <w:rPr>
          <w:sz w:val="24"/>
        </w:rPr>
        <w:t>筛选后，我们的样本为757支股票对应的违规处罚公告757则，其中：上证A股204支，深圳主板A股109支，中小板股票236支，创业板股票208支。</w:t>
      </w:r>
    </w:p>
    <w:p>
      <w:pPr>
        <w:spacing w:line="360" w:lineRule="auto"/>
        <w:ind w:firstLine="480" w:firstLineChars="200"/>
        <w:rPr>
          <w:sz w:val="24"/>
        </w:rPr>
      </w:pPr>
    </w:p>
    <w:p>
      <w:pPr>
        <w:spacing w:line="360" w:lineRule="auto"/>
        <w:jc w:val="left"/>
        <w:rPr>
          <w:rFonts w:eastAsia="黑体"/>
          <w:b/>
          <w:bCs/>
          <w:sz w:val="24"/>
        </w:rPr>
      </w:pPr>
      <w:r>
        <w:rPr>
          <w:b/>
          <w:bCs/>
          <w:sz w:val="24"/>
        </w:rPr>
        <w:t>4.3.1</w:t>
      </w:r>
      <w:r>
        <w:rPr>
          <w:sz w:val="24"/>
        </w:rPr>
        <w:t xml:space="preserve"> </w:t>
      </w:r>
      <w:r>
        <w:rPr>
          <w:b/>
          <w:bCs/>
          <w:sz w:val="24"/>
        </w:rPr>
        <w:t xml:space="preserve"> </w:t>
      </w:r>
      <w:r>
        <w:rPr>
          <w:rFonts w:eastAsia="黑体"/>
          <w:b/>
          <w:bCs/>
          <w:sz w:val="24"/>
        </w:rPr>
        <w:t>单一</w:t>
      </w:r>
      <w:r>
        <w:rPr>
          <w:rFonts w:hint="eastAsia" w:eastAsia="黑体"/>
          <w:b/>
          <w:bCs/>
          <w:sz w:val="24"/>
          <w:lang w:val="en-US" w:eastAsia="zh-CN"/>
        </w:rPr>
        <w:t>类别</w:t>
      </w:r>
      <w:r>
        <w:rPr>
          <w:rFonts w:eastAsia="黑体"/>
          <w:b/>
          <w:bCs/>
          <w:sz w:val="24"/>
        </w:rPr>
        <w:t>处罚的分板块研究结果</w:t>
      </w:r>
    </w:p>
    <w:p>
      <w:pPr>
        <w:spacing w:line="360" w:lineRule="auto"/>
        <w:ind w:firstLine="480" w:firstLineChars="200"/>
        <w:rPr>
          <w:sz w:val="24"/>
        </w:rPr>
      </w:pPr>
      <w:r>
        <w:rPr>
          <w:sz w:val="24"/>
        </w:rPr>
        <w:t>我们分别对上证A股、深证A股主板、沪深A股主板、中小板、创业板股票进行事件研究，得到的结果如</w:t>
      </w:r>
      <w:r>
        <w:rPr>
          <w:rFonts w:hint="eastAsia"/>
          <w:sz w:val="24"/>
          <w:lang w:val="en-US" w:eastAsia="zh-CN"/>
        </w:rPr>
        <w:t>图4-11至图4-15以及</w:t>
      </w:r>
      <w:r>
        <w:rPr>
          <w:sz w:val="24"/>
        </w:rPr>
        <w:t>表4-6和表4-7所示，这一部</w:t>
      </w:r>
    </w:p>
    <w:p>
      <w:pPr>
        <w:spacing w:line="360" w:lineRule="auto"/>
        <w:ind w:firstLine="480" w:firstLineChars="200"/>
        <w:rPr>
          <w:sz w:val="24"/>
        </w:rPr>
      </w:pPr>
    </w:p>
    <w:p>
      <w:pPr>
        <w:spacing w:line="360" w:lineRule="auto"/>
      </w:pPr>
      <w:r>
        <w:rPr>
          <w:rFonts w:hint="eastAsia"/>
          <w:lang w:val="en-US" w:eastAsia="zh-CN"/>
        </w:rPr>
        <w:t xml:space="preserve"> </w:t>
      </w:r>
      <w:r>
        <w:drawing>
          <wp:inline distT="0" distB="0" distL="114300" distR="114300">
            <wp:extent cx="2642870" cy="1922145"/>
            <wp:effectExtent l="0" t="0" r="11430" b="8255"/>
            <wp:docPr id="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
                    <pic:cNvPicPr>
                      <a:picLocks noChangeAspect="1"/>
                    </pic:cNvPicPr>
                  </pic:nvPicPr>
                  <pic:blipFill>
                    <a:blip r:embed="rId25"/>
                    <a:stretch>
                      <a:fillRect/>
                    </a:stretch>
                  </pic:blipFill>
                  <pic:spPr>
                    <a:xfrm>
                      <a:off x="0" y="0"/>
                      <a:ext cx="2642870" cy="192214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599055" cy="1922145"/>
            <wp:effectExtent l="0" t="0" r="4445" b="8255"/>
            <wp:docPr id="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
                    <pic:cNvPicPr>
                      <a:picLocks noChangeAspect="1"/>
                    </pic:cNvPicPr>
                  </pic:nvPicPr>
                  <pic:blipFill>
                    <a:blip r:embed="rId26"/>
                    <a:stretch>
                      <a:fillRect/>
                    </a:stretch>
                  </pic:blipFill>
                  <pic:spPr>
                    <a:xfrm>
                      <a:off x="0" y="0"/>
                      <a:ext cx="2599055" cy="1922145"/>
                    </a:xfrm>
                    <a:prstGeom prst="rect">
                      <a:avLst/>
                    </a:prstGeom>
                    <a:noFill/>
                    <a:ln>
                      <a:noFill/>
                    </a:ln>
                  </pic:spPr>
                </pic:pic>
              </a:graphicData>
            </a:graphic>
          </wp:inline>
        </w:drawing>
      </w:r>
    </w:p>
    <w:p>
      <w:pPr>
        <w:spacing w:line="360" w:lineRule="auto"/>
        <w:ind w:firstLine="720" w:firstLineChars="300"/>
        <w:jc w:val="left"/>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图4-</w:t>
      </w:r>
      <w:r>
        <w:rPr>
          <w:rFonts w:hint="eastAsia" w:eastAsia="黑体" w:cs="Times New Roman"/>
          <w:sz w:val="24"/>
          <w:lang w:val="en-US" w:eastAsia="zh-CN"/>
        </w:rPr>
        <w:t>11</w:t>
      </w:r>
      <w:r>
        <w:rPr>
          <w:rFonts w:hint="default" w:ascii="Times New Roman" w:hAnsi="Times New Roman" w:eastAsia="黑体" w:cs="Times New Roman"/>
          <w:sz w:val="24"/>
          <w:lang w:val="en-US" w:eastAsia="zh-CN"/>
        </w:rPr>
        <w:t xml:space="preserve"> </w:t>
      </w:r>
      <w:r>
        <w:rPr>
          <w:rFonts w:hint="eastAsia" w:eastAsia="黑体" w:cs="Times New Roman"/>
          <w:sz w:val="24"/>
          <w:lang w:val="en-US" w:eastAsia="zh-CN"/>
        </w:rPr>
        <w:t>上A主板</w:t>
      </w:r>
      <w:r>
        <w:rPr>
          <w:rFonts w:hint="default" w:ascii="Times New Roman" w:hAnsi="Times New Roman" w:eastAsia="黑体" w:cs="Times New Roman"/>
          <w:sz w:val="24"/>
          <w:lang w:val="en-US" w:eastAsia="zh-CN"/>
        </w:rPr>
        <w:t>CAAR图            图4-</w:t>
      </w:r>
      <w:r>
        <w:rPr>
          <w:rFonts w:hint="eastAsia" w:eastAsia="黑体" w:cs="Times New Roman"/>
          <w:sz w:val="24"/>
          <w:lang w:val="en-US" w:eastAsia="zh-CN"/>
        </w:rPr>
        <w:t>12</w:t>
      </w:r>
      <w:r>
        <w:rPr>
          <w:rFonts w:hint="default" w:ascii="Times New Roman" w:hAnsi="Times New Roman" w:eastAsia="黑体" w:cs="Times New Roman"/>
          <w:sz w:val="24"/>
          <w:lang w:val="en-US" w:eastAsia="zh-CN"/>
        </w:rPr>
        <w:t xml:space="preserve"> </w:t>
      </w:r>
      <w:r>
        <w:rPr>
          <w:rFonts w:hint="eastAsia" w:eastAsia="黑体" w:cs="Times New Roman"/>
          <w:sz w:val="24"/>
          <w:lang w:val="en-US" w:eastAsia="zh-CN"/>
        </w:rPr>
        <w:t>深</w:t>
      </w:r>
      <w:r>
        <w:rPr>
          <w:rFonts w:hint="default" w:ascii="Times New Roman" w:hAnsi="Times New Roman" w:eastAsia="黑体" w:cs="Times New Roman"/>
          <w:sz w:val="24"/>
          <w:lang w:val="en-US" w:eastAsia="zh-CN"/>
        </w:rPr>
        <w:t>A主板CAAR图</w:t>
      </w:r>
    </w:p>
    <w:p>
      <w:pPr>
        <w:spacing w:line="360" w:lineRule="auto"/>
        <w:ind w:firstLine="720" w:firstLineChars="300"/>
        <w:jc w:val="left"/>
        <w:rPr>
          <w:rFonts w:hint="default" w:ascii="Times New Roman" w:hAnsi="Times New Roman" w:eastAsia="黑体" w:cs="Times New Roman"/>
          <w:sz w:val="24"/>
          <w:lang w:val="en-US" w:eastAsia="zh-CN"/>
        </w:rPr>
      </w:pPr>
    </w:p>
    <w:p>
      <w:pPr>
        <w:spacing w:line="360" w:lineRule="auto"/>
      </w:pPr>
      <w:r>
        <w:drawing>
          <wp:inline distT="0" distB="0" distL="114300" distR="114300">
            <wp:extent cx="2642870" cy="1922145"/>
            <wp:effectExtent l="0" t="0" r="11430" b="8255"/>
            <wp:docPr id="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
                    <pic:cNvPicPr>
                      <a:picLocks noChangeAspect="1"/>
                    </pic:cNvPicPr>
                  </pic:nvPicPr>
                  <pic:blipFill>
                    <a:blip r:embed="rId27"/>
                    <a:stretch>
                      <a:fillRect/>
                    </a:stretch>
                  </pic:blipFill>
                  <pic:spPr>
                    <a:xfrm>
                      <a:off x="0" y="0"/>
                      <a:ext cx="2642870" cy="192214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642870" cy="1922145"/>
            <wp:effectExtent l="0" t="0" r="11430" b="8255"/>
            <wp:docPr id="5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0"/>
                    <pic:cNvPicPr>
                      <a:picLocks noChangeAspect="1"/>
                    </pic:cNvPicPr>
                  </pic:nvPicPr>
                  <pic:blipFill>
                    <a:blip r:embed="rId28"/>
                    <a:stretch>
                      <a:fillRect/>
                    </a:stretch>
                  </pic:blipFill>
                  <pic:spPr>
                    <a:xfrm>
                      <a:off x="0" y="0"/>
                      <a:ext cx="2642870" cy="1922145"/>
                    </a:xfrm>
                    <a:prstGeom prst="rect">
                      <a:avLst/>
                    </a:prstGeom>
                    <a:noFill/>
                    <a:ln>
                      <a:noFill/>
                    </a:ln>
                  </pic:spPr>
                </pic:pic>
              </a:graphicData>
            </a:graphic>
          </wp:inline>
        </w:drawing>
      </w:r>
    </w:p>
    <w:p>
      <w:pPr>
        <w:spacing w:line="360" w:lineRule="auto"/>
        <w:ind w:firstLine="720" w:firstLineChars="300"/>
        <w:jc w:val="left"/>
      </w:pPr>
      <w:r>
        <w:rPr>
          <w:rFonts w:hint="default" w:ascii="Times New Roman" w:hAnsi="Times New Roman" w:eastAsia="黑体" w:cs="Times New Roman"/>
          <w:sz w:val="24"/>
          <w:lang w:val="en-US" w:eastAsia="zh-CN"/>
        </w:rPr>
        <w:t>图4-</w:t>
      </w:r>
      <w:r>
        <w:rPr>
          <w:rFonts w:hint="eastAsia" w:eastAsia="黑体" w:cs="Times New Roman"/>
          <w:sz w:val="24"/>
          <w:lang w:val="en-US" w:eastAsia="zh-CN"/>
        </w:rPr>
        <w:t>13</w:t>
      </w:r>
      <w:r>
        <w:rPr>
          <w:rFonts w:hint="default" w:ascii="Times New Roman" w:hAnsi="Times New Roman" w:eastAsia="黑体" w:cs="Times New Roman"/>
          <w:sz w:val="24"/>
          <w:lang w:val="en-US" w:eastAsia="zh-CN"/>
        </w:rPr>
        <w:t xml:space="preserve"> </w:t>
      </w:r>
      <w:r>
        <w:rPr>
          <w:rFonts w:hint="eastAsia" w:eastAsia="黑体" w:cs="Times New Roman"/>
          <w:sz w:val="24"/>
          <w:lang w:val="en-US" w:eastAsia="zh-CN"/>
        </w:rPr>
        <w:t>沪深主板</w:t>
      </w:r>
      <w:r>
        <w:rPr>
          <w:rFonts w:hint="default" w:ascii="Times New Roman" w:hAnsi="Times New Roman" w:eastAsia="黑体" w:cs="Times New Roman"/>
          <w:sz w:val="24"/>
          <w:lang w:val="en-US" w:eastAsia="zh-CN"/>
        </w:rPr>
        <w:t>CAAR图              图4-</w:t>
      </w:r>
      <w:r>
        <w:rPr>
          <w:rFonts w:hint="eastAsia" w:eastAsia="黑体" w:cs="Times New Roman"/>
          <w:sz w:val="24"/>
          <w:lang w:val="en-US" w:eastAsia="zh-CN"/>
        </w:rPr>
        <w:t>14</w:t>
      </w:r>
      <w:r>
        <w:rPr>
          <w:rFonts w:hint="default" w:ascii="Times New Roman" w:hAnsi="Times New Roman" w:eastAsia="黑体" w:cs="Times New Roman"/>
          <w:sz w:val="24"/>
          <w:lang w:val="en-US" w:eastAsia="zh-CN"/>
        </w:rPr>
        <w:t xml:space="preserve"> </w:t>
      </w:r>
      <w:r>
        <w:rPr>
          <w:rFonts w:hint="eastAsia" w:eastAsia="黑体" w:cs="Times New Roman"/>
          <w:sz w:val="24"/>
          <w:lang w:val="en-US" w:eastAsia="zh-CN"/>
        </w:rPr>
        <w:t>中小板</w:t>
      </w:r>
      <w:r>
        <w:rPr>
          <w:rFonts w:hint="default" w:ascii="Times New Roman" w:hAnsi="Times New Roman" w:eastAsia="黑体" w:cs="Times New Roman"/>
          <w:sz w:val="24"/>
          <w:lang w:val="en-US" w:eastAsia="zh-CN"/>
        </w:rPr>
        <w:t>CAAR图</w:t>
      </w:r>
    </w:p>
    <w:p>
      <w:pPr>
        <w:spacing w:line="360" w:lineRule="auto"/>
        <w:jc w:val="center"/>
        <w:rPr>
          <w:rFonts w:hint="eastAsia"/>
          <w:lang w:val="en-US" w:eastAsia="zh-CN"/>
        </w:rPr>
      </w:pPr>
      <w:r>
        <w:drawing>
          <wp:inline distT="0" distB="0" distL="114300" distR="114300">
            <wp:extent cx="2642870" cy="1922145"/>
            <wp:effectExtent l="0" t="0" r="11430" b="8255"/>
            <wp:docPr id="5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
                    <pic:cNvPicPr>
                      <a:picLocks noChangeAspect="1"/>
                    </pic:cNvPicPr>
                  </pic:nvPicPr>
                  <pic:blipFill>
                    <a:blip r:embed="rId29"/>
                    <a:stretch>
                      <a:fillRect/>
                    </a:stretch>
                  </pic:blipFill>
                  <pic:spPr>
                    <a:xfrm>
                      <a:off x="0" y="0"/>
                      <a:ext cx="2642870" cy="1922145"/>
                    </a:xfrm>
                    <a:prstGeom prst="rect">
                      <a:avLst/>
                    </a:prstGeom>
                    <a:noFill/>
                    <a:ln>
                      <a:noFill/>
                    </a:ln>
                  </pic:spPr>
                </pic:pic>
              </a:graphicData>
            </a:graphic>
          </wp:inline>
        </w:drawing>
      </w:r>
    </w:p>
    <w:p>
      <w:pPr>
        <w:spacing w:line="360" w:lineRule="auto"/>
        <w:jc w:val="center"/>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图4-</w:t>
      </w:r>
      <w:r>
        <w:rPr>
          <w:rFonts w:hint="eastAsia" w:eastAsia="黑体" w:cs="Times New Roman"/>
          <w:sz w:val="24"/>
          <w:lang w:val="en-US" w:eastAsia="zh-CN"/>
        </w:rPr>
        <w:t>15</w:t>
      </w:r>
      <w:r>
        <w:rPr>
          <w:rFonts w:hint="default" w:ascii="Times New Roman" w:hAnsi="Times New Roman" w:eastAsia="黑体" w:cs="Times New Roman"/>
          <w:sz w:val="24"/>
          <w:lang w:val="en-US" w:eastAsia="zh-CN"/>
        </w:rPr>
        <w:t xml:space="preserve"> 创业板CAAR图</w:t>
      </w:r>
    </w:p>
    <w:p>
      <w:pPr>
        <w:spacing w:line="360" w:lineRule="auto"/>
        <w:ind w:firstLine="720" w:firstLineChars="300"/>
        <w:jc w:val="left"/>
        <w:rPr>
          <w:rFonts w:hint="default" w:ascii="Times New Roman" w:hAnsi="Times New Roman" w:eastAsia="黑体" w:cs="Times New Roman"/>
          <w:sz w:val="24"/>
          <w:lang w:val="en-US" w:eastAsia="zh-CN"/>
        </w:rPr>
      </w:pPr>
    </w:p>
    <w:p>
      <w:pPr>
        <w:spacing w:line="300" w:lineRule="exact"/>
        <w:ind w:firstLine="480" w:firstLineChars="200"/>
        <w:jc w:val="center"/>
        <w:rPr>
          <w:rFonts w:hint="default" w:eastAsia="黑体"/>
          <w:sz w:val="24"/>
          <w:lang w:val="en-US" w:eastAsia="zh-CN"/>
        </w:rPr>
      </w:pPr>
      <w:r>
        <w:rPr>
          <w:rFonts w:eastAsia="黑体"/>
          <w:sz w:val="24"/>
        </w:rPr>
        <w:t>表4-6  单一处罚的分板块</w:t>
      </w:r>
      <w:r>
        <w:rPr>
          <w:rFonts w:hint="eastAsia" w:eastAsia="黑体"/>
          <w:sz w:val="24"/>
          <w:lang w:val="en-US" w:eastAsia="zh-CN"/>
        </w:rPr>
        <w:t>单日AAR</w:t>
      </w:r>
    </w:p>
    <w:p>
      <w:pPr>
        <w:spacing w:line="300" w:lineRule="exact"/>
        <w:ind w:firstLine="480" w:firstLineChars="200"/>
        <w:jc w:val="center"/>
        <w:rPr>
          <w:rFonts w:eastAsia="黑体"/>
          <w:sz w:val="24"/>
        </w:rPr>
      </w:pPr>
    </w:p>
    <w:tbl>
      <w:tblPr>
        <w:tblStyle w:val="6"/>
        <w:tblW w:w="8502"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417"/>
        <w:gridCol w:w="1417"/>
        <w:gridCol w:w="1417"/>
        <w:gridCol w:w="1417"/>
        <w:gridCol w:w="1417"/>
        <w:gridCol w:w="14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1417" w:type="dxa"/>
            <w:tcBorders>
              <w:top w:val="single" w:color="auto" w:sz="4" w:space="0"/>
              <w:left w:val="nil"/>
              <w:bottom w:val="single" w:color="auto" w:sz="4" w:space="0"/>
              <w:right w:val="nil"/>
            </w:tcBorders>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rPr>
            </w:pPr>
          </w:p>
        </w:tc>
        <w:tc>
          <w:tcPr>
            <w:tcW w:w="1417" w:type="dxa"/>
            <w:tcBorders>
              <w:top w:val="single" w:color="auto" w:sz="4" w:space="0"/>
              <w:left w:val="nil"/>
              <w:bottom w:val="single" w:color="auto" w:sz="4" w:space="0"/>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上A主板</w:t>
            </w:r>
          </w:p>
        </w:tc>
        <w:tc>
          <w:tcPr>
            <w:tcW w:w="1417" w:type="dxa"/>
            <w:tcBorders>
              <w:top w:val="single" w:color="auto" w:sz="4" w:space="0"/>
              <w:left w:val="nil"/>
              <w:bottom w:val="single" w:color="auto" w:sz="4" w:space="0"/>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深A主板</w:t>
            </w:r>
          </w:p>
        </w:tc>
        <w:tc>
          <w:tcPr>
            <w:tcW w:w="1417" w:type="dxa"/>
            <w:tcBorders>
              <w:top w:val="single" w:color="auto" w:sz="4" w:space="0"/>
              <w:left w:val="nil"/>
              <w:bottom w:val="single" w:color="auto" w:sz="4" w:space="0"/>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沪深A主板</w:t>
            </w:r>
          </w:p>
        </w:tc>
        <w:tc>
          <w:tcPr>
            <w:tcW w:w="1417" w:type="dxa"/>
            <w:tcBorders>
              <w:top w:val="single" w:color="auto" w:sz="4" w:space="0"/>
              <w:left w:val="nil"/>
              <w:bottom w:val="single" w:color="auto" w:sz="4" w:space="0"/>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中小板</w:t>
            </w:r>
          </w:p>
        </w:tc>
        <w:tc>
          <w:tcPr>
            <w:tcW w:w="1417" w:type="dxa"/>
            <w:tcBorders>
              <w:top w:val="single" w:color="auto" w:sz="4" w:space="0"/>
              <w:left w:val="nil"/>
              <w:bottom w:val="single" w:color="auto" w:sz="4" w:space="0"/>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创业板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1417" w:type="dxa"/>
            <w:tcBorders>
              <w:top w:val="single" w:color="auto" w:sz="4" w:space="0"/>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-10</w:t>
            </w:r>
          </w:p>
        </w:tc>
        <w:tc>
          <w:tcPr>
            <w:tcW w:w="1417" w:type="dxa"/>
            <w:tcBorders>
              <w:top w:val="single" w:color="auto" w:sz="4" w:space="0"/>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0.0003</w:t>
            </w:r>
          </w:p>
        </w:tc>
        <w:tc>
          <w:tcPr>
            <w:tcW w:w="1417" w:type="dxa"/>
            <w:tcBorders>
              <w:top w:val="single" w:color="auto" w:sz="4" w:space="0"/>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0.0021</w:t>
            </w:r>
          </w:p>
        </w:tc>
        <w:tc>
          <w:tcPr>
            <w:tcW w:w="1417" w:type="dxa"/>
            <w:tcBorders>
              <w:top w:val="single" w:color="auto" w:sz="4" w:space="0"/>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0.0010</w:t>
            </w:r>
          </w:p>
        </w:tc>
        <w:tc>
          <w:tcPr>
            <w:tcW w:w="1417" w:type="dxa"/>
            <w:tcBorders>
              <w:top w:val="single" w:color="auto" w:sz="4" w:space="0"/>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0.0015</w:t>
            </w:r>
          </w:p>
        </w:tc>
        <w:tc>
          <w:tcPr>
            <w:tcW w:w="1417" w:type="dxa"/>
            <w:tcBorders>
              <w:top w:val="single" w:color="auto" w:sz="4" w:space="0"/>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1417"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-9</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0.0003</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-0.0024</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-0.0006</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0.0022</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1417"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-8</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-0.0001</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0.0019</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0.0006</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-0.0014</w:t>
            </w:r>
          </w:p>
        </w:tc>
        <w:tc>
          <w:tcPr>
            <w:tcW w:w="1417"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0.0053**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1417"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-7</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-0.0016</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0.0016</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-0.0005</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-9.23e-06</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1417"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-6</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-0.0020</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-0.0042</w:t>
            </w:r>
          </w:p>
        </w:tc>
        <w:tc>
          <w:tcPr>
            <w:tcW w:w="1417"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-0.0028*</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-0.0009</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1417"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-5</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0.0013</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0.0019</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0.0015</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-0.0025</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1417"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-4</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0.0006</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-0.0014</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-0.0001</w:t>
            </w:r>
          </w:p>
        </w:tc>
        <w:tc>
          <w:tcPr>
            <w:tcW w:w="1417"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-0.0032*</w:t>
            </w:r>
          </w:p>
        </w:tc>
        <w:tc>
          <w:tcPr>
            <w:tcW w:w="1417"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-0.0040*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1417"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-3</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-0.0023</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0.0020</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-0.0008</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-0.0006</w:t>
            </w:r>
          </w:p>
        </w:tc>
        <w:tc>
          <w:tcPr>
            <w:tcW w:w="1417"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-0.0060***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1417"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-2</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0.0030</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0.0006</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0.0021</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0.0011</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1417"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-1</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0.0005</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0.0026</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0.0012</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-0.0001</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1417"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0</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-0.0009</w:t>
            </w:r>
          </w:p>
        </w:tc>
        <w:tc>
          <w:tcPr>
            <w:tcW w:w="1417"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0.0059**</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0.0014</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0.0002</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1417"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1</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-0.0002</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-0.0036</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-0.0014</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0.0003</w:t>
            </w:r>
          </w:p>
        </w:tc>
        <w:tc>
          <w:tcPr>
            <w:tcW w:w="1417"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-0.0059***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1417"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2</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-0.0014</w:t>
            </w:r>
          </w:p>
        </w:tc>
        <w:tc>
          <w:tcPr>
            <w:tcW w:w="1417"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0.0044*</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0.0006</w:t>
            </w:r>
          </w:p>
        </w:tc>
        <w:tc>
          <w:tcPr>
            <w:tcW w:w="1417"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-0.0036**</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1417"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3</w:t>
            </w:r>
          </w:p>
        </w:tc>
        <w:tc>
          <w:tcPr>
            <w:tcW w:w="1417"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-0,0038**</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-0.0024</w:t>
            </w:r>
          </w:p>
        </w:tc>
        <w:tc>
          <w:tcPr>
            <w:tcW w:w="1417"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-0.0033**</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-0.0010</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1417"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4</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-0.0009</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0.0031</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0.0005</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-0.0012</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1417"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5</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-0.0025</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-0.0016</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-0.0022</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0.0013</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1417"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6</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0.0005</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0.0005</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0.0005</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-0.0006</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1417"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7</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0.0029</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0.0020</w:t>
            </w:r>
          </w:p>
        </w:tc>
        <w:tc>
          <w:tcPr>
            <w:tcW w:w="1417"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0.0026*</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-0.0025</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1417"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8</w:t>
            </w:r>
          </w:p>
        </w:tc>
        <w:tc>
          <w:tcPr>
            <w:tcW w:w="1417"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0.0034*</w:t>
            </w:r>
          </w:p>
        </w:tc>
        <w:tc>
          <w:tcPr>
            <w:tcW w:w="1417"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0.0049*</w:t>
            </w:r>
          </w:p>
        </w:tc>
        <w:tc>
          <w:tcPr>
            <w:tcW w:w="1417"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0.0039**</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0.0020</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417"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9</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-0.0004</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0.0006</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-0.0001</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-0.0014</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417" w:type="dxa"/>
            <w:tcBorders>
              <w:top w:val="nil"/>
              <w:left w:val="nil"/>
              <w:bottom w:val="single" w:color="auto" w:sz="4" w:space="0"/>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10</w:t>
            </w:r>
          </w:p>
        </w:tc>
        <w:tc>
          <w:tcPr>
            <w:tcW w:w="1417" w:type="dxa"/>
            <w:tcBorders>
              <w:top w:val="nil"/>
              <w:left w:val="nil"/>
              <w:bottom w:val="single" w:color="auto" w:sz="4" w:space="0"/>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0.0007</w:t>
            </w:r>
          </w:p>
        </w:tc>
        <w:tc>
          <w:tcPr>
            <w:tcW w:w="1417" w:type="dxa"/>
            <w:tcBorders>
              <w:top w:val="nil"/>
              <w:left w:val="nil"/>
              <w:bottom w:val="single" w:color="auto" w:sz="4" w:space="0"/>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-0.0031</w:t>
            </w:r>
          </w:p>
        </w:tc>
        <w:tc>
          <w:tcPr>
            <w:tcW w:w="1417" w:type="dxa"/>
            <w:tcBorders>
              <w:top w:val="nil"/>
              <w:left w:val="nil"/>
              <w:bottom w:val="single" w:color="auto" w:sz="4" w:space="0"/>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-0.0006</w:t>
            </w:r>
          </w:p>
        </w:tc>
        <w:tc>
          <w:tcPr>
            <w:tcW w:w="1417" w:type="dxa"/>
            <w:tcBorders>
              <w:top w:val="nil"/>
              <w:left w:val="nil"/>
              <w:bottom w:val="single" w:color="auto" w:sz="4" w:space="0"/>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0.0012</w:t>
            </w:r>
          </w:p>
        </w:tc>
        <w:tc>
          <w:tcPr>
            <w:tcW w:w="1417" w:type="dxa"/>
            <w:tcBorders>
              <w:top w:val="nil"/>
              <w:left w:val="nil"/>
              <w:bottom w:val="single" w:color="auto" w:sz="4" w:space="0"/>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0.0013</w:t>
            </w:r>
          </w:p>
        </w:tc>
      </w:tr>
    </w:tbl>
    <w:p>
      <w:pPr>
        <w:spacing w:line="360" w:lineRule="auto"/>
        <w:jc w:val="left"/>
        <w:rPr>
          <w:sz w:val="24"/>
        </w:rPr>
      </w:pPr>
    </w:p>
    <w:p>
      <w:pPr>
        <w:spacing w:line="300" w:lineRule="exact"/>
        <w:ind w:firstLine="480" w:firstLineChars="200"/>
        <w:jc w:val="center"/>
        <w:rPr>
          <w:rFonts w:hint="default" w:eastAsia="黑体"/>
          <w:sz w:val="24"/>
          <w:lang w:val="en-US" w:eastAsia="zh-CN"/>
        </w:rPr>
      </w:pPr>
      <w:r>
        <w:rPr>
          <w:rFonts w:eastAsia="黑体"/>
          <w:sz w:val="24"/>
        </w:rPr>
        <w:t>表4-7  单一处罚的分板块</w:t>
      </w:r>
      <w:r>
        <w:rPr>
          <w:rFonts w:hint="eastAsia" w:eastAsia="黑体"/>
          <w:sz w:val="24"/>
          <w:lang w:val="en-US" w:eastAsia="zh-CN"/>
        </w:rPr>
        <w:t>累计异常回报</w:t>
      </w:r>
    </w:p>
    <w:p>
      <w:pPr>
        <w:spacing w:line="300" w:lineRule="exact"/>
        <w:ind w:firstLine="480" w:firstLineChars="200"/>
        <w:jc w:val="center"/>
        <w:rPr>
          <w:rFonts w:eastAsia="黑体"/>
          <w:sz w:val="24"/>
        </w:rPr>
      </w:pPr>
    </w:p>
    <w:tbl>
      <w:tblPr>
        <w:tblStyle w:val="6"/>
        <w:tblW w:w="8502"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417"/>
        <w:gridCol w:w="1417"/>
        <w:gridCol w:w="1417"/>
        <w:gridCol w:w="1417"/>
        <w:gridCol w:w="1417"/>
        <w:gridCol w:w="14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1417" w:type="dxa"/>
            <w:tcBorders>
              <w:top w:val="single" w:color="auto" w:sz="4" w:space="0"/>
              <w:left w:val="nil"/>
              <w:bottom w:val="single" w:color="000000" w:sz="4" w:space="0"/>
              <w:right w:val="nil"/>
            </w:tcBorders>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rPr>
            </w:pPr>
          </w:p>
        </w:tc>
        <w:tc>
          <w:tcPr>
            <w:tcW w:w="1417" w:type="dxa"/>
            <w:tcBorders>
              <w:top w:val="single" w:color="auto"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上A主板</w:t>
            </w:r>
          </w:p>
        </w:tc>
        <w:tc>
          <w:tcPr>
            <w:tcW w:w="1417" w:type="dxa"/>
            <w:tcBorders>
              <w:top w:val="single" w:color="auto"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深A主板</w:t>
            </w:r>
          </w:p>
        </w:tc>
        <w:tc>
          <w:tcPr>
            <w:tcW w:w="1417" w:type="dxa"/>
            <w:tcBorders>
              <w:top w:val="single" w:color="auto"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沪深A主板</w:t>
            </w:r>
          </w:p>
        </w:tc>
        <w:tc>
          <w:tcPr>
            <w:tcW w:w="1417" w:type="dxa"/>
            <w:tcBorders>
              <w:top w:val="single" w:color="auto"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中小板</w:t>
            </w:r>
          </w:p>
        </w:tc>
        <w:tc>
          <w:tcPr>
            <w:tcW w:w="1417" w:type="dxa"/>
            <w:tcBorders>
              <w:top w:val="single" w:color="auto"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创业板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1417" w:type="dxa"/>
            <w:tcBorders>
              <w:top w:val="single" w:color="000000" w:sz="4" w:space="0"/>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[-1.1]</w:t>
            </w:r>
          </w:p>
        </w:tc>
        <w:tc>
          <w:tcPr>
            <w:tcW w:w="1417" w:type="dxa"/>
            <w:tcBorders>
              <w:top w:val="single" w:color="000000" w:sz="4" w:space="0"/>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-0.0007</w:t>
            </w:r>
          </w:p>
        </w:tc>
        <w:tc>
          <w:tcPr>
            <w:tcW w:w="1417" w:type="dxa"/>
            <w:tcBorders>
              <w:top w:val="single" w:color="000000" w:sz="4" w:space="0"/>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0.0056</w:t>
            </w:r>
          </w:p>
        </w:tc>
        <w:tc>
          <w:tcPr>
            <w:tcW w:w="1417" w:type="dxa"/>
            <w:tcBorders>
              <w:top w:val="single" w:color="000000" w:sz="4" w:space="0"/>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0.0014</w:t>
            </w:r>
          </w:p>
        </w:tc>
        <w:tc>
          <w:tcPr>
            <w:tcW w:w="1417" w:type="dxa"/>
            <w:tcBorders>
              <w:top w:val="single" w:color="000000" w:sz="4" w:space="0"/>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0.0004</w:t>
            </w:r>
          </w:p>
        </w:tc>
        <w:tc>
          <w:tcPr>
            <w:tcW w:w="1417" w:type="dxa"/>
            <w:tcBorders>
              <w:top w:val="single" w:color="000000" w:sz="4" w:space="0"/>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1417"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[-2,2]</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0.0010</w:t>
            </w:r>
          </w:p>
        </w:tc>
        <w:tc>
          <w:tcPr>
            <w:tcW w:w="1417"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0.0098*</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0.0040</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-0.0017</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-0.0077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1417"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[-3,3]</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-0.0051</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0.0108</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0.0004</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-0.0030</w:t>
            </w:r>
          </w:p>
        </w:tc>
        <w:tc>
          <w:tcPr>
            <w:tcW w:w="1417"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-0.0128**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1417"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[-5,5]</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-0.0069</w:t>
            </w:r>
          </w:p>
        </w:tc>
        <w:tc>
          <w:tcPr>
            <w:tcW w:w="1417"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0.0161*</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0.0012</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-0.0067</w:t>
            </w:r>
          </w:p>
        </w:tc>
        <w:tc>
          <w:tcPr>
            <w:tcW w:w="1417"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-0.0188**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1417"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[-10,10]</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 xml:space="preserve"> -0.0025</w:t>
            </w:r>
          </w:p>
        </w:tc>
        <w:tc>
          <w:tcPr>
            <w:tcW w:w="1417"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0.0206*</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0.0054</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-0.0068</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-0.0105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1417"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[0,3]</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-0.0056</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0.0050</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-0.0020</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-0.0035</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1417"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[0,5]</w:t>
            </w:r>
          </w:p>
        </w:tc>
        <w:tc>
          <w:tcPr>
            <w:tcW w:w="1417"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-0.0087*</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0.0082</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-0.0029</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-0.0027</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417"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[0,10]</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-0.0001</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0.0119</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0.0041</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-0.0039</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-0.0077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1417"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[-10,0]</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-0.0011</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0.0131</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0.0037</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-0.0014</w:t>
            </w:r>
          </w:p>
        </w:tc>
        <w:tc>
          <w:tcPr>
            <w:tcW w:w="1417" w:type="dxa"/>
            <w:tcBorders>
              <w:top w:val="nil"/>
              <w:left w:val="nil"/>
              <w:bottom w:val="nil"/>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417" w:type="dxa"/>
            <w:tcBorders>
              <w:top w:val="nil"/>
              <w:left w:val="nil"/>
              <w:bottom w:val="single" w:color="auto" w:sz="4" w:space="0"/>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[-5,0]</w:t>
            </w:r>
          </w:p>
        </w:tc>
        <w:tc>
          <w:tcPr>
            <w:tcW w:w="1417" w:type="dxa"/>
            <w:tcBorders>
              <w:top w:val="nil"/>
              <w:left w:val="nil"/>
              <w:bottom w:val="single" w:color="auto" w:sz="4" w:space="0"/>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0.0023</w:t>
            </w:r>
          </w:p>
        </w:tc>
        <w:tc>
          <w:tcPr>
            <w:tcW w:w="1417" w:type="dxa"/>
            <w:tcBorders>
              <w:top w:val="nil"/>
              <w:left w:val="nil"/>
              <w:bottom w:val="single" w:color="auto" w:sz="4"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0.0143**</w:t>
            </w:r>
          </w:p>
        </w:tc>
        <w:tc>
          <w:tcPr>
            <w:tcW w:w="1417" w:type="dxa"/>
            <w:tcBorders>
              <w:top w:val="nil"/>
              <w:left w:val="nil"/>
              <w:bottom w:val="single" w:color="auto" w:sz="4"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0.0064*</w:t>
            </w:r>
          </w:p>
        </w:tc>
        <w:tc>
          <w:tcPr>
            <w:tcW w:w="1417" w:type="dxa"/>
            <w:tcBorders>
              <w:top w:val="nil"/>
              <w:left w:val="nil"/>
              <w:bottom w:val="single" w:color="auto" w:sz="4" w:space="0"/>
              <w:right w:val="nil"/>
            </w:tcBorders>
            <w:shd w:val="clear" w:color="auto" w:fill="auto"/>
            <w:noWrap/>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-0.0038</w:t>
            </w:r>
          </w:p>
        </w:tc>
        <w:tc>
          <w:tcPr>
            <w:tcW w:w="1417" w:type="dxa"/>
            <w:tcBorders>
              <w:top w:val="nil"/>
              <w:left w:val="nil"/>
              <w:bottom w:val="single" w:color="auto" w:sz="4"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-0.0116**</w:t>
            </w:r>
          </w:p>
        </w:tc>
      </w:tr>
    </w:tbl>
    <w:p>
      <w:pPr>
        <w:spacing w:line="360" w:lineRule="auto"/>
        <w:ind w:firstLine="480" w:firstLineChars="200"/>
        <w:rPr>
          <w:sz w:val="24"/>
        </w:rPr>
      </w:pPr>
    </w:p>
    <w:p>
      <w:pPr>
        <w:spacing w:line="360" w:lineRule="auto"/>
        <w:rPr>
          <w:sz w:val="24"/>
        </w:rPr>
      </w:pPr>
      <w:r>
        <w:rPr>
          <w:sz w:val="24"/>
        </w:rPr>
        <w:t>分的结果主要呈现了不同板块，即市值规模，带来的反应时间差异和反应显著性差异。（stata具体输出结果见附录）。</w:t>
      </w:r>
    </w:p>
    <w:p>
      <w:pPr>
        <w:spacing w:line="360" w:lineRule="auto"/>
        <w:ind w:firstLine="480" w:firstLineChars="200"/>
        <w:rPr>
          <w:sz w:val="24"/>
        </w:rPr>
      </w:pPr>
      <w:r>
        <w:rPr>
          <w:sz w:val="24"/>
        </w:rPr>
        <w:t>上证A股在公告后第三日平均出现0.41%的单日异常损失（p=0.05），在公告日后第八日，出现了平均0.34%的单日回调（p=0.1），且在公告发布前的第三日出现了平均0.32%（p=0.1）的单日异常收益，综合[-10,10]这个长窗口期的累计数据来看，虽然平均累计回报率为负，但并不显著；而深证A股主板的反应则更为出乎我们的意料，仅仅从异常回报来看，深证A股主板在各个窗口期的平均累计异常回报均为正值，且在公告日当日有0.59%的异常收益（p=0.05）。考虑到样本量的影响，我们把沪深A股主板同时考虑时，发现A股主板在总体上又与我们的假设及上一小节中得到的结果不谋而合：在公告发布前的第六日，单日出现了平均为0.28%的异常损失（p=0.1），而在公告日后的第三日，也出现了单日平均0.33%（p=0.05）的异常损失，在公告发布后的第七日和第八日，分别出现单日0.26%（p=0.1）和0.39%（p=0.05）的价格回调。中小板股票也存在提前反应，在公告发布前的第四天，出现了单日平均0.32%的异常损失（p=0.1），而在公告发布后的第二天，出现了单日平均0.36%（p=0.05）的异常损失，在公告发布后10日内未见显著回调，不论是单日还是累计；创业板股票在公告发布前第八日存在平均单日0.53%（p=0.05）的单日平均异常收益，而在公告发布前的第三日出现了0.6%（p=0.01）的单日平均异常损失，在公告发布后的第一日，单日平均异常损失为0.59%（p=0.01），和中小板相似，创业板股票在公告发布后10日内也未见显著回调</w:t>
      </w:r>
      <w:r>
        <w:rPr>
          <w:rFonts w:hint="eastAsia"/>
          <w:sz w:val="24"/>
          <w:lang w:eastAsia="zh-CN"/>
        </w:rPr>
        <w:t>，</w:t>
      </w:r>
      <w:r>
        <w:rPr>
          <w:rFonts w:hint="eastAsia"/>
          <w:sz w:val="24"/>
          <w:lang w:val="en-US" w:eastAsia="zh-CN"/>
        </w:rPr>
        <w:t>在本文中，我们把事后回调作为“异常回报来源于投资者情绪”的一种现象支持，因为事后回调现象与“异常回报完全来源于投资者理性判断”有一定程度的矛盾，但未见显著回调并不意味着投资者情绪影响，即噪声交易的不存在，因为信息披露后，投资者的关注以及反应需要一定的时间，处于不同信息反应阶段的投资者对股票价格的影响很可能造成“抵消”，使得我们在某些窗口看不到显著的异常回报</w:t>
      </w:r>
      <w:r>
        <w:rPr>
          <w:sz w:val="24"/>
        </w:rPr>
        <w:t>。</w:t>
      </w:r>
    </w:p>
    <w:p>
      <w:pPr>
        <w:spacing w:line="360" w:lineRule="auto"/>
        <w:ind w:firstLine="480" w:firstLineChars="200"/>
        <w:rPr>
          <w:sz w:val="24"/>
        </w:rPr>
      </w:pPr>
      <w:r>
        <w:rPr>
          <w:sz w:val="24"/>
        </w:rPr>
        <w:t>从我们的结果看来，提前反应广泛存在于各个板块，且提前反应既有正向反应，也有负向反应，在同时具备正反两个方向的提前反应时，往往是先出现异常收益，再出现异常损失，这意味着公告事件的提前泄露的广泛存在，且上市公司往往比投资者反应更迅速或得到消息更早。而公告日后10日内的事后回调仅仅在A股主板中显著存在，这意味着市值规模确实和事件后的回调有关，但回调究竟是投资者情绪自发变动引起的，还是上市公司施加了干预，这个问题还有赖更深入的研究，此外，虽然中小板及创业板未见显著的回调，但我们不能确定更长的期限内是否会出现回调。至于我们着重关注的公告后的异常损失，我们发现，异常损失广泛存在，但不同板块的呈现方式有所差异，主板A股平均在公告后第三日出现显著异常损失，中小板是第二日，而创业板平均在公告后第一日出现，且损失更加显著，这说明低市值规模股票表现得更敏感，且反应更迅速。至于沪市和深市A股主板的差异，我们注意到，深市股票具有更显著的事前异常收益，且持续到公告日当日，在公告日后则表现为无显著反应，沪市股票的事前异常收益显著度低于深市股票，且在公告后更多表现为显著异常损失。</w:t>
      </w:r>
    </w:p>
    <w:p>
      <w:pPr>
        <w:spacing w:line="360" w:lineRule="auto"/>
        <w:ind w:firstLine="480" w:firstLineChars="200"/>
        <w:rPr>
          <w:sz w:val="24"/>
        </w:rPr>
      </w:pPr>
    </w:p>
    <w:p>
      <w:pPr>
        <w:spacing w:line="360" w:lineRule="auto"/>
        <w:jc w:val="left"/>
        <w:rPr>
          <w:rFonts w:eastAsia="黑体"/>
          <w:b/>
          <w:bCs/>
          <w:sz w:val="24"/>
        </w:rPr>
      </w:pPr>
      <w:r>
        <w:rPr>
          <w:b/>
          <w:bCs/>
          <w:sz w:val="24"/>
        </w:rPr>
        <w:t>4.3.2</w:t>
      </w:r>
      <w:r>
        <w:rPr>
          <w:sz w:val="24"/>
        </w:rPr>
        <w:t xml:space="preserve"> </w:t>
      </w:r>
      <w:r>
        <w:rPr>
          <w:b/>
          <w:bCs/>
          <w:sz w:val="24"/>
        </w:rPr>
        <w:t xml:space="preserve"> </w:t>
      </w:r>
      <w:r>
        <w:rPr>
          <w:rFonts w:eastAsia="黑体"/>
          <w:b/>
          <w:bCs/>
          <w:sz w:val="24"/>
        </w:rPr>
        <w:t>所有权性质的异质性分析</w:t>
      </w:r>
    </w:p>
    <w:p>
      <w:pPr>
        <w:spacing w:line="360" w:lineRule="auto"/>
        <w:ind w:firstLine="480" w:firstLineChars="200"/>
        <w:rPr>
          <w:sz w:val="24"/>
        </w:rPr>
      </w:pPr>
      <w:r>
        <w:rPr>
          <w:sz w:val="24"/>
        </w:rPr>
        <w:t>对于4.3.2节中提到的沪深A股主板的反应差异，我们无法直接判断差异是否是由所在市场或公告发布机构带来的，在本节中，我们将对所有制进行区分，试图更深入了解主板A股之间的反应差异。</w:t>
      </w:r>
    </w:p>
    <w:p>
      <w:pPr>
        <w:spacing w:line="360" w:lineRule="auto"/>
        <w:ind w:firstLine="480" w:firstLineChars="200"/>
        <w:rPr>
          <w:sz w:val="24"/>
        </w:rPr>
      </w:pPr>
      <w:r>
        <w:rPr>
          <w:sz w:val="24"/>
        </w:rPr>
        <w:t>首先，我们统计了A股主板和</w:t>
      </w:r>
      <w:r>
        <w:rPr>
          <w:rFonts w:hint="eastAsia"/>
          <w:sz w:val="24"/>
          <w:lang w:val="en-US" w:eastAsia="zh-CN"/>
        </w:rPr>
        <w:t>非主板</w:t>
      </w:r>
      <w:r>
        <w:rPr>
          <w:sz w:val="24"/>
        </w:rPr>
        <w:t>的所有制情况分布，如图4-</w:t>
      </w:r>
      <w:r>
        <w:rPr>
          <w:rFonts w:hint="eastAsia"/>
          <w:sz w:val="24"/>
          <w:lang w:val="en-US" w:eastAsia="zh-CN"/>
        </w:rPr>
        <w:t>16</w:t>
      </w:r>
      <w:r>
        <w:rPr>
          <w:sz w:val="24"/>
        </w:rPr>
        <w:t>和图4-</w:t>
      </w:r>
      <w:r>
        <w:rPr>
          <w:rFonts w:hint="eastAsia"/>
          <w:sz w:val="24"/>
          <w:lang w:val="en-US" w:eastAsia="zh-CN"/>
        </w:rPr>
        <w:t>17</w:t>
      </w:r>
      <w:r>
        <w:rPr>
          <w:sz w:val="24"/>
        </w:rPr>
        <w:t>所示。为了拥有更为准确的结果，我们舍弃样本量不足的类别，选择对</w:t>
      </w:r>
      <w:r>
        <w:rPr>
          <w:rFonts w:hint="eastAsia"/>
          <w:sz w:val="24"/>
          <w:lang w:eastAsia="zh-CN"/>
        </w:rPr>
        <w:t>国企</w:t>
      </w:r>
      <w:r>
        <w:rPr>
          <w:sz w:val="24"/>
        </w:rPr>
        <w:t>或国有控股以及</w:t>
      </w:r>
      <w:r>
        <w:rPr>
          <w:rFonts w:hint="eastAsia"/>
          <w:sz w:val="24"/>
          <w:lang w:eastAsia="zh-CN"/>
        </w:rPr>
        <w:t>民营</w:t>
      </w:r>
      <w:r>
        <w:rPr>
          <w:sz w:val="24"/>
        </w:rPr>
        <w:t>企业进行研究。在非主板上市公司中，</w:t>
      </w:r>
      <w:r>
        <w:rPr>
          <w:rFonts w:hint="eastAsia"/>
          <w:sz w:val="24"/>
          <w:lang w:eastAsia="zh-CN"/>
        </w:rPr>
        <w:t>国企</w:t>
      </w:r>
      <w:r>
        <w:rPr>
          <w:sz w:val="24"/>
        </w:rPr>
        <w:t>或国有控股占比非常低，所以我们选择在主板股票中进行所有制的差别分析。我们的有效样本为81家上证国企、59家深证国企、96家上证</w:t>
      </w:r>
      <w:r>
        <w:rPr>
          <w:rFonts w:hint="eastAsia"/>
          <w:sz w:val="24"/>
          <w:lang w:eastAsia="zh-CN"/>
        </w:rPr>
        <w:t>民营</w:t>
      </w:r>
      <w:r>
        <w:rPr>
          <w:sz w:val="24"/>
        </w:rPr>
        <w:t>和45家深证</w:t>
      </w:r>
      <w:r>
        <w:rPr>
          <w:rFonts w:hint="eastAsia"/>
          <w:sz w:val="24"/>
          <w:lang w:eastAsia="zh-CN"/>
        </w:rPr>
        <w:t>民营</w:t>
      </w:r>
      <w:r>
        <w:rPr>
          <w:rFonts w:hint="eastAsia"/>
          <w:sz w:val="24"/>
          <w:lang w:val="en-US" w:eastAsia="zh-CN"/>
        </w:rPr>
        <w:t>企业</w:t>
      </w:r>
      <w:r>
        <w:rPr>
          <w:sz w:val="24"/>
        </w:rPr>
        <w:t>。我们得到的结果如</w:t>
      </w:r>
      <w:r>
        <w:rPr>
          <w:rFonts w:hint="eastAsia"/>
          <w:sz w:val="24"/>
          <w:lang w:val="en-US" w:eastAsia="zh-CN"/>
        </w:rPr>
        <w:t>图4-18至图4-21以及</w:t>
      </w:r>
      <w:r>
        <w:rPr>
          <w:sz w:val="24"/>
        </w:rPr>
        <w:t>表4-8和表4-9所示。（stata具体输出结果见附录）</w:t>
      </w:r>
    </w:p>
    <w:p>
      <w:pPr>
        <w:spacing w:line="360" w:lineRule="auto"/>
        <w:jc w:val="distribute"/>
      </w:pPr>
      <w:r>
        <w:drawing>
          <wp:inline distT="0" distB="0" distL="114300" distR="114300">
            <wp:extent cx="4533900" cy="2743200"/>
            <wp:effectExtent l="0" t="0" r="0" b="0"/>
            <wp:docPr id="2" name="图表 1" descr="7b0a202020202263686172745265734964223a20223230343732313936220a7d0a"/>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pPr>
        <w:spacing w:line="360" w:lineRule="auto"/>
        <w:ind w:left="120" w:hanging="120" w:hangingChars="50"/>
        <w:jc w:val="center"/>
        <w:rPr>
          <w:rFonts w:eastAsia="黑体"/>
          <w:sz w:val="24"/>
        </w:rPr>
      </w:pPr>
      <w:r>
        <w:rPr>
          <w:rFonts w:eastAsia="黑体"/>
          <w:sz w:val="24"/>
        </w:rPr>
        <w:t>图4</w:t>
      </w:r>
      <w:r>
        <w:rPr>
          <w:kern w:val="0"/>
          <w:sz w:val="24"/>
        </w:rPr>
        <w:t>-</w:t>
      </w:r>
      <w:r>
        <w:rPr>
          <w:rFonts w:hint="eastAsia"/>
          <w:kern w:val="0"/>
          <w:sz w:val="24"/>
          <w:lang w:val="en-US" w:eastAsia="zh-CN"/>
        </w:rPr>
        <w:t>16</w:t>
      </w:r>
      <w:r>
        <w:rPr>
          <w:kern w:val="0"/>
          <w:sz w:val="24"/>
        </w:rPr>
        <w:t xml:space="preserve">  </w:t>
      </w:r>
      <w:r>
        <w:rPr>
          <w:rFonts w:eastAsia="黑体"/>
          <w:sz w:val="24"/>
        </w:rPr>
        <w:t>主板样本所有制情况</w:t>
      </w:r>
    </w:p>
    <w:p>
      <w:pPr>
        <w:spacing w:before="156" w:beforeLines="50" w:after="156" w:afterLines="50"/>
        <w:jc w:val="center"/>
      </w:pPr>
      <w:r>
        <w:drawing>
          <wp:inline distT="0" distB="0" distL="114300" distR="114300">
            <wp:extent cx="4527550" cy="2685415"/>
            <wp:effectExtent l="0" t="0" r="6350" b="6985"/>
            <wp:docPr id="5" name="图表 4" descr="7b0a202020202263686172745265734964223a20223230343732313936220a7d0a"/>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pPr>
        <w:spacing w:line="360" w:lineRule="auto"/>
        <w:ind w:left="120" w:hanging="120" w:hangingChars="50"/>
        <w:jc w:val="center"/>
        <w:rPr>
          <w:rFonts w:eastAsia="黑体"/>
          <w:sz w:val="24"/>
        </w:rPr>
      </w:pPr>
      <w:r>
        <w:rPr>
          <w:rFonts w:eastAsia="黑体"/>
          <w:sz w:val="24"/>
        </w:rPr>
        <w:t>图4</w:t>
      </w:r>
      <w:r>
        <w:rPr>
          <w:kern w:val="0"/>
          <w:sz w:val="24"/>
        </w:rPr>
        <w:t>-</w:t>
      </w:r>
      <w:r>
        <w:rPr>
          <w:rFonts w:hint="eastAsia"/>
          <w:kern w:val="0"/>
          <w:sz w:val="24"/>
          <w:lang w:val="en-US" w:eastAsia="zh-CN"/>
        </w:rPr>
        <w:t>17</w:t>
      </w:r>
      <w:r>
        <w:rPr>
          <w:kern w:val="0"/>
          <w:sz w:val="24"/>
        </w:rPr>
        <w:t xml:space="preserve">  </w:t>
      </w:r>
      <w:r>
        <w:rPr>
          <w:rFonts w:hint="eastAsia" w:eastAsia="黑体"/>
          <w:sz w:val="24"/>
          <w:lang w:val="en-US" w:eastAsia="zh-CN"/>
        </w:rPr>
        <w:t>非主板</w:t>
      </w:r>
      <w:r>
        <w:rPr>
          <w:rFonts w:eastAsia="黑体"/>
          <w:sz w:val="24"/>
        </w:rPr>
        <w:t>样本企业所有制情况</w:t>
      </w:r>
    </w:p>
    <w:p>
      <w:pPr>
        <w:spacing w:line="360" w:lineRule="auto"/>
        <w:ind w:left="120" w:hanging="120" w:hangingChars="50"/>
        <w:jc w:val="center"/>
        <w:rPr>
          <w:rFonts w:eastAsia="黑体"/>
          <w:sz w:val="24"/>
        </w:rPr>
      </w:pPr>
    </w:p>
    <w:p>
      <w:pPr>
        <w:spacing w:line="360" w:lineRule="auto"/>
        <w:rPr>
          <w:rFonts w:hint="eastAsia" w:eastAsia="宋体"/>
          <w:b/>
          <w:sz w:val="36"/>
          <w:szCs w:val="36"/>
          <w:lang w:val="en-US" w:eastAsia="zh-CN"/>
        </w:rPr>
      </w:pPr>
      <w:r>
        <w:rPr>
          <w:sz w:val="24"/>
        </w:rPr>
        <w:t>我们发现，主板A股之间的差异，并不是由所处的交易所带来的，因为我们并没有发现归属于同一个交易所的主板A股间的反应共性，而我们发现，所有制会影响违规处罚公告发布前后的反应特性。</w:t>
      </w:r>
      <w:r>
        <w:rPr>
          <w:rFonts w:hint="eastAsia"/>
          <w:sz w:val="24"/>
          <w:lang w:val="en-US" w:eastAsia="zh-CN"/>
        </w:rPr>
        <w:t>仅仅从研究得到的数据来看</w:t>
      </w:r>
      <w:r>
        <w:rPr>
          <w:sz w:val="24"/>
        </w:rPr>
        <w:t>，主板A股中，国企往往会因为违规处罚公告的发布遭受异常损失，而</w:t>
      </w:r>
      <w:r>
        <w:rPr>
          <w:rFonts w:hint="eastAsia"/>
          <w:sz w:val="24"/>
          <w:lang w:eastAsia="zh-CN"/>
        </w:rPr>
        <w:t>民营</w:t>
      </w:r>
      <w:r>
        <w:rPr>
          <w:sz w:val="24"/>
        </w:rPr>
        <w:t>在违规处罚公告发布前后反而会有异常收益。</w:t>
      </w:r>
      <w:r>
        <w:rPr>
          <w:rFonts w:hint="eastAsia"/>
          <w:sz w:val="24"/>
          <w:lang w:val="en-US" w:eastAsia="zh-CN"/>
        </w:rPr>
        <w:t>当然，这并不意味着主板民营会因为违规处罚公告的发布而得利，从[-10,10]窗口的CAAR折线图来看，主板民营的平均累计异常回报在这个期间呈现上扬的趋势，但在公告日前后较短的区间内呈现震荡的趋势，即累计异常回报的增长放缓甚至回落。</w:t>
      </w:r>
      <w:r>
        <w:rPr>
          <w:sz w:val="24"/>
        </w:rPr>
        <w:t>在之前的研究中，我们发现深证主板A股对于企业违规处罚公告并不敏感，经过本节的研究，我们认为，“不敏感”</w:t>
      </w:r>
      <w:r>
        <w:rPr>
          <w:rFonts w:hint="eastAsia"/>
          <w:sz w:val="24"/>
          <w:lang w:val="en-US" w:eastAsia="zh-CN"/>
        </w:rPr>
        <w:t>呈现的是一种</w:t>
      </w:r>
      <w:r>
        <w:rPr>
          <w:sz w:val="24"/>
        </w:rPr>
        <w:t>表象</w:t>
      </w:r>
      <w:r>
        <w:rPr>
          <w:rFonts w:hint="eastAsia"/>
          <w:sz w:val="24"/>
          <w:lang w:eastAsia="zh-CN"/>
        </w:rPr>
        <w:t>，</w:t>
      </w:r>
      <w:r>
        <w:rPr>
          <w:rFonts w:hint="eastAsia"/>
          <w:sz w:val="24"/>
          <w:lang w:val="en-US" w:eastAsia="zh-CN"/>
        </w:rPr>
        <w:t>而不意味着主板民营不受“企业违规处罚公告发布”的负面影响，产生这种表象的原因，</w:t>
      </w:r>
      <w:r>
        <w:rPr>
          <w:sz w:val="24"/>
        </w:rPr>
        <w:t>一方面</w:t>
      </w:r>
      <w:r>
        <w:rPr>
          <w:rFonts w:hint="eastAsia"/>
          <w:sz w:val="24"/>
          <w:lang w:val="en-US" w:eastAsia="zh-CN"/>
        </w:rPr>
        <w:t>在于</w:t>
      </w:r>
      <w:r>
        <w:rPr>
          <w:sz w:val="24"/>
        </w:rPr>
        <w:t>反向反应</w:t>
      </w:r>
      <w:r>
        <w:rPr>
          <w:rFonts w:hint="eastAsia"/>
          <w:sz w:val="24"/>
          <w:lang w:val="en-US" w:eastAsia="zh-CN"/>
        </w:rPr>
        <w:t>对于应有负面反应的冲击</w:t>
      </w:r>
      <w:r>
        <w:rPr>
          <w:sz w:val="24"/>
        </w:rPr>
        <w:t>，另一方面在于</w:t>
      </w:r>
      <w:r>
        <w:rPr>
          <w:rFonts w:hint="eastAsia"/>
          <w:sz w:val="24"/>
          <w:lang w:val="en-US" w:eastAsia="zh-CN"/>
        </w:rPr>
        <w:t>主板</w:t>
      </w:r>
      <w:r>
        <w:rPr>
          <w:sz w:val="24"/>
        </w:rPr>
        <w:t>投资者反应时间较长，</w:t>
      </w:r>
      <w:r>
        <w:rPr>
          <w:rFonts w:hint="eastAsia"/>
          <w:sz w:val="24"/>
          <w:lang w:val="en-US" w:eastAsia="zh-CN"/>
        </w:rPr>
        <w:t>譬如国企的结果中，</w:t>
      </w:r>
      <w:r>
        <w:rPr>
          <w:sz w:val="24"/>
        </w:rPr>
        <w:t>在公告后的第十日才出现显著单日损失，平均为1.03%（p=0.01）。之前的研究中，我们已经发现主板A股的反应时间要长于中小板和创业板股票，但本小节的实证结果告诉我们市场的实际反应时间比我们预计的还要漫长，A股的“不显著”，并非是投资者对于违规处罚公告反应缺失，而是反向反应的冲击及漫长的反应时间造成了不显著的表象。</w:t>
      </w:r>
    </w:p>
    <w:p>
      <w:pPr>
        <w:spacing w:line="360" w:lineRule="auto"/>
        <w:ind w:firstLine="480" w:firstLineChars="200"/>
        <w:rPr>
          <w:sz w:val="24"/>
        </w:rPr>
      </w:pPr>
    </w:p>
    <w:p>
      <w:pPr>
        <w:spacing w:line="360" w:lineRule="auto"/>
      </w:pPr>
      <w:r>
        <w:drawing>
          <wp:inline distT="0" distB="0" distL="114300" distR="114300">
            <wp:extent cx="2642870" cy="1922145"/>
            <wp:effectExtent l="0" t="0" r="11430" b="8255"/>
            <wp:docPr id="5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2"/>
                    <pic:cNvPicPr>
                      <a:picLocks noChangeAspect="1"/>
                    </pic:cNvPicPr>
                  </pic:nvPicPr>
                  <pic:blipFill>
                    <a:blip r:embed="rId32"/>
                    <a:stretch>
                      <a:fillRect/>
                    </a:stretch>
                  </pic:blipFill>
                  <pic:spPr>
                    <a:xfrm>
                      <a:off x="0" y="0"/>
                      <a:ext cx="2642870" cy="192214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642870" cy="1922145"/>
            <wp:effectExtent l="0" t="0" r="11430" b="8255"/>
            <wp:docPr id="5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3"/>
                    <pic:cNvPicPr>
                      <a:picLocks noChangeAspect="1"/>
                    </pic:cNvPicPr>
                  </pic:nvPicPr>
                  <pic:blipFill>
                    <a:blip r:embed="rId33"/>
                    <a:stretch>
                      <a:fillRect/>
                    </a:stretch>
                  </pic:blipFill>
                  <pic:spPr>
                    <a:xfrm>
                      <a:off x="0" y="0"/>
                      <a:ext cx="2642870" cy="1922145"/>
                    </a:xfrm>
                    <a:prstGeom prst="rect">
                      <a:avLst/>
                    </a:prstGeom>
                    <a:noFill/>
                    <a:ln>
                      <a:noFill/>
                    </a:ln>
                  </pic:spPr>
                </pic:pic>
              </a:graphicData>
            </a:graphic>
          </wp:inline>
        </w:drawing>
      </w:r>
    </w:p>
    <w:p>
      <w:pPr>
        <w:spacing w:line="360" w:lineRule="auto"/>
        <w:ind w:firstLine="720" w:firstLineChars="300"/>
        <w:jc w:val="left"/>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图4-</w:t>
      </w:r>
      <w:r>
        <w:rPr>
          <w:rFonts w:hint="eastAsia" w:eastAsia="黑体" w:cs="Times New Roman"/>
          <w:sz w:val="24"/>
          <w:lang w:val="en-US" w:eastAsia="zh-CN"/>
        </w:rPr>
        <w:t>18</w:t>
      </w:r>
      <w:r>
        <w:rPr>
          <w:rFonts w:hint="default" w:ascii="Times New Roman" w:hAnsi="Times New Roman" w:eastAsia="黑体" w:cs="Times New Roman"/>
          <w:sz w:val="24"/>
          <w:lang w:val="en-US" w:eastAsia="zh-CN"/>
        </w:rPr>
        <w:t xml:space="preserve"> </w:t>
      </w:r>
      <w:r>
        <w:rPr>
          <w:rFonts w:hint="eastAsia" w:eastAsia="黑体" w:cs="Times New Roman"/>
          <w:sz w:val="24"/>
          <w:lang w:val="en-US" w:eastAsia="zh-CN"/>
        </w:rPr>
        <w:t>上A国企</w:t>
      </w:r>
      <w:r>
        <w:rPr>
          <w:rFonts w:hint="default" w:ascii="Times New Roman" w:hAnsi="Times New Roman" w:eastAsia="黑体" w:cs="Times New Roman"/>
          <w:sz w:val="24"/>
          <w:lang w:val="en-US" w:eastAsia="zh-CN"/>
        </w:rPr>
        <w:t>CAAR图         图4-</w:t>
      </w:r>
      <w:r>
        <w:rPr>
          <w:rFonts w:hint="eastAsia" w:eastAsia="黑体" w:cs="Times New Roman"/>
          <w:sz w:val="24"/>
          <w:lang w:val="en-US" w:eastAsia="zh-CN"/>
        </w:rPr>
        <w:t>19</w:t>
      </w:r>
      <w:r>
        <w:rPr>
          <w:rFonts w:hint="default" w:ascii="Times New Roman" w:hAnsi="Times New Roman" w:eastAsia="黑体" w:cs="Times New Roman"/>
          <w:sz w:val="24"/>
          <w:lang w:val="en-US" w:eastAsia="zh-CN"/>
        </w:rPr>
        <w:t xml:space="preserve"> </w:t>
      </w:r>
      <w:r>
        <w:rPr>
          <w:rFonts w:hint="eastAsia" w:eastAsia="黑体" w:cs="Times New Roman"/>
          <w:sz w:val="24"/>
          <w:lang w:val="en-US" w:eastAsia="zh-CN"/>
        </w:rPr>
        <w:t>深</w:t>
      </w:r>
      <w:r>
        <w:rPr>
          <w:rFonts w:hint="default" w:ascii="Times New Roman" w:hAnsi="Times New Roman" w:eastAsia="黑体" w:cs="Times New Roman"/>
          <w:sz w:val="24"/>
          <w:lang w:val="en-US" w:eastAsia="zh-CN"/>
        </w:rPr>
        <w:t>A主板</w:t>
      </w:r>
      <w:r>
        <w:rPr>
          <w:rFonts w:hint="eastAsia" w:eastAsia="黑体" w:cs="Times New Roman"/>
          <w:sz w:val="24"/>
          <w:lang w:val="en-US" w:eastAsia="zh-CN"/>
        </w:rPr>
        <w:t>国企</w:t>
      </w:r>
      <w:r>
        <w:rPr>
          <w:rFonts w:hint="default" w:ascii="Times New Roman" w:hAnsi="Times New Roman" w:eastAsia="黑体" w:cs="Times New Roman"/>
          <w:sz w:val="24"/>
          <w:lang w:val="en-US" w:eastAsia="zh-CN"/>
        </w:rPr>
        <w:t>CAAR图</w:t>
      </w:r>
    </w:p>
    <w:p>
      <w:pPr>
        <w:spacing w:line="360" w:lineRule="auto"/>
        <w:ind w:firstLine="720" w:firstLineChars="300"/>
        <w:jc w:val="left"/>
        <w:rPr>
          <w:rFonts w:hint="default" w:ascii="Times New Roman" w:hAnsi="Times New Roman" w:eastAsia="黑体" w:cs="Times New Roman"/>
          <w:sz w:val="24"/>
          <w:lang w:val="en-US" w:eastAsia="zh-CN"/>
        </w:rPr>
      </w:pPr>
    </w:p>
    <w:p>
      <w:pPr>
        <w:spacing w:line="360" w:lineRule="auto"/>
        <w:rPr>
          <w:rFonts w:hint="eastAsia" w:eastAsia="宋体"/>
          <w:lang w:val="en-US" w:eastAsia="zh-CN"/>
        </w:rPr>
      </w:pPr>
      <w:r>
        <w:drawing>
          <wp:inline distT="0" distB="0" distL="114300" distR="114300">
            <wp:extent cx="2642870" cy="1922145"/>
            <wp:effectExtent l="0" t="0" r="11430" b="8255"/>
            <wp:docPr id="5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4"/>
                    <pic:cNvPicPr>
                      <a:picLocks noChangeAspect="1"/>
                    </pic:cNvPicPr>
                  </pic:nvPicPr>
                  <pic:blipFill>
                    <a:blip r:embed="rId34"/>
                    <a:stretch>
                      <a:fillRect/>
                    </a:stretch>
                  </pic:blipFill>
                  <pic:spPr>
                    <a:xfrm>
                      <a:off x="0" y="0"/>
                      <a:ext cx="2642870" cy="192214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642870" cy="1922145"/>
            <wp:effectExtent l="0" t="0" r="11430" b="8255"/>
            <wp:docPr id="6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5"/>
                    <pic:cNvPicPr>
                      <a:picLocks noChangeAspect="1"/>
                    </pic:cNvPicPr>
                  </pic:nvPicPr>
                  <pic:blipFill>
                    <a:blip r:embed="rId35"/>
                    <a:stretch>
                      <a:fillRect/>
                    </a:stretch>
                  </pic:blipFill>
                  <pic:spPr>
                    <a:xfrm>
                      <a:off x="0" y="0"/>
                      <a:ext cx="2642870" cy="1922145"/>
                    </a:xfrm>
                    <a:prstGeom prst="rect">
                      <a:avLst/>
                    </a:prstGeom>
                    <a:noFill/>
                    <a:ln>
                      <a:noFill/>
                    </a:ln>
                  </pic:spPr>
                </pic:pic>
              </a:graphicData>
            </a:graphic>
          </wp:inline>
        </w:drawing>
      </w:r>
    </w:p>
    <w:p>
      <w:pPr>
        <w:spacing w:line="360" w:lineRule="auto"/>
        <w:ind w:firstLine="720" w:firstLineChars="300"/>
        <w:jc w:val="left"/>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图4-</w:t>
      </w:r>
      <w:r>
        <w:rPr>
          <w:rFonts w:hint="eastAsia" w:eastAsia="黑体" w:cs="Times New Roman"/>
          <w:sz w:val="24"/>
          <w:lang w:val="en-US" w:eastAsia="zh-CN"/>
        </w:rPr>
        <w:t>20</w:t>
      </w:r>
      <w:r>
        <w:rPr>
          <w:rFonts w:hint="default" w:ascii="Times New Roman" w:hAnsi="Times New Roman" w:eastAsia="黑体" w:cs="Times New Roman"/>
          <w:sz w:val="24"/>
          <w:lang w:val="en-US" w:eastAsia="zh-CN"/>
        </w:rPr>
        <w:t xml:space="preserve"> </w:t>
      </w:r>
      <w:r>
        <w:rPr>
          <w:rFonts w:hint="eastAsia" w:eastAsia="黑体" w:cs="Times New Roman"/>
          <w:sz w:val="24"/>
          <w:lang w:val="en-US" w:eastAsia="zh-CN"/>
        </w:rPr>
        <w:t>上A民营</w:t>
      </w:r>
      <w:r>
        <w:rPr>
          <w:rFonts w:hint="default" w:ascii="Times New Roman" w:hAnsi="Times New Roman" w:eastAsia="黑体" w:cs="Times New Roman"/>
          <w:sz w:val="24"/>
          <w:lang w:val="en-US" w:eastAsia="zh-CN"/>
        </w:rPr>
        <w:t>CAAR图         图4-</w:t>
      </w:r>
      <w:r>
        <w:rPr>
          <w:rFonts w:hint="eastAsia" w:eastAsia="黑体" w:cs="Times New Roman"/>
          <w:sz w:val="24"/>
          <w:lang w:val="en-US" w:eastAsia="zh-CN"/>
        </w:rPr>
        <w:t>21</w:t>
      </w:r>
      <w:r>
        <w:rPr>
          <w:rFonts w:hint="default" w:ascii="Times New Roman" w:hAnsi="Times New Roman" w:eastAsia="黑体" w:cs="Times New Roman"/>
          <w:sz w:val="24"/>
          <w:lang w:val="en-US" w:eastAsia="zh-CN"/>
        </w:rPr>
        <w:t xml:space="preserve"> </w:t>
      </w:r>
      <w:r>
        <w:rPr>
          <w:rFonts w:hint="eastAsia" w:eastAsia="黑体" w:cs="Times New Roman"/>
          <w:sz w:val="24"/>
          <w:lang w:val="en-US" w:eastAsia="zh-CN"/>
        </w:rPr>
        <w:t>深</w:t>
      </w:r>
      <w:r>
        <w:rPr>
          <w:rFonts w:hint="default" w:ascii="Times New Roman" w:hAnsi="Times New Roman" w:eastAsia="黑体" w:cs="Times New Roman"/>
          <w:sz w:val="24"/>
          <w:lang w:val="en-US" w:eastAsia="zh-CN"/>
        </w:rPr>
        <w:t>A主板</w:t>
      </w:r>
      <w:r>
        <w:rPr>
          <w:rFonts w:hint="eastAsia" w:eastAsia="黑体" w:cs="Times New Roman"/>
          <w:sz w:val="24"/>
          <w:lang w:val="en-US" w:eastAsia="zh-CN"/>
        </w:rPr>
        <w:t>民营</w:t>
      </w:r>
      <w:r>
        <w:rPr>
          <w:rFonts w:hint="default" w:ascii="Times New Roman" w:hAnsi="Times New Roman" w:eastAsia="黑体" w:cs="Times New Roman"/>
          <w:sz w:val="24"/>
          <w:lang w:val="en-US" w:eastAsia="zh-CN"/>
        </w:rPr>
        <w:t>CAAR图</w:t>
      </w:r>
    </w:p>
    <w:p>
      <w:pPr>
        <w:spacing w:line="360" w:lineRule="auto"/>
        <w:ind w:firstLine="720" w:firstLineChars="300"/>
        <w:jc w:val="left"/>
        <w:rPr>
          <w:rFonts w:hint="default" w:ascii="Times New Roman" w:hAnsi="Times New Roman" w:eastAsia="黑体" w:cs="Times New Roman"/>
          <w:sz w:val="24"/>
          <w:lang w:val="en-US" w:eastAsia="zh-CN"/>
        </w:rPr>
      </w:pPr>
    </w:p>
    <w:p>
      <w:pPr>
        <w:spacing w:line="300" w:lineRule="exact"/>
        <w:ind w:firstLine="480" w:firstLineChars="200"/>
        <w:jc w:val="center"/>
        <w:rPr>
          <w:rFonts w:hint="default" w:eastAsia="黑体"/>
          <w:sz w:val="24"/>
          <w:lang w:val="en-US" w:eastAsia="zh-CN"/>
        </w:rPr>
      </w:pPr>
      <w:r>
        <w:rPr>
          <w:rFonts w:eastAsia="黑体"/>
          <w:sz w:val="24"/>
        </w:rPr>
        <w:t>表4-8  所有制带来的反应差异</w:t>
      </w:r>
      <w:r>
        <w:rPr>
          <w:rFonts w:hint="eastAsia" w:eastAsia="黑体"/>
          <w:sz w:val="24"/>
          <w:lang w:val="en-US" w:eastAsia="zh-CN"/>
        </w:rPr>
        <w:t>·AAR</w:t>
      </w:r>
    </w:p>
    <w:p>
      <w:pPr>
        <w:spacing w:line="300" w:lineRule="exact"/>
        <w:ind w:firstLine="480" w:firstLineChars="200"/>
        <w:jc w:val="center"/>
        <w:rPr>
          <w:rFonts w:eastAsia="黑体"/>
          <w:sz w:val="24"/>
        </w:rPr>
      </w:pPr>
    </w:p>
    <w:tbl>
      <w:tblPr>
        <w:tblStyle w:val="6"/>
        <w:tblW w:w="4998" w:type="pct"/>
        <w:tblInd w:w="0" w:type="dxa"/>
        <w:tblBorders>
          <w:top w:val="single" w:color="255FB7" w:sz="4" w:space="0"/>
          <w:left w:val="single" w:color="255FB7" w:sz="4" w:space="0"/>
          <w:bottom w:val="single" w:color="255FB7" w:sz="4" w:space="0"/>
          <w:right w:val="single" w:color="255FB7" w:sz="4"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743"/>
        <w:gridCol w:w="1743"/>
        <w:gridCol w:w="1743"/>
        <w:gridCol w:w="1743"/>
        <w:gridCol w:w="1745"/>
      </w:tblGrid>
      <w:tr>
        <w:tblPrEx>
          <w:tblBorders>
            <w:top w:val="single" w:color="255FB7" w:sz="4" w:space="0"/>
            <w:left w:val="single" w:color="255FB7" w:sz="4" w:space="0"/>
            <w:bottom w:val="single" w:color="255FB7" w:sz="4" w:space="0"/>
            <w:right w:val="single" w:color="255FB7"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340" w:hRule="atLeast"/>
        </w:trPr>
        <w:tc>
          <w:tcPr>
            <w:tcW w:w="999" w:type="pct"/>
            <w:tcBorders>
              <w:top w:val="single" w:color="000000" w:sz="4" w:space="0"/>
              <w:left w:val="nil"/>
              <w:bottom w:val="single" w:color="000000" w:sz="4" w:space="0"/>
            </w:tcBorders>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rPr>
            </w:pPr>
          </w:p>
        </w:tc>
        <w:tc>
          <w:tcPr>
            <w:tcW w:w="999" w:type="pct"/>
            <w:tcBorders>
              <w:top w:val="single" w:color="000000" w:sz="4" w:space="0"/>
              <w:bottom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上A国企</w:t>
            </w:r>
          </w:p>
        </w:tc>
        <w:tc>
          <w:tcPr>
            <w:tcW w:w="999" w:type="pct"/>
            <w:tcBorders>
              <w:top w:val="single" w:color="000000" w:sz="4" w:space="0"/>
              <w:bottom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深A国企</w:t>
            </w:r>
          </w:p>
        </w:tc>
        <w:tc>
          <w:tcPr>
            <w:tcW w:w="999" w:type="pct"/>
            <w:tcBorders>
              <w:top w:val="single" w:color="000000" w:sz="4" w:space="0"/>
              <w:bottom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上A</w:t>
            </w:r>
            <w:r>
              <w:rPr>
                <w:rFonts w:hint="eastAsia" w:cs="Times New Roman"/>
                <w:b w:val="0"/>
                <w:bCs w:val="0"/>
                <w:i w:val="0"/>
                <w:iCs w:val="0"/>
                <w:color w:val="000000"/>
                <w:kern w:val="0"/>
                <w:sz w:val="21"/>
                <w:szCs w:val="21"/>
                <w:u w:val="none"/>
                <w:lang w:val="en-US" w:eastAsia="zh-CN" w:bidi="ar"/>
              </w:rPr>
              <w:t>民营</w:t>
            </w:r>
          </w:p>
        </w:tc>
        <w:tc>
          <w:tcPr>
            <w:tcW w:w="1000" w:type="pct"/>
            <w:tcBorders>
              <w:top w:val="single" w:color="000000" w:sz="4" w:space="0"/>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深A</w:t>
            </w:r>
            <w:r>
              <w:rPr>
                <w:rFonts w:hint="eastAsia" w:cs="Times New Roman"/>
                <w:b w:val="0"/>
                <w:bCs w:val="0"/>
                <w:i w:val="0"/>
                <w:iCs w:val="0"/>
                <w:color w:val="000000"/>
                <w:kern w:val="0"/>
                <w:sz w:val="21"/>
                <w:szCs w:val="21"/>
                <w:u w:val="none"/>
                <w:lang w:val="en-US" w:eastAsia="zh-CN" w:bidi="ar"/>
              </w:rPr>
              <w:t>民营</w:t>
            </w:r>
          </w:p>
        </w:tc>
      </w:tr>
      <w:tr>
        <w:tblPrEx>
          <w:tblBorders>
            <w:top w:val="single" w:color="255FB7" w:sz="4" w:space="0"/>
            <w:left w:val="single" w:color="255FB7" w:sz="4" w:space="0"/>
            <w:bottom w:val="single" w:color="255FB7" w:sz="4" w:space="0"/>
            <w:right w:val="single" w:color="255FB7"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340" w:hRule="atLeast"/>
        </w:trPr>
        <w:tc>
          <w:tcPr>
            <w:tcW w:w="999" w:type="pct"/>
            <w:tcBorders>
              <w:top w:val="single" w:color="000000" w:sz="4" w:space="0"/>
              <w:lef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-10</w:t>
            </w:r>
          </w:p>
        </w:tc>
        <w:tc>
          <w:tcPr>
            <w:tcW w:w="999" w:type="pct"/>
            <w:tcBorders>
              <w:top w:val="single" w:color="000000" w:sz="4" w:space="0"/>
            </w:tcBorders>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0.0038</w:t>
            </w:r>
          </w:p>
        </w:tc>
        <w:tc>
          <w:tcPr>
            <w:tcW w:w="999" w:type="pct"/>
            <w:tcBorders>
              <w:top w:val="single" w:color="000000" w:sz="4" w:space="0"/>
            </w:tcBorders>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 xml:space="preserve"> 0.0025</w:t>
            </w:r>
          </w:p>
        </w:tc>
        <w:tc>
          <w:tcPr>
            <w:tcW w:w="999" w:type="pct"/>
            <w:tcBorders>
              <w:top w:val="single" w:color="000000" w:sz="4" w:space="0"/>
            </w:tcBorders>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0.0013</w:t>
            </w:r>
          </w:p>
        </w:tc>
        <w:tc>
          <w:tcPr>
            <w:tcW w:w="1000" w:type="pct"/>
            <w:tcBorders>
              <w:top w:val="single" w:color="000000" w:sz="4" w:space="0"/>
              <w:right w:val="nil"/>
            </w:tcBorders>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0.0035</w:t>
            </w:r>
          </w:p>
        </w:tc>
      </w:tr>
      <w:tr>
        <w:tblPrEx>
          <w:tblBorders>
            <w:top w:val="single" w:color="255FB7" w:sz="4" w:space="0"/>
            <w:left w:val="single" w:color="255FB7" w:sz="4" w:space="0"/>
            <w:bottom w:val="single" w:color="255FB7" w:sz="4" w:space="0"/>
            <w:right w:val="single" w:color="255FB7"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340" w:hRule="atLeast"/>
        </w:trPr>
        <w:tc>
          <w:tcPr>
            <w:tcW w:w="999" w:type="pct"/>
            <w:tcBorders>
              <w:lef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-9</w:t>
            </w:r>
          </w:p>
        </w:tc>
        <w:tc>
          <w:tcPr>
            <w:tcW w:w="999" w:type="pct"/>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0.0016</w:t>
            </w:r>
          </w:p>
        </w:tc>
        <w:tc>
          <w:tcPr>
            <w:tcW w:w="999" w:type="pct"/>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-0.0027</w:t>
            </w:r>
          </w:p>
        </w:tc>
        <w:tc>
          <w:tcPr>
            <w:tcW w:w="999" w:type="pct"/>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rPr>
            </w:pPr>
            <w:r>
              <w:rPr>
                <w:rFonts w:hint="eastAsia" w:cs="Times New Roman"/>
                <w:b w:val="0"/>
                <w:bCs w:val="0"/>
                <w:i w:val="0"/>
                <w:iCs w:val="0"/>
                <w:color w:val="000000"/>
                <w:sz w:val="21"/>
                <w:szCs w:val="21"/>
                <w:u w:val="none"/>
                <w:lang w:val="en-US" w:eastAsia="zh-CN"/>
              </w:rPr>
              <w:t>-0.0021</w:t>
            </w:r>
          </w:p>
        </w:tc>
        <w:tc>
          <w:tcPr>
            <w:tcW w:w="1000" w:type="pct"/>
            <w:tcBorders>
              <w:right w:val="nil"/>
            </w:tcBorders>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-0.0029</w:t>
            </w:r>
          </w:p>
        </w:tc>
      </w:tr>
      <w:tr>
        <w:tblPrEx>
          <w:tblBorders>
            <w:top w:val="single" w:color="255FB7" w:sz="4" w:space="0"/>
            <w:left w:val="single" w:color="255FB7" w:sz="4" w:space="0"/>
            <w:bottom w:val="single" w:color="255FB7" w:sz="4" w:space="0"/>
            <w:right w:val="single" w:color="255FB7"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340" w:hRule="atLeast"/>
        </w:trPr>
        <w:tc>
          <w:tcPr>
            <w:tcW w:w="999" w:type="pct"/>
            <w:tcBorders>
              <w:lef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-8</w:t>
            </w:r>
          </w:p>
        </w:tc>
        <w:tc>
          <w:tcPr>
            <w:tcW w:w="999" w:type="pct"/>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-0.0043</w:t>
            </w:r>
          </w:p>
        </w:tc>
        <w:tc>
          <w:tcPr>
            <w:tcW w:w="999" w:type="pct"/>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-0.0029</w:t>
            </w:r>
          </w:p>
        </w:tc>
        <w:tc>
          <w:tcPr>
            <w:tcW w:w="999" w:type="pct"/>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0.0053*</w:t>
            </w:r>
          </w:p>
        </w:tc>
        <w:tc>
          <w:tcPr>
            <w:tcW w:w="1000" w:type="pct"/>
            <w:tcBorders>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0.0076*</w:t>
            </w:r>
          </w:p>
        </w:tc>
      </w:tr>
      <w:tr>
        <w:tblPrEx>
          <w:tblBorders>
            <w:top w:val="single" w:color="255FB7" w:sz="4" w:space="0"/>
            <w:left w:val="single" w:color="255FB7" w:sz="4" w:space="0"/>
            <w:bottom w:val="single" w:color="255FB7" w:sz="4" w:space="0"/>
            <w:right w:val="single" w:color="255FB7"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340" w:hRule="atLeast"/>
        </w:trPr>
        <w:tc>
          <w:tcPr>
            <w:tcW w:w="999" w:type="pct"/>
            <w:tcBorders>
              <w:lef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-7</w:t>
            </w:r>
          </w:p>
        </w:tc>
        <w:tc>
          <w:tcPr>
            <w:tcW w:w="999" w:type="pct"/>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-0.0018</w:t>
            </w:r>
          </w:p>
        </w:tc>
        <w:tc>
          <w:tcPr>
            <w:tcW w:w="999" w:type="pct"/>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0.0021</w:t>
            </w:r>
          </w:p>
        </w:tc>
        <w:tc>
          <w:tcPr>
            <w:tcW w:w="999" w:type="pct"/>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-0.0013</w:t>
            </w:r>
          </w:p>
        </w:tc>
        <w:tc>
          <w:tcPr>
            <w:tcW w:w="1000" w:type="pct"/>
            <w:tcBorders>
              <w:right w:val="nil"/>
            </w:tcBorders>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0.0016</w:t>
            </w:r>
          </w:p>
        </w:tc>
      </w:tr>
      <w:tr>
        <w:tblPrEx>
          <w:tblBorders>
            <w:top w:val="single" w:color="255FB7" w:sz="4" w:space="0"/>
            <w:left w:val="single" w:color="255FB7" w:sz="4" w:space="0"/>
            <w:bottom w:val="single" w:color="255FB7" w:sz="4" w:space="0"/>
            <w:right w:val="single" w:color="255FB7"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340" w:hRule="atLeast"/>
        </w:trPr>
        <w:tc>
          <w:tcPr>
            <w:tcW w:w="999" w:type="pct"/>
            <w:tcBorders>
              <w:lef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-6</w:t>
            </w:r>
          </w:p>
        </w:tc>
        <w:tc>
          <w:tcPr>
            <w:tcW w:w="999" w:type="pct"/>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-0.0031</w:t>
            </w:r>
          </w:p>
        </w:tc>
        <w:tc>
          <w:tcPr>
            <w:tcW w:w="999" w:type="pct"/>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-0.0073**</w:t>
            </w:r>
          </w:p>
        </w:tc>
        <w:tc>
          <w:tcPr>
            <w:tcW w:w="999" w:type="pct"/>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-0.0009</w:t>
            </w:r>
          </w:p>
        </w:tc>
        <w:tc>
          <w:tcPr>
            <w:tcW w:w="1000" w:type="pct"/>
            <w:tcBorders>
              <w:right w:val="nil"/>
            </w:tcBorders>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0.0007</w:t>
            </w:r>
          </w:p>
        </w:tc>
      </w:tr>
      <w:tr>
        <w:tblPrEx>
          <w:tblBorders>
            <w:top w:val="single" w:color="255FB7" w:sz="4" w:space="0"/>
            <w:left w:val="single" w:color="255FB7" w:sz="4" w:space="0"/>
            <w:bottom w:val="single" w:color="255FB7" w:sz="4" w:space="0"/>
            <w:right w:val="single" w:color="255FB7"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340" w:hRule="atLeast"/>
        </w:trPr>
        <w:tc>
          <w:tcPr>
            <w:tcW w:w="999" w:type="pct"/>
            <w:tcBorders>
              <w:lef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-5</w:t>
            </w:r>
          </w:p>
        </w:tc>
        <w:tc>
          <w:tcPr>
            <w:tcW w:w="999" w:type="pct"/>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-0.0044</w:t>
            </w:r>
          </w:p>
        </w:tc>
        <w:tc>
          <w:tcPr>
            <w:tcW w:w="999" w:type="pct"/>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0.0032</w:t>
            </w:r>
          </w:p>
        </w:tc>
        <w:tc>
          <w:tcPr>
            <w:tcW w:w="999" w:type="pct"/>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0.0070**</w:t>
            </w:r>
          </w:p>
        </w:tc>
        <w:tc>
          <w:tcPr>
            <w:tcW w:w="1000" w:type="pct"/>
            <w:tcBorders>
              <w:right w:val="nil"/>
            </w:tcBorders>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0.0004</w:t>
            </w:r>
          </w:p>
        </w:tc>
      </w:tr>
      <w:tr>
        <w:tblPrEx>
          <w:tblBorders>
            <w:top w:val="single" w:color="255FB7" w:sz="4" w:space="0"/>
            <w:left w:val="single" w:color="255FB7" w:sz="4" w:space="0"/>
            <w:bottom w:val="single" w:color="255FB7" w:sz="4" w:space="0"/>
            <w:right w:val="single" w:color="255FB7"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340" w:hRule="atLeast"/>
        </w:trPr>
        <w:tc>
          <w:tcPr>
            <w:tcW w:w="999" w:type="pct"/>
            <w:tcBorders>
              <w:lef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-4</w:t>
            </w:r>
          </w:p>
        </w:tc>
        <w:tc>
          <w:tcPr>
            <w:tcW w:w="999" w:type="pct"/>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-0.0045*</w:t>
            </w:r>
          </w:p>
        </w:tc>
        <w:tc>
          <w:tcPr>
            <w:tcW w:w="999" w:type="pct"/>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-0.0035</w:t>
            </w:r>
          </w:p>
        </w:tc>
        <w:tc>
          <w:tcPr>
            <w:tcW w:w="999" w:type="pct"/>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0.0061**</w:t>
            </w:r>
          </w:p>
        </w:tc>
        <w:tc>
          <w:tcPr>
            <w:tcW w:w="1000" w:type="pct"/>
            <w:tcBorders>
              <w:right w:val="nil"/>
            </w:tcBorders>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0.0002</w:t>
            </w:r>
          </w:p>
        </w:tc>
      </w:tr>
      <w:tr>
        <w:tblPrEx>
          <w:tblBorders>
            <w:top w:val="single" w:color="255FB7" w:sz="4" w:space="0"/>
            <w:left w:val="single" w:color="255FB7" w:sz="4" w:space="0"/>
            <w:bottom w:val="single" w:color="255FB7" w:sz="4" w:space="0"/>
            <w:right w:val="single" w:color="255FB7"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340" w:hRule="atLeast"/>
        </w:trPr>
        <w:tc>
          <w:tcPr>
            <w:tcW w:w="999" w:type="pct"/>
            <w:tcBorders>
              <w:lef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-3</w:t>
            </w:r>
          </w:p>
        </w:tc>
        <w:tc>
          <w:tcPr>
            <w:tcW w:w="999" w:type="pct"/>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-0.0010</w:t>
            </w:r>
          </w:p>
        </w:tc>
        <w:tc>
          <w:tcPr>
            <w:tcW w:w="999" w:type="pct"/>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-0.0020</w:t>
            </w:r>
          </w:p>
        </w:tc>
        <w:tc>
          <w:tcPr>
            <w:tcW w:w="999" w:type="pct"/>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-0.0045</w:t>
            </w:r>
          </w:p>
        </w:tc>
        <w:tc>
          <w:tcPr>
            <w:tcW w:w="1000" w:type="pct"/>
            <w:tcBorders>
              <w:right w:val="nil"/>
            </w:tcBorders>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0.0053</w:t>
            </w:r>
          </w:p>
        </w:tc>
      </w:tr>
      <w:tr>
        <w:tblPrEx>
          <w:tblBorders>
            <w:top w:val="single" w:color="255FB7" w:sz="4" w:space="0"/>
            <w:left w:val="single" w:color="255FB7" w:sz="4" w:space="0"/>
            <w:bottom w:val="single" w:color="255FB7" w:sz="4" w:space="0"/>
            <w:right w:val="single" w:color="255FB7"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340" w:hRule="atLeast"/>
        </w:trPr>
        <w:tc>
          <w:tcPr>
            <w:tcW w:w="999" w:type="pct"/>
            <w:tcBorders>
              <w:lef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-2</w:t>
            </w:r>
          </w:p>
        </w:tc>
        <w:tc>
          <w:tcPr>
            <w:tcW w:w="999" w:type="pct"/>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0.0047*</w:t>
            </w:r>
          </w:p>
        </w:tc>
        <w:tc>
          <w:tcPr>
            <w:tcW w:w="999" w:type="pct"/>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-0.0076**</w:t>
            </w:r>
          </w:p>
        </w:tc>
        <w:tc>
          <w:tcPr>
            <w:tcW w:w="999" w:type="pct"/>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0.0011</w:t>
            </w:r>
          </w:p>
        </w:tc>
        <w:tc>
          <w:tcPr>
            <w:tcW w:w="1000" w:type="pct"/>
            <w:tcBorders>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0.0113***</w:t>
            </w:r>
          </w:p>
        </w:tc>
      </w:tr>
      <w:tr>
        <w:tblPrEx>
          <w:tblBorders>
            <w:top w:val="single" w:color="255FB7" w:sz="4" w:space="0"/>
            <w:left w:val="single" w:color="255FB7" w:sz="4" w:space="0"/>
            <w:bottom w:val="single" w:color="255FB7" w:sz="4" w:space="0"/>
            <w:right w:val="single" w:color="255FB7"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340" w:hRule="atLeast"/>
        </w:trPr>
        <w:tc>
          <w:tcPr>
            <w:tcW w:w="999" w:type="pct"/>
            <w:tcBorders>
              <w:lef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-1</w:t>
            </w:r>
          </w:p>
        </w:tc>
        <w:tc>
          <w:tcPr>
            <w:tcW w:w="999" w:type="pct"/>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0.0019</w:t>
            </w:r>
          </w:p>
        </w:tc>
        <w:tc>
          <w:tcPr>
            <w:tcW w:w="999" w:type="pct"/>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0.0041</w:t>
            </w:r>
          </w:p>
        </w:tc>
        <w:tc>
          <w:tcPr>
            <w:tcW w:w="999" w:type="pct"/>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-0.0003</w:t>
            </w:r>
          </w:p>
        </w:tc>
        <w:tc>
          <w:tcPr>
            <w:tcW w:w="1000" w:type="pct"/>
            <w:tcBorders>
              <w:right w:val="nil"/>
            </w:tcBorders>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0.0017</w:t>
            </w:r>
          </w:p>
        </w:tc>
      </w:tr>
      <w:tr>
        <w:tblPrEx>
          <w:tblBorders>
            <w:top w:val="single" w:color="255FB7" w:sz="4" w:space="0"/>
            <w:left w:val="single" w:color="255FB7" w:sz="4" w:space="0"/>
            <w:bottom w:val="single" w:color="255FB7" w:sz="4" w:space="0"/>
            <w:right w:val="single" w:color="255FB7"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340" w:hRule="atLeast"/>
        </w:trPr>
        <w:tc>
          <w:tcPr>
            <w:tcW w:w="999" w:type="pct"/>
            <w:tcBorders>
              <w:lef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0</w:t>
            </w:r>
          </w:p>
        </w:tc>
        <w:tc>
          <w:tcPr>
            <w:tcW w:w="999" w:type="pct"/>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-0.0032</w:t>
            </w:r>
          </w:p>
        </w:tc>
        <w:tc>
          <w:tcPr>
            <w:tcW w:w="999" w:type="pct"/>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0.0023</w:t>
            </w:r>
          </w:p>
        </w:tc>
        <w:tc>
          <w:tcPr>
            <w:tcW w:w="999" w:type="pct"/>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0.0012</w:t>
            </w:r>
          </w:p>
        </w:tc>
        <w:tc>
          <w:tcPr>
            <w:tcW w:w="1000" w:type="pct"/>
            <w:tcBorders>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0.0097**</w:t>
            </w:r>
          </w:p>
        </w:tc>
      </w:tr>
      <w:tr>
        <w:tblPrEx>
          <w:tblBorders>
            <w:top w:val="single" w:color="255FB7" w:sz="4" w:space="0"/>
            <w:left w:val="single" w:color="255FB7" w:sz="4" w:space="0"/>
            <w:bottom w:val="single" w:color="255FB7" w:sz="4" w:space="0"/>
            <w:right w:val="single" w:color="255FB7"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340" w:hRule="atLeast"/>
        </w:trPr>
        <w:tc>
          <w:tcPr>
            <w:tcW w:w="999" w:type="pct"/>
            <w:tcBorders>
              <w:lef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1</w:t>
            </w:r>
          </w:p>
        </w:tc>
        <w:tc>
          <w:tcPr>
            <w:tcW w:w="999" w:type="pct"/>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-0.0017</w:t>
            </w:r>
          </w:p>
        </w:tc>
        <w:tc>
          <w:tcPr>
            <w:tcW w:w="999" w:type="pct"/>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-0.0063*</w:t>
            </w:r>
          </w:p>
        </w:tc>
        <w:tc>
          <w:tcPr>
            <w:tcW w:w="999" w:type="pct"/>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0.0007</w:t>
            </w:r>
          </w:p>
        </w:tc>
        <w:tc>
          <w:tcPr>
            <w:tcW w:w="1000" w:type="pct"/>
            <w:tcBorders>
              <w:right w:val="nil"/>
            </w:tcBorders>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0.0002</w:t>
            </w:r>
          </w:p>
        </w:tc>
      </w:tr>
      <w:tr>
        <w:tblPrEx>
          <w:tblBorders>
            <w:top w:val="single" w:color="255FB7" w:sz="4" w:space="0"/>
            <w:left w:val="single" w:color="255FB7" w:sz="4" w:space="0"/>
            <w:bottom w:val="single" w:color="255FB7" w:sz="4" w:space="0"/>
            <w:right w:val="single" w:color="255FB7"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340" w:hRule="atLeast"/>
        </w:trPr>
        <w:tc>
          <w:tcPr>
            <w:tcW w:w="999" w:type="pct"/>
            <w:tcBorders>
              <w:lef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2</w:t>
            </w:r>
          </w:p>
        </w:tc>
        <w:tc>
          <w:tcPr>
            <w:tcW w:w="999" w:type="pct"/>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-0.0010</w:t>
            </w:r>
          </w:p>
        </w:tc>
        <w:tc>
          <w:tcPr>
            <w:tcW w:w="999" w:type="pct"/>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0.0018</w:t>
            </w:r>
          </w:p>
        </w:tc>
        <w:tc>
          <w:tcPr>
            <w:tcW w:w="999" w:type="pct"/>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0.0007</w:t>
            </w:r>
          </w:p>
        </w:tc>
        <w:tc>
          <w:tcPr>
            <w:tcW w:w="1000" w:type="pct"/>
            <w:tcBorders>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0.0071*</w:t>
            </w:r>
          </w:p>
        </w:tc>
      </w:tr>
      <w:tr>
        <w:tblPrEx>
          <w:tblBorders>
            <w:top w:val="single" w:color="255FB7" w:sz="4" w:space="0"/>
            <w:left w:val="single" w:color="255FB7" w:sz="4" w:space="0"/>
            <w:bottom w:val="single" w:color="255FB7" w:sz="4" w:space="0"/>
            <w:right w:val="single" w:color="255FB7"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340" w:hRule="atLeast"/>
        </w:trPr>
        <w:tc>
          <w:tcPr>
            <w:tcW w:w="999" w:type="pct"/>
            <w:tcBorders>
              <w:lef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3</w:t>
            </w:r>
          </w:p>
        </w:tc>
        <w:tc>
          <w:tcPr>
            <w:tcW w:w="999" w:type="pct"/>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-0.0048*</w:t>
            </w:r>
          </w:p>
        </w:tc>
        <w:tc>
          <w:tcPr>
            <w:tcW w:w="999" w:type="pct"/>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-0.0027</w:t>
            </w:r>
          </w:p>
        </w:tc>
        <w:tc>
          <w:tcPr>
            <w:tcW w:w="999" w:type="pct"/>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-0.0025</w:t>
            </w:r>
          </w:p>
        </w:tc>
        <w:tc>
          <w:tcPr>
            <w:tcW w:w="1000" w:type="pct"/>
            <w:tcBorders>
              <w:right w:val="nil"/>
            </w:tcBorders>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-0.0013</w:t>
            </w:r>
          </w:p>
        </w:tc>
      </w:tr>
      <w:tr>
        <w:tblPrEx>
          <w:tblBorders>
            <w:top w:val="single" w:color="255FB7" w:sz="4" w:space="0"/>
            <w:left w:val="single" w:color="255FB7" w:sz="4" w:space="0"/>
            <w:bottom w:val="single" w:color="255FB7" w:sz="4" w:space="0"/>
            <w:right w:val="single" w:color="255FB7"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340" w:hRule="atLeast"/>
        </w:trPr>
        <w:tc>
          <w:tcPr>
            <w:tcW w:w="999" w:type="pct"/>
            <w:tcBorders>
              <w:lef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4</w:t>
            </w:r>
          </w:p>
        </w:tc>
        <w:tc>
          <w:tcPr>
            <w:tcW w:w="999" w:type="pct"/>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-0.0041</w:t>
            </w:r>
          </w:p>
        </w:tc>
        <w:tc>
          <w:tcPr>
            <w:tcW w:w="999" w:type="pct"/>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0.0035</w:t>
            </w:r>
          </w:p>
        </w:tc>
        <w:tc>
          <w:tcPr>
            <w:tcW w:w="999" w:type="pct"/>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0.0018</w:t>
            </w:r>
          </w:p>
        </w:tc>
        <w:tc>
          <w:tcPr>
            <w:tcW w:w="1000" w:type="pct"/>
            <w:tcBorders>
              <w:right w:val="nil"/>
            </w:tcBorders>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0.0023</w:t>
            </w:r>
          </w:p>
        </w:tc>
      </w:tr>
      <w:tr>
        <w:tblPrEx>
          <w:tblBorders>
            <w:top w:val="single" w:color="255FB7" w:sz="4" w:space="0"/>
            <w:left w:val="single" w:color="255FB7" w:sz="4" w:space="0"/>
            <w:bottom w:val="single" w:color="255FB7" w:sz="4" w:space="0"/>
            <w:right w:val="single" w:color="255FB7"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340" w:hRule="atLeast"/>
        </w:trPr>
        <w:tc>
          <w:tcPr>
            <w:tcW w:w="999" w:type="pct"/>
            <w:tcBorders>
              <w:lef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5</w:t>
            </w:r>
          </w:p>
        </w:tc>
        <w:tc>
          <w:tcPr>
            <w:tcW w:w="999" w:type="pct"/>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-0.0022</w:t>
            </w:r>
          </w:p>
        </w:tc>
        <w:tc>
          <w:tcPr>
            <w:tcW w:w="999" w:type="pct"/>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-0.0039</w:t>
            </w:r>
          </w:p>
        </w:tc>
        <w:tc>
          <w:tcPr>
            <w:tcW w:w="999" w:type="pct"/>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-0.0018</w:t>
            </w:r>
          </w:p>
        </w:tc>
        <w:tc>
          <w:tcPr>
            <w:tcW w:w="1000" w:type="pct"/>
            <w:tcBorders>
              <w:right w:val="nil"/>
            </w:tcBorders>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0.0018</w:t>
            </w:r>
          </w:p>
        </w:tc>
      </w:tr>
      <w:tr>
        <w:tblPrEx>
          <w:tblBorders>
            <w:top w:val="single" w:color="255FB7" w:sz="4" w:space="0"/>
            <w:left w:val="single" w:color="255FB7" w:sz="4" w:space="0"/>
            <w:bottom w:val="single" w:color="255FB7" w:sz="4" w:space="0"/>
            <w:right w:val="single" w:color="255FB7"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340" w:hRule="atLeast"/>
        </w:trPr>
        <w:tc>
          <w:tcPr>
            <w:tcW w:w="999" w:type="pct"/>
            <w:tcBorders>
              <w:lef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6</w:t>
            </w:r>
          </w:p>
        </w:tc>
        <w:tc>
          <w:tcPr>
            <w:tcW w:w="999" w:type="pct"/>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-0.0004</w:t>
            </w:r>
          </w:p>
        </w:tc>
        <w:tc>
          <w:tcPr>
            <w:tcW w:w="999" w:type="pct"/>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-0.0002</w:t>
            </w:r>
          </w:p>
        </w:tc>
        <w:tc>
          <w:tcPr>
            <w:tcW w:w="999" w:type="pct"/>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0.0026</w:t>
            </w:r>
          </w:p>
        </w:tc>
        <w:tc>
          <w:tcPr>
            <w:tcW w:w="1000" w:type="pct"/>
            <w:tcBorders>
              <w:right w:val="nil"/>
            </w:tcBorders>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0.0016</w:t>
            </w:r>
          </w:p>
        </w:tc>
      </w:tr>
      <w:tr>
        <w:tblPrEx>
          <w:tblBorders>
            <w:top w:val="single" w:color="255FB7" w:sz="4" w:space="0"/>
            <w:left w:val="single" w:color="255FB7" w:sz="4" w:space="0"/>
            <w:bottom w:val="single" w:color="255FB7" w:sz="4" w:space="0"/>
            <w:right w:val="single" w:color="255FB7"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340" w:hRule="atLeast"/>
        </w:trPr>
        <w:tc>
          <w:tcPr>
            <w:tcW w:w="999" w:type="pct"/>
            <w:tcBorders>
              <w:lef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7</w:t>
            </w:r>
          </w:p>
        </w:tc>
        <w:tc>
          <w:tcPr>
            <w:tcW w:w="999" w:type="pct"/>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0.0013</w:t>
            </w:r>
          </w:p>
        </w:tc>
        <w:tc>
          <w:tcPr>
            <w:tcW w:w="999" w:type="pct"/>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0.0020</w:t>
            </w:r>
          </w:p>
        </w:tc>
        <w:tc>
          <w:tcPr>
            <w:tcW w:w="999" w:type="pct"/>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0.0028</w:t>
            </w:r>
          </w:p>
        </w:tc>
        <w:tc>
          <w:tcPr>
            <w:tcW w:w="1000" w:type="pct"/>
            <w:tcBorders>
              <w:right w:val="nil"/>
            </w:tcBorders>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0.0017</w:t>
            </w:r>
          </w:p>
        </w:tc>
      </w:tr>
      <w:tr>
        <w:tblPrEx>
          <w:tblBorders>
            <w:top w:val="single" w:color="255FB7" w:sz="4" w:space="0"/>
            <w:left w:val="single" w:color="255FB7" w:sz="4" w:space="0"/>
            <w:bottom w:val="single" w:color="255FB7" w:sz="4" w:space="0"/>
            <w:right w:val="single" w:color="255FB7"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340" w:hRule="atLeast"/>
        </w:trPr>
        <w:tc>
          <w:tcPr>
            <w:tcW w:w="999" w:type="pct"/>
            <w:tcBorders>
              <w:lef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8</w:t>
            </w:r>
          </w:p>
        </w:tc>
        <w:tc>
          <w:tcPr>
            <w:tcW w:w="999" w:type="pct"/>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0.0059**</w:t>
            </w:r>
          </w:p>
        </w:tc>
        <w:tc>
          <w:tcPr>
            <w:tcW w:w="999" w:type="pct"/>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0.0010</w:t>
            </w:r>
          </w:p>
        </w:tc>
        <w:tc>
          <w:tcPr>
            <w:tcW w:w="999" w:type="pct"/>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0.0013</w:t>
            </w:r>
          </w:p>
        </w:tc>
        <w:tc>
          <w:tcPr>
            <w:tcW w:w="1000" w:type="pct"/>
            <w:tcBorders>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0.0126***</w:t>
            </w:r>
          </w:p>
        </w:tc>
      </w:tr>
      <w:tr>
        <w:tblPrEx>
          <w:tblBorders>
            <w:top w:val="single" w:color="255FB7" w:sz="4" w:space="0"/>
            <w:left w:val="single" w:color="255FB7" w:sz="4" w:space="0"/>
            <w:bottom w:val="single" w:color="255FB7" w:sz="4" w:space="0"/>
            <w:right w:val="single" w:color="255FB7" w:sz="4"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999" w:type="pct"/>
            <w:tcBorders>
              <w:lef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9</w:t>
            </w:r>
          </w:p>
        </w:tc>
        <w:tc>
          <w:tcPr>
            <w:tcW w:w="999" w:type="pct"/>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0.0007</w:t>
            </w:r>
          </w:p>
        </w:tc>
        <w:tc>
          <w:tcPr>
            <w:tcW w:w="999" w:type="pct"/>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rPr>
            </w:pPr>
            <w:r>
              <w:rPr>
                <w:rFonts w:hint="eastAsia" w:cs="Times New Roman"/>
                <w:b w:val="0"/>
                <w:bCs w:val="0"/>
                <w:i w:val="0"/>
                <w:iCs w:val="0"/>
                <w:color w:val="000000"/>
                <w:sz w:val="21"/>
                <w:szCs w:val="21"/>
                <w:u w:val="none"/>
                <w:lang w:val="en-US" w:eastAsia="zh-CN"/>
              </w:rPr>
              <w:t>-0.0015</w:t>
            </w:r>
          </w:p>
        </w:tc>
        <w:tc>
          <w:tcPr>
            <w:tcW w:w="999" w:type="pct"/>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0.0007</w:t>
            </w:r>
          </w:p>
        </w:tc>
        <w:tc>
          <w:tcPr>
            <w:tcW w:w="1000" w:type="pct"/>
            <w:tcBorders>
              <w:right w:val="nil"/>
            </w:tcBorders>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0.0063</w:t>
            </w:r>
          </w:p>
        </w:tc>
      </w:tr>
      <w:tr>
        <w:tblPrEx>
          <w:tblBorders>
            <w:top w:val="single" w:color="255FB7" w:sz="4" w:space="0"/>
            <w:left w:val="single" w:color="255FB7" w:sz="4" w:space="0"/>
            <w:bottom w:val="single" w:color="255FB7" w:sz="4" w:space="0"/>
            <w:right w:val="single" w:color="255FB7"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340" w:hRule="atLeast"/>
        </w:trPr>
        <w:tc>
          <w:tcPr>
            <w:tcW w:w="999" w:type="pct"/>
            <w:tcBorders>
              <w:left w:val="nil"/>
              <w:bottom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val="0"/>
                <w:bCs w:val="0"/>
                <w:i w:val="0"/>
                <w:iCs w:val="0"/>
                <w:color w:val="000000"/>
                <w:kern w:val="0"/>
                <w:sz w:val="21"/>
                <w:szCs w:val="21"/>
                <w:u w:val="none"/>
                <w:lang w:val="en-US" w:eastAsia="zh-CN" w:bidi="ar"/>
              </w:rPr>
              <w:t>10</w:t>
            </w:r>
          </w:p>
        </w:tc>
        <w:tc>
          <w:tcPr>
            <w:tcW w:w="999" w:type="pct"/>
            <w:tcBorders>
              <w:bottom w:val="single" w:color="000000" w:sz="4" w:space="0"/>
            </w:tcBorders>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0.0006</w:t>
            </w:r>
          </w:p>
        </w:tc>
        <w:tc>
          <w:tcPr>
            <w:tcW w:w="999" w:type="pct"/>
            <w:tcBorders>
              <w:bottom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-0.0103***</w:t>
            </w:r>
          </w:p>
        </w:tc>
        <w:tc>
          <w:tcPr>
            <w:tcW w:w="999" w:type="pct"/>
            <w:tcBorders>
              <w:bottom w:val="single" w:color="000000" w:sz="4" w:space="0"/>
            </w:tcBorders>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-0.0009</w:t>
            </w:r>
          </w:p>
        </w:tc>
        <w:tc>
          <w:tcPr>
            <w:tcW w:w="1000" w:type="pct"/>
            <w:tcBorders>
              <w:bottom w:val="single" w:color="000000" w:sz="4" w:space="0"/>
              <w:right w:val="nil"/>
            </w:tcBorders>
            <w:shd w:val="clear" w:color="auto" w:fill="auto"/>
            <w:vAlign w:val="center"/>
          </w:tcPr>
          <w:p>
            <w:pPr>
              <w:jc w:val="center"/>
              <w:rPr>
                <w:rFonts w:hint="default" w:ascii="Times New Roman" w:hAnsi="Times New Roman" w:eastAsia="宋体" w:cs="Times New Roman"/>
                <w:b w:val="0"/>
                <w:bCs w:val="0"/>
                <w:i w:val="0"/>
                <w:iCs w:val="0"/>
                <w:color w:val="000000"/>
                <w:sz w:val="21"/>
                <w:szCs w:val="21"/>
                <w:u w:val="none"/>
                <w:lang w:val="en-US" w:eastAsia="zh-CN"/>
              </w:rPr>
            </w:pPr>
            <w:r>
              <w:rPr>
                <w:rFonts w:hint="eastAsia" w:cs="Times New Roman"/>
                <w:b w:val="0"/>
                <w:bCs w:val="0"/>
                <w:i w:val="0"/>
                <w:iCs w:val="0"/>
                <w:color w:val="000000"/>
                <w:sz w:val="21"/>
                <w:szCs w:val="21"/>
                <w:u w:val="none"/>
                <w:lang w:val="en-US" w:eastAsia="zh-CN"/>
              </w:rPr>
              <w:t>0.0053</w:t>
            </w:r>
          </w:p>
        </w:tc>
      </w:tr>
    </w:tbl>
    <w:p>
      <w:pPr>
        <w:spacing w:line="300" w:lineRule="exact"/>
        <w:jc w:val="both"/>
        <w:rPr>
          <w:rFonts w:eastAsia="黑体"/>
          <w:sz w:val="24"/>
        </w:rPr>
      </w:pPr>
    </w:p>
    <w:p>
      <w:pPr>
        <w:spacing w:line="300" w:lineRule="exact"/>
        <w:jc w:val="both"/>
        <w:rPr>
          <w:rFonts w:eastAsia="黑体"/>
          <w:sz w:val="24"/>
        </w:rPr>
      </w:pPr>
    </w:p>
    <w:p>
      <w:pPr>
        <w:spacing w:line="300" w:lineRule="exact"/>
        <w:ind w:firstLine="480" w:firstLineChars="200"/>
        <w:jc w:val="center"/>
        <w:rPr>
          <w:rFonts w:hint="eastAsia" w:eastAsia="黑体"/>
          <w:sz w:val="24"/>
          <w:lang w:val="en-US" w:eastAsia="zh-CN"/>
        </w:rPr>
      </w:pPr>
      <w:r>
        <w:rPr>
          <w:rFonts w:eastAsia="黑体"/>
          <w:sz w:val="24"/>
        </w:rPr>
        <w:t>表4-9  所有制带来的AAR差异</w:t>
      </w:r>
      <w:r>
        <w:rPr>
          <w:rFonts w:hint="eastAsia" w:eastAsia="黑体"/>
          <w:sz w:val="24"/>
          <w:lang w:val="en-US" w:eastAsia="zh-CN"/>
        </w:rPr>
        <w:t>·累计异常回报</w:t>
      </w:r>
    </w:p>
    <w:p>
      <w:pPr>
        <w:spacing w:line="300" w:lineRule="exact"/>
        <w:ind w:firstLine="480" w:firstLineChars="200"/>
        <w:jc w:val="center"/>
        <w:rPr>
          <w:rFonts w:hint="default" w:eastAsia="黑体"/>
          <w:sz w:val="24"/>
          <w:lang w:val="en-US" w:eastAsia="zh-CN"/>
        </w:rPr>
      </w:pPr>
    </w:p>
    <w:tbl>
      <w:tblPr>
        <w:tblStyle w:val="6"/>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743"/>
        <w:gridCol w:w="1743"/>
        <w:gridCol w:w="1743"/>
        <w:gridCol w:w="1743"/>
        <w:gridCol w:w="17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0" w:hRule="atLeast"/>
        </w:trPr>
        <w:tc>
          <w:tcPr>
            <w:tcW w:w="999" w:type="pct"/>
            <w:tcBorders>
              <w:top w:val="single" w:color="000000" w:sz="4" w:space="0"/>
              <w:left w:val="nil"/>
              <w:bottom w:val="single" w:color="000000" w:sz="4" w:space="0"/>
              <w:right w:val="nil"/>
            </w:tcBorders>
            <w:shd w:val="clear" w:color="auto" w:fill="auto"/>
            <w:vAlign w:val="center"/>
          </w:tcPr>
          <w:p>
            <w:pPr>
              <w:jc w:val="center"/>
              <w:rPr>
                <w:rFonts w:hint="default" w:ascii="Times New Roman" w:hAnsi="Times New Roman" w:eastAsia="宋体" w:cs="Times New Roman"/>
                <w:b w:val="0"/>
                <w:bCs w:val="0"/>
                <w:i w:val="0"/>
                <w:iCs w:val="0"/>
                <w:color w:val="000000" w:themeColor="text1"/>
                <w:sz w:val="21"/>
                <w:szCs w:val="21"/>
                <w:u w:val="none"/>
                <w14:textFill>
                  <w14:solidFill>
                    <w14:schemeClr w14:val="tx1"/>
                  </w14:solidFill>
                </w14:textFill>
              </w:rPr>
            </w:pPr>
          </w:p>
        </w:tc>
        <w:tc>
          <w:tcPr>
            <w:tcW w:w="999" w:type="pct"/>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themeColor="text1"/>
                <w:sz w:val="21"/>
                <w:szCs w:val="21"/>
                <w:u w:val="none"/>
                <w14:textFill>
                  <w14:solidFill>
                    <w14:schemeClr w14:val="tx1"/>
                  </w14:solidFill>
                </w14:textFill>
              </w:rPr>
            </w:pPr>
            <w:r>
              <w:rPr>
                <w:rFonts w:hint="default" w:ascii="Times New Roman" w:hAnsi="Times New Roman" w:eastAsia="宋体" w:cs="Times New Roman"/>
                <w:b w:val="0"/>
                <w:bCs w:val="0"/>
                <w:i w:val="0"/>
                <w:iCs w:val="0"/>
                <w:color w:val="000000" w:themeColor="text1"/>
                <w:kern w:val="0"/>
                <w:sz w:val="21"/>
                <w:szCs w:val="21"/>
                <w:u w:val="none"/>
                <w:lang w:val="en-US" w:eastAsia="zh-CN" w:bidi="ar"/>
                <w14:textFill>
                  <w14:solidFill>
                    <w14:schemeClr w14:val="tx1"/>
                  </w14:solidFill>
                </w14:textFill>
              </w:rPr>
              <w:t>上A国企</w:t>
            </w:r>
          </w:p>
        </w:tc>
        <w:tc>
          <w:tcPr>
            <w:tcW w:w="999" w:type="pct"/>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themeColor="text1"/>
                <w:sz w:val="21"/>
                <w:szCs w:val="21"/>
                <w:u w:val="none"/>
                <w14:textFill>
                  <w14:solidFill>
                    <w14:schemeClr w14:val="tx1"/>
                  </w14:solidFill>
                </w14:textFill>
              </w:rPr>
            </w:pPr>
            <w:r>
              <w:rPr>
                <w:rFonts w:hint="default" w:ascii="Times New Roman" w:hAnsi="Times New Roman" w:eastAsia="宋体" w:cs="Times New Roman"/>
                <w:b w:val="0"/>
                <w:bCs w:val="0"/>
                <w:i w:val="0"/>
                <w:iCs w:val="0"/>
                <w:color w:val="000000" w:themeColor="text1"/>
                <w:kern w:val="0"/>
                <w:sz w:val="21"/>
                <w:szCs w:val="21"/>
                <w:u w:val="none"/>
                <w:lang w:val="en-US" w:eastAsia="zh-CN" w:bidi="ar"/>
                <w14:textFill>
                  <w14:solidFill>
                    <w14:schemeClr w14:val="tx1"/>
                  </w14:solidFill>
                </w14:textFill>
              </w:rPr>
              <w:t>深A国企</w:t>
            </w:r>
          </w:p>
        </w:tc>
        <w:tc>
          <w:tcPr>
            <w:tcW w:w="999" w:type="pct"/>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themeColor="text1"/>
                <w:sz w:val="21"/>
                <w:szCs w:val="21"/>
                <w:u w:val="none"/>
                <w14:textFill>
                  <w14:solidFill>
                    <w14:schemeClr w14:val="tx1"/>
                  </w14:solidFill>
                </w14:textFill>
              </w:rPr>
            </w:pPr>
            <w:r>
              <w:rPr>
                <w:rFonts w:hint="default" w:ascii="Times New Roman" w:hAnsi="Times New Roman" w:eastAsia="宋体" w:cs="Times New Roman"/>
                <w:b w:val="0"/>
                <w:bCs w:val="0"/>
                <w:i w:val="0"/>
                <w:iCs w:val="0"/>
                <w:color w:val="000000" w:themeColor="text1"/>
                <w:kern w:val="0"/>
                <w:sz w:val="21"/>
                <w:szCs w:val="21"/>
                <w:u w:val="none"/>
                <w:lang w:val="en-US" w:eastAsia="zh-CN" w:bidi="ar"/>
                <w14:textFill>
                  <w14:solidFill>
                    <w14:schemeClr w14:val="tx1"/>
                  </w14:solidFill>
                </w14:textFill>
              </w:rPr>
              <w:t>上A</w:t>
            </w:r>
            <w:r>
              <w:rPr>
                <w:rFonts w:hint="eastAsia" w:cs="Times New Roman"/>
                <w:b w:val="0"/>
                <w:bCs w:val="0"/>
                <w:i w:val="0"/>
                <w:iCs w:val="0"/>
                <w:color w:val="000000" w:themeColor="text1"/>
                <w:kern w:val="0"/>
                <w:sz w:val="21"/>
                <w:szCs w:val="21"/>
                <w:u w:val="none"/>
                <w:lang w:val="en-US" w:eastAsia="zh-CN" w:bidi="ar"/>
                <w14:textFill>
                  <w14:solidFill>
                    <w14:schemeClr w14:val="tx1"/>
                  </w14:solidFill>
                </w14:textFill>
              </w:rPr>
              <w:t>民营</w:t>
            </w:r>
          </w:p>
        </w:tc>
        <w:tc>
          <w:tcPr>
            <w:tcW w:w="1000" w:type="pct"/>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themeColor="text1"/>
                <w:sz w:val="21"/>
                <w:szCs w:val="21"/>
                <w:u w:val="none"/>
                <w14:textFill>
                  <w14:solidFill>
                    <w14:schemeClr w14:val="tx1"/>
                  </w14:solidFill>
                </w14:textFill>
              </w:rPr>
            </w:pPr>
            <w:r>
              <w:rPr>
                <w:rFonts w:hint="default" w:ascii="Times New Roman" w:hAnsi="Times New Roman" w:eastAsia="宋体" w:cs="Times New Roman"/>
                <w:b w:val="0"/>
                <w:bCs w:val="0"/>
                <w:i w:val="0"/>
                <w:iCs w:val="0"/>
                <w:color w:val="000000" w:themeColor="text1"/>
                <w:kern w:val="0"/>
                <w:sz w:val="21"/>
                <w:szCs w:val="21"/>
                <w:u w:val="none"/>
                <w:lang w:val="en-US" w:eastAsia="zh-CN" w:bidi="ar"/>
                <w14:textFill>
                  <w14:solidFill>
                    <w14:schemeClr w14:val="tx1"/>
                  </w14:solidFill>
                </w14:textFill>
              </w:rPr>
              <w:t>深A</w:t>
            </w:r>
            <w:r>
              <w:rPr>
                <w:rFonts w:hint="eastAsia" w:cs="Times New Roman"/>
                <w:b w:val="0"/>
                <w:bCs w:val="0"/>
                <w:i w:val="0"/>
                <w:iCs w:val="0"/>
                <w:color w:val="000000" w:themeColor="text1"/>
                <w:kern w:val="0"/>
                <w:sz w:val="21"/>
                <w:szCs w:val="21"/>
                <w:u w:val="none"/>
                <w:lang w:val="en-US" w:eastAsia="zh-CN" w:bidi="ar"/>
                <w14:textFill>
                  <w14:solidFill>
                    <w14:schemeClr w14:val="tx1"/>
                  </w14:solidFill>
                </w14:textFill>
              </w:rPr>
              <w:t>民营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0" w:hRule="atLeast"/>
        </w:trPr>
        <w:tc>
          <w:tcPr>
            <w:tcW w:w="999" w:type="pct"/>
            <w:tcBorders>
              <w:top w:val="single" w:color="000000" w:sz="4" w:space="0"/>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themeColor="text1"/>
                <w:sz w:val="21"/>
                <w:szCs w:val="21"/>
                <w:u w:val="none"/>
                <w14:textFill>
                  <w14:solidFill>
                    <w14:schemeClr w14:val="tx1"/>
                  </w14:solidFill>
                </w14:textFill>
              </w:rPr>
            </w:pPr>
            <w:r>
              <w:rPr>
                <w:rFonts w:hint="default" w:ascii="Times New Roman" w:hAnsi="Times New Roman" w:eastAsia="宋体" w:cs="Times New Roman"/>
                <w:b w:val="0"/>
                <w:bCs w:val="0"/>
                <w:i w:val="0"/>
                <w:iCs w:val="0"/>
                <w:color w:val="000000" w:themeColor="text1"/>
                <w:kern w:val="0"/>
                <w:sz w:val="21"/>
                <w:szCs w:val="21"/>
                <w:u w:val="none"/>
                <w:lang w:val="en-US" w:eastAsia="zh-CN" w:bidi="ar"/>
                <w14:textFill>
                  <w14:solidFill>
                    <w14:schemeClr w14:val="tx1"/>
                  </w14:solidFill>
                </w14:textFill>
              </w:rPr>
              <w:t>[-1.1]</w:t>
            </w:r>
          </w:p>
        </w:tc>
        <w:tc>
          <w:tcPr>
            <w:tcW w:w="999" w:type="pct"/>
            <w:tcBorders>
              <w:top w:val="single" w:color="000000" w:sz="4" w:space="0"/>
              <w:left w:val="nil"/>
              <w:bottom w:val="nil"/>
              <w:right w:val="nil"/>
            </w:tcBorders>
            <w:shd w:val="clear" w:color="auto" w:fill="auto"/>
            <w:vAlign w:val="center"/>
          </w:tcPr>
          <w:p>
            <w:pPr>
              <w:jc w:val="center"/>
              <w:rPr>
                <w:rFonts w:hint="default" w:ascii="Times New Roman" w:hAnsi="Times New Roman" w:eastAsia="宋体" w:cs="Times New Roman"/>
                <w:b w:val="0"/>
                <w:bCs w:val="0"/>
                <w:i w:val="0"/>
                <w:iCs w:val="0"/>
                <w:color w:val="000000" w:themeColor="text1"/>
                <w:sz w:val="21"/>
                <w:szCs w:val="21"/>
                <w:u w:val="none"/>
                <w:lang w:val="en-US" w:eastAsia="zh-CN"/>
                <w14:textFill>
                  <w14:solidFill>
                    <w14:schemeClr w14:val="tx1"/>
                  </w14:solidFill>
                </w14:textFill>
              </w:rPr>
            </w:pPr>
            <w:r>
              <w:rPr>
                <w:rFonts w:hint="eastAsia" w:cs="Times New Roman"/>
                <w:b w:val="0"/>
                <w:bCs w:val="0"/>
                <w:i w:val="0"/>
                <w:iCs w:val="0"/>
                <w:color w:val="000000" w:themeColor="text1"/>
                <w:sz w:val="21"/>
                <w:szCs w:val="21"/>
                <w:u w:val="none"/>
                <w:lang w:val="en-US" w:eastAsia="zh-CN"/>
                <w14:textFill>
                  <w14:solidFill>
                    <w14:schemeClr w14:val="tx1"/>
                  </w14:solidFill>
                </w14:textFill>
              </w:rPr>
              <w:t>-0.0026</w:t>
            </w:r>
          </w:p>
        </w:tc>
        <w:tc>
          <w:tcPr>
            <w:tcW w:w="999" w:type="pct"/>
            <w:tcBorders>
              <w:top w:val="single" w:color="000000" w:sz="4" w:space="0"/>
              <w:left w:val="nil"/>
              <w:bottom w:val="nil"/>
              <w:right w:val="nil"/>
            </w:tcBorders>
            <w:shd w:val="clear" w:color="auto" w:fill="auto"/>
            <w:vAlign w:val="center"/>
          </w:tcPr>
          <w:p>
            <w:pPr>
              <w:jc w:val="center"/>
              <w:rPr>
                <w:rFonts w:hint="default" w:ascii="Times New Roman" w:hAnsi="Times New Roman" w:eastAsia="宋体" w:cs="Times New Roman"/>
                <w:b w:val="0"/>
                <w:bCs w:val="0"/>
                <w:i w:val="0"/>
                <w:iCs w:val="0"/>
                <w:color w:val="000000" w:themeColor="text1"/>
                <w:sz w:val="21"/>
                <w:szCs w:val="21"/>
                <w:u w:val="none"/>
                <w:lang w:val="en-US" w:eastAsia="zh-CN"/>
                <w14:textFill>
                  <w14:solidFill>
                    <w14:schemeClr w14:val="tx1"/>
                  </w14:solidFill>
                </w14:textFill>
              </w:rPr>
            </w:pPr>
            <w:r>
              <w:rPr>
                <w:rFonts w:hint="eastAsia" w:cs="Times New Roman"/>
                <w:b w:val="0"/>
                <w:bCs w:val="0"/>
                <w:i w:val="0"/>
                <w:iCs w:val="0"/>
                <w:color w:val="000000" w:themeColor="text1"/>
                <w:sz w:val="21"/>
                <w:szCs w:val="21"/>
                <w:u w:val="none"/>
                <w:lang w:val="en-US" w:eastAsia="zh-CN"/>
                <w14:textFill>
                  <w14:solidFill>
                    <w14:schemeClr w14:val="tx1"/>
                  </w14:solidFill>
                </w14:textFill>
              </w:rPr>
              <w:t>0.0015</w:t>
            </w:r>
          </w:p>
        </w:tc>
        <w:tc>
          <w:tcPr>
            <w:tcW w:w="999" w:type="pct"/>
            <w:tcBorders>
              <w:top w:val="single" w:color="000000" w:sz="4" w:space="0"/>
              <w:left w:val="nil"/>
              <w:bottom w:val="nil"/>
              <w:right w:val="nil"/>
            </w:tcBorders>
            <w:shd w:val="clear" w:color="auto" w:fill="auto"/>
            <w:vAlign w:val="center"/>
          </w:tcPr>
          <w:p>
            <w:pPr>
              <w:jc w:val="center"/>
              <w:rPr>
                <w:rFonts w:hint="default" w:ascii="Times New Roman" w:hAnsi="Times New Roman" w:eastAsia="宋体" w:cs="Times New Roman"/>
                <w:b w:val="0"/>
                <w:bCs w:val="0"/>
                <w:i w:val="0"/>
                <w:iCs w:val="0"/>
                <w:color w:val="000000" w:themeColor="text1"/>
                <w:sz w:val="21"/>
                <w:szCs w:val="21"/>
                <w:u w:val="none"/>
                <w:lang w:val="en-US" w:eastAsia="zh-CN"/>
                <w14:textFill>
                  <w14:solidFill>
                    <w14:schemeClr w14:val="tx1"/>
                  </w14:solidFill>
                </w14:textFill>
              </w:rPr>
            </w:pPr>
            <w:r>
              <w:rPr>
                <w:rFonts w:hint="eastAsia" w:cs="Times New Roman"/>
                <w:b w:val="0"/>
                <w:bCs w:val="0"/>
                <w:i w:val="0"/>
                <w:iCs w:val="0"/>
                <w:color w:val="000000" w:themeColor="text1"/>
                <w:sz w:val="21"/>
                <w:szCs w:val="21"/>
                <w:u w:val="none"/>
                <w:lang w:val="en-US" w:eastAsia="zh-CN"/>
                <w14:textFill>
                  <w14:solidFill>
                    <w14:schemeClr w14:val="tx1"/>
                  </w14:solidFill>
                </w14:textFill>
              </w:rPr>
              <w:t>0.0010</w:t>
            </w:r>
          </w:p>
        </w:tc>
        <w:tc>
          <w:tcPr>
            <w:tcW w:w="1000" w:type="pct"/>
            <w:tcBorders>
              <w:top w:val="single" w:color="000000" w:sz="4" w:space="0"/>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000000" w:themeColor="text1"/>
                <w:sz w:val="21"/>
                <w:szCs w:val="21"/>
                <w:u w:val="none"/>
                <w14:textFill>
                  <w14:solidFill>
                    <w14:schemeClr w14:val="tx1"/>
                  </w14:solidFill>
                </w14:textFill>
              </w:rPr>
            </w:pPr>
            <w:r>
              <w:rPr>
                <w:rFonts w:hint="default" w:ascii="Times New Roman" w:hAnsi="Times New Roman" w:eastAsia="宋体" w:cs="Times New Roman"/>
                <w:b/>
                <w:bCs/>
                <w:i w:val="0"/>
                <w:iCs w:val="0"/>
                <w:color w:val="000000" w:themeColor="text1"/>
                <w:kern w:val="0"/>
                <w:sz w:val="21"/>
                <w:szCs w:val="21"/>
                <w:u w:val="none"/>
                <w:lang w:val="en-US" w:eastAsia="zh-CN" w:bidi="ar"/>
                <w14:textFill>
                  <w14:solidFill>
                    <w14:schemeClr w14:val="tx1"/>
                  </w14:solidFill>
                </w14:textFill>
              </w:rPr>
              <w:t>0.0118*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0" w:hRule="atLeast"/>
        </w:trPr>
        <w:tc>
          <w:tcPr>
            <w:tcW w:w="999" w:type="pct"/>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themeColor="text1"/>
                <w:sz w:val="21"/>
                <w:szCs w:val="21"/>
                <w:u w:val="none"/>
                <w14:textFill>
                  <w14:solidFill>
                    <w14:schemeClr w14:val="tx1"/>
                  </w14:solidFill>
                </w14:textFill>
              </w:rPr>
            </w:pPr>
            <w:r>
              <w:rPr>
                <w:rFonts w:hint="default" w:ascii="Times New Roman" w:hAnsi="Times New Roman" w:eastAsia="宋体" w:cs="Times New Roman"/>
                <w:b w:val="0"/>
                <w:bCs w:val="0"/>
                <w:i w:val="0"/>
                <w:iCs w:val="0"/>
                <w:color w:val="000000" w:themeColor="text1"/>
                <w:kern w:val="0"/>
                <w:sz w:val="21"/>
                <w:szCs w:val="21"/>
                <w:u w:val="none"/>
                <w:lang w:val="en-US" w:eastAsia="zh-CN" w:bidi="ar"/>
                <w14:textFill>
                  <w14:solidFill>
                    <w14:schemeClr w14:val="tx1"/>
                  </w14:solidFill>
                </w14:textFill>
              </w:rPr>
              <w:t>[-2,2]</w:t>
            </w:r>
          </w:p>
        </w:tc>
        <w:tc>
          <w:tcPr>
            <w:tcW w:w="999" w:type="pct"/>
            <w:tcBorders>
              <w:top w:val="nil"/>
              <w:left w:val="nil"/>
              <w:bottom w:val="nil"/>
              <w:right w:val="nil"/>
            </w:tcBorders>
            <w:shd w:val="clear" w:color="auto" w:fill="auto"/>
            <w:vAlign w:val="center"/>
          </w:tcPr>
          <w:p>
            <w:pPr>
              <w:jc w:val="center"/>
              <w:rPr>
                <w:rFonts w:hint="default" w:ascii="Times New Roman" w:hAnsi="Times New Roman" w:eastAsia="宋体" w:cs="Times New Roman"/>
                <w:b w:val="0"/>
                <w:bCs w:val="0"/>
                <w:i w:val="0"/>
                <w:iCs w:val="0"/>
                <w:color w:val="000000" w:themeColor="text1"/>
                <w:sz w:val="21"/>
                <w:szCs w:val="21"/>
                <w:u w:val="none"/>
                <w:lang w:val="en-US" w:eastAsia="zh-CN"/>
                <w14:textFill>
                  <w14:solidFill>
                    <w14:schemeClr w14:val="tx1"/>
                  </w14:solidFill>
                </w14:textFill>
              </w:rPr>
            </w:pPr>
            <w:r>
              <w:rPr>
                <w:rFonts w:hint="eastAsia" w:cs="Times New Roman"/>
                <w:b w:val="0"/>
                <w:bCs w:val="0"/>
                <w:i w:val="0"/>
                <w:iCs w:val="0"/>
                <w:color w:val="000000" w:themeColor="text1"/>
                <w:sz w:val="21"/>
                <w:szCs w:val="21"/>
                <w:u w:val="none"/>
                <w:lang w:val="en-US" w:eastAsia="zh-CN"/>
                <w14:textFill>
                  <w14:solidFill>
                    <w14:schemeClr w14:val="tx1"/>
                  </w14:solidFill>
                </w14:textFill>
              </w:rPr>
              <w:t>-0.0014</w:t>
            </w:r>
          </w:p>
        </w:tc>
        <w:tc>
          <w:tcPr>
            <w:tcW w:w="999" w:type="pct"/>
            <w:tcBorders>
              <w:top w:val="nil"/>
              <w:left w:val="nil"/>
              <w:bottom w:val="nil"/>
              <w:right w:val="nil"/>
            </w:tcBorders>
            <w:shd w:val="clear" w:color="auto" w:fill="auto"/>
            <w:vAlign w:val="center"/>
          </w:tcPr>
          <w:p>
            <w:pPr>
              <w:jc w:val="center"/>
              <w:rPr>
                <w:rFonts w:hint="default" w:ascii="Times New Roman" w:hAnsi="Times New Roman" w:eastAsia="宋体" w:cs="Times New Roman"/>
                <w:b w:val="0"/>
                <w:bCs w:val="0"/>
                <w:i w:val="0"/>
                <w:iCs w:val="0"/>
                <w:color w:val="000000" w:themeColor="text1"/>
                <w:sz w:val="21"/>
                <w:szCs w:val="21"/>
                <w:u w:val="none"/>
                <w:lang w:val="en-US" w:eastAsia="zh-CN"/>
                <w14:textFill>
                  <w14:solidFill>
                    <w14:schemeClr w14:val="tx1"/>
                  </w14:solidFill>
                </w14:textFill>
              </w:rPr>
            </w:pPr>
            <w:r>
              <w:rPr>
                <w:rFonts w:hint="eastAsia" w:cs="Times New Roman"/>
                <w:b w:val="0"/>
                <w:bCs w:val="0"/>
                <w:i w:val="0"/>
                <w:iCs w:val="0"/>
                <w:color w:val="000000" w:themeColor="text1"/>
                <w:sz w:val="21"/>
                <w:szCs w:val="21"/>
                <w:u w:val="none"/>
                <w:lang w:val="en-US" w:eastAsia="zh-CN"/>
                <w14:textFill>
                  <w14:solidFill>
                    <w14:schemeClr w14:val="tx1"/>
                  </w14:solidFill>
                </w14:textFill>
              </w:rPr>
              <w:t>-0.0059</w:t>
            </w:r>
          </w:p>
        </w:tc>
        <w:tc>
          <w:tcPr>
            <w:tcW w:w="999" w:type="pct"/>
            <w:tcBorders>
              <w:top w:val="nil"/>
              <w:left w:val="nil"/>
              <w:bottom w:val="nil"/>
              <w:right w:val="nil"/>
            </w:tcBorders>
            <w:shd w:val="clear" w:color="auto" w:fill="auto"/>
            <w:vAlign w:val="center"/>
          </w:tcPr>
          <w:p>
            <w:pPr>
              <w:jc w:val="center"/>
              <w:rPr>
                <w:rFonts w:hint="default" w:ascii="Times New Roman" w:hAnsi="Times New Roman" w:eastAsia="宋体" w:cs="Times New Roman"/>
                <w:b w:val="0"/>
                <w:bCs w:val="0"/>
                <w:i w:val="0"/>
                <w:iCs w:val="0"/>
                <w:color w:val="000000" w:themeColor="text1"/>
                <w:sz w:val="21"/>
                <w:szCs w:val="21"/>
                <w:u w:val="none"/>
                <w:lang w:val="en-US" w:eastAsia="zh-CN"/>
                <w14:textFill>
                  <w14:solidFill>
                    <w14:schemeClr w14:val="tx1"/>
                  </w14:solidFill>
                </w14:textFill>
              </w:rPr>
            </w:pPr>
            <w:r>
              <w:rPr>
                <w:rFonts w:hint="eastAsia" w:cs="Times New Roman"/>
                <w:b w:val="0"/>
                <w:bCs w:val="0"/>
                <w:i w:val="0"/>
                <w:iCs w:val="0"/>
                <w:color w:val="000000" w:themeColor="text1"/>
                <w:sz w:val="21"/>
                <w:szCs w:val="21"/>
                <w:u w:val="none"/>
                <w:lang w:val="en-US" w:eastAsia="zh-CN"/>
                <w14:textFill>
                  <w14:solidFill>
                    <w14:schemeClr w14:val="tx1"/>
                  </w14:solidFill>
                </w14:textFill>
              </w:rPr>
              <w:t>0.0033</w:t>
            </w:r>
          </w:p>
        </w:tc>
        <w:tc>
          <w:tcPr>
            <w:tcW w:w="1000" w:type="pct"/>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000000" w:themeColor="text1"/>
                <w:sz w:val="21"/>
                <w:szCs w:val="21"/>
                <w:u w:val="none"/>
                <w14:textFill>
                  <w14:solidFill>
                    <w14:schemeClr w14:val="tx1"/>
                  </w14:solidFill>
                </w14:textFill>
              </w:rPr>
            </w:pPr>
            <w:r>
              <w:rPr>
                <w:rFonts w:hint="default" w:ascii="Times New Roman" w:hAnsi="Times New Roman" w:eastAsia="宋体" w:cs="Times New Roman"/>
                <w:b/>
                <w:bCs/>
                <w:i w:val="0"/>
                <w:iCs w:val="0"/>
                <w:color w:val="000000" w:themeColor="text1"/>
                <w:kern w:val="0"/>
                <w:sz w:val="21"/>
                <w:szCs w:val="21"/>
                <w:u w:val="none"/>
                <w:lang w:val="en-US" w:eastAsia="zh-CN" w:bidi="ar"/>
                <w14:textFill>
                  <w14:solidFill>
                    <w14:schemeClr w14:val="tx1"/>
                  </w14:solidFill>
                </w14:textFill>
              </w:rPr>
              <w:t>0.0297***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0" w:hRule="atLeast"/>
        </w:trPr>
        <w:tc>
          <w:tcPr>
            <w:tcW w:w="999" w:type="pct"/>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themeColor="text1"/>
                <w:sz w:val="21"/>
                <w:szCs w:val="21"/>
                <w:u w:val="none"/>
                <w14:textFill>
                  <w14:solidFill>
                    <w14:schemeClr w14:val="tx1"/>
                  </w14:solidFill>
                </w14:textFill>
              </w:rPr>
            </w:pPr>
            <w:r>
              <w:rPr>
                <w:rFonts w:hint="default" w:ascii="Times New Roman" w:hAnsi="Times New Roman" w:eastAsia="宋体" w:cs="Times New Roman"/>
                <w:b w:val="0"/>
                <w:bCs w:val="0"/>
                <w:i w:val="0"/>
                <w:iCs w:val="0"/>
                <w:color w:val="000000" w:themeColor="text1"/>
                <w:kern w:val="0"/>
                <w:sz w:val="21"/>
                <w:szCs w:val="21"/>
                <w:u w:val="none"/>
                <w:lang w:val="en-US" w:eastAsia="zh-CN" w:bidi="ar"/>
                <w14:textFill>
                  <w14:solidFill>
                    <w14:schemeClr w14:val="tx1"/>
                  </w14:solidFill>
                </w14:textFill>
              </w:rPr>
              <w:t>[-3,3]</w:t>
            </w:r>
          </w:p>
        </w:tc>
        <w:tc>
          <w:tcPr>
            <w:tcW w:w="999" w:type="pct"/>
            <w:tcBorders>
              <w:top w:val="nil"/>
              <w:left w:val="nil"/>
              <w:bottom w:val="nil"/>
              <w:right w:val="nil"/>
            </w:tcBorders>
            <w:shd w:val="clear" w:color="auto" w:fill="auto"/>
            <w:vAlign w:val="center"/>
          </w:tcPr>
          <w:p>
            <w:pPr>
              <w:jc w:val="center"/>
              <w:rPr>
                <w:rFonts w:hint="default" w:ascii="Times New Roman" w:hAnsi="Times New Roman" w:eastAsia="宋体" w:cs="Times New Roman"/>
                <w:b w:val="0"/>
                <w:bCs w:val="0"/>
                <w:i w:val="0"/>
                <w:iCs w:val="0"/>
                <w:color w:val="000000" w:themeColor="text1"/>
                <w:sz w:val="21"/>
                <w:szCs w:val="21"/>
                <w:u w:val="none"/>
                <w:lang w:val="en-US" w:eastAsia="zh-CN"/>
                <w14:textFill>
                  <w14:solidFill>
                    <w14:schemeClr w14:val="tx1"/>
                  </w14:solidFill>
                </w14:textFill>
              </w:rPr>
            </w:pPr>
            <w:r>
              <w:rPr>
                <w:rFonts w:hint="eastAsia" w:cs="Times New Roman"/>
                <w:b w:val="0"/>
                <w:bCs w:val="0"/>
                <w:i w:val="0"/>
                <w:iCs w:val="0"/>
                <w:color w:val="000000" w:themeColor="text1"/>
                <w:sz w:val="21"/>
                <w:szCs w:val="21"/>
                <w:u w:val="none"/>
                <w:lang w:val="en-US" w:eastAsia="zh-CN"/>
                <w14:textFill>
                  <w14:solidFill>
                    <w14:schemeClr w14:val="tx1"/>
                  </w14:solidFill>
                </w14:textFill>
              </w:rPr>
              <w:t>-0.0072</w:t>
            </w:r>
          </w:p>
        </w:tc>
        <w:tc>
          <w:tcPr>
            <w:tcW w:w="999" w:type="pct"/>
            <w:tcBorders>
              <w:top w:val="nil"/>
              <w:left w:val="nil"/>
              <w:bottom w:val="nil"/>
              <w:right w:val="nil"/>
            </w:tcBorders>
            <w:shd w:val="clear" w:color="auto" w:fill="auto"/>
            <w:vAlign w:val="center"/>
          </w:tcPr>
          <w:p>
            <w:pPr>
              <w:jc w:val="center"/>
              <w:rPr>
                <w:rFonts w:hint="default" w:ascii="Times New Roman" w:hAnsi="Times New Roman" w:eastAsia="宋体" w:cs="Times New Roman"/>
                <w:b w:val="0"/>
                <w:bCs w:val="0"/>
                <w:i w:val="0"/>
                <w:iCs w:val="0"/>
                <w:color w:val="000000" w:themeColor="text1"/>
                <w:sz w:val="21"/>
                <w:szCs w:val="21"/>
                <w:u w:val="none"/>
                <w:lang w:val="en-US" w:eastAsia="zh-CN"/>
                <w14:textFill>
                  <w14:solidFill>
                    <w14:schemeClr w14:val="tx1"/>
                  </w14:solidFill>
                </w14:textFill>
              </w:rPr>
            </w:pPr>
            <w:r>
              <w:rPr>
                <w:rFonts w:hint="eastAsia" w:cs="Times New Roman"/>
                <w:b w:val="0"/>
                <w:bCs w:val="0"/>
                <w:i w:val="0"/>
                <w:iCs w:val="0"/>
                <w:color w:val="000000" w:themeColor="text1"/>
                <w:sz w:val="21"/>
                <w:szCs w:val="21"/>
                <w:u w:val="none"/>
                <w:lang w:val="en-US" w:eastAsia="zh-CN"/>
                <w14:textFill>
                  <w14:solidFill>
                    <w14:schemeClr w14:val="tx1"/>
                  </w14:solidFill>
                </w14:textFill>
              </w:rPr>
              <w:t>-0.0077</w:t>
            </w:r>
          </w:p>
        </w:tc>
        <w:tc>
          <w:tcPr>
            <w:tcW w:w="999" w:type="pct"/>
            <w:tcBorders>
              <w:top w:val="nil"/>
              <w:left w:val="nil"/>
              <w:bottom w:val="nil"/>
              <w:right w:val="nil"/>
            </w:tcBorders>
            <w:shd w:val="clear" w:color="auto" w:fill="auto"/>
            <w:vAlign w:val="center"/>
          </w:tcPr>
          <w:p>
            <w:pPr>
              <w:jc w:val="center"/>
              <w:rPr>
                <w:rFonts w:hint="default" w:ascii="Times New Roman" w:hAnsi="Times New Roman" w:eastAsia="宋体" w:cs="Times New Roman"/>
                <w:b w:val="0"/>
                <w:bCs w:val="0"/>
                <w:i w:val="0"/>
                <w:iCs w:val="0"/>
                <w:color w:val="000000" w:themeColor="text1"/>
                <w:sz w:val="21"/>
                <w:szCs w:val="21"/>
                <w:u w:val="none"/>
                <w:lang w:val="en-US" w:eastAsia="zh-CN"/>
                <w14:textFill>
                  <w14:solidFill>
                    <w14:schemeClr w14:val="tx1"/>
                  </w14:solidFill>
                </w14:textFill>
              </w:rPr>
            </w:pPr>
            <w:r>
              <w:rPr>
                <w:rFonts w:hint="eastAsia" w:cs="Times New Roman"/>
                <w:b w:val="0"/>
                <w:bCs w:val="0"/>
                <w:i w:val="0"/>
                <w:iCs w:val="0"/>
                <w:color w:val="000000" w:themeColor="text1"/>
                <w:sz w:val="21"/>
                <w:szCs w:val="21"/>
                <w:u w:val="none"/>
                <w:lang w:val="en-US" w:eastAsia="zh-CN"/>
                <w14:textFill>
                  <w14:solidFill>
                    <w14:schemeClr w14:val="tx1"/>
                  </w14:solidFill>
                </w14:textFill>
              </w:rPr>
              <w:t>-0.0038</w:t>
            </w:r>
          </w:p>
        </w:tc>
        <w:tc>
          <w:tcPr>
            <w:tcW w:w="1000" w:type="pct"/>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000000" w:themeColor="text1"/>
                <w:sz w:val="21"/>
                <w:szCs w:val="21"/>
                <w:u w:val="none"/>
                <w14:textFill>
                  <w14:solidFill>
                    <w14:schemeClr w14:val="tx1"/>
                  </w14:solidFill>
                </w14:textFill>
              </w:rPr>
            </w:pPr>
            <w:r>
              <w:rPr>
                <w:rFonts w:hint="default" w:ascii="Times New Roman" w:hAnsi="Times New Roman" w:eastAsia="宋体" w:cs="Times New Roman"/>
                <w:b/>
                <w:bCs/>
                <w:i w:val="0"/>
                <w:iCs w:val="0"/>
                <w:color w:val="000000" w:themeColor="text1"/>
                <w:kern w:val="0"/>
                <w:sz w:val="21"/>
                <w:szCs w:val="21"/>
                <w:u w:val="none"/>
                <w:lang w:val="en-US" w:eastAsia="zh-CN" w:bidi="ar"/>
                <w14:textFill>
                  <w14:solidFill>
                    <w14:schemeClr w14:val="tx1"/>
                  </w14:solidFill>
                </w14:textFill>
              </w:rPr>
              <w:t>0.0337***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0" w:hRule="atLeast"/>
        </w:trPr>
        <w:tc>
          <w:tcPr>
            <w:tcW w:w="999" w:type="pct"/>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themeColor="text1"/>
                <w:sz w:val="21"/>
                <w:szCs w:val="21"/>
                <w:u w:val="none"/>
                <w14:textFill>
                  <w14:solidFill>
                    <w14:schemeClr w14:val="tx1"/>
                  </w14:solidFill>
                </w14:textFill>
              </w:rPr>
            </w:pPr>
            <w:r>
              <w:rPr>
                <w:rFonts w:hint="default" w:ascii="Times New Roman" w:hAnsi="Times New Roman" w:eastAsia="宋体" w:cs="Times New Roman"/>
                <w:b w:val="0"/>
                <w:bCs w:val="0"/>
                <w:i w:val="0"/>
                <w:iCs w:val="0"/>
                <w:color w:val="000000" w:themeColor="text1"/>
                <w:kern w:val="0"/>
                <w:sz w:val="21"/>
                <w:szCs w:val="21"/>
                <w:u w:val="none"/>
                <w:lang w:val="en-US" w:eastAsia="zh-CN" w:bidi="ar"/>
                <w14:textFill>
                  <w14:solidFill>
                    <w14:schemeClr w14:val="tx1"/>
                  </w14:solidFill>
                </w14:textFill>
              </w:rPr>
              <w:t>[-5,5]</w:t>
            </w:r>
          </w:p>
        </w:tc>
        <w:tc>
          <w:tcPr>
            <w:tcW w:w="999" w:type="pct"/>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themeColor="text1"/>
                <w:sz w:val="21"/>
                <w:szCs w:val="21"/>
                <w:u w:val="none"/>
                <w14:textFill>
                  <w14:solidFill>
                    <w14:schemeClr w14:val="tx1"/>
                  </w14:solidFill>
                </w14:textFill>
              </w:rPr>
            </w:pPr>
            <w:r>
              <w:rPr>
                <w:rFonts w:hint="default" w:ascii="Times New Roman" w:hAnsi="Times New Roman" w:eastAsia="宋体" w:cs="Times New Roman"/>
                <w:b/>
                <w:bCs/>
                <w:i w:val="0"/>
                <w:iCs w:val="0"/>
                <w:color w:val="000000" w:themeColor="text1"/>
                <w:kern w:val="0"/>
                <w:sz w:val="21"/>
                <w:szCs w:val="21"/>
                <w:u w:val="none"/>
                <w:lang w:val="en-US" w:eastAsia="zh-CN" w:bidi="ar"/>
                <w14:textFill>
                  <w14:solidFill>
                    <w14:schemeClr w14:val="tx1"/>
                  </w14:solidFill>
                </w14:textFill>
              </w:rPr>
              <w:t>-0.0225**</w:t>
            </w:r>
          </w:p>
        </w:tc>
        <w:tc>
          <w:tcPr>
            <w:tcW w:w="999" w:type="pct"/>
            <w:tcBorders>
              <w:top w:val="nil"/>
              <w:left w:val="nil"/>
              <w:bottom w:val="nil"/>
              <w:right w:val="nil"/>
            </w:tcBorders>
            <w:shd w:val="clear" w:color="auto" w:fill="auto"/>
            <w:vAlign w:val="center"/>
          </w:tcPr>
          <w:p>
            <w:pPr>
              <w:jc w:val="center"/>
              <w:rPr>
                <w:rFonts w:hint="default" w:ascii="Times New Roman" w:hAnsi="Times New Roman" w:eastAsia="宋体" w:cs="Times New Roman"/>
                <w:b w:val="0"/>
                <w:bCs w:val="0"/>
                <w:i w:val="0"/>
                <w:iCs w:val="0"/>
                <w:color w:val="000000" w:themeColor="text1"/>
                <w:sz w:val="21"/>
                <w:szCs w:val="21"/>
                <w:u w:val="none"/>
                <w14:textFill>
                  <w14:solidFill>
                    <w14:schemeClr w14:val="tx1"/>
                  </w14:solidFill>
                </w14:textFill>
              </w:rPr>
            </w:pPr>
            <w:r>
              <w:rPr>
                <w:rFonts w:hint="eastAsia" w:cs="Times New Roman"/>
                <w:b w:val="0"/>
                <w:bCs w:val="0"/>
                <w:i w:val="0"/>
                <w:iCs w:val="0"/>
                <w:color w:val="000000" w:themeColor="text1"/>
                <w:sz w:val="21"/>
                <w:szCs w:val="21"/>
                <w:u w:val="none"/>
                <w:lang w:val="en-US" w:eastAsia="zh-CN"/>
                <w14:textFill>
                  <w14:solidFill>
                    <w14:schemeClr w14:val="tx1"/>
                  </w14:solidFill>
                </w14:textFill>
              </w:rPr>
              <w:t>-0.0024</w:t>
            </w:r>
          </w:p>
        </w:tc>
        <w:tc>
          <w:tcPr>
            <w:tcW w:w="999" w:type="pct"/>
            <w:tcBorders>
              <w:top w:val="nil"/>
              <w:left w:val="nil"/>
              <w:bottom w:val="nil"/>
              <w:right w:val="nil"/>
            </w:tcBorders>
            <w:shd w:val="clear" w:color="auto" w:fill="auto"/>
            <w:vAlign w:val="center"/>
          </w:tcPr>
          <w:p>
            <w:pPr>
              <w:jc w:val="center"/>
              <w:rPr>
                <w:rFonts w:hint="default" w:ascii="Times New Roman" w:hAnsi="Times New Roman" w:eastAsia="宋体" w:cs="Times New Roman"/>
                <w:b w:val="0"/>
                <w:bCs w:val="0"/>
                <w:i w:val="0"/>
                <w:iCs w:val="0"/>
                <w:color w:val="000000" w:themeColor="text1"/>
                <w:sz w:val="21"/>
                <w:szCs w:val="21"/>
                <w:u w:val="none"/>
                <w:lang w:val="en-US" w:eastAsia="zh-CN"/>
                <w14:textFill>
                  <w14:solidFill>
                    <w14:schemeClr w14:val="tx1"/>
                  </w14:solidFill>
                </w14:textFill>
              </w:rPr>
            </w:pPr>
            <w:r>
              <w:rPr>
                <w:rFonts w:hint="eastAsia" w:cs="Times New Roman"/>
                <w:b w:val="0"/>
                <w:bCs w:val="0"/>
                <w:i w:val="0"/>
                <w:iCs w:val="0"/>
                <w:color w:val="000000" w:themeColor="text1"/>
                <w:sz w:val="21"/>
                <w:szCs w:val="21"/>
                <w:u w:val="none"/>
                <w:lang w:val="en-US" w:eastAsia="zh-CN"/>
                <w14:textFill>
                  <w14:solidFill>
                    <w14:schemeClr w14:val="tx1"/>
                  </w14:solidFill>
                </w14:textFill>
              </w:rPr>
              <w:t>0.0094</w:t>
            </w:r>
          </w:p>
        </w:tc>
        <w:tc>
          <w:tcPr>
            <w:tcW w:w="1000" w:type="pct"/>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000000" w:themeColor="text1"/>
                <w:sz w:val="21"/>
                <w:szCs w:val="21"/>
                <w:u w:val="none"/>
                <w14:textFill>
                  <w14:solidFill>
                    <w14:schemeClr w14:val="tx1"/>
                  </w14:solidFill>
                </w14:textFill>
              </w:rPr>
            </w:pPr>
            <w:r>
              <w:rPr>
                <w:rFonts w:hint="default" w:ascii="Times New Roman" w:hAnsi="Times New Roman" w:eastAsia="宋体" w:cs="Times New Roman"/>
                <w:b/>
                <w:bCs/>
                <w:i w:val="0"/>
                <w:iCs w:val="0"/>
                <w:color w:val="000000" w:themeColor="text1"/>
                <w:kern w:val="0"/>
                <w:sz w:val="21"/>
                <w:szCs w:val="21"/>
                <w:u w:val="none"/>
                <w:lang w:val="en-US" w:eastAsia="zh-CN" w:bidi="ar"/>
                <w14:textFill>
                  <w14:solidFill>
                    <w14:schemeClr w14:val="tx1"/>
                  </w14:solidFill>
                </w14:textFill>
              </w:rPr>
              <w:t>0.385***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0" w:hRule="atLeast"/>
        </w:trPr>
        <w:tc>
          <w:tcPr>
            <w:tcW w:w="999" w:type="pct"/>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themeColor="text1"/>
                <w:sz w:val="21"/>
                <w:szCs w:val="21"/>
                <w:u w:val="none"/>
                <w14:textFill>
                  <w14:solidFill>
                    <w14:schemeClr w14:val="tx1"/>
                  </w14:solidFill>
                </w14:textFill>
              </w:rPr>
            </w:pPr>
            <w:r>
              <w:rPr>
                <w:rFonts w:hint="default" w:ascii="Times New Roman" w:hAnsi="Times New Roman" w:eastAsia="宋体" w:cs="Times New Roman"/>
                <w:b w:val="0"/>
                <w:bCs w:val="0"/>
                <w:i w:val="0"/>
                <w:iCs w:val="0"/>
                <w:color w:val="000000" w:themeColor="text1"/>
                <w:kern w:val="0"/>
                <w:sz w:val="21"/>
                <w:szCs w:val="21"/>
                <w:u w:val="none"/>
                <w:lang w:val="en-US" w:eastAsia="zh-CN" w:bidi="ar"/>
                <w14:textFill>
                  <w14:solidFill>
                    <w14:schemeClr w14:val="tx1"/>
                  </w14:solidFill>
                </w14:textFill>
              </w:rPr>
              <w:t>[-10,10]</w:t>
            </w:r>
          </w:p>
        </w:tc>
        <w:tc>
          <w:tcPr>
            <w:tcW w:w="999" w:type="pct"/>
            <w:tcBorders>
              <w:top w:val="nil"/>
              <w:left w:val="nil"/>
              <w:bottom w:val="nil"/>
              <w:right w:val="nil"/>
            </w:tcBorders>
            <w:shd w:val="clear" w:color="auto" w:fill="auto"/>
            <w:vAlign w:val="center"/>
          </w:tcPr>
          <w:p>
            <w:pPr>
              <w:jc w:val="center"/>
              <w:rPr>
                <w:rFonts w:hint="default" w:ascii="Times New Roman" w:hAnsi="Times New Roman" w:eastAsia="宋体" w:cs="Times New Roman"/>
                <w:b w:val="0"/>
                <w:bCs w:val="0"/>
                <w:i w:val="0"/>
                <w:iCs w:val="0"/>
                <w:color w:val="000000" w:themeColor="text1"/>
                <w:sz w:val="21"/>
                <w:szCs w:val="21"/>
                <w:u w:val="none"/>
                <w:lang w:val="en-US" w:eastAsia="zh-CN"/>
                <w14:textFill>
                  <w14:solidFill>
                    <w14:schemeClr w14:val="tx1"/>
                  </w14:solidFill>
                </w14:textFill>
              </w:rPr>
            </w:pPr>
            <w:r>
              <w:rPr>
                <w:rFonts w:hint="eastAsia" w:cs="Times New Roman"/>
                <w:b w:val="0"/>
                <w:bCs w:val="0"/>
                <w:i w:val="0"/>
                <w:iCs w:val="0"/>
                <w:color w:val="000000" w:themeColor="text1"/>
                <w:sz w:val="21"/>
                <w:szCs w:val="21"/>
                <w:u w:val="none"/>
                <w:lang w:val="en-US" w:eastAsia="zh-CN"/>
                <w14:textFill>
                  <w14:solidFill>
                    <w14:schemeClr w14:val="tx1"/>
                  </w14:solidFill>
                </w14:textFill>
              </w:rPr>
              <w:t>-0.0197</w:t>
            </w:r>
          </w:p>
        </w:tc>
        <w:tc>
          <w:tcPr>
            <w:tcW w:w="999" w:type="pct"/>
            <w:tcBorders>
              <w:top w:val="nil"/>
              <w:left w:val="nil"/>
              <w:bottom w:val="nil"/>
              <w:right w:val="nil"/>
            </w:tcBorders>
            <w:shd w:val="clear" w:color="auto" w:fill="auto"/>
            <w:vAlign w:val="center"/>
          </w:tcPr>
          <w:p>
            <w:pPr>
              <w:jc w:val="center"/>
              <w:rPr>
                <w:rFonts w:hint="default" w:ascii="Times New Roman" w:hAnsi="Times New Roman" w:eastAsia="宋体" w:cs="Times New Roman"/>
                <w:b w:val="0"/>
                <w:bCs w:val="0"/>
                <w:i w:val="0"/>
                <w:iCs w:val="0"/>
                <w:color w:val="000000" w:themeColor="text1"/>
                <w:sz w:val="21"/>
                <w:szCs w:val="21"/>
                <w:u w:val="none"/>
                <w:lang w:val="en-US" w:eastAsia="zh-CN"/>
                <w14:textFill>
                  <w14:solidFill>
                    <w14:schemeClr w14:val="tx1"/>
                  </w14:solidFill>
                </w14:textFill>
              </w:rPr>
            </w:pPr>
            <w:r>
              <w:rPr>
                <w:rFonts w:hint="eastAsia" w:cs="Times New Roman"/>
                <w:b w:val="0"/>
                <w:bCs w:val="0"/>
                <w:i w:val="0"/>
                <w:iCs w:val="0"/>
                <w:color w:val="000000" w:themeColor="text1"/>
                <w:sz w:val="21"/>
                <w:szCs w:val="21"/>
                <w:u w:val="none"/>
                <w:lang w:val="en-US" w:eastAsia="zh-CN"/>
                <w14:textFill>
                  <w14:solidFill>
                    <w14:schemeClr w14:val="tx1"/>
                  </w14:solidFill>
                </w14:textFill>
              </w:rPr>
              <w:t>-0.0190</w:t>
            </w:r>
          </w:p>
        </w:tc>
        <w:tc>
          <w:tcPr>
            <w:tcW w:w="999" w:type="pct"/>
            <w:tcBorders>
              <w:top w:val="nil"/>
              <w:left w:val="nil"/>
              <w:bottom w:val="nil"/>
              <w:right w:val="nil"/>
            </w:tcBorders>
            <w:shd w:val="clear" w:color="auto" w:fill="auto"/>
            <w:vAlign w:val="center"/>
          </w:tcPr>
          <w:p>
            <w:pPr>
              <w:jc w:val="center"/>
              <w:rPr>
                <w:rFonts w:hint="default" w:ascii="Times New Roman" w:hAnsi="Times New Roman" w:eastAsia="宋体" w:cs="Times New Roman"/>
                <w:b w:val="0"/>
                <w:bCs w:val="0"/>
                <w:i w:val="0"/>
                <w:iCs w:val="0"/>
                <w:color w:val="000000" w:themeColor="text1"/>
                <w:sz w:val="21"/>
                <w:szCs w:val="21"/>
                <w:u w:val="none"/>
                <w:lang w:val="en-US" w:eastAsia="zh-CN"/>
                <w14:textFill>
                  <w14:solidFill>
                    <w14:schemeClr w14:val="tx1"/>
                  </w14:solidFill>
                </w14:textFill>
              </w:rPr>
            </w:pPr>
            <w:r>
              <w:rPr>
                <w:rFonts w:hint="eastAsia" w:cs="Times New Roman"/>
                <w:b w:val="0"/>
                <w:bCs w:val="0"/>
                <w:i w:val="0"/>
                <w:iCs w:val="0"/>
                <w:color w:val="000000" w:themeColor="text1"/>
                <w:sz w:val="21"/>
                <w:szCs w:val="21"/>
                <w:u w:val="none"/>
                <w:lang w:val="en-US" w:eastAsia="zh-CN"/>
                <w14:textFill>
                  <w14:solidFill>
                    <w14:schemeClr w14:val="tx1"/>
                  </w14:solidFill>
                </w14:textFill>
              </w:rPr>
              <w:t>0.0195</w:t>
            </w:r>
          </w:p>
        </w:tc>
        <w:tc>
          <w:tcPr>
            <w:tcW w:w="1000" w:type="pct"/>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000000" w:themeColor="text1"/>
                <w:sz w:val="21"/>
                <w:szCs w:val="21"/>
                <w:u w:val="none"/>
                <w14:textFill>
                  <w14:solidFill>
                    <w14:schemeClr w14:val="tx1"/>
                  </w14:solidFill>
                </w14:textFill>
              </w:rPr>
            </w:pPr>
            <w:r>
              <w:rPr>
                <w:rFonts w:hint="default" w:ascii="Times New Roman" w:hAnsi="Times New Roman" w:eastAsia="宋体" w:cs="Times New Roman"/>
                <w:b/>
                <w:bCs/>
                <w:i w:val="0"/>
                <w:iCs w:val="0"/>
                <w:color w:val="000000" w:themeColor="text1"/>
                <w:kern w:val="0"/>
                <w:sz w:val="21"/>
                <w:szCs w:val="21"/>
                <w:u w:val="none"/>
                <w:lang w:val="en-US" w:eastAsia="zh-CN" w:bidi="ar"/>
                <w14:textFill>
                  <w14:solidFill>
                    <w14:schemeClr w14:val="tx1"/>
                  </w14:solidFill>
                </w14:textFill>
              </w:rPr>
              <w:t>0.0765***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0" w:hRule="atLeast"/>
        </w:trPr>
        <w:tc>
          <w:tcPr>
            <w:tcW w:w="999" w:type="pct"/>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themeColor="text1"/>
                <w:sz w:val="21"/>
                <w:szCs w:val="21"/>
                <w:u w:val="none"/>
                <w14:textFill>
                  <w14:solidFill>
                    <w14:schemeClr w14:val="tx1"/>
                  </w14:solidFill>
                </w14:textFill>
              </w:rPr>
            </w:pPr>
            <w:r>
              <w:rPr>
                <w:rFonts w:hint="default" w:ascii="Times New Roman" w:hAnsi="Times New Roman" w:eastAsia="宋体" w:cs="Times New Roman"/>
                <w:b w:val="0"/>
                <w:bCs w:val="0"/>
                <w:i w:val="0"/>
                <w:iCs w:val="0"/>
                <w:color w:val="000000" w:themeColor="text1"/>
                <w:kern w:val="0"/>
                <w:sz w:val="21"/>
                <w:szCs w:val="21"/>
                <w:u w:val="none"/>
                <w:lang w:val="en-US" w:eastAsia="zh-CN" w:bidi="ar"/>
                <w14:textFill>
                  <w14:solidFill>
                    <w14:schemeClr w14:val="tx1"/>
                  </w14:solidFill>
                </w14:textFill>
              </w:rPr>
              <w:t>[0,3]</w:t>
            </w:r>
          </w:p>
        </w:tc>
        <w:tc>
          <w:tcPr>
            <w:tcW w:w="999" w:type="pct"/>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000000" w:themeColor="text1"/>
                <w:sz w:val="21"/>
                <w:szCs w:val="21"/>
                <w:u w:val="none"/>
                <w14:textFill>
                  <w14:solidFill>
                    <w14:schemeClr w14:val="tx1"/>
                  </w14:solidFill>
                </w14:textFill>
              </w:rPr>
            </w:pPr>
            <w:r>
              <w:rPr>
                <w:rFonts w:hint="default" w:ascii="Times New Roman" w:hAnsi="Times New Roman" w:eastAsia="宋体" w:cs="Times New Roman"/>
                <w:b/>
                <w:bCs/>
                <w:i w:val="0"/>
                <w:iCs w:val="0"/>
                <w:color w:val="000000" w:themeColor="text1"/>
                <w:kern w:val="0"/>
                <w:sz w:val="21"/>
                <w:szCs w:val="21"/>
                <w:u w:val="none"/>
                <w:lang w:val="en-US" w:eastAsia="zh-CN" w:bidi="ar"/>
                <w14:textFill>
                  <w14:solidFill>
                    <w14:schemeClr w14:val="tx1"/>
                  </w14:solidFill>
                </w14:textFill>
              </w:rPr>
              <w:t>-0.0128**</w:t>
            </w:r>
          </w:p>
        </w:tc>
        <w:tc>
          <w:tcPr>
            <w:tcW w:w="999" w:type="pct"/>
            <w:tcBorders>
              <w:top w:val="nil"/>
              <w:left w:val="nil"/>
              <w:bottom w:val="nil"/>
              <w:right w:val="nil"/>
            </w:tcBorders>
            <w:shd w:val="clear" w:color="auto" w:fill="auto"/>
            <w:vAlign w:val="center"/>
          </w:tcPr>
          <w:p>
            <w:pPr>
              <w:jc w:val="center"/>
              <w:rPr>
                <w:rFonts w:hint="default" w:ascii="Times New Roman" w:hAnsi="Times New Roman" w:eastAsia="宋体" w:cs="Times New Roman"/>
                <w:b w:val="0"/>
                <w:bCs w:val="0"/>
                <w:i w:val="0"/>
                <w:iCs w:val="0"/>
                <w:color w:val="000000" w:themeColor="text1"/>
                <w:sz w:val="21"/>
                <w:szCs w:val="21"/>
                <w:u w:val="none"/>
                <w:lang w:val="en-US" w:eastAsia="zh-CN"/>
                <w14:textFill>
                  <w14:solidFill>
                    <w14:schemeClr w14:val="tx1"/>
                  </w14:solidFill>
                </w14:textFill>
              </w:rPr>
            </w:pPr>
            <w:r>
              <w:rPr>
                <w:rFonts w:hint="eastAsia" w:cs="Times New Roman"/>
                <w:b w:val="0"/>
                <w:bCs w:val="0"/>
                <w:i w:val="0"/>
                <w:iCs w:val="0"/>
                <w:color w:val="000000" w:themeColor="text1"/>
                <w:sz w:val="21"/>
                <w:szCs w:val="21"/>
                <w:u w:val="none"/>
                <w:lang w:val="en-US" w:eastAsia="zh-CN"/>
                <w14:textFill>
                  <w14:solidFill>
                    <w14:schemeClr w14:val="tx1"/>
                  </w14:solidFill>
                </w14:textFill>
              </w:rPr>
              <w:t>-0.0023</w:t>
            </w:r>
          </w:p>
        </w:tc>
        <w:tc>
          <w:tcPr>
            <w:tcW w:w="999" w:type="pct"/>
            <w:tcBorders>
              <w:top w:val="nil"/>
              <w:left w:val="nil"/>
              <w:bottom w:val="nil"/>
              <w:right w:val="nil"/>
            </w:tcBorders>
            <w:shd w:val="clear" w:color="auto" w:fill="auto"/>
            <w:vAlign w:val="center"/>
          </w:tcPr>
          <w:p>
            <w:pPr>
              <w:jc w:val="center"/>
              <w:rPr>
                <w:rFonts w:hint="default" w:ascii="Times New Roman" w:hAnsi="Times New Roman" w:eastAsia="宋体" w:cs="Times New Roman"/>
                <w:b w:val="0"/>
                <w:bCs w:val="0"/>
                <w:i w:val="0"/>
                <w:iCs w:val="0"/>
                <w:color w:val="000000" w:themeColor="text1"/>
                <w:sz w:val="21"/>
                <w:szCs w:val="21"/>
                <w:u w:val="none"/>
                <w:lang w:val="en-US" w:eastAsia="zh-CN"/>
                <w14:textFill>
                  <w14:solidFill>
                    <w14:schemeClr w14:val="tx1"/>
                  </w14:solidFill>
                </w14:textFill>
              </w:rPr>
            </w:pPr>
            <w:r>
              <w:rPr>
                <w:rFonts w:hint="eastAsia" w:cs="Times New Roman"/>
                <w:b w:val="0"/>
                <w:bCs w:val="0"/>
                <w:i w:val="0"/>
                <w:iCs w:val="0"/>
                <w:color w:val="000000" w:themeColor="text1"/>
                <w:sz w:val="21"/>
                <w:szCs w:val="21"/>
                <w:u w:val="none"/>
                <w:lang w:val="en-US" w:eastAsia="zh-CN"/>
                <w14:textFill>
                  <w14:solidFill>
                    <w14:schemeClr w14:val="tx1"/>
                  </w14:solidFill>
                </w14:textFill>
              </w:rPr>
              <w:t>0.0016</w:t>
            </w:r>
          </w:p>
        </w:tc>
        <w:tc>
          <w:tcPr>
            <w:tcW w:w="1000" w:type="pct"/>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000000" w:themeColor="text1"/>
                <w:sz w:val="21"/>
                <w:szCs w:val="21"/>
                <w:u w:val="none"/>
                <w14:textFill>
                  <w14:solidFill>
                    <w14:schemeClr w14:val="tx1"/>
                  </w14:solidFill>
                </w14:textFill>
              </w:rPr>
            </w:pPr>
            <w:r>
              <w:rPr>
                <w:rFonts w:hint="default" w:ascii="Times New Roman" w:hAnsi="Times New Roman" w:eastAsia="宋体" w:cs="Times New Roman"/>
                <w:b/>
                <w:bCs/>
                <w:i w:val="0"/>
                <w:iCs w:val="0"/>
                <w:color w:val="000000" w:themeColor="text1"/>
                <w:kern w:val="0"/>
                <w:sz w:val="21"/>
                <w:szCs w:val="21"/>
                <w:u w:val="none"/>
                <w:lang w:val="en-US" w:eastAsia="zh-CN" w:bidi="ar"/>
                <w14:textFill>
                  <w14:solidFill>
                    <w14:schemeClr w14:val="tx1"/>
                  </w14:solidFill>
                </w14:textFill>
              </w:rPr>
              <w:t>0.0145*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0" w:hRule="atLeast"/>
        </w:trPr>
        <w:tc>
          <w:tcPr>
            <w:tcW w:w="999" w:type="pct"/>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themeColor="text1"/>
                <w:sz w:val="21"/>
                <w:szCs w:val="21"/>
                <w:u w:val="none"/>
                <w14:textFill>
                  <w14:solidFill>
                    <w14:schemeClr w14:val="tx1"/>
                  </w14:solidFill>
                </w14:textFill>
              </w:rPr>
            </w:pPr>
            <w:r>
              <w:rPr>
                <w:rFonts w:hint="default" w:ascii="Times New Roman" w:hAnsi="Times New Roman" w:eastAsia="宋体" w:cs="Times New Roman"/>
                <w:b w:val="0"/>
                <w:bCs w:val="0"/>
                <w:i w:val="0"/>
                <w:iCs w:val="0"/>
                <w:color w:val="000000" w:themeColor="text1"/>
                <w:kern w:val="0"/>
                <w:sz w:val="21"/>
                <w:szCs w:val="21"/>
                <w:u w:val="none"/>
                <w:lang w:val="en-US" w:eastAsia="zh-CN" w:bidi="ar"/>
                <w14:textFill>
                  <w14:solidFill>
                    <w14:schemeClr w14:val="tx1"/>
                  </w14:solidFill>
                </w14:textFill>
              </w:rPr>
              <w:t>[0,5]</w:t>
            </w:r>
          </w:p>
        </w:tc>
        <w:tc>
          <w:tcPr>
            <w:tcW w:w="999" w:type="pct"/>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000000" w:themeColor="text1"/>
                <w:sz w:val="21"/>
                <w:szCs w:val="21"/>
                <w:u w:val="none"/>
                <w14:textFill>
                  <w14:solidFill>
                    <w14:schemeClr w14:val="tx1"/>
                  </w14:solidFill>
                </w14:textFill>
              </w:rPr>
            </w:pPr>
            <w:r>
              <w:rPr>
                <w:rFonts w:hint="default" w:ascii="Times New Roman" w:hAnsi="Times New Roman" w:eastAsia="宋体" w:cs="Times New Roman"/>
                <w:b/>
                <w:bCs/>
                <w:i w:val="0"/>
                <w:iCs w:val="0"/>
                <w:color w:val="000000" w:themeColor="text1"/>
                <w:kern w:val="0"/>
                <w:sz w:val="21"/>
                <w:szCs w:val="21"/>
                <w:u w:val="none"/>
                <w:lang w:val="en-US" w:eastAsia="zh-CN" w:bidi="ar"/>
                <w14:textFill>
                  <w14:solidFill>
                    <w14:schemeClr w14:val="tx1"/>
                  </w14:solidFill>
                </w14:textFill>
              </w:rPr>
              <w:t>-0.0191***</w:t>
            </w:r>
          </w:p>
        </w:tc>
        <w:tc>
          <w:tcPr>
            <w:tcW w:w="999" w:type="pct"/>
            <w:tcBorders>
              <w:top w:val="nil"/>
              <w:left w:val="nil"/>
              <w:bottom w:val="nil"/>
              <w:right w:val="nil"/>
            </w:tcBorders>
            <w:shd w:val="clear" w:color="auto" w:fill="auto"/>
            <w:vAlign w:val="center"/>
          </w:tcPr>
          <w:p>
            <w:pPr>
              <w:jc w:val="center"/>
              <w:rPr>
                <w:rFonts w:hint="default" w:ascii="Times New Roman" w:hAnsi="Times New Roman" w:eastAsia="宋体" w:cs="Times New Roman"/>
                <w:b w:val="0"/>
                <w:bCs w:val="0"/>
                <w:i w:val="0"/>
                <w:iCs w:val="0"/>
                <w:color w:val="000000" w:themeColor="text1"/>
                <w:sz w:val="21"/>
                <w:szCs w:val="21"/>
                <w:u w:val="none"/>
                <w:lang w:val="en-US" w:eastAsia="zh-CN"/>
                <w14:textFill>
                  <w14:solidFill>
                    <w14:schemeClr w14:val="tx1"/>
                  </w14:solidFill>
                </w14:textFill>
              </w:rPr>
            </w:pPr>
            <w:r>
              <w:rPr>
                <w:rFonts w:hint="eastAsia" w:cs="Times New Roman"/>
                <w:b w:val="0"/>
                <w:bCs w:val="0"/>
                <w:i w:val="0"/>
                <w:iCs w:val="0"/>
                <w:color w:val="000000" w:themeColor="text1"/>
                <w:sz w:val="21"/>
                <w:szCs w:val="21"/>
                <w:u w:val="none"/>
                <w:lang w:val="en-US" w:eastAsia="zh-CN"/>
                <w14:textFill>
                  <w14:solidFill>
                    <w14:schemeClr w14:val="tx1"/>
                  </w14:solidFill>
                </w14:textFill>
              </w:rPr>
              <w:t>-0.0013</w:t>
            </w:r>
          </w:p>
        </w:tc>
        <w:tc>
          <w:tcPr>
            <w:tcW w:w="999" w:type="pct"/>
            <w:tcBorders>
              <w:top w:val="nil"/>
              <w:left w:val="nil"/>
              <w:bottom w:val="nil"/>
              <w:right w:val="nil"/>
            </w:tcBorders>
            <w:shd w:val="clear" w:color="auto" w:fill="auto"/>
            <w:vAlign w:val="center"/>
          </w:tcPr>
          <w:p>
            <w:pPr>
              <w:jc w:val="center"/>
              <w:rPr>
                <w:rFonts w:hint="default" w:ascii="Times New Roman" w:hAnsi="Times New Roman" w:eastAsia="宋体" w:cs="Times New Roman"/>
                <w:b w:val="0"/>
                <w:bCs w:val="0"/>
                <w:i w:val="0"/>
                <w:iCs w:val="0"/>
                <w:color w:val="000000" w:themeColor="text1"/>
                <w:sz w:val="21"/>
                <w:szCs w:val="21"/>
                <w:u w:val="none"/>
                <w:lang w:val="en-US" w:eastAsia="zh-CN"/>
                <w14:textFill>
                  <w14:solidFill>
                    <w14:schemeClr w14:val="tx1"/>
                  </w14:solidFill>
                </w14:textFill>
              </w:rPr>
            </w:pPr>
            <w:r>
              <w:rPr>
                <w:rFonts w:hint="eastAsia" w:cs="Times New Roman"/>
                <w:b w:val="0"/>
                <w:bCs w:val="0"/>
                <w:i w:val="0"/>
                <w:iCs w:val="0"/>
                <w:color w:val="000000" w:themeColor="text1"/>
                <w:sz w:val="21"/>
                <w:szCs w:val="21"/>
                <w:u w:val="none"/>
                <w:lang w:val="en-US" w:eastAsia="zh-CN"/>
                <w14:textFill>
                  <w14:solidFill>
                    <w14:schemeClr w14:val="tx1"/>
                  </w14:solidFill>
                </w14:textFill>
              </w:rPr>
              <w:t>0.0022</w:t>
            </w:r>
          </w:p>
        </w:tc>
        <w:tc>
          <w:tcPr>
            <w:tcW w:w="1000" w:type="pct"/>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000000" w:themeColor="text1"/>
                <w:sz w:val="21"/>
                <w:szCs w:val="21"/>
                <w:u w:val="none"/>
                <w14:textFill>
                  <w14:solidFill>
                    <w14:schemeClr w14:val="tx1"/>
                  </w14:solidFill>
                </w14:textFill>
              </w:rPr>
            </w:pPr>
            <w:r>
              <w:rPr>
                <w:rFonts w:hint="default" w:ascii="Times New Roman" w:hAnsi="Times New Roman" w:eastAsia="宋体" w:cs="Times New Roman"/>
                <w:b/>
                <w:bCs/>
                <w:i w:val="0"/>
                <w:iCs w:val="0"/>
                <w:color w:val="000000" w:themeColor="text1"/>
                <w:kern w:val="0"/>
                <w:sz w:val="21"/>
                <w:szCs w:val="21"/>
                <w:u w:val="none"/>
                <w:lang w:val="en-US" w:eastAsia="zh-CN" w:bidi="ar"/>
                <w14:textFill>
                  <w14:solidFill>
                    <w14:schemeClr w14:val="tx1"/>
                  </w14:solidFill>
                </w14:textFill>
              </w:rPr>
              <w:t>0.0212**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0" w:hRule="atLeast"/>
        </w:trPr>
        <w:tc>
          <w:tcPr>
            <w:tcW w:w="999" w:type="pct"/>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themeColor="text1"/>
                <w:sz w:val="21"/>
                <w:szCs w:val="21"/>
                <w:u w:val="none"/>
                <w14:textFill>
                  <w14:solidFill>
                    <w14:schemeClr w14:val="tx1"/>
                  </w14:solidFill>
                </w14:textFill>
              </w:rPr>
            </w:pPr>
            <w:r>
              <w:rPr>
                <w:rFonts w:hint="default" w:ascii="Times New Roman" w:hAnsi="Times New Roman" w:eastAsia="宋体" w:cs="Times New Roman"/>
                <w:b w:val="0"/>
                <w:bCs w:val="0"/>
                <w:i w:val="0"/>
                <w:iCs w:val="0"/>
                <w:color w:val="000000" w:themeColor="text1"/>
                <w:kern w:val="0"/>
                <w:sz w:val="21"/>
                <w:szCs w:val="21"/>
                <w:u w:val="none"/>
                <w:lang w:val="en-US" w:eastAsia="zh-CN" w:bidi="ar"/>
                <w14:textFill>
                  <w14:solidFill>
                    <w14:schemeClr w14:val="tx1"/>
                  </w14:solidFill>
                </w14:textFill>
              </w:rPr>
              <w:t>[0,10]</w:t>
            </w:r>
          </w:p>
        </w:tc>
        <w:tc>
          <w:tcPr>
            <w:tcW w:w="999" w:type="pct"/>
            <w:tcBorders>
              <w:top w:val="nil"/>
              <w:left w:val="nil"/>
              <w:bottom w:val="nil"/>
              <w:right w:val="nil"/>
            </w:tcBorders>
            <w:shd w:val="clear" w:color="auto" w:fill="auto"/>
            <w:vAlign w:val="center"/>
          </w:tcPr>
          <w:p>
            <w:pPr>
              <w:jc w:val="center"/>
              <w:rPr>
                <w:rFonts w:hint="default" w:ascii="Times New Roman" w:hAnsi="Times New Roman" w:eastAsia="宋体" w:cs="Times New Roman"/>
                <w:b w:val="0"/>
                <w:bCs w:val="0"/>
                <w:i w:val="0"/>
                <w:iCs w:val="0"/>
                <w:color w:val="000000" w:themeColor="text1"/>
                <w:sz w:val="21"/>
                <w:szCs w:val="21"/>
                <w:u w:val="none"/>
                <w:lang w:val="en-US" w:eastAsia="zh-CN"/>
                <w14:textFill>
                  <w14:solidFill>
                    <w14:schemeClr w14:val="tx1"/>
                  </w14:solidFill>
                </w14:textFill>
              </w:rPr>
            </w:pPr>
            <w:r>
              <w:rPr>
                <w:rFonts w:hint="eastAsia" w:cs="Times New Roman"/>
                <w:b w:val="0"/>
                <w:bCs w:val="0"/>
                <w:i w:val="0"/>
                <w:iCs w:val="0"/>
                <w:color w:val="000000" w:themeColor="text1"/>
                <w:sz w:val="21"/>
                <w:szCs w:val="21"/>
                <w:u w:val="none"/>
                <w:lang w:val="en-US" w:eastAsia="zh-CN"/>
                <w14:textFill>
                  <w14:solidFill>
                    <w14:schemeClr w14:val="tx1"/>
                  </w14:solidFill>
                </w14:textFill>
              </w:rPr>
              <w:t>-0.0107</w:t>
            </w:r>
          </w:p>
        </w:tc>
        <w:tc>
          <w:tcPr>
            <w:tcW w:w="999" w:type="pct"/>
            <w:tcBorders>
              <w:top w:val="nil"/>
              <w:left w:val="nil"/>
              <w:bottom w:val="nil"/>
              <w:right w:val="nil"/>
            </w:tcBorders>
            <w:shd w:val="clear" w:color="auto" w:fill="auto"/>
            <w:vAlign w:val="center"/>
          </w:tcPr>
          <w:p>
            <w:pPr>
              <w:jc w:val="center"/>
              <w:rPr>
                <w:rFonts w:hint="default" w:ascii="Times New Roman" w:hAnsi="Times New Roman" w:eastAsia="宋体" w:cs="Times New Roman"/>
                <w:b w:val="0"/>
                <w:bCs w:val="0"/>
                <w:i w:val="0"/>
                <w:iCs w:val="0"/>
                <w:color w:val="000000" w:themeColor="text1"/>
                <w:sz w:val="21"/>
                <w:szCs w:val="21"/>
                <w:u w:val="none"/>
                <w:lang w:val="en-US" w:eastAsia="zh-CN"/>
                <w14:textFill>
                  <w14:solidFill>
                    <w14:schemeClr w14:val="tx1"/>
                  </w14:solidFill>
                </w14:textFill>
              </w:rPr>
            </w:pPr>
            <w:r>
              <w:rPr>
                <w:rFonts w:hint="eastAsia" w:cs="Times New Roman"/>
                <w:b w:val="0"/>
                <w:bCs w:val="0"/>
                <w:i w:val="0"/>
                <w:iCs w:val="0"/>
                <w:color w:val="000000" w:themeColor="text1"/>
                <w:sz w:val="21"/>
                <w:szCs w:val="21"/>
                <w:u w:val="none"/>
                <w:lang w:val="en-US" w:eastAsia="zh-CN"/>
                <w14:textFill>
                  <w14:solidFill>
                    <w14:schemeClr w14:val="tx1"/>
                  </w14:solidFill>
                </w14:textFill>
              </w:rPr>
              <w:t>-0.0112</w:t>
            </w:r>
          </w:p>
        </w:tc>
        <w:tc>
          <w:tcPr>
            <w:tcW w:w="999" w:type="pct"/>
            <w:tcBorders>
              <w:top w:val="nil"/>
              <w:left w:val="nil"/>
              <w:bottom w:val="nil"/>
              <w:right w:val="nil"/>
            </w:tcBorders>
            <w:shd w:val="clear" w:color="auto" w:fill="auto"/>
            <w:vAlign w:val="center"/>
          </w:tcPr>
          <w:p>
            <w:pPr>
              <w:jc w:val="center"/>
              <w:rPr>
                <w:rFonts w:hint="default" w:ascii="Times New Roman" w:hAnsi="Times New Roman" w:eastAsia="宋体" w:cs="Times New Roman"/>
                <w:b w:val="0"/>
                <w:bCs w:val="0"/>
                <w:i w:val="0"/>
                <w:iCs w:val="0"/>
                <w:color w:val="000000" w:themeColor="text1"/>
                <w:sz w:val="21"/>
                <w:szCs w:val="21"/>
                <w:u w:val="none"/>
                <w:lang w:val="en-US" w:eastAsia="zh-CN"/>
                <w14:textFill>
                  <w14:solidFill>
                    <w14:schemeClr w14:val="tx1"/>
                  </w14:solidFill>
                </w14:textFill>
              </w:rPr>
            </w:pPr>
            <w:r>
              <w:rPr>
                <w:rFonts w:hint="eastAsia" w:cs="Times New Roman"/>
                <w:b w:val="0"/>
                <w:bCs w:val="0"/>
                <w:i w:val="0"/>
                <w:iCs w:val="0"/>
                <w:color w:val="000000" w:themeColor="text1"/>
                <w:sz w:val="21"/>
                <w:szCs w:val="21"/>
                <w:u w:val="none"/>
                <w:lang w:val="en-US" w:eastAsia="zh-CN"/>
                <w14:textFill>
                  <w14:solidFill>
                    <w14:schemeClr w14:val="tx1"/>
                  </w14:solidFill>
                </w14:textFill>
              </w:rPr>
              <w:t>0.0118</w:t>
            </w:r>
          </w:p>
        </w:tc>
        <w:tc>
          <w:tcPr>
            <w:tcW w:w="1000" w:type="pct"/>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000000" w:themeColor="text1"/>
                <w:sz w:val="21"/>
                <w:szCs w:val="21"/>
                <w:u w:val="none"/>
                <w14:textFill>
                  <w14:solidFill>
                    <w14:schemeClr w14:val="tx1"/>
                  </w14:solidFill>
                </w14:textFill>
              </w:rPr>
            </w:pPr>
            <w:r>
              <w:rPr>
                <w:rFonts w:hint="default" w:ascii="Times New Roman" w:hAnsi="Times New Roman" w:eastAsia="宋体" w:cs="Times New Roman"/>
                <w:b/>
                <w:bCs/>
                <w:i w:val="0"/>
                <w:iCs w:val="0"/>
                <w:color w:val="000000" w:themeColor="text1"/>
                <w:kern w:val="0"/>
                <w:sz w:val="21"/>
                <w:szCs w:val="21"/>
                <w:u w:val="none"/>
                <w:lang w:val="en-US" w:eastAsia="zh-CN" w:bidi="ar"/>
                <w14:textFill>
                  <w14:solidFill>
                    <w14:schemeClr w14:val="tx1"/>
                  </w14:solidFill>
                </w14:textFill>
              </w:rPr>
              <w:t>0.0469***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0" w:hRule="atLeast"/>
        </w:trPr>
        <w:tc>
          <w:tcPr>
            <w:tcW w:w="999" w:type="pct"/>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themeColor="text1"/>
                <w:sz w:val="21"/>
                <w:szCs w:val="21"/>
                <w:u w:val="none"/>
                <w14:textFill>
                  <w14:solidFill>
                    <w14:schemeClr w14:val="tx1"/>
                  </w14:solidFill>
                </w14:textFill>
              </w:rPr>
            </w:pPr>
            <w:r>
              <w:rPr>
                <w:rFonts w:hint="default" w:ascii="Times New Roman" w:hAnsi="Times New Roman" w:eastAsia="宋体" w:cs="Times New Roman"/>
                <w:b w:val="0"/>
                <w:bCs w:val="0"/>
                <w:i w:val="0"/>
                <w:iCs w:val="0"/>
                <w:color w:val="000000" w:themeColor="text1"/>
                <w:kern w:val="0"/>
                <w:sz w:val="21"/>
                <w:szCs w:val="21"/>
                <w:u w:val="none"/>
                <w:lang w:val="en-US" w:eastAsia="zh-CN" w:bidi="ar"/>
                <w14:textFill>
                  <w14:solidFill>
                    <w14:schemeClr w14:val="tx1"/>
                  </w14:solidFill>
                </w14:textFill>
              </w:rPr>
              <w:t>[-10,0]</w:t>
            </w:r>
          </w:p>
        </w:tc>
        <w:tc>
          <w:tcPr>
            <w:tcW w:w="999" w:type="pct"/>
            <w:tcBorders>
              <w:top w:val="nil"/>
              <w:left w:val="nil"/>
              <w:bottom w:val="nil"/>
              <w:right w:val="nil"/>
            </w:tcBorders>
            <w:shd w:val="clear" w:color="auto" w:fill="auto"/>
            <w:vAlign w:val="center"/>
          </w:tcPr>
          <w:p>
            <w:pPr>
              <w:jc w:val="center"/>
              <w:rPr>
                <w:rFonts w:hint="default" w:ascii="Times New Roman" w:hAnsi="Times New Roman" w:eastAsia="宋体" w:cs="Times New Roman"/>
                <w:b w:val="0"/>
                <w:bCs w:val="0"/>
                <w:i w:val="0"/>
                <w:iCs w:val="0"/>
                <w:color w:val="000000" w:themeColor="text1"/>
                <w:sz w:val="21"/>
                <w:szCs w:val="21"/>
                <w:u w:val="none"/>
                <w:lang w:val="en-US" w:eastAsia="zh-CN"/>
                <w14:textFill>
                  <w14:solidFill>
                    <w14:schemeClr w14:val="tx1"/>
                  </w14:solidFill>
                </w14:textFill>
              </w:rPr>
            </w:pPr>
            <w:r>
              <w:rPr>
                <w:rFonts w:hint="eastAsia" w:cs="Times New Roman"/>
                <w:b w:val="0"/>
                <w:bCs w:val="0"/>
                <w:i w:val="0"/>
                <w:iCs w:val="0"/>
                <w:color w:val="000000" w:themeColor="text1"/>
                <w:sz w:val="21"/>
                <w:szCs w:val="21"/>
                <w:u w:val="none"/>
                <w:lang w:val="en-US" w:eastAsia="zh-CN"/>
                <w14:textFill>
                  <w14:solidFill>
                    <w14:schemeClr w14:val="tx1"/>
                  </w14:solidFill>
                </w14:textFill>
              </w:rPr>
              <w:t>-0.0102</w:t>
            </w:r>
          </w:p>
        </w:tc>
        <w:tc>
          <w:tcPr>
            <w:tcW w:w="999" w:type="pct"/>
            <w:tcBorders>
              <w:top w:val="nil"/>
              <w:left w:val="nil"/>
              <w:bottom w:val="nil"/>
              <w:right w:val="nil"/>
            </w:tcBorders>
            <w:shd w:val="clear" w:color="auto" w:fill="auto"/>
            <w:vAlign w:val="center"/>
          </w:tcPr>
          <w:p>
            <w:pPr>
              <w:jc w:val="center"/>
              <w:rPr>
                <w:rFonts w:hint="default" w:ascii="Times New Roman" w:hAnsi="Times New Roman" w:eastAsia="宋体" w:cs="Times New Roman"/>
                <w:b w:val="0"/>
                <w:bCs w:val="0"/>
                <w:i w:val="0"/>
                <w:iCs w:val="0"/>
                <w:color w:val="000000" w:themeColor="text1"/>
                <w:sz w:val="21"/>
                <w:szCs w:val="21"/>
                <w:u w:val="none"/>
                <w:lang w:val="en-US" w:eastAsia="zh-CN"/>
                <w14:textFill>
                  <w14:solidFill>
                    <w14:schemeClr w14:val="tx1"/>
                  </w14:solidFill>
                </w14:textFill>
              </w:rPr>
            </w:pPr>
            <w:r>
              <w:rPr>
                <w:rFonts w:hint="eastAsia" w:cs="Times New Roman"/>
                <w:b w:val="0"/>
                <w:bCs w:val="0"/>
                <w:i w:val="0"/>
                <w:iCs w:val="0"/>
                <w:color w:val="000000" w:themeColor="text1"/>
                <w:sz w:val="21"/>
                <w:szCs w:val="21"/>
                <w:u w:val="none"/>
                <w:lang w:val="en-US" w:eastAsia="zh-CN"/>
                <w14:textFill>
                  <w14:solidFill>
                    <w14:schemeClr w14:val="tx1"/>
                  </w14:solidFill>
                </w14:textFill>
              </w:rPr>
              <w:t>-0.0076</w:t>
            </w:r>
          </w:p>
        </w:tc>
        <w:tc>
          <w:tcPr>
            <w:tcW w:w="999" w:type="pct"/>
            <w:tcBorders>
              <w:top w:val="nil"/>
              <w:left w:val="nil"/>
              <w:bottom w:val="nil"/>
              <w:right w:val="nil"/>
            </w:tcBorders>
            <w:shd w:val="clear" w:color="auto" w:fill="auto"/>
            <w:vAlign w:val="center"/>
          </w:tcPr>
          <w:p>
            <w:pPr>
              <w:jc w:val="center"/>
              <w:rPr>
                <w:rFonts w:hint="default" w:ascii="Times New Roman" w:hAnsi="Times New Roman" w:eastAsia="宋体" w:cs="Times New Roman"/>
                <w:b w:val="0"/>
                <w:bCs w:val="0"/>
                <w:i w:val="0"/>
                <w:iCs w:val="0"/>
                <w:color w:val="000000" w:themeColor="text1"/>
                <w:sz w:val="21"/>
                <w:szCs w:val="21"/>
                <w:u w:val="none"/>
                <w:lang w:val="en-US" w:eastAsia="zh-CN"/>
                <w14:textFill>
                  <w14:solidFill>
                    <w14:schemeClr w14:val="tx1"/>
                  </w14:solidFill>
                </w14:textFill>
              </w:rPr>
            </w:pPr>
            <w:r>
              <w:rPr>
                <w:rFonts w:hint="eastAsia" w:cs="Times New Roman"/>
                <w:b w:val="0"/>
                <w:bCs w:val="0"/>
                <w:i w:val="0"/>
                <w:iCs w:val="0"/>
                <w:color w:val="000000" w:themeColor="text1"/>
                <w:sz w:val="21"/>
                <w:szCs w:val="21"/>
                <w:u w:val="none"/>
                <w:lang w:val="en-US" w:eastAsia="zh-CN"/>
                <w14:textFill>
                  <w14:solidFill>
                    <w14:schemeClr w14:val="tx1"/>
                  </w14:solidFill>
                </w14:textFill>
              </w:rPr>
              <w:t>0.0123</w:t>
            </w:r>
          </w:p>
        </w:tc>
        <w:tc>
          <w:tcPr>
            <w:tcW w:w="1000" w:type="pct"/>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000000" w:themeColor="text1"/>
                <w:sz w:val="21"/>
                <w:szCs w:val="21"/>
                <w:u w:val="none"/>
                <w14:textFill>
                  <w14:solidFill>
                    <w14:schemeClr w14:val="tx1"/>
                  </w14:solidFill>
                </w14:textFill>
              </w:rPr>
            </w:pPr>
            <w:r>
              <w:rPr>
                <w:rFonts w:hint="default" w:ascii="Times New Roman" w:hAnsi="Times New Roman" w:eastAsia="宋体" w:cs="Times New Roman"/>
                <w:b/>
                <w:bCs/>
                <w:i w:val="0"/>
                <w:iCs w:val="0"/>
                <w:color w:val="000000" w:themeColor="text1"/>
                <w:kern w:val="0"/>
                <w:sz w:val="21"/>
                <w:szCs w:val="21"/>
                <w:u w:val="none"/>
                <w:lang w:val="en-US" w:eastAsia="zh-CN" w:bidi="ar"/>
                <w14:textFill>
                  <w14:solidFill>
                    <w14:schemeClr w14:val="tx1"/>
                  </w14:solidFill>
                </w14:textFill>
              </w:rPr>
              <w:t>0.0388***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0" w:hRule="atLeast"/>
        </w:trPr>
        <w:tc>
          <w:tcPr>
            <w:tcW w:w="999" w:type="pct"/>
            <w:tcBorders>
              <w:top w:val="nil"/>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themeColor="text1"/>
                <w:sz w:val="21"/>
                <w:szCs w:val="21"/>
                <w:u w:val="none"/>
                <w14:textFill>
                  <w14:solidFill>
                    <w14:schemeClr w14:val="tx1"/>
                  </w14:solidFill>
                </w14:textFill>
              </w:rPr>
            </w:pPr>
            <w:r>
              <w:rPr>
                <w:rFonts w:hint="default" w:ascii="Times New Roman" w:hAnsi="Times New Roman" w:eastAsia="宋体" w:cs="Times New Roman"/>
                <w:b w:val="0"/>
                <w:bCs w:val="0"/>
                <w:i w:val="0"/>
                <w:iCs w:val="0"/>
                <w:color w:val="000000" w:themeColor="text1"/>
                <w:kern w:val="0"/>
                <w:sz w:val="21"/>
                <w:szCs w:val="21"/>
                <w:u w:val="none"/>
                <w:lang w:val="en-US" w:eastAsia="zh-CN" w:bidi="ar"/>
                <w14:textFill>
                  <w14:solidFill>
                    <w14:schemeClr w14:val="tx1"/>
                  </w14:solidFill>
                </w14:textFill>
              </w:rPr>
              <w:t>[-5,0]</w:t>
            </w:r>
          </w:p>
        </w:tc>
        <w:tc>
          <w:tcPr>
            <w:tcW w:w="999" w:type="pct"/>
            <w:tcBorders>
              <w:top w:val="nil"/>
              <w:left w:val="nil"/>
              <w:bottom w:val="single" w:color="000000" w:sz="4" w:space="0"/>
              <w:right w:val="nil"/>
            </w:tcBorders>
            <w:shd w:val="clear" w:color="auto" w:fill="auto"/>
            <w:vAlign w:val="center"/>
          </w:tcPr>
          <w:p>
            <w:pPr>
              <w:jc w:val="center"/>
              <w:rPr>
                <w:rFonts w:hint="default" w:ascii="Times New Roman" w:hAnsi="Times New Roman" w:eastAsia="宋体" w:cs="Times New Roman"/>
                <w:b w:val="0"/>
                <w:bCs w:val="0"/>
                <w:i w:val="0"/>
                <w:iCs w:val="0"/>
                <w:color w:val="000000" w:themeColor="text1"/>
                <w:sz w:val="21"/>
                <w:szCs w:val="21"/>
                <w:u w:val="none"/>
                <w:lang w:val="en-US" w:eastAsia="zh-CN"/>
                <w14:textFill>
                  <w14:solidFill>
                    <w14:schemeClr w14:val="tx1"/>
                  </w14:solidFill>
                </w14:textFill>
              </w:rPr>
            </w:pPr>
            <w:r>
              <w:rPr>
                <w:rFonts w:hint="eastAsia" w:cs="Times New Roman"/>
                <w:b w:val="0"/>
                <w:bCs w:val="0"/>
                <w:i w:val="0"/>
                <w:iCs w:val="0"/>
                <w:color w:val="000000" w:themeColor="text1"/>
                <w:sz w:val="21"/>
                <w:szCs w:val="21"/>
                <w:u w:val="none"/>
                <w:lang w:val="en-US" w:eastAsia="zh-CN"/>
                <w14:textFill>
                  <w14:solidFill>
                    <w14:schemeClr w14:val="tx1"/>
                  </w14:solidFill>
                </w14:textFill>
              </w:rPr>
              <w:t>-0.0066</w:t>
            </w:r>
          </w:p>
        </w:tc>
        <w:tc>
          <w:tcPr>
            <w:tcW w:w="999" w:type="pct"/>
            <w:tcBorders>
              <w:top w:val="nil"/>
              <w:left w:val="nil"/>
              <w:bottom w:val="single" w:color="000000" w:sz="4" w:space="0"/>
              <w:right w:val="nil"/>
            </w:tcBorders>
            <w:shd w:val="clear" w:color="auto" w:fill="auto"/>
            <w:vAlign w:val="center"/>
          </w:tcPr>
          <w:p>
            <w:pPr>
              <w:jc w:val="center"/>
              <w:rPr>
                <w:rFonts w:hint="default" w:ascii="Times New Roman" w:hAnsi="Times New Roman" w:eastAsia="宋体" w:cs="Times New Roman"/>
                <w:b w:val="0"/>
                <w:bCs w:val="0"/>
                <w:i w:val="0"/>
                <w:iCs w:val="0"/>
                <w:color w:val="000000" w:themeColor="text1"/>
                <w:sz w:val="21"/>
                <w:szCs w:val="21"/>
                <w:u w:val="none"/>
                <w:lang w:val="en-US" w:eastAsia="zh-CN"/>
                <w14:textFill>
                  <w14:solidFill>
                    <w14:schemeClr w14:val="tx1"/>
                  </w14:solidFill>
                </w14:textFill>
              </w:rPr>
            </w:pPr>
            <w:r>
              <w:rPr>
                <w:rFonts w:hint="eastAsia" w:cs="Times New Roman"/>
                <w:b w:val="0"/>
                <w:bCs w:val="0"/>
                <w:i w:val="0"/>
                <w:iCs w:val="0"/>
                <w:color w:val="000000" w:themeColor="text1"/>
                <w:sz w:val="21"/>
                <w:szCs w:val="21"/>
                <w:u w:val="none"/>
                <w:lang w:val="en-US" w:eastAsia="zh-CN"/>
                <w14:textFill>
                  <w14:solidFill>
                    <w14:schemeClr w14:val="tx1"/>
                  </w14:solidFill>
                </w14:textFill>
              </w:rPr>
              <w:t>0.0015</w:t>
            </w:r>
          </w:p>
        </w:tc>
        <w:tc>
          <w:tcPr>
            <w:tcW w:w="999" w:type="pct"/>
            <w:tcBorders>
              <w:top w:val="nil"/>
              <w:left w:val="nil"/>
              <w:bottom w:val="single" w:color="000000" w:sz="4" w:space="0"/>
              <w:right w:val="nil"/>
            </w:tcBorders>
            <w:shd w:val="clear" w:color="auto" w:fill="auto"/>
            <w:vAlign w:val="center"/>
          </w:tcPr>
          <w:p>
            <w:pPr>
              <w:jc w:val="center"/>
              <w:rPr>
                <w:rFonts w:hint="default" w:ascii="Times New Roman" w:hAnsi="Times New Roman" w:eastAsia="宋体" w:cs="Times New Roman"/>
                <w:b w:val="0"/>
                <w:bCs w:val="0"/>
                <w:i w:val="0"/>
                <w:iCs w:val="0"/>
                <w:color w:val="000000" w:themeColor="text1"/>
                <w:sz w:val="21"/>
                <w:szCs w:val="21"/>
                <w:u w:val="none"/>
                <w:lang w:val="en-US" w:eastAsia="zh-CN"/>
                <w14:textFill>
                  <w14:solidFill>
                    <w14:schemeClr w14:val="tx1"/>
                  </w14:solidFill>
                </w14:textFill>
              </w:rPr>
            </w:pPr>
            <w:r>
              <w:rPr>
                <w:rFonts w:hint="eastAsia" w:cs="Times New Roman"/>
                <w:b w:val="0"/>
                <w:bCs w:val="0"/>
                <w:i w:val="0"/>
                <w:iCs w:val="0"/>
                <w:color w:val="000000" w:themeColor="text1"/>
                <w:sz w:val="21"/>
                <w:szCs w:val="21"/>
                <w:u w:val="none"/>
                <w:lang w:val="en-US" w:eastAsia="zh-CN"/>
                <w14:textFill>
                  <w14:solidFill>
                    <w14:schemeClr w14:val="tx1"/>
                  </w14:solidFill>
                </w14:textFill>
              </w:rPr>
              <w:t>0.0109</w:t>
            </w:r>
          </w:p>
        </w:tc>
        <w:tc>
          <w:tcPr>
            <w:tcW w:w="1000" w:type="pct"/>
            <w:tcBorders>
              <w:top w:val="nil"/>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000000" w:themeColor="text1"/>
                <w:sz w:val="21"/>
                <w:szCs w:val="21"/>
                <w:u w:val="none"/>
                <w14:textFill>
                  <w14:solidFill>
                    <w14:schemeClr w14:val="tx1"/>
                  </w14:solidFill>
                </w14:textFill>
              </w:rPr>
            </w:pPr>
            <w:r>
              <w:rPr>
                <w:rFonts w:hint="default" w:ascii="Times New Roman" w:hAnsi="Times New Roman" w:eastAsia="宋体" w:cs="Times New Roman"/>
                <w:b/>
                <w:bCs/>
                <w:i w:val="0"/>
                <w:iCs w:val="0"/>
                <w:color w:val="000000" w:themeColor="text1"/>
                <w:kern w:val="0"/>
                <w:sz w:val="21"/>
                <w:szCs w:val="21"/>
                <w:u w:val="none"/>
                <w:lang w:val="en-US" w:eastAsia="zh-CN" w:bidi="ar"/>
                <w14:textFill>
                  <w14:solidFill>
                    <w14:schemeClr w14:val="tx1"/>
                  </w14:solidFill>
                </w14:textFill>
              </w:rPr>
              <w:t>0.0283***</w:t>
            </w:r>
          </w:p>
        </w:tc>
      </w:tr>
    </w:tbl>
    <w:p>
      <w:pPr>
        <w:spacing w:line="360" w:lineRule="auto"/>
        <w:jc w:val="both"/>
        <w:rPr>
          <w:rFonts w:eastAsia="黑体"/>
          <w:b/>
          <w:sz w:val="36"/>
          <w:szCs w:val="36"/>
        </w:rPr>
      </w:pPr>
    </w:p>
    <w:p>
      <w:pPr>
        <w:spacing w:line="360" w:lineRule="auto"/>
        <w:jc w:val="center"/>
        <w:rPr>
          <w:rFonts w:eastAsia="黑体"/>
          <w:b/>
          <w:sz w:val="36"/>
          <w:szCs w:val="36"/>
        </w:rPr>
      </w:pPr>
      <w:r>
        <w:rPr>
          <w:rFonts w:eastAsia="黑体"/>
          <w:b/>
          <w:sz w:val="36"/>
          <w:szCs w:val="36"/>
        </w:rPr>
        <w:t>5  总结与展望</w:t>
      </w:r>
    </w:p>
    <w:p>
      <w:pPr>
        <w:spacing w:line="360" w:lineRule="auto"/>
        <w:ind w:firstLine="480" w:firstLineChars="200"/>
        <w:rPr>
          <w:sz w:val="24"/>
        </w:rPr>
      </w:pPr>
      <w:r>
        <w:rPr>
          <w:sz w:val="24"/>
        </w:rPr>
        <w:t>对于第四章中得到的实证结果，我们在本章进行了梳理与总结，对于研究还未覆盖到的缺失和未得到明确结果的尝试，我们也将提出不足以及未来进一步研究的思考。</w:t>
      </w:r>
    </w:p>
    <w:p>
      <w:pPr>
        <w:spacing w:line="360" w:lineRule="auto"/>
        <w:ind w:firstLine="480" w:firstLineChars="200"/>
        <w:rPr>
          <w:sz w:val="24"/>
        </w:rPr>
      </w:pPr>
    </w:p>
    <w:p>
      <w:pPr>
        <w:spacing w:line="360" w:lineRule="auto"/>
        <w:jc w:val="left"/>
        <w:rPr>
          <w:rFonts w:eastAsia="黑体"/>
          <w:b/>
          <w:sz w:val="28"/>
          <w:szCs w:val="28"/>
        </w:rPr>
      </w:pPr>
      <w:r>
        <w:rPr>
          <w:b/>
          <w:sz w:val="28"/>
          <w:szCs w:val="28"/>
        </w:rPr>
        <w:t xml:space="preserve">5.1  </w:t>
      </w:r>
      <w:r>
        <w:rPr>
          <w:rFonts w:eastAsia="黑体"/>
          <w:b/>
          <w:sz w:val="28"/>
          <w:szCs w:val="28"/>
        </w:rPr>
        <w:t>结论</w:t>
      </w:r>
    </w:p>
    <w:p>
      <w:pPr>
        <w:spacing w:line="360" w:lineRule="auto"/>
        <w:ind w:firstLine="480" w:firstLineChars="200"/>
        <w:jc w:val="both"/>
        <w:rPr>
          <w:rFonts w:hint="eastAsia" w:eastAsia="宋体"/>
          <w:sz w:val="24"/>
          <w:lang w:val="en-US" w:eastAsia="zh-CN"/>
        </w:rPr>
      </w:pPr>
      <w:r>
        <w:rPr>
          <w:sz w:val="24"/>
        </w:rPr>
        <w:t>通过研究</w:t>
      </w:r>
      <w:r>
        <w:rPr>
          <w:rFonts w:hint="eastAsia"/>
          <w:sz w:val="24"/>
          <w:lang w:eastAsia="zh-CN"/>
        </w:rPr>
        <w:t>，</w:t>
      </w:r>
      <w:r>
        <w:rPr>
          <w:sz w:val="24"/>
        </w:rPr>
        <w:t>我们首先确定了企业违规处罚公告在市场整体上对于股票回报的负面影响</w:t>
      </w:r>
      <w:r>
        <w:rPr>
          <w:rFonts w:hint="eastAsia"/>
          <w:sz w:val="24"/>
          <w:lang w:eastAsia="zh-CN"/>
        </w:rPr>
        <w:t>，</w:t>
      </w:r>
      <w:r>
        <w:rPr>
          <w:rFonts w:hint="eastAsia"/>
          <w:sz w:val="24"/>
          <w:lang w:val="en-US" w:eastAsia="zh-CN"/>
        </w:rPr>
        <w:t>即假设一成立</w:t>
      </w:r>
      <w:r>
        <w:rPr>
          <w:rFonts w:hint="eastAsia"/>
          <w:sz w:val="24"/>
          <w:lang w:eastAsia="zh-CN"/>
        </w:rPr>
        <w:t>。</w:t>
      </w:r>
    </w:p>
    <w:p>
      <w:pPr>
        <w:spacing w:line="360" w:lineRule="auto"/>
        <w:ind w:firstLine="480" w:firstLineChars="200"/>
        <w:jc w:val="both"/>
        <w:rPr>
          <w:sz w:val="24"/>
        </w:rPr>
      </w:pPr>
      <w:r>
        <w:rPr>
          <w:sz w:val="24"/>
        </w:rPr>
        <w:t>其次，我们</w:t>
      </w:r>
      <w:r>
        <w:rPr>
          <w:rFonts w:hint="eastAsia"/>
          <w:sz w:val="24"/>
          <w:lang w:val="en-US" w:eastAsia="zh-CN"/>
        </w:rPr>
        <w:t>通过分类研究验证了假设二</w:t>
      </w:r>
      <w:r>
        <w:rPr>
          <w:rFonts w:hint="eastAsia"/>
          <w:sz w:val="24"/>
          <w:vertAlign w:val="baseline"/>
          <w:lang w:val="en-US" w:eastAsia="zh-CN"/>
        </w:rPr>
        <w:t>的成立</w:t>
      </w:r>
      <w:r>
        <w:rPr>
          <w:rFonts w:hint="eastAsia"/>
          <w:sz w:val="24"/>
          <w:lang w:val="en-US" w:eastAsia="zh-CN"/>
        </w:rPr>
        <w:t>，我们</w:t>
      </w:r>
      <w:r>
        <w:rPr>
          <w:sz w:val="24"/>
        </w:rPr>
        <w:t>发现这种影响与企业市值规模和所有制有关，主板股票相对敏感度低，且反应时间较长，创业板股票反应很快，且</w:t>
      </w:r>
      <w:r>
        <w:rPr>
          <w:rFonts w:hint="eastAsia"/>
          <w:sz w:val="24"/>
          <w:lang w:val="en-US" w:eastAsia="zh-CN"/>
        </w:rPr>
        <w:t>显著性最高</w:t>
      </w:r>
      <w:r>
        <w:rPr>
          <w:sz w:val="24"/>
        </w:rPr>
        <w:t>，中小板股票介于二者之间；而对于主板股票而言，</w:t>
      </w:r>
      <w:r>
        <w:rPr>
          <w:rFonts w:hint="eastAsia"/>
          <w:sz w:val="24"/>
          <w:lang w:eastAsia="zh-CN"/>
        </w:rPr>
        <w:t>民营</w:t>
      </w:r>
      <w:r>
        <w:rPr>
          <w:sz w:val="24"/>
        </w:rPr>
        <w:t>股价往往有反向反应或反应不足，国企股价虽然反应较迟钝，但有显著异常损失发生。</w:t>
      </w:r>
    </w:p>
    <w:p>
      <w:pPr>
        <w:spacing w:line="360" w:lineRule="auto"/>
        <w:ind w:firstLine="480" w:firstLineChars="200"/>
        <w:jc w:val="both"/>
        <w:rPr>
          <w:sz w:val="24"/>
        </w:rPr>
      </w:pPr>
      <w:r>
        <w:rPr>
          <w:sz w:val="24"/>
        </w:rPr>
        <w:t>此外，我们还发现了提前反应和事后回调的广泛存在</w:t>
      </w:r>
      <w:r>
        <w:rPr>
          <w:rFonts w:hint="eastAsia"/>
          <w:sz w:val="24"/>
          <w:lang w:eastAsia="zh-CN"/>
        </w:rPr>
        <w:t>，</w:t>
      </w:r>
      <w:r>
        <w:rPr>
          <w:rFonts w:hint="eastAsia"/>
          <w:sz w:val="24"/>
          <w:lang w:val="en-US" w:eastAsia="zh-CN"/>
        </w:rPr>
        <w:t>后者侧面体现了投资者情绪的影响过程</w:t>
      </w:r>
      <w:r>
        <w:rPr>
          <w:sz w:val="24"/>
        </w:rPr>
        <w:t>。提前反应的广泛存在意味着监管部门仍需加强</w:t>
      </w:r>
      <w:r>
        <w:rPr>
          <w:rFonts w:hint="eastAsia"/>
          <w:sz w:val="24"/>
          <w:lang w:val="en-US" w:eastAsia="zh-CN"/>
        </w:rPr>
        <w:t>内部</w:t>
      </w:r>
      <w:r>
        <w:rPr>
          <w:sz w:val="24"/>
        </w:rPr>
        <w:t>信息披露管理，否则可能会对“消息不灵通”的散户造成伤害，而在主板</w:t>
      </w:r>
      <w:r>
        <w:rPr>
          <w:rFonts w:hint="eastAsia"/>
          <w:sz w:val="24"/>
          <w:lang w:eastAsia="zh-CN"/>
        </w:rPr>
        <w:t>民营</w:t>
      </w:r>
      <w:r>
        <w:rPr>
          <w:sz w:val="24"/>
        </w:rPr>
        <w:t>中显著存在的“反向提前反应”，也意味着复杂的市场噪声和针对投资者情绪的股价干预，需要监管部门予以重视，但对于短线投资者和投机者而言，在主板A股收到违规处罚公告后及时卖出反而可以利用其它投资者的噪声交易获取利润。事后回调的存在</w:t>
      </w:r>
      <w:r>
        <w:rPr>
          <w:rFonts w:hint="eastAsia"/>
          <w:sz w:val="24"/>
          <w:lang w:val="en-US" w:eastAsia="zh-CN"/>
        </w:rPr>
        <w:t>在体现投资者情绪波动的同时，</w:t>
      </w:r>
      <w:r>
        <w:rPr>
          <w:sz w:val="24"/>
        </w:rPr>
        <w:t>也为</w:t>
      </w:r>
      <w:r>
        <w:rPr>
          <w:rFonts w:hint="eastAsia"/>
          <w:sz w:val="24"/>
          <w:lang w:val="en-US" w:eastAsia="zh-CN"/>
        </w:rPr>
        <w:t>我国</w:t>
      </w:r>
      <w:r>
        <w:rPr>
          <w:sz w:val="24"/>
        </w:rPr>
        <w:t>散户投资者提供了一定的短期投资决策参考，当遇到企业违规处罚公告发布而遭受损失时，“及时止损”或许并不是一个理想的决策。</w:t>
      </w:r>
    </w:p>
    <w:p>
      <w:pPr>
        <w:spacing w:line="360" w:lineRule="auto"/>
        <w:ind w:firstLine="480" w:firstLineChars="200"/>
        <w:rPr>
          <w:sz w:val="24"/>
        </w:rPr>
      </w:pPr>
    </w:p>
    <w:p>
      <w:pPr>
        <w:spacing w:line="360" w:lineRule="auto"/>
        <w:jc w:val="left"/>
        <w:rPr>
          <w:rFonts w:eastAsia="黑体"/>
          <w:b/>
          <w:sz w:val="28"/>
          <w:szCs w:val="28"/>
        </w:rPr>
      </w:pPr>
      <w:r>
        <w:rPr>
          <w:b/>
          <w:sz w:val="28"/>
          <w:szCs w:val="28"/>
        </w:rPr>
        <w:t xml:space="preserve">5.2  </w:t>
      </w:r>
      <w:r>
        <w:rPr>
          <w:rFonts w:eastAsia="黑体"/>
          <w:b/>
          <w:sz w:val="28"/>
          <w:szCs w:val="28"/>
        </w:rPr>
        <w:t>不足与展望</w:t>
      </w:r>
    </w:p>
    <w:p>
      <w:pPr>
        <w:spacing w:line="360" w:lineRule="auto"/>
        <w:ind w:firstLine="480" w:firstLineChars="200"/>
        <w:rPr>
          <w:sz w:val="24"/>
        </w:rPr>
      </w:pPr>
      <w:r>
        <w:rPr>
          <w:sz w:val="24"/>
        </w:rPr>
        <w:t>在研究过程中，我们遇到了各种有趣的思考和结果，并试图对这些进行尝试和分析，然而因为数据和技术等原因仍有问题没有得到解决，本节将提出不足之处、我们的尝试以及展望。</w:t>
      </w:r>
    </w:p>
    <w:p>
      <w:pPr>
        <w:spacing w:line="360" w:lineRule="auto"/>
        <w:ind w:firstLine="480" w:firstLineChars="200"/>
        <w:rPr>
          <w:sz w:val="24"/>
        </w:rPr>
      </w:pPr>
    </w:p>
    <w:p>
      <w:pPr>
        <w:spacing w:line="360" w:lineRule="auto"/>
        <w:jc w:val="left"/>
        <w:rPr>
          <w:rFonts w:eastAsia="黑体"/>
          <w:b/>
          <w:bCs/>
          <w:sz w:val="24"/>
        </w:rPr>
      </w:pPr>
      <w:r>
        <w:rPr>
          <w:b/>
          <w:bCs/>
          <w:sz w:val="24"/>
        </w:rPr>
        <w:t>5.2.1</w:t>
      </w:r>
      <w:r>
        <w:rPr>
          <w:sz w:val="24"/>
        </w:rPr>
        <w:t xml:space="preserve"> </w:t>
      </w:r>
      <w:r>
        <w:rPr>
          <w:b/>
          <w:bCs/>
          <w:sz w:val="24"/>
        </w:rPr>
        <w:t xml:space="preserve"> </w:t>
      </w:r>
      <w:r>
        <w:rPr>
          <w:rFonts w:eastAsia="黑体"/>
          <w:b/>
          <w:bCs/>
          <w:sz w:val="24"/>
        </w:rPr>
        <w:t>未能得出反向反应和事后回调的</w:t>
      </w:r>
      <w:r>
        <w:rPr>
          <w:rFonts w:hint="eastAsia" w:eastAsia="黑体"/>
          <w:b/>
          <w:bCs/>
          <w:sz w:val="24"/>
          <w:lang w:val="en-US" w:eastAsia="zh-CN"/>
        </w:rPr>
        <w:t>完整、</w:t>
      </w:r>
      <w:r>
        <w:rPr>
          <w:rFonts w:eastAsia="黑体"/>
          <w:b/>
          <w:bCs/>
          <w:sz w:val="24"/>
        </w:rPr>
        <w:t>具体原因</w:t>
      </w:r>
    </w:p>
    <w:p>
      <w:pPr>
        <w:spacing w:line="360" w:lineRule="auto"/>
        <w:ind w:firstLine="480" w:firstLineChars="200"/>
        <w:rPr>
          <w:sz w:val="24"/>
        </w:rPr>
      </w:pPr>
      <w:r>
        <w:rPr>
          <w:sz w:val="24"/>
        </w:rPr>
        <w:t>对于显著存在与主板A股且有明显持续性的提前反向反应，我们基于对相关文献的理解，提出了上市公司方提前得到消息并干预股价的可能性。此外，我们猜想上市公司干预股价的方式可能是通过公告或舆论传递“利好信息”，我们查阅了2016-2021年由上市公司发布的公告，但并未发现在事件前的利好公告，我们试图从新闻报道和大V发言中找到蛛丝马迹，但由于数据获取的技术难题以及历史数据丢失的情况，我们并没有成功验证这个猜想。</w:t>
      </w:r>
    </w:p>
    <w:p>
      <w:pPr>
        <w:spacing w:line="360" w:lineRule="auto"/>
        <w:ind w:firstLine="480" w:firstLineChars="200"/>
        <w:rPr>
          <w:sz w:val="24"/>
        </w:rPr>
      </w:pPr>
      <w:r>
        <w:rPr>
          <w:sz w:val="24"/>
        </w:rPr>
        <w:t>关于事后回调，</w:t>
      </w:r>
      <w:r>
        <w:rPr>
          <w:rFonts w:hint="eastAsia"/>
          <w:sz w:val="24"/>
          <w:lang w:val="en-US" w:eastAsia="zh-CN"/>
        </w:rPr>
        <w:t>在本文作为支持“异常回报受投资者情绪影响”的现象，</w:t>
      </w:r>
      <w:r>
        <w:rPr>
          <w:sz w:val="24"/>
        </w:rPr>
        <w:t>从逻辑上看，这既有可能是上市公司面对负面消息实施补救措施导致的投资者情绪反应，也可能是投资者负面情绪冷却后的自然反应。和上述情况一样，我们未能成功找到事后回调的具体事件支持，而是仅仅就实证结果发现了一个广泛存在的现象。</w:t>
      </w:r>
    </w:p>
    <w:p>
      <w:pPr>
        <w:spacing w:line="360" w:lineRule="auto"/>
        <w:ind w:firstLine="480" w:firstLineChars="200"/>
        <w:rPr>
          <w:sz w:val="24"/>
        </w:rPr>
      </w:pPr>
      <w:r>
        <w:rPr>
          <w:sz w:val="24"/>
        </w:rPr>
        <w:t>我们希望，未来能有研究就反向反应或事后回调的原因给出系统的研究和梳理，从而使得我们对于违规处罚公告发布前后各方的反应与举措有更清晰的认识。</w:t>
      </w:r>
    </w:p>
    <w:p>
      <w:pPr>
        <w:spacing w:line="360" w:lineRule="auto"/>
        <w:ind w:firstLine="480" w:firstLineChars="200"/>
        <w:rPr>
          <w:sz w:val="24"/>
        </w:rPr>
      </w:pPr>
    </w:p>
    <w:p>
      <w:pPr>
        <w:spacing w:line="360" w:lineRule="auto"/>
        <w:jc w:val="left"/>
        <w:rPr>
          <w:rFonts w:eastAsia="黑体"/>
          <w:b/>
          <w:bCs/>
          <w:sz w:val="24"/>
        </w:rPr>
      </w:pPr>
      <w:r>
        <w:rPr>
          <w:b/>
          <w:bCs/>
          <w:sz w:val="24"/>
        </w:rPr>
        <w:t>5.2.2</w:t>
      </w:r>
      <w:r>
        <w:rPr>
          <w:sz w:val="24"/>
        </w:rPr>
        <w:t xml:space="preserve"> </w:t>
      </w:r>
      <w:r>
        <w:rPr>
          <w:b/>
          <w:bCs/>
          <w:sz w:val="24"/>
        </w:rPr>
        <w:t xml:space="preserve"> </w:t>
      </w:r>
      <w:r>
        <w:rPr>
          <w:rFonts w:eastAsia="黑体"/>
          <w:b/>
          <w:bCs/>
          <w:sz w:val="24"/>
        </w:rPr>
        <w:t>忽略了市态的影响</w:t>
      </w:r>
    </w:p>
    <w:p>
      <w:pPr>
        <w:spacing w:line="360" w:lineRule="auto"/>
        <w:ind w:firstLine="480" w:firstLineChars="200"/>
        <w:rPr>
          <w:sz w:val="24"/>
        </w:rPr>
      </w:pPr>
      <w:r>
        <w:rPr>
          <w:sz w:val="24"/>
        </w:rPr>
        <w:t>投资者情绪是一个复杂的话题，一方面，投资者情绪会受到与所持有股票相关信息的影响，另一方面，大盘整体的走势和市场氛围也会影响投资者情绪。面对同样的个股层面事件，在熊市和牛市，投资者的情绪波动和情绪反应都会有所差异。我们试图参照陆蓉和徐龙炳（2004）的做法，根据艾略特波浪理论，来区分牛市和熊市，从而进行差异化研究，但我们遇到的问题如下：（1）2017-2021年考察期较短，无法清晰划分出多个交替的牛市和熊市，即使股价反应的差异确实存在，我们也无法判定差异是由市态造成的，还是市场自然发展造成的；（2）自新冠疫情爆发以来，疫情因素对于实体经济和股票市场的影响非常大，也让我们对疫情背景下的市态理解有所迷茫。我们最终舍弃了对于市态的探索，选择不向前延伸考察期，因为我们的初衷在于得到最接近于当下现实的结果，早期的数据虽然可以拓展我们研究的维度，但对于我们所关注的，近几年企业违规处罚公告发布后投资者情绪带来的股价反应以及相应散户投资者参考经验，会因为时间线的延长降低其现实适用性。我们希望能有更适宜我们研究的市态划分方式来帮助我们拓展我们的研究。</w:t>
      </w:r>
    </w:p>
    <w:p>
      <w:pPr>
        <w:spacing w:line="360" w:lineRule="auto"/>
        <w:ind w:firstLine="480" w:firstLineChars="200"/>
        <w:rPr>
          <w:sz w:val="24"/>
        </w:rPr>
      </w:pPr>
    </w:p>
    <w:p>
      <w:pPr>
        <w:spacing w:line="360" w:lineRule="auto"/>
        <w:jc w:val="left"/>
        <w:rPr>
          <w:rFonts w:eastAsia="黑体"/>
          <w:b/>
          <w:bCs/>
          <w:sz w:val="24"/>
        </w:rPr>
      </w:pPr>
      <w:r>
        <w:rPr>
          <w:b/>
          <w:bCs/>
          <w:sz w:val="24"/>
        </w:rPr>
        <w:t>5.2.3</w:t>
      </w:r>
      <w:r>
        <w:rPr>
          <w:sz w:val="24"/>
        </w:rPr>
        <w:t xml:space="preserve"> </w:t>
      </w:r>
      <w:r>
        <w:rPr>
          <w:b/>
          <w:bCs/>
          <w:sz w:val="24"/>
        </w:rPr>
        <w:t xml:space="preserve"> </w:t>
      </w:r>
      <w:r>
        <w:rPr>
          <w:rFonts w:eastAsia="黑体"/>
          <w:b/>
          <w:bCs/>
          <w:sz w:val="24"/>
        </w:rPr>
        <w:t>缺少对情绪的</w:t>
      </w:r>
      <w:r>
        <w:rPr>
          <w:rFonts w:hint="eastAsia" w:eastAsia="黑体"/>
          <w:b/>
          <w:bCs/>
          <w:sz w:val="24"/>
          <w:lang w:val="en-US" w:eastAsia="zh-CN"/>
        </w:rPr>
        <w:t>直观</w:t>
      </w:r>
      <w:r>
        <w:rPr>
          <w:rFonts w:eastAsia="黑体"/>
          <w:b/>
          <w:bCs/>
          <w:sz w:val="24"/>
        </w:rPr>
        <w:t>衡量</w:t>
      </w:r>
    </w:p>
    <w:p>
      <w:pPr>
        <w:spacing w:line="360" w:lineRule="auto"/>
        <w:ind w:firstLine="480" w:firstLineChars="200"/>
        <w:rPr>
          <w:sz w:val="24"/>
        </w:rPr>
      </w:pPr>
      <w:r>
        <w:rPr>
          <w:sz w:val="24"/>
        </w:rPr>
        <w:t>在我们的理论和假设中，投资者情绪一直是一个非常重要的因素，</w:t>
      </w:r>
      <w:r>
        <w:rPr>
          <w:rFonts w:hint="eastAsia"/>
          <w:sz w:val="24"/>
          <w:lang w:val="en-US" w:eastAsia="zh-CN"/>
        </w:rPr>
        <w:t>从逻辑上看，</w:t>
      </w:r>
      <w:r>
        <w:rPr>
          <w:sz w:val="24"/>
        </w:rPr>
        <w:t>企业违规处罚公告的发布作为一个负面刺激，自然而然会引发引发投资者负面情绪，进而引发情绪交易</w:t>
      </w:r>
      <w:r>
        <w:rPr>
          <w:rFonts w:hint="eastAsia"/>
          <w:sz w:val="24"/>
          <w:lang w:val="en-US" w:eastAsia="zh-CN"/>
        </w:rPr>
        <w:t>行为</w:t>
      </w:r>
      <w:r>
        <w:rPr>
          <w:sz w:val="24"/>
        </w:rPr>
        <w:t>，</w:t>
      </w:r>
      <w:r>
        <w:rPr>
          <w:rFonts w:hint="eastAsia"/>
          <w:sz w:val="24"/>
          <w:lang w:val="en-US" w:eastAsia="zh-CN"/>
        </w:rPr>
        <w:t>带来股票</w:t>
      </w:r>
      <w:r>
        <w:rPr>
          <w:sz w:val="24"/>
        </w:rPr>
        <w:t>异常回报，更准确地说，带来异常损失。但与此同时，违规处罚可能会影响到企业基本面、企业业务，从而影响企业价值，那么股价下跌也包含一定理性因素，</w:t>
      </w:r>
      <w:r>
        <w:rPr>
          <w:rFonts w:hint="eastAsia"/>
          <w:sz w:val="24"/>
          <w:lang w:val="en-US" w:eastAsia="zh-CN"/>
        </w:rPr>
        <w:t>本文借用“事后回调”这一现象，仅仅支持了投资者情绪影响的存在性，却</w:t>
      </w:r>
      <w:r>
        <w:rPr>
          <w:sz w:val="24"/>
        </w:rPr>
        <w:t>未能</w:t>
      </w:r>
      <w:r>
        <w:rPr>
          <w:rFonts w:hint="eastAsia"/>
          <w:sz w:val="24"/>
          <w:lang w:val="en-US" w:eastAsia="zh-CN"/>
        </w:rPr>
        <w:t>直观地</w:t>
      </w:r>
      <w:r>
        <w:rPr>
          <w:sz w:val="24"/>
        </w:rPr>
        <w:t>衡量企业违规处罚公告的发布多大程度上造成了投资者情绪变动，</w:t>
      </w:r>
      <w:r>
        <w:rPr>
          <w:rFonts w:hint="eastAsia"/>
          <w:sz w:val="24"/>
          <w:lang w:val="en-US" w:eastAsia="zh-CN"/>
        </w:rPr>
        <w:t>在第三章的准备工作中，</w:t>
      </w:r>
      <w:r>
        <w:rPr>
          <w:sz w:val="24"/>
        </w:rPr>
        <w:t>我们尝试使用股吧、微博等公开论坛的股民发言来衡量</w:t>
      </w:r>
      <w:r>
        <w:rPr>
          <w:rFonts w:hint="eastAsia"/>
          <w:sz w:val="24"/>
          <w:lang w:val="en-US" w:eastAsia="zh-CN"/>
        </w:rPr>
        <w:t>投资者主观情绪</w:t>
      </w:r>
      <w:r>
        <w:rPr>
          <w:sz w:val="24"/>
        </w:rPr>
        <w:t>，但得到的结果并不理想，我们认为，一方面，投资者</w:t>
      </w:r>
      <w:r>
        <w:rPr>
          <w:rFonts w:hint="eastAsia"/>
          <w:sz w:val="24"/>
          <w:lang w:val="en-US" w:eastAsia="zh-CN"/>
        </w:rPr>
        <w:t>的</w:t>
      </w:r>
      <w:r>
        <w:rPr>
          <w:sz w:val="24"/>
        </w:rPr>
        <w:t>情绪不一定会被主观表达，而更多体现在交易数据上，使我们无法区分情绪和</w:t>
      </w:r>
      <w:r>
        <w:rPr>
          <w:rFonts w:hint="eastAsia"/>
          <w:sz w:val="24"/>
          <w:lang w:val="en-US" w:eastAsia="zh-CN"/>
        </w:rPr>
        <w:t>理性</w:t>
      </w:r>
      <w:r>
        <w:rPr>
          <w:sz w:val="24"/>
        </w:rPr>
        <w:t>，另一方面，投资者对于情绪的主观表达并不一定是公开的，例如，投资者可能会在微信群、朋友圈或酒桌茶馆表达自己的情绪，这是我们无法统计的。我们希望能有研究者利用更好的研究方法，分离出理性因素与情绪因素，从而让我们对于投资者情绪的影响衡量更加准确。</w:t>
      </w:r>
    </w:p>
    <w:p>
      <w:pPr>
        <w:spacing w:line="360" w:lineRule="auto"/>
        <w:ind w:firstLine="480" w:firstLineChars="200"/>
        <w:rPr>
          <w:sz w:val="24"/>
        </w:rPr>
      </w:pPr>
    </w:p>
    <w:p>
      <w:pPr>
        <w:spacing w:line="360" w:lineRule="auto"/>
        <w:jc w:val="center"/>
        <w:rPr>
          <w:rFonts w:eastAsia="黑体"/>
          <w:b/>
          <w:sz w:val="36"/>
          <w:szCs w:val="36"/>
        </w:rPr>
      </w:pPr>
    </w:p>
    <w:p>
      <w:pPr>
        <w:spacing w:line="360" w:lineRule="auto"/>
        <w:jc w:val="center"/>
        <w:rPr>
          <w:rFonts w:eastAsia="黑体"/>
          <w:b/>
          <w:sz w:val="36"/>
          <w:szCs w:val="36"/>
        </w:rPr>
      </w:pPr>
    </w:p>
    <w:p>
      <w:pPr>
        <w:spacing w:line="360" w:lineRule="auto"/>
        <w:jc w:val="center"/>
        <w:rPr>
          <w:rFonts w:eastAsia="黑体"/>
          <w:b/>
          <w:sz w:val="36"/>
          <w:szCs w:val="36"/>
        </w:rPr>
      </w:pPr>
    </w:p>
    <w:p>
      <w:pPr>
        <w:spacing w:line="360" w:lineRule="auto"/>
        <w:jc w:val="center"/>
        <w:rPr>
          <w:rFonts w:eastAsia="黑体"/>
          <w:b/>
          <w:sz w:val="36"/>
          <w:szCs w:val="36"/>
        </w:rPr>
      </w:pPr>
    </w:p>
    <w:p>
      <w:pPr>
        <w:spacing w:line="360" w:lineRule="auto"/>
        <w:jc w:val="center"/>
        <w:rPr>
          <w:rFonts w:eastAsia="黑体"/>
          <w:b/>
          <w:sz w:val="36"/>
          <w:szCs w:val="36"/>
        </w:rPr>
      </w:pPr>
    </w:p>
    <w:p>
      <w:pPr>
        <w:spacing w:line="360" w:lineRule="auto"/>
        <w:jc w:val="center"/>
        <w:rPr>
          <w:rFonts w:eastAsia="黑体"/>
          <w:b/>
          <w:sz w:val="36"/>
          <w:szCs w:val="36"/>
        </w:rPr>
      </w:pPr>
    </w:p>
    <w:p>
      <w:pPr>
        <w:spacing w:line="360" w:lineRule="auto"/>
        <w:jc w:val="center"/>
        <w:rPr>
          <w:rFonts w:eastAsia="黑体"/>
          <w:b/>
          <w:sz w:val="36"/>
          <w:szCs w:val="36"/>
        </w:rPr>
      </w:pPr>
    </w:p>
    <w:p>
      <w:pPr>
        <w:spacing w:line="360" w:lineRule="auto"/>
        <w:jc w:val="center"/>
        <w:rPr>
          <w:rFonts w:eastAsia="黑体"/>
          <w:b/>
          <w:sz w:val="36"/>
          <w:szCs w:val="36"/>
        </w:rPr>
      </w:pPr>
    </w:p>
    <w:p>
      <w:pPr>
        <w:spacing w:line="360" w:lineRule="auto"/>
        <w:jc w:val="center"/>
        <w:rPr>
          <w:rFonts w:eastAsia="黑体"/>
          <w:b/>
          <w:sz w:val="36"/>
          <w:szCs w:val="36"/>
        </w:rPr>
      </w:pPr>
    </w:p>
    <w:p>
      <w:pPr>
        <w:spacing w:line="360" w:lineRule="auto"/>
        <w:jc w:val="center"/>
        <w:rPr>
          <w:rFonts w:eastAsia="黑体"/>
          <w:b/>
          <w:sz w:val="36"/>
          <w:szCs w:val="36"/>
        </w:rPr>
      </w:pPr>
    </w:p>
    <w:p>
      <w:pPr>
        <w:spacing w:line="360" w:lineRule="auto"/>
        <w:rPr>
          <w:rFonts w:eastAsia="黑体"/>
          <w:b/>
          <w:sz w:val="36"/>
          <w:szCs w:val="36"/>
        </w:rPr>
      </w:pPr>
    </w:p>
    <w:p>
      <w:pPr>
        <w:spacing w:line="360" w:lineRule="auto"/>
        <w:jc w:val="center"/>
        <w:rPr>
          <w:sz w:val="24"/>
        </w:rPr>
      </w:pPr>
      <w:r>
        <w:rPr>
          <w:rFonts w:eastAsia="黑体"/>
          <w:b/>
          <w:sz w:val="36"/>
          <w:szCs w:val="36"/>
        </w:rPr>
        <w:t>致谢</w:t>
      </w:r>
    </w:p>
    <w:p>
      <w:pPr>
        <w:spacing w:line="360" w:lineRule="auto"/>
        <w:ind w:firstLine="480" w:firstLineChars="200"/>
        <w:rPr>
          <w:sz w:val="24"/>
        </w:rPr>
      </w:pPr>
      <w:r>
        <w:rPr>
          <w:sz w:val="24"/>
        </w:rPr>
        <w:t>匆匆四年一晃而过，临别时如大梦初醒，竟有些无措。</w:t>
      </w:r>
    </w:p>
    <w:p>
      <w:pPr>
        <w:spacing w:line="360" w:lineRule="auto"/>
        <w:ind w:firstLine="480" w:firstLineChars="200"/>
        <w:rPr>
          <w:sz w:val="24"/>
        </w:rPr>
      </w:pPr>
      <w:r>
        <w:rPr>
          <w:sz w:val="24"/>
        </w:rPr>
        <w:t>在这四年里，有幸学到了许多有趣而新奇的知识，认识了许多博学的老师和友善的同学，经历了许多促使我成长的挑战。</w:t>
      </w:r>
    </w:p>
    <w:p>
      <w:pPr>
        <w:spacing w:line="360" w:lineRule="auto"/>
        <w:ind w:firstLine="480" w:firstLineChars="200"/>
        <w:rPr>
          <w:sz w:val="24"/>
        </w:rPr>
      </w:pPr>
      <w:r>
        <w:rPr>
          <w:sz w:val="24"/>
        </w:rPr>
        <w:t>感谢滕敏老师，作为我的导师，耐心耐烦地教导我，全心全力支持我的毕业设计，帮助我克服困难，完成了能力和信心的提升，愿滕敏老师余生皆坦途，所念皆顺遂。</w:t>
      </w:r>
    </w:p>
    <w:p>
      <w:pPr>
        <w:spacing w:line="360" w:lineRule="auto"/>
        <w:ind w:firstLine="480" w:firstLineChars="200"/>
        <w:rPr>
          <w:sz w:val="24"/>
        </w:rPr>
      </w:pPr>
      <w:r>
        <w:rPr>
          <w:sz w:val="24"/>
        </w:rPr>
        <w:t>感谢何旭彪老师，作为班主任，关心我的学业，给予我关怀和帮助。</w:t>
      </w:r>
    </w:p>
    <w:p>
      <w:pPr>
        <w:spacing w:line="360" w:lineRule="auto"/>
        <w:ind w:firstLine="480" w:firstLineChars="200"/>
        <w:rPr>
          <w:sz w:val="24"/>
        </w:rPr>
      </w:pPr>
      <w:r>
        <w:rPr>
          <w:sz w:val="24"/>
        </w:rPr>
        <w:t>感谢我的父母，永远支持我、鼓励我、包容我，愿他们身体健康，平安如意。</w:t>
      </w:r>
    </w:p>
    <w:p>
      <w:pPr>
        <w:spacing w:line="360" w:lineRule="auto"/>
        <w:ind w:firstLine="480" w:firstLineChars="200"/>
        <w:rPr>
          <w:sz w:val="24"/>
        </w:rPr>
      </w:pPr>
      <w:r>
        <w:rPr>
          <w:sz w:val="24"/>
        </w:rPr>
        <w:t>感谢党和国家，让我们生活在和平盛世，有广阔的天地来追求梦想，愿我泱泱中华海晏河清，愿这东方大国举目承平。</w:t>
      </w:r>
    </w:p>
    <w:p>
      <w:pPr>
        <w:spacing w:line="360" w:lineRule="auto"/>
        <w:ind w:firstLine="480" w:firstLineChars="200"/>
        <w:rPr>
          <w:sz w:val="24"/>
        </w:rPr>
      </w:pPr>
      <w:r>
        <w:rPr>
          <w:sz w:val="24"/>
        </w:rPr>
        <w:t>感谢春天的花，夏天的树荫，秋天的落叶和冬天的云，让我在日复一日的枯燥中得到些许浪漫悠哉。</w:t>
      </w:r>
    </w:p>
    <w:p>
      <w:pPr>
        <w:spacing w:line="360" w:lineRule="auto"/>
        <w:ind w:firstLine="480" w:firstLineChars="200"/>
        <w:rPr>
          <w:sz w:val="24"/>
        </w:rPr>
      </w:pPr>
      <w:r>
        <w:rPr>
          <w:sz w:val="24"/>
        </w:rPr>
        <w:t>感谢所有的愉快与不愉快的事件，让我的眼界更加开阔，让我的人生不再单薄，予我鲛纱与盔甲，去漫步崎岖人生路。</w:t>
      </w:r>
    </w:p>
    <w:p>
      <w:pPr>
        <w:spacing w:line="360" w:lineRule="auto"/>
        <w:ind w:firstLine="480" w:firstLineChars="200"/>
        <w:rPr>
          <w:sz w:val="24"/>
        </w:rPr>
      </w:pPr>
      <w:r>
        <w:rPr>
          <w:sz w:val="24"/>
        </w:rPr>
        <w:t>感谢我喜欢的所有歌手、画家、写作者、设计师……你们让我的生活充满了美与诗意，让我在人生道路上蹒跚学步中多了一些悠然与放松。</w:t>
      </w:r>
    </w:p>
    <w:p>
      <w:pPr>
        <w:spacing w:line="360" w:lineRule="auto"/>
        <w:ind w:firstLine="480" w:firstLineChars="200"/>
        <w:rPr>
          <w:sz w:val="24"/>
        </w:rPr>
      </w:pPr>
      <w:r>
        <w:rPr>
          <w:sz w:val="24"/>
        </w:rPr>
        <w:t>感谢心理学，感谢清醒梦，让我在无数个焦虑彷徨的夜晚，可以在甜蜜中安眠，让我在无数次对自己对外物的失望中，找到虚实之间的慰藉。</w:t>
      </w:r>
    </w:p>
    <w:p>
      <w:pPr>
        <w:spacing w:line="360" w:lineRule="auto"/>
        <w:ind w:firstLine="480" w:firstLineChars="200"/>
        <w:rPr>
          <w:sz w:val="24"/>
        </w:rPr>
      </w:pPr>
      <w:r>
        <w:rPr>
          <w:sz w:val="24"/>
        </w:rPr>
        <w:t>感谢独一无二的彩虹色的周兆祺，你是宇宙美好的核心，是我懵懂存活于世最深刻的奥义，是亿万分之一的奇迹。希望你能做到早睡早起，好好照顾自己的身体，不要忘了自己的理想，对时光多一些珍惜。</w:t>
      </w:r>
    </w:p>
    <w:p>
      <w:pPr>
        <w:spacing w:line="360" w:lineRule="auto"/>
        <w:ind w:firstLine="480" w:firstLineChars="200"/>
        <w:rPr>
          <w:sz w:val="24"/>
        </w:rPr>
      </w:pPr>
      <w:r>
        <w:rPr>
          <w:sz w:val="24"/>
        </w:rPr>
        <w:t>……</w:t>
      </w:r>
    </w:p>
    <w:p>
      <w:pPr>
        <w:spacing w:line="360" w:lineRule="auto"/>
        <w:ind w:firstLine="480" w:firstLineChars="200"/>
        <w:rPr>
          <w:sz w:val="24"/>
        </w:rPr>
      </w:pPr>
      <w:r>
        <w:rPr>
          <w:sz w:val="24"/>
        </w:rPr>
        <w:t>愿年年六月，都能闻见栀子香。</w:t>
      </w:r>
    </w:p>
    <w:p>
      <w:pPr>
        <w:spacing w:line="360" w:lineRule="auto"/>
        <w:ind w:firstLine="480" w:firstLineChars="200"/>
        <w:rPr>
          <w:sz w:val="24"/>
        </w:rPr>
      </w:pPr>
    </w:p>
    <w:p>
      <w:pPr>
        <w:spacing w:line="360" w:lineRule="auto"/>
        <w:ind w:firstLine="480" w:firstLineChars="200"/>
        <w:rPr>
          <w:sz w:val="24"/>
        </w:rPr>
      </w:pPr>
    </w:p>
    <w:p>
      <w:pPr>
        <w:spacing w:line="360" w:lineRule="auto"/>
        <w:rPr>
          <w:sz w:val="24"/>
        </w:rPr>
      </w:pPr>
    </w:p>
    <w:p>
      <w:pPr>
        <w:spacing w:line="360" w:lineRule="auto"/>
        <w:rPr>
          <w:sz w:val="24"/>
        </w:rPr>
      </w:pPr>
    </w:p>
    <w:p>
      <w:pPr>
        <w:spacing w:before="156" w:beforeLines="50" w:after="156" w:afterLines="50"/>
      </w:pPr>
    </w:p>
    <w:p>
      <w:pPr>
        <w:spacing w:before="156" w:beforeLines="50" w:after="156" w:afterLines="50"/>
        <w:jc w:val="center"/>
        <w:rPr>
          <w:rFonts w:eastAsia="楷体_GB2312"/>
          <w:szCs w:val="21"/>
        </w:rPr>
      </w:pPr>
      <w:r>
        <w:rPr>
          <w:rFonts w:eastAsia="黑体"/>
          <w:b/>
          <w:sz w:val="36"/>
          <w:szCs w:val="36"/>
        </w:rPr>
        <w:t>参考文献</w:t>
      </w:r>
    </w:p>
    <w:p>
      <w:pPr>
        <w:spacing w:line="360" w:lineRule="auto"/>
        <w:rPr>
          <w:sz w:val="24"/>
          <w:szCs w:val="24"/>
        </w:rPr>
      </w:pPr>
      <w:r>
        <w:rPr>
          <w:sz w:val="24"/>
          <w:szCs w:val="24"/>
        </w:rPr>
        <w:t>[1]  巴曙松，朱虹.融资融券、投资者情绪与市场波动.国际金融研究，2016，8:82-96</w:t>
      </w:r>
    </w:p>
    <w:p>
      <w:pPr>
        <w:spacing w:line="360" w:lineRule="auto"/>
        <w:rPr>
          <w:bCs/>
          <w:sz w:val="24"/>
          <w:szCs w:val="24"/>
        </w:rPr>
      </w:pPr>
      <w:r>
        <w:rPr>
          <w:sz w:val="24"/>
          <w:szCs w:val="24"/>
        </w:rPr>
        <w:t xml:space="preserve">[2]  </w:t>
      </w:r>
      <w:r>
        <w:rPr>
          <w:bCs/>
          <w:sz w:val="24"/>
          <w:szCs w:val="24"/>
        </w:rPr>
        <w:t>曹泽仁，徐盛，王亚童.经济政策变化对公司债券发行信用利差的影响研究——基于投资者情绪中介效应.上海经济,2021</w:t>
      </w:r>
      <w:r>
        <w:rPr>
          <w:rFonts w:hint="eastAsia"/>
          <w:bCs/>
          <w:sz w:val="24"/>
          <w:szCs w:val="24"/>
          <w:lang w:eastAsia="zh-CN"/>
        </w:rPr>
        <w:t>，</w:t>
      </w:r>
      <w:r>
        <w:rPr>
          <w:bCs/>
          <w:sz w:val="24"/>
          <w:szCs w:val="24"/>
        </w:rPr>
        <w:t xml:space="preserve">6: 76-90 </w:t>
      </w:r>
    </w:p>
    <w:p>
      <w:pPr>
        <w:spacing w:line="360" w:lineRule="auto"/>
        <w:rPr>
          <w:sz w:val="24"/>
          <w:szCs w:val="24"/>
        </w:rPr>
      </w:pPr>
      <w:r>
        <w:rPr>
          <w:sz w:val="24"/>
          <w:szCs w:val="24"/>
        </w:rPr>
        <w:t>[3]  陈国进，赵向琴，林辉.上市公司违法违规处罚和投资者利益保护效果.财经研究，2005，8:48-58</w:t>
      </w:r>
    </w:p>
    <w:p>
      <w:pPr>
        <w:spacing w:line="360" w:lineRule="auto"/>
        <w:rPr>
          <w:sz w:val="24"/>
          <w:szCs w:val="24"/>
        </w:rPr>
      </w:pPr>
      <w:r>
        <w:rPr>
          <w:sz w:val="24"/>
          <w:szCs w:val="24"/>
        </w:rPr>
        <w:t>[4]  胡昌生，池阳春.投资者情绪、资产估值与股票市场波动.金融研究，2013，10:181-193</w:t>
      </w:r>
    </w:p>
    <w:p>
      <w:pPr>
        <w:spacing w:line="360" w:lineRule="auto"/>
        <w:rPr>
          <w:sz w:val="24"/>
          <w:szCs w:val="24"/>
        </w:rPr>
      </w:pPr>
      <w:r>
        <w:rPr>
          <w:sz w:val="24"/>
          <w:szCs w:val="24"/>
        </w:rPr>
        <w:t>[5]  黄宏斌，翟淑萍，陈静楠. 企业生命周期、融资方式与融资约束——基于投资者情绪调节效应的研究. 金融研究，2016</w:t>
      </w:r>
      <w:r>
        <w:rPr>
          <w:rFonts w:hint="eastAsia"/>
          <w:sz w:val="24"/>
          <w:szCs w:val="24"/>
          <w:lang w:eastAsia="zh-CN"/>
        </w:rPr>
        <w:t>，</w:t>
      </w:r>
      <w:r>
        <w:rPr>
          <w:rFonts w:hint="eastAsia"/>
          <w:sz w:val="24"/>
          <w:szCs w:val="24"/>
          <w:lang w:val="en-US" w:eastAsia="zh-CN"/>
        </w:rPr>
        <w:t>7</w:t>
      </w:r>
      <w:r>
        <w:rPr>
          <w:sz w:val="24"/>
          <w:szCs w:val="24"/>
        </w:rPr>
        <w:t xml:space="preserve">: 96-112 </w:t>
      </w:r>
    </w:p>
    <w:p>
      <w:pPr>
        <w:spacing w:line="360" w:lineRule="auto"/>
        <w:rPr>
          <w:sz w:val="24"/>
          <w:szCs w:val="24"/>
        </w:rPr>
      </w:pPr>
      <w:r>
        <w:rPr>
          <w:sz w:val="24"/>
          <w:szCs w:val="24"/>
        </w:rPr>
        <w:t>[6]  雷光勇，王文，金鑫.公司治理质量、投资者信心与股票收益.会计研究，2012，2:79-86</w:t>
      </w:r>
    </w:p>
    <w:p>
      <w:pPr>
        <w:spacing w:line="360" w:lineRule="auto"/>
        <w:rPr>
          <w:sz w:val="24"/>
          <w:szCs w:val="24"/>
        </w:rPr>
      </w:pPr>
      <w:r>
        <w:rPr>
          <w:sz w:val="24"/>
          <w:szCs w:val="24"/>
        </w:rPr>
        <w:t>[7]  李俊峰，王汀汀，张太原.上市公司大股东增持公告效应及动机分析.中国社会科学，2011，4:95-110</w:t>
      </w:r>
    </w:p>
    <w:p>
      <w:pPr>
        <w:spacing w:line="360" w:lineRule="auto"/>
        <w:rPr>
          <w:sz w:val="24"/>
          <w:szCs w:val="24"/>
        </w:rPr>
      </w:pPr>
      <w:r>
        <w:rPr>
          <w:sz w:val="24"/>
          <w:szCs w:val="24"/>
        </w:rPr>
        <w:t>[8]  李小晗，朱红军.投资者有限关注与信息解读.金融研究，2011</w:t>
      </w:r>
      <w:r>
        <w:rPr>
          <w:rFonts w:hint="eastAsia"/>
          <w:sz w:val="24"/>
          <w:szCs w:val="24"/>
          <w:lang w:eastAsia="zh-CN"/>
        </w:rPr>
        <w:t>，</w:t>
      </w:r>
      <w:r>
        <w:rPr>
          <w:sz w:val="24"/>
          <w:szCs w:val="24"/>
        </w:rPr>
        <w:t>8</w:t>
      </w:r>
      <w:r>
        <w:rPr>
          <w:rFonts w:hint="eastAsia"/>
          <w:sz w:val="24"/>
          <w:szCs w:val="24"/>
          <w:lang w:val="en-US" w:eastAsia="zh-CN"/>
        </w:rPr>
        <w:t>:</w:t>
      </w:r>
      <w:r>
        <w:rPr>
          <w:sz w:val="24"/>
          <w:szCs w:val="24"/>
        </w:rPr>
        <w:t>128-142</w:t>
      </w:r>
    </w:p>
    <w:p>
      <w:pPr>
        <w:spacing w:line="360" w:lineRule="auto"/>
        <w:rPr>
          <w:sz w:val="24"/>
          <w:szCs w:val="24"/>
        </w:rPr>
      </w:pPr>
      <w:r>
        <w:rPr>
          <w:sz w:val="24"/>
          <w:szCs w:val="24"/>
        </w:rPr>
        <w:t>[9]  李梦雨，李志辉.市场操纵与股价崩盘风险——基于投资者情绪的路径分析.国际金融研究，2019</w:t>
      </w:r>
      <w:r>
        <w:rPr>
          <w:rFonts w:hint="eastAsia"/>
          <w:sz w:val="24"/>
          <w:szCs w:val="24"/>
          <w:lang w:eastAsia="zh-CN"/>
        </w:rPr>
        <w:t>，</w:t>
      </w:r>
      <w:r>
        <w:rPr>
          <w:sz w:val="24"/>
          <w:szCs w:val="24"/>
        </w:rPr>
        <w:t>4</w:t>
      </w:r>
      <w:r>
        <w:rPr>
          <w:rFonts w:hint="eastAsia"/>
          <w:sz w:val="24"/>
          <w:szCs w:val="24"/>
          <w:lang w:val="en-US" w:eastAsia="zh-CN"/>
        </w:rPr>
        <w:t>:</w:t>
      </w:r>
      <w:r>
        <w:rPr>
          <w:sz w:val="24"/>
          <w:szCs w:val="24"/>
        </w:rPr>
        <w:t>87-96</w:t>
      </w:r>
    </w:p>
    <w:p>
      <w:pPr>
        <w:spacing w:line="360" w:lineRule="auto"/>
        <w:rPr>
          <w:sz w:val="24"/>
          <w:szCs w:val="24"/>
        </w:rPr>
      </w:pPr>
      <w:r>
        <w:rPr>
          <w:sz w:val="24"/>
          <w:szCs w:val="24"/>
        </w:rPr>
        <w:t xml:space="preserve">[10]  </w:t>
      </w:r>
      <w:r>
        <w:rPr>
          <w:bCs/>
          <w:sz w:val="24"/>
          <w:szCs w:val="24"/>
        </w:rPr>
        <w:t>李莉，林钰颜.环保绩效与财务绩效——基于投资者信心的中介效应.财会通讯，2021</w:t>
      </w:r>
      <w:r>
        <w:rPr>
          <w:rFonts w:hint="eastAsia"/>
          <w:bCs/>
          <w:sz w:val="24"/>
          <w:szCs w:val="24"/>
          <w:lang w:eastAsia="zh-CN"/>
        </w:rPr>
        <w:t>，</w:t>
      </w:r>
      <w:r>
        <w:rPr>
          <w:rFonts w:hint="eastAsia"/>
          <w:bCs/>
          <w:sz w:val="24"/>
          <w:szCs w:val="24"/>
          <w:lang w:val="en-US" w:eastAsia="zh-CN"/>
        </w:rPr>
        <w:t>20</w:t>
      </w:r>
      <w:r>
        <w:rPr>
          <w:bCs/>
          <w:sz w:val="24"/>
          <w:szCs w:val="24"/>
        </w:rPr>
        <w:t>:42-45</w:t>
      </w:r>
    </w:p>
    <w:p>
      <w:pPr>
        <w:spacing w:line="360" w:lineRule="auto"/>
        <w:rPr>
          <w:sz w:val="24"/>
          <w:szCs w:val="24"/>
        </w:rPr>
      </w:pPr>
      <w:r>
        <w:rPr>
          <w:sz w:val="24"/>
          <w:szCs w:val="24"/>
        </w:rPr>
        <w:t>[11]  刘力，王汀汀，王震.中国A股上市公司增发公告的负价格效应及其二元股权结构解释.金融研究，2003，8:60-71</w:t>
      </w:r>
    </w:p>
    <w:p>
      <w:pPr>
        <w:spacing w:line="360" w:lineRule="auto"/>
        <w:rPr>
          <w:sz w:val="24"/>
          <w:szCs w:val="24"/>
        </w:rPr>
      </w:pPr>
      <w:r>
        <w:rPr>
          <w:sz w:val="24"/>
          <w:szCs w:val="24"/>
        </w:rPr>
        <w:t>[12]  刘煜辉，贺菊煌，沈可挺.中国股市中信息反映模式的实证分析.管理世界，2003</w:t>
      </w:r>
      <w:r>
        <w:rPr>
          <w:rFonts w:hint="eastAsia"/>
          <w:sz w:val="24"/>
          <w:szCs w:val="24"/>
          <w:lang w:eastAsia="zh-CN"/>
        </w:rPr>
        <w:t>，</w:t>
      </w:r>
      <w:r>
        <w:rPr>
          <w:rFonts w:hint="eastAsia"/>
          <w:sz w:val="24"/>
          <w:szCs w:val="24"/>
          <w:lang w:val="en-US" w:eastAsia="zh-CN"/>
        </w:rPr>
        <w:t>8:</w:t>
      </w:r>
      <w:r>
        <w:rPr>
          <w:sz w:val="24"/>
          <w:szCs w:val="24"/>
        </w:rPr>
        <w:t>6-15</w:t>
      </w:r>
    </w:p>
    <w:p>
      <w:pPr>
        <w:spacing w:line="360" w:lineRule="auto"/>
        <w:rPr>
          <w:sz w:val="24"/>
          <w:szCs w:val="24"/>
        </w:rPr>
      </w:pPr>
      <w:r>
        <w:rPr>
          <w:sz w:val="24"/>
          <w:szCs w:val="24"/>
        </w:rPr>
        <w:t>[13]  陆蓉，徐龙炳.“熊市”和“牛市”对信息的不平衡性研究.经济研究，2004</w:t>
      </w:r>
      <w:r>
        <w:rPr>
          <w:rFonts w:hint="eastAsia"/>
          <w:sz w:val="24"/>
          <w:szCs w:val="24"/>
          <w:lang w:eastAsia="zh-CN"/>
        </w:rPr>
        <w:t>，</w:t>
      </w:r>
      <w:r>
        <w:rPr>
          <w:sz w:val="24"/>
          <w:szCs w:val="24"/>
        </w:rPr>
        <w:t>3：65-72</w:t>
      </w:r>
    </w:p>
    <w:p>
      <w:pPr>
        <w:spacing w:line="360" w:lineRule="auto"/>
        <w:rPr>
          <w:sz w:val="24"/>
          <w:szCs w:val="24"/>
        </w:rPr>
      </w:pPr>
      <w:r>
        <w:rPr>
          <w:sz w:val="24"/>
          <w:szCs w:val="24"/>
        </w:rPr>
        <w:t>[14]  陆瑶，朱玉杰，胡晓元.机构投资者持股与上市公司违规行为的实证研究.南开管理评论，2012，1</w:t>
      </w:r>
      <w:r>
        <w:rPr>
          <w:rFonts w:hint="default" w:ascii="Times New Roman" w:hAnsi="Times New Roman" w:eastAsia="宋体" w:cs="Times New Roman"/>
          <w:sz w:val="24"/>
          <w:szCs w:val="24"/>
        </w:rPr>
        <w:t>5</w:t>
      </w:r>
      <w:r>
        <w:rPr>
          <w:rFonts w:hint="eastAsia" w:cs="Times New Roman"/>
          <w:sz w:val="24"/>
          <w:szCs w:val="24"/>
          <w:lang w:val="en-US" w:eastAsia="zh-CN"/>
        </w:rPr>
        <w:t>（01）</w:t>
      </w:r>
      <w:r>
        <w:rPr>
          <w:rFonts w:hint="default" w:ascii="Times New Roman" w:hAnsi="Times New Roman" w:eastAsia="宋体" w:cs="Times New Roman"/>
          <w:sz w:val="24"/>
          <w:szCs w:val="24"/>
          <w:lang w:val="en-US" w:eastAsia="zh-CN"/>
        </w:rPr>
        <w:t>:</w:t>
      </w:r>
      <w:r>
        <w:rPr>
          <w:sz w:val="24"/>
          <w:szCs w:val="24"/>
        </w:rPr>
        <w:t>13-23</w:t>
      </w:r>
    </w:p>
    <w:p>
      <w:pPr>
        <w:spacing w:line="360" w:lineRule="auto"/>
        <w:rPr>
          <w:sz w:val="24"/>
          <w:szCs w:val="24"/>
        </w:rPr>
      </w:pPr>
      <w:r>
        <w:rPr>
          <w:sz w:val="24"/>
          <w:szCs w:val="24"/>
        </w:rPr>
        <w:t>[15]  罗琦，宋梦薇.市场情绪、公司投资与管理者薪酬——基于股票论坛的经验证据.经济管理</w:t>
      </w:r>
      <w:r>
        <w:rPr>
          <w:rFonts w:hint="eastAsia"/>
          <w:sz w:val="24"/>
          <w:szCs w:val="24"/>
          <w:lang w:eastAsia="zh-CN"/>
        </w:rPr>
        <w:t>，</w:t>
      </w:r>
      <w:r>
        <w:rPr>
          <w:sz w:val="24"/>
          <w:szCs w:val="24"/>
        </w:rPr>
        <w:t xml:space="preserve"> 2021</w:t>
      </w:r>
      <w:r>
        <w:rPr>
          <w:rFonts w:hint="eastAsia"/>
          <w:sz w:val="24"/>
          <w:szCs w:val="24"/>
          <w:lang w:eastAsia="zh-CN"/>
        </w:rPr>
        <w:t>，</w:t>
      </w:r>
      <w:r>
        <w:rPr>
          <w:sz w:val="24"/>
          <w:szCs w:val="24"/>
        </w:rPr>
        <w:t>43</w:t>
      </w:r>
      <w:r>
        <w:rPr>
          <w:rFonts w:hint="eastAsia"/>
          <w:sz w:val="24"/>
          <w:szCs w:val="24"/>
          <w:lang w:eastAsia="zh-CN"/>
        </w:rPr>
        <w:t>（</w:t>
      </w:r>
      <w:r>
        <w:rPr>
          <w:rFonts w:hint="eastAsia"/>
          <w:sz w:val="24"/>
          <w:szCs w:val="24"/>
          <w:lang w:val="en-US" w:eastAsia="zh-CN"/>
        </w:rPr>
        <w:t>09</w:t>
      </w:r>
      <w:r>
        <w:rPr>
          <w:rFonts w:hint="eastAsia"/>
          <w:sz w:val="24"/>
          <w:szCs w:val="24"/>
          <w:lang w:eastAsia="zh-CN"/>
        </w:rPr>
        <w:t>）</w:t>
      </w:r>
      <w:r>
        <w:rPr>
          <w:sz w:val="24"/>
          <w:szCs w:val="24"/>
        </w:rPr>
        <w:t xml:space="preserve">: 120-136 </w:t>
      </w:r>
    </w:p>
    <w:p>
      <w:pPr>
        <w:spacing w:line="360" w:lineRule="auto"/>
        <w:rPr>
          <w:sz w:val="24"/>
          <w:szCs w:val="24"/>
        </w:rPr>
      </w:pPr>
      <w:r>
        <w:rPr>
          <w:sz w:val="24"/>
          <w:szCs w:val="24"/>
        </w:rPr>
        <w:t>[16]  吕长江，许静静.基于股利变更公告的股利信号效应研究.南开管理评论，2010，13（02）：90-96</w:t>
      </w:r>
    </w:p>
    <w:p>
      <w:pPr>
        <w:spacing w:line="360" w:lineRule="auto"/>
        <w:rPr>
          <w:sz w:val="24"/>
          <w:szCs w:val="24"/>
        </w:rPr>
      </w:pPr>
      <w:r>
        <w:rPr>
          <w:sz w:val="24"/>
          <w:szCs w:val="24"/>
        </w:rPr>
        <w:t>[17]  权小锋，吴世农.投资者关注、盈余公告效应与管理层公告择机.金融研究，2010，11:90-107</w:t>
      </w:r>
    </w:p>
    <w:p>
      <w:pPr>
        <w:spacing w:line="360" w:lineRule="auto"/>
        <w:rPr>
          <w:b/>
          <w:sz w:val="28"/>
          <w:szCs w:val="28"/>
        </w:rPr>
      </w:pPr>
      <w:r>
        <w:rPr>
          <w:sz w:val="24"/>
          <w:szCs w:val="24"/>
        </w:rPr>
        <w:t>[18]  上海证监局课题组.后股权分置时期上市公司监管对策研究.上海证监局，2006</w:t>
      </w:r>
    </w:p>
    <w:p>
      <w:pPr>
        <w:spacing w:line="360" w:lineRule="auto"/>
        <w:rPr>
          <w:b/>
          <w:sz w:val="28"/>
          <w:szCs w:val="28"/>
        </w:rPr>
      </w:pPr>
      <w:r>
        <w:rPr>
          <w:sz w:val="24"/>
          <w:szCs w:val="24"/>
        </w:rPr>
        <w:t>[19]  史永东，蒋贤锋.内幕交易、股价波动与信息不对称：基于中国股票市场的经验研究.世界经济，2004，12:54-64</w:t>
      </w:r>
    </w:p>
    <w:p>
      <w:pPr>
        <w:spacing w:line="360" w:lineRule="auto"/>
        <w:rPr>
          <w:b/>
          <w:sz w:val="28"/>
          <w:szCs w:val="28"/>
        </w:rPr>
      </w:pPr>
      <w:r>
        <w:rPr>
          <w:sz w:val="24"/>
          <w:szCs w:val="24"/>
        </w:rPr>
        <w:t>[20]  谭伟强.我国股市盈余公告的</w:t>
      </w:r>
      <w:r>
        <w:rPr>
          <w:rFonts w:hint="eastAsia"/>
          <w:sz w:val="24"/>
          <w:szCs w:val="24"/>
          <w:lang w:eastAsia="zh-CN"/>
        </w:rPr>
        <w:t>“</w:t>
      </w:r>
      <w:r>
        <w:rPr>
          <w:sz w:val="24"/>
          <w:szCs w:val="24"/>
        </w:rPr>
        <w:t>周历效应</w:t>
      </w:r>
      <w:r>
        <w:rPr>
          <w:rFonts w:hint="eastAsia"/>
          <w:sz w:val="24"/>
          <w:szCs w:val="24"/>
          <w:lang w:eastAsia="zh-CN"/>
        </w:rPr>
        <w:t>”</w:t>
      </w:r>
      <w:r>
        <w:rPr>
          <w:sz w:val="24"/>
          <w:szCs w:val="24"/>
        </w:rPr>
        <w:t>与</w:t>
      </w:r>
      <w:r>
        <w:rPr>
          <w:rFonts w:hint="eastAsia"/>
          <w:sz w:val="24"/>
          <w:szCs w:val="24"/>
          <w:lang w:eastAsia="zh-CN"/>
        </w:rPr>
        <w:t>“</w:t>
      </w:r>
      <w:r>
        <w:rPr>
          <w:sz w:val="24"/>
          <w:szCs w:val="24"/>
        </w:rPr>
        <w:t>集中公告效应</w:t>
      </w:r>
      <w:r>
        <w:rPr>
          <w:rFonts w:hint="eastAsia"/>
          <w:sz w:val="24"/>
          <w:szCs w:val="24"/>
          <w:lang w:eastAsia="zh-CN"/>
        </w:rPr>
        <w:t>”</w:t>
      </w:r>
      <w:r>
        <w:rPr>
          <w:sz w:val="24"/>
          <w:szCs w:val="24"/>
        </w:rPr>
        <w:t>研究.金融研究，2008，2:152-167</w:t>
      </w:r>
    </w:p>
    <w:p>
      <w:pPr>
        <w:spacing w:line="360" w:lineRule="auto"/>
        <w:rPr>
          <w:sz w:val="24"/>
          <w:szCs w:val="24"/>
        </w:rPr>
      </w:pPr>
      <w:r>
        <w:rPr>
          <w:sz w:val="24"/>
          <w:szCs w:val="24"/>
        </w:rPr>
        <w:t>[21]  汪昌云，武佳薇.媒体语气、投资者情绪与IPO定价.金融研究，2015</w:t>
      </w:r>
      <w:r>
        <w:rPr>
          <w:rFonts w:hint="eastAsia"/>
          <w:sz w:val="24"/>
          <w:szCs w:val="24"/>
          <w:lang w:eastAsia="zh-CN"/>
        </w:rPr>
        <w:t>，</w:t>
      </w:r>
      <w:r>
        <w:rPr>
          <w:rFonts w:hint="eastAsia"/>
          <w:sz w:val="24"/>
          <w:szCs w:val="24"/>
          <w:lang w:val="en-US" w:eastAsia="zh-CN"/>
        </w:rPr>
        <w:t>9</w:t>
      </w:r>
      <w:r>
        <w:rPr>
          <w:sz w:val="24"/>
          <w:szCs w:val="24"/>
        </w:rPr>
        <w:t>：175-189</w:t>
      </w:r>
    </w:p>
    <w:p>
      <w:pPr>
        <w:spacing w:line="360" w:lineRule="auto"/>
        <w:rPr>
          <w:sz w:val="24"/>
          <w:szCs w:val="24"/>
        </w:rPr>
      </w:pPr>
      <w:r>
        <w:rPr>
          <w:sz w:val="24"/>
          <w:szCs w:val="24"/>
        </w:rPr>
        <w:t>[22]  王春，王进猛.投资者关注与股票收益率——基于新闻联播报道的实证研究.系统工程，2020，38（02）：109-121</w:t>
      </w:r>
    </w:p>
    <w:p>
      <w:pPr>
        <w:spacing w:line="360" w:lineRule="auto"/>
        <w:rPr>
          <w:sz w:val="24"/>
          <w:szCs w:val="24"/>
        </w:rPr>
      </w:pPr>
      <w:r>
        <w:rPr>
          <w:sz w:val="24"/>
          <w:szCs w:val="24"/>
        </w:rPr>
        <w:t>[23]  文凤华，肖金利，陈晓红等.投资者情绪特征对股票价格行为的影响研究.管理科学学报，2014，17（03）</w:t>
      </w:r>
      <w:r>
        <w:rPr>
          <w:rFonts w:hint="eastAsia"/>
          <w:sz w:val="24"/>
          <w:szCs w:val="24"/>
          <w:lang w:val="en-US" w:eastAsia="zh-CN"/>
        </w:rPr>
        <w:t>:</w:t>
      </w:r>
      <w:r>
        <w:rPr>
          <w:sz w:val="24"/>
          <w:szCs w:val="24"/>
        </w:rPr>
        <w:t>60-69</w:t>
      </w:r>
    </w:p>
    <w:p>
      <w:pPr>
        <w:spacing w:line="360" w:lineRule="auto"/>
        <w:rPr>
          <w:sz w:val="24"/>
          <w:szCs w:val="24"/>
        </w:rPr>
      </w:pPr>
      <w:r>
        <w:rPr>
          <w:sz w:val="24"/>
          <w:szCs w:val="24"/>
        </w:rPr>
        <w:t>[24]  谢琳，唐松莲，尹宇明.内幕交易、股价操纵和大股东侵占效应——基于全流通时代定向增发事件研究.科技管理研究，2011，3</w:t>
      </w:r>
      <w:r>
        <w:rPr>
          <w:rFonts w:hint="eastAsia"/>
          <w:sz w:val="24"/>
          <w:szCs w:val="24"/>
          <w:lang w:val="en-US" w:eastAsia="zh-CN"/>
        </w:rPr>
        <w:t>:</w:t>
      </w:r>
      <w:r>
        <w:rPr>
          <w:sz w:val="24"/>
          <w:szCs w:val="24"/>
        </w:rPr>
        <w:t>240-246</w:t>
      </w:r>
    </w:p>
    <w:p>
      <w:pPr>
        <w:spacing w:line="360" w:lineRule="auto"/>
        <w:rPr>
          <w:sz w:val="24"/>
          <w:szCs w:val="24"/>
        </w:rPr>
      </w:pPr>
      <w:r>
        <w:rPr>
          <w:sz w:val="24"/>
          <w:szCs w:val="24"/>
        </w:rPr>
        <w:t>[25]  谢盛纹，陶然.年报预约披露推迟、分析师关注与股价崩盘风险.会计与经济研究，2017，31（01）</w:t>
      </w:r>
      <w:r>
        <w:rPr>
          <w:rFonts w:hint="eastAsia"/>
          <w:sz w:val="24"/>
          <w:szCs w:val="24"/>
          <w:lang w:val="en-US" w:eastAsia="zh-CN"/>
        </w:rPr>
        <w:t>:</w:t>
      </w:r>
      <w:r>
        <w:rPr>
          <w:sz w:val="24"/>
          <w:szCs w:val="24"/>
        </w:rPr>
        <w:t>3-19</w:t>
      </w:r>
    </w:p>
    <w:p>
      <w:pPr>
        <w:spacing w:line="360" w:lineRule="auto"/>
        <w:rPr>
          <w:sz w:val="24"/>
          <w:szCs w:val="24"/>
        </w:rPr>
      </w:pPr>
      <w:r>
        <w:rPr>
          <w:sz w:val="24"/>
          <w:szCs w:val="24"/>
        </w:rPr>
        <w:t>[26]  杨兴哲，周翔翼.中国上市公司违规处理信息提前泄漏了吗——来自股票流动性和融券交易的证据.财贸经济，2020，41（03）</w:t>
      </w:r>
      <w:r>
        <w:rPr>
          <w:rFonts w:hint="eastAsia"/>
          <w:sz w:val="24"/>
          <w:szCs w:val="24"/>
          <w:lang w:val="en-US" w:eastAsia="zh-CN"/>
        </w:rPr>
        <w:t>:</w:t>
      </w:r>
      <w:r>
        <w:rPr>
          <w:sz w:val="24"/>
          <w:szCs w:val="24"/>
        </w:rPr>
        <w:t>100-116</w:t>
      </w:r>
    </w:p>
    <w:p>
      <w:pPr>
        <w:spacing w:line="360" w:lineRule="auto"/>
        <w:rPr>
          <w:sz w:val="24"/>
          <w:szCs w:val="24"/>
        </w:rPr>
      </w:pPr>
      <w:r>
        <w:rPr>
          <w:sz w:val="24"/>
          <w:szCs w:val="24"/>
        </w:rPr>
        <w:t>[27]  杨阳，万迪昉.不同市态下投资者情绪与股市收益、收益波动的异化现象——基于上证股市的实证分析.系统工程，2010，28（01）</w:t>
      </w:r>
      <w:r>
        <w:rPr>
          <w:rFonts w:hint="eastAsia"/>
          <w:sz w:val="24"/>
          <w:szCs w:val="24"/>
          <w:lang w:val="en-US" w:eastAsia="zh-CN"/>
        </w:rPr>
        <w:t>:</w:t>
      </w:r>
      <w:r>
        <w:rPr>
          <w:sz w:val="24"/>
          <w:szCs w:val="24"/>
        </w:rPr>
        <w:t>19-23</w:t>
      </w:r>
    </w:p>
    <w:p>
      <w:pPr>
        <w:spacing w:line="360" w:lineRule="auto"/>
        <w:rPr>
          <w:sz w:val="24"/>
          <w:szCs w:val="24"/>
        </w:rPr>
      </w:pPr>
      <w:r>
        <w:rPr>
          <w:sz w:val="24"/>
          <w:szCs w:val="24"/>
        </w:rPr>
        <w:t>[28]  易志高，茅宁.中国股市投资者情绪测量研究：CICSI的构建.金融研究，2009，11:174-184</w:t>
      </w:r>
    </w:p>
    <w:p>
      <w:pPr>
        <w:spacing w:line="360" w:lineRule="auto"/>
        <w:rPr>
          <w:sz w:val="24"/>
          <w:szCs w:val="24"/>
        </w:rPr>
      </w:pPr>
      <w:r>
        <w:rPr>
          <w:sz w:val="24"/>
          <w:szCs w:val="24"/>
        </w:rPr>
        <w:t>[29]  俞庆进，张兵.投资者有限关注与股票收益——以百度指数作为关注度的一项实证研究.金融研究，2012</w:t>
      </w:r>
      <w:r>
        <w:rPr>
          <w:rFonts w:hint="eastAsia"/>
          <w:sz w:val="24"/>
          <w:szCs w:val="24"/>
          <w:lang w:eastAsia="zh-CN"/>
        </w:rPr>
        <w:t>，</w:t>
      </w:r>
      <w:r>
        <w:rPr>
          <w:sz w:val="24"/>
          <w:szCs w:val="24"/>
        </w:rPr>
        <w:t>8</w:t>
      </w:r>
      <w:r>
        <w:rPr>
          <w:rFonts w:hint="eastAsia"/>
          <w:sz w:val="24"/>
          <w:szCs w:val="24"/>
          <w:lang w:val="en-US" w:eastAsia="zh-CN"/>
        </w:rPr>
        <w:t>:</w:t>
      </w:r>
      <w:r>
        <w:rPr>
          <w:sz w:val="24"/>
          <w:szCs w:val="24"/>
        </w:rPr>
        <w:t>152-165</w:t>
      </w:r>
    </w:p>
    <w:p>
      <w:pPr>
        <w:spacing w:line="360" w:lineRule="auto"/>
        <w:rPr>
          <w:sz w:val="24"/>
          <w:szCs w:val="24"/>
        </w:rPr>
      </w:pPr>
      <w:r>
        <w:rPr>
          <w:sz w:val="24"/>
          <w:szCs w:val="24"/>
        </w:rPr>
        <w:t>[30]  张宗新，潘志坚，季雷.内幕信息操纵的股价冲击效应：理论与中国股市证据.金融研究，2005，4:144-154</w:t>
      </w:r>
    </w:p>
    <w:p>
      <w:pPr>
        <w:spacing w:line="360" w:lineRule="auto"/>
        <w:rPr>
          <w:sz w:val="24"/>
          <w:szCs w:val="24"/>
        </w:rPr>
      </w:pPr>
      <w:r>
        <w:rPr>
          <w:sz w:val="24"/>
          <w:szCs w:val="24"/>
        </w:rPr>
        <w:t>[31]  张宗新，王海亮.投资者情绪、主观信念调整与市场波动.金融研究，2013，4:142-155</w:t>
      </w:r>
    </w:p>
    <w:p>
      <w:pPr>
        <w:spacing w:line="360" w:lineRule="auto"/>
        <w:rPr>
          <w:sz w:val="24"/>
          <w:szCs w:val="24"/>
        </w:rPr>
      </w:pPr>
      <w:r>
        <w:rPr>
          <w:sz w:val="24"/>
          <w:szCs w:val="24"/>
        </w:rPr>
        <w:t>[32]  张谊浩，李元等.网络搜索能预测股票市场吗？金融研究，2014，2:193-206</w:t>
      </w:r>
    </w:p>
    <w:p>
      <w:pPr>
        <w:spacing w:line="360" w:lineRule="auto"/>
        <w:rPr>
          <w:sz w:val="24"/>
          <w:szCs w:val="24"/>
        </w:rPr>
      </w:pPr>
      <w:r>
        <w:rPr>
          <w:sz w:val="24"/>
          <w:szCs w:val="24"/>
        </w:rPr>
        <w:t>[33]  周开国，应千伟，钟畅.媒体监督能够起到外部治理的作用吗？——来自中国上市公司违规的证据.金融研究，2016，6:193-206</w:t>
      </w:r>
    </w:p>
    <w:p>
      <w:pPr>
        <w:spacing w:line="360" w:lineRule="auto"/>
        <w:rPr>
          <w:sz w:val="24"/>
          <w:szCs w:val="24"/>
        </w:rPr>
      </w:pPr>
      <w:r>
        <w:rPr>
          <w:sz w:val="24"/>
          <w:szCs w:val="24"/>
        </w:rPr>
        <w:t>[34]  朱春艳，伍利娜.上市公司违规问题的审计后果研究——基于证券部门处罚公告的分析.审计研究，2009</w:t>
      </w:r>
      <w:r>
        <w:rPr>
          <w:rFonts w:hint="eastAsia"/>
          <w:sz w:val="24"/>
          <w:szCs w:val="24"/>
          <w:lang w:eastAsia="zh-CN"/>
        </w:rPr>
        <w:t>，</w:t>
      </w:r>
      <w:r>
        <w:rPr>
          <w:sz w:val="24"/>
          <w:szCs w:val="24"/>
        </w:rPr>
        <w:t>4:42-51</w:t>
      </w:r>
    </w:p>
    <w:p>
      <w:pPr>
        <w:spacing w:line="360" w:lineRule="auto"/>
        <w:rPr>
          <w:sz w:val="24"/>
          <w:szCs w:val="24"/>
        </w:rPr>
      </w:pPr>
      <w:r>
        <w:rPr>
          <w:sz w:val="24"/>
          <w:szCs w:val="24"/>
        </w:rPr>
        <w:t>[35]  朱莉，刘向丽，杨晓光.投资者情绪影响股指期现货市场的价格动态关系吗？中国管理科学，2021</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[36]  Allen</w:t>
      </w:r>
      <w:r>
        <w:rPr>
          <w:rFonts w:hint="default" w:ascii="Times New Roman" w:hAnsi="Times New Roman" w:cs="Times New Roman"/>
          <w:sz w:val="24"/>
          <w:szCs w:val="24"/>
          <w:lang w:eastAsia="zh-CN"/>
        </w:rPr>
        <w:t>，</w:t>
      </w:r>
      <w:r>
        <w:rPr>
          <w:rFonts w:hint="default" w:ascii="Times New Roman" w:hAnsi="Times New Roman" w:cs="Times New Roman"/>
          <w:sz w:val="24"/>
          <w:szCs w:val="24"/>
        </w:rPr>
        <w:t>F.</w:t>
      </w:r>
      <w:r>
        <w:rPr>
          <w:rFonts w:hint="default" w:ascii="Times New Roman" w:hAnsi="Times New Roman" w:cs="Times New Roman"/>
          <w:sz w:val="24"/>
          <w:szCs w:val="24"/>
          <w:lang w:eastAsia="zh-CN"/>
        </w:rPr>
        <w:t>，</w:t>
      </w:r>
      <w:r>
        <w:rPr>
          <w:rFonts w:hint="default" w:ascii="Times New Roman" w:hAnsi="Times New Roman" w:cs="Times New Roman"/>
          <w:sz w:val="24"/>
          <w:szCs w:val="24"/>
        </w:rPr>
        <w:t>D.Gale. Investor Sentiment and the Cross-Section of Stock Returns. Journal of Finance，</w:t>
      </w:r>
      <w:r>
        <w:rPr>
          <w:rFonts w:hint="eastAsia" w:cs="Times New Roman"/>
          <w:sz w:val="24"/>
          <w:szCs w:val="24"/>
          <w:lang w:val="en-US" w:eastAsia="zh-CN"/>
        </w:rPr>
        <w:t>2006，</w:t>
      </w:r>
      <w:r>
        <w:rPr>
          <w:rFonts w:hint="default" w:ascii="Times New Roman" w:hAnsi="Times New Roman" w:cs="Times New Roman"/>
          <w:sz w:val="24"/>
          <w:szCs w:val="24"/>
        </w:rPr>
        <w:t>61:1645-1680</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[37]  Baker</w:t>
      </w:r>
      <w:r>
        <w:rPr>
          <w:rFonts w:hint="eastAsia" w:cs="Times New Roman"/>
          <w:sz w:val="24"/>
          <w:szCs w:val="24"/>
          <w:lang w:eastAsia="zh-CN"/>
        </w:rPr>
        <w:t>，</w:t>
      </w:r>
      <w:r>
        <w:rPr>
          <w:rFonts w:hint="default" w:ascii="Times New Roman" w:hAnsi="Times New Roman" w:cs="Times New Roman"/>
          <w:sz w:val="24"/>
          <w:szCs w:val="24"/>
        </w:rPr>
        <w:t>M</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eastAsia="zh-CN"/>
        </w:rPr>
        <w:t>，</w:t>
      </w:r>
      <w:r>
        <w:rPr>
          <w:rFonts w:hint="default" w:ascii="Times New Roman" w:hAnsi="Times New Roman" w:cs="Times New Roman"/>
          <w:sz w:val="24"/>
          <w:szCs w:val="24"/>
        </w:rPr>
        <w:t>J</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 xml:space="preserve"> Wurgler. Stock-Price Manipulation. The Review of Financial Studies，1992</w:t>
      </w:r>
      <w:r>
        <w:rPr>
          <w:rFonts w:hint="eastAsia" w:cs="Times New Roman"/>
          <w:sz w:val="24"/>
          <w:szCs w:val="24"/>
          <w:lang w:eastAsia="zh-CN"/>
        </w:rPr>
        <w:t>，</w:t>
      </w:r>
      <w:r>
        <w:rPr>
          <w:rFonts w:hint="default" w:ascii="Times New Roman" w:hAnsi="Times New Roman" w:cs="Times New Roman"/>
          <w:sz w:val="24"/>
          <w:szCs w:val="24"/>
        </w:rPr>
        <w:t>5(3):503-529</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[38]  Cheung</w:t>
      </w:r>
      <w:r>
        <w:rPr>
          <w:rFonts w:hint="eastAsia" w:cs="Times New Roman"/>
          <w:sz w:val="24"/>
          <w:szCs w:val="24"/>
          <w:lang w:eastAsia="zh-CN"/>
        </w:rPr>
        <w:t>，</w:t>
      </w:r>
      <w:r>
        <w:rPr>
          <w:rFonts w:hint="default" w:ascii="Times New Roman" w:hAnsi="Times New Roman" w:cs="Times New Roman"/>
          <w:sz w:val="24"/>
          <w:szCs w:val="24"/>
        </w:rPr>
        <w:t>Y.W.</w:t>
      </w:r>
      <w:r>
        <w:rPr>
          <w:rFonts w:hint="eastAsia" w:cs="Times New Roman"/>
          <w:sz w:val="24"/>
          <w:szCs w:val="24"/>
          <w:lang w:eastAsia="zh-CN"/>
        </w:rPr>
        <w:t>，</w:t>
      </w:r>
      <w:r>
        <w:rPr>
          <w:rFonts w:hint="default" w:ascii="Times New Roman" w:hAnsi="Times New Roman" w:cs="Times New Roman"/>
          <w:sz w:val="24"/>
          <w:szCs w:val="24"/>
        </w:rPr>
        <w:t>and L.K.Ng. Stock Price Dynamics and Firm Size: An Empirical Investigation. Journal of Finance，</w:t>
      </w:r>
      <w:r>
        <w:rPr>
          <w:rFonts w:hint="eastAsia" w:cs="Times New Roman"/>
          <w:sz w:val="24"/>
          <w:szCs w:val="24"/>
          <w:lang w:val="en-US" w:eastAsia="zh-CN"/>
        </w:rPr>
        <w:t>2</w:t>
      </w:r>
      <w:r>
        <w:rPr>
          <w:rFonts w:hint="default" w:ascii="Times New Roman" w:hAnsi="Times New Roman" w:cs="Times New Roman"/>
          <w:sz w:val="24"/>
          <w:szCs w:val="24"/>
          <w:lang w:val="en-US" w:eastAsia="zh-CN"/>
        </w:rPr>
        <w:t>006，47</w:t>
      </w:r>
      <w:r>
        <w:rPr>
          <w:rFonts w:hint="eastAsia" w:cs="Times New Roman"/>
          <w:sz w:val="24"/>
          <w:szCs w:val="24"/>
          <w:lang w:val="en-US" w:eastAsia="zh-CN"/>
        </w:rPr>
        <w:t>:</w:t>
      </w:r>
      <w:r>
        <w:rPr>
          <w:rFonts w:hint="default" w:ascii="Times New Roman" w:hAnsi="Times New Roman" w:cs="Times New Roman"/>
          <w:sz w:val="24"/>
          <w:szCs w:val="24"/>
        </w:rPr>
        <w:t>1985-1997</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[39]  Brown</w:t>
      </w:r>
      <w:r>
        <w:rPr>
          <w:rFonts w:hint="eastAsia" w:cs="Times New Roman"/>
          <w:sz w:val="24"/>
          <w:szCs w:val="24"/>
          <w:lang w:eastAsia="zh-CN"/>
        </w:rPr>
        <w:t>，</w:t>
      </w:r>
      <w:r>
        <w:rPr>
          <w:rFonts w:hint="default" w:ascii="Times New Roman" w:hAnsi="Times New Roman" w:cs="Times New Roman"/>
          <w:sz w:val="24"/>
          <w:szCs w:val="24"/>
        </w:rPr>
        <w:t>G</w:t>
      </w:r>
      <w:r>
        <w:rPr>
          <w:rFonts w:hint="eastAsia" w:cs="Times New Roman"/>
          <w:sz w:val="24"/>
          <w:szCs w:val="24"/>
          <w:lang w:val="en-US" w:eastAsia="zh-CN"/>
        </w:rPr>
        <w:t>.</w:t>
      </w:r>
      <w:r>
        <w:rPr>
          <w:rFonts w:hint="default" w:ascii="Times New Roman" w:hAnsi="Times New Roman" w:cs="Times New Roman"/>
          <w:sz w:val="24"/>
          <w:szCs w:val="24"/>
        </w:rPr>
        <w:t>W</w:t>
      </w:r>
      <w:r>
        <w:rPr>
          <w:rFonts w:hint="eastAsia" w:cs="Times New Roman"/>
          <w:sz w:val="24"/>
          <w:szCs w:val="24"/>
          <w:lang w:val="en-US" w:eastAsia="zh-CN"/>
        </w:rPr>
        <w:t>.</w:t>
      </w:r>
      <w:r>
        <w:rPr>
          <w:rFonts w:hint="eastAsia" w:cs="Times New Roman"/>
          <w:sz w:val="24"/>
          <w:szCs w:val="24"/>
          <w:lang w:eastAsia="zh-CN"/>
        </w:rPr>
        <w:t>，</w:t>
      </w:r>
      <w:r>
        <w:rPr>
          <w:rFonts w:hint="default" w:ascii="Times New Roman" w:hAnsi="Times New Roman" w:cs="Times New Roman"/>
          <w:sz w:val="24"/>
          <w:szCs w:val="24"/>
        </w:rPr>
        <w:t>M</w:t>
      </w:r>
      <w:r>
        <w:rPr>
          <w:rFonts w:hint="eastAsia" w:cs="Times New Roman"/>
          <w:sz w:val="24"/>
          <w:szCs w:val="24"/>
          <w:lang w:val="en-US" w:eastAsia="zh-CN"/>
        </w:rPr>
        <w:t>.</w:t>
      </w:r>
      <w:r>
        <w:rPr>
          <w:rFonts w:hint="default" w:ascii="Times New Roman" w:hAnsi="Times New Roman" w:cs="Times New Roman"/>
          <w:sz w:val="24"/>
          <w:szCs w:val="24"/>
        </w:rPr>
        <w:t>T</w:t>
      </w:r>
      <w:r>
        <w:rPr>
          <w:rFonts w:hint="eastAsia" w:cs="Times New Roman"/>
          <w:sz w:val="24"/>
          <w:szCs w:val="24"/>
          <w:lang w:val="en-US" w:eastAsia="zh-CN"/>
        </w:rPr>
        <w:t>.</w:t>
      </w:r>
      <w:r>
        <w:rPr>
          <w:rFonts w:hint="default" w:ascii="Times New Roman" w:hAnsi="Times New Roman" w:cs="Times New Roman"/>
          <w:sz w:val="24"/>
          <w:szCs w:val="24"/>
        </w:rPr>
        <w:t xml:space="preserve"> Cliff. Investor Sentiment and the </w:t>
      </w:r>
      <w:r>
        <w:rPr>
          <w:rFonts w:hint="eastAsia" w:cs="Times New Roman"/>
          <w:sz w:val="24"/>
          <w:szCs w:val="24"/>
          <w:lang w:val="en-US" w:eastAsia="zh-CN"/>
        </w:rPr>
        <w:t>N</w:t>
      </w:r>
      <w:r>
        <w:rPr>
          <w:rFonts w:hint="default" w:ascii="Times New Roman" w:hAnsi="Times New Roman" w:cs="Times New Roman"/>
          <w:sz w:val="24"/>
          <w:szCs w:val="24"/>
        </w:rPr>
        <w:t xml:space="preserve">ear-term Stock </w:t>
      </w:r>
      <w:r>
        <w:rPr>
          <w:rFonts w:hint="eastAsia" w:cs="Times New Roman"/>
          <w:sz w:val="24"/>
          <w:szCs w:val="24"/>
          <w:lang w:val="en-US" w:eastAsia="zh-CN"/>
        </w:rPr>
        <w:t>M</w:t>
      </w:r>
      <w:r>
        <w:rPr>
          <w:rFonts w:hint="default" w:ascii="Times New Roman" w:hAnsi="Times New Roman" w:cs="Times New Roman"/>
          <w:sz w:val="24"/>
          <w:szCs w:val="24"/>
        </w:rPr>
        <w:t>arket. Journal of Empirical Finance</w:t>
      </w:r>
      <w:r>
        <w:rPr>
          <w:rFonts w:hint="eastAsia" w:cs="Times New Roman"/>
          <w:sz w:val="24"/>
          <w:szCs w:val="24"/>
          <w:lang w:eastAsia="zh-CN"/>
        </w:rPr>
        <w:t>，</w:t>
      </w:r>
      <w:r>
        <w:rPr>
          <w:rFonts w:hint="default" w:ascii="Times New Roman" w:hAnsi="Times New Roman" w:cs="Times New Roman"/>
          <w:sz w:val="24"/>
          <w:szCs w:val="24"/>
        </w:rPr>
        <w:t>2004</w:t>
      </w:r>
      <w:r>
        <w:rPr>
          <w:rFonts w:hint="eastAsia" w:cs="Times New Roman"/>
          <w:sz w:val="24"/>
          <w:szCs w:val="24"/>
          <w:lang w:eastAsia="zh-CN"/>
        </w:rPr>
        <w:t>，</w:t>
      </w:r>
      <w:r>
        <w:rPr>
          <w:rFonts w:hint="default" w:ascii="Times New Roman" w:hAnsi="Times New Roman" w:cs="Times New Roman"/>
          <w:sz w:val="24"/>
          <w:szCs w:val="24"/>
        </w:rPr>
        <w:t>11:1-27</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[40]  Christoph M</w:t>
      </w:r>
      <w:r>
        <w:rPr>
          <w:rFonts w:hint="eastAsia" w:cs="Times New Roman"/>
          <w:sz w:val="24"/>
          <w:szCs w:val="24"/>
          <w:lang w:val="en-US" w:eastAsia="zh-CN"/>
        </w:rPr>
        <w:t>.</w:t>
      </w:r>
      <w:r>
        <w:rPr>
          <w:rFonts w:hint="eastAsia" w:cs="Times New Roman"/>
          <w:sz w:val="24"/>
          <w:szCs w:val="24"/>
          <w:lang w:eastAsia="zh-CN"/>
        </w:rPr>
        <w:t>，</w:t>
      </w:r>
      <w:r>
        <w:rPr>
          <w:rFonts w:hint="default" w:ascii="Times New Roman" w:hAnsi="Times New Roman" w:cs="Times New Roman"/>
          <w:sz w:val="24"/>
          <w:szCs w:val="24"/>
        </w:rPr>
        <w:t>D</w:t>
      </w:r>
      <w:r>
        <w:rPr>
          <w:rFonts w:hint="eastAsia" w:cs="Times New Roman"/>
          <w:sz w:val="24"/>
          <w:szCs w:val="24"/>
          <w:lang w:val="en-US" w:eastAsia="zh-CN"/>
        </w:rPr>
        <w:t>.</w:t>
      </w:r>
      <w:r>
        <w:rPr>
          <w:rFonts w:hint="default" w:ascii="Times New Roman" w:hAnsi="Times New Roman" w:cs="Times New Roman"/>
          <w:sz w:val="24"/>
          <w:szCs w:val="24"/>
        </w:rPr>
        <w:t xml:space="preserve"> M</w:t>
      </w:r>
      <w:r>
        <w:rPr>
          <w:rFonts w:hint="eastAsia" w:cs="Times New Roman"/>
          <w:sz w:val="24"/>
          <w:szCs w:val="24"/>
          <w:lang w:val="en-US" w:eastAsia="zh-CN"/>
        </w:rPr>
        <w:t>.</w:t>
      </w:r>
      <w:r>
        <w:rPr>
          <w:rFonts w:hint="default" w:ascii="Times New Roman" w:hAnsi="Times New Roman" w:cs="Times New Roman"/>
          <w:sz w:val="24"/>
          <w:szCs w:val="24"/>
        </w:rPr>
        <w:t>Lurion</w:t>
      </w:r>
      <w:r>
        <w:rPr>
          <w:rFonts w:hint="eastAsia" w:cs="Times New Roman"/>
          <w:sz w:val="24"/>
          <w:szCs w:val="24"/>
          <w:lang w:eastAsia="zh-CN"/>
        </w:rPr>
        <w:t>，</w:t>
      </w:r>
      <w:r>
        <w:rPr>
          <w:rFonts w:hint="default" w:ascii="Times New Roman" w:hAnsi="Times New Roman" w:cs="Times New Roman"/>
          <w:sz w:val="24"/>
          <w:szCs w:val="24"/>
        </w:rPr>
        <w:t>K</w:t>
      </w:r>
      <w:r>
        <w:rPr>
          <w:rFonts w:hint="eastAsia" w:cs="Times New Roman"/>
          <w:sz w:val="24"/>
          <w:szCs w:val="24"/>
          <w:lang w:val="en-US" w:eastAsia="zh-CN"/>
        </w:rPr>
        <w:t>.</w:t>
      </w:r>
      <w:r>
        <w:rPr>
          <w:rFonts w:hint="default" w:ascii="Times New Roman" w:hAnsi="Times New Roman" w:cs="Times New Roman"/>
          <w:sz w:val="24"/>
          <w:szCs w:val="24"/>
        </w:rPr>
        <w:t xml:space="preserve">Fabian . Aggregate </w:t>
      </w:r>
      <w:r>
        <w:rPr>
          <w:rFonts w:hint="eastAsia" w:cs="Times New Roman"/>
          <w:sz w:val="24"/>
          <w:szCs w:val="24"/>
          <w:lang w:val="en-US" w:eastAsia="zh-CN"/>
        </w:rPr>
        <w:t>I</w:t>
      </w:r>
      <w:r>
        <w:rPr>
          <w:rFonts w:hint="default" w:ascii="Times New Roman" w:hAnsi="Times New Roman" w:cs="Times New Roman"/>
          <w:sz w:val="24"/>
          <w:szCs w:val="24"/>
        </w:rPr>
        <w:t xml:space="preserve">nvestor </w:t>
      </w:r>
      <w:r>
        <w:rPr>
          <w:rFonts w:hint="eastAsia" w:cs="Times New Roman"/>
          <w:sz w:val="24"/>
          <w:szCs w:val="24"/>
          <w:lang w:val="en-US" w:eastAsia="zh-CN"/>
        </w:rPr>
        <w:t>C</w:t>
      </w:r>
      <w:r>
        <w:rPr>
          <w:rFonts w:hint="default" w:ascii="Times New Roman" w:hAnsi="Times New Roman" w:cs="Times New Roman"/>
          <w:sz w:val="24"/>
          <w:szCs w:val="24"/>
        </w:rPr>
        <w:t>onfidence</w:t>
      </w:r>
      <w:r>
        <w:rPr>
          <w:rFonts w:hint="eastAsia" w:cs="Times New Roman"/>
          <w:sz w:val="24"/>
          <w:szCs w:val="24"/>
          <w:lang w:eastAsia="zh-CN"/>
        </w:rPr>
        <w:t>，</w:t>
      </w:r>
      <w:r>
        <w:rPr>
          <w:rFonts w:hint="eastAsia" w:cs="Times New Roman"/>
          <w:sz w:val="24"/>
          <w:szCs w:val="24"/>
          <w:lang w:val="en-US" w:eastAsia="zh-CN"/>
        </w:rPr>
        <w:t>P</w:t>
      </w:r>
      <w:r>
        <w:rPr>
          <w:rFonts w:hint="default" w:ascii="Times New Roman" w:hAnsi="Times New Roman" w:cs="Times New Roman"/>
          <w:sz w:val="24"/>
          <w:szCs w:val="24"/>
        </w:rPr>
        <w:t xml:space="preserve">rice </w:t>
      </w:r>
      <w:r>
        <w:rPr>
          <w:rFonts w:hint="eastAsia" w:cs="Times New Roman"/>
          <w:sz w:val="24"/>
          <w:szCs w:val="24"/>
          <w:lang w:val="en-US" w:eastAsia="zh-CN"/>
        </w:rPr>
        <w:t>M</w:t>
      </w:r>
      <w:r>
        <w:rPr>
          <w:rFonts w:hint="default" w:ascii="Times New Roman" w:hAnsi="Times New Roman" w:cs="Times New Roman"/>
          <w:sz w:val="24"/>
          <w:szCs w:val="24"/>
        </w:rPr>
        <w:t xml:space="preserve">omentum and </w:t>
      </w:r>
      <w:r>
        <w:rPr>
          <w:rFonts w:hint="eastAsia" w:cs="Times New Roman"/>
          <w:sz w:val="24"/>
          <w:szCs w:val="24"/>
          <w:lang w:val="en-US" w:eastAsia="zh-CN"/>
        </w:rPr>
        <w:t>A</w:t>
      </w:r>
      <w:r>
        <w:rPr>
          <w:rFonts w:hint="default" w:ascii="Times New Roman" w:hAnsi="Times New Roman" w:cs="Times New Roman"/>
          <w:sz w:val="24"/>
          <w:szCs w:val="24"/>
        </w:rPr>
        <w:t xml:space="preserve">sset </w:t>
      </w:r>
      <w:r>
        <w:rPr>
          <w:rFonts w:hint="eastAsia" w:cs="Times New Roman"/>
          <w:sz w:val="24"/>
          <w:szCs w:val="24"/>
          <w:lang w:val="en-US" w:eastAsia="zh-CN"/>
        </w:rPr>
        <w:t>P</w:t>
      </w:r>
      <w:r>
        <w:rPr>
          <w:rFonts w:hint="default" w:ascii="Times New Roman" w:hAnsi="Times New Roman" w:cs="Times New Roman"/>
          <w:sz w:val="24"/>
          <w:szCs w:val="24"/>
        </w:rPr>
        <w:t>ricing. Applied Econimics</w:t>
      </w:r>
      <w:r>
        <w:rPr>
          <w:rFonts w:hint="eastAsia" w:cs="Times New Roman"/>
          <w:sz w:val="24"/>
          <w:szCs w:val="24"/>
          <w:lang w:eastAsia="zh-CN"/>
        </w:rPr>
        <w:t>，</w:t>
      </w:r>
      <w:r>
        <w:rPr>
          <w:rFonts w:hint="default" w:ascii="Times New Roman" w:hAnsi="Times New Roman" w:cs="Times New Roman"/>
          <w:sz w:val="24"/>
          <w:szCs w:val="24"/>
        </w:rPr>
        <w:t>2021</w:t>
      </w:r>
      <w:r>
        <w:rPr>
          <w:rFonts w:hint="eastAsia" w:cs="Times New Roman"/>
          <w:sz w:val="24"/>
          <w:szCs w:val="24"/>
          <w:lang w:eastAsia="zh-CN"/>
        </w:rPr>
        <w:t>，</w:t>
      </w:r>
      <w:r>
        <w:rPr>
          <w:rFonts w:hint="default" w:ascii="Times New Roman" w:hAnsi="Times New Roman" w:cs="Times New Roman"/>
          <w:sz w:val="24"/>
          <w:szCs w:val="24"/>
        </w:rPr>
        <w:t>53(25) :2848-2864</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[41]  Engelherg J</w:t>
      </w:r>
      <w:r>
        <w:rPr>
          <w:rFonts w:hint="eastAsia" w:cs="Times New Roman"/>
          <w:sz w:val="24"/>
          <w:szCs w:val="24"/>
          <w:lang w:val="en-US" w:eastAsia="zh-CN"/>
        </w:rPr>
        <w:t>.</w:t>
      </w:r>
      <w:r>
        <w:rPr>
          <w:rFonts w:hint="eastAsia" w:cs="Times New Roman"/>
          <w:sz w:val="24"/>
          <w:szCs w:val="24"/>
          <w:lang w:eastAsia="zh-CN"/>
        </w:rPr>
        <w:t>，</w:t>
      </w:r>
      <w:r>
        <w:rPr>
          <w:rFonts w:hint="default" w:ascii="Times New Roman" w:hAnsi="Times New Roman" w:cs="Times New Roman"/>
          <w:sz w:val="24"/>
          <w:szCs w:val="24"/>
        </w:rPr>
        <w:t>Sasseville C</w:t>
      </w:r>
      <w:r>
        <w:rPr>
          <w:rFonts w:hint="eastAsia" w:cs="Times New Roman"/>
          <w:sz w:val="24"/>
          <w:szCs w:val="24"/>
          <w:lang w:val="en-US" w:eastAsia="zh-CN"/>
        </w:rPr>
        <w:t>.</w:t>
      </w:r>
      <w:r>
        <w:rPr>
          <w:rFonts w:hint="eastAsia" w:cs="Times New Roman"/>
          <w:sz w:val="24"/>
          <w:szCs w:val="24"/>
          <w:lang w:eastAsia="zh-CN"/>
        </w:rPr>
        <w:t>，</w:t>
      </w:r>
      <w:r>
        <w:rPr>
          <w:rFonts w:hint="default" w:ascii="Times New Roman" w:hAnsi="Times New Roman" w:cs="Times New Roman"/>
          <w:sz w:val="24"/>
          <w:szCs w:val="24"/>
        </w:rPr>
        <w:t xml:space="preserve">Williams J. Market madness? The </w:t>
      </w:r>
      <w:r>
        <w:rPr>
          <w:rFonts w:hint="eastAsia" w:cs="Times New Roman"/>
          <w:sz w:val="24"/>
          <w:szCs w:val="24"/>
          <w:lang w:val="en-US" w:eastAsia="zh-CN"/>
        </w:rPr>
        <w:t>C</w:t>
      </w:r>
      <w:r>
        <w:rPr>
          <w:rFonts w:hint="default" w:ascii="Times New Roman" w:hAnsi="Times New Roman" w:cs="Times New Roman"/>
          <w:sz w:val="24"/>
          <w:szCs w:val="24"/>
        </w:rPr>
        <w:t xml:space="preserve">ase of </w:t>
      </w:r>
      <w:r>
        <w:rPr>
          <w:rFonts w:hint="eastAsia" w:cs="Times New Roman"/>
          <w:sz w:val="24"/>
          <w:szCs w:val="24"/>
          <w:lang w:val="en-US" w:eastAsia="zh-CN"/>
        </w:rPr>
        <w:t>M</w:t>
      </w:r>
      <w:r>
        <w:rPr>
          <w:rFonts w:hint="default" w:ascii="Times New Roman" w:hAnsi="Times New Roman" w:cs="Times New Roman"/>
          <w:sz w:val="24"/>
          <w:szCs w:val="24"/>
        </w:rPr>
        <w:t xml:space="preserve">ad </w:t>
      </w:r>
      <w:r>
        <w:rPr>
          <w:rFonts w:hint="eastAsia" w:cs="Times New Roman"/>
          <w:sz w:val="24"/>
          <w:szCs w:val="24"/>
          <w:lang w:val="en-US" w:eastAsia="zh-CN"/>
        </w:rPr>
        <w:t>M</w:t>
      </w:r>
      <w:r>
        <w:rPr>
          <w:rFonts w:hint="default" w:ascii="Times New Roman" w:hAnsi="Times New Roman" w:cs="Times New Roman"/>
          <w:sz w:val="24"/>
          <w:szCs w:val="24"/>
        </w:rPr>
        <w:t>oney. Management Science</w:t>
      </w:r>
      <w:r>
        <w:rPr>
          <w:rFonts w:hint="eastAsia" w:cs="Times New Roman"/>
          <w:sz w:val="24"/>
          <w:szCs w:val="24"/>
          <w:lang w:eastAsia="zh-CN"/>
        </w:rPr>
        <w:t>，</w:t>
      </w:r>
      <w:r>
        <w:rPr>
          <w:rFonts w:hint="eastAsia" w:cs="Times New Roman"/>
          <w:sz w:val="24"/>
          <w:szCs w:val="24"/>
          <w:lang w:val="en-US" w:eastAsia="zh-CN"/>
        </w:rPr>
        <w:t>2010，</w:t>
      </w:r>
      <w:r>
        <w:rPr>
          <w:rFonts w:hint="default" w:ascii="Times New Roman" w:hAnsi="Times New Roman" w:cs="Times New Roman"/>
          <w:sz w:val="24"/>
          <w:szCs w:val="24"/>
        </w:rPr>
        <w:t>58(2):351-364</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[42]  Matthew Muntifering</w:t>
      </w:r>
      <w:r>
        <w:rPr>
          <w:rFonts w:hint="eastAsia" w:cs="Times New Roman"/>
          <w:sz w:val="24"/>
          <w:szCs w:val="24"/>
          <w:lang w:val="en-US" w:eastAsia="zh-CN"/>
        </w:rPr>
        <w:t xml:space="preserve">. </w:t>
      </w:r>
      <w:r>
        <w:rPr>
          <w:rFonts w:hint="default" w:ascii="Times New Roman" w:hAnsi="Times New Roman" w:cs="Times New Roman"/>
          <w:sz w:val="24"/>
          <w:szCs w:val="24"/>
        </w:rPr>
        <w:t xml:space="preserve">Air </w:t>
      </w:r>
      <w:r>
        <w:rPr>
          <w:rFonts w:hint="eastAsia" w:cs="Times New Roman"/>
          <w:sz w:val="24"/>
          <w:szCs w:val="24"/>
          <w:lang w:val="en-US" w:eastAsia="zh-CN"/>
        </w:rPr>
        <w:t>P</w:t>
      </w:r>
      <w:r>
        <w:rPr>
          <w:rFonts w:hint="default" w:ascii="Times New Roman" w:hAnsi="Times New Roman" w:cs="Times New Roman"/>
          <w:sz w:val="24"/>
          <w:szCs w:val="24"/>
        </w:rPr>
        <w:t>ollution</w:t>
      </w:r>
      <w:r>
        <w:rPr>
          <w:rFonts w:hint="eastAsia" w:cs="Times New Roman"/>
          <w:sz w:val="24"/>
          <w:szCs w:val="24"/>
          <w:lang w:eastAsia="zh-CN"/>
        </w:rPr>
        <w:t>，</w:t>
      </w:r>
      <w:r>
        <w:rPr>
          <w:rFonts w:hint="eastAsia" w:cs="Times New Roman"/>
          <w:sz w:val="24"/>
          <w:szCs w:val="24"/>
          <w:lang w:val="en-US" w:eastAsia="zh-CN"/>
        </w:rPr>
        <w:t>I</w:t>
      </w:r>
      <w:r>
        <w:rPr>
          <w:rFonts w:hint="default" w:ascii="Times New Roman" w:hAnsi="Times New Roman" w:cs="Times New Roman"/>
          <w:sz w:val="24"/>
          <w:szCs w:val="24"/>
        </w:rPr>
        <w:t xml:space="preserve">nvestor </w:t>
      </w:r>
      <w:r>
        <w:rPr>
          <w:rFonts w:hint="eastAsia" w:cs="Times New Roman"/>
          <w:sz w:val="24"/>
          <w:szCs w:val="24"/>
          <w:lang w:val="en-US" w:eastAsia="zh-CN"/>
        </w:rPr>
        <w:t>S</w:t>
      </w:r>
      <w:r>
        <w:rPr>
          <w:rFonts w:hint="default" w:ascii="Times New Roman" w:hAnsi="Times New Roman" w:cs="Times New Roman"/>
          <w:sz w:val="24"/>
          <w:szCs w:val="24"/>
        </w:rPr>
        <w:t xml:space="preserve">entiment and </w:t>
      </w:r>
      <w:r>
        <w:rPr>
          <w:rFonts w:hint="eastAsia" w:cs="Times New Roman"/>
          <w:sz w:val="24"/>
          <w:szCs w:val="24"/>
          <w:lang w:val="en-US" w:eastAsia="zh-CN"/>
        </w:rPr>
        <w:t>E</w:t>
      </w:r>
      <w:r>
        <w:rPr>
          <w:rFonts w:hint="default" w:ascii="Times New Roman" w:hAnsi="Times New Roman" w:cs="Times New Roman"/>
          <w:sz w:val="24"/>
          <w:szCs w:val="24"/>
        </w:rPr>
        <w:t xml:space="preserve">xcessive </w:t>
      </w:r>
      <w:r>
        <w:rPr>
          <w:rFonts w:hint="eastAsia" w:cs="Times New Roman"/>
          <w:sz w:val="24"/>
          <w:szCs w:val="24"/>
          <w:lang w:val="en-US" w:eastAsia="zh-CN"/>
        </w:rPr>
        <w:t>R</w:t>
      </w:r>
      <w:r>
        <w:rPr>
          <w:rFonts w:hint="default" w:ascii="Times New Roman" w:hAnsi="Times New Roman" w:cs="Times New Roman"/>
          <w:sz w:val="24"/>
          <w:szCs w:val="24"/>
        </w:rPr>
        <w:t>eturns. Journal of Asset Management</w:t>
      </w:r>
      <w:r>
        <w:rPr>
          <w:rFonts w:hint="eastAsia" w:cs="Times New Roman"/>
          <w:sz w:val="24"/>
          <w:szCs w:val="24"/>
          <w:lang w:eastAsia="zh-CN"/>
        </w:rPr>
        <w:t>，</w:t>
      </w:r>
      <w:r>
        <w:rPr>
          <w:rFonts w:hint="default" w:ascii="Times New Roman" w:hAnsi="Times New Roman" w:cs="Times New Roman"/>
          <w:sz w:val="24"/>
          <w:szCs w:val="24"/>
        </w:rPr>
        <w:t>2021</w:t>
      </w:r>
      <w:r>
        <w:rPr>
          <w:rFonts w:hint="eastAsia" w:cs="Times New Roman"/>
          <w:sz w:val="24"/>
          <w:szCs w:val="24"/>
          <w:lang w:eastAsia="zh-CN"/>
        </w:rPr>
        <w:t>，</w:t>
      </w:r>
      <w:r>
        <w:rPr>
          <w:rFonts w:hint="eastAsia" w:cs="Times New Roman"/>
          <w:sz w:val="24"/>
          <w:szCs w:val="24"/>
          <w:lang w:val="en-US" w:eastAsia="zh-CN"/>
        </w:rPr>
        <w:t>2</w:t>
      </w:r>
      <w:r>
        <w:rPr>
          <w:rFonts w:hint="default" w:ascii="Times New Roman" w:hAnsi="Times New Roman" w:cs="Times New Roman"/>
          <w:sz w:val="24"/>
          <w:szCs w:val="24"/>
        </w:rPr>
        <w:t>:1-10</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[43]  Wenzhao Wang</w:t>
      </w:r>
      <w:r>
        <w:rPr>
          <w:rFonts w:hint="eastAsia" w:cs="Times New Roman"/>
          <w:sz w:val="24"/>
          <w:szCs w:val="24"/>
          <w:lang w:eastAsia="zh-CN"/>
        </w:rPr>
        <w:t>，</w:t>
      </w:r>
      <w:r>
        <w:rPr>
          <w:rFonts w:hint="default" w:ascii="Times New Roman" w:hAnsi="Times New Roman" w:cs="Times New Roman"/>
          <w:sz w:val="24"/>
          <w:szCs w:val="24"/>
        </w:rPr>
        <w:t>Chen Su</w:t>
      </w:r>
      <w:r>
        <w:rPr>
          <w:rFonts w:hint="eastAsia" w:cs="Times New Roman"/>
          <w:sz w:val="24"/>
          <w:szCs w:val="24"/>
          <w:lang w:eastAsia="zh-CN"/>
        </w:rPr>
        <w:t>，</w:t>
      </w:r>
      <w:r>
        <w:rPr>
          <w:rFonts w:hint="default" w:ascii="Times New Roman" w:hAnsi="Times New Roman" w:cs="Times New Roman"/>
          <w:sz w:val="24"/>
          <w:szCs w:val="24"/>
        </w:rPr>
        <w:t xml:space="preserve">Darren Duxbury. Investor </w:t>
      </w:r>
      <w:r>
        <w:rPr>
          <w:rFonts w:hint="eastAsia" w:cs="Times New Roman"/>
          <w:sz w:val="24"/>
          <w:szCs w:val="24"/>
          <w:lang w:val="en-US" w:eastAsia="zh-CN"/>
        </w:rPr>
        <w:t>S</w:t>
      </w:r>
      <w:r>
        <w:rPr>
          <w:rFonts w:hint="default" w:ascii="Times New Roman" w:hAnsi="Times New Roman" w:cs="Times New Roman"/>
          <w:sz w:val="24"/>
          <w:szCs w:val="24"/>
        </w:rPr>
        <w:t xml:space="preserve">entiment and </w:t>
      </w:r>
      <w:r>
        <w:rPr>
          <w:rFonts w:hint="eastAsia" w:cs="Times New Roman"/>
          <w:sz w:val="24"/>
          <w:szCs w:val="24"/>
          <w:lang w:val="en-US" w:eastAsia="zh-CN"/>
        </w:rPr>
        <w:t>S</w:t>
      </w:r>
      <w:r>
        <w:rPr>
          <w:rFonts w:hint="default" w:ascii="Times New Roman" w:hAnsi="Times New Roman" w:cs="Times New Roman"/>
          <w:sz w:val="24"/>
          <w:szCs w:val="24"/>
        </w:rPr>
        <w:t xml:space="preserve">tock </w:t>
      </w:r>
      <w:r>
        <w:rPr>
          <w:rFonts w:hint="eastAsia" w:cs="Times New Roman"/>
          <w:sz w:val="24"/>
          <w:szCs w:val="24"/>
          <w:lang w:val="en-US" w:eastAsia="zh-CN"/>
        </w:rPr>
        <w:t>R</w:t>
      </w:r>
      <w:r>
        <w:rPr>
          <w:rFonts w:hint="default" w:ascii="Times New Roman" w:hAnsi="Times New Roman" w:cs="Times New Roman"/>
          <w:sz w:val="24"/>
          <w:szCs w:val="24"/>
        </w:rPr>
        <w:t xml:space="preserve">eturns: Global </w:t>
      </w:r>
      <w:r>
        <w:rPr>
          <w:rFonts w:hint="eastAsia" w:cs="Times New Roman"/>
          <w:sz w:val="24"/>
          <w:szCs w:val="24"/>
          <w:lang w:val="en-US" w:eastAsia="zh-CN"/>
        </w:rPr>
        <w:t>E</w:t>
      </w:r>
      <w:r>
        <w:rPr>
          <w:rFonts w:hint="default" w:ascii="Times New Roman" w:hAnsi="Times New Roman" w:cs="Times New Roman"/>
          <w:sz w:val="24"/>
          <w:szCs w:val="24"/>
        </w:rPr>
        <w:t>vidence.</w:t>
      </w:r>
      <w:r>
        <w:rPr>
          <w:rFonts w:hint="eastAsia" w:cs="Times New Roman"/>
          <w:sz w:val="24"/>
          <w:szCs w:val="24"/>
          <w:lang w:val="en-US" w:eastAsia="zh-CN"/>
        </w:rPr>
        <w:t xml:space="preserve"> </w:t>
      </w:r>
      <w:r>
        <w:rPr>
          <w:rFonts w:hint="default" w:ascii="Times New Roman" w:hAnsi="Times New Roman" w:cs="Times New Roman"/>
          <w:sz w:val="24"/>
          <w:szCs w:val="24"/>
        </w:rPr>
        <w:t>Journal of Empirical Finance</w:t>
      </w:r>
      <w:r>
        <w:rPr>
          <w:rFonts w:hint="eastAsia" w:cs="Times New Roman"/>
          <w:sz w:val="24"/>
          <w:szCs w:val="24"/>
          <w:lang w:eastAsia="zh-CN"/>
        </w:rPr>
        <w:t>，</w:t>
      </w:r>
      <w:r>
        <w:rPr>
          <w:rFonts w:hint="default" w:ascii="Times New Roman" w:hAnsi="Times New Roman" w:cs="Times New Roman"/>
          <w:sz w:val="24"/>
          <w:szCs w:val="24"/>
        </w:rPr>
        <w:t>2021</w:t>
      </w:r>
      <w:r>
        <w:rPr>
          <w:rFonts w:hint="eastAsia" w:cs="Times New Roman"/>
          <w:sz w:val="24"/>
          <w:szCs w:val="24"/>
          <w:lang w:eastAsia="zh-CN"/>
        </w:rPr>
        <w:t>，</w:t>
      </w:r>
      <w:r>
        <w:rPr>
          <w:rFonts w:hint="default" w:ascii="Times New Roman" w:hAnsi="Times New Roman" w:cs="Times New Roman"/>
          <w:sz w:val="24"/>
          <w:szCs w:val="24"/>
        </w:rPr>
        <w:t>63(09): 365-391</w:t>
      </w:r>
    </w:p>
    <w:p>
      <w:pPr>
        <w:jc w:val="center"/>
      </w:pPr>
    </w:p>
    <w:p>
      <w:pPr>
        <w:spacing w:line="460" w:lineRule="exact"/>
        <w:ind w:firstLine="480" w:firstLineChars="200"/>
        <w:rPr>
          <w:sz w:val="24"/>
        </w:rPr>
      </w:pPr>
    </w:p>
    <w:p>
      <w:pPr>
        <w:spacing w:line="360" w:lineRule="auto"/>
        <w:jc w:val="center"/>
        <w:rPr>
          <w:sz w:val="24"/>
        </w:rPr>
      </w:pPr>
    </w:p>
    <w:p>
      <w:pPr>
        <w:spacing w:before="156" w:beforeLines="50" w:after="156" w:afterLines="50"/>
        <w:rPr>
          <w:rFonts w:eastAsia="黑体"/>
          <w:b/>
          <w:sz w:val="36"/>
          <w:szCs w:val="36"/>
        </w:rPr>
      </w:pPr>
    </w:p>
    <w:p>
      <w:pPr>
        <w:spacing w:before="156" w:beforeLines="50" w:after="156" w:afterLines="50"/>
        <w:rPr>
          <w:rFonts w:eastAsia="黑体"/>
          <w:b/>
          <w:sz w:val="36"/>
          <w:szCs w:val="36"/>
        </w:rPr>
      </w:pPr>
    </w:p>
    <w:p>
      <w:pPr>
        <w:spacing w:before="156" w:beforeLines="50" w:after="156" w:afterLines="50"/>
        <w:jc w:val="center"/>
        <w:rPr>
          <w:rFonts w:eastAsia="黑体"/>
          <w:szCs w:val="21"/>
        </w:rPr>
      </w:pPr>
      <w:r>
        <w:rPr>
          <w:rFonts w:eastAsia="黑体"/>
          <w:b/>
          <w:sz w:val="36"/>
          <w:szCs w:val="36"/>
        </w:rPr>
        <w:t>附录  stata输出结果</w:t>
      </w:r>
    </w:p>
    <w:p>
      <w:pPr>
        <w:spacing w:line="360" w:lineRule="auto"/>
        <w:jc w:val="left"/>
        <w:rPr>
          <w:b/>
          <w:bCs/>
          <w:sz w:val="24"/>
        </w:rPr>
      </w:pPr>
      <w:r>
        <w:rPr>
          <w:b/>
          <w:bCs/>
          <w:sz w:val="24"/>
        </w:rPr>
        <w:t>1.分板块输出结果（对应正文4.2.1节）</w:t>
      </w:r>
    </w:p>
    <w:p>
      <w:pPr>
        <w:spacing w:line="360" w:lineRule="auto"/>
        <w:jc w:val="left"/>
        <w:rPr>
          <w:sz w:val="24"/>
          <w:szCs w:val="24"/>
        </w:rPr>
      </w:pPr>
      <w:r>
        <w:rPr>
          <w:b/>
          <w:bCs/>
          <w:sz w:val="24"/>
        </w:rPr>
        <w:t xml:space="preserve">      </w:t>
      </w:r>
      <w:r>
        <w:rPr>
          <w:sz w:val="24"/>
        </w:rPr>
        <w:t>正文4.2.1节中，分板块事件研究所得到的stata输出结果</w:t>
      </w:r>
      <w:r>
        <w:rPr>
          <w:sz w:val="24"/>
          <w:szCs w:val="24"/>
        </w:rPr>
        <w:t>如图1~图8所示，其中，*代表在10%水平上显著，**代表在5%水平上显著，***代表在1%水平上显著，后续结果皆采用此表达方式。</w:t>
      </w:r>
    </w:p>
    <w:p>
      <w:pPr>
        <w:spacing w:line="360" w:lineRule="auto"/>
        <w:jc w:val="left"/>
        <w:rPr>
          <w:sz w:val="24"/>
          <w:szCs w:val="24"/>
        </w:rPr>
      </w:pPr>
    </w:p>
    <w:p>
      <w:pPr>
        <w:spacing w:line="360" w:lineRule="auto"/>
        <w:jc w:val="left"/>
        <w:rPr>
          <w:sz w:val="24"/>
          <w:szCs w:val="24"/>
        </w:rPr>
      </w:pPr>
      <w:r>
        <w:rPr>
          <w:sz w:val="24"/>
          <w:szCs w:val="24"/>
        </w:rPr>
        <w:drawing>
          <wp:inline distT="0" distB="0" distL="114300" distR="114300">
            <wp:extent cx="5394960" cy="2771140"/>
            <wp:effectExtent l="0" t="0" r="2540" b="10160"/>
            <wp:docPr id="9" name="图片 9" descr="_W[3@B@GQ7(9[ZS}]P8@38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_W[3@B@GQ7(9[ZS}]P8@38R"/>
                    <pic:cNvPicPr>
                      <a:picLocks noChangeAspect="1"/>
                    </pic:cNvPicPr>
                  </pic:nvPicPr>
                  <pic:blipFill>
                    <a:blip r:embed="rId36"/>
                    <a:stretch>
                      <a:fillRect/>
                    </a:stretch>
                  </pic:blipFill>
                  <pic:spPr>
                    <a:xfrm>
                      <a:off x="0" y="0"/>
                      <a:ext cx="5394960" cy="2771140"/>
                    </a:xfrm>
                    <a:prstGeom prst="rect">
                      <a:avLst/>
                    </a:prstGeom>
                  </pic:spPr>
                </pic:pic>
              </a:graphicData>
            </a:graphic>
          </wp:inline>
        </w:drawing>
      </w:r>
    </w:p>
    <w:p>
      <w:pPr>
        <w:spacing w:line="360" w:lineRule="auto"/>
        <w:ind w:left="120" w:hanging="120" w:hangingChars="50"/>
        <w:jc w:val="center"/>
        <w:rPr>
          <w:rFonts w:eastAsia="黑体"/>
          <w:sz w:val="24"/>
        </w:rPr>
      </w:pPr>
      <w:r>
        <w:rPr>
          <w:rFonts w:eastAsia="黑体"/>
          <w:sz w:val="24"/>
        </w:rPr>
        <w:t>图1</w:t>
      </w:r>
      <w:r>
        <w:rPr>
          <w:kern w:val="0"/>
          <w:sz w:val="24"/>
        </w:rPr>
        <w:t xml:space="preserve">  </w:t>
      </w:r>
      <w:r>
        <w:rPr>
          <w:rFonts w:eastAsia="黑体"/>
          <w:sz w:val="24"/>
        </w:rPr>
        <w:t>深证主板A股的AAR输出结果</w:t>
      </w:r>
    </w:p>
    <w:p>
      <w:pPr>
        <w:spacing w:line="360" w:lineRule="auto"/>
        <w:ind w:left="120" w:hanging="120" w:hangingChars="50"/>
        <w:jc w:val="center"/>
        <w:rPr>
          <w:rFonts w:eastAsia="黑体"/>
          <w:sz w:val="24"/>
        </w:rPr>
      </w:pPr>
    </w:p>
    <w:p>
      <w:pPr>
        <w:spacing w:line="360" w:lineRule="auto"/>
        <w:jc w:val="left"/>
        <w:rPr>
          <w:sz w:val="24"/>
          <w:szCs w:val="24"/>
        </w:rPr>
      </w:pPr>
      <w:r>
        <w:rPr>
          <w:sz w:val="24"/>
          <w:szCs w:val="24"/>
        </w:rPr>
        <w:drawing>
          <wp:inline distT="0" distB="0" distL="114300" distR="114300">
            <wp:extent cx="5392420" cy="1209675"/>
            <wp:effectExtent l="0" t="0" r="5080" b="9525"/>
            <wp:docPr id="10" name="图片 10" descr="CGLSU81499%0SW[CQB)O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GLSU81499%0SW[CQB)O263"/>
                    <pic:cNvPicPr>
                      <a:picLocks noChangeAspect="1"/>
                    </pic:cNvPicPr>
                  </pic:nvPicPr>
                  <pic:blipFill>
                    <a:blip r:embed="rId37"/>
                    <a:stretch>
                      <a:fillRect/>
                    </a:stretch>
                  </pic:blipFill>
                  <pic:spPr>
                    <a:xfrm>
                      <a:off x="0" y="0"/>
                      <a:ext cx="5392420" cy="1209675"/>
                    </a:xfrm>
                    <a:prstGeom prst="rect">
                      <a:avLst/>
                    </a:prstGeom>
                  </pic:spPr>
                </pic:pic>
              </a:graphicData>
            </a:graphic>
          </wp:inline>
        </w:drawing>
      </w:r>
    </w:p>
    <w:p>
      <w:pPr>
        <w:spacing w:line="360" w:lineRule="auto"/>
        <w:ind w:left="120" w:hanging="120" w:hangingChars="50"/>
        <w:jc w:val="center"/>
        <w:rPr>
          <w:rFonts w:eastAsia="黑体"/>
          <w:sz w:val="24"/>
        </w:rPr>
      </w:pPr>
      <w:r>
        <w:rPr>
          <w:rFonts w:eastAsia="黑体"/>
          <w:sz w:val="24"/>
        </w:rPr>
        <w:t>图2</w:t>
      </w:r>
      <w:r>
        <w:rPr>
          <w:kern w:val="0"/>
          <w:sz w:val="24"/>
        </w:rPr>
        <w:t xml:space="preserve">  </w:t>
      </w:r>
      <w:r>
        <w:rPr>
          <w:rFonts w:eastAsia="黑体"/>
          <w:sz w:val="24"/>
        </w:rPr>
        <w:t>深证主板A股的CAAR输出结果</w:t>
      </w:r>
    </w:p>
    <w:p>
      <w:pPr>
        <w:spacing w:line="360" w:lineRule="auto"/>
        <w:ind w:left="120" w:hanging="120" w:hangingChars="50"/>
        <w:jc w:val="center"/>
        <w:rPr>
          <w:rFonts w:eastAsia="黑体"/>
          <w:sz w:val="24"/>
        </w:rPr>
      </w:pPr>
    </w:p>
    <w:p>
      <w:pPr>
        <w:spacing w:line="360" w:lineRule="auto"/>
        <w:ind w:left="120" w:hanging="120" w:hangingChars="50"/>
        <w:jc w:val="center"/>
        <w:rPr>
          <w:rFonts w:eastAsia="黑体"/>
          <w:sz w:val="24"/>
        </w:rPr>
      </w:pPr>
      <w:r>
        <w:rPr>
          <w:rFonts w:eastAsia="黑体"/>
          <w:sz w:val="24"/>
        </w:rPr>
        <w:drawing>
          <wp:inline distT="0" distB="0" distL="114300" distR="114300">
            <wp:extent cx="5389880" cy="2687320"/>
            <wp:effectExtent l="0" t="0" r="7620" b="5080"/>
            <wp:docPr id="11" name="图片 11" descr="UGWU[XM}39_25URME_E_D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UGWU[XM}39_25URME_E_DDD"/>
                    <pic:cNvPicPr>
                      <a:picLocks noChangeAspect="1"/>
                    </pic:cNvPicPr>
                  </pic:nvPicPr>
                  <pic:blipFill>
                    <a:blip r:embed="rId38"/>
                    <a:stretch>
                      <a:fillRect/>
                    </a:stretch>
                  </pic:blipFill>
                  <pic:spPr>
                    <a:xfrm>
                      <a:off x="0" y="0"/>
                      <a:ext cx="5389880" cy="2687320"/>
                    </a:xfrm>
                    <a:prstGeom prst="rect">
                      <a:avLst/>
                    </a:prstGeom>
                  </pic:spPr>
                </pic:pic>
              </a:graphicData>
            </a:graphic>
          </wp:inline>
        </w:drawing>
      </w:r>
    </w:p>
    <w:p>
      <w:pPr>
        <w:spacing w:line="360" w:lineRule="auto"/>
        <w:ind w:left="120" w:hanging="120" w:hangingChars="50"/>
        <w:jc w:val="center"/>
        <w:rPr>
          <w:rFonts w:eastAsia="黑体"/>
          <w:sz w:val="24"/>
        </w:rPr>
      </w:pPr>
      <w:r>
        <w:rPr>
          <w:rFonts w:eastAsia="黑体"/>
          <w:sz w:val="24"/>
        </w:rPr>
        <w:t>图3</w:t>
      </w:r>
      <w:r>
        <w:rPr>
          <w:kern w:val="0"/>
          <w:sz w:val="24"/>
        </w:rPr>
        <w:t xml:space="preserve">  </w:t>
      </w:r>
      <w:r>
        <w:rPr>
          <w:rFonts w:eastAsia="黑体"/>
          <w:sz w:val="24"/>
        </w:rPr>
        <w:t>中小板的AAR输出结果</w:t>
      </w:r>
    </w:p>
    <w:p>
      <w:pPr>
        <w:spacing w:line="360" w:lineRule="auto"/>
        <w:ind w:left="120" w:hanging="120" w:hangingChars="50"/>
        <w:jc w:val="center"/>
        <w:rPr>
          <w:rFonts w:eastAsia="黑体"/>
          <w:sz w:val="24"/>
        </w:rPr>
      </w:pPr>
    </w:p>
    <w:p>
      <w:pPr>
        <w:spacing w:line="360" w:lineRule="auto"/>
        <w:jc w:val="left"/>
        <w:rPr>
          <w:sz w:val="24"/>
          <w:szCs w:val="24"/>
        </w:rPr>
      </w:pPr>
      <w:r>
        <w:rPr>
          <w:sz w:val="24"/>
          <w:szCs w:val="24"/>
        </w:rPr>
        <w:drawing>
          <wp:inline distT="0" distB="0" distL="114300" distR="114300">
            <wp:extent cx="5394960" cy="1202055"/>
            <wp:effectExtent l="0" t="0" r="2540" b="4445"/>
            <wp:docPr id="12" name="图片 12" descr="CA3U49CRR_QF[0%NJ$_X0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A3U49CRR_QF[0%NJ$_X0C1"/>
                    <pic:cNvPicPr>
                      <a:picLocks noChangeAspect="1"/>
                    </pic:cNvPicPr>
                  </pic:nvPicPr>
                  <pic:blipFill>
                    <a:blip r:embed="rId39"/>
                    <a:stretch>
                      <a:fillRect/>
                    </a:stretch>
                  </pic:blipFill>
                  <pic:spPr>
                    <a:xfrm>
                      <a:off x="0" y="0"/>
                      <a:ext cx="5394960" cy="1202055"/>
                    </a:xfrm>
                    <a:prstGeom prst="rect">
                      <a:avLst/>
                    </a:prstGeom>
                  </pic:spPr>
                </pic:pic>
              </a:graphicData>
            </a:graphic>
          </wp:inline>
        </w:drawing>
      </w:r>
    </w:p>
    <w:p>
      <w:pPr>
        <w:spacing w:line="360" w:lineRule="auto"/>
        <w:ind w:left="120" w:hanging="120" w:hangingChars="50"/>
        <w:jc w:val="center"/>
        <w:rPr>
          <w:rFonts w:eastAsia="黑体"/>
          <w:sz w:val="24"/>
        </w:rPr>
      </w:pPr>
      <w:r>
        <w:rPr>
          <w:rFonts w:eastAsia="黑体"/>
          <w:sz w:val="24"/>
        </w:rPr>
        <w:t>图4</w:t>
      </w:r>
      <w:r>
        <w:rPr>
          <w:kern w:val="0"/>
          <w:sz w:val="24"/>
        </w:rPr>
        <w:t xml:space="preserve">  </w:t>
      </w:r>
      <w:r>
        <w:rPr>
          <w:rFonts w:eastAsia="黑体"/>
          <w:sz w:val="24"/>
        </w:rPr>
        <w:t>中小板的CAAR输出结果</w:t>
      </w:r>
    </w:p>
    <w:p>
      <w:pPr>
        <w:spacing w:line="360" w:lineRule="auto"/>
        <w:ind w:left="120" w:hanging="120" w:hangingChars="50"/>
        <w:jc w:val="center"/>
        <w:rPr>
          <w:rFonts w:eastAsia="黑体"/>
          <w:sz w:val="24"/>
        </w:rPr>
      </w:pPr>
    </w:p>
    <w:p>
      <w:pPr>
        <w:spacing w:line="360" w:lineRule="auto"/>
        <w:jc w:val="left"/>
        <w:rPr>
          <w:sz w:val="24"/>
          <w:szCs w:val="24"/>
        </w:rPr>
      </w:pPr>
      <w:r>
        <w:rPr>
          <w:sz w:val="24"/>
          <w:szCs w:val="24"/>
        </w:rPr>
        <w:drawing>
          <wp:inline distT="0" distB="0" distL="114300" distR="114300">
            <wp:extent cx="5398770" cy="2743835"/>
            <wp:effectExtent l="0" t="0" r="11430" b="12065"/>
            <wp:docPr id="13" name="图片 13" descr="1@RNQUDI`XXVV1K(OZWXL`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RNQUDI`XXVV1K(OZWXL`9"/>
                    <pic:cNvPicPr>
                      <a:picLocks noChangeAspect="1"/>
                    </pic:cNvPicPr>
                  </pic:nvPicPr>
                  <pic:blipFill>
                    <a:blip r:embed="rId40"/>
                    <a:stretch>
                      <a:fillRect/>
                    </a:stretch>
                  </pic:blipFill>
                  <pic:spPr>
                    <a:xfrm>
                      <a:off x="0" y="0"/>
                      <a:ext cx="5398770" cy="2743835"/>
                    </a:xfrm>
                    <a:prstGeom prst="rect">
                      <a:avLst/>
                    </a:prstGeom>
                  </pic:spPr>
                </pic:pic>
              </a:graphicData>
            </a:graphic>
          </wp:inline>
        </w:drawing>
      </w:r>
    </w:p>
    <w:p>
      <w:pPr>
        <w:spacing w:line="360" w:lineRule="auto"/>
        <w:ind w:left="120" w:hanging="120" w:hangingChars="50"/>
        <w:jc w:val="center"/>
        <w:rPr>
          <w:rFonts w:eastAsia="黑体"/>
          <w:sz w:val="24"/>
        </w:rPr>
      </w:pPr>
      <w:r>
        <w:rPr>
          <w:rFonts w:eastAsia="黑体"/>
          <w:sz w:val="24"/>
        </w:rPr>
        <w:t>图5</w:t>
      </w:r>
      <w:r>
        <w:rPr>
          <w:kern w:val="0"/>
          <w:sz w:val="24"/>
        </w:rPr>
        <w:t xml:space="preserve">  </w:t>
      </w:r>
      <w:r>
        <w:rPr>
          <w:rFonts w:eastAsia="黑体"/>
          <w:sz w:val="24"/>
        </w:rPr>
        <w:t>创业板的AAR输出结果</w:t>
      </w:r>
    </w:p>
    <w:p>
      <w:pPr>
        <w:spacing w:line="360" w:lineRule="auto"/>
        <w:ind w:left="120" w:hanging="120" w:hangingChars="50"/>
        <w:jc w:val="center"/>
        <w:rPr>
          <w:rFonts w:eastAsia="黑体"/>
          <w:sz w:val="24"/>
        </w:rPr>
      </w:pPr>
    </w:p>
    <w:p>
      <w:pPr>
        <w:spacing w:line="360" w:lineRule="auto"/>
        <w:ind w:left="120" w:hanging="120" w:hangingChars="50"/>
        <w:jc w:val="center"/>
        <w:rPr>
          <w:rFonts w:eastAsia="黑体"/>
          <w:sz w:val="24"/>
        </w:rPr>
      </w:pPr>
      <w:r>
        <w:rPr>
          <w:rFonts w:eastAsia="黑体"/>
          <w:sz w:val="24"/>
        </w:rPr>
        <w:drawing>
          <wp:inline distT="0" distB="0" distL="114300" distR="114300">
            <wp:extent cx="5390515" cy="1191895"/>
            <wp:effectExtent l="0" t="0" r="6985" b="1905"/>
            <wp:docPr id="14" name="图片 14" descr="81QSR{Q_$I4A4[LMFV`04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81QSR{Q_$I4A4[LMFV`04CD"/>
                    <pic:cNvPicPr>
                      <a:picLocks noChangeAspect="1"/>
                    </pic:cNvPicPr>
                  </pic:nvPicPr>
                  <pic:blipFill>
                    <a:blip r:embed="rId41"/>
                    <a:stretch>
                      <a:fillRect/>
                    </a:stretch>
                  </pic:blipFill>
                  <pic:spPr>
                    <a:xfrm>
                      <a:off x="0" y="0"/>
                      <a:ext cx="5390515" cy="1191895"/>
                    </a:xfrm>
                    <a:prstGeom prst="rect">
                      <a:avLst/>
                    </a:prstGeom>
                  </pic:spPr>
                </pic:pic>
              </a:graphicData>
            </a:graphic>
          </wp:inline>
        </w:drawing>
      </w:r>
    </w:p>
    <w:p>
      <w:pPr>
        <w:spacing w:line="360" w:lineRule="auto"/>
        <w:ind w:left="120" w:hanging="120" w:hangingChars="50"/>
        <w:jc w:val="center"/>
        <w:rPr>
          <w:rFonts w:eastAsia="黑体"/>
          <w:sz w:val="24"/>
        </w:rPr>
      </w:pPr>
      <w:r>
        <w:rPr>
          <w:rFonts w:eastAsia="黑体"/>
          <w:sz w:val="24"/>
        </w:rPr>
        <w:t>图6</w:t>
      </w:r>
      <w:r>
        <w:rPr>
          <w:kern w:val="0"/>
          <w:sz w:val="24"/>
        </w:rPr>
        <w:t xml:space="preserve">  </w:t>
      </w:r>
      <w:r>
        <w:rPr>
          <w:rFonts w:eastAsia="黑体"/>
          <w:sz w:val="24"/>
        </w:rPr>
        <w:t>创业板的CAAR输出结果</w:t>
      </w:r>
    </w:p>
    <w:p>
      <w:pPr>
        <w:spacing w:line="360" w:lineRule="auto"/>
        <w:jc w:val="left"/>
        <w:rPr>
          <w:sz w:val="24"/>
          <w:szCs w:val="24"/>
        </w:rPr>
      </w:pPr>
    </w:p>
    <w:p>
      <w:pPr>
        <w:spacing w:line="360" w:lineRule="auto"/>
        <w:jc w:val="left"/>
        <w:rPr>
          <w:sz w:val="24"/>
          <w:szCs w:val="24"/>
        </w:rPr>
      </w:pPr>
      <w:r>
        <w:rPr>
          <w:sz w:val="24"/>
          <w:szCs w:val="24"/>
        </w:rPr>
        <w:drawing>
          <wp:inline distT="0" distB="0" distL="114300" distR="114300">
            <wp:extent cx="5393055" cy="2793365"/>
            <wp:effectExtent l="0" t="0" r="4445" b="635"/>
            <wp:docPr id="7" name="图片 7" descr="7U1IWPCKVX2`B2ZLOOT2Y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U1IWPCKVX2`B2ZLOOT2YV4"/>
                    <pic:cNvPicPr>
                      <a:picLocks noChangeAspect="1"/>
                    </pic:cNvPicPr>
                  </pic:nvPicPr>
                  <pic:blipFill>
                    <a:blip r:embed="rId42"/>
                    <a:stretch>
                      <a:fillRect/>
                    </a:stretch>
                  </pic:blipFill>
                  <pic:spPr>
                    <a:xfrm>
                      <a:off x="0" y="0"/>
                      <a:ext cx="5393055" cy="2793365"/>
                    </a:xfrm>
                    <a:prstGeom prst="rect">
                      <a:avLst/>
                    </a:prstGeom>
                  </pic:spPr>
                </pic:pic>
              </a:graphicData>
            </a:graphic>
          </wp:inline>
        </w:drawing>
      </w:r>
    </w:p>
    <w:p>
      <w:pPr>
        <w:spacing w:line="360" w:lineRule="auto"/>
        <w:ind w:left="120" w:hanging="120" w:hangingChars="50"/>
        <w:jc w:val="center"/>
        <w:rPr>
          <w:rFonts w:eastAsia="黑体"/>
          <w:sz w:val="24"/>
        </w:rPr>
      </w:pPr>
      <w:r>
        <w:rPr>
          <w:rFonts w:eastAsia="黑体"/>
          <w:sz w:val="24"/>
        </w:rPr>
        <w:t>图7</w:t>
      </w:r>
      <w:r>
        <w:rPr>
          <w:kern w:val="0"/>
          <w:sz w:val="24"/>
        </w:rPr>
        <w:t xml:space="preserve">  </w:t>
      </w:r>
      <w:r>
        <w:rPr>
          <w:rFonts w:eastAsia="黑体"/>
          <w:sz w:val="24"/>
        </w:rPr>
        <w:t>上证A股的AAR输出结果</w:t>
      </w:r>
    </w:p>
    <w:p>
      <w:pPr>
        <w:spacing w:line="360" w:lineRule="auto"/>
        <w:ind w:left="120" w:hanging="120" w:hangingChars="50"/>
        <w:jc w:val="center"/>
        <w:rPr>
          <w:rFonts w:eastAsia="黑体"/>
          <w:sz w:val="24"/>
        </w:rPr>
      </w:pPr>
    </w:p>
    <w:p>
      <w:pPr>
        <w:spacing w:line="360" w:lineRule="auto"/>
        <w:ind w:left="120" w:hanging="120" w:hangingChars="50"/>
        <w:jc w:val="center"/>
        <w:rPr>
          <w:rFonts w:eastAsia="黑体"/>
          <w:sz w:val="24"/>
        </w:rPr>
      </w:pPr>
      <w:r>
        <w:rPr>
          <w:rFonts w:eastAsia="黑体"/>
          <w:sz w:val="24"/>
        </w:rPr>
        <w:drawing>
          <wp:inline distT="0" distB="0" distL="114300" distR="114300">
            <wp:extent cx="5395595" cy="1207770"/>
            <wp:effectExtent l="0" t="0" r="1905" b="11430"/>
            <wp:docPr id="8" name="图片 8" descr="HIYF$BRTX8R1YFYS8[KWD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IYF$BRTX8R1YFYS8[KWDGY"/>
                    <pic:cNvPicPr>
                      <a:picLocks noChangeAspect="1"/>
                    </pic:cNvPicPr>
                  </pic:nvPicPr>
                  <pic:blipFill>
                    <a:blip r:embed="rId43"/>
                    <a:stretch>
                      <a:fillRect/>
                    </a:stretch>
                  </pic:blipFill>
                  <pic:spPr>
                    <a:xfrm>
                      <a:off x="0" y="0"/>
                      <a:ext cx="5395595" cy="1207770"/>
                    </a:xfrm>
                    <a:prstGeom prst="rect">
                      <a:avLst/>
                    </a:prstGeom>
                  </pic:spPr>
                </pic:pic>
              </a:graphicData>
            </a:graphic>
          </wp:inline>
        </w:drawing>
      </w:r>
    </w:p>
    <w:p>
      <w:pPr>
        <w:spacing w:line="360" w:lineRule="auto"/>
        <w:ind w:left="120" w:hanging="120" w:hangingChars="50"/>
        <w:jc w:val="center"/>
        <w:rPr>
          <w:rFonts w:eastAsia="黑体"/>
          <w:sz w:val="24"/>
        </w:rPr>
      </w:pPr>
      <w:r>
        <w:rPr>
          <w:rFonts w:eastAsia="黑体"/>
          <w:sz w:val="24"/>
        </w:rPr>
        <w:t>图8</w:t>
      </w:r>
      <w:r>
        <w:rPr>
          <w:kern w:val="0"/>
          <w:sz w:val="24"/>
        </w:rPr>
        <w:t xml:space="preserve">  </w:t>
      </w:r>
      <w:r>
        <w:rPr>
          <w:rFonts w:eastAsia="黑体"/>
          <w:sz w:val="24"/>
        </w:rPr>
        <w:t>上证A股的CAAR输出结果</w:t>
      </w:r>
    </w:p>
    <w:p>
      <w:pPr>
        <w:spacing w:line="360" w:lineRule="auto"/>
        <w:ind w:left="120" w:hanging="120" w:hangingChars="50"/>
        <w:jc w:val="center"/>
        <w:rPr>
          <w:rFonts w:eastAsia="黑体"/>
          <w:sz w:val="24"/>
        </w:rPr>
      </w:pPr>
    </w:p>
    <w:p>
      <w:pPr>
        <w:spacing w:line="360" w:lineRule="auto"/>
        <w:jc w:val="left"/>
        <w:rPr>
          <w:sz w:val="24"/>
          <w:szCs w:val="24"/>
        </w:rPr>
      </w:pPr>
    </w:p>
    <w:p>
      <w:pPr>
        <w:spacing w:line="360" w:lineRule="auto"/>
        <w:jc w:val="left"/>
        <w:rPr>
          <w:b/>
          <w:bCs/>
          <w:sz w:val="24"/>
        </w:rPr>
      </w:pPr>
      <w:r>
        <w:rPr>
          <w:b/>
          <w:bCs/>
          <w:sz w:val="24"/>
        </w:rPr>
        <w:t>2.分处罚方式的输出结果（对应正文4.2.2节）</w:t>
      </w:r>
    </w:p>
    <w:p>
      <w:pPr>
        <w:spacing w:line="360" w:lineRule="auto"/>
        <w:ind w:firstLine="480" w:firstLineChars="200"/>
        <w:jc w:val="left"/>
        <w:rPr>
          <w:sz w:val="24"/>
          <w:szCs w:val="24"/>
        </w:rPr>
      </w:pPr>
      <w:r>
        <w:rPr>
          <w:sz w:val="24"/>
        </w:rPr>
        <w:t>正文4.2.2节中，分处罚方式事件研究所得到的stata输出结果</w:t>
      </w:r>
      <w:r>
        <w:rPr>
          <w:sz w:val="24"/>
          <w:szCs w:val="24"/>
        </w:rPr>
        <w:t>如图9~图16所示。</w:t>
      </w:r>
      <w:r>
        <w:rPr>
          <w:sz w:val="24"/>
          <w:szCs w:val="24"/>
        </w:rPr>
        <w:drawing>
          <wp:inline distT="0" distB="0" distL="114300" distR="114300">
            <wp:extent cx="5393055" cy="2733675"/>
            <wp:effectExtent l="0" t="0" r="4445" b="9525"/>
            <wp:docPr id="15" name="图片 15" descr="64EXRIN3Y6UII$BEX97UN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64EXRIN3Y6UII$BEX97UNUC"/>
                    <pic:cNvPicPr>
                      <a:picLocks noChangeAspect="1"/>
                    </pic:cNvPicPr>
                  </pic:nvPicPr>
                  <pic:blipFill>
                    <a:blip r:embed="rId44"/>
                    <a:stretch>
                      <a:fillRect/>
                    </a:stretch>
                  </pic:blipFill>
                  <pic:spPr>
                    <a:xfrm>
                      <a:off x="0" y="0"/>
                      <a:ext cx="5393055" cy="2733675"/>
                    </a:xfrm>
                    <a:prstGeom prst="rect">
                      <a:avLst/>
                    </a:prstGeom>
                  </pic:spPr>
                </pic:pic>
              </a:graphicData>
            </a:graphic>
          </wp:inline>
        </w:drawing>
      </w:r>
    </w:p>
    <w:p>
      <w:pPr>
        <w:spacing w:line="360" w:lineRule="auto"/>
        <w:ind w:left="120" w:hanging="120" w:hangingChars="50"/>
        <w:jc w:val="center"/>
        <w:rPr>
          <w:rFonts w:eastAsia="黑体"/>
          <w:sz w:val="24"/>
        </w:rPr>
      </w:pPr>
      <w:r>
        <w:rPr>
          <w:rFonts w:eastAsia="黑体"/>
          <w:sz w:val="24"/>
        </w:rPr>
        <w:t>图9</w:t>
      </w:r>
      <w:r>
        <w:rPr>
          <w:kern w:val="0"/>
          <w:sz w:val="24"/>
        </w:rPr>
        <w:t xml:space="preserve">  </w:t>
      </w:r>
      <w:r>
        <w:rPr>
          <w:rFonts w:eastAsia="黑体"/>
          <w:sz w:val="24"/>
        </w:rPr>
        <w:t>处罚为“警告、罚款”的AAR输出结果</w:t>
      </w:r>
    </w:p>
    <w:p>
      <w:pPr>
        <w:spacing w:line="360" w:lineRule="auto"/>
        <w:ind w:left="120" w:hanging="120" w:hangingChars="50"/>
        <w:jc w:val="center"/>
        <w:rPr>
          <w:rFonts w:eastAsia="黑体"/>
          <w:sz w:val="24"/>
        </w:rPr>
      </w:pPr>
    </w:p>
    <w:p>
      <w:pPr>
        <w:spacing w:line="360" w:lineRule="auto"/>
        <w:ind w:left="120" w:hanging="120" w:hangingChars="50"/>
        <w:jc w:val="center"/>
        <w:rPr>
          <w:rFonts w:eastAsia="黑体"/>
          <w:sz w:val="24"/>
        </w:rPr>
      </w:pPr>
      <w:r>
        <w:rPr>
          <w:rFonts w:eastAsia="黑体"/>
          <w:sz w:val="24"/>
        </w:rPr>
        <w:drawing>
          <wp:inline distT="0" distB="0" distL="114300" distR="114300">
            <wp:extent cx="5397500" cy="1214755"/>
            <wp:effectExtent l="0" t="0" r="0" b="4445"/>
            <wp:docPr id="16" name="图片 16" descr="MS6}C@`1%{`X7HMEE]M[G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MS6}C@`1%{`X7HMEE]M[GSW"/>
                    <pic:cNvPicPr>
                      <a:picLocks noChangeAspect="1"/>
                    </pic:cNvPicPr>
                  </pic:nvPicPr>
                  <pic:blipFill>
                    <a:blip r:embed="rId45"/>
                    <a:stretch>
                      <a:fillRect/>
                    </a:stretch>
                  </pic:blipFill>
                  <pic:spPr>
                    <a:xfrm>
                      <a:off x="0" y="0"/>
                      <a:ext cx="5397500" cy="1214755"/>
                    </a:xfrm>
                    <a:prstGeom prst="rect">
                      <a:avLst/>
                    </a:prstGeom>
                  </pic:spPr>
                </pic:pic>
              </a:graphicData>
            </a:graphic>
          </wp:inline>
        </w:drawing>
      </w:r>
    </w:p>
    <w:p>
      <w:pPr>
        <w:spacing w:line="360" w:lineRule="auto"/>
        <w:ind w:left="120" w:hanging="120" w:hangingChars="50"/>
        <w:jc w:val="center"/>
        <w:rPr>
          <w:rFonts w:eastAsia="黑体"/>
          <w:sz w:val="24"/>
        </w:rPr>
      </w:pPr>
      <w:r>
        <w:rPr>
          <w:rFonts w:eastAsia="黑体"/>
          <w:sz w:val="24"/>
        </w:rPr>
        <w:t>图10</w:t>
      </w:r>
      <w:r>
        <w:rPr>
          <w:kern w:val="0"/>
          <w:sz w:val="24"/>
        </w:rPr>
        <w:t xml:space="preserve">  </w:t>
      </w:r>
      <w:r>
        <w:rPr>
          <w:rFonts w:eastAsia="黑体"/>
          <w:sz w:val="24"/>
        </w:rPr>
        <w:t>处罚为“警告、罚款”的CAAR输出结果</w:t>
      </w:r>
    </w:p>
    <w:p>
      <w:pPr>
        <w:spacing w:line="360" w:lineRule="auto"/>
        <w:ind w:left="120" w:hanging="120" w:hangingChars="50"/>
        <w:jc w:val="center"/>
        <w:rPr>
          <w:rFonts w:eastAsia="黑体"/>
          <w:sz w:val="24"/>
        </w:rPr>
      </w:pPr>
    </w:p>
    <w:p>
      <w:pPr>
        <w:spacing w:line="360" w:lineRule="auto"/>
        <w:ind w:left="120" w:hanging="120" w:hangingChars="50"/>
        <w:jc w:val="center"/>
        <w:rPr>
          <w:rFonts w:eastAsia="黑体"/>
          <w:sz w:val="24"/>
        </w:rPr>
      </w:pPr>
      <w:r>
        <w:rPr>
          <w:rFonts w:eastAsia="黑体"/>
          <w:sz w:val="24"/>
        </w:rPr>
        <w:drawing>
          <wp:inline distT="0" distB="0" distL="114300" distR="114300">
            <wp:extent cx="5399405" cy="2779395"/>
            <wp:effectExtent l="0" t="0" r="10795" b="1905"/>
            <wp:docPr id="17" name="图片 17" descr="ZWI]IDA(_71ANX9PXYB4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ZWI]IDA(_71ANX9PXYB4E]7"/>
                    <pic:cNvPicPr>
                      <a:picLocks noChangeAspect="1"/>
                    </pic:cNvPicPr>
                  </pic:nvPicPr>
                  <pic:blipFill>
                    <a:blip r:embed="rId46"/>
                    <a:stretch>
                      <a:fillRect/>
                    </a:stretch>
                  </pic:blipFill>
                  <pic:spPr>
                    <a:xfrm>
                      <a:off x="0" y="0"/>
                      <a:ext cx="5399405" cy="2779395"/>
                    </a:xfrm>
                    <a:prstGeom prst="rect">
                      <a:avLst/>
                    </a:prstGeom>
                  </pic:spPr>
                </pic:pic>
              </a:graphicData>
            </a:graphic>
          </wp:inline>
        </w:drawing>
      </w:r>
    </w:p>
    <w:p>
      <w:pPr>
        <w:spacing w:line="360" w:lineRule="auto"/>
        <w:ind w:left="120" w:hanging="120" w:hangingChars="50"/>
        <w:jc w:val="center"/>
        <w:rPr>
          <w:rFonts w:eastAsia="黑体"/>
          <w:sz w:val="24"/>
        </w:rPr>
      </w:pPr>
      <w:r>
        <w:rPr>
          <w:rFonts w:eastAsia="黑体"/>
          <w:sz w:val="24"/>
        </w:rPr>
        <w:t>图11</w:t>
      </w:r>
      <w:r>
        <w:rPr>
          <w:kern w:val="0"/>
          <w:sz w:val="24"/>
        </w:rPr>
        <w:t xml:space="preserve">  </w:t>
      </w:r>
      <w:r>
        <w:rPr>
          <w:rFonts w:eastAsia="黑体"/>
          <w:sz w:val="24"/>
        </w:rPr>
        <w:t>处罚为“谴责”的AAR输出结果</w:t>
      </w:r>
    </w:p>
    <w:p>
      <w:pPr>
        <w:spacing w:line="360" w:lineRule="auto"/>
        <w:jc w:val="left"/>
        <w:rPr>
          <w:sz w:val="24"/>
          <w:szCs w:val="24"/>
        </w:rPr>
      </w:pPr>
      <w:r>
        <w:rPr>
          <w:sz w:val="24"/>
          <w:szCs w:val="24"/>
        </w:rPr>
        <w:drawing>
          <wp:inline distT="0" distB="0" distL="114300" distR="114300">
            <wp:extent cx="5391785" cy="1178560"/>
            <wp:effectExtent l="0" t="0" r="5715" b="2540"/>
            <wp:docPr id="18" name="图片 18" descr="AC%Q[Y{@DGT%1UB4T(Z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AC%Q[Y{@DGT%1UB4T(ZI{{R"/>
                    <pic:cNvPicPr>
                      <a:picLocks noChangeAspect="1"/>
                    </pic:cNvPicPr>
                  </pic:nvPicPr>
                  <pic:blipFill>
                    <a:blip r:embed="rId47"/>
                    <a:stretch>
                      <a:fillRect/>
                    </a:stretch>
                  </pic:blipFill>
                  <pic:spPr>
                    <a:xfrm>
                      <a:off x="0" y="0"/>
                      <a:ext cx="5391785" cy="1178560"/>
                    </a:xfrm>
                    <a:prstGeom prst="rect">
                      <a:avLst/>
                    </a:prstGeom>
                  </pic:spPr>
                </pic:pic>
              </a:graphicData>
            </a:graphic>
          </wp:inline>
        </w:drawing>
      </w:r>
    </w:p>
    <w:p>
      <w:pPr>
        <w:spacing w:line="360" w:lineRule="auto"/>
        <w:ind w:left="120" w:hanging="120" w:hangingChars="50"/>
        <w:jc w:val="center"/>
        <w:rPr>
          <w:rFonts w:eastAsia="黑体"/>
          <w:sz w:val="24"/>
        </w:rPr>
      </w:pPr>
      <w:r>
        <w:rPr>
          <w:rFonts w:eastAsia="黑体"/>
          <w:sz w:val="24"/>
        </w:rPr>
        <w:t>图12</w:t>
      </w:r>
      <w:r>
        <w:rPr>
          <w:kern w:val="0"/>
          <w:sz w:val="24"/>
        </w:rPr>
        <w:t xml:space="preserve">  </w:t>
      </w:r>
      <w:r>
        <w:rPr>
          <w:rFonts w:eastAsia="黑体"/>
          <w:sz w:val="24"/>
        </w:rPr>
        <w:t>处罚为“谴责”的CAAR输出结果</w:t>
      </w:r>
    </w:p>
    <w:p>
      <w:pPr>
        <w:spacing w:line="360" w:lineRule="auto"/>
        <w:ind w:left="120" w:hanging="120" w:hangingChars="50"/>
        <w:jc w:val="center"/>
        <w:rPr>
          <w:rFonts w:eastAsia="黑体"/>
          <w:sz w:val="24"/>
        </w:rPr>
      </w:pPr>
    </w:p>
    <w:p>
      <w:pPr>
        <w:spacing w:line="360" w:lineRule="auto"/>
        <w:ind w:left="120" w:hanging="120" w:hangingChars="50"/>
        <w:jc w:val="center"/>
        <w:rPr>
          <w:rFonts w:eastAsia="黑体"/>
          <w:sz w:val="24"/>
        </w:rPr>
      </w:pPr>
      <w:r>
        <w:rPr>
          <w:rFonts w:eastAsia="黑体"/>
          <w:sz w:val="24"/>
        </w:rPr>
        <w:drawing>
          <wp:inline distT="0" distB="0" distL="114300" distR="114300">
            <wp:extent cx="5394325" cy="2714625"/>
            <wp:effectExtent l="0" t="0" r="3175" b="3175"/>
            <wp:docPr id="20" name="图片 20" descr="52E]9$}}XXGDX66558O6M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52E]9$}}XXGDX66558O6MQG"/>
                    <pic:cNvPicPr>
                      <a:picLocks noChangeAspect="1"/>
                    </pic:cNvPicPr>
                  </pic:nvPicPr>
                  <pic:blipFill>
                    <a:blip r:embed="rId48"/>
                    <a:stretch>
                      <a:fillRect/>
                    </a:stretch>
                  </pic:blipFill>
                  <pic:spPr>
                    <a:xfrm>
                      <a:off x="0" y="0"/>
                      <a:ext cx="5394325" cy="2714625"/>
                    </a:xfrm>
                    <a:prstGeom prst="rect">
                      <a:avLst/>
                    </a:prstGeom>
                  </pic:spPr>
                </pic:pic>
              </a:graphicData>
            </a:graphic>
          </wp:inline>
        </w:drawing>
      </w:r>
    </w:p>
    <w:p>
      <w:pPr>
        <w:spacing w:line="360" w:lineRule="auto"/>
        <w:ind w:left="120" w:hanging="120" w:hangingChars="50"/>
        <w:jc w:val="center"/>
        <w:rPr>
          <w:rFonts w:eastAsia="黑体"/>
          <w:sz w:val="24"/>
        </w:rPr>
      </w:pPr>
      <w:r>
        <w:rPr>
          <w:rFonts w:eastAsia="黑体"/>
          <w:sz w:val="24"/>
        </w:rPr>
        <w:t>图13</w:t>
      </w:r>
      <w:r>
        <w:rPr>
          <w:kern w:val="0"/>
          <w:sz w:val="24"/>
        </w:rPr>
        <w:t xml:space="preserve">  </w:t>
      </w:r>
      <w:r>
        <w:rPr>
          <w:rFonts w:eastAsia="黑体"/>
          <w:sz w:val="24"/>
        </w:rPr>
        <w:t>处罚为“批评”的AAR输出结果</w:t>
      </w:r>
    </w:p>
    <w:p>
      <w:pPr>
        <w:spacing w:line="360" w:lineRule="auto"/>
        <w:ind w:left="120" w:hanging="120" w:hangingChars="50"/>
        <w:jc w:val="center"/>
        <w:rPr>
          <w:rFonts w:eastAsia="黑体"/>
          <w:sz w:val="24"/>
        </w:rPr>
      </w:pPr>
    </w:p>
    <w:p>
      <w:pPr>
        <w:spacing w:line="360" w:lineRule="auto"/>
        <w:jc w:val="left"/>
        <w:rPr>
          <w:sz w:val="24"/>
          <w:szCs w:val="24"/>
        </w:rPr>
      </w:pPr>
      <w:r>
        <w:rPr>
          <w:sz w:val="24"/>
          <w:szCs w:val="24"/>
        </w:rPr>
        <w:drawing>
          <wp:inline distT="0" distB="0" distL="114300" distR="114300">
            <wp:extent cx="5393690" cy="1181735"/>
            <wp:effectExtent l="0" t="0" r="3810" b="12065"/>
            <wp:docPr id="21" name="图片 21" descr="3ZTD}M{U~`$WVUGVR1]`G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ZTD}M{U~`$WVUGVR1]`GKO"/>
                    <pic:cNvPicPr>
                      <a:picLocks noChangeAspect="1"/>
                    </pic:cNvPicPr>
                  </pic:nvPicPr>
                  <pic:blipFill>
                    <a:blip r:embed="rId49"/>
                    <a:stretch>
                      <a:fillRect/>
                    </a:stretch>
                  </pic:blipFill>
                  <pic:spPr>
                    <a:xfrm>
                      <a:off x="0" y="0"/>
                      <a:ext cx="5393690" cy="1181735"/>
                    </a:xfrm>
                    <a:prstGeom prst="rect">
                      <a:avLst/>
                    </a:prstGeom>
                  </pic:spPr>
                </pic:pic>
              </a:graphicData>
            </a:graphic>
          </wp:inline>
        </w:drawing>
      </w:r>
    </w:p>
    <w:p>
      <w:pPr>
        <w:spacing w:line="360" w:lineRule="auto"/>
        <w:ind w:left="120" w:hanging="120" w:hangingChars="50"/>
        <w:jc w:val="center"/>
        <w:rPr>
          <w:rFonts w:eastAsia="黑体"/>
          <w:sz w:val="24"/>
        </w:rPr>
      </w:pPr>
      <w:r>
        <w:rPr>
          <w:rFonts w:eastAsia="黑体"/>
          <w:sz w:val="24"/>
        </w:rPr>
        <w:t>图14</w:t>
      </w:r>
      <w:r>
        <w:rPr>
          <w:kern w:val="0"/>
          <w:sz w:val="24"/>
        </w:rPr>
        <w:t xml:space="preserve">  </w:t>
      </w:r>
      <w:r>
        <w:rPr>
          <w:rFonts w:eastAsia="黑体"/>
          <w:sz w:val="24"/>
        </w:rPr>
        <w:t>处罚为“批评”的CAAR输出结果</w:t>
      </w:r>
    </w:p>
    <w:p>
      <w:pPr>
        <w:spacing w:line="360" w:lineRule="auto"/>
        <w:ind w:left="120" w:hanging="120" w:hangingChars="50"/>
        <w:jc w:val="center"/>
        <w:rPr>
          <w:rFonts w:eastAsia="黑体"/>
          <w:sz w:val="24"/>
        </w:rPr>
      </w:pPr>
    </w:p>
    <w:p>
      <w:pPr>
        <w:spacing w:line="360" w:lineRule="auto"/>
        <w:ind w:left="120" w:hanging="120" w:hangingChars="50"/>
        <w:jc w:val="center"/>
        <w:rPr>
          <w:rFonts w:eastAsia="黑体"/>
          <w:sz w:val="24"/>
        </w:rPr>
      </w:pPr>
      <w:r>
        <w:rPr>
          <w:rFonts w:eastAsia="黑体"/>
          <w:sz w:val="24"/>
        </w:rPr>
        <w:drawing>
          <wp:inline distT="0" distB="0" distL="114300" distR="114300">
            <wp:extent cx="5391785" cy="2717800"/>
            <wp:effectExtent l="0" t="0" r="5715" b="0"/>
            <wp:docPr id="22" name="图片 22" descr="0_KI4DXQDG0CH8J`@%_0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0_KI4DXQDG0CH8J`@%_0E$E"/>
                    <pic:cNvPicPr>
                      <a:picLocks noChangeAspect="1"/>
                    </pic:cNvPicPr>
                  </pic:nvPicPr>
                  <pic:blipFill>
                    <a:blip r:embed="rId50"/>
                    <a:stretch>
                      <a:fillRect/>
                    </a:stretch>
                  </pic:blipFill>
                  <pic:spPr>
                    <a:xfrm>
                      <a:off x="0" y="0"/>
                      <a:ext cx="5391785" cy="2717800"/>
                    </a:xfrm>
                    <a:prstGeom prst="rect">
                      <a:avLst/>
                    </a:prstGeom>
                  </pic:spPr>
                </pic:pic>
              </a:graphicData>
            </a:graphic>
          </wp:inline>
        </w:drawing>
      </w:r>
    </w:p>
    <w:p>
      <w:pPr>
        <w:spacing w:line="360" w:lineRule="auto"/>
        <w:ind w:left="120" w:hanging="120" w:hangingChars="50"/>
        <w:jc w:val="center"/>
        <w:rPr>
          <w:rFonts w:eastAsia="黑体"/>
          <w:sz w:val="24"/>
        </w:rPr>
      </w:pPr>
      <w:r>
        <w:rPr>
          <w:rFonts w:eastAsia="黑体"/>
          <w:sz w:val="24"/>
        </w:rPr>
        <w:t>图15</w:t>
      </w:r>
      <w:r>
        <w:rPr>
          <w:kern w:val="0"/>
          <w:sz w:val="24"/>
        </w:rPr>
        <w:t xml:space="preserve">  </w:t>
      </w:r>
      <w:r>
        <w:rPr>
          <w:rFonts w:eastAsia="黑体"/>
          <w:sz w:val="24"/>
        </w:rPr>
        <w:t>处罚为“其他”的AAR输出结果</w:t>
      </w:r>
    </w:p>
    <w:p>
      <w:pPr>
        <w:spacing w:line="360" w:lineRule="auto"/>
        <w:ind w:left="120" w:hanging="120" w:hangingChars="50"/>
        <w:jc w:val="center"/>
        <w:rPr>
          <w:rFonts w:eastAsia="黑体"/>
          <w:sz w:val="24"/>
        </w:rPr>
      </w:pPr>
    </w:p>
    <w:p>
      <w:pPr>
        <w:spacing w:line="360" w:lineRule="auto"/>
        <w:ind w:left="120" w:hanging="120" w:hangingChars="50"/>
        <w:jc w:val="center"/>
        <w:rPr>
          <w:rFonts w:eastAsia="黑体"/>
          <w:sz w:val="24"/>
        </w:rPr>
      </w:pPr>
      <w:r>
        <w:rPr>
          <w:rFonts w:eastAsia="黑体"/>
          <w:sz w:val="24"/>
        </w:rPr>
        <w:drawing>
          <wp:inline distT="0" distB="0" distL="114300" distR="114300">
            <wp:extent cx="5391150" cy="1181100"/>
            <wp:effectExtent l="0" t="0" r="6350" b="0"/>
            <wp:docPr id="23" name="图片 23" descr="7_9LA5VM40O4_[0}8MJX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7_9LA5VM40O4_[0}8MJX1{7"/>
                    <pic:cNvPicPr>
                      <a:picLocks noChangeAspect="1"/>
                    </pic:cNvPicPr>
                  </pic:nvPicPr>
                  <pic:blipFill>
                    <a:blip r:embed="rId51"/>
                    <a:stretch>
                      <a:fillRect/>
                    </a:stretch>
                  </pic:blipFill>
                  <pic:spPr>
                    <a:xfrm>
                      <a:off x="0" y="0"/>
                      <a:ext cx="5391150" cy="1181100"/>
                    </a:xfrm>
                    <a:prstGeom prst="rect">
                      <a:avLst/>
                    </a:prstGeom>
                  </pic:spPr>
                </pic:pic>
              </a:graphicData>
            </a:graphic>
          </wp:inline>
        </w:drawing>
      </w:r>
    </w:p>
    <w:p>
      <w:pPr>
        <w:spacing w:line="360" w:lineRule="auto"/>
        <w:ind w:left="120" w:hanging="120" w:hangingChars="50"/>
        <w:jc w:val="center"/>
        <w:rPr>
          <w:rFonts w:eastAsia="黑体"/>
          <w:sz w:val="24"/>
        </w:rPr>
      </w:pPr>
      <w:r>
        <w:rPr>
          <w:rFonts w:eastAsia="黑体"/>
          <w:sz w:val="24"/>
        </w:rPr>
        <w:tab/>
      </w:r>
      <w:r>
        <w:rPr>
          <w:rFonts w:eastAsia="黑体"/>
          <w:sz w:val="24"/>
        </w:rPr>
        <w:t>图16</w:t>
      </w:r>
      <w:r>
        <w:rPr>
          <w:kern w:val="0"/>
          <w:sz w:val="24"/>
        </w:rPr>
        <w:t xml:space="preserve">  </w:t>
      </w:r>
      <w:r>
        <w:rPr>
          <w:rFonts w:eastAsia="黑体"/>
          <w:sz w:val="24"/>
        </w:rPr>
        <w:t>处罚为“其他”的CAAR输出结果</w:t>
      </w:r>
    </w:p>
    <w:p>
      <w:pPr>
        <w:spacing w:line="360" w:lineRule="auto"/>
        <w:ind w:firstLine="480" w:firstLineChars="200"/>
        <w:jc w:val="left"/>
        <w:rPr>
          <w:sz w:val="24"/>
          <w:szCs w:val="24"/>
        </w:rPr>
      </w:pPr>
    </w:p>
    <w:p>
      <w:pPr>
        <w:spacing w:line="360" w:lineRule="auto"/>
        <w:ind w:firstLine="480" w:firstLineChars="200"/>
        <w:jc w:val="left"/>
        <w:rPr>
          <w:sz w:val="24"/>
          <w:szCs w:val="24"/>
        </w:rPr>
      </w:pPr>
    </w:p>
    <w:p>
      <w:pPr>
        <w:spacing w:line="360" w:lineRule="auto"/>
        <w:jc w:val="left"/>
        <w:rPr>
          <w:b/>
          <w:bCs/>
          <w:sz w:val="24"/>
        </w:rPr>
      </w:pPr>
      <w:r>
        <w:rPr>
          <w:b/>
          <w:bCs/>
          <w:sz w:val="24"/>
        </w:rPr>
        <w:t>3.单一处罚的分板块输出结果（对应正文4.3.1节）</w:t>
      </w:r>
    </w:p>
    <w:p>
      <w:pPr>
        <w:spacing w:line="360" w:lineRule="auto"/>
        <w:ind w:firstLine="480" w:firstLineChars="200"/>
        <w:jc w:val="left"/>
        <w:rPr>
          <w:sz w:val="24"/>
          <w:szCs w:val="24"/>
        </w:rPr>
      </w:pPr>
      <w:r>
        <w:rPr>
          <w:sz w:val="24"/>
        </w:rPr>
        <w:t>正文4.3.1节中，针对“其他”类处罚方式的分板块事件研究所得到的stata输出结果</w:t>
      </w:r>
      <w:r>
        <w:rPr>
          <w:sz w:val="24"/>
          <w:szCs w:val="24"/>
        </w:rPr>
        <w:t>如图17~图26所示。</w:t>
      </w:r>
    </w:p>
    <w:p>
      <w:pPr>
        <w:spacing w:line="360" w:lineRule="auto"/>
        <w:rPr>
          <w:sz w:val="24"/>
          <w:szCs w:val="24"/>
        </w:rPr>
      </w:pPr>
      <w:r>
        <w:rPr>
          <w:sz w:val="24"/>
          <w:szCs w:val="24"/>
        </w:rPr>
        <w:drawing>
          <wp:inline distT="0" distB="0" distL="114300" distR="114300">
            <wp:extent cx="5396865" cy="2738120"/>
            <wp:effectExtent l="0" t="0" r="635" b="5080"/>
            <wp:docPr id="24" name="图片 24" descr="KYNP13FE)}9DXL0LA7H1YQ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KYNP13FE)}9DXL0LA7H1YQP"/>
                    <pic:cNvPicPr>
                      <a:picLocks noChangeAspect="1"/>
                    </pic:cNvPicPr>
                  </pic:nvPicPr>
                  <pic:blipFill>
                    <a:blip r:embed="rId52"/>
                    <a:stretch>
                      <a:fillRect/>
                    </a:stretch>
                  </pic:blipFill>
                  <pic:spPr>
                    <a:xfrm>
                      <a:off x="0" y="0"/>
                      <a:ext cx="5396865" cy="2738120"/>
                    </a:xfrm>
                    <a:prstGeom prst="rect">
                      <a:avLst/>
                    </a:prstGeom>
                  </pic:spPr>
                </pic:pic>
              </a:graphicData>
            </a:graphic>
          </wp:inline>
        </w:drawing>
      </w:r>
    </w:p>
    <w:p>
      <w:pPr>
        <w:spacing w:line="360" w:lineRule="auto"/>
        <w:ind w:left="120" w:hanging="120" w:hangingChars="50"/>
        <w:jc w:val="center"/>
        <w:rPr>
          <w:rFonts w:eastAsia="黑体"/>
          <w:sz w:val="24"/>
        </w:rPr>
      </w:pPr>
      <w:r>
        <w:rPr>
          <w:rFonts w:eastAsia="黑体"/>
          <w:sz w:val="24"/>
        </w:rPr>
        <w:t>图17</w:t>
      </w:r>
      <w:r>
        <w:rPr>
          <w:kern w:val="0"/>
          <w:sz w:val="24"/>
        </w:rPr>
        <w:t xml:space="preserve">  </w:t>
      </w:r>
      <w:r>
        <w:rPr>
          <w:rFonts w:eastAsia="黑体"/>
          <w:sz w:val="24"/>
        </w:rPr>
        <w:t>处罚为“其他”的上证A股AAR输出结果</w:t>
      </w:r>
    </w:p>
    <w:p>
      <w:pPr>
        <w:spacing w:line="360" w:lineRule="auto"/>
        <w:ind w:left="120" w:hanging="120" w:hangingChars="50"/>
        <w:jc w:val="center"/>
        <w:rPr>
          <w:rFonts w:eastAsia="黑体"/>
          <w:sz w:val="24"/>
        </w:rPr>
      </w:pPr>
    </w:p>
    <w:p>
      <w:pPr>
        <w:spacing w:line="360" w:lineRule="auto"/>
        <w:ind w:left="120" w:hanging="120" w:hangingChars="50"/>
        <w:jc w:val="center"/>
        <w:rPr>
          <w:rFonts w:eastAsia="黑体"/>
          <w:sz w:val="24"/>
        </w:rPr>
      </w:pPr>
      <w:r>
        <w:rPr>
          <w:rFonts w:eastAsia="黑体"/>
          <w:sz w:val="24"/>
        </w:rPr>
        <w:drawing>
          <wp:inline distT="0" distB="0" distL="114300" distR="114300">
            <wp:extent cx="5395595" cy="1224915"/>
            <wp:effectExtent l="0" t="0" r="1905" b="6985"/>
            <wp:docPr id="25" name="图片 25" descr="2}_LDYY_MV)V@R4$8ZSI(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_LDYY_MV)V@R4$8ZSI(MB"/>
                    <pic:cNvPicPr>
                      <a:picLocks noChangeAspect="1"/>
                    </pic:cNvPicPr>
                  </pic:nvPicPr>
                  <pic:blipFill>
                    <a:blip r:embed="rId53"/>
                    <a:stretch>
                      <a:fillRect/>
                    </a:stretch>
                  </pic:blipFill>
                  <pic:spPr>
                    <a:xfrm>
                      <a:off x="0" y="0"/>
                      <a:ext cx="5395595" cy="1224915"/>
                    </a:xfrm>
                    <a:prstGeom prst="rect">
                      <a:avLst/>
                    </a:prstGeom>
                  </pic:spPr>
                </pic:pic>
              </a:graphicData>
            </a:graphic>
          </wp:inline>
        </w:drawing>
      </w:r>
    </w:p>
    <w:p>
      <w:pPr>
        <w:spacing w:line="360" w:lineRule="auto"/>
        <w:ind w:left="120" w:hanging="120" w:hangingChars="50"/>
        <w:jc w:val="center"/>
        <w:rPr>
          <w:rFonts w:eastAsia="黑体"/>
          <w:sz w:val="24"/>
        </w:rPr>
      </w:pPr>
      <w:r>
        <w:rPr>
          <w:rFonts w:eastAsia="黑体"/>
          <w:sz w:val="24"/>
        </w:rPr>
        <w:t>图18</w:t>
      </w:r>
      <w:r>
        <w:rPr>
          <w:kern w:val="0"/>
          <w:sz w:val="24"/>
        </w:rPr>
        <w:t xml:space="preserve">  </w:t>
      </w:r>
      <w:r>
        <w:rPr>
          <w:rFonts w:eastAsia="黑体"/>
          <w:sz w:val="24"/>
        </w:rPr>
        <w:t>处罚为“其他”的上证A股CAAR输出结果</w:t>
      </w:r>
    </w:p>
    <w:p>
      <w:pPr>
        <w:spacing w:line="360" w:lineRule="auto"/>
        <w:ind w:firstLine="480" w:firstLineChars="200"/>
        <w:jc w:val="left"/>
        <w:rPr>
          <w:sz w:val="24"/>
          <w:szCs w:val="24"/>
        </w:rPr>
      </w:pPr>
    </w:p>
    <w:p>
      <w:pPr>
        <w:spacing w:line="360" w:lineRule="auto"/>
        <w:jc w:val="left"/>
        <w:rPr>
          <w:sz w:val="24"/>
          <w:szCs w:val="24"/>
        </w:rPr>
      </w:pPr>
      <w:r>
        <w:rPr>
          <w:sz w:val="24"/>
          <w:szCs w:val="24"/>
        </w:rPr>
        <w:drawing>
          <wp:inline distT="0" distB="0" distL="114300" distR="114300">
            <wp:extent cx="5399405" cy="2712085"/>
            <wp:effectExtent l="0" t="0" r="10795" b="5715"/>
            <wp:docPr id="26" name="图片 26" descr="{[7B${5OOZ0LH9CZL)$9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7B${5OOZ0LH9CZL)$9N`C"/>
                    <pic:cNvPicPr>
                      <a:picLocks noChangeAspect="1"/>
                    </pic:cNvPicPr>
                  </pic:nvPicPr>
                  <pic:blipFill>
                    <a:blip r:embed="rId54"/>
                    <a:stretch>
                      <a:fillRect/>
                    </a:stretch>
                  </pic:blipFill>
                  <pic:spPr>
                    <a:xfrm>
                      <a:off x="0" y="0"/>
                      <a:ext cx="5399405" cy="2712085"/>
                    </a:xfrm>
                    <a:prstGeom prst="rect">
                      <a:avLst/>
                    </a:prstGeom>
                  </pic:spPr>
                </pic:pic>
              </a:graphicData>
            </a:graphic>
          </wp:inline>
        </w:drawing>
      </w:r>
    </w:p>
    <w:p>
      <w:pPr>
        <w:spacing w:line="360" w:lineRule="auto"/>
        <w:ind w:left="120" w:hanging="120" w:hangingChars="50"/>
        <w:jc w:val="center"/>
        <w:rPr>
          <w:rFonts w:eastAsia="黑体"/>
          <w:sz w:val="24"/>
        </w:rPr>
      </w:pPr>
      <w:r>
        <w:rPr>
          <w:rFonts w:eastAsia="黑体"/>
          <w:sz w:val="24"/>
        </w:rPr>
        <w:t>图19</w:t>
      </w:r>
      <w:r>
        <w:rPr>
          <w:kern w:val="0"/>
          <w:sz w:val="24"/>
        </w:rPr>
        <w:t xml:space="preserve">  </w:t>
      </w:r>
      <w:r>
        <w:rPr>
          <w:rFonts w:eastAsia="黑体"/>
          <w:sz w:val="24"/>
        </w:rPr>
        <w:t>处罚为“其他”的深证A股</w:t>
      </w:r>
      <w:r>
        <w:rPr>
          <w:rFonts w:hint="eastAsia" w:eastAsia="黑体"/>
          <w:sz w:val="24"/>
          <w:lang w:val="en-US" w:eastAsia="zh-CN"/>
        </w:rPr>
        <w:t>主板</w:t>
      </w:r>
      <w:r>
        <w:rPr>
          <w:rFonts w:eastAsia="黑体"/>
          <w:sz w:val="24"/>
        </w:rPr>
        <w:t>AAR输出结果</w:t>
      </w:r>
    </w:p>
    <w:p>
      <w:pPr>
        <w:spacing w:line="360" w:lineRule="auto"/>
        <w:ind w:left="120" w:hanging="120" w:hangingChars="50"/>
        <w:jc w:val="center"/>
        <w:rPr>
          <w:rFonts w:eastAsia="黑体"/>
          <w:sz w:val="24"/>
        </w:rPr>
      </w:pPr>
    </w:p>
    <w:p>
      <w:pPr>
        <w:spacing w:line="360" w:lineRule="auto"/>
        <w:ind w:left="120" w:hanging="120" w:hangingChars="50"/>
        <w:jc w:val="center"/>
        <w:rPr>
          <w:rFonts w:eastAsia="黑体"/>
          <w:sz w:val="24"/>
        </w:rPr>
      </w:pPr>
      <w:r>
        <w:rPr>
          <w:rFonts w:eastAsia="黑体"/>
          <w:sz w:val="24"/>
        </w:rPr>
        <w:drawing>
          <wp:inline distT="0" distB="0" distL="114300" distR="114300">
            <wp:extent cx="5504180" cy="1221105"/>
            <wp:effectExtent l="0" t="0" r="7620" b="10795"/>
            <wp:docPr id="27" name="图片 27" descr="@FKTKDB2M7)]}R%$%@NF%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FKTKDB2M7)]}R%$%@NF%N3"/>
                    <pic:cNvPicPr>
                      <a:picLocks noChangeAspect="1"/>
                    </pic:cNvPicPr>
                  </pic:nvPicPr>
                  <pic:blipFill>
                    <a:blip r:embed="rId55"/>
                    <a:stretch>
                      <a:fillRect/>
                    </a:stretch>
                  </pic:blipFill>
                  <pic:spPr>
                    <a:xfrm>
                      <a:off x="0" y="0"/>
                      <a:ext cx="5504180" cy="1221105"/>
                    </a:xfrm>
                    <a:prstGeom prst="rect">
                      <a:avLst/>
                    </a:prstGeom>
                  </pic:spPr>
                </pic:pic>
              </a:graphicData>
            </a:graphic>
          </wp:inline>
        </w:drawing>
      </w:r>
    </w:p>
    <w:p>
      <w:pPr>
        <w:spacing w:line="360" w:lineRule="auto"/>
        <w:ind w:left="120" w:hanging="120" w:hangingChars="50"/>
        <w:jc w:val="center"/>
        <w:rPr>
          <w:rFonts w:eastAsia="黑体"/>
          <w:sz w:val="24"/>
        </w:rPr>
      </w:pPr>
      <w:r>
        <w:rPr>
          <w:rFonts w:eastAsia="黑体"/>
          <w:sz w:val="24"/>
        </w:rPr>
        <w:t>图20</w:t>
      </w:r>
      <w:r>
        <w:rPr>
          <w:kern w:val="0"/>
          <w:sz w:val="24"/>
        </w:rPr>
        <w:t xml:space="preserve">  </w:t>
      </w:r>
      <w:r>
        <w:rPr>
          <w:rFonts w:eastAsia="黑体"/>
          <w:sz w:val="24"/>
        </w:rPr>
        <w:t>处罚为“其他”的深证A股</w:t>
      </w:r>
      <w:r>
        <w:rPr>
          <w:rFonts w:hint="eastAsia" w:eastAsia="黑体"/>
          <w:sz w:val="24"/>
          <w:lang w:val="en-US" w:eastAsia="zh-CN"/>
        </w:rPr>
        <w:t>主板</w:t>
      </w:r>
      <w:r>
        <w:rPr>
          <w:rFonts w:eastAsia="黑体"/>
          <w:sz w:val="24"/>
        </w:rPr>
        <w:t>CAAR输出结果</w:t>
      </w:r>
    </w:p>
    <w:p>
      <w:pPr>
        <w:spacing w:line="360" w:lineRule="auto"/>
        <w:ind w:left="120" w:hanging="120" w:hangingChars="50"/>
        <w:jc w:val="center"/>
        <w:rPr>
          <w:rFonts w:eastAsia="黑体"/>
          <w:sz w:val="24"/>
        </w:rPr>
      </w:pPr>
    </w:p>
    <w:p>
      <w:pPr>
        <w:spacing w:line="360" w:lineRule="auto"/>
        <w:ind w:left="120" w:hanging="120" w:hangingChars="50"/>
        <w:jc w:val="center"/>
        <w:rPr>
          <w:rFonts w:eastAsia="黑体"/>
          <w:sz w:val="24"/>
        </w:rPr>
      </w:pPr>
      <w:r>
        <w:rPr>
          <w:rFonts w:eastAsia="黑体"/>
          <w:sz w:val="24"/>
        </w:rPr>
        <w:drawing>
          <wp:inline distT="0" distB="0" distL="114300" distR="114300">
            <wp:extent cx="5396865" cy="2806700"/>
            <wp:effectExtent l="0" t="0" r="635" b="0"/>
            <wp:docPr id="28" name="图片 28" descr="U)V9S~@_EZT0U5OIEBKXU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U)V9S~@_EZT0U5OIEBKXUTD"/>
                    <pic:cNvPicPr>
                      <a:picLocks noChangeAspect="1"/>
                    </pic:cNvPicPr>
                  </pic:nvPicPr>
                  <pic:blipFill>
                    <a:blip r:embed="rId56"/>
                    <a:stretch>
                      <a:fillRect/>
                    </a:stretch>
                  </pic:blipFill>
                  <pic:spPr>
                    <a:xfrm>
                      <a:off x="0" y="0"/>
                      <a:ext cx="5396865" cy="2806700"/>
                    </a:xfrm>
                    <a:prstGeom prst="rect">
                      <a:avLst/>
                    </a:prstGeom>
                  </pic:spPr>
                </pic:pic>
              </a:graphicData>
            </a:graphic>
          </wp:inline>
        </w:drawing>
      </w:r>
    </w:p>
    <w:p>
      <w:pPr>
        <w:spacing w:line="360" w:lineRule="auto"/>
        <w:ind w:left="120" w:hanging="120" w:hangingChars="50"/>
        <w:jc w:val="center"/>
        <w:rPr>
          <w:rFonts w:eastAsia="黑体"/>
          <w:sz w:val="24"/>
        </w:rPr>
      </w:pPr>
      <w:r>
        <w:rPr>
          <w:rFonts w:eastAsia="黑体"/>
          <w:sz w:val="24"/>
        </w:rPr>
        <w:t>图21</w:t>
      </w:r>
      <w:r>
        <w:rPr>
          <w:kern w:val="0"/>
          <w:sz w:val="24"/>
        </w:rPr>
        <w:t xml:space="preserve">  </w:t>
      </w:r>
      <w:r>
        <w:rPr>
          <w:rFonts w:eastAsia="黑体"/>
          <w:sz w:val="24"/>
        </w:rPr>
        <w:t>处罚为“其他”的沪深主板A股AAR输出结果</w:t>
      </w:r>
    </w:p>
    <w:p>
      <w:pPr>
        <w:spacing w:line="360" w:lineRule="auto"/>
        <w:ind w:left="120" w:hanging="120" w:hangingChars="50"/>
        <w:jc w:val="center"/>
        <w:rPr>
          <w:rFonts w:eastAsia="黑体"/>
          <w:sz w:val="24"/>
        </w:rPr>
      </w:pPr>
    </w:p>
    <w:p>
      <w:pPr>
        <w:spacing w:line="360" w:lineRule="auto"/>
        <w:ind w:left="120" w:hanging="120" w:hangingChars="50"/>
        <w:jc w:val="center"/>
        <w:rPr>
          <w:rFonts w:eastAsia="黑体"/>
          <w:sz w:val="24"/>
        </w:rPr>
      </w:pPr>
      <w:r>
        <w:rPr>
          <w:rFonts w:eastAsia="黑体"/>
          <w:sz w:val="24"/>
        </w:rPr>
        <w:drawing>
          <wp:inline distT="0" distB="0" distL="114300" distR="114300">
            <wp:extent cx="5398770" cy="1160145"/>
            <wp:effectExtent l="0" t="0" r="11430" b="8255"/>
            <wp:docPr id="29" name="图片 29" descr="W]E9N51BKDXP~BN1F{)9FY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W]E9N51BKDXP~BN1F{)9FYB"/>
                    <pic:cNvPicPr>
                      <a:picLocks noChangeAspect="1"/>
                    </pic:cNvPicPr>
                  </pic:nvPicPr>
                  <pic:blipFill>
                    <a:blip r:embed="rId57"/>
                    <a:stretch>
                      <a:fillRect/>
                    </a:stretch>
                  </pic:blipFill>
                  <pic:spPr>
                    <a:xfrm>
                      <a:off x="0" y="0"/>
                      <a:ext cx="5398770" cy="1160145"/>
                    </a:xfrm>
                    <a:prstGeom prst="rect">
                      <a:avLst/>
                    </a:prstGeom>
                  </pic:spPr>
                </pic:pic>
              </a:graphicData>
            </a:graphic>
          </wp:inline>
        </w:drawing>
      </w:r>
    </w:p>
    <w:p>
      <w:pPr>
        <w:spacing w:line="360" w:lineRule="auto"/>
        <w:ind w:left="120" w:hanging="120" w:hangingChars="50"/>
        <w:jc w:val="center"/>
        <w:rPr>
          <w:rFonts w:eastAsia="黑体"/>
          <w:sz w:val="24"/>
        </w:rPr>
      </w:pPr>
      <w:r>
        <w:rPr>
          <w:rFonts w:eastAsia="黑体"/>
          <w:sz w:val="24"/>
        </w:rPr>
        <w:t>图22</w:t>
      </w:r>
      <w:r>
        <w:rPr>
          <w:kern w:val="0"/>
          <w:sz w:val="24"/>
        </w:rPr>
        <w:t xml:space="preserve">  </w:t>
      </w:r>
      <w:r>
        <w:rPr>
          <w:rFonts w:eastAsia="黑体"/>
          <w:sz w:val="24"/>
        </w:rPr>
        <w:t>处罚为“其他”的沪深主板A股CAAR输出结果</w:t>
      </w:r>
    </w:p>
    <w:p>
      <w:pPr>
        <w:spacing w:line="360" w:lineRule="auto"/>
        <w:ind w:left="120" w:hanging="120" w:hangingChars="50"/>
        <w:jc w:val="center"/>
        <w:rPr>
          <w:rFonts w:eastAsia="黑体"/>
          <w:sz w:val="24"/>
        </w:rPr>
      </w:pPr>
      <w:r>
        <w:rPr>
          <w:rFonts w:eastAsia="黑体"/>
          <w:sz w:val="24"/>
        </w:rPr>
        <w:drawing>
          <wp:inline distT="0" distB="0" distL="114300" distR="114300">
            <wp:extent cx="5396865" cy="2686050"/>
            <wp:effectExtent l="0" t="0" r="635" b="6350"/>
            <wp:docPr id="32" name="图片 32" descr="[L`YHDT3SN((ZQG(}23]I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L`YHDT3SN((ZQG(}23]ICP"/>
                    <pic:cNvPicPr>
                      <a:picLocks noChangeAspect="1"/>
                    </pic:cNvPicPr>
                  </pic:nvPicPr>
                  <pic:blipFill>
                    <a:blip r:embed="rId58"/>
                    <a:stretch>
                      <a:fillRect/>
                    </a:stretch>
                  </pic:blipFill>
                  <pic:spPr>
                    <a:xfrm>
                      <a:off x="0" y="0"/>
                      <a:ext cx="5396865" cy="2686050"/>
                    </a:xfrm>
                    <a:prstGeom prst="rect">
                      <a:avLst/>
                    </a:prstGeom>
                  </pic:spPr>
                </pic:pic>
              </a:graphicData>
            </a:graphic>
          </wp:inline>
        </w:drawing>
      </w:r>
    </w:p>
    <w:p>
      <w:pPr>
        <w:spacing w:line="360" w:lineRule="auto"/>
        <w:ind w:left="120" w:hanging="120" w:hangingChars="50"/>
        <w:jc w:val="center"/>
        <w:rPr>
          <w:rFonts w:eastAsia="黑体"/>
          <w:sz w:val="24"/>
        </w:rPr>
      </w:pPr>
      <w:r>
        <w:rPr>
          <w:rFonts w:eastAsia="黑体"/>
          <w:sz w:val="24"/>
        </w:rPr>
        <w:t>图23</w:t>
      </w:r>
      <w:r>
        <w:rPr>
          <w:kern w:val="0"/>
          <w:sz w:val="24"/>
        </w:rPr>
        <w:t xml:space="preserve">  </w:t>
      </w:r>
      <w:r>
        <w:rPr>
          <w:rFonts w:eastAsia="黑体"/>
          <w:sz w:val="24"/>
        </w:rPr>
        <w:t>处罚为“其他”的中小板股票AAR输出结果</w:t>
      </w:r>
    </w:p>
    <w:p>
      <w:pPr>
        <w:spacing w:line="360" w:lineRule="auto"/>
        <w:ind w:left="120" w:hanging="120" w:hangingChars="50"/>
        <w:jc w:val="center"/>
        <w:rPr>
          <w:rFonts w:eastAsia="黑体"/>
          <w:sz w:val="24"/>
        </w:rPr>
      </w:pPr>
    </w:p>
    <w:p>
      <w:pPr>
        <w:spacing w:line="360" w:lineRule="auto"/>
        <w:ind w:left="120" w:hanging="120" w:hangingChars="50"/>
        <w:jc w:val="center"/>
        <w:rPr>
          <w:rFonts w:eastAsia="黑体"/>
          <w:sz w:val="24"/>
        </w:rPr>
      </w:pPr>
      <w:r>
        <w:rPr>
          <w:rFonts w:eastAsia="黑体"/>
          <w:sz w:val="24"/>
        </w:rPr>
        <w:drawing>
          <wp:inline distT="0" distB="0" distL="114300" distR="114300">
            <wp:extent cx="5396865" cy="1198245"/>
            <wp:effectExtent l="0" t="0" r="635" b="8255"/>
            <wp:docPr id="33" name="图片 33" descr="FJM)Q%H%`4V21SW[G4(DX$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FJM)Q%H%`4V21SW[G4(DX$F"/>
                    <pic:cNvPicPr>
                      <a:picLocks noChangeAspect="1"/>
                    </pic:cNvPicPr>
                  </pic:nvPicPr>
                  <pic:blipFill>
                    <a:blip r:embed="rId59"/>
                    <a:stretch>
                      <a:fillRect/>
                    </a:stretch>
                  </pic:blipFill>
                  <pic:spPr>
                    <a:xfrm>
                      <a:off x="0" y="0"/>
                      <a:ext cx="5396865" cy="1198245"/>
                    </a:xfrm>
                    <a:prstGeom prst="rect">
                      <a:avLst/>
                    </a:prstGeom>
                  </pic:spPr>
                </pic:pic>
              </a:graphicData>
            </a:graphic>
          </wp:inline>
        </w:drawing>
      </w:r>
    </w:p>
    <w:p>
      <w:pPr>
        <w:spacing w:line="360" w:lineRule="auto"/>
        <w:ind w:left="120" w:hanging="120" w:hangingChars="50"/>
        <w:jc w:val="center"/>
        <w:rPr>
          <w:rFonts w:eastAsia="黑体"/>
          <w:sz w:val="24"/>
        </w:rPr>
      </w:pPr>
      <w:r>
        <w:rPr>
          <w:rFonts w:eastAsia="黑体"/>
          <w:sz w:val="24"/>
        </w:rPr>
        <w:t>图24</w:t>
      </w:r>
      <w:r>
        <w:rPr>
          <w:kern w:val="0"/>
          <w:sz w:val="24"/>
        </w:rPr>
        <w:t xml:space="preserve">  </w:t>
      </w:r>
      <w:r>
        <w:rPr>
          <w:rFonts w:eastAsia="黑体"/>
          <w:sz w:val="24"/>
        </w:rPr>
        <w:t>处罚为“其他”的中小板股票CAAR输出结果</w:t>
      </w:r>
    </w:p>
    <w:p>
      <w:pPr>
        <w:spacing w:line="360" w:lineRule="auto"/>
        <w:ind w:left="120" w:hanging="120" w:hangingChars="50"/>
        <w:jc w:val="center"/>
        <w:rPr>
          <w:rFonts w:eastAsia="黑体"/>
          <w:sz w:val="24"/>
        </w:rPr>
      </w:pPr>
    </w:p>
    <w:p>
      <w:pPr>
        <w:spacing w:line="360" w:lineRule="auto"/>
        <w:ind w:left="120" w:hanging="120" w:hangingChars="50"/>
        <w:jc w:val="center"/>
        <w:rPr>
          <w:rFonts w:eastAsia="黑体"/>
          <w:sz w:val="24"/>
        </w:rPr>
      </w:pPr>
      <w:r>
        <w:rPr>
          <w:rFonts w:eastAsia="黑体"/>
          <w:sz w:val="24"/>
        </w:rPr>
        <w:drawing>
          <wp:inline distT="0" distB="0" distL="114300" distR="114300">
            <wp:extent cx="5390515" cy="2795270"/>
            <wp:effectExtent l="0" t="0" r="6985" b="11430"/>
            <wp:docPr id="30" name="图片 30" descr="{{_]FSO0%7C8GN_BC`82C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_]FSO0%7C8GN_BC`82C2D"/>
                    <pic:cNvPicPr>
                      <a:picLocks noChangeAspect="1"/>
                    </pic:cNvPicPr>
                  </pic:nvPicPr>
                  <pic:blipFill>
                    <a:blip r:embed="rId60"/>
                    <a:stretch>
                      <a:fillRect/>
                    </a:stretch>
                  </pic:blipFill>
                  <pic:spPr>
                    <a:xfrm>
                      <a:off x="0" y="0"/>
                      <a:ext cx="5390515" cy="2795270"/>
                    </a:xfrm>
                    <a:prstGeom prst="rect">
                      <a:avLst/>
                    </a:prstGeom>
                  </pic:spPr>
                </pic:pic>
              </a:graphicData>
            </a:graphic>
          </wp:inline>
        </w:drawing>
      </w:r>
    </w:p>
    <w:p>
      <w:pPr>
        <w:spacing w:line="360" w:lineRule="auto"/>
        <w:ind w:left="120" w:hanging="120" w:hangingChars="50"/>
        <w:jc w:val="center"/>
        <w:rPr>
          <w:rFonts w:eastAsia="黑体"/>
          <w:sz w:val="24"/>
        </w:rPr>
      </w:pPr>
      <w:r>
        <w:rPr>
          <w:rFonts w:eastAsia="黑体"/>
          <w:sz w:val="24"/>
        </w:rPr>
        <w:t>图25</w:t>
      </w:r>
      <w:r>
        <w:rPr>
          <w:kern w:val="0"/>
          <w:sz w:val="24"/>
        </w:rPr>
        <w:t xml:space="preserve">  </w:t>
      </w:r>
      <w:r>
        <w:rPr>
          <w:rFonts w:eastAsia="黑体"/>
          <w:sz w:val="24"/>
        </w:rPr>
        <w:t>处罚为“其他”的创业板股票AAR输出结果</w:t>
      </w:r>
    </w:p>
    <w:p>
      <w:pPr>
        <w:spacing w:line="360" w:lineRule="auto"/>
        <w:ind w:left="120" w:hanging="120" w:hangingChars="50"/>
        <w:jc w:val="center"/>
        <w:rPr>
          <w:rFonts w:eastAsia="黑体"/>
          <w:sz w:val="24"/>
        </w:rPr>
      </w:pPr>
    </w:p>
    <w:p>
      <w:pPr>
        <w:spacing w:line="360" w:lineRule="auto"/>
        <w:ind w:left="120" w:hanging="120" w:hangingChars="50"/>
        <w:jc w:val="center"/>
        <w:rPr>
          <w:rFonts w:eastAsia="黑体"/>
          <w:sz w:val="24"/>
        </w:rPr>
      </w:pPr>
      <w:r>
        <w:rPr>
          <w:rFonts w:eastAsia="黑体"/>
          <w:sz w:val="24"/>
        </w:rPr>
        <w:drawing>
          <wp:inline distT="0" distB="0" distL="114300" distR="114300">
            <wp:extent cx="5393055" cy="1195705"/>
            <wp:effectExtent l="0" t="0" r="4445" b="10795"/>
            <wp:docPr id="31" name="图片 31" descr="B{MFXVR6NP@DLJ4SBBEDE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B{MFXVR6NP@DLJ4SBBEDESL"/>
                    <pic:cNvPicPr>
                      <a:picLocks noChangeAspect="1"/>
                    </pic:cNvPicPr>
                  </pic:nvPicPr>
                  <pic:blipFill>
                    <a:blip r:embed="rId61"/>
                    <a:stretch>
                      <a:fillRect/>
                    </a:stretch>
                  </pic:blipFill>
                  <pic:spPr>
                    <a:xfrm>
                      <a:off x="0" y="0"/>
                      <a:ext cx="5393055" cy="1195705"/>
                    </a:xfrm>
                    <a:prstGeom prst="rect">
                      <a:avLst/>
                    </a:prstGeom>
                  </pic:spPr>
                </pic:pic>
              </a:graphicData>
            </a:graphic>
          </wp:inline>
        </w:drawing>
      </w:r>
    </w:p>
    <w:p>
      <w:pPr>
        <w:spacing w:line="360" w:lineRule="auto"/>
        <w:ind w:left="120" w:hanging="120" w:hangingChars="50"/>
        <w:jc w:val="center"/>
        <w:rPr>
          <w:rFonts w:eastAsia="黑体"/>
          <w:sz w:val="24"/>
        </w:rPr>
      </w:pPr>
      <w:r>
        <w:rPr>
          <w:rFonts w:eastAsia="黑体"/>
          <w:sz w:val="24"/>
        </w:rPr>
        <w:t>图26</w:t>
      </w:r>
      <w:r>
        <w:rPr>
          <w:kern w:val="0"/>
          <w:sz w:val="24"/>
        </w:rPr>
        <w:t xml:space="preserve">  </w:t>
      </w:r>
      <w:r>
        <w:rPr>
          <w:rFonts w:eastAsia="黑体"/>
          <w:sz w:val="24"/>
        </w:rPr>
        <w:t>处罚为“其他”的创业板股票CAAR输出结果</w:t>
      </w:r>
    </w:p>
    <w:p>
      <w:pPr>
        <w:spacing w:line="360" w:lineRule="auto"/>
        <w:ind w:left="120" w:hanging="120" w:hangingChars="50"/>
        <w:jc w:val="center"/>
        <w:rPr>
          <w:rFonts w:eastAsia="黑体"/>
          <w:sz w:val="24"/>
        </w:rPr>
      </w:pPr>
    </w:p>
    <w:p>
      <w:pPr>
        <w:spacing w:line="360" w:lineRule="auto"/>
        <w:jc w:val="left"/>
        <w:rPr>
          <w:sz w:val="24"/>
          <w:szCs w:val="24"/>
        </w:rPr>
      </w:pPr>
    </w:p>
    <w:p>
      <w:pPr>
        <w:spacing w:line="360" w:lineRule="auto"/>
        <w:jc w:val="left"/>
        <w:rPr>
          <w:b/>
          <w:bCs/>
          <w:sz w:val="24"/>
        </w:rPr>
      </w:pPr>
      <w:r>
        <w:rPr>
          <w:b/>
          <w:bCs/>
          <w:sz w:val="24"/>
        </w:rPr>
        <w:t>4.所有制的差异化输出结果（对应正文4.3.2节）</w:t>
      </w:r>
    </w:p>
    <w:p>
      <w:pPr>
        <w:spacing w:line="360" w:lineRule="auto"/>
        <w:ind w:firstLine="480" w:firstLineChars="200"/>
        <w:jc w:val="left"/>
        <w:rPr>
          <w:sz w:val="24"/>
          <w:szCs w:val="24"/>
        </w:rPr>
      </w:pPr>
      <w:r>
        <w:rPr>
          <w:sz w:val="24"/>
        </w:rPr>
        <w:t>正文4.3.2节中，针对“其他”类处罚方式的主板A股，我们按照所在交易所和所有制差异分类事件研究所得到的stata输出结果</w:t>
      </w:r>
      <w:r>
        <w:rPr>
          <w:sz w:val="24"/>
          <w:szCs w:val="24"/>
        </w:rPr>
        <w:t>如图27~图34所示。</w:t>
      </w:r>
    </w:p>
    <w:p>
      <w:pPr>
        <w:spacing w:line="360" w:lineRule="auto"/>
        <w:ind w:firstLine="480" w:firstLineChars="200"/>
        <w:jc w:val="left"/>
        <w:rPr>
          <w:sz w:val="24"/>
          <w:szCs w:val="24"/>
        </w:rPr>
      </w:pPr>
    </w:p>
    <w:p>
      <w:pPr>
        <w:spacing w:line="360" w:lineRule="auto"/>
        <w:jc w:val="left"/>
        <w:rPr>
          <w:sz w:val="24"/>
          <w:szCs w:val="24"/>
        </w:rPr>
      </w:pPr>
      <w:r>
        <w:rPr>
          <w:sz w:val="24"/>
          <w:szCs w:val="24"/>
        </w:rPr>
        <w:drawing>
          <wp:inline distT="0" distB="0" distL="114300" distR="114300">
            <wp:extent cx="5396865" cy="2752725"/>
            <wp:effectExtent l="0" t="0" r="635" b="3175"/>
            <wp:docPr id="34" name="图片 34" descr="676}YOKBI_MS{9M(4_[5]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676}YOKBI_MS{9M(4_[5]QC"/>
                    <pic:cNvPicPr>
                      <a:picLocks noChangeAspect="1"/>
                    </pic:cNvPicPr>
                  </pic:nvPicPr>
                  <pic:blipFill>
                    <a:blip r:embed="rId62"/>
                    <a:stretch>
                      <a:fillRect/>
                    </a:stretch>
                  </pic:blipFill>
                  <pic:spPr>
                    <a:xfrm>
                      <a:off x="0" y="0"/>
                      <a:ext cx="5396865" cy="2752725"/>
                    </a:xfrm>
                    <a:prstGeom prst="rect">
                      <a:avLst/>
                    </a:prstGeom>
                  </pic:spPr>
                </pic:pic>
              </a:graphicData>
            </a:graphic>
          </wp:inline>
        </w:drawing>
      </w:r>
    </w:p>
    <w:p>
      <w:pPr>
        <w:spacing w:line="360" w:lineRule="auto"/>
        <w:ind w:left="120" w:hanging="120" w:hangingChars="50"/>
        <w:jc w:val="center"/>
        <w:rPr>
          <w:rFonts w:eastAsia="黑体"/>
          <w:sz w:val="24"/>
        </w:rPr>
      </w:pPr>
      <w:r>
        <w:rPr>
          <w:rFonts w:eastAsia="黑体"/>
          <w:sz w:val="24"/>
        </w:rPr>
        <w:t>图27</w:t>
      </w:r>
      <w:r>
        <w:rPr>
          <w:kern w:val="0"/>
          <w:sz w:val="24"/>
        </w:rPr>
        <w:t xml:space="preserve">  </w:t>
      </w:r>
      <w:r>
        <w:rPr>
          <w:rFonts w:eastAsia="黑体"/>
          <w:sz w:val="24"/>
        </w:rPr>
        <w:t>处罚为“其他”的</w:t>
      </w:r>
      <w:r>
        <w:rPr>
          <w:rFonts w:hint="eastAsia" w:eastAsia="黑体"/>
          <w:sz w:val="24"/>
          <w:lang w:eastAsia="zh-CN"/>
        </w:rPr>
        <w:t>国企</w:t>
      </w:r>
      <w:r>
        <w:rPr>
          <w:rFonts w:eastAsia="黑体"/>
          <w:sz w:val="24"/>
        </w:rPr>
        <w:t>上证A股AAR输出结果</w:t>
      </w:r>
    </w:p>
    <w:p>
      <w:pPr>
        <w:spacing w:line="360" w:lineRule="auto"/>
        <w:jc w:val="left"/>
        <w:rPr>
          <w:sz w:val="24"/>
          <w:szCs w:val="24"/>
        </w:rPr>
      </w:pPr>
    </w:p>
    <w:p>
      <w:pPr>
        <w:spacing w:line="360" w:lineRule="auto"/>
        <w:jc w:val="left"/>
        <w:rPr>
          <w:sz w:val="24"/>
          <w:szCs w:val="24"/>
        </w:rPr>
      </w:pPr>
      <w:r>
        <w:rPr>
          <w:sz w:val="24"/>
          <w:szCs w:val="24"/>
        </w:rPr>
        <w:drawing>
          <wp:inline distT="0" distB="0" distL="114300" distR="114300">
            <wp:extent cx="5394325" cy="1229360"/>
            <wp:effectExtent l="0" t="0" r="3175" b="2540"/>
            <wp:docPr id="35" name="图片 35" descr="R%{4]N$~)}HC@}JYM0_@H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R%{4]N$~)}HC@}JYM0_@HDD"/>
                    <pic:cNvPicPr>
                      <a:picLocks noChangeAspect="1"/>
                    </pic:cNvPicPr>
                  </pic:nvPicPr>
                  <pic:blipFill>
                    <a:blip r:embed="rId63"/>
                    <a:stretch>
                      <a:fillRect/>
                    </a:stretch>
                  </pic:blipFill>
                  <pic:spPr>
                    <a:xfrm>
                      <a:off x="0" y="0"/>
                      <a:ext cx="5394325" cy="1229360"/>
                    </a:xfrm>
                    <a:prstGeom prst="rect">
                      <a:avLst/>
                    </a:prstGeom>
                  </pic:spPr>
                </pic:pic>
              </a:graphicData>
            </a:graphic>
          </wp:inline>
        </w:drawing>
      </w:r>
    </w:p>
    <w:p>
      <w:pPr>
        <w:spacing w:line="360" w:lineRule="auto"/>
        <w:ind w:left="120" w:hanging="120" w:hangingChars="50"/>
        <w:jc w:val="center"/>
        <w:rPr>
          <w:rFonts w:eastAsia="黑体"/>
          <w:sz w:val="24"/>
        </w:rPr>
      </w:pPr>
      <w:r>
        <w:rPr>
          <w:rFonts w:eastAsia="黑体"/>
          <w:sz w:val="24"/>
        </w:rPr>
        <w:t>图28</w:t>
      </w:r>
      <w:r>
        <w:rPr>
          <w:kern w:val="0"/>
          <w:sz w:val="24"/>
        </w:rPr>
        <w:t xml:space="preserve">  </w:t>
      </w:r>
      <w:r>
        <w:rPr>
          <w:rFonts w:eastAsia="黑体"/>
          <w:sz w:val="24"/>
        </w:rPr>
        <w:t>处罚为“其他”的</w:t>
      </w:r>
      <w:r>
        <w:rPr>
          <w:rFonts w:hint="eastAsia" w:eastAsia="黑体"/>
          <w:sz w:val="24"/>
          <w:lang w:eastAsia="zh-CN"/>
        </w:rPr>
        <w:t>国企</w:t>
      </w:r>
      <w:r>
        <w:rPr>
          <w:rFonts w:eastAsia="黑体"/>
          <w:sz w:val="24"/>
        </w:rPr>
        <w:t>上证A股CAAR输出结果</w:t>
      </w:r>
    </w:p>
    <w:p>
      <w:pPr>
        <w:spacing w:line="360" w:lineRule="auto"/>
        <w:jc w:val="left"/>
        <w:rPr>
          <w:sz w:val="24"/>
          <w:szCs w:val="24"/>
        </w:rPr>
      </w:pPr>
    </w:p>
    <w:p>
      <w:pPr>
        <w:spacing w:line="360" w:lineRule="auto"/>
        <w:jc w:val="left"/>
        <w:rPr>
          <w:sz w:val="24"/>
          <w:szCs w:val="24"/>
        </w:rPr>
      </w:pPr>
      <w:r>
        <w:rPr>
          <w:sz w:val="24"/>
          <w:szCs w:val="24"/>
        </w:rPr>
        <w:drawing>
          <wp:inline distT="0" distB="0" distL="114300" distR="114300">
            <wp:extent cx="5392420" cy="2662555"/>
            <wp:effectExtent l="0" t="0" r="5080" b="4445"/>
            <wp:docPr id="36" name="图片 36" descr="1]0X7(`SQY)8`_UP]IMD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0X7(`SQY)8`_UP]IMDT{E"/>
                    <pic:cNvPicPr>
                      <a:picLocks noChangeAspect="1"/>
                    </pic:cNvPicPr>
                  </pic:nvPicPr>
                  <pic:blipFill>
                    <a:blip r:embed="rId64"/>
                    <a:stretch>
                      <a:fillRect/>
                    </a:stretch>
                  </pic:blipFill>
                  <pic:spPr>
                    <a:xfrm>
                      <a:off x="0" y="0"/>
                      <a:ext cx="5392420" cy="2662555"/>
                    </a:xfrm>
                    <a:prstGeom prst="rect">
                      <a:avLst/>
                    </a:prstGeom>
                  </pic:spPr>
                </pic:pic>
              </a:graphicData>
            </a:graphic>
          </wp:inline>
        </w:drawing>
      </w:r>
    </w:p>
    <w:p>
      <w:pPr>
        <w:spacing w:line="360" w:lineRule="auto"/>
        <w:ind w:left="120" w:hanging="120" w:hangingChars="50"/>
        <w:jc w:val="center"/>
        <w:rPr>
          <w:rFonts w:eastAsia="黑体"/>
          <w:sz w:val="24"/>
        </w:rPr>
      </w:pPr>
      <w:r>
        <w:rPr>
          <w:rFonts w:eastAsia="黑体"/>
          <w:sz w:val="24"/>
        </w:rPr>
        <w:t>图29</w:t>
      </w:r>
      <w:r>
        <w:rPr>
          <w:kern w:val="0"/>
          <w:sz w:val="24"/>
        </w:rPr>
        <w:t xml:space="preserve">  </w:t>
      </w:r>
      <w:r>
        <w:rPr>
          <w:rFonts w:eastAsia="黑体"/>
          <w:sz w:val="24"/>
        </w:rPr>
        <w:t>处罚为“其他”的</w:t>
      </w:r>
      <w:r>
        <w:rPr>
          <w:rFonts w:hint="eastAsia" w:eastAsia="黑体"/>
          <w:sz w:val="24"/>
          <w:lang w:eastAsia="zh-CN"/>
        </w:rPr>
        <w:t>国企</w:t>
      </w:r>
      <w:r>
        <w:rPr>
          <w:rFonts w:eastAsia="黑体"/>
          <w:sz w:val="24"/>
        </w:rPr>
        <w:t>深证主板A股AAR输出结果</w:t>
      </w:r>
    </w:p>
    <w:p>
      <w:pPr>
        <w:spacing w:line="360" w:lineRule="auto"/>
        <w:jc w:val="left"/>
        <w:rPr>
          <w:sz w:val="24"/>
          <w:szCs w:val="24"/>
        </w:rPr>
      </w:pPr>
    </w:p>
    <w:p>
      <w:pPr>
        <w:spacing w:line="360" w:lineRule="auto"/>
        <w:jc w:val="left"/>
        <w:rPr>
          <w:sz w:val="24"/>
          <w:szCs w:val="24"/>
        </w:rPr>
      </w:pPr>
      <w:r>
        <w:rPr>
          <w:sz w:val="24"/>
          <w:szCs w:val="24"/>
        </w:rPr>
        <w:drawing>
          <wp:inline distT="0" distB="0" distL="114300" distR="114300">
            <wp:extent cx="5390515" cy="1196340"/>
            <wp:effectExtent l="0" t="0" r="6985" b="10160"/>
            <wp:docPr id="37" name="图片 37" descr="8$$0[R[GHG1I@`(Z_LN7}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8$$0[R[GHG1I@`(Z_LN7}CN"/>
                    <pic:cNvPicPr>
                      <a:picLocks noChangeAspect="1"/>
                    </pic:cNvPicPr>
                  </pic:nvPicPr>
                  <pic:blipFill>
                    <a:blip r:embed="rId65"/>
                    <a:stretch>
                      <a:fillRect/>
                    </a:stretch>
                  </pic:blipFill>
                  <pic:spPr>
                    <a:xfrm>
                      <a:off x="0" y="0"/>
                      <a:ext cx="5390515" cy="1196340"/>
                    </a:xfrm>
                    <a:prstGeom prst="rect">
                      <a:avLst/>
                    </a:prstGeom>
                  </pic:spPr>
                </pic:pic>
              </a:graphicData>
            </a:graphic>
          </wp:inline>
        </w:drawing>
      </w:r>
    </w:p>
    <w:p>
      <w:pPr>
        <w:spacing w:line="360" w:lineRule="auto"/>
        <w:ind w:left="120" w:hanging="120" w:hangingChars="50"/>
        <w:jc w:val="center"/>
        <w:rPr>
          <w:rFonts w:eastAsia="黑体"/>
          <w:sz w:val="24"/>
        </w:rPr>
      </w:pPr>
      <w:r>
        <w:rPr>
          <w:rFonts w:eastAsia="黑体"/>
          <w:sz w:val="24"/>
        </w:rPr>
        <w:t>图30</w:t>
      </w:r>
      <w:r>
        <w:rPr>
          <w:kern w:val="0"/>
          <w:sz w:val="24"/>
        </w:rPr>
        <w:t xml:space="preserve">  </w:t>
      </w:r>
      <w:r>
        <w:rPr>
          <w:rFonts w:eastAsia="黑体"/>
          <w:sz w:val="24"/>
        </w:rPr>
        <w:t>处罚为“其他”的</w:t>
      </w:r>
      <w:r>
        <w:rPr>
          <w:rFonts w:hint="eastAsia" w:eastAsia="黑体"/>
          <w:sz w:val="24"/>
          <w:lang w:eastAsia="zh-CN"/>
        </w:rPr>
        <w:t>国企</w:t>
      </w:r>
      <w:r>
        <w:rPr>
          <w:rFonts w:eastAsia="黑体"/>
          <w:sz w:val="24"/>
        </w:rPr>
        <w:t>深证主板A股CAAR输出结果</w:t>
      </w:r>
    </w:p>
    <w:p>
      <w:pPr>
        <w:spacing w:line="360" w:lineRule="auto"/>
        <w:jc w:val="left"/>
        <w:rPr>
          <w:sz w:val="24"/>
          <w:szCs w:val="24"/>
        </w:rPr>
      </w:pPr>
    </w:p>
    <w:p>
      <w:pPr>
        <w:spacing w:line="360" w:lineRule="auto"/>
        <w:jc w:val="left"/>
        <w:rPr>
          <w:sz w:val="24"/>
          <w:szCs w:val="24"/>
        </w:rPr>
      </w:pPr>
      <w:r>
        <w:rPr>
          <w:sz w:val="24"/>
          <w:szCs w:val="24"/>
        </w:rPr>
        <w:drawing>
          <wp:inline distT="0" distB="0" distL="114300" distR="114300">
            <wp:extent cx="5390515" cy="2722245"/>
            <wp:effectExtent l="0" t="0" r="6985" b="8255"/>
            <wp:docPr id="38" name="图片 38" descr="4X0I8H9XI%4U5~3UIW_SH8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4X0I8H9XI%4U5~3UIW_SH8N"/>
                    <pic:cNvPicPr>
                      <a:picLocks noChangeAspect="1"/>
                    </pic:cNvPicPr>
                  </pic:nvPicPr>
                  <pic:blipFill>
                    <a:blip r:embed="rId66"/>
                    <a:stretch>
                      <a:fillRect/>
                    </a:stretch>
                  </pic:blipFill>
                  <pic:spPr>
                    <a:xfrm>
                      <a:off x="0" y="0"/>
                      <a:ext cx="5390515" cy="2722245"/>
                    </a:xfrm>
                    <a:prstGeom prst="rect">
                      <a:avLst/>
                    </a:prstGeom>
                  </pic:spPr>
                </pic:pic>
              </a:graphicData>
            </a:graphic>
          </wp:inline>
        </w:drawing>
      </w:r>
    </w:p>
    <w:p>
      <w:pPr>
        <w:spacing w:line="360" w:lineRule="auto"/>
        <w:ind w:left="120" w:hanging="120" w:hangingChars="50"/>
        <w:jc w:val="center"/>
        <w:rPr>
          <w:rFonts w:eastAsia="黑体"/>
          <w:sz w:val="24"/>
        </w:rPr>
      </w:pPr>
      <w:r>
        <w:rPr>
          <w:rFonts w:eastAsia="黑体"/>
          <w:sz w:val="24"/>
        </w:rPr>
        <w:t>图31</w:t>
      </w:r>
      <w:r>
        <w:rPr>
          <w:kern w:val="0"/>
          <w:sz w:val="24"/>
        </w:rPr>
        <w:t xml:space="preserve">  </w:t>
      </w:r>
      <w:r>
        <w:rPr>
          <w:rFonts w:eastAsia="黑体"/>
          <w:sz w:val="24"/>
        </w:rPr>
        <w:t>处罚为“其他”的</w:t>
      </w:r>
      <w:r>
        <w:rPr>
          <w:rFonts w:hint="eastAsia" w:eastAsia="黑体"/>
          <w:sz w:val="24"/>
          <w:lang w:eastAsia="zh-CN"/>
        </w:rPr>
        <w:t>民营</w:t>
      </w:r>
      <w:r>
        <w:rPr>
          <w:rFonts w:eastAsia="黑体"/>
          <w:sz w:val="24"/>
        </w:rPr>
        <w:t>上证A股AAR输出结果</w:t>
      </w:r>
    </w:p>
    <w:p>
      <w:pPr>
        <w:spacing w:line="360" w:lineRule="auto"/>
        <w:jc w:val="left"/>
        <w:rPr>
          <w:sz w:val="24"/>
          <w:szCs w:val="24"/>
        </w:rPr>
      </w:pPr>
    </w:p>
    <w:p>
      <w:pPr>
        <w:spacing w:line="360" w:lineRule="auto"/>
        <w:jc w:val="left"/>
        <w:rPr>
          <w:sz w:val="24"/>
          <w:szCs w:val="24"/>
        </w:rPr>
      </w:pPr>
      <w:r>
        <w:rPr>
          <w:sz w:val="24"/>
          <w:szCs w:val="24"/>
        </w:rPr>
        <w:drawing>
          <wp:inline distT="0" distB="0" distL="114300" distR="114300">
            <wp:extent cx="5389880" cy="1191895"/>
            <wp:effectExtent l="0" t="0" r="7620" b="1905"/>
            <wp:docPr id="39" name="图片 39" descr="P{~6Z)PD78ILZ[PU_E{_{1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P{~6Z)PD78ILZ[PU_E{_{1T"/>
                    <pic:cNvPicPr>
                      <a:picLocks noChangeAspect="1"/>
                    </pic:cNvPicPr>
                  </pic:nvPicPr>
                  <pic:blipFill>
                    <a:blip r:embed="rId67"/>
                    <a:stretch>
                      <a:fillRect/>
                    </a:stretch>
                  </pic:blipFill>
                  <pic:spPr>
                    <a:xfrm>
                      <a:off x="0" y="0"/>
                      <a:ext cx="5389880" cy="1191895"/>
                    </a:xfrm>
                    <a:prstGeom prst="rect">
                      <a:avLst/>
                    </a:prstGeom>
                  </pic:spPr>
                </pic:pic>
              </a:graphicData>
            </a:graphic>
          </wp:inline>
        </w:drawing>
      </w:r>
    </w:p>
    <w:p>
      <w:pPr>
        <w:spacing w:line="360" w:lineRule="auto"/>
        <w:ind w:left="120" w:hanging="120" w:hangingChars="50"/>
        <w:jc w:val="center"/>
        <w:rPr>
          <w:rFonts w:eastAsia="黑体"/>
          <w:sz w:val="24"/>
        </w:rPr>
      </w:pPr>
      <w:r>
        <w:rPr>
          <w:rFonts w:eastAsia="黑体"/>
          <w:sz w:val="24"/>
        </w:rPr>
        <w:t>图32</w:t>
      </w:r>
      <w:r>
        <w:rPr>
          <w:kern w:val="0"/>
          <w:sz w:val="24"/>
        </w:rPr>
        <w:t xml:space="preserve">  </w:t>
      </w:r>
      <w:r>
        <w:rPr>
          <w:rFonts w:eastAsia="黑体"/>
          <w:sz w:val="24"/>
        </w:rPr>
        <w:t>处罚为“其他”的</w:t>
      </w:r>
      <w:r>
        <w:rPr>
          <w:rFonts w:hint="eastAsia" w:eastAsia="黑体"/>
          <w:sz w:val="24"/>
          <w:lang w:eastAsia="zh-CN"/>
        </w:rPr>
        <w:t>民营</w:t>
      </w:r>
      <w:r>
        <w:rPr>
          <w:rFonts w:eastAsia="黑体"/>
          <w:sz w:val="24"/>
        </w:rPr>
        <w:t>上证A股CAAR输出结果</w:t>
      </w:r>
    </w:p>
    <w:p>
      <w:pPr>
        <w:spacing w:line="360" w:lineRule="auto"/>
        <w:jc w:val="left"/>
        <w:rPr>
          <w:sz w:val="24"/>
          <w:szCs w:val="24"/>
        </w:rPr>
      </w:pPr>
    </w:p>
    <w:p>
      <w:pPr>
        <w:spacing w:line="360" w:lineRule="auto"/>
        <w:jc w:val="left"/>
        <w:rPr>
          <w:sz w:val="24"/>
          <w:szCs w:val="24"/>
        </w:rPr>
      </w:pPr>
      <w:r>
        <w:rPr>
          <w:sz w:val="24"/>
          <w:szCs w:val="24"/>
        </w:rPr>
        <w:drawing>
          <wp:inline distT="0" distB="0" distL="114300" distR="114300">
            <wp:extent cx="5397500" cy="2743200"/>
            <wp:effectExtent l="0" t="0" r="0" b="0"/>
            <wp:docPr id="40" name="图片 40" descr="U$GG@OA$5[]GZ_3V)45}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U$GG@OA$5[]GZ_3V)45}D(X"/>
                    <pic:cNvPicPr>
                      <a:picLocks noChangeAspect="1"/>
                    </pic:cNvPicPr>
                  </pic:nvPicPr>
                  <pic:blipFill>
                    <a:blip r:embed="rId68"/>
                    <a:stretch>
                      <a:fillRect/>
                    </a:stretch>
                  </pic:blipFill>
                  <pic:spPr>
                    <a:xfrm>
                      <a:off x="0" y="0"/>
                      <a:ext cx="5397500" cy="2743200"/>
                    </a:xfrm>
                    <a:prstGeom prst="rect">
                      <a:avLst/>
                    </a:prstGeom>
                  </pic:spPr>
                </pic:pic>
              </a:graphicData>
            </a:graphic>
          </wp:inline>
        </w:drawing>
      </w:r>
    </w:p>
    <w:p>
      <w:pPr>
        <w:spacing w:line="360" w:lineRule="auto"/>
        <w:ind w:left="120" w:hanging="120" w:hangingChars="50"/>
        <w:jc w:val="center"/>
        <w:rPr>
          <w:rFonts w:eastAsia="黑体"/>
          <w:sz w:val="24"/>
        </w:rPr>
      </w:pPr>
      <w:r>
        <w:rPr>
          <w:rFonts w:eastAsia="黑体"/>
          <w:sz w:val="24"/>
        </w:rPr>
        <w:t>图33</w:t>
      </w:r>
      <w:r>
        <w:rPr>
          <w:kern w:val="0"/>
          <w:sz w:val="24"/>
        </w:rPr>
        <w:t xml:space="preserve">  </w:t>
      </w:r>
      <w:r>
        <w:rPr>
          <w:rFonts w:eastAsia="黑体"/>
          <w:sz w:val="24"/>
        </w:rPr>
        <w:t>处罚为“其他”的</w:t>
      </w:r>
      <w:r>
        <w:rPr>
          <w:rFonts w:hint="eastAsia" w:eastAsia="黑体"/>
          <w:sz w:val="24"/>
          <w:lang w:eastAsia="zh-CN"/>
        </w:rPr>
        <w:t>民营</w:t>
      </w:r>
      <w:r>
        <w:rPr>
          <w:rFonts w:eastAsia="黑体"/>
          <w:sz w:val="24"/>
        </w:rPr>
        <w:t>深证主板A股AAR输出结果</w:t>
      </w:r>
    </w:p>
    <w:p>
      <w:pPr>
        <w:spacing w:line="360" w:lineRule="auto"/>
        <w:jc w:val="left"/>
        <w:rPr>
          <w:sz w:val="24"/>
          <w:szCs w:val="24"/>
        </w:rPr>
      </w:pPr>
    </w:p>
    <w:p>
      <w:pPr>
        <w:spacing w:line="360" w:lineRule="auto"/>
        <w:jc w:val="left"/>
        <w:rPr>
          <w:sz w:val="24"/>
          <w:szCs w:val="24"/>
        </w:rPr>
      </w:pPr>
      <w:r>
        <w:rPr>
          <w:sz w:val="24"/>
          <w:szCs w:val="24"/>
        </w:rPr>
        <w:drawing>
          <wp:inline distT="0" distB="0" distL="114300" distR="114300">
            <wp:extent cx="5392420" cy="1209040"/>
            <wp:effectExtent l="0" t="0" r="5080" b="10160"/>
            <wp:docPr id="41" name="图片 41" descr="A7GCCO]DJ02U9(VU~)]8P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A7GCCO]DJ02U9(VU~)]8PIW"/>
                    <pic:cNvPicPr>
                      <a:picLocks noChangeAspect="1"/>
                    </pic:cNvPicPr>
                  </pic:nvPicPr>
                  <pic:blipFill>
                    <a:blip r:embed="rId69"/>
                    <a:stretch>
                      <a:fillRect/>
                    </a:stretch>
                  </pic:blipFill>
                  <pic:spPr>
                    <a:xfrm>
                      <a:off x="0" y="0"/>
                      <a:ext cx="5392420" cy="1209040"/>
                    </a:xfrm>
                    <a:prstGeom prst="rect">
                      <a:avLst/>
                    </a:prstGeom>
                  </pic:spPr>
                </pic:pic>
              </a:graphicData>
            </a:graphic>
          </wp:inline>
        </w:drawing>
      </w:r>
    </w:p>
    <w:p>
      <w:pPr>
        <w:spacing w:line="360" w:lineRule="auto"/>
        <w:ind w:left="120" w:hanging="120" w:hangingChars="50"/>
        <w:jc w:val="center"/>
        <w:rPr>
          <w:rFonts w:eastAsia="黑体"/>
          <w:sz w:val="24"/>
        </w:rPr>
      </w:pPr>
      <w:r>
        <w:rPr>
          <w:rFonts w:eastAsia="黑体"/>
          <w:sz w:val="24"/>
        </w:rPr>
        <w:t>图34</w:t>
      </w:r>
      <w:r>
        <w:rPr>
          <w:kern w:val="0"/>
          <w:sz w:val="24"/>
        </w:rPr>
        <w:t xml:space="preserve">  </w:t>
      </w:r>
      <w:r>
        <w:rPr>
          <w:rFonts w:eastAsia="黑体"/>
          <w:sz w:val="24"/>
        </w:rPr>
        <w:t>处罚为“其他”的</w:t>
      </w:r>
      <w:r>
        <w:rPr>
          <w:rFonts w:hint="eastAsia" w:eastAsia="黑体"/>
          <w:sz w:val="24"/>
          <w:lang w:eastAsia="zh-CN"/>
        </w:rPr>
        <w:t>民营</w:t>
      </w:r>
      <w:r>
        <w:rPr>
          <w:rFonts w:eastAsia="黑体"/>
          <w:sz w:val="24"/>
        </w:rPr>
        <w:t>深证主板A股CAAR输出结果</w:t>
      </w:r>
    </w:p>
    <w:p>
      <w:pPr>
        <w:spacing w:line="360" w:lineRule="auto"/>
        <w:jc w:val="center"/>
        <w:rPr>
          <w:sz w:val="24"/>
        </w:rPr>
      </w:pPr>
    </w:p>
    <w:p>
      <w:pPr>
        <w:spacing w:line="360" w:lineRule="auto"/>
        <w:jc w:val="center"/>
        <w:rPr>
          <w:sz w:val="24"/>
        </w:rPr>
      </w:pPr>
    </w:p>
    <w:p>
      <w:pPr>
        <w:spacing w:line="360" w:lineRule="auto"/>
        <w:jc w:val="center"/>
        <w:rPr>
          <w:sz w:val="24"/>
        </w:rPr>
      </w:pPr>
    </w:p>
    <w:p>
      <w:pPr>
        <w:spacing w:line="360" w:lineRule="auto"/>
        <w:jc w:val="center"/>
        <w:rPr>
          <w:sz w:val="24"/>
        </w:rPr>
      </w:pPr>
    </w:p>
    <w:p>
      <w:pPr>
        <w:spacing w:line="360" w:lineRule="auto"/>
        <w:jc w:val="center"/>
        <w:rPr>
          <w:sz w:val="24"/>
        </w:rPr>
      </w:pPr>
    </w:p>
    <w:p>
      <w:pPr>
        <w:rPr>
          <w:rFonts w:eastAsia="楷体_GB2312"/>
          <w:color w:val="FF0000"/>
        </w:rPr>
      </w:pPr>
      <w:r>
        <w:rPr>
          <w:rFonts w:eastAsia="楷体_GB2312"/>
          <w:color w:val="FF0000"/>
        </w:rPr>
        <w:br w:type="page"/>
      </w:r>
    </w:p>
    <w:p>
      <w:pPr>
        <w:jc w:val="both"/>
        <w:rPr>
          <w:rFonts w:hint="eastAsia"/>
          <w:sz w:val="32"/>
        </w:rPr>
      </w:pPr>
    </w:p>
    <w:p>
      <w:pPr>
        <w:jc w:val="center"/>
        <w:rPr>
          <w:rFonts w:hint="eastAsia" w:hAnsi="宋体"/>
          <w:kern w:val="0"/>
          <w:lang/>
        </w:rPr>
      </w:pPr>
      <w:r>
        <w:rPr>
          <w:rFonts w:hAnsi="宋体"/>
          <w:kern w:val="0"/>
          <w:lang/>
        </w:rPr>
        <w:object>
          <v:shape id="_x0000_i1026" o:spt="75" type="#_x0000_t75" style="height:46.5pt;width:206.2pt;" o:ole="t" fillcolor="#FFFFFF" filled="t" stroked="f" coordsize="21600,21600">
            <v:path/>
            <v:fill on="t" alignshape="1" focussize="0,0"/>
            <v:stroke on="f"/>
            <v:imagedata r:id="rId71" grayscale="t" bilevel="t" o:title=""/>
            <o:lock v:ext="edit" aspectratio="t"/>
            <w10:wrap type="none"/>
            <w10:anchorlock/>
          </v:shape>
          <o:OLEObject Type="Embed" ProgID="Word.Picture.8" ShapeID="_x0000_i1026" DrawAspect="Content" ObjectID="_1468075726" r:id="rId70">
            <o:LockedField>false</o:LockedField>
          </o:OLEObject>
        </w:object>
      </w:r>
    </w:p>
    <w:p>
      <w:pPr>
        <w:jc w:val="center"/>
        <w:rPr>
          <w:rFonts w:eastAsia="华文行楷"/>
          <w:sz w:val="44"/>
        </w:rPr>
      </w:pPr>
    </w:p>
    <w:p>
      <w:pPr>
        <w:tabs>
          <w:tab w:val="left" w:pos="0"/>
        </w:tabs>
        <w:jc w:val="center"/>
        <w:rPr>
          <w:rFonts w:ascii="华文中宋" w:hAnsi="华文中宋" w:eastAsia="华文中宋"/>
          <w:b/>
          <w:bCs/>
          <w:kern w:val="0"/>
          <w:sz w:val="44"/>
          <w:szCs w:val="44"/>
          <w:lang/>
        </w:rPr>
      </w:pPr>
      <w:r>
        <w:rPr>
          <w:rFonts w:hint="eastAsia" w:ascii="华文中宋" w:hAnsi="华文中宋" w:eastAsia="华文中宋"/>
          <w:b/>
          <w:bCs/>
          <w:kern w:val="0"/>
          <w:sz w:val="44"/>
          <w:szCs w:val="44"/>
          <w:lang/>
        </w:rPr>
        <w:t>本科毕业设计（论文）任务书</w:t>
      </w:r>
    </w:p>
    <w:p>
      <w:pPr>
        <w:rPr>
          <w:sz w:val="32"/>
        </w:rPr>
      </w:pPr>
    </w:p>
    <w:p>
      <w:pPr>
        <w:spacing w:line="600" w:lineRule="exact"/>
        <w:ind w:firstLine="640" w:firstLineChars="200"/>
        <w:jc w:val="center"/>
        <w:rPr>
          <w:rFonts w:hint="default" w:eastAsia="仿宋_GB2312"/>
          <w:sz w:val="32"/>
          <w:u w:val="single"/>
          <w:lang w:val="en-US"/>
        </w:rPr>
      </w:pPr>
      <w:r>
        <w:rPr>
          <w:rFonts w:hint="eastAsia" w:ascii="华文中宋" w:hAnsi="华文中宋" w:eastAsia="华文中宋"/>
          <w:bCs/>
          <w:sz w:val="32"/>
        </w:rPr>
        <w:t>题</w:t>
      </w:r>
      <w:r>
        <w:rPr>
          <w:rFonts w:ascii="华文中宋" w:hAnsi="华文中宋" w:eastAsia="华文中宋"/>
          <w:bCs/>
          <w:sz w:val="32"/>
        </w:rPr>
        <w:t xml:space="preserve">    </w:t>
      </w:r>
      <w:r>
        <w:rPr>
          <w:rFonts w:hint="eastAsia" w:ascii="华文中宋" w:hAnsi="华文中宋" w:eastAsia="华文中宋"/>
          <w:bCs/>
          <w:sz w:val="32"/>
        </w:rPr>
        <w:t>目</w:t>
      </w:r>
      <w:r>
        <w:rPr>
          <w:rFonts w:eastAsia="仿宋_GB2312"/>
          <w:sz w:val="32"/>
          <w:u w:val="single"/>
        </w:rPr>
        <w:t xml:space="preserve">   </w:t>
      </w:r>
      <w:r>
        <w:rPr>
          <w:rFonts w:hint="eastAsia" w:eastAsia="仿宋_GB2312"/>
          <w:sz w:val="32"/>
          <w:u w:val="single"/>
          <w:lang w:val="en-US" w:eastAsia="zh-CN"/>
        </w:rPr>
        <w:t>企业违规处罚公告与股票收益</w:t>
      </w:r>
    </w:p>
    <w:p>
      <w:pPr>
        <w:spacing w:line="720" w:lineRule="auto"/>
        <w:jc w:val="center"/>
        <w:rPr>
          <w:rFonts w:hint="eastAsia" w:ascii="华文中宋" w:hAnsi="华文中宋" w:eastAsia="华文中宋"/>
          <w:bCs/>
          <w:sz w:val="24"/>
        </w:rPr>
      </w:pPr>
      <w:r>
        <w:rPr>
          <w:rFonts w:hint="eastAsia" w:ascii="华文中宋" w:hAnsi="华文中宋" w:eastAsia="华文中宋"/>
          <w:bCs/>
          <w:sz w:val="24"/>
        </w:rPr>
        <w:t>（任务起止日期：</w:t>
      </w:r>
      <w:r>
        <w:rPr>
          <w:rFonts w:ascii="华文中宋" w:hAnsi="华文中宋" w:eastAsia="华文中宋"/>
          <w:bCs/>
          <w:sz w:val="24"/>
        </w:rPr>
        <w:t>20</w:t>
      </w:r>
      <w:r>
        <w:rPr>
          <w:rFonts w:hint="eastAsia" w:ascii="华文中宋" w:hAnsi="华文中宋" w:eastAsia="华文中宋"/>
          <w:bCs/>
          <w:sz w:val="24"/>
          <w:lang w:val="en-US" w:eastAsia="zh-CN"/>
        </w:rPr>
        <w:t>21</w:t>
      </w:r>
      <w:r>
        <w:rPr>
          <w:rFonts w:hint="eastAsia" w:ascii="华文中宋" w:hAnsi="华文中宋" w:eastAsia="华文中宋"/>
          <w:bCs/>
          <w:sz w:val="24"/>
        </w:rPr>
        <w:t>年</w:t>
      </w:r>
      <w:r>
        <w:rPr>
          <w:rFonts w:hint="eastAsia" w:ascii="华文中宋" w:hAnsi="华文中宋" w:eastAsia="华文中宋"/>
          <w:bCs/>
          <w:sz w:val="24"/>
          <w:lang w:val="en-US" w:eastAsia="zh-CN"/>
        </w:rPr>
        <w:t>11</w:t>
      </w:r>
      <w:r>
        <w:rPr>
          <w:rFonts w:hint="eastAsia" w:ascii="华文中宋" w:hAnsi="华文中宋" w:eastAsia="华文中宋"/>
          <w:bCs/>
          <w:sz w:val="24"/>
        </w:rPr>
        <w:t>月</w:t>
      </w:r>
      <w:r>
        <w:rPr>
          <w:rFonts w:hint="eastAsia" w:ascii="华文中宋" w:hAnsi="华文中宋" w:eastAsia="华文中宋"/>
          <w:bCs/>
          <w:sz w:val="24"/>
          <w:lang w:val="en-US" w:eastAsia="zh-CN"/>
        </w:rPr>
        <w:t>2</w:t>
      </w:r>
      <w:r>
        <w:rPr>
          <w:rFonts w:hint="eastAsia" w:ascii="华文中宋" w:hAnsi="华文中宋" w:eastAsia="华文中宋"/>
          <w:bCs/>
          <w:sz w:val="24"/>
        </w:rPr>
        <w:t>日～20</w:t>
      </w:r>
      <w:r>
        <w:rPr>
          <w:rFonts w:hint="eastAsia" w:ascii="华文中宋" w:hAnsi="华文中宋" w:eastAsia="华文中宋"/>
          <w:bCs/>
          <w:sz w:val="24"/>
          <w:lang w:val="en-US" w:eastAsia="zh-CN"/>
        </w:rPr>
        <w:t>2</w:t>
      </w:r>
      <w:r>
        <w:rPr>
          <w:rFonts w:hint="eastAsia" w:ascii="华文中宋" w:hAnsi="华文中宋" w:eastAsia="华文中宋"/>
          <w:bCs/>
          <w:sz w:val="24"/>
          <w:lang w:val="en-US" w:eastAsia="zh-CN"/>
        </w:rPr>
        <w:t>2</w:t>
      </w:r>
      <w:r>
        <w:rPr>
          <w:rFonts w:hint="eastAsia" w:ascii="华文中宋" w:hAnsi="华文中宋" w:eastAsia="华文中宋"/>
          <w:bCs/>
          <w:sz w:val="24"/>
        </w:rPr>
        <w:t>年</w:t>
      </w:r>
      <w:r>
        <w:rPr>
          <w:rFonts w:hint="eastAsia" w:ascii="华文中宋" w:hAnsi="华文中宋" w:eastAsia="华文中宋"/>
          <w:bCs/>
          <w:sz w:val="24"/>
          <w:lang w:val="en-US" w:eastAsia="zh-CN"/>
        </w:rPr>
        <w:t>6</w:t>
      </w:r>
      <w:r>
        <w:rPr>
          <w:rFonts w:hint="eastAsia" w:ascii="华文中宋" w:hAnsi="华文中宋" w:eastAsia="华文中宋"/>
          <w:bCs/>
          <w:sz w:val="24"/>
        </w:rPr>
        <w:t>月</w:t>
      </w:r>
      <w:r>
        <w:rPr>
          <w:rFonts w:hint="eastAsia" w:ascii="华文中宋" w:hAnsi="华文中宋" w:eastAsia="华文中宋"/>
          <w:bCs/>
          <w:sz w:val="24"/>
          <w:lang w:val="en-US" w:eastAsia="zh-CN"/>
        </w:rPr>
        <w:t>5</w:t>
      </w:r>
      <w:r>
        <w:rPr>
          <w:rFonts w:hint="eastAsia" w:ascii="华文中宋" w:hAnsi="华文中宋" w:eastAsia="华文中宋"/>
          <w:bCs/>
          <w:sz w:val="24"/>
        </w:rPr>
        <w:t>日）</w:t>
      </w:r>
    </w:p>
    <w:p>
      <w:pPr>
        <w:spacing w:line="720" w:lineRule="auto"/>
        <w:jc w:val="center"/>
        <w:rPr>
          <w:rFonts w:hint="eastAsia" w:ascii="华文中宋" w:hAnsi="华文中宋" w:eastAsia="华文中宋"/>
          <w:kern w:val="0"/>
          <w:sz w:val="32"/>
          <w:szCs w:val="32"/>
          <w:lang/>
        </w:rPr>
      </w:pPr>
    </w:p>
    <w:p>
      <w:pPr>
        <w:spacing w:line="720" w:lineRule="auto"/>
        <w:ind w:firstLine="1600" w:firstLineChars="500"/>
        <w:rPr>
          <w:rFonts w:hint="eastAsia" w:ascii="华文中宋" w:hAnsi="华文中宋" w:eastAsia="华文中宋"/>
          <w:kern w:val="0"/>
          <w:sz w:val="32"/>
          <w:szCs w:val="32"/>
          <w:lang/>
        </w:rPr>
      </w:pPr>
      <w:r>
        <w:rPr>
          <w:rFonts w:hint="eastAsia" w:ascii="华文中宋" w:hAnsi="华文中宋" w:eastAsia="华文中宋"/>
          <w:kern w:val="0"/>
          <w:sz w:val="32"/>
          <w:szCs w:val="32"/>
          <w:lang/>
        </w:rPr>
        <w:t>院    系</w:t>
      </w:r>
      <w:r>
        <w:rPr>
          <w:rFonts w:eastAsia="仿宋_GB2312"/>
          <w:sz w:val="32"/>
          <w:u w:val="single"/>
        </w:rPr>
        <w:t xml:space="preserve">     </w:t>
      </w:r>
      <w:r>
        <w:rPr>
          <w:rFonts w:hint="eastAsia" w:eastAsia="仿宋_GB2312"/>
          <w:sz w:val="32"/>
          <w:u w:val="single"/>
          <w:lang w:val="en-US" w:eastAsia="zh-CN"/>
        </w:rPr>
        <w:t>管理学院财务金融系</w:t>
      </w:r>
      <w:r>
        <w:rPr>
          <w:rFonts w:eastAsia="仿宋_GB2312"/>
          <w:sz w:val="32"/>
          <w:u w:val="single"/>
        </w:rPr>
        <w:t xml:space="preserve">    </w:t>
      </w:r>
    </w:p>
    <w:p>
      <w:pPr>
        <w:spacing w:line="720" w:lineRule="auto"/>
        <w:ind w:firstLine="1600" w:firstLineChars="500"/>
        <w:rPr>
          <w:rFonts w:hint="eastAsia" w:ascii="华文中宋" w:hAnsi="华文中宋" w:eastAsia="华文中宋"/>
          <w:kern w:val="0"/>
          <w:sz w:val="32"/>
          <w:szCs w:val="32"/>
          <w:lang/>
        </w:rPr>
      </w:pPr>
      <w:r>
        <w:rPr>
          <w:rFonts w:hint="eastAsia" w:ascii="华文中宋" w:hAnsi="华文中宋" w:eastAsia="华文中宋"/>
          <w:kern w:val="0"/>
          <w:sz w:val="32"/>
          <w:szCs w:val="32"/>
          <w:lang/>
        </w:rPr>
        <w:t>专业班级</w:t>
      </w:r>
      <w:r>
        <w:rPr>
          <w:rFonts w:eastAsia="仿宋_GB2312"/>
          <w:sz w:val="32"/>
          <w:u w:val="single"/>
        </w:rPr>
        <w:t xml:space="preserve">       </w:t>
      </w:r>
      <w:r>
        <w:rPr>
          <w:rFonts w:hint="eastAsia" w:eastAsia="仿宋_GB2312"/>
          <w:sz w:val="32"/>
          <w:u w:val="single"/>
          <w:lang w:val="en-US" w:eastAsia="zh-CN"/>
        </w:rPr>
        <w:t>财务管理1802班</w:t>
      </w:r>
      <w:r>
        <w:rPr>
          <w:rFonts w:eastAsia="仿宋_GB2312"/>
          <w:sz w:val="32"/>
          <w:u w:val="single"/>
        </w:rPr>
        <w:t xml:space="preserve">     </w:t>
      </w:r>
    </w:p>
    <w:p>
      <w:pPr>
        <w:spacing w:line="720" w:lineRule="auto"/>
        <w:ind w:firstLine="1600" w:firstLineChars="500"/>
        <w:rPr>
          <w:rFonts w:hint="eastAsia" w:ascii="华文中宋" w:hAnsi="华文中宋" w:eastAsia="华文中宋"/>
          <w:kern w:val="0"/>
          <w:sz w:val="32"/>
          <w:szCs w:val="32"/>
          <w:lang/>
        </w:rPr>
      </w:pPr>
      <w:r>
        <w:rPr>
          <w:rFonts w:hint="eastAsia" w:ascii="华文中宋" w:hAnsi="华文中宋" w:eastAsia="华文中宋"/>
          <w:kern w:val="0"/>
          <w:sz w:val="32"/>
          <w:szCs w:val="32"/>
          <w:lang/>
        </w:rPr>
        <w:t>姓    名</w:t>
      </w:r>
      <w:r>
        <w:rPr>
          <w:rFonts w:eastAsia="仿宋_GB2312"/>
          <w:sz w:val="32"/>
          <w:u w:val="single"/>
        </w:rPr>
        <w:t xml:space="preserve">        </w:t>
      </w:r>
      <w:r>
        <w:rPr>
          <w:rFonts w:hint="eastAsia" w:eastAsia="仿宋_GB2312"/>
          <w:sz w:val="32"/>
          <w:u w:val="single"/>
          <w:lang w:val="en-US" w:eastAsia="zh-CN"/>
        </w:rPr>
        <w:t>周兆祺</w:t>
      </w:r>
      <w:r>
        <w:rPr>
          <w:rFonts w:eastAsia="仿宋_GB2312"/>
          <w:sz w:val="32"/>
          <w:u w:val="single"/>
        </w:rPr>
        <w:t xml:space="preserve">             </w:t>
      </w:r>
    </w:p>
    <w:p>
      <w:pPr>
        <w:spacing w:line="720" w:lineRule="auto"/>
        <w:ind w:firstLine="1600" w:firstLineChars="500"/>
        <w:rPr>
          <w:rFonts w:hint="eastAsia" w:ascii="华文中宋" w:hAnsi="华文中宋" w:eastAsia="华文中宋"/>
          <w:kern w:val="0"/>
          <w:sz w:val="32"/>
          <w:szCs w:val="32"/>
          <w:lang/>
        </w:rPr>
      </w:pPr>
      <w:r>
        <w:rPr>
          <w:rFonts w:hint="eastAsia" w:ascii="华文中宋" w:hAnsi="华文中宋" w:eastAsia="华文中宋"/>
          <w:kern w:val="0"/>
          <w:sz w:val="32"/>
          <w:szCs w:val="32"/>
          <w:lang/>
        </w:rPr>
        <w:t>学    号</w:t>
      </w:r>
      <w:r>
        <w:rPr>
          <w:rFonts w:eastAsia="仿宋_GB2312"/>
          <w:sz w:val="32"/>
          <w:u w:val="single"/>
        </w:rPr>
        <w:t xml:space="preserve">      </w:t>
      </w:r>
      <w:r>
        <w:rPr>
          <w:rFonts w:hint="eastAsia" w:eastAsia="仿宋_GB2312"/>
          <w:sz w:val="32"/>
          <w:u w:val="single"/>
          <w:lang w:val="en-US" w:eastAsia="zh-CN"/>
        </w:rPr>
        <w:t xml:space="preserve"> U201815924</w:t>
      </w:r>
      <w:r>
        <w:rPr>
          <w:rFonts w:eastAsia="仿宋_GB2312"/>
          <w:sz w:val="32"/>
          <w:u w:val="single"/>
        </w:rPr>
        <w:t xml:space="preserve">          </w:t>
      </w:r>
    </w:p>
    <w:p>
      <w:pPr>
        <w:spacing w:line="720" w:lineRule="auto"/>
        <w:ind w:firstLine="1600" w:firstLineChars="500"/>
        <w:rPr>
          <w:rFonts w:hint="eastAsia" w:ascii="华文中宋" w:hAnsi="华文中宋" w:eastAsia="华文中宋"/>
          <w:kern w:val="0"/>
          <w:sz w:val="32"/>
          <w:szCs w:val="32"/>
          <w:lang/>
        </w:rPr>
      </w:pPr>
      <w:r>
        <w:rPr>
          <w:rFonts w:hint="eastAsia" w:ascii="华文中宋" w:hAnsi="华文中宋" w:eastAsia="华文中宋"/>
          <w:kern w:val="0"/>
          <w:sz w:val="32"/>
          <w:szCs w:val="32"/>
          <w:lang/>
        </w:rPr>
        <w:t>指导教师</w:t>
      </w:r>
      <w:r>
        <w:rPr>
          <w:rFonts w:eastAsia="仿宋_GB2312"/>
          <w:sz w:val="32"/>
          <w:u w:val="single"/>
        </w:rPr>
        <w:t xml:space="preserve">         </w:t>
      </w:r>
      <w:r>
        <w:rPr>
          <w:rFonts w:hint="eastAsia" w:eastAsia="仿宋_GB2312"/>
          <w:sz w:val="32"/>
          <w:u w:val="single"/>
          <w:lang w:val="en-US" w:eastAsia="zh-CN"/>
        </w:rPr>
        <w:t>滕敏</w:t>
      </w:r>
      <w:r>
        <w:rPr>
          <w:rFonts w:eastAsia="仿宋_GB2312"/>
          <w:sz w:val="32"/>
          <w:u w:val="single"/>
        </w:rPr>
        <w:t xml:space="preserve">              </w:t>
      </w:r>
    </w:p>
    <w:p>
      <w:pPr>
        <w:jc w:val="center"/>
        <w:rPr>
          <w:rFonts w:ascii="华文中宋" w:hAnsi="华文中宋" w:eastAsia="华文中宋"/>
          <w:bCs/>
          <w:sz w:val="24"/>
        </w:rPr>
      </w:pPr>
    </w:p>
    <w:p>
      <w:pPr>
        <w:spacing w:line="600" w:lineRule="exact"/>
        <w:jc w:val="center"/>
        <w:rPr>
          <w:rFonts w:eastAsia="仿宋_GB2312"/>
          <w:bCs/>
          <w:sz w:val="30"/>
          <w:szCs w:val="30"/>
        </w:rPr>
      </w:pPr>
      <w:r>
        <w:rPr>
          <w:rFonts w:hint="eastAsia" w:ascii="华文中宋" w:hAnsi="华文中宋" w:eastAsia="华文中宋"/>
          <w:bCs/>
          <w:spacing w:val="-20"/>
          <w:sz w:val="30"/>
          <w:szCs w:val="30"/>
        </w:rPr>
        <w:t>教研室（系、所）负责人</w:t>
      </w:r>
      <w:r>
        <w:rPr>
          <w:rFonts w:eastAsia="仿宋_GB2312"/>
          <w:sz w:val="32"/>
          <w:u w:val="single"/>
        </w:rPr>
        <w:t xml:space="preserve">               </w:t>
      </w:r>
      <w:r>
        <w:rPr>
          <w:rFonts w:ascii="华文中宋" w:hAnsi="华文中宋" w:eastAsia="华文中宋"/>
          <w:bCs/>
          <w:spacing w:val="-20"/>
          <w:sz w:val="30"/>
          <w:szCs w:val="30"/>
        </w:rPr>
        <w:t>20</w:t>
      </w:r>
      <w:r>
        <w:rPr>
          <w:rFonts w:hint="eastAsia" w:ascii="华文中宋" w:hAnsi="华文中宋" w:eastAsia="华文中宋"/>
          <w:bCs/>
          <w:spacing w:val="-20"/>
          <w:sz w:val="30"/>
          <w:szCs w:val="30"/>
          <w:lang w:val="en-US" w:eastAsia="zh-CN"/>
        </w:rPr>
        <w:t>2</w:t>
      </w:r>
      <w:r>
        <w:rPr>
          <w:rFonts w:hint="eastAsia" w:ascii="华文中宋" w:hAnsi="华文中宋" w:eastAsia="华文中宋"/>
          <w:bCs/>
          <w:spacing w:val="-20"/>
          <w:sz w:val="30"/>
          <w:szCs w:val="30"/>
          <w:lang w:val="en-US" w:eastAsia="zh-CN"/>
        </w:rPr>
        <w:t>1</w:t>
      </w:r>
      <w:r>
        <w:rPr>
          <w:rFonts w:hint="eastAsia" w:ascii="华文中宋" w:hAnsi="华文中宋" w:eastAsia="华文中宋"/>
          <w:bCs/>
          <w:spacing w:val="-20"/>
          <w:sz w:val="30"/>
          <w:szCs w:val="30"/>
        </w:rPr>
        <w:t>年</w:t>
      </w:r>
      <w:r>
        <w:rPr>
          <w:rFonts w:hint="eastAsia" w:ascii="华文中宋" w:hAnsi="华文中宋" w:eastAsia="华文中宋"/>
          <w:bCs/>
          <w:spacing w:val="-20"/>
          <w:sz w:val="30"/>
          <w:szCs w:val="30"/>
          <w:lang w:val="en-US" w:eastAsia="zh-CN"/>
        </w:rPr>
        <w:t>1</w:t>
      </w:r>
      <w:r>
        <w:rPr>
          <w:rFonts w:hint="eastAsia" w:ascii="华文中宋" w:hAnsi="华文中宋" w:eastAsia="华文中宋"/>
          <w:bCs/>
          <w:spacing w:val="-20"/>
          <w:sz w:val="30"/>
          <w:szCs w:val="30"/>
          <w:lang w:val="en-US" w:eastAsia="zh-CN"/>
        </w:rPr>
        <w:t>1</w:t>
      </w:r>
      <w:r>
        <w:rPr>
          <w:rFonts w:hint="eastAsia" w:ascii="华文中宋" w:hAnsi="华文中宋" w:eastAsia="华文中宋"/>
          <w:bCs/>
          <w:spacing w:val="-20"/>
          <w:sz w:val="30"/>
          <w:szCs w:val="30"/>
        </w:rPr>
        <w:t>月</w:t>
      </w:r>
      <w:r>
        <w:rPr>
          <w:rFonts w:hint="eastAsia" w:ascii="华文中宋" w:hAnsi="华文中宋" w:eastAsia="华文中宋"/>
          <w:bCs/>
          <w:spacing w:val="-20"/>
          <w:sz w:val="30"/>
          <w:szCs w:val="30"/>
          <w:lang w:val="en-US" w:eastAsia="zh-CN"/>
        </w:rPr>
        <w:t>2</w:t>
      </w:r>
      <w:r>
        <w:rPr>
          <w:rFonts w:hint="eastAsia" w:ascii="华文中宋" w:hAnsi="华文中宋" w:eastAsia="华文中宋"/>
          <w:bCs/>
          <w:spacing w:val="-20"/>
          <w:sz w:val="30"/>
          <w:szCs w:val="30"/>
        </w:rPr>
        <w:t>日审查</w:t>
      </w:r>
    </w:p>
    <w:p>
      <w:pPr>
        <w:spacing w:line="600" w:lineRule="exact"/>
        <w:jc w:val="center"/>
        <w:rPr>
          <w:rFonts w:hint="eastAsia" w:ascii="华文中宋" w:hAnsi="华文中宋" w:eastAsia="华文中宋"/>
          <w:bCs/>
          <w:spacing w:val="-20"/>
          <w:sz w:val="30"/>
          <w:szCs w:val="30"/>
        </w:rPr>
      </w:pPr>
      <w:r>
        <w:rPr>
          <w:rFonts w:hint="eastAsia" w:ascii="华文中宋" w:hAnsi="华文中宋" w:eastAsia="华文中宋"/>
          <w:bCs/>
          <w:spacing w:val="-20"/>
          <w:sz w:val="30"/>
          <w:szCs w:val="30"/>
        </w:rPr>
        <w:t>院（系）负责人</w:t>
      </w:r>
      <w:r>
        <w:rPr>
          <w:rFonts w:eastAsia="仿宋_GB2312"/>
          <w:sz w:val="32"/>
          <w:u w:val="single"/>
        </w:rPr>
        <w:t xml:space="preserve">                     </w:t>
      </w:r>
      <w:r>
        <w:rPr>
          <w:rFonts w:ascii="华文中宋" w:hAnsi="华文中宋" w:eastAsia="华文中宋"/>
          <w:bCs/>
          <w:spacing w:val="-20"/>
          <w:sz w:val="30"/>
          <w:szCs w:val="30"/>
        </w:rPr>
        <w:t>20</w:t>
      </w:r>
      <w:r>
        <w:rPr>
          <w:rFonts w:hint="eastAsia" w:ascii="华文中宋" w:hAnsi="华文中宋" w:eastAsia="华文中宋"/>
          <w:bCs/>
          <w:spacing w:val="-20"/>
          <w:sz w:val="30"/>
          <w:szCs w:val="30"/>
          <w:lang w:val="en-US" w:eastAsia="zh-CN"/>
        </w:rPr>
        <w:t>2</w:t>
      </w:r>
      <w:r>
        <w:rPr>
          <w:rFonts w:hint="eastAsia" w:ascii="华文中宋" w:hAnsi="华文中宋" w:eastAsia="华文中宋"/>
          <w:bCs/>
          <w:spacing w:val="-20"/>
          <w:sz w:val="30"/>
          <w:szCs w:val="30"/>
          <w:lang w:val="en-US" w:eastAsia="zh-CN"/>
        </w:rPr>
        <w:t>2</w:t>
      </w:r>
      <w:r>
        <w:rPr>
          <w:rFonts w:hint="eastAsia" w:ascii="华文中宋" w:hAnsi="华文中宋" w:eastAsia="华文中宋"/>
          <w:bCs/>
          <w:spacing w:val="-20"/>
          <w:sz w:val="30"/>
          <w:szCs w:val="30"/>
        </w:rPr>
        <w:t>年</w:t>
      </w:r>
      <w:r>
        <w:rPr>
          <w:rFonts w:ascii="华文中宋" w:hAnsi="华文中宋" w:eastAsia="华文中宋"/>
          <w:bCs/>
          <w:spacing w:val="-20"/>
          <w:sz w:val="30"/>
          <w:szCs w:val="30"/>
        </w:rPr>
        <w:t xml:space="preserve"> </w:t>
      </w:r>
      <w:r>
        <w:rPr>
          <w:rFonts w:hint="eastAsia" w:ascii="华文中宋" w:hAnsi="华文中宋" w:eastAsia="华文中宋"/>
          <w:bCs/>
          <w:spacing w:val="-20"/>
          <w:sz w:val="30"/>
          <w:szCs w:val="30"/>
          <w:lang w:val="en-US" w:eastAsia="zh-CN"/>
        </w:rPr>
        <w:t>2</w:t>
      </w:r>
      <w:r>
        <w:rPr>
          <w:rFonts w:hint="eastAsia" w:ascii="华文中宋" w:hAnsi="华文中宋" w:eastAsia="华文中宋"/>
          <w:bCs/>
          <w:spacing w:val="-20"/>
          <w:sz w:val="30"/>
          <w:szCs w:val="30"/>
        </w:rPr>
        <w:t>月</w:t>
      </w:r>
      <w:r>
        <w:rPr>
          <w:rFonts w:hint="eastAsia" w:ascii="华文中宋" w:hAnsi="华文中宋" w:eastAsia="华文中宋"/>
          <w:bCs/>
          <w:spacing w:val="-20"/>
          <w:sz w:val="30"/>
          <w:szCs w:val="30"/>
          <w:lang w:val="en-US" w:eastAsia="zh-CN"/>
        </w:rPr>
        <w:t>2</w:t>
      </w:r>
      <w:r>
        <w:rPr>
          <w:rFonts w:hint="eastAsia" w:ascii="华文中宋" w:hAnsi="华文中宋" w:eastAsia="华文中宋"/>
          <w:bCs/>
          <w:spacing w:val="-20"/>
          <w:sz w:val="30"/>
          <w:szCs w:val="30"/>
          <w:lang w:val="en-US" w:eastAsia="zh-CN"/>
        </w:rPr>
        <w:t>1</w:t>
      </w:r>
      <w:r>
        <w:rPr>
          <w:rFonts w:hint="eastAsia" w:ascii="华文中宋" w:hAnsi="华文中宋" w:eastAsia="华文中宋"/>
          <w:bCs/>
          <w:spacing w:val="-20"/>
          <w:sz w:val="30"/>
          <w:szCs w:val="30"/>
        </w:rPr>
        <w:t>日批准</w:t>
      </w:r>
    </w:p>
    <w:p>
      <w:pPr>
        <w:spacing w:line="600" w:lineRule="exact"/>
        <w:jc w:val="center"/>
        <w:rPr>
          <w:rFonts w:hint="eastAsia" w:ascii="华文中宋" w:hAnsi="华文中宋" w:eastAsia="华文中宋"/>
          <w:bCs/>
          <w:spacing w:val="-20"/>
          <w:sz w:val="30"/>
          <w:szCs w:val="30"/>
        </w:rPr>
      </w:pPr>
    </w:p>
    <w:tbl>
      <w:tblPr>
        <w:tblStyle w:val="6"/>
        <w:tblW w:w="0" w:type="auto"/>
        <w:tblInd w:w="39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79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wBefore w:w="0" w:type="dxa"/>
          <w:trHeight w:val="3884" w:hRule="atLeast"/>
        </w:trPr>
        <w:tc>
          <w:tcPr>
            <w:tcW w:w="7938" w:type="dxa"/>
            <w:noWrap w:val="0"/>
            <w:vAlign w:val="top"/>
          </w:tcPr>
          <w:p>
            <w:pPr>
              <w:jc w:val="left"/>
              <w:rPr>
                <w:rFonts w:hint="eastAsia" w:ascii="华文中宋" w:hAnsi="华文中宋" w:eastAsia="华文中宋" w:cs="华文中宋"/>
                <w:bCs/>
                <w:sz w:val="28"/>
                <w:szCs w:val="28"/>
              </w:rPr>
            </w:pPr>
            <w:r>
              <w:rPr>
                <w:rFonts w:hint="eastAsia" w:ascii="华文中宋" w:hAnsi="华文中宋" w:eastAsia="华文中宋" w:cs="华文中宋"/>
                <w:bCs/>
                <w:sz w:val="28"/>
                <w:szCs w:val="28"/>
              </w:rPr>
              <w:t>课题内容：</w:t>
            </w:r>
          </w:p>
          <w:p>
            <w:pPr>
              <w:numPr>
                <w:ilvl w:val="0"/>
                <w:numId w:val="4"/>
              </w:numPr>
              <w:jc w:val="left"/>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通过实证方法，以上市公司违规受罚事件的披露为投资者情绪诱因，研究其对股票回报的影响</w:t>
            </w:r>
          </w:p>
          <w:p>
            <w:pPr>
              <w:numPr>
                <w:ilvl w:val="0"/>
                <w:numId w:val="4"/>
              </w:numPr>
              <w:jc w:val="left"/>
              <w:rPr>
                <w:rFonts w:hint="eastAsia" w:ascii="华文中宋" w:eastAsia="华文中宋"/>
                <w:bCs/>
                <w:sz w:val="28"/>
              </w:rPr>
            </w:pPr>
            <w:r>
              <w:rPr>
                <w:rFonts w:hint="default" w:ascii="Times New Roman" w:hAnsi="Times New Roman" w:eastAsia="宋体" w:cs="Times New Roman"/>
                <w:bCs/>
                <w:sz w:val="21"/>
                <w:szCs w:val="21"/>
                <w:lang w:val="en-US" w:eastAsia="zh-CN"/>
              </w:rPr>
              <w:t>对于不同市场的股票进行差异化分析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wBefore w:w="0" w:type="dxa"/>
          <w:trHeight w:val="3236" w:hRule="atLeast"/>
        </w:trPr>
        <w:tc>
          <w:tcPr>
            <w:tcW w:w="7938" w:type="dxa"/>
            <w:noWrap w:val="0"/>
            <w:vAlign w:val="top"/>
          </w:tcPr>
          <w:p>
            <w:pPr>
              <w:numPr>
                <w:ilvl w:val="0"/>
                <w:numId w:val="0"/>
              </w:numPr>
              <w:jc w:val="left"/>
              <w:rPr>
                <w:rFonts w:hint="eastAsia" w:ascii="华文中宋" w:hAnsi="华文中宋" w:eastAsia="华文中宋" w:cs="华文中宋"/>
                <w:bCs/>
                <w:sz w:val="28"/>
                <w:szCs w:val="28"/>
                <w:lang w:val="en-US" w:eastAsia="zh-CN"/>
              </w:rPr>
            </w:pPr>
            <w:r>
              <w:rPr>
                <w:rFonts w:hint="eastAsia" w:ascii="华文中宋" w:hAnsi="华文中宋" w:eastAsia="华文中宋" w:cs="华文中宋"/>
                <w:bCs/>
                <w:sz w:val="28"/>
                <w:szCs w:val="28"/>
              </w:rPr>
              <w:t>课</w:t>
            </w:r>
            <w:r>
              <w:rPr>
                <w:rFonts w:hint="eastAsia" w:ascii="华文中宋" w:hAnsi="华文中宋" w:eastAsia="华文中宋" w:cs="华文中宋"/>
                <w:bCs/>
                <w:sz w:val="28"/>
                <w:szCs w:val="28"/>
                <w:lang w:val="en-US" w:eastAsia="zh-CN"/>
              </w:rPr>
              <w:t>题任务要求：</w:t>
            </w:r>
          </w:p>
          <w:p>
            <w:pPr>
              <w:numPr>
                <w:ilvl w:val="0"/>
                <w:numId w:val="5"/>
              </w:numPr>
              <w:jc w:val="left"/>
              <w:rPr>
                <w:rFonts w:hint="eastAsia" w:ascii="Times New Roman" w:hAnsi="Times New Roman" w:eastAsia="宋体" w:cs="Times New Roman"/>
                <w:bCs/>
                <w:sz w:val="21"/>
                <w:szCs w:val="21"/>
                <w:lang w:val="en-US" w:eastAsia="zh-CN"/>
              </w:rPr>
            </w:pPr>
            <w:r>
              <w:rPr>
                <w:rFonts w:hint="eastAsia" w:ascii="Times New Roman" w:hAnsi="Times New Roman" w:eastAsia="宋体" w:cs="Times New Roman"/>
                <w:bCs/>
                <w:sz w:val="21"/>
                <w:szCs w:val="21"/>
                <w:lang w:val="en-US" w:eastAsia="zh-CN"/>
              </w:rPr>
              <w:t>提前制定合理的时间规划表，按时完成每个阶段的任务</w:t>
            </w:r>
          </w:p>
          <w:p>
            <w:pPr>
              <w:numPr>
                <w:ilvl w:val="0"/>
                <w:numId w:val="5"/>
              </w:numPr>
              <w:ind w:left="0" w:leftChars="0" w:firstLine="0" w:firstLineChars="0"/>
              <w:jc w:val="left"/>
              <w:rPr>
                <w:rFonts w:hint="eastAsia" w:ascii="Times New Roman" w:hAnsi="Times New Roman" w:eastAsia="宋体" w:cs="Times New Roman"/>
                <w:bCs/>
                <w:sz w:val="21"/>
                <w:szCs w:val="21"/>
                <w:lang w:val="en-US" w:eastAsia="zh-CN"/>
              </w:rPr>
            </w:pPr>
            <w:r>
              <w:rPr>
                <w:rFonts w:hint="eastAsia" w:ascii="Times New Roman" w:hAnsi="Times New Roman" w:eastAsia="宋体" w:cs="Times New Roman"/>
                <w:bCs/>
                <w:sz w:val="21"/>
                <w:szCs w:val="21"/>
                <w:lang w:val="en-US" w:eastAsia="zh-CN"/>
              </w:rPr>
              <w:t>及时与导师沟通汇报任务进度及遇到的问题</w:t>
            </w:r>
          </w:p>
          <w:p>
            <w:pPr>
              <w:numPr>
                <w:ilvl w:val="0"/>
                <w:numId w:val="4"/>
              </w:numPr>
              <w:jc w:val="left"/>
              <w:rPr>
                <w:rFonts w:hint="eastAsia" w:ascii="Times New Roman" w:hAnsi="Times New Roman" w:eastAsia="宋体" w:cs="Times New Roman"/>
                <w:bCs/>
                <w:sz w:val="21"/>
                <w:szCs w:val="21"/>
                <w:lang w:val="en-US" w:eastAsia="zh-CN"/>
              </w:rPr>
            </w:pPr>
            <w:r>
              <w:rPr>
                <w:rFonts w:hint="eastAsia" w:ascii="Times New Roman" w:hAnsi="Times New Roman" w:eastAsia="宋体" w:cs="Times New Roman"/>
                <w:bCs/>
                <w:sz w:val="21"/>
                <w:szCs w:val="21"/>
                <w:lang w:val="en-US" w:eastAsia="zh-CN"/>
              </w:rPr>
              <w:t>阅读文献，了解相关理论知识</w:t>
            </w:r>
          </w:p>
          <w:p>
            <w:pPr>
              <w:numPr>
                <w:ilvl w:val="0"/>
                <w:numId w:val="4"/>
              </w:numPr>
              <w:jc w:val="left"/>
              <w:rPr>
                <w:rFonts w:hint="eastAsia" w:ascii="Times New Roman" w:hAnsi="Times New Roman" w:eastAsia="宋体" w:cs="Times New Roman"/>
                <w:bCs/>
                <w:sz w:val="21"/>
                <w:szCs w:val="21"/>
                <w:lang w:val="en-US" w:eastAsia="zh-CN"/>
              </w:rPr>
            </w:pPr>
            <w:r>
              <w:rPr>
                <w:rFonts w:hint="eastAsia" w:ascii="Times New Roman" w:hAnsi="Times New Roman" w:eastAsia="宋体" w:cs="Times New Roman"/>
                <w:bCs/>
                <w:sz w:val="21"/>
                <w:szCs w:val="21"/>
                <w:lang w:val="en-US" w:eastAsia="zh-CN"/>
              </w:rPr>
              <w:t>掌握事件研究法和统计检验方法，建立合适的模型</w:t>
            </w:r>
          </w:p>
          <w:p>
            <w:pPr>
              <w:numPr>
                <w:ilvl w:val="0"/>
                <w:numId w:val="4"/>
              </w:numPr>
              <w:jc w:val="left"/>
              <w:rPr>
                <w:rFonts w:hint="eastAsia" w:ascii="Times New Roman" w:hAnsi="Times New Roman" w:eastAsia="宋体" w:cs="Times New Roman"/>
                <w:bCs/>
                <w:sz w:val="21"/>
                <w:szCs w:val="21"/>
                <w:lang w:val="en-US" w:eastAsia="zh-CN"/>
              </w:rPr>
            </w:pPr>
            <w:r>
              <w:rPr>
                <w:rFonts w:hint="eastAsia" w:ascii="Times New Roman" w:hAnsi="Times New Roman" w:eastAsia="宋体" w:cs="Times New Roman"/>
                <w:bCs/>
                <w:sz w:val="21"/>
                <w:szCs w:val="21"/>
                <w:lang w:val="en-US" w:eastAsia="zh-CN"/>
              </w:rPr>
              <w:t>通过实证研究找出投资者情绪和股票回报的关系</w:t>
            </w:r>
          </w:p>
          <w:p>
            <w:pPr>
              <w:numPr>
                <w:ilvl w:val="0"/>
                <w:numId w:val="4"/>
              </w:numPr>
              <w:jc w:val="left"/>
              <w:rPr>
                <w:rFonts w:hint="eastAsia" w:ascii="Times New Roman" w:hAnsi="Times New Roman" w:eastAsia="宋体" w:cs="Times New Roman"/>
                <w:bCs/>
                <w:sz w:val="21"/>
                <w:szCs w:val="21"/>
                <w:lang w:val="en-US" w:eastAsia="zh-CN"/>
              </w:rPr>
            </w:pPr>
            <w:r>
              <w:rPr>
                <w:rFonts w:hint="eastAsia" w:ascii="Times New Roman" w:hAnsi="Times New Roman" w:eastAsia="宋体" w:cs="Times New Roman"/>
                <w:bCs/>
                <w:sz w:val="21"/>
                <w:szCs w:val="21"/>
                <w:lang w:val="en-US" w:eastAsia="zh-CN"/>
              </w:rPr>
              <w:t>找出不同市场股票受影响的差异及其背后的原因</w:t>
            </w:r>
          </w:p>
          <w:p>
            <w:pPr>
              <w:jc w:val="left"/>
              <w:rPr>
                <w:rFonts w:hint="default" w:ascii="华文中宋" w:hAnsi="华文中宋" w:eastAsia="华文中宋"/>
                <w:bCs/>
                <w:spacing w:val="-20"/>
                <w:szCs w:val="21"/>
                <w:lang w:val="en-US" w:eastAsia="zh-CN"/>
              </w:rPr>
            </w:pPr>
          </w:p>
          <w:p>
            <w:pPr>
              <w:spacing w:line="600" w:lineRule="exact"/>
              <w:jc w:val="left"/>
              <w:rPr>
                <w:rFonts w:ascii="华文中宋" w:hAnsi="华文中宋" w:eastAsia="华文中宋"/>
                <w:bCs/>
                <w:spacing w:val="-20"/>
                <w:sz w:val="30"/>
                <w:szCs w:val="3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wBefore w:w="0" w:type="dxa"/>
          <w:trHeight w:val="2965" w:hRule="atLeast"/>
        </w:trPr>
        <w:tc>
          <w:tcPr>
            <w:tcW w:w="7938" w:type="dxa"/>
            <w:noWrap w:val="0"/>
            <w:vAlign w:val="top"/>
          </w:tcPr>
          <w:p>
            <w:pPr>
              <w:jc w:val="left"/>
              <w:rPr>
                <w:rFonts w:hint="eastAsia" w:ascii="华文中宋" w:hAnsi="华文中宋" w:eastAsia="华文中宋"/>
                <w:bCs/>
                <w:spacing w:val="-20"/>
                <w:szCs w:val="21"/>
              </w:rPr>
            </w:pPr>
            <w:r>
              <w:rPr>
                <w:rFonts w:hint="eastAsia" w:ascii="华文中宋" w:eastAsia="华文中宋"/>
                <w:bCs/>
                <w:sz w:val="28"/>
              </w:rPr>
              <w:t>主要参考文献（由指导教师选定）：</w:t>
            </w:r>
          </w:p>
          <w:p>
            <w:pPr>
              <w:numPr>
                <w:ilvl w:val="0"/>
                <w:numId w:val="0"/>
              </w:numPr>
              <w:jc w:val="left"/>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《投资者对负面新闻报道反应：投资者情绪视角的实证研究》</w:t>
            </w:r>
          </w:p>
          <w:p>
            <w:pPr>
              <w:numPr>
                <w:ilvl w:val="0"/>
                <w:numId w:val="0"/>
              </w:numPr>
              <w:jc w:val="left"/>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《网络搜索能预测股票市场吗？》</w:t>
            </w:r>
          </w:p>
          <w:p>
            <w:pPr>
              <w:numPr>
                <w:ilvl w:val="0"/>
                <w:numId w:val="0"/>
              </w:numPr>
              <w:jc w:val="left"/>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《Corporate Transparency and the Impact of Investor Sentiment on Stock Prices》</w:t>
            </w:r>
          </w:p>
          <w:p>
            <w:pPr>
              <w:numPr>
                <w:ilvl w:val="0"/>
                <w:numId w:val="0"/>
              </w:numPr>
              <w:jc w:val="left"/>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《公司的媒体信息管理行为与IPO定价效率》</w:t>
            </w:r>
          </w:p>
          <w:p>
            <w:pPr>
              <w:numPr>
                <w:ilvl w:val="0"/>
                <w:numId w:val="0"/>
              </w:numPr>
              <w:jc w:val="left"/>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《投资者有限关注与限售股解禁》</w:t>
            </w:r>
          </w:p>
          <w:p>
            <w:pPr>
              <w:numPr>
                <w:ilvl w:val="0"/>
                <w:numId w:val="0"/>
              </w:numPr>
              <w:jc w:val="left"/>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《Investor Sentiment for Corporate Social Performance》</w:t>
            </w:r>
          </w:p>
          <w:p>
            <w:pPr>
              <w:spacing w:line="600" w:lineRule="exact"/>
              <w:jc w:val="left"/>
              <w:rPr>
                <w:rFonts w:ascii="华文中宋" w:hAnsi="华文中宋" w:eastAsia="华文中宋"/>
                <w:bCs/>
                <w:spacing w:val="-20"/>
                <w:sz w:val="30"/>
                <w:szCs w:val="3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wBefore w:w="0" w:type="dxa"/>
          <w:trHeight w:val="1974" w:hRule="atLeast"/>
        </w:trPr>
        <w:tc>
          <w:tcPr>
            <w:tcW w:w="7938" w:type="dxa"/>
            <w:noWrap w:val="0"/>
            <w:vAlign w:val="top"/>
          </w:tcPr>
          <w:p>
            <w:pPr>
              <w:jc w:val="left"/>
              <w:rPr>
                <w:rFonts w:hint="eastAsia" w:ascii="华文中宋" w:hAnsi="华文中宋" w:eastAsia="华文中宋"/>
                <w:bCs/>
                <w:spacing w:val="-20"/>
                <w:szCs w:val="21"/>
              </w:rPr>
            </w:pPr>
            <w:r>
              <w:rPr>
                <w:rFonts w:hint="eastAsia" w:ascii="华文中宋" w:eastAsia="华文中宋"/>
                <w:bCs/>
                <w:sz w:val="28"/>
              </w:rPr>
              <w:t>同组设计者：</w:t>
            </w:r>
          </w:p>
          <w:p>
            <w:pPr>
              <w:spacing w:line="600" w:lineRule="exact"/>
              <w:rPr>
                <w:rFonts w:hint="eastAsia" w:ascii="宋体" w:hAnsi="宋体" w:eastAsia="宋体" w:cs="宋体"/>
                <w:bCs/>
                <w:spacing w:val="-20"/>
                <w:sz w:val="21"/>
                <w:szCs w:val="21"/>
                <w:lang w:val="en-US" w:eastAsia="zh-CN"/>
              </w:rPr>
            </w:pPr>
            <w:r>
              <w:rPr>
                <w:rFonts w:hint="eastAsia" w:ascii="宋体" w:hAnsi="宋体" w:eastAsia="宋体" w:cs="宋体"/>
                <w:bCs/>
                <w:spacing w:val="-20"/>
                <w:sz w:val="21"/>
                <w:szCs w:val="21"/>
                <w:lang w:val="en-US" w:eastAsia="zh-CN"/>
              </w:rPr>
              <w:t>无</w:t>
            </w:r>
          </w:p>
          <w:p>
            <w:pPr>
              <w:spacing w:line="600" w:lineRule="exact"/>
              <w:rPr>
                <w:rFonts w:hint="eastAsia" w:ascii="华文中宋" w:hAnsi="华文中宋" w:eastAsia="华文中宋"/>
                <w:bCs/>
                <w:spacing w:val="-20"/>
                <w:sz w:val="30"/>
                <w:szCs w:val="3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wBefore w:w="0" w:type="dxa"/>
          <w:trHeight w:val="983" w:hRule="atLeast"/>
        </w:trPr>
        <w:tc>
          <w:tcPr>
            <w:tcW w:w="7938" w:type="dxa"/>
            <w:noWrap w:val="0"/>
            <w:vAlign w:val="top"/>
          </w:tcPr>
          <w:p>
            <w:pPr>
              <w:jc w:val="left"/>
              <w:rPr>
                <w:rFonts w:ascii="华文中宋" w:eastAsia="华文中宋"/>
                <w:bCs/>
                <w:sz w:val="28"/>
              </w:rPr>
            </w:pPr>
            <w:r>
              <w:rPr>
                <w:rFonts w:hint="eastAsia" w:ascii="华文中宋" w:eastAsia="华文中宋"/>
                <w:bCs/>
                <w:sz w:val="28"/>
              </w:rPr>
              <w:t>指导教师签名：</w:t>
            </w:r>
          </w:p>
          <w:p>
            <w:pPr>
              <w:jc w:val="left"/>
              <w:rPr>
                <w:rFonts w:hint="eastAsia" w:ascii="华文中宋" w:eastAsia="华文中宋"/>
                <w:bCs/>
                <w:sz w:val="28"/>
              </w:rPr>
            </w:pPr>
            <w:r>
              <w:rPr>
                <w:rFonts w:hint="eastAsia" w:ascii="华文中宋" w:eastAsia="华文中宋"/>
                <w:bCs/>
                <w:sz w:val="28"/>
              </w:rPr>
              <w:t xml:space="preserve"> </w:t>
            </w:r>
            <w:r>
              <w:rPr>
                <w:rFonts w:ascii="华文中宋" w:eastAsia="华文中宋"/>
                <w:bCs/>
                <w:sz w:val="28"/>
              </w:rPr>
              <w:t xml:space="preserve">                                </w:t>
            </w:r>
            <w:r>
              <w:rPr>
                <w:rFonts w:hint="eastAsia" w:ascii="华文中宋" w:eastAsia="华文中宋"/>
                <w:bCs/>
                <w:sz w:val="28"/>
                <w:lang w:val="en-US" w:eastAsia="zh-CN"/>
              </w:rPr>
              <w:t xml:space="preserve">  2021</w:t>
            </w:r>
            <w:r>
              <w:rPr>
                <w:rFonts w:hint="eastAsia" w:ascii="华文中宋" w:eastAsia="华文中宋"/>
                <w:bCs/>
                <w:sz w:val="28"/>
              </w:rPr>
              <w:t>年</w:t>
            </w:r>
            <w:r>
              <w:rPr>
                <w:rFonts w:hint="eastAsia" w:ascii="华文中宋" w:eastAsia="华文中宋"/>
                <w:bCs/>
                <w:sz w:val="28"/>
                <w:lang w:val="en-US" w:eastAsia="zh-CN"/>
              </w:rPr>
              <w:t>1</w:t>
            </w:r>
            <w:r>
              <w:rPr>
                <w:rFonts w:hint="eastAsia" w:ascii="华文中宋" w:eastAsia="华文中宋"/>
                <w:bCs/>
                <w:sz w:val="28"/>
                <w:lang w:val="en-US" w:eastAsia="zh-CN"/>
              </w:rPr>
              <w:t>0</w:t>
            </w:r>
            <w:r>
              <w:rPr>
                <w:rFonts w:hint="eastAsia" w:ascii="华文中宋" w:eastAsia="华文中宋"/>
                <w:bCs/>
                <w:sz w:val="28"/>
              </w:rPr>
              <w:t>月</w:t>
            </w:r>
            <w:r>
              <w:rPr>
                <w:rFonts w:hint="eastAsia" w:ascii="华文中宋" w:eastAsia="华文中宋"/>
                <w:bCs/>
                <w:sz w:val="28"/>
                <w:lang w:val="en-US" w:eastAsia="zh-CN"/>
              </w:rPr>
              <w:t>2</w:t>
            </w:r>
            <w:r>
              <w:rPr>
                <w:rFonts w:hint="eastAsia" w:ascii="华文中宋" w:eastAsia="华文中宋"/>
                <w:bCs/>
                <w:sz w:val="28"/>
                <w:lang w:val="en-US" w:eastAsia="zh-CN"/>
              </w:rPr>
              <w:t>8</w:t>
            </w:r>
            <w:r>
              <w:rPr>
                <w:rFonts w:hint="eastAsia" w:ascii="华文中宋" w:eastAsia="华文中宋"/>
                <w:bCs/>
                <w:sz w:val="28"/>
              </w:rPr>
              <w:t>日</w:t>
            </w:r>
          </w:p>
        </w:tc>
      </w:tr>
    </w:tbl>
    <w:p/>
    <w:sectPr>
      <w:footerReference r:id="rId7" w:type="default"/>
      <w:pgSz w:w="11906" w:h="16838"/>
      <w:pgMar w:top="1418" w:right="1701" w:bottom="1134" w:left="1701" w:header="851" w:footer="992" w:gutter="0"/>
      <w:pgBorders>
        <w:top w:val="none" w:sz="0" w:space="0"/>
        <w:left w:val="none" w:sz="0" w:space="0"/>
        <w:bottom w:val="none" w:sz="0" w:space="0"/>
        <w:right w:val="none" w:sz="0" w:space="0"/>
      </w:pgBorders>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Cambria">
    <w:panose1 w:val="02040503050406030204"/>
    <w:charset w:val="00"/>
    <w:family w:val="roman"/>
    <w:pitch w:val="default"/>
    <w:sig w:usb0="E00006FF" w:usb1="420024FF" w:usb2="02000000" w:usb3="00000000" w:csb0="2000019F" w:csb1="00000000"/>
  </w:font>
  <w:font w:name="华文行楷">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fqQQ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OufqQQzAgAAYwQAAA4AAAAAAAAAAQAgAAAAHwEAAGRycy9lMm9Eb2MueG1sUEsF&#10;BgAAAAAGAAYAWQEAAMQFA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w:ptab w:relativeTo="margin" w:alignment="center" w:leader="none"/>
    </w:r>
  </w:p>
  <w:tbl>
    <w:tblPr>
      <w:tblStyle w:val="6"/>
      <w:tblpPr w:leftFromText="187" w:rightFromText="187" w:vertAnchor="text" w:tblpY="1"/>
      <w:tblW w:w="5000" w:type="pct"/>
      <w:tblInd w:w="0" w:type="dxa"/>
      <w:tblLayout w:type="autofit"/>
      <w:tblCellMar>
        <w:top w:w="0" w:type="dxa"/>
        <w:left w:w="108" w:type="dxa"/>
        <w:bottom w:w="0" w:type="dxa"/>
        <w:right w:w="108" w:type="dxa"/>
      </w:tblCellMar>
    </w:tblPr>
    <w:tblGrid>
      <w:gridCol w:w="8720"/>
    </w:tblGrid>
    <w:tr>
      <w:trPr>
        <w:trHeight w:val="90" w:hRule="atLeast"/>
      </w:trPr>
      <w:tc>
        <w:tcPr>
          <w:tcW w:w="2250" w:type="pct"/>
          <w:tcBorders>
            <w:bottom w:val="single" w:color="4F81BD" w:sz="4" w:space="0"/>
          </w:tcBorders>
        </w:tcPr>
        <w:p>
          <w:pPr>
            <w:pStyle w:val="4"/>
            <w:rPr>
              <w:rFonts w:ascii="Cambria" w:hAnsi="Cambria"/>
              <w:b/>
              <w:bCs/>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2</w:t>
                          </w:r>
                          <w:r>
                            <w:fldChar w:fldCharType="end"/>
                          </w:r>
                        </w:p>
                      </w:txbxContent>
                    </v:textbox>
                  </v:shape>
                </w:pict>
              </mc:Fallback>
            </mc:AlternateContent>
          </w:r>
        </w:p>
      </w:tc>
    </w:tr>
    <w:tr>
      <w:tblPrEx>
        <w:tblCellMar>
          <w:top w:w="0" w:type="dxa"/>
          <w:left w:w="108" w:type="dxa"/>
          <w:bottom w:w="0" w:type="dxa"/>
          <w:right w:w="108" w:type="dxa"/>
        </w:tblCellMar>
      </w:tblPrEx>
      <w:trPr>
        <w:trHeight w:val="150" w:hRule="atLeast"/>
      </w:trPr>
      <w:tc>
        <w:tcPr>
          <w:tcW w:w="2250" w:type="pct"/>
          <w:tcBorders>
            <w:top w:val="single" w:color="4F81BD" w:sz="4" w:space="0"/>
          </w:tcBorders>
        </w:tcPr>
        <w:p>
          <w:pPr>
            <w:pStyle w:val="4"/>
            <w:rPr>
              <w:rFonts w:ascii="Cambria" w:hAnsi="Cambria"/>
              <w:b/>
              <w:bCs/>
            </w:rPr>
          </w:pPr>
        </w:p>
      </w:tc>
    </w:tr>
  </w:tbl>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single" w:color="auto" w:sz="6" w:space="0"/>
      </w:pBdr>
      <w:jc w:val="center"/>
      <w:rPr>
        <w:rFonts w:ascii="华文中宋" w:hAnsi="华文中宋" w:eastAsia="华文中宋"/>
        <w:sz w:val="21"/>
        <w:szCs w:val="21"/>
      </w:rPr>
    </w:pPr>
    <w:r>
      <w:rPr>
        <w:rFonts w:hint="eastAsia" w:ascii="华文中宋" w:hAnsi="华文中宋" w:eastAsia="华文中宋"/>
        <w:sz w:val="21"/>
        <w:szCs w:val="21"/>
      </w:rPr>
      <w:t>华 中 科 技 大 学 本 科 毕 业 设 计（论 文）</w:t>
    </w:r>
  </w:p>
  <w:p>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8EFC54"/>
    <w:multiLevelType w:val="singleLevel"/>
    <w:tmpl w:val="AD8EFC54"/>
    <w:lvl w:ilvl="0" w:tentative="0">
      <w:start w:val="1"/>
      <w:numFmt w:val="decimal"/>
      <w:suff w:val="nothing"/>
      <w:lvlText w:val="%1）"/>
      <w:lvlJc w:val="left"/>
    </w:lvl>
  </w:abstractNum>
  <w:abstractNum w:abstractNumId="1">
    <w:nsid w:val="CFD1C240"/>
    <w:multiLevelType w:val="singleLevel"/>
    <w:tmpl w:val="CFD1C240"/>
    <w:lvl w:ilvl="0" w:tentative="0">
      <w:start w:val="2"/>
      <w:numFmt w:val="decimal"/>
      <w:lvlText w:val="%1)"/>
      <w:lvlJc w:val="left"/>
      <w:pPr>
        <w:tabs>
          <w:tab w:val="left" w:pos="312"/>
        </w:tabs>
      </w:pPr>
    </w:lvl>
  </w:abstractNum>
  <w:abstractNum w:abstractNumId="2">
    <w:nsid w:val="F230FE76"/>
    <w:multiLevelType w:val="singleLevel"/>
    <w:tmpl w:val="F230FE76"/>
    <w:lvl w:ilvl="0" w:tentative="0">
      <w:start w:val="1"/>
      <w:numFmt w:val="decimal"/>
      <w:suff w:val="nothing"/>
      <w:lvlText w:val="%1）"/>
      <w:lvlJc w:val="left"/>
    </w:lvl>
  </w:abstractNum>
  <w:abstractNum w:abstractNumId="3">
    <w:nsid w:val="3D6952A5"/>
    <w:multiLevelType w:val="singleLevel"/>
    <w:tmpl w:val="3D6952A5"/>
    <w:lvl w:ilvl="0" w:tentative="0">
      <w:start w:val="1"/>
      <w:numFmt w:val="decimal"/>
      <w:suff w:val="space"/>
      <w:lvlText w:val="%1."/>
      <w:lvlJc w:val="left"/>
    </w:lvl>
  </w:abstractNum>
  <w:abstractNum w:abstractNumId="4">
    <w:nsid w:val="7BBE10BA"/>
    <w:multiLevelType w:val="singleLevel"/>
    <w:tmpl w:val="7BBE10BA"/>
    <w:lvl w:ilvl="0" w:tentative="0">
      <w:start w:val="1"/>
      <w:numFmt w:val="decimal"/>
      <w:lvlText w:val="%1."/>
      <w:lvlJc w:val="left"/>
      <w:pPr>
        <w:tabs>
          <w:tab w:val="left" w:pos="312"/>
        </w:tabs>
      </w:pPr>
      <w:rPr>
        <w:rFonts w:hint="default" w:ascii="Times New Roman" w:hAnsi="Times New Roman" w:cs="Times New Roman"/>
        <w:sz w:val="21"/>
        <w:szCs w:val="21"/>
      </w:r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65A5"/>
    <w:rsid w:val="0002370A"/>
    <w:rsid w:val="00027653"/>
    <w:rsid w:val="0004262D"/>
    <w:rsid w:val="00054D52"/>
    <w:rsid w:val="0006684E"/>
    <w:rsid w:val="000744B9"/>
    <w:rsid w:val="00076CA4"/>
    <w:rsid w:val="000818EE"/>
    <w:rsid w:val="00084C89"/>
    <w:rsid w:val="0008568E"/>
    <w:rsid w:val="000A706F"/>
    <w:rsid w:val="000D37E7"/>
    <w:rsid w:val="000D6572"/>
    <w:rsid w:val="000E0690"/>
    <w:rsid w:val="00110A41"/>
    <w:rsid w:val="00116745"/>
    <w:rsid w:val="001325FF"/>
    <w:rsid w:val="00166B4B"/>
    <w:rsid w:val="00172A27"/>
    <w:rsid w:val="0018123D"/>
    <w:rsid w:val="001829E2"/>
    <w:rsid w:val="001856B8"/>
    <w:rsid w:val="0019440B"/>
    <w:rsid w:val="001A1349"/>
    <w:rsid w:val="001A14D7"/>
    <w:rsid w:val="001A6B08"/>
    <w:rsid w:val="001B261D"/>
    <w:rsid w:val="001C6F44"/>
    <w:rsid w:val="001E7B32"/>
    <w:rsid w:val="001F6F32"/>
    <w:rsid w:val="00226780"/>
    <w:rsid w:val="00227045"/>
    <w:rsid w:val="00233C61"/>
    <w:rsid w:val="00242E2F"/>
    <w:rsid w:val="002603C5"/>
    <w:rsid w:val="002758FD"/>
    <w:rsid w:val="002C0C2E"/>
    <w:rsid w:val="002C7D14"/>
    <w:rsid w:val="002D0281"/>
    <w:rsid w:val="002E29BE"/>
    <w:rsid w:val="002E680C"/>
    <w:rsid w:val="002F28D2"/>
    <w:rsid w:val="002F61EC"/>
    <w:rsid w:val="00300600"/>
    <w:rsid w:val="00306B1B"/>
    <w:rsid w:val="0032650F"/>
    <w:rsid w:val="00342094"/>
    <w:rsid w:val="00344375"/>
    <w:rsid w:val="00374A61"/>
    <w:rsid w:val="00391084"/>
    <w:rsid w:val="00392F1F"/>
    <w:rsid w:val="003A488F"/>
    <w:rsid w:val="003B442A"/>
    <w:rsid w:val="003B47CD"/>
    <w:rsid w:val="003C14C9"/>
    <w:rsid w:val="003D56FB"/>
    <w:rsid w:val="003D6C09"/>
    <w:rsid w:val="003E49FF"/>
    <w:rsid w:val="003F439B"/>
    <w:rsid w:val="00410623"/>
    <w:rsid w:val="00413231"/>
    <w:rsid w:val="004912D7"/>
    <w:rsid w:val="004916A0"/>
    <w:rsid w:val="00494612"/>
    <w:rsid w:val="00504350"/>
    <w:rsid w:val="00512882"/>
    <w:rsid w:val="005172C7"/>
    <w:rsid w:val="00551A18"/>
    <w:rsid w:val="005B05D9"/>
    <w:rsid w:val="005B5BCD"/>
    <w:rsid w:val="005B6BD9"/>
    <w:rsid w:val="005C3C24"/>
    <w:rsid w:val="005F3519"/>
    <w:rsid w:val="0060387B"/>
    <w:rsid w:val="00612E6A"/>
    <w:rsid w:val="00616983"/>
    <w:rsid w:val="0062635F"/>
    <w:rsid w:val="00640156"/>
    <w:rsid w:val="00653025"/>
    <w:rsid w:val="006609A4"/>
    <w:rsid w:val="0067059E"/>
    <w:rsid w:val="00672712"/>
    <w:rsid w:val="00672BBB"/>
    <w:rsid w:val="00676D05"/>
    <w:rsid w:val="00677C00"/>
    <w:rsid w:val="00677E32"/>
    <w:rsid w:val="00681751"/>
    <w:rsid w:val="006B0BCF"/>
    <w:rsid w:val="006B0EE6"/>
    <w:rsid w:val="006B6B7F"/>
    <w:rsid w:val="006C03FE"/>
    <w:rsid w:val="006C0BD1"/>
    <w:rsid w:val="006C45C2"/>
    <w:rsid w:val="006D116D"/>
    <w:rsid w:val="00751B09"/>
    <w:rsid w:val="00752F37"/>
    <w:rsid w:val="00766454"/>
    <w:rsid w:val="007C589E"/>
    <w:rsid w:val="00815BDC"/>
    <w:rsid w:val="008442CB"/>
    <w:rsid w:val="00860A1E"/>
    <w:rsid w:val="00872F81"/>
    <w:rsid w:val="0088042C"/>
    <w:rsid w:val="008A11AD"/>
    <w:rsid w:val="008B6B39"/>
    <w:rsid w:val="008C0659"/>
    <w:rsid w:val="008D48DB"/>
    <w:rsid w:val="008E0134"/>
    <w:rsid w:val="008E3327"/>
    <w:rsid w:val="008E7317"/>
    <w:rsid w:val="008E766D"/>
    <w:rsid w:val="008F2708"/>
    <w:rsid w:val="008F7B8C"/>
    <w:rsid w:val="008F7BE9"/>
    <w:rsid w:val="00907678"/>
    <w:rsid w:val="00917E38"/>
    <w:rsid w:val="00942B2E"/>
    <w:rsid w:val="009449AF"/>
    <w:rsid w:val="009867D6"/>
    <w:rsid w:val="009B0DCD"/>
    <w:rsid w:val="009B67C0"/>
    <w:rsid w:val="00A10504"/>
    <w:rsid w:val="00A26226"/>
    <w:rsid w:val="00A27AF8"/>
    <w:rsid w:val="00A3133A"/>
    <w:rsid w:val="00A46F3E"/>
    <w:rsid w:val="00A55316"/>
    <w:rsid w:val="00A57170"/>
    <w:rsid w:val="00A8409D"/>
    <w:rsid w:val="00A84B55"/>
    <w:rsid w:val="00AC281B"/>
    <w:rsid w:val="00AE1987"/>
    <w:rsid w:val="00AE748C"/>
    <w:rsid w:val="00B061A4"/>
    <w:rsid w:val="00B27353"/>
    <w:rsid w:val="00B5553B"/>
    <w:rsid w:val="00B728B0"/>
    <w:rsid w:val="00B738C4"/>
    <w:rsid w:val="00B74AC2"/>
    <w:rsid w:val="00B770E2"/>
    <w:rsid w:val="00B8571B"/>
    <w:rsid w:val="00B87C54"/>
    <w:rsid w:val="00BB4A53"/>
    <w:rsid w:val="00BD43BA"/>
    <w:rsid w:val="00BD7EB1"/>
    <w:rsid w:val="00C07332"/>
    <w:rsid w:val="00C15828"/>
    <w:rsid w:val="00C50F9F"/>
    <w:rsid w:val="00C629D1"/>
    <w:rsid w:val="00C65119"/>
    <w:rsid w:val="00C71D90"/>
    <w:rsid w:val="00C73388"/>
    <w:rsid w:val="00C92658"/>
    <w:rsid w:val="00CA2E8D"/>
    <w:rsid w:val="00CB0C42"/>
    <w:rsid w:val="00CB12FC"/>
    <w:rsid w:val="00CC401D"/>
    <w:rsid w:val="00CC4A81"/>
    <w:rsid w:val="00CC7A88"/>
    <w:rsid w:val="00CD2869"/>
    <w:rsid w:val="00CE3854"/>
    <w:rsid w:val="00CF3B3B"/>
    <w:rsid w:val="00D622CB"/>
    <w:rsid w:val="00D77B09"/>
    <w:rsid w:val="00DA0E9A"/>
    <w:rsid w:val="00DB43CD"/>
    <w:rsid w:val="00DC4A0D"/>
    <w:rsid w:val="00DE3441"/>
    <w:rsid w:val="00DE5844"/>
    <w:rsid w:val="00DF566E"/>
    <w:rsid w:val="00E04538"/>
    <w:rsid w:val="00E07282"/>
    <w:rsid w:val="00E17651"/>
    <w:rsid w:val="00E2428B"/>
    <w:rsid w:val="00E57A69"/>
    <w:rsid w:val="00E810BC"/>
    <w:rsid w:val="00E81C57"/>
    <w:rsid w:val="00E86D02"/>
    <w:rsid w:val="00EA2030"/>
    <w:rsid w:val="00EC0167"/>
    <w:rsid w:val="00EC2BA5"/>
    <w:rsid w:val="00EC6BC2"/>
    <w:rsid w:val="00EF0AD1"/>
    <w:rsid w:val="00F01151"/>
    <w:rsid w:val="00F23CC4"/>
    <w:rsid w:val="00F44B3C"/>
    <w:rsid w:val="00F46E0A"/>
    <w:rsid w:val="00F87A36"/>
    <w:rsid w:val="00FB232D"/>
    <w:rsid w:val="00FB2EEA"/>
    <w:rsid w:val="00FB4928"/>
    <w:rsid w:val="00FB58E0"/>
    <w:rsid w:val="00FC4AE0"/>
    <w:rsid w:val="00FE6C22"/>
    <w:rsid w:val="00FF0B74"/>
    <w:rsid w:val="00FF4759"/>
    <w:rsid w:val="015E55FC"/>
    <w:rsid w:val="01BD234F"/>
    <w:rsid w:val="01DE0FEB"/>
    <w:rsid w:val="01EC55B1"/>
    <w:rsid w:val="02812E3C"/>
    <w:rsid w:val="02F62310"/>
    <w:rsid w:val="02FA25AA"/>
    <w:rsid w:val="04524E8E"/>
    <w:rsid w:val="04EE7950"/>
    <w:rsid w:val="05C313AC"/>
    <w:rsid w:val="064561CA"/>
    <w:rsid w:val="0B5049C5"/>
    <w:rsid w:val="0D4C5FFC"/>
    <w:rsid w:val="0F8F145D"/>
    <w:rsid w:val="0FFF0AFF"/>
    <w:rsid w:val="12D47A53"/>
    <w:rsid w:val="13436B02"/>
    <w:rsid w:val="137329C5"/>
    <w:rsid w:val="168F1C59"/>
    <w:rsid w:val="16D8439D"/>
    <w:rsid w:val="18DE654F"/>
    <w:rsid w:val="19CE4A00"/>
    <w:rsid w:val="1DFB4946"/>
    <w:rsid w:val="1E041558"/>
    <w:rsid w:val="1F5F4ACA"/>
    <w:rsid w:val="1F7F264C"/>
    <w:rsid w:val="1F8A39D9"/>
    <w:rsid w:val="1F8C070E"/>
    <w:rsid w:val="201B31F8"/>
    <w:rsid w:val="209C3351"/>
    <w:rsid w:val="21062B9D"/>
    <w:rsid w:val="217074FE"/>
    <w:rsid w:val="21F2224D"/>
    <w:rsid w:val="22DA1BFB"/>
    <w:rsid w:val="2308328C"/>
    <w:rsid w:val="24E82CF7"/>
    <w:rsid w:val="250F52E7"/>
    <w:rsid w:val="251F7496"/>
    <w:rsid w:val="254C5F47"/>
    <w:rsid w:val="255D69BF"/>
    <w:rsid w:val="2591702D"/>
    <w:rsid w:val="270C3D62"/>
    <w:rsid w:val="274A58B5"/>
    <w:rsid w:val="28D53673"/>
    <w:rsid w:val="28D6472D"/>
    <w:rsid w:val="29CF617A"/>
    <w:rsid w:val="2B8051E3"/>
    <w:rsid w:val="2BCB792C"/>
    <w:rsid w:val="2C522EAF"/>
    <w:rsid w:val="2C7E6EB9"/>
    <w:rsid w:val="2CC86033"/>
    <w:rsid w:val="2E6F389B"/>
    <w:rsid w:val="2F6C13C9"/>
    <w:rsid w:val="2FEE6618"/>
    <w:rsid w:val="318F6462"/>
    <w:rsid w:val="32BF0854"/>
    <w:rsid w:val="34772C00"/>
    <w:rsid w:val="34916B43"/>
    <w:rsid w:val="37F23827"/>
    <w:rsid w:val="38BB2D8D"/>
    <w:rsid w:val="39C71B0E"/>
    <w:rsid w:val="39DE361A"/>
    <w:rsid w:val="3AF650BE"/>
    <w:rsid w:val="3AF90815"/>
    <w:rsid w:val="3C625E3B"/>
    <w:rsid w:val="3E7D4243"/>
    <w:rsid w:val="3EC34D4D"/>
    <w:rsid w:val="3ECB3760"/>
    <w:rsid w:val="3F045BE1"/>
    <w:rsid w:val="41E428DD"/>
    <w:rsid w:val="422C46F7"/>
    <w:rsid w:val="42CB6A51"/>
    <w:rsid w:val="4341141C"/>
    <w:rsid w:val="43473AD8"/>
    <w:rsid w:val="44142E30"/>
    <w:rsid w:val="444A5927"/>
    <w:rsid w:val="45345DCE"/>
    <w:rsid w:val="458C4D4A"/>
    <w:rsid w:val="45F20916"/>
    <w:rsid w:val="4A2C22FF"/>
    <w:rsid w:val="4C3D77D1"/>
    <w:rsid w:val="4C52210E"/>
    <w:rsid w:val="4C5B06F8"/>
    <w:rsid w:val="4CD708C9"/>
    <w:rsid w:val="4D0F4AC6"/>
    <w:rsid w:val="4D17396E"/>
    <w:rsid w:val="4D2A015B"/>
    <w:rsid w:val="4DAB689E"/>
    <w:rsid w:val="4DD40793"/>
    <w:rsid w:val="4E8F3422"/>
    <w:rsid w:val="52137ED9"/>
    <w:rsid w:val="524813E4"/>
    <w:rsid w:val="52F83130"/>
    <w:rsid w:val="555F7B0D"/>
    <w:rsid w:val="560E4DCD"/>
    <w:rsid w:val="592B28B5"/>
    <w:rsid w:val="5AD312AF"/>
    <w:rsid w:val="5C005FAD"/>
    <w:rsid w:val="5E4E630D"/>
    <w:rsid w:val="5F186373"/>
    <w:rsid w:val="5FEA427E"/>
    <w:rsid w:val="60B23EA9"/>
    <w:rsid w:val="610A6A4C"/>
    <w:rsid w:val="62445A98"/>
    <w:rsid w:val="6511645B"/>
    <w:rsid w:val="66325077"/>
    <w:rsid w:val="66B802D5"/>
    <w:rsid w:val="6798318A"/>
    <w:rsid w:val="67B230AC"/>
    <w:rsid w:val="67BE1E6E"/>
    <w:rsid w:val="686B09F3"/>
    <w:rsid w:val="6B8A6E59"/>
    <w:rsid w:val="6B8E186C"/>
    <w:rsid w:val="6D896895"/>
    <w:rsid w:val="6DE85FD7"/>
    <w:rsid w:val="6E502D74"/>
    <w:rsid w:val="6ECA6AEE"/>
    <w:rsid w:val="6EDC62C4"/>
    <w:rsid w:val="6F741E06"/>
    <w:rsid w:val="6F85635B"/>
    <w:rsid w:val="6FB022C4"/>
    <w:rsid w:val="70A05C25"/>
    <w:rsid w:val="70C83792"/>
    <w:rsid w:val="71A7686F"/>
    <w:rsid w:val="71C53764"/>
    <w:rsid w:val="73767E82"/>
    <w:rsid w:val="73D015E8"/>
    <w:rsid w:val="748603E4"/>
    <w:rsid w:val="755A4CEA"/>
    <w:rsid w:val="75AD27F2"/>
    <w:rsid w:val="75E121CB"/>
    <w:rsid w:val="76211708"/>
    <w:rsid w:val="76B041D7"/>
    <w:rsid w:val="774E341A"/>
    <w:rsid w:val="77574336"/>
    <w:rsid w:val="79767C4F"/>
    <w:rsid w:val="79992C8A"/>
    <w:rsid w:val="7EBB1F34"/>
    <w:rsid w:val="7F8D6F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0" w:semiHidden="0" w:name="header"/>
    <w:lsdException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nhideWhenUsed="0" w:uiPriority="0"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iPriority="99"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character" w:default="1" w:styleId="7">
    <w:name w:val="Default Paragraph Font"/>
    <w:uiPriority w:val="0"/>
  </w:style>
  <w:style w:type="table" w:default="1" w:styleId="6">
    <w:name w:val="Normal Table"/>
    <w:unhideWhenUsed/>
    <w:uiPriority w:val="99"/>
    <w:tblPr>
      <w:tblCellMar>
        <w:top w:w="0" w:type="dxa"/>
        <w:left w:w="108" w:type="dxa"/>
        <w:bottom w:w="0" w:type="dxa"/>
        <w:right w:w="108" w:type="dxa"/>
      </w:tblCellMar>
    </w:tblPr>
  </w:style>
  <w:style w:type="paragraph" w:styleId="2">
    <w:name w:val="Balloon Text"/>
    <w:basedOn w:val="1"/>
    <w:link w:val="17"/>
    <w:unhideWhenUsed/>
    <w:uiPriority w:val="99"/>
    <w:rPr>
      <w:sz w:val="18"/>
      <w:szCs w:val="18"/>
    </w:rPr>
  </w:style>
  <w:style w:type="paragraph" w:styleId="3">
    <w:name w:val="footer"/>
    <w:basedOn w:val="1"/>
    <w:link w:val="9"/>
    <w:uiPriority w:val="0"/>
    <w:pPr>
      <w:tabs>
        <w:tab w:val="center" w:pos="4153"/>
        <w:tab w:val="right" w:pos="8306"/>
      </w:tabs>
      <w:snapToGrid w:val="0"/>
      <w:jc w:val="left"/>
    </w:pPr>
    <w:rPr>
      <w:sz w:val="18"/>
    </w:rPr>
  </w:style>
  <w:style w:type="paragraph" w:styleId="4">
    <w:name w:val="header"/>
    <w:basedOn w:val="1"/>
    <w:link w:val="10"/>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5">
    <w:name w:val="toc 1"/>
    <w:basedOn w:val="1"/>
    <w:next w:val="1"/>
    <w:semiHidden/>
    <w:unhideWhenUsed/>
    <w:uiPriority w:val="39"/>
    <w:pPr>
      <w:tabs>
        <w:tab w:val="right" w:leader="dot" w:pos="9180"/>
        <w:tab w:val="right" w:leader="middleDot" w:pos="9240"/>
      </w:tabs>
      <w:spacing w:line="360" w:lineRule="auto"/>
    </w:pPr>
    <w:rPr>
      <w:sz w:val="24"/>
      <w:szCs w:val="24"/>
    </w:rPr>
  </w:style>
  <w:style w:type="character" w:styleId="8">
    <w:name w:val="Hyperlink"/>
    <w:semiHidden/>
    <w:unhideWhenUsed/>
    <w:uiPriority w:val="99"/>
    <w:rPr>
      <w:color w:val="000000"/>
      <w:u w:val="single"/>
    </w:rPr>
  </w:style>
  <w:style w:type="character" w:customStyle="1" w:styleId="9">
    <w:name w:val="页脚 字符"/>
    <w:link w:val="3"/>
    <w:qFormat/>
    <w:uiPriority w:val="99"/>
    <w:rPr>
      <w:kern w:val="2"/>
      <w:sz w:val="18"/>
    </w:rPr>
  </w:style>
  <w:style w:type="character" w:customStyle="1" w:styleId="10">
    <w:name w:val="页眉 字符"/>
    <w:link w:val="4"/>
    <w:qFormat/>
    <w:uiPriority w:val="99"/>
    <w:rPr>
      <w:kern w:val="2"/>
      <w:sz w:val="18"/>
    </w:rPr>
  </w:style>
  <w:style w:type="paragraph" w:customStyle="1" w:styleId="11">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paragraph" w:styleId="12">
    <w:name w:val="No Spacing"/>
    <w:link w:val="13"/>
    <w:semiHidden/>
    <w:unhideWhenUsed/>
    <w:uiPriority w:val="99"/>
    <w:rPr>
      <w:rFonts w:ascii="Calibri" w:hAnsi="Calibri" w:eastAsia="宋体" w:cs="Times New Roman"/>
      <w:sz w:val="22"/>
      <w:szCs w:val="22"/>
      <w:lang w:val="en-US" w:eastAsia="zh-CN" w:bidi="ar-SA"/>
    </w:rPr>
  </w:style>
  <w:style w:type="character" w:customStyle="1" w:styleId="13">
    <w:name w:val="无间隔 字符"/>
    <w:link w:val="12"/>
    <w:qFormat/>
    <w:uiPriority w:val="1"/>
    <w:rPr>
      <w:rFonts w:ascii="Calibri" w:hAnsi="Calibri"/>
      <w:sz w:val="22"/>
      <w:szCs w:val="22"/>
      <w:lang w:val="en-US" w:eastAsia="zh-CN" w:bidi="ar-SA"/>
    </w:rPr>
  </w:style>
  <w:style w:type="character" w:customStyle="1" w:styleId="14">
    <w:name w:val="font11"/>
    <w:basedOn w:val="7"/>
    <w:qFormat/>
    <w:uiPriority w:val="0"/>
    <w:rPr>
      <w:rFonts w:hint="eastAsia" w:ascii="微软雅黑" w:hAnsi="微软雅黑" w:eastAsia="微软雅黑" w:cs="微软雅黑"/>
      <w:color w:val="000000"/>
      <w:sz w:val="20"/>
      <w:szCs w:val="20"/>
      <w:u w:val="none"/>
    </w:rPr>
  </w:style>
  <w:style w:type="character" w:customStyle="1" w:styleId="15">
    <w:name w:val="font21"/>
    <w:basedOn w:val="7"/>
    <w:qFormat/>
    <w:uiPriority w:val="0"/>
    <w:rPr>
      <w:rFonts w:hint="eastAsia" w:ascii="微软雅黑" w:hAnsi="微软雅黑" w:eastAsia="微软雅黑" w:cs="微软雅黑"/>
      <w:color w:val="000000"/>
      <w:sz w:val="20"/>
      <w:szCs w:val="20"/>
      <w:u w:val="none"/>
    </w:rPr>
  </w:style>
  <w:style w:type="character" w:customStyle="1" w:styleId="16">
    <w:name w:val="font31"/>
    <w:basedOn w:val="7"/>
    <w:qFormat/>
    <w:uiPriority w:val="0"/>
    <w:rPr>
      <w:rFonts w:hint="eastAsia" w:ascii="微软雅黑" w:hAnsi="微软雅黑" w:eastAsia="微软雅黑" w:cs="微软雅黑"/>
      <w:color w:val="FF0000"/>
      <w:sz w:val="20"/>
      <w:szCs w:val="20"/>
      <w:u w:val="none"/>
    </w:rPr>
  </w:style>
  <w:style w:type="character" w:customStyle="1" w:styleId="17">
    <w:name w:val="批注框文本 字符"/>
    <w:link w:val="2"/>
    <w:semiHidden/>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theme" Target="theme/theme1.xml"/><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58.wmf"/><Relationship Id="rId70" Type="http://schemas.openxmlformats.org/officeDocument/2006/relationships/oleObject" Target="embeddings/oleObject2.bin"/><Relationship Id="rId7" Type="http://schemas.openxmlformats.org/officeDocument/2006/relationships/footer" Target="footer4.xml"/><Relationship Id="rId69" Type="http://schemas.openxmlformats.org/officeDocument/2006/relationships/image" Target="media/image57.png"/><Relationship Id="rId68" Type="http://schemas.openxmlformats.org/officeDocument/2006/relationships/image" Target="media/image56.png"/><Relationship Id="rId67" Type="http://schemas.openxmlformats.org/officeDocument/2006/relationships/image" Target="media/image55.png"/><Relationship Id="rId66" Type="http://schemas.openxmlformats.org/officeDocument/2006/relationships/image" Target="media/image54.png"/><Relationship Id="rId65" Type="http://schemas.openxmlformats.org/officeDocument/2006/relationships/image" Target="media/image53.png"/><Relationship Id="rId64" Type="http://schemas.openxmlformats.org/officeDocument/2006/relationships/image" Target="media/image52.png"/><Relationship Id="rId63" Type="http://schemas.openxmlformats.org/officeDocument/2006/relationships/image" Target="media/image51.png"/><Relationship Id="rId62" Type="http://schemas.openxmlformats.org/officeDocument/2006/relationships/image" Target="media/image50.png"/><Relationship Id="rId61" Type="http://schemas.openxmlformats.org/officeDocument/2006/relationships/image" Target="media/image49.png"/><Relationship Id="rId60" Type="http://schemas.openxmlformats.org/officeDocument/2006/relationships/image" Target="media/image48.png"/><Relationship Id="rId6" Type="http://schemas.openxmlformats.org/officeDocument/2006/relationships/footer" Target="footer3.xml"/><Relationship Id="rId59" Type="http://schemas.openxmlformats.org/officeDocument/2006/relationships/image" Target="media/image47.png"/><Relationship Id="rId58" Type="http://schemas.openxmlformats.org/officeDocument/2006/relationships/image" Target="media/image46.png"/><Relationship Id="rId57" Type="http://schemas.openxmlformats.org/officeDocument/2006/relationships/image" Target="media/image45.pn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footer" Target="footer2.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footer" Target="footer1.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emf"/><Relationship Id="rId34" Type="http://schemas.openxmlformats.org/officeDocument/2006/relationships/image" Target="media/image22.emf"/><Relationship Id="rId33" Type="http://schemas.openxmlformats.org/officeDocument/2006/relationships/image" Target="media/image21.emf"/><Relationship Id="rId32" Type="http://schemas.openxmlformats.org/officeDocument/2006/relationships/image" Target="media/image20.emf"/><Relationship Id="rId31" Type="http://schemas.openxmlformats.org/officeDocument/2006/relationships/chart" Target="charts/chart3.xml"/><Relationship Id="rId30" Type="http://schemas.openxmlformats.org/officeDocument/2006/relationships/chart" Target="charts/chart2.xml"/><Relationship Id="rId3" Type="http://schemas.openxmlformats.org/officeDocument/2006/relationships/header" Target="header1.xml"/><Relationship Id="rId29" Type="http://schemas.openxmlformats.org/officeDocument/2006/relationships/image" Target="media/image19.emf"/><Relationship Id="rId28" Type="http://schemas.openxmlformats.org/officeDocument/2006/relationships/image" Target="media/image18.emf"/><Relationship Id="rId27" Type="http://schemas.openxmlformats.org/officeDocument/2006/relationships/image" Target="media/image17.emf"/><Relationship Id="rId26" Type="http://schemas.openxmlformats.org/officeDocument/2006/relationships/image" Target="media/image16.emf"/><Relationship Id="rId25" Type="http://schemas.openxmlformats.org/officeDocument/2006/relationships/image" Target="media/image15.emf"/><Relationship Id="rId24" Type="http://schemas.openxmlformats.org/officeDocument/2006/relationships/image" Target="media/image14.emf"/><Relationship Id="rId23" Type="http://schemas.openxmlformats.org/officeDocument/2006/relationships/image" Target="media/image13.emf"/><Relationship Id="rId22" Type="http://schemas.openxmlformats.org/officeDocument/2006/relationships/image" Target="media/image12.emf"/><Relationship Id="rId21" Type="http://schemas.openxmlformats.org/officeDocument/2006/relationships/image" Target="media/image11.emf"/><Relationship Id="rId20" Type="http://schemas.openxmlformats.org/officeDocument/2006/relationships/image" Target="media/image10.emf"/><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chart" Target="charts/chart1.xml"/><Relationship Id="rId11" Type="http://schemas.openxmlformats.org/officeDocument/2006/relationships/image" Target="media/image2.png"/><Relationship Id="rId10" Type="http://schemas.openxmlformats.org/officeDocument/2006/relationships/image" Target="media/image1.wmf"/><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87303\Desktop\data(1).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87303\Desktop\data(1).xlsx"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87303\Desktop\data(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300459674049311"/>
          <c:y val="0.25974025974026"/>
          <c:w val="0.408552723220504"/>
          <c:h val="0.692561983471074"/>
        </c:manualLayout>
      </c:layout>
      <c:pieChart>
        <c:varyColors val="1"/>
        <c:ser>
          <c:idx val="0"/>
          <c:order val="0"/>
          <c:spPr/>
          <c:explosion val="0"/>
          <c:dPt>
            <c:idx val="0"/>
            <c:bubble3D val="0"/>
            <c:spPr>
              <a:solidFill>
                <a:schemeClr val="accent1">
                  <a:shade val="47500"/>
                </a:schemeClr>
              </a:solidFill>
              <a:ln>
                <a:noFill/>
              </a:ln>
              <a:effectLst/>
            </c:spPr>
          </c:dPt>
          <c:dPt>
            <c:idx val="1"/>
            <c:bubble3D val="0"/>
            <c:spPr>
              <a:solidFill>
                <a:schemeClr val="accent1">
                  <a:shade val="65000"/>
                </a:schemeClr>
              </a:solidFill>
              <a:ln>
                <a:noFill/>
              </a:ln>
              <a:effectLst/>
            </c:spPr>
          </c:dPt>
          <c:dPt>
            <c:idx val="2"/>
            <c:bubble3D val="0"/>
            <c:spPr>
              <a:solidFill>
                <a:schemeClr val="accent1">
                  <a:shade val="82500"/>
                </a:schemeClr>
              </a:solidFill>
              <a:ln>
                <a:noFill/>
              </a:ln>
              <a:effectLst/>
            </c:spPr>
          </c:dPt>
          <c:dPt>
            <c:idx val="3"/>
            <c:bubble3D val="0"/>
            <c:spPr>
              <a:solidFill>
                <a:schemeClr val="accent1"/>
              </a:solidFill>
              <a:ln>
                <a:noFill/>
              </a:ln>
              <a:effectLst/>
            </c:spPr>
          </c:dPt>
          <c:dPt>
            <c:idx val="4"/>
            <c:bubble3D val="0"/>
            <c:spPr>
              <a:solidFill>
                <a:schemeClr val="accent1">
                  <a:tint val="82500"/>
                </a:schemeClr>
              </a:solidFill>
              <a:ln>
                <a:noFill/>
              </a:ln>
              <a:effectLst/>
            </c:spPr>
          </c:dPt>
          <c:dPt>
            <c:idx val="5"/>
            <c:bubble3D val="0"/>
            <c:spPr>
              <a:solidFill>
                <a:schemeClr val="accent1">
                  <a:tint val="65000"/>
                </a:schemeClr>
              </a:solidFill>
              <a:ln>
                <a:noFill/>
              </a:ln>
              <a:effectLst/>
            </c:spPr>
          </c:dPt>
          <c:dPt>
            <c:idx val="6"/>
            <c:bubble3D val="0"/>
            <c:spPr>
              <a:solidFill>
                <a:schemeClr val="accent1">
                  <a:tint val="47500"/>
                </a:schemeClr>
              </a:solidFill>
              <a:ln>
                <a:noFill/>
              </a:ln>
              <a:effectLst/>
            </c:spPr>
          </c:dPt>
          <c:dLbls>
            <c:numFmt formatCode="General" sourceLinked="1"/>
            <c:spPr>
              <a:noFill/>
              <a:ln>
                <a:noFill/>
              </a:ln>
              <a:effectLst/>
            </c:spPr>
            <c:txPr>
              <a:bodyPr rot="0" spcFirstLastPara="0" vertOverflow="ellipsis" vert="horz" wrap="square" lIns="38100" tIns="19050" rIns="38100" bIns="19050" anchor="ctr" anchorCtr="1" forceAA="0"/>
              <a:lstStyle/>
              <a:p>
                <a:pPr>
                  <a:defRPr lang="zh-CN" sz="900" b="0" i="0" u="none" strike="noStrike" kern="1200" baseline="0">
                    <a:solidFill>
                      <a:schemeClr val="bg1"/>
                    </a:solidFill>
                    <a:latin typeface="微软雅黑" panose="020B0503020204020204" pitchFamily="2" charset="-122"/>
                    <a:ea typeface="微软雅黑" panose="020B0503020204020204" pitchFamily="2" charset="-122"/>
                    <a:cs typeface="微软雅黑" panose="020B0503020204020204" pitchFamily="2" charset="-122"/>
                    <a:sym typeface="微软雅黑" panose="020B0503020204020204" pitchFamily="2" charset="-122"/>
                  </a:defRPr>
                </a:pPr>
              </a:p>
            </c:txPr>
            <c:dLblPos val="inEnd"/>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'[data(1).xlsx]Sheet4'!$A$1:$A$7</c:f>
              <c:strCache>
                <c:ptCount val="7"/>
                <c:pt idx="0">
                  <c:v>1次</c:v>
                </c:pt>
                <c:pt idx="1">
                  <c:v>2次</c:v>
                </c:pt>
                <c:pt idx="2">
                  <c:v>3次</c:v>
                </c:pt>
                <c:pt idx="3">
                  <c:v>4次</c:v>
                </c:pt>
                <c:pt idx="4">
                  <c:v>5次</c:v>
                </c:pt>
                <c:pt idx="5">
                  <c:v>6-10次</c:v>
                </c:pt>
                <c:pt idx="6">
                  <c:v>11次及以上</c:v>
                </c:pt>
              </c:strCache>
            </c:strRef>
          </c:cat>
          <c:val>
            <c:numRef>
              <c:f>'[data(1).xlsx]Sheet4'!$B$1:$B$7</c:f>
              <c:numCache>
                <c:formatCode>General</c:formatCode>
                <c:ptCount val="7"/>
                <c:pt idx="0">
                  <c:v>602</c:v>
                </c:pt>
                <c:pt idx="1">
                  <c:v>320</c:v>
                </c:pt>
                <c:pt idx="2">
                  <c:v>172</c:v>
                </c:pt>
                <c:pt idx="3">
                  <c:v>103</c:v>
                </c:pt>
                <c:pt idx="4">
                  <c:v>61</c:v>
                </c:pt>
                <c:pt idx="5">
                  <c:v>189</c:v>
                </c:pt>
                <c:pt idx="6">
                  <c:v>41</c:v>
                </c:pt>
              </c:numCache>
            </c:numRef>
          </c:val>
        </c:ser>
        <c:dLbls>
          <c:showLegendKey val="0"/>
          <c:showVal val="0"/>
          <c:showCatName val="1"/>
          <c:showSerName val="0"/>
          <c:showPercent val="1"/>
          <c:showBubbleSize val="0"/>
          <c:showLeaderLines val="1"/>
        </c:dLbls>
        <c:firstSliceAng val="0"/>
      </c:pieChart>
      <c:spPr>
        <a:noFill/>
        <a:ln>
          <a:noFill/>
        </a:ln>
        <a:effectLst/>
      </c:spPr>
    </c:plotArea>
    <c:legend>
      <c:legendPos val="t"/>
      <c:layout>
        <c:manualLayout>
          <c:xMode val="edge"/>
          <c:yMode val="edge"/>
          <c:x val="0.207319525241732"/>
          <c:y val="0.146990740740741"/>
        </c:manualLayout>
      </c:layout>
      <c:overlay val="0"/>
      <c:spPr>
        <a:noFill/>
        <a:ln>
          <a:noFill/>
        </a:ln>
        <a:effectLst/>
      </c:spPr>
      <c:txPr>
        <a:bodyPr rot="0" spcFirstLastPara="0" vertOverflow="ellipsis" vert="horz" wrap="square" anchor="ctr" anchorCtr="1" forceAA="0"/>
        <a:lstStyle/>
        <a:p>
          <a:pPr>
            <a:defRPr lang="zh-CN" sz="900" b="0" i="0" u="none" strike="noStrike" kern="1200" baseline="0">
              <a:solidFill>
                <a:schemeClr val="tx1">
                  <a:lumMod val="65000"/>
                  <a:lumOff val="35000"/>
                </a:schemeClr>
              </a:solidFill>
              <a:latin typeface="微软雅黑" panose="020B0503020204020204" pitchFamily="2" charset="-122"/>
              <a:ea typeface="微软雅黑" panose="020B0503020204020204" pitchFamily="2" charset="-122"/>
              <a:cs typeface="微软雅黑" panose="020B0503020204020204" pitchFamily="2" charset="-122"/>
              <a:sym typeface="微软雅黑" panose="020B0503020204020204" pitchFamily="2" charset="-122"/>
            </a:defRPr>
          </a:pPr>
        </a:p>
      </c:txPr>
    </c:legend>
    <c:plotVisOnly val="1"/>
    <c:dispBlanksAs val="gap"/>
    <c:showDLblsOverMax val="0"/>
  </c:chart>
  <c:spPr>
    <a:solidFill>
      <a:schemeClr val="bg1"/>
    </a:solidFill>
    <a:ln w="9525" cap="flat" cmpd="sng" algn="ctr">
      <a:noFill/>
      <a:round/>
    </a:ln>
    <a:effectLst>
      <a:outerShdw blurRad="63500" dist="37357" dir="2700000" sx="0" sy="0" rotWithShape="0">
        <a:scrgbClr r="0" g="0" b="0"/>
      </a:outerShdw>
    </a:effectLst>
  </c:spPr>
  <c:txPr>
    <a:bodyPr/>
    <a:lstStyle/>
    <a:p>
      <a:pPr>
        <a:defRPr lang="zh-CN">
          <a:solidFill>
            <a:schemeClr val="tx1">
              <a:lumMod val="65000"/>
              <a:lumOff val="35000"/>
            </a:schemeClr>
          </a:solidFill>
          <a:latin typeface="微软雅黑" panose="020B0503020204020204" pitchFamily="2" charset="-122"/>
          <a:ea typeface="微软雅黑" panose="020B0503020204020204" pitchFamily="2" charset="-122"/>
          <a:cs typeface="微软雅黑" panose="020B0503020204020204" pitchFamily="2" charset="-122"/>
          <a:sym typeface="微软雅黑" panose="020B0503020204020204" pitchFamily="2" charset="-122"/>
        </a:defRPr>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300459674049311"/>
          <c:y val="0.25974025974026"/>
          <c:w val="0.408552723220504"/>
          <c:h val="0.692561983471074"/>
        </c:manualLayout>
      </c:layout>
      <c:pieChart>
        <c:varyColors val="1"/>
        <c:ser>
          <c:idx val="0"/>
          <c:order val="0"/>
          <c:spPr/>
          <c:explosion val="0"/>
          <c:dPt>
            <c:idx val="0"/>
            <c:bubble3D val="0"/>
            <c:spPr>
              <a:gradFill rotWithShape="1">
                <a:gsLst>
                  <a:gs pos="0">
                    <a:schemeClr val="accent1">
                      <a:shade val="50000"/>
                      <a:tint val="50000"/>
                      <a:satMod val="300000"/>
                    </a:schemeClr>
                  </a:gs>
                  <a:gs pos="35000">
                    <a:schemeClr val="accent1">
                      <a:shade val="50000"/>
                      <a:tint val="37000"/>
                      <a:satMod val="300000"/>
                    </a:schemeClr>
                  </a:gs>
                  <a:gs pos="100000">
                    <a:schemeClr val="accent1">
                      <a:shade val="50000"/>
                      <a:tint val="15000"/>
                      <a:satMod val="350000"/>
                    </a:schemeClr>
                  </a:gs>
                </a:gsLst>
                <a:lin ang="16200000" scaled="1"/>
              </a:gradFill>
              <a:ln w="9525" cap="flat" cmpd="sng" algn="ctr">
                <a:solidFill>
                  <a:schemeClr val="accent1">
                    <a:shade val="50000"/>
                    <a:shade val="95000"/>
                  </a:schemeClr>
                </a:solidFill>
                <a:round/>
              </a:ln>
              <a:effectLst>
                <a:outerShdw blurRad="40000" dist="20000" dir="5400000" rotWithShape="0">
                  <a:srgbClr val="000000">
                    <a:alpha val="38000"/>
                  </a:srgbClr>
                </a:outerShdw>
              </a:effectLst>
            </c:spPr>
          </c:dPt>
          <c:dPt>
            <c:idx val="1"/>
            <c:bubble3D val="0"/>
            <c:spPr>
              <a:gradFill rotWithShape="1">
                <a:gsLst>
                  <a:gs pos="0">
                    <a:schemeClr val="accent1">
                      <a:shade val="70000"/>
                      <a:tint val="50000"/>
                      <a:satMod val="300000"/>
                    </a:schemeClr>
                  </a:gs>
                  <a:gs pos="35000">
                    <a:schemeClr val="accent1">
                      <a:shade val="70000"/>
                      <a:tint val="37000"/>
                      <a:satMod val="300000"/>
                    </a:schemeClr>
                  </a:gs>
                  <a:gs pos="100000">
                    <a:schemeClr val="accent1">
                      <a:shade val="70000"/>
                      <a:tint val="15000"/>
                      <a:satMod val="350000"/>
                    </a:schemeClr>
                  </a:gs>
                </a:gsLst>
                <a:lin ang="16200000" scaled="1"/>
              </a:gradFill>
              <a:ln w="9525" cap="flat" cmpd="sng" algn="ctr">
                <a:solidFill>
                  <a:schemeClr val="accent1">
                    <a:shade val="70000"/>
                    <a:shade val="95000"/>
                  </a:schemeClr>
                </a:solidFill>
                <a:round/>
              </a:ln>
              <a:effectLst>
                <a:outerShdw blurRad="40000" dist="20000" dir="5400000" rotWithShape="0">
                  <a:srgbClr val="000000">
                    <a:alpha val="38000"/>
                  </a:srgbClr>
                </a:outerShdw>
              </a:effectLst>
            </c:spPr>
          </c:dPt>
          <c:dPt>
            <c:idx val="2"/>
            <c:bubble3D val="0"/>
            <c:spPr>
              <a:gradFill rotWithShape="1">
                <a:gsLst>
                  <a:gs pos="0">
                    <a:schemeClr val="accent1">
                      <a:shade val="90000"/>
                      <a:tint val="50000"/>
                      <a:satMod val="300000"/>
                    </a:schemeClr>
                  </a:gs>
                  <a:gs pos="35000">
                    <a:schemeClr val="accent1">
                      <a:shade val="90000"/>
                      <a:tint val="37000"/>
                      <a:satMod val="300000"/>
                    </a:schemeClr>
                  </a:gs>
                  <a:gs pos="100000">
                    <a:schemeClr val="accent1">
                      <a:shade val="90000"/>
                      <a:tint val="15000"/>
                      <a:satMod val="350000"/>
                    </a:schemeClr>
                  </a:gs>
                </a:gsLst>
                <a:lin ang="16200000" scaled="1"/>
              </a:gradFill>
              <a:ln w="9525" cap="flat" cmpd="sng" algn="ctr">
                <a:solidFill>
                  <a:schemeClr val="accent1">
                    <a:shade val="90000"/>
                    <a:shade val="95000"/>
                  </a:schemeClr>
                </a:solidFill>
                <a:round/>
              </a:ln>
              <a:effectLst>
                <a:outerShdw blurRad="40000" dist="20000" dir="5400000" rotWithShape="0">
                  <a:srgbClr val="000000">
                    <a:alpha val="38000"/>
                  </a:srgbClr>
                </a:outerShdw>
              </a:effectLst>
            </c:spPr>
          </c:dPt>
          <c:dPt>
            <c:idx val="3"/>
            <c:bubble3D val="0"/>
            <c:spPr>
              <a:gradFill rotWithShape="1">
                <a:gsLst>
                  <a:gs pos="0">
                    <a:schemeClr val="accent1">
                      <a:tint val="90000"/>
                      <a:tint val="50000"/>
                      <a:satMod val="300000"/>
                    </a:schemeClr>
                  </a:gs>
                  <a:gs pos="35000">
                    <a:schemeClr val="accent1">
                      <a:tint val="90000"/>
                      <a:tint val="37000"/>
                      <a:satMod val="300000"/>
                    </a:schemeClr>
                  </a:gs>
                  <a:gs pos="100000">
                    <a:schemeClr val="accent1">
                      <a:tint val="90000"/>
                      <a:tint val="15000"/>
                      <a:satMod val="350000"/>
                    </a:schemeClr>
                  </a:gs>
                </a:gsLst>
                <a:lin ang="16200000" scaled="1"/>
              </a:gradFill>
              <a:ln w="9525" cap="flat" cmpd="sng" algn="ctr">
                <a:solidFill>
                  <a:schemeClr val="accent1">
                    <a:tint val="90000"/>
                    <a:shade val="95000"/>
                  </a:schemeClr>
                </a:solidFill>
                <a:round/>
              </a:ln>
              <a:effectLst>
                <a:outerShdw blurRad="40000" dist="20000" dir="5400000" rotWithShape="0">
                  <a:srgbClr val="000000">
                    <a:alpha val="38000"/>
                  </a:srgbClr>
                </a:outerShdw>
              </a:effectLst>
            </c:spPr>
          </c:dPt>
          <c:dPt>
            <c:idx val="4"/>
            <c:bubble3D val="0"/>
            <c:spPr>
              <a:gradFill rotWithShape="1">
                <a:gsLst>
                  <a:gs pos="0">
                    <a:schemeClr val="accent1">
                      <a:tint val="70000"/>
                      <a:tint val="50000"/>
                      <a:satMod val="300000"/>
                    </a:schemeClr>
                  </a:gs>
                  <a:gs pos="35000">
                    <a:schemeClr val="accent1">
                      <a:tint val="70000"/>
                      <a:tint val="37000"/>
                      <a:satMod val="300000"/>
                    </a:schemeClr>
                  </a:gs>
                  <a:gs pos="100000">
                    <a:schemeClr val="accent1">
                      <a:tint val="70000"/>
                      <a:tint val="15000"/>
                      <a:satMod val="350000"/>
                    </a:schemeClr>
                  </a:gs>
                </a:gsLst>
                <a:lin ang="16200000" scaled="1"/>
              </a:gradFill>
              <a:ln w="9525" cap="flat" cmpd="sng" algn="ctr">
                <a:solidFill>
                  <a:schemeClr val="accent1">
                    <a:tint val="70000"/>
                    <a:shade val="95000"/>
                  </a:schemeClr>
                </a:solidFill>
                <a:round/>
              </a:ln>
              <a:effectLst>
                <a:outerShdw blurRad="40000" dist="20000" dir="5400000" rotWithShape="0">
                  <a:srgbClr val="000000">
                    <a:alpha val="38000"/>
                  </a:srgbClr>
                </a:outerShdw>
              </a:effectLst>
            </c:spPr>
          </c:dPt>
          <c:dPt>
            <c:idx val="5"/>
            <c:bubble3D val="0"/>
            <c:spPr>
              <a:gradFill rotWithShape="1">
                <a:gsLst>
                  <a:gs pos="0">
                    <a:schemeClr val="accent1">
                      <a:tint val="50000"/>
                      <a:tint val="50000"/>
                      <a:satMod val="300000"/>
                    </a:schemeClr>
                  </a:gs>
                  <a:gs pos="35000">
                    <a:schemeClr val="accent1">
                      <a:tint val="50000"/>
                      <a:tint val="37000"/>
                      <a:satMod val="300000"/>
                    </a:schemeClr>
                  </a:gs>
                  <a:gs pos="100000">
                    <a:schemeClr val="accent1">
                      <a:tint val="50000"/>
                      <a:tint val="15000"/>
                      <a:satMod val="350000"/>
                    </a:schemeClr>
                  </a:gs>
                </a:gsLst>
                <a:lin ang="16200000" scaled="1"/>
              </a:gradFill>
              <a:ln w="9525" cap="flat" cmpd="sng" algn="ctr">
                <a:solidFill>
                  <a:schemeClr val="accent1">
                    <a:tint val="50000"/>
                    <a:shade val="95000"/>
                  </a:schemeClr>
                </a:solidFill>
                <a:round/>
              </a:ln>
              <a:effectLst>
                <a:outerShdw blurRad="40000" dist="20000" dir="5400000" rotWithShape="0">
                  <a:srgbClr val="000000">
                    <a:alpha val="38000"/>
                  </a:srgbClr>
                </a:outerShdw>
              </a:effectLst>
            </c:spPr>
          </c:dPt>
          <c:dLbls>
            <c:dLbl>
              <c:idx val="0"/>
              <c:layout/>
              <c:numFmt formatCode="General" sourceLinked="1"/>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65000"/>
                          <a:lumOff val="35000"/>
                        </a:schemeClr>
                      </a:solidFill>
                      <a:latin typeface="+mn-lt"/>
                      <a:ea typeface="+mn-ea"/>
                      <a:cs typeface="+mn-cs"/>
                    </a:defRPr>
                  </a:pPr>
                </a:p>
              </c:txPr>
              <c:dLblPos val="outEnd"/>
              <c:showLegendKey val="0"/>
              <c:showVal val="0"/>
              <c:showCatName val="1"/>
              <c:showSerName val="0"/>
              <c:showPercent val="1"/>
              <c:showBubbleSize val="0"/>
              <c:separator>
</c:separator>
              <c:extLst>
                <c:ext xmlns:c15="http://schemas.microsoft.com/office/drawing/2012/chart" uri="{CE6537A1-D6FC-4f65-9D91-7224C49458BB}"/>
              </c:extLst>
            </c:dLbl>
            <c:dLbl>
              <c:idx val="1"/>
              <c:layout/>
              <c:numFmt formatCode="General" sourceLinked="1"/>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65000"/>
                          <a:lumOff val="35000"/>
                        </a:schemeClr>
                      </a:solidFill>
                      <a:latin typeface="+mn-lt"/>
                      <a:ea typeface="+mn-ea"/>
                      <a:cs typeface="+mn-cs"/>
                    </a:defRPr>
                  </a:pPr>
                </a:p>
              </c:txPr>
              <c:dLblPos val="outEnd"/>
              <c:showLegendKey val="0"/>
              <c:showVal val="0"/>
              <c:showCatName val="1"/>
              <c:showSerName val="0"/>
              <c:showPercent val="1"/>
              <c:showBubbleSize val="0"/>
              <c:separator>
</c:separator>
              <c:extLst>
                <c:ext xmlns:c15="http://schemas.microsoft.com/office/drawing/2012/chart" uri="{CE6537A1-D6FC-4f65-9D91-7224C49458BB}"/>
              </c:extLst>
            </c:dLbl>
            <c:dLbl>
              <c:idx val="2"/>
              <c:layout>
                <c:manualLayout>
                  <c:x val="-0.0291666666666667"/>
                  <c:y val="0.0324074074074074"/>
                </c:manualLayout>
              </c:layout>
              <c:numFmt formatCode="General" sourceLinked="1"/>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65000"/>
                          <a:lumOff val="35000"/>
                        </a:schemeClr>
                      </a:solidFill>
                      <a:latin typeface="+mn-lt"/>
                      <a:ea typeface="+mn-ea"/>
                      <a:cs typeface="+mn-cs"/>
                    </a:defRPr>
                  </a:pPr>
                </a:p>
              </c:txPr>
              <c:dLblPos val="bestFit"/>
              <c:showLegendKey val="0"/>
              <c:showVal val="0"/>
              <c:showCatName val="1"/>
              <c:showSerName val="0"/>
              <c:showPercent val="1"/>
              <c:showBubbleSize val="0"/>
              <c:separator>
</c:separator>
              <c:extLst>
                <c:ext xmlns:c15="http://schemas.microsoft.com/office/drawing/2012/chart" uri="{CE6537A1-D6FC-4f65-9D91-7224C49458BB}">
                  <c15:layout/>
                </c:ext>
              </c:extLst>
            </c:dLbl>
            <c:dLbl>
              <c:idx val="3"/>
              <c:layout>
                <c:manualLayout>
                  <c:x val="-0.0194444444444444"/>
                  <c:y val="0"/>
                </c:manualLayout>
              </c:layout>
              <c:numFmt formatCode="General" sourceLinked="1"/>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65000"/>
                          <a:lumOff val="35000"/>
                        </a:schemeClr>
                      </a:solidFill>
                      <a:latin typeface="+mn-lt"/>
                      <a:ea typeface="+mn-ea"/>
                      <a:cs typeface="+mn-cs"/>
                    </a:defRPr>
                  </a:pPr>
                </a:p>
              </c:txPr>
              <c:dLblPos val="bestFit"/>
              <c:showLegendKey val="0"/>
              <c:showVal val="0"/>
              <c:showCatName val="1"/>
              <c:showSerName val="0"/>
              <c:showPercent val="1"/>
              <c:showBubbleSize val="0"/>
              <c:separator>
</c:separator>
              <c:extLst>
                <c:ext xmlns:c15="http://schemas.microsoft.com/office/drawing/2012/chart" uri="{CE6537A1-D6FC-4f65-9D91-7224C49458BB}">
                  <c15:layout/>
                </c:ext>
              </c:extLst>
            </c:dLbl>
            <c:dLbl>
              <c:idx val="4"/>
              <c:layout>
                <c:manualLayout>
                  <c:x val="0.143055555555556"/>
                  <c:y val="0.00231481481481481"/>
                </c:manualLayout>
              </c:layout>
              <c:numFmt formatCode="General" sourceLinked="1"/>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65000"/>
                          <a:lumOff val="35000"/>
                        </a:schemeClr>
                      </a:solidFill>
                      <a:latin typeface="+mn-lt"/>
                      <a:ea typeface="+mn-ea"/>
                      <a:cs typeface="+mn-cs"/>
                    </a:defRPr>
                  </a:pPr>
                </a:p>
              </c:txPr>
              <c:dLblPos val="bestFit"/>
              <c:showLegendKey val="0"/>
              <c:showVal val="0"/>
              <c:showCatName val="1"/>
              <c:showSerName val="0"/>
              <c:showPercent val="1"/>
              <c:showBubbleSize val="0"/>
              <c:separator>
</c:separator>
              <c:extLst>
                <c:ext xmlns:c15="http://schemas.microsoft.com/office/drawing/2012/chart" uri="{CE6537A1-D6FC-4f65-9D91-7224C49458BB}">
                  <c15:layout/>
                </c:ext>
              </c:extLst>
            </c:dLbl>
            <c:dLbl>
              <c:idx val="5"/>
              <c:layout>
                <c:manualLayout>
                  <c:x val="0.0277777777777778"/>
                  <c:y val="0"/>
                </c:manualLayout>
              </c:layout>
              <c:numFmt formatCode="General" sourceLinked="1"/>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65000"/>
                          <a:lumOff val="35000"/>
                        </a:schemeClr>
                      </a:solidFill>
                      <a:latin typeface="+mn-lt"/>
                      <a:ea typeface="+mn-ea"/>
                      <a:cs typeface="+mn-cs"/>
                    </a:defRPr>
                  </a:pPr>
                </a:p>
              </c:txPr>
              <c:dLblPos val="bestFit"/>
              <c:showLegendKey val="0"/>
              <c:showVal val="0"/>
              <c:showCatName val="1"/>
              <c:showSerName val="0"/>
              <c:showPercent val="1"/>
              <c:showBubbleSize val="0"/>
              <c:separator>
</c:separator>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65000"/>
                        <a:lumOff val="35000"/>
                      </a:schemeClr>
                    </a:solidFill>
                    <a:latin typeface="+mn-lt"/>
                    <a:ea typeface="+mn-ea"/>
                    <a:cs typeface="+mn-cs"/>
                  </a:defRPr>
                </a:pPr>
              </a:p>
            </c:txPr>
            <c:dLblPos val="outEnd"/>
            <c:showLegendKey val="0"/>
            <c:showVal val="0"/>
            <c:showCatName val="1"/>
            <c:showSerName val="0"/>
            <c:showPercent val="1"/>
            <c:showBubbleSize val="0"/>
            <c:showLeaderLines val="1"/>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'[data(1).xlsx]Sheet4'!$A$37:$A$42</c:f>
              <c:strCache>
                <c:ptCount val="6"/>
                <c:pt idx="0">
                  <c:v>国营或国有控股</c:v>
                </c:pt>
                <c:pt idx="1">
                  <c:v>私营</c:v>
                </c:pt>
                <c:pt idx="2">
                  <c:v>中外合资</c:v>
                </c:pt>
                <c:pt idx="3">
                  <c:v>外资独资</c:v>
                </c:pt>
                <c:pt idx="4">
                  <c:v>集体企业</c:v>
                </c:pt>
                <c:pt idx="5">
                  <c:v>其他</c:v>
                </c:pt>
              </c:strCache>
            </c:strRef>
          </c:cat>
          <c:val>
            <c:numRef>
              <c:f>'[data(1).xlsx]Sheet4'!$B$37:$B$42</c:f>
              <c:numCache>
                <c:formatCode>General</c:formatCode>
                <c:ptCount val="6"/>
                <c:pt idx="0">
                  <c:v>160</c:v>
                </c:pt>
                <c:pt idx="1">
                  <c:v>352</c:v>
                </c:pt>
                <c:pt idx="2">
                  <c:v>47</c:v>
                </c:pt>
                <c:pt idx="3">
                  <c:v>5</c:v>
                </c:pt>
                <c:pt idx="4">
                  <c:v>1</c:v>
                </c:pt>
                <c:pt idx="5">
                  <c:v>2</c:v>
                </c:pt>
              </c:numCache>
            </c:numRef>
          </c:val>
        </c:ser>
        <c:dLbls>
          <c:showLegendKey val="0"/>
          <c:showVal val="0"/>
          <c:showCatName val="1"/>
          <c:showSerName val="0"/>
          <c:showPercent val="1"/>
          <c:showBubbleSize val="0"/>
          <c:showLeaderLines val="1"/>
        </c:dLbls>
        <c:firstSliceAng val="0"/>
      </c:pieChart>
      <c:spPr>
        <a:noFill/>
        <a:ln>
          <a:noFill/>
        </a:ln>
        <a:effectLst/>
      </c:spPr>
    </c:plotArea>
    <c:legend>
      <c:legendPos val="b"/>
      <c:layout>
        <c:manualLayout>
          <c:xMode val="edge"/>
          <c:yMode val="edge"/>
          <c:x val="0.635574229691877"/>
          <c:y val="0.596759259259259"/>
          <c:w val="0.360224089635854"/>
          <c:h val="0.382407407407407"/>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300459674049311"/>
          <c:y val="0.25974025974026"/>
          <c:w val="0.408552723220504"/>
          <c:h val="0.692561983471074"/>
        </c:manualLayout>
      </c:layout>
      <c:pieChart>
        <c:varyColors val="1"/>
        <c:ser>
          <c:idx val="0"/>
          <c:order val="0"/>
          <c:spPr/>
          <c:explosion val="0"/>
          <c:dPt>
            <c:idx val="0"/>
            <c:bubble3D val="0"/>
            <c:spPr>
              <a:gradFill rotWithShape="1">
                <a:gsLst>
                  <a:gs pos="0">
                    <a:schemeClr val="accent1">
                      <a:shade val="65000"/>
                      <a:tint val="50000"/>
                      <a:satMod val="300000"/>
                    </a:schemeClr>
                  </a:gs>
                  <a:gs pos="35000">
                    <a:schemeClr val="accent1">
                      <a:shade val="65000"/>
                      <a:tint val="37000"/>
                      <a:satMod val="300000"/>
                    </a:schemeClr>
                  </a:gs>
                  <a:gs pos="100000">
                    <a:schemeClr val="accent1">
                      <a:shade val="65000"/>
                      <a:tint val="15000"/>
                      <a:satMod val="350000"/>
                    </a:schemeClr>
                  </a:gs>
                </a:gsLst>
                <a:lin ang="16200000" scaled="1"/>
              </a:gradFill>
              <a:ln w="9525" cap="flat" cmpd="sng" algn="ctr">
                <a:solidFill>
                  <a:schemeClr val="accent1">
                    <a:shade val="65000"/>
                    <a:shade val="95000"/>
                  </a:schemeClr>
                </a:solidFill>
                <a:round/>
              </a:ln>
              <a:effectLst>
                <a:outerShdw blurRad="40000" dist="20000" dir="5400000" rotWithShape="0">
                  <a:srgbClr val="000000">
                    <a:alpha val="38000"/>
                  </a:srgbClr>
                </a:outerShdw>
              </a:effectLst>
            </c:spPr>
          </c:dPt>
          <c:dPt>
            <c:idx val="1"/>
            <c:bubble3D val="0"/>
            <c:spPr>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chemeClr>
                </a:solidFill>
                <a:round/>
              </a:ln>
              <a:effectLst>
                <a:outerShdw blurRad="40000" dist="20000" dir="5400000" rotWithShape="0">
                  <a:srgbClr val="000000">
                    <a:alpha val="38000"/>
                  </a:srgbClr>
                </a:outerShdw>
              </a:effectLst>
            </c:spPr>
          </c:dPt>
          <c:dPt>
            <c:idx val="2"/>
            <c:bubble3D val="0"/>
            <c:spPr>
              <a:gradFill rotWithShape="1">
                <a:gsLst>
                  <a:gs pos="0">
                    <a:schemeClr val="accent1">
                      <a:tint val="65000"/>
                      <a:tint val="50000"/>
                      <a:satMod val="300000"/>
                    </a:schemeClr>
                  </a:gs>
                  <a:gs pos="35000">
                    <a:schemeClr val="accent1">
                      <a:tint val="65000"/>
                      <a:tint val="37000"/>
                      <a:satMod val="300000"/>
                    </a:schemeClr>
                  </a:gs>
                  <a:gs pos="100000">
                    <a:schemeClr val="accent1">
                      <a:tint val="65000"/>
                      <a:tint val="15000"/>
                      <a:satMod val="350000"/>
                    </a:schemeClr>
                  </a:gs>
                </a:gsLst>
                <a:lin ang="16200000" scaled="1"/>
              </a:gradFill>
              <a:ln w="9525" cap="flat" cmpd="sng" algn="ctr">
                <a:solidFill>
                  <a:schemeClr val="accent1">
                    <a:tint val="65000"/>
                    <a:shade val="95000"/>
                  </a:schemeClr>
                </a:solidFill>
                <a:round/>
              </a:ln>
              <a:effectLst>
                <a:outerShdw blurRad="40000" dist="20000" dir="5400000" rotWithShape="0">
                  <a:srgbClr val="000000">
                    <a:alpha val="38000"/>
                  </a:srgbClr>
                </a:outerShdw>
              </a:effectLst>
            </c:spPr>
          </c:dPt>
          <c:dLbls>
            <c:dLbl>
              <c:idx val="0"/>
              <c:layout>
                <c:manualLayout>
                  <c:x val="0.0847222222222222"/>
                  <c:y val="0.120689655172414"/>
                </c:manualLayout>
              </c:layout>
              <c:numFmt formatCode="General" sourceLinked="1"/>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65000"/>
                          <a:lumOff val="35000"/>
                        </a:schemeClr>
                      </a:solidFill>
                      <a:latin typeface="+mn-lt"/>
                      <a:ea typeface="+mn-ea"/>
                      <a:cs typeface="+mn-cs"/>
                    </a:defRPr>
                  </a:pPr>
                </a:p>
              </c:txPr>
              <c:dLblPos val="bestFit"/>
              <c:showLegendKey val="0"/>
              <c:showVal val="0"/>
              <c:showCatName val="1"/>
              <c:showSerName val="0"/>
              <c:showPercent val="1"/>
              <c:showBubbleSize val="0"/>
              <c:separator>
</c:separator>
              <c:extLst>
                <c:ext xmlns:c15="http://schemas.microsoft.com/office/drawing/2012/chart" uri="{CE6537A1-D6FC-4f65-9D91-7224C49458BB}">
                  <c15:layout/>
                </c:ext>
              </c:extLst>
            </c:dLbl>
            <c:dLbl>
              <c:idx val="1"/>
              <c:layout/>
              <c:numFmt formatCode="General" sourceLinked="1"/>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65000"/>
                          <a:lumOff val="35000"/>
                        </a:schemeClr>
                      </a:solidFill>
                      <a:latin typeface="+mn-lt"/>
                      <a:ea typeface="+mn-ea"/>
                      <a:cs typeface="+mn-cs"/>
                    </a:defRPr>
                  </a:pPr>
                </a:p>
              </c:txPr>
              <c:dLblPos val="outEnd"/>
              <c:showLegendKey val="0"/>
              <c:showVal val="0"/>
              <c:showCatName val="1"/>
              <c:showSerName val="0"/>
              <c:showPercent val="1"/>
              <c:showBubbleSize val="0"/>
              <c:separator>
</c:separator>
              <c:extLst>
                <c:ext xmlns:c15="http://schemas.microsoft.com/office/drawing/2012/chart" uri="{CE6537A1-D6FC-4f65-9D91-7224C49458BB}"/>
              </c:extLst>
            </c:dLbl>
            <c:dLbl>
              <c:idx val="2"/>
              <c:layout/>
              <c:numFmt formatCode="General" sourceLinked="1"/>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65000"/>
                          <a:lumOff val="35000"/>
                        </a:schemeClr>
                      </a:solidFill>
                      <a:latin typeface="+mn-lt"/>
                      <a:ea typeface="+mn-ea"/>
                      <a:cs typeface="+mn-cs"/>
                    </a:defRPr>
                  </a:pPr>
                </a:p>
              </c:txPr>
              <c:dLblPos val="outEnd"/>
              <c:showLegendKey val="0"/>
              <c:showVal val="0"/>
              <c:showCatName val="1"/>
              <c:showSerName val="0"/>
              <c:showPercent val="1"/>
              <c:showBubbleSize val="0"/>
              <c:separator>
</c:separator>
              <c:extLst>
                <c:ext xmlns:c15="http://schemas.microsoft.com/office/drawing/2012/chart" uri="{CE6537A1-D6FC-4f65-9D91-7224C49458BB}"/>
              </c:extLst>
            </c:dLbl>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65000"/>
                        <a:lumOff val="35000"/>
                      </a:schemeClr>
                    </a:solidFill>
                    <a:latin typeface="+mn-lt"/>
                    <a:ea typeface="+mn-ea"/>
                    <a:cs typeface="+mn-cs"/>
                  </a:defRPr>
                </a:pPr>
              </a:p>
            </c:txPr>
            <c:dLblPos val="outEnd"/>
            <c:showLegendKey val="0"/>
            <c:showVal val="0"/>
            <c:showCatName val="1"/>
            <c:showSerName val="0"/>
            <c:showPercent val="1"/>
            <c:showBubbleSize val="0"/>
            <c:showLeaderLines val="1"/>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'[data(1).xlsx]Sheet4'!$A$50:$A$52</c:f>
              <c:strCache>
                <c:ptCount val="3"/>
                <c:pt idx="0">
                  <c:v>国营或国有控股</c:v>
                </c:pt>
                <c:pt idx="1">
                  <c:v>私营</c:v>
                </c:pt>
                <c:pt idx="2">
                  <c:v>中外合资</c:v>
                </c:pt>
              </c:strCache>
            </c:strRef>
          </c:cat>
          <c:val>
            <c:numRef>
              <c:f>'[data(1).xlsx]Sheet4'!$B$50:$B$52</c:f>
              <c:numCache>
                <c:formatCode>General</c:formatCode>
                <c:ptCount val="3"/>
                <c:pt idx="0">
                  <c:v>5</c:v>
                </c:pt>
                <c:pt idx="1">
                  <c:v>179</c:v>
                </c:pt>
                <c:pt idx="2">
                  <c:v>31</c:v>
                </c:pt>
              </c:numCache>
            </c:numRef>
          </c:val>
        </c:ser>
        <c:dLbls>
          <c:showLegendKey val="0"/>
          <c:showVal val="0"/>
          <c:showCatName val="1"/>
          <c:showSerName val="0"/>
          <c:showPercent val="1"/>
          <c:showBubbleSize val="0"/>
          <c:showLeaderLines val="1"/>
        </c:dLbls>
        <c:firstSliceAng val="0"/>
      </c:pieChart>
      <c:spPr>
        <a:noFill/>
        <a:ln>
          <a:noFill/>
        </a:ln>
        <a:effectLst/>
      </c:spPr>
    </c:plotArea>
    <c:legend>
      <c:legendPos val="b"/>
      <c:layout>
        <c:manualLayout>
          <c:xMode val="edge"/>
          <c:yMode val="edge"/>
          <c:x val="0.770406732117812"/>
          <c:y val="0.486166942539607"/>
          <c:w val="0.200561009817672"/>
          <c:h val="0.445258926460156"/>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4">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4">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49</Pages>
  <Words>4170</Words>
  <Characters>23769</Characters>
  <Lines>198</Lines>
  <Paragraphs>55</Paragraphs>
  <TotalTime>81</TotalTime>
  <ScaleCrop>false</ScaleCrop>
  <LinksUpToDate>false</LinksUpToDate>
  <CharactersWithSpaces>27884</CharactersWithSpaces>
  <Application>WPS Office_11.1.0.11411_F1E327BC-269C-435d-A152-05C5408002CA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2012-06-06T01:30:00Z</dcterms:created>
  <dc:creator>书儿</dc:creator>
  <cp:lastModifiedBy>欢若平生</cp:lastModifiedBy>
  <cp:lastPrinted>2021-12-27T00:35:00Z</cp:lastPrinted>
  <dcterms:modified xsi:type="dcterms:W3CDTF">2022-06-13T03:37:15Z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2052-11.1.0.11411</vt:lpwstr>
  </property>
  <property fmtid="{D5CDD505-2E9C-101B-9397-08002B2CF9AE}" pid="3" name="ICV">
    <vt:lpwstr>5211882CB4D441DE9916E4A9C6C46F44</vt:lpwstr>
  </property>
</Properties>
</file>