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17CF53" w14:textId="77777777" w:rsidR="0080179C" w:rsidRDefault="0080179C" w:rsidP="00A95030">
      <w:pPr>
        <w:pStyle w:val="3"/>
        <w:numPr>
          <w:ilvl w:val="0"/>
          <w:numId w:val="0"/>
        </w:numPr>
        <w:ind w:left="720"/>
      </w:pPr>
    </w:p>
    <w:p w14:paraId="7D794923" w14:textId="77777777" w:rsidR="0080179C" w:rsidRDefault="0080179C">
      <w:pPr>
        <w:spacing w:line="500" w:lineRule="exact"/>
        <w:jc w:val="center"/>
        <w:rPr>
          <w:rFonts w:eastAsia="黑体"/>
          <w:b/>
          <w:sz w:val="32"/>
        </w:rPr>
      </w:pPr>
    </w:p>
    <w:p w14:paraId="30F7C771" w14:textId="77777777" w:rsidR="0080179C" w:rsidRDefault="0080179C">
      <w:pPr>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19" w14:anchorId="11B8C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05.8pt;height:46.2pt;mso-position-horizontal-relative:page;mso-position-vertical-relative:page" o:ole="" filled="t">
            <v:imagedata r:id="rId8" o:title=""/>
          </v:shape>
          <o:OLEObject Type="Embed" ProgID="Word.Picture.8" ShapeID="对象 1" DrawAspect="Content" ObjectID="_1716318426" r:id="rId9"/>
        </w:object>
      </w:r>
    </w:p>
    <w:p w14:paraId="2CAAFA1E" w14:textId="77777777" w:rsidR="0080179C" w:rsidRDefault="0080179C">
      <w:pPr>
        <w:adjustRightInd w:val="0"/>
        <w:snapToGrid w:val="0"/>
        <w:jc w:val="center"/>
        <w:rPr>
          <w:b/>
          <w:bCs/>
          <w:spacing w:val="20"/>
          <w:sz w:val="18"/>
        </w:rPr>
      </w:pPr>
    </w:p>
    <w:p w14:paraId="364A0FFD" w14:textId="77777777" w:rsidR="0080179C" w:rsidRDefault="0080179C">
      <w:pPr>
        <w:adjustRightInd w:val="0"/>
        <w:snapToGrid w:val="0"/>
        <w:jc w:val="center"/>
        <w:rPr>
          <w:b/>
          <w:bCs/>
          <w:spacing w:val="20"/>
          <w:sz w:val="18"/>
        </w:rPr>
      </w:pPr>
    </w:p>
    <w:p w14:paraId="52543480" w14:textId="77777777" w:rsidR="0080179C" w:rsidRDefault="0080179C">
      <w:pPr>
        <w:jc w:val="center"/>
        <w:rPr>
          <w:rFonts w:ascii="STZhongsong" w:eastAsia="STZhongsong" w:hAnsi="STZhongsong"/>
          <w:b/>
          <w:bCs/>
          <w:sz w:val="72"/>
          <w:szCs w:val="72"/>
        </w:rPr>
      </w:pPr>
      <w:r>
        <w:rPr>
          <w:rFonts w:ascii="STZhongsong" w:eastAsia="STZhongsong" w:hAnsi="STZhongsong" w:hint="eastAsia"/>
          <w:b/>
          <w:bCs/>
          <w:spacing w:val="20"/>
          <w:sz w:val="72"/>
          <w:szCs w:val="72"/>
        </w:rPr>
        <w:t>本科生毕业设计[论文]</w:t>
      </w:r>
    </w:p>
    <w:p w14:paraId="036EF94E" w14:textId="77777777" w:rsidR="0080179C" w:rsidRDefault="0080179C">
      <w:pPr>
        <w:adjustRightInd w:val="0"/>
        <w:snapToGrid w:val="0"/>
        <w:spacing w:line="264" w:lineRule="auto"/>
        <w:rPr>
          <w:rFonts w:eastAsia="STZhongsong"/>
          <w:b/>
          <w:bCs/>
          <w:spacing w:val="12"/>
          <w:sz w:val="52"/>
          <w:szCs w:val="32"/>
        </w:rPr>
      </w:pPr>
    </w:p>
    <w:p w14:paraId="535EE0E7" w14:textId="77777777" w:rsidR="0080179C" w:rsidRDefault="00E96ACB">
      <w:pPr>
        <w:jc w:val="center"/>
        <w:rPr>
          <w:rFonts w:ascii="黑体" w:eastAsia="黑体" w:hAnsi="黑体"/>
          <w:bCs/>
          <w:color w:val="FF0000"/>
          <w:sz w:val="36"/>
          <w:szCs w:val="36"/>
        </w:rPr>
      </w:pPr>
      <w:r>
        <w:rPr>
          <w:rFonts w:ascii="黑体" w:eastAsia="黑体" w:hint="eastAsia"/>
          <w:b/>
          <w:sz w:val="44"/>
          <w:szCs w:val="44"/>
        </w:rPr>
        <w:t>独立董事辞职的信号效应研究</w:t>
      </w:r>
    </w:p>
    <w:p w14:paraId="79E6E744" w14:textId="77777777" w:rsidR="0080179C" w:rsidRDefault="0080179C">
      <w:pPr>
        <w:adjustRightInd w:val="0"/>
        <w:snapToGrid w:val="0"/>
        <w:spacing w:line="264" w:lineRule="auto"/>
        <w:rPr>
          <w:rFonts w:eastAsia="STZhongsong"/>
          <w:b/>
          <w:bCs/>
          <w:spacing w:val="12"/>
          <w:sz w:val="52"/>
          <w:szCs w:val="32"/>
        </w:rPr>
      </w:pPr>
    </w:p>
    <w:p w14:paraId="2A430461" w14:textId="77777777" w:rsidR="0080179C" w:rsidRDefault="0080179C">
      <w:pPr>
        <w:adjustRightInd w:val="0"/>
        <w:snapToGrid w:val="0"/>
        <w:spacing w:line="264" w:lineRule="auto"/>
        <w:rPr>
          <w:rFonts w:eastAsia="STZhongsong"/>
          <w:b/>
          <w:bCs/>
          <w:spacing w:val="12"/>
          <w:sz w:val="52"/>
          <w:szCs w:val="32"/>
        </w:rPr>
      </w:pPr>
    </w:p>
    <w:tbl>
      <w:tblPr>
        <w:tblW w:w="0" w:type="auto"/>
        <w:jc w:val="center"/>
        <w:tblLook w:val="0000" w:firstRow="0" w:lastRow="0" w:firstColumn="0" w:lastColumn="0" w:noHBand="0" w:noVBand="0"/>
      </w:tblPr>
      <w:tblGrid>
        <w:gridCol w:w="1496"/>
        <w:gridCol w:w="3903"/>
      </w:tblGrid>
      <w:tr w:rsidR="0080179C" w14:paraId="5A2E115A" w14:textId="77777777">
        <w:trPr>
          <w:jc w:val="center"/>
        </w:trPr>
        <w:tc>
          <w:tcPr>
            <w:tcW w:w="0" w:type="auto"/>
          </w:tcPr>
          <w:p w14:paraId="680BCDA2" w14:textId="77777777" w:rsidR="0080179C" w:rsidRDefault="0080179C">
            <w:pPr>
              <w:spacing w:line="720" w:lineRule="auto"/>
              <w:jc w:val="center"/>
              <w:rPr>
                <w:rFonts w:ascii="STZhongsong" w:eastAsia="STZhongsong" w:hAnsi="STZhongsong"/>
                <w:kern w:val="0"/>
                <w:sz w:val="32"/>
                <w:szCs w:val="32"/>
              </w:rPr>
            </w:pPr>
            <w:r>
              <w:rPr>
                <w:rFonts w:ascii="STZhongsong" w:eastAsia="STZhongsong" w:hAnsi="STZhongsong" w:hint="eastAsia"/>
                <w:kern w:val="0"/>
                <w:sz w:val="32"/>
                <w:szCs w:val="32"/>
              </w:rPr>
              <w:t>院    系</w:t>
            </w:r>
          </w:p>
        </w:tc>
        <w:tc>
          <w:tcPr>
            <w:tcW w:w="3903" w:type="dxa"/>
          </w:tcPr>
          <w:p w14:paraId="27DCBC3C" w14:textId="77777777" w:rsidR="0080179C" w:rsidRDefault="0080179C">
            <w:pPr>
              <w:spacing w:line="720" w:lineRule="auto"/>
              <w:ind w:firstLineChars="100" w:firstLine="320"/>
              <w:rPr>
                <w:rFonts w:ascii="STZhongsong" w:eastAsia="STZhongsong" w:hAnsi="STZhongsong"/>
                <w:kern w:val="0"/>
                <w:sz w:val="32"/>
                <w:szCs w:val="32"/>
                <w:u w:val="single"/>
              </w:rPr>
            </w:pPr>
            <w:r>
              <w:rPr>
                <w:rFonts w:ascii="STZhongsong" w:eastAsia="STZhongsong" w:hAnsi="STZhongsong" w:hint="eastAsia"/>
                <w:kern w:val="0"/>
                <w:sz w:val="32"/>
                <w:szCs w:val="32"/>
                <w:u w:val="single"/>
              </w:rPr>
              <w:t xml:space="preserve">管理学院 </w:t>
            </w:r>
            <w:r>
              <w:rPr>
                <w:rFonts w:ascii="STZhongsong" w:eastAsia="STZhongsong" w:hAnsi="STZhongsong"/>
                <w:kern w:val="0"/>
                <w:sz w:val="32"/>
                <w:szCs w:val="32"/>
                <w:u w:val="single"/>
              </w:rPr>
              <w:t xml:space="preserve">                   </w:t>
            </w:r>
          </w:p>
        </w:tc>
      </w:tr>
      <w:tr w:rsidR="0080179C" w14:paraId="0387D450" w14:textId="77777777">
        <w:trPr>
          <w:jc w:val="center"/>
        </w:trPr>
        <w:tc>
          <w:tcPr>
            <w:tcW w:w="0" w:type="auto"/>
          </w:tcPr>
          <w:p w14:paraId="345C9571" w14:textId="77777777" w:rsidR="0080179C" w:rsidRDefault="0080179C">
            <w:pPr>
              <w:spacing w:line="720" w:lineRule="auto"/>
              <w:jc w:val="center"/>
              <w:rPr>
                <w:rFonts w:ascii="STZhongsong" w:eastAsia="STZhongsong" w:hAnsi="STZhongsong"/>
                <w:kern w:val="0"/>
                <w:sz w:val="32"/>
                <w:szCs w:val="32"/>
              </w:rPr>
            </w:pPr>
            <w:r>
              <w:rPr>
                <w:rFonts w:ascii="STZhongsong" w:eastAsia="STZhongsong" w:hAnsi="STZhongsong" w:hint="eastAsia"/>
                <w:kern w:val="0"/>
                <w:sz w:val="32"/>
                <w:szCs w:val="32"/>
              </w:rPr>
              <w:t>专业班级</w:t>
            </w:r>
          </w:p>
        </w:tc>
        <w:tc>
          <w:tcPr>
            <w:tcW w:w="3903" w:type="dxa"/>
          </w:tcPr>
          <w:p w14:paraId="5EDDF188" w14:textId="77777777" w:rsidR="0080179C" w:rsidRDefault="0080179C">
            <w:pPr>
              <w:spacing w:line="720" w:lineRule="auto"/>
              <w:ind w:firstLineChars="100" w:firstLine="320"/>
              <w:rPr>
                <w:rFonts w:ascii="STZhongsong" w:eastAsia="STZhongsong" w:hAnsi="STZhongsong"/>
                <w:kern w:val="0"/>
                <w:sz w:val="32"/>
                <w:szCs w:val="32"/>
                <w:u w:val="single"/>
              </w:rPr>
            </w:pPr>
            <w:r>
              <w:rPr>
                <w:rFonts w:ascii="STZhongsong" w:eastAsia="STZhongsong" w:hAnsi="STZhongsong" w:hint="eastAsia"/>
                <w:kern w:val="0"/>
                <w:sz w:val="32"/>
                <w:szCs w:val="32"/>
                <w:u w:val="single"/>
              </w:rPr>
              <w:t>财务管理</w:t>
            </w:r>
            <w:r w:rsidR="00E96ACB">
              <w:rPr>
                <w:rFonts w:ascii="STZhongsong" w:eastAsia="STZhongsong" w:hAnsi="STZhongsong" w:hint="eastAsia"/>
                <w:kern w:val="0"/>
                <w:sz w:val="32"/>
                <w:szCs w:val="32"/>
                <w:u w:val="single"/>
              </w:rPr>
              <w:t>1</w:t>
            </w:r>
            <w:r w:rsidR="00E96ACB">
              <w:rPr>
                <w:rFonts w:ascii="STZhongsong" w:eastAsia="STZhongsong" w:hAnsi="STZhongsong"/>
                <w:kern w:val="0"/>
                <w:sz w:val="32"/>
                <w:szCs w:val="32"/>
                <w:u w:val="single"/>
              </w:rPr>
              <w:t>802</w:t>
            </w:r>
            <w:r>
              <w:rPr>
                <w:rFonts w:ascii="STZhongsong" w:eastAsia="STZhongsong" w:hAnsi="STZhongsong" w:hint="eastAsia"/>
                <w:kern w:val="0"/>
                <w:sz w:val="32"/>
                <w:szCs w:val="32"/>
                <w:u w:val="single"/>
              </w:rPr>
              <w:t xml:space="preserve">班 </w:t>
            </w:r>
            <w:r>
              <w:rPr>
                <w:rFonts w:ascii="STZhongsong" w:eastAsia="STZhongsong" w:hAnsi="STZhongsong"/>
                <w:kern w:val="0"/>
                <w:sz w:val="32"/>
                <w:szCs w:val="32"/>
                <w:u w:val="single"/>
              </w:rPr>
              <w:t xml:space="preserve">            </w:t>
            </w:r>
          </w:p>
        </w:tc>
      </w:tr>
      <w:tr w:rsidR="0080179C" w14:paraId="0F30CD7B" w14:textId="77777777">
        <w:trPr>
          <w:jc w:val="center"/>
        </w:trPr>
        <w:tc>
          <w:tcPr>
            <w:tcW w:w="0" w:type="auto"/>
          </w:tcPr>
          <w:p w14:paraId="0CE8B5BE" w14:textId="77777777" w:rsidR="0080179C" w:rsidRDefault="0080179C">
            <w:pPr>
              <w:spacing w:line="720" w:lineRule="auto"/>
              <w:jc w:val="center"/>
              <w:rPr>
                <w:rFonts w:ascii="STZhongsong" w:eastAsia="STZhongsong" w:hAnsi="STZhongsong"/>
                <w:kern w:val="0"/>
                <w:sz w:val="32"/>
                <w:szCs w:val="32"/>
              </w:rPr>
            </w:pPr>
            <w:r>
              <w:rPr>
                <w:rFonts w:ascii="STZhongsong" w:eastAsia="STZhongsong" w:hAnsi="STZhongsong" w:hint="eastAsia"/>
                <w:kern w:val="0"/>
                <w:sz w:val="32"/>
                <w:szCs w:val="32"/>
              </w:rPr>
              <w:t>姓    名</w:t>
            </w:r>
          </w:p>
        </w:tc>
        <w:tc>
          <w:tcPr>
            <w:tcW w:w="3903" w:type="dxa"/>
          </w:tcPr>
          <w:p w14:paraId="5690E1BC" w14:textId="77777777" w:rsidR="0080179C" w:rsidRDefault="00E96ACB">
            <w:pPr>
              <w:spacing w:line="720" w:lineRule="auto"/>
              <w:ind w:firstLineChars="100" w:firstLine="320"/>
              <w:rPr>
                <w:rFonts w:ascii="STZhongsong" w:eastAsia="STZhongsong" w:hAnsi="STZhongsong"/>
                <w:kern w:val="0"/>
                <w:sz w:val="32"/>
                <w:szCs w:val="32"/>
                <w:u w:val="single"/>
              </w:rPr>
            </w:pPr>
            <w:proofErr w:type="gramStart"/>
            <w:r>
              <w:rPr>
                <w:rFonts w:ascii="STZhongsong" w:eastAsia="STZhongsong" w:hAnsi="STZhongsong" w:hint="eastAsia"/>
                <w:kern w:val="0"/>
                <w:sz w:val="32"/>
                <w:szCs w:val="32"/>
                <w:u w:val="single"/>
              </w:rPr>
              <w:t>朱湖成</w:t>
            </w:r>
            <w:proofErr w:type="gramEnd"/>
            <w:r w:rsidR="0080179C">
              <w:rPr>
                <w:rFonts w:ascii="STZhongsong" w:eastAsia="STZhongsong" w:hAnsi="STZhongsong" w:hint="eastAsia"/>
                <w:kern w:val="0"/>
                <w:sz w:val="32"/>
                <w:szCs w:val="32"/>
                <w:u w:val="single"/>
              </w:rPr>
              <w:t xml:space="preserve"> </w:t>
            </w:r>
            <w:r w:rsidR="0080179C">
              <w:rPr>
                <w:rFonts w:ascii="STZhongsong" w:eastAsia="STZhongsong" w:hAnsi="STZhongsong"/>
                <w:kern w:val="0"/>
                <w:sz w:val="32"/>
                <w:szCs w:val="32"/>
                <w:u w:val="single"/>
              </w:rPr>
              <w:t xml:space="preserve">                      </w:t>
            </w:r>
          </w:p>
        </w:tc>
      </w:tr>
      <w:tr w:rsidR="0080179C" w14:paraId="7B909F43" w14:textId="77777777">
        <w:trPr>
          <w:jc w:val="center"/>
        </w:trPr>
        <w:tc>
          <w:tcPr>
            <w:tcW w:w="0" w:type="auto"/>
          </w:tcPr>
          <w:p w14:paraId="5E47958A" w14:textId="77777777" w:rsidR="0080179C" w:rsidRDefault="0080179C">
            <w:pPr>
              <w:spacing w:line="720" w:lineRule="auto"/>
              <w:jc w:val="center"/>
              <w:rPr>
                <w:rFonts w:ascii="STZhongsong" w:eastAsia="STZhongsong" w:hAnsi="STZhongsong"/>
                <w:kern w:val="0"/>
                <w:sz w:val="32"/>
                <w:szCs w:val="32"/>
              </w:rPr>
            </w:pPr>
            <w:r>
              <w:rPr>
                <w:rFonts w:ascii="STZhongsong" w:eastAsia="STZhongsong" w:hAnsi="STZhongsong" w:hint="eastAsia"/>
                <w:kern w:val="0"/>
                <w:sz w:val="32"/>
                <w:szCs w:val="32"/>
              </w:rPr>
              <w:t>学    号</w:t>
            </w:r>
          </w:p>
        </w:tc>
        <w:tc>
          <w:tcPr>
            <w:tcW w:w="3903" w:type="dxa"/>
          </w:tcPr>
          <w:p w14:paraId="7B40AF43" w14:textId="77777777" w:rsidR="0080179C" w:rsidRDefault="0080179C">
            <w:pPr>
              <w:spacing w:line="720" w:lineRule="auto"/>
              <w:ind w:firstLineChars="100" w:firstLine="320"/>
              <w:rPr>
                <w:rFonts w:ascii="STZhongsong" w:eastAsia="STZhongsong" w:hAnsi="STZhongsong"/>
                <w:kern w:val="0"/>
                <w:sz w:val="32"/>
                <w:szCs w:val="32"/>
                <w:u w:val="single"/>
              </w:rPr>
            </w:pPr>
            <w:r>
              <w:rPr>
                <w:rFonts w:ascii="STZhongsong" w:eastAsia="STZhongsong" w:hAnsi="STZhongsong"/>
                <w:kern w:val="0"/>
                <w:sz w:val="32"/>
                <w:szCs w:val="32"/>
                <w:u w:val="single"/>
              </w:rPr>
              <w:t>U201</w:t>
            </w:r>
            <w:r w:rsidR="00E96ACB">
              <w:rPr>
                <w:rFonts w:ascii="STZhongsong" w:eastAsia="STZhongsong" w:hAnsi="STZhongsong"/>
                <w:kern w:val="0"/>
                <w:sz w:val="32"/>
                <w:szCs w:val="32"/>
                <w:u w:val="single"/>
              </w:rPr>
              <w:t>8</w:t>
            </w:r>
            <w:r>
              <w:rPr>
                <w:rFonts w:ascii="STZhongsong" w:eastAsia="STZhongsong" w:hAnsi="STZhongsong"/>
                <w:kern w:val="0"/>
                <w:sz w:val="32"/>
                <w:szCs w:val="32"/>
                <w:u w:val="single"/>
              </w:rPr>
              <w:t>1</w:t>
            </w:r>
            <w:r w:rsidR="00E96ACB">
              <w:rPr>
                <w:rFonts w:ascii="STZhongsong" w:eastAsia="STZhongsong" w:hAnsi="STZhongsong"/>
                <w:kern w:val="0"/>
                <w:sz w:val="32"/>
                <w:szCs w:val="32"/>
                <w:u w:val="single"/>
              </w:rPr>
              <w:t>5897</w:t>
            </w:r>
            <w:r>
              <w:rPr>
                <w:rFonts w:ascii="STZhongsong" w:eastAsia="STZhongsong" w:hAnsi="STZhongsong"/>
                <w:kern w:val="0"/>
                <w:sz w:val="32"/>
                <w:szCs w:val="32"/>
                <w:u w:val="single"/>
              </w:rPr>
              <w:t xml:space="preserve">             </w:t>
            </w:r>
          </w:p>
        </w:tc>
      </w:tr>
      <w:tr w:rsidR="0080179C" w14:paraId="4110CFB5" w14:textId="77777777">
        <w:trPr>
          <w:jc w:val="center"/>
        </w:trPr>
        <w:tc>
          <w:tcPr>
            <w:tcW w:w="0" w:type="auto"/>
          </w:tcPr>
          <w:p w14:paraId="763ACC57" w14:textId="77777777" w:rsidR="0080179C" w:rsidRDefault="0080179C">
            <w:pPr>
              <w:spacing w:line="720" w:lineRule="auto"/>
              <w:jc w:val="center"/>
              <w:rPr>
                <w:rFonts w:ascii="STZhongsong" w:eastAsia="STZhongsong" w:hAnsi="STZhongsong"/>
                <w:kern w:val="0"/>
                <w:sz w:val="32"/>
                <w:szCs w:val="32"/>
              </w:rPr>
            </w:pPr>
            <w:r>
              <w:rPr>
                <w:rFonts w:ascii="STZhongsong" w:eastAsia="STZhongsong" w:hAnsi="STZhongsong" w:hint="eastAsia"/>
                <w:kern w:val="0"/>
                <w:sz w:val="32"/>
                <w:szCs w:val="32"/>
              </w:rPr>
              <w:t>指导教师</w:t>
            </w:r>
          </w:p>
        </w:tc>
        <w:tc>
          <w:tcPr>
            <w:tcW w:w="3903" w:type="dxa"/>
          </w:tcPr>
          <w:p w14:paraId="48BE2150" w14:textId="77777777" w:rsidR="0080179C" w:rsidRDefault="0080179C">
            <w:pPr>
              <w:spacing w:line="720" w:lineRule="auto"/>
              <w:ind w:firstLineChars="100" w:firstLine="320"/>
              <w:rPr>
                <w:rFonts w:ascii="STZhongsong" w:eastAsia="STZhongsong" w:hAnsi="STZhongsong"/>
                <w:kern w:val="0"/>
                <w:sz w:val="32"/>
                <w:szCs w:val="32"/>
                <w:u w:val="single"/>
              </w:rPr>
            </w:pPr>
            <w:proofErr w:type="gramStart"/>
            <w:r>
              <w:rPr>
                <w:rFonts w:ascii="STZhongsong" w:eastAsia="STZhongsong" w:hAnsi="STZhongsong" w:hint="eastAsia"/>
                <w:kern w:val="0"/>
                <w:sz w:val="32"/>
                <w:szCs w:val="32"/>
                <w:u w:val="single"/>
              </w:rPr>
              <w:t>汪宜霞</w:t>
            </w:r>
            <w:proofErr w:type="gramEnd"/>
            <w:r>
              <w:rPr>
                <w:rFonts w:ascii="STZhongsong" w:eastAsia="STZhongsong" w:hAnsi="STZhongsong" w:hint="eastAsia"/>
                <w:kern w:val="0"/>
                <w:sz w:val="32"/>
                <w:szCs w:val="32"/>
                <w:u w:val="single"/>
              </w:rPr>
              <w:t xml:space="preserve"> </w:t>
            </w:r>
            <w:r>
              <w:rPr>
                <w:rFonts w:ascii="STZhongsong" w:eastAsia="STZhongsong" w:hAnsi="STZhongsong"/>
                <w:kern w:val="0"/>
                <w:sz w:val="32"/>
                <w:szCs w:val="32"/>
                <w:u w:val="single"/>
              </w:rPr>
              <w:t xml:space="preserve">                 </w:t>
            </w:r>
          </w:p>
        </w:tc>
      </w:tr>
    </w:tbl>
    <w:p w14:paraId="3CFD1DD5" w14:textId="77777777" w:rsidR="0080179C" w:rsidRDefault="0080179C">
      <w:pPr>
        <w:jc w:val="center"/>
        <w:rPr>
          <w:rFonts w:ascii="STZhongsong" w:eastAsia="STZhongsong" w:hAnsi="STZhongsong"/>
          <w:bCs/>
          <w:kern w:val="0"/>
          <w:sz w:val="32"/>
          <w:szCs w:val="32"/>
        </w:rPr>
      </w:pPr>
    </w:p>
    <w:p w14:paraId="556E4E5E" w14:textId="77777777" w:rsidR="0080179C" w:rsidRDefault="0080179C">
      <w:pPr>
        <w:jc w:val="center"/>
        <w:rPr>
          <w:rFonts w:ascii="STZhongsong" w:eastAsia="STZhongsong" w:hAnsi="STZhongsong"/>
          <w:bCs/>
          <w:kern w:val="0"/>
          <w:sz w:val="32"/>
          <w:szCs w:val="32"/>
        </w:rPr>
      </w:pPr>
    </w:p>
    <w:p w14:paraId="03C14BC3" w14:textId="66312431" w:rsidR="0080179C" w:rsidRDefault="0080179C">
      <w:pPr>
        <w:jc w:val="center"/>
        <w:rPr>
          <w:rFonts w:ascii="黑体" w:eastAsia="黑体" w:hAnsi="黑体"/>
          <w:bCs/>
          <w:color w:val="FF0000"/>
          <w:sz w:val="36"/>
          <w:szCs w:val="36"/>
        </w:rPr>
      </w:pPr>
      <w:r>
        <w:rPr>
          <w:rFonts w:ascii="STZhongsong" w:eastAsia="STZhongsong" w:hAnsi="STZhongsong" w:hint="eastAsia"/>
          <w:bCs/>
          <w:kern w:val="0"/>
          <w:sz w:val="32"/>
          <w:szCs w:val="32"/>
        </w:rPr>
        <w:t>202</w:t>
      </w:r>
      <w:r w:rsidR="00D370D6">
        <w:rPr>
          <w:rFonts w:ascii="STZhongsong" w:eastAsia="STZhongsong" w:hAnsi="STZhongsong"/>
          <w:bCs/>
          <w:kern w:val="0"/>
          <w:sz w:val="32"/>
          <w:szCs w:val="32"/>
        </w:rPr>
        <w:t>2</w:t>
      </w:r>
      <w:r>
        <w:rPr>
          <w:rFonts w:ascii="STZhongsong" w:eastAsia="STZhongsong" w:hAnsi="STZhongsong" w:hint="eastAsia"/>
          <w:bCs/>
          <w:kern w:val="0"/>
          <w:sz w:val="32"/>
          <w:szCs w:val="32"/>
        </w:rPr>
        <w:t xml:space="preserve">年 </w:t>
      </w:r>
      <w:r w:rsidR="005369F0">
        <w:rPr>
          <w:rFonts w:ascii="STZhongsong" w:eastAsia="STZhongsong" w:hAnsi="STZhongsong"/>
          <w:bCs/>
          <w:kern w:val="0"/>
          <w:sz w:val="32"/>
          <w:szCs w:val="32"/>
        </w:rPr>
        <w:t>5</w:t>
      </w:r>
      <w:r>
        <w:rPr>
          <w:rFonts w:ascii="STZhongsong" w:eastAsia="STZhongsong" w:hAnsi="STZhongsong" w:hint="eastAsia"/>
          <w:bCs/>
          <w:kern w:val="0"/>
          <w:sz w:val="32"/>
          <w:szCs w:val="32"/>
        </w:rPr>
        <w:t>月</w:t>
      </w:r>
      <w:r w:rsidR="00DF582D">
        <w:rPr>
          <w:rFonts w:ascii="STZhongsong" w:eastAsia="STZhongsong" w:hAnsi="STZhongsong"/>
          <w:bCs/>
          <w:kern w:val="0"/>
          <w:sz w:val="32"/>
          <w:szCs w:val="32"/>
        </w:rPr>
        <w:t>5</w:t>
      </w:r>
      <w:r>
        <w:rPr>
          <w:rFonts w:ascii="STZhongsong" w:eastAsia="STZhongsong" w:hAnsi="STZhongsong" w:hint="eastAsia"/>
          <w:bCs/>
          <w:kern w:val="0"/>
          <w:sz w:val="32"/>
          <w:szCs w:val="32"/>
        </w:rPr>
        <w:t>日</w:t>
      </w:r>
    </w:p>
    <w:p w14:paraId="298422A0" w14:textId="77777777" w:rsidR="0080179C" w:rsidRDefault="0080179C">
      <w:pPr>
        <w:ind w:firstLineChars="1300" w:firstLine="4160"/>
        <w:rPr>
          <w:rFonts w:ascii="STZhongsong" w:eastAsia="STZhongsong" w:hAnsi="STZhongsong"/>
          <w:bCs/>
          <w:kern w:val="0"/>
          <w:sz w:val="32"/>
          <w:szCs w:val="32"/>
        </w:rPr>
      </w:pPr>
    </w:p>
    <w:p w14:paraId="4D312319" w14:textId="77777777" w:rsidR="0080179C" w:rsidRDefault="0080179C"/>
    <w:p w14:paraId="711C6127" w14:textId="77777777" w:rsidR="0080179C" w:rsidRDefault="0080179C">
      <w:pPr>
        <w:rPr>
          <w:b/>
          <w:bCs/>
          <w:sz w:val="28"/>
          <w:szCs w:val="30"/>
        </w:rPr>
        <w:sectPr w:rsidR="0080179C">
          <w:pgSz w:w="11906" w:h="16838"/>
          <w:pgMar w:top="1418" w:right="1701" w:bottom="1134" w:left="1701" w:header="851" w:footer="992" w:gutter="0"/>
          <w:cols w:space="720"/>
          <w:titlePg/>
          <w:docGrid w:type="lines" w:linePitch="312"/>
        </w:sectPr>
      </w:pPr>
    </w:p>
    <w:p w14:paraId="68C804A9" w14:textId="77777777" w:rsidR="0080179C" w:rsidRDefault="0080179C">
      <w:pPr>
        <w:spacing w:beforeLines="150" w:before="489"/>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5C67AC06" w14:textId="77777777" w:rsidR="0080179C" w:rsidRDefault="0080179C">
      <w:pPr>
        <w:ind w:firstLineChars="200" w:firstLine="480"/>
        <w:rPr>
          <w:szCs w:val="21"/>
        </w:rPr>
      </w:pPr>
    </w:p>
    <w:p w14:paraId="103F39D9" w14:textId="77777777" w:rsidR="0080179C" w:rsidRDefault="0080179C">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49B013D" w14:textId="77777777" w:rsidR="0080179C" w:rsidRDefault="0080179C">
      <w:pPr>
        <w:wordWrap w:val="0"/>
        <w:jc w:val="right"/>
      </w:pPr>
    </w:p>
    <w:p w14:paraId="298B5EF9" w14:textId="77777777" w:rsidR="0080179C" w:rsidRDefault="0080179C">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62C739D1" w14:textId="77777777" w:rsidR="0080179C" w:rsidRDefault="0080179C">
      <w:pPr>
        <w:spacing w:beforeLines="100" w:before="326"/>
        <w:jc w:val="center"/>
        <w:rPr>
          <w:b/>
          <w:bCs/>
          <w:sz w:val="40"/>
          <w:szCs w:val="36"/>
        </w:rPr>
      </w:pPr>
    </w:p>
    <w:p w14:paraId="1001EC15" w14:textId="77777777" w:rsidR="0080179C" w:rsidRDefault="0080179C">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34CA9D59" w14:textId="77777777" w:rsidR="0080179C" w:rsidRDefault="0080179C">
      <w:pPr>
        <w:jc w:val="center"/>
        <w:rPr>
          <w:rFonts w:ascii="楷体_GB2312" w:eastAsia="楷体_GB2312"/>
          <w:color w:val="FF0000"/>
        </w:rPr>
      </w:pPr>
    </w:p>
    <w:p w14:paraId="5C033041" w14:textId="77777777" w:rsidR="0080179C" w:rsidRDefault="0080179C">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15F0E0D" w14:textId="77777777" w:rsidR="0080179C" w:rsidRDefault="0080179C">
      <w:pPr>
        <w:ind w:firstLineChars="200" w:firstLine="480"/>
        <w:rPr>
          <w:szCs w:val="21"/>
        </w:rPr>
      </w:pPr>
      <w:r>
        <w:rPr>
          <w:szCs w:val="21"/>
        </w:rPr>
        <w:t>本学位论文属于</w:t>
      </w:r>
      <w:r>
        <w:rPr>
          <w:rFonts w:hint="eastAsia"/>
          <w:szCs w:val="21"/>
        </w:rPr>
        <w:t xml:space="preserve"> </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14:paraId="36AAB36F" w14:textId="77777777" w:rsidR="0080179C" w:rsidRDefault="0080179C">
      <w:pPr>
        <w:ind w:firstLineChars="950" w:firstLine="228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14:paraId="4DB27155" w14:textId="77777777" w:rsidR="0080179C" w:rsidRDefault="0080179C">
      <w:pPr>
        <w:ind w:firstLineChars="900" w:firstLine="2160"/>
        <w:rPr>
          <w:szCs w:val="21"/>
        </w:rPr>
      </w:pPr>
      <w:r>
        <w:rPr>
          <w:szCs w:val="21"/>
        </w:rPr>
        <w:t>（请在以上相应方框内打</w:t>
      </w:r>
      <w:r>
        <w:rPr>
          <w:szCs w:val="21"/>
        </w:rPr>
        <w:t>“√”</w:t>
      </w:r>
      <w:r>
        <w:rPr>
          <w:szCs w:val="21"/>
        </w:rPr>
        <w:t>）</w:t>
      </w:r>
    </w:p>
    <w:p w14:paraId="51B29E2C" w14:textId="77777777" w:rsidR="0080179C" w:rsidRDefault="0080179C">
      <w:pPr>
        <w:jc w:val="center"/>
        <w:rPr>
          <w:rFonts w:ascii="楷体_GB2312" w:eastAsia="楷体_GB2312"/>
          <w:color w:val="FF0000"/>
        </w:rPr>
      </w:pPr>
    </w:p>
    <w:p w14:paraId="4C6AE516" w14:textId="77777777" w:rsidR="0080179C" w:rsidRDefault="0080179C">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BE3546F" w14:textId="77777777" w:rsidR="0080179C" w:rsidRDefault="0080179C">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1B2AFF31" w14:textId="77777777" w:rsidR="0080179C" w:rsidRDefault="0080179C">
      <w:pPr>
        <w:jc w:val="right"/>
      </w:pPr>
    </w:p>
    <w:p w14:paraId="5B8CBE9C" w14:textId="77777777" w:rsidR="0080179C" w:rsidRDefault="0080179C">
      <w:pPr>
        <w:jc w:val="center"/>
        <w:rPr>
          <w:rFonts w:ascii="楷体_GB2312" w:eastAsia="楷体_GB2312"/>
          <w:color w:val="FF0000"/>
        </w:rPr>
        <w:sectPr w:rsidR="0080179C" w:rsidSect="00A42430">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26"/>
        </w:sectPr>
      </w:pPr>
      <w:r>
        <w:rPr>
          <w:rFonts w:ascii="楷体_GB2312" w:eastAsia="楷体_GB2312" w:hint="eastAsia"/>
          <w:color w:val="FF0000"/>
        </w:rPr>
        <w:t xml:space="preserve"> </w:t>
      </w:r>
    </w:p>
    <w:p w14:paraId="41794F46" w14:textId="2C2EBEAF" w:rsidR="0080179C" w:rsidRDefault="0080179C" w:rsidP="001A35BE">
      <w:pPr>
        <w:pStyle w:val="1"/>
        <w:numPr>
          <w:ilvl w:val="0"/>
          <w:numId w:val="0"/>
        </w:numPr>
        <w:tabs>
          <w:tab w:val="left" w:pos="420"/>
        </w:tabs>
        <w:spacing w:before="163" w:after="163"/>
      </w:pPr>
      <w:bookmarkStart w:id="2" w:name="_Toc27319"/>
      <w:bookmarkStart w:id="3" w:name="_Toc9048"/>
      <w:bookmarkStart w:id="4" w:name="_Toc104938594"/>
      <w:r>
        <w:rPr>
          <w:rFonts w:hint="eastAsia"/>
        </w:rPr>
        <w:lastRenderedPageBreak/>
        <w:t>摘</w:t>
      </w:r>
      <w:r>
        <w:rPr>
          <w:rFonts w:hint="eastAsia"/>
        </w:rPr>
        <w:t xml:space="preserve">  </w:t>
      </w:r>
      <w:r>
        <w:rPr>
          <w:rFonts w:hint="eastAsia"/>
        </w:rPr>
        <w:t>要</w:t>
      </w:r>
      <w:bookmarkEnd w:id="2"/>
      <w:bookmarkEnd w:id="3"/>
      <w:bookmarkEnd w:id="4"/>
    </w:p>
    <w:p w14:paraId="31A48E1B" w14:textId="74AC7C5C" w:rsidR="0080179C" w:rsidRDefault="008D45E4" w:rsidP="0026496B">
      <w:pPr>
        <w:ind w:firstLine="420"/>
        <w:rPr>
          <w:szCs w:val="22"/>
        </w:rPr>
      </w:pPr>
      <w:r>
        <w:rPr>
          <w:szCs w:val="22"/>
        </w:rPr>
        <w:t>2021</w:t>
      </w:r>
      <w:r>
        <w:rPr>
          <w:rFonts w:hint="eastAsia"/>
          <w:szCs w:val="22"/>
        </w:rPr>
        <w:t>年</w:t>
      </w:r>
      <w:r>
        <w:rPr>
          <w:rFonts w:hint="eastAsia"/>
          <w:szCs w:val="22"/>
        </w:rPr>
        <w:t>1</w:t>
      </w:r>
      <w:r>
        <w:rPr>
          <w:szCs w:val="22"/>
        </w:rPr>
        <w:t>1</w:t>
      </w:r>
      <w:r>
        <w:rPr>
          <w:rFonts w:hint="eastAsia"/>
          <w:szCs w:val="22"/>
        </w:rPr>
        <w:t>月</w:t>
      </w:r>
      <w:r w:rsidR="00192894">
        <w:rPr>
          <w:rFonts w:hint="eastAsia"/>
          <w:szCs w:val="22"/>
        </w:rPr>
        <w:t>1</w:t>
      </w:r>
      <w:r>
        <w:rPr>
          <w:rFonts w:hint="eastAsia"/>
          <w:szCs w:val="22"/>
        </w:rPr>
        <w:t>2</w:t>
      </w:r>
      <w:r>
        <w:rPr>
          <w:rFonts w:hint="eastAsia"/>
          <w:szCs w:val="22"/>
        </w:rPr>
        <w:t>日，广州中级人民</w:t>
      </w:r>
      <w:r w:rsidR="002077ED">
        <w:rPr>
          <w:rFonts w:hint="eastAsia"/>
          <w:szCs w:val="22"/>
        </w:rPr>
        <w:t>法院发布了关于康美药业财务造假案的判决结果</w:t>
      </w:r>
      <w:r>
        <w:rPr>
          <w:rFonts w:hint="eastAsia"/>
          <w:szCs w:val="22"/>
        </w:rPr>
        <w:t>，</w:t>
      </w:r>
      <w:r w:rsidR="002077ED">
        <w:rPr>
          <w:rFonts w:hint="eastAsia"/>
          <w:szCs w:val="22"/>
        </w:rPr>
        <w:t>根据判决书，五名相关独立董事由于职务疏忽需要承担相应连带赔偿责任。该事件</w:t>
      </w:r>
      <w:r>
        <w:rPr>
          <w:rFonts w:hint="eastAsia"/>
          <w:szCs w:val="22"/>
        </w:rPr>
        <w:t>打破了以往独立董事低风险，不操心的美好形象，</w:t>
      </w:r>
      <w:r w:rsidR="002077ED">
        <w:rPr>
          <w:rFonts w:hint="eastAsia"/>
          <w:szCs w:val="22"/>
        </w:rPr>
        <w:t>也打开了独立董事辞职的潘多拉魔盒。</w:t>
      </w:r>
      <w:r w:rsidR="0080179C">
        <w:rPr>
          <w:rFonts w:hint="eastAsia"/>
          <w:szCs w:val="22"/>
        </w:rPr>
        <w:t>本文旨在研究</w:t>
      </w:r>
      <w:r>
        <w:rPr>
          <w:rFonts w:hint="eastAsia"/>
          <w:szCs w:val="22"/>
        </w:rPr>
        <w:t>康美药业财务造假案</w:t>
      </w:r>
      <w:r w:rsidR="00D1659A">
        <w:rPr>
          <w:rFonts w:hint="eastAsia"/>
          <w:szCs w:val="22"/>
        </w:rPr>
        <w:t>发生之后</w:t>
      </w:r>
      <w:r>
        <w:rPr>
          <w:rFonts w:hint="eastAsia"/>
          <w:szCs w:val="22"/>
        </w:rPr>
        <w:t>，</w:t>
      </w:r>
      <w:r w:rsidR="00D1659A">
        <w:rPr>
          <w:rFonts w:hint="eastAsia"/>
          <w:szCs w:val="22"/>
        </w:rPr>
        <w:t>在特定</w:t>
      </w:r>
      <w:r w:rsidR="002077ED">
        <w:rPr>
          <w:rFonts w:hint="eastAsia"/>
          <w:szCs w:val="22"/>
        </w:rPr>
        <w:t>研究</w:t>
      </w:r>
      <w:r w:rsidR="002118E7">
        <w:rPr>
          <w:rFonts w:hint="eastAsia"/>
          <w:szCs w:val="22"/>
        </w:rPr>
        <w:t>时期范围</w:t>
      </w:r>
      <w:r w:rsidR="00D1659A">
        <w:rPr>
          <w:rFonts w:hint="eastAsia"/>
          <w:szCs w:val="22"/>
        </w:rPr>
        <w:t>内发生独立董事辞职事件的公司</w:t>
      </w:r>
      <w:r w:rsidR="00110498">
        <w:rPr>
          <w:rFonts w:hint="eastAsia"/>
          <w:szCs w:val="22"/>
        </w:rPr>
        <w:t>中，</w:t>
      </w:r>
      <w:r w:rsidR="00D1659A">
        <w:rPr>
          <w:rFonts w:hint="eastAsia"/>
          <w:szCs w:val="22"/>
        </w:rPr>
        <w:t>其</w:t>
      </w:r>
      <w:r>
        <w:rPr>
          <w:rFonts w:hint="eastAsia"/>
          <w:szCs w:val="22"/>
        </w:rPr>
        <w:t>独立董事辞职对公司价值的影响程度，</w:t>
      </w:r>
      <w:r w:rsidR="008739F5">
        <w:rPr>
          <w:rFonts w:hint="eastAsia"/>
          <w:szCs w:val="22"/>
        </w:rPr>
        <w:t>在此基础上，进一步分析独立董事的</w:t>
      </w:r>
      <w:r w:rsidR="002118E7">
        <w:rPr>
          <w:rFonts w:hint="eastAsia"/>
          <w:szCs w:val="22"/>
        </w:rPr>
        <w:t>相关</w:t>
      </w:r>
      <w:r w:rsidR="008739F5">
        <w:rPr>
          <w:rFonts w:hint="eastAsia"/>
          <w:szCs w:val="22"/>
        </w:rPr>
        <w:t>特征是否对公司价值产生影响。</w:t>
      </w:r>
    </w:p>
    <w:p w14:paraId="10EC6A58" w14:textId="629F5E91" w:rsidR="0080179C" w:rsidRDefault="0080179C">
      <w:pPr>
        <w:ind w:firstLine="420"/>
        <w:rPr>
          <w:rFonts w:ascii="宋体" w:hAnsi="宋体"/>
        </w:rPr>
      </w:pPr>
      <w:r>
        <w:rPr>
          <w:rFonts w:ascii="宋体" w:hAnsi="宋体"/>
        </w:rPr>
        <w:t xml:space="preserve"> </w:t>
      </w:r>
      <w:r>
        <w:rPr>
          <w:rFonts w:ascii="宋体" w:hAnsi="宋体" w:hint="eastAsia"/>
        </w:rPr>
        <w:t>以沪深A股上市</w:t>
      </w:r>
      <w:r w:rsidR="008739F5">
        <w:rPr>
          <w:rFonts w:ascii="宋体" w:hAnsi="宋体" w:hint="eastAsia"/>
        </w:rPr>
        <w:t>公司</w:t>
      </w:r>
      <w:r>
        <w:rPr>
          <w:rFonts w:ascii="宋体" w:hAnsi="宋体" w:hint="eastAsia"/>
        </w:rPr>
        <w:t>20</w:t>
      </w:r>
      <w:r w:rsidR="008739F5">
        <w:rPr>
          <w:rFonts w:ascii="宋体" w:hAnsi="宋体"/>
        </w:rPr>
        <w:t>21</w:t>
      </w:r>
      <w:r>
        <w:rPr>
          <w:rFonts w:ascii="宋体" w:hAnsi="宋体" w:hint="eastAsia"/>
        </w:rPr>
        <w:t>-20</w:t>
      </w:r>
      <w:r w:rsidR="008739F5">
        <w:rPr>
          <w:rFonts w:ascii="宋体" w:hAnsi="宋体"/>
        </w:rPr>
        <w:t>22</w:t>
      </w:r>
      <w:r>
        <w:rPr>
          <w:rFonts w:ascii="宋体" w:hAnsi="宋体" w:hint="eastAsia"/>
        </w:rPr>
        <w:t>年的</w:t>
      </w:r>
      <w:r w:rsidR="008739F5">
        <w:rPr>
          <w:rFonts w:ascii="宋体" w:hAnsi="宋体" w:hint="eastAsia"/>
        </w:rPr>
        <w:t>发生独立董事辞职的相关公司</w:t>
      </w:r>
      <w:r>
        <w:rPr>
          <w:rFonts w:ascii="宋体" w:hAnsi="宋体" w:hint="eastAsia"/>
        </w:rPr>
        <w:t>年度数据为样本，论文</w:t>
      </w:r>
      <w:r w:rsidR="00110498">
        <w:rPr>
          <w:rFonts w:ascii="宋体" w:hAnsi="宋体" w:hint="eastAsia"/>
        </w:rPr>
        <w:t>采取事件研究法</w:t>
      </w:r>
      <w:r>
        <w:rPr>
          <w:rFonts w:ascii="宋体" w:hAnsi="宋体" w:hint="eastAsia"/>
        </w:rPr>
        <w:t>检验了</w:t>
      </w:r>
      <w:r w:rsidR="008739F5">
        <w:rPr>
          <w:rFonts w:ascii="宋体" w:hAnsi="宋体" w:hint="eastAsia"/>
        </w:rPr>
        <w:t>独立董事辞职对公司价值的影响</w:t>
      </w:r>
      <w:r w:rsidR="002118E7">
        <w:rPr>
          <w:rFonts w:ascii="宋体" w:hAnsi="宋体" w:hint="eastAsia"/>
        </w:rPr>
        <w:t>，以独立董事辞职公告发布日作为事件日，计算出事件窗口期内的累积异常收益率。同时</w:t>
      </w:r>
      <w:r w:rsidR="0026496B">
        <w:rPr>
          <w:rFonts w:ascii="宋体" w:hAnsi="宋体" w:hint="eastAsia"/>
        </w:rPr>
        <w:t>我们将独立董事学历和任职期限</w:t>
      </w:r>
      <w:r w:rsidR="00903146">
        <w:rPr>
          <w:rFonts w:ascii="宋体" w:hAnsi="宋体" w:hint="eastAsia"/>
        </w:rPr>
        <w:t>，</w:t>
      </w:r>
      <w:r w:rsidR="0026496B">
        <w:rPr>
          <w:rFonts w:ascii="宋体" w:hAnsi="宋体" w:hint="eastAsia"/>
        </w:rPr>
        <w:t>作为解释变量。通过实证分析，我们得出相关结论：独立董事辞职事件会导致累积异常收益率显著为负;独立董事自身学历与累积异常收益率呈正相关关系，</w:t>
      </w:r>
      <w:r w:rsidR="00927466">
        <w:rPr>
          <w:rFonts w:ascii="宋体" w:hAnsi="宋体" w:hint="eastAsia"/>
        </w:rPr>
        <w:t>独立董事</w:t>
      </w:r>
      <w:r w:rsidR="0026496B">
        <w:rPr>
          <w:rFonts w:ascii="宋体" w:hAnsi="宋体" w:hint="eastAsia"/>
        </w:rPr>
        <w:t>学历越高</w:t>
      </w:r>
      <w:r w:rsidR="00927466">
        <w:rPr>
          <w:rFonts w:ascii="宋体" w:hAnsi="宋体" w:hint="eastAsia"/>
        </w:rPr>
        <w:t>，其辞职导致的累积异常收益率会更大；独立董事任职期限与累积异常收益率呈正相关关系，任职期限越长，辞职导致的累积异常收益率更大。</w:t>
      </w:r>
      <w:r w:rsidR="00C905C3">
        <w:rPr>
          <w:rFonts w:ascii="宋体" w:hAnsi="宋体" w:hint="eastAsia"/>
        </w:rPr>
        <w:t>公司盈余管理水平越高，累积异常收益率会更大。</w:t>
      </w:r>
    </w:p>
    <w:p w14:paraId="58B85EDA" w14:textId="77777777" w:rsidR="0080179C" w:rsidRPr="00110498" w:rsidRDefault="0080179C">
      <w:pPr>
        <w:rPr>
          <w:rFonts w:ascii="宋体" w:hAnsi="宋体"/>
        </w:rPr>
      </w:pPr>
    </w:p>
    <w:p w14:paraId="341BA378" w14:textId="77777777" w:rsidR="0080179C" w:rsidRDefault="0080179C">
      <w:pPr>
        <w:ind w:firstLine="420"/>
        <w:rPr>
          <w:rFonts w:ascii="宋体" w:hAnsi="宋体"/>
        </w:rPr>
      </w:pPr>
    </w:p>
    <w:p w14:paraId="235AF701" w14:textId="77777777" w:rsidR="0080179C" w:rsidRPr="00157921" w:rsidRDefault="0080179C">
      <w:pPr>
        <w:ind w:firstLine="420"/>
        <w:rPr>
          <w:rFonts w:ascii="宋体" w:hAnsi="宋体"/>
        </w:rPr>
      </w:pPr>
    </w:p>
    <w:p w14:paraId="73C2B4FB" w14:textId="0E07DCF5" w:rsidR="0080179C" w:rsidRDefault="0080179C">
      <w:pPr>
        <w:spacing w:beforeLines="50" w:before="163"/>
        <w:rPr>
          <w:rFonts w:ascii="宋体" w:hAnsi="宋体"/>
        </w:rPr>
      </w:pPr>
      <w:r>
        <w:rPr>
          <w:rFonts w:eastAsia="黑体"/>
          <w:b/>
          <w:bCs/>
        </w:rPr>
        <w:t>关键词：</w:t>
      </w:r>
      <w:r w:rsidR="008739F5">
        <w:rPr>
          <w:rFonts w:ascii="宋体" w:hAnsi="宋体" w:hint="eastAsia"/>
          <w:szCs w:val="22"/>
        </w:rPr>
        <w:t>独立董事辞职</w:t>
      </w:r>
      <w:r w:rsidR="00690EE2">
        <w:rPr>
          <w:rFonts w:ascii="宋体" w:hAnsi="宋体" w:hint="eastAsia"/>
          <w:szCs w:val="22"/>
        </w:rPr>
        <w:t>;</w:t>
      </w:r>
      <w:r w:rsidR="00110498">
        <w:rPr>
          <w:rFonts w:ascii="宋体" w:hAnsi="宋体" w:hint="eastAsia"/>
          <w:szCs w:val="22"/>
        </w:rPr>
        <w:t>事件研究法</w:t>
      </w:r>
      <w:r w:rsidR="00690EE2">
        <w:rPr>
          <w:rFonts w:ascii="宋体" w:hAnsi="宋体" w:hint="eastAsia"/>
          <w:szCs w:val="22"/>
        </w:rPr>
        <w:t>;</w:t>
      </w:r>
      <w:r w:rsidR="009F4A52">
        <w:rPr>
          <w:rFonts w:ascii="宋体" w:hAnsi="宋体" w:hint="eastAsia"/>
          <w:szCs w:val="22"/>
        </w:rPr>
        <w:t>累积异常收益率</w:t>
      </w:r>
      <w:r w:rsidR="00690EE2">
        <w:rPr>
          <w:rFonts w:ascii="宋体" w:hAnsi="宋体" w:hint="eastAsia"/>
          <w:szCs w:val="22"/>
        </w:rPr>
        <w:t>;</w:t>
      </w:r>
      <w:r w:rsidR="008739F5">
        <w:rPr>
          <w:rFonts w:ascii="宋体" w:hAnsi="宋体" w:hint="eastAsia"/>
          <w:szCs w:val="22"/>
        </w:rPr>
        <w:t>公司价值</w:t>
      </w:r>
    </w:p>
    <w:p w14:paraId="0FA5F64D" w14:textId="77777777" w:rsidR="0080179C" w:rsidRPr="00B51A84" w:rsidRDefault="0080179C">
      <w:pPr>
        <w:spacing w:beforeLines="50" w:before="163" w:afterLines="50" w:after="163" w:line="300" w:lineRule="auto"/>
      </w:pPr>
    </w:p>
    <w:p w14:paraId="6CE697D9" w14:textId="6565DC2A" w:rsidR="0080179C" w:rsidRDefault="0080179C" w:rsidP="001A35BE">
      <w:pPr>
        <w:pStyle w:val="1"/>
        <w:numPr>
          <w:ilvl w:val="0"/>
          <w:numId w:val="0"/>
        </w:numPr>
        <w:tabs>
          <w:tab w:val="left" w:pos="420"/>
        </w:tabs>
        <w:spacing w:before="163" w:after="163"/>
        <w:rPr>
          <w:color w:val="FF0000"/>
          <w:sz w:val="24"/>
        </w:rPr>
      </w:pPr>
      <w:r>
        <w:rPr>
          <w:b w:val="0"/>
          <w:bCs w:val="0"/>
          <w:sz w:val="24"/>
        </w:rPr>
        <w:br w:type="page"/>
      </w:r>
      <w:bookmarkStart w:id="5" w:name="_Toc5567"/>
      <w:bookmarkStart w:id="6" w:name="_Toc12435"/>
      <w:bookmarkStart w:id="7" w:name="_Toc104938595"/>
      <w:r>
        <w:rPr>
          <w:rStyle w:val="10"/>
        </w:rPr>
        <w:lastRenderedPageBreak/>
        <w:t>Abstract</w:t>
      </w:r>
      <w:bookmarkEnd w:id="5"/>
      <w:bookmarkEnd w:id="6"/>
      <w:bookmarkEnd w:id="7"/>
    </w:p>
    <w:p w14:paraId="48760ADF" w14:textId="29905316" w:rsidR="00F235B9" w:rsidRPr="00E12B68" w:rsidRDefault="009F03B5" w:rsidP="009F03B5">
      <w:pPr>
        <w:ind w:firstLineChars="200" w:firstLine="480"/>
      </w:pPr>
      <w:r w:rsidRPr="00E12B68">
        <w:t xml:space="preserve">On November 12, 2021, the Guangzhou Intermediate People's Court issued the verdict on </w:t>
      </w:r>
      <w:proofErr w:type="spellStart"/>
      <w:r w:rsidRPr="00E12B68">
        <w:t>Kangmei</w:t>
      </w:r>
      <w:proofErr w:type="spellEnd"/>
      <w:r w:rsidRPr="00E12B68">
        <w:t xml:space="preserve"> Pharmaceutical's financial fraud case. According to the verdict, the five relevant independent directors need to bear the corresponding joint and several liability for compensation due to negligence in their duties. This incident broke the previous good image of independent directors with low risk and no worries, and also opened a Pandora's box for independent directors to resign. The purpose of this paper is to </w:t>
      </w:r>
      <w:r w:rsidR="00E05FC4">
        <w:t>investigate</w:t>
      </w:r>
      <w:r w:rsidRPr="00E12B68">
        <w:t xml:space="preserve"> the </w:t>
      </w:r>
      <w:r w:rsidR="00E05FC4">
        <w:t>influence</w:t>
      </w:r>
      <w:r w:rsidRPr="00E12B68">
        <w:t xml:space="preserve"> of the resignation of independent directors on the company's value in companies where the resignation of independent directors occurred within a specific research period after the occurrence of </w:t>
      </w:r>
      <w:proofErr w:type="spellStart"/>
      <w:r w:rsidRPr="00E12B68">
        <w:t>Kangmei</w:t>
      </w:r>
      <w:proofErr w:type="spellEnd"/>
      <w:r w:rsidRPr="00E12B68">
        <w:t xml:space="preserve"> Pharmaceutical's financial fraud case</w:t>
      </w:r>
      <w:r w:rsidR="00B23060">
        <w:t xml:space="preserve"> and w</w:t>
      </w:r>
      <w:r w:rsidRPr="00E12B68">
        <w:t>hether characteristics have an impact on firm value.</w:t>
      </w:r>
    </w:p>
    <w:p w14:paraId="588BB1B8" w14:textId="08C894F3" w:rsidR="00F235B9" w:rsidRPr="00E12B68" w:rsidRDefault="009F03B5" w:rsidP="009F03B5">
      <w:pPr>
        <w:ind w:firstLineChars="200" w:firstLine="480"/>
      </w:pPr>
      <w:r w:rsidRPr="00E12B68">
        <w:t xml:space="preserve">Taking Shanghai and Shenzhen A-share listed companies in 2021-2022 as a sample, the paper adopts the event study method to test the impact of independent directors' resignation on the company's value, and takes the release date of the independent director's resignation announcement as the event </w:t>
      </w:r>
      <w:proofErr w:type="gramStart"/>
      <w:r w:rsidRPr="00E12B68">
        <w:t>date ,</w:t>
      </w:r>
      <w:proofErr w:type="gramEnd"/>
      <w:r w:rsidRPr="00E12B68">
        <w:t xml:space="preserve"> calculate the cumulative abnormal return during the event window. At the same time, we take the educational background and tenure of independent directors as explanatory variables. Through empirical analysis, we draw relevant conclusions: the resignation of independent directors will lead to a significant negative cumulative abnormal return; the independent director's own educational background is positively correlated with the cumulative abnormal return. The rate will be greater; the term of office of independent directors is positively correlated with the cumulative abnormal rate of return. The longer the term of office, the greater the cumulative abnormal rate of return caused by resignation.</w:t>
      </w:r>
      <w:r w:rsidR="00C10A8C">
        <w:t xml:space="preserve"> </w:t>
      </w:r>
      <w:r w:rsidR="00C905C3" w:rsidRPr="00C10A8C">
        <w:t>The higher the level of earnings management of the company, the greater the cumulative abnormal return.</w:t>
      </w:r>
    </w:p>
    <w:p w14:paraId="380F9A50" w14:textId="77777777" w:rsidR="00874B61" w:rsidRPr="00E12B68" w:rsidRDefault="00874B61" w:rsidP="006573D5">
      <w:pPr>
        <w:rPr>
          <w:sz w:val="26"/>
        </w:rPr>
      </w:pPr>
    </w:p>
    <w:p w14:paraId="6C1FADE1" w14:textId="77777777" w:rsidR="00393A30" w:rsidRDefault="0080179C" w:rsidP="008B36E4">
      <w:pPr>
        <w:rPr>
          <w:bCs/>
        </w:rPr>
        <w:sectPr w:rsidR="00393A30" w:rsidSect="0096536C">
          <w:footerReference w:type="default" r:id="rId12"/>
          <w:pgSz w:w="11906" w:h="16838"/>
          <w:pgMar w:top="1418" w:right="1701" w:bottom="1134" w:left="1701" w:header="851" w:footer="0" w:gutter="0"/>
          <w:pgNumType w:fmt="upperRoman" w:start="1"/>
          <w:cols w:space="720"/>
          <w:docGrid w:type="lines" w:linePitch="326"/>
        </w:sectPr>
      </w:pPr>
      <w:r w:rsidRPr="00E12B68">
        <w:rPr>
          <w:b/>
        </w:rPr>
        <w:t>Key Words</w:t>
      </w:r>
      <w:r w:rsidRPr="00E12B68">
        <w:rPr>
          <w:b/>
        </w:rPr>
        <w:t>：</w:t>
      </w:r>
      <w:r w:rsidR="00622246" w:rsidRPr="00E12B68">
        <w:rPr>
          <w:bCs/>
        </w:rPr>
        <w:t>the resignation of independent directors</w:t>
      </w:r>
      <w:r w:rsidR="004A49FD">
        <w:rPr>
          <w:rFonts w:hint="eastAsia"/>
          <w:bCs/>
        </w:rPr>
        <w:t>;</w:t>
      </w:r>
      <w:r w:rsidR="004A49FD">
        <w:rPr>
          <w:bCs/>
        </w:rPr>
        <w:t xml:space="preserve"> </w:t>
      </w:r>
      <w:r w:rsidR="00205734" w:rsidRPr="00E12B68">
        <w:rPr>
          <w:bCs/>
        </w:rPr>
        <w:t>event study</w:t>
      </w:r>
      <w:r w:rsidR="004A49FD">
        <w:rPr>
          <w:bCs/>
        </w:rPr>
        <w:t>;</w:t>
      </w:r>
      <w:r w:rsidR="00622246" w:rsidRPr="00E12B68">
        <w:rPr>
          <w:bCs/>
        </w:rPr>
        <w:t xml:space="preserve"> </w:t>
      </w:r>
      <w:r w:rsidR="007B45C7" w:rsidRPr="00E12B68">
        <w:rPr>
          <w:bCs/>
        </w:rPr>
        <w:t>cumulative abnormal return</w:t>
      </w:r>
      <w:r w:rsidR="004A49FD">
        <w:rPr>
          <w:bCs/>
        </w:rPr>
        <w:t>;</w:t>
      </w:r>
      <w:r w:rsidR="00622246" w:rsidRPr="00E12B68">
        <w:rPr>
          <w:bCs/>
        </w:rPr>
        <w:t xml:space="preserve"> company value</w:t>
      </w:r>
    </w:p>
    <w:p w14:paraId="78BDEBA3" w14:textId="77777777" w:rsidR="00393A30" w:rsidRDefault="00393A30" w:rsidP="00393A30">
      <w:pPr>
        <w:tabs>
          <w:tab w:val="left" w:pos="2985"/>
        </w:tabs>
        <w:rPr>
          <w:rFonts w:ascii="黑体" w:eastAsia="黑体" w:hAnsi="黑体" w:cs="黑体"/>
          <w:b/>
          <w:bCs/>
          <w:sz w:val="36"/>
          <w:szCs w:val="36"/>
        </w:rPr>
      </w:pPr>
    </w:p>
    <w:p w14:paraId="5AF4F9C3" w14:textId="2E07B52B" w:rsidR="0080179C" w:rsidRDefault="0080179C">
      <w:pPr>
        <w:tabs>
          <w:tab w:val="left" w:pos="2985"/>
        </w:tabs>
        <w:jc w:val="center"/>
      </w:pPr>
      <w:r>
        <w:rPr>
          <w:rFonts w:ascii="黑体" w:eastAsia="黑体" w:hAnsi="黑体" w:cs="黑体" w:hint="eastAsia"/>
          <w:b/>
          <w:bCs/>
          <w:sz w:val="36"/>
          <w:szCs w:val="36"/>
        </w:rPr>
        <w:lastRenderedPageBreak/>
        <w:t>目录</w:t>
      </w:r>
    </w:p>
    <w:p w14:paraId="130C00C4" w14:textId="213616C8" w:rsidR="00CB638D" w:rsidRDefault="00964196">
      <w:pPr>
        <w:pStyle w:val="TOC1"/>
        <w:rPr>
          <w:rFonts w:asciiTheme="minorHAnsi" w:eastAsiaTheme="minorEastAsia" w:hAnsiTheme="minorHAnsi" w:cstheme="minorBidi"/>
          <w:b w:val="0"/>
          <w:bCs w:val="0"/>
          <w:sz w:val="21"/>
          <w:szCs w:val="22"/>
        </w:rPr>
      </w:pPr>
      <w:r>
        <w:rPr>
          <w:rFonts w:eastAsia="黑体"/>
          <w:sz w:val="36"/>
          <w:szCs w:val="36"/>
        </w:rPr>
        <w:fldChar w:fldCharType="begin"/>
      </w:r>
      <w:r>
        <w:rPr>
          <w:rFonts w:eastAsia="黑体"/>
          <w:sz w:val="36"/>
          <w:szCs w:val="36"/>
        </w:rPr>
        <w:instrText xml:space="preserve"> </w:instrText>
      </w:r>
      <w:r>
        <w:rPr>
          <w:rFonts w:eastAsia="黑体" w:hint="eastAsia"/>
          <w:sz w:val="36"/>
          <w:szCs w:val="36"/>
        </w:rPr>
        <w:instrText>TOC \o "1-2" \h \z \u</w:instrText>
      </w:r>
      <w:r>
        <w:rPr>
          <w:rFonts w:eastAsia="黑体"/>
          <w:sz w:val="36"/>
          <w:szCs w:val="36"/>
        </w:rPr>
        <w:instrText xml:space="preserve"> </w:instrText>
      </w:r>
      <w:r>
        <w:rPr>
          <w:rFonts w:eastAsia="黑体"/>
          <w:sz w:val="36"/>
          <w:szCs w:val="36"/>
        </w:rPr>
        <w:fldChar w:fldCharType="separate"/>
      </w:r>
      <w:hyperlink w:anchor="_Toc104938594" w:history="1">
        <w:r w:rsidR="00CB638D" w:rsidRPr="00876407">
          <w:rPr>
            <w:rStyle w:val="ad"/>
          </w:rPr>
          <w:t>摘</w:t>
        </w:r>
        <w:r w:rsidR="00CB638D" w:rsidRPr="00876407">
          <w:rPr>
            <w:rStyle w:val="ad"/>
          </w:rPr>
          <w:t xml:space="preserve">  </w:t>
        </w:r>
        <w:r w:rsidR="00CB638D" w:rsidRPr="00876407">
          <w:rPr>
            <w:rStyle w:val="ad"/>
          </w:rPr>
          <w:t>要</w:t>
        </w:r>
        <w:r w:rsidR="00CB638D">
          <w:rPr>
            <w:webHidden/>
          </w:rPr>
          <w:tab/>
        </w:r>
        <w:r w:rsidR="00CB638D">
          <w:rPr>
            <w:webHidden/>
          </w:rPr>
          <w:fldChar w:fldCharType="begin"/>
        </w:r>
        <w:r w:rsidR="00CB638D">
          <w:rPr>
            <w:webHidden/>
          </w:rPr>
          <w:instrText xml:space="preserve"> PAGEREF _Toc104938594 \h </w:instrText>
        </w:r>
        <w:r w:rsidR="00CB638D">
          <w:rPr>
            <w:webHidden/>
          </w:rPr>
        </w:r>
        <w:r w:rsidR="00CB638D">
          <w:rPr>
            <w:webHidden/>
          </w:rPr>
          <w:fldChar w:fldCharType="separate"/>
        </w:r>
        <w:r w:rsidR="00CB638D">
          <w:rPr>
            <w:webHidden/>
          </w:rPr>
          <w:t>I</w:t>
        </w:r>
        <w:r w:rsidR="00CB638D">
          <w:rPr>
            <w:webHidden/>
          </w:rPr>
          <w:fldChar w:fldCharType="end"/>
        </w:r>
      </w:hyperlink>
    </w:p>
    <w:p w14:paraId="4E861899" w14:textId="536F1C47" w:rsidR="00CB638D" w:rsidRDefault="0051081F">
      <w:pPr>
        <w:pStyle w:val="TOC1"/>
        <w:rPr>
          <w:rFonts w:asciiTheme="minorHAnsi" w:eastAsiaTheme="minorEastAsia" w:hAnsiTheme="minorHAnsi" w:cstheme="minorBidi"/>
          <w:b w:val="0"/>
          <w:bCs w:val="0"/>
          <w:sz w:val="21"/>
          <w:szCs w:val="22"/>
        </w:rPr>
      </w:pPr>
      <w:hyperlink w:anchor="_Toc104938595" w:history="1">
        <w:r w:rsidR="00CB638D" w:rsidRPr="00876407">
          <w:rPr>
            <w:rStyle w:val="ad"/>
          </w:rPr>
          <w:t>Abstract</w:t>
        </w:r>
        <w:r w:rsidR="00CB638D">
          <w:rPr>
            <w:webHidden/>
          </w:rPr>
          <w:tab/>
        </w:r>
        <w:r w:rsidR="00CB638D">
          <w:rPr>
            <w:webHidden/>
          </w:rPr>
          <w:fldChar w:fldCharType="begin"/>
        </w:r>
        <w:r w:rsidR="00CB638D">
          <w:rPr>
            <w:webHidden/>
          </w:rPr>
          <w:instrText xml:space="preserve"> PAGEREF _Toc104938595 \h </w:instrText>
        </w:r>
        <w:r w:rsidR="00CB638D">
          <w:rPr>
            <w:webHidden/>
          </w:rPr>
        </w:r>
        <w:r w:rsidR="00CB638D">
          <w:rPr>
            <w:webHidden/>
          </w:rPr>
          <w:fldChar w:fldCharType="separate"/>
        </w:r>
        <w:r w:rsidR="00CB638D">
          <w:rPr>
            <w:webHidden/>
          </w:rPr>
          <w:t>II</w:t>
        </w:r>
        <w:r w:rsidR="00CB638D">
          <w:rPr>
            <w:webHidden/>
          </w:rPr>
          <w:fldChar w:fldCharType="end"/>
        </w:r>
      </w:hyperlink>
    </w:p>
    <w:p w14:paraId="096A84AB" w14:textId="3587B06D" w:rsidR="00CB638D" w:rsidRDefault="0051081F">
      <w:pPr>
        <w:pStyle w:val="TOC1"/>
        <w:rPr>
          <w:rFonts w:asciiTheme="minorHAnsi" w:eastAsiaTheme="minorEastAsia" w:hAnsiTheme="minorHAnsi" w:cstheme="minorBidi"/>
          <w:b w:val="0"/>
          <w:bCs w:val="0"/>
          <w:sz w:val="21"/>
          <w:szCs w:val="22"/>
        </w:rPr>
      </w:pPr>
      <w:hyperlink w:anchor="_Toc104938596" w:history="1">
        <w:r w:rsidR="00CB638D" w:rsidRPr="00876407">
          <w:rPr>
            <w:rStyle w:val="ad"/>
            <w:rFonts w:cs="宋体"/>
          </w:rPr>
          <w:t>1</w:t>
        </w:r>
        <w:r w:rsidR="00CB638D" w:rsidRPr="00876407">
          <w:rPr>
            <w:rStyle w:val="ad"/>
          </w:rPr>
          <w:t xml:space="preserve"> </w:t>
        </w:r>
        <w:r w:rsidR="00CB638D" w:rsidRPr="00876407">
          <w:rPr>
            <w:rStyle w:val="ad"/>
          </w:rPr>
          <w:t>绪论</w:t>
        </w:r>
        <w:r w:rsidR="00CB638D">
          <w:rPr>
            <w:webHidden/>
          </w:rPr>
          <w:tab/>
        </w:r>
        <w:r w:rsidR="00CB638D">
          <w:rPr>
            <w:webHidden/>
          </w:rPr>
          <w:fldChar w:fldCharType="begin"/>
        </w:r>
        <w:r w:rsidR="00CB638D">
          <w:rPr>
            <w:webHidden/>
          </w:rPr>
          <w:instrText xml:space="preserve"> PAGEREF _Toc104938596 \h </w:instrText>
        </w:r>
        <w:r w:rsidR="00CB638D">
          <w:rPr>
            <w:webHidden/>
          </w:rPr>
        </w:r>
        <w:r w:rsidR="00CB638D">
          <w:rPr>
            <w:webHidden/>
          </w:rPr>
          <w:fldChar w:fldCharType="separate"/>
        </w:r>
        <w:r w:rsidR="00CB638D">
          <w:rPr>
            <w:webHidden/>
          </w:rPr>
          <w:t>1</w:t>
        </w:r>
        <w:r w:rsidR="00CB638D">
          <w:rPr>
            <w:webHidden/>
          </w:rPr>
          <w:fldChar w:fldCharType="end"/>
        </w:r>
      </w:hyperlink>
    </w:p>
    <w:p w14:paraId="56705ADA" w14:textId="7ECB45B6" w:rsidR="00CB638D" w:rsidRDefault="0051081F">
      <w:pPr>
        <w:pStyle w:val="TOC2"/>
        <w:rPr>
          <w:rFonts w:asciiTheme="minorHAnsi" w:eastAsiaTheme="minorEastAsia" w:hAnsiTheme="minorHAnsi" w:cstheme="minorBidi"/>
          <w:sz w:val="21"/>
          <w:szCs w:val="22"/>
        </w:rPr>
      </w:pPr>
      <w:hyperlink w:anchor="_Toc104938597" w:history="1">
        <w:r w:rsidR="00CB638D" w:rsidRPr="00876407">
          <w:rPr>
            <w:rStyle w:val="ad"/>
          </w:rPr>
          <w:t xml:space="preserve">1.1 </w:t>
        </w:r>
        <w:r w:rsidR="00CB638D" w:rsidRPr="00876407">
          <w:rPr>
            <w:rStyle w:val="ad"/>
          </w:rPr>
          <w:t>选题背景</w:t>
        </w:r>
        <w:r w:rsidR="00CB638D">
          <w:rPr>
            <w:webHidden/>
          </w:rPr>
          <w:tab/>
        </w:r>
        <w:r w:rsidR="00CB638D">
          <w:rPr>
            <w:webHidden/>
          </w:rPr>
          <w:fldChar w:fldCharType="begin"/>
        </w:r>
        <w:r w:rsidR="00CB638D">
          <w:rPr>
            <w:webHidden/>
          </w:rPr>
          <w:instrText xml:space="preserve"> PAGEREF _Toc104938597 \h </w:instrText>
        </w:r>
        <w:r w:rsidR="00CB638D">
          <w:rPr>
            <w:webHidden/>
          </w:rPr>
        </w:r>
        <w:r w:rsidR="00CB638D">
          <w:rPr>
            <w:webHidden/>
          </w:rPr>
          <w:fldChar w:fldCharType="separate"/>
        </w:r>
        <w:r w:rsidR="00CB638D">
          <w:rPr>
            <w:webHidden/>
          </w:rPr>
          <w:t>1</w:t>
        </w:r>
        <w:r w:rsidR="00CB638D">
          <w:rPr>
            <w:webHidden/>
          </w:rPr>
          <w:fldChar w:fldCharType="end"/>
        </w:r>
      </w:hyperlink>
    </w:p>
    <w:p w14:paraId="2F5A4905" w14:textId="11D21736" w:rsidR="00CB638D" w:rsidRDefault="0051081F">
      <w:pPr>
        <w:pStyle w:val="TOC2"/>
        <w:rPr>
          <w:rFonts w:asciiTheme="minorHAnsi" w:eastAsiaTheme="minorEastAsia" w:hAnsiTheme="minorHAnsi" w:cstheme="minorBidi"/>
          <w:sz w:val="21"/>
          <w:szCs w:val="22"/>
        </w:rPr>
      </w:pPr>
      <w:hyperlink w:anchor="_Toc104938598" w:history="1">
        <w:r w:rsidR="00CB638D" w:rsidRPr="00876407">
          <w:rPr>
            <w:rStyle w:val="ad"/>
          </w:rPr>
          <w:t xml:space="preserve">1.2 </w:t>
        </w:r>
        <w:r w:rsidR="00CB638D" w:rsidRPr="00876407">
          <w:rPr>
            <w:rStyle w:val="ad"/>
          </w:rPr>
          <w:t>研究目标与意义</w:t>
        </w:r>
        <w:r w:rsidR="00CB638D">
          <w:rPr>
            <w:webHidden/>
          </w:rPr>
          <w:tab/>
        </w:r>
        <w:r w:rsidR="00CB638D">
          <w:rPr>
            <w:webHidden/>
          </w:rPr>
          <w:fldChar w:fldCharType="begin"/>
        </w:r>
        <w:r w:rsidR="00CB638D">
          <w:rPr>
            <w:webHidden/>
          </w:rPr>
          <w:instrText xml:space="preserve"> PAGEREF _Toc104938598 \h </w:instrText>
        </w:r>
        <w:r w:rsidR="00CB638D">
          <w:rPr>
            <w:webHidden/>
          </w:rPr>
        </w:r>
        <w:r w:rsidR="00CB638D">
          <w:rPr>
            <w:webHidden/>
          </w:rPr>
          <w:fldChar w:fldCharType="separate"/>
        </w:r>
        <w:r w:rsidR="00CB638D">
          <w:rPr>
            <w:webHidden/>
          </w:rPr>
          <w:t>2</w:t>
        </w:r>
        <w:r w:rsidR="00CB638D">
          <w:rPr>
            <w:webHidden/>
          </w:rPr>
          <w:fldChar w:fldCharType="end"/>
        </w:r>
      </w:hyperlink>
    </w:p>
    <w:p w14:paraId="35B006E7" w14:textId="1A371506" w:rsidR="00CB638D" w:rsidRDefault="0051081F">
      <w:pPr>
        <w:pStyle w:val="TOC2"/>
        <w:rPr>
          <w:rFonts w:asciiTheme="minorHAnsi" w:eastAsiaTheme="minorEastAsia" w:hAnsiTheme="minorHAnsi" w:cstheme="minorBidi"/>
          <w:sz w:val="21"/>
          <w:szCs w:val="22"/>
        </w:rPr>
      </w:pPr>
      <w:hyperlink w:anchor="_Toc104938599" w:history="1">
        <w:r w:rsidR="00CB638D" w:rsidRPr="00876407">
          <w:rPr>
            <w:rStyle w:val="ad"/>
          </w:rPr>
          <w:t xml:space="preserve">1.3 </w:t>
        </w:r>
        <w:r w:rsidR="00CB638D" w:rsidRPr="00876407">
          <w:rPr>
            <w:rStyle w:val="ad"/>
          </w:rPr>
          <w:t>研究内容与方法</w:t>
        </w:r>
        <w:r w:rsidR="00CB638D">
          <w:rPr>
            <w:webHidden/>
          </w:rPr>
          <w:tab/>
        </w:r>
        <w:r w:rsidR="00CB638D">
          <w:rPr>
            <w:webHidden/>
          </w:rPr>
          <w:fldChar w:fldCharType="begin"/>
        </w:r>
        <w:r w:rsidR="00CB638D">
          <w:rPr>
            <w:webHidden/>
          </w:rPr>
          <w:instrText xml:space="preserve"> PAGEREF _Toc104938599 \h </w:instrText>
        </w:r>
        <w:r w:rsidR="00CB638D">
          <w:rPr>
            <w:webHidden/>
          </w:rPr>
        </w:r>
        <w:r w:rsidR="00CB638D">
          <w:rPr>
            <w:webHidden/>
          </w:rPr>
          <w:fldChar w:fldCharType="separate"/>
        </w:r>
        <w:r w:rsidR="00CB638D">
          <w:rPr>
            <w:webHidden/>
          </w:rPr>
          <w:t>3</w:t>
        </w:r>
        <w:r w:rsidR="00CB638D">
          <w:rPr>
            <w:webHidden/>
          </w:rPr>
          <w:fldChar w:fldCharType="end"/>
        </w:r>
      </w:hyperlink>
    </w:p>
    <w:p w14:paraId="3D05ADB3" w14:textId="56D9F737" w:rsidR="00CB638D" w:rsidRDefault="0051081F">
      <w:pPr>
        <w:pStyle w:val="TOC1"/>
        <w:rPr>
          <w:rFonts w:asciiTheme="minorHAnsi" w:eastAsiaTheme="minorEastAsia" w:hAnsiTheme="minorHAnsi" w:cstheme="minorBidi"/>
          <w:b w:val="0"/>
          <w:bCs w:val="0"/>
          <w:sz w:val="21"/>
          <w:szCs w:val="22"/>
        </w:rPr>
      </w:pPr>
      <w:hyperlink w:anchor="_Toc104938600" w:history="1">
        <w:r w:rsidR="00CB638D" w:rsidRPr="00876407">
          <w:rPr>
            <w:rStyle w:val="ad"/>
            <w:rFonts w:cs="宋体"/>
          </w:rPr>
          <w:t>2</w:t>
        </w:r>
        <w:r w:rsidR="00CB638D" w:rsidRPr="00876407">
          <w:rPr>
            <w:rStyle w:val="ad"/>
          </w:rPr>
          <w:t xml:space="preserve"> </w:t>
        </w:r>
        <w:r w:rsidR="00CB638D" w:rsidRPr="00876407">
          <w:rPr>
            <w:rStyle w:val="ad"/>
          </w:rPr>
          <w:t>理论基础与文献综述</w:t>
        </w:r>
        <w:r w:rsidR="00CB638D">
          <w:rPr>
            <w:webHidden/>
          </w:rPr>
          <w:tab/>
        </w:r>
        <w:r w:rsidR="00CB638D">
          <w:rPr>
            <w:webHidden/>
          </w:rPr>
          <w:fldChar w:fldCharType="begin"/>
        </w:r>
        <w:r w:rsidR="00CB638D">
          <w:rPr>
            <w:webHidden/>
          </w:rPr>
          <w:instrText xml:space="preserve"> PAGEREF _Toc104938600 \h </w:instrText>
        </w:r>
        <w:r w:rsidR="00CB638D">
          <w:rPr>
            <w:webHidden/>
          </w:rPr>
        </w:r>
        <w:r w:rsidR="00CB638D">
          <w:rPr>
            <w:webHidden/>
          </w:rPr>
          <w:fldChar w:fldCharType="separate"/>
        </w:r>
        <w:r w:rsidR="00CB638D">
          <w:rPr>
            <w:webHidden/>
          </w:rPr>
          <w:t>5</w:t>
        </w:r>
        <w:r w:rsidR="00CB638D">
          <w:rPr>
            <w:webHidden/>
          </w:rPr>
          <w:fldChar w:fldCharType="end"/>
        </w:r>
      </w:hyperlink>
    </w:p>
    <w:p w14:paraId="1DE58771" w14:textId="68492D59" w:rsidR="00CB638D" w:rsidRDefault="0051081F">
      <w:pPr>
        <w:pStyle w:val="TOC2"/>
        <w:rPr>
          <w:rFonts w:asciiTheme="minorHAnsi" w:eastAsiaTheme="minorEastAsia" w:hAnsiTheme="minorHAnsi" w:cstheme="minorBidi"/>
          <w:sz w:val="21"/>
          <w:szCs w:val="22"/>
        </w:rPr>
      </w:pPr>
      <w:hyperlink w:anchor="_Toc104938601" w:history="1">
        <w:r w:rsidR="00CB638D" w:rsidRPr="00876407">
          <w:rPr>
            <w:rStyle w:val="ad"/>
          </w:rPr>
          <w:t xml:space="preserve">2.1 </w:t>
        </w:r>
        <w:r w:rsidR="00CB638D" w:rsidRPr="00876407">
          <w:rPr>
            <w:rStyle w:val="ad"/>
          </w:rPr>
          <w:t>独立董事制度的国内外研究</w:t>
        </w:r>
        <w:r w:rsidR="00CB638D">
          <w:rPr>
            <w:webHidden/>
          </w:rPr>
          <w:tab/>
        </w:r>
        <w:r w:rsidR="00CB638D">
          <w:rPr>
            <w:webHidden/>
          </w:rPr>
          <w:fldChar w:fldCharType="begin"/>
        </w:r>
        <w:r w:rsidR="00CB638D">
          <w:rPr>
            <w:webHidden/>
          </w:rPr>
          <w:instrText xml:space="preserve"> PAGEREF _Toc104938601 \h </w:instrText>
        </w:r>
        <w:r w:rsidR="00CB638D">
          <w:rPr>
            <w:webHidden/>
          </w:rPr>
        </w:r>
        <w:r w:rsidR="00CB638D">
          <w:rPr>
            <w:webHidden/>
          </w:rPr>
          <w:fldChar w:fldCharType="separate"/>
        </w:r>
        <w:r w:rsidR="00CB638D">
          <w:rPr>
            <w:webHidden/>
          </w:rPr>
          <w:t>5</w:t>
        </w:r>
        <w:r w:rsidR="00CB638D">
          <w:rPr>
            <w:webHidden/>
          </w:rPr>
          <w:fldChar w:fldCharType="end"/>
        </w:r>
      </w:hyperlink>
    </w:p>
    <w:p w14:paraId="0989C49C" w14:textId="60B2C30B" w:rsidR="00CB638D" w:rsidRDefault="0051081F">
      <w:pPr>
        <w:pStyle w:val="TOC2"/>
        <w:rPr>
          <w:rFonts w:asciiTheme="minorHAnsi" w:eastAsiaTheme="minorEastAsia" w:hAnsiTheme="minorHAnsi" w:cstheme="minorBidi"/>
          <w:sz w:val="21"/>
          <w:szCs w:val="22"/>
        </w:rPr>
      </w:pPr>
      <w:hyperlink w:anchor="_Toc104938602" w:history="1">
        <w:r w:rsidR="00CB638D" w:rsidRPr="00876407">
          <w:rPr>
            <w:rStyle w:val="ad"/>
          </w:rPr>
          <w:t xml:space="preserve">2.2 </w:t>
        </w:r>
        <w:r w:rsidR="00CB638D" w:rsidRPr="00876407">
          <w:rPr>
            <w:rStyle w:val="ad"/>
          </w:rPr>
          <w:t>独立董事辞职影响因素的国内外研究</w:t>
        </w:r>
        <w:r w:rsidR="00CB638D">
          <w:rPr>
            <w:webHidden/>
          </w:rPr>
          <w:tab/>
        </w:r>
        <w:r w:rsidR="00CB638D">
          <w:rPr>
            <w:webHidden/>
          </w:rPr>
          <w:fldChar w:fldCharType="begin"/>
        </w:r>
        <w:r w:rsidR="00CB638D">
          <w:rPr>
            <w:webHidden/>
          </w:rPr>
          <w:instrText xml:space="preserve"> PAGEREF _Toc104938602 \h </w:instrText>
        </w:r>
        <w:r w:rsidR="00CB638D">
          <w:rPr>
            <w:webHidden/>
          </w:rPr>
        </w:r>
        <w:r w:rsidR="00CB638D">
          <w:rPr>
            <w:webHidden/>
          </w:rPr>
          <w:fldChar w:fldCharType="separate"/>
        </w:r>
        <w:r w:rsidR="00CB638D">
          <w:rPr>
            <w:webHidden/>
          </w:rPr>
          <w:t>7</w:t>
        </w:r>
        <w:r w:rsidR="00CB638D">
          <w:rPr>
            <w:webHidden/>
          </w:rPr>
          <w:fldChar w:fldCharType="end"/>
        </w:r>
      </w:hyperlink>
    </w:p>
    <w:p w14:paraId="05483DE3" w14:textId="5B8D1CCC" w:rsidR="00CB638D" w:rsidRDefault="0051081F">
      <w:pPr>
        <w:pStyle w:val="TOC1"/>
        <w:rPr>
          <w:rFonts w:asciiTheme="minorHAnsi" w:eastAsiaTheme="minorEastAsia" w:hAnsiTheme="minorHAnsi" w:cstheme="minorBidi"/>
          <w:b w:val="0"/>
          <w:bCs w:val="0"/>
          <w:sz w:val="21"/>
          <w:szCs w:val="22"/>
        </w:rPr>
      </w:pPr>
      <w:hyperlink w:anchor="_Toc104938603" w:history="1">
        <w:r w:rsidR="00CB638D" w:rsidRPr="00876407">
          <w:rPr>
            <w:rStyle w:val="ad"/>
            <w:rFonts w:cs="宋体"/>
          </w:rPr>
          <w:t>3</w:t>
        </w:r>
        <w:r w:rsidR="00CB638D" w:rsidRPr="00876407">
          <w:rPr>
            <w:rStyle w:val="ad"/>
          </w:rPr>
          <w:t xml:space="preserve"> </w:t>
        </w:r>
        <w:r w:rsidR="00CB638D" w:rsidRPr="00876407">
          <w:rPr>
            <w:rStyle w:val="ad"/>
          </w:rPr>
          <w:t>研究假设与模型构建</w:t>
        </w:r>
        <w:r w:rsidR="00CB638D">
          <w:rPr>
            <w:webHidden/>
          </w:rPr>
          <w:tab/>
        </w:r>
        <w:r w:rsidR="00CB638D">
          <w:rPr>
            <w:webHidden/>
          </w:rPr>
          <w:fldChar w:fldCharType="begin"/>
        </w:r>
        <w:r w:rsidR="00CB638D">
          <w:rPr>
            <w:webHidden/>
          </w:rPr>
          <w:instrText xml:space="preserve"> PAGEREF _Toc104938603 \h </w:instrText>
        </w:r>
        <w:r w:rsidR="00CB638D">
          <w:rPr>
            <w:webHidden/>
          </w:rPr>
        </w:r>
        <w:r w:rsidR="00CB638D">
          <w:rPr>
            <w:webHidden/>
          </w:rPr>
          <w:fldChar w:fldCharType="separate"/>
        </w:r>
        <w:r w:rsidR="00CB638D">
          <w:rPr>
            <w:webHidden/>
          </w:rPr>
          <w:t>10</w:t>
        </w:r>
        <w:r w:rsidR="00CB638D">
          <w:rPr>
            <w:webHidden/>
          </w:rPr>
          <w:fldChar w:fldCharType="end"/>
        </w:r>
      </w:hyperlink>
    </w:p>
    <w:p w14:paraId="3F7ADD32" w14:textId="1BB2F1B6" w:rsidR="00CB638D" w:rsidRDefault="0051081F">
      <w:pPr>
        <w:pStyle w:val="TOC2"/>
        <w:rPr>
          <w:rFonts w:asciiTheme="minorHAnsi" w:eastAsiaTheme="minorEastAsia" w:hAnsiTheme="minorHAnsi" w:cstheme="minorBidi"/>
          <w:sz w:val="21"/>
          <w:szCs w:val="22"/>
        </w:rPr>
      </w:pPr>
      <w:hyperlink w:anchor="_Toc104938604" w:history="1">
        <w:r w:rsidR="00CB638D" w:rsidRPr="00876407">
          <w:rPr>
            <w:rStyle w:val="ad"/>
          </w:rPr>
          <w:t xml:space="preserve">3.1 </w:t>
        </w:r>
        <w:r w:rsidR="00CB638D" w:rsidRPr="00876407">
          <w:rPr>
            <w:rStyle w:val="ad"/>
          </w:rPr>
          <w:t>理论分析与研究假设</w:t>
        </w:r>
        <w:r w:rsidR="00CB638D">
          <w:rPr>
            <w:webHidden/>
          </w:rPr>
          <w:tab/>
        </w:r>
        <w:r w:rsidR="00CB638D">
          <w:rPr>
            <w:webHidden/>
          </w:rPr>
          <w:fldChar w:fldCharType="begin"/>
        </w:r>
        <w:r w:rsidR="00CB638D">
          <w:rPr>
            <w:webHidden/>
          </w:rPr>
          <w:instrText xml:space="preserve"> PAGEREF _Toc104938604 \h </w:instrText>
        </w:r>
        <w:r w:rsidR="00CB638D">
          <w:rPr>
            <w:webHidden/>
          </w:rPr>
        </w:r>
        <w:r w:rsidR="00CB638D">
          <w:rPr>
            <w:webHidden/>
          </w:rPr>
          <w:fldChar w:fldCharType="separate"/>
        </w:r>
        <w:r w:rsidR="00CB638D">
          <w:rPr>
            <w:webHidden/>
          </w:rPr>
          <w:t>10</w:t>
        </w:r>
        <w:r w:rsidR="00CB638D">
          <w:rPr>
            <w:webHidden/>
          </w:rPr>
          <w:fldChar w:fldCharType="end"/>
        </w:r>
      </w:hyperlink>
    </w:p>
    <w:p w14:paraId="678495B0" w14:textId="23808EA0" w:rsidR="00CB638D" w:rsidRDefault="0051081F">
      <w:pPr>
        <w:pStyle w:val="TOC2"/>
        <w:rPr>
          <w:rFonts w:asciiTheme="minorHAnsi" w:eastAsiaTheme="minorEastAsia" w:hAnsiTheme="minorHAnsi" w:cstheme="minorBidi"/>
          <w:sz w:val="21"/>
          <w:szCs w:val="22"/>
        </w:rPr>
      </w:pPr>
      <w:hyperlink w:anchor="_Toc104938605" w:history="1">
        <w:r w:rsidR="00CB638D" w:rsidRPr="00876407">
          <w:rPr>
            <w:rStyle w:val="ad"/>
          </w:rPr>
          <w:t xml:space="preserve">3.2 </w:t>
        </w:r>
        <w:r w:rsidR="00CB638D" w:rsidRPr="00876407">
          <w:rPr>
            <w:rStyle w:val="ad"/>
          </w:rPr>
          <w:t>样本选取</w:t>
        </w:r>
        <w:r w:rsidR="00CB638D">
          <w:rPr>
            <w:webHidden/>
          </w:rPr>
          <w:tab/>
        </w:r>
        <w:r w:rsidR="00CB638D">
          <w:rPr>
            <w:webHidden/>
          </w:rPr>
          <w:fldChar w:fldCharType="begin"/>
        </w:r>
        <w:r w:rsidR="00CB638D">
          <w:rPr>
            <w:webHidden/>
          </w:rPr>
          <w:instrText xml:space="preserve"> PAGEREF _Toc104938605 \h </w:instrText>
        </w:r>
        <w:r w:rsidR="00CB638D">
          <w:rPr>
            <w:webHidden/>
          </w:rPr>
        </w:r>
        <w:r w:rsidR="00CB638D">
          <w:rPr>
            <w:webHidden/>
          </w:rPr>
          <w:fldChar w:fldCharType="separate"/>
        </w:r>
        <w:r w:rsidR="00CB638D">
          <w:rPr>
            <w:webHidden/>
          </w:rPr>
          <w:t>12</w:t>
        </w:r>
        <w:r w:rsidR="00CB638D">
          <w:rPr>
            <w:webHidden/>
          </w:rPr>
          <w:fldChar w:fldCharType="end"/>
        </w:r>
      </w:hyperlink>
    </w:p>
    <w:p w14:paraId="646F6890" w14:textId="3F2D9313" w:rsidR="00CB638D" w:rsidRDefault="0051081F">
      <w:pPr>
        <w:pStyle w:val="TOC2"/>
        <w:rPr>
          <w:rFonts w:asciiTheme="minorHAnsi" w:eastAsiaTheme="minorEastAsia" w:hAnsiTheme="minorHAnsi" w:cstheme="minorBidi"/>
          <w:sz w:val="21"/>
          <w:szCs w:val="22"/>
        </w:rPr>
      </w:pPr>
      <w:hyperlink w:anchor="_Toc104938606" w:history="1">
        <w:r w:rsidR="00CB638D" w:rsidRPr="00876407">
          <w:rPr>
            <w:rStyle w:val="ad"/>
          </w:rPr>
          <w:t xml:space="preserve">3.3 </w:t>
        </w:r>
        <w:r w:rsidR="00CB638D" w:rsidRPr="00876407">
          <w:rPr>
            <w:rStyle w:val="ad"/>
          </w:rPr>
          <w:t>变量设计</w:t>
        </w:r>
        <w:r w:rsidR="00CB638D">
          <w:rPr>
            <w:webHidden/>
          </w:rPr>
          <w:tab/>
        </w:r>
        <w:r w:rsidR="00CB638D">
          <w:rPr>
            <w:webHidden/>
          </w:rPr>
          <w:fldChar w:fldCharType="begin"/>
        </w:r>
        <w:r w:rsidR="00CB638D">
          <w:rPr>
            <w:webHidden/>
          </w:rPr>
          <w:instrText xml:space="preserve"> PAGEREF _Toc104938606 \h </w:instrText>
        </w:r>
        <w:r w:rsidR="00CB638D">
          <w:rPr>
            <w:webHidden/>
          </w:rPr>
        </w:r>
        <w:r w:rsidR="00CB638D">
          <w:rPr>
            <w:webHidden/>
          </w:rPr>
          <w:fldChar w:fldCharType="separate"/>
        </w:r>
        <w:r w:rsidR="00CB638D">
          <w:rPr>
            <w:webHidden/>
          </w:rPr>
          <w:t>12</w:t>
        </w:r>
        <w:r w:rsidR="00CB638D">
          <w:rPr>
            <w:webHidden/>
          </w:rPr>
          <w:fldChar w:fldCharType="end"/>
        </w:r>
      </w:hyperlink>
    </w:p>
    <w:p w14:paraId="210B3E2C" w14:textId="342EC94C" w:rsidR="00CB638D" w:rsidRDefault="0051081F">
      <w:pPr>
        <w:pStyle w:val="TOC2"/>
        <w:rPr>
          <w:rFonts w:asciiTheme="minorHAnsi" w:eastAsiaTheme="minorEastAsia" w:hAnsiTheme="minorHAnsi" w:cstheme="minorBidi"/>
          <w:sz w:val="21"/>
          <w:szCs w:val="22"/>
        </w:rPr>
      </w:pPr>
      <w:hyperlink w:anchor="_Toc104938607" w:history="1">
        <w:r w:rsidR="00CB638D" w:rsidRPr="00876407">
          <w:rPr>
            <w:rStyle w:val="ad"/>
          </w:rPr>
          <w:t xml:space="preserve">3.4 </w:t>
        </w:r>
        <w:r w:rsidR="00CB638D" w:rsidRPr="00876407">
          <w:rPr>
            <w:rStyle w:val="ad"/>
          </w:rPr>
          <w:t>研究模型构建</w:t>
        </w:r>
        <w:r w:rsidR="00CB638D">
          <w:rPr>
            <w:webHidden/>
          </w:rPr>
          <w:tab/>
        </w:r>
        <w:r w:rsidR="00CB638D">
          <w:rPr>
            <w:webHidden/>
          </w:rPr>
          <w:fldChar w:fldCharType="begin"/>
        </w:r>
        <w:r w:rsidR="00CB638D">
          <w:rPr>
            <w:webHidden/>
          </w:rPr>
          <w:instrText xml:space="preserve"> PAGEREF _Toc104938607 \h </w:instrText>
        </w:r>
        <w:r w:rsidR="00CB638D">
          <w:rPr>
            <w:webHidden/>
          </w:rPr>
        </w:r>
        <w:r w:rsidR="00CB638D">
          <w:rPr>
            <w:webHidden/>
          </w:rPr>
          <w:fldChar w:fldCharType="separate"/>
        </w:r>
        <w:r w:rsidR="00CB638D">
          <w:rPr>
            <w:webHidden/>
          </w:rPr>
          <w:t>15</w:t>
        </w:r>
        <w:r w:rsidR="00CB638D">
          <w:rPr>
            <w:webHidden/>
          </w:rPr>
          <w:fldChar w:fldCharType="end"/>
        </w:r>
      </w:hyperlink>
    </w:p>
    <w:p w14:paraId="475CDA00" w14:textId="361E499B" w:rsidR="00CB638D" w:rsidRDefault="0051081F">
      <w:pPr>
        <w:pStyle w:val="TOC1"/>
        <w:rPr>
          <w:rFonts w:asciiTheme="minorHAnsi" w:eastAsiaTheme="minorEastAsia" w:hAnsiTheme="minorHAnsi" w:cstheme="minorBidi"/>
          <w:b w:val="0"/>
          <w:bCs w:val="0"/>
          <w:sz w:val="21"/>
          <w:szCs w:val="22"/>
        </w:rPr>
      </w:pPr>
      <w:hyperlink w:anchor="_Toc104938608" w:history="1">
        <w:r w:rsidR="00CB638D" w:rsidRPr="00876407">
          <w:rPr>
            <w:rStyle w:val="ad"/>
            <w:rFonts w:cs="宋体"/>
          </w:rPr>
          <w:t>4</w:t>
        </w:r>
        <w:r w:rsidR="00CB638D" w:rsidRPr="00876407">
          <w:rPr>
            <w:rStyle w:val="ad"/>
          </w:rPr>
          <w:t xml:space="preserve"> </w:t>
        </w:r>
        <w:r w:rsidR="00CB638D" w:rsidRPr="00876407">
          <w:rPr>
            <w:rStyle w:val="ad"/>
          </w:rPr>
          <w:t>实证研究和结果分析</w:t>
        </w:r>
        <w:r w:rsidR="00CB638D">
          <w:rPr>
            <w:webHidden/>
          </w:rPr>
          <w:tab/>
        </w:r>
        <w:r w:rsidR="00CB638D">
          <w:rPr>
            <w:webHidden/>
          </w:rPr>
          <w:fldChar w:fldCharType="begin"/>
        </w:r>
        <w:r w:rsidR="00CB638D">
          <w:rPr>
            <w:webHidden/>
          </w:rPr>
          <w:instrText xml:space="preserve"> PAGEREF _Toc104938608 \h </w:instrText>
        </w:r>
        <w:r w:rsidR="00CB638D">
          <w:rPr>
            <w:webHidden/>
          </w:rPr>
        </w:r>
        <w:r w:rsidR="00CB638D">
          <w:rPr>
            <w:webHidden/>
          </w:rPr>
          <w:fldChar w:fldCharType="separate"/>
        </w:r>
        <w:r w:rsidR="00CB638D">
          <w:rPr>
            <w:webHidden/>
          </w:rPr>
          <w:t>17</w:t>
        </w:r>
        <w:r w:rsidR="00CB638D">
          <w:rPr>
            <w:webHidden/>
          </w:rPr>
          <w:fldChar w:fldCharType="end"/>
        </w:r>
      </w:hyperlink>
    </w:p>
    <w:p w14:paraId="50241ECC" w14:textId="1F0964F5" w:rsidR="00CB638D" w:rsidRDefault="0051081F">
      <w:pPr>
        <w:pStyle w:val="TOC2"/>
        <w:rPr>
          <w:rFonts w:asciiTheme="minorHAnsi" w:eastAsiaTheme="minorEastAsia" w:hAnsiTheme="minorHAnsi" w:cstheme="minorBidi"/>
          <w:sz w:val="21"/>
          <w:szCs w:val="22"/>
        </w:rPr>
      </w:pPr>
      <w:hyperlink w:anchor="_Toc104938609" w:history="1">
        <w:r w:rsidR="00CB638D" w:rsidRPr="00876407">
          <w:rPr>
            <w:rStyle w:val="ad"/>
          </w:rPr>
          <w:t xml:space="preserve">4.1 </w:t>
        </w:r>
        <w:r w:rsidR="00CB638D" w:rsidRPr="00876407">
          <w:rPr>
            <w:rStyle w:val="ad"/>
          </w:rPr>
          <w:t>描述性统计</w:t>
        </w:r>
        <w:r w:rsidR="00CB638D">
          <w:rPr>
            <w:webHidden/>
          </w:rPr>
          <w:tab/>
        </w:r>
        <w:r w:rsidR="00CB638D">
          <w:rPr>
            <w:webHidden/>
          </w:rPr>
          <w:fldChar w:fldCharType="begin"/>
        </w:r>
        <w:r w:rsidR="00CB638D">
          <w:rPr>
            <w:webHidden/>
          </w:rPr>
          <w:instrText xml:space="preserve"> PAGEREF _Toc104938609 \h </w:instrText>
        </w:r>
        <w:r w:rsidR="00CB638D">
          <w:rPr>
            <w:webHidden/>
          </w:rPr>
        </w:r>
        <w:r w:rsidR="00CB638D">
          <w:rPr>
            <w:webHidden/>
          </w:rPr>
          <w:fldChar w:fldCharType="separate"/>
        </w:r>
        <w:r w:rsidR="00CB638D">
          <w:rPr>
            <w:webHidden/>
          </w:rPr>
          <w:t>17</w:t>
        </w:r>
        <w:r w:rsidR="00CB638D">
          <w:rPr>
            <w:webHidden/>
          </w:rPr>
          <w:fldChar w:fldCharType="end"/>
        </w:r>
      </w:hyperlink>
    </w:p>
    <w:p w14:paraId="14BE4810" w14:textId="54A466CA" w:rsidR="00CB638D" w:rsidRDefault="0051081F">
      <w:pPr>
        <w:pStyle w:val="TOC2"/>
        <w:rPr>
          <w:rFonts w:asciiTheme="minorHAnsi" w:eastAsiaTheme="minorEastAsia" w:hAnsiTheme="minorHAnsi" w:cstheme="minorBidi"/>
          <w:sz w:val="21"/>
          <w:szCs w:val="22"/>
        </w:rPr>
      </w:pPr>
      <w:hyperlink w:anchor="_Toc104938610" w:history="1">
        <w:r w:rsidR="00CB638D" w:rsidRPr="00876407">
          <w:rPr>
            <w:rStyle w:val="ad"/>
          </w:rPr>
          <w:t xml:space="preserve">4.2 </w:t>
        </w:r>
        <w:r w:rsidR="00CB638D" w:rsidRPr="00876407">
          <w:rPr>
            <w:rStyle w:val="ad"/>
          </w:rPr>
          <w:t>相关性分析</w:t>
        </w:r>
        <w:r w:rsidR="00CB638D">
          <w:rPr>
            <w:webHidden/>
          </w:rPr>
          <w:tab/>
        </w:r>
        <w:r w:rsidR="00CB638D">
          <w:rPr>
            <w:webHidden/>
          </w:rPr>
          <w:fldChar w:fldCharType="begin"/>
        </w:r>
        <w:r w:rsidR="00CB638D">
          <w:rPr>
            <w:webHidden/>
          </w:rPr>
          <w:instrText xml:space="preserve"> PAGEREF _Toc104938610 \h </w:instrText>
        </w:r>
        <w:r w:rsidR="00CB638D">
          <w:rPr>
            <w:webHidden/>
          </w:rPr>
        </w:r>
        <w:r w:rsidR="00CB638D">
          <w:rPr>
            <w:webHidden/>
          </w:rPr>
          <w:fldChar w:fldCharType="separate"/>
        </w:r>
        <w:r w:rsidR="00CB638D">
          <w:rPr>
            <w:webHidden/>
          </w:rPr>
          <w:t>18</w:t>
        </w:r>
        <w:r w:rsidR="00CB638D">
          <w:rPr>
            <w:webHidden/>
          </w:rPr>
          <w:fldChar w:fldCharType="end"/>
        </w:r>
      </w:hyperlink>
    </w:p>
    <w:p w14:paraId="62DF3A05" w14:textId="252C468B" w:rsidR="00CB638D" w:rsidRDefault="0051081F">
      <w:pPr>
        <w:pStyle w:val="TOC2"/>
        <w:rPr>
          <w:rFonts w:asciiTheme="minorHAnsi" w:eastAsiaTheme="minorEastAsia" w:hAnsiTheme="minorHAnsi" w:cstheme="minorBidi"/>
          <w:sz w:val="21"/>
          <w:szCs w:val="22"/>
        </w:rPr>
      </w:pPr>
      <w:hyperlink w:anchor="_Toc104938611" w:history="1">
        <w:r w:rsidR="00CB638D" w:rsidRPr="00876407">
          <w:rPr>
            <w:rStyle w:val="ad"/>
          </w:rPr>
          <w:t xml:space="preserve">4.3 </w:t>
        </w:r>
        <w:r w:rsidR="00CB638D" w:rsidRPr="00876407">
          <w:rPr>
            <w:rStyle w:val="ad"/>
          </w:rPr>
          <w:t>回归分析</w:t>
        </w:r>
        <w:r w:rsidR="00CB638D">
          <w:rPr>
            <w:webHidden/>
          </w:rPr>
          <w:tab/>
        </w:r>
        <w:r w:rsidR="00CB638D">
          <w:rPr>
            <w:webHidden/>
          </w:rPr>
          <w:fldChar w:fldCharType="begin"/>
        </w:r>
        <w:r w:rsidR="00CB638D">
          <w:rPr>
            <w:webHidden/>
          </w:rPr>
          <w:instrText xml:space="preserve"> PAGEREF _Toc104938611 \h </w:instrText>
        </w:r>
        <w:r w:rsidR="00CB638D">
          <w:rPr>
            <w:webHidden/>
          </w:rPr>
        </w:r>
        <w:r w:rsidR="00CB638D">
          <w:rPr>
            <w:webHidden/>
          </w:rPr>
          <w:fldChar w:fldCharType="separate"/>
        </w:r>
        <w:r w:rsidR="00CB638D">
          <w:rPr>
            <w:webHidden/>
          </w:rPr>
          <w:t>20</w:t>
        </w:r>
        <w:r w:rsidR="00CB638D">
          <w:rPr>
            <w:webHidden/>
          </w:rPr>
          <w:fldChar w:fldCharType="end"/>
        </w:r>
      </w:hyperlink>
    </w:p>
    <w:p w14:paraId="28C1B21A" w14:textId="633925EB" w:rsidR="00CB638D" w:rsidRDefault="0051081F">
      <w:pPr>
        <w:pStyle w:val="TOC2"/>
        <w:rPr>
          <w:rFonts w:asciiTheme="minorHAnsi" w:eastAsiaTheme="minorEastAsia" w:hAnsiTheme="minorHAnsi" w:cstheme="minorBidi"/>
          <w:sz w:val="21"/>
          <w:szCs w:val="22"/>
        </w:rPr>
      </w:pPr>
      <w:hyperlink w:anchor="_Toc104938612" w:history="1">
        <w:r w:rsidR="00CB638D" w:rsidRPr="00876407">
          <w:rPr>
            <w:rStyle w:val="ad"/>
          </w:rPr>
          <w:t xml:space="preserve">4.4 </w:t>
        </w:r>
        <w:r w:rsidR="00CB638D" w:rsidRPr="00876407">
          <w:rPr>
            <w:rStyle w:val="ad"/>
          </w:rPr>
          <w:t>实证研究小结</w:t>
        </w:r>
        <w:r w:rsidR="00CB638D">
          <w:rPr>
            <w:webHidden/>
          </w:rPr>
          <w:tab/>
        </w:r>
        <w:r w:rsidR="00CB638D">
          <w:rPr>
            <w:webHidden/>
          </w:rPr>
          <w:fldChar w:fldCharType="begin"/>
        </w:r>
        <w:r w:rsidR="00CB638D">
          <w:rPr>
            <w:webHidden/>
          </w:rPr>
          <w:instrText xml:space="preserve"> PAGEREF _Toc104938612 \h </w:instrText>
        </w:r>
        <w:r w:rsidR="00CB638D">
          <w:rPr>
            <w:webHidden/>
          </w:rPr>
        </w:r>
        <w:r w:rsidR="00CB638D">
          <w:rPr>
            <w:webHidden/>
          </w:rPr>
          <w:fldChar w:fldCharType="separate"/>
        </w:r>
        <w:r w:rsidR="00CB638D">
          <w:rPr>
            <w:webHidden/>
          </w:rPr>
          <w:t>26</w:t>
        </w:r>
        <w:r w:rsidR="00CB638D">
          <w:rPr>
            <w:webHidden/>
          </w:rPr>
          <w:fldChar w:fldCharType="end"/>
        </w:r>
      </w:hyperlink>
    </w:p>
    <w:p w14:paraId="29DA5295" w14:textId="01B7FA8C" w:rsidR="00CB638D" w:rsidRDefault="0051081F">
      <w:pPr>
        <w:pStyle w:val="TOC1"/>
        <w:rPr>
          <w:rFonts w:asciiTheme="minorHAnsi" w:eastAsiaTheme="minorEastAsia" w:hAnsiTheme="minorHAnsi" w:cstheme="minorBidi"/>
          <w:b w:val="0"/>
          <w:bCs w:val="0"/>
          <w:sz w:val="21"/>
          <w:szCs w:val="22"/>
        </w:rPr>
      </w:pPr>
      <w:hyperlink w:anchor="_Toc104938613" w:history="1">
        <w:r w:rsidR="00CB638D" w:rsidRPr="00876407">
          <w:rPr>
            <w:rStyle w:val="ad"/>
            <w:rFonts w:cs="宋体"/>
          </w:rPr>
          <w:t>5</w:t>
        </w:r>
        <w:r w:rsidR="00CB638D" w:rsidRPr="00876407">
          <w:rPr>
            <w:rStyle w:val="ad"/>
          </w:rPr>
          <w:t xml:space="preserve"> </w:t>
        </w:r>
        <w:r w:rsidR="00CB638D" w:rsidRPr="00876407">
          <w:rPr>
            <w:rStyle w:val="ad"/>
          </w:rPr>
          <w:t>研究总结</w:t>
        </w:r>
        <w:r w:rsidR="00CB638D">
          <w:rPr>
            <w:webHidden/>
          </w:rPr>
          <w:tab/>
        </w:r>
        <w:r w:rsidR="00CB638D">
          <w:rPr>
            <w:webHidden/>
          </w:rPr>
          <w:fldChar w:fldCharType="begin"/>
        </w:r>
        <w:r w:rsidR="00CB638D">
          <w:rPr>
            <w:webHidden/>
          </w:rPr>
          <w:instrText xml:space="preserve"> PAGEREF _Toc104938613 \h </w:instrText>
        </w:r>
        <w:r w:rsidR="00CB638D">
          <w:rPr>
            <w:webHidden/>
          </w:rPr>
        </w:r>
        <w:r w:rsidR="00CB638D">
          <w:rPr>
            <w:webHidden/>
          </w:rPr>
          <w:fldChar w:fldCharType="separate"/>
        </w:r>
        <w:r w:rsidR="00CB638D">
          <w:rPr>
            <w:webHidden/>
          </w:rPr>
          <w:t>28</w:t>
        </w:r>
        <w:r w:rsidR="00CB638D">
          <w:rPr>
            <w:webHidden/>
          </w:rPr>
          <w:fldChar w:fldCharType="end"/>
        </w:r>
      </w:hyperlink>
    </w:p>
    <w:p w14:paraId="379EEE61" w14:textId="53DDEC0A" w:rsidR="00CB638D" w:rsidRDefault="0051081F">
      <w:pPr>
        <w:pStyle w:val="TOC2"/>
        <w:rPr>
          <w:rFonts w:asciiTheme="minorHAnsi" w:eastAsiaTheme="minorEastAsia" w:hAnsiTheme="minorHAnsi" w:cstheme="minorBidi"/>
          <w:sz w:val="21"/>
          <w:szCs w:val="22"/>
        </w:rPr>
      </w:pPr>
      <w:hyperlink w:anchor="_Toc104938614" w:history="1">
        <w:r w:rsidR="00CB638D" w:rsidRPr="00876407">
          <w:rPr>
            <w:rStyle w:val="ad"/>
          </w:rPr>
          <w:t xml:space="preserve">5.1 </w:t>
        </w:r>
        <w:r w:rsidR="00CB638D" w:rsidRPr="00876407">
          <w:rPr>
            <w:rStyle w:val="ad"/>
          </w:rPr>
          <w:t>研究结论</w:t>
        </w:r>
        <w:r w:rsidR="00CB638D">
          <w:rPr>
            <w:webHidden/>
          </w:rPr>
          <w:tab/>
        </w:r>
        <w:r w:rsidR="00CB638D">
          <w:rPr>
            <w:webHidden/>
          </w:rPr>
          <w:fldChar w:fldCharType="begin"/>
        </w:r>
        <w:r w:rsidR="00CB638D">
          <w:rPr>
            <w:webHidden/>
          </w:rPr>
          <w:instrText xml:space="preserve"> PAGEREF _Toc104938614 \h </w:instrText>
        </w:r>
        <w:r w:rsidR="00CB638D">
          <w:rPr>
            <w:webHidden/>
          </w:rPr>
        </w:r>
        <w:r w:rsidR="00CB638D">
          <w:rPr>
            <w:webHidden/>
          </w:rPr>
          <w:fldChar w:fldCharType="separate"/>
        </w:r>
        <w:r w:rsidR="00CB638D">
          <w:rPr>
            <w:webHidden/>
          </w:rPr>
          <w:t>28</w:t>
        </w:r>
        <w:r w:rsidR="00CB638D">
          <w:rPr>
            <w:webHidden/>
          </w:rPr>
          <w:fldChar w:fldCharType="end"/>
        </w:r>
      </w:hyperlink>
    </w:p>
    <w:p w14:paraId="672BC751" w14:textId="000613D2" w:rsidR="00CB638D" w:rsidRDefault="0051081F">
      <w:pPr>
        <w:pStyle w:val="TOC2"/>
        <w:rPr>
          <w:rFonts w:asciiTheme="minorHAnsi" w:eastAsiaTheme="minorEastAsia" w:hAnsiTheme="minorHAnsi" w:cstheme="minorBidi"/>
          <w:sz w:val="21"/>
          <w:szCs w:val="22"/>
        </w:rPr>
      </w:pPr>
      <w:hyperlink w:anchor="_Toc104938615" w:history="1">
        <w:r w:rsidR="00CB638D" w:rsidRPr="00876407">
          <w:rPr>
            <w:rStyle w:val="ad"/>
          </w:rPr>
          <w:t xml:space="preserve">5.2 </w:t>
        </w:r>
        <w:r w:rsidR="00CB638D" w:rsidRPr="00876407">
          <w:rPr>
            <w:rStyle w:val="ad"/>
          </w:rPr>
          <w:t>总结</w:t>
        </w:r>
        <w:r w:rsidR="00CB638D">
          <w:rPr>
            <w:webHidden/>
          </w:rPr>
          <w:tab/>
        </w:r>
        <w:r w:rsidR="00CB638D">
          <w:rPr>
            <w:webHidden/>
          </w:rPr>
          <w:fldChar w:fldCharType="begin"/>
        </w:r>
        <w:r w:rsidR="00CB638D">
          <w:rPr>
            <w:webHidden/>
          </w:rPr>
          <w:instrText xml:space="preserve"> PAGEREF _Toc104938615 \h </w:instrText>
        </w:r>
        <w:r w:rsidR="00CB638D">
          <w:rPr>
            <w:webHidden/>
          </w:rPr>
        </w:r>
        <w:r w:rsidR="00CB638D">
          <w:rPr>
            <w:webHidden/>
          </w:rPr>
          <w:fldChar w:fldCharType="separate"/>
        </w:r>
        <w:r w:rsidR="00CB638D">
          <w:rPr>
            <w:webHidden/>
          </w:rPr>
          <w:t>29</w:t>
        </w:r>
        <w:r w:rsidR="00CB638D">
          <w:rPr>
            <w:webHidden/>
          </w:rPr>
          <w:fldChar w:fldCharType="end"/>
        </w:r>
      </w:hyperlink>
    </w:p>
    <w:p w14:paraId="158A6497" w14:textId="67E730AC" w:rsidR="00CB638D" w:rsidRDefault="0051081F">
      <w:pPr>
        <w:pStyle w:val="TOC1"/>
        <w:rPr>
          <w:rFonts w:asciiTheme="minorHAnsi" w:eastAsiaTheme="minorEastAsia" w:hAnsiTheme="minorHAnsi" w:cstheme="minorBidi"/>
          <w:b w:val="0"/>
          <w:bCs w:val="0"/>
          <w:sz w:val="21"/>
          <w:szCs w:val="22"/>
        </w:rPr>
      </w:pPr>
      <w:hyperlink w:anchor="_Toc104938616" w:history="1">
        <w:r w:rsidR="00CB638D" w:rsidRPr="00876407">
          <w:rPr>
            <w:rStyle w:val="ad"/>
          </w:rPr>
          <w:t>致谢</w:t>
        </w:r>
        <w:r w:rsidR="00CB638D">
          <w:rPr>
            <w:webHidden/>
          </w:rPr>
          <w:tab/>
        </w:r>
        <w:r w:rsidR="00CB638D">
          <w:rPr>
            <w:webHidden/>
          </w:rPr>
          <w:fldChar w:fldCharType="begin"/>
        </w:r>
        <w:r w:rsidR="00CB638D">
          <w:rPr>
            <w:webHidden/>
          </w:rPr>
          <w:instrText xml:space="preserve"> PAGEREF _Toc104938616 \h </w:instrText>
        </w:r>
        <w:r w:rsidR="00CB638D">
          <w:rPr>
            <w:webHidden/>
          </w:rPr>
        </w:r>
        <w:r w:rsidR="00CB638D">
          <w:rPr>
            <w:webHidden/>
          </w:rPr>
          <w:fldChar w:fldCharType="separate"/>
        </w:r>
        <w:r w:rsidR="00CB638D">
          <w:rPr>
            <w:webHidden/>
          </w:rPr>
          <w:t>29</w:t>
        </w:r>
        <w:r w:rsidR="00CB638D">
          <w:rPr>
            <w:webHidden/>
          </w:rPr>
          <w:fldChar w:fldCharType="end"/>
        </w:r>
      </w:hyperlink>
    </w:p>
    <w:p w14:paraId="7941B97D" w14:textId="0DBFCC1F" w:rsidR="00CB638D" w:rsidRDefault="0051081F">
      <w:pPr>
        <w:pStyle w:val="TOC1"/>
        <w:rPr>
          <w:rFonts w:asciiTheme="minorHAnsi" w:eastAsiaTheme="minorEastAsia" w:hAnsiTheme="minorHAnsi" w:cstheme="minorBidi"/>
          <w:b w:val="0"/>
          <w:bCs w:val="0"/>
          <w:sz w:val="21"/>
          <w:szCs w:val="22"/>
        </w:rPr>
      </w:pPr>
      <w:hyperlink w:anchor="_Toc104938617" w:history="1">
        <w:r w:rsidR="00CB638D" w:rsidRPr="00876407">
          <w:rPr>
            <w:rStyle w:val="ad"/>
          </w:rPr>
          <w:t>参考文献</w:t>
        </w:r>
        <w:r w:rsidR="00CB638D">
          <w:rPr>
            <w:webHidden/>
          </w:rPr>
          <w:tab/>
        </w:r>
        <w:r w:rsidR="00CB638D">
          <w:rPr>
            <w:webHidden/>
          </w:rPr>
          <w:fldChar w:fldCharType="begin"/>
        </w:r>
        <w:r w:rsidR="00CB638D">
          <w:rPr>
            <w:webHidden/>
          </w:rPr>
          <w:instrText xml:space="preserve"> PAGEREF _Toc104938617 \h </w:instrText>
        </w:r>
        <w:r w:rsidR="00CB638D">
          <w:rPr>
            <w:webHidden/>
          </w:rPr>
        </w:r>
        <w:r w:rsidR="00CB638D">
          <w:rPr>
            <w:webHidden/>
          </w:rPr>
          <w:fldChar w:fldCharType="separate"/>
        </w:r>
        <w:r w:rsidR="00CB638D">
          <w:rPr>
            <w:webHidden/>
          </w:rPr>
          <w:t>30</w:t>
        </w:r>
        <w:r w:rsidR="00CB638D">
          <w:rPr>
            <w:webHidden/>
          </w:rPr>
          <w:fldChar w:fldCharType="end"/>
        </w:r>
      </w:hyperlink>
    </w:p>
    <w:p w14:paraId="7C7F318B" w14:textId="6975D8EF" w:rsidR="0080179C" w:rsidRDefault="00964196">
      <w:pPr>
        <w:spacing w:beforeLines="50" w:before="163" w:afterLines="50" w:after="163"/>
        <w:rPr>
          <w:rFonts w:eastAsia="黑体"/>
          <w:b/>
          <w:sz w:val="36"/>
          <w:szCs w:val="36"/>
        </w:rPr>
      </w:pPr>
      <w:r>
        <w:rPr>
          <w:rFonts w:eastAsia="黑体"/>
          <w:b/>
          <w:sz w:val="36"/>
          <w:szCs w:val="36"/>
        </w:rPr>
        <w:fldChar w:fldCharType="end"/>
      </w:r>
    </w:p>
    <w:p w14:paraId="369C8CDF" w14:textId="77777777" w:rsidR="0080179C" w:rsidRDefault="0080179C">
      <w:pPr>
        <w:spacing w:beforeLines="50" w:before="163" w:afterLines="50" w:after="163"/>
        <w:rPr>
          <w:rFonts w:eastAsia="黑体"/>
          <w:b/>
          <w:sz w:val="36"/>
          <w:szCs w:val="36"/>
        </w:rPr>
        <w:sectPr w:rsidR="0080179C" w:rsidSect="00393A30">
          <w:footerReference w:type="default" r:id="rId13"/>
          <w:type w:val="continuous"/>
          <w:pgSz w:w="11906" w:h="16838"/>
          <w:pgMar w:top="1418" w:right="1701" w:bottom="1134" w:left="1701" w:header="851" w:footer="0" w:gutter="0"/>
          <w:pgNumType w:fmt="upperRoman" w:start="1"/>
          <w:cols w:space="720"/>
          <w:docGrid w:type="lines" w:linePitch="326"/>
        </w:sectPr>
      </w:pPr>
    </w:p>
    <w:p w14:paraId="2ED505BA" w14:textId="4D6DE44F" w:rsidR="0080179C" w:rsidRDefault="0080179C" w:rsidP="00466C69">
      <w:pPr>
        <w:pStyle w:val="1"/>
        <w:numPr>
          <w:ilvl w:val="0"/>
          <w:numId w:val="4"/>
        </w:numPr>
        <w:spacing w:before="163" w:after="163"/>
      </w:pPr>
      <w:bookmarkStart w:id="8" w:name="_Toc18771"/>
      <w:bookmarkStart w:id="9" w:name="_Toc6912"/>
      <w:bookmarkStart w:id="10" w:name="_Toc104938596"/>
      <w:r>
        <w:rPr>
          <w:rFonts w:hint="eastAsia"/>
        </w:rPr>
        <w:lastRenderedPageBreak/>
        <w:t>绪论</w:t>
      </w:r>
      <w:bookmarkEnd w:id="8"/>
      <w:bookmarkEnd w:id="9"/>
      <w:bookmarkEnd w:id="10"/>
    </w:p>
    <w:p w14:paraId="3D498BAF" w14:textId="26458B93" w:rsidR="0080179C" w:rsidRDefault="0080179C" w:rsidP="001A35BE">
      <w:pPr>
        <w:pStyle w:val="2"/>
        <w:spacing w:before="163" w:after="163"/>
      </w:pPr>
      <w:bookmarkStart w:id="11" w:name="_Toc5552"/>
      <w:bookmarkStart w:id="12" w:name="_Toc16174"/>
      <w:bookmarkStart w:id="13" w:name="_Toc104938597"/>
      <w:r>
        <w:rPr>
          <w:rFonts w:hint="eastAsia"/>
        </w:rPr>
        <w:t>选题背景</w:t>
      </w:r>
      <w:bookmarkEnd w:id="11"/>
      <w:bookmarkEnd w:id="12"/>
      <w:bookmarkEnd w:id="13"/>
      <w:r>
        <w:rPr>
          <w:rFonts w:hint="eastAsia"/>
        </w:rPr>
        <w:t xml:space="preserve"> </w:t>
      </w:r>
    </w:p>
    <w:p w14:paraId="66BBEC20" w14:textId="4DFD2DDC" w:rsidR="002C1971" w:rsidRDefault="00D61969" w:rsidP="004A6267">
      <w:pPr>
        <w:ind w:firstLine="420"/>
        <w:rPr>
          <w:szCs w:val="22"/>
        </w:rPr>
      </w:pPr>
      <w:r>
        <w:rPr>
          <w:rFonts w:hint="eastAsia"/>
          <w:szCs w:val="22"/>
        </w:rPr>
        <w:t>企业是为实现一定经济目标所创建的组织架构</w:t>
      </w:r>
      <w:r w:rsidR="002C1971" w:rsidRPr="002C1971">
        <w:rPr>
          <w:rFonts w:hint="eastAsia"/>
          <w:szCs w:val="22"/>
        </w:rPr>
        <w:t>，是经济活动的主体和市场运行的活力之源。随着客观形式和经济环境的变化，具备现代化经济特征，满足现代化经济发展需要的公司制日益成为企业的主要组织形式。作为独立法人，公司由股东出资设立，选举董事组成董事会作为最高决策机构。然而由于代理问题（委托人和代理人之间的利益冲突）和信息不对称问题，董事往往对公司的管理鞭长莫及，由此催生了一种新型的董事类型——独立董事。</w:t>
      </w:r>
    </w:p>
    <w:p w14:paraId="0B0FD56C" w14:textId="25BA839E" w:rsidR="002C1971" w:rsidRDefault="002C1971" w:rsidP="004A6267">
      <w:pPr>
        <w:ind w:firstLine="420"/>
        <w:rPr>
          <w:szCs w:val="22"/>
        </w:rPr>
      </w:pPr>
      <w:r w:rsidRPr="002C1971">
        <w:rPr>
          <w:rFonts w:hint="eastAsia"/>
          <w:szCs w:val="22"/>
        </w:rPr>
        <w:t>独立董事与传统董事最大的不同就体现在独立性上。独立董事的独立性体现在工作业务和权利关系两方面。首先，独立董事立于公司股东且不在公司内部任职，即在公司运行架构上相对独立。其次独立董事与公司或公司经营管理者没有重要的业务联系和专业联系并对公司业务做出独立判断，即在公司权利关系上相对独立。正是因为这种工作业务上的剥离与非依附关系，独立董事能够从公司长远发展的角度</w:t>
      </w:r>
      <w:r w:rsidR="00886AC4">
        <w:rPr>
          <w:rFonts w:hint="eastAsia"/>
          <w:szCs w:val="22"/>
        </w:rPr>
        <w:t>促进公司的持续发展</w:t>
      </w:r>
      <w:r w:rsidRPr="002C1971">
        <w:rPr>
          <w:rFonts w:hint="eastAsia"/>
          <w:szCs w:val="22"/>
        </w:rPr>
        <w:t>。而且独立董事往往拥有全面的知识结构和</w:t>
      </w:r>
      <w:r w:rsidR="00886AC4">
        <w:rPr>
          <w:rFonts w:hint="eastAsia"/>
          <w:szCs w:val="22"/>
        </w:rPr>
        <w:t>比较高的综合素质</w:t>
      </w:r>
      <w:r w:rsidRPr="002C1971">
        <w:rPr>
          <w:rFonts w:hint="eastAsia"/>
          <w:szCs w:val="22"/>
        </w:rPr>
        <w:t>，</w:t>
      </w:r>
      <w:r w:rsidR="00886AC4">
        <w:rPr>
          <w:rFonts w:hint="eastAsia"/>
          <w:szCs w:val="22"/>
        </w:rPr>
        <w:t>独立董事制度的</w:t>
      </w:r>
      <w:proofErr w:type="gramStart"/>
      <w:r w:rsidR="00886AC4">
        <w:rPr>
          <w:rFonts w:hint="eastAsia"/>
          <w:szCs w:val="22"/>
        </w:rPr>
        <w:t>鲜明优势</w:t>
      </w:r>
      <w:proofErr w:type="gramEnd"/>
      <w:r w:rsidR="00886AC4">
        <w:rPr>
          <w:rFonts w:hint="eastAsia"/>
          <w:szCs w:val="22"/>
        </w:rPr>
        <w:t>顺应了发展要求</w:t>
      </w:r>
      <w:r w:rsidRPr="002C1971">
        <w:rPr>
          <w:rFonts w:hint="eastAsia"/>
          <w:szCs w:val="22"/>
        </w:rPr>
        <w:t>，其</w:t>
      </w:r>
      <w:r w:rsidR="00886AC4">
        <w:rPr>
          <w:rFonts w:hint="eastAsia"/>
          <w:szCs w:val="22"/>
        </w:rPr>
        <w:t>传播程</w:t>
      </w:r>
      <w:r w:rsidRPr="002C1971">
        <w:rPr>
          <w:rFonts w:hint="eastAsia"/>
          <w:szCs w:val="22"/>
        </w:rPr>
        <w:t>度也有了很大的提升。</w:t>
      </w:r>
    </w:p>
    <w:p w14:paraId="08A231A3" w14:textId="44FA860D" w:rsidR="002C1971" w:rsidRDefault="002C1971" w:rsidP="004A6267">
      <w:pPr>
        <w:ind w:firstLine="420"/>
        <w:rPr>
          <w:szCs w:val="22"/>
        </w:rPr>
      </w:pPr>
      <w:r w:rsidRPr="002C1971">
        <w:rPr>
          <w:rFonts w:hint="eastAsia"/>
          <w:szCs w:val="22"/>
        </w:rPr>
        <w:t>2001</w:t>
      </w:r>
      <w:r w:rsidRPr="002C1971">
        <w:rPr>
          <w:rFonts w:hint="eastAsia"/>
          <w:szCs w:val="22"/>
        </w:rPr>
        <w:t>年</w:t>
      </w:r>
      <w:r w:rsidR="00667DF4">
        <w:rPr>
          <w:rFonts w:hint="eastAsia"/>
          <w:szCs w:val="22"/>
        </w:rPr>
        <w:t>以来，独立董事制度的规范化，制度化，本土化程度随着证监会相关指导意见的发布越来越高</w:t>
      </w:r>
      <w:r w:rsidRPr="002C1971">
        <w:rPr>
          <w:rFonts w:hint="eastAsia"/>
          <w:szCs w:val="22"/>
        </w:rPr>
        <w:t>。</w:t>
      </w:r>
      <w:r w:rsidR="00667DF4">
        <w:rPr>
          <w:rFonts w:hint="eastAsia"/>
          <w:szCs w:val="22"/>
        </w:rPr>
        <w:t>然而</w:t>
      </w:r>
      <w:r w:rsidRPr="002C1971">
        <w:rPr>
          <w:rFonts w:hint="eastAsia"/>
          <w:szCs w:val="22"/>
        </w:rPr>
        <w:t>随着我国经济形势的迅速变化，独立董事制度在实际运行中也产生了许多偏差，这种偏差主要体现在两方面，独立董事“不懂事”和独立董事“不独立</w:t>
      </w:r>
      <w:r w:rsidRPr="002C1971">
        <w:rPr>
          <w:rFonts w:hint="eastAsia"/>
          <w:szCs w:val="22"/>
        </w:rPr>
        <w:t>"</w:t>
      </w:r>
      <w:r w:rsidRPr="002C1971">
        <w:rPr>
          <w:rFonts w:hint="eastAsia"/>
          <w:szCs w:val="22"/>
        </w:rPr>
        <w:t>。我国独立董事制度建立的初衷，是希望通过独立于公司内部组织架构和公司权利关系的独立董事从外部视角深刻剖析公司运行发展的潜在问题，并运用自身的综合素质来将发展道路上的障碍一一清除，这必然要求公司任命的独立董事必须具有完整的知识框架，丰富的知识储备，坚实的理论基础和深厚的实践经验。在实际操作过程中，独立董事制度的任命往往出于公司管理者的自身喜好或被任命者的关系背景，使得公司任命的独立董事沦为中看不中用的</w:t>
      </w:r>
      <w:r w:rsidR="00AA6A70">
        <w:rPr>
          <w:rFonts w:hint="eastAsia"/>
          <w:szCs w:val="22"/>
        </w:rPr>
        <w:t>“</w:t>
      </w:r>
      <w:r w:rsidRPr="002C1971">
        <w:rPr>
          <w:rFonts w:hint="eastAsia"/>
          <w:szCs w:val="22"/>
        </w:rPr>
        <w:t>花瓶董事</w:t>
      </w:r>
      <w:r w:rsidR="00AA6A70">
        <w:rPr>
          <w:rFonts w:hint="eastAsia"/>
          <w:szCs w:val="22"/>
        </w:rPr>
        <w:t>”</w:t>
      </w:r>
      <w:r w:rsidRPr="002C1971">
        <w:rPr>
          <w:rFonts w:hint="eastAsia"/>
          <w:szCs w:val="22"/>
        </w:rPr>
        <w:t>，拥有独立董事的头衔而无法对公司的运行发展提出切实可行的建议。另一方面，在实际的独立董事制度运行过程中，独立董事往往空有独立</w:t>
      </w:r>
      <w:r w:rsidRPr="002C1971">
        <w:rPr>
          <w:rFonts w:hint="eastAsia"/>
          <w:szCs w:val="22"/>
        </w:rPr>
        <w:lastRenderedPageBreak/>
        <w:t>董事的名头，无论是在公司内部组织架构，还是在公司权利关系中都没有真正的独立性，在董事会中很少发表自身意见，即使希望提出发展建议，其智力成果也难以被转化为现实，成为公司架构上的附庸。</w:t>
      </w:r>
    </w:p>
    <w:p w14:paraId="273EA59F" w14:textId="1DC27A97" w:rsidR="0080179C" w:rsidRPr="004A6267" w:rsidRDefault="002C1971" w:rsidP="002B54FF">
      <w:pPr>
        <w:ind w:firstLine="420"/>
        <w:rPr>
          <w:szCs w:val="22"/>
        </w:rPr>
      </w:pPr>
      <w:r w:rsidRPr="002C1971">
        <w:rPr>
          <w:rFonts w:hint="eastAsia"/>
          <w:szCs w:val="22"/>
        </w:rPr>
        <w:t>2021</w:t>
      </w:r>
      <w:r w:rsidRPr="002C1971">
        <w:rPr>
          <w:rFonts w:hint="eastAsia"/>
          <w:szCs w:val="22"/>
        </w:rPr>
        <w:t>年</w:t>
      </w:r>
      <w:r w:rsidRPr="002C1971">
        <w:rPr>
          <w:rFonts w:hint="eastAsia"/>
          <w:szCs w:val="22"/>
        </w:rPr>
        <w:t>11</w:t>
      </w:r>
      <w:r w:rsidRPr="002C1971">
        <w:rPr>
          <w:rFonts w:hint="eastAsia"/>
          <w:szCs w:val="22"/>
        </w:rPr>
        <w:t>月</w:t>
      </w:r>
      <w:r w:rsidRPr="002C1971">
        <w:rPr>
          <w:rFonts w:hint="eastAsia"/>
          <w:szCs w:val="22"/>
        </w:rPr>
        <w:t>12</w:t>
      </w:r>
      <w:r w:rsidRPr="002C1971">
        <w:rPr>
          <w:rFonts w:hint="eastAsia"/>
          <w:szCs w:val="22"/>
        </w:rPr>
        <w:t>日，广州中级人民法院对康美药业证券特别代表人诉讼案做出一审判决，</w:t>
      </w:r>
      <w:r w:rsidR="00874B61">
        <w:rPr>
          <w:rFonts w:hint="eastAsia"/>
          <w:szCs w:val="22"/>
        </w:rPr>
        <w:t>全社会特别是</w:t>
      </w:r>
      <w:r w:rsidR="00874B61">
        <w:rPr>
          <w:rFonts w:hint="eastAsia"/>
          <w:szCs w:val="22"/>
        </w:rPr>
        <w:t>A</w:t>
      </w:r>
      <w:r w:rsidR="00874B61">
        <w:rPr>
          <w:rFonts w:hint="eastAsia"/>
          <w:szCs w:val="22"/>
        </w:rPr>
        <w:t>股市场</w:t>
      </w:r>
      <w:r w:rsidR="00556AA4">
        <w:rPr>
          <w:rFonts w:hint="eastAsia"/>
          <w:szCs w:val="22"/>
        </w:rPr>
        <w:t>对此产生重大反应</w:t>
      </w:r>
      <w:r w:rsidRPr="002C1971">
        <w:rPr>
          <w:rFonts w:hint="eastAsia"/>
          <w:szCs w:val="22"/>
        </w:rPr>
        <w:t>。</w:t>
      </w:r>
      <w:r w:rsidR="00556AA4">
        <w:rPr>
          <w:rFonts w:hint="eastAsia"/>
          <w:szCs w:val="22"/>
        </w:rPr>
        <w:t>其中，尤其是对相应五名独立董事分别赔偿</w:t>
      </w:r>
      <w:r w:rsidR="00556AA4">
        <w:rPr>
          <w:rFonts w:hint="eastAsia"/>
          <w:szCs w:val="22"/>
        </w:rPr>
        <w:t>5</w:t>
      </w:r>
      <w:r w:rsidR="00556AA4">
        <w:rPr>
          <w:szCs w:val="22"/>
        </w:rPr>
        <w:t>%</w:t>
      </w:r>
      <w:r w:rsidR="00556AA4">
        <w:rPr>
          <w:rFonts w:hint="eastAsia"/>
          <w:szCs w:val="22"/>
        </w:rPr>
        <w:t>以及</w:t>
      </w:r>
      <w:r w:rsidR="00556AA4">
        <w:rPr>
          <w:rFonts w:hint="eastAsia"/>
          <w:szCs w:val="22"/>
        </w:rPr>
        <w:t>1</w:t>
      </w:r>
      <w:r w:rsidR="00556AA4">
        <w:rPr>
          <w:szCs w:val="22"/>
        </w:rPr>
        <w:t>0%</w:t>
      </w:r>
      <w:r w:rsidR="00556AA4">
        <w:rPr>
          <w:rFonts w:hint="eastAsia"/>
          <w:szCs w:val="22"/>
        </w:rPr>
        <w:t>连带责任，支付</w:t>
      </w:r>
      <w:r w:rsidR="00556AA4">
        <w:rPr>
          <w:rFonts w:hint="eastAsia"/>
          <w:szCs w:val="22"/>
        </w:rPr>
        <w:t>1</w:t>
      </w:r>
      <w:r w:rsidR="00556AA4">
        <w:rPr>
          <w:szCs w:val="22"/>
        </w:rPr>
        <w:t>.23</w:t>
      </w:r>
      <w:r w:rsidR="00556AA4">
        <w:rPr>
          <w:rFonts w:hint="eastAsia"/>
          <w:szCs w:val="22"/>
        </w:rPr>
        <w:t>或</w:t>
      </w:r>
      <w:r w:rsidR="00556AA4">
        <w:rPr>
          <w:rFonts w:hint="eastAsia"/>
          <w:szCs w:val="22"/>
        </w:rPr>
        <w:t>2</w:t>
      </w:r>
      <w:r w:rsidR="002E590B">
        <w:rPr>
          <w:szCs w:val="22"/>
        </w:rPr>
        <w:t>.</w:t>
      </w:r>
      <w:r w:rsidR="00556AA4">
        <w:rPr>
          <w:szCs w:val="22"/>
        </w:rPr>
        <w:t>46</w:t>
      </w:r>
      <w:r w:rsidR="00556AA4">
        <w:rPr>
          <w:rFonts w:hint="eastAsia"/>
          <w:szCs w:val="22"/>
        </w:rPr>
        <w:t>亿</w:t>
      </w:r>
      <w:r w:rsidR="002E590B">
        <w:rPr>
          <w:rFonts w:hint="eastAsia"/>
          <w:szCs w:val="22"/>
        </w:rPr>
        <w:t>赔偿金和罚款的严厉惩罚</w:t>
      </w:r>
      <w:r w:rsidR="00556AA4">
        <w:rPr>
          <w:rFonts w:hint="eastAsia"/>
          <w:szCs w:val="22"/>
        </w:rPr>
        <w:t>，</w:t>
      </w:r>
      <w:r w:rsidRPr="002C1971">
        <w:rPr>
          <w:rFonts w:hint="eastAsia"/>
          <w:szCs w:val="22"/>
        </w:rPr>
        <w:t>获得了社会各界的广泛关注。事件发生之后，</w:t>
      </w:r>
      <w:r w:rsidR="00527F70">
        <w:rPr>
          <w:rFonts w:hint="eastAsia"/>
          <w:szCs w:val="22"/>
        </w:rPr>
        <w:t>独立董事辞职的消息如雨后春笋一般，在短短一周内就出现了</w:t>
      </w:r>
      <w:r w:rsidR="00527F70">
        <w:rPr>
          <w:rFonts w:hint="eastAsia"/>
          <w:szCs w:val="22"/>
        </w:rPr>
        <w:t>2</w:t>
      </w:r>
      <w:r w:rsidR="00527F70">
        <w:rPr>
          <w:szCs w:val="22"/>
        </w:rPr>
        <w:t>0</w:t>
      </w:r>
      <w:r w:rsidR="00527F70">
        <w:rPr>
          <w:rFonts w:hint="eastAsia"/>
          <w:szCs w:val="22"/>
        </w:rPr>
        <w:t>多家</w:t>
      </w:r>
      <w:r w:rsidR="00527F70">
        <w:rPr>
          <w:szCs w:val="22"/>
        </w:rPr>
        <w:t>A</w:t>
      </w:r>
      <w:r w:rsidR="00527F70">
        <w:rPr>
          <w:rFonts w:hint="eastAsia"/>
          <w:szCs w:val="22"/>
        </w:rPr>
        <w:t>股上市公司。</w:t>
      </w:r>
      <w:r w:rsidRPr="002C1971">
        <w:rPr>
          <w:rFonts w:hint="eastAsia"/>
          <w:szCs w:val="22"/>
        </w:rPr>
        <w:t>一场</w:t>
      </w:r>
      <w:r w:rsidRPr="002C1971">
        <w:rPr>
          <w:rFonts w:hint="eastAsia"/>
          <w:szCs w:val="22"/>
        </w:rPr>
        <w:t>A</w:t>
      </w:r>
      <w:proofErr w:type="gramStart"/>
      <w:r w:rsidRPr="002C1971">
        <w:rPr>
          <w:rFonts w:hint="eastAsia"/>
          <w:szCs w:val="22"/>
        </w:rPr>
        <w:t>股独立</w:t>
      </w:r>
      <w:proofErr w:type="gramEnd"/>
      <w:r w:rsidRPr="002C1971">
        <w:rPr>
          <w:rFonts w:hint="eastAsia"/>
          <w:szCs w:val="22"/>
        </w:rPr>
        <w:t>董事辞职的风潮正悄然掀起。康美药业财务造假案使得广大投资者和笔者对独立董事制度有了更大的好奇心，而由康美药业财务造假案引发的一波</w:t>
      </w:r>
      <w:r w:rsidRPr="002C1971">
        <w:rPr>
          <w:rFonts w:hint="eastAsia"/>
          <w:szCs w:val="22"/>
        </w:rPr>
        <w:t>A</w:t>
      </w:r>
      <w:r w:rsidRPr="002C1971">
        <w:rPr>
          <w:rFonts w:hint="eastAsia"/>
          <w:szCs w:val="22"/>
        </w:rPr>
        <w:t>股市</w:t>
      </w:r>
      <w:proofErr w:type="gramStart"/>
      <w:r w:rsidRPr="002C1971">
        <w:rPr>
          <w:rFonts w:hint="eastAsia"/>
          <w:szCs w:val="22"/>
        </w:rPr>
        <w:t>场独立</w:t>
      </w:r>
      <w:proofErr w:type="gramEnd"/>
      <w:r w:rsidRPr="002C1971">
        <w:rPr>
          <w:rFonts w:hint="eastAsia"/>
          <w:szCs w:val="22"/>
        </w:rPr>
        <w:t>董事辞职风潮，其</w:t>
      </w:r>
      <w:r w:rsidR="002E590B">
        <w:rPr>
          <w:rFonts w:hint="eastAsia"/>
          <w:szCs w:val="22"/>
        </w:rPr>
        <w:t>导致的经济</w:t>
      </w:r>
      <w:r w:rsidRPr="002C1971">
        <w:rPr>
          <w:rFonts w:hint="eastAsia"/>
          <w:szCs w:val="22"/>
        </w:rPr>
        <w:t>后果</w:t>
      </w:r>
      <w:r w:rsidR="002E590B">
        <w:rPr>
          <w:rFonts w:hint="eastAsia"/>
          <w:szCs w:val="22"/>
        </w:rPr>
        <w:t>和影响因素</w:t>
      </w:r>
      <w:r w:rsidRPr="002C1971">
        <w:rPr>
          <w:rFonts w:hint="eastAsia"/>
          <w:szCs w:val="22"/>
        </w:rPr>
        <w:t>也成为了我们关注的重点。</w:t>
      </w:r>
    </w:p>
    <w:p w14:paraId="29649F20" w14:textId="1DEA741A" w:rsidR="0080179C" w:rsidRDefault="0080179C" w:rsidP="001A35BE">
      <w:pPr>
        <w:pStyle w:val="2"/>
        <w:spacing w:before="163" w:after="163"/>
      </w:pPr>
      <w:bookmarkStart w:id="14" w:name="_Toc13770"/>
      <w:bookmarkStart w:id="15" w:name="_Toc21"/>
      <w:bookmarkStart w:id="16" w:name="_Toc104938598"/>
      <w:r>
        <w:rPr>
          <w:rFonts w:hint="eastAsia"/>
        </w:rPr>
        <w:t>研究目标与意义</w:t>
      </w:r>
      <w:bookmarkEnd w:id="14"/>
      <w:bookmarkEnd w:id="15"/>
      <w:bookmarkEnd w:id="16"/>
    </w:p>
    <w:p w14:paraId="14396AB7" w14:textId="77777777" w:rsidR="0080179C" w:rsidRDefault="0080179C">
      <w:pPr>
        <w:pStyle w:val="3"/>
      </w:pPr>
      <w:bookmarkStart w:id="17" w:name="_Toc15579"/>
      <w:r>
        <w:rPr>
          <w:rFonts w:hint="eastAsia"/>
        </w:rPr>
        <w:t>研究目标</w:t>
      </w:r>
      <w:bookmarkEnd w:id="17"/>
    </w:p>
    <w:p w14:paraId="79BFAB05" w14:textId="51D75926" w:rsidR="0080179C" w:rsidRDefault="0080179C">
      <w:pPr>
        <w:ind w:firstLine="420"/>
      </w:pPr>
      <w:r>
        <w:rPr>
          <w:rFonts w:hint="eastAsia"/>
        </w:rPr>
        <w:t>论文</w:t>
      </w:r>
      <w:r w:rsidR="000C1604">
        <w:rPr>
          <w:rFonts w:hint="eastAsia"/>
        </w:rPr>
        <w:t>采用事件研究法，</w:t>
      </w:r>
      <w:r w:rsidR="00D1659A">
        <w:rPr>
          <w:rFonts w:hint="eastAsia"/>
        </w:rPr>
        <w:t>研究范围为自</w:t>
      </w:r>
      <w:r w:rsidR="000C1604">
        <w:t>2021</w:t>
      </w:r>
      <w:r w:rsidR="000C1604">
        <w:rPr>
          <w:rFonts w:hint="eastAsia"/>
        </w:rPr>
        <w:t>年</w:t>
      </w:r>
      <w:r w:rsidR="00811D7D">
        <w:t>11</w:t>
      </w:r>
      <w:r w:rsidR="00811D7D">
        <w:rPr>
          <w:rFonts w:hint="eastAsia"/>
        </w:rPr>
        <w:t>月</w:t>
      </w:r>
      <w:r w:rsidR="00811D7D">
        <w:rPr>
          <w:rFonts w:hint="eastAsia"/>
        </w:rPr>
        <w:t>1</w:t>
      </w:r>
      <w:r w:rsidR="00811D7D">
        <w:t>2</w:t>
      </w:r>
      <w:r w:rsidR="00811D7D">
        <w:rPr>
          <w:rFonts w:hint="eastAsia"/>
        </w:rPr>
        <w:t>日广东中级人民法院判决康美药业五名独立董事分别承担一定比例连带赔偿责任</w:t>
      </w:r>
      <w:r w:rsidR="00D1659A">
        <w:rPr>
          <w:rFonts w:hint="eastAsia"/>
        </w:rPr>
        <w:t>到</w:t>
      </w:r>
      <w:r w:rsidR="00D1659A">
        <w:rPr>
          <w:rFonts w:hint="eastAsia"/>
        </w:rPr>
        <w:t>2</w:t>
      </w:r>
      <w:r w:rsidR="00D1659A">
        <w:t>022</w:t>
      </w:r>
      <w:r w:rsidR="00D1659A">
        <w:rPr>
          <w:rFonts w:hint="eastAsia"/>
        </w:rPr>
        <w:t>年</w:t>
      </w:r>
      <w:r w:rsidR="00D1659A">
        <w:rPr>
          <w:rFonts w:hint="eastAsia"/>
        </w:rPr>
        <w:t>3</w:t>
      </w:r>
      <w:r w:rsidR="00D1659A">
        <w:rPr>
          <w:rFonts w:hint="eastAsia"/>
        </w:rPr>
        <w:t>月</w:t>
      </w:r>
      <w:r w:rsidR="00D1659A">
        <w:rPr>
          <w:rFonts w:hint="eastAsia"/>
        </w:rPr>
        <w:t>1</w:t>
      </w:r>
      <w:r w:rsidR="00D1659A">
        <w:rPr>
          <w:rFonts w:hint="eastAsia"/>
        </w:rPr>
        <w:t>日期间内</w:t>
      </w:r>
      <w:r w:rsidR="00811D7D">
        <w:rPr>
          <w:rFonts w:hint="eastAsia"/>
        </w:rPr>
        <w:t>，前后</w:t>
      </w:r>
      <w:r w:rsidR="00D1659A">
        <w:rPr>
          <w:rFonts w:hint="eastAsia"/>
        </w:rPr>
        <w:t>总计四个月</w:t>
      </w:r>
      <w:r w:rsidR="00811D7D">
        <w:rPr>
          <w:rFonts w:hint="eastAsia"/>
        </w:rPr>
        <w:t>为窗口期，</w:t>
      </w:r>
      <w:r w:rsidR="00DD2611">
        <w:rPr>
          <w:rFonts w:hint="eastAsia"/>
        </w:rPr>
        <w:t>将窗口期内发布独立董事辞职公告的公告日期作为事件日，事件日前后十天作为事件期，事件日发生前</w:t>
      </w:r>
      <w:r w:rsidR="00DD2611">
        <w:t>150</w:t>
      </w:r>
      <w:r w:rsidR="00DD2611">
        <w:rPr>
          <w:rFonts w:hint="eastAsia"/>
        </w:rPr>
        <w:t>天到前</w:t>
      </w:r>
      <w:r w:rsidR="008364A4">
        <w:rPr>
          <w:rFonts w:hint="eastAsia"/>
        </w:rPr>
        <w:t>3</w:t>
      </w:r>
      <w:r w:rsidR="008364A4">
        <w:t>0</w:t>
      </w:r>
      <w:r w:rsidR="00DD2611">
        <w:rPr>
          <w:rFonts w:hint="eastAsia"/>
        </w:rPr>
        <w:t>天作为估计期。</w:t>
      </w:r>
      <w:r>
        <w:rPr>
          <w:rFonts w:hint="eastAsia"/>
        </w:rPr>
        <w:t>建立实证回归模型，</w:t>
      </w:r>
      <w:r w:rsidR="00522F8F">
        <w:rPr>
          <w:rFonts w:hint="eastAsia"/>
        </w:rPr>
        <w:t>希望揭示独立董事辞职事件导致的经济影响</w:t>
      </w:r>
      <w:r>
        <w:rPr>
          <w:rFonts w:hint="eastAsia"/>
        </w:rPr>
        <w:t>，同时进一步</w:t>
      </w:r>
      <w:r w:rsidR="00522F8F">
        <w:rPr>
          <w:rFonts w:hint="eastAsia"/>
        </w:rPr>
        <w:t>分析</w:t>
      </w:r>
      <w:r>
        <w:rPr>
          <w:rFonts w:hint="eastAsia"/>
        </w:rPr>
        <w:t>（</w:t>
      </w:r>
      <w:r>
        <w:rPr>
          <w:rFonts w:hint="eastAsia"/>
        </w:rPr>
        <w:t>1</w:t>
      </w:r>
      <w:r>
        <w:rPr>
          <w:rFonts w:hint="eastAsia"/>
        </w:rPr>
        <w:t>）</w:t>
      </w:r>
      <w:r w:rsidR="00DD2611">
        <w:rPr>
          <w:rFonts w:hint="eastAsia"/>
        </w:rPr>
        <w:t>独立董事辞职事件所导致的相关公司的累积异常收益率，即独立董事辞职与公司价值的相关性影响。</w:t>
      </w:r>
      <w:r>
        <w:rPr>
          <w:rFonts w:hint="eastAsia"/>
        </w:rPr>
        <w:t>（</w:t>
      </w:r>
      <w:r>
        <w:rPr>
          <w:rFonts w:hint="eastAsia"/>
        </w:rPr>
        <w:t>2</w:t>
      </w:r>
      <w:r>
        <w:rPr>
          <w:rFonts w:hint="eastAsia"/>
        </w:rPr>
        <w:t>）</w:t>
      </w:r>
      <w:r w:rsidR="00DD2611">
        <w:rPr>
          <w:rFonts w:hint="eastAsia"/>
        </w:rPr>
        <w:t>发生的</w:t>
      </w:r>
      <w:r w:rsidR="00811D7D">
        <w:rPr>
          <w:rFonts w:hint="eastAsia"/>
        </w:rPr>
        <w:t>独立董事辞职</w:t>
      </w:r>
      <w:r w:rsidR="00DD2611">
        <w:rPr>
          <w:rFonts w:hint="eastAsia"/>
        </w:rPr>
        <w:t>事件中，</w:t>
      </w:r>
      <w:r w:rsidR="00A5231F">
        <w:rPr>
          <w:rFonts w:hint="eastAsia"/>
        </w:rPr>
        <w:t>独立董事的</w:t>
      </w:r>
      <w:r w:rsidR="008364A4">
        <w:rPr>
          <w:rFonts w:hint="eastAsia"/>
        </w:rPr>
        <w:t>相关</w:t>
      </w:r>
      <w:r w:rsidR="00A5231F">
        <w:rPr>
          <w:rFonts w:hint="eastAsia"/>
        </w:rPr>
        <w:t>特征是否会对公司价值产生影响</w:t>
      </w:r>
      <w:r w:rsidR="002238A9">
        <w:rPr>
          <w:rFonts w:hint="eastAsia"/>
        </w:rPr>
        <w:t>，</w:t>
      </w:r>
      <w:r w:rsidR="00A5231F">
        <w:rPr>
          <w:rFonts w:hint="eastAsia"/>
        </w:rPr>
        <w:t>以及会产生何种影响</w:t>
      </w:r>
      <w:r w:rsidR="00E57387">
        <w:rPr>
          <w:rFonts w:hint="eastAsia"/>
        </w:rPr>
        <w:t>以及相关的影响因素</w:t>
      </w:r>
      <w:r w:rsidR="00A5231F">
        <w:rPr>
          <w:rFonts w:hint="eastAsia"/>
        </w:rPr>
        <w:t>。</w:t>
      </w:r>
      <w:r w:rsidR="00E57387">
        <w:rPr>
          <w:rFonts w:hint="eastAsia"/>
        </w:rPr>
        <w:t>此外，我们希望能够深入分析其事件的经济影响，使市场能够更好地应对诸如此类突发事件，尽量避免无谓损失。</w:t>
      </w:r>
    </w:p>
    <w:p w14:paraId="4910D607" w14:textId="77777777" w:rsidR="0080179C" w:rsidRDefault="0080179C">
      <w:pPr>
        <w:pStyle w:val="3"/>
      </w:pPr>
      <w:bookmarkStart w:id="18" w:name="_Toc19648"/>
      <w:r>
        <w:rPr>
          <w:rFonts w:hint="eastAsia"/>
        </w:rPr>
        <w:t>研究意义</w:t>
      </w:r>
      <w:bookmarkEnd w:id="18"/>
    </w:p>
    <w:p w14:paraId="25EFA416" w14:textId="464EC651" w:rsidR="0080179C" w:rsidRDefault="00E57387">
      <w:pPr>
        <w:ind w:firstLine="420"/>
      </w:pPr>
      <w:r>
        <w:rPr>
          <w:rFonts w:hint="eastAsia"/>
        </w:rPr>
        <w:t>国内外许多学者都</w:t>
      </w:r>
      <w:r w:rsidR="003050F4">
        <w:rPr>
          <w:rFonts w:hint="eastAsia"/>
        </w:rPr>
        <w:t>对独立董事制度和相关问题进行了深入的分析与研究</w:t>
      </w:r>
      <w:r w:rsidR="0080179C">
        <w:rPr>
          <w:rFonts w:hint="eastAsia"/>
        </w:rPr>
        <w:t>，</w:t>
      </w:r>
      <w:r w:rsidR="003050F4">
        <w:rPr>
          <w:rFonts w:hint="eastAsia"/>
        </w:rPr>
        <w:t>在我们整理的文献综述部分，我们也可以发现许多前辈提出的重要理论，计量模型</w:t>
      </w:r>
      <w:r w:rsidR="003050F4">
        <w:rPr>
          <w:rFonts w:hint="eastAsia"/>
        </w:rPr>
        <w:lastRenderedPageBreak/>
        <w:t>和实证案例</w:t>
      </w:r>
      <w:r w:rsidR="0080179C">
        <w:rPr>
          <w:rFonts w:hint="eastAsia"/>
        </w:rPr>
        <w:t>。</w:t>
      </w:r>
      <w:r w:rsidR="003050F4">
        <w:rPr>
          <w:rFonts w:hint="eastAsia"/>
        </w:rPr>
        <w:t>考虑到事件发生的时效性，我们</w:t>
      </w:r>
      <w:r w:rsidR="0080179C">
        <w:rPr>
          <w:rFonts w:hint="eastAsia"/>
        </w:rPr>
        <w:t>重点</w:t>
      </w:r>
      <w:r w:rsidR="00A5231F">
        <w:rPr>
          <w:rFonts w:hint="eastAsia"/>
        </w:rPr>
        <w:t>关注</w:t>
      </w:r>
      <w:r w:rsidR="002238A9">
        <w:rPr>
          <w:rFonts w:hint="eastAsia"/>
        </w:rPr>
        <w:t>康美药业财务造假案发生以后</w:t>
      </w:r>
      <w:r w:rsidR="00A5231F">
        <w:rPr>
          <w:rFonts w:hint="eastAsia"/>
        </w:rPr>
        <w:t>，发生独立董事辞职事件的</w:t>
      </w:r>
      <w:r w:rsidR="002238A9">
        <w:rPr>
          <w:rFonts w:hint="eastAsia"/>
        </w:rPr>
        <w:t>相关企业的价值变动</w:t>
      </w:r>
      <w:r w:rsidR="003050F4">
        <w:rPr>
          <w:rFonts w:hint="eastAsia"/>
        </w:rPr>
        <w:t>状况</w:t>
      </w:r>
      <w:r w:rsidR="0080179C">
        <w:rPr>
          <w:rFonts w:hint="eastAsia"/>
        </w:rPr>
        <w:t>，研究</w:t>
      </w:r>
      <w:r w:rsidR="002238A9">
        <w:rPr>
          <w:rFonts w:hint="eastAsia"/>
        </w:rPr>
        <w:t>独立董事辞职的信号效应和对公司价值的影响</w:t>
      </w:r>
      <w:r w:rsidR="0080179C">
        <w:rPr>
          <w:rFonts w:hint="eastAsia"/>
        </w:rPr>
        <w:t>，希望通过本文的研究能</w:t>
      </w:r>
      <w:r w:rsidR="00B3280D">
        <w:rPr>
          <w:rFonts w:hint="eastAsia"/>
        </w:rPr>
        <w:t>够分析此类突发事件的影响，为课题发展贡献力量。</w:t>
      </w:r>
    </w:p>
    <w:p w14:paraId="757695CA" w14:textId="75DAAAE7" w:rsidR="0080179C" w:rsidRDefault="0080179C">
      <w:pPr>
        <w:ind w:firstLine="420"/>
        <w:rPr>
          <w:b/>
          <w:szCs w:val="22"/>
        </w:rPr>
      </w:pPr>
      <w:r>
        <w:rPr>
          <w:rFonts w:hint="eastAsia"/>
        </w:rPr>
        <w:t>从现实意义来说，</w:t>
      </w:r>
      <w:r w:rsidR="00FD4158">
        <w:rPr>
          <w:rFonts w:hint="eastAsia"/>
        </w:rPr>
        <w:t>康美药业财务造假案的判决结果打破了独立董事低风险高报酬的美好形象</w:t>
      </w:r>
      <w:r>
        <w:rPr>
          <w:rFonts w:hint="eastAsia"/>
        </w:rPr>
        <w:t>，</w:t>
      </w:r>
      <w:r w:rsidR="00FD4158">
        <w:rPr>
          <w:rFonts w:hint="eastAsia"/>
        </w:rPr>
        <w:t>也引发了</w:t>
      </w:r>
      <w:r w:rsidR="00FD4158">
        <w:rPr>
          <w:rFonts w:hint="eastAsia"/>
        </w:rPr>
        <w:t>A</w:t>
      </w:r>
      <w:r w:rsidR="00FD4158">
        <w:rPr>
          <w:rFonts w:hint="eastAsia"/>
        </w:rPr>
        <w:t>股市场一阵独立董事辞职的风潮，</w:t>
      </w:r>
      <w:r>
        <w:rPr>
          <w:rFonts w:hint="eastAsia"/>
        </w:rPr>
        <w:t>我们希望</w:t>
      </w:r>
      <w:r w:rsidR="00B3280D">
        <w:rPr>
          <w:rFonts w:hint="eastAsia"/>
        </w:rPr>
        <w:t>能够帮助投资者减少无谓损失。</w:t>
      </w:r>
    </w:p>
    <w:p w14:paraId="615D5041" w14:textId="793667C3" w:rsidR="0080179C" w:rsidRDefault="0080179C" w:rsidP="001A35BE">
      <w:pPr>
        <w:pStyle w:val="2"/>
        <w:spacing w:before="163" w:after="163"/>
      </w:pPr>
      <w:bookmarkStart w:id="19" w:name="_Toc25279"/>
      <w:bookmarkStart w:id="20" w:name="_Toc23607"/>
      <w:bookmarkStart w:id="21" w:name="_Toc104938599"/>
      <w:r>
        <w:rPr>
          <w:rFonts w:hint="eastAsia"/>
        </w:rPr>
        <w:t>研究内容与方法</w:t>
      </w:r>
      <w:bookmarkEnd w:id="19"/>
      <w:bookmarkEnd w:id="20"/>
      <w:bookmarkEnd w:id="21"/>
    </w:p>
    <w:p w14:paraId="53DCC0C7" w14:textId="77777777" w:rsidR="0080179C" w:rsidRDefault="0080179C">
      <w:pPr>
        <w:pStyle w:val="3"/>
      </w:pPr>
      <w:bookmarkStart w:id="22" w:name="_Toc9490"/>
      <w:r>
        <w:rPr>
          <w:rFonts w:hint="eastAsia"/>
        </w:rPr>
        <w:t>研究框架</w:t>
      </w:r>
      <w:bookmarkEnd w:id="22"/>
    </w:p>
    <w:p w14:paraId="56DC7319" w14:textId="75C87546" w:rsidR="0080179C" w:rsidRDefault="00E71FDB">
      <w:pPr>
        <w:ind w:firstLine="420"/>
        <w:rPr>
          <w:rFonts w:ascii="宋体" w:hAnsi="宋体"/>
        </w:rPr>
      </w:pPr>
      <w:r>
        <w:rPr>
          <w:rFonts w:ascii="宋体" w:hAnsi="宋体" w:hint="eastAsia"/>
        </w:rPr>
        <w:t>文章的研究框架主要包括五个部分</w:t>
      </w:r>
      <w:r w:rsidR="00196AC9">
        <w:rPr>
          <w:rFonts w:ascii="宋体" w:hAnsi="宋体" w:hint="eastAsia"/>
        </w:rPr>
        <w:t>：</w:t>
      </w:r>
    </w:p>
    <w:p w14:paraId="623879FF" w14:textId="5E9A59D7" w:rsidR="0080179C" w:rsidRDefault="002B54FF">
      <w:pPr>
        <w:ind w:firstLine="420"/>
        <w:rPr>
          <w:rFonts w:ascii="宋体" w:hAnsi="宋体"/>
        </w:rPr>
      </w:pPr>
      <w:r>
        <w:rPr>
          <w:rFonts w:ascii="宋体" w:hAnsi="宋体" w:hint="eastAsia"/>
        </w:rPr>
        <w:t>第一部分</w:t>
      </w:r>
      <w:r w:rsidR="0014572C">
        <w:rPr>
          <w:rFonts w:ascii="宋体" w:hAnsi="宋体" w:hint="eastAsia"/>
        </w:rPr>
        <w:t>是文章绪论</w:t>
      </w:r>
      <w:r w:rsidR="0080179C">
        <w:rPr>
          <w:rFonts w:ascii="宋体" w:hAnsi="宋体" w:hint="eastAsia"/>
        </w:rPr>
        <w:t>。</w:t>
      </w:r>
      <w:r w:rsidR="00196AC9">
        <w:rPr>
          <w:rFonts w:ascii="宋体" w:hAnsi="宋体" w:hint="eastAsia"/>
        </w:rPr>
        <w:t>分析现实背景，并</w:t>
      </w:r>
      <w:r w:rsidR="00D00668">
        <w:rPr>
          <w:rFonts w:ascii="宋体" w:hAnsi="宋体" w:hint="eastAsia"/>
        </w:rPr>
        <w:t>突出研究方向</w:t>
      </w:r>
      <w:r w:rsidR="0080179C">
        <w:rPr>
          <w:rFonts w:ascii="宋体" w:hAnsi="宋体" w:hint="eastAsia"/>
        </w:rPr>
        <w:t>：</w:t>
      </w:r>
      <w:r w:rsidR="0011695B">
        <w:rPr>
          <w:rFonts w:ascii="宋体" w:hAnsi="宋体" w:hint="eastAsia"/>
        </w:rPr>
        <w:t>独立董事辞职的信号效应，分析独立董事辞职对公司价值的影响，以及独立董事身份特征对公司价值的影响</w:t>
      </w:r>
      <w:r w:rsidR="0080179C">
        <w:rPr>
          <w:rFonts w:ascii="宋体" w:hAnsi="宋体" w:hint="eastAsia"/>
        </w:rPr>
        <w:t>。</w:t>
      </w:r>
      <w:r w:rsidR="00D00668">
        <w:rPr>
          <w:rFonts w:ascii="宋体" w:hAnsi="宋体" w:hint="eastAsia"/>
        </w:rPr>
        <w:t>然后简述文章意义，展示实证方法和数据结果。</w:t>
      </w:r>
    </w:p>
    <w:p w14:paraId="2BAD0567" w14:textId="3C38307D" w:rsidR="0080179C" w:rsidRDefault="002B54FF">
      <w:pPr>
        <w:ind w:firstLine="420"/>
        <w:rPr>
          <w:rFonts w:ascii="宋体" w:hAnsi="宋体"/>
        </w:rPr>
      </w:pPr>
      <w:r>
        <w:rPr>
          <w:rFonts w:ascii="宋体" w:hAnsi="宋体" w:hint="eastAsia"/>
        </w:rPr>
        <w:t>第二部分</w:t>
      </w:r>
      <w:r w:rsidR="0014572C">
        <w:rPr>
          <w:rFonts w:ascii="宋体" w:hAnsi="宋体" w:hint="eastAsia"/>
        </w:rPr>
        <w:t>是</w:t>
      </w:r>
      <w:r w:rsidR="00D00668">
        <w:rPr>
          <w:rFonts w:ascii="宋体" w:hAnsi="宋体" w:hint="eastAsia"/>
        </w:rPr>
        <w:t>理论和文献总结</w:t>
      </w:r>
      <w:r w:rsidR="0080179C">
        <w:rPr>
          <w:rFonts w:ascii="宋体" w:hAnsi="宋体" w:hint="eastAsia"/>
        </w:rPr>
        <w:t>。</w:t>
      </w:r>
      <w:r w:rsidR="00D00668">
        <w:rPr>
          <w:rFonts w:ascii="宋体" w:hAnsi="宋体" w:hint="eastAsia"/>
        </w:rPr>
        <w:t>分类整理</w:t>
      </w:r>
      <w:r w:rsidR="0080179C">
        <w:rPr>
          <w:rFonts w:ascii="宋体" w:hAnsi="宋体" w:hint="eastAsia"/>
        </w:rPr>
        <w:t>（1）</w:t>
      </w:r>
      <w:r w:rsidR="0011695B">
        <w:rPr>
          <w:rFonts w:ascii="宋体" w:hAnsi="宋体" w:hint="eastAsia"/>
        </w:rPr>
        <w:t>独立董事制度相关研究</w:t>
      </w:r>
      <w:r w:rsidR="0080179C">
        <w:rPr>
          <w:rFonts w:ascii="宋体" w:hAnsi="宋体" w:hint="eastAsia"/>
        </w:rPr>
        <w:t>（2）</w:t>
      </w:r>
      <w:r w:rsidR="0011695B">
        <w:rPr>
          <w:rFonts w:ascii="宋体" w:hAnsi="宋体" w:hint="eastAsia"/>
        </w:rPr>
        <w:t>独立董事辞职原因</w:t>
      </w:r>
      <w:r w:rsidR="0080179C">
        <w:rPr>
          <w:rFonts w:ascii="宋体" w:hAnsi="宋体" w:hint="eastAsia"/>
        </w:rPr>
        <w:t>和（3）</w:t>
      </w:r>
      <w:r w:rsidR="0011695B">
        <w:rPr>
          <w:rFonts w:ascii="宋体" w:hAnsi="宋体" w:hint="eastAsia"/>
        </w:rPr>
        <w:t>独立董事辞职的影响</w:t>
      </w:r>
      <w:r w:rsidR="0080179C">
        <w:rPr>
          <w:rFonts w:ascii="宋体" w:hAnsi="宋体" w:hint="eastAsia"/>
        </w:rPr>
        <w:t>，</w:t>
      </w:r>
      <w:r w:rsidR="00104AE0">
        <w:rPr>
          <w:rFonts w:ascii="宋体" w:hAnsi="宋体" w:hint="eastAsia"/>
        </w:rPr>
        <w:t>并对各个方面进行汇总概括</w:t>
      </w:r>
      <w:r w:rsidR="0080179C">
        <w:rPr>
          <w:rFonts w:ascii="宋体" w:hAnsi="宋体" w:hint="eastAsia"/>
        </w:rPr>
        <w:t>。</w:t>
      </w:r>
    </w:p>
    <w:p w14:paraId="27B50B20" w14:textId="3BACF3D2" w:rsidR="0080179C" w:rsidRDefault="002B54FF">
      <w:pPr>
        <w:ind w:firstLine="420"/>
        <w:rPr>
          <w:rFonts w:ascii="宋体" w:hAnsi="宋体"/>
        </w:rPr>
      </w:pPr>
      <w:r>
        <w:rPr>
          <w:rFonts w:ascii="宋体" w:hAnsi="宋体" w:hint="eastAsia"/>
        </w:rPr>
        <w:t>第三部分</w:t>
      </w:r>
      <w:r w:rsidR="0014572C">
        <w:rPr>
          <w:rFonts w:ascii="宋体" w:hAnsi="宋体" w:hint="eastAsia"/>
        </w:rPr>
        <w:t>是</w:t>
      </w:r>
      <w:r w:rsidR="00104AE0">
        <w:rPr>
          <w:rFonts w:ascii="宋体" w:hAnsi="宋体" w:hint="eastAsia"/>
        </w:rPr>
        <w:t>研究流程</w:t>
      </w:r>
      <w:r w:rsidR="0080179C">
        <w:rPr>
          <w:rFonts w:ascii="宋体" w:hAnsi="宋体" w:hint="eastAsia"/>
        </w:rPr>
        <w:t>。</w:t>
      </w:r>
      <w:r w:rsidR="00CD4729">
        <w:rPr>
          <w:rFonts w:ascii="宋体" w:hAnsi="宋体" w:hint="eastAsia"/>
        </w:rPr>
        <w:t>在分析思考的基础上，我们充分考虑相关问题并提出猜想</w:t>
      </w:r>
      <w:r w:rsidR="0080179C">
        <w:rPr>
          <w:rFonts w:ascii="宋体" w:hAnsi="宋体" w:hint="eastAsia"/>
        </w:rPr>
        <w:t>：假设一为</w:t>
      </w:r>
      <w:r w:rsidR="00107ECB">
        <w:rPr>
          <w:rFonts w:ascii="宋体" w:hAnsi="宋体" w:hint="eastAsia"/>
        </w:rPr>
        <w:t>独立董事辞职与公司价值的变动呈现负相关关系，由于独立董事的辞职，</w:t>
      </w:r>
      <w:r w:rsidR="000B505D">
        <w:rPr>
          <w:rFonts w:ascii="宋体" w:hAnsi="宋体" w:hint="eastAsia"/>
        </w:rPr>
        <w:t>在一定研究时间范围内，</w:t>
      </w:r>
      <w:r w:rsidR="00107ECB">
        <w:rPr>
          <w:rFonts w:ascii="宋体" w:hAnsi="宋体" w:hint="eastAsia"/>
        </w:rPr>
        <w:t>相关企业的公司价值会降低</w:t>
      </w:r>
      <w:r w:rsidR="0080179C">
        <w:rPr>
          <w:rFonts w:ascii="宋体" w:hAnsi="宋体" w:hint="eastAsia"/>
        </w:rPr>
        <w:t>。假设二为</w:t>
      </w:r>
      <w:r w:rsidR="00D91FAD">
        <w:rPr>
          <w:rFonts w:ascii="宋体" w:hAnsi="宋体" w:hint="eastAsia"/>
        </w:rPr>
        <w:t>辞职</w:t>
      </w:r>
      <w:r w:rsidR="007045DA">
        <w:rPr>
          <w:rFonts w:ascii="宋体" w:hAnsi="宋体" w:hint="eastAsia"/>
        </w:rPr>
        <w:t>独立董事自身的</w:t>
      </w:r>
      <w:r w:rsidR="00D91FAD">
        <w:rPr>
          <w:rFonts w:ascii="宋体" w:hAnsi="宋体" w:hint="eastAsia"/>
        </w:rPr>
        <w:t>学历与相关公司的价值变动呈正相关关系。假设三为辞职独立董事自身任职期限与相关公司的价值变动呈正相关关系</w:t>
      </w:r>
      <w:r w:rsidR="008C1654">
        <w:rPr>
          <w:rFonts w:ascii="宋体" w:hAnsi="宋体" w:hint="eastAsia"/>
        </w:rPr>
        <w:t>。</w:t>
      </w:r>
      <w:r w:rsidR="00384142">
        <w:rPr>
          <w:rFonts w:ascii="宋体" w:hAnsi="宋体" w:hint="eastAsia"/>
        </w:rPr>
        <w:t>假设四为公司盈余管理水平与累积异常收益率负相关。</w:t>
      </w:r>
    </w:p>
    <w:p w14:paraId="677881C5" w14:textId="04183909" w:rsidR="0080179C" w:rsidRDefault="002B54FF">
      <w:pPr>
        <w:ind w:firstLine="420"/>
        <w:rPr>
          <w:rFonts w:ascii="宋体" w:hAnsi="宋体"/>
        </w:rPr>
      </w:pPr>
      <w:r>
        <w:rPr>
          <w:rFonts w:ascii="宋体" w:hAnsi="宋体" w:hint="eastAsia"/>
        </w:rPr>
        <w:t>第四部分</w:t>
      </w:r>
      <w:r w:rsidR="0014572C">
        <w:rPr>
          <w:rFonts w:ascii="宋体" w:hAnsi="宋体" w:hint="eastAsia"/>
        </w:rPr>
        <w:t>是</w:t>
      </w:r>
      <w:r w:rsidR="00CD4729">
        <w:rPr>
          <w:rFonts w:ascii="宋体" w:hAnsi="宋体" w:hint="eastAsia"/>
        </w:rPr>
        <w:t>描述并分析</w:t>
      </w:r>
      <w:r w:rsidR="00104AE0">
        <w:rPr>
          <w:rFonts w:ascii="宋体" w:hAnsi="宋体" w:hint="eastAsia"/>
        </w:rPr>
        <w:t>模型</w:t>
      </w:r>
      <w:r w:rsidR="00CD4729">
        <w:rPr>
          <w:rFonts w:ascii="宋体" w:hAnsi="宋体" w:hint="eastAsia"/>
        </w:rPr>
        <w:t>结果</w:t>
      </w:r>
      <w:r w:rsidR="0080179C">
        <w:rPr>
          <w:rFonts w:ascii="宋体" w:hAnsi="宋体" w:hint="eastAsia"/>
        </w:rPr>
        <w:t>。</w:t>
      </w:r>
      <w:r w:rsidR="00CD4729">
        <w:rPr>
          <w:rFonts w:ascii="宋体" w:hAnsi="宋体" w:hint="eastAsia"/>
        </w:rPr>
        <w:t>主要包括筛选后的样本和数据情况，列举出</w:t>
      </w:r>
      <w:r w:rsidR="00ED301D">
        <w:rPr>
          <w:rFonts w:ascii="宋体" w:hAnsi="宋体" w:hint="eastAsia"/>
        </w:rPr>
        <w:t>回归形式并展示计算公式</w:t>
      </w:r>
      <w:r w:rsidR="0080179C">
        <w:rPr>
          <w:rFonts w:ascii="宋体" w:hAnsi="宋体" w:hint="eastAsia"/>
        </w:rPr>
        <w:t>，</w:t>
      </w:r>
      <w:r w:rsidR="00ED301D">
        <w:rPr>
          <w:rFonts w:ascii="宋体" w:hAnsi="宋体" w:hint="eastAsia"/>
        </w:rPr>
        <w:t>文章结果由s</w:t>
      </w:r>
      <w:r w:rsidR="00ED301D">
        <w:rPr>
          <w:rFonts w:ascii="宋体" w:hAnsi="宋体"/>
        </w:rPr>
        <w:t>tata15</w:t>
      </w:r>
      <w:r w:rsidR="0080179C">
        <w:rPr>
          <w:rFonts w:ascii="宋体" w:hAnsi="宋体" w:hint="eastAsia"/>
        </w:rPr>
        <w:t>得出。</w:t>
      </w:r>
      <w:r w:rsidR="00F87BE9">
        <w:rPr>
          <w:rFonts w:ascii="宋体" w:hAnsi="宋体" w:hint="eastAsia"/>
        </w:rPr>
        <w:t>分析表明</w:t>
      </w:r>
      <w:r w:rsidR="00EE38B3">
        <w:rPr>
          <w:rFonts w:hint="eastAsia"/>
        </w:rPr>
        <w:t>独立董事的辞职与相关公司的公司价值</w:t>
      </w:r>
      <w:r w:rsidR="0080179C">
        <w:rPr>
          <w:rFonts w:hint="eastAsia"/>
        </w:rPr>
        <w:t>有一个显著的负相关关系。其次，</w:t>
      </w:r>
      <w:r w:rsidR="00EE38B3">
        <w:rPr>
          <w:rFonts w:hint="eastAsia"/>
        </w:rPr>
        <w:t>在不同独立董事的身份特征中，</w:t>
      </w:r>
      <w:r w:rsidR="00090681">
        <w:rPr>
          <w:rFonts w:hint="eastAsia"/>
        </w:rPr>
        <w:t>独立董事自身的学历特征会对公司价值的变动产生显著影响。</w:t>
      </w:r>
      <w:r w:rsidR="00CF3109">
        <w:rPr>
          <w:rFonts w:hint="eastAsia"/>
        </w:rPr>
        <w:t>此外</w:t>
      </w:r>
      <w:r w:rsidR="00090681">
        <w:rPr>
          <w:rFonts w:hint="eastAsia"/>
        </w:rPr>
        <w:t>，</w:t>
      </w:r>
      <w:r w:rsidR="000B505D">
        <w:rPr>
          <w:rFonts w:hint="eastAsia"/>
        </w:rPr>
        <w:t>独立董事</w:t>
      </w:r>
      <w:r w:rsidR="00090681">
        <w:rPr>
          <w:rFonts w:hint="eastAsia"/>
        </w:rPr>
        <w:t>自身的任职期限</w:t>
      </w:r>
      <w:r w:rsidR="000B505D">
        <w:rPr>
          <w:rFonts w:hint="eastAsia"/>
        </w:rPr>
        <w:t>会对公司价值的变动产生显著影响，</w:t>
      </w:r>
      <w:r w:rsidR="00CE7232">
        <w:rPr>
          <w:rFonts w:hint="eastAsia"/>
        </w:rPr>
        <w:t>且公司盈余管理水平与累积异常收益率变动呈正相关关系</w:t>
      </w:r>
      <w:r w:rsidR="00ED78E5">
        <w:rPr>
          <w:rFonts w:hint="eastAsia"/>
        </w:rPr>
        <w:t>。</w:t>
      </w:r>
    </w:p>
    <w:p w14:paraId="151756C8" w14:textId="4D84A2AD" w:rsidR="0080179C" w:rsidRDefault="002B54FF">
      <w:pPr>
        <w:ind w:firstLine="420"/>
        <w:rPr>
          <w:rFonts w:ascii="宋体" w:hAnsi="宋体"/>
        </w:rPr>
      </w:pPr>
      <w:r>
        <w:rPr>
          <w:rFonts w:ascii="宋体" w:hAnsi="宋体" w:hint="eastAsia"/>
        </w:rPr>
        <w:lastRenderedPageBreak/>
        <w:t>第五部分</w:t>
      </w:r>
      <w:r w:rsidR="00773D17">
        <w:rPr>
          <w:rFonts w:ascii="宋体" w:hAnsi="宋体" w:hint="eastAsia"/>
        </w:rPr>
        <w:t>是</w:t>
      </w:r>
      <w:r w:rsidR="00C13B17">
        <w:rPr>
          <w:rFonts w:ascii="宋体" w:hAnsi="宋体" w:hint="eastAsia"/>
        </w:rPr>
        <w:t>结论和总结</w:t>
      </w:r>
      <w:r w:rsidR="0080179C">
        <w:rPr>
          <w:rFonts w:ascii="宋体" w:hAnsi="宋体" w:hint="eastAsia"/>
        </w:rPr>
        <w:t>。</w:t>
      </w:r>
      <w:r w:rsidR="002E590B">
        <w:rPr>
          <w:rFonts w:ascii="宋体" w:hAnsi="宋体" w:hint="eastAsia"/>
        </w:rPr>
        <w:t>在利用模型和计量软件进行实证分析过程之后，我们总结了论文的假设和对应的实证结果</w:t>
      </w:r>
      <w:r w:rsidR="0080179C">
        <w:rPr>
          <w:rFonts w:ascii="宋体" w:hAnsi="宋体" w:hint="eastAsia"/>
        </w:rPr>
        <w:t>，</w:t>
      </w:r>
      <w:r w:rsidR="002E590B">
        <w:rPr>
          <w:rFonts w:ascii="宋体" w:hAnsi="宋体" w:hint="eastAsia"/>
        </w:rPr>
        <w:t>与此同时，对本文研究假设，研究方法和研究结果等方面存在的不足进行了列举和分析</w:t>
      </w:r>
      <w:r w:rsidR="00257A8D">
        <w:rPr>
          <w:rFonts w:ascii="宋体" w:hAnsi="宋体" w:hint="eastAsia"/>
        </w:rPr>
        <w:t>，希望能够对以后的学习研究和进一步的深入了解做好充分准备。</w:t>
      </w:r>
    </w:p>
    <w:p w14:paraId="3B6905EE" w14:textId="77777777" w:rsidR="0080179C" w:rsidRDefault="0080179C">
      <w:pPr>
        <w:pStyle w:val="3"/>
      </w:pPr>
      <w:bookmarkStart w:id="23" w:name="_Toc1714"/>
      <w:r>
        <w:rPr>
          <w:rFonts w:hint="eastAsia"/>
        </w:rPr>
        <w:t>研究方法</w:t>
      </w:r>
      <w:bookmarkEnd w:id="23"/>
    </w:p>
    <w:p w14:paraId="47155C0B" w14:textId="0C2D35E1" w:rsidR="0080179C" w:rsidRDefault="00EC6C21" w:rsidP="00F87BE9">
      <w:pPr>
        <w:tabs>
          <w:tab w:val="left" w:pos="613"/>
        </w:tabs>
        <w:ind w:firstLineChars="200" w:firstLine="480"/>
        <w:jc w:val="left"/>
        <w:rPr>
          <w:rFonts w:ascii="宋体" w:hAnsi="宋体"/>
        </w:rPr>
      </w:pPr>
      <w:r>
        <w:rPr>
          <w:rFonts w:ascii="宋体" w:hAnsi="宋体" w:hint="eastAsia"/>
        </w:rPr>
        <w:t>在行文过程中，我们采用了文献综述法，理论分析法和实证研究法来进行文章撰写，首先，我们对国内外相关理论和模型研究进行汇总，总结概括课题的相关研究，其次，我们通过对相关理论的学习与理解，进行大胆猜想并提出假设，最后</w:t>
      </w:r>
      <w:r w:rsidR="00F10965">
        <w:rPr>
          <w:rFonts w:ascii="宋体" w:hAnsi="宋体" w:hint="eastAsia"/>
        </w:rPr>
        <w:t>进行实证分析得出结果。综合考虑</w:t>
      </w:r>
      <w:r w:rsidR="0080179C">
        <w:rPr>
          <w:rFonts w:ascii="宋体" w:hAnsi="宋体" w:hint="eastAsia"/>
        </w:rPr>
        <w:t>（1）</w:t>
      </w:r>
      <w:r w:rsidR="00EE38B3">
        <w:rPr>
          <w:rFonts w:ascii="宋体" w:hAnsi="宋体" w:hint="eastAsia"/>
        </w:rPr>
        <w:t>独立董事制度</w:t>
      </w:r>
      <w:r w:rsidR="0080179C">
        <w:rPr>
          <w:rFonts w:ascii="宋体" w:hAnsi="宋体" w:hint="eastAsia"/>
        </w:rPr>
        <w:t>（2）</w:t>
      </w:r>
      <w:r w:rsidR="001809EF">
        <w:rPr>
          <w:rFonts w:ascii="宋体" w:hAnsi="宋体" w:hint="eastAsia"/>
        </w:rPr>
        <w:t>独立董事辞职原因</w:t>
      </w:r>
      <w:r w:rsidR="0080179C">
        <w:rPr>
          <w:rFonts w:ascii="宋体" w:hAnsi="宋体" w:hint="eastAsia"/>
        </w:rPr>
        <w:t>（3）</w:t>
      </w:r>
      <w:r w:rsidR="001809EF">
        <w:rPr>
          <w:rFonts w:ascii="宋体" w:hAnsi="宋体" w:hint="eastAsia"/>
        </w:rPr>
        <w:t>独立董事辞职</w:t>
      </w:r>
      <w:r w:rsidR="0080179C">
        <w:rPr>
          <w:rFonts w:ascii="宋体" w:hAnsi="宋体" w:hint="eastAsia"/>
        </w:rPr>
        <w:t>的</w:t>
      </w:r>
      <w:r w:rsidR="001809EF">
        <w:rPr>
          <w:rFonts w:ascii="宋体" w:hAnsi="宋体" w:hint="eastAsia"/>
        </w:rPr>
        <w:t>影响</w:t>
      </w:r>
      <w:r w:rsidR="0080179C">
        <w:rPr>
          <w:rFonts w:ascii="宋体" w:hAnsi="宋体" w:hint="eastAsia"/>
        </w:rPr>
        <w:t>，</w:t>
      </w:r>
      <w:r w:rsidR="00F10965">
        <w:rPr>
          <w:rFonts w:ascii="宋体" w:hAnsi="宋体" w:hint="eastAsia"/>
        </w:rPr>
        <w:t>作为文章主体部分。我们选取了</w:t>
      </w:r>
      <w:r w:rsidR="001809EF">
        <w:rPr>
          <w:rFonts w:ascii="宋体" w:hAnsi="宋体"/>
        </w:rPr>
        <w:t>2021</w:t>
      </w:r>
      <w:r w:rsidR="0080179C">
        <w:rPr>
          <w:rFonts w:ascii="宋体" w:hAnsi="宋体" w:hint="eastAsia"/>
        </w:rPr>
        <w:t>年</w:t>
      </w:r>
      <w:r w:rsidR="001809EF">
        <w:rPr>
          <w:rFonts w:ascii="宋体" w:hAnsi="宋体" w:hint="eastAsia"/>
        </w:rPr>
        <w:t>1</w:t>
      </w:r>
      <w:r w:rsidR="001809EF">
        <w:rPr>
          <w:rFonts w:ascii="宋体" w:hAnsi="宋体"/>
        </w:rPr>
        <w:t>1</w:t>
      </w:r>
      <w:r w:rsidR="001809EF">
        <w:rPr>
          <w:rFonts w:ascii="宋体" w:hAnsi="宋体" w:hint="eastAsia"/>
        </w:rPr>
        <w:t>月1</w:t>
      </w:r>
      <w:r w:rsidR="001809EF">
        <w:rPr>
          <w:rFonts w:ascii="宋体" w:hAnsi="宋体"/>
        </w:rPr>
        <w:t>2</w:t>
      </w:r>
      <w:r w:rsidR="001809EF">
        <w:rPr>
          <w:rFonts w:ascii="宋体" w:hAnsi="宋体" w:hint="eastAsia"/>
        </w:rPr>
        <w:t>日判决书</w:t>
      </w:r>
      <w:r w:rsidR="000F55EC">
        <w:rPr>
          <w:rFonts w:ascii="宋体" w:hAnsi="宋体" w:hint="eastAsia"/>
        </w:rPr>
        <w:t>发布到2</w:t>
      </w:r>
      <w:r w:rsidR="000F55EC">
        <w:rPr>
          <w:rFonts w:ascii="宋体" w:hAnsi="宋体"/>
        </w:rPr>
        <w:t>022</w:t>
      </w:r>
      <w:r w:rsidR="000F55EC">
        <w:rPr>
          <w:rFonts w:ascii="宋体" w:hAnsi="宋体" w:hint="eastAsia"/>
        </w:rPr>
        <w:t>年3月1日时间范围内，发布独立董事辞职公告的A股上市公司的</w:t>
      </w:r>
      <w:r w:rsidR="00F87BE9">
        <w:rPr>
          <w:rFonts w:ascii="宋体" w:hAnsi="宋体" w:hint="eastAsia"/>
        </w:rPr>
        <w:t>各类信息</w:t>
      </w:r>
      <w:r w:rsidR="0080179C">
        <w:rPr>
          <w:rFonts w:ascii="宋体" w:hAnsi="宋体" w:hint="eastAsia"/>
        </w:rPr>
        <w:t>，运用</w:t>
      </w:r>
      <w:r w:rsidR="00F10965">
        <w:rPr>
          <w:rFonts w:ascii="宋体" w:hAnsi="宋体" w:hint="eastAsia"/>
        </w:rPr>
        <w:t>理论模型</w:t>
      </w:r>
      <w:r w:rsidR="0080179C">
        <w:rPr>
          <w:rFonts w:ascii="宋体" w:hAnsi="宋体" w:hint="eastAsia"/>
        </w:rPr>
        <w:t>和</w:t>
      </w:r>
      <w:r w:rsidR="00F10965">
        <w:rPr>
          <w:rFonts w:ascii="宋体" w:hAnsi="宋体" w:hint="eastAsia"/>
        </w:rPr>
        <w:t>s</w:t>
      </w:r>
      <w:r w:rsidR="00F10965">
        <w:rPr>
          <w:rFonts w:ascii="宋体" w:hAnsi="宋体"/>
        </w:rPr>
        <w:t>tata15</w:t>
      </w:r>
      <w:r w:rsidR="00F87BE9">
        <w:rPr>
          <w:rFonts w:ascii="宋体" w:hAnsi="宋体" w:hint="eastAsia"/>
        </w:rPr>
        <w:t>分析</w:t>
      </w:r>
      <w:r w:rsidR="00001788">
        <w:rPr>
          <w:rFonts w:ascii="宋体" w:hAnsi="宋体" w:hint="eastAsia"/>
        </w:rPr>
        <w:t>独立董事辞职与公司价值变动的关系</w:t>
      </w:r>
      <w:r w:rsidR="00F87BE9">
        <w:rPr>
          <w:rFonts w:ascii="宋体" w:hAnsi="宋体" w:hint="eastAsia"/>
        </w:rPr>
        <w:t>，并给出实验结果。</w:t>
      </w:r>
    </w:p>
    <w:p w14:paraId="1978F102" w14:textId="77777777" w:rsidR="0080179C" w:rsidRPr="00F10965" w:rsidRDefault="0080179C">
      <w:pPr>
        <w:tabs>
          <w:tab w:val="left" w:pos="613"/>
        </w:tabs>
        <w:jc w:val="left"/>
        <w:rPr>
          <w:rFonts w:ascii="宋体" w:hAnsi="宋体"/>
        </w:rPr>
      </w:pPr>
    </w:p>
    <w:p w14:paraId="4FC2997D" w14:textId="2AEAFDA5" w:rsidR="0080179C" w:rsidRDefault="0080179C" w:rsidP="001A35BE">
      <w:pPr>
        <w:pStyle w:val="1"/>
        <w:spacing w:before="163" w:after="163"/>
        <w:ind w:left="432" w:hanging="432"/>
      </w:pPr>
      <w:bookmarkStart w:id="24" w:name="_Toc397"/>
      <w:bookmarkStart w:id="25" w:name="_Toc1903"/>
      <w:r>
        <w:rPr>
          <w:rFonts w:hint="eastAsia"/>
        </w:rPr>
        <w:br w:type="page"/>
      </w:r>
      <w:bookmarkStart w:id="26" w:name="_Toc104938600"/>
      <w:r>
        <w:rPr>
          <w:rFonts w:hint="eastAsia"/>
        </w:rPr>
        <w:lastRenderedPageBreak/>
        <w:t>理论基础与文献综述</w:t>
      </w:r>
      <w:bookmarkEnd w:id="24"/>
      <w:bookmarkEnd w:id="25"/>
      <w:bookmarkEnd w:id="26"/>
    </w:p>
    <w:p w14:paraId="7787405A" w14:textId="43888771" w:rsidR="0080179C" w:rsidRPr="00693815" w:rsidRDefault="0052747E" w:rsidP="00693815">
      <w:pPr>
        <w:pStyle w:val="2"/>
        <w:spacing w:before="163" w:after="163"/>
      </w:pPr>
      <w:bookmarkStart w:id="27" w:name="_Toc27628"/>
      <w:bookmarkStart w:id="28" w:name="_Toc17871"/>
      <w:bookmarkStart w:id="29" w:name="_Toc104938601"/>
      <w:r w:rsidRPr="00693815">
        <w:rPr>
          <w:rFonts w:hint="eastAsia"/>
        </w:rPr>
        <w:t>独立董事制度</w:t>
      </w:r>
      <w:r w:rsidR="0080179C" w:rsidRPr="00693815">
        <w:rPr>
          <w:rFonts w:hint="eastAsia"/>
        </w:rPr>
        <w:t>的国内外研究</w:t>
      </w:r>
      <w:bookmarkEnd w:id="27"/>
      <w:bookmarkEnd w:id="28"/>
      <w:bookmarkEnd w:id="29"/>
    </w:p>
    <w:p w14:paraId="1ABCA4C6" w14:textId="209FA1A2" w:rsidR="0089461E" w:rsidRDefault="004A037F">
      <w:pPr>
        <w:tabs>
          <w:tab w:val="left" w:pos="1208"/>
        </w:tabs>
        <w:ind w:firstLine="420"/>
        <w:rPr>
          <w:szCs w:val="24"/>
        </w:rPr>
      </w:pPr>
      <w:r>
        <w:rPr>
          <w:rFonts w:hint="eastAsia"/>
          <w:szCs w:val="24"/>
        </w:rPr>
        <w:t>1</w:t>
      </w:r>
      <w:r>
        <w:rPr>
          <w:szCs w:val="24"/>
        </w:rPr>
        <w:t>940</w:t>
      </w:r>
      <w:r>
        <w:rPr>
          <w:rFonts w:hint="eastAsia"/>
          <w:szCs w:val="24"/>
        </w:rPr>
        <w:t>年《投资公司法》的横空出世，给美洲大陆的独立董事发展奠定了萌芽和基础</w:t>
      </w:r>
      <w:r w:rsidR="00FD67D3">
        <w:rPr>
          <w:rFonts w:hint="eastAsia"/>
          <w:szCs w:val="24"/>
        </w:rPr>
        <w:t>，</w:t>
      </w:r>
      <w:r>
        <w:rPr>
          <w:rFonts w:hint="eastAsia"/>
          <w:szCs w:val="24"/>
        </w:rPr>
        <w:t>受此约束</w:t>
      </w:r>
      <w:r w:rsidR="00FD67D3">
        <w:rPr>
          <w:rFonts w:hint="eastAsia"/>
          <w:szCs w:val="24"/>
        </w:rPr>
        <w:t>，</w:t>
      </w:r>
      <w:r w:rsidR="00007207">
        <w:rPr>
          <w:rFonts w:hint="eastAsia"/>
          <w:szCs w:val="24"/>
        </w:rPr>
        <w:t>独立人士在投资公司</w:t>
      </w:r>
      <w:r>
        <w:rPr>
          <w:rFonts w:hint="eastAsia"/>
          <w:szCs w:val="24"/>
        </w:rPr>
        <w:t>内部</w:t>
      </w:r>
      <w:r w:rsidR="00007207">
        <w:rPr>
          <w:rFonts w:hint="eastAsia"/>
          <w:szCs w:val="24"/>
        </w:rPr>
        <w:t>董事会</w:t>
      </w:r>
      <w:r>
        <w:rPr>
          <w:rFonts w:hint="eastAsia"/>
          <w:szCs w:val="24"/>
        </w:rPr>
        <w:t>构成结构</w:t>
      </w:r>
      <w:r w:rsidR="00007207">
        <w:rPr>
          <w:rFonts w:hint="eastAsia"/>
          <w:szCs w:val="24"/>
        </w:rPr>
        <w:t>中的比例必须达到</w:t>
      </w:r>
      <w:r w:rsidR="00007207">
        <w:rPr>
          <w:rFonts w:hint="eastAsia"/>
          <w:szCs w:val="24"/>
        </w:rPr>
        <w:t>4</w:t>
      </w:r>
      <w:r w:rsidR="00007207">
        <w:rPr>
          <w:szCs w:val="24"/>
        </w:rPr>
        <w:t>0%</w:t>
      </w:r>
      <w:r w:rsidR="006C2EF4">
        <w:rPr>
          <w:rFonts w:hint="eastAsia"/>
          <w:szCs w:val="24"/>
        </w:rPr>
        <w:t>。</w:t>
      </w:r>
      <w:r w:rsidR="00FD67D3">
        <w:rPr>
          <w:rFonts w:hint="eastAsia"/>
          <w:szCs w:val="24"/>
        </w:rPr>
        <w:t>毫无疑问，独立董事制度产生的初衷就是防止股东和管理层不合理的内部控制，更好地保障投资者</w:t>
      </w:r>
      <w:r w:rsidR="00007207">
        <w:rPr>
          <w:rFonts w:hint="eastAsia"/>
          <w:szCs w:val="24"/>
        </w:rPr>
        <w:t>的</w:t>
      </w:r>
      <w:r w:rsidR="00FD67D3">
        <w:rPr>
          <w:rFonts w:hint="eastAsia"/>
          <w:szCs w:val="24"/>
        </w:rPr>
        <w:t>利益。</w:t>
      </w:r>
      <w:r w:rsidR="006C2EF4">
        <w:rPr>
          <w:szCs w:val="24"/>
        </w:rPr>
        <w:t>1970</w:t>
      </w:r>
      <w:r w:rsidR="006C2EF4">
        <w:rPr>
          <w:rFonts w:hint="eastAsia"/>
          <w:szCs w:val="24"/>
        </w:rPr>
        <w:t>年，</w:t>
      </w:r>
      <w:r w:rsidR="00257A8D">
        <w:rPr>
          <w:rFonts w:hint="eastAsia"/>
          <w:szCs w:val="24"/>
        </w:rPr>
        <w:t>全美范围内，诸多董事和高管卷入到水门事件中的行贿受贿案件中，引发了公众对公司公信力的价值崩坏。为了切实增强市场信息，同时相应的提升</w:t>
      </w:r>
      <w:r w:rsidR="002D4B2C">
        <w:rPr>
          <w:rFonts w:hint="eastAsia"/>
          <w:szCs w:val="24"/>
        </w:rPr>
        <w:t>公司管理层的监督和控制水平</w:t>
      </w:r>
      <w:r w:rsidR="00EF3886">
        <w:rPr>
          <w:rFonts w:hint="eastAsia"/>
          <w:szCs w:val="24"/>
        </w:rPr>
        <w:t>，</w:t>
      </w:r>
      <w:r w:rsidR="00BF610A">
        <w:rPr>
          <w:rFonts w:hint="eastAsia"/>
          <w:szCs w:val="24"/>
        </w:rPr>
        <w:t>一种由独立董事组成的新的审计形式登上了美国公司治理的舞台，</w:t>
      </w:r>
      <w:r w:rsidR="00EF3886">
        <w:rPr>
          <w:rFonts w:hint="eastAsia"/>
          <w:szCs w:val="24"/>
        </w:rPr>
        <w:t>独立董事制度</w:t>
      </w:r>
      <w:r w:rsidR="003C423A">
        <w:rPr>
          <w:rFonts w:hint="eastAsia"/>
          <w:szCs w:val="24"/>
        </w:rPr>
        <w:t>从此越来越成为西方国家治理结构中不可替代的重要管理</w:t>
      </w:r>
      <w:r w:rsidR="00AD67A5">
        <w:rPr>
          <w:rFonts w:hint="eastAsia"/>
          <w:szCs w:val="24"/>
        </w:rPr>
        <w:t>制度</w:t>
      </w:r>
      <w:r w:rsidR="003C423A">
        <w:rPr>
          <w:rFonts w:hint="eastAsia"/>
          <w:szCs w:val="24"/>
        </w:rPr>
        <w:t>。</w:t>
      </w:r>
    </w:p>
    <w:p w14:paraId="5209FEF2" w14:textId="5A462DAD" w:rsidR="0080179C" w:rsidRDefault="00EF3886">
      <w:pPr>
        <w:tabs>
          <w:tab w:val="left" w:pos="1208"/>
        </w:tabs>
        <w:ind w:firstLine="420"/>
        <w:rPr>
          <w:szCs w:val="24"/>
        </w:rPr>
      </w:pPr>
      <w:r>
        <w:rPr>
          <w:rFonts w:hint="eastAsia"/>
          <w:szCs w:val="24"/>
        </w:rPr>
        <w:t>我国</w:t>
      </w:r>
      <w:r w:rsidR="005A1391">
        <w:rPr>
          <w:rFonts w:hint="eastAsia"/>
          <w:szCs w:val="24"/>
        </w:rPr>
        <w:t>独立董事制度的确立则要追溯到</w:t>
      </w:r>
      <w:r w:rsidR="005A1391">
        <w:rPr>
          <w:rFonts w:hint="eastAsia"/>
          <w:szCs w:val="24"/>
        </w:rPr>
        <w:t>2</w:t>
      </w:r>
      <w:r w:rsidR="005A1391">
        <w:rPr>
          <w:szCs w:val="24"/>
        </w:rPr>
        <w:t>001</w:t>
      </w:r>
      <w:r w:rsidR="005A1391">
        <w:rPr>
          <w:rFonts w:hint="eastAsia"/>
          <w:szCs w:val="24"/>
        </w:rPr>
        <w:t>年。</w:t>
      </w:r>
      <w:r w:rsidR="005A1391">
        <w:rPr>
          <w:rFonts w:hint="eastAsia"/>
          <w:szCs w:val="24"/>
        </w:rPr>
        <w:t>1</w:t>
      </w:r>
      <w:r w:rsidR="005A1391">
        <w:rPr>
          <w:szCs w:val="24"/>
        </w:rPr>
        <w:t>978</w:t>
      </w:r>
      <w:r w:rsidR="005A1391">
        <w:rPr>
          <w:rFonts w:hint="eastAsia"/>
          <w:szCs w:val="24"/>
        </w:rPr>
        <w:t>年改革开放以后，</w:t>
      </w:r>
      <w:r w:rsidR="00CB2D09">
        <w:rPr>
          <w:rFonts w:hint="eastAsia"/>
          <w:szCs w:val="24"/>
        </w:rPr>
        <w:t>中国进入了新的发展时代，迎来了前所未有的发展机遇和国内外环境。</w:t>
      </w:r>
      <w:r w:rsidR="00CB2D09">
        <w:rPr>
          <w:rFonts w:hint="eastAsia"/>
          <w:szCs w:val="24"/>
        </w:rPr>
        <w:t>1</w:t>
      </w:r>
      <w:r w:rsidR="00CB2D09">
        <w:rPr>
          <w:szCs w:val="24"/>
        </w:rPr>
        <w:t>9</w:t>
      </w:r>
      <w:r w:rsidR="00024A94">
        <w:rPr>
          <w:szCs w:val="24"/>
        </w:rPr>
        <w:t>84</w:t>
      </w:r>
      <w:r w:rsidR="00024A94">
        <w:rPr>
          <w:rFonts w:hint="eastAsia"/>
          <w:szCs w:val="24"/>
        </w:rPr>
        <w:t>年城市企业改革，</w:t>
      </w:r>
      <w:r w:rsidR="00024A94">
        <w:rPr>
          <w:rFonts w:hint="eastAsia"/>
          <w:szCs w:val="24"/>
        </w:rPr>
        <w:t>1</w:t>
      </w:r>
      <w:r w:rsidR="00024A94">
        <w:rPr>
          <w:szCs w:val="24"/>
        </w:rPr>
        <w:t>992</w:t>
      </w:r>
      <w:r w:rsidR="00024A94">
        <w:rPr>
          <w:rFonts w:hint="eastAsia"/>
          <w:szCs w:val="24"/>
        </w:rPr>
        <w:t>年提出建立社会主义市场经济体制，使得企业日渐成为我国经济活动的主体和细胞，与此同时，合理的企业内部管理也成为提高经济效率的重要手段。</w:t>
      </w:r>
      <w:r w:rsidR="00CB5EF4">
        <w:rPr>
          <w:rFonts w:hint="eastAsia"/>
          <w:szCs w:val="24"/>
        </w:rPr>
        <w:t>或许是响应经济的号召，建立董事制度的指导意见在证监会的推动下与</w:t>
      </w:r>
      <w:r w:rsidR="00CB5EF4">
        <w:rPr>
          <w:rFonts w:hint="eastAsia"/>
          <w:szCs w:val="24"/>
        </w:rPr>
        <w:t>2</w:t>
      </w:r>
      <w:r w:rsidR="00CB5EF4">
        <w:rPr>
          <w:szCs w:val="24"/>
        </w:rPr>
        <w:t>001</w:t>
      </w:r>
      <w:r w:rsidR="00CB5EF4">
        <w:rPr>
          <w:rFonts w:hint="eastAsia"/>
          <w:szCs w:val="24"/>
        </w:rPr>
        <w:t>年应运而生</w:t>
      </w:r>
      <w:r w:rsidR="0089461E">
        <w:rPr>
          <w:rFonts w:hint="eastAsia"/>
          <w:szCs w:val="24"/>
        </w:rPr>
        <w:t>，</w:t>
      </w:r>
      <w:r w:rsidR="00CB5EF4">
        <w:rPr>
          <w:rFonts w:hint="eastAsia"/>
          <w:szCs w:val="24"/>
        </w:rPr>
        <w:t>建立独立董事制度由此成为白纸黑字的约定</w:t>
      </w:r>
      <w:r w:rsidR="0089461E">
        <w:rPr>
          <w:rFonts w:hint="eastAsia"/>
          <w:szCs w:val="24"/>
        </w:rPr>
        <w:t>，</w:t>
      </w:r>
      <w:r w:rsidR="00866E03">
        <w:rPr>
          <w:rFonts w:hint="eastAsia"/>
          <w:szCs w:val="24"/>
        </w:rPr>
        <w:t>独立董事制度的独立不仅在于职务方面，在工作事务中，受聘独立董事除独立董事身份以外不担任公司内部任何其他职务，在权利行使上，独立董事有权独立行使自身权利</w:t>
      </w:r>
      <w:r w:rsidR="0089461E">
        <w:rPr>
          <w:rFonts w:hint="eastAsia"/>
          <w:szCs w:val="24"/>
        </w:rPr>
        <w:t>，</w:t>
      </w:r>
      <w:r w:rsidR="007C3791">
        <w:rPr>
          <w:rFonts w:hint="eastAsia"/>
          <w:szCs w:val="24"/>
        </w:rPr>
        <w:t>在公司组织架构上具备充分自主性。</w:t>
      </w:r>
      <w:r w:rsidR="0089461E">
        <w:rPr>
          <w:rFonts w:hint="eastAsia"/>
          <w:szCs w:val="24"/>
        </w:rPr>
        <w:t>由此标志着</w:t>
      </w:r>
      <w:r w:rsidR="0008316C">
        <w:rPr>
          <w:rFonts w:hint="eastAsia"/>
          <w:szCs w:val="24"/>
        </w:rPr>
        <w:t>我国正式引进并确立独立董事制度。</w:t>
      </w:r>
    </w:p>
    <w:p w14:paraId="16649DE7" w14:textId="51E9E174" w:rsidR="008060C5" w:rsidRPr="00C87EF8" w:rsidRDefault="008060C5" w:rsidP="00C87EF8">
      <w:pPr>
        <w:tabs>
          <w:tab w:val="left" w:pos="1208"/>
        </w:tabs>
        <w:ind w:firstLine="420"/>
      </w:pPr>
      <w:r>
        <w:rPr>
          <w:rFonts w:hint="eastAsia"/>
          <w:szCs w:val="24"/>
        </w:rPr>
        <w:t>关于独立董事制度的作用与意义，</w:t>
      </w:r>
      <w:r>
        <w:t xml:space="preserve">Bang Dang Nguyen </w:t>
      </w:r>
      <w:r w:rsidR="00C031FC">
        <w:rPr>
          <w:rFonts w:hint="eastAsia"/>
        </w:rPr>
        <w:t>et</w:t>
      </w:r>
      <w:r w:rsidR="00C031FC">
        <w:t xml:space="preserve"> al.</w:t>
      </w:r>
      <w:r>
        <w:rPr>
          <w:rFonts w:hint="eastAsia"/>
        </w:rPr>
        <w:t>（</w:t>
      </w:r>
      <w:r>
        <w:rPr>
          <w:rFonts w:hint="eastAsia"/>
        </w:rPr>
        <w:t>2</w:t>
      </w:r>
      <w:r>
        <w:t>010</w:t>
      </w:r>
      <w:r>
        <w:rPr>
          <w:rFonts w:hint="eastAsia"/>
        </w:rPr>
        <w:t>）从反面角度来考察并论证独立董事对公司价值的重要意义，根据</w:t>
      </w:r>
      <w:r>
        <w:rPr>
          <w:rFonts w:hint="eastAsia"/>
        </w:rPr>
        <w:t>1</w:t>
      </w:r>
      <w:r>
        <w:t>994</w:t>
      </w:r>
      <w:r>
        <w:rPr>
          <w:rFonts w:hint="eastAsia"/>
        </w:rPr>
        <w:t>年</w:t>
      </w:r>
      <w:r>
        <w:rPr>
          <w:rFonts w:hint="eastAsia"/>
        </w:rPr>
        <w:t>-</w:t>
      </w:r>
      <w:r>
        <w:t>2007</w:t>
      </w:r>
      <w:r>
        <w:rPr>
          <w:rFonts w:hint="eastAsia"/>
        </w:rPr>
        <w:t>年发生独立董事突然去世事件的美国上市公司数据和市场反应，发现相关公司出现负面的股价波动，同时进一步强调了保持独立董事的独立性这一根本特征对发挥独立董事制度的重要作用。除了独立性以外，</w:t>
      </w:r>
      <w:r>
        <w:t>Ronald W</w:t>
      </w:r>
      <w:r w:rsidR="00C031FC">
        <w:t>,</w:t>
      </w:r>
      <w:r>
        <w:t xml:space="preserve"> </w:t>
      </w:r>
      <w:proofErr w:type="spellStart"/>
      <w:r>
        <w:t>Masulis</w:t>
      </w:r>
      <w:proofErr w:type="spellEnd"/>
      <w:r w:rsidR="00C031FC">
        <w:t xml:space="preserve"> et al.</w:t>
      </w:r>
      <w:r>
        <w:rPr>
          <w:rFonts w:hint="eastAsia"/>
        </w:rPr>
        <w:t>（</w:t>
      </w:r>
      <w:r>
        <w:rPr>
          <w:rFonts w:hint="eastAsia"/>
        </w:rPr>
        <w:t>2</w:t>
      </w:r>
      <w:r>
        <w:t>013</w:t>
      </w:r>
      <w:r>
        <w:rPr>
          <w:rFonts w:hint="eastAsia"/>
        </w:rPr>
        <w:t>）研究认为一定的声誉激励也是独立董事充分发挥自身才能的重要因素，在多个公司任职的独立董事的其精力和才能分配会根据其职位在公司等级的高低进行匹配，职务等</w:t>
      </w:r>
      <w:r>
        <w:rPr>
          <w:rFonts w:hint="eastAsia"/>
        </w:rPr>
        <w:lastRenderedPageBreak/>
        <w:t>级越高的独立董事在相关公司的会议出席率和建议数量会显著增加。无独有偶，</w:t>
      </w:r>
      <w:r>
        <w:t xml:space="preserve"> Alireza </w:t>
      </w:r>
      <w:proofErr w:type="spellStart"/>
      <w:r>
        <w:t>Vafaei</w:t>
      </w:r>
      <w:proofErr w:type="spellEnd"/>
      <w:r w:rsidR="00C031FC">
        <w:t xml:space="preserve"> et al.</w:t>
      </w:r>
      <w:r>
        <w:rPr>
          <w:rFonts w:hint="eastAsia"/>
        </w:rPr>
        <w:t>（</w:t>
      </w:r>
      <w:r>
        <w:rPr>
          <w:rFonts w:hint="eastAsia"/>
        </w:rPr>
        <w:t>2</w:t>
      </w:r>
      <w:r>
        <w:t>022</w:t>
      </w:r>
      <w:r>
        <w:rPr>
          <w:rFonts w:hint="eastAsia"/>
        </w:rPr>
        <w:t>）通过研究</w:t>
      </w:r>
      <w:r>
        <w:rPr>
          <w:rFonts w:hint="eastAsia"/>
        </w:rPr>
        <w:t>2</w:t>
      </w:r>
      <w:r>
        <w:t>004-2019</w:t>
      </w:r>
      <w:r>
        <w:rPr>
          <w:rFonts w:hint="eastAsia"/>
        </w:rPr>
        <w:t>年间澳大利亚前</w:t>
      </w:r>
      <w:r>
        <w:rPr>
          <w:rFonts w:hint="eastAsia"/>
        </w:rPr>
        <w:t>5</w:t>
      </w:r>
      <w:r>
        <w:t>00</w:t>
      </w:r>
      <w:r>
        <w:rPr>
          <w:rFonts w:hint="eastAsia"/>
        </w:rPr>
        <w:t>家上市公司的公司绩效，认为独立董事对自身职位的认可度和尊严感越强，相关公司的公司绩效表现就越优异。</w:t>
      </w:r>
      <w:proofErr w:type="spellStart"/>
      <w:r>
        <w:t>Wonseok</w:t>
      </w:r>
      <w:proofErr w:type="spellEnd"/>
      <w:r>
        <w:t xml:space="preserve"> Choi</w:t>
      </w:r>
      <w:r w:rsidR="00C031FC">
        <w:t xml:space="preserve"> et al.</w:t>
      </w:r>
      <w:r>
        <w:rPr>
          <w:rFonts w:hint="eastAsia"/>
        </w:rPr>
        <w:t>（</w:t>
      </w:r>
      <w:r>
        <w:rPr>
          <w:rFonts w:hint="eastAsia"/>
        </w:rPr>
        <w:t>2</w:t>
      </w:r>
      <w:r>
        <w:t>020</w:t>
      </w:r>
      <w:r>
        <w:rPr>
          <w:rFonts w:hint="eastAsia"/>
        </w:rPr>
        <w:t>）的研究则表明，独立董事在董事会议上提出的反对票数能够体现独立董事对公司事务和公司管理层的监督程度，因而会对公司绩效表现有明显的增强作用。</w:t>
      </w:r>
    </w:p>
    <w:p w14:paraId="64865A89" w14:textId="385DE865" w:rsidR="0008316C" w:rsidRDefault="00CE1273">
      <w:pPr>
        <w:tabs>
          <w:tab w:val="left" w:pos="1208"/>
        </w:tabs>
        <w:ind w:firstLine="420"/>
        <w:rPr>
          <w:szCs w:val="24"/>
        </w:rPr>
      </w:pPr>
      <w:r>
        <w:rPr>
          <w:rFonts w:hint="eastAsia"/>
          <w:szCs w:val="24"/>
        </w:rPr>
        <w:t>委托代理理论和董事会职能分化理论是独立董事制度设计的基本理论。委托代理理论是指由于所有权和经营权的分离，委托人（股东）与代理人（管理层）</w:t>
      </w:r>
      <w:r w:rsidR="002F1C27">
        <w:rPr>
          <w:rFonts w:hint="eastAsia"/>
          <w:szCs w:val="24"/>
        </w:rPr>
        <w:t>由于利益冲突导致的委托人意志与代理人实际行为产生冲突的现实情况，而且由于沟通成本</w:t>
      </w:r>
      <w:r w:rsidR="001418B4">
        <w:rPr>
          <w:rFonts w:hint="eastAsia"/>
          <w:szCs w:val="24"/>
        </w:rPr>
        <w:t>，外界氛围等限制因素导致的信息不对称，会产生事前的逆向选择和事后的道德风险，从而加剧委托代理问题。由于实际运行中，企业股东和公司管理层之间的代理问题比较突出，需要新的董事制度来加强公司的内部监督和控制管理。</w:t>
      </w:r>
      <w:r w:rsidR="00527C82">
        <w:rPr>
          <w:rFonts w:hint="eastAsia"/>
          <w:szCs w:val="24"/>
        </w:rPr>
        <w:t>代理理论产生的代理问题的解决，尤其是公司全局管</w:t>
      </w:r>
      <w:proofErr w:type="gramStart"/>
      <w:r w:rsidR="00527C82">
        <w:rPr>
          <w:rFonts w:hint="eastAsia"/>
          <w:szCs w:val="24"/>
        </w:rPr>
        <w:t>控方针</w:t>
      </w:r>
      <w:proofErr w:type="gramEnd"/>
      <w:r w:rsidR="00527C82">
        <w:rPr>
          <w:rFonts w:hint="eastAsia"/>
          <w:szCs w:val="24"/>
        </w:rPr>
        <w:t>中的重中之重，特别是</w:t>
      </w:r>
      <w:r w:rsidR="009E5683">
        <w:rPr>
          <w:rFonts w:hint="eastAsia"/>
          <w:szCs w:val="24"/>
        </w:rPr>
        <w:t>是股东与董事之间的委托代理问题</w:t>
      </w:r>
      <w:r w:rsidR="00007207">
        <w:rPr>
          <w:rFonts w:hint="eastAsia"/>
          <w:szCs w:val="24"/>
        </w:rPr>
        <w:t>。曹立（</w:t>
      </w:r>
      <w:r w:rsidR="00007207">
        <w:rPr>
          <w:rFonts w:hint="eastAsia"/>
          <w:szCs w:val="24"/>
        </w:rPr>
        <w:t>2</w:t>
      </w:r>
      <w:r w:rsidR="00007207">
        <w:rPr>
          <w:szCs w:val="24"/>
        </w:rPr>
        <w:t>001</w:t>
      </w:r>
      <w:r w:rsidR="00007207">
        <w:rPr>
          <w:rFonts w:hint="eastAsia"/>
          <w:szCs w:val="24"/>
        </w:rPr>
        <w:t>）研究表明</w:t>
      </w:r>
      <w:r w:rsidR="00E003DD">
        <w:rPr>
          <w:rFonts w:hint="eastAsia"/>
          <w:szCs w:val="24"/>
        </w:rPr>
        <w:t>调解管理层内部的矛盾关系，不仅要完善公司管理框架，更要提高独立董事在董事会构成中的比例</w:t>
      </w:r>
      <w:r w:rsidR="009E5683">
        <w:rPr>
          <w:rFonts w:hint="eastAsia"/>
          <w:szCs w:val="24"/>
        </w:rPr>
        <w:t>，制衡大股东，维护</w:t>
      </w:r>
      <w:r w:rsidR="002A3B0E">
        <w:rPr>
          <w:rFonts w:hint="eastAsia"/>
          <w:szCs w:val="24"/>
        </w:rPr>
        <w:t>中小股东</w:t>
      </w:r>
      <w:r w:rsidR="009E5683">
        <w:rPr>
          <w:rFonts w:hint="eastAsia"/>
          <w:szCs w:val="24"/>
        </w:rPr>
        <w:t>利益</w:t>
      </w:r>
      <w:r w:rsidR="00007207">
        <w:rPr>
          <w:rFonts w:hint="eastAsia"/>
          <w:szCs w:val="24"/>
        </w:rPr>
        <w:t>。</w:t>
      </w:r>
      <w:r w:rsidR="001C3220">
        <w:rPr>
          <w:rFonts w:hint="eastAsia"/>
          <w:szCs w:val="24"/>
        </w:rPr>
        <w:t>回首我国证券市场发展的十几年历史轨迹</w:t>
      </w:r>
      <w:r w:rsidR="002A3B0E" w:rsidRPr="002A3B0E">
        <w:rPr>
          <w:szCs w:val="24"/>
        </w:rPr>
        <w:t>，</w:t>
      </w:r>
      <w:r w:rsidR="00D21B85">
        <w:rPr>
          <w:rFonts w:hint="eastAsia"/>
          <w:szCs w:val="24"/>
        </w:rPr>
        <w:t>从整个中国市场上来看</w:t>
      </w:r>
      <w:r w:rsidR="002A3B0E" w:rsidRPr="002A3B0E">
        <w:rPr>
          <w:szCs w:val="24"/>
        </w:rPr>
        <w:t>，</w:t>
      </w:r>
      <w:r w:rsidR="005E6A05" w:rsidRPr="002A3B0E">
        <w:rPr>
          <w:szCs w:val="24"/>
        </w:rPr>
        <w:t>高</w:t>
      </w:r>
      <w:r w:rsidR="005E6A05">
        <w:rPr>
          <w:rFonts w:hint="eastAsia"/>
          <w:szCs w:val="24"/>
        </w:rPr>
        <w:t>垚（</w:t>
      </w:r>
      <w:r w:rsidR="005E6A05">
        <w:rPr>
          <w:rFonts w:hint="eastAsia"/>
          <w:szCs w:val="24"/>
        </w:rPr>
        <w:t>2</w:t>
      </w:r>
      <w:r w:rsidR="005E6A05">
        <w:rPr>
          <w:szCs w:val="24"/>
        </w:rPr>
        <w:t>007</w:t>
      </w:r>
      <w:r w:rsidR="005E6A05">
        <w:rPr>
          <w:rFonts w:hint="eastAsia"/>
          <w:szCs w:val="24"/>
        </w:rPr>
        <w:t>）研究表明</w:t>
      </w:r>
      <w:r w:rsidR="00D21B85">
        <w:rPr>
          <w:rFonts w:hint="eastAsia"/>
          <w:szCs w:val="24"/>
        </w:rPr>
        <w:t>与英美企业等相比较</w:t>
      </w:r>
      <w:r w:rsidR="002A3B0E" w:rsidRPr="002A3B0E">
        <w:rPr>
          <w:szCs w:val="24"/>
        </w:rPr>
        <w:t>，</w:t>
      </w:r>
      <w:r w:rsidR="00D21B85">
        <w:rPr>
          <w:rFonts w:hint="eastAsia"/>
          <w:szCs w:val="24"/>
        </w:rPr>
        <w:t>我国上市公司的股权分散程度并不高</w:t>
      </w:r>
      <w:r w:rsidR="002A3B0E" w:rsidRPr="002A3B0E">
        <w:rPr>
          <w:szCs w:val="24"/>
        </w:rPr>
        <w:t>，</w:t>
      </w:r>
      <w:r w:rsidR="002A3B0E" w:rsidRPr="002A3B0E">
        <w:rPr>
          <w:szCs w:val="24"/>
        </w:rPr>
        <w:t>“</w:t>
      </w:r>
      <w:r w:rsidR="002A3B0E" w:rsidRPr="002A3B0E">
        <w:rPr>
          <w:szCs w:val="24"/>
        </w:rPr>
        <w:t>一股独大</w:t>
      </w:r>
      <w:r w:rsidR="002A3B0E" w:rsidRPr="002A3B0E">
        <w:rPr>
          <w:szCs w:val="24"/>
        </w:rPr>
        <w:t>”</w:t>
      </w:r>
      <w:r w:rsidR="002A3B0E" w:rsidRPr="002A3B0E">
        <w:rPr>
          <w:szCs w:val="24"/>
        </w:rPr>
        <w:t>的现象较为普遍。此时，独立董事不再像英美企业一样是股东的代理人而成为小股东的代理人，其所谓的</w:t>
      </w:r>
      <w:r w:rsidR="002A3B0E" w:rsidRPr="002A3B0E">
        <w:rPr>
          <w:szCs w:val="24"/>
        </w:rPr>
        <w:t>“</w:t>
      </w:r>
      <w:r w:rsidR="002A3B0E" w:rsidRPr="002A3B0E">
        <w:rPr>
          <w:szCs w:val="24"/>
        </w:rPr>
        <w:t>独立性</w:t>
      </w:r>
      <w:r w:rsidR="002A3B0E" w:rsidRPr="002A3B0E">
        <w:rPr>
          <w:szCs w:val="24"/>
        </w:rPr>
        <w:t>”</w:t>
      </w:r>
      <w:r w:rsidR="002A3B0E" w:rsidRPr="002A3B0E">
        <w:rPr>
          <w:szCs w:val="24"/>
        </w:rPr>
        <w:t>也是指对大股东的独立，对小股东利益的保护</w:t>
      </w:r>
      <w:r w:rsidR="006A4942">
        <w:rPr>
          <w:rFonts w:hint="eastAsia"/>
          <w:szCs w:val="24"/>
        </w:rPr>
        <w:t>.</w:t>
      </w:r>
      <w:r w:rsidR="002A3B0E" w:rsidRPr="002A3B0E">
        <w:rPr>
          <w:szCs w:val="24"/>
        </w:rPr>
        <w:t xml:space="preserve"> </w:t>
      </w:r>
      <w:r w:rsidR="002D6A57">
        <w:rPr>
          <w:rFonts w:hint="eastAsia"/>
          <w:szCs w:val="24"/>
        </w:rPr>
        <w:t>同时，</w:t>
      </w:r>
      <w:r w:rsidR="005E6A05">
        <w:rPr>
          <w:rFonts w:hint="eastAsia"/>
          <w:szCs w:val="24"/>
        </w:rPr>
        <w:t>牛子晗（</w:t>
      </w:r>
      <w:r w:rsidR="005E6A05">
        <w:rPr>
          <w:rFonts w:hint="eastAsia"/>
          <w:szCs w:val="24"/>
        </w:rPr>
        <w:t>2</w:t>
      </w:r>
      <w:r w:rsidR="005E6A05">
        <w:rPr>
          <w:szCs w:val="24"/>
        </w:rPr>
        <w:t>019</w:t>
      </w:r>
      <w:r w:rsidR="005E6A05">
        <w:rPr>
          <w:rFonts w:hint="eastAsia"/>
          <w:szCs w:val="24"/>
        </w:rPr>
        <w:t>）研究认为中国的上市公司应当</w:t>
      </w:r>
      <w:r w:rsidR="002D6A57">
        <w:rPr>
          <w:rFonts w:hint="eastAsia"/>
          <w:szCs w:val="24"/>
        </w:rPr>
        <w:t>反对一刀切的独立董事制度，</w:t>
      </w:r>
      <w:r w:rsidR="0024480F">
        <w:rPr>
          <w:rFonts w:hint="eastAsia"/>
          <w:szCs w:val="24"/>
        </w:rPr>
        <w:t>基于哈贝马斯的交往行为理论，公司内部董事和独立董事之间的有效沟通能够较大幅度的改善信息不对称的情况。</w:t>
      </w:r>
      <w:r w:rsidR="0024480F">
        <w:rPr>
          <w:rFonts w:hint="eastAsia"/>
          <w:szCs w:val="24"/>
        </w:rPr>
        <w:t>.</w:t>
      </w:r>
      <w:r w:rsidR="005E6A05" w:rsidRPr="005E6A05">
        <w:rPr>
          <w:rFonts w:hint="eastAsia"/>
          <w:szCs w:val="24"/>
        </w:rPr>
        <w:t xml:space="preserve"> </w:t>
      </w:r>
      <w:r w:rsidR="005E6A05">
        <w:rPr>
          <w:rFonts w:hint="eastAsia"/>
          <w:szCs w:val="24"/>
        </w:rPr>
        <w:t>陆晓飞（</w:t>
      </w:r>
      <w:r w:rsidR="005E6A05">
        <w:rPr>
          <w:rFonts w:hint="eastAsia"/>
          <w:szCs w:val="24"/>
        </w:rPr>
        <w:t>2</w:t>
      </w:r>
      <w:r w:rsidR="005E6A05">
        <w:rPr>
          <w:szCs w:val="24"/>
        </w:rPr>
        <w:t>011</w:t>
      </w:r>
      <w:r w:rsidR="005E6A05">
        <w:rPr>
          <w:rFonts w:hint="eastAsia"/>
          <w:szCs w:val="24"/>
        </w:rPr>
        <w:t>）研究认为，</w:t>
      </w:r>
      <w:r w:rsidR="00A36BE0">
        <w:rPr>
          <w:rFonts w:hint="eastAsia"/>
          <w:szCs w:val="24"/>
        </w:rPr>
        <w:t>根据董事会职能分化理论，在一元治理结构的公司中，监事会的缺少使得董事会承担了自我决策和自我监督的职责，为了满足权力制衡的需要，应当对董事会内部组成进行分化，这为独立董事制度的设计提供了理论基础。</w:t>
      </w:r>
    </w:p>
    <w:p w14:paraId="0790C7FF" w14:textId="01E43803" w:rsidR="00604141" w:rsidRDefault="009A530D" w:rsidP="00604141">
      <w:pPr>
        <w:pStyle w:val="2"/>
        <w:spacing w:before="163" w:after="163"/>
      </w:pPr>
      <w:bookmarkStart w:id="30" w:name="_Toc18149"/>
      <w:bookmarkStart w:id="31" w:name="_Toc29849"/>
      <w:bookmarkStart w:id="32" w:name="_Toc104938602"/>
      <w:r>
        <w:rPr>
          <w:rFonts w:hint="eastAsia"/>
        </w:rPr>
        <w:lastRenderedPageBreak/>
        <w:t>独立董事辞职</w:t>
      </w:r>
      <w:r w:rsidR="0080179C">
        <w:rPr>
          <w:rFonts w:hint="eastAsia"/>
        </w:rPr>
        <w:t>影响因素的国内外研究</w:t>
      </w:r>
      <w:bookmarkEnd w:id="30"/>
      <w:bookmarkEnd w:id="31"/>
      <w:bookmarkEnd w:id="32"/>
    </w:p>
    <w:p w14:paraId="0F652CE7" w14:textId="0FB0E0D2" w:rsidR="00604141" w:rsidRDefault="002F359E">
      <w:pPr>
        <w:ind w:firstLine="420"/>
      </w:pPr>
      <w:r>
        <w:rPr>
          <w:rFonts w:hint="eastAsia"/>
        </w:rPr>
        <w:t>为了更好的分析与概括，</w:t>
      </w:r>
      <w:r w:rsidR="00046CED">
        <w:rPr>
          <w:rFonts w:hint="eastAsia"/>
        </w:rPr>
        <w:t>根据独立董事辞职事件主体的不同，其不同的特征会对影响因素有不同的反馈作用</w:t>
      </w:r>
      <w:r w:rsidR="0080179C">
        <w:rPr>
          <w:rFonts w:hint="eastAsia"/>
        </w:rPr>
        <w:t>。</w:t>
      </w:r>
      <w:r w:rsidR="00604141">
        <w:rPr>
          <w:rFonts w:hint="eastAsia"/>
        </w:rPr>
        <w:t>首先</w:t>
      </w:r>
      <w:r w:rsidR="0080179C">
        <w:rPr>
          <w:rFonts w:hint="eastAsia"/>
        </w:rPr>
        <w:t>是</w:t>
      </w:r>
      <w:r w:rsidR="00604141">
        <w:rPr>
          <w:rFonts w:hint="eastAsia"/>
        </w:rPr>
        <w:t>公司自身的经营状况，其次是独立董事任期内的任职成本，最后是独立董事自身的风险感知</w:t>
      </w:r>
      <w:r w:rsidR="00F95425">
        <w:rPr>
          <w:rFonts w:hint="eastAsia"/>
        </w:rPr>
        <w:t>。</w:t>
      </w:r>
    </w:p>
    <w:p w14:paraId="11DC9710" w14:textId="757C003B" w:rsidR="00604141" w:rsidRPr="00604141" w:rsidRDefault="00604141" w:rsidP="00604141">
      <w:pPr>
        <w:ind w:firstLine="420"/>
      </w:pPr>
      <w:r>
        <w:rPr>
          <w:rFonts w:hint="eastAsia"/>
        </w:rPr>
        <w:t>首先是公司自身经营状况。关于独立董事辞职是如何受公司自身经营状况所影响的研究，主要是考察公司经济状况对独立董事的影响。</w:t>
      </w:r>
      <w:bookmarkStart w:id="33" w:name="_Toc26475"/>
      <w:bookmarkStart w:id="34" w:name="_Toc23658"/>
      <w:r>
        <w:rPr>
          <w:rFonts w:hint="eastAsia"/>
        </w:rPr>
        <w:t>Ar</w:t>
      </w:r>
      <w:r>
        <w:t>thaud-Day</w:t>
      </w:r>
      <w:r>
        <w:rPr>
          <w:rFonts w:hint="eastAsia"/>
        </w:rPr>
        <w:t>（</w:t>
      </w:r>
      <w:r>
        <w:rPr>
          <w:rFonts w:hint="eastAsia"/>
        </w:rPr>
        <w:t>2</w:t>
      </w:r>
      <w:r>
        <w:t>002</w:t>
      </w:r>
      <w:r>
        <w:rPr>
          <w:rFonts w:hint="eastAsia"/>
        </w:rPr>
        <w:t>）</w:t>
      </w:r>
      <w:r w:rsidR="007B3CE7">
        <w:rPr>
          <w:rFonts w:hint="eastAsia"/>
        </w:rPr>
        <w:t>分析了</w:t>
      </w:r>
      <w:r w:rsidR="008C0A26">
        <w:rPr>
          <w:rFonts w:hint="eastAsia"/>
        </w:rPr>
        <w:t>美国境内</w:t>
      </w:r>
      <w:r w:rsidR="007B3CE7">
        <w:rPr>
          <w:rFonts w:hint="eastAsia"/>
        </w:rPr>
        <w:t>1</w:t>
      </w:r>
      <w:r w:rsidR="007B3CE7">
        <w:t>997-2002</w:t>
      </w:r>
      <w:r w:rsidR="007B3CE7">
        <w:rPr>
          <w:rFonts w:hint="eastAsia"/>
        </w:rPr>
        <w:t>年有独立董事辞职的公司</w:t>
      </w:r>
      <w:r>
        <w:rPr>
          <w:rFonts w:hint="eastAsia"/>
        </w:rPr>
        <w:t>，发现</w:t>
      </w:r>
      <w:r w:rsidR="008C0A26">
        <w:rPr>
          <w:rFonts w:hint="eastAsia"/>
        </w:rPr>
        <w:t>在公司风险时期该事件频率和概率会更加显著</w:t>
      </w:r>
      <w:r>
        <w:rPr>
          <w:rFonts w:hint="eastAsia"/>
        </w:rPr>
        <w:t>，</w:t>
      </w:r>
      <w:r w:rsidR="007B3CE7">
        <w:rPr>
          <w:rFonts w:hint="eastAsia"/>
        </w:rPr>
        <w:t>且公司经营状况与辞职行为存在正相关关系，</w:t>
      </w:r>
      <w:r w:rsidR="008C73AA">
        <w:rPr>
          <w:rFonts w:hint="eastAsia"/>
        </w:rPr>
        <w:t>公司的经营状况越差，独立董事辞职的概率越高</w:t>
      </w:r>
      <w:r>
        <w:rPr>
          <w:rFonts w:hint="eastAsia"/>
        </w:rPr>
        <w:t>，</w:t>
      </w:r>
      <w:r w:rsidR="008C73AA">
        <w:rPr>
          <w:rFonts w:hint="eastAsia"/>
        </w:rPr>
        <w:t>尤其是期间内出现</w:t>
      </w:r>
      <w:r w:rsidR="008C73AA">
        <w:rPr>
          <w:rFonts w:hint="eastAsia"/>
        </w:rPr>
        <w:t>C</w:t>
      </w:r>
      <w:r w:rsidR="008C73AA">
        <w:t>EO</w:t>
      </w:r>
      <w:r w:rsidR="008C73AA">
        <w:rPr>
          <w:rFonts w:hint="eastAsia"/>
        </w:rPr>
        <w:t>变动情况时</w:t>
      </w:r>
      <w:r>
        <w:rPr>
          <w:rFonts w:hint="eastAsia"/>
        </w:rPr>
        <w:t>。</w:t>
      </w:r>
      <w:r>
        <w:rPr>
          <w:rFonts w:hint="eastAsia"/>
        </w:rPr>
        <w:t>Yermack</w:t>
      </w:r>
      <w:r>
        <w:rPr>
          <w:rFonts w:hint="eastAsia"/>
        </w:rPr>
        <w:t>（</w:t>
      </w:r>
      <w:r>
        <w:rPr>
          <w:rFonts w:hint="eastAsia"/>
        </w:rPr>
        <w:t>2</w:t>
      </w:r>
      <w:r>
        <w:t>004</w:t>
      </w:r>
      <w:r>
        <w:rPr>
          <w:rFonts w:hint="eastAsia"/>
        </w:rPr>
        <w:t>）</w:t>
      </w:r>
      <w:r w:rsidR="007B3CE7">
        <w:rPr>
          <w:rFonts w:hint="eastAsia"/>
        </w:rPr>
        <w:t>在对</w:t>
      </w:r>
      <w:r w:rsidR="007B3CE7">
        <w:rPr>
          <w:rFonts w:hint="eastAsia"/>
        </w:rPr>
        <w:t>1</w:t>
      </w:r>
      <w:r w:rsidR="007B3CE7">
        <w:t>994-1996</w:t>
      </w:r>
      <w:r w:rsidR="007B3CE7">
        <w:rPr>
          <w:rFonts w:hint="eastAsia"/>
        </w:rPr>
        <w:t>年世界五百强企业中独立董事变更事件的公司研究过程中</w:t>
      </w:r>
      <w:r>
        <w:rPr>
          <w:rFonts w:hint="eastAsia"/>
        </w:rPr>
        <w:t>，发现</w:t>
      </w:r>
      <w:r w:rsidR="002D43C3">
        <w:rPr>
          <w:rFonts w:hint="eastAsia"/>
        </w:rPr>
        <w:t>辞职事件</w:t>
      </w:r>
      <w:r w:rsidR="008C0A26">
        <w:rPr>
          <w:rFonts w:hint="eastAsia"/>
        </w:rPr>
        <w:t>与</w:t>
      </w:r>
      <w:r>
        <w:rPr>
          <w:rFonts w:hint="eastAsia"/>
        </w:rPr>
        <w:t>企业的股价存在负相关性。</w:t>
      </w:r>
      <w:r>
        <w:rPr>
          <w:rFonts w:hint="eastAsia"/>
        </w:rPr>
        <w:t>S</w:t>
      </w:r>
      <w:r>
        <w:t>rinivasa</w:t>
      </w:r>
      <w:r>
        <w:rPr>
          <w:rFonts w:hint="eastAsia"/>
        </w:rPr>
        <w:t>n</w:t>
      </w:r>
      <w:r>
        <w:rPr>
          <w:rFonts w:hint="eastAsia"/>
        </w:rPr>
        <w:t>（</w:t>
      </w:r>
      <w:r>
        <w:rPr>
          <w:rFonts w:hint="eastAsia"/>
        </w:rPr>
        <w:t>2</w:t>
      </w:r>
      <w:r>
        <w:t>005</w:t>
      </w:r>
      <w:r>
        <w:rPr>
          <w:rFonts w:hint="eastAsia"/>
        </w:rPr>
        <w:t>）基于公司经营绩效的角度，研究了</w:t>
      </w:r>
      <w:r>
        <w:rPr>
          <w:rFonts w:hint="eastAsia"/>
        </w:rPr>
        <w:t>1</w:t>
      </w:r>
      <w:r>
        <w:t>997-2001</w:t>
      </w:r>
      <w:r>
        <w:rPr>
          <w:rFonts w:hint="eastAsia"/>
        </w:rPr>
        <w:t>年间</w:t>
      </w:r>
      <w:r>
        <w:rPr>
          <w:rFonts w:hint="eastAsia"/>
        </w:rPr>
        <w:t>4</w:t>
      </w:r>
      <w:r>
        <w:t>09</w:t>
      </w:r>
      <w:r>
        <w:rPr>
          <w:rFonts w:hint="eastAsia"/>
        </w:rPr>
        <w:t>家公司的经营情况，</w:t>
      </w:r>
      <w:bookmarkEnd w:id="33"/>
      <w:bookmarkEnd w:id="34"/>
      <w:r>
        <w:rPr>
          <w:rFonts w:hint="eastAsia"/>
        </w:rPr>
        <w:t>发现独立董事变更与公司业绩具有较大的相关性。</w:t>
      </w:r>
      <w:r>
        <w:t>Keren Bar-</w:t>
      </w:r>
      <w:proofErr w:type="spellStart"/>
      <w:r>
        <w:t>Hava</w:t>
      </w:r>
      <w:proofErr w:type="spellEnd"/>
      <w:r w:rsidR="00C031FC">
        <w:t xml:space="preserve"> et al.</w:t>
      </w:r>
      <w:r>
        <w:rPr>
          <w:rFonts w:hint="eastAsia"/>
        </w:rPr>
        <w:t>（</w:t>
      </w:r>
      <w:r>
        <w:rPr>
          <w:rFonts w:hint="eastAsia"/>
        </w:rPr>
        <w:t>2</w:t>
      </w:r>
      <w:r>
        <w:t>018</w:t>
      </w:r>
      <w:r>
        <w:rPr>
          <w:rFonts w:hint="eastAsia"/>
        </w:rPr>
        <w:t>）分析了独立董事辞职的相关原因，在各种名目繁多的辞职理由背后，出于对自身未来可能的不佳表现导致的对自身名誉的损害，独立董事往往会选择辞职，即使辞职行为会导致负面市场影响且损害股东利益。支晓强，童盼（</w:t>
      </w:r>
      <w:r>
        <w:rPr>
          <w:rFonts w:hint="eastAsia"/>
        </w:rPr>
        <w:t>2</w:t>
      </w:r>
      <w:r>
        <w:t>005</w:t>
      </w:r>
      <w:r>
        <w:rPr>
          <w:rFonts w:hint="eastAsia"/>
        </w:rPr>
        <w:t>）研究发现，独立董事的变更与所在公司盈余管理水平有紧密联系，</w:t>
      </w:r>
      <w:r w:rsidR="008C73AA">
        <w:rPr>
          <w:rFonts w:hint="eastAsia"/>
        </w:rPr>
        <w:t>随着公司盈余管理水平的提高，独立董事的辞职概率和比例也会相应提高</w:t>
      </w:r>
      <w:r>
        <w:rPr>
          <w:rFonts w:hint="eastAsia"/>
        </w:rPr>
        <w:t>。林小聪（</w:t>
      </w:r>
      <w:r>
        <w:rPr>
          <w:rFonts w:hint="eastAsia"/>
        </w:rPr>
        <w:t>2</w:t>
      </w:r>
      <w:r>
        <w:t>010</w:t>
      </w:r>
      <w:r>
        <w:rPr>
          <w:rFonts w:hint="eastAsia"/>
        </w:rPr>
        <w:t>）通过事件研究法，采用回归对独立董事辞职原因进行分析，</w:t>
      </w:r>
      <w:proofErr w:type="gramStart"/>
      <w:r>
        <w:rPr>
          <w:rFonts w:hint="eastAsia"/>
        </w:rPr>
        <w:t>发现净资产收益率</w:t>
      </w:r>
      <w:r>
        <w:rPr>
          <w:rFonts w:hint="eastAsia"/>
        </w:rPr>
        <w:t>(</w:t>
      </w:r>
      <w:proofErr w:type="gramEnd"/>
      <w:r>
        <w:t>ROA)</w:t>
      </w:r>
      <w:r>
        <w:rPr>
          <w:rFonts w:hint="eastAsia"/>
        </w:rPr>
        <w:t>，盈余管理，审计意见是影响独立董事辞职的主要因素</w:t>
      </w:r>
      <w:r w:rsidR="00B92D38">
        <w:rPr>
          <w:rFonts w:hint="eastAsia"/>
        </w:rPr>
        <w:t>。</w:t>
      </w:r>
    </w:p>
    <w:p w14:paraId="31287BDC" w14:textId="7AE77A04" w:rsidR="0080179C" w:rsidRDefault="00604141">
      <w:pPr>
        <w:ind w:firstLine="420"/>
        <w:rPr>
          <w:szCs w:val="24"/>
        </w:rPr>
      </w:pPr>
      <w:r>
        <w:rPr>
          <w:rFonts w:hint="eastAsia"/>
        </w:rPr>
        <w:t>其次是独立董事的任职成本，</w:t>
      </w:r>
      <w:r w:rsidR="002D43C3">
        <w:rPr>
          <w:rFonts w:hint="eastAsia"/>
        </w:rPr>
        <w:t>基于任职成本的国内外现有研究情况，</w:t>
      </w:r>
      <w:proofErr w:type="gramStart"/>
      <w:r w:rsidR="009A7BEB">
        <w:rPr>
          <w:rFonts w:hint="eastAsia"/>
        </w:rPr>
        <w:t>谭</w:t>
      </w:r>
      <w:proofErr w:type="gramEnd"/>
      <w:r w:rsidR="009A7BEB">
        <w:rPr>
          <w:rFonts w:hint="eastAsia"/>
        </w:rPr>
        <w:t>劲松，郑国坚，周繁（</w:t>
      </w:r>
      <w:r w:rsidR="009A7BEB">
        <w:rPr>
          <w:rFonts w:hint="eastAsia"/>
        </w:rPr>
        <w:t>2</w:t>
      </w:r>
      <w:r w:rsidR="009A7BEB">
        <w:t>006</w:t>
      </w:r>
      <w:r w:rsidR="009A7BEB">
        <w:rPr>
          <w:rFonts w:hint="eastAsia"/>
        </w:rPr>
        <w:t>）将</w:t>
      </w:r>
      <w:r w:rsidR="00F95425">
        <w:rPr>
          <w:rFonts w:hint="eastAsia"/>
        </w:rPr>
        <w:t>独立董事的任职成本</w:t>
      </w:r>
      <w:r w:rsidR="00D66453">
        <w:rPr>
          <w:rFonts w:hint="eastAsia"/>
        </w:rPr>
        <w:t>大致划分为现实成本，机会成本和风险成本三类。</w:t>
      </w:r>
      <w:r w:rsidR="00840B57">
        <w:rPr>
          <w:rFonts w:hint="eastAsia"/>
        </w:rPr>
        <w:t>1</w:t>
      </w:r>
      <w:r w:rsidR="00840B57">
        <w:rPr>
          <w:rFonts w:hint="eastAsia"/>
        </w:rPr>
        <w:t>）</w:t>
      </w:r>
      <w:r w:rsidR="000A09A1">
        <w:rPr>
          <w:rFonts w:hint="eastAsia"/>
        </w:rPr>
        <w:t>现实成本是指独立董事在任职期限内</w:t>
      </w:r>
      <w:r w:rsidR="00D66453">
        <w:rPr>
          <w:rFonts w:hint="eastAsia"/>
        </w:rPr>
        <w:t>，</w:t>
      </w:r>
      <w:r w:rsidR="000A09A1">
        <w:rPr>
          <w:rFonts w:hint="eastAsia"/>
        </w:rPr>
        <w:t>为了完成自身的各项任务，发挥自身才能促进企业发展过程中直</w:t>
      </w:r>
      <w:proofErr w:type="gramStart"/>
      <w:r w:rsidR="000A09A1">
        <w:rPr>
          <w:rFonts w:hint="eastAsia"/>
        </w:rPr>
        <w:t>接承担</w:t>
      </w:r>
      <w:proofErr w:type="gramEnd"/>
      <w:r w:rsidR="000A09A1">
        <w:rPr>
          <w:rFonts w:hint="eastAsia"/>
        </w:rPr>
        <w:t>并付出的成本，</w:t>
      </w:r>
      <w:r w:rsidR="00D66453">
        <w:rPr>
          <w:rFonts w:hint="eastAsia"/>
        </w:rPr>
        <w:t>包括时间，精力</w:t>
      </w:r>
      <w:r w:rsidR="00F15BD4">
        <w:rPr>
          <w:rFonts w:hint="eastAsia"/>
        </w:rPr>
        <w:t>支出</w:t>
      </w:r>
      <w:r w:rsidR="00D66453">
        <w:rPr>
          <w:rFonts w:hint="eastAsia"/>
        </w:rPr>
        <w:t>等有形或无形成本的付出。</w:t>
      </w:r>
      <w:r w:rsidR="00147BDA">
        <w:rPr>
          <w:rFonts w:hint="eastAsia"/>
        </w:rPr>
        <w:t>研究表明，现实成本越高，</w:t>
      </w:r>
      <w:r w:rsidR="00A711E9">
        <w:rPr>
          <w:rFonts w:hint="eastAsia"/>
        </w:rPr>
        <w:t>辞职行为的频率和概率</w:t>
      </w:r>
      <w:r w:rsidR="00147BDA">
        <w:rPr>
          <w:rFonts w:hint="eastAsia"/>
        </w:rPr>
        <w:t>越大。</w:t>
      </w:r>
      <w:r w:rsidR="00840B57">
        <w:rPr>
          <w:rFonts w:hint="eastAsia"/>
        </w:rPr>
        <w:t>2</w:t>
      </w:r>
      <w:r w:rsidR="00840B57">
        <w:rPr>
          <w:rFonts w:hint="eastAsia"/>
        </w:rPr>
        <w:t>）</w:t>
      </w:r>
      <w:r w:rsidR="00E13A80">
        <w:rPr>
          <w:rFonts w:hint="eastAsia"/>
        </w:rPr>
        <w:t>由于独立董事的理性人假设，独立董事的任职成本必须包括</w:t>
      </w:r>
      <w:r w:rsidR="003606E9">
        <w:rPr>
          <w:rFonts w:hint="eastAsia"/>
        </w:rPr>
        <w:t>机会成本。机会成本是采取某种决策或行为时，放弃的采取其他决策或行为产生的最</w:t>
      </w:r>
      <w:r w:rsidR="003606E9">
        <w:rPr>
          <w:rFonts w:hint="eastAsia"/>
        </w:rPr>
        <w:lastRenderedPageBreak/>
        <w:t>大收益，独立董事任职多半由利益驱动，</w:t>
      </w:r>
      <w:r w:rsidR="00A711E9">
        <w:rPr>
          <w:rFonts w:hint="eastAsia"/>
        </w:rPr>
        <w:t>因此，选择担任独立董事所放弃的其他收益即机会成本</w:t>
      </w:r>
      <w:r w:rsidR="003606E9">
        <w:rPr>
          <w:rFonts w:hint="eastAsia"/>
        </w:rPr>
        <w:t>可以理解为</w:t>
      </w:r>
      <w:r w:rsidR="00A711E9">
        <w:rPr>
          <w:rFonts w:hint="eastAsia"/>
        </w:rPr>
        <w:t>其他职位收入</w:t>
      </w:r>
      <w:r w:rsidR="003606E9">
        <w:rPr>
          <w:rFonts w:hint="eastAsia"/>
        </w:rPr>
        <w:t>与心理情感所得。</w:t>
      </w:r>
      <w:r w:rsidR="00147BDA">
        <w:rPr>
          <w:rFonts w:hint="eastAsia"/>
        </w:rPr>
        <w:t>研究表明，机会成本越高，独立董事辞职的可能性越大。</w:t>
      </w:r>
      <w:r w:rsidR="00840B57">
        <w:rPr>
          <w:rFonts w:hint="eastAsia"/>
        </w:rPr>
        <w:t>3</w:t>
      </w:r>
      <w:r w:rsidR="00840B57">
        <w:rPr>
          <w:rFonts w:hint="eastAsia"/>
        </w:rPr>
        <w:t>）从成本是否发生以及成本发生的不确定性，可以得到</w:t>
      </w:r>
      <w:r w:rsidR="007E5225">
        <w:rPr>
          <w:rFonts w:hint="eastAsia"/>
        </w:rPr>
        <w:t>风险成本。风险成本是独立董事在任职期间可能发生的潜在风险，大体可以分为法律责任风险和声誉损失风险。</w:t>
      </w:r>
      <w:r w:rsidR="0075044F">
        <w:rPr>
          <w:rFonts w:hint="eastAsia"/>
        </w:rPr>
        <w:t>法律责任风险产生于独立董事任职期间公司经营偏差。</w:t>
      </w:r>
      <w:r w:rsidR="009A7BEB">
        <w:rPr>
          <w:rFonts w:hint="eastAsia"/>
        </w:rPr>
        <w:t>李焰，秦义虎（</w:t>
      </w:r>
      <w:r w:rsidR="009A7BEB">
        <w:rPr>
          <w:rFonts w:hint="eastAsia"/>
        </w:rPr>
        <w:t>2</w:t>
      </w:r>
      <w:r w:rsidR="009A7BEB">
        <w:t>011</w:t>
      </w:r>
      <w:r w:rsidR="009A7BEB">
        <w:rPr>
          <w:rFonts w:hint="eastAsia"/>
        </w:rPr>
        <w:t>）</w:t>
      </w:r>
      <w:r w:rsidR="00C675E9">
        <w:rPr>
          <w:rFonts w:hint="eastAsia"/>
        </w:rPr>
        <w:t>研究表明，媒体负面报道量</w:t>
      </w:r>
      <w:r w:rsidR="00E675B7">
        <w:rPr>
          <w:rFonts w:hint="eastAsia"/>
        </w:rPr>
        <w:t>与媒体自身影响力，公信力</w:t>
      </w:r>
      <w:r w:rsidR="00C675E9">
        <w:rPr>
          <w:rFonts w:hint="eastAsia"/>
        </w:rPr>
        <w:t>和独立董事辞职概率</w:t>
      </w:r>
      <w:r w:rsidR="00E675B7">
        <w:rPr>
          <w:rFonts w:hint="eastAsia"/>
        </w:rPr>
        <w:t>存在一定的正向相关关系</w:t>
      </w:r>
      <w:r w:rsidR="00EA6F08">
        <w:rPr>
          <w:rFonts w:hint="eastAsia"/>
        </w:rPr>
        <w:t>。</w:t>
      </w:r>
      <w:r w:rsidR="00165D3E">
        <w:rPr>
          <w:rFonts w:hint="eastAsia"/>
        </w:rPr>
        <w:t>由此</w:t>
      </w:r>
      <w:r w:rsidR="00B92D38">
        <w:rPr>
          <w:rFonts w:hint="eastAsia"/>
        </w:rPr>
        <w:t>表明，为了提高对独立董事的监督和控制水平，需要充分发挥声誉机制的制衡作用</w:t>
      </w:r>
      <w:r w:rsidR="009A7BEB">
        <w:rPr>
          <w:rFonts w:hint="eastAsia"/>
        </w:rPr>
        <w:t>。</w:t>
      </w:r>
    </w:p>
    <w:p w14:paraId="79246D6D" w14:textId="50264961" w:rsidR="0080179C" w:rsidRDefault="008D77BA">
      <w:pPr>
        <w:ind w:firstLine="420"/>
        <w:rPr>
          <w:szCs w:val="24"/>
        </w:rPr>
      </w:pPr>
      <w:r>
        <w:rPr>
          <w:rFonts w:hint="eastAsia"/>
        </w:rPr>
        <w:t>最后</w:t>
      </w:r>
      <w:r w:rsidR="0080179C">
        <w:rPr>
          <w:rFonts w:hint="eastAsia"/>
        </w:rPr>
        <w:t>是</w:t>
      </w:r>
      <w:r w:rsidR="00123833">
        <w:rPr>
          <w:rFonts w:hint="eastAsia"/>
        </w:rPr>
        <w:t>独立董事自身的风险感知</w:t>
      </w:r>
      <w:r w:rsidR="0080179C">
        <w:rPr>
          <w:rFonts w:hint="eastAsia"/>
        </w:rPr>
        <w:t>。</w:t>
      </w:r>
      <w:r w:rsidR="00325DC9">
        <w:rPr>
          <w:rFonts w:hint="eastAsia"/>
        </w:rPr>
        <w:t>风险</w:t>
      </w:r>
      <w:r w:rsidR="004E3FCC">
        <w:rPr>
          <w:rFonts w:hint="eastAsia"/>
        </w:rPr>
        <w:t>主要</w:t>
      </w:r>
      <w:proofErr w:type="gramStart"/>
      <w:r w:rsidR="00325DC9">
        <w:rPr>
          <w:rFonts w:hint="eastAsia"/>
        </w:rPr>
        <w:t>由风险</w:t>
      </w:r>
      <w:proofErr w:type="gramEnd"/>
      <w:r w:rsidR="00325DC9">
        <w:rPr>
          <w:rFonts w:hint="eastAsia"/>
        </w:rPr>
        <w:t>因素，风险事故，风险主体，风险损失构成。</w:t>
      </w:r>
      <w:r w:rsidR="004E3FCC">
        <w:rPr>
          <w:rFonts w:hint="eastAsia"/>
        </w:rPr>
        <w:t>是否构成风险，是否造成风险损失，主要取决于是否存在风险主体也即风险</w:t>
      </w:r>
      <w:r w:rsidR="004B08B3">
        <w:rPr>
          <w:rFonts w:hint="eastAsia"/>
        </w:rPr>
        <w:t>承受者。与此同时，</w:t>
      </w:r>
      <w:r w:rsidR="00814654">
        <w:rPr>
          <w:rFonts w:hint="eastAsia"/>
        </w:rPr>
        <w:t>唐清泉，</w:t>
      </w:r>
      <w:proofErr w:type="gramStart"/>
      <w:r w:rsidR="00814654">
        <w:rPr>
          <w:rFonts w:hint="eastAsia"/>
        </w:rPr>
        <w:t>罗党论</w:t>
      </w:r>
      <w:proofErr w:type="gramEnd"/>
      <w:r w:rsidR="00814654">
        <w:rPr>
          <w:rFonts w:hint="eastAsia"/>
        </w:rPr>
        <w:t xml:space="preserve"> </w:t>
      </w:r>
      <w:r w:rsidR="00814654">
        <w:rPr>
          <w:rFonts w:hint="eastAsia"/>
        </w:rPr>
        <w:t>（</w:t>
      </w:r>
      <w:r w:rsidR="00814654">
        <w:rPr>
          <w:rFonts w:hint="eastAsia"/>
        </w:rPr>
        <w:t>2</w:t>
      </w:r>
      <w:r w:rsidR="00814654">
        <w:t>007</w:t>
      </w:r>
      <w:r w:rsidR="00814654">
        <w:rPr>
          <w:rFonts w:hint="eastAsia"/>
        </w:rPr>
        <w:t>）研究认为，</w:t>
      </w:r>
      <w:r w:rsidR="004E3FCC">
        <w:rPr>
          <w:rFonts w:hint="eastAsia"/>
        </w:rPr>
        <w:t>面对同样的风险和潜在损失，不同的独立董事做出的风险判断和风险抉择可能是大相径庭的</w:t>
      </w:r>
      <w:r w:rsidR="00391CC6">
        <w:rPr>
          <w:rFonts w:hint="eastAsia"/>
        </w:rPr>
        <w:t>，因此相同的风险因素可能对不同的风险主体有不同的影响程度，面对众多的风险因素，只有少数的风险信息能够被独立董事感知到。除了风险因素感知程度的差异，不同独立董事自身的风险偏好也不同</w:t>
      </w:r>
      <w:r w:rsidR="00C93196">
        <w:rPr>
          <w:rFonts w:hint="eastAsia"/>
        </w:rPr>
        <w:t>。前景理论是研究风险偏好的行为经济学理论之一，是指由于参考点的不同，面对相同的风险选择，同一个风险决策者可能会做出不同的决策，当风险主体处于盈利状态时，会偏向风险回避，倾向于选择避免风险。而当风险主体处于亏损状态时，会更偏向于风险偏好，选择风险与收益更高的决策。</w:t>
      </w:r>
      <w:r w:rsidR="00AA63A0">
        <w:rPr>
          <w:rFonts w:hint="eastAsia"/>
        </w:rPr>
        <w:t>通常独立董事在任职以外</w:t>
      </w:r>
      <w:r w:rsidR="002748DC">
        <w:rPr>
          <w:rFonts w:hint="eastAsia"/>
        </w:rPr>
        <w:t>都有一定的主要收入来维持自身生活水平和实际需要</w:t>
      </w:r>
      <w:r w:rsidR="00AA63A0">
        <w:rPr>
          <w:rFonts w:hint="eastAsia"/>
        </w:rPr>
        <w:t>，因此，大多数独立董事任职是出于丰富人生经历和社会责任感动机，由此，</w:t>
      </w:r>
      <w:r w:rsidR="00814654">
        <w:rPr>
          <w:rFonts w:hint="eastAsia"/>
        </w:rPr>
        <w:t>唐清泉，</w:t>
      </w:r>
      <w:proofErr w:type="gramStart"/>
      <w:r w:rsidR="00814654">
        <w:rPr>
          <w:rFonts w:hint="eastAsia"/>
        </w:rPr>
        <w:t>罗党论</w:t>
      </w:r>
      <w:proofErr w:type="gramEnd"/>
      <w:r w:rsidR="00814654">
        <w:rPr>
          <w:rFonts w:hint="eastAsia"/>
        </w:rPr>
        <w:t>，王莉（</w:t>
      </w:r>
      <w:r w:rsidR="00814654">
        <w:rPr>
          <w:rFonts w:hint="eastAsia"/>
        </w:rPr>
        <w:t>2</w:t>
      </w:r>
      <w:r w:rsidR="00814654">
        <w:t>006</w:t>
      </w:r>
      <w:r w:rsidR="00814654">
        <w:rPr>
          <w:rFonts w:hint="eastAsia"/>
        </w:rPr>
        <w:t>）研究认为</w:t>
      </w:r>
      <w:r w:rsidR="00AA63A0">
        <w:rPr>
          <w:rFonts w:hint="eastAsia"/>
        </w:rPr>
        <w:t>独立董事</w:t>
      </w:r>
      <w:r w:rsidR="00814654">
        <w:rPr>
          <w:rFonts w:hint="eastAsia"/>
        </w:rPr>
        <w:t>们</w:t>
      </w:r>
      <w:r w:rsidR="00AA63A0">
        <w:rPr>
          <w:rFonts w:hint="eastAsia"/>
        </w:rPr>
        <w:t>可能往往</w:t>
      </w:r>
      <w:proofErr w:type="gramStart"/>
      <w:r w:rsidR="00AA63A0">
        <w:rPr>
          <w:rFonts w:hint="eastAsia"/>
        </w:rPr>
        <w:t>持风险</w:t>
      </w:r>
      <w:proofErr w:type="gramEnd"/>
      <w:r w:rsidR="00AA63A0">
        <w:rPr>
          <w:rFonts w:hint="eastAsia"/>
        </w:rPr>
        <w:t>回避态度，</w:t>
      </w:r>
      <w:r w:rsidR="007C7C40">
        <w:rPr>
          <w:rFonts w:hint="eastAsia"/>
        </w:rPr>
        <w:t>对损失的敏感程度更高，</w:t>
      </w:r>
      <w:r w:rsidR="00814654">
        <w:rPr>
          <w:rFonts w:hint="eastAsia"/>
        </w:rPr>
        <w:t>独立董事面对的</w:t>
      </w:r>
      <w:r w:rsidR="007C7C40">
        <w:rPr>
          <w:rFonts w:hint="eastAsia"/>
        </w:rPr>
        <w:t>风险程度越高，</w:t>
      </w:r>
      <w:r w:rsidR="00814654">
        <w:rPr>
          <w:rFonts w:hint="eastAsia"/>
        </w:rPr>
        <w:t>其</w:t>
      </w:r>
      <w:r w:rsidR="007C7C40">
        <w:rPr>
          <w:rFonts w:hint="eastAsia"/>
        </w:rPr>
        <w:t>辞职的</w:t>
      </w:r>
      <w:r w:rsidR="00814654">
        <w:rPr>
          <w:rFonts w:hint="eastAsia"/>
        </w:rPr>
        <w:t>可能性越大</w:t>
      </w:r>
      <w:r w:rsidR="007C7C40">
        <w:rPr>
          <w:rFonts w:hint="eastAsia"/>
        </w:rPr>
        <w:t>。</w:t>
      </w:r>
      <w:r w:rsidR="007C7C40">
        <w:rPr>
          <w:rFonts w:hint="eastAsia"/>
        </w:rPr>
        <w:t>.</w:t>
      </w:r>
    </w:p>
    <w:p w14:paraId="7CC12C13" w14:textId="77777777" w:rsidR="00E80975" w:rsidRDefault="00C97F7D" w:rsidP="00F801ED">
      <w:pPr>
        <w:ind w:firstLineChars="200" w:firstLine="480"/>
      </w:pPr>
      <w:r>
        <w:rPr>
          <w:rFonts w:hint="eastAsia"/>
        </w:rPr>
        <w:t>信号传递理论是研究独立董事辞职影响的重要理论基础</w:t>
      </w:r>
      <w:r w:rsidR="00353434">
        <w:rPr>
          <w:rFonts w:hint="eastAsia"/>
        </w:rPr>
        <w:t>。</w:t>
      </w:r>
      <w:r w:rsidR="00B92D38">
        <w:rPr>
          <w:rFonts w:hint="eastAsia"/>
        </w:rPr>
        <w:t>西方</w:t>
      </w:r>
      <w:r w:rsidR="00077BF6">
        <w:rPr>
          <w:rFonts w:hint="eastAsia"/>
        </w:rPr>
        <w:t>相关学者研究的</w:t>
      </w:r>
      <w:r w:rsidR="00F801ED">
        <w:rPr>
          <w:rFonts w:hint="eastAsia"/>
        </w:rPr>
        <w:t>狭义上的信号传递理论，</w:t>
      </w:r>
      <w:r w:rsidR="00077BF6">
        <w:rPr>
          <w:rFonts w:hint="eastAsia"/>
        </w:rPr>
        <w:t>主要是指由于信息的不对称</w:t>
      </w:r>
      <w:r w:rsidR="00353434">
        <w:rPr>
          <w:rFonts w:hint="eastAsia"/>
        </w:rPr>
        <w:t>，</w:t>
      </w:r>
      <w:r w:rsidR="00077BF6">
        <w:rPr>
          <w:rFonts w:hint="eastAsia"/>
        </w:rPr>
        <w:t>利润公告，股利宣告和融资公告是公司常用的三种信号传递手段，由此来潜在表明公司的经济信息。</w:t>
      </w:r>
    </w:p>
    <w:p w14:paraId="2A4C4319" w14:textId="44E05033" w:rsidR="00DB4F27" w:rsidRPr="00DB4F27" w:rsidRDefault="00F801ED" w:rsidP="00F801ED">
      <w:pPr>
        <w:ind w:firstLineChars="200" w:firstLine="480"/>
      </w:pPr>
      <w:r>
        <w:rPr>
          <w:rFonts w:hint="eastAsia"/>
        </w:rPr>
        <w:t>广义上的信号传递理论可以推广到各个领域，各个主体，可以表示为任何有形或无形经济主体的经济行为所蕴含的潜在信息。</w:t>
      </w:r>
      <w:r w:rsidR="004D75BD">
        <w:rPr>
          <w:rFonts w:hint="eastAsia"/>
        </w:rPr>
        <w:t>根据辞职原因的特殊性，我们</w:t>
      </w:r>
      <w:r w:rsidR="004D75BD">
        <w:rPr>
          <w:rFonts w:hint="eastAsia"/>
        </w:rPr>
        <w:lastRenderedPageBreak/>
        <w:t>认为</w:t>
      </w:r>
      <w:r w:rsidR="00522687">
        <w:rPr>
          <w:rFonts w:hint="eastAsia"/>
        </w:rPr>
        <w:t>辞职原因可以分为由于期满或身体原因等正常辞职和由于违法行为等导致的非正常辞职。</w:t>
      </w:r>
      <w:r>
        <w:rPr>
          <w:rFonts w:hint="eastAsia"/>
        </w:rPr>
        <w:t>因此，</w:t>
      </w:r>
      <w:r w:rsidR="00522687">
        <w:rPr>
          <w:rFonts w:hint="eastAsia"/>
        </w:rPr>
        <w:t>我们认为</w:t>
      </w:r>
      <w:r>
        <w:rPr>
          <w:rFonts w:hint="eastAsia"/>
        </w:rPr>
        <w:t>独立董事辞职的不同原因也能够传递不同的市场信号</w:t>
      </w:r>
      <w:r w:rsidR="000C6756">
        <w:rPr>
          <w:rFonts w:hint="eastAsia"/>
        </w:rPr>
        <w:t>。</w:t>
      </w:r>
      <w:r w:rsidR="00D845B8">
        <w:rPr>
          <w:rFonts w:hint="eastAsia"/>
        </w:rPr>
        <w:t>张俊生，曾亚敏（</w:t>
      </w:r>
      <w:r w:rsidR="00D845B8">
        <w:rPr>
          <w:rFonts w:hint="eastAsia"/>
        </w:rPr>
        <w:t>2</w:t>
      </w:r>
      <w:r w:rsidR="00D845B8">
        <w:t>010</w:t>
      </w:r>
      <w:r w:rsidR="00D845B8">
        <w:rPr>
          <w:rFonts w:hint="eastAsia"/>
        </w:rPr>
        <w:t>）</w:t>
      </w:r>
      <w:r w:rsidR="00077BF6">
        <w:rPr>
          <w:rFonts w:hint="eastAsia"/>
        </w:rPr>
        <w:t>分析</w:t>
      </w:r>
      <w:r w:rsidR="000C6756">
        <w:rPr>
          <w:rFonts w:hint="eastAsia"/>
        </w:rPr>
        <w:t>研究</w:t>
      </w:r>
      <w:r w:rsidR="000C6756">
        <w:rPr>
          <w:rFonts w:hint="eastAsia"/>
        </w:rPr>
        <w:t>2</w:t>
      </w:r>
      <w:r w:rsidR="000C6756">
        <w:t>004-2008</w:t>
      </w:r>
      <w:r w:rsidR="000C6756">
        <w:rPr>
          <w:rFonts w:hint="eastAsia"/>
        </w:rPr>
        <w:t>年间</w:t>
      </w:r>
      <w:r w:rsidR="000C6756">
        <w:rPr>
          <w:rFonts w:hint="eastAsia"/>
        </w:rPr>
        <w:t>1</w:t>
      </w:r>
      <w:r w:rsidR="000C6756">
        <w:t>12</w:t>
      </w:r>
      <w:r w:rsidR="000C6756">
        <w:rPr>
          <w:rFonts w:hint="eastAsia"/>
        </w:rPr>
        <w:t>起独立董事辞职事件，</w:t>
      </w:r>
      <w:r w:rsidR="00077BF6">
        <w:rPr>
          <w:rFonts w:hint="eastAsia"/>
        </w:rPr>
        <w:t>将独立董事辞职后的公司股票的累积超额收益率情况联系起来考察</w:t>
      </w:r>
      <w:r w:rsidR="005F3330">
        <w:rPr>
          <w:rFonts w:hint="eastAsia"/>
        </w:rPr>
        <w:t>，以此衡量市场对此类行为的反应。</w:t>
      </w:r>
      <w:r w:rsidR="00CA0697">
        <w:rPr>
          <w:rFonts w:hint="eastAsia"/>
        </w:rPr>
        <w:t>结果表明</w:t>
      </w:r>
      <w:r w:rsidR="00CA0697">
        <w:rPr>
          <w:rFonts w:hint="eastAsia"/>
        </w:rPr>
        <w:t>1</w:t>
      </w:r>
      <w:r w:rsidR="00CA0697">
        <w:rPr>
          <w:rFonts w:hint="eastAsia"/>
        </w:rPr>
        <w:t>）</w:t>
      </w:r>
      <w:r w:rsidR="00C9442D">
        <w:rPr>
          <w:rFonts w:hint="eastAsia"/>
        </w:rPr>
        <w:t>与任职期满，工作变动等正常原因导致的行为相比，其他非正常原因的独立董事辞职行为会产生负面的市场反应。</w:t>
      </w:r>
      <w:r w:rsidR="00CA0697">
        <w:rPr>
          <w:rFonts w:hint="eastAsia"/>
        </w:rPr>
        <w:t>2</w:t>
      </w:r>
      <w:r w:rsidR="00CA0697">
        <w:rPr>
          <w:rFonts w:hint="eastAsia"/>
        </w:rPr>
        <w:t>）独立董事非正常原因辞职后的</w:t>
      </w:r>
      <w:r w:rsidR="00CA0697">
        <w:rPr>
          <w:rFonts w:hint="eastAsia"/>
        </w:rPr>
        <w:t>2</w:t>
      </w:r>
      <w:r w:rsidR="00CA0697">
        <w:t>50</w:t>
      </w:r>
      <w:r w:rsidR="00CA0697">
        <w:rPr>
          <w:rFonts w:hint="eastAsia"/>
        </w:rPr>
        <w:t>个交易日内累计超额收益率显著为负</w:t>
      </w:r>
      <w:r w:rsidR="00CA0697">
        <w:rPr>
          <w:rFonts w:hint="eastAsia"/>
        </w:rPr>
        <w:t>3</w:t>
      </w:r>
      <w:r w:rsidR="00CA0697">
        <w:rPr>
          <w:rFonts w:hint="eastAsia"/>
        </w:rPr>
        <w:t>）</w:t>
      </w:r>
      <w:r w:rsidR="00C9442D">
        <w:rPr>
          <w:rFonts w:hint="eastAsia"/>
        </w:rPr>
        <w:t>如果没有对申请辞职的独立董事进行致谢，相关公司的累积超额收益率会更加显著</w:t>
      </w:r>
      <w:r w:rsidR="00CA0697">
        <w:rPr>
          <w:rFonts w:hint="eastAsia"/>
        </w:rPr>
        <w:t>。</w:t>
      </w:r>
      <w:r w:rsidR="00DF452F">
        <w:rPr>
          <w:rFonts w:hint="eastAsia"/>
        </w:rPr>
        <w:t>根据实验研究结果，市场投资者能够通过独立董事辞职行为和相关公司的公告来进行辅助决策，避免无谓的经济损失。</w:t>
      </w:r>
    </w:p>
    <w:p w14:paraId="65AF50B9" w14:textId="09D54C14" w:rsidR="0080179C" w:rsidRDefault="0080179C" w:rsidP="0082308C">
      <w:pPr>
        <w:pStyle w:val="1"/>
        <w:spacing w:before="163" w:after="163"/>
        <w:ind w:left="432" w:hanging="432"/>
      </w:pPr>
      <w:r>
        <w:rPr>
          <w:rFonts w:hint="eastAsia"/>
        </w:rPr>
        <w:br w:type="page"/>
      </w:r>
      <w:bookmarkStart w:id="35" w:name="_Toc104938603"/>
      <w:r w:rsidR="00076530">
        <w:rPr>
          <w:rFonts w:hint="eastAsia"/>
        </w:rPr>
        <w:lastRenderedPageBreak/>
        <w:t>研究假设与模型构建</w:t>
      </w:r>
      <w:bookmarkEnd w:id="35"/>
    </w:p>
    <w:p w14:paraId="5C60C3E5" w14:textId="0A013101" w:rsidR="009F56DD" w:rsidRDefault="009F56DD" w:rsidP="009F56DD">
      <w:pPr>
        <w:pStyle w:val="2"/>
        <w:spacing w:before="163" w:after="163"/>
      </w:pPr>
      <w:bookmarkStart w:id="36" w:name="_Toc104938604"/>
      <w:r>
        <w:rPr>
          <w:rFonts w:hint="eastAsia"/>
        </w:rPr>
        <w:t>理论分析与研究假设</w:t>
      </w:r>
      <w:bookmarkEnd w:id="36"/>
    </w:p>
    <w:p w14:paraId="3F718D2A" w14:textId="0A707A73" w:rsidR="009F56DD" w:rsidRDefault="00CD01EB" w:rsidP="00CD01EB">
      <w:pPr>
        <w:pStyle w:val="3"/>
      </w:pPr>
      <w:r>
        <w:rPr>
          <w:rFonts w:hint="eastAsia"/>
        </w:rPr>
        <w:t>独立董事辞职与累积异常收益率</w:t>
      </w:r>
    </w:p>
    <w:p w14:paraId="18163E2F" w14:textId="56143261" w:rsidR="00B45C5C" w:rsidRDefault="00B45C5C" w:rsidP="00427693">
      <w:pPr>
        <w:ind w:firstLineChars="200" w:firstLine="480"/>
      </w:pPr>
      <w:r>
        <w:rPr>
          <w:rFonts w:hint="eastAsia"/>
        </w:rPr>
        <w:t>独立董事作为公司内部聘请的高级管理人员，通常与公司内部事务或公司内部人员没有依赖关系，因而能够对公司各项事务做出独立判断。就独立董事自身而言，</w:t>
      </w:r>
      <w:r w:rsidR="00427693">
        <w:rPr>
          <w:rFonts w:hint="eastAsia"/>
        </w:rPr>
        <w:t>在担任独立董事这一身份时，他们往往拥有能够满足自身经济需要的主业收入，相对全面的知识结构，坚实的理论基础，丰富的实践经验和</w:t>
      </w:r>
      <w:r w:rsidR="005B3905">
        <w:rPr>
          <w:rFonts w:hint="eastAsia"/>
        </w:rPr>
        <w:t>一定的名誉需求。就公司而言，独立董事的任命能够更好的避免公司内部管理层操纵公司事务，独揽大权，进而能够一定程度上降低代理成本，通过对独立董事讨论提出的具有一定科学性和实践性</w:t>
      </w:r>
      <w:r w:rsidR="00CE460F">
        <w:rPr>
          <w:rFonts w:hint="eastAsia"/>
        </w:rPr>
        <w:t>的各项意见和观点的分析与筛选，企业自身能够显著提升经营管理效率，避免不必要成本，减少无谓损失。因此，根据历史数据和理性分析，我们有理由认为，独立董事的辞职行为与累积异常收益率呈</w:t>
      </w:r>
      <w:r w:rsidR="002549F3">
        <w:rPr>
          <w:rFonts w:hint="eastAsia"/>
        </w:rPr>
        <w:t>负</w:t>
      </w:r>
      <w:r w:rsidR="00CE460F">
        <w:rPr>
          <w:rFonts w:hint="eastAsia"/>
        </w:rPr>
        <w:t>相关，即独立董事的辞职行为会</w:t>
      </w:r>
      <w:r w:rsidR="00F96463">
        <w:rPr>
          <w:rFonts w:hint="eastAsia"/>
        </w:rPr>
        <w:t>传递出负面经济信号，进而导致股票累计异常收益率波动变</w:t>
      </w:r>
      <w:r w:rsidR="002549F3">
        <w:rPr>
          <w:rFonts w:hint="eastAsia"/>
        </w:rPr>
        <w:t>化</w:t>
      </w:r>
      <w:r w:rsidR="00F96463">
        <w:rPr>
          <w:rFonts w:hint="eastAsia"/>
        </w:rPr>
        <w:t>。</w:t>
      </w:r>
      <w:r w:rsidR="003B6554">
        <w:rPr>
          <w:rFonts w:hint="eastAsia"/>
        </w:rPr>
        <w:t>同时为了使辞职行为更加具有代表性，我们</w:t>
      </w:r>
      <w:r w:rsidR="00EA38DF">
        <w:rPr>
          <w:rFonts w:hint="eastAsia"/>
        </w:rPr>
        <w:t>选取由于个人原因的主动辞职独立董事作为研究样本。</w:t>
      </w:r>
      <w:r w:rsidR="00317EF4">
        <w:rPr>
          <w:rFonts w:hint="eastAsia"/>
        </w:rPr>
        <w:t>因此</w:t>
      </w:r>
      <w:r w:rsidR="00F96463">
        <w:rPr>
          <w:rFonts w:hint="eastAsia"/>
        </w:rPr>
        <w:t>为了研究独立董事辞职行为与累计异常收益率的关系，我们提出了论文的第一个假设。即：</w:t>
      </w:r>
    </w:p>
    <w:p w14:paraId="2BA4B8C9" w14:textId="7C634E73" w:rsidR="002549F3" w:rsidRDefault="00F96463" w:rsidP="002549F3">
      <w:pPr>
        <w:ind w:firstLineChars="200" w:firstLine="480"/>
      </w:pPr>
      <w:r>
        <w:rPr>
          <w:rFonts w:hint="eastAsia"/>
        </w:rPr>
        <w:t>假设</w:t>
      </w:r>
      <w:r>
        <w:rPr>
          <w:rFonts w:hint="eastAsia"/>
        </w:rPr>
        <w:t>1</w:t>
      </w:r>
      <w:r>
        <w:rPr>
          <w:rFonts w:hint="eastAsia"/>
        </w:rPr>
        <w:t>：独立董事辞职行为与股票收益率呈负相关，即</w:t>
      </w:r>
      <w:r w:rsidR="002549F3">
        <w:rPr>
          <w:rFonts w:hint="eastAsia"/>
        </w:rPr>
        <w:t>独立董事辞职行为，会导致累积异常收益率呈负值。</w:t>
      </w:r>
    </w:p>
    <w:p w14:paraId="08C5803A" w14:textId="55655E70" w:rsidR="00BD1A6D" w:rsidRDefault="00BD1A6D" w:rsidP="00BD1A6D">
      <w:pPr>
        <w:pStyle w:val="3"/>
      </w:pPr>
      <w:r>
        <w:rPr>
          <w:rFonts w:hint="eastAsia"/>
        </w:rPr>
        <w:t>独立董事的自身学历与累积异常收益率</w:t>
      </w:r>
    </w:p>
    <w:p w14:paraId="614606FA" w14:textId="21E48266" w:rsidR="003822D3" w:rsidRDefault="00BD1A6D" w:rsidP="003822D3">
      <w:pPr>
        <w:ind w:firstLineChars="200" w:firstLine="480"/>
        <w:rPr>
          <w:szCs w:val="22"/>
        </w:rPr>
      </w:pPr>
      <w:r>
        <w:rPr>
          <w:rFonts w:hint="eastAsia"/>
        </w:rPr>
        <w:t>独立董事</w:t>
      </w:r>
      <w:r>
        <w:rPr>
          <w:rFonts w:hint="eastAsia"/>
          <w:szCs w:val="22"/>
        </w:rPr>
        <w:t>不光要“独立”，做到公司组织结构上的独立性和公司权利关系上的独立性，更要“懂事”，能够运用自身的综合素质</w:t>
      </w:r>
      <w:r w:rsidR="003A694D">
        <w:rPr>
          <w:rFonts w:hint="eastAsia"/>
          <w:szCs w:val="22"/>
        </w:rPr>
        <w:t>对公司发展现状，潜在问题和未来规划提出具有科学性和实践性的建议。为了更好的履行自己的职责，独立董事必须具备严谨的知识框架，丰富的知识储备，完善的知识结构，坚实的理论基础和深厚的实践经验。由于独立董事自身综合素质作为抽象指标难以进行具体的量化和考察</w:t>
      </w:r>
      <w:r w:rsidR="00E3063D">
        <w:rPr>
          <w:rFonts w:hint="eastAsia"/>
          <w:szCs w:val="22"/>
        </w:rPr>
        <w:t>，且综合素质通常与自身的受教育程度密切相关，因此我们用独立董事自身的学历水平来对独立董事的综合素质进行衡量。自身学历越高的独立董</w:t>
      </w:r>
      <w:r w:rsidR="00E3063D">
        <w:rPr>
          <w:rFonts w:hint="eastAsia"/>
          <w:szCs w:val="22"/>
        </w:rPr>
        <w:lastRenderedPageBreak/>
        <w:t>事，越有可能对公司的发展提出建设性意见，同理，独立董事自身学历越高，其辞职行为对公司价值变动的影响就更显著，由此我们提出论文的第二个假设。即</w:t>
      </w:r>
      <w:r w:rsidR="003822D3">
        <w:rPr>
          <w:rFonts w:hint="eastAsia"/>
          <w:szCs w:val="22"/>
        </w:rPr>
        <w:t>：</w:t>
      </w:r>
    </w:p>
    <w:p w14:paraId="7E86CE52" w14:textId="4CC62CB0" w:rsidR="00E3063D" w:rsidRPr="00BD1A6D" w:rsidRDefault="003822D3" w:rsidP="00BD1A6D">
      <w:pPr>
        <w:ind w:firstLineChars="200" w:firstLine="480"/>
      </w:pPr>
      <w:r>
        <w:rPr>
          <w:rFonts w:hint="eastAsia"/>
        </w:rPr>
        <w:t>假设</w:t>
      </w:r>
      <w:r>
        <w:rPr>
          <w:rFonts w:hint="eastAsia"/>
        </w:rPr>
        <w:t>2</w:t>
      </w:r>
      <w:r>
        <w:rPr>
          <w:rFonts w:hint="eastAsia"/>
        </w:rPr>
        <w:t>：独立董事的学历特征与公司价值变动呈正相关关系。即辞职独立董事的学历越高，其导致的公司的负累积异常收益率会越显著。</w:t>
      </w:r>
    </w:p>
    <w:p w14:paraId="0C870B4A" w14:textId="020778EE" w:rsidR="0090039B" w:rsidRDefault="0090039B" w:rsidP="0090039B">
      <w:pPr>
        <w:pStyle w:val="3"/>
      </w:pPr>
      <w:r>
        <w:rPr>
          <w:rFonts w:hint="eastAsia"/>
        </w:rPr>
        <w:t>独立董事的任职期限与累积异常收益率</w:t>
      </w:r>
    </w:p>
    <w:p w14:paraId="4C5DCDAA" w14:textId="25A15372" w:rsidR="00112C8D" w:rsidRDefault="0090039B" w:rsidP="00112C8D">
      <w:pPr>
        <w:ind w:firstLineChars="200" w:firstLine="480"/>
      </w:pPr>
      <w:r>
        <w:rPr>
          <w:rFonts w:hint="eastAsia"/>
        </w:rPr>
        <w:t>“衣莫如新，人莫如旧。”</w:t>
      </w:r>
      <w:r w:rsidR="00D36275">
        <w:rPr>
          <w:rFonts w:hint="eastAsia"/>
        </w:rPr>
        <w:t>独立董事的任职效果不仅与独立董事自身的知识结构，认知水平，理论基础和实践经验有关，也与独立董事任职期间的长短有着密不可分的关系。通过对过往相关问题研究的阅读，</w:t>
      </w:r>
      <w:r w:rsidR="00BD135D">
        <w:rPr>
          <w:rFonts w:hint="eastAsia"/>
        </w:rPr>
        <w:t>我们发现随着独立董事在任时间的延长，独立董事与公司审计信息质量呈现倒</w:t>
      </w:r>
      <w:r w:rsidR="00BD135D">
        <w:rPr>
          <w:rFonts w:hint="eastAsia"/>
        </w:rPr>
        <w:t>U</w:t>
      </w:r>
      <w:r w:rsidR="00BD135D">
        <w:rPr>
          <w:rFonts w:hint="eastAsia"/>
        </w:rPr>
        <w:t>型关系，即随着</w:t>
      </w:r>
      <w:r w:rsidR="005E5239">
        <w:rPr>
          <w:rFonts w:hint="eastAsia"/>
        </w:rPr>
        <w:t>其在任时间的增长，公司信息质量会呈现先增后减的现象，同时有研究表明，独立董事在任期间的公司投资效率与独立董事留任的概率呈正向相关关系。以上种种表明，随着独立董事任期的延长，其对公司相关信息的了解程度，对公司内部事务的控制能力会逐渐增强</w:t>
      </w:r>
      <w:r w:rsidR="00112C8D">
        <w:rPr>
          <w:rFonts w:hint="eastAsia"/>
        </w:rPr>
        <w:t>，因而任期越长的独立董事就越能对公司产生更加明显的影响，为了进一步分析独立董事任职期限与累积异常收益率的关系，</w:t>
      </w:r>
      <w:r w:rsidR="00B84F57">
        <w:rPr>
          <w:rFonts w:hint="eastAsia"/>
        </w:rPr>
        <w:t>我们提出了论文的第三个假设。即：</w:t>
      </w:r>
    </w:p>
    <w:p w14:paraId="390B125C" w14:textId="42D521AE" w:rsidR="00B84F57" w:rsidRDefault="00B84F57" w:rsidP="00112C8D">
      <w:pPr>
        <w:ind w:firstLineChars="200" w:firstLine="480"/>
      </w:pPr>
      <w:r>
        <w:rPr>
          <w:rFonts w:hint="eastAsia"/>
        </w:rPr>
        <w:t>假设</w:t>
      </w:r>
      <w:r w:rsidR="003822D3">
        <w:t>3</w:t>
      </w:r>
      <w:r>
        <w:rPr>
          <w:rFonts w:hint="eastAsia"/>
        </w:rPr>
        <w:t>：辞职独立董事任职期限</w:t>
      </w:r>
      <w:r w:rsidR="004F59A0">
        <w:rPr>
          <w:rFonts w:hint="eastAsia"/>
        </w:rPr>
        <w:t>越长，累积异常收益率就会更显著的呈负值。</w:t>
      </w:r>
    </w:p>
    <w:p w14:paraId="2FC195A8" w14:textId="77777777" w:rsidR="00715A5D" w:rsidRDefault="00715A5D" w:rsidP="00715A5D">
      <w:pPr>
        <w:pStyle w:val="3"/>
      </w:pPr>
      <w:r>
        <w:rPr>
          <w:rFonts w:hint="eastAsia"/>
        </w:rPr>
        <w:t>公司的盈余管理水平与累积异常收益率</w:t>
      </w:r>
    </w:p>
    <w:p w14:paraId="30971AFC" w14:textId="77777777" w:rsidR="00715A5D" w:rsidRDefault="00715A5D" w:rsidP="00715A5D">
      <w:pPr>
        <w:ind w:firstLineChars="200" w:firstLine="480"/>
      </w:pPr>
      <w:r>
        <w:rPr>
          <w:rFonts w:hint="eastAsia"/>
        </w:rPr>
        <w:t>盈余管理作为评估公司会计信息质量的重要指标，能够比较直观的体现公司会计信息的透明度和管理水平，出于业绩需要，满足股东意愿，稳定或提高股价，向市场传递正面的经济信号等原因，盈余管理越来越成为重要的公司财务数据管理手段。在本文中，我们选取基础琼斯模型中的操纵性应计利润（</w:t>
      </w:r>
      <w:r>
        <w:rPr>
          <w:rFonts w:hint="eastAsia"/>
        </w:rPr>
        <w:t>D</w:t>
      </w:r>
      <w:r>
        <w:t>A</w:t>
      </w:r>
      <w:r>
        <w:rPr>
          <w:rFonts w:hint="eastAsia"/>
        </w:rPr>
        <w:t>）作为研究对象，关注盈余管理水平与独立董事辞职行为导致的累积异常收益率变动的关系。公司的盈余管理水平越高，其对公司相关数据的操纵性就越强，因此发生独立董事辞职等此类突发事件时，市场投资者会对相关公司的会计信息质量更加担忧，由此，我们提出了论文的第四个假设。即：</w:t>
      </w:r>
    </w:p>
    <w:p w14:paraId="0579E136" w14:textId="73D7B0DC" w:rsidR="00715A5D" w:rsidRPr="00715A5D" w:rsidRDefault="00715A5D" w:rsidP="00F7731D">
      <w:pPr>
        <w:ind w:firstLineChars="200" w:firstLine="480"/>
      </w:pPr>
      <w:r>
        <w:rPr>
          <w:rFonts w:hint="eastAsia"/>
        </w:rPr>
        <w:t>假设</w:t>
      </w:r>
      <w:r>
        <w:rPr>
          <w:rFonts w:hint="eastAsia"/>
        </w:rPr>
        <w:t>4</w:t>
      </w:r>
      <w:r>
        <w:rPr>
          <w:rFonts w:hint="eastAsia"/>
        </w:rPr>
        <w:t>：公司的盈余管理水平越高，独立董事辞职行为导致的累积异常收益率就会越大</w:t>
      </w:r>
    </w:p>
    <w:p w14:paraId="79886337" w14:textId="46CA85CB" w:rsidR="001600E8" w:rsidRDefault="001600E8" w:rsidP="001600E8">
      <w:pPr>
        <w:pStyle w:val="2"/>
        <w:spacing w:before="163" w:after="163"/>
      </w:pPr>
      <w:bookmarkStart w:id="37" w:name="_Toc104938605"/>
      <w:r>
        <w:rPr>
          <w:rFonts w:hint="eastAsia"/>
        </w:rPr>
        <w:lastRenderedPageBreak/>
        <w:t>样本选取</w:t>
      </w:r>
      <w:bookmarkEnd w:id="37"/>
    </w:p>
    <w:p w14:paraId="7D1B519D" w14:textId="5F7F8E0B" w:rsidR="0087786E" w:rsidRDefault="0087786E" w:rsidP="00560401">
      <w:pPr>
        <w:ind w:firstLineChars="200" w:firstLine="480"/>
      </w:pPr>
      <w:r>
        <w:rPr>
          <w:rFonts w:hint="eastAsia"/>
        </w:rPr>
        <w:t>论文选取沪深</w:t>
      </w:r>
      <w:r>
        <w:rPr>
          <w:rFonts w:hint="eastAsia"/>
        </w:rPr>
        <w:t>A</w:t>
      </w:r>
      <w:r>
        <w:rPr>
          <w:rFonts w:hint="eastAsia"/>
        </w:rPr>
        <w:t>股上市公司作为</w:t>
      </w:r>
      <w:r w:rsidR="000A3745">
        <w:rPr>
          <w:rFonts w:hint="eastAsia"/>
        </w:rPr>
        <w:t>初始</w:t>
      </w:r>
      <w:r>
        <w:rPr>
          <w:rFonts w:hint="eastAsia"/>
        </w:rPr>
        <w:t>研究样本，</w:t>
      </w:r>
      <w:r w:rsidR="000A3745">
        <w:rPr>
          <w:rFonts w:hint="eastAsia"/>
        </w:rPr>
        <w:t>样本数据选自</w:t>
      </w:r>
      <w:r w:rsidR="000A3745">
        <w:rPr>
          <w:rFonts w:hint="eastAsia"/>
        </w:rPr>
        <w:t>2</w:t>
      </w:r>
      <w:r w:rsidR="000A3745">
        <w:t>021</w:t>
      </w:r>
      <w:r w:rsidR="000A3745">
        <w:rPr>
          <w:rFonts w:hint="eastAsia"/>
        </w:rPr>
        <w:t>年</w:t>
      </w:r>
      <w:r w:rsidR="000A3745">
        <w:t>11</w:t>
      </w:r>
      <w:r w:rsidR="000A3745">
        <w:rPr>
          <w:rFonts w:hint="eastAsia"/>
        </w:rPr>
        <w:t>月</w:t>
      </w:r>
      <w:r w:rsidR="000A3745">
        <w:rPr>
          <w:rFonts w:hint="eastAsia"/>
        </w:rPr>
        <w:t>1</w:t>
      </w:r>
      <w:r w:rsidR="000A3745">
        <w:t>2</w:t>
      </w:r>
      <w:r w:rsidR="000A3745">
        <w:rPr>
          <w:rFonts w:hint="eastAsia"/>
        </w:rPr>
        <w:t>日至</w:t>
      </w:r>
      <w:r w:rsidR="000A3745">
        <w:rPr>
          <w:rFonts w:hint="eastAsia"/>
        </w:rPr>
        <w:t>2</w:t>
      </w:r>
      <w:r w:rsidR="000A3745">
        <w:t>02</w:t>
      </w:r>
      <w:r w:rsidR="009F350C">
        <w:t>2</w:t>
      </w:r>
      <w:r w:rsidR="000A3745">
        <w:rPr>
          <w:rFonts w:hint="eastAsia"/>
        </w:rPr>
        <w:t>年</w:t>
      </w:r>
      <w:r w:rsidR="009F350C">
        <w:rPr>
          <w:rFonts w:hint="eastAsia"/>
        </w:rPr>
        <w:t>3</w:t>
      </w:r>
      <w:r w:rsidR="000A3745">
        <w:rPr>
          <w:rFonts w:hint="eastAsia"/>
        </w:rPr>
        <w:t>月</w:t>
      </w:r>
      <w:r w:rsidR="000A3745">
        <w:t>1</w:t>
      </w:r>
      <w:r w:rsidR="000A3745">
        <w:rPr>
          <w:rFonts w:hint="eastAsia"/>
        </w:rPr>
        <w:t>日发布独立董事辞职公告的上市公司</w:t>
      </w:r>
      <w:r>
        <w:rPr>
          <w:rFonts w:hint="eastAsia"/>
        </w:rPr>
        <w:t>，</w:t>
      </w:r>
      <w:r w:rsidR="000A3745">
        <w:rPr>
          <w:rFonts w:hint="eastAsia"/>
        </w:rPr>
        <w:t>变量数据选自</w:t>
      </w:r>
      <w:r w:rsidR="000A3745">
        <w:rPr>
          <w:rFonts w:hint="eastAsia"/>
        </w:rPr>
        <w:t>2</w:t>
      </w:r>
      <w:r w:rsidR="000A3745">
        <w:t>021</w:t>
      </w:r>
      <w:r w:rsidR="000A3745">
        <w:rPr>
          <w:rFonts w:hint="eastAsia"/>
        </w:rPr>
        <w:t>年</w:t>
      </w:r>
      <w:r w:rsidR="000A3745">
        <w:rPr>
          <w:rFonts w:hint="eastAsia"/>
        </w:rPr>
        <w:t>6</w:t>
      </w:r>
      <w:r w:rsidR="000A3745">
        <w:rPr>
          <w:rFonts w:hint="eastAsia"/>
        </w:rPr>
        <w:t>月</w:t>
      </w:r>
      <w:r w:rsidR="000A3745">
        <w:rPr>
          <w:rFonts w:hint="eastAsia"/>
        </w:rPr>
        <w:t>1</w:t>
      </w:r>
      <w:r w:rsidR="000A3745">
        <w:rPr>
          <w:rFonts w:hint="eastAsia"/>
        </w:rPr>
        <w:t>日至</w:t>
      </w:r>
      <w:r w:rsidR="000A3745">
        <w:rPr>
          <w:rFonts w:hint="eastAsia"/>
        </w:rPr>
        <w:t>2</w:t>
      </w:r>
      <w:r w:rsidR="000A3745">
        <w:t>02</w:t>
      </w:r>
      <w:r w:rsidR="009F350C">
        <w:t>2</w:t>
      </w:r>
      <w:r w:rsidR="000A3745">
        <w:rPr>
          <w:rFonts w:hint="eastAsia"/>
        </w:rPr>
        <w:t>年</w:t>
      </w:r>
      <w:r w:rsidR="009F350C">
        <w:rPr>
          <w:rFonts w:hint="eastAsia"/>
        </w:rPr>
        <w:t>4</w:t>
      </w:r>
      <w:r w:rsidR="000A3745">
        <w:rPr>
          <w:rFonts w:hint="eastAsia"/>
        </w:rPr>
        <w:t>月</w:t>
      </w:r>
      <w:r w:rsidR="009F350C">
        <w:t>30</w:t>
      </w:r>
      <w:r w:rsidR="000A3745">
        <w:rPr>
          <w:rFonts w:hint="eastAsia"/>
        </w:rPr>
        <w:t>日。</w:t>
      </w:r>
      <w:r w:rsidR="00784D0E">
        <w:rPr>
          <w:rFonts w:hint="eastAsia"/>
        </w:rPr>
        <w:t>论文数据来自于巨潮资讯网，</w:t>
      </w:r>
      <w:r w:rsidR="005F3330">
        <w:rPr>
          <w:rFonts w:hint="eastAsia"/>
        </w:rPr>
        <w:t>choice</w:t>
      </w:r>
      <w:r w:rsidR="005F3330">
        <w:rPr>
          <w:rFonts w:hint="eastAsia"/>
        </w:rPr>
        <w:t>金融终端，</w:t>
      </w:r>
      <w:r w:rsidR="00784D0E">
        <w:rPr>
          <w:rFonts w:hint="eastAsia"/>
        </w:rPr>
        <w:t>深圳证券交易所，上海证券交易所研究期间内发布</w:t>
      </w:r>
      <w:r w:rsidR="00AC023D">
        <w:rPr>
          <w:rFonts w:hint="eastAsia"/>
        </w:rPr>
        <w:t>的独立</w:t>
      </w:r>
      <w:r w:rsidR="00784D0E">
        <w:rPr>
          <w:rFonts w:hint="eastAsia"/>
        </w:rPr>
        <w:t>董事辞职公告的上市公司，通过手工整理出</w:t>
      </w:r>
      <w:r w:rsidR="00784D0E">
        <w:rPr>
          <w:rFonts w:hint="eastAsia"/>
        </w:rPr>
        <w:t>1</w:t>
      </w:r>
      <w:r w:rsidR="00784D0E">
        <w:t>34</w:t>
      </w:r>
      <w:r w:rsidR="00784D0E">
        <w:rPr>
          <w:rFonts w:hint="eastAsia"/>
        </w:rPr>
        <w:t>份独立董事辞职公告，并将公告与</w:t>
      </w:r>
      <w:r w:rsidR="00784D0E">
        <w:rPr>
          <w:rFonts w:hint="eastAsia"/>
        </w:rPr>
        <w:t>C</w:t>
      </w:r>
      <w:r w:rsidR="00784D0E">
        <w:t>SMAR</w:t>
      </w:r>
      <w:r w:rsidR="00784D0E">
        <w:rPr>
          <w:rFonts w:hint="eastAsia"/>
        </w:rPr>
        <w:t>国泰安数据库的公司高管信息相对照得出相关的变量信息。</w:t>
      </w:r>
      <w:r>
        <w:rPr>
          <w:rFonts w:hint="eastAsia"/>
        </w:rPr>
        <w:t>具体的研究数据有：正常收益率，市场收益率，累积异常收益率，</w:t>
      </w:r>
      <w:r w:rsidR="00560401">
        <w:rPr>
          <w:rFonts w:hint="eastAsia"/>
        </w:rPr>
        <w:t>总资产，</w:t>
      </w:r>
      <w:r w:rsidR="00191525">
        <w:rPr>
          <w:rFonts w:hint="eastAsia"/>
        </w:rPr>
        <w:t>托宾</w:t>
      </w:r>
      <w:r w:rsidR="00191525">
        <w:rPr>
          <w:rFonts w:hint="eastAsia"/>
        </w:rPr>
        <w:t>Q</w:t>
      </w:r>
      <w:r w:rsidR="00191525">
        <w:rPr>
          <w:rFonts w:hint="eastAsia"/>
        </w:rPr>
        <w:t>值，每股负债，资产负债率，</w:t>
      </w:r>
      <w:r w:rsidR="00560401">
        <w:rPr>
          <w:rFonts w:hint="eastAsia"/>
        </w:rPr>
        <w:t>，独立董事任职年限</w:t>
      </w:r>
      <w:r w:rsidR="009D54AB">
        <w:rPr>
          <w:rFonts w:hint="eastAsia"/>
        </w:rPr>
        <w:t>，操纵性</w:t>
      </w:r>
      <w:r w:rsidR="00AD67A5">
        <w:rPr>
          <w:rFonts w:hint="eastAsia"/>
        </w:rPr>
        <w:t>应</w:t>
      </w:r>
      <w:proofErr w:type="gramStart"/>
      <w:r w:rsidR="009D54AB">
        <w:rPr>
          <w:rFonts w:hint="eastAsia"/>
        </w:rPr>
        <w:t>计利润</w:t>
      </w:r>
      <w:proofErr w:type="gramEnd"/>
      <w:r w:rsidR="00560401">
        <w:rPr>
          <w:rFonts w:hint="eastAsia"/>
        </w:rPr>
        <w:t>等。</w:t>
      </w:r>
    </w:p>
    <w:p w14:paraId="1B032855" w14:textId="2DE0DD2A" w:rsidR="00C96F2C" w:rsidRPr="0045442C" w:rsidRDefault="00522687" w:rsidP="00636D43">
      <w:pPr>
        <w:ind w:firstLineChars="200" w:firstLine="480"/>
      </w:pPr>
      <w:r>
        <w:rPr>
          <w:rFonts w:hint="eastAsia"/>
        </w:rPr>
        <w:t>同时，考虑到模型准确性和数据的完备性情况，我们对样本数据进行了一定条件的筛选</w:t>
      </w:r>
      <w:r w:rsidR="00560401">
        <w:rPr>
          <w:rFonts w:hint="eastAsia"/>
        </w:rPr>
        <w:t>：（</w:t>
      </w:r>
      <w:r w:rsidR="00560401">
        <w:t>1</w:t>
      </w:r>
      <w:r w:rsidR="00560401">
        <w:rPr>
          <w:rFonts w:hint="eastAsia"/>
        </w:rPr>
        <w:t>）</w:t>
      </w:r>
      <w:r w:rsidR="00C9500D">
        <w:rPr>
          <w:rFonts w:hint="eastAsia"/>
        </w:rPr>
        <w:t>不考虑</w:t>
      </w:r>
      <w:r w:rsidR="00560401">
        <w:rPr>
          <w:rFonts w:hint="eastAsia"/>
        </w:rPr>
        <w:t>S</w:t>
      </w:r>
      <w:r w:rsidR="00560401">
        <w:t>T</w:t>
      </w:r>
      <w:r w:rsidR="00560401">
        <w:rPr>
          <w:rFonts w:hint="eastAsia"/>
        </w:rPr>
        <w:t>公司和</w:t>
      </w:r>
      <w:r w:rsidR="00560401">
        <w:rPr>
          <w:rFonts w:hint="eastAsia"/>
        </w:rPr>
        <w:t>*</w:t>
      </w:r>
      <w:r w:rsidR="00560401">
        <w:t>ST</w:t>
      </w:r>
      <w:r w:rsidR="00560401">
        <w:rPr>
          <w:rFonts w:hint="eastAsia"/>
        </w:rPr>
        <w:t>公司</w:t>
      </w:r>
      <w:r w:rsidR="00905F86">
        <w:rPr>
          <w:rFonts w:hint="eastAsia"/>
        </w:rPr>
        <w:t>。（</w:t>
      </w:r>
      <w:r w:rsidR="00905F86">
        <w:rPr>
          <w:rFonts w:hint="eastAsia"/>
        </w:rPr>
        <w:t>2</w:t>
      </w:r>
      <w:r w:rsidR="00905F86">
        <w:rPr>
          <w:rFonts w:hint="eastAsia"/>
        </w:rPr>
        <w:t>）</w:t>
      </w:r>
      <w:r w:rsidR="00C9500D">
        <w:rPr>
          <w:rFonts w:hint="eastAsia"/>
        </w:rPr>
        <w:t>不考虑</w:t>
      </w:r>
      <w:r w:rsidR="00905F86">
        <w:rPr>
          <w:rFonts w:hint="eastAsia"/>
        </w:rPr>
        <w:t>独立董事出于如</w:t>
      </w:r>
      <w:r w:rsidR="00784D0E">
        <w:rPr>
          <w:rFonts w:hint="eastAsia"/>
        </w:rPr>
        <w:t>健康因素</w:t>
      </w:r>
      <w:r w:rsidR="00905F86">
        <w:rPr>
          <w:rFonts w:hint="eastAsia"/>
        </w:rPr>
        <w:t>，</w:t>
      </w:r>
      <w:r w:rsidR="00784D0E">
        <w:rPr>
          <w:rFonts w:hint="eastAsia"/>
        </w:rPr>
        <w:t>任职</w:t>
      </w:r>
      <w:r w:rsidR="00905F86">
        <w:rPr>
          <w:rFonts w:hint="eastAsia"/>
        </w:rPr>
        <w:t>年限</w:t>
      </w:r>
      <w:r w:rsidR="00784D0E">
        <w:rPr>
          <w:rFonts w:hint="eastAsia"/>
        </w:rPr>
        <w:t>，工作调动</w:t>
      </w:r>
      <w:r w:rsidR="00905F86">
        <w:rPr>
          <w:rFonts w:hint="eastAsia"/>
        </w:rPr>
        <w:t>等</w:t>
      </w:r>
      <w:r w:rsidR="00784D0E">
        <w:rPr>
          <w:rFonts w:hint="eastAsia"/>
        </w:rPr>
        <w:t>正常原因</w:t>
      </w:r>
      <w:r w:rsidR="00905F86">
        <w:rPr>
          <w:rFonts w:hint="eastAsia"/>
        </w:rPr>
        <w:t>辞职的公司。（</w:t>
      </w:r>
      <w:r w:rsidR="00905F86">
        <w:rPr>
          <w:rFonts w:hint="eastAsia"/>
        </w:rPr>
        <w:t>3</w:t>
      </w:r>
      <w:r w:rsidR="00905F86">
        <w:rPr>
          <w:rFonts w:hint="eastAsia"/>
        </w:rPr>
        <w:t>）</w:t>
      </w:r>
      <w:r w:rsidR="00C9500D">
        <w:rPr>
          <w:rFonts w:hint="eastAsia"/>
        </w:rPr>
        <w:t>不考虑</w:t>
      </w:r>
      <w:r w:rsidR="00905F86">
        <w:rPr>
          <w:rFonts w:hint="eastAsia"/>
        </w:rPr>
        <w:t>独立董事职位调动而非辞职的公司。（</w:t>
      </w:r>
      <w:r w:rsidR="00905F86">
        <w:rPr>
          <w:rFonts w:hint="eastAsia"/>
        </w:rPr>
        <w:t>4</w:t>
      </w:r>
      <w:r w:rsidR="00905F86">
        <w:rPr>
          <w:rFonts w:hint="eastAsia"/>
        </w:rPr>
        <w:t>）</w:t>
      </w:r>
      <w:r w:rsidR="00C9500D">
        <w:rPr>
          <w:rFonts w:hint="eastAsia"/>
        </w:rPr>
        <w:t>忽略</w:t>
      </w:r>
      <w:r w:rsidR="00905F86">
        <w:rPr>
          <w:rFonts w:hint="eastAsia"/>
        </w:rPr>
        <w:t>研究区间</w:t>
      </w:r>
      <w:r w:rsidR="0045442C">
        <w:rPr>
          <w:rFonts w:hint="eastAsia"/>
        </w:rPr>
        <w:t>内独立董事</w:t>
      </w:r>
      <w:r w:rsidR="00905F86">
        <w:rPr>
          <w:rFonts w:hint="eastAsia"/>
        </w:rPr>
        <w:t>数据不完整或缺失的公司</w:t>
      </w:r>
      <w:r w:rsidR="00191525">
        <w:rPr>
          <w:rFonts w:hint="eastAsia"/>
        </w:rPr>
        <w:t>.</w:t>
      </w:r>
      <w:r w:rsidR="00191525">
        <w:rPr>
          <w:rFonts w:hint="eastAsia"/>
        </w:rPr>
        <w:t>（</w:t>
      </w:r>
      <w:r w:rsidR="00191525">
        <w:rPr>
          <w:rFonts w:hint="eastAsia"/>
        </w:rPr>
        <w:t>5</w:t>
      </w:r>
      <w:r w:rsidR="00191525">
        <w:rPr>
          <w:rFonts w:hint="eastAsia"/>
        </w:rPr>
        <w:t>）</w:t>
      </w:r>
      <w:r w:rsidR="00C9500D">
        <w:rPr>
          <w:rFonts w:hint="eastAsia"/>
        </w:rPr>
        <w:t>删除</w:t>
      </w:r>
      <w:r w:rsidR="00191525">
        <w:rPr>
          <w:rFonts w:hint="eastAsia"/>
        </w:rPr>
        <w:t>研究期间</w:t>
      </w:r>
      <w:r w:rsidR="00107F61">
        <w:rPr>
          <w:rFonts w:hint="eastAsia"/>
        </w:rPr>
        <w:t>发生</w:t>
      </w:r>
      <w:r w:rsidR="00191525">
        <w:rPr>
          <w:rFonts w:hint="eastAsia"/>
        </w:rPr>
        <w:t>独立董事</w:t>
      </w:r>
      <w:r w:rsidR="00107F61">
        <w:rPr>
          <w:rFonts w:hint="eastAsia"/>
        </w:rPr>
        <w:t>辞职事件</w:t>
      </w:r>
      <w:r w:rsidR="00191525">
        <w:rPr>
          <w:rFonts w:hint="eastAsia"/>
        </w:rPr>
        <w:t>公司</w:t>
      </w:r>
      <w:r w:rsidR="00107F61">
        <w:rPr>
          <w:rFonts w:hint="eastAsia"/>
        </w:rPr>
        <w:t>的</w:t>
      </w:r>
      <w:r w:rsidR="00191525">
        <w:rPr>
          <w:rFonts w:hint="eastAsia"/>
        </w:rPr>
        <w:t>相关数据不完整或缺失的</w:t>
      </w:r>
      <w:r w:rsidR="00107F61">
        <w:rPr>
          <w:rFonts w:hint="eastAsia"/>
        </w:rPr>
        <w:t>公司，</w:t>
      </w:r>
      <w:r w:rsidR="00905F86">
        <w:rPr>
          <w:rFonts w:hint="eastAsia"/>
        </w:rPr>
        <w:t>剩余</w:t>
      </w:r>
      <w:r w:rsidR="00191525">
        <w:t>51</w:t>
      </w:r>
      <w:r w:rsidR="00905F86">
        <w:rPr>
          <w:rFonts w:hint="eastAsia"/>
        </w:rPr>
        <w:t>家</w:t>
      </w:r>
      <w:r w:rsidR="00905F86">
        <w:rPr>
          <w:rFonts w:hint="eastAsia"/>
        </w:rPr>
        <w:t>A</w:t>
      </w:r>
      <w:r w:rsidR="00905F86">
        <w:rPr>
          <w:rFonts w:hint="eastAsia"/>
        </w:rPr>
        <w:t>股上市公司</w:t>
      </w:r>
      <w:r w:rsidR="00D564F5">
        <w:rPr>
          <w:rFonts w:hint="eastAsia"/>
        </w:rPr>
        <w:t>。</w:t>
      </w:r>
    </w:p>
    <w:p w14:paraId="3791F20C" w14:textId="37641C8B" w:rsidR="00F21849" w:rsidRDefault="00F21849" w:rsidP="00F21849">
      <w:pPr>
        <w:pStyle w:val="2"/>
        <w:spacing w:before="163" w:after="163"/>
      </w:pPr>
      <w:bookmarkStart w:id="38" w:name="_Toc104938606"/>
      <w:r>
        <w:rPr>
          <w:rFonts w:hint="eastAsia"/>
        </w:rPr>
        <w:t>变量设计</w:t>
      </w:r>
      <w:bookmarkEnd w:id="38"/>
    </w:p>
    <w:p w14:paraId="20501AD0" w14:textId="355F76B6" w:rsidR="00C96F2C" w:rsidRDefault="00C96F2C" w:rsidP="00C96F2C">
      <w:pPr>
        <w:pStyle w:val="3"/>
      </w:pPr>
      <w:r>
        <w:rPr>
          <w:rFonts w:hint="eastAsia"/>
        </w:rPr>
        <w:t>被解释变量</w:t>
      </w:r>
    </w:p>
    <w:p w14:paraId="12AF38E6" w14:textId="1551678B" w:rsidR="00B629CA" w:rsidRDefault="00590829" w:rsidP="001E204C">
      <w:pPr>
        <w:ind w:firstLineChars="200" w:firstLine="480"/>
      </w:pPr>
      <w:r>
        <w:rPr>
          <w:rFonts w:hint="eastAsia"/>
        </w:rPr>
        <w:t>论文的被解释变量为累积异常收益率</w:t>
      </w:r>
      <w:r>
        <w:rPr>
          <w:rFonts w:hint="eastAsia"/>
        </w:rPr>
        <w:t>C</w:t>
      </w:r>
      <w:r>
        <w:t>AR</w:t>
      </w:r>
      <w:r>
        <w:rPr>
          <w:rFonts w:hint="eastAsia"/>
        </w:rPr>
        <w:t>。参考以往的文献研究，为了</w:t>
      </w:r>
      <w:r w:rsidR="001E5ED8">
        <w:rPr>
          <w:rFonts w:hint="eastAsia"/>
        </w:rPr>
        <w:t>考察</w:t>
      </w:r>
      <w:r>
        <w:rPr>
          <w:rFonts w:hint="eastAsia"/>
        </w:rPr>
        <w:t>独立董事辞职的经济影响，我们采取了</w:t>
      </w:r>
      <w:r w:rsidR="004D6D6A">
        <w:rPr>
          <w:rFonts w:hint="eastAsia"/>
        </w:rPr>
        <w:t>由</w:t>
      </w:r>
      <w:proofErr w:type="spellStart"/>
      <w:r w:rsidR="004D6D6A">
        <w:rPr>
          <w:rFonts w:hint="eastAsia"/>
        </w:rPr>
        <w:t>Ball</w:t>
      </w:r>
      <w:r w:rsidR="004D6D6A">
        <w:t>&amp;Brown</w:t>
      </w:r>
      <w:proofErr w:type="spellEnd"/>
      <w:r w:rsidR="004D6D6A">
        <w:rPr>
          <w:rFonts w:hint="eastAsia"/>
        </w:rPr>
        <w:t>（</w:t>
      </w:r>
      <w:r w:rsidR="004D6D6A">
        <w:rPr>
          <w:rFonts w:hint="eastAsia"/>
        </w:rPr>
        <w:t>1</w:t>
      </w:r>
      <w:r w:rsidR="004D6D6A">
        <w:t>968</w:t>
      </w:r>
      <w:r w:rsidR="004D6D6A">
        <w:rPr>
          <w:rFonts w:hint="eastAsia"/>
        </w:rPr>
        <w:t>）以及</w:t>
      </w:r>
      <w:proofErr w:type="spellStart"/>
      <w:r w:rsidR="004D6D6A">
        <w:rPr>
          <w:rFonts w:hint="eastAsia"/>
        </w:rPr>
        <w:t>Fama</w:t>
      </w:r>
      <w:proofErr w:type="spellEnd"/>
      <w:r w:rsidR="004D6D6A">
        <w:rPr>
          <w:rFonts w:hint="eastAsia"/>
        </w:rPr>
        <w:t>教授开创的事件研究法。</w:t>
      </w:r>
      <w:r w:rsidR="00636D43">
        <w:rPr>
          <w:rFonts w:hint="eastAsia"/>
        </w:rPr>
        <w:t>从股票收益率的变动出发，通过事件发生前后窗口的数据对比，考察并衡量某种事件发生对公司价值变动的影响</w:t>
      </w:r>
      <w:r w:rsidR="00F01497">
        <w:rPr>
          <w:rFonts w:hint="eastAsia"/>
        </w:rPr>
        <w:t>。其中</w:t>
      </w:r>
      <w:r w:rsidR="004D6D6A">
        <w:rPr>
          <w:rFonts w:hint="eastAsia"/>
        </w:rPr>
        <w:t>对股票正常收益率的衡量大致有以下几种方法：（</w:t>
      </w:r>
      <w:r w:rsidR="004D6D6A">
        <w:rPr>
          <w:rFonts w:hint="eastAsia"/>
        </w:rPr>
        <w:t>1</w:t>
      </w:r>
      <w:r w:rsidR="004D6D6A">
        <w:rPr>
          <w:rFonts w:hint="eastAsia"/>
        </w:rPr>
        <w:t>）</w:t>
      </w:r>
      <w:r w:rsidR="00F04CA7">
        <w:rPr>
          <w:rFonts w:hint="eastAsia"/>
        </w:rPr>
        <w:t>市场模型：</w:t>
      </w:r>
      <w:r w:rsidR="00087ABF">
        <w:rPr>
          <w:rFonts w:hint="eastAsia"/>
        </w:rPr>
        <w:t>股票正常收益率由市场收益率加上随机误差项得到。（</w:t>
      </w:r>
      <w:r w:rsidR="00087ABF">
        <w:rPr>
          <w:rFonts w:hint="eastAsia"/>
        </w:rPr>
        <w:t>2</w:t>
      </w:r>
      <w:r w:rsidR="00087ABF">
        <w:rPr>
          <w:rFonts w:hint="eastAsia"/>
        </w:rPr>
        <w:t>）市场调整模型：股票正常收益率</w:t>
      </w:r>
      <w:r w:rsidR="009D7639">
        <w:rPr>
          <w:rFonts w:hint="eastAsia"/>
        </w:rPr>
        <w:t>由截距项，市场收益率，随机误差项的回归得到。（</w:t>
      </w:r>
      <w:r w:rsidR="009D7639">
        <w:rPr>
          <w:rFonts w:hint="eastAsia"/>
        </w:rPr>
        <w:t>3</w:t>
      </w:r>
      <w:r w:rsidR="009D7639">
        <w:rPr>
          <w:rFonts w:hint="eastAsia"/>
        </w:rPr>
        <w:t>）</w:t>
      </w:r>
      <w:r w:rsidR="00107F61">
        <w:rPr>
          <w:rFonts w:hint="eastAsia"/>
        </w:rPr>
        <w:t>F</w:t>
      </w:r>
      <w:r w:rsidR="00107F61">
        <w:t>AMA</w:t>
      </w:r>
      <w:r w:rsidR="009D7639">
        <w:rPr>
          <w:rFonts w:hint="eastAsia"/>
        </w:rPr>
        <w:t>三因素模型</w:t>
      </w:r>
      <w:r w:rsidR="006C0E4B">
        <w:rPr>
          <w:rFonts w:hint="eastAsia"/>
        </w:rPr>
        <w:t>：股票的超额收益率</w:t>
      </w:r>
      <w:r w:rsidR="001E5ED8">
        <w:rPr>
          <w:rFonts w:hint="eastAsia"/>
        </w:rPr>
        <w:t>可以由市场资产组合，市值因子，账面市值比因子来解释。在本文中，我们采取市场调整模型，通过回归来预测股票的正常收益率</w:t>
      </w:r>
      <w:r w:rsidR="001E204C">
        <w:rPr>
          <w:rFonts w:hint="eastAsia"/>
        </w:rPr>
        <w:t>：</w:t>
      </w:r>
    </w:p>
    <w:p w14:paraId="2D985643" w14:textId="77777777" w:rsidR="003822D3" w:rsidRDefault="003822D3" w:rsidP="00E04E2C">
      <w:pPr>
        <w:rPr>
          <w:rFonts w:ascii="Cambria Math" w:hAnsi="Cambria Math" w:cs="Cambria Math"/>
        </w:rPr>
      </w:pPr>
    </w:p>
    <w:p w14:paraId="460340EA" w14:textId="2B7D162E" w:rsidR="007C3E85" w:rsidRPr="007C3E85" w:rsidRDefault="0051081F" w:rsidP="0092554D">
      <w:pPr>
        <w:pStyle w:val="af8"/>
      </w:pPr>
      <m:oMathPara>
        <m:oMath>
          <m:eqArr>
            <m:eqArrPr>
              <m:maxDist m:val="1"/>
              <m:ctrlPr>
                <w:rPr>
                  <w:rFonts w:ascii="Cambria Math" w:hAnsi="Cambria Math"/>
                </w:rPr>
              </m:ctrlPr>
            </m:eqArr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mt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e>
              </m:d>
            </m:e>
          </m:eqArr>
        </m:oMath>
      </m:oMathPara>
    </w:p>
    <w:p w14:paraId="3DD05251" w14:textId="77777777" w:rsidR="00E04E2C" w:rsidRDefault="00E04E2C" w:rsidP="007C3E85">
      <w:pPr>
        <w:rPr>
          <w:rFonts w:ascii="Cambria Math" w:hAnsi="Cambria Math" w:cs="Cambria Math"/>
        </w:rPr>
      </w:pPr>
    </w:p>
    <w:p w14:paraId="39BE9DC6" w14:textId="128A2585" w:rsidR="00D56CFA" w:rsidRDefault="001E204C" w:rsidP="005B6337">
      <w:pPr>
        <w:ind w:firstLineChars="200" w:firstLine="480"/>
        <w:rPr>
          <w:rFonts w:ascii="Cambria Math" w:hAnsi="Cambria Math" w:cs="Cambria Math"/>
        </w:rPr>
      </w:pPr>
      <w:r>
        <w:rPr>
          <w:rFonts w:hint="eastAsia"/>
        </w:rPr>
        <w:t>其中，</w:t>
      </w:r>
      <w:r w:rsidRPr="001E204C">
        <w:rPr>
          <w:rFonts w:ascii="Cambria Math" w:hAnsi="Cambria Math" w:cs="Cambria Math"/>
        </w:rPr>
        <w:t>𝐸</w:t>
      </w:r>
      <w:r w:rsidRPr="001E204C">
        <w:t>(</w:t>
      </w:r>
      <w:r w:rsidRPr="001E204C">
        <w:rPr>
          <w:rFonts w:ascii="Cambria Math" w:hAnsi="Cambria Math" w:cs="Cambria Math"/>
        </w:rPr>
        <w:t>𝑅𝑖𝑡</w:t>
      </w:r>
      <w:r w:rsidRPr="001E204C">
        <w:t>)</w:t>
      </w:r>
      <w:r>
        <w:rPr>
          <w:rFonts w:hint="eastAsia"/>
        </w:rPr>
        <w:t>表示第</w:t>
      </w:r>
      <w:proofErr w:type="spellStart"/>
      <w:r>
        <w:t>i</w:t>
      </w:r>
      <w:proofErr w:type="spellEnd"/>
      <w:r>
        <w:rPr>
          <w:rFonts w:hint="eastAsia"/>
        </w:rPr>
        <w:t>支股票在</w:t>
      </w:r>
      <w:r>
        <w:rPr>
          <w:rFonts w:hint="eastAsia"/>
        </w:rPr>
        <w:t>t</w:t>
      </w:r>
      <w:r>
        <w:rPr>
          <w:rFonts w:hint="eastAsia"/>
        </w:rPr>
        <w:t>时间的期望正常收益率，</w:t>
      </w:r>
      <w:r w:rsidRPr="001E204C">
        <w:rPr>
          <w:rFonts w:ascii="Cambria Math" w:hAnsi="Cambria Math" w:cs="Cambria Math"/>
        </w:rPr>
        <w:t>𝑅𝑚𝑡</w:t>
      </w:r>
      <w:r>
        <w:rPr>
          <w:rFonts w:hint="eastAsia"/>
        </w:rPr>
        <w:t>表示</w:t>
      </w:r>
      <w:r>
        <w:rPr>
          <w:rFonts w:hint="eastAsia"/>
        </w:rPr>
        <w:t>t</w:t>
      </w:r>
      <w:r>
        <w:rPr>
          <w:rFonts w:hint="eastAsia"/>
        </w:rPr>
        <w:t>时间的市场收益率，</w:t>
      </w:r>
      <w:r w:rsidR="00557763">
        <w:rPr>
          <w:rFonts w:hint="eastAsia"/>
        </w:rPr>
        <w:t>为了获取相对稳定的数据结果，</w:t>
      </w:r>
      <w:r w:rsidRPr="001E204C">
        <w:rPr>
          <w:rFonts w:ascii="Cambria Math" w:hAnsi="Cambria Math" w:cs="Cambria Math"/>
        </w:rPr>
        <w:t>𝛼𝑖</w:t>
      </w:r>
      <w:r>
        <w:rPr>
          <w:rFonts w:hint="eastAsia"/>
        </w:rPr>
        <w:t>和</w:t>
      </w:r>
      <w:r w:rsidRPr="001E204C">
        <w:rPr>
          <w:rFonts w:ascii="Cambria Math" w:hAnsi="Cambria Math" w:cs="Cambria Math"/>
        </w:rPr>
        <w:t>𝛽𝑖</w:t>
      </w:r>
      <w:r>
        <w:rPr>
          <w:rFonts w:ascii="Cambria Math" w:hAnsi="Cambria Math" w:cs="Cambria Math" w:hint="eastAsia"/>
        </w:rPr>
        <w:t>由</w:t>
      </w:r>
      <w:r w:rsidR="00557763">
        <w:rPr>
          <w:rFonts w:ascii="Cambria Math" w:hAnsi="Cambria Math" w:cs="Cambria Math" w:hint="eastAsia"/>
        </w:rPr>
        <w:t>相应的第</w:t>
      </w:r>
      <w:proofErr w:type="spellStart"/>
      <w:r w:rsidR="00557763">
        <w:rPr>
          <w:rFonts w:ascii="Cambria Math" w:hAnsi="Cambria Math" w:cs="Cambria Math" w:hint="eastAsia"/>
        </w:rPr>
        <w:t>i</w:t>
      </w:r>
      <w:proofErr w:type="spellEnd"/>
      <w:r w:rsidR="00557763">
        <w:rPr>
          <w:rFonts w:ascii="Cambria Math" w:hAnsi="Cambria Math" w:cs="Cambria Math" w:hint="eastAsia"/>
        </w:rPr>
        <w:t>家公司（</w:t>
      </w:r>
      <w:r w:rsidR="00557763">
        <w:rPr>
          <w:rFonts w:ascii="Cambria Math" w:hAnsi="Cambria Math" w:cs="Cambria Math" w:hint="eastAsia"/>
        </w:rPr>
        <w:t>-</w:t>
      </w:r>
      <w:r w:rsidR="00557763">
        <w:rPr>
          <w:rFonts w:ascii="Cambria Math" w:hAnsi="Cambria Math" w:cs="Cambria Math"/>
        </w:rPr>
        <w:t>1</w:t>
      </w:r>
      <w:r w:rsidR="00F06F67">
        <w:rPr>
          <w:rFonts w:ascii="Cambria Math" w:hAnsi="Cambria Math" w:cs="Cambria Math"/>
        </w:rPr>
        <w:t>50</w:t>
      </w:r>
      <w:r w:rsidR="00557763">
        <w:rPr>
          <w:rFonts w:ascii="Cambria Math" w:hAnsi="Cambria Math" w:cs="Cambria Math" w:hint="eastAsia"/>
        </w:rPr>
        <w:t>，</w:t>
      </w:r>
      <w:r w:rsidR="00557763">
        <w:rPr>
          <w:rFonts w:ascii="Cambria Math" w:hAnsi="Cambria Math" w:cs="Cambria Math" w:hint="eastAsia"/>
        </w:rPr>
        <w:t>-</w:t>
      </w:r>
      <w:r w:rsidR="00F06F67">
        <w:rPr>
          <w:rFonts w:ascii="Cambria Math" w:hAnsi="Cambria Math" w:cs="Cambria Math"/>
        </w:rPr>
        <w:t>30</w:t>
      </w:r>
      <w:r w:rsidR="00557763">
        <w:rPr>
          <w:rFonts w:ascii="Cambria Math" w:hAnsi="Cambria Math" w:cs="Cambria Math" w:hint="eastAsia"/>
        </w:rPr>
        <w:t>）期间共</w:t>
      </w:r>
      <w:r w:rsidR="00557763">
        <w:rPr>
          <w:rFonts w:ascii="Cambria Math" w:hAnsi="Cambria Math" w:cs="Cambria Math" w:hint="eastAsia"/>
        </w:rPr>
        <w:t>1</w:t>
      </w:r>
      <w:r w:rsidR="001755FC">
        <w:rPr>
          <w:rFonts w:ascii="Cambria Math" w:hAnsi="Cambria Math" w:cs="Cambria Math"/>
        </w:rPr>
        <w:t>2</w:t>
      </w:r>
      <w:r w:rsidR="00557763">
        <w:rPr>
          <w:rFonts w:ascii="Cambria Math" w:hAnsi="Cambria Math" w:cs="Cambria Math"/>
        </w:rPr>
        <w:t>0</w:t>
      </w:r>
      <w:r w:rsidR="00557763">
        <w:rPr>
          <w:rFonts w:ascii="Cambria Math" w:hAnsi="Cambria Math" w:cs="Cambria Math" w:hint="eastAsia"/>
        </w:rPr>
        <w:t>个交易日的个股收益率和市场收益率进行回归得到</w:t>
      </w:r>
      <w:r w:rsidR="00D56CFA">
        <w:rPr>
          <w:rFonts w:ascii="Cambria Math" w:hAnsi="Cambria Math" w:cs="Cambria Math" w:hint="eastAsia"/>
        </w:rPr>
        <w:t>。此外，超额收益的度量方法如下：</w:t>
      </w:r>
    </w:p>
    <w:p w14:paraId="62A4F413" w14:textId="77777777" w:rsidR="007C3E85" w:rsidRDefault="007C3E85" w:rsidP="00D56CFA">
      <w:pPr>
        <w:jc w:val="center"/>
        <w:rPr>
          <w:rFonts w:ascii="Cambria Math" w:hAnsi="Cambria Math" w:cs="Cambria Math"/>
        </w:rPr>
      </w:pPr>
    </w:p>
    <w:p w14:paraId="3764F9FC" w14:textId="2E25CC25" w:rsidR="007C3E85" w:rsidRPr="006571AA" w:rsidRDefault="0051081F" w:rsidP="00D56CFA">
      <w:pPr>
        <w:jc w:val="center"/>
        <w:rPr>
          <w:rFonts w:ascii="Cambria Math" w:hAnsi="Cambria Math" w:cs="Cambria Math"/>
        </w:rPr>
      </w:pPr>
      <m:oMathPara>
        <m:oMath>
          <m:eqArr>
            <m:eqArrPr>
              <m:maxDist m:val="1"/>
              <m:ctrlPr>
                <w:rPr>
                  <w:rFonts w:ascii="Cambria Math" w:hAnsi="Cambria Math" w:cs="Cambria Math"/>
                  <w:i/>
                </w:rPr>
              </m:ctrlPr>
            </m:eqArrPr>
            <m:e>
              <m:sSub>
                <m:sSubPr>
                  <m:ctrlPr>
                    <w:rPr>
                      <w:rFonts w:ascii="Cambria Math" w:hAnsi="Cambria Math" w:cs="Cambria Math"/>
                      <w:i/>
                    </w:rPr>
                  </m:ctrlPr>
                </m:sSubPr>
                <m:e>
                  <m:r>
                    <w:rPr>
                      <w:rFonts w:ascii="Cambria Math" w:hAnsi="Cambria Math" w:cs="Cambria Math"/>
                    </w:rPr>
                    <m:t>AR</m:t>
                  </m:r>
                </m:e>
                <m:sub>
                  <m:r>
                    <w:rPr>
                      <w:rFonts w:ascii="Cambria Math" w:hAnsi="Cambria Math" w:cs="Cambria Math"/>
                    </w:rPr>
                    <m:t>it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it</m:t>
                  </m:r>
                </m:sub>
              </m:sSub>
              <m:r>
                <w:rPr>
                  <w:rFonts w:ascii="Cambria Math" w:hAnsi="Cambria Math" w:cs="Cambria Math"/>
                </w:rPr>
                <m:t>-E</m:t>
              </m:r>
              <m:d>
                <m:dPr>
                  <m:begChr m:val="（"/>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it</m:t>
                      </m:r>
                    </m:sub>
                  </m:sSub>
                </m:e>
              </m:d>
              <m:r>
                <w:rPr>
                  <w:rFonts w:ascii="Cambria Math" w:hAnsi="Cambria Math" w:cs="Cambria Math"/>
                </w:rPr>
                <m:t>#</m:t>
              </m:r>
              <m:d>
                <m:dPr>
                  <m:ctrlPr>
                    <w:rPr>
                      <w:rFonts w:ascii="Cambria Math" w:hAnsi="Cambria Math" w:cs="Cambria Math"/>
                      <w:i/>
                    </w:rPr>
                  </m:ctrlPr>
                </m:dPr>
                <m:e>
                  <m:r>
                    <w:rPr>
                      <w:rFonts w:ascii="Cambria Math" w:hAnsi="Cambria Math" w:cs="Cambria Math"/>
                    </w:rPr>
                    <m:t>2</m:t>
                  </m:r>
                </m:e>
              </m:d>
            </m:e>
          </m:eqArr>
        </m:oMath>
      </m:oMathPara>
    </w:p>
    <w:p w14:paraId="62838C33" w14:textId="77777777" w:rsidR="006571AA" w:rsidRPr="006571AA" w:rsidRDefault="006571AA" w:rsidP="00D56CFA">
      <w:pPr>
        <w:jc w:val="center"/>
        <w:rPr>
          <w:rFonts w:ascii="Cambria Math" w:hAnsi="Cambria Math" w:cs="Cambria Math"/>
        </w:rPr>
      </w:pPr>
    </w:p>
    <w:p w14:paraId="61E99EC4" w14:textId="5F97D7C1" w:rsidR="00D56CFA" w:rsidRDefault="00D56CFA" w:rsidP="005B6337">
      <w:pPr>
        <w:ind w:firstLineChars="200" w:firstLine="480"/>
      </w:pPr>
      <w:r>
        <w:rPr>
          <w:rFonts w:hint="eastAsia"/>
        </w:rPr>
        <w:t>其中，</w:t>
      </w:r>
      <w:r w:rsidRPr="00D56CFA">
        <w:rPr>
          <w:rFonts w:ascii="Cambria Math" w:hAnsi="Cambria Math" w:cs="Cambria Math"/>
        </w:rPr>
        <w:t>𝐴𝑅𝑖𝑡</w:t>
      </w:r>
      <w:r>
        <w:rPr>
          <w:rFonts w:ascii="Cambria Math" w:hAnsi="Cambria Math" w:cs="Cambria Math" w:hint="eastAsia"/>
        </w:rPr>
        <w:t>表示第</w:t>
      </w:r>
      <w:proofErr w:type="spellStart"/>
      <w:r>
        <w:rPr>
          <w:rFonts w:ascii="Cambria Math" w:hAnsi="Cambria Math" w:cs="Cambria Math"/>
        </w:rPr>
        <w:t>i</w:t>
      </w:r>
      <w:proofErr w:type="spellEnd"/>
      <w:r>
        <w:rPr>
          <w:rFonts w:ascii="Cambria Math" w:hAnsi="Cambria Math" w:cs="Cambria Math" w:hint="eastAsia"/>
        </w:rPr>
        <w:t>家公司在</w:t>
      </w:r>
      <w:r w:rsidR="006C6BD4">
        <w:rPr>
          <w:rFonts w:ascii="Cambria Math" w:hAnsi="Cambria Math" w:cs="Cambria Math" w:hint="eastAsia"/>
        </w:rPr>
        <w:t>t</w:t>
      </w:r>
      <w:r w:rsidR="006C6BD4">
        <w:rPr>
          <w:rFonts w:ascii="Cambria Math" w:hAnsi="Cambria Math" w:cs="Cambria Math" w:hint="eastAsia"/>
        </w:rPr>
        <w:t>时间的股票</w:t>
      </w:r>
      <w:r w:rsidR="00206148">
        <w:rPr>
          <w:rFonts w:ascii="Cambria Math" w:hAnsi="Cambria Math" w:cs="Cambria Math" w:hint="eastAsia"/>
        </w:rPr>
        <w:t>异常</w:t>
      </w:r>
      <w:r w:rsidR="006C6BD4">
        <w:rPr>
          <w:rFonts w:ascii="Cambria Math" w:hAnsi="Cambria Math" w:cs="Cambria Math" w:hint="eastAsia"/>
        </w:rPr>
        <w:t>收益率，</w:t>
      </w:r>
      <w:r w:rsidR="006C6BD4" w:rsidRPr="00D56CFA">
        <w:rPr>
          <w:rFonts w:ascii="Cambria Math" w:hAnsi="Cambria Math" w:cs="Cambria Math"/>
        </w:rPr>
        <w:t>𝑅𝑖𝑡</w:t>
      </w:r>
      <w:r w:rsidR="006C6BD4">
        <w:rPr>
          <w:rFonts w:ascii="Cambria Math" w:hAnsi="Cambria Math" w:cs="Cambria Math" w:hint="eastAsia"/>
        </w:rPr>
        <w:t>是第</w:t>
      </w:r>
      <w:proofErr w:type="spellStart"/>
      <w:r w:rsidR="006C6BD4">
        <w:rPr>
          <w:rFonts w:ascii="Cambria Math" w:hAnsi="Cambria Math" w:cs="Cambria Math"/>
        </w:rPr>
        <w:t>i</w:t>
      </w:r>
      <w:proofErr w:type="spellEnd"/>
      <w:r w:rsidR="006C6BD4">
        <w:rPr>
          <w:rFonts w:ascii="Cambria Math" w:hAnsi="Cambria Math" w:cs="Cambria Math" w:hint="eastAsia"/>
        </w:rPr>
        <w:t>家公司在</w:t>
      </w:r>
      <w:r w:rsidR="006C6BD4">
        <w:rPr>
          <w:rFonts w:ascii="Cambria Math" w:hAnsi="Cambria Math" w:cs="Cambria Math" w:hint="eastAsia"/>
        </w:rPr>
        <w:t>t</w:t>
      </w:r>
      <w:r w:rsidR="006C6BD4">
        <w:rPr>
          <w:rFonts w:ascii="Cambria Math" w:hAnsi="Cambria Math" w:cs="Cambria Math" w:hint="eastAsia"/>
        </w:rPr>
        <w:t>时间的实际股票收益率，</w:t>
      </w:r>
      <w:r w:rsidR="006C6BD4" w:rsidRPr="00D56CFA">
        <w:rPr>
          <w:rFonts w:ascii="Cambria Math" w:hAnsi="Cambria Math" w:cs="Cambria Math"/>
        </w:rPr>
        <w:t>𝐸</w:t>
      </w:r>
      <w:r w:rsidR="006C6BD4" w:rsidRPr="00D56CFA">
        <w:t>(</w:t>
      </w:r>
      <w:r w:rsidR="006C6BD4" w:rsidRPr="00D56CFA">
        <w:rPr>
          <w:rFonts w:ascii="Cambria Math" w:hAnsi="Cambria Math" w:cs="Cambria Math"/>
        </w:rPr>
        <w:t>𝑅𝑖𝑡</w:t>
      </w:r>
      <w:r w:rsidR="006C6BD4" w:rsidRPr="00D56CFA">
        <w:t>)</w:t>
      </w:r>
      <w:r w:rsidR="006C6BD4">
        <w:rPr>
          <w:rFonts w:hint="eastAsia"/>
        </w:rPr>
        <w:t>是根据第</w:t>
      </w:r>
      <w:proofErr w:type="spellStart"/>
      <w:r w:rsidR="006C6BD4">
        <w:rPr>
          <w:rFonts w:hint="eastAsia"/>
        </w:rPr>
        <w:t>i</w:t>
      </w:r>
      <w:proofErr w:type="spellEnd"/>
      <w:r w:rsidR="006C6BD4">
        <w:rPr>
          <w:rFonts w:hint="eastAsia"/>
        </w:rPr>
        <w:t>家公司（</w:t>
      </w:r>
      <w:r w:rsidR="006C6BD4">
        <w:rPr>
          <w:rFonts w:hint="eastAsia"/>
        </w:rPr>
        <w:t>-</w:t>
      </w:r>
      <w:r w:rsidR="006C6BD4">
        <w:t>1</w:t>
      </w:r>
      <w:r w:rsidR="00F06F67">
        <w:t>50</w:t>
      </w:r>
      <w:r w:rsidR="006C6BD4">
        <w:rPr>
          <w:rFonts w:hint="eastAsia"/>
        </w:rPr>
        <w:t>，</w:t>
      </w:r>
      <w:r w:rsidR="006C6BD4">
        <w:rPr>
          <w:rFonts w:hint="eastAsia"/>
        </w:rPr>
        <w:t>-</w:t>
      </w:r>
      <w:r w:rsidR="00F06F67">
        <w:t>30</w:t>
      </w:r>
      <w:r w:rsidR="006C6BD4">
        <w:rPr>
          <w:rFonts w:hint="eastAsia"/>
        </w:rPr>
        <w:t>）共</w:t>
      </w:r>
      <w:r w:rsidR="006C6BD4">
        <w:rPr>
          <w:rFonts w:hint="eastAsia"/>
        </w:rPr>
        <w:t>1</w:t>
      </w:r>
      <w:r w:rsidR="001755FC">
        <w:t>2</w:t>
      </w:r>
      <w:r w:rsidR="006C6BD4">
        <w:t>0</w:t>
      </w:r>
      <w:r w:rsidR="006C6BD4">
        <w:rPr>
          <w:rFonts w:hint="eastAsia"/>
        </w:rPr>
        <w:t>个交易日的市场收益率采用市场调整模型进行回归的预期结果。</w:t>
      </w:r>
    </w:p>
    <w:p w14:paraId="6A74FC55" w14:textId="2D1C3590" w:rsidR="006571AA" w:rsidRPr="006571AA" w:rsidRDefault="005B6337" w:rsidP="006571AA">
      <w:pPr>
        <w:ind w:firstLineChars="200" w:firstLine="480"/>
      </w:pPr>
      <w:r>
        <w:rPr>
          <w:rFonts w:hint="eastAsia"/>
        </w:rPr>
        <w:t>最后，计算</w:t>
      </w:r>
      <m:oMath>
        <m:sSub>
          <m:sSubPr>
            <m:ctrlPr>
              <w:rPr>
                <w:rFonts w:ascii="Cambria Math" w:hAnsi="Cambria Math"/>
                <w:i/>
              </w:rPr>
            </m:ctrlPr>
          </m:sSubPr>
          <m:e>
            <m:r>
              <w:rPr>
                <w:rFonts w:ascii="Cambria Math" w:hAnsi="Cambria Math"/>
              </w:rPr>
              <m:t>CAR</m:t>
            </m:r>
          </m:e>
          <m:sub>
            <m:r>
              <w:rPr>
                <w:rFonts w:ascii="Cambria Math" w:hAnsi="Cambria Math"/>
              </w:rPr>
              <m:t>i</m:t>
            </m:r>
          </m:sub>
        </m:sSub>
      </m:oMath>
      <w:r w:rsidR="006571AA">
        <w:rPr>
          <w:rFonts w:hint="eastAsia"/>
        </w:rPr>
        <w:t>,</w:t>
      </w:r>
      <w:r>
        <w:rPr>
          <w:rFonts w:hint="eastAsia"/>
        </w:rPr>
        <w:t>表示第</w:t>
      </w:r>
      <w:proofErr w:type="spellStart"/>
      <w:r>
        <w:rPr>
          <w:rFonts w:hint="eastAsia"/>
        </w:rPr>
        <w:t>i</w:t>
      </w:r>
      <w:proofErr w:type="spellEnd"/>
      <w:r>
        <w:rPr>
          <w:rFonts w:hint="eastAsia"/>
        </w:rPr>
        <w:t>家公司股票的累积异常收益率，</w:t>
      </w:r>
      <w:r w:rsidR="002E247A">
        <w:rPr>
          <w:rFonts w:hint="eastAsia"/>
        </w:rPr>
        <w:t>其度量方法如下：</w:t>
      </w:r>
      <w:r w:rsidR="006571AA">
        <w:rPr>
          <w:rFonts w:hint="eastAsia"/>
        </w:rPr>
        <w:t xml:space="preserve"> </w:t>
      </w:r>
      <w:r w:rsidR="006571AA">
        <w:t xml:space="preserve">                          </w:t>
      </w: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AR</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3</m:t>
                </m:r>
              </m:e>
            </m:d>
          </m:e>
        </m:eqArr>
      </m:oMath>
    </w:p>
    <w:p w14:paraId="464789E3" w14:textId="77777777" w:rsidR="006571AA" w:rsidRPr="006571AA" w:rsidRDefault="006571AA" w:rsidP="005B6337">
      <w:pPr>
        <w:ind w:firstLineChars="200" w:firstLine="480"/>
      </w:pPr>
    </w:p>
    <w:p w14:paraId="65BE5A50" w14:textId="058F831B" w:rsidR="001E5ED8" w:rsidRDefault="001E5ED8" w:rsidP="001E5ED8">
      <w:pPr>
        <w:pStyle w:val="3"/>
      </w:pPr>
      <w:r>
        <w:rPr>
          <w:rFonts w:hint="eastAsia"/>
        </w:rPr>
        <w:t>解释变量</w:t>
      </w:r>
    </w:p>
    <w:p w14:paraId="13269DAC" w14:textId="32DAC651" w:rsidR="00FE5753" w:rsidRDefault="00FE5753" w:rsidP="0045442C">
      <w:pPr>
        <w:ind w:firstLineChars="200" w:firstLine="480"/>
      </w:pPr>
      <w:r>
        <w:rPr>
          <w:rFonts w:hint="eastAsia"/>
        </w:rPr>
        <w:t>为了探讨辞职独立董事自身学历特征对累积异常收益率的影响，我们构建变量</w:t>
      </w:r>
      <w:r>
        <w:rPr>
          <w:rFonts w:hint="eastAsia"/>
        </w:rPr>
        <w:t>d</w:t>
      </w:r>
      <w:r>
        <w:t>egree,</w:t>
      </w:r>
      <w:r>
        <w:rPr>
          <w:rFonts w:hint="eastAsia"/>
        </w:rPr>
        <w:t>并按照学历的不同，将</w:t>
      </w:r>
      <w:r>
        <w:rPr>
          <w:rFonts w:hint="eastAsia"/>
        </w:rPr>
        <w:t>d</w:t>
      </w:r>
      <w:r>
        <w:t>egree</w:t>
      </w:r>
      <w:r>
        <w:rPr>
          <w:rFonts w:hint="eastAsia"/>
        </w:rPr>
        <w:t>分为</w:t>
      </w:r>
      <w:r w:rsidR="00612157">
        <w:rPr>
          <w:rFonts w:hint="eastAsia"/>
        </w:rPr>
        <w:t>中专及中专以下，大专，本科，硕士研究生，博士研究生五个等级，并分别进行赋值，中专及中专以下，大专</w:t>
      </w:r>
      <w:r w:rsidR="00612157">
        <w:rPr>
          <w:rFonts w:hint="eastAsia"/>
        </w:rPr>
        <w:t>d</w:t>
      </w:r>
      <w:r w:rsidR="00612157">
        <w:t>egree=</w:t>
      </w:r>
      <w:r w:rsidR="0011012E">
        <w:t>0</w:t>
      </w:r>
      <w:r w:rsidR="00612157">
        <w:rPr>
          <w:rFonts w:hint="eastAsia"/>
        </w:rPr>
        <w:t>，本科，硕士研究生，博士研究生</w:t>
      </w:r>
      <w:r w:rsidR="00612157">
        <w:rPr>
          <w:rFonts w:hint="eastAsia"/>
        </w:rPr>
        <w:t>d</w:t>
      </w:r>
      <w:r w:rsidR="00612157">
        <w:t>egree=</w:t>
      </w:r>
      <w:r w:rsidR="0011012E">
        <w:t>1</w:t>
      </w:r>
      <w:r w:rsidR="00612157">
        <w:t>,</w:t>
      </w:r>
      <w:r w:rsidR="00155D00">
        <w:rPr>
          <w:rFonts w:hint="eastAsia"/>
        </w:rPr>
        <w:t>来进一步分析独立董事自身学历特征对相关公司股票累积异常收益率的影响。</w:t>
      </w:r>
    </w:p>
    <w:p w14:paraId="02C3702D" w14:textId="7D69D852" w:rsidR="0045442C" w:rsidRDefault="0045442C" w:rsidP="0045442C">
      <w:pPr>
        <w:ind w:firstLineChars="200" w:firstLine="480"/>
      </w:pPr>
      <w:r>
        <w:rPr>
          <w:rFonts w:hint="eastAsia"/>
        </w:rPr>
        <w:t>为了探讨</w:t>
      </w:r>
      <w:r w:rsidR="0079464C">
        <w:rPr>
          <w:rFonts w:hint="eastAsia"/>
        </w:rPr>
        <w:t>辞职</w:t>
      </w:r>
      <w:r>
        <w:rPr>
          <w:rFonts w:hint="eastAsia"/>
        </w:rPr>
        <w:t>独立董事任职期限长短对</w:t>
      </w:r>
      <w:r w:rsidR="0079464C">
        <w:rPr>
          <w:rFonts w:hint="eastAsia"/>
        </w:rPr>
        <w:t>累积异常收益率的影响</w:t>
      </w:r>
      <w:r w:rsidR="00434142">
        <w:rPr>
          <w:rFonts w:hint="eastAsia"/>
        </w:rPr>
        <w:t>,</w:t>
      </w:r>
      <w:r w:rsidR="00CA2FE2">
        <w:rPr>
          <w:rFonts w:hint="eastAsia"/>
        </w:rPr>
        <w:t>我们构建</w:t>
      </w:r>
      <w:r w:rsidR="00407E29">
        <w:rPr>
          <w:rFonts w:hint="eastAsia"/>
        </w:rPr>
        <w:t>连续</w:t>
      </w:r>
      <w:r w:rsidR="00CA2FE2">
        <w:rPr>
          <w:rFonts w:hint="eastAsia"/>
        </w:rPr>
        <w:t>变量</w:t>
      </w:r>
      <w:r w:rsidR="0033495E">
        <w:rPr>
          <w:rFonts w:hint="eastAsia"/>
        </w:rPr>
        <w:t>t</w:t>
      </w:r>
      <w:r w:rsidR="0033495E">
        <w:t>enure</w:t>
      </w:r>
      <w:r w:rsidR="00CA2FE2">
        <w:rPr>
          <w:rFonts w:hint="eastAsia"/>
        </w:rPr>
        <w:t>来表示独立董事的任职时间来进一步揭示独立董事其任职时间的</w:t>
      </w:r>
      <w:r w:rsidR="004B3363">
        <w:rPr>
          <w:rFonts w:hint="eastAsia"/>
        </w:rPr>
        <w:t>不同对公司股票</w:t>
      </w:r>
      <w:r w:rsidR="00155D00">
        <w:rPr>
          <w:rFonts w:hint="eastAsia"/>
        </w:rPr>
        <w:t>累积异常</w:t>
      </w:r>
      <w:r w:rsidR="004B3363">
        <w:rPr>
          <w:rFonts w:hint="eastAsia"/>
        </w:rPr>
        <w:t>收益率的影响。</w:t>
      </w:r>
    </w:p>
    <w:p w14:paraId="609CBFF7" w14:textId="6860F6E4" w:rsidR="00715A5D" w:rsidRPr="00715A5D" w:rsidRDefault="00715A5D" w:rsidP="00C905C3">
      <w:pPr>
        <w:ind w:firstLineChars="200" w:firstLine="480"/>
      </w:pPr>
      <w:r>
        <w:rPr>
          <w:rFonts w:hint="eastAsia"/>
        </w:rPr>
        <w:t>为了探讨公司盈余管理水平高低对累积异常收益率的影响，我们采取</w:t>
      </w:r>
      <w:proofErr w:type="gramStart"/>
      <w:r>
        <w:rPr>
          <w:rFonts w:hint="eastAsia"/>
        </w:rPr>
        <w:t>基本琼</w:t>
      </w:r>
      <w:proofErr w:type="gramEnd"/>
      <w:r>
        <w:rPr>
          <w:rFonts w:hint="eastAsia"/>
        </w:rPr>
        <w:t>斯模型中的操纵性应</w:t>
      </w:r>
      <w:proofErr w:type="gramStart"/>
      <w:r>
        <w:rPr>
          <w:rFonts w:hint="eastAsia"/>
        </w:rPr>
        <w:t>计利润</w:t>
      </w:r>
      <w:proofErr w:type="gramEnd"/>
      <w:r>
        <w:rPr>
          <w:rFonts w:hint="eastAsia"/>
        </w:rPr>
        <w:t>D</w:t>
      </w:r>
      <w:r>
        <w:t>A</w:t>
      </w:r>
      <w:r>
        <w:rPr>
          <w:rFonts w:hint="eastAsia"/>
        </w:rPr>
        <w:t>作为公司盈余管理水平的衡量标准来进一步揭示盈余管理水平对公司累积收益率的影响。</w:t>
      </w:r>
    </w:p>
    <w:p w14:paraId="77F56AB9" w14:textId="6B809C64" w:rsidR="004B3363" w:rsidRDefault="004B3363" w:rsidP="004B3363">
      <w:pPr>
        <w:pStyle w:val="3"/>
      </w:pPr>
      <w:r>
        <w:rPr>
          <w:rFonts w:hint="eastAsia"/>
        </w:rPr>
        <w:lastRenderedPageBreak/>
        <w:t>控制变量</w:t>
      </w:r>
    </w:p>
    <w:p w14:paraId="3FFC9B1E" w14:textId="55C072E6" w:rsidR="004B3363" w:rsidRDefault="00AB3108" w:rsidP="00AB3108">
      <w:pPr>
        <w:ind w:firstLineChars="200" w:firstLine="480"/>
      </w:pPr>
      <w:r>
        <w:rPr>
          <w:rFonts w:hint="eastAsia"/>
        </w:rPr>
        <w:t>综合考虑国内国外各方面学者的研究</w:t>
      </w:r>
      <w:r w:rsidR="00F01497">
        <w:rPr>
          <w:rFonts w:hint="eastAsia"/>
        </w:rPr>
        <w:t>方法</w:t>
      </w:r>
      <w:r>
        <w:rPr>
          <w:rFonts w:hint="eastAsia"/>
        </w:rPr>
        <w:t>，</w:t>
      </w:r>
      <w:r w:rsidR="00F01497">
        <w:rPr>
          <w:rFonts w:hint="eastAsia"/>
        </w:rPr>
        <w:t>我们使用</w:t>
      </w:r>
      <w:r>
        <w:rPr>
          <w:rFonts w:hint="eastAsia"/>
        </w:rPr>
        <w:t>：</w:t>
      </w:r>
      <w:r w:rsidR="006304E8">
        <w:rPr>
          <w:rFonts w:hint="eastAsia"/>
        </w:rPr>
        <w:t>资产负债率（</w:t>
      </w:r>
      <w:r w:rsidR="006304E8">
        <w:rPr>
          <w:rFonts w:hint="eastAsia"/>
        </w:rPr>
        <w:t>L</w:t>
      </w:r>
      <w:r w:rsidR="006304E8">
        <w:t>EVERAGE</w:t>
      </w:r>
      <w:r w:rsidR="006304E8">
        <w:rPr>
          <w:rFonts w:hint="eastAsia"/>
        </w:rPr>
        <w:t>）</w:t>
      </w:r>
      <w:r w:rsidR="00F7300A">
        <w:rPr>
          <w:rFonts w:hint="eastAsia"/>
        </w:rPr>
        <w:t>，企业规模（</w:t>
      </w:r>
      <w:r w:rsidR="00F7300A">
        <w:rPr>
          <w:rFonts w:hint="eastAsia"/>
        </w:rPr>
        <w:t>S</w:t>
      </w:r>
      <w:r w:rsidR="00F7300A">
        <w:t>IZE</w:t>
      </w:r>
      <w:r w:rsidR="00F7300A">
        <w:rPr>
          <w:rFonts w:hint="eastAsia"/>
        </w:rPr>
        <w:t>）</w:t>
      </w:r>
      <w:r w:rsidR="00D23F9F">
        <w:rPr>
          <w:rFonts w:hint="eastAsia"/>
        </w:rPr>
        <w:t>,</w:t>
      </w:r>
      <w:r w:rsidR="0033495E">
        <w:rPr>
          <w:rFonts w:hint="eastAsia"/>
        </w:rPr>
        <w:t>托宾</w:t>
      </w:r>
      <w:r w:rsidR="0033495E">
        <w:rPr>
          <w:rFonts w:hint="eastAsia"/>
        </w:rPr>
        <w:t>Q</w:t>
      </w:r>
      <w:r w:rsidR="0033495E">
        <w:rPr>
          <w:rFonts w:hint="eastAsia"/>
        </w:rPr>
        <w:t>值</w:t>
      </w:r>
      <w:r w:rsidR="00D23F9F">
        <w:rPr>
          <w:rFonts w:hint="eastAsia"/>
        </w:rPr>
        <w:t>（</w:t>
      </w:r>
      <w:r w:rsidR="0033495E">
        <w:t>TBQ</w:t>
      </w:r>
      <w:r w:rsidR="00D23F9F">
        <w:rPr>
          <w:rFonts w:hint="eastAsia"/>
        </w:rPr>
        <w:t>）</w:t>
      </w:r>
      <w:r w:rsidR="00EE6DC0">
        <w:rPr>
          <w:rFonts w:hint="eastAsia"/>
        </w:rPr>
        <w:t>,</w:t>
      </w:r>
      <w:r w:rsidR="008C1D11">
        <w:rPr>
          <w:rFonts w:hint="eastAsia"/>
        </w:rPr>
        <w:t>每股负债（</w:t>
      </w:r>
      <w:r w:rsidR="008C1D11">
        <w:rPr>
          <w:rFonts w:hint="eastAsia"/>
        </w:rPr>
        <w:t>B</w:t>
      </w:r>
      <w:r w:rsidR="008C1D11">
        <w:t>PS</w:t>
      </w:r>
      <w:r w:rsidR="008C1D11">
        <w:rPr>
          <w:rFonts w:hint="eastAsia"/>
        </w:rPr>
        <w:t>）</w:t>
      </w:r>
      <w:r w:rsidR="00F01497">
        <w:rPr>
          <w:rFonts w:hint="eastAsia"/>
        </w:rPr>
        <w:t>作为控制变量</w:t>
      </w:r>
      <w:r w:rsidR="00EE6DC0">
        <w:rPr>
          <w:rFonts w:hint="eastAsia"/>
        </w:rPr>
        <w:t>。</w:t>
      </w:r>
    </w:p>
    <w:p w14:paraId="1F580A82" w14:textId="72FD88AF" w:rsidR="00716E71" w:rsidRDefault="00716E71" w:rsidP="00AB3108">
      <w:pPr>
        <w:ind w:firstLineChars="200" w:firstLine="480"/>
      </w:pPr>
      <w:r>
        <w:rPr>
          <w:rFonts w:hint="eastAsia"/>
        </w:rPr>
        <w:t>资产负债率（</w:t>
      </w:r>
      <w:r>
        <w:rPr>
          <w:rFonts w:hint="eastAsia"/>
        </w:rPr>
        <w:t>L</w:t>
      </w:r>
      <w:r>
        <w:t>EVERAGE</w:t>
      </w:r>
      <w:r>
        <w:rPr>
          <w:rFonts w:hint="eastAsia"/>
        </w:rPr>
        <w:t>）：根据公式，企业的资产负债率</w:t>
      </w:r>
      <w:r>
        <w:rPr>
          <w:rFonts w:hint="eastAsia"/>
        </w:rPr>
        <w:t>L</w:t>
      </w:r>
      <w:r>
        <w:t>EVERAGE</w:t>
      </w:r>
      <w:r>
        <w:rPr>
          <w:rFonts w:hint="eastAsia"/>
        </w:rPr>
        <w:t>等于企业总负债（</w:t>
      </w:r>
      <w:r>
        <w:rPr>
          <w:rFonts w:hint="eastAsia"/>
        </w:rPr>
        <w:t>Total</w:t>
      </w:r>
      <w:r>
        <w:t xml:space="preserve"> Liabilities</w:t>
      </w:r>
      <w:r>
        <w:rPr>
          <w:rFonts w:hint="eastAsia"/>
        </w:rPr>
        <w:t>）</w:t>
      </w:r>
      <w:r>
        <w:rPr>
          <w:rFonts w:hint="eastAsia"/>
        </w:rPr>
        <w:t>/</w:t>
      </w:r>
      <w:r>
        <w:rPr>
          <w:rFonts w:hint="eastAsia"/>
        </w:rPr>
        <w:t>总资产（</w:t>
      </w:r>
      <w:r>
        <w:rPr>
          <w:rFonts w:hint="eastAsia"/>
        </w:rPr>
        <w:t>To</w:t>
      </w:r>
      <w:r>
        <w:t>tal Assets</w:t>
      </w:r>
      <w:r>
        <w:rPr>
          <w:rFonts w:hint="eastAsia"/>
        </w:rPr>
        <w:t>）</w:t>
      </w:r>
      <w:r>
        <w:rPr>
          <w:rFonts w:hint="eastAsia"/>
        </w:rPr>
        <w:t>,</w:t>
      </w:r>
      <w:r>
        <w:rPr>
          <w:rFonts w:hint="eastAsia"/>
        </w:rPr>
        <w:t>企业资产负债率衡量了企业的风险水平，资产负债率</w:t>
      </w:r>
      <w:r>
        <w:rPr>
          <w:rFonts w:hint="eastAsia"/>
        </w:rPr>
        <w:t>L</w:t>
      </w:r>
      <w:r>
        <w:t>EVERAGE</w:t>
      </w:r>
      <w:r>
        <w:rPr>
          <w:rFonts w:hint="eastAsia"/>
        </w:rPr>
        <w:t>越高，公司的风险水平相应的也会增加。</w:t>
      </w:r>
    </w:p>
    <w:p w14:paraId="0371A946" w14:textId="3D46FB2A" w:rsidR="00716E71" w:rsidRDefault="00716E71" w:rsidP="00AB3108">
      <w:pPr>
        <w:ind w:firstLineChars="200" w:firstLine="480"/>
      </w:pPr>
      <w:r>
        <w:rPr>
          <w:rFonts w:hint="eastAsia"/>
        </w:rPr>
        <w:t>企业规模</w:t>
      </w:r>
      <w:r>
        <w:rPr>
          <w:rFonts w:hint="eastAsia"/>
        </w:rPr>
        <w:t>(</w:t>
      </w:r>
      <w:r>
        <w:t>SIZE)</w:t>
      </w:r>
      <w:r>
        <w:rPr>
          <w:rFonts w:hint="eastAsia"/>
        </w:rPr>
        <w:t>：</w:t>
      </w:r>
      <w:r w:rsidR="00F01497">
        <w:rPr>
          <w:rFonts w:hint="eastAsia"/>
        </w:rPr>
        <w:t>根据资产负债表</w:t>
      </w:r>
      <w:r w:rsidR="00D84496">
        <w:rPr>
          <w:rFonts w:hint="eastAsia"/>
        </w:rPr>
        <w:t>，</w:t>
      </w:r>
      <w:r w:rsidR="00F01497">
        <w:rPr>
          <w:rFonts w:hint="eastAsia"/>
        </w:rPr>
        <w:t>公司的总资产</w:t>
      </w:r>
      <w:r w:rsidR="00074D9F">
        <w:rPr>
          <w:rFonts w:hint="eastAsia"/>
        </w:rPr>
        <w:t>越大，其规模往往越大，</w:t>
      </w:r>
      <w:r w:rsidR="00D84496">
        <w:rPr>
          <w:rFonts w:hint="eastAsia"/>
        </w:rPr>
        <w:t>参考以往文献资料，</w:t>
      </w:r>
      <w:r w:rsidR="00074D9F">
        <w:rPr>
          <w:rFonts w:hint="eastAsia"/>
        </w:rPr>
        <w:t>我们用总资产进行衡量</w:t>
      </w:r>
      <w:r w:rsidR="00D84496">
        <w:rPr>
          <w:rFonts w:hint="eastAsia"/>
        </w:rPr>
        <w:t>，单位为百万元，</w:t>
      </w:r>
      <w:r w:rsidR="00074D9F">
        <w:rPr>
          <w:rFonts w:hint="eastAsia"/>
        </w:rPr>
        <w:t>并取对数增强平滑性，</w:t>
      </w:r>
      <w:r w:rsidR="00D84496">
        <w:rPr>
          <w:rFonts w:hint="eastAsia"/>
        </w:rPr>
        <w:t>企业规模越大，相应的累积异常收益率</w:t>
      </w:r>
      <w:r w:rsidR="00D84496">
        <w:rPr>
          <w:rFonts w:hint="eastAsia"/>
        </w:rPr>
        <w:t>C</w:t>
      </w:r>
      <w:r w:rsidR="00D84496">
        <w:t>AR</w:t>
      </w:r>
      <w:r w:rsidR="00D84496">
        <w:rPr>
          <w:rFonts w:hint="eastAsia"/>
        </w:rPr>
        <w:t>可能更大。</w:t>
      </w:r>
    </w:p>
    <w:p w14:paraId="6A0F311E" w14:textId="5D1B1AC9" w:rsidR="00D84496" w:rsidRDefault="008C1D11" w:rsidP="00AB3108">
      <w:pPr>
        <w:ind w:firstLineChars="200" w:firstLine="480"/>
      </w:pPr>
      <w:r>
        <w:rPr>
          <w:rFonts w:hint="eastAsia"/>
        </w:rPr>
        <w:t>托宾</w:t>
      </w:r>
      <w:r>
        <w:rPr>
          <w:rFonts w:hint="eastAsia"/>
        </w:rPr>
        <w:t>Q</w:t>
      </w:r>
      <w:r>
        <w:rPr>
          <w:rFonts w:hint="eastAsia"/>
        </w:rPr>
        <w:t>值</w:t>
      </w:r>
      <w:r w:rsidR="00D84496">
        <w:rPr>
          <w:rFonts w:hint="eastAsia"/>
        </w:rPr>
        <w:t>（</w:t>
      </w:r>
      <w:r w:rsidR="00D84496">
        <w:rPr>
          <w:rFonts w:hint="eastAsia"/>
        </w:rPr>
        <w:t>T</w:t>
      </w:r>
      <w:r>
        <w:t>BQ</w:t>
      </w:r>
      <w:r w:rsidR="00D84496">
        <w:rPr>
          <w:rFonts w:hint="eastAsia"/>
        </w:rPr>
        <w:t>）：该比例能够衡量目标</w:t>
      </w:r>
      <w:r w:rsidR="002C5E8B">
        <w:rPr>
          <w:rFonts w:hint="eastAsia"/>
        </w:rPr>
        <w:t>企业被市场的看好程度，其计算公式为</w:t>
      </w:r>
      <w:r w:rsidR="002C5E8B" w:rsidRPr="002C5E8B">
        <w:rPr>
          <w:rFonts w:hint="eastAsia"/>
        </w:rPr>
        <w:t>市值</w:t>
      </w:r>
      <w:r w:rsidR="00ED5F8E">
        <w:rPr>
          <w:rFonts w:hint="eastAsia"/>
        </w:rPr>
        <w:t>(</w:t>
      </w:r>
      <w:r w:rsidR="00ED5F8E">
        <w:t>Market value)</w:t>
      </w:r>
      <w:r w:rsidR="002C5E8B" w:rsidRPr="002C5E8B">
        <w:rPr>
          <w:rFonts w:hint="eastAsia"/>
        </w:rPr>
        <w:t>/</w:t>
      </w:r>
      <w:r w:rsidR="002C5E8B" w:rsidRPr="002C5E8B">
        <w:rPr>
          <w:rFonts w:hint="eastAsia"/>
        </w:rPr>
        <w:t>（资产总计</w:t>
      </w:r>
      <w:r w:rsidR="00ED5F8E">
        <w:rPr>
          <w:rFonts w:hint="eastAsia"/>
        </w:rPr>
        <w:t>(</w:t>
      </w:r>
      <w:r w:rsidR="00ED5F8E">
        <w:t>Total Assets)</w:t>
      </w:r>
      <w:r w:rsidR="002C5E8B" w:rsidRPr="002C5E8B">
        <w:rPr>
          <w:rFonts w:hint="eastAsia"/>
        </w:rPr>
        <w:t>—无形资产净额</w:t>
      </w:r>
      <w:r w:rsidR="00ED5F8E">
        <w:rPr>
          <w:rFonts w:hint="eastAsia"/>
        </w:rPr>
        <w:t>(</w:t>
      </w:r>
      <w:r w:rsidR="00ED5F8E">
        <w:t>Net Intangible Assets)</w:t>
      </w:r>
      <w:r w:rsidR="002C5E8B" w:rsidRPr="002C5E8B">
        <w:rPr>
          <w:rFonts w:hint="eastAsia"/>
        </w:rPr>
        <w:t>—商誉净额</w:t>
      </w:r>
      <w:r w:rsidR="00ED5F8E">
        <w:rPr>
          <w:rFonts w:hint="eastAsia"/>
        </w:rPr>
        <w:t>(</w:t>
      </w:r>
      <w:r w:rsidR="00ED5F8E">
        <w:t xml:space="preserve">Net </w:t>
      </w:r>
      <w:r w:rsidR="00DE6057">
        <w:t>Goodwill</w:t>
      </w:r>
      <w:r w:rsidR="00ED5F8E">
        <w:t>)</w:t>
      </w:r>
      <w:r w:rsidR="002C5E8B" w:rsidRPr="002C5E8B">
        <w:rPr>
          <w:rFonts w:hint="eastAsia"/>
        </w:rPr>
        <w:t>）</w:t>
      </w:r>
      <w:r w:rsidR="002C5E8B">
        <w:rPr>
          <w:rFonts w:hint="eastAsia"/>
        </w:rPr>
        <w:t>。</w:t>
      </w:r>
    </w:p>
    <w:p w14:paraId="310DA16E" w14:textId="5CCA5195" w:rsidR="007E1156" w:rsidRDefault="002C5E8B" w:rsidP="007E1156">
      <w:pPr>
        <w:ind w:firstLineChars="200" w:firstLine="480"/>
      </w:pPr>
      <w:r>
        <w:rPr>
          <w:rFonts w:hint="eastAsia"/>
        </w:rPr>
        <w:t>每股负债</w:t>
      </w:r>
      <w:r w:rsidR="0010355C">
        <w:rPr>
          <w:rFonts w:hint="eastAsia"/>
        </w:rPr>
        <w:t>(</w:t>
      </w:r>
      <w:r>
        <w:t>BPS</w:t>
      </w:r>
      <w:r w:rsidR="0010355C">
        <w:t>) :</w:t>
      </w:r>
      <w:r w:rsidR="0010355C">
        <w:rPr>
          <w:rFonts w:hint="eastAsia"/>
        </w:rPr>
        <w:t>根据公式，企业的</w:t>
      </w:r>
      <w:r>
        <w:rPr>
          <w:rFonts w:hint="eastAsia"/>
        </w:rPr>
        <w:t>每股负债额</w:t>
      </w:r>
      <w:r>
        <w:t>BPS</w:t>
      </w:r>
      <w:r w:rsidR="0010355C">
        <w:rPr>
          <w:rFonts w:hint="eastAsia"/>
        </w:rPr>
        <w:t>等于</w:t>
      </w:r>
      <w:r w:rsidR="00ED5F8E">
        <w:rPr>
          <w:rFonts w:hint="eastAsia"/>
        </w:rPr>
        <w:t>期末</w:t>
      </w:r>
      <w:r w:rsidR="00ED5F8E" w:rsidRPr="00ED5F8E">
        <w:rPr>
          <w:rFonts w:hint="eastAsia"/>
        </w:rPr>
        <w:t>负债</w:t>
      </w:r>
      <w:r w:rsidR="00ED5F8E">
        <w:rPr>
          <w:rFonts w:hint="eastAsia"/>
        </w:rPr>
        <w:t>（</w:t>
      </w:r>
      <w:r w:rsidR="00ED5F8E">
        <w:rPr>
          <w:rFonts w:hint="eastAsia"/>
        </w:rPr>
        <w:t>D</w:t>
      </w:r>
      <w:r w:rsidR="00DE6057">
        <w:t>ebt</w:t>
      </w:r>
      <w:r w:rsidR="00ED5F8E">
        <w:rPr>
          <w:rFonts w:hint="eastAsia"/>
        </w:rPr>
        <w:t>）</w:t>
      </w:r>
      <w:r w:rsidR="00ED5F8E" w:rsidRPr="00ED5F8E">
        <w:rPr>
          <w:rFonts w:hint="eastAsia"/>
        </w:rPr>
        <w:t>合计</w:t>
      </w:r>
      <w:r w:rsidR="00ED5F8E" w:rsidRPr="00ED5F8E">
        <w:rPr>
          <w:rFonts w:hint="eastAsia"/>
        </w:rPr>
        <w:t xml:space="preserve"> / </w:t>
      </w:r>
      <w:r w:rsidR="00ED5F8E" w:rsidRPr="00ED5F8E">
        <w:rPr>
          <w:rFonts w:hint="eastAsia"/>
        </w:rPr>
        <w:t>实收资本</w:t>
      </w:r>
      <w:r w:rsidR="00ED5F8E">
        <w:rPr>
          <w:rFonts w:hint="eastAsia"/>
        </w:rPr>
        <w:t>(</w:t>
      </w:r>
      <w:r w:rsidR="00ED5F8E">
        <w:t>C</w:t>
      </w:r>
      <w:r w:rsidR="00DE6057">
        <w:t>apital</w:t>
      </w:r>
      <w:r w:rsidR="00ED5F8E">
        <w:t>)</w:t>
      </w:r>
      <w:r w:rsidR="00ED5F8E" w:rsidRPr="00ED5F8E">
        <w:rPr>
          <w:rFonts w:hint="eastAsia"/>
        </w:rPr>
        <w:t>期末值</w:t>
      </w:r>
      <w:r w:rsidR="00C94194">
        <w:rPr>
          <w:rFonts w:hint="eastAsia"/>
        </w:rPr>
        <w:t>,</w:t>
      </w:r>
      <w:r w:rsidR="00C94194">
        <w:rPr>
          <w:rFonts w:hint="eastAsia"/>
        </w:rPr>
        <w:t>该项指标能够比较准确的衡量目标公司盈利能力。</w:t>
      </w:r>
    </w:p>
    <w:p w14:paraId="2B4A2EC2" w14:textId="0D0600FC" w:rsidR="00370120" w:rsidRDefault="009E23BC" w:rsidP="00681C84">
      <w:pPr>
        <w:pStyle w:val="af4"/>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3</w:t>
      </w:r>
      <w:r w:rsidR="00B66801">
        <w:fldChar w:fldCharType="end"/>
      </w:r>
      <w:r w:rsidR="00B66801">
        <w:noBreakHyphen/>
      </w:r>
      <w:r w:rsidR="00B66801">
        <w:fldChar w:fldCharType="begin"/>
      </w:r>
      <w:r w:rsidR="00B66801">
        <w:instrText xml:space="preserve"> </w:instrText>
      </w:r>
      <w:r w:rsidR="00B66801">
        <w:rPr>
          <w:rFonts w:hint="eastAsia"/>
        </w:rPr>
        <w:instrText xml:space="preserve">SEQ </w:instrText>
      </w:r>
      <w:r w:rsidR="00B66801">
        <w:rPr>
          <w:rFonts w:hint="eastAsia"/>
        </w:rPr>
        <w:instrText>表</w:instrText>
      </w:r>
      <w:r w:rsidR="00B66801">
        <w:rPr>
          <w:rFonts w:hint="eastAsia"/>
        </w:rPr>
        <w:instrText xml:space="preserve"> \* ARABIC \s 1</w:instrText>
      </w:r>
      <w:r w:rsidR="00B66801">
        <w:instrText xml:space="preserve"> </w:instrText>
      </w:r>
      <w:r w:rsidR="00B66801">
        <w:fldChar w:fldCharType="separate"/>
      </w:r>
      <w:r w:rsidR="00B545B4">
        <w:rPr>
          <w:noProof/>
        </w:rPr>
        <w:t>1</w:t>
      </w:r>
      <w:r w:rsidR="00B66801">
        <w:fldChar w:fldCharType="end"/>
      </w:r>
      <w:r w:rsidR="00370120">
        <w:rPr>
          <w:rFonts w:hint="eastAsia"/>
        </w:rPr>
        <w:t>变量定义表</w:t>
      </w:r>
    </w:p>
    <w:tbl>
      <w:tblPr>
        <w:tblW w:w="5000" w:type="pct"/>
        <w:jc w:val="center"/>
        <w:tblLook w:val="0000" w:firstRow="0" w:lastRow="0" w:firstColumn="0" w:lastColumn="0" w:noHBand="0" w:noVBand="0"/>
      </w:tblPr>
      <w:tblGrid>
        <w:gridCol w:w="1185"/>
        <w:gridCol w:w="1686"/>
        <w:gridCol w:w="1586"/>
        <w:gridCol w:w="3849"/>
      </w:tblGrid>
      <w:tr w:rsidR="00563BC6" w:rsidRPr="00E1448D" w14:paraId="6F48616B" w14:textId="77777777" w:rsidTr="00E1448D">
        <w:trPr>
          <w:jc w:val="center"/>
        </w:trPr>
        <w:tc>
          <w:tcPr>
            <w:tcW w:w="713" w:type="pct"/>
            <w:tcBorders>
              <w:top w:val="single" w:sz="12" w:space="0" w:color="auto"/>
              <w:bottom w:val="single" w:sz="4" w:space="0" w:color="auto"/>
            </w:tcBorders>
            <w:vAlign w:val="center"/>
          </w:tcPr>
          <w:p w14:paraId="07007E3E" w14:textId="77777777" w:rsidR="00A836CB" w:rsidRPr="00E1448D" w:rsidRDefault="00A836CB" w:rsidP="00E1448D">
            <w:pPr>
              <w:pStyle w:val="af2"/>
            </w:pPr>
            <w:r w:rsidRPr="00E1448D">
              <w:rPr>
                <w:rFonts w:hint="eastAsia"/>
              </w:rPr>
              <w:t>变量类型</w:t>
            </w:r>
          </w:p>
        </w:tc>
        <w:tc>
          <w:tcPr>
            <w:tcW w:w="1015" w:type="pct"/>
            <w:tcBorders>
              <w:top w:val="single" w:sz="12" w:space="0" w:color="auto"/>
              <w:bottom w:val="single" w:sz="4" w:space="0" w:color="auto"/>
            </w:tcBorders>
            <w:vAlign w:val="center"/>
          </w:tcPr>
          <w:p w14:paraId="38F7CB45" w14:textId="77777777" w:rsidR="00A836CB" w:rsidRPr="00E1448D" w:rsidRDefault="00A836CB" w:rsidP="00E1448D">
            <w:pPr>
              <w:pStyle w:val="af2"/>
            </w:pPr>
            <w:r w:rsidRPr="00E1448D">
              <w:rPr>
                <w:rFonts w:hint="eastAsia"/>
              </w:rPr>
              <w:t>变量名称</w:t>
            </w:r>
          </w:p>
        </w:tc>
        <w:tc>
          <w:tcPr>
            <w:tcW w:w="955" w:type="pct"/>
            <w:tcBorders>
              <w:top w:val="single" w:sz="12" w:space="0" w:color="auto"/>
              <w:bottom w:val="single" w:sz="4" w:space="0" w:color="auto"/>
            </w:tcBorders>
            <w:vAlign w:val="center"/>
          </w:tcPr>
          <w:p w14:paraId="153DE4A2" w14:textId="77777777" w:rsidR="00A836CB" w:rsidRPr="00E1448D" w:rsidRDefault="00A836CB" w:rsidP="00E1448D">
            <w:pPr>
              <w:pStyle w:val="af2"/>
            </w:pPr>
            <w:r w:rsidRPr="00E1448D">
              <w:rPr>
                <w:rFonts w:hint="eastAsia"/>
              </w:rPr>
              <w:t>符号</w:t>
            </w:r>
          </w:p>
        </w:tc>
        <w:tc>
          <w:tcPr>
            <w:tcW w:w="2317" w:type="pct"/>
            <w:tcBorders>
              <w:top w:val="single" w:sz="12" w:space="0" w:color="auto"/>
              <w:bottom w:val="single" w:sz="4" w:space="0" w:color="auto"/>
            </w:tcBorders>
            <w:vAlign w:val="center"/>
          </w:tcPr>
          <w:p w14:paraId="0278CC75" w14:textId="77777777" w:rsidR="00A836CB" w:rsidRPr="00E1448D" w:rsidRDefault="00A836CB" w:rsidP="00E1448D">
            <w:pPr>
              <w:pStyle w:val="af2"/>
            </w:pPr>
            <w:r w:rsidRPr="00E1448D">
              <w:rPr>
                <w:rFonts w:hint="eastAsia"/>
              </w:rPr>
              <w:t>计算说明</w:t>
            </w:r>
          </w:p>
        </w:tc>
      </w:tr>
      <w:tr w:rsidR="00563BC6" w:rsidRPr="00E1448D" w14:paraId="25B6E8DC" w14:textId="77777777" w:rsidTr="00E1448D">
        <w:trPr>
          <w:jc w:val="center"/>
        </w:trPr>
        <w:tc>
          <w:tcPr>
            <w:tcW w:w="713" w:type="pct"/>
            <w:tcBorders>
              <w:top w:val="single" w:sz="4" w:space="0" w:color="auto"/>
            </w:tcBorders>
            <w:vAlign w:val="center"/>
          </w:tcPr>
          <w:p w14:paraId="46CE3990" w14:textId="77777777" w:rsidR="00A836CB" w:rsidRPr="00E1448D" w:rsidRDefault="00A836CB" w:rsidP="00E1448D">
            <w:pPr>
              <w:pStyle w:val="af2"/>
            </w:pPr>
            <w:r w:rsidRPr="00E1448D">
              <w:rPr>
                <w:rFonts w:hint="eastAsia"/>
              </w:rPr>
              <w:t>被解释变量</w:t>
            </w:r>
          </w:p>
        </w:tc>
        <w:tc>
          <w:tcPr>
            <w:tcW w:w="1015" w:type="pct"/>
            <w:tcBorders>
              <w:top w:val="single" w:sz="4" w:space="0" w:color="auto"/>
              <w:bottom w:val="single" w:sz="4" w:space="0" w:color="auto"/>
            </w:tcBorders>
            <w:vAlign w:val="center"/>
          </w:tcPr>
          <w:p w14:paraId="7083253F" w14:textId="2FF4CA36" w:rsidR="00A836CB" w:rsidRPr="00E1448D" w:rsidRDefault="00A836CB" w:rsidP="00E1448D">
            <w:pPr>
              <w:pStyle w:val="af2"/>
            </w:pPr>
            <w:r w:rsidRPr="00E1448D">
              <w:rPr>
                <w:rFonts w:hint="eastAsia"/>
              </w:rPr>
              <w:t>累积异常收益率</w:t>
            </w:r>
          </w:p>
        </w:tc>
        <w:tc>
          <w:tcPr>
            <w:tcW w:w="955" w:type="pct"/>
            <w:tcBorders>
              <w:top w:val="single" w:sz="4" w:space="0" w:color="auto"/>
              <w:bottom w:val="single" w:sz="4" w:space="0" w:color="auto"/>
            </w:tcBorders>
            <w:vAlign w:val="center"/>
          </w:tcPr>
          <w:p w14:paraId="7238DD37" w14:textId="555DB922" w:rsidR="00A836CB" w:rsidRPr="00E1448D" w:rsidRDefault="00A836CB" w:rsidP="00E1448D">
            <w:pPr>
              <w:pStyle w:val="af2"/>
            </w:pPr>
            <w:r w:rsidRPr="00E1448D">
              <w:rPr>
                <w:rFonts w:hint="eastAsia"/>
              </w:rPr>
              <w:t>C</w:t>
            </w:r>
            <w:r w:rsidRPr="00E1448D">
              <w:t>AR</w:t>
            </w:r>
          </w:p>
        </w:tc>
        <w:tc>
          <w:tcPr>
            <w:tcW w:w="2317" w:type="pct"/>
            <w:tcBorders>
              <w:top w:val="single" w:sz="4" w:space="0" w:color="auto"/>
              <w:bottom w:val="single" w:sz="4" w:space="0" w:color="auto"/>
            </w:tcBorders>
            <w:vAlign w:val="center"/>
          </w:tcPr>
          <w:p w14:paraId="0A8B8696" w14:textId="34611EB2" w:rsidR="00A836CB" w:rsidRPr="00E1448D" w:rsidRDefault="00A836CB" w:rsidP="00E1448D">
            <w:pPr>
              <w:pStyle w:val="af2"/>
            </w:pPr>
            <w:r w:rsidRPr="00E1448D">
              <w:rPr>
                <w:rFonts w:hint="eastAsia"/>
              </w:rPr>
              <w:t>个股实际收益率</w:t>
            </w:r>
            <w:r w:rsidRPr="00E1448D">
              <w:rPr>
                <w:rFonts w:hint="eastAsia"/>
              </w:rPr>
              <w:t>-</w:t>
            </w:r>
            <w:r w:rsidRPr="00E1448D">
              <w:rPr>
                <w:rFonts w:hint="eastAsia"/>
              </w:rPr>
              <w:t>个股预期收益率</w:t>
            </w:r>
          </w:p>
        </w:tc>
      </w:tr>
      <w:tr w:rsidR="00563BC6" w:rsidRPr="00E1448D" w14:paraId="288038B0" w14:textId="77777777" w:rsidTr="00E1448D">
        <w:trPr>
          <w:trHeight w:val="68"/>
          <w:jc w:val="center"/>
        </w:trPr>
        <w:tc>
          <w:tcPr>
            <w:tcW w:w="713" w:type="pct"/>
            <w:vAlign w:val="center"/>
          </w:tcPr>
          <w:p w14:paraId="0CA49D75" w14:textId="77777777" w:rsidR="00A836CB" w:rsidRPr="00E1448D" w:rsidRDefault="00A836CB" w:rsidP="00E1448D">
            <w:pPr>
              <w:pStyle w:val="af2"/>
            </w:pPr>
          </w:p>
        </w:tc>
        <w:tc>
          <w:tcPr>
            <w:tcW w:w="1015" w:type="pct"/>
            <w:vAlign w:val="center"/>
          </w:tcPr>
          <w:p w14:paraId="22394F66" w14:textId="73644405" w:rsidR="00A836CB" w:rsidRPr="00E1448D" w:rsidRDefault="00563BC6" w:rsidP="00E1448D">
            <w:pPr>
              <w:pStyle w:val="af2"/>
            </w:pPr>
            <w:r w:rsidRPr="00E1448D">
              <w:rPr>
                <w:rFonts w:hint="eastAsia"/>
              </w:rPr>
              <w:t>任职</w:t>
            </w:r>
            <w:r w:rsidR="00841EB7" w:rsidRPr="00E1448D">
              <w:rPr>
                <w:rFonts w:hint="eastAsia"/>
              </w:rPr>
              <w:t>时间</w:t>
            </w:r>
          </w:p>
        </w:tc>
        <w:tc>
          <w:tcPr>
            <w:tcW w:w="955" w:type="pct"/>
            <w:vAlign w:val="center"/>
          </w:tcPr>
          <w:p w14:paraId="0BA7B0E2" w14:textId="7BD0D2FA" w:rsidR="00A836CB" w:rsidRPr="00E1448D" w:rsidRDefault="001C3220" w:rsidP="00E1448D">
            <w:pPr>
              <w:pStyle w:val="af2"/>
            </w:pPr>
            <w:r w:rsidRPr="00E1448D">
              <w:t>T</w:t>
            </w:r>
            <w:r w:rsidR="00841EB7" w:rsidRPr="00E1448D">
              <w:rPr>
                <w:rFonts w:hint="eastAsia"/>
              </w:rPr>
              <w:t>enure</w:t>
            </w:r>
          </w:p>
        </w:tc>
        <w:tc>
          <w:tcPr>
            <w:tcW w:w="2317" w:type="pct"/>
            <w:vAlign w:val="center"/>
          </w:tcPr>
          <w:p w14:paraId="3B3983C0" w14:textId="7B57471B" w:rsidR="00A836CB" w:rsidRPr="00E1448D" w:rsidRDefault="005571A8" w:rsidP="00E1448D">
            <w:pPr>
              <w:pStyle w:val="af2"/>
            </w:pPr>
            <w:r w:rsidRPr="00E1448D">
              <w:rPr>
                <w:rFonts w:hint="eastAsia"/>
              </w:rPr>
              <w:t>独立董事任职期限</w:t>
            </w:r>
          </w:p>
        </w:tc>
      </w:tr>
      <w:tr w:rsidR="00563BC6" w:rsidRPr="00E1448D" w14:paraId="60F6B42D" w14:textId="77777777" w:rsidTr="006B00AE">
        <w:trPr>
          <w:jc w:val="center"/>
        </w:trPr>
        <w:tc>
          <w:tcPr>
            <w:tcW w:w="713" w:type="pct"/>
            <w:vAlign w:val="center"/>
          </w:tcPr>
          <w:p w14:paraId="5A0B8CE8" w14:textId="77777777" w:rsidR="00A836CB" w:rsidRPr="00E1448D" w:rsidRDefault="00A836CB" w:rsidP="00E1448D">
            <w:pPr>
              <w:pStyle w:val="af2"/>
            </w:pPr>
          </w:p>
        </w:tc>
        <w:tc>
          <w:tcPr>
            <w:tcW w:w="1015" w:type="pct"/>
            <w:vAlign w:val="center"/>
          </w:tcPr>
          <w:p w14:paraId="08297960" w14:textId="6164958F" w:rsidR="00A836CB" w:rsidRPr="00E1448D" w:rsidRDefault="00155D00" w:rsidP="00E1448D">
            <w:pPr>
              <w:pStyle w:val="af2"/>
            </w:pPr>
            <w:r w:rsidRPr="00E1448D">
              <w:rPr>
                <w:rFonts w:hint="eastAsia"/>
              </w:rPr>
              <w:t>学历</w:t>
            </w:r>
          </w:p>
        </w:tc>
        <w:tc>
          <w:tcPr>
            <w:tcW w:w="955" w:type="pct"/>
            <w:vAlign w:val="center"/>
          </w:tcPr>
          <w:p w14:paraId="3A220A3A" w14:textId="3A81D5B0" w:rsidR="00A836CB" w:rsidRPr="00E1448D" w:rsidRDefault="006C2660" w:rsidP="00E1448D">
            <w:pPr>
              <w:pStyle w:val="af2"/>
            </w:pPr>
            <w:r w:rsidRPr="00E1448D">
              <w:t>D</w:t>
            </w:r>
            <w:r w:rsidR="00155D00" w:rsidRPr="00E1448D">
              <w:t>egree</w:t>
            </w:r>
          </w:p>
        </w:tc>
        <w:tc>
          <w:tcPr>
            <w:tcW w:w="2317" w:type="pct"/>
            <w:vAlign w:val="center"/>
          </w:tcPr>
          <w:p w14:paraId="46EF2F4F" w14:textId="3CFEFCD2" w:rsidR="00A836CB" w:rsidRPr="00E1448D" w:rsidRDefault="00155D00" w:rsidP="00E1448D">
            <w:pPr>
              <w:pStyle w:val="af2"/>
            </w:pPr>
            <w:r w:rsidRPr="00E1448D">
              <w:rPr>
                <w:rFonts w:hint="eastAsia"/>
              </w:rPr>
              <w:t>独立董事学历水平</w:t>
            </w:r>
          </w:p>
        </w:tc>
      </w:tr>
      <w:tr w:rsidR="006B00AE" w:rsidRPr="00E1448D" w14:paraId="5640BA37" w14:textId="77777777" w:rsidTr="00E1448D">
        <w:trPr>
          <w:jc w:val="center"/>
        </w:trPr>
        <w:tc>
          <w:tcPr>
            <w:tcW w:w="713" w:type="pct"/>
            <w:vAlign w:val="center"/>
          </w:tcPr>
          <w:p w14:paraId="00FBD644" w14:textId="77777777" w:rsidR="006B00AE" w:rsidRPr="00E1448D" w:rsidRDefault="006B00AE" w:rsidP="00E1448D">
            <w:pPr>
              <w:pStyle w:val="af2"/>
            </w:pPr>
          </w:p>
        </w:tc>
        <w:tc>
          <w:tcPr>
            <w:tcW w:w="1015" w:type="pct"/>
            <w:tcBorders>
              <w:bottom w:val="single" w:sz="4" w:space="0" w:color="auto"/>
            </w:tcBorders>
            <w:vAlign w:val="center"/>
          </w:tcPr>
          <w:p w14:paraId="5857A4F3" w14:textId="0A8E1859" w:rsidR="006B00AE" w:rsidRPr="00E1448D" w:rsidRDefault="006B00AE" w:rsidP="00E1448D">
            <w:pPr>
              <w:pStyle w:val="af2"/>
            </w:pPr>
            <w:r>
              <w:rPr>
                <w:rFonts w:hint="eastAsia"/>
              </w:rPr>
              <w:t>操纵性应</w:t>
            </w:r>
            <w:proofErr w:type="gramStart"/>
            <w:r>
              <w:rPr>
                <w:rFonts w:hint="eastAsia"/>
              </w:rPr>
              <w:t>计利润</w:t>
            </w:r>
            <w:proofErr w:type="gramEnd"/>
          </w:p>
        </w:tc>
        <w:tc>
          <w:tcPr>
            <w:tcW w:w="955" w:type="pct"/>
            <w:tcBorders>
              <w:bottom w:val="single" w:sz="4" w:space="0" w:color="auto"/>
            </w:tcBorders>
            <w:vAlign w:val="center"/>
          </w:tcPr>
          <w:p w14:paraId="355FEB9A" w14:textId="69909BC2" w:rsidR="006B00AE" w:rsidRPr="00E1448D" w:rsidRDefault="006B00AE" w:rsidP="00E1448D">
            <w:pPr>
              <w:pStyle w:val="af2"/>
            </w:pPr>
            <w:r>
              <w:rPr>
                <w:rFonts w:hint="eastAsia"/>
              </w:rPr>
              <w:t>D</w:t>
            </w:r>
            <w:r>
              <w:t>A</w:t>
            </w:r>
          </w:p>
        </w:tc>
        <w:tc>
          <w:tcPr>
            <w:tcW w:w="2317" w:type="pct"/>
            <w:tcBorders>
              <w:bottom w:val="single" w:sz="4" w:space="0" w:color="auto"/>
            </w:tcBorders>
            <w:vAlign w:val="center"/>
          </w:tcPr>
          <w:p w14:paraId="3BDE3269" w14:textId="37F5C361" w:rsidR="006B00AE" w:rsidRPr="00E1448D" w:rsidRDefault="006B00AE" w:rsidP="00E1448D">
            <w:pPr>
              <w:pStyle w:val="af2"/>
            </w:pPr>
            <w:r>
              <w:rPr>
                <w:rFonts w:hint="eastAsia"/>
              </w:rPr>
              <w:t>应</w:t>
            </w:r>
            <w:proofErr w:type="gramStart"/>
            <w:r>
              <w:rPr>
                <w:rFonts w:hint="eastAsia"/>
              </w:rPr>
              <w:t>计利润</w:t>
            </w:r>
            <w:proofErr w:type="gramEnd"/>
            <w:r>
              <w:rPr>
                <w:rFonts w:hint="eastAsia"/>
              </w:rPr>
              <w:t>-</w:t>
            </w:r>
            <w:r>
              <w:rPr>
                <w:rFonts w:hint="eastAsia"/>
              </w:rPr>
              <w:t>非操纵性应</w:t>
            </w:r>
            <w:proofErr w:type="gramStart"/>
            <w:r>
              <w:rPr>
                <w:rFonts w:hint="eastAsia"/>
              </w:rPr>
              <w:t>计利润</w:t>
            </w:r>
            <w:proofErr w:type="gramEnd"/>
          </w:p>
        </w:tc>
      </w:tr>
      <w:tr w:rsidR="00563BC6" w:rsidRPr="00E1448D" w14:paraId="51539FD0" w14:textId="77777777" w:rsidTr="00E1448D">
        <w:trPr>
          <w:jc w:val="center"/>
        </w:trPr>
        <w:tc>
          <w:tcPr>
            <w:tcW w:w="713" w:type="pct"/>
            <w:tcBorders>
              <w:top w:val="nil"/>
              <w:bottom w:val="nil"/>
              <w:right w:val="nil"/>
            </w:tcBorders>
            <w:vAlign w:val="center"/>
          </w:tcPr>
          <w:p w14:paraId="736B1150" w14:textId="77777777" w:rsidR="00A836CB" w:rsidRPr="00E1448D" w:rsidRDefault="00A836CB" w:rsidP="00E1448D">
            <w:pPr>
              <w:pStyle w:val="af2"/>
            </w:pPr>
            <w:r w:rsidRPr="00E1448D">
              <w:rPr>
                <w:rFonts w:hint="eastAsia"/>
              </w:rPr>
              <w:t>控制变量</w:t>
            </w:r>
          </w:p>
        </w:tc>
        <w:tc>
          <w:tcPr>
            <w:tcW w:w="1015" w:type="pct"/>
            <w:tcBorders>
              <w:top w:val="single" w:sz="4" w:space="0" w:color="auto"/>
              <w:left w:val="nil"/>
              <w:bottom w:val="nil"/>
              <w:right w:val="nil"/>
            </w:tcBorders>
            <w:vAlign w:val="center"/>
          </w:tcPr>
          <w:p w14:paraId="6D842AA3" w14:textId="77777777" w:rsidR="00A836CB" w:rsidRPr="00E1448D" w:rsidRDefault="00A836CB" w:rsidP="00E1448D">
            <w:pPr>
              <w:pStyle w:val="af2"/>
            </w:pPr>
            <w:r w:rsidRPr="00E1448D">
              <w:rPr>
                <w:rFonts w:hint="eastAsia"/>
              </w:rPr>
              <w:t>公司规模</w:t>
            </w:r>
          </w:p>
        </w:tc>
        <w:tc>
          <w:tcPr>
            <w:tcW w:w="955" w:type="pct"/>
            <w:tcBorders>
              <w:top w:val="single" w:sz="4" w:space="0" w:color="auto"/>
              <w:left w:val="nil"/>
              <w:bottom w:val="nil"/>
              <w:right w:val="nil"/>
            </w:tcBorders>
            <w:vAlign w:val="center"/>
          </w:tcPr>
          <w:p w14:paraId="0264A3BC" w14:textId="77777777" w:rsidR="00A836CB" w:rsidRPr="00E1448D" w:rsidRDefault="00A836CB" w:rsidP="00E1448D">
            <w:pPr>
              <w:pStyle w:val="af2"/>
            </w:pPr>
            <w:r w:rsidRPr="00E1448D">
              <w:rPr>
                <w:rFonts w:hint="eastAsia"/>
              </w:rPr>
              <w:t>SIZE</w:t>
            </w:r>
          </w:p>
        </w:tc>
        <w:tc>
          <w:tcPr>
            <w:tcW w:w="2317" w:type="pct"/>
            <w:tcBorders>
              <w:top w:val="single" w:sz="4" w:space="0" w:color="auto"/>
              <w:left w:val="nil"/>
              <w:bottom w:val="nil"/>
              <w:right w:val="nil"/>
            </w:tcBorders>
            <w:vAlign w:val="center"/>
          </w:tcPr>
          <w:p w14:paraId="69EA01CA" w14:textId="77777777" w:rsidR="00A836CB" w:rsidRPr="00E1448D" w:rsidRDefault="00A836CB" w:rsidP="00E1448D">
            <w:pPr>
              <w:pStyle w:val="af2"/>
            </w:pPr>
            <w:r w:rsidRPr="00E1448D">
              <w:rPr>
                <w:rFonts w:hint="eastAsia"/>
              </w:rPr>
              <w:t>总资产取对数</w:t>
            </w:r>
          </w:p>
        </w:tc>
      </w:tr>
      <w:tr w:rsidR="00563BC6" w:rsidRPr="00E1448D" w14:paraId="347FB516" w14:textId="77777777" w:rsidTr="00E1448D">
        <w:trPr>
          <w:jc w:val="center"/>
        </w:trPr>
        <w:tc>
          <w:tcPr>
            <w:tcW w:w="713" w:type="pct"/>
            <w:tcBorders>
              <w:top w:val="nil"/>
              <w:bottom w:val="nil"/>
              <w:right w:val="nil"/>
            </w:tcBorders>
            <w:vAlign w:val="center"/>
          </w:tcPr>
          <w:p w14:paraId="19A83F76" w14:textId="77777777" w:rsidR="00A836CB" w:rsidRPr="00E1448D" w:rsidRDefault="00A836CB" w:rsidP="00E1448D">
            <w:pPr>
              <w:pStyle w:val="af2"/>
            </w:pPr>
          </w:p>
        </w:tc>
        <w:tc>
          <w:tcPr>
            <w:tcW w:w="1015" w:type="pct"/>
            <w:tcBorders>
              <w:top w:val="nil"/>
              <w:left w:val="nil"/>
              <w:bottom w:val="nil"/>
              <w:right w:val="nil"/>
            </w:tcBorders>
            <w:vAlign w:val="center"/>
          </w:tcPr>
          <w:p w14:paraId="66973EF9" w14:textId="77777777" w:rsidR="00A836CB" w:rsidRPr="00E1448D" w:rsidRDefault="00A836CB" w:rsidP="00E1448D">
            <w:pPr>
              <w:pStyle w:val="af2"/>
            </w:pPr>
            <w:r w:rsidRPr="00E1448D">
              <w:rPr>
                <w:rFonts w:hint="eastAsia"/>
              </w:rPr>
              <w:t>资产负债率</w:t>
            </w:r>
          </w:p>
        </w:tc>
        <w:tc>
          <w:tcPr>
            <w:tcW w:w="955" w:type="pct"/>
            <w:tcBorders>
              <w:top w:val="nil"/>
              <w:left w:val="nil"/>
              <w:bottom w:val="nil"/>
              <w:right w:val="nil"/>
            </w:tcBorders>
            <w:vAlign w:val="center"/>
          </w:tcPr>
          <w:p w14:paraId="5357BDA2" w14:textId="77777777" w:rsidR="00A836CB" w:rsidRPr="00E1448D" w:rsidRDefault="00A836CB" w:rsidP="00E1448D">
            <w:pPr>
              <w:pStyle w:val="af2"/>
            </w:pPr>
            <w:r w:rsidRPr="00E1448D">
              <w:rPr>
                <w:rFonts w:hint="eastAsia"/>
              </w:rPr>
              <w:t>LEVERAGE</w:t>
            </w:r>
          </w:p>
        </w:tc>
        <w:tc>
          <w:tcPr>
            <w:tcW w:w="2317" w:type="pct"/>
            <w:tcBorders>
              <w:top w:val="nil"/>
              <w:left w:val="nil"/>
              <w:bottom w:val="nil"/>
              <w:right w:val="nil"/>
            </w:tcBorders>
            <w:vAlign w:val="center"/>
          </w:tcPr>
          <w:p w14:paraId="6812CE42" w14:textId="77777777" w:rsidR="00A836CB" w:rsidRPr="00E1448D" w:rsidRDefault="00A836CB" w:rsidP="00E1448D">
            <w:pPr>
              <w:pStyle w:val="af2"/>
            </w:pPr>
            <w:r w:rsidRPr="00E1448D">
              <w:rPr>
                <w:rFonts w:hint="eastAsia"/>
              </w:rPr>
              <w:t>总负债</w:t>
            </w:r>
            <w:r w:rsidRPr="00E1448D">
              <w:rPr>
                <w:rFonts w:hint="eastAsia"/>
              </w:rPr>
              <w:t>/</w:t>
            </w:r>
            <w:r w:rsidRPr="00E1448D">
              <w:rPr>
                <w:rFonts w:hint="eastAsia"/>
              </w:rPr>
              <w:t>总资产</w:t>
            </w:r>
          </w:p>
        </w:tc>
      </w:tr>
      <w:tr w:rsidR="00563BC6" w:rsidRPr="00E1448D" w14:paraId="266CAD4A" w14:textId="77777777" w:rsidTr="00E1448D">
        <w:trPr>
          <w:jc w:val="center"/>
        </w:trPr>
        <w:tc>
          <w:tcPr>
            <w:tcW w:w="713" w:type="pct"/>
            <w:tcBorders>
              <w:top w:val="nil"/>
              <w:bottom w:val="nil"/>
              <w:right w:val="nil"/>
            </w:tcBorders>
            <w:vAlign w:val="center"/>
          </w:tcPr>
          <w:p w14:paraId="43F48C3C" w14:textId="77777777" w:rsidR="00A836CB" w:rsidRPr="00E1448D" w:rsidRDefault="00A836CB" w:rsidP="00E1448D">
            <w:pPr>
              <w:pStyle w:val="af2"/>
            </w:pPr>
          </w:p>
        </w:tc>
        <w:tc>
          <w:tcPr>
            <w:tcW w:w="1015" w:type="pct"/>
            <w:tcBorders>
              <w:top w:val="nil"/>
              <w:left w:val="nil"/>
              <w:bottom w:val="nil"/>
              <w:right w:val="nil"/>
            </w:tcBorders>
            <w:vAlign w:val="center"/>
          </w:tcPr>
          <w:p w14:paraId="17B4B669" w14:textId="263A1FE9" w:rsidR="00A836CB" w:rsidRPr="00E1448D" w:rsidRDefault="00DE6057" w:rsidP="00E1448D">
            <w:pPr>
              <w:pStyle w:val="af2"/>
            </w:pPr>
            <w:r w:rsidRPr="00E1448D">
              <w:rPr>
                <w:rFonts w:hint="eastAsia"/>
              </w:rPr>
              <w:t>托宾</w:t>
            </w:r>
            <w:r w:rsidRPr="00E1448D">
              <w:rPr>
                <w:rFonts w:hint="eastAsia"/>
              </w:rPr>
              <w:t>Q</w:t>
            </w:r>
            <w:r w:rsidRPr="00E1448D">
              <w:rPr>
                <w:rFonts w:hint="eastAsia"/>
              </w:rPr>
              <w:t>值</w:t>
            </w:r>
          </w:p>
        </w:tc>
        <w:tc>
          <w:tcPr>
            <w:tcW w:w="955" w:type="pct"/>
            <w:tcBorders>
              <w:top w:val="nil"/>
              <w:left w:val="nil"/>
              <w:bottom w:val="nil"/>
              <w:right w:val="nil"/>
            </w:tcBorders>
            <w:vAlign w:val="center"/>
          </w:tcPr>
          <w:p w14:paraId="0AC6A11B" w14:textId="2E15D6CB" w:rsidR="00A836CB" w:rsidRPr="00E1448D" w:rsidRDefault="00A836CB" w:rsidP="00E1448D">
            <w:pPr>
              <w:pStyle w:val="af2"/>
            </w:pPr>
            <w:r w:rsidRPr="00E1448D">
              <w:rPr>
                <w:rFonts w:hint="eastAsia"/>
              </w:rPr>
              <w:t>T</w:t>
            </w:r>
            <w:r w:rsidR="00DE6057" w:rsidRPr="00E1448D">
              <w:t>BQ</w:t>
            </w:r>
          </w:p>
        </w:tc>
        <w:tc>
          <w:tcPr>
            <w:tcW w:w="2317" w:type="pct"/>
            <w:tcBorders>
              <w:top w:val="nil"/>
              <w:left w:val="nil"/>
              <w:bottom w:val="nil"/>
              <w:right w:val="nil"/>
            </w:tcBorders>
            <w:vAlign w:val="center"/>
          </w:tcPr>
          <w:p w14:paraId="011F3CD0" w14:textId="58FE8031" w:rsidR="00A836CB" w:rsidRPr="00E1448D" w:rsidRDefault="00DE6057" w:rsidP="00E1448D">
            <w:pPr>
              <w:pStyle w:val="af2"/>
            </w:pPr>
            <w:r w:rsidRPr="00E1448D">
              <w:rPr>
                <w:rFonts w:hint="eastAsia"/>
              </w:rPr>
              <w:t>市值</w:t>
            </w:r>
            <w:r w:rsidRPr="00E1448D">
              <w:rPr>
                <w:rFonts w:hint="eastAsia"/>
              </w:rPr>
              <w:t>/</w:t>
            </w:r>
            <w:r w:rsidRPr="00E1448D">
              <w:rPr>
                <w:rFonts w:hint="eastAsia"/>
              </w:rPr>
              <w:t>资产总计</w:t>
            </w:r>
            <w:r w:rsidRPr="00E1448D">
              <w:rPr>
                <w:rFonts w:hint="eastAsia"/>
              </w:rPr>
              <w:t>-</w:t>
            </w:r>
            <w:r w:rsidRPr="00E1448D">
              <w:rPr>
                <w:rFonts w:hint="eastAsia"/>
              </w:rPr>
              <w:t>无形资产净额</w:t>
            </w:r>
            <w:r w:rsidRPr="00E1448D">
              <w:rPr>
                <w:rFonts w:hint="eastAsia"/>
              </w:rPr>
              <w:t>-</w:t>
            </w:r>
            <w:r w:rsidRPr="00E1448D">
              <w:rPr>
                <w:rFonts w:hint="eastAsia"/>
              </w:rPr>
              <w:t>商誉净额</w:t>
            </w:r>
          </w:p>
        </w:tc>
      </w:tr>
      <w:tr w:rsidR="00563BC6" w:rsidRPr="00E1448D" w14:paraId="3E9D0384" w14:textId="77777777" w:rsidTr="00E1448D">
        <w:trPr>
          <w:jc w:val="center"/>
        </w:trPr>
        <w:tc>
          <w:tcPr>
            <w:tcW w:w="713" w:type="pct"/>
            <w:tcBorders>
              <w:top w:val="nil"/>
              <w:bottom w:val="single" w:sz="4" w:space="0" w:color="auto"/>
              <w:right w:val="nil"/>
            </w:tcBorders>
            <w:vAlign w:val="center"/>
          </w:tcPr>
          <w:p w14:paraId="3240AC6D" w14:textId="77777777" w:rsidR="00A836CB" w:rsidRPr="00E1448D" w:rsidRDefault="00A836CB" w:rsidP="00E1448D">
            <w:pPr>
              <w:pStyle w:val="af2"/>
            </w:pPr>
          </w:p>
        </w:tc>
        <w:tc>
          <w:tcPr>
            <w:tcW w:w="1015" w:type="pct"/>
            <w:tcBorders>
              <w:top w:val="nil"/>
              <w:left w:val="nil"/>
              <w:bottom w:val="single" w:sz="4" w:space="0" w:color="auto"/>
              <w:right w:val="nil"/>
            </w:tcBorders>
            <w:vAlign w:val="center"/>
          </w:tcPr>
          <w:p w14:paraId="7623ADF2" w14:textId="252888B4" w:rsidR="00A836CB" w:rsidRPr="00E1448D" w:rsidRDefault="00DE6057" w:rsidP="00E1448D">
            <w:pPr>
              <w:pStyle w:val="af2"/>
            </w:pPr>
            <w:r w:rsidRPr="00E1448D">
              <w:rPr>
                <w:rFonts w:hint="eastAsia"/>
              </w:rPr>
              <w:t>每股负债</w:t>
            </w:r>
          </w:p>
        </w:tc>
        <w:tc>
          <w:tcPr>
            <w:tcW w:w="955" w:type="pct"/>
            <w:tcBorders>
              <w:top w:val="nil"/>
              <w:left w:val="nil"/>
              <w:bottom w:val="single" w:sz="4" w:space="0" w:color="auto"/>
              <w:right w:val="nil"/>
            </w:tcBorders>
            <w:vAlign w:val="center"/>
          </w:tcPr>
          <w:p w14:paraId="51D50507" w14:textId="781BF1D8" w:rsidR="00A836CB" w:rsidRPr="00E1448D" w:rsidRDefault="00DE6057" w:rsidP="00E1448D">
            <w:pPr>
              <w:pStyle w:val="af2"/>
            </w:pPr>
            <w:r w:rsidRPr="00E1448D">
              <w:rPr>
                <w:rFonts w:hint="eastAsia"/>
              </w:rPr>
              <w:t>B</w:t>
            </w:r>
            <w:r w:rsidRPr="00E1448D">
              <w:t>PS</w:t>
            </w:r>
          </w:p>
        </w:tc>
        <w:tc>
          <w:tcPr>
            <w:tcW w:w="2317" w:type="pct"/>
            <w:tcBorders>
              <w:top w:val="nil"/>
              <w:left w:val="nil"/>
              <w:bottom w:val="single" w:sz="4" w:space="0" w:color="auto"/>
              <w:right w:val="nil"/>
            </w:tcBorders>
            <w:vAlign w:val="center"/>
          </w:tcPr>
          <w:p w14:paraId="742EB32F" w14:textId="6F962635" w:rsidR="00A836CB" w:rsidRPr="00E1448D" w:rsidRDefault="00DE6057" w:rsidP="00E1448D">
            <w:pPr>
              <w:pStyle w:val="af2"/>
            </w:pPr>
            <w:r w:rsidRPr="00E1448D">
              <w:rPr>
                <w:rFonts w:hint="eastAsia"/>
              </w:rPr>
              <w:t>负债总计</w:t>
            </w:r>
            <w:r w:rsidR="000B364A" w:rsidRPr="00E1448D">
              <w:rPr>
                <w:rFonts w:hint="eastAsia"/>
              </w:rPr>
              <w:t>/</w:t>
            </w:r>
            <w:r w:rsidRPr="00E1448D">
              <w:rPr>
                <w:rFonts w:hint="eastAsia"/>
              </w:rPr>
              <w:t>实收资本</w:t>
            </w:r>
          </w:p>
        </w:tc>
      </w:tr>
    </w:tbl>
    <w:p w14:paraId="21F559AB" w14:textId="77777777" w:rsidR="00D1241C" w:rsidRPr="00A836CB" w:rsidRDefault="00D1241C" w:rsidP="00C94194"/>
    <w:p w14:paraId="279F8DE0" w14:textId="5BBCC55E" w:rsidR="00C94194" w:rsidRDefault="00D1241C" w:rsidP="00D1241C">
      <w:pPr>
        <w:pStyle w:val="2"/>
        <w:spacing w:before="163" w:after="163"/>
      </w:pPr>
      <w:bookmarkStart w:id="39" w:name="_Toc104938607"/>
      <w:r>
        <w:rPr>
          <w:rFonts w:hint="eastAsia"/>
        </w:rPr>
        <w:lastRenderedPageBreak/>
        <w:t>研究模型构建</w:t>
      </w:r>
      <w:bookmarkEnd w:id="39"/>
    </w:p>
    <w:p w14:paraId="7863ACF6" w14:textId="37B6470C" w:rsidR="00C94194" w:rsidRDefault="007C3DCC" w:rsidP="006D1697">
      <w:pPr>
        <w:ind w:firstLineChars="200" w:firstLine="480"/>
      </w:pPr>
      <w:r>
        <w:rPr>
          <w:rFonts w:hint="eastAsia"/>
        </w:rPr>
        <w:t>为了检验提出的假设</w:t>
      </w:r>
      <w:proofErr w:type="gramStart"/>
      <w:r>
        <w:rPr>
          <w:rFonts w:hint="eastAsia"/>
        </w:rPr>
        <w:t>一</w:t>
      </w:r>
      <w:proofErr w:type="gramEnd"/>
      <w:r>
        <w:rPr>
          <w:rFonts w:hint="eastAsia"/>
        </w:rPr>
        <w:t>，我们通过采取事件研究法的被解释变量</w:t>
      </w:r>
      <w:r>
        <w:rPr>
          <w:rFonts w:hint="eastAsia"/>
        </w:rPr>
        <w:t>c</w:t>
      </w:r>
      <w:r>
        <w:t>a</w:t>
      </w:r>
      <w:r>
        <w:rPr>
          <w:rFonts w:hint="eastAsia"/>
        </w:rPr>
        <w:t>r</w:t>
      </w:r>
      <w:r>
        <w:rPr>
          <w:rFonts w:hint="eastAsia"/>
        </w:rPr>
        <w:t>（累积异常收益率）</w:t>
      </w:r>
      <w:r w:rsidR="006D1697">
        <w:rPr>
          <w:rFonts w:hint="eastAsia"/>
        </w:rPr>
        <w:t>，具体模型如下：</w:t>
      </w:r>
    </w:p>
    <w:p w14:paraId="66D068F4" w14:textId="15A0ED7A" w:rsidR="003D7FAC" w:rsidRPr="001F2E17" w:rsidRDefault="003D7FAC" w:rsidP="003D7FAC">
      <w:r>
        <w:rPr>
          <w:rFonts w:hint="eastAsia"/>
        </w:rPr>
        <w:t xml:space="preserve"> </w:t>
      </w: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AR</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4</m:t>
                </m:r>
              </m:e>
            </m:d>
          </m:e>
        </m:eqArr>
      </m:oMath>
    </w:p>
    <w:p w14:paraId="04DB94F3" w14:textId="77777777" w:rsidR="003D7FAC" w:rsidRDefault="003D7FAC" w:rsidP="003D7FAC"/>
    <w:p w14:paraId="22B414E2" w14:textId="29410D8B" w:rsidR="00FC6345" w:rsidRDefault="00FC6345" w:rsidP="001F2E17">
      <w:pPr>
        <w:ind w:firstLineChars="200" w:firstLine="480"/>
        <w:rPr>
          <w:rFonts w:ascii="Cambria Math" w:hAnsi="Cambria Math" w:cs="Cambria Math"/>
        </w:rPr>
      </w:pPr>
      <w:r>
        <w:rPr>
          <w:rFonts w:ascii="Cambria Math" w:hAnsi="Cambria Math" w:cs="Cambria Math" w:hint="eastAsia"/>
        </w:rPr>
        <w:t>其中</w:t>
      </w:r>
      <w:r w:rsidRPr="00FC6345">
        <w:rPr>
          <w:rFonts w:ascii="Cambria Math" w:hAnsi="Cambria Math" w:cs="Cambria Math"/>
        </w:rPr>
        <w:t>𝐴𝑅𝑖</w:t>
      </w:r>
      <w:r>
        <w:rPr>
          <w:rFonts w:ascii="Cambria Math" w:hAnsi="Cambria Math" w:cs="Cambria Math" w:hint="eastAsia"/>
        </w:rPr>
        <w:t>t</w:t>
      </w:r>
      <w:r>
        <w:rPr>
          <w:rFonts w:ascii="Cambria Math" w:hAnsi="Cambria Math" w:cs="Cambria Math" w:hint="eastAsia"/>
        </w:rPr>
        <w:t>的计算方法由被解释变量部分给出，此处不加赘述，</w:t>
      </w:r>
      <w:r w:rsidR="009F338A">
        <w:rPr>
          <w:rFonts w:ascii="Cambria Math" w:hAnsi="Cambria Math" w:cs="Cambria Math" w:hint="eastAsia"/>
        </w:rPr>
        <w:t>为了考察独立董事辞职对相关公司价值变动的影响，我们将事件日（相关公司发布独立董事辞职公告的具体日期）前后各十天作为事件窗口期，并计算</w:t>
      </w:r>
      <w:r w:rsidR="00841EB7">
        <w:rPr>
          <w:rFonts w:ascii="Cambria Math" w:hAnsi="Cambria Math" w:cs="Cambria Math" w:hint="eastAsia"/>
        </w:rPr>
        <w:t>事件窗口期内</w:t>
      </w:r>
      <w:r w:rsidR="009F338A">
        <w:rPr>
          <w:rFonts w:ascii="Cambria Math" w:hAnsi="Cambria Math" w:cs="Cambria Math" w:hint="eastAsia"/>
        </w:rPr>
        <w:t>的累积异常收益率</w:t>
      </w:r>
      <w:r w:rsidR="009F338A">
        <w:rPr>
          <w:rFonts w:ascii="Cambria Math" w:hAnsi="Cambria Math" w:cs="Cambria Math" w:hint="eastAsia"/>
        </w:rPr>
        <w:t>C</w:t>
      </w:r>
      <w:r w:rsidR="009F338A">
        <w:rPr>
          <w:rFonts w:ascii="Cambria Math" w:hAnsi="Cambria Math" w:cs="Cambria Math"/>
        </w:rPr>
        <w:t>AR</w:t>
      </w:r>
      <w:r w:rsidR="00841EB7">
        <w:rPr>
          <w:rFonts w:ascii="Cambria Math" w:hAnsi="Cambria Math" w:cs="Cambria Math" w:hint="eastAsia"/>
        </w:rPr>
        <w:t>（</w:t>
      </w:r>
      <w:r w:rsidR="00841EB7">
        <w:rPr>
          <w:rFonts w:ascii="Cambria Math" w:hAnsi="Cambria Math" w:cs="Cambria Math" w:hint="eastAsia"/>
        </w:rPr>
        <w:t>-</w:t>
      </w:r>
      <w:r w:rsidR="00841EB7">
        <w:rPr>
          <w:rFonts w:ascii="Cambria Math" w:hAnsi="Cambria Math" w:cs="Cambria Math"/>
        </w:rPr>
        <w:t>10</w:t>
      </w:r>
      <w:r w:rsidR="00841EB7">
        <w:rPr>
          <w:rFonts w:ascii="Cambria Math" w:hAnsi="Cambria Math" w:cs="Cambria Math" w:hint="eastAsia"/>
        </w:rPr>
        <w:t>，</w:t>
      </w:r>
      <w:r w:rsidR="00841EB7">
        <w:rPr>
          <w:rFonts w:ascii="Cambria Math" w:hAnsi="Cambria Math" w:cs="Cambria Math" w:hint="eastAsia"/>
        </w:rPr>
        <w:t>1</w:t>
      </w:r>
      <w:r w:rsidR="00841EB7">
        <w:rPr>
          <w:rFonts w:ascii="Cambria Math" w:hAnsi="Cambria Math" w:cs="Cambria Math"/>
        </w:rPr>
        <w:t>0</w:t>
      </w:r>
      <w:r w:rsidR="00841EB7">
        <w:rPr>
          <w:rFonts w:ascii="Cambria Math" w:hAnsi="Cambria Math" w:cs="Cambria Math" w:hint="eastAsia"/>
        </w:rPr>
        <w:t>），并进行显著性检验。</w:t>
      </w:r>
      <w:r w:rsidR="00592001">
        <w:rPr>
          <w:rFonts w:ascii="Cambria Math" w:hAnsi="Cambria Math" w:cs="Cambria Math" w:hint="eastAsia"/>
        </w:rPr>
        <w:t>如果事件日前后十天内的累积异常收益率</w:t>
      </w:r>
      <w:r w:rsidR="00592001">
        <w:rPr>
          <w:rFonts w:ascii="Cambria Math" w:hAnsi="Cambria Math" w:cs="Cambria Math"/>
        </w:rPr>
        <w:t>CAR</w:t>
      </w:r>
      <w:r w:rsidR="00592001">
        <w:rPr>
          <w:rFonts w:ascii="Cambria Math" w:hAnsi="Cambria Math" w:cs="Cambria Math" w:hint="eastAsia"/>
        </w:rPr>
        <w:t>显著为负，则表明随着独立董事辞职，发生独立董事辞职事件的相关公司其公司价值会受到独立董事辞职事件的影响</w:t>
      </w:r>
      <w:r w:rsidR="007C69AD">
        <w:rPr>
          <w:rFonts w:ascii="Cambria Math" w:hAnsi="Cambria Math" w:cs="Cambria Math" w:hint="eastAsia"/>
        </w:rPr>
        <w:t>，即独立董事辞职事件的发生会导致相关公司受到负面的市场反应。</w:t>
      </w:r>
    </w:p>
    <w:p w14:paraId="3FB14851" w14:textId="15C5F939" w:rsidR="001F2E17" w:rsidRDefault="001F2E17" w:rsidP="001F2E17">
      <w:pPr>
        <w:ind w:firstLineChars="200" w:firstLine="480"/>
      </w:pPr>
      <w:r>
        <w:rPr>
          <w:rFonts w:ascii="Cambria Math" w:hAnsi="Cambria Math" w:cs="Cambria Math" w:hint="eastAsia"/>
        </w:rPr>
        <w:t>为了检验提出的假设二，即独立董事辞职行为与独立董事学历特征对累积异常收益率的影响，我们将</w:t>
      </w:r>
      <w:r>
        <w:rPr>
          <w:rFonts w:hint="eastAsia"/>
        </w:rPr>
        <w:t>事件窗口期内的累计异常收益率</w:t>
      </w:r>
      <w:r>
        <w:rPr>
          <w:rFonts w:hint="eastAsia"/>
        </w:rPr>
        <w:t>C</w:t>
      </w:r>
      <w:r>
        <w:t>AR</w:t>
      </w:r>
      <w:r>
        <w:rPr>
          <w:rFonts w:hint="eastAsia"/>
        </w:rPr>
        <w:t>作为被解释变量，用</w:t>
      </w:r>
      <w:r>
        <w:t>D</w:t>
      </w:r>
      <w:r>
        <w:rPr>
          <w:rFonts w:hint="eastAsia"/>
        </w:rPr>
        <w:t>egree</w:t>
      </w:r>
      <w:r>
        <w:rPr>
          <w:rFonts w:hint="eastAsia"/>
        </w:rPr>
        <w:t>作为解释变量构建回归模型</w:t>
      </w:r>
      <w:r>
        <w:rPr>
          <w:rFonts w:hint="eastAsia"/>
        </w:rPr>
        <w:t>,</w:t>
      </w:r>
      <w:r w:rsidR="002C7C83">
        <w:rPr>
          <w:rFonts w:hint="eastAsia"/>
        </w:rPr>
        <w:t>在假设二的基础上加上解释变量</w:t>
      </w:r>
      <w:r w:rsidR="002C7C83">
        <w:rPr>
          <w:rFonts w:hint="eastAsia"/>
        </w:rPr>
        <w:t>Degree</w:t>
      </w:r>
      <w:r w:rsidR="002C7C83">
        <w:rPr>
          <w:rFonts w:hint="eastAsia"/>
        </w:rPr>
        <w:t>，</w:t>
      </w:r>
      <w:r>
        <w:rPr>
          <w:rFonts w:hint="eastAsia"/>
        </w:rPr>
        <w:t>其回归模型具体情况如下：</w:t>
      </w:r>
    </w:p>
    <w:p w14:paraId="61830C52" w14:textId="77777777" w:rsidR="00970B68" w:rsidRDefault="00970B68" w:rsidP="001F2E17">
      <w:pPr>
        <w:ind w:firstLineChars="200" w:firstLine="480"/>
      </w:pPr>
    </w:p>
    <w:p w14:paraId="42EE74DA" w14:textId="0FC06B15" w:rsidR="00970B68" w:rsidRPr="00970B68" w:rsidRDefault="0051081F" w:rsidP="001F2E17">
      <w:pPr>
        <w:ind w:firstLineChars="200"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Degree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TBQ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SIZE</m:t>
                  </m:r>
                </m:e>
                <m:sub>
                  <m:r>
                    <w:rPr>
                      <w:rFonts w:ascii="Cambria Math" w:hAnsi="Cambria Math" w:hint="eastAsia"/>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LEVERAGE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BPS</m:t>
                  </m:r>
                </m:e>
                <m:sub>
                  <m:r>
                    <w:rPr>
                      <w:rFonts w:ascii="Cambria Math" w:hAnsi="Cambria Math"/>
                    </w:rPr>
                    <m:t>it</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d>
                <m:dPr>
                  <m:ctrlPr>
                    <w:rPr>
                      <w:rFonts w:ascii="Cambria Math" w:hAnsi="Cambria Math"/>
                      <w:i/>
                    </w:rPr>
                  </m:ctrlPr>
                </m:dPr>
                <m:e>
                  <m:r>
                    <w:rPr>
                      <w:rFonts w:ascii="Cambria Math" w:hAnsi="Cambria Math"/>
                    </w:rPr>
                    <m:t>5</m:t>
                  </m:r>
                </m:e>
              </m:d>
            </m:e>
          </m:eqArr>
        </m:oMath>
      </m:oMathPara>
    </w:p>
    <w:p w14:paraId="3597C31A" w14:textId="75CFE0C2" w:rsidR="001F2E17" w:rsidRDefault="00970B68" w:rsidP="001F2E17">
      <w:pPr>
        <w:ind w:firstLineChars="200" w:firstLine="480"/>
        <w:rPr>
          <w:rFonts w:ascii="Cambria Math" w:hAnsi="Cambria Math" w:cs="Cambria Math"/>
        </w:rPr>
      </w:pPr>
      <m:oMathPara>
        <m:oMath>
          <m:r>
            <w:rPr>
              <w:rFonts w:ascii="Cambria Math" w:hAnsi="Cambria Math"/>
            </w:rPr>
            <m:t xml:space="preserve">    </m:t>
          </m:r>
        </m:oMath>
      </m:oMathPara>
    </w:p>
    <w:p w14:paraId="3BF3EE0A" w14:textId="190530B7" w:rsidR="00970B68" w:rsidRDefault="00970B68" w:rsidP="00E80CB6">
      <w:pPr>
        <w:ind w:firstLineChars="200" w:firstLine="480"/>
      </w:pPr>
      <w:r>
        <w:rPr>
          <w:rFonts w:hint="eastAsia"/>
        </w:rPr>
        <w:t>如果</w:t>
      </w:r>
      <w:r>
        <w:t>D</w:t>
      </w:r>
      <w:r>
        <w:rPr>
          <w:rFonts w:hint="eastAsia"/>
        </w:rPr>
        <w:t>egree</w:t>
      </w:r>
      <w:r>
        <w:rPr>
          <w:rFonts w:hint="eastAsia"/>
        </w:rPr>
        <w:t>的系数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为正，则表明独立董事的学历特征与相关公司的价值变动即累积异常收益率存在正向相关关系，即辞职独立董事自身的学历水平越高，发生独立董事辞职事件的相关公司的价值变动即累积异常收益率会更大。</w:t>
      </w:r>
    </w:p>
    <w:p w14:paraId="061D761B" w14:textId="78008559" w:rsidR="00E80CB6" w:rsidRDefault="00E80CB6" w:rsidP="00E80CB6">
      <w:pPr>
        <w:ind w:firstLineChars="200" w:firstLine="480"/>
      </w:pPr>
      <w:r>
        <w:rPr>
          <w:rFonts w:hint="eastAsia"/>
        </w:rPr>
        <w:t>为了检验提出的假设</w:t>
      </w:r>
      <w:r w:rsidR="00970B68">
        <w:rPr>
          <w:rFonts w:hint="eastAsia"/>
        </w:rPr>
        <w:t>三</w:t>
      </w:r>
      <w:r>
        <w:rPr>
          <w:rFonts w:hint="eastAsia"/>
        </w:rPr>
        <w:t>，即独立董事辞职行为与独立董事任职时间对累积异常收益率的影响，</w:t>
      </w:r>
      <w:r w:rsidR="00841EB7">
        <w:rPr>
          <w:rFonts w:hint="eastAsia"/>
        </w:rPr>
        <w:t>我们将事件窗口期内的累计异常收益率</w:t>
      </w:r>
      <w:r w:rsidR="00841EB7">
        <w:rPr>
          <w:rFonts w:hint="eastAsia"/>
        </w:rPr>
        <w:t>C</w:t>
      </w:r>
      <w:r w:rsidR="00841EB7">
        <w:t>AR</w:t>
      </w:r>
      <w:r w:rsidR="00841EB7">
        <w:rPr>
          <w:rFonts w:hint="eastAsia"/>
        </w:rPr>
        <w:t>作为被解释变量，用</w:t>
      </w:r>
      <w:r w:rsidR="00841EB7">
        <w:t>T</w:t>
      </w:r>
      <w:r w:rsidR="00841EB7">
        <w:rPr>
          <w:rFonts w:hint="eastAsia"/>
        </w:rPr>
        <w:t>enure</w:t>
      </w:r>
      <w:r w:rsidR="00841EB7">
        <w:rPr>
          <w:rFonts w:hint="eastAsia"/>
        </w:rPr>
        <w:t>作为解释变量构建回归模型</w:t>
      </w:r>
      <w:r w:rsidR="000F1AE4">
        <w:rPr>
          <w:rFonts w:hint="eastAsia"/>
        </w:rPr>
        <w:t>,</w:t>
      </w:r>
      <w:r w:rsidR="000F1AE4">
        <w:rPr>
          <w:rFonts w:hint="eastAsia"/>
        </w:rPr>
        <w:t>其回归</w:t>
      </w:r>
      <w:r w:rsidR="00090430">
        <w:rPr>
          <w:rFonts w:hint="eastAsia"/>
        </w:rPr>
        <w:t>模型</w:t>
      </w:r>
      <w:r w:rsidR="00B972DC">
        <w:rPr>
          <w:rFonts w:hint="eastAsia"/>
        </w:rPr>
        <w:t>具体情况</w:t>
      </w:r>
      <w:r w:rsidR="00090430">
        <w:rPr>
          <w:rFonts w:hint="eastAsia"/>
        </w:rPr>
        <w:t>如下：</w:t>
      </w:r>
    </w:p>
    <w:p w14:paraId="721C5673" w14:textId="77777777" w:rsidR="00970B68" w:rsidRPr="00970B68" w:rsidRDefault="00970B68" w:rsidP="00E80CB6">
      <w:pPr>
        <w:ind w:firstLineChars="200" w:firstLine="480"/>
      </w:pPr>
    </w:p>
    <w:p w14:paraId="29E4C0AD" w14:textId="5C644F4B" w:rsidR="00970B68" w:rsidRPr="001B6B94" w:rsidRDefault="0051081F" w:rsidP="00E80CB6">
      <w:pPr>
        <w:ind w:firstLineChars="200" w:firstLine="48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Degree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Tenure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TBQ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SIZE</m:t>
                  </m:r>
                </m:e>
                <m:sub>
                  <m:r>
                    <w:rPr>
                      <w:rFonts w:ascii="Cambria Math" w:hAnsi="Cambria Math" w:hint="eastAsia"/>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LEVERAGE</m:t>
                  </m:r>
                </m:e>
                <m:sub>
                  <m:r>
                    <w:rPr>
                      <w:rFonts w:ascii="Cambria Math" w:hAnsi="Cambria Math"/>
                    </w:rPr>
                    <m:t>it</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BPS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r>
                <m:rPr>
                  <m:sty m:val="p"/>
                </m:rPr>
                <w:rPr>
                  <w:rFonts w:ascii="Cambria Math" w:hAnsi="Cambria Math"/>
                </w:rPr>
                <m:t>(6)</m:t>
              </m:r>
            </m:e>
          </m:eqArr>
        </m:oMath>
      </m:oMathPara>
    </w:p>
    <w:p w14:paraId="7FDA90E2" w14:textId="432B0F5F" w:rsidR="00A1023B" w:rsidRPr="00D529C5" w:rsidRDefault="00A1023B" w:rsidP="001B6B94"/>
    <w:p w14:paraId="2DD333C3" w14:textId="12A9E2B0" w:rsidR="005A5A29" w:rsidRDefault="00D529C5" w:rsidP="00592001">
      <w:pPr>
        <w:ind w:firstLineChars="200" w:firstLine="480"/>
      </w:pPr>
      <w:r>
        <w:rPr>
          <w:rFonts w:hint="eastAsia"/>
        </w:rPr>
        <w:t>如果</w:t>
      </w:r>
      <w:r w:rsidR="00B972DC">
        <w:rPr>
          <w:rFonts w:hint="eastAsia"/>
        </w:rPr>
        <w:t>T</w:t>
      </w:r>
      <w:r w:rsidR="00FD39DF">
        <w:t>enure</w:t>
      </w:r>
      <w:r>
        <w:rPr>
          <w:rFonts w:hint="eastAsia"/>
        </w:rPr>
        <w:t>的系数</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int="eastAsia"/>
        </w:rPr>
        <w:t>显著为</w:t>
      </w:r>
      <w:r w:rsidR="005A4CE7">
        <w:rPr>
          <w:rFonts w:hint="eastAsia"/>
        </w:rPr>
        <w:t>正</w:t>
      </w:r>
      <w:r>
        <w:rPr>
          <w:rFonts w:hint="eastAsia"/>
        </w:rPr>
        <w:t>，</w:t>
      </w:r>
      <w:r w:rsidR="00B972DC">
        <w:rPr>
          <w:rFonts w:hint="eastAsia"/>
        </w:rPr>
        <w:t>则表明独立董事的任职期限与相关公司的价值变动即累积异常收益率存在正向相关关系，</w:t>
      </w:r>
      <w:r w:rsidR="00592001">
        <w:rPr>
          <w:rFonts w:hint="eastAsia"/>
        </w:rPr>
        <w:t>即辞职独立董事自身的任职期限越长，发生独立董事辞职事件的相关公司的价值变动即累积异常收益率会更大</w:t>
      </w:r>
    </w:p>
    <w:p w14:paraId="1144E00A" w14:textId="77777777" w:rsidR="00715A5D" w:rsidRDefault="00715A5D" w:rsidP="00715A5D">
      <w:pPr>
        <w:ind w:firstLineChars="200" w:firstLine="480"/>
      </w:pPr>
      <w:r>
        <w:rPr>
          <w:rFonts w:hint="eastAsia"/>
        </w:rPr>
        <w:t>为了检验提出的假设四，即公司的盈余管理水平越高，独立董事辞职行为导致的累积异常收益率就会越大我们将事件窗口期内的累计异常收益率</w:t>
      </w:r>
      <w:r>
        <w:rPr>
          <w:rFonts w:hint="eastAsia"/>
        </w:rPr>
        <w:t>C</w:t>
      </w:r>
      <w:r>
        <w:t>AR</w:t>
      </w:r>
      <w:r>
        <w:rPr>
          <w:rFonts w:hint="eastAsia"/>
        </w:rPr>
        <w:t>作为被解释变量，用操纵性应</w:t>
      </w:r>
      <w:proofErr w:type="gramStart"/>
      <w:r>
        <w:rPr>
          <w:rFonts w:hint="eastAsia"/>
        </w:rPr>
        <w:t>计利润</w:t>
      </w:r>
      <w:proofErr w:type="gramEnd"/>
      <w:r>
        <w:t>DA</w:t>
      </w:r>
      <w:r>
        <w:rPr>
          <w:rFonts w:hint="eastAsia"/>
        </w:rPr>
        <w:t>作为解释变量构建回归模型</w:t>
      </w:r>
      <w:r>
        <w:rPr>
          <w:rFonts w:hint="eastAsia"/>
        </w:rPr>
        <w:t>,</w:t>
      </w:r>
      <w:r>
        <w:rPr>
          <w:rFonts w:hint="eastAsia"/>
        </w:rPr>
        <w:t>其回归模型具体情况如下：</w:t>
      </w:r>
    </w:p>
    <w:p w14:paraId="1A5399A1" w14:textId="77777777" w:rsidR="00715A5D" w:rsidRDefault="00715A5D" w:rsidP="00715A5D">
      <w:pPr>
        <w:ind w:firstLineChars="200" w:firstLine="480"/>
      </w:pPr>
    </w:p>
    <w:p w14:paraId="14397F98" w14:textId="77777777" w:rsidR="00715A5D" w:rsidRPr="00FD1D69" w:rsidRDefault="0051081F" w:rsidP="00715A5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TBQ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SIZE</m:t>
                  </m:r>
                </m:e>
                <m:sub>
                  <m:r>
                    <w:rPr>
                      <w:rFonts w:ascii="Cambria Math" w:hAnsi="Cambria Math" w:hint="eastAsia"/>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LEVERAGE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BPS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7</m:t>
                  </m:r>
                </m:e>
              </m:d>
            </m:e>
          </m:eqArr>
        </m:oMath>
      </m:oMathPara>
    </w:p>
    <w:p w14:paraId="7CE0B658" w14:textId="77777777" w:rsidR="00715A5D" w:rsidRPr="00FD1D69" w:rsidRDefault="00715A5D" w:rsidP="00715A5D"/>
    <w:p w14:paraId="53C03CC9" w14:textId="77777777" w:rsidR="00715A5D" w:rsidRDefault="00715A5D" w:rsidP="00715A5D">
      <w:pPr>
        <w:ind w:firstLineChars="200" w:firstLine="480"/>
      </w:pPr>
      <w:r>
        <w:rPr>
          <w:rFonts w:hint="eastAsia"/>
        </w:rPr>
        <w:t>如果</w:t>
      </w:r>
      <w:r>
        <w:t>DA</w:t>
      </w:r>
      <w:r>
        <w:rPr>
          <w:rFonts w:hint="eastAsia"/>
        </w:rPr>
        <w:t>的系数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为正，则表明公司的盈余管理水平与相关公司的价值变动即累积异常收益率存在正向相关关系，即公司的盈余管理水平越高，发生独立董事辞职事件的相关公司的价值变动即累积异常收益率会更大。</w:t>
      </w:r>
    </w:p>
    <w:p w14:paraId="57D623C9" w14:textId="77777777" w:rsidR="00FD1D69" w:rsidRPr="00715A5D" w:rsidRDefault="00FD1D69" w:rsidP="007D4195">
      <w:pPr>
        <w:ind w:firstLineChars="200" w:firstLine="480"/>
      </w:pPr>
    </w:p>
    <w:p w14:paraId="7B50C74C" w14:textId="77777777" w:rsidR="00FD1D69" w:rsidRPr="00FD1D69" w:rsidRDefault="00FD1D69" w:rsidP="00C94194"/>
    <w:p w14:paraId="2E0B08D4" w14:textId="785E8966" w:rsidR="005A4CE7" w:rsidRDefault="005A4CE7" w:rsidP="00C94194"/>
    <w:p w14:paraId="19568493" w14:textId="3E8E7437" w:rsidR="005A4CE7" w:rsidRDefault="005A4CE7" w:rsidP="00C94194"/>
    <w:p w14:paraId="7A0D34FF" w14:textId="715E07A0" w:rsidR="00681C84" w:rsidRDefault="00681C84" w:rsidP="00C94194"/>
    <w:p w14:paraId="3F57715C" w14:textId="18A4ABC5" w:rsidR="00715A5D" w:rsidRDefault="00715A5D" w:rsidP="00C94194"/>
    <w:p w14:paraId="005E53C7" w14:textId="77777777" w:rsidR="00715A5D" w:rsidRDefault="00715A5D" w:rsidP="00C94194"/>
    <w:p w14:paraId="7808EAC7" w14:textId="0923D420" w:rsidR="00681C84" w:rsidRDefault="00681C84" w:rsidP="00C94194"/>
    <w:p w14:paraId="379E8B99" w14:textId="188D6C31" w:rsidR="00C905C3" w:rsidRDefault="00C905C3" w:rsidP="00C94194"/>
    <w:p w14:paraId="047C57FD" w14:textId="55C15733" w:rsidR="00C905C3" w:rsidRDefault="00C905C3" w:rsidP="00C94194"/>
    <w:p w14:paraId="753B2EF1" w14:textId="77777777" w:rsidR="00C856CC" w:rsidRPr="005A5A29" w:rsidRDefault="00C856CC" w:rsidP="00C94194"/>
    <w:p w14:paraId="1E39540E" w14:textId="60C45724" w:rsidR="00A836CB" w:rsidRPr="005A4CE7" w:rsidRDefault="005A4CE7" w:rsidP="005A4CE7">
      <w:pPr>
        <w:pStyle w:val="1"/>
        <w:spacing w:before="163" w:after="163"/>
      </w:pPr>
      <w:bookmarkStart w:id="40" w:name="_Toc104938608"/>
      <w:r w:rsidRPr="005A4CE7">
        <w:lastRenderedPageBreak/>
        <w:t>实证</w:t>
      </w:r>
      <w:r w:rsidRPr="005A4CE7">
        <w:rPr>
          <w:rFonts w:hint="eastAsia"/>
        </w:rPr>
        <w:t>研究和结果分析</w:t>
      </w:r>
      <w:bookmarkEnd w:id="40"/>
    </w:p>
    <w:p w14:paraId="5EE232AD" w14:textId="20B12333" w:rsidR="00A836CB" w:rsidRDefault="008835A1" w:rsidP="008835A1">
      <w:pPr>
        <w:pStyle w:val="2"/>
        <w:spacing w:before="163" w:after="163"/>
      </w:pPr>
      <w:bookmarkStart w:id="41" w:name="_Toc104938609"/>
      <w:r>
        <w:rPr>
          <w:rFonts w:hint="eastAsia"/>
        </w:rPr>
        <w:t>描述性统计</w:t>
      </w:r>
      <w:bookmarkEnd w:id="41"/>
    </w:p>
    <w:p w14:paraId="0743D5D4" w14:textId="77777777" w:rsidR="00E85943" w:rsidRDefault="00E85943" w:rsidP="00E85943">
      <w:pPr>
        <w:ind w:firstLineChars="200" w:firstLine="480"/>
      </w:pPr>
      <w:r>
        <w:rPr>
          <w:rFonts w:hint="eastAsia"/>
        </w:rPr>
        <w:t>为了更加全面，慎重地考察独立董事辞职的信号效应即其对相关公司累积异常收益率变动的影响，我们首先对发生独立董事辞职事件的原因做出描述性统计，希望能够发现促使独立董事辞职事件发生的深层次原因。为了实现这个目的，我们在巨潮资讯网，</w:t>
      </w:r>
      <w:r>
        <w:rPr>
          <w:rFonts w:hint="eastAsia"/>
        </w:rPr>
        <w:t>choice</w:t>
      </w:r>
      <w:r>
        <w:rPr>
          <w:rFonts w:hint="eastAsia"/>
        </w:rPr>
        <w:t>金融终端，上海证券交易所，深圳证券交易所所披露的数据中，通过手动收集</w:t>
      </w:r>
      <w:r>
        <w:rPr>
          <w:rFonts w:hint="eastAsia"/>
        </w:rPr>
        <w:t>2</w:t>
      </w:r>
      <w:r>
        <w:t>021</w:t>
      </w:r>
      <w:r>
        <w:rPr>
          <w:rFonts w:hint="eastAsia"/>
        </w:rPr>
        <w:t>年</w:t>
      </w:r>
      <w:r>
        <w:rPr>
          <w:rFonts w:hint="eastAsia"/>
        </w:rPr>
        <w:t>1</w:t>
      </w:r>
      <w:r>
        <w:t>1</w:t>
      </w:r>
      <w:r>
        <w:rPr>
          <w:rFonts w:hint="eastAsia"/>
        </w:rPr>
        <w:t>月</w:t>
      </w:r>
      <w:r>
        <w:rPr>
          <w:rFonts w:hint="eastAsia"/>
        </w:rPr>
        <w:t>1</w:t>
      </w:r>
      <w:r>
        <w:t>2</w:t>
      </w:r>
      <w:r>
        <w:rPr>
          <w:rFonts w:hint="eastAsia"/>
        </w:rPr>
        <w:t>日至</w:t>
      </w:r>
      <w:r>
        <w:rPr>
          <w:rFonts w:hint="eastAsia"/>
        </w:rPr>
        <w:t>2</w:t>
      </w:r>
      <w:r>
        <w:t>022</w:t>
      </w:r>
      <w:r>
        <w:rPr>
          <w:rFonts w:hint="eastAsia"/>
        </w:rPr>
        <w:t>年</w:t>
      </w:r>
      <w:r>
        <w:t>3</w:t>
      </w:r>
      <w:r>
        <w:rPr>
          <w:rFonts w:hint="eastAsia"/>
        </w:rPr>
        <w:t>月</w:t>
      </w:r>
      <w:r>
        <w:rPr>
          <w:rFonts w:hint="eastAsia"/>
        </w:rPr>
        <w:t>1</w:t>
      </w:r>
      <w:r>
        <w:rPr>
          <w:rFonts w:hint="eastAsia"/>
        </w:rPr>
        <w:t>日期间发布的独立董事辞职公告。</w:t>
      </w:r>
    </w:p>
    <w:p w14:paraId="46A01B4B" w14:textId="344D3850" w:rsidR="00E85943" w:rsidRDefault="00E85943" w:rsidP="00E85943">
      <w:pPr>
        <w:ind w:firstLineChars="200" w:firstLine="480"/>
      </w:pPr>
      <w:r>
        <w:rPr>
          <w:rFonts w:hint="eastAsia"/>
        </w:rPr>
        <w:t>经过筛选，剔除数据不足的公司，我们最终得到如上表中的</w:t>
      </w:r>
      <w:r>
        <w:rPr>
          <w:rFonts w:hint="eastAsia"/>
        </w:rPr>
        <w:t>5</w:t>
      </w:r>
      <w:r>
        <w:t>1</w:t>
      </w:r>
      <w:r>
        <w:rPr>
          <w:rFonts w:hint="eastAsia"/>
        </w:rPr>
        <w:t>家</w:t>
      </w:r>
      <w:r>
        <w:rPr>
          <w:rFonts w:hint="eastAsia"/>
        </w:rPr>
        <w:t>A</w:t>
      </w:r>
      <w:r>
        <w:rPr>
          <w:rFonts w:hint="eastAsia"/>
        </w:rPr>
        <w:t>股上市公司辞职公告，并收集到辞职原因。从数据上看，个人原因占据了独立董事辞职原因的绝大部分，在</w:t>
      </w:r>
      <w:r>
        <w:rPr>
          <w:rFonts w:hint="eastAsia"/>
        </w:rPr>
        <w:t>5</w:t>
      </w:r>
      <w:r>
        <w:t>1</w:t>
      </w:r>
      <w:r>
        <w:rPr>
          <w:rFonts w:hint="eastAsia"/>
        </w:rPr>
        <w:t>家</w:t>
      </w:r>
      <w:r>
        <w:rPr>
          <w:rFonts w:hint="eastAsia"/>
        </w:rPr>
        <w:t>A</w:t>
      </w:r>
      <w:r>
        <w:rPr>
          <w:rFonts w:hint="eastAsia"/>
        </w:rPr>
        <w:t>股上市公司公告中，有</w:t>
      </w:r>
      <w:r>
        <w:rPr>
          <w:rFonts w:hint="eastAsia"/>
        </w:rPr>
        <w:t>4</w:t>
      </w:r>
      <w:r>
        <w:t>4</w:t>
      </w:r>
      <w:r>
        <w:rPr>
          <w:rFonts w:hint="eastAsia"/>
        </w:rPr>
        <w:t>人出于个人原因申请辞职，另外有</w:t>
      </w:r>
      <w:r>
        <w:t>2</w:t>
      </w:r>
      <w:r>
        <w:rPr>
          <w:rFonts w:hint="eastAsia"/>
        </w:rPr>
        <w:t>人出于工作变动申请辞职，</w:t>
      </w:r>
      <w:r>
        <w:rPr>
          <w:rFonts w:hint="eastAsia"/>
        </w:rPr>
        <w:t>3</w:t>
      </w:r>
      <w:r>
        <w:rPr>
          <w:rFonts w:hint="eastAsia"/>
        </w:rPr>
        <w:t>人由于我国独立董事任职管理条例在任职期满后申请离职，此外分别有</w:t>
      </w:r>
      <w:r>
        <w:rPr>
          <w:rFonts w:hint="eastAsia"/>
        </w:rPr>
        <w:t>1</w:t>
      </w:r>
      <w:r>
        <w:rPr>
          <w:rFonts w:hint="eastAsia"/>
        </w:rPr>
        <w:t>人出于管理规定和未知原因选择离职。与其他原因相比，相对模糊的个人原因更加体现出独立董事辞职的复杂性与隐晦性。尤其是在康美药业财务造假案发生，独立董事被判处承担连带赔偿责任的市场环境和特殊节点下，独立董事或许是出于对康美药业财务造假案的处罚结果的担忧，或许是出于对风险成本和任职回报的仔细考较，或许是对公司的持续发展缺失信心还是出于其他原因，我们不得而知。</w:t>
      </w:r>
    </w:p>
    <w:p w14:paraId="1176132E" w14:textId="77777777" w:rsidR="000262D7" w:rsidRPr="00E85943" w:rsidRDefault="000262D7" w:rsidP="00E85943">
      <w:pPr>
        <w:ind w:firstLineChars="200" w:firstLine="480"/>
      </w:pPr>
    </w:p>
    <w:p w14:paraId="7F63B07B" w14:textId="28DE4757" w:rsidR="00814CE9" w:rsidRPr="002F0D3A" w:rsidRDefault="002F0D3A" w:rsidP="00681C84">
      <w:pPr>
        <w:pStyle w:val="af4"/>
      </w:pPr>
      <w:r w:rsidRPr="002F0D3A">
        <w:rPr>
          <w:rFonts w:hint="eastAsia"/>
        </w:rPr>
        <w:t>表</w:t>
      </w:r>
      <w:r w:rsidRPr="002F0D3A">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B66801">
        <w:fldChar w:fldCharType="begin"/>
      </w:r>
      <w:r w:rsidR="00B66801">
        <w:instrText xml:space="preserve"> </w:instrText>
      </w:r>
      <w:r w:rsidR="00B66801">
        <w:rPr>
          <w:rFonts w:hint="eastAsia"/>
        </w:rPr>
        <w:instrText xml:space="preserve">SEQ </w:instrText>
      </w:r>
      <w:r w:rsidR="00B66801">
        <w:rPr>
          <w:rFonts w:hint="eastAsia"/>
        </w:rPr>
        <w:instrText>表</w:instrText>
      </w:r>
      <w:r w:rsidR="00B66801">
        <w:rPr>
          <w:rFonts w:hint="eastAsia"/>
        </w:rPr>
        <w:instrText xml:space="preserve"> \* ARABIC \s 1</w:instrText>
      </w:r>
      <w:r w:rsidR="00B66801">
        <w:instrText xml:space="preserve"> </w:instrText>
      </w:r>
      <w:r w:rsidR="00B66801">
        <w:fldChar w:fldCharType="separate"/>
      </w:r>
      <w:r w:rsidR="00B545B4">
        <w:rPr>
          <w:noProof/>
        </w:rPr>
        <w:t>1</w:t>
      </w:r>
      <w:r w:rsidR="00B66801">
        <w:fldChar w:fldCharType="end"/>
      </w:r>
      <w:r>
        <w:t xml:space="preserve"> </w:t>
      </w:r>
      <w:r>
        <w:rPr>
          <w:rFonts w:hint="eastAsia"/>
        </w:rPr>
        <w:t>辞职原因汇总</w:t>
      </w:r>
    </w:p>
    <w:tbl>
      <w:tblPr>
        <w:tblStyle w:val="ab"/>
        <w:tblW w:w="0" w:type="auto"/>
        <w:tblLook w:val="04A0" w:firstRow="1" w:lastRow="0" w:firstColumn="1" w:lastColumn="0" w:noHBand="0" w:noVBand="1"/>
      </w:tblPr>
      <w:tblGrid>
        <w:gridCol w:w="2074"/>
        <w:gridCol w:w="2074"/>
        <w:gridCol w:w="2074"/>
        <w:gridCol w:w="2074"/>
      </w:tblGrid>
      <w:tr w:rsidR="008835A1" w14:paraId="675B80E6" w14:textId="77777777" w:rsidTr="00C2334E">
        <w:trPr>
          <w:cnfStyle w:val="100000000000" w:firstRow="1" w:lastRow="0" w:firstColumn="0" w:lastColumn="0" w:oddVBand="0" w:evenVBand="0" w:oddHBand="0" w:evenHBand="0" w:firstRowFirstColumn="0" w:firstRowLastColumn="0" w:lastRowFirstColumn="0" w:lastRowLastColumn="0"/>
        </w:trPr>
        <w:tc>
          <w:tcPr>
            <w:tcW w:w="2074" w:type="dxa"/>
          </w:tcPr>
          <w:p w14:paraId="6121C743" w14:textId="58CD958B" w:rsidR="008835A1" w:rsidRDefault="008835A1" w:rsidP="00DA29EB">
            <w:pPr>
              <w:pStyle w:val="af2"/>
            </w:pPr>
            <w:r>
              <w:rPr>
                <w:rFonts w:hint="eastAsia"/>
              </w:rPr>
              <w:t>辞职原因</w:t>
            </w:r>
          </w:p>
        </w:tc>
        <w:tc>
          <w:tcPr>
            <w:tcW w:w="2074" w:type="dxa"/>
          </w:tcPr>
          <w:p w14:paraId="67E64A4D" w14:textId="3209787D" w:rsidR="008835A1" w:rsidRDefault="00373607" w:rsidP="00DA29EB">
            <w:pPr>
              <w:pStyle w:val="af2"/>
            </w:pPr>
            <w:r>
              <w:rPr>
                <w:rFonts w:hint="eastAsia"/>
              </w:rPr>
              <w:t>次数</w:t>
            </w:r>
          </w:p>
        </w:tc>
        <w:tc>
          <w:tcPr>
            <w:tcW w:w="2074" w:type="dxa"/>
          </w:tcPr>
          <w:p w14:paraId="08BD5A92" w14:textId="2751FCDD" w:rsidR="008835A1" w:rsidRDefault="00373607" w:rsidP="00DA29EB">
            <w:pPr>
              <w:pStyle w:val="af2"/>
            </w:pPr>
            <w:r>
              <w:rPr>
                <w:rFonts w:hint="eastAsia"/>
              </w:rPr>
              <w:t>比例</w:t>
            </w:r>
          </w:p>
        </w:tc>
        <w:tc>
          <w:tcPr>
            <w:tcW w:w="2074" w:type="dxa"/>
          </w:tcPr>
          <w:p w14:paraId="63484A69" w14:textId="6167E5BB" w:rsidR="008835A1" w:rsidRDefault="00373607" w:rsidP="00DA29EB">
            <w:pPr>
              <w:pStyle w:val="af2"/>
            </w:pPr>
            <w:r>
              <w:rPr>
                <w:rFonts w:hint="eastAsia"/>
              </w:rPr>
              <w:t>累积比例</w:t>
            </w:r>
          </w:p>
        </w:tc>
      </w:tr>
      <w:tr w:rsidR="008835A1" w14:paraId="69F8332A" w14:textId="77777777" w:rsidTr="00C2334E">
        <w:tc>
          <w:tcPr>
            <w:tcW w:w="2074" w:type="dxa"/>
          </w:tcPr>
          <w:p w14:paraId="3C6CE0D4" w14:textId="3F87A21C" w:rsidR="008835A1" w:rsidRDefault="008835A1" w:rsidP="00DA29EB">
            <w:pPr>
              <w:pStyle w:val="af2"/>
            </w:pPr>
            <w:r>
              <w:rPr>
                <w:rFonts w:hint="eastAsia"/>
              </w:rPr>
              <w:t>个人</w:t>
            </w:r>
          </w:p>
        </w:tc>
        <w:tc>
          <w:tcPr>
            <w:tcW w:w="2074" w:type="dxa"/>
          </w:tcPr>
          <w:p w14:paraId="37FA06B9" w14:textId="0E291C43" w:rsidR="008835A1" w:rsidRDefault="00834278" w:rsidP="00DA29EB">
            <w:pPr>
              <w:pStyle w:val="af2"/>
            </w:pPr>
            <w:r>
              <w:rPr>
                <w:rFonts w:hint="eastAsia"/>
              </w:rPr>
              <w:t>4</w:t>
            </w:r>
            <w:r>
              <w:t>4</w:t>
            </w:r>
          </w:p>
        </w:tc>
        <w:tc>
          <w:tcPr>
            <w:tcW w:w="2074" w:type="dxa"/>
          </w:tcPr>
          <w:p w14:paraId="0DE0BBA8" w14:textId="098797BB" w:rsidR="008835A1" w:rsidRDefault="00373607" w:rsidP="00DA29EB">
            <w:pPr>
              <w:pStyle w:val="af2"/>
            </w:pPr>
            <w:r>
              <w:rPr>
                <w:rFonts w:hint="eastAsia"/>
              </w:rPr>
              <w:t>8</w:t>
            </w:r>
            <w:r w:rsidR="00EB5B9E">
              <w:t>6.27</w:t>
            </w:r>
          </w:p>
        </w:tc>
        <w:tc>
          <w:tcPr>
            <w:tcW w:w="2074" w:type="dxa"/>
          </w:tcPr>
          <w:p w14:paraId="018BC459" w14:textId="064A6D58" w:rsidR="008835A1" w:rsidRDefault="00373607" w:rsidP="00DA29EB">
            <w:pPr>
              <w:pStyle w:val="af2"/>
            </w:pPr>
            <w:r>
              <w:rPr>
                <w:rFonts w:hint="eastAsia"/>
              </w:rPr>
              <w:t>8</w:t>
            </w:r>
            <w:r w:rsidR="00EB5B9E">
              <w:t>6</w:t>
            </w:r>
            <w:r>
              <w:t>.2</w:t>
            </w:r>
            <w:r w:rsidR="00EB5B9E">
              <w:t>7</w:t>
            </w:r>
          </w:p>
        </w:tc>
      </w:tr>
      <w:tr w:rsidR="008835A1" w14:paraId="272603F4" w14:textId="77777777" w:rsidTr="00C2334E">
        <w:tc>
          <w:tcPr>
            <w:tcW w:w="2074" w:type="dxa"/>
          </w:tcPr>
          <w:p w14:paraId="71CFD23C" w14:textId="3BCDB701" w:rsidR="008835A1" w:rsidRDefault="008835A1" w:rsidP="00DA29EB">
            <w:pPr>
              <w:pStyle w:val="af2"/>
            </w:pPr>
            <w:r>
              <w:rPr>
                <w:rFonts w:hint="eastAsia"/>
              </w:rPr>
              <w:t>工作变动</w:t>
            </w:r>
          </w:p>
        </w:tc>
        <w:tc>
          <w:tcPr>
            <w:tcW w:w="2074" w:type="dxa"/>
          </w:tcPr>
          <w:p w14:paraId="4CC13664" w14:textId="2AE40CB5" w:rsidR="008835A1" w:rsidRDefault="00834278" w:rsidP="00DA29EB">
            <w:pPr>
              <w:pStyle w:val="af2"/>
            </w:pPr>
            <w:r>
              <w:rPr>
                <w:rFonts w:hint="eastAsia"/>
              </w:rPr>
              <w:t>2</w:t>
            </w:r>
          </w:p>
        </w:tc>
        <w:tc>
          <w:tcPr>
            <w:tcW w:w="2074" w:type="dxa"/>
          </w:tcPr>
          <w:p w14:paraId="2B507811" w14:textId="0DA0173A" w:rsidR="008835A1" w:rsidRDefault="00EB5B9E" w:rsidP="00DA29EB">
            <w:pPr>
              <w:pStyle w:val="af2"/>
            </w:pPr>
            <w:r>
              <w:rPr>
                <w:rFonts w:hint="eastAsia"/>
              </w:rPr>
              <w:t>3</w:t>
            </w:r>
            <w:r>
              <w:t>.92</w:t>
            </w:r>
          </w:p>
        </w:tc>
        <w:tc>
          <w:tcPr>
            <w:tcW w:w="2074" w:type="dxa"/>
          </w:tcPr>
          <w:p w14:paraId="491AE091" w14:textId="10A19A2E" w:rsidR="008835A1" w:rsidRDefault="00EB5B9E" w:rsidP="00DA29EB">
            <w:pPr>
              <w:pStyle w:val="af2"/>
            </w:pPr>
            <w:r>
              <w:rPr>
                <w:rFonts w:hint="eastAsia"/>
              </w:rPr>
              <w:t>9</w:t>
            </w:r>
            <w:r>
              <w:t>0.20</w:t>
            </w:r>
          </w:p>
        </w:tc>
      </w:tr>
      <w:tr w:rsidR="008835A1" w14:paraId="615883D3" w14:textId="77777777" w:rsidTr="00C2334E">
        <w:tc>
          <w:tcPr>
            <w:tcW w:w="2074" w:type="dxa"/>
          </w:tcPr>
          <w:p w14:paraId="787262FB" w14:textId="5868FD40" w:rsidR="008835A1" w:rsidRDefault="008835A1" w:rsidP="00DA29EB">
            <w:pPr>
              <w:pStyle w:val="af2"/>
            </w:pPr>
            <w:r>
              <w:rPr>
                <w:rFonts w:hint="eastAsia"/>
              </w:rPr>
              <w:t>任职期满</w:t>
            </w:r>
          </w:p>
        </w:tc>
        <w:tc>
          <w:tcPr>
            <w:tcW w:w="2074" w:type="dxa"/>
          </w:tcPr>
          <w:p w14:paraId="574C31FD" w14:textId="5B2E6C21" w:rsidR="008835A1" w:rsidRDefault="00373607" w:rsidP="00DA29EB">
            <w:pPr>
              <w:pStyle w:val="af2"/>
            </w:pPr>
            <w:r>
              <w:rPr>
                <w:rFonts w:hint="eastAsia"/>
              </w:rPr>
              <w:t>3</w:t>
            </w:r>
          </w:p>
        </w:tc>
        <w:tc>
          <w:tcPr>
            <w:tcW w:w="2074" w:type="dxa"/>
          </w:tcPr>
          <w:p w14:paraId="2126AC06" w14:textId="1E5F7100" w:rsidR="008835A1" w:rsidRDefault="00EB5B9E" w:rsidP="00DA29EB">
            <w:pPr>
              <w:pStyle w:val="af2"/>
            </w:pPr>
            <w:r>
              <w:rPr>
                <w:rFonts w:hint="eastAsia"/>
              </w:rPr>
              <w:t>5</w:t>
            </w:r>
            <w:r>
              <w:t>.88</w:t>
            </w:r>
          </w:p>
        </w:tc>
        <w:tc>
          <w:tcPr>
            <w:tcW w:w="2074" w:type="dxa"/>
          </w:tcPr>
          <w:p w14:paraId="63A23858" w14:textId="69D61DCF" w:rsidR="008835A1" w:rsidRDefault="00373607" w:rsidP="00DA29EB">
            <w:pPr>
              <w:pStyle w:val="af2"/>
            </w:pPr>
            <w:r>
              <w:rPr>
                <w:rFonts w:hint="eastAsia"/>
              </w:rPr>
              <w:t>9</w:t>
            </w:r>
            <w:r w:rsidR="00EB5B9E">
              <w:t>6.08</w:t>
            </w:r>
          </w:p>
        </w:tc>
      </w:tr>
      <w:tr w:rsidR="008835A1" w14:paraId="530F2D3D" w14:textId="77777777" w:rsidTr="00C2334E">
        <w:tc>
          <w:tcPr>
            <w:tcW w:w="2074" w:type="dxa"/>
          </w:tcPr>
          <w:p w14:paraId="1BC61929" w14:textId="5361D363" w:rsidR="008835A1" w:rsidRDefault="008835A1" w:rsidP="00DA29EB">
            <w:pPr>
              <w:pStyle w:val="af2"/>
            </w:pPr>
            <w:r>
              <w:rPr>
                <w:rFonts w:hint="eastAsia"/>
              </w:rPr>
              <w:t>未知</w:t>
            </w:r>
          </w:p>
        </w:tc>
        <w:tc>
          <w:tcPr>
            <w:tcW w:w="2074" w:type="dxa"/>
          </w:tcPr>
          <w:p w14:paraId="19BFF5C4" w14:textId="621BC155" w:rsidR="008835A1" w:rsidRDefault="00834278" w:rsidP="00DA29EB">
            <w:pPr>
              <w:pStyle w:val="af2"/>
            </w:pPr>
            <w:r>
              <w:rPr>
                <w:rFonts w:hint="eastAsia"/>
              </w:rPr>
              <w:t>1</w:t>
            </w:r>
          </w:p>
        </w:tc>
        <w:tc>
          <w:tcPr>
            <w:tcW w:w="2074" w:type="dxa"/>
          </w:tcPr>
          <w:p w14:paraId="744418B2" w14:textId="27139118" w:rsidR="008835A1" w:rsidRDefault="00EB5B9E" w:rsidP="00DA29EB">
            <w:pPr>
              <w:pStyle w:val="af2"/>
            </w:pPr>
            <w:r>
              <w:rPr>
                <w:rFonts w:hint="eastAsia"/>
              </w:rPr>
              <w:t>1</w:t>
            </w:r>
            <w:r>
              <w:t>.96</w:t>
            </w:r>
          </w:p>
        </w:tc>
        <w:tc>
          <w:tcPr>
            <w:tcW w:w="2074" w:type="dxa"/>
          </w:tcPr>
          <w:p w14:paraId="73746337" w14:textId="329DD6B3" w:rsidR="008835A1" w:rsidRDefault="00373607" w:rsidP="00DA29EB">
            <w:pPr>
              <w:pStyle w:val="af2"/>
            </w:pPr>
            <w:r>
              <w:rPr>
                <w:rFonts w:hint="eastAsia"/>
              </w:rPr>
              <w:t>9</w:t>
            </w:r>
            <w:r w:rsidR="00EB5B9E">
              <w:t>8.04</w:t>
            </w:r>
          </w:p>
        </w:tc>
      </w:tr>
      <w:tr w:rsidR="008835A1" w14:paraId="0A4A0720" w14:textId="77777777" w:rsidTr="00C2334E">
        <w:tc>
          <w:tcPr>
            <w:tcW w:w="2074" w:type="dxa"/>
          </w:tcPr>
          <w:p w14:paraId="0AC4DC30" w14:textId="600184D0" w:rsidR="008835A1" w:rsidRDefault="008835A1" w:rsidP="00DA29EB">
            <w:pPr>
              <w:pStyle w:val="af2"/>
            </w:pPr>
            <w:r>
              <w:rPr>
                <w:rFonts w:hint="eastAsia"/>
              </w:rPr>
              <w:t>管理规定</w:t>
            </w:r>
          </w:p>
        </w:tc>
        <w:tc>
          <w:tcPr>
            <w:tcW w:w="2074" w:type="dxa"/>
          </w:tcPr>
          <w:p w14:paraId="3D3FE538" w14:textId="57BB922B" w:rsidR="008835A1" w:rsidRDefault="00373607" w:rsidP="00DA29EB">
            <w:pPr>
              <w:pStyle w:val="af2"/>
            </w:pPr>
            <w:r>
              <w:rPr>
                <w:rFonts w:hint="eastAsia"/>
              </w:rPr>
              <w:t>1</w:t>
            </w:r>
          </w:p>
        </w:tc>
        <w:tc>
          <w:tcPr>
            <w:tcW w:w="2074" w:type="dxa"/>
          </w:tcPr>
          <w:p w14:paraId="57496FA2" w14:textId="124C7EC3" w:rsidR="008835A1" w:rsidRDefault="00373607" w:rsidP="00DA29EB">
            <w:pPr>
              <w:pStyle w:val="af2"/>
            </w:pPr>
            <w:r>
              <w:rPr>
                <w:rFonts w:hint="eastAsia"/>
              </w:rPr>
              <w:t>1</w:t>
            </w:r>
            <w:r>
              <w:t>.</w:t>
            </w:r>
            <w:r w:rsidR="00EB5B9E">
              <w:t>96</w:t>
            </w:r>
          </w:p>
        </w:tc>
        <w:tc>
          <w:tcPr>
            <w:tcW w:w="2074" w:type="dxa"/>
          </w:tcPr>
          <w:p w14:paraId="374C6EF9" w14:textId="36AFABD4" w:rsidR="008835A1" w:rsidRDefault="00373607" w:rsidP="00DA29EB">
            <w:pPr>
              <w:pStyle w:val="af2"/>
            </w:pPr>
            <w:r>
              <w:rPr>
                <w:rFonts w:hint="eastAsia"/>
              </w:rPr>
              <w:t>1</w:t>
            </w:r>
            <w:r>
              <w:t>00</w:t>
            </w:r>
          </w:p>
        </w:tc>
      </w:tr>
      <w:tr w:rsidR="008835A1" w14:paraId="0D23DACE" w14:textId="77777777" w:rsidTr="00C2334E">
        <w:tc>
          <w:tcPr>
            <w:tcW w:w="2074" w:type="dxa"/>
          </w:tcPr>
          <w:p w14:paraId="550000BC" w14:textId="7B5FF5FB" w:rsidR="008835A1" w:rsidRDefault="008835A1" w:rsidP="00DA29EB">
            <w:pPr>
              <w:pStyle w:val="af2"/>
            </w:pPr>
            <w:r>
              <w:rPr>
                <w:rFonts w:hint="eastAsia"/>
              </w:rPr>
              <w:t>总计</w:t>
            </w:r>
          </w:p>
        </w:tc>
        <w:tc>
          <w:tcPr>
            <w:tcW w:w="2074" w:type="dxa"/>
          </w:tcPr>
          <w:p w14:paraId="7C290948" w14:textId="74BCF31B" w:rsidR="008835A1" w:rsidRDefault="00724F21" w:rsidP="00DA29EB">
            <w:pPr>
              <w:pStyle w:val="af2"/>
            </w:pPr>
            <w:r>
              <w:rPr>
                <w:rFonts w:hint="eastAsia"/>
              </w:rPr>
              <w:t>5</w:t>
            </w:r>
            <w:r>
              <w:t>1</w:t>
            </w:r>
          </w:p>
        </w:tc>
        <w:tc>
          <w:tcPr>
            <w:tcW w:w="2074" w:type="dxa"/>
          </w:tcPr>
          <w:p w14:paraId="4D55F8F4" w14:textId="6A46C2C2" w:rsidR="008835A1" w:rsidRDefault="00373607" w:rsidP="00DA29EB">
            <w:pPr>
              <w:pStyle w:val="af2"/>
            </w:pPr>
            <w:r>
              <w:rPr>
                <w:rFonts w:hint="eastAsia"/>
              </w:rPr>
              <w:t>1</w:t>
            </w:r>
            <w:r>
              <w:t>00</w:t>
            </w:r>
          </w:p>
        </w:tc>
        <w:tc>
          <w:tcPr>
            <w:tcW w:w="2074" w:type="dxa"/>
          </w:tcPr>
          <w:p w14:paraId="763C94C2" w14:textId="77777777" w:rsidR="008835A1" w:rsidRDefault="008835A1" w:rsidP="00DA29EB">
            <w:pPr>
              <w:pStyle w:val="af2"/>
            </w:pPr>
          </w:p>
        </w:tc>
      </w:tr>
    </w:tbl>
    <w:p w14:paraId="7F046A40" w14:textId="04D28C2E" w:rsidR="00E85943" w:rsidRDefault="00E85943" w:rsidP="000262D7">
      <w:pPr>
        <w:ind w:firstLineChars="200" w:firstLine="480"/>
      </w:pPr>
      <w:r>
        <w:rPr>
          <w:rFonts w:hint="eastAsia"/>
        </w:rPr>
        <w:lastRenderedPageBreak/>
        <w:t>本文包含的主要研究变量如表格</w:t>
      </w:r>
      <w:r>
        <w:rPr>
          <w:rFonts w:hint="eastAsia"/>
        </w:rPr>
        <w:t>4</w:t>
      </w:r>
      <w:r>
        <w:t>-2</w:t>
      </w:r>
      <w:r>
        <w:rPr>
          <w:rFonts w:hint="eastAsia"/>
        </w:rPr>
        <w:t>所示，从表格</w:t>
      </w:r>
      <w:r>
        <w:rPr>
          <w:rFonts w:hint="eastAsia"/>
        </w:rPr>
        <w:t>4</w:t>
      </w:r>
      <w:r>
        <w:t>-2</w:t>
      </w:r>
      <w:r>
        <w:rPr>
          <w:rFonts w:hint="eastAsia"/>
        </w:rPr>
        <w:t>中我们可以看出变量的详细数据，具体情况如下：</w:t>
      </w:r>
    </w:p>
    <w:p w14:paraId="676D1986" w14:textId="77777777" w:rsidR="00E85943" w:rsidRDefault="00E85943" w:rsidP="00E85943">
      <w:pPr>
        <w:ind w:firstLineChars="200" w:firstLine="480"/>
      </w:pPr>
      <w:r>
        <w:rPr>
          <w:rFonts w:hint="eastAsia"/>
        </w:rPr>
        <w:t>在我们手工收集并经过筛选后的</w:t>
      </w:r>
      <w:r>
        <w:rPr>
          <w:rFonts w:hint="eastAsia"/>
        </w:rPr>
        <w:t>5</w:t>
      </w:r>
      <w:r>
        <w:t>1</w:t>
      </w:r>
      <w:r>
        <w:rPr>
          <w:rFonts w:hint="eastAsia"/>
        </w:rPr>
        <w:t>个研究样本中，托宾</w:t>
      </w:r>
      <w:r>
        <w:rPr>
          <w:rFonts w:hint="eastAsia"/>
        </w:rPr>
        <w:t>Q</w:t>
      </w:r>
      <w:r>
        <w:rPr>
          <w:rFonts w:hint="eastAsia"/>
        </w:rPr>
        <w:t>值的平均值为</w:t>
      </w:r>
      <w:r>
        <w:rPr>
          <w:rFonts w:hint="eastAsia"/>
        </w:rPr>
        <w:t>1</w:t>
      </w:r>
      <w:r>
        <w:t>.767</w:t>
      </w:r>
      <w:r>
        <w:rPr>
          <w:rFonts w:hint="eastAsia"/>
        </w:rPr>
        <w:t>，最小值大于</w:t>
      </w:r>
      <w:r>
        <w:rPr>
          <w:rFonts w:hint="eastAsia"/>
        </w:rPr>
        <w:t>1</w:t>
      </w:r>
      <w:r>
        <w:rPr>
          <w:rFonts w:hint="eastAsia"/>
        </w:rPr>
        <w:t>，表明所选研究样本的市值均高于有形资产净值，总体上拥有较高的产业投资回报率。</w:t>
      </w:r>
    </w:p>
    <w:p w14:paraId="5F7928AE" w14:textId="77777777" w:rsidR="00E85943" w:rsidRDefault="00E85943" w:rsidP="00E85943">
      <w:pPr>
        <w:ind w:firstLineChars="200" w:firstLine="480"/>
      </w:pPr>
      <w:r>
        <w:rPr>
          <w:rFonts w:hint="eastAsia"/>
        </w:rPr>
        <w:t>企业规模（企业总资产的对数值）的最大值为</w:t>
      </w:r>
      <w:r>
        <w:rPr>
          <w:rFonts w:hint="eastAsia"/>
        </w:rPr>
        <w:t>2</w:t>
      </w:r>
      <w:r>
        <w:t>4.509</w:t>
      </w:r>
      <w:r>
        <w:rPr>
          <w:rFonts w:hint="eastAsia"/>
        </w:rPr>
        <w:t>，最小值为</w:t>
      </w:r>
      <w:r>
        <w:rPr>
          <w:rFonts w:hint="eastAsia"/>
        </w:rPr>
        <w:t>2</w:t>
      </w:r>
      <w:r>
        <w:t>0.499</w:t>
      </w:r>
      <w:r>
        <w:rPr>
          <w:rFonts w:hint="eastAsia"/>
        </w:rPr>
        <w:t>。</w:t>
      </w:r>
    </w:p>
    <w:p w14:paraId="461A96D8" w14:textId="77777777" w:rsidR="00E85943" w:rsidRDefault="00E85943" w:rsidP="00E85943">
      <w:pPr>
        <w:ind w:firstLineChars="200" w:firstLine="480"/>
      </w:pPr>
      <w:r>
        <w:rPr>
          <w:rFonts w:hint="eastAsia"/>
        </w:rPr>
        <w:t>在</w:t>
      </w:r>
      <w:r>
        <w:rPr>
          <w:rFonts w:hint="eastAsia"/>
        </w:rPr>
        <w:t>5</w:t>
      </w:r>
      <w:r>
        <w:t>1</w:t>
      </w:r>
      <w:r>
        <w:rPr>
          <w:rFonts w:hint="eastAsia"/>
        </w:rPr>
        <w:t>个研究样本中，资产负债率的平均值为</w:t>
      </w:r>
      <w:r>
        <w:rPr>
          <w:rFonts w:hint="eastAsia"/>
        </w:rPr>
        <w:t>0</w:t>
      </w:r>
      <w:r>
        <w:t>.417</w:t>
      </w:r>
      <w:r>
        <w:rPr>
          <w:rFonts w:hint="eastAsia"/>
        </w:rPr>
        <w:t>，资产负债率的最大值为</w:t>
      </w:r>
      <w:r>
        <w:rPr>
          <w:rFonts w:hint="eastAsia"/>
        </w:rPr>
        <w:t>0</w:t>
      </w:r>
      <w:r>
        <w:t>.967</w:t>
      </w:r>
      <w:r>
        <w:rPr>
          <w:rFonts w:hint="eastAsia"/>
        </w:rPr>
        <w:t>，几乎占据了所有的融资额，最小资产负债率为</w:t>
      </w:r>
      <w:r>
        <w:rPr>
          <w:rFonts w:hint="eastAsia"/>
        </w:rPr>
        <w:t>0</w:t>
      </w:r>
      <w:r>
        <w:t>.049</w:t>
      </w:r>
      <w:r>
        <w:rPr>
          <w:rFonts w:hint="eastAsia"/>
        </w:rPr>
        <w:t>，融资方式以权益融资为主。</w:t>
      </w:r>
    </w:p>
    <w:p w14:paraId="0519AB13" w14:textId="77777777" w:rsidR="00E85943" w:rsidRDefault="00E85943" w:rsidP="00E85943">
      <w:pPr>
        <w:ind w:firstLineChars="200" w:firstLine="480"/>
      </w:pPr>
      <w:r>
        <w:rPr>
          <w:rFonts w:hint="eastAsia"/>
        </w:rPr>
        <w:t>每股负债平均值为</w:t>
      </w:r>
      <w:r>
        <w:rPr>
          <w:rFonts w:hint="eastAsia"/>
        </w:rPr>
        <w:t>4</w:t>
      </w:r>
      <w:r>
        <w:t>.25</w:t>
      </w:r>
      <w:r>
        <w:rPr>
          <w:rFonts w:hint="eastAsia"/>
        </w:rPr>
        <w:t>，最大值为</w:t>
      </w:r>
      <w:r>
        <w:rPr>
          <w:rFonts w:hint="eastAsia"/>
        </w:rPr>
        <w:t>1</w:t>
      </w:r>
      <w:r>
        <w:t>6.8</w:t>
      </w:r>
      <w:r>
        <w:rPr>
          <w:rFonts w:hint="eastAsia"/>
        </w:rPr>
        <w:t>，最小值仅为</w:t>
      </w:r>
      <w:r>
        <w:rPr>
          <w:rFonts w:hint="eastAsia"/>
        </w:rPr>
        <w:t>0</w:t>
      </w:r>
      <w:r>
        <w:t>.15</w:t>
      </w:r>
      <w:r>
        <w:rPr>
          <w:rFonts w:hint="eastAsia"/>
        </w:rPr>
        <w:t>。</w:t>
      </w:r>
      <w:r>
        <w:rPr>
          <w:rFonts w:hint="eastAsia"/>
        </w:rPr>
        <w:t>5</w:t>
      </w:r>
      <w:r>
        <w:t>1</w:t>
      </w:r>
      <w:r>
        <w:rPr>
          <w:rFonts w:hint="eastAsia"/>
        </w:rPr>
        <w:t>家公司中独立董事的平均任职事件在三年以上（</w:t>
      </w:r>
      <w:r>
        <w:rPr>
          <w:rFonts w:hint="eastAsia"/>
        </w:rPr>
        <w:t>3</w:t>
      </w:r>
      <w:r>
        <w:t>7.</w:t>
      </w:r>
      <w:proofErr w:type="gramStart"/>
      <w:r>
        <w:t>49</w:t>
      </w:r>
      <w:proofErr w:type="gramEnd"/>
      <w:r>
        <w:rPr>
          <w:rFonts w:hint="eastAsia"/>
        </w:rPr>
        <w:t>月），其中任职最长的独立董事其任职时间达到</w:t>
      </w:r>
      <w:r>
        <w:rPr>
          <w:rFonts w:hint="eastAsia"/>
        </w:rPr>
        <w:t>9</w:t>
      </w:r>
      <w:r>
        <w:t>1</w:t>
      </w:r>
      <w:r>
        <w:rPr>
          <w:rFonts w:hint="eastAsia"/>
        </w:rPr>
        <w:t>个月，超过</w:t>
      </w:r>
      <w:r>
        <w:rPr>
          <w:rFonts w:hint="eastAsia"/>
        </w:rPr>
        <w:t>7</w:t>
      </w:r>
      <w:r>
        <w:rPr>
          <w:rFonts w:hint="eastAsia"/>
        </w:rPr>
        <w:t>年。</w:t>
      </w:r>
    </w:p>
    <w:p w14:paraId="09F2D5C6" w14:textId="454BF84D" w:rsidR="00A836CB" w:rsidRPr="00E85943" w:rsidRDefault="00E85943" w:rsidP="00E85943">
      <w:pPr>
        <w:ind w:firstLineChars="200" w:firstLine="480"/>
      </w:pPr>
      <w:r>
        <w:rPr>
          <w:rFonts w:hint="eastAsia"/>
        </w:rPr>
        <w:t>学历水平的平均值为</w:t>
      </w:r>
      <w:r>
        <w:rPr>
          <w:rFonts w:hint="eastAsia"/>
        </w:rPr>
        <w:t>0</w:t>
      </w:r>
      <w:r>
        <w:t>.745</w:t>
      </w:r>
      <w:r>
        <w:rPr>
          <w:rFonts w:hint="eastAsia"/>
        </w:rPr>
        <w:t>，最大值为</w:t>
      </w:r>
      <w:r>
        <w:rPr>
          <w:rFonts w:hint="eastAsia"/>
        </w:rPr>
        <w:t>1</w:t>
      </w:r>
      <w:r>
        <w:rPr>
          <w:rFonts w:hint="eastAsia"/>
        </w:rPr>
        <w:t>，最小值为</w:t>
      </w:r>
      <w:r>
        <w:rPr>
          <w:rFonts w:hint="eastAsia"/>
        </w:rPr>
        <w:t>0</w:t>
      </w:r>
      <w:r>
        <w:rPr>
          <w:rFonts w:hint="eastAsia"/>
        </w:rPr>
        <w:t>，表明在</w:t>
      </w:r>
      <w:r>
        <w:rPr>
          <w:rFonts w:hint="eastAsia"/>
        </w:rPr>
        <w:t>5</w:t>
      </w:r>
      <w:r>
        <w:t>1</w:t>
      </w:r>
      <w:r>
        <w:rPr>
          <w:rFonts w:hint="eastAsia"/>
        </w:rPr>
        <w:t>家研究样本公司中，</w:t>
      </w:r>
      <w:r>
        <w:rPr>
          <w:rFonts w:hint="eastAsia"/>
        </w:rPr>
        <w:t>7</w:t>
      </w:r>
      <w:r>
        <w:t>4.5%</w:t>
      </w:r>
      <w:r>
        <w:rPr>
          <w:rFonts w:hint="eastAsia"/>
        </w:rPr>
        <w:t>的相关独立董事其学历水平在本科及以上，占据研究样本的四分之三。</w:t>
      </w:r>
    </w:p>
    <w:p w14:paraId="3221BDE6" w14:textId="6039D17F" w:rsidR="0052726C" w:rsidRDefault="0052726C" w:rsidP="0052726C">
      <w:pPr>
        <w:pStyle w:val="af4"/>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B66801">
        <w:fldChar w:fldCharType="begin"/>
      </w:r>
      <w:r w:rsidR="00B66801">
        <w:instrText xml:space="preserve"> </w:instrText>
      </w:r>
      <w:r w:rsidR="00B66801">
        <w:rPr>
          <w:rFonts w:hint="eastAsia"/>
        </w:rPr>
        <w:instrText xml:space="preserve">SEQ </w:instrText>
      </w:r>
      <w:r w:rsidR="00B66801">
        <w:rPr>
          <w:rFonts w:hint="eastAsia"/>
        </w:rPr>
        <w:instrText>表</w:instrText>
      </w:r>
      <w:r w:rsidR="00B66801">
        <w:rPr>
          <w:rFonts w:hint="eastAsia"/>
        </w:rPr>
        <w:instrText xml:space="preserve"> \* ARABIC \s 1</w:instrText>
      </w:r>
      <w:r w:rsidR="00B66801">
        <w:instrText xml:space="preserve"> </w:instrText>
      </w:r>
      <w:r w:rsidR="00B66801">
        <w:fldChar w:fldCharType="separate"/>
      </w:r>
      <w:r w:rsidR="00B545B4">
        <w:rPr>
          <w:noProof/>
        </w:rPr>
        <w:t>2</w:t>
      </w:r>
      <w:r w:rsidR="00B66801">
        <w:fldChar w:fldCharType="end"/>
      </w:r>
      <w:r>
        <w:t xml:space="preserve"> </w:t>
      </w:r>
      <w:r>
        <w:rPr>
          <w:rFonts w:hint="eastAsia"/>
        </w:rPr>
        <w:t>描述性统计</w:t>
      </w:r>
    </w:p>
    <w:tbl>
      <w:tblPr>
        <w:tblStyle w:val="1111"/>
        <w:tblW w:w="5000" w:type="pct"/>
        <w:tblLook w:val="0000" w:firstRow="0" w:lastRow="0" w:firstColumn="0" w:lastColumn="0" w:noHBand="0" w:noVBand="0"/>
      </w:tblPr>
      <w:tblGrid>
        <w:gridCol w:w="2335"/>
        <w:gridCol w:w="746"/>
        <w:gridCol w:w="1306"/>
        <w:gridCol w:w="1306"/>
        <w:gridCol w:w="1306"/>
        <w:gridCol w:w="1307"/>
      </w:tblGrid>
      <w:tr w:rsidR="006C2A6A" w14:paraId="6B618C5A" w14:textId="77777777" w:rsidTr="00D141D3">
        <w:tc>
          <w:tcPr>
            <w:tcW w:w="1406" w:type="pct"/>
            <w:tcBorders>
              <w:bottom w:val="single" w:sz="6" w:space="0" w:color="auto"/>
            </w:tcBorders>
          </w:tcPr>
          <w:p w14:paraId="0C43EC87" w14:textId="77777777" w:rsidR="006C2A6A" w:rsidRPr="00E83A34" w:rsidRDefault="006C2A6A" w:rsidP="00E83A34">
            <w:pPr>
              <w:pStyle w:val="af2"/>
            </w:pPr>
            <w:r w:rsidRPr="00E83A34">
              <w:t>Variable</w:t>
            </w:r>
          </w:p>
        </w:tc>
        <w:tc>
          <w:tcPr>
            <w:tcW w:w="449" w:type="pct"/>
            <w:tcBorders>
              <w:bottom w:val="single" w:sz="6" w:space="0" w:color="auto"/>
            </w:tcBorders>
          </w:tcPr>
          <w:p w14:paraId="24D5ABF2" w14:textId="77777777" w:rsidR="006C2A6A" w:rsidRPr="00E83A34" w:rsidRDefault="006C2A6A" w:rsidP="00E83A34">
            <w:pPr>
              <w:pStyle w:val="af2"/>
            </w:pPr>
            <w:r w:rsidRPr="00E83A34">
              <w:t xml:space="preserve"> </w:t>
            </w:r>
            <w:proofErr w:type="spellStart"/>
            <w:r w:rsidRPr="00E83A34">
              <w:t>Obs</w:t>
            </w:r>
            <w:proofErr w:type="spellEnd"/>
          </w:p>
        </w:tc>
        <w:tc>
          <w:tcPr>
            <w:tcW w:w="786" w:type="pct"/>
            <w:tcBorders>
              <w:bottom w:val="single" w:sz="6" w:space="0" w:color="auto"/>
            </w:tcBorders>
          </w:tcPr>
          <w:p w14:paraId="34321F88" w14:textId="77777777" w:rsidR="006C2A6A" w:rsidRPr="00E83A34" w:rsidRDefault="006C2A6A" w:rsidP="00E83A34">
            <w:pPr>
              <w:pStyle w:val="af2"/>
            </w:pPr>
            <w:r w:rsidRPr="00E83A34">
              <w:t xml:space="preserve"> Mean</w:t>
            </w:r>
          </w:p>
        </w:tc>
        <w:tc>
          <w:tcPr>
            <w:tcW w:w="786" w:type="pct"/>
            <w:tcBorders>
              <w:bottom w:val="single" w:sz="6" w:space="0" w:color="auto"/>
            </w:tcBorders>
          </w:tcPr>
          <w:p w14:paraId="01F07C3A" w14:textId="77777777" w:rsidR="006C2A6A" w:rsidRPr="00E83A34" w:rsidRDefault="006C2A6A" w:rsidP="00E83A34">
            <w:pPr>
              <w:pStyle w:val="af2"/>
            </w:pPr>
            <w:r w:rsidRPr="00E83A34">
              <w:t xml:space="preserve"> Std. Dev.</w:t>
            </w:r>
          </w:p>
        </w:tc>
        <w:tc>
          <w:tcPr>
            <w:tcW w:w="786" w:type="pct"/>
            <w:tcBorders>
              <w:bottom w:val="single" w:sz="6" w:space="0" w:color="auto"/>
            </w:tcBorders>
          </w:tcPr>
          <w:p w14:paraId="01DA6C0E" w14:textId="77777777" w:rsidR="006C2A6A" w:rsidRPr="00E83A34" w:rsidRDefault="006C2A6A" w:rsidP="00E83A34">
            <w:pPr>
              <w:pStyle w:val="af2"/>
            </w:pPr>
            <w:r w:rsidRPr="00E83A34">
              <w:t xml:space="preserve"> Min</w:t>
            </w:r>
          </w:p>
        </w:tc>
        <w:tc>
          <w:tcPr>
            <w:tcW w:w="787" w:type="pct"/>
            <w:tcBorders>
              <w:bottom w:val="single" w:sz="6" w:space="0" w:color="auto"/>
            </w:tcBorders>
          </w:tcPr>
          <w:p w14:paraId="3370044B" w14:textId="77777777" w:rsidR="006C2A6A" w:rsidRPr="00E83A34" w:rsidRDefault="006C2A6A" w:rsidP="00E83A34">
            <w:pPr>
              <w:pStyle w:val="af2"/>
            </w:pPr>
            <w:r w:rsidRPr="00E83A34">
              <w:t xml:space="preserve"> Max</w:t>
            </w:r>
          </w:p>
        </w:tc>
      </w:tr>
      <w:tr w:rsidR="006C2A6A" w14:paraId="648DFFCA" w14:textId="77777777" w:rsidTr="00D141D3">
        <w:tc>
          <w:tcPr>
            <w:tcW w:w="1406" w:type="pct"/>
            <w:tcBorders>
              <w:top w:val="single" w:sz="6" w:space="0" w:color="auto"/>
            </w:tcBorders>
          </w:tcPr>
          <w:p w14:paraId="18524C76" w14:textId="5012A6B7" w:rsidR="006C2A6A" w:rsidRPr="00E83A34" w:rsidRDefault="006C2A6A" w:rsidP="00E83A34">
            <w:pPr>
              <w:pStyle w:val="af2"/>
            </w:pPr>
            <w:r w:rsidRPr="00E83A34">
              <w:t xml:space="preserve"> </w:t>
            </w:r>
            <w:r w:rsidR="00C00C3B" w:rsidRPr="00E83A34">
              <w:t>T</w:t>
            </w:r>
            <w:r w:rsidRPr="00E83A34">
              <w:t>enure</w:t>
            </w:r>
          </w:p>
        </w:tc>
        <w:tc>
          <w:tcPr>
            <w:tcW w:w="449" w:type="pct"/>
            <w:tcBorders>
              <w:top w:val="single" w:sz="6" w:space="0" w:color="auto"/>
            </w:tcBorders>
          </w:tcPr>
          <w:p w14:paraId="284C16C5" w14:textId="77777777" w:rsidR="006C2A6A" w:rsidRPr="00E83A34" w:rsidRDefault="006C2A6A" w:rsidP="00E83A34">
            <w:pPr>
              <w:pStyle w:val="af2"/>
            </w:pPr>
            <w:r w:rsidRPr="00E83A34">
              <w:t>51</w:t>
            </w:r>
          </w:p>
        </w:tc>
        <w:tc>
          <w:tcPr>
            <w:tcW w:w="786" w:type="pct"/>
            <w:tcBorders>
              <w:top w:val="single" w:sz="6" w:space="0" w:color="auto"/>
            </w:tcBorders>
          </w:tcPr>
          <w:p w14:paraId="0A125D7C" w14:textId="77777777" w:rsidR="006C2A6A" w:rsidRPr="00E83A34" w:rsidRDefault="006C2A6A" w:rsidP="00E83A34">
            <w:pPr>
              <w:pStyle w:val="af2"/>
            </w:pPr>
            <w:r w:rsidRPr="00E83A34">
              <w:t>37.49</w:t>
            </w:r>
          </w:p>
        </w:tc>
        <w:tc>
          <w:tcPr>
            <w:tcW w:w="786" w:type="pct"/>
            <w:tcBorders>
              <w:top w:val="single" w:sz="6" w:space="0" w:color="auto"/>
            </w:tcBorders>
          </w:tcPr>
          <w:p w14:paraId="7D991052" w14:textId="77777777" w:rsidR="006C2A6A" w:rsidRPr="00E83A34" w:rsidRDefault="006C2A6A" w:rsidP="00E83A34">
            <w:pPr>
              <w:pStyle w:val="af2"/>
            </w:pPr>
            <w:r w:rsidRPr="00E83A34">
              <w:t>18.482</w:t>
            </w:r>
          </w:p>
        </w:tc>
        <w:tc>
          <w:tcPr>
            <w:tcW w:w="786" w:type="pct"/>
            <w:tcBorders>
              <w:top w:val="single" w:sz="6" w:space="0" w:color="auto"/>
            </w:tcBorders>
          </w:tcPr>
          <w:p w14:paraId="7414156B" w14:textId="77777777" w:rsidR="006C2A6A" w:rsidRPr="00E83A34" w:rsidRDefault="006C2A6A" w:rsidP="00E83A34">
            <w:pPr>
              <w:pStyle w:val="af2"/>
            </w:pPr>
            <w:r w:rsidRPr="00E83A34">
              <w:t>10</w:t>
            </w:r>
          </w:p>
        </w:tc>
        <w:tc>
          <w:tcPr>
            <w:tcW w:w="787" w:type="pct"/>
            <w:tcBorders>
              <w:top w:val="single" w:sz="6" w:space="0" w:color="auto"/>
            </w:tcBorders>
          </w:tcPr>
          <w:p w14:paraId="41869EFC" w14:textId="77777777" w:rsidR="006C2A6A" w:rsidRPr="00E83A34" w:rsidRDefault="006C2A6A" w:rsidP="00E83A34">
            <w:pPr>
              <w:pStyle w:val="af2"/>
            </w:pPr>
            <w:r w:rsidRPr="00E83A34">
              <w:t>91</w:t>
            </w:r>
          </w:p>
        </w:tc>
      </w:tr>
      <w:tr w:rsidR="006C2A6A" w14:paraId="66319537" w14:textId="77777777" w:rsidTr="00D141D3">
        <w:tc>
          <w:tcPr>
            <w:tcW w:w="1406" w:type="pct"/>
          </w:tcPr>
          <w:p w14:paraId="369AC4D8" w14:textId="38815FBC" w:rsidR="006C2A6A" w:rsidRPr="00E83A34" w:rsidRDefault="006C2A6A" w:rsidP="00E83A34">
            <w:pPr>
              <w:pStyle w:val="af2"/>
            </w:pPr>
            <w:r w:rsidRPr="00E83A34">
              <w:t xml:space="preserve"> </w:t>
            </w:r>
            <w:r w:rsidR="00C00C3B" w:rsidRPr="00E83A34">
              <w:t>D</w:t>
            </w:r>
            <w:r w:rsidRPr="00E83A34">
              <w:t>egree</w:t>
            </w:r>
          </w:p>
        </w:tc>
        <w:tc>
          <w:tcPr>
            <w:tcW w:w="449" w:type="pct"/>
          </w:tcPr>
          <w:p w14:paraId="6A7E71DA" w14:textId="77777777" w:rsidR="006C2A6A" w:rsidRPr="00E83A34" w:rsidRDefault="006C2A6A" w:rsidP="00E83A34">
            <w:pPr>
              <w:pStyle w:val="af2"/>
            </w:pPr>
            <w:r w:rsidRPr="00E83A34">
              <w:t>51</w:t>
            </w:r>
          </w:p>
        </w:tc>
        <w:tc>
          <w:tcPr>
            <w:tcW w:w="786" w:type="pct"/>
          </w:tcPr>
          <w:p w14:paraId="0FE29ACE" w14:textId="77777777" w:rsidR="006C2A6A" w:rsidRPr="00E83A34" w:rsidRDefault="006C2A6A" w:rsidP="00E83A34">
            <w:pPr>
              <w:pStyle w:val="af2"/>
            </w:pPr>
            <w:r w:rsidRPr="00E83A34">
              <w:t>.745</w:t>
            </w:r>
          </w:p>
        </w:tc>
        <w:tc>
          <w:tcPr>
            <w:tcW w:w="786" w:type="pct"/>
          </w:tcPr>
          <w:p w14:paraId="035985D0" w14:textId="77777777" w:rsidR="006C2A6A" w:rsidRPr="00E83A34" w:rsidRDefault="006C2A6A" w:rsidP="00E83A34">
            <w:pPr>
              <w:pStyle w:val="af2"/>
            </w:pPr>
            <w:r w:rsidRPr="00E83A34">
              <w:t>.44</w:t>
            </w:r>
          </w:p>
        </w:tc>
        <w:tc>
          <w:tcPr>
            <w:tcW w:w="786" w:type="pct"/>
          </w:tcPr>
          <w:p w14:paraId="1C6F4026" w14:textId="77777777" w:rsidR="006C2A6A" w:rsidRPr="00E83A34" w:rsidRDefault="006C2A6A" w:rsidP="00E83A34">
            <w:pPr>
              <w:pStyle w:val="af2"/>
            </w:pPr>
            <w:r w:rsidRPr="00E83A34">
              <w:t>0</w:t>
            </w:r>
          </w:p>
        </w:tc>
        <w:tc>
          <w:tcPr>
            <w:tcW w:w="787" w:type="pct"/>
          </w:tcPr>
          <w:p w14:paraId="72FCC57F" w14:textId="77777777" w:rsidR="006C2A6A" w:rsidRPr="00E83A34" w:rsidRDefault="006C2A6A" w:rsidP="00E83A34">
            <w:pPr>
              <w:pStyle w:val="af2"/>
            </w:pPr>
            <w:r w:rsidRPr="00E83A34">
              <w:t>1</w:t>
            </w:r>
          </w:p>
        </w:tc>
      </w:tr>
      <w:tr w:rsidR="006C2A6A" w14:paraId="047573C7" w14:textId="77777777" w:rsidTr="00D141D3">
        <w:tc>
          <w:tcPr>
            <w:tcW w:w="1406" w:type="pct"/>
          </w:tcPr>
          <w:p w14:paraId="17365765" w14:textId="649514AE" w:rsidR="006C2A6A" w:rsidRPr="00E83A34" w:rsidRDefault="006C2A6A" w:rsidP="00E83A34">
            <w:pPr>
              <w:pStyle w:val="af2"/>
            </w:pPr>
            <w:r w:rsidRPr="00E83A34">
              <w:t xml:space="preserve"> </w:t>
            </w:r>
            <w:proofErr w:type="spellStart"/>
            <w:r w:rsidR="00C00C3B" w:rsidRPr="00E83A34">
              <w:t>T</w:t>
            </w:r>
            <w:r w:rsidRPr="00E83A34">
              <w:t>bq</w:t>
            </w:r>
            <w:proofErr w:type="spellEnd"/>
          </w:p>
        </w:tc>
        <w:tc>
          <w:tcPr>
            <w:tcW w:w="449" w:type="pct"/>
          </w:tcPr>
          <w:p w14:paraId="1AC36D33" w14:textId="77777777" w:rsidR="006C2A6A" w:rsidRPr="00E83A34" w:rsidRDefault="006C2A6A" w:rsidP="00E83A34">
            <w:pPr>
              <w:pStyle w:val="af2"/>
            </w:pPr>
            <w:r w:rsidRPr="00E83A34">
              <w:t>51</w:t>
            </w:r>
          </w:p>
        </w:tc>
        <w:tc>
          <w:tcPr>
            <w:tcW w:w="786" w:type="pct"/>
          </w:tcPr>
          <w:p w14:paraId="5640F725" w14:textId="77777777" w:rsidR="006C2A6A" w:rsidRPr="00E83A34" w:rsidRDefault="006C2A6A" w:rsidP="00E83A34">
            <w:pPr>
              <w:pStyle w:val="af2"/>
            </w:pPr>
            <w:r w:rsidRPr="00E83A34">
              <w:t>1.767</w:t>
            </w:r>
          </w:p>
        </w:tc>
        <w:tc>
          <w:tcPr>
            <w:tcW w:w="786" w:type="pct"/>
          </w:tcPr>
          <w:p w14:paraId="15563A6F" w14:textId="77777777" w:rsidR="006C2A6A" w:rsidRPr="00E83A34" w:rsidRDefault="006C2A6A" w:rsidP="00E83A34">
            <w:pPr>
              <w:pStyle w:val="af2"/>
            </w:pPr>
            <w:r w:rsidRPr="00E83A34">
              <w:t>.657</w:t>
            </w:r>
          </w:p>
        </w:tc>
        <w:tc>
          <w:tcPr>
            <w:tcW w:w="786" w:type="pct"/>
          </w:tcPr>
          <w:p w14:paraId="280C6EB2" w14:textId="77777777" w:rsidR="006C2A6A" w:rsidRPr="00E83A34" w:rsidRDefault="006C2A6A" w:rsidP="00E83A34">
            <w:pPr>
              <w:pStyle w:val="af2"/>
            </w:pPr>
            <w:r w:rsidRPr="00E83A34">
              <w:t>1.096</w:t>
            </w:r>
          </w:p>
        </w:tc>
        <w:tc>
          <w:tcPr>
            <w:tcW w:w="787" w:type="pct"/>
          </w:tcPr>
          <w:p w14:paraId="7FFF693E" w14:textId="77777777" w:rsidR="006C2A6A" w:rsidRPr="00E83A34" w:rsidRDefault="006C2A6A" w:rsidP="00E83A34">
            <w:pPr>
              <w:pStyle w:val="af2"/>
            </w:pPr>
            <w:r w:rsidRPr="00E83A34">
              <w:t>4.329</w:t>
            </w:r>
          </w:p>
        </w:tc>
      </w:tr>
      <w:tr w:rsidR="006C2A6A" w14:paraId="6C6FF7AA" w14:textId="77777777" w:rsidTr="00D141D3">
        <w:tc>
          <w:tcPr>
            <w:tcW w:w="1406" w:type="pct"/>
          </w:tcPr>
          <w:p w14:paraId="28E73D56" w14:textId="245562D9" w:rsidR="006C2A6A" w:rsidRPr="00E83A34" w:rsidRDefault="006C2A6A" w:rsidP="00E83A34">
            <w:pPr>
              <w:pStyle w:val="af2"/>
            </w:pPr>
            <w:r w:rsidRPr="00E83A34">
              <w:t xml:space="preserve"> </w:t>
            </w:r>
            <w:r w:rsidR="00C00C3B" w:rsidRPr="00E83A34">
              <w:t>S</w:t>
            </w:r>
            <w:r w:rsidRPr="00E83A34">
              <w:t>ize</w:t>
            </w:r>
          </w:p>
        </w:tc>
        <w:tc>
          <w:tcPr>
            <w:tcW w:w="449" w:type="pct"/>
          </w:tcPr>
          <w:p w14:paraId="4A28CDE1" w14:textId="77777777" w:rsidR="006C2A6A" w:rsidRPr="00E83A34" w:rsidRDefault="006C2A6A" w:rsidP="00E83A34">
            <w:pPr>
              <w:pStyle w:val="af2"/>
            </w:pPr>
            <w:r w:rsidRPr="00E83A34">
              <w:t>51</w:t>
            </w:r>
          </w:p>
        </w:tc>
        <w:tc>
          <w:tcPr>
            <w:tcW w:w="786" w:type="pct"/>
          </w:tcPr>
          <w:p w14:paraId="1A6F0F13" w14:textId="77777777" w:rsidR="006C2A6A" w:rsidRPr="00E83A34" w:rsidRDefault="006C2A6A" w:rsidP="00E83A34">
            <w:pPr>
              <w:pStyle w:val="af2"/>
            </w:pPr>
            <w:r w:rsidRPr="00E83A34">
              <w:t>22.216</w:t>
            </w:r>
          </w:p>
        </w:tc>
        <w:tc>
          <w:tcPr>
            <w:tcW w:w="786" w:type="pct"/>
          </w:tcPr>
          <w:p w14:paraId="31A219AE" w14:textId="77777777" w:rsidR="006C2A6A" w:rsidRPr="00E83A34" w:rsidRDefault="006C2A6A" w:rsidP="00E83A34">
            <w:pPr>
              <w:pStyle w:val="af2"/>
            </w:pPr>
            <w:r w:rsidRPr="00E83A34">
              <w:t>1.08</w:t>
            </w:r>
          </w:p>
        </w:tc>
        <w:tc>
          <w:tcPr>
            <w:tcW w:w="786" w:type="pct"/>
          </w:tcPr>
          <w:p w14:paraId="32BFF085" w14:textId="77777777" w:rsidR="006C2A6A" w:rsidRPr="00E83A34" w:rsidRDefault="006C2A6A" w:rsidP="00E83A34">
            <w:pPr>
              <w:pStyle w:val="af2"/>
            </w:pPr>
            <w:r w:rsidRPr="00E83A34">
              <w:t>20.499</w:t>
            </w:r>
          </w:p>
        </w:tc>
        <w:tc>
          <w:tcPr>
            <w:tcW w:w="787" w:type="pct"/>
          </w:tcPr>
          <w:p w14:paraId="087ADCA9" w14:textId="77777777" w:rsidR="006C2A6A" w:rsidRPr="00E83A34" w:rsidRDefault="006C2A6A" w:rsidP="00E83A34">
            <w:pPr>
              <w:pStyle w:val="af2"/>
            </w:pPr>
            <w:r w:rsidRPr="00E83A34">
              <w:t>24.509</w:t>
            </w:r>
          </w:p>
        </w:tc>
      </w:tr>
      <w:tr w:rsidR="006C2A6A" w14:paraId="4649AB97" w14:textId="77777777" w:rsidTr="00D141D3">
        <w:tc>
          <w:tcPr>
            <w:tcW w:w="1406" w:type="pct"/>
          </w:tcPr>
          <w:p w14:paraId="1E7D1E69" w14:textId="191AFE1E" w:rsidR="006C2A6A" w:rsidRPr="00E83A34" w:rsidRDefault="006C2A6A" w:rsidP="00E83A34">
            <w:pPr>
              <w:pStyle w:val="af2"/>
            </w:pPr>
            <w:r w:rsidRPr="00E83A34">
              <w:t xml:space="preserve"> </w:t>
            </w:r>
            <w:r w:rsidR="00C00C3B" w:rsidRPr="00E83A34">
              <w:t>L</w:t>
            </w:r>
            <w:r w:rsidRPr="00E83A34">
              <w:t>ev</w:t>
            </w:r>
          </w:p>
        </w:tc>
        <w:tc>
          <w:tcPr>
            <w:tcW w:w="449" w:type="pct"/>
          </w:tcPr>
          <w:p w14:paraId="41045A1E" w14:textId="77777777" w:rsidR="006C2A6A" w:rsidRPr="00E83A34" w:rsidRDefault="006C2A6A" w:rsidP="00E83A34">
            <w:pPr>
              <w:pStyle w:val="af2"/>
            </w:pPr>
            <w:r w:rsidRPr="00E83A34">
              <w:t>51</w:t>
            </w:r>
          </w:p>
        </w:tc>
        <w:tc>
          <w:tcPr>
            <w:tcW w:w="786" w:type="pct"/>
          </w:tcPr>
          <w:p w14:paraId="5F01FEAC" w14:textId="77777777" w:rsidR="006C2A6A" w:rsidRPr="00E83A34" w:rsidRDefault="006C2A6A" w:rsidP="00E83A34">
            <w:pPr>
              <w:pStyle w:val="af2"/>
            </w:pPr>
            <w:r w:rsidRPr="00E83A34">
              <w:t>.417</w:t>
            </w:r>
          </w:p>
        </w:tc>
        <w:tc>
          <w:tcPr>
            <w:tcW w:w="786" w:type="pct"/>
          </w:tcPr>
          <w:p w14:paraId="6A93FB27" w14:textId="77777777" w:rsidR="006C2A6A" w:rsidRPr="00E83A34" w:rsidRDefault="006C2A6A" w:rsidP="00E83A34">
            <w:pPr>
              <w:pStyle w:val="af2"/>
            </w:pPr>
            <w:r w:rsidRPr="00E83A34">
              <w:t>.193</w:t>
            </w:r>
          </w:p>
        </w:tc>
        <w:tc>
          <w:tcPr>
            <w:tcW w:w="786" w:type="pct"/>
          </w:tcPr>
          <w:p w14:paraId="4A16EBDF" w14:textId="77777777" w:rsidR="006C2A6A" w:rsidRPr="00E83A34" w:rsidRDefault="006C2A6A" w:rsidP="00E83A34">
            <w:pPr>
              <w:pStyle w:val="af2"/>
            </w:pPr>
            <w:r w:rsidRPr="00E83A34">
              <w:t>.049</w:t>
            </w:r>
          </w:p>
        </w:tc>
        <w:tc>
          <w:tcPr>
            <w:tcW w:w="787" w:type="pct"/>
          </w:tcPr>
          <w:p w14:paraId="6C63A8A5" w14:textId="77777777" w:rsidR="006C2A6A" w:rsidRPr="00E83A34" w:rsidRDefault="006C2A6A" w:rsidP="00E83A34">
            <w:pPr>
              <w:pStyle w:val="af2"/>
            </w:pPr>
            <w:r w:rsidRPr="00E83A34">
              <w:t>.967</w:t>
            </w:r>
          </w:p>
        </w:tc>
      </w:tr>
      <w:tr w:rsidR="006C2A6A" w14:paraId="1521B3E6" w14:textId="77777777" w:rsidTr="00D141D3">
        <w:tc>
          <w:tcPr>
            <w:tcW w:w="1406" w:type="pct"/>
          </w:tcPr>
          <w:p w14:paraId="13489E31" w14:textId="6E28E920" w:rsidR="006C2A6A" w:rsidRPr="00E83A34" w:rsidRDefault="006C2A6A" w:rsidP="00E83A34">
            <w:pPr>
              <w:pStyle w:val="af2"/>
            </w:pPr>
            <w:r w:rsidRPr="00E83A34">
              <w:t xml:space="preserve"> </w:t>
            </w:r>
            <w:r w:rsidR="00C00C3B" w:rsidRPr="00E83A34">
              <w:t>B</w:t>
            </w:r>
            <w:r w:rsidRPr="00E83A34">
              <w:t>ps</w:t>
            </w:r>
          </w:p>
        </w:tc>
        <w:tc>
          <w:tcPr>
            <w:tcW w:w="449" w:type="pct"/>
          </w:tcPr>
          <w:p w14:paraId="63E98B93" w14:textId="77777777" w:rsidR="006C2A6A" w:rsidRPr="00E83A34" w:rsidRDefault="006C2A6A" w:rsidP="00E83A34">
            <w:pPr>
              <w:pStyle w:val="af2"/>
            </w:pPr>
            <w:r w:rsidRPr="00E83A34">
              <w:t>51</w:t>
            </w:r>
          </w:p>
        </w:tc>
        <w:tc>
          <w:tcPr>
            <w:tcW w:w="786" w:type="pct"/>
          </w:tcPr>
          <w:p w14:paraId="119C7513" w14:textId="77777777" w:rsidR="006C2A6A" w:rsidRPr="00E83A34" w:rsidRDefault="006C2A6A" w:rsidP="00E83A34">
            <w:pPr>
              <w:pStyle w:val="af2"/>
            </w:pPr>
            <w:r w:rsidRPr="00E83A34">
              <w:t>4.254</w:t>
            </w:r>
          </w:p>
        </w:tc>
        <w:tc>
          <w:tcPr>
            <w:tcW w:w="786" w:type="pct"/>
          </w:tcPr>
          <w:p w14:paraId="3A44183E" w14:textId="77777777" w:rsidR="006C2A6A" w:rsidRPr="00E83A34" w:rsidRDefault="006C2A6A" w:rsidP="00E83A34">
            <w:pPr>
              <w:pStyle w:val="af2"/>
            </w:pPr>
            <w:r w:rsidRPr="00E83A34">
              <w:t>3.605</w:t>
            </w:r>
          </w:p>
        </w:tc>
        <w:tc>
          <w:tcPr>
            <w:tcW w:w="786" w:type="pct"/>
          </w:tcPr>
          <w:p w14:paraId="6162E128" w14:textId="77777777" w:rsidR="006C2A6A" w:rsidRPr="00E83A34" w:rsidRDefault="006C2A6A" w:rsidP="00E83A34">
            <w:pPr>
              <w:pStyle w:val="af2"/>
            </w:pPr>
            <w:r w:rsidRPr="00E83A34">
              <w:t>.148</w:t>
            </w:r>
          </w:p>
        </w:tc>
        <w:tc>
          <w:tcPr>
            <w:tcW w:w="787" w:type="pct"/>
          </w:tcPr>
          <w:p w14:paraId="2964A52F" w14:textId="77777777" w:rsidR="006C2A6A" w:rsidRPr="00E83A34" w:rsidRDefault="006C2A6A" w:rsidP="00E83A34">
            <w:pPr>
              <w:pStyle w:val="af2"/>
            </w:pPr>
            <w:r w:rsidRPr="00E83A34">
              <w:t>16.801</w:t>
            </w:r>
          </w:p>
        </w:tc>
      </w:tr>
    </w:tbl>
    <w:p w14:paraId="6C1F13FC" w14:textId="77777777" w:rsidR="00745BF0" w:rsidRDefault="00745BF0" w:rsidP="00CA6514"/>
    <w:p w14:paraId="52B28039" w14:textId="7D41EBB3" w:rsidR="00730C1E" w:rsidRDefault="005137ED" w:rsidP="00730C1E">
      <w:pPr>
        <w:pStyle w:val="2"/>
        <w:spacing w:before="163" w:after="163"/>
      </w:pPr>
      <w:bookmarkStart w:id="42" w:name="_Toc104938610"/>
      <w:r>
        <w:rPr>
          <w:rFonts w:hint="eastAsia"/>
        </w:rPr>
        <w:t>相关性分析</w:t>
      </w:r>
      <w:bookmarkEnd w:id="42"/>
    </w:p>
    <w:p w14:paraId="3939DD87" w14:textId="77777777" w:rsidR="00CA6514" w:rsidRDefault="00CA6514" w:rsidP="00CA6514">
      <w:pPr>
        <w:ind w:firstLineChars="200" w:firstLine="480"/>
      </w:pPr>
      <w:r>
        <w:rPr>
          <w:rFonts w:hint="eastAsia"/>
        </w:rPr>
        <w:t>从表格</w:t>
      </w:r>
      <w:r>
        <w:rPr>
          <w:rFonts w:hint="eastAsia"/>
        </w:rPr>
        <w:t>4</w:t>
      </w:r>
      <w:r>
        <w:t>-3</w:t>
      </w:r>
      <w:r>
        <w:rPr>
          <w:rFonts w:hint="eastAsia"/>
        </w:rPr>
        <w:t>中，我们可以发现累积异常收益率</w:t>
      </w:r>
      <w:r>
        <w:rPr>
          <w:rFonts w:hint="eastAsia"/>
        </w:rPr>
        <w:t>C</w:t>
      </w:r>
      <w:r>
        <w:t>AR</w:t>
      </w:r>
      <w:r>
        <w:rPr>
          <w:rFonts w:hint="eastAsia"/>
        </w:rPr>
        <w:t>与</w:t>
      </w:r>
      <w:r>
        <w:rPr>
          <w:rFonts w:hint="eastAsia"/>
        </w:rPr>
        <w:t>tenure</w:t>
      </w:r>
      <w:r>
        <w:rPr>
          <w:rFonts w:hint="eastAsia"/>
        </w:rPr>
        <w:t>呈正向相关关系，相关系数为</w:t>
      </w:r>
      <w:r>
        <w:rPr>
          <w:rFonts w:hint="eastAsia"/>
        </w:rPr>
        <w:t>0</w:t>
      </w:r>
      <w:r>
        <w:t>.294</w:t>
      </w:r>
      <w:r>
        <w:rPr>
          <w:rFonts w:hint="eastAsia"/>
        </w:rPr>
        <w:t>，这与我们提出的假设</w:t>
      </w:r>
      <w:proofErr w:type="gramStart"/>
      <w:r>
        <w:rPr>
          <w:rFonts w:hint="eastAsia"/>
        </w:rPr>
        <w:t>三初步</w:t>
      </w:r>
      <w:proofErr w:type="gramEnd"/>
      <w:r>
        <w:rPr>
          <w:rFonts w:hint="eastAsia"/>
        </w:rPr>
        <w:t>相符合。</w:t>
      </w:r>
    </w:p>
    <w:p w14:paraId="7BF454D0" w14:textId="77777777" w:rsidR="00CA6514" w:rsidRDefault="00CA6514" w:rsidP="00CA6514">
      <w:pPr>
        <w:ind w:firstLineChars="200" w:firstLine="480"/>
      </w:pPr>
      <w:r>
        <w:rPr>
          <w:rFonts w:hint="eastAsia"/>
        </w:rPr>
        <w:lastRenderedPageBreak/>
        <w:t>第</w:t>
      </w:r>
      <w:r>
        <w:rPr>
          <w:rFonts w:hint="eastAsia"/>
        </w:rPr>
        <w:t>2</w:t>
      </w:r>
      <w:r>
        <w:rPr>
          <w:rFonts w:hint="eastAsia"/>
        </w:rPr>
        <w:t>行第</w:t>
      </w:r>
      <w:r>
        <w:rPr>
          <w:rFonts w:hint="eastAsia"/>
        </w:rPr>
        <w:t>1</w:t>
      </w:r>
      <w:r>
        <w:rPr>
          <w:rFonts w:hint="eastAsia"/>
        </w:rPr>
        <w:t>列学历</w:t>
      </w:r>
      <w:r>
        <w:rPr>
          <w:rFonts w:hint="eastAsia"/>
        </w:rPr>
        <w:t>d</w:t>
      </w:r>
      <w:r>
        <w:t>egree</w:t>
      </w:r>
      <w:r>
        <w:rPr>
          <w:rFonts w:hint="eastAsia"/>
        </w:rPr>
        <w:t>与累积异常收益率呈正相关关系，系数为</w:t>
      </w:r>
      <w:r>
        <w:rPr>
          <w:rFonts w:hint="eastAsia"/>
        </w:rPr>
        <w:t>0</w:t>
      </w:r>
      <w:r>
        <w:t>.040</w:t>
      </w:r>
      <w:r>
        <w:rPr>
          <w:rFonts w:hint="eastAsia"/>
        </w:rPr>
        <w:t>，这与我们提出的假设二相符合。第</w:t>
      </w:r>
      <w:r>
        <w:t>4</w:t>
      </w:r>
      <w:r>
        <w:rPr>
          <w:rFonts w:hint="eastAsia"/>
        </w:rPr>
        <w:t>行第</w:t>
      </w:r>
      <w:r>
        <w:t>1</w:t>
      </w:r>
      <w:r>
        <w:rPr>
          <w:rFonts w:hint="eastAsia"/>
        </w:rPr>
        <w:t>,3</w:t>
      </w:r>
      <w:r>
        <w:rPr>
          <w:rFonts w:hint="eastAsia"/>
        </w:rPr>
        <w:t>列可以看出托宾</w:t>
      </w:r>
      <w:r>
        <w:rPr>
          <w:rFonts w:hint="eastAsia"/>
        </w:rPr>
        <w:t>Q</w:t>
      </w:r>
      <w:r>
        <w:rPr>
          <w:rFonts w:hint="eastAsia"/>
        </w:rPr>
        <w:t>值与累积异常收益率</w:t>
      </w:r>
      <w:r>
        <w:t>car</w:t>
      </w:r>
      <w:r>
        <w:rPr>
          <w:rFonts w:hint="eastAsia"/>
        </w:rPr>
        <w:t>和</w:t>
      </w:r>
      <w:r>
        <w:rPr>
          <w:rFonts w:hint="eastAsia"/>
        </w:rPr>
        <w:t>tenure</w:t>
      </w:r>
      <w:r>
        <w:rPr>
          <w:rFonts w:hint="eastAsia"/>
        </w:rPr>
        <w:t>呈负向相关关系，相关系数分别为</w:t>
      </w:r>
      <w:r>
        <w:rPr>
          <w:rFonts w:hint="eastAsia"/>
        </w:rPr>
        <w:t>-</w:t>
      </w:r>
      <w:r>
        <w:t>0.006</w:t>
      </w:r>
      <w:r>
        <w:rPr>
          <w:rFonts w:hint="eastAsia"/>
        </w:rPr>
        <w:t>，</w:t>
      </w:r>
      <w:r>
        <w:rPr>
          <w:rFonts w:hint="eastAsia"/>
        </w:rPr>
        <w:t>-</w:t>
      </w:r>
      <w:r>
        <w:t>0.041</w:t>
      </w:r>
      <w:r>
        <w:rPr>
          <w:rFonts w:hint="eastAsia"/>
        </w:rPr>
        <w:t>。</w:t>
      </w:r>
    </w:p>
    <w:p w14:paraId="6766A86B" w14:textId="77777777" w:rsidR="00CA6514" w:rsidRDefault="00CA6514" w:rsidP="00CA6514">
      <w:pPr>
        <w:ind w:firstLineChars="200" w:firstLine="480"/>
      </w:pPr>
      <w:r>
        <w:rPr>
          <w:rFonts w:hint="eastAsia"/>
        </w:rPr>
        <w:t>第</w:t>
      </w:r>
      <w:r>
        <w:t>5</w:t>
      </w:r>
      <w:r>
        <w:rPr>
          <w:rFonts w:hint="eastAsia"/>
        </w:rPr>
        <w:t>行第</w:t>
      </w:r>
      <w:r>
        <w:rPr>
          <w:rFonts w:hint="eastAsia"/>
        </w:rPr>
        <w:t>2</w:t>
      </w:r>
      <w:r>
        <w:rPr>
          <w:rFonts w:hint="eastAsia"/>
        </w:rPr>
        <w:t>列可以看出企业规模</w:t>
      </w:r>
      <w:r>
        <w:rPr>
          <w:rFonts w:hint="eastAsia"/>
        </w:rPr>
        <w:t>s</w:t>
      </w:r>
      <w:r>
        <w:t>ize</w:t>
      </w:r>
      <w:r>
        <w:rPr>
          <w:rFonts w:hint="eastAsia"/>
        </w:rPr>
        <w:t>与累积异常收益率</w:t>
      </w:r>
      <w:r>
        <w:rPr>
          <w:rFonts w:hint="eastAsia"/>
        </w:rPr>
        <w:t>c</w:t>
      </w:r>
      <w:r>
        <w:t>ar</w:t>
      </w:r>
      <w:r>
        <w:rPr>
          <w:rFonts w:hint="eastAsia"/>
        </w:rPr>
        <w:t>呈负向相关关系，相关系数为</w:t>
      </w:r>
      <w:r>
        <w:rPr>
          <w:rFonts w:hint="eastAsia"/>
        </w:rPr>
        <w:t>-</w:t>
      </w:r>
      <w:r>
        <w:t>0.069</w:t>
      </w:r>
      <w:r>
        <w:rPr>
          <w:rFonts w:hint="eastAsia"/>
        </w:rPr>
        <w:t>，与以往研究结果想符合，企业规模越大的公司，抵抗风险的能力越强，因而面对独立董事辞职此类的突发事件，其价值变动即累积异常收益率可能会更小。</w:t>
      </w:r>
    </w:p>
    <w:p w14:paraId="6858109F" w14:textId="77777777" w:rsidR="00CA6514" w:rsidRDefault="00CA6514" w:rsidP="00CA6514">
      <w:pPr>
        <w:ind w:firstLineChars="200" w:firstLine="480"/>
      </w:pPr>
      <w:r>
        <w:rPr>
          <w:rFonts w:hint="eastAsia"/>
        </w:rPr>
        <w:t>第</w:t>
      </w:r>
      <w:r>
        <w:t>5</w:t>
      </w:r>
      <w:r>
        <w:rPr>
          <w:rFonts w:hint="eastAsia"/>
        </w:rPr>
        <w:t>行第</w:t>
      </w:r>
      <w:r>
        <w:rPr>
          <w:rFonts w:hint="eastAsia"/>
        </w:rPr>
        <w:t>4</w:t>
      </w:r>
      <w:r>
        <w:rPr>
          <w:rFonts w:hint="eastAsia"/>
        </w:rPr>
        <w:t>列表明，企业规模</w:t>
      </w:r>
      <w:r>
        <w:t>size</w:t>
      </w:r>
      <w:r>
        <w:rPr>
          <w:rFonts w:hint="eastAsia"/>
        </w:rPr>
        <w:t>与托宾</w:t>
      </w:r>
      <w:r>
        <w:rPr>
          <w:rFonts w:hint="eastAsia"/>
        </w:rPr>
        <w:t>Q</w:t>
      </w:r>
      <w:r>
        <w:rPr>
          <w:rFonts w:hint="eastAsia"/>
        </w:rPr>
        <w:t>值呈负向相关关系，且相关系数为</w:t>
      </w:r>
      <w:r>
        <w:rPr>
          <w:rFonts w:hint="eastAsia"/>
        </w:rPr>
        <w:t>-</w:t>
      </w:r>
      <w:r>
        <w:t>0.253</w:t>
      </w:r>
      <w:r>
        <w:rPr>
          <w:rFonts w:hint="eastAsia"/>
        </w:rPr>
        <w:t>，这与托宾</w:t>
      </w:r>
      <w:r>
        <w:rPr>
          <w:rFonts w:hint="eastAsia"/>
        </w:rPr>
        <w:t>Q</w:t>
      </w:r>
      <w:r>
        <w:rPr>
          <w:rFonts w:hint="eastAsia"/>
        </w:rPr>
        <w:t>值的计算公式相一致，根据公式，托宾</w:t>
      </w:r>
      <w:r>
        <w:rPr>
          <w:rFonts w:hint="eastAsia"/>
        </w:rPr>
        <w:t>Q</w:t>
      </w:r>
      <w:r>
        <w:rPr>
          <w:rFonts w:hint="eastAsia"/>
        </w:rPr>
        <w:t>值等于市值与有形净资产总额，因而企业规模</w:t>
      </w:r>
      <w:r>
        <w:rPr>
          <w:rFonts w:hint="eastAsia"/>
        </w:rPr>
        <w:t>s</w:t>
      </w:r>
      <w:r>
        <w:t>ize</w:t>
      </w:r>
      <w:r>
        <w:rPr>
          <w:rFonts w:hint="eastAsia"/>
        </w:rPr>
        <w:t>越大，托宾</w:t>
      </w:r>
      <w:r>
        <w:rPr>
          <w:rFonts w:hint="eastAsia"/>
        </w:rPr>
        <w:t>Q</w:t>
      </w:r>
      <w:r>
        <w:rPr>
          <w:rFonts w:hint="eastAsia"/>
        </w:rPr>
        <w:t>值相应就会越小。</w:t>
      </w:r>
    </w:p>
    <w:p w14:paraId="64FC2C3C" w14:textId="4E1B8073" w:rsidR="00CA6514" w:rsidRPr="00CA6514" w:rsidRDefault="00CA6514" w:rsidP="00CA6514">
      <w:pPr>
        <w:ind w:firstLineChars="200" w:firstLine="480"/>
      </w:pPr>
      <w:r>
        <w:rPr>
          <w:rFonts w:hint="eastAsia"/>
        </w:rPr>
        <w:t>第</w:t>
      </w:r>
      <w:r>
        <w:t>6</w:t>
      </w:r>
      <w:r>
        <w:rPr>
          <w:rFonts w:hint="eastAsia"/>
        </w:rPr>
        <w:t>行第</w:t>
      </w:r>
      <w:r>
        <w:rPr>
          <w:rFonts w:hint="eastAsia"/>
        </w:rPr>
        <w:t>2</w:t>
      </w:r>
      <w:r>
        <w:rPr>
          <w:rFonts w:hint="eastAsia"/>
        </w:rPr>
        <w:t>列可以看出资产负债率</w:t>
      </w:r>
      <w:r>
        <w:rPr>
          <w:rFonts w:hint="eastAsia"/>
        </w:rPr>
        <w:t>l</w:t>
      </w:r>
      <w:r>
        <w:t>everage</w:t>
      </w:r>
      <w:r>
        <w:rPr>
          <w:rFonts w:hint="eastAsia"/>
        </w:rPr>
        <w:t>与累积异常收益率</w:t>
      </w:r>
      <w:r>
        <w:rPr>
          <w:rFonts w:hint="eastAsia"/>
        </w:rPr>
        <w:t>c</w:t>
      </w:r>
      <w:r>
        <w:t>ar</w:t>
      </w:r>
      <w:r>
        <w:rPr>
          <w:rFonts w:hint="eastAsia"/>
        </w:rPr>
        <w:t>呈正向相关关系，相关系数为</w:t>
      </w:r>
      <w:r>
        <w:rPr>
          <w:rFonts w:hint="eastAsia"/>
        </w:rPr>
        <w:t>0</w:t>
      </w:r>
      <w:r>
        <w:t>.002</w:t>
      </w:r>
      <w:r>
        <w:rPr>
          <w:rFonts w:hint="eastAsia"/>
        </w:rPr>
        <w:t>。第</w:t>
      </w:r>
      <w:r>
        <w:t>7</w:t>
      </w:r>
      <w:r>
        <w:rPr>
          <w:rFonts w:hint="eastAsia"/>
        </w:rPr>
        <w:t>行第</w:t>
      </w:r>
      <w:r>
        <w:rPr>
          <w:rFonts w:hint="eastAsia"/>
        </w:rPr>
        <w:t>2</w:t>
      </w:r>
      <w:r>
        <w:rPr>
          <w:rFonts w:hint="eastAsia"/>
        </w:rPr>
        <w:t>列累积异常收益率与每股负债呈负向关系，相关系数为</w:t>
      </w:r>
      <w:r>
        <w:rPr>
          <w:rFonts w:hint="eastAsia"/>
        </w:rPr>
        <w:t>-</w:t>
      </w:r>
      <w:r>
        <w:t>0.34.</w:t>
      </w:r>
    </w:p>
    <w:p w14:paraId="4E0A39F0" w14:textId="0351C434" w:rsidR="007212F1" w:rsidRDefault="007212F1" w:rsidP="007212F1">
      <w:pPr>
        <w:pStyle w:val="af4"/>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B66801">
        <w:fldChar w:fldCharType="begin"/>
      </w:r>
      <w:r w:rsidR="00B66801">
        <w:instrText xml:space="preserve"> </w:instrText>
      </w:r>
      <w:r w:rsidR="00B66801">
        <w:rPr>
          <w:rFonts w:hint="eastAsia"/>
        </w:rPr>
        <w:instrText xml:space="preserve">SEQ </w:instrText>
      </w:r>
      <w:r w:rsidR="00B66801">
        <w:rPr>
          <w:rFonts w:hint="eastAsia"/>
        </w:rPr>
        <w:instrText>表</w:instrText>
      </w:r>
      <w:r w:rsidR="00B66801">
        <w:rPr>
          <w:rFonts w:hint="eastAsia"/>
        </w:rPr>
        <w:instrText xml:space="preserve"> \* ARABIC \s 1</w:instrText>
      </w:r>
      <w:r w:rsidR="00B66801">
        <w:instrText xml:space="preserve"> </w:instrText>
      </w:r>
      <w:r w:rsidR="00B66801">
        <w:fldChar w:fldCharType="separate"/>
      </w:r>
      <w:r w:rsidR="00B545B4">
        <w:rPr>
          <w:noProof/>
        </w:rPr>
        <w:t>3</w:t>
      </w:r>
      <w:r w:rsidR="00B66801">
        <w:fldChar w:fldCharType="end"/>
      </w:r>
      <w:r>
        <w:rPr>
          <w:rFonts w:hint="eastAsia"/>
        </w:rPr>
        <w:t>相关性分析</w:t>
      </w:r>
      <w:r w:rsidR="00C56A8D">
        <w:rPr>
          <w:rFonts w:hint="eastAsia"/>
        </w:rPr>
        <w:t>1</w:t>
      </w:r>
    </w:p>
    <w:tbl>
      <w:tblPr>
        <w:tblW w:w="5000" w:type="pct"/>
        <w:tblLook w:val="0000" w:firstRow="0" w:lastRow="0" w:firstColumn="0" w:lastColumn="0" w:noHBand="0" w:noVBand="0"/>
      </w:tblPr>
      <w:tblGrid>
        <w:gridCol w:w="1592"/>
        <w:gridCol w:w="999"/>
        <w:gridCol w:w="998"/>
        <w:gridCol w:w="998"/>
        <w:gridCol w:w="998"/>
        <w:gridCol w:w="907"/>
        <w:gridCol w:w="907"/>
        <w:gridCol w:w="907"/>
      </w:tblGrid>
      <w:tr w:rsidR="00013339" w14:paraId="63705802" w14:textId="77777777" w:rsidTr="00BF6940">
        <w:tc>
          <w:tcPr>
            <w:tcW w:w="958" w:type="pct"/>
            <w:tcBorders>
              <w:top w:val="single" w:sz="12" w:space="0" w:color="auto"/>
              <w:left w:val="nil"/>
              <w:bottom w:val="single" w:sz="6" w:space="0" w:color="auto"/>
              <w:right w:val="nil"/>
            </w:tcBorders>
          </w:tcPr>
          <w:p w14:paraId="4C2CC08D" w14:textId="77777777" w:rsidR="00013339" w:rsidRDefault="00013339" w:rsidP="00FD382C">
            <w:pPr>
              <w:pStyle w:val="af2"/>
            </w:pPr>
            <w:r>
              <w:t xml:space="preserve">  Variables</w:t>
            </w:r>
          </w:p>
        </w:tc>
        <w:tc>
          <w:tcPr>
            <w:tcW w:w="601" w:type="pct"/>
            <w:tcBorders>
              <w:top w:val="single" w:sz="12" w:space="0" w:color="auto"/>
              <w:left w:val="nil"/>
              <w:bottom w:val="single" w:sz="6" w:space="0" w:color="auto"/>
              <w:right w:val="nil"/>
            </w:tcBorders>
          </w:tcPr>
          <w:p w14:paraId="6BE3BAAF" w14:textId="77777777" w:rsidR="00013339" w:rsidRDefault="00013339" w:rsidP="00FD382C">
            <w:pPr>
              <w:pStyle w:val="af2"/>
            </w:pPr>
            <w:r>
              <w:t xml:space="preserve">  (1)</w:t>
            </w:r>
          </w:p>
        </w:tc>
        <w:tc>
          <w:tcPr>
            <w:tcW w:w="601" w:type="pct"/>
            <w:tcBorders>
              <w:top w:val="single" w:sz="12" w:space="0" w:color="auto"/>
              <w:left w:val="nil"/>
              <w:bottom w:val="single" w:sz="6" w:space="0" w:color="auto"/>
              <w:right w:val="nil"/>
            </w:tcBorders>
          </w:tcPr>
          <w:p w14:paraId="1A7DC722" w14:textId="77777777" w:rsidR="00013339" w:rsidRDefault="00013339" w:rsidP="00FD382C">
            <w:pPr>
              <w:pStyle w:val="af2"/>
            </w:pPr>
            <w:r>
              <w:t xml:space="preserve">  (2)</w:t>
            </w:r>
          </w:p>
        </w:tc>
        <w:tc>
          <w:tcPr>
            <w:tcW w:w="601" w:type="pct"/>
            <w:tcBorders>
              <w:top w:val="single" w:sz="12" w:space="0" w:color="auto"/>
              <w:left w:val="nil"/>
              <w:bottom w:val="single" w:sz="6" w:space="0" w:color="auto"/>
              <w:right w:val="nil"/>
            </w:tcBorders>
          </w:tcPr>
          <w:p w14:paraId="664D2B0E" w14:textId="77777777" w:rsidR="00013339" w:rsidRDefault="00013339" w:rsidP="00FD382C">
            <w:pPr>
              <w:pStyle w:val="af2"/>
            </w:pPr>
            <w:r>
              <w:t xml:space="preserve">  (3)</w:t>
            </w:r>
          </w:p>
        </w:tc>
        <w:tc>
          <w:tcPr>
            <w:tcW w:w="601" w:type="pct"/>
            <w:tcBorders>
              <w:top w:val="single" w:sz="12" w:space="0" w:color="auto"/>
              <w:left w:val="nil"/>
              <w:bottom w:val="single" w:sz="6" w:space="0" w:color="auto"/>
              <w:right w:val="nil"/>
            </w:tcBorders>
          </w:tcPr>
          <w:p w14:paraId="3979B1C5" w14:textId="77777777" w:rsidR="00013339" w:rsidRDefault="00013339" w:rsidP="00FD382C">
            <w:pPr>
              <w:pStyle w:val="af2"/>
            </w:pPr>
            <w:r>
              <w:t xml:space="preserve">  (4)</w:t>
            </w:r>
          </w:p>
        </w:tc>
        <w:tc>
          <w:tcPr>
            <w:tcW w:w="546" w:type="pct"/>
            <w:tcBorders>
              <w:top w:val="single" w:sz="12" w:space="0" w:color="auto"/>
              <w:left w:val="nil"/>
              <w:bottom w:val="single" w:sz="6" w:space="0" w:color="auto"/>
              <w:right w:val="nil"/>
            </w:tcBorders>
          </w:tcPr>
          <w:p w14:paraId="0CA5ABCF" w14:textId="77777777" w:rsidR="00013339" w:rsidRDefault="00013339" w:rsidP="00FD382C">
            <w:pPr>
              <w:pStyle w:val="af2"/>
            </w:pPr>
            <w:r>
              <w:t xml:space="preserve">  (5)</w:t>
            </w:r>
          </w:p>
        </w:tc>
        <w:tc>
          <w:tcPr>
            <w:tcW w:w="546" w:type="pct"/>
            <w:tcBorders>
              <w:top w:val="single" w:sz="12" w:space="0" w:color="auto"/>
              <w:left w:val="nil"/>
              <w:bottom w:val="single" w:sz="6" w:space="0" w:color="auto"/>
              <w:right w:val="nil"/>
            </w:tcBorders>
          </w:tcPr>
          <w:p w14:paraId="4ABCE47D" w14:textId="77777777" w:rsidR="00013339" w:rsidRDefault="00013339" w:rsidP="00FD382C">
            <w:pPr>
              <w:pStyle w:val="af2"/>
            </w:pPr>
            <w:r>
              <w:t xml:space="preserve">  (6)</w:t>
            </w:r>
          </w:p>
        </w:tc>
        <w:tc>
          <w:tcPr>
            <w:tcW w:w="546" w:type="pct"/>
            <w:tcBorders>
              <w:top w:val="single" w:sz="12" w:space="0" w:color="auto"/>
              <w:left w:val="nil"/>
              <w:bottom w:val="single" w:sz="6" w:space="0" w:color="auto"/>
              <w:right w:val="nil"/>
            </w:tcBorders>
          </w:tcPr>
          <w:p w14:paraId="4B966368" w14:textId="77777777" w:rsidR="00013339" w:rsidRDefault="00013339" w:rsidP="00FD382C">
            <w:pPr>
              <w:pStyle w:val="af2"/>
            </w:pPr>
            <w:r>
              <w:t xml:space="preserve">  (7)</w:t>
            </w:r>
          </w:p>
        </w:tc>
      </w:tr>
      <w:tr w:rsidR="00013339" w14:paraId="1D775D2B" w14:textId="77777777" w:rsidTr="00FD382C">
        <w:trPr>
          <w:gridAfter w:val="6"/>
          <w:wAfter w:w="3440" w:type="pct"/>
        </w:trPr>
        <w:tc>
          <w:tcPr>
            <w:tcW w:w="958" w:type="pct"/>
            <w:tcBorders>
              <w:top w:val="single" w:sz="6" w:space="0" w:color="auto"/>
              <w:left w:val="nil"/>
              <w:bottom w:val="nil"/>
              <w:right w:val="nil"/>
            </w:tcBorders>
          </w:tcPr>
          <w:p w14:paraId="67ED2CA6" w14:textId="77777777" w:rsidR="00013339" w:rsidRDefault="00013339" w:rsidP="00E91B39">
            <w:pPr>
              <w:pStyle w:val="af2"/>
              <w:jc w:val="left"/>
            </w:pPr>
            <w:r>
              <w:t xml:space="preserve"> (1) car</w:t>
            </w:r>
          </w:p>
        </w:tc>
        <w:tc>
          <w:tcPr>
            <w:tcW w:w="601" w:type="pct"/>
            <w:tcBorders>
              <w:top w:val="single" w:sz="6" w:space="0" w:color="auto"/>
              <w:left w:val="nil"/>
              <w:bottom w:val="nil"/>
              <w:right w:val="nil"/>
            </w:tcBorders>
          </w:tcPr>
          <w:p w14:paraId="10D6DA0A" w14:textId="77777777" w:rsidR="00013339" w:rsidRDefault="00013339" w:rsidP="00FD382C">
            <w:pPr>
              <w:pStyle w:val="af2"/>
            </w:pPr>
            <w:r>
              <w:t>1.000</w:t>
            </w:r>
          </w:p>
        </w:tc>
      </w:tr>
      <w:tr w:rsidR="00013339" w14:paraId="4B62F198" w14:textId="77777777" w:rsidTr="00FD382C">
        <w:trPr>
          <w:gridAfter w:val="5"/>
          <w:wAfter w:w="2840" w:type="pct"/>
        </w:trPr>
        <w:tc>
          <w:tcPr>
            <w:tcW w:w="958" w:type="pct"/>
            <w:tcBorders>
              <w:top w:val="nil"/>
              <w:left w:val="nil"/>
              <w:bottom w:val="nil"/>
              <w:right w:val="nil"/>
            </w:tcBorders>
          </w:tcPr>
          <w:p w14:paraId="073E028E" w14:textId="77777777" w:rsidR="00013339" w:rsidRDefault="00013339" w:rsidP="00E91B39">
            <w:pPr>
              <w:pStyle w:val="af2"/>
              <w:jc w:val="left"/>
            </w:pPr>
            <w:r>
              <w:t xml:space="preserve"> (2) degree</w:t>
            </w:r>
          </w:p>
        </w:tc>
        <w:tc>
          <w:tcPr>
            <w:tcW w:w="601" w:type="pct"/>
            <w:tcBorders>
              <w:top w:val="nil"/>
              <w:left w:val="nil"/>
              <w:bottom w:val="nil"/>
              <w:right w:val="nil"/>
            </w:tcBorders>
          </w:tcPr>
          <w:p w14:paraId="70F4C372" w14:textId="77777777" w:rsidR="00013339" w:rsidRDefault="00013339" w:rsidP="00FD382C">
            <w:pPr>
              <w:pStyle w:val="af2"/>
            </w:pPr>
            <w:r>
              <w:t>0.040</w:t>
            </w:r>
          </w:p>
        </w:tc>
        <w:tc>
          <w:tcPr>
            <w:tcW w:w="601" w:type="pct"/>
            <w:tcBorders>
              <w:top w:val="nil"/>
              <w:left w:val="nil"/>
              <w:bottom w:val="nil"/>
              <w:right w:val="nil"/>
            </w:tcBorders>
          </w:tcPr>
          <w:p w14:paraId="78FADFA7" w14:textId="77777777" w:rsidR="00013339" w:rsidRDefault="00013339" w:rsidP="00FD382C">
            <w:pPr>
              <w:pStyle w:val="af2"/>
            </w:pPr>
            <w:r>
              <w:t>1.000</w:t>
            </w:r>
          </w:p>
        </w:tc>
      </w:tr>
      <w:tr w:rsidR="00013339" w14:paraId="1D120623" w14:textId="77777777" w:rsidTr="00FD382C">
        <w:trPr>
          <w:gridAfter w:val="4"/>
          <w:wAfter w:w="2239" w:type="pct"/>
        </w:trPr>
        <w:tc>
          <w:tcPr>
            <w:tcW w:w="958" w:type="pct"/>
            <w:tcBorders>
              <w:top w:val="nil"/>
              <w:left w:val="nil"/>
              <w:bottom w:val="nil"/>
              <w:right w:val="nil"/>
            </w:tcBorders>
          </w:tcPr>
          <w:p w14:paraId="2DDB2BA9" w14:textId="77777777" w:rsidR="00013339" w:rsidRDefault="00013339" w:rsidP="00E91B39">
            <w:pPr>
              <w:pStyle w:val="af2"/>
              <w:jc w:val="left"/>
            </w:pPr>
            <w:r>
              <w:t xml:space="preserve"> (3) tenure</w:t>
            </w:r>
          </w:p>
        </w:tc>
        <w:tc>
          <w:tcPr>
            <w:tcW w:w="601" w:type="pct"/>
            <w:tcBorders>
              <w:top w:val="nil"/>
              <w:left w:val="nil"/>
              <w:bottom w:val="nil"/>
              <w:right w:val="nil"/>
            </w:tcBorders>
          </w:tcPr>
          <w:p w14:paraId="4C26CB42" w14:textId="77777777" w:rsidR="00013339" w:rsidRDefault="00013339" w:rsidP="00FD382C">
            <w:pPr>
              <w:pStyle w:val="af2"/>
            </w:pPr>
            <w:r>
              <w:t>0.294</w:t>
            </w:r>
          </w:p>
        </w:tc>
        <w:tc>
          <w:tcPr>
            <w:tcW w:w="601" w:type="pct"/>
            <w:tcBorders>
              <w:top w:val="nil"/>
              <w:left w:val="nil"/>
              <w:bottom w:val="nil"/>
              <w:right w:val="nil"/>
            </w:tcBorders>
          </w:tcPr>
          <w:p w14:paraId="07508D27" w14:textId="77777777" w:rsidR="00013339" w:rsidRDefault="00013339" w:rsidP="00FD382C">
            <w:pPr>
              <w:pStyle w:val="af2"/>
            </w:pPr>
            <w:r>
              <w:t>-0.174</w:t>
            </w:r>
          </w:p>
        </w:tc>
        <w:tc>
          <w:tcPr>
            <w:tcW w:w="601" w:type="pct"/>
            <w:tcBorders>
              <w:top w:val="nil"/>
              <w:left w:val="nil"/>
              <w:bottom w:val="nil"/>
              <w:right w:val="nil"/>
            </w:tcBorders>
          </w:tcPr>
          <w:p w14:paraId="3843D368" w14:textId="77777777" w:rsidR="00013339" w:rsidRDefault="00013339" w:rsidP="00FD382C">
            <w:pPr>
              <w:pStyle w:val="af2"/>
            </w:pPr>
            <w:r>
              <w:t>1.000</w:t>
            </w:r>
          </w:p>
        </w:tc>
      </w:tr>
      <w:tr w:rsidR="00013339" w14:paraId="63BE4BF1" w14:textId="77777777" w:rsidTr="00FD382C">
        <w:trPr>
          <w:gridAfter w:val="3"/>
          <w:wAfter w:w="1638" w:type="pct"/>
        </w:trPr>
        <w:tc>
          <w:tcPr>
            <w:tcW w:w="958" w:type="pct"/>
            <w:tcBorders>
              <w:top w:val="nil"/>
              <w:left w:val="nil"/>
              <w:bottom w:val="nil"/>
              <w:right w:val="nil"/>
            </w:tcBorders>
          </w:tcPr>
          <w:p w14:paraId="57823FE2" w14:textId="77777777" w:rsidR="00013339" w:rsidRDefault="00013339" w:rsidP="00E91B39">
            <w:pPr>
              <w:pStyle w:val="af2"/>
              <w:jc w:val="left"/>
            </w:pPr>
            <w:r>
              <w:t xml:space="preserve"> (4) </w:t>
            </w:r>
            <w:proofErr w:type="spellStart"/>
            <w:r>
              <w:t>tbq</w:t>
            </w:r>
            <w:proofErr w:type="spellEnd"/>
          </w:p>
        </w:tc>
        <w:tc>
          <w:tcPr>
            <w:tcW w:w="601" w:type="pct"/>
            <w:tcBorders>
              <w:top w:val="nil"/>
              <w:left w:val="nil"/>
              <w:bottom w:val="nil"/>
              <w:right w:val="nil"/>
            </w:tcBorders>
          </w:tcPr>
          <w:p w14:paraId="3AD9B2C5" w14:textId="77777777" w:rsidR="00013339" w:rsidRDefault="00013339" w:rsidP="00FD382C">
            <w:pPr>
              <w:pStyle w:val="af2"/>
            </w:pPr>
            <w:r>
              <w:t>-0.006</w:t>
            </w:r>
          </w:p>
        </w:tc>
        <w:tc>
          <w:tcPr>
            <w:tcW w:w="601" w:type="pct"/>
            <w:tcBorders>
              <w:top w:val="nil"/>
              <w:left w:val="nil"/>
              <w:bottom w:val="nil"/>
              <w:right w:val="nil"/>
            </w:tcBorders>
          </w:tcPr>
          <w:p w14:paraId="4CABF819" w14:textId="77777777" w:rsidR="00013339" w:rsidRDefault="00013339" w:rsidP="00FD382C">
            <w:pPr>
              <w:pStyle w:val="af2"/>
            </w:pPr>
            <w:r>
              <w:t>0.123</w:t>
            </w:r>
          </w:p>
        </w:tc>
        <w:tc>
          <w:tcPr>
            <w:tcW w:w="601" w:type="pct"/>
            <w:tcBorders>
              <w:top w:val="nil"/>
              <w:left w:val="nil"/>
              <w:bottom w:val="nil"/>
              <w:right w:val="nil"/>
            </w:tcBorders>
          </w:tcPr>
          <w:p w14:paraId="7C59AA53" w14:textId="77777777" w:rsidR="00013339" w:rsidRDefault="00013339" w:rsidP="00FD382C">
            <w:pPr>
              <w:pStyle w:val="af2"/>
            </w:pPr>
            <w:r>
              <w:t>-0.041</w:t>
            </w:r>
          </w:p>
        </w:tc>
        <w:tc>
          <w:tcPr>
            <w:tcW w:w="601" w:type="pct"/>
            <w:tcBorders>
              <w:top w:val="nil"/>
              <w:left w:val="nil"/>
              <w:bottom w:val="nil"/>
              <w:right w:val="nil"/>
            </w:tcBorders>
          </w:tcPr>
          <w:p w14:paraId="16E82ACA" w14:textId="77777777" w:rsidR="00013339" w:rsidRDefault="00013339" w:rsidP="00FD382C">
            <w:pPr>
              <w:pStyle w:val="af2"/>
            </w:pPr>
            <w:r>
              <w:t>1.000</w:t>
            </w:r>
          </w:p>
        </w:tc>
      </w:tr>
      <w:tr w:rsidR="00013339" w14:paraId="40AAE7EC" w14:textId="77777777" w:rsidTr="00FD382C">
        <w:trPr>
          <w:gridAfter w:val="2"/>
          <w:wAfter w:w="1092" w:type="pct"/>
        </w:trPr>
        <w:tc>
          <w:tcPr>
            <w:tcW w:w="958" w:type="pct"/>
            <w:tcBorders>
              <w:top w:val="nil"/>
              <w:left w:val="nil"/>
              <w:bottom w:val="nil"/>
              <w:right w:val="nil"/>
            </w:tcBorders>
          </w:tcPr>
          <w:p w14:paraId="16743E1C" w14:textId="77777777" w:rsidR="00013339" w:rsidRDefault="00013339" w:rsidP="00E91B39">
            <w:pPr>
              <w:pStyle w:val="af2"/>
              <w:jc w:val="left"/>
            </w:pPr>
            <w:r>
              <w:t xml:space="preserve"> (5) size</w:t>
            </w:r>
          </w:p>
        </w:tc>
        <w:tc>
          <w:tcPr>
            <w:tcW w:w="601" w:type="pct"/>
            <w:tcBorders>
              <w:top w:val="nil"/>
              <w:left w:val="nil"/>
              <w:bottom w:val="nil"/>
              <w:right w:val="nil"/>
            </w:tcBorders>
          </w:tcPr>
          <w:p w14:paraId="047F7EAF" w14:textId="77777777" w:rsidR="00013339" w:rsidRDefault="00013339" w:rsidP="00FD382C">
            <w:pPr>
              <w:pStyle w:val="af2"/>
            </w:pPr>
            <w:r>
              <w:t>-0.069</w:t>
            </w:r>
          </w:p>
        </w:tc>
        <w:tc>
          <w:tcPr>
            <w:tcW w:w="601" w:type="pct"/>
            <w:tcBorders>
              <w:top w:val="nil"/>
              <w:left w:val="nil"/>
              <w:bottom w:val="nil"/>
              <w:right w:val="nil"/>
            </w:tcBorders>
          </w:tcPr>
          <w:p w14:paraId="2A2BB021" w14:textId="77777777" w:rsidR="00013339" w:rsidRDefault="00013339" w:rsidP="00FD382C">
            <w:pPr>
              <w:pStyle w:val="af2"/>
            </w:pPr>
            <w:r>
              <w:t>0.006</w:t>
            </w:r>
          </w:p>
        </w:tc>
        <w:tc>
          <w:tcPr>
            <w:tcW w:w="601" w:type="pct"/>
            <w:tcBorders>
              <w:top w:val="nil"/>
              <w:left w:val="nil"/>
              <w:bottom w:val="nil"/>
              <w:right w:val="nil"/>
            </w:tcBorders>
          </w:tcPr>
          <w:p w14:paraId="6910B070" w14:textId="77777777" w:rsidR="00013339" w:rsidRDefault="00013339" w:rsidP="00FD382C">
            <w:pPr>
              <w:pStyle w:val="af2"/>
            </w:pPr>
            <w:r>
              <w:t>-0.059</w:t>
            </w:r>
          </w:p>
        </w:tc>
        <w:tc>
          <w:tcPr>
            <w:tcW w:w="601" w:type="pct"/>
            <w:tcBorders>
              <w:top w:val="nil"/>
              <w:left w:val="nil"/>
              <w:bottom w:val="nil"/>
              <w:right w:val="nil"/>
            </w:tcBorders>
          </w:tcPr>
          <w:p w14:paraId="404D9958" w14:textId="77777777" w:rsidR="00013339" w:rsidRDefault="00013339" w:rsidP="00FD382C">
            <w:pPr>
              <w:pStyle w:val="af2"/>
            </w:pPr>
            <w:r>
              <w:t>-0.253</w:t>
            </w:r>
          </w:p>
        </w:tc>
        <w:tc>
          <w:tcPr>
            <w:tcW w:w="546" w:type="pct"/>
            <w:tcBorders>
              <w:top w:val="nil"/>
              <w:left w:val="nil"/>
              <w:bottom w:val="nil"/>
              <w:right w:val="nil"/>
            </w:tcBorders>
          </w:tcPr>
          <w:p w14:paraId="7C00AAF1" w14:textId="77777777" w:rsidR="00013339" w:rsidRDefault="00013339" w:rsidP="00FD382C">
            <w:pPr>
              <w:pStyle w:val="af2"/>
            </w:pPr>
            <w:r>
              <w:t>1.000</w:t>
            </w:r>
          </w:p>
        </w:tc>
      </w:tr>
      <w:tr w:rsidR="00013339" w14:paraId="57F623E9" w14:textId="77777777" w:rsidTr="00FD382C">
        <w:trPr>
          <w:gridAfter w:val="1"/>
          <w:wAfter w:w="546" w:type="pct"/>
        </w:trPr>
        <w:tc>
          <w:tcPr>
            <w:tcW w:w="958" w:type="pct"/>
            <w:tcBorders>
              <w:top w:val="nil"/>
              <w:left w:val="nil"/>
              <w:bottom w:val="nil"/>
              <w:right w:val="nil"/>
            </w:tcBorders>
          </w:tcPr>
          <w:p w14:paraId="779012AF" w14:textId="77777777" w:rsidR="00013339" w:rsidRDefault="00013339" w:rsidP="00E91B39">
            <w:pPr>
              <w:pStyle w:val="af2"/>
              <w:jc w:val="left"/>
            </w:pPr>
            <w:r>
              <w:t xml:space="preserve"> (6) lev</w:t>
            </w:r>
          </w:p>
        </w:tc>
        <w:tc>
          <w:tcPr>
            <w:tcW w:w="601" w:type="pct"/>
            <w:tcBorders>
              <w:top w:val="nil"/>
              <w:left w:val="nil"/>
              <w:bottom w:val="nil"/>
              <w:right w:val="nil"/>
            </w:tcBorders>
          </w:tcPr>
          <w:p w14:paraId="6D29CE7D" w14:textId="77777777" w:rsidR="00013339" w:rsidRDefault="00013339" w:rsidP="00FD382C">
            <w:pPr>
              <w:pStyle w:val="af2"/>
            </w:pPr>
            <w:r>
              <w:t>0.002</w:t>
            </w:r>
          </w:p>
        </w:tc>
        <w:tc>
          <w:tcPr>
            <w:tcW w:w="601" w:type="pct"/>
            <w:tcBorders>
              <w:top w:val="nil"/>
              <w:left w:val="nil"/>
              <w:bottom w:val="nil"/>
              <w:right w:val="nil"/>
            </w:tcBorders>
          </w:tcPr>
          <w:p w14:paraId="77E3889E" w14:textId="77777777" w:rsidR="00013339" w:rsidRDefault="00013339" w:rsidP="00FD382C">
            <w:pPr>
              <w:pStyle w:val="af2"/>
            </w:pPr>
            <w:r>
              <w:t>-0.052</w:t>
            </w:r>
          </w:p>
        </w:tc>
        <w:tc>
          <w:tcPr>
            <w:tcW w:w="601" w:type="pct"/>
            <w:tcBorders>
              <w:top w:val="nil"/>
              <w:left w:val="nil"/>
              <w:bottom w:val="nil"/>
              <w:right w:val="nil"/>
            </w:tcBorders>
          </w:tcPr>
          <w:p w14:paraId="6EFD154C" w14:textId="77777777" w:rsidR="00013339" w:rsidRDefault="00013339" w:rsidP="00FD382C">
            <w:pPr>
              <w:pStyle w:val="af2"/>
            </w:pPr>
            <w:r>
              <w:t>-0.039</w:t>
            </w:r>
          </w:p>
        </w:tc>
        <w:tc>
          <w:tcPr>
            <w:tcW w:w="601" w:type="pct"/>
            <w:tcBorders>
              <w:top w:val="nil"/>
              <w:left w:val="nil"/>
              <w:bottom w:val="nil"/>
              <w:right w:val="nil"/>
            </w:tcBorders>
          </w:tcPr>
          <w:p w14:paraId="7E270735" w14:textId="77777777" w:rsidR="00013339" w:rsidRDefault="00013339" w:rsidP="00FD382C">
            <w:pPr>
              <w:pStyle w:val="af2"/>
            </w:pPr>
            <w:r>
              <w:t>-0.133</w:t>
            </w:r>
          </w:p>
        </w:tc>
        <w:tc>
          <w:tcPr>
            <w:tcW w:w="546" w:type="pct"/>
            <w:tcBorders>
              <w:top w:val="nil"/>
              <w:left w:val="nil"/>
              <w:bottom w:val="nil"/>
              <w:right w:val="nil"/>
            </w:tcBorders>
          </w:tcPr>
          <w:p w14:paraId="3A4C6D2C" w14:textId="77777777" w:rsidR="00013339" w:rsidRDefault="00013339" w:rsidP="00FD382C">
            <w:pPr>
              <w:pStyle w:val="af2"/>
            </w:pPr>
            <w:r>
              <w:t>0.349</w:t>
            </w:r>
          </w:p>
        </w:tc>
        <w:tc>
          <w:tcPr>
            <w:tcW w:w="546" w:type="pct"/>
            <w:tcBorders>
              <w:top w:val="nil"/>
              <w:left w:val="nil"/>
              <w:bottom w:val="nil"/>
              <w:right w:val="nil"/>
            </w:tcBorders>
          </w:tcPr>
          <w:p w14:paraId="210500A3" w14:textId="77777777" w:rsidR="00013339" w:rsidRDefault="00013339" w:rsidP="00FD382C">
            <w:pPr>
              <w:pStyle w:val="af2"/>
            </w:pPr>
            <w:r>
              <w:t>1.000</w:t>
            </w:r>
          </w:p>
        </w:tc>
      </w:tr>
      <w:tr w:rsidR="00013339" w14:paraId="6861FE73" w14:textId="77777777" w:rsidTr="00BF6940">
        <w:tc>
          <w:tcPr>
            <w:tcW w:w="958" w:type="pct"/>
            <w:tcBorders>
              <w:top w:val="nil"/>
              <w:left w:val="nil"/>
              <w:bottom w:val="single" w:sz="12" w:space="0" w:color="auto"/>
              <w:right w:val="nil"/>
            </w:tcBorders>
          </w:tcPr>
          <w:p w14:paraId="18CC926A" w14:textId="77777777" w:rsidR="00013339" w:rsidRDefault="00013339" w:rsidP="00E91B39">
            <w:pPr>
              <w:pStyle w:val="af2"/>
              <w:jc w:val="left"/>
            </w:pPr>
            <w:r>
              <w:t xml:space="preserve"> (7) bps</w:t>
            </w:r>
          </w:p>
        </w:tc>
        <w:tc>
          <w:tcPr>
            <w:tcW w:w="601" w:type="pct"/>
            <w:tcBorders>
              <w:top w:val="nil"/>
              <w:left w:val="nil"/>
              <w:bottom w:val="single" w:sz="12" w:space="0" w:color="auto"/>
              <w:right w:val="nil"/>
            </w:tcBorders>
          </w:tcPr>
          <w:p w14:paraId="7B19AE24" w14:textId="77777777" w:rsidR="00013339" w:rsidRDefault="00013339" w:rsidP="00FD382C">
            <w:pPr>
              <w:pStyle w:val="af2"/>
            </w:pPr>
            <w:r>
              <w:t>-0.340</w:t>
            </w:r>
          </w:p>
        </w:tc>
        <w:tc>
          <w:tcPr>
            <w:tcW w:w="601" w:type="pct"/>
            <w:tcBorders>
              <w:top w:val="nil"/>
              <w:left w:val="nil"/>
              <w:bottom w:val="single" w:sz="12" w:space="0" w:color="auto"/>
              <w:right w:val="nil"/>
            </w:tcBorders>
          </w:tcPr>
          <w:p w14:paraId="233A9FC7" w14:textId="77777777" w:rsidR="00013339" w:rsidRDefault="00013339" w:rsidP="00FD382C">
            <w:pPr>
              <w:pStyle w:val="af2"/>
            </w:pPr>
            <w:r>
              <w:t>0.193</w:t>
            </w:r>
          </w:p>
        </w:tc>
        <w:tc>
          <w:tcPr>
            <w:tcW w:w="601" w:type="pct"/>
            <w:tcBorders>
              <w:top w:val="nil"/>
              <w:left w:val="nil"/>
              <w:bottom w:val="single" w:sz="12" w:space="0" w:color="auto"/>
              <w:right w:val="nil"/>
            </w:tcBorders>
          </w:tcPr>
          <w:p w14:paraId="1B106325" w14:textId="77777777" w:rsidR="00013339" w:rsidRDefault="00013339" w:rsidP="00FD382C">
            <w:pPr>
              <w:pStyle w:val="af2"/>
            </w:pPr>
            <w:r>
              <w:t>-0.066</w:t>
            </w:r>
          </w:p>
        </w:tc>
        <w:tc>
          <w:tcPr>
            <w:tcW w:w="601" w:type="pct"/>
            <w:tcBorders>
              <w:top w:val="nil"/>
              <w:left w:val="nil"/>
              <w:bottom w:val="single" w:sz="12" w:space="0" w:color="auto"/>
              <w:right w:val="nil"/>
            </w:tcBorders>
          </w:tcPr>
          <w:p w14:paraId="5EB851B7" w14:textId="77777777" w:rsidR="00013339" w:rsidRDefault="00013339" w:rsidP="00FD382C">
            <w:pPr>
              <w:pStyle w:val="af2"/>
            </w:pPr>
            <w:r>
              <w:t>-0.087</w:t>
            </w:r>
          </w:p>
        </w:tc>
        <w:tc>
          <w:tcPr>
            <w:tcW w:w="546" w:type="pct"/>
            <w:tcBorders>
              <w:top w:val="nil"/>
              <w:left w:val="nil"/>
              <w:bottom w:val="single" w:sz="12" w:space="0" w:color="auto"/>
              <w:right w:val="nil"/>
            </w:tcBorders>
          </w:tcPr>
          <w:p w14:paraId="6023BA10" w14:textId="77777777" w:rsidR="00013339" w:rsidRDefault="00013339" w:rsidP="00FD382C">
            <w:pPr>
              <w:pStyle w:val="af2"/>
            </w:pPr>
            <w:r>
              <w:t>0.484</w:t>
            </w:r>
          </w:p>
        </w:tc>
        <w:tc>
          <w:tcPr>
            <w:tcW w:w="546" w:type="pct"/>
            <w:tcBorders>
              <w:top w:val="nil"/>
              <w:left w:val="nil"/>
              <w:bottom w:val="single" w:sz="12" w:space="0" w:color="auto"/>
              <w:right w:val="nil"/>
            </w:tcBorders>
          </w:tcPr>
          <w:p w14:paraId="55A5D6D2" w14:textId="77777777" w:rsidR="00013339" w:rsidRDefault="00013339" w:rsidP="00FD382C">
            <w:pPr>
              <w:pStyle w:val="af2"/>
            </w:pPr>
            <w:r>
              <w:t>0.576</w:t>
            </w:r>
          </w:p>
        </w:tc>
        <w:tc>
          <w:tcPr>
            <w:tcW w:w="546" w:type="pct"/>
            <w:tcBorders>
              <w:top w:val="nil"/>
              <w:left w:val="nil"/>
              <w:bottom w:val="single" w:sz="12" w:space="0" w:color="auto"/>
              <w:right w:val="nil"/>
            </w:tcBorders>
          </w:tcPr>
          <w:p w14:paraId="562F1C6A" w14:textId="77777777" w:rsidR="00013339" w:rsidRDefault="00013339" w:rsidP="00FD382C">
            <w:pPr>
              <w:pStyle w:val="af2"/>
            </w:pPr>
            <w:r>
              <w:t>1.000</w:t>
            </w:r>
          </w:p>
        </w:tc>
      </w:tr>
    </w:tbl>
    <w:p w14:paraId="5837BC3D" w14:textId="3A6F8ACB" w:rsidR="005D5789" w:rsidRDefault="00CA6514" w:rsidP="00CA6514">
      <w:pPr>
        <w:ind w:firstLineChars="200" w:firstLine="480"/>
      </w:pPr>
      <w:r>
        <w:rPr>
          <w:rFonts w:hint="eastAsia"/>
        </w:rPr>
        <w:t>考虑到</w:t>
      </w:r>
      <w:r w:rsidR="005D5789">
        <w:rPr>
          <w:rFonts w:hint="eastAsia"/>
        </w:rPr>
        <w:t>相关</w:t>
      </w:r>
      <w:r>
        <w:rPr>
          <w:rFonts w:hint="eastAsia"/>
        </w:rPr>
        <w:t>数据的缺失，</w:t>
      </w:r>
      <w:r w:rsidR="005D5789">
        <w:rPr>
          <w:rFonts w:hint="eastAsia"/>
        </w:rPr>
        <w:t>经过筛选和比较，我们从</w:t>
      </w:r>
      <w:r w:rsidR="005D5789">
        <w:rPr>
          <w:rFonts w:hint="eastAsia"/>
        </w:rPr>
        <w:t>5</w:t>
      </w:r>
      <w:r w:rsidR="005D5789">
        <w:t>1</w:t>
      </w:r>
      <w:r w:rsidR="005D5789">
        <w:rPr>
          <w:rFonts w:hint="eastAsia"/>
        </w:rPr>
        <w:t>家样本公司中筛选出</w:t>
      </w:r>
      <w:r w:rsidR="005D5789">
        <w:rPr>
          <w:rFonts w:hint="eastAsia"/>
        </w:rPr>
        <w:t>3</w:t>
      </w:r>
      <w:r w:rsidR="005D5789">
        <w:t>6</w:t>
      </w:r>
      <w:r w:rsidR="005D5789">
        <w:rPr>
          <w:rFonts w:hint="eastAsia"/>
        </w:rPr>
        <w:t>家上市公司，</w:t>
      </w:r>
      <w:r>
        <w:rPr>
          <w:rFonts w:hint="eastAsia"/>
        </w:rPr>
        <w:t>我们继续对计算得到的</w:t>
      </w:r>
      <w:r>
        <w:rPr>
          <w:rFonts w:hint="eastAsia"/>
        </w:rPr>
        <w:t>3</w:t>
      </w:r>
      <w:r>
        <w:t>6</w:t>
      </w:r>
      <w:r>
        <w:rPr>
          <w:rFonts w:hint="eastAsia"/>
        </w:rPr>
        <w:t>家</w:t>
      </w:r>
      <w:r>
        <w:rPr>
          <w:rFonts w:hint="eastAsia"/>
        </w:rPr>
        <w:t>A</w:t>
      </w:r>
      <w:r>
        <w:rPr>
          <w:rFonts w:hint="eastAsia"/>
        </w:rPr>
        <w:t>股上市公司的相关数据进行相关性分析。</w:t>
      </w:r>
    </w:p>
    <w:p w14:paraId="180D05F7" w14:textId="34A8E1D5" w:rsidR="005D5789" w:rsidRDefault="00CA6514" w:rsidP="00F7731D">
      <w:pPr>
        <w:ind w:firstLineChars="200" w:firstLine="480"/>
      </w:pPr>
      <w:r>
        <w:rPr>
          <w:rFonts w:hint="eastAsia"/>
        </w:rPr>
        <w:t>从表格</w:t>
      </w:r>
      <w:r>
        <w:rPr>
          <w:rFonts w:hint="eastAsia"/>
        </w:rPr>
        <w:t>4</w:t>
      </w:r>
      <w:r>
        <w:t>-4</w:t>
      </w:r>
      <w:r>
        <w:rPr>
          <w:rFonts w:hint="eastAsia"/>
        </w:rPr>
        <w:t>中我们可以发现，操纵性应</w:t>
      </w:r>
      <w:proofErr w:type="gramStart"/>
      <w:r>
        <w:rPr>
          <w:rFonts w:hint="eastAsia"/>
        </w:rPr>
        <w:t>计利润</w:t>
      </w:r>
      <w:proofErr w:type="gramEnd"/>
      <w:r>
        <w:rPr>
          <w:rFonts w:hint="eastAsia"/>
        </w:rPr>
        <w:t>D</w:t>
      </w:r>
      <w:r>
        <w:t>A</w:t>
      </w:r>
      <w:r>
        <w:rPr>
          <w:rFonts w:hint="eastAsia"/>
        </w:rPr>
        <w:t>与累积异常收益率</w:t>
      </w:r>
      <w:r>
        <w:rPr>
          <w:rFonts w:hint="eastAsia"/>
        </w:rPr>
        <w:t>C</w:t>
      </w:r>
      <w:r>
        <w:t>AR</w:t>
      </w:r>
      <w:r>
        <w:rPr>
          <w:rFonts w:hint="eastAsia"/>
        </w:rPr>
        <w:t>的相关性系数为</w:t>
      </w:r>
      <w:r>
        <w:rPr>
          <w:rFonts w:hint="eastAsia"/>
        </w:rPr>
        <w:t>-</w:t>
      </w:r>
      <w:r>
        <w:t>0.042</w:t>
      </w:r>
      <w:r>
        <w:rPr>
          <w:rFonts w:hint="eastAsia"/>
        </w:rPr>
        <w:t>。</w:t>
      </w:r>
      <w:r w:rsidR="005D5789">
        <w:rPr>
          <w:rFonts w:hint="eastAsia"/>
        </w:rPr>
        <w:t>，其余变量与累积异常收益率</w:t>
      </w:r>
      <w:r w:rsidR="005D5789">
        <w:rPr>
          <w:rFonts w:hint="eastAsia"/>
        </w:rPr>
        <w:t>C</w:t>
      </w:r>
      <w:r w:rsidR="005D5789">
        <w:t>AR</w:t>
      </w:r>
      <w:r w:rsidR="005D5789">
        <w:rPr>
          <w:rFonts w:hint="eastAsia"/>
        </w:rPr>
        <w:t>的相关性则没有发生太多变化。</w:t>
      </w:r>
    </w:p>
    <w:p w14:paraId="1292B4AC" w14:textId="31F96862" w:rsidR="00FB2129" w:rsidRDefault="00FB2129" w:rsidP="00FB2129">
      <w:pPr>
        <w:pStyle w:val="a3"/>
        <w:keepNext/>
        <w:ind w:firstLine="480"/>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45B4">
        <w:rPr>
          <w:noProof/>
        </w:rPr>
        <w:t>4</w:t>
      </w:r>
      <w:r>
        <w:fldChar w:fldCharType="end"/>
      </w:r>
      <w:r>
        <w:noBreakHyphen/>
      </w:r>
      <w:r w:rsidR="00C56A8D">
        <w:t>3</w:t>
      </w:r>
      <w:r>
        <w:rPr>
          <w:rFonts w:hint="eastAsia"/>
        </w:rPr>
        <w:t>相关性分析</w:t>
      </w:r>
      <w:r>
        <w:rPr>
          <w:rFonts w:hint="eastAsia"/>
        </w:rPr>
        <w:t>2</w:t>
      </w:r>
    </w:p>
    <w:tbl>
      <w:tblPr>
        <w:tblW w:w="5000" w:type="pct"/>
        <w:tblLook w:val="0000" w:firstRow="0" w:lastRow="0" w:firstColumn="0" w:lastColumn="0" w:noHBand="0" w:noVBand="0"/>
      </w:tblPr>
      <w:tblGrid>
        <w:gridCol w:w="1436"/>
        <w:gridCol w:w="901"/>
        <w:gridCol w:w="901"/>
        <w:gridCol w:w="900"/>
        <w:gridCol w:w="900"/>
        <w:gridCol w:w="817"/>
        <w:gridCol w:w="817"/>
        <w:gridCol w:w="817"/>
        <w:gridCol w:w="817"/>
      </w:tblGrid>
      <w:tr w:rsidR="00FB2129" w14:paraId="77B469F9" w14:textId="77777777" w:rsidTr="00BF6940">
        <w:tc>
          <w:tcPr>
            <w:tcW w:w="864" w:type="pct"/>
            <w:tcBorders>
              <w:top w:val="single" w:sz="12" w:space="0" w:color="auto"/>
              <w:left w:val="nil"/>
              <w:bottom w:val="single" w:sz="6" w:space="0" w:color="auto"/>
              <w:right w:val="nil"/>
            </w:tcBorders>
          </w:tcPr>
          <w:p w14:paraId="2129ECA6" w14:textId="77777777" w:rsidR="00FB2129" w:rsidRDefault="00FB2129" w:rsidP="00FE4029">
            <w:pPr>
              <w:pStyle w:val="af2"/>
            </w:pPr>
            <w:r>
              <w:t xml:space="preserve">  Variables</w:t>
            </w:r>
          </w:p>
        </w:tc>
        <w:tc>
          <w:tcPr>
            <w:tcW w:w="542" w:type="pct"/>
            <w:tcBorders>
              <w:top w:val="single" w:sz="12" w:space="0" w:color="auto"/>
              <w:left w:val="nil"/>
              <w:bottom w:val="single" w:sz="6" w:space="0" w:color="auto"/>
              <w:right w:val="nil"/>
            </w:tcBorders>
          </w:tcPr>
          <w:p w14:paraId="60685EB1" w14:textId="77777777" w:rsidR="00FB2129" w:rsidRDefault="00FB2129" w:rsidP="00FE4029">
            <w:pPr>
              <w:pStyle w:val="af2"/>
            </w:pPr>
            <w:r>
              <w:t xml:space="preserve">  (1)</w:t>
            </w:r>
          </w:p>
        </w:tc>
        <w:tc>
          <w:tcPr>
            <w:tcW w:w="542" w:type="pct"/>
            <w:tcBorders>
              <w:top w:val="single" w:sz="12" w:space="0" w:color="auto"/>
              <w:left w:val="nil"/>
              <w:bottom w:val="single" w:sz="6" w:space="0" w:color="auto"/>
              <w:right w:val="nil"/>
            </w:tcBorders>
          </w:tcPr>
          <w:p w14:paraId="1F058398" w14:textId="77777777" w:rsidR="00FB2129" w:rsidRDefault="00FB2129" w:rsidP="00FE4029">
            <w:pPr>
              <w:pStyle w:val="af2"/>
            </w:pPr>
            <w:r>
              <w:t xml:space="preserve">  (2)</w:t>
            </w:r>
          </w:p>
        </w:tc>
        <w:tc>
          <w:tcPr>
            <w:tcW w:w="542" w:type="pct"/>
            <w:tcBorders>
              <w:top w:val="single" w:sz="12" w:space="0" w:color="auto"/>
              <w:left w:val="nil"/>
              <w:bottom w:val="single" w:sz="6" w:space="0" w:color="auto"/>
              <w:right w:val="nil"/>
            </w:tcBorders>
          </w:tcPr>
          <w:p w14:paraId="31962926" w14:textId="77777777" w:rsidR="00FB2129" w:rsidRDefault="00FB2129" w:rsidP="00FE4029">
            <w:pPr>
              <w:pStyle w:val="af2"/>
            </w:pPr>
            <w:r>
              <w:t xml:space="preserve">  (3)</w:t>
            </w:r>
          </w:p>
        </w:tc>
        <w:tc>
          <w:tcPr>
            <w:tcW w:w="542" w:type="pct"/>
            <w:tcBorders>
              <w:top w:val="single" w:sz="12" w:space="0" w:color="auto"/>
              <w:left w:val="nil"/>
              <w:bottom w:val="single" w:sz="6" w:space="0" w:color="auto"/>
              <w:right w:val="nil"/>
            </w:tcBorders>
          </w:tcPr>
          <w:p w14:paraId="68B562DB" w14:textId="77777777" w:rsidR="00FB2129" w:rsidRDefault="00FB2129" w:rsidP="00FE4029">
            <w:pPr>
              <w:pStyle w:val="af2"/>
            </w:pPr>
            <w:r>
              <w:t xml:space="preserve">  (4)</w:t>
            </w:r>
          </w:p>
        </w:tc>
        <w:tc>
          <w:tcPr>
            <w:tcW w:w="492" w:type="pct"/>
            <w:tcBorders>
              <w:top w:val="single" w:sz="12" w:space="0" w:color="auto"/>
              <w:left w:val="nil"/>
              <w:bottom w:val="single" w:sz="6" w:space="0" w:color="auto"/>
              <w:right w:val="nil"/>
            </w:tcBorders>
          </w:tcPr>
          <w:p w14:paraId="119E536A" w14:textId="77777777" w:rsidR="00FB2129" w:rsidRDefault="00FB2129" w:rsidP="00FE4029">
            <w:pPr>
              <w:pStyle w:val="af2"/>
            </w:pPr>
            <w:r>
              <w:t xml:space="preserve">  (5)</w:t>
            </w:r>
          </w:p>
        </w:tc>
        <w:tc>
          <w:tcPr>
            <w:tcW w:w="492" w:type="pct"/>
            <w:tcBorders>
              <w:top w:val="single" w:sz="12" w:space="0" w:color="auto"/>
              <w:left w:val="nil"/>
              <w:bottom w:val="single" w:sz="6" w:space="0" w:color="auto"/>
              <w:right w:val="nil"/>
            </w:tcBorders>
          </w:tcPr>
          <w:p w14:paraId="01F2B38C" w14:textId="77777777" w:rsidR="00FB2129" w:rsidRDefault="00FB2129" w:rsidP="00FE4029">
            <w:pPr>
              <w:pStyle w:val="af2"/>
            </w:pPr>
            <w:r>
              <w:t xml:space="preserve">  (6)</w:t>
            </w:r>
          </w:p>
        </w:tc>
        <w:tc>
          <w:tcPr>
            <w:tcW w:w="492" w:type="pct"/>
            <w:tcBorders>
              <w:top w:val="single" w:sz="12" w:space="0" w:color="auto"/>
              <w:left w:val="nil"/>
              <w:bottom w:val="single" w:sz="6" w:space="0" w:color="auto"/>
              <w:right w:val="nil"/>
            </w:tcBorders>
          </w:tcPr>
          <w:p w14:paraId="56DEB183" w14:textId="77777777" w:rsidR="00FB2129" w:rsidRDefault="00FB2129" w:rsidP="00FE4029">
            <w:pPr>
              <w:pStyle w:val="af2"/>
            </w:pPr>
            <w:r>
              <w:t xml:space="preserve">  (7)</w:t>
            </w:r>
          </w:p>
        </w:tc>
        <w:tc>
          <w:tcPr>
            <w:tcW w:w="492" w:type="pct"/>
            <w:tcBorders>
              <w:top w:val="single" w:sz="12" w:space="0" w:color="auto"/>
              <w:left w:val="nil"/>
              <w:bottom w:val="single" w:sz="6" w:space="0" w:color="auto"/>
              <w:right w:val="nil"/>
            </w:tcBorders>
          </w:tcPr>
          <w:p w14:paraId="384CDC83" w14:textId="77777777" w:rsidR="00FB2129" w:rsidRDefault="00FB2129" w:rsidP="00FE4029">
            <w:pPr>
              <w:pStyle w:val="af2"/>
            </w:pPr>
            <w:r>
              <w:t xml:space="preserve">  (8)</w:t>
            </w:r>
          </w:p>
        </w:tc>
      </w:tr>
      <w:tr w:rsidR="00FB2129" w14:paraId="754DD7A4" w14:textId="77777777" w:rsidTr="00FE4029">
        <w:trPr>
          <w:gridAfter w:val="7"/>
          <w:wAfter w:w="3593" w:type="pct"/>
        </w:trPr>
        <w:tc>
          <w:tcPr>
            <w:tcW w:w="864" w:type="pct"/>
            <w:tcBorders>
              <w:top w:val="nil"/>
              <w:left w:val="nil"/>
              <w:bottom w:val="nil"/>
              <w:right w:val="nil"/>
            </w:tcBorders>
          </w:tcPr>
          <w:p w14:paraId="5F52743C" w14:textId="1AAD5082" w:rsidR="00FB2129" w:rsidRDefault="00FB2129" w:rsidP="005D5789">
            <w:pPr>
              <w:pStyle w:val="af2"/>
              <w:jc w:val="left"/>
            </w:pPr>
            <w:r>
              <w:t>(1) car</w:t>
            </w:r>
          </w:p>
        </w:tc>
        <w:tc>
          <w:tcPr>
            <w:tcW w:w="542" w:type="pct"/>
            <w:tcBorders>
              <w:top w:val="nil"/>
              <w:left w:val="nil"/>
              <w:bottom w:val="nil"/>
              <w:right w:val="nil"/>
            </w:tcBorders>
          </w:tcPr>
          <w:p w14:paraId="79420885" w14:textId="77777777" w:rsidR="00FB2129" w:rsidRDefault="00FB2129" w:rsidP="00FE4029">
            <w:pPr>
              <w:pStyle w:val="af2"/>
            </w:pPr>
            <w:r>
              <w:t>1.000</w:t>
            </w:r>
          </w:p>
        </w:tc>
      </w:tr>
      <w:tr w:rsidR="00FB2129" w14:paraId="199B9D1D" w14:textId="77777777" w:rsidTr="00FE4029">
        <w:trPr>
          <w:gridAfter w:val="6"/>
          <w:wAfter w:w="3051" w:type="pct"/>
        </w:trPr>
        <w:tc>
          <w:tcPr>
            <w:tcW w:w="864" w:type="pct"/>
            <w:tcBorders>
              <w:top w:val="nil"/>
              <w:left w:val="nil"/>
              <w:bottom w:val="nil"/>
              <w:right w:val="nil"/>
            </w:tcBorders>
          </w:tcPr>
          <w:p w14:paraId="46569C33" w14:textId="05F6497F" w:rsidR="00FB2129" w:rsidRDefault="00FB2129" w:rsidP="005D5789">
            <w:pPr>
              <w:pStyle w:val="af2"/>
              <w:jc w:val="left"/>
            </w:pPr>
            <w:r>
              <w:t>(2) degree</w:t>
            </w:r>
          </w:p>
        </w:tc>
        <w:tc>
          <w:tcPr>
            <w:tcW w:w="542" w:type="pct"/>
            <w:tcBorders>
              <w:top w:val="nil"/>
              <w:left w:val="nil"/>
              <w:bottom w:val="nil"/>
              <w:right w:val="nil"/>
            </w:tcBorders>
          </w:tcPr>
          <w:p w14:paraId="03B3207B" w14:textId="77777777" w:rsidR="00FB2129" w:rsidRDefault="00FB2129" w:rsidP="00FE4029">
            <w:pPr>
              <w:pStyle w:val="af2"/>
            </w:pPr>
            <w:r>
              <w:t>0.105</w:t>
            </w:r>
          </w:p>
        </w:tc>
        <w:tc>
          <w:tcPr>
            <w:tcW w:w="542" w:type="pct"/>
            <w:tcBorders>
              <w:top w:val="nil"/>
              <w:left w:val="nil"/>
              <w:bottom w:val="nil"/>
              <w:right w:val="nil"/>
            </w:tcBorders>
          </w:tcPr>
          <w:p w14:paraId="09F1BAE5" w14:textId="77777777" w:rsidR="00FB2129" w:rsidRDefault="00FB2129" w:rsidP="00FE4029">
            <w:pPr>
              <w:pStyle w:val="af2"/>
            </w:pPr>
            <w:r>
              <w:t>1.000</w:t>
            </w:r>
          </w:p>
        </w:tc>
      </w:tr>
      <w:tr w:rsidR="00FB2129" w14:paraId="7E12F790" w14:textId="77777777" w:rsidTr="00FE4029">
        <w:trPr>
          <w:gridAfter w:val="5"/>
          <w:wAfter w:w="2509" w:type="pct"/>
        </w:trPr>
        <w:tc>
          <w:tcPr>
            <w:tcW w:w="864" w:type="pct"/>
            <w:tcBorders>
              <w:top w:val="nil"/>
              <w:left w:val="nil"/>
              <w:bottom w:val="nil"/>
              <w:right w:val="nil"/>
            </w:tcBorders>
          </w:tcPr>
          <w:p w14:paraId="01E724AD" w14:textId="546E3E70" w:rsidR="00FB2129" w:rsidRDefault="00FB2129" w:rsidP="005D5789">
            <w:pPr>
              <w:pStyle w:val="af2"/>
              <w:jc w:val="left"/>
            </w:pPr>
            <w:r>
              <w:t>(3) tenure</w:t>
            </w:r>
          </w:p>
        </w:tc>
        <w:tc>
          <w:tcPr>
            <w:tcW w:w="542" w:type="pct"/>
            <w:tcBorders>
              <w:top w:val="nil"/>
              <w:left w:val="nil"/>
              <w:bottom w:val="nil"/>
              <w:right w:val="nil"/>
            </w:tcBorders>
          </w:tcPr>
          <w:p w14:paraId="1B76AABC" w14:textId="77777777" w:rsidR="00FB2129" w:rsidRDefault="00FB2129" w:rsidP="00FE4029">
            <w:pPr>
              <w:pStyle w:val="af2"/>
            </w:pPr>
            <w:r>
              <w:t>0.226</w:t>
            </w:r>
          </w:p>
        </w:tc>
        <w:tc>
          <w:tcPr>
            <w:tcW w:w="542" w:type="pct"/>
            <w:tcBorders>
              <w:top w:val="nil"/>
              <w:left w:val="nil"/>
              <w:bottom w:val="nil"/>
              <w:right w:val="nil"/>
            </w:tcBorders>
          </w:tcPr>
          <w:p w14:paraId="3280B662" w14:textId="77777777" w:rsidR="00FB2129" w:rsidRDefault="00FB2129" w:rsidP="00FE4029">
            <w:pPr>
              <w:pStyle w:val="af2"/>
            </w:pPr>
            <w:r>
              <w:t>-0.103</w:t>
            </w:r>
          </w:p>
        </w:tc>
        <w:tc>
          <w:tcPr>
            <w:tcW w:w="542" w:type="pct"/>
            <w:tcBorders>
              <w:top w:val="nil"/>
              <w:left w:val="nil"/>
              <w:bottom w:val="nil"/>
              <w:right w:val="nil"/>
            </w:tcBorders>
          </w:tcPr>
          <w:p w14:paraId="0EE18E0B" w14:textId="77777777" w:rsidR="00FB2129" w:rsidRDefault="00FB2129" w:rsidP="00FE4029">
            <w:pPr>
              <w:pStyle w:val="af2"/>
            </w:pPr>
            <w:r>
              <w:t>1.000</w:t>
            </w:r>
          </w:p>
        </w:tc>
      </w:tr>
      <w:tr w:rsidR="00FB2129" w14:paraId="2E1E7A7C" w14:textId="77777777" w:rsidTr="00FE4029">
        <w:trPr>
          <w:gridAfter w:val="4"/>
          <w:wAfter w:w="1967" w:type="pct"/>
        </w:trPr>
        <w:tc>
          <w:tcPr>
            <w:tcW w:w="864" w:type="pct"/>
            <w:tcBorders>
              <w:top w:val="nil"/>
              <w:left w:val="nil"/>
              <w:bottom w:val="nil"/>
              <w:right w:val="nil"/>
            </w:tcBorders>
          </w:tcPr>
          <w:p w14:paraId="38B038AA" w14:textId="245E3C76" w:rsidR="00FB2129" w:rsidRDefault="00FB2129" w:rsidP="005D5789">
            <w:pPr>
              <w:pStyle w:val="af2"/>
              <w:jc w:val="left"/>
            </w:pPr>
            <w:r>
              <w:t xml:space="preserve">(4) </w:t>
            </w:r>
            <w:proofErr w:type="spellStart"/>
            <w:r>
              <w:t>tbq</w:t>
            </w:r>
            <w:proofErr w:type="spellEnd"/>
          </w:p>
        </w:tc>
        <w:tc>
          <w:tcPr>
            <w:tcW w:w="542" w:type="pct"/>
            <w:tcBorders>
              <w:top w:val="nil"/>
              <w:left w:val="nil"/>
              <w:bottom w:val="nil"/>
              <w:right w:val="nil"/>
            </w:tcBorders>
          </w:tcPr>
          <w:p w14:paraId="5B7A9438" w14:textId="77777777" w:rsidR="00FB2129" w:rsidRDefault="00FB2129" w:rsidP="00FE4029">
            <w:pPr>
              <w:pStyle w:val="af2"/>
            </w:pPr>
            <w:r>
              <w:t>0.186</w:t>
            </w:r>
          </w:p>
        </w:tc>
        <w:tc>
          <w:tcPr>
            <w:tcW w:w="542" w:type="pct"/>
            <w:tcBorders>
              <w:top w:val="nil"/>
              <w:left w:val="nil"/>
              <w:bottom w:val="nil"/>
              <w:right w:val="nil"/>
            </w:tcBorders>
          </w:tcPr>
          <w:p w14:paraId="0895069B" w14:textId="77777777" w:rsidR="00FB2129" w:rsidRDefault="00FB2129" w:rsidP="00FE4029">
            <w:pPr>
              <w:pStyle w:val="af2"/>
            </w:pPr>
            <w:r>
              <w:t>0.122</w:t>
            </w:r>
          </w:p>
        </w:tc>
        <w:tc>
          <w:tcPr>
            <w:tcW w:w="542" w:type="pct"/>
            <w:tcBorders>
              <w:top w:val="nil"/>
              <w:left w:val="nil"/>
              <w:bottom w:val="nil"/>
              <w:right w:val="nil"/>
            </w:tcBorders>
          </w:tcPr>
          <w:p w14:paraId="582B2F1D" w14:textId="77777777" w:rsidR="00FB2129" w:rsidRDefault="00FB2129" w:rsidP="00FE4029">
            <w:pPr>
              <w:pStyle w:val="af2"/>
            </w:pPr>
            <w:r>
              <w:t>0.112</w:t>
            </w:r>
          </w:p>
        </w:tc>
        <w:tc>
          <w:tcPr>
            <w:tcW w:w="542" w:type="pct"/>
            <w:tcBorders>
              <w:top w:val="nil"/>
              <w:left w:val="nil"/>
              <w:bottom w:val="nil"/>
              <w:right w:val="nil"/>
            </w:tcBorders>
          </w:tcPr>
          <w:p w14:paraId="0BBB5E54" w14:textId="77777777" w:rsidR="00FB2129" w:rsidRDefault="00FB2129" w:rsidP="00FE4029">
            <w:pPr>
              <w:pStyle w:val="af2"/>
            </w:pPr>
            <w:r>
              <w:t>1.000</w:t>
            </w:r>
          </w:p>
        </w:tc>
      </w:tr>
      <w:tr w:rsidR="00FB2129" w14:paraId="40971038" w14:textId="77777777" w:rsidTr="00FE4029">
        <w:trPr>
          <w:gridAfter w:val="3"/>
          <w:wAfter w:w="1475" w:type="pct"/>
        </w:trPr>
        <w:tc>
          <w:tcPr>
            <w:tcW w:w="864" w:type="pct"/>
            <w:tcBorders>
              <w:top w:val="nil"/>
              <w:left w:val="nil"/>
              <w:bottom w:val="nil"/>
              <w:right w:val="nil"/>
            </w:tcBorders>
          </w:tcPr>
          <w:p w14:paraId="624DA2D6" w14:textId="4E423250" w:rsidR="00FB2129" w:rsidRDefault="00FB2129" w:rsidP="005D5789">
            <w:pPr>
              <w:pStyle w:val="af2"/>
              <w:jc w:val="left"/>
            </w:pPr>
            <w:r>
              <w:t>(5) size</w:t>
            </w:r>
          </w:p>
        </w:tc>
        <w:tc>
          <w:tcPr>
            <w:tcW w:w="542" w:type="pct"/>
            <w:tcBorders>
              <w:top w:val="nil"/>
              <w:left w:val="nil"/>
              <w:bottom w:val="nil"/>
              <w:right w:val="nil"/>
            </w:tcBorders>
          </w:tcPr>
          <w:p w14:paraId="576CE9FF" w14:textId="77777777" w:rsidR="00FB2129" w:rsidRDefault="00FB2129" w:rsidP="00FE4029">
            <w:pPr>
              <w:pStyle w:val="af2"/>
            </w:pPr>
            <w:r>
              <w:t>-0.102</w:t>
            </w:r>
          </w:p>
        </w:tc>
        <w:tc>
          <w:tcPr>
            <w:tcW w:w="542" w:type="pct"/>
            <w:tcBorders>
              <w:top w:val="nil"/>
              <w:left w:val="nil"/>
              <w:bottom w:val="nil"/>
              <w:right w:val="nil"/>
            </w:tcBorders>
          </w:tcPr>
          <w:p w14:paraId="0859B7F4" w14:textId="77777777" w:rsidR="00FB2129" w:rsidRDefault="00FB2129" w:rsidP="00FE4029">
            <w:pPr>
              <w:pStyle w:val="af2"/>
            </w:pPr>
            <w:r>
              <w:t>0.044</w:t>
            </w:r>
          </w:p>
        </w:tc>
        <w:tc>
          <w:tcPr>
            <w:tcW w:w="542" w:type="pct"/>
            <w:tcBorders>
              <w:top w:val="nil"/>
              <w:left w:val="nil"/>
              <w:bottom w:val="nil"/>
              <w:right w:val="nil"/>
            </w:tcBorders>
          </w:tcPr>
          <w:p w14:paraId="74F2B6B9" w14:textId="77777777" w:rsidR="00FB2129" w:rsidRDefault="00FB2129" w:rsidP="00FE4029">
            <w:pPr>
              <w:pStyle w:val="af2"/>
            </w:pPr>
            <w:r>
              <w:t>-0.070</w:t>
            </w:r>
          </w:p>
        </w:tc>
        <w:tc>
          <w:tcPr>
            <w:tcW w:w="542" w:type="pct"/>
            <w:tcBorders>
              <w:top w:val="nil"/>
              <w:left w:val="nil"/>
              <w:bottom w:val="nil"/>
              <w:right w:val="nil"/>
            </w:tcBorders>
          </w:tcPr>
          <w:p w14:paraId="1E58C20F" w14:textId="77777777" w:rsidR="00FB2129" w:rsidRDefault="00FB2129" w:rsidP="00FE4029">
            <w:pPr>
              <w:pStyle w:val="af2"/>
            </w:pPr>
            <w:r>
              <w:t>-0.291</w:t>
            </w:r>
          </w:p>
        </w:tc>
        <w:tc>
          <w:tcPr>
            <w:tcW w:w="492" w:type="pct"/>
            <w:tcBorders>
              <w:top w:val="nil"/>
              <w:left w:val="nil"/>
              <w:bottom w:val="nil"/>
              <w:right w:val="nil"/>
            </w:tcBorders>
          </w:tcPr>
          <w:p w14:paraId="4E196DD3" w14:textId="77777777" w:rsidR="00FB2129" w:rsidRDefault="00FB2129" w:rsidP="00FE4029">
            <w:pPr>
              <w:pStyle w:val="af2"/>
            </w:pPr>
            <w:r>
              <w:t>1.000</w:t>
            </w:r>
          </w:p>
        </w:tc>
      </w:tr>
      <w:tr w:rsidR="00FB2129" w14:paraId="2AB83BFF" w14:textId="77777777" w:rsidTr="00FE4029">
        <w:trPr>
          <w:gridAfter w:val="2"/>
          <w:wAfter w:w="984" w:type="pct"/>
        </w:trPr>
        <w:tc>
          <w:tcPr>
            <w:tcW w:w="864" w:type="pct"/>
            <w:tcBorders>
              <w:top w:val="nil"/>
              <w:left w:val="nil"/>
              <w:bottom w:val="nil"/>
              <w:right w:val="nil"/>
            </w:tcBorders>
          </w:tcPr>
          <w:p w14:paraId="7E5602A4" w14:textId="5C9110C9" w:rsidR="00FB2129" w:rsidRDefault="00FB2129" w:rsidP="005D5789">
            <w:pPr>
              <w:pStyle w:val="af2"/>
              <w:jc w:val="left"/>
            </w:pPr>
            <w:r>
              <w:t>(6) lev</w:t>
            </w:r>
          </w:p>
        </w:tc>
        <w:tc>
          <w:tcPr>
            <w:tcW w:w="542" w:type="pct"/>
            <w:tcBorders>
              <w:top w:val="nil"/>
              <w:left w:val="nil"/>
              <w:bottom w:val="nil"/>
              <w:right w:val="nil"/>
            </w:tcBorders>
          </w:tcPr>
          <w:p w14:paraId="44B046AA" w14:textId="77777777" w:rsidR="00FB2129" w:rsidRDefault="00FB2129" w:rsidP="00FE4029">
            <w:pPr>
              <w:pStyle w:val="af2"/>
            </w:pPr>
            <w:r>
              <w:t>0.005</w:t>
            </w:r>
          </w:p>
        </w:tc>
        <w:tc>
          <w:tcPr>
            <w:tcW w:w="542" w:type="pct"/>
            <w:tcBorders>
              <w:top w:val="nil"/>
              <w:left w:val="nil"/>
              <w:bottom w:val="nil"/>
              <w:right w:val="nil"/>
            </w:tcBorders>
          </w:tcPr>
          <w:p w14:paraId="3993AF9D" w14:textId="77777777" w:rsidR="00FB2129" w:rsidRDefault="00FB2129" w:rsidP="00FE4029">
            <w:pPr>
              <w:pStyle w:val="af2"/>
            </w:pPr>
            <w:r>
              <w:t>0.012</w:t>
            </w:r>
          </w:p>
        </w:tc>
        <w:tc>
          <w:tcPr>
            <w:tcW w:w="542" w:type="pct"/>
            <w:tcBorders>
              <w:top w:val="nil"/>
              <w:left w:val="nil"/>
              <w:bottom w:val="nil"/>
              <w:right w:val="nil"/>
            </w:tcBorders>
          </w:tcPr>
          <w:p w14:paraId="71C4FB4A" w14:textId="77777777" w:rsidR="00FB2129" w:rsidRDefault="00FB2129" w:rsidP="00FE4029">
            <w:pPr>
              <w:pStyle w:val="af2"/>
            </w:pPr>
            <w:r>
              <w:t>-0.107</w:t>
            </w:r>
          </w:p>
        </w:tc>
        <w:tc>
          <w:tcPr>
            <w:tcW w:w="542" w:type="pct"/>
            <w:tcBorders>
              <w:top w:val="nil"/>
              <w:left w:val="nil"/>
              <w:bottom w:val="nil"/>
              <w:right w:val="nil"/>
            </w:tcBorders>
          </w:tcPr>
          <w:p w14:paraId="2CE93D3F" w14:textId="77777777" w:rsidR="00FB2129" w:rsidRDefault="00FB2129" w:rsidP="00FE4029">
            <w:pPr>
              <w:pStyle w:val="af2"/>
            </w:pPr>
            <w:r>
              <w:t>-0.026</w:t>
            </w:r>
          </w:p>
        </w:tc>
        <w:tc>
          <w:tcPr>
            <w:tcW w:w="492" w:type="pct"/>
            <w:tcBorders>
              <w:top w:val="nil"/>
              <w:left w:val="nil"/>
              <w:bottom w:val="nil"/>
              <w:right w:val="nil"/>
            </w:tcBorders>
          </w:tcPr>
          <w:p w14:paraId="0ADF5B01" w14:textId="77777777" w:rsidR="00FB2129" w:rsidRDefault="00FB2129" w:rsidP="00FE4029">
            <w:pPr>
              <w:pStyle w:val="af2"/>
            </w:pPr>
            <w:r>
              <w:t>0.305</w:t>
            </w:r>
          </w:p>
        </w:tc>
        <w:tc>
          <w:tcPr>
            <w:tcW w:w="492" w:type="pct"/>
            <w:tcBorders>
              <w:top w:val="nil"/>
              <w:left w:val="nil"/>
              <w:bottom w:val="nil"/>
              <w:right w:val="nil"/>
            </w:tcBorders>
          </w:tcPr>
          <w:p w14:paraId="35B2E2EC" w14:textId="77777777" w:rsidR="00FB2129" w:rsidRDefault="00FB2129" w:rsidP="00FE4029">
            <w:pPr>
              <w:pStyle w:val="af2"/>
            </w:pPr>
            <w:r>
              <w:t>1.000</w:t>
            </w:r>
          </w:p>
        </w:tc>
      </w:tr>
      <w:tr w:rsidR="00FB2129" w14:paraId="0C3978E5" w14:textId="77777777" w:rsidTr="00FE4029">
        <w:trPr>
          <w:gridAfter w:val="1"/>
          <w:wAfter w:w="492" w:type="pct"/>
        </w:trPr>
        <w:tc>
          <w:tcPr>
            <w:tcW w:w="864" w:type="pct"/>
            <w:tcBorders>
              <w:top w:val="nil"/>
              <w:left w:val="nil"/>
              <w:bottom w:val="nil"/>
              <w:right w:val="nil"/>
            </w:tcBorders>
          </w:tcPr>
          <w:p w14:paraId="78E26B51" w14:textId="443DD42C" w:rsidR="00FB2129" w:rsidRDefault="00FB2129" w:rsidP="005D5789">
            <w:pPr>
              <w:pStyle w:val="af2"/>
              <w:jc w:val="left"/>
            </w:pPr>
            <w:r>
              <w:t>(7) bps</w:t>
            </w:r>
          </w:p>
        </w:tc>
        <w:tc>
          <w:tcPr>
            <w:tcW w:w="542" w:type="pct"/>
            <w:tcBorders>
              <w:top w:val="nil"/>
              <w:left w:val="nil"/>
              <w:bottom w:val="nil"/>
              <w:right w:val="nil"/>
            </w:tcBorders>
          </w:tcPr>
          <w:p w14:paraId="213BFFC8" w14:textId="77777777" w:rsidR="00FB2129" w:rsidRDefault="00FB2129" w:rsidP="00FE4029">
            <w:pPr>
              <w:pStyle w:val="af2"/>
            </w:pPr>
            <w:r>
              <w:t>-0.161</w:t>
            </w:r>
          </w:p>
        </w:tc>
        <w:tc>
          <w:tcPr>
            <w:tcW w:w="542" w:type="pct"/>
            <w:tcBorders>
              <w:top w:val="nil"/>
              <w:left w:val="nil"/>
              <w:bottom w:val="nil"/>
              <w:right w:val="nil"/>
            </w:tcBorders>
          </w:tcPr>
          <w:p w14:paraId="15D07127" w14:textId="77777777" w:rsidR="00FB2129" w:rsidRDefault="00FB2129" w:rsidP="00FE4029">
            <w:pPr>
              <w:pStyle w:val="af2"/>
            </w:pPr>
            <w:r>
              <w:t>0.303</w:t>
            </w:r>
          </w:p>
        </w:tc>
        <w:tc>
          <w:tcPr>
            <w:tcW w:w="542" w:type="pct"/>
            <w:tcBorders>
              <w:top w:val="nil"/>
              <w:left w:val="nil"/>
              <w:bottom w:val="nil"/>
              <w:right w:val="nil"/>
            </w:tcBorders>
          </w:tcPr>
          <w:p w14:paraId="7891A24E" w14:textId="77777777" w:rsidR="00FB2129" w:rsidRDefault="00FB2129" w:rsidP="00FE4029">
            <w:pPr>
              <w:pStyle w:val="af2"/>
            </w:pPr>
            <w:r>
              <w:t>-0.030</w:t>
            </w:r>
          </w:p>
        </w:tc>
        <w:tc>
          <w:tcPr>
            <w:tcW w:w="542" w:type="pct"/>
            <w:tcBorders>
              <w:top w:val="nil"/>
              <w:left w:val="nil"/>
              <w:bottom w:val="nil"/>
              <w:right w:val="nil"/>
            </w:tcBorders>
          </w:tcPr>
          <w:p w14:paraId="060C92EF" w14:textId="77777777" w:rsidR="00FB2129" w:rsidRDefault="00FB2129" w:rsidP="00FE4029">
            <w:pPr>
              <w:pStyle w:val="af2"/>
            </w:pPr>
            <w:r>
              <w:t>-0.119</w:t>
            </w:r>
          </w:p>
        </w:tc>
        <w:tc>
          <w:tcPr>
            <w:tcW w:w="492" w:type="pct"/>
            <w:tcBorders>
              <w:top w:val="nil"/>
              <w:left w:val="nil"/>
              <w:bottom w:val="nil"/>
              <w:right w:val="nil"/>
            </w:tcBorders>
          </w:tcPr>
          <w:p w14:paraId="2B6D9366" w14:textId="77777777" w:rsidR="00FB2129" w:rsidRDefault="00FB2129" w:rsidP="00FE4029">
            <w:pPr>
              <w:pStyle w:val="af2"/>
            </w:pPr>
            <w:r>
              <w:t>0.597</w:t>
            </w:r>
          </w:p>
        </w:tc>
        <w:tc>
          <w:tcPr>
            <w:tcW w:w="492" w:type="pct"/>
            <w:tcBorders>
              <w:top w:val="nil"/>
              <w:left w:val="nil"/>
              <w:bottom w:val="nil"/>
              <w:right w:val="nil"/>
            </w:tcBorders>
          </w:tcPr>
          <w:p w14:paraId="25BC68DA" w14:textId="77777777" w:rsidR="00FB2129" w:rsidRDefault="00FB2129" w:rsidP="00FE4029">
            <w:pPr>
              <w:pStyle w:val="af2"/>
            </w:pPr>
            <w:r>
              <w:t>0.634</w:t>
            </w:r>
          </w:p>
        </w:tc>
        <w:tc>
          <w:tcPr>
            <w:tcW w:w="492" w:type="pct"/>
            <w:tcBorders>
              <w:top w:val="nil"/>
              <w:left w:val="nil"/>
              <w:bottom w:val="nil"/>
              <w:right w:val="nil"/>
            </w:tcBorders>
          </w:tcPr>
          <w:p w14:paraId="480F40E5" w14:textId="77777777" w:rsidR="00FB2129" w:rsidRDefault="00FB2129" w:rsidP="00FE4029">
            <w:pPr>
              <w:pStyle w:val="af2"/>
            </w:pPr>
            <w:r>
              <w:t>1.000</w:t>
            </w:r>
          </w:p>
        </w:tc>
      </w:tr>
      <w:tr w:rsidR="00FB2129" w14:paraId="6E83258C" w14:textId="77777777" w:rsidTr="00BF6940">
        <w:tc>
          <w:tcPr>
            <w:tcW w:w="864" w:type="pct"/>
            <w:tcBorders>
              <w:top w:val="nil"/>
              <w:left w:val="nil"/>
              <w:bottom w:val="single" w:sz="12" w:space="0" w:color="auto"/>
              <w:right w:val="nil"/>
            </w:tcBorders>
          </w:tcPr>
          <w:p w14:paraId="13DFABA8" w14:textId="13017E12" w:rsidR="00FB2129" w:rsidRDefault="00FB2129" w:rsidP="005D5789">
            <w:pPr>
              <w:pStyle w:val="af2"/>
              <w:jc w:val="left"/>
            </w:pPr>
            <w:r>
              <w:t>(8) DA</w:t>
            </w:r>
          </w:p>
        </w:tc>
        <w:tc>
          <w:tcPr>
            <w:tcW w:w="542" w:type="pct"/>
            <w:tcBorders>
              <w:top w:val="nil"/>
              <w:left w:val="nil"/>
              <w:bottom w:val="single" w:sz="12" w:space="0" w:color="auto"/>
              <w:right w:val="nil"/>
            </w:tcBorders>
          </w:tcPr>
          <w:p w14:paraId="06C903EE" w14:textId="77777777" w:rsidR="00FB2129" w:rsidRDefault="00FB2129" w:rsidP="00FE4029">
            <w:pPr>
              <w:pStyle w:val="af2"/>
            </w:pPr>
            <w:r>
              <w:t>-0.042</w:t>
            </w:r>
          </w:p>
        </w:tc>
        <w:tc>
          <w:tcPr>
            <w:tcW w:w="542" w:type="pct"/>
            <w:tcBorders>
              <w:top w:val="nil"/>
              <w:left w:val="nil"/>
              <w:bottom w:val="single" w:sz="12" w:space="0" w:color="auto"/>
              <w:right w:val="nil"/>
            </w:tcBorders>
          </w:tcPr>
          <w:p w14:paraId="68A88844" w14:textId="77777777" w:rsidR="00FB2129" w:rsidRDefault="00FB2129" w:rsidP="00FE4029">
            <w:pPr>
              <w:pStyle w:val="af2"/>
            </w:pPr>
            <w:r>
              <w:t>0.027</w:t>
            </w:r>
          </w:p>
        </w:tc>
        <w:tc>
          <w:tcPr>
            <w:tcW w:w="542" w:type="pct"/>
            <w:tcBorders>
              <w:top w:val="nil"/>
              <w:left w:val="nil"/>
              <w:bottom w:val="single" w:sz="12" w:space="0" w:color="auto"/>
              <w:right w:val="nil"/>
            </w:tcBorders>
          </w:tcPr>
          <w:p w14:paraId="24808B7F" w14:textId="77777777" w:rsidR="00FB2129" w:rsidRDefault="00FB2129" w:rsidP="00FE4029">
            <w:pPr>
              <w:pStyle w:val="af2"/>
            </w:pPr>
            <w:r>
              <w:t>-0.032</w:t>
            </w:r>
          </w:p>
        </w:tc>
        <w:tc>
          <w:tcPr>
            <w:tcW w:w="542" w:type="pct"/>
            <w:tcBorders>
              <w:top w:val="nil"/>
              <w:left w:val="nil"/>
              <w:bottom w:val="single" w:sz="12" w:space="0" w:color="auto"/>
              <w:right w:val="nil"/>
            </w:tcBorders>
          </w:tcPr>
          <w:p w14:paraId="7274451A" w14:textId="77777777" w:rsidR="00FB2129" w:rsidRDefault="00FB2129" w:rsidP="00FE4029">
            <w:pPr>
              <w:pStyle w:val="af2"/>
            </w:pPr>
            <w:r>
              <w:t>-0.384</w:t>
            </w:r>
          </w:p>
        </w:tc>
        <w:tc>
          <w:tcPr>
            <w:tcW w:w="492" w:type="pct"/>
            <w:tcBorders>
              <w:top w:val="nil"/>
              <w:left w:val="nil"/>
              <w:bottom w:val="single" w:sz="12" w:space="0" w:color="auto"/>
              <w:right w:val="nil"/>
            </w:tcBorders>
          </w:tcPr>
          <w:p w14:paraId="718BD899" w14:textId="77777777" w:rsidR="00FB2129" w:rsidRDefault="00FB2129" w:rsidP="00FE4029">
            <w:pPr>
              <w:pStyle w:val="af2"/>
            </w:pPr>
            <w:r>
              <w:t>0.085</w:t>
            </w:r>
          </w:p>
        </w:tc>
        <w:tc>
          <w:tcPr>
            <w:tcW w:w="492" w:type="pct"/>
            <w:tcBorders>
              <w:top w:val="nil"/>
              <w:left w:val="nil"/>
              <w:bottom w:val="single" w:sz="12" w:space="0" w:color="auto"/>
              <w:right w:val="nil"/>
            </w:tcBorders>
          </w:tcPr>
          <w:p w14:paraId="1D0163FD" w14:textId="77777777" w:rsidR="00FB2129" w:rsidRDefault="00FB2129" w:rsidP="00FE4029">
            <w:pPr>
              <w:pStyle w:val="af2"/>
            </w:pPr>
            <w:r>
              <w:t>0.015</w:t>
            </w:r>
          </w:p>
        </w:tc>
        <w:tc>
          <w:tcPr>
            <w:tcW w:w="492" w:type="pct"/>
            <w:tcBorders>
              <w:top w:val="nil"/>
              <w:left w:val="nil"/>
              <w:bottom w:val="single" w:sz="12" w:space="0" w:color="auto"/>
              <w:right w:val="nil"/>
            </w:tcBorders>
          </w:tcPr>
          <w:p w14:paraId="5965A4DE" w14:textId="77777777" w:rsidR="00FB2129" w:rsidRDefault="00FB2129" w:rsidP="00FE4029">
            <w:pPr>
              <w:pStyle w:val="af2"/>
            </w:pPr>
            <w:r>
              <w:t>0.163</w:t>
            </w:r>
          </w:p>
        </w:tc>
        <w:tc>
          <w:tcPr>
            <w:tcW w:w="492" w:type="pct"/>
            <w:tcBorders>
              <w:top w:val="nil"/>
              <w:left w:val="nil"/>
              <w:bottom w:val="single" w:sz="12" w:space="0" w:color="auto"/>
              <w:right w:val="nil"/>
            </w:tcBorders>
          </w:tcPr>
          <w:p w14:paraId="2B72CF30" w14:textId="77777777" w:rsidR="00FB2129" w:rsidRDefault="00FB2129" w:rsidP="00FE4029">
            <w:pPr>
              <w:pStyle w:val="af2"/>
            </w:pPr>
            <w:r>
              <w:t>1.000</w:t>
            </w:r>
          </w:p>
        </w:tc>
      </w:tr>
    </w:tbl>
    <w:p w14:paraId="6020ACD7" w14:textId="77777777" w:rsidR="00BF6940" w:rsidRPr="00FB2129" w:rsidRDefault="00BF6940" w:rsidP="00CA6514"/>
    <w:p w14:paraId="10B81159" w14:textId="3E222E85" w:rsidR="00A836CB" w:rsidRDefault="0032522F" w:rsidP="0032522F">
      <w:pPr>
        <w:pStyle w:val="2"/>
        <w:spacing w:before="163" w:after="163"/>
      </w:pPr>
      <w:bookmarkStart w:id="43" w:name="_Toc104938611"/>
      <w:r>
        <w:rPr>
          <w:rFonts w:hint="eastAsia"/>
        </w:rPr>
        <w:t>回归分析</w:t>
      </w:r>
      <w:bookmarkEnd w:id="43"/>
    </w:p>
    <w:p w14:paraId="2A8D3036" w14:textId="776A5E62" w:rsidR="00370439" w:rsidRPr="00370439" w:rsidRDefault="00370439" w:rsidP="00370439">
      <w:pPr>
        <w:pStyle w:val="3"/>
      </w:pPr>
      <w:r>
        <w:rPr>
          <w:rFonts w:hint="eastAsia"/>
        </w:rPr>
        <w:t>假设</w:t>
      </w:r>
      <w:proofErr w:type="gramStart"/>
      <w:r>
        <w:rPr>
          <w:rFonts w:hint="eastAsia"/>
        </w:rPr>
        <w:t>一</w:t>
      </w:r>
      <w:proofErr w:type="gramEnd"/>
      <w:r>
        <w:rPr>
          <w:rFonts w:hint="eastAsia"/>
        </w:rPr>
        <w:t>的回归检验</w:t>
      </w:r>
    </w:p>
    <w:p w14:paraId="63B08561" w14:textId="7F997E88" w:rsidR="005D0661" w:rsidRDefault="005D0661" w:rsidP="005D0661">
      <w:pPr>
        <w:pStyle w:val="a3"/>
        <w:keepNext/>
        <w:ind w:firstLine="480"/>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2378D8">
        <w:t>4</w:t>
      </w:r>
      <w:r>
        <w:rPr>
          <w:rFonts w:hint="eastAsia"/>
        </w:rPr>
        <w:t>不同事件期</w:t>
      </w:r>
    </w:p>
    <w:tbl>
      <w:tblPr>
        <w:tblStyle w:val="1111"/>
        <w:tblW w:w="5000" w:type="pct"/>
        <w:tblLook w:val="04A0" w:firstRow="1" w:lastRow="0" w:firstColumn="1" w:lastColumn="0" w:noHBand="0" w:noVBand="1"/>
      </w:tblPr>
      <w:tblGrid>
        <w:gridCol w:w="1269"/>
        <w:gridCol w:w="1321"/>
        <w:gridCol w:w="1404"/>
        <w:gridCol w:w="2013"/>
        <w:gridCol w:w="1565"/>
        <w:gridCol w:w="734"/>
      </w:tblGrid>
      <w:tr w:rsidR="005D0661" w:rsidRPr="005D0661" w14:paraId="146DE21D" w14:textId="77777777" w:rsidTr="005D0661">
        <w:trPr>
          <w:cnfStyle w:val="100000000000" w:firstRow="1" w:lastRow="0" w:firstColumn="0" w:lastColumn="0" w:oddVBand="0" w:evenVBand="0" w:oddHBand="0" w:evenHBand="0" w:firstRowFirstColumn="0" w:firstRowLastColumn="0" w:lastRowFirstColumn="0" w:lastRowLastColumn="0"/>
          <w:trHeight w:val="276"/>
        </w:trPr>
        <w:tc>
          <w:tcPr>
            <w:tcW w:w="764" w:type="pct"/>
            <w:noWrap/>
            <w:hideMark/>
          </w:tcPr>
          <w:p w14:paraId="2EB3AED1" w14:textId="15A9ED47" w:rsidR="005D0661" w:rsidRPr="00D21FFE" w:rsidRDefault="003C421F" w:rsidP="005D0661">
            <w:pPr>
              <w:pStyle w:val="af2"/>
              <w:rPr>
                <w:i w:val="0"/>
                <w:iCs/>
              </w:rPr>
            </w:pPr>
            <w:r w:rsidRPr="00D21FFE">
              <w:rPr>
                <w:i w:val="0"/>
                <w:iCs/>
              </w:rPr>
              <w:t>T</w:t>
            </w:r>
          </w:p>
        </w:tc>
        <w:tc>
          <w:tcPr>
            <w:tcW w:w="795" w:type="pct"/>
            <w:noWrap/>
            <w:hideMark/>
          </w:tcPr>
          <w:p w14:paraId="3E46546E" w14:textId="77777777" w:rsidR="005D0661" w:rsidRPr="00D21FFE" w:rsidRDefault="005D0661" w:rsidP="005D0661">
            <w:pPr>
              <w:pStyle w:val="af2"/>
              <w:rPr>
                <w:i w:val="0"/>
                <w:iCs/>
              </w:rPr>
            </w:pPr>
            <w:proofErr w:type="spellStart"/>
            <w:r w:rsidRPr="00D21FFE">
              <w:rPr>
                <w:rFonts w:hint="eastAsia"/>
                <w:i w:val="0"/>
                <w:iCs/>
              </w:rPr>
              <w:t>NoFirms</w:t>
            </w:r>
            <w:proofErr w:type="spellEnd"/>
          </w:p>
        </w:tc>
        <w:tc>
          <w:tcPr>
            <w:tcW w:w="845" w:type="pct"/>
            <w:noWrap/>
            <w:hideMark/>
          </w:tcPr>
          <w:p w14:paraId="2B21C4E6" w14:textId="77777777" w:rsidR="005D0661" w:rsidRPr="00D21FFE" w:rsidRDefault="005D0661" w:rsidP="005D0661">
            <w:pPr>
              <w:pStyle w:val="af2"/>
              <w:rPr>
                <w:i w:val="0"/>
                <w:iCs/>
              </w:rPr>
            </w:pPr>
            <w:r w:rsidRPr="00D21FFE">
              <w:rPr>
                <w:rFonts w:hint="eastAsia"/>
                <w:i w:val="0"/>
                <w:iCs/>
              </w:rPr>
              <w:t>CAARE</w:t>
            </w:r>
          </w:p>
        </w:tc>
        <w:tc>
          <w:tcPr>
            <w:tcW w:w="1212" w:type="pct"/>
            <w:noWrap/>
            <w:hideMark/>
          </w:tcPr>
          <w:p w14:paraId="498B633A" w14:textId="77777777" w:rsidR="005D0661" w:rsidRPr="00D21FFE" w:rsidRDefault="005D0661" w:rsidP="005D0661">
            <w:pPr>
              <w:pStyle w:val="af2"/>
              <w:rPr>
                <w:i w:val="0"/>
                <w:iCs/>
              </w:rPr>
            </w:pPr>
            <w:proofErr w:type="spellStart"/>
            <w:r w:rsidRPr="00D21FFE">
              <w:rPr>
                <w:rFonts w:hint="eastAsia"/>
                <w:i w:val="0"/>
                <w:iCs/>
              </w:rPr>
              <w:t>NCAAREt_test</w:t>
            </w:r>
            <w:proofErr w:type="spellEnd"/>
          </w:p>
        </w:tc>
        <w:tc>
          <w:tcPr>
            <w:tcW w:w="942" w:type="pct"/>
            <w:noWrap/>
            <w:hideMark/>
          </w:tcPr>
          <w:p w14:paraId="036A8057" w14:textId="63592C6B" w:rsidR="005D0661" w:rsidRPr="00D21FFE" w:rsidRDefault="005D0661" w:rsidP="005D0661">
            <w:pPr>
              <w:pStyle w:val="af2"/>
              <w:rPr>
                <w:i w:val="0"/>
                <w:iCs/>
              </w:rPr>
            </w:pPr>
            <w:r w:rsidRPr="00D21FFE">
              <w:rPr>
                <w:i w:val="0"/>
                <w:iCs/>
              </w:rPr>
              <w:t>P</w:t>
            </w:r>
          </w:p>
        </w:tc>
        <w:tc>
          <w:tcPr>
            <w:tcW w:w="442" w:type="pct"/>
            <w:noWrap/>
            <w:hideMark/>
          </w:tcPr>
          <w:p w14:paraId="27CA3C09" w14:textId="7978C723" w:rsidR="005D0661" w:rsidRPr="00D21FFE" w:rsidRDefault="002C7ADB" w:rsidP="005D0661">
            <w:pPr>
              <w:pStyle w:val="af2"/>
              <w:rPr>
                <w:i w:val="0"/>
                <w:iCs/>
              </w:rPr>
            </w:pPr>
            <w:r w:rsidRPr="00D21FFE">
              <w:rPr>
                <w:i w:val="0"/>
                <w:iCs/>
              </w:rPr>
              <w:t>S</w:t>
            </w:r>
            <w:r w:rsidR="005D0661" w:rsidRPr="00D21FFE">
              <w:rPr>
                <w:rFonts w:hint="eastAsia"/>
                <w:i w:val="0"/>
                <w:iCs/>
              </w:rPr>
              <w:t>tar</w:t>
            </w:r>
          </w:p>
        </w:tc>
      </w:tr>
      <w:tr w:rsidR="005D0661" w:rsidRPr="005D0661" w14:paraId="09FD5577" w14:textId="77777777" w:rsidTr="005D0661">
        <w:trPr>
          <w:trHeight w:val="276"/>
        </w:trPr>
        <w:tc>
          <w:tcPr>
            <w:tcW w:w="764" w:type="pct"/>
            <w:noWrap/>
            <w:hideMark/>
          </w:tcPr>
          <w:p w14:paraId="568838E4" w14:textId="77777777" w:rsidR="005D0661" w:rsidRPr="005D0661" w:rsidRDefault="005D0661" w:rsidP="00CB638D">
            <w:pPr>
              <w:pStyle w:val="af2"/>
            </w:pPr>
            <w:r w:rsidRPr="005D0661">
              <w:rPr>
                <w:rFonts w:hint="eastAsia"/>
              </w:rPr>
              <w:t>[-10;10]</w:t>
            </w:r>
          </w:p>
        </w:tc>
        <w:tc>
          <w:tcPr>
            <w:tcW w:w="795" w:type="pct"/>
            <w:noWrap/>
            <w:hideMark/>
          </w:tcPr>
          <w:p w14:paraId="42FB722C" w14:textId="77777777" w:rsidR="005D0661" w:rsidRPr="005D0661" w:rsidRDefault="005D0661" w:rsidP="005D0661">
            <w:pPr>
              <w:pStyle w:val="af2"/>
            </w:pPr>
            <w:r w:rsidRPr="005D0661">
              <w:rPr>
                <w:rFonts w:hint="eastAsia"/>
              </w:rPr>
              <w:t>51</w:t>
            </w:r>
          </w:p>
        </w:tc>
        <w:tc>
          <w:tcPr>
            <w:tcW w:w="845" w:type="pct"/>
            <w:noWrap/>
            <w:hideMark/>
          </w:tcPr>
          <w:p w14:paraId="4357D8AD" w14:textId="77777777" w:rsidR="005D0661" w:rsidRPr="005D0661" w:rsidRDefault="005D0661" w:rsidP="005D0661">
            <w:pPr>
              <w:pStyle w:val="af2"/>
            </w:pPr>
            <w:r w:rsidRPr="005D0661">
              <w:rPr>
                <w:rFonts w:hint="eastAsia"/>
              </w:rPr>
              <w:t>-0.06666</w:t>
            </w:r>
          </w:p>
        </w:tc>
        <w:tc>
          <w:tcPr>
            <w:tcW w:w="1212" w:type="pct"/>
            <w:noWrap/>
            <w:hideMark/>
          </w:tcPr>
          <w:p w14:paraId="1C2044C2" w14:textId="77777777" w:rsidR="005D0661" w:rsidRPr="005D0661" w:rsidRDefault="005D0661" w:rsidP="005D0661">
            <w:pPr>
              <w:pStyle w:val="af2"/>
            </w:pPr>
            <w:r w:rsidRPr="005D0661">
              <w:rPr>
                <w:rFonts w:hint="eastAsia"/>
              </w:rPr>
              <w:t>-2.392926</w:t>
            </w:r>
          </w:p>
        </w:tc>
        <w:tc>
          <w:tcPr>
            <w:tcW w:w="942" w:type="pct"/>
            <w:noWrap/>
            <w:hideMark/>
          </w:tcPr>
          <w:p w14:paraId="1CFA8D23" w14:textId="77777777" w:rsidR="005D0661" w:rsidRPr="005D0661" w:rsidRDefault="005D0661" w:rsidP="005D0661">
            <w:pPr>
              <w:pStyle w:val="af2"/>
            </w:pPr>
            <w:r w:rsidRPr="005D0661">
              <w:rPr>
                <w:rFonts w:hint="eastAsia"/>
              </w:rPr>
              <w:t>0.0186003</w:t>
            </w:r>
          </w:p>
        </w:tc>
        <w:tc>
          <w:tcPr>
            <w:tcW w:w="442" w:type="pct"/>
            <w:noWrap/>
            <w:hideMark/>
          </w:tcPr>
          <w:p w14:paraId="53053634" w14:textId="77777777" w:rsidR="005D0661" w:rsidRPr="005D0661" w:rsidRDefault="005D0661" w:rsidP="005D0661">
            <w:pPr>
              <w:pStyle w:val="af2"/>
            </w:pPr>
            <w:r w:rsidRPr="005D0661">
              <w:rPr>
                <w:rFonts w:hint="eastAsia"/>
              </w:rPr>
              <w:t>**</w:t>
            </w:r>
          </w:p>
        </w:tc>
      </w:tr>
      <w:tr w:rsidR="005D0661" w:rsidRPr="005D0661" w14:paraId="711D3A85" w14:textId="77777777" w:rsidTr="005D0661">
        <w:trPr>
          <w:trHeight w:val="276"/>
        </w:trPr>
        <w:tc>
          <w:tcPr>
            <w:tcW w:w="764" w:type="pct"/>
            <w:noWrap/>
            <w:hideMark/>
          </w:tcPr>
          <w:p w14:paraId="56C47146" w14:textId="77777777" w:rsidR="005D0661" w:rsidRPr="005D0661" w:rsidRDefault="005D0661" w:rsidP="00CB638D">
            <w:pPr>
              <w:pStyle w:val="af2"/>
            </w:pPr>
            <w:r w:rsidRPr="005D0661">
              <w:rPr>
                <w:rFonts w:hint="eastAsia"/>
              </w:rPr>
              <w:t>[-3;3]</w:t>
            </w:r>
          </w:p>
        </w:tc>
        <w:tc>
          <w:tcPr>
            <w:tcW w:w="795" w:type="pct"/>
            <w:noWrap/>
            <w:hideMark/>
          </w:tcPr>
          <w:p w14:paraId="493A695D" w14:textId="77777777" w:rsidR="005D0661" w:rsidRPr="005D0661" w:rsidRDefault="005D0661" w:rsidP="005D0661">
            <w:pPr>
              <w:pStyle w:val="af2"/>
            </w:pPr>
            <w:r w:rsidRPr="005D0661">
              <w:rPr>
                <w:rFonts w:hint="eastAsia"/>
              </w:rPr>
              <w:t>51</w:t>
            </w:r>
          </w:p>
        </w:tc>
        <w:tc>
          <w:tcPr>
            <w:tcW w:w="845" w:type="pct"/>
            <w:noWrap/>
            <w:hideMark/>
          </w:tcPr>
          <w:p w14:paraId="60E8F3F1" w14:textId="77777777" w:rsidR="005D0661" w:rsidRPr="005D0661" w:rsidRDefault="005D0661" w:rsidP="005D0661">
            <w:pPr>
              <w:pStyle w:val="af2"/>
            </w:pPr>
            <w:r w:rsidRPr="005D0661">
              <w:rPr>
                <w:rFonts w:hint="eastAsia"/>
              </w:rPr>
              <w:t>-0.00969</w:t>
            </w:r>
          </w:p>
        </w:tc>
        <w:tc>
          <w:tcPr>
            <w:tcW w:w="1212" w:type="pct"/>
            <w:noWrap/>
            <w:hideMark/>
          </w:tcPr>
          <w:p w14:paraId="63E3589D" w14:textId="77777777" w:rsidR="005D0661" w:rsidRPr="005D0661" w:rsidRDefault="005D0661" w:rsidP="005D0661">
            <w:pPr>
              <w:pStyle w:val="af2"/>
            </w:pPr>
            <w:r w:rsidRPr="005D0661">
              <w:rPr>
                <w:rFonts w:hint="eastAsia"/>
              </w:rPr>
              <w:t>-0.6443244</w:t>
            </w:r>
          </w:p>
        </w:tc>
        <w:tc>
          <w:tcPr>
            <w:tcW w:w="942" w:type="pct"/>
            <w:noWrap/>
            <w:hideMark/>
          </w:tcPr>
          <w:p w14:paraId="23CB66BD" w14:textId="77777777" w:rsidR="005D0661" w:rsidRPr="005D0661" w:rsidRDefault="005D0661" w:rsidP="005D0661">
            <w:pPr>
              <w:pStyle w:val="af2"/>
            </w:pPr>
            <w:r w:rsidRPr="005D0661">
              <w:rPr>
                <w:rFonts w:hint="eastAsia"/>
              </w:rPr>
              <w:t>0.5208552</w:t>
            </w:r>
          </w:p>
        </w:tc>
        <w:tc>
          <w:tcPr>
            <w:tcW w:w="442" w:type="pct"/>
            <w:noWrap/>
            <w:hideMark/>
          </w:tcPr>
          <w:p w14:paraId="4D31231F" w14:textId="77777777" w:rsidR="005D0661" w:rsidRPr="005D0661" w:rsidRDefault="005D0661" w:rsidP="005D0661">
            <w:pPr>
              <w:pStyle w:val="af2"/>
            </w:pPr>
          </w:p>
        </w:tc>
      </w:tr>
      <w:tr w:rsidR="005D0661" w:rsidRPr="005D0661" w14:paraId="142375AE" w14:textId="77777777" w:rsidTr="005D0661">
        <w:trPr>
          <w:trHeight w:val="276"/>
        </w:trPr>
        <w:tc>
          <w:tcPr>
            <w:tcW w:w="764" w:type="pct"/>
            <w:noWrap/>
            <w:hideMark/>
          </w:tcPr>
          <w:p w14:paraId="095AED7E" w14:textId="77777777" w:rsidR="005D0661" w:rsidRPr="005D0661" w:rsidRDefault="005D0661" w:rsidP="00CB638D">
            <w:pPr>
              <w:pStyle w:val="af2"/>
            </w:pPr>
            <w:r w:rsidRPr="005D0661">
              <w:rPr>
                <w:rFonts w:hint="eastAsia"/>
              </w:rPr>
              <w:t>[-1;1]</w:t>
            </w:r>
          </w:p>
        </w:tc>
        <w:tc>
          <w:tcPr>
            <w:tcW w:w="795" w:type="pct"/>
            <w:noWrap/>
            <w:hideMark/>
          </w:tcPr>
          <w:p w14:paraId="0055A0EB" w14:textId="77777777" w:rsidR="005D0661" w:rsidRPr="005D0661" w:rsidRDefault="005D0661" w:rsidP="005D0661">
            <w:pPr>
              <w:pStyle w:val="af2"/>
            </w:pPr>
            <w:r w:rsidRPr="005D0661">
              <w:rPr>
                <w:rFonts w:hint="eastAsia"/>
              </w:rPr>
              <w:t>51</w:t>
            </w:r>
          </w:p>
        </w:tc>
        <w:tc>
          <w:tcPr>
            <w:tcW w:w="845" w:type="pct"/>
            <w:noWrap/>
            <w:hideMark/>
          </w:tcPr>
          <w:p w14:paraId="700AF5F0" w14:textId="77777777" w:rsidR="005D0661" w:rsidRPr="005D0661" w:rsidRDefault="005D0661" w:rsidP="005D0661">
            <w:pPr>
              <w:pStyle w:val="af2"/>
            </w:pPr>
            <w:r w:rsidRPr="005D0661">
              <w:rPr>
                <w:rFonts w:hint="eastAsia"/>
              </w:rPr>
              <w:t>-0.01451</w:t>
            </w:r>
          </w:p>
        </w:tc>
        <w:tc>
          <w:tcPr>
            <w:tcW w:w="1212" w:type="pct"/>
            <w:noWrap/>
            <w:hideMark/>
          </w:tcPr>
          <w:p w14:paraId="6F89FC96" w14:textId="77777777" w:rsidR="005D0661" w:rsidRPr="005D0661" w:rsidRDefault="005D0661" w:rsidP="005D0661">
            <w:pPr>
              <w:pStyle w:val="af2"/>
            </w:pPr>
            <w:r w:rsidRPr="005D0661">
              <w:rPr>
                <w:rFonts w:hint="eastAsia"/>
              </w:rPr>
              <w:t>-1.480602</w:t>
            </w:r>
          </w:p>
        </w:tc>
        <w:tc>
          <w:tcPr>
            <w:tcW w:w="942" w:type="pct"/>
            <w:noWrap/>
            <w:hideMark/>
          </w:tcPr>
          <w:p w14:paraId="1BABED39" w14:textId="77777777" w:rsidR="005D0661" w:rsidRPr="005D0661" w:rsidRDefault="005D0661" w:rsidP="005D0661">
            <w:pPr>
              <w:pStyle w:val="af2"/>
            </w:pPr>
            <w:r w:rsidRPr="005D0661">
              <w:rPr>
                <w:rFonts w:hint="eastAsia"/>
              </w:rPr>
              <w:t>0.1418881</w:t>
            </w:r>
          </w:p>
        </w:tc>
        <w:tc>
          <w:tcPr>
            <w:tcW w:w="442" w:type="pct"/>
            <w:noWrap/>
            <w:hideMark/>
          </w:tcPr>
          <w:p w14:paraId="2DB85862" w14:textId="77777777" w:rsidR="005D0661" w:rsidRPr="005D0661" w:rsidRDefault="005D0661" w:rsidP="005D0661">
            <w:pPr>
              <w:pStyle w:val="af2"/>
            </w:pPr>
          </w:p>
        </w:tc>
      </w:tr>
      <w:tr w:rsidR="005D0661" w:rsidRPr="005D0661" w14:paraId="1B3B7188" w14:textId="77777777" w:rsidTr="005D0661">
        <w:trPr>
          <w:trHeight w:val="276"/>
        </w:trPr>
        <w:tc>
          <w:tcPr>
            <w:tcW w:w="764" w:type="pct"/>
            <w:noWrap/>
            <w:hideMark/>
          </w:tcPr>
          <w:p w14:paraId="2F665207" w14:textId="77777777" w:rsidR="005D0661" w:rsidRPr="005D0661" w:rsidRDefault="005D0661" w:rsidP="00CB638D">
            <w:pPr>
              <w:pStyle w:val="af2"/>
            </w:pPr>
            <w:r w:rsidRPr="005D0661">
              <w:rPr>
                <w:rFonts w:hint="eastAsia"/>
              </w:rPr>
              <w:t>[-2;2]</w:t>
            </w:r>
          </w:p>
        </w:tc>
        <w:tc>
          <w:tcPr>
            <w:tcW w:w="795" w:type="pct"/>
            <w:noWrap/>
            <w:hideMark/>
          </w:tcPr>
          <w:p w14:paraId="0365AAC4" w14:textId="77777777" w:rsidR="005D0661" w:rsidRPr="005D0661" w:rsidRDefault="005D0661" w:rsidP="005D0661">
            <w:pPr>
              <w:pStyle w:val="af2"/>
            </w:pPr>
            <w:r w:rsidRPr="005D0661">
              <w:rPr>
                <w:rFonts w:hint="eastAsia"/>
              </w:rPr>
              <w:t>51</w:t>
            </w:r>
          </w:p>
        </w:tc>
        <w:tc>
          <w:tcPr>
            <w:tcW w:w="845" w:type="pct"/>
            <w:noWrap/>
            <w:hideMark/>
          </w:tcPr>
          <w:p w14:paraId="6E54DAF8" w14:textId="77777777" w:rsidR="005D0661" w:rsidRPr="005D0661" w:rsidRDefault="005D0661" w:rsidP="005D0661">
            <w:pPr>
              <w:pStyle w:val="af2"/>
            </w:pPr>
            <w:r w:rsidRPr="005D0661">
              <w:rPr>
                <w:rFonts w:hint="eastAsia"/>
              </w:rPr>
              <w:t>-0.01132</w:t>
            </w:r>
          </w:p>
        </w:tc>
        <w:tc>
          <w:tcPr>
            <w:tcW w:w="1212" w:type="pct"/>
            <w:noWrap/>
            <w:hideMark/>
          </w:tcPr>
          <w:p w14:paraId="48615E05" w14:textId="77777777" w:rsidR="005D0661" w:rsidRPr="005D0661" w:rsidRDefault="005D0661" w:rsidP="005D0661">
            <w:pPr>
              <w:pStyle w:val="af2"/>
            </w:pPr>
            <w:r w:rsidRPr="005D0661">
              <w:rPr>
                <w:rFonts w:hint="eastAsia"/>
              </w:rPr>
              <w:t>-0.8907949</w:t>
            </w:r>
          </w:p>
        </w:tc>
        <w:tc>
          <w:tcPr>
            <w:tcW w:w="942" w:type="pct"/>
            <w:noWrap/>
            <w:hideMark/>
          </w:tcPr>
          <w:p w14:paraId="5A60BE75" w14:textId="77777777" w:rsidR="005D0661" w:rsidRPr="005D0661" w:rsidRDefault="005D0661" w:rsidP="005D0661">
            <w:pPr>
              <w:pStyle w:val="af2"/>
            </w:pPr>
            <w:r w:rsidRPr="005D0661">
              <w:rPr>
                <w:rFonts w:hint="eastAsia"/>
              </w:rPr>
              <w:t>0.375199</w:t>
            </w:r>
          </w:p>
        </w:tc>
        <w:tc>
          <w:tcPr>
            <w:tcW w:w="442" w:type="pct"/>
            <w:noWrap/>
            <w:hideMark/>
          </w:tcPr>
          <w:p w14:paraId="4C7763C6" w14:textId="77777777" w:rsidR="005D0661" w:rsidRPr="005D0661" w:rsidRDefault="005D0661" w:rsidP="005D0661">
            <w:pPr>
              <w:pStyle w:val="af2"/>
            </w:pPr>
          </w:p>
        </w:tc>
      </w:tr>
      <w:tr w:rsidR="005D0661" w:rsidRPr="005D0661" w14:paraId="5A81EC65" w14:textId="77777777" w:rsidTr="005D0661">
        <w:trPr>
          <w:trHeight w:val="276"/>
        </w:trPr>
        <w:tc>
          <w:tcPr>
            <w:tcW w:w="764" w:type="pct"/>
            <w:noWrap/>
            <w:hideMark/>
          </w:tcPr>
          <w:p w14:paraId="527F36A3" w14:textId="77777777" w:rsidR="005D0661" w:rsidRPr="005D0661" w:rsidRDefault="005D0661" w:rsidP="00CB638D">
            <w:pPr>
              <w:pStyle w:val="af2"/>
            </w:pPr>
            <w:r w:rsidRPr="005D0661">
              <w:rPr>
                <w:rFonts w:hint="eastAsia"/>
              </w:rPr>
              <w:t>[-5;5]</w:t>
            </w:r>
          </w:p>
        </w:tc>
        <w:tc>
          <w:tcPr>
            <w:tcW w:w="795" w:type="pct"/>
            <w:noWrap/>
            <w:hideMark/>
          </w:tcPr>
          <w:p w14:paraId="755FE8F2" w14:textId="77777777" w:rsidR="005D0661" w:rsidRPr="005D0661" w:rsidRDefault="005D0661" w:rsidP="005D0661">
            <w:pPr>
              <w:pStyle w:val="af2"/>
            </w:pPr>
            <w:r w:rsidRPr="005D0661">
              <w:rPr>
                <w:rFonts w:hint="eastAsia"/>
              </w:rPr>
              <w:t>51</w:t>
            </w:r>
          </w:p>
        </w:tc>
        <w:tc>
          <w:tcPr>
            <w:tcW w:w="845" w:type="pct"/>
            <w:noWrap/>
            <w:hideMark/>
          </w:tcPr>
          <w:p w14:paraId="7B789508" w14:textId="77777777" w:rsidR="005D0661" w:rsidRPr="005D0661" w:rsidRDefault="005D0661" w:rsidP="005D0661">
            <w:pPr>
              <w:pStyle w:val="af2"/>
            </w:pPr>
            <w:r w:rsidRPr="005D0661">
              <w:rPr>
                <w:rFonts w:hint="eastAsia"/>
              </w:rPr>
              <w:t>-0.01711</w:t>
            </w:r>
          </w:p>
        </w:tc>
        <w:tc>
          <w:tcPr>
            <w:tcW w:w="1212" w:type="pct"/>
            <w:noWrap/>
            <w:hideMark/>
          </w:tcPr>
          <w:p w14:paraId="5BFA3D54" w14:textId="77777777" w:rsidR="005D0661" w:rsidRPr="005D0661" w:rsidRDefault="005D0661" w:rsidP="005D0661">
            <w:pPr>
              <w:pStyle w:val="af2"/>
            </w:pPr>
            <w:r w:rsidRPr="005D0661">
              <w:rPr>
                <w:rFonts w:hint="eastAsia"/>
              </w:rPr>
              <w:t>-0.8976952</w:t>
            </w:r>
          </w:p>
        </w:tc>
        <w:tc>
          <w:tcPr>
            <w:tcW w:w="942" w:type="pct"/>
            <w:noWrap/>
            <w:hideMark/>
          </w:tcPr>
          <w:p w14:paraId="2A0FAF3C" w14:textId="77777777" w:rsidR="005D0661" w:rsidRPr="005D0661" w:rsidRDefault="005D0661" w:rsidP="005D0661">
            <w:pPr>
              <w:pStyle w:val="af2"/>
            </w:pPr>
            <w:r w:rsidRPr="005D0661">
              <w:rPr>
                <w:rFonts w:hint="eastAsia"/>
              </w:rPr>
              <w:t>0.371526</w:t>
            </w:r>
          </w:p>
        </w:tc>
        <w:tc>
          <w:tcPr>
            <w:tcW w:w="442" w:type="pct"/>
            <w:noWrap/>
            <w:hideMark/>
          </w:tcPr>
          <w:p w14:paraId="36C263F8" w14:textId="77777777" w:rsidR="005D0661" w:rsidRPr="005D0661" w:rsidRDefault="005D0661" w:rsidP="005D0661">
            <w:pPr>
              <w:pStyle w:val="af2"/>
            </w:pPr>
          </w:p>
        </w:tc>
      </w:tr>
      <w:tr w:rsidR="005D0661" w:rsidRPr="005D0661" w14:paraId="110FD575" w14:textId="77777777" w:rsidTr="005D0661">
        <w:trPr>
          <w:trHeight w:val="276"/>
        </w:trPr>
        <w:tc>
          <w:tcPr>
            <w:tcW w:w="764" w:type="pct"/>
            <w:noWrap/>
            <w:hideMark/>
          </w:tcPr>
          <w:p w14:paraId="3D36F7D3" w14:textId="77777777" w:rsidR="005D0661" w:rsidRPr="005D0661" w:rsidRDefault="005D0661" w:rsidP="00CB638D">
            <w:pPr>
              <w:pStyle w:val="af2"/>
            </w:pPr>
            <w:r w:rsidRPr="005D0661">
              <w:rPr>
                <w:rFonts w:hint="eastAsia"/>
              </w:rPr>
              <w:t>[-4;4]</w:t>
            </w:r>
          </w:p>
        </w:tc>
        <w:tc>
          <w:tcPr>
            <w:tcW w:w="795" w:type="pct"/>
            <w:noWrap/>
            <w:hideMark/>
          </w:tcPr>
          <w:p w14:paraId="00CE390A" w14:textId="77777777" w:rsidR="005D0661" w:rsidRPr="005D0661" w:rsidRDefault="005D0661" w:rsidP="005D0661">
            <w:pPr>
              <w:pStyle w:val="af2"/>
            </w:pPr>
            <w:r w:rsidRPr="005D0661">
              <w:rPr>
                <w:rFonts w:hint="eastAsia"/>
              </w:rPr>
              <w:t>51</w:t>
            </w:r>
          </w:p>
        </w:tc>
        <w:tc>
          <w:tcPr>
            <w:tcW w:w="845" w:type="pct"/>
            <w:noWrap/>
            <w:hideMark/>
          </w:tcPr>
          <w:p w14:paraId="026EF0E1" w14:textId="77777777" w:rsidR="005D0661" w:rsidRPr="005D0661" w:rsidRDefault="005D0661" w:rsidP="005D0661">
            <w:pPr>
              <w:pStyle w:val="af2"/>
            </w:pPr>
            <w:r w:rsidRPr="005D0661">
              <w:rPr>
                <w:rFonts w:hint="eastAsia"/>
              </w:rPr>
              <w:t>-0.01873</w:t>
            </w:r>
          </w:p>
        </w:tc>
        <w:tc>
          <w:tcPr>
            <w:tcW w:w="1212" w:type="pct"/>
            <w:noWrap/>
            <w:hideMark/>
          </w:tcPr>
          <w:p w14:paraId="751B9CB6" w14:textId="77777777" w:rsidR="005D0661" w:rsidRPr="005D0661" w:rsidRDefault="005D0661" w:rsidP="005D0661">
            <w:pPr>
              <w:pStyle w:val="af2"/>
            </w:pPr>
            <w:r w:rsidRPr="005D0661">
              <w:rPr>
                <w:rFonts w:hint="eastAsia"/>
              </w:rPr>
              <w:t>-1.094758</w:t>
            </w:r>
          </w:p>
        </w:tc>
        <w:tc>
          <w:tcPr>
            <w:tcW w:w="942" w:type="pct"/>
            <w:noWrap/>
            <w:hideMark/>
          </w:tcPr>
          <w:p w14:paraId="3F57E791" w14:textId="77777777" w:rsidR="005D0661" w:rsidRPr="005D0661" w:rsidRDefault="005D0661" w:rsidP="005D0661">
            <w:pPr>
              <w:pStyle w:val="af2"/>
            </w:pPr>
            <w:r w:rsidRPr="005D0661">
              <w:rPr>
                <w:rFonts w:hint="eastAsia"/>
              </w:rPr>
              <w:t>0.276279</w:t>
            </w:r>
          </w:p>
        </w:tc>
        <w:tc>
          <w:tcPr>
            <w:tcW w:w="442" w:type="pct"/>
            <w:noWrap/>
            <w:hideMark/>
          </w:tcPr>
          <w:p w14:paraId="2A5B7121" w14:textId="77777777" w:rsidR="005D0661" w:rsidRPr="005D0661" w:rsidRDefault="005D0661" w:rsidP="005D0661">
            <w:pPr>
              <w:pStyle w:val="af2"/>
            </w:pPr>
          </w:p>
        </w:tc>
      </w:tr>
      <w:tr w:rsidR="005D0661" w:rsidRPr="005D0661" w14:paraId="6CA1A71E" w14:textId="77777777" w:rsidTr="005D0661">
        <w:trPr>
          <w:trHeight w:val="276"/>
        </w:trPr>
        <w:tc>
          <w:tcPr>
            <w:tcW w:w="764" w:type="pct"/>
            <w:noWrap/>
            <w:hideMark/>
          </w:tcPr>
          <w:p w14:paraId="53F57438" w14:textId="77777777" w:rsidR="005D0661" w:rsidRPr="005D0661" w:rsidRDefault="005D0661" w:rsidP="00CB638D">
            <w:pPr>
              <w:pStyle w:val="af2"/>
            </w:pPr>
            <w:r w:rsidRPr="005D0661">
              <w:rPr>
                <w:rFonts w:hint="eastAsia"/>
              </w:rPr>
              <w:t>[-8;8]</w:t>
            </w:r>
          </w:p>
        </w:tc>
        <w:tc>
          <w:tcPr>
            <w:tcW w:w="795" w:type="pct"/>
            <w:noWrap/>
            <w:hideMark/>
          </w:tcPr>
          <w:p w14:paraId="0A7865B5" w14:textId="77777777" w:rsidR="005D0661" w:rsidRPr="005D0661" w:rsidRDefault="005D0661" w:rsidP="005D0661">
            <w:pPr>
              <w:pStyle w:val="af2"/>
            </w:pPr>
            <w:r w:rsidRPr="005D0661">
              <w:rPr>
                <w:rFonts w:hint="eastAsia"/>
              </w:rPr>
              <w:t>51</w:t>
            </w:r>
          </w:p>
        </w:tc>
        <w:tc>
          <w:tcPr>
            <w:tcW w:w="845" w:type="pct"/>
            <w:noWrap/>
            <w:hideMark/>
          </w:tcPr>
          <w:p w14:paraId="47E290AB" w14:textId="77777777" w:rsidR="005D0661" w:rsidRPr="005D0661" w:rsidRDefault="005D0661" w:rsidP="005D0661">
            <w:pPr>
              <w:pStyle w:val="af2"/>
            </w:pPr>
            <w:r w:rsidRPr="005D0661">
              <w:rPr>
                <w:rFonts w:hint="eastAsia"/>
              </w:rPr>
              <w:t>-0.05596</w:t>
            </w:r>
          </w:p>
        </w:tc>
        <w:tc>
          <w:tcPr>
            <w:tcW w:w="1212" w:type="pct"/>
            <w:noWrap/>
            <w:hideMark/>
          </w:tcPr>
          <w:p w14:paraId="59D4C7A3" w14:textId="77777777" w:rsidR="005D0661" w:rsidRPr="005D0661" w:rsidRDefault="005D0661" w:rsidP="005D0661">
            <w:pPr>
              <w:pStyle w:val="af2"/>
            </w:pPr>
            <w:r w:rsidRPr="005D0661">
              <w:rPr>
                <w:rFonts w:hint="eastAsia"/>
              </w:rPr>
              <w:t>-2.31272</w:t>
            </w:r>
          </w:p>
        </w:tc>
        <w:tc>
          <w:tcPr>
            <w:tcW w:w="942" w:type="pct"/>
            <w:noWrap/>
            <w:hideMark/>
          </w:tcPr>
          <w:p w14:paraId="52FB980C" w14:textId="77777777" w:rsidR="005D0661" w:rsidRPr="005D0661" w:rsidRDefault="005D0661" w:rsidP="005D0661">
            <w:pPr>
              <w:pStyle w:val="af2"/>
            </w:pPr>
            <w:r w:rsidRPr="005D0661">
              <w:rPr>
                <w:rFonts w:hint="eastAsia"/>
              </w:rPr>
              <w:t>0.0228081</w:t>
            </w:r>
          </w:p>
        </w:tc>
        <w:tc>
          <w:tcPr>
            <w:tcW w:w="442" w:type="pct"/>
            <w:noWrap/>
            <w:hideMark/>
          </w:tcPr>
          <w:p w14:paraId="1904EA6A" w14:textId="77777777" w:rsidR="005D0661" w:rsidRPr="005D0661" w:rsidRDefault="005D0661" w:rsidP="005D0661">
            <w:pPr>
              <w:pStyle w:val="af2"/>
            </w:pPr>
            <w:r w:rsidRPr="005D0661">
              <w:rPr>
                <w:rFonts w:hint="eastAsia"/>
              </w:rPr>
              <w:t>**</w:t>
            </w:r>
          </w:p>
        </w:tc>
      </w:tr>
    </w:tbl>
    <w:p w14:paraId="76E6F187" w14:textId="464FEA71" w:rsidR="005137ED" w:rsidRDefault="001761ED" w:rsidP="00563A68">
      <w:pPr>
        <w:ind w:firstLineChars="200" w:firstLine="480"/>
      </w:pPr>
      <w:r>
        <w:rPr>
          <w:rFonts w:hint="eastAsia"/>
        </w:rPr>
        <w:t>为了考察不同事件期内独立董事辞职事件对公司价值变动的影响，我们将事件窗口期分为，（</w:t>
      </w:r>
      <w:r>
        <w:rPr>
          <w:rFonts w:hint="eastAsia"/>
        </w:rPr>
        <w:t>-</w:t>
      </w:r>
      <w:r>
        <w:t>1</w:t>
      </w:r>
      <w:r>
        <w:rPr>
          <w:rFonts w:hint="eastAsia"/>
        </w:rPr>
        <w:t>，</w:t>
      </w:r>
      <w:r>
        <w:rPr>
          <w:rFonts w:hint="eastAsia"/>
        </w:rPr>
        <w:t>1</w:t>
      </w:r>
      <w:r>
        <w:rPr>
          <w:rFonts w:hint="eastAsia"/>
        </w:rPr>
        <w:t>），（</w:t>
      </w:r>
      <w:r>
        <w:t>-2</w:t>
      </w:r>
      <w:r>
        <w:rPr>
          <w:rFonts w:hint="eastAsia"/>
        </w:rPr>
        <w:t>，</w:t>
      </w:r>
      <w:r>
        <w:rPr>
          <w:rFonts w:hint="eastAsia"/>
        </w:rPr>
        <w:t>2</w:t>
      </w:r>
      <w:r>
        <w:rPr>
          <w:rFonts w:hint="eastAsia"/>
        </w:rPr>
        <w:t>），</w:t>
      </w:r>
      <w:r w:rsidR="00D21FFE">
        <w:rPr>
          <w:rFonts w:hint="eastAsia"/>
        </w:rPr>
        <w:t>（</w:t>
      </w:r>
      <w:r w:rsidR="00D21FFE">
        <w:rPr>
          <w:rFonts w:hint="eastAsia"/>
        </w:rPr>
        <w:t>-</w:t>
      </w:r>
      <w:r w:rsidR="00D21FFE">
        <w:t>3</w:t>
      </w:r>
      <w:r w:rsidR="00D21FFE">
        <w:rPr>
          <w:rFonts w:hint="eastAsia"/>
        </w:rPr>
        <w:t>，</w:t>
      </w:r>
      <w:r w:rsidR="00D21FFE">
        <w:rPr>
          <w:rFonts w:hint="eastAsia"/>
        </w:rPr>
        <w:t>3</w:t>
      </w:r>
      <w:r w:rsidR="00D21FFE">
        <w:rPr>
          <w:rFonts w:hint="eastAsia"/>
        </w:rPr>
        <w:t>），</w:t>
      </w:r>
      <w:r>
        <w:rPr>
          <w:rFonts w:hint="eastAsia"/>
        </w:rPr>
        <w:t>（</w:t>
      </w:r>
      <w:r>
        <w:rPr>
          <w:rFonts w:hint="eastAsia"/>
        </w:rPr>
        <w:t>-</w:t>
      </w:r>
      <w:r>
        <w:t>4</w:t>
      </w:r>
      <w:r>
        <w:rPr>
          <w:rFonts w:hint="eastAsia"/>
        </w:rPr>
        <w:t>，</w:t>
      </w:r>
      <w:r>
        <w:rPr>
          <w:rFonts w:hint="eastAsia"/>
        </w:rPr>
        <w:t>4</w:t>
      </w:r>
      <w:r>
        <w:rPr>
          <w:rFonts w:hint="eastAsia"/>
        </w:rPr>
        <w:t>），</w:t>
      </w:r>
      <w:r w:rsidR="00D21FFE">
        <w:rPr>
          <w:rFonts w:hint="eastAsia"/>
        </w:rPr>
        <w:t>（</w:t>
      </w:r>
      <w:r w:rsidR="00D21FFE">
        <w:rPr>
          <w:rFonts w:hint="eastAsia"/>
        </w:rPr>
        <w:t>-</w:t>
      </w:r>
      <w:r w:rsidR="00D21FFE">
        <w:t>5</w:t>
      </w:r>
      <w:r w:rsidR="00D21FFE">
        <w:rPr>
          <w:rFonts w:hint="eastAsia"/>
        </w:rPr>
        <w:t>，</w:t>
      </w:r>
      <w:r w:rsidR="00D21FFE">
        <w:rPr>
          <w:rFonts w:hint="eastAsia"/>
        </w:rPr>
        <w:t>5</w:t>
      </w:r>
      <w:r w:rsidR="00D21FFE">
        <w:rPr>
          <w:rFonts w:hint="eastAsia"/>
        </w:rPr>
        <w:t>），</w:t>
      </w:r>
      <w:r>
        <w:rPr>
          <w:rFonts w:hint="eastAsia"/>
        </w:rPr>
        <w:t>（</w:t>
      </w:r>
      <w:r>
        <w:rPr>
          <w:rFonts w:hint="eastAsia"/>
        </w:rPr>
        <w:t>-</w:t>
      </w:r>
      <w:r>
        <w:t>8</w:t>
      </w:r>
      <w:r>
        <w:rPr>
          <w:rFonts w:hint="eastAsia"/>
        </w:rPr>
        <w:t>，</w:t>
      </w:r>
      <w:r>
        <w:rPr>
          <w:rFonts w:hint="eastAsia"/>
        </w:rPr>
        <w:t>8</w:t>
      </w:r>
      <w:r>
        <w:rPr>
          <w:rFonts w:hint="eastAsia"/>
        </w:rPr>
        <w:t>）</w:t>
      </w:r>
      <w:r w:rsidR="00D21FFE">
        <w:rPr>
          <w:rFonts w:hint="eastAsia"/>
        </w:rPr>
        <w:t>，（</w:t>
      </w:r>
      <w:r w:rsidR="00D21FFE">
        <w:rPr>
          <w:rFonts w:hint="eastAsia"/>
        </w:rPr>
        <w:t>-</w:t>
      </w:r>
      <w:r w:rsidR="00D21FFE">
        <w:t>10</w:t>
      </w:r>
      <w:r w:rsidR="00D21FFE">
        <w:rPr>
          <w:rFonts w:hint="eastAsia"/>
        </w:rPr>
        <w:t>，</w:t>
      </w:r>
      <w:r w:rsidR="00D21FFE">
        <w:rPr>
          <w:rFonts w:hint="eastAsia"/>
        </w:rPr>
        <w:t>1</w:t>
      </w:r>
      <w:r w:rsidR="00D21FFE">
        <w:t>0</w:t>
      </w:r>
      <w:r w:rsidR="00D21FFE">
        <w:rPr>
          <w:rFonts w:hint="eastAsia"/>
        </w:rPr>
        <w:t>）</w:t>
      </w:r>
      <w:r w:rsidR="0015168F">
        <w:rPr>
          <w:rFonts w:hint="eastAsia"/>
        </w:rPr>
        <w:t>七</w:t>
      </w:r>
      <w:r>
        <w:rPr>
          <w:rFonts w:hint="eastAsia"/>
        </w:rPr>
        <w:t>组分别进行了</w:t>
      </w:r>
      <w:r w:rsidR="00D21FFE">
        <w:rPr>
          <w:rFonts w:hint="eastAsia"/>
        </w:rPr>
        <w:t>数据分析。从表格</w:t>
      </w:r>
      <w:r w:rsidR="00554569">
        <w:rPr>
          <w:rFonts w:hint="eastAsia"/>
        </w:rPr>
        <w:t>4</w:t>
      </w:r>
      <w:r w:rsidR="00554569">
        <w:t>-5</w:t>
      </w:r>
      <w:r w:rsidR="00D21FFE">
        <w:rPr>
          <w:rFonts w:hint="eastAsia"/>
        </w:rPr>
        <w:t>中我们可以发现</w:t>
      </w:r>
      <w:r w:rsidR="0015168F">
        <w:rPr>
          <w:rFonts w:hint="eastAsia"/>
        </w:rPr>
        <w:t>，</w:t>
      </w:r>
      <w:r w:rsidR="0015168F">
        <w:rPr>
          <w:rFonts w:hint="eastAsia"/>
        </w:rPr>
        <w:t>5</w:t>
      </w:r>
      <w:r w:rsidR="0015168F">
        <w:t>1</w:t>
      </w:r>
      <w:r w:rsidR="0015168F">
        <w:rPr>
          <w:rFonts w:hint="eastAsia"/>
        </w:rPr>
        <w:t>家发生独立董事辞职事件的</w:t>
      </w:r>
      <w:r w:rsidR="0015168F">
        <w:rPr>
          <w:rFonts w:hint="eastAsia"/>
        </w:rPr>
        <w:t>A</w:t>
      </w:r>
      <w:r w:rsidR="0015168F">
        <w:rPr>
          <w:rFonts w:hint="eastAsia"/>
        </w:rPr>
        <w:t>股上市公司在事件日发生的前后一段时间内，其累积平均异常收益率均为负值，其数据分别为</w:t>
      </w:r>
      <w:r w:rsidR="0015168F">
        <w:rPr>
          <w:rFonts w:hint="eastAsia"/>
        </w:rPr>
        <w:t>-</w:t>
      </w:r>
      <w:r w:rsidR="0015168F">
        <w:t>0.01451</w:t>
      </w:r>
      <w:r w:rsidR="0015168F">
        <w:rPr>
          <w:rFonts w:hint="eastAsia"/>
        </w:rPr>
        <w:t>，</w:t>
      </w:r>
      <w:r w:rsidR="0015168F">
        <w:rPr>
          <w:rFonts w:hint="eastAsia"/>
        </w:rPr>
        <w:t>-</w:t>
      </w:r>
      <w:r w:rsidR="0015168F">
        <w:t>0.01132</w:t>
      </w:r>
      <w:r w:rsidR="0015168F">
        <w:rPr>
          <w:rFonts w:hint="eastAsia"/>
        </w:rPr>
        <w:t>，</w:t>
      </w:r>
      <w:r w:rsidR="0015168F">
        <w:rPr>
          <w:rFonts w:hint="eastAsia"/>
        </w:rPr>
        <w:t>-</w:t>
      </w:r>
      <w:r w:rsidR="0015168F">
        <w:t>0.00969</w:t>
      </w:r>
      <w:r w:rsidR="0015168F">
        <w:rPr>
          <w:rFonts w:hint="eastAsia"/>
        </w:rPr>
        <w:t>，</w:t>
      </w:r>
      <w:r w:rsidR="0015168F">
        <w:rPr>
          <w:rFonts w:hint="eastAsia"/>
        </w:rPr>
        <w:t>-</w:t>
      </w:r>
      <w:r w:rsidR="0015168F">
        <w:lastRenderedPageBreak/>
        <w:t>0.01873</w:t>
      </w:r>
      <w:r w:rsidR="0015168F">
        <w:rPr>
          <w:rFonts w:hint="eastAsia"/>
        </w:rPr>
        <w:t>，</w:t>
      </w:r>
      <w:r w:rsidR="0015168F">
        <w:rPr>
          <w:rFonts w:hint="eastAsia"/>
        </w:rPr>
        <w:t>-</w:t>
      </w:r>
      <w:r w:rsidR="0015168F">
        <w:t>0.01711</w:t>
      </w:r>
      <w:r w:rsidR="0015168F">
        <w:rPr>
          <w:rFonts w:hint="eastAsia"/>
        </w:rPr>
        <w:t>，</w:t>
      </w:r>
      <w:r w:rsidR="0015168F">
        <w:rPr>
          <w:rFonts w:hint="eastAsia"/>
        </w:rPr>
        <w:t>-</w:t>
      </w:r>
      <w:r w:rsidR="0015168F">
        <w:t>0.05596</w:t>
      </w:r>
      <w:r w:rsidR="0015168F">
        <w:rPr>
          <w:rFonts w:hint="eastAsia"/>
        </w:rPr>
        <w:t>，</w:t>
      </w:r>
      <w:r w:rsidR="009B1377">
        <w:rPr>
          <w:rFonts w:hint="eastAsia"/>
        </w:rPr>
        <w:t>-</w:t>
      </w:r>
      <w:r w:rsidR="009B1377">
        <w:t>0.06666</w:t>
      </w:r>
      <w:r w:rsidR="009B1377">
        <w:rPr>
          <w:rFonts w:hint="eastAsia"/>
        </w:rPr>
        <w:t>。其中事件窗口期（</w:t>
      </w:r>
      <w:r w:rsidR="003C421F">
        <w:rPr>
          <w:rFonts w:hint="eastAsia"/>
        </w:rPr>
        <w:t>-</w:t>
      </w:r>
      <w:r w:rsidR="003C421F">
        <w:t>10</w:t>
      </w:r>
      <w:r w:rsidR="003C421F">
        <w:rPr>
          <w:rFonts w:hint="eastAsia"/>
        </w:rPr>
        <w:t>，</w:t>
      </w:r>
      <w:r w:rsidR="003C421F">
        <w:rPr>
          <w:rFonts w:hint="eastAsia"/>
        </w:rPr>
        <w:t>1</w:t>
      </w:r>
      <w:r w:rsidR="003C421F">
        <w:t>0</w:t>
      </w:r>
      <w:r w:rsidR="009B1377">
        <w:rPr>
          <w:rFonts w:hint="eastAsia"/>
        </w:rPr>
        <w:t>）</w:t>
      </w:r>
      <w:r w:rsidR="003C421F">
        <w:rPr>
          <w:rFonts w:hint="eastAsia"/>
        </w:rPr>
        <w:t>和事件窗口期（</w:t>
      </w:r>
      <w:r w:rsidR="003C421F">
        <w:rPr>
          <w:rFonts w:hint="eastAsia"/>
        </w:rPr>
        <w:t>-</w:t>
      </w:r>
      <w:r w:rsidR="003C421F">
        <w:t>8</w:t>
      </w:r>
      <w:r w:rsidR="003C421F">
        <w:rPr>
          <w:rFonts w:hint="eastAsia"/>
        </w:rPr>
        <w:t>，</w:t>
      </w:r>
      <w:r w:rsidR="003C421F">
        <w:rPr>
          <w:rFonts w:hint="eastAsia"/>
        </w:rPr>
        <w:t>8</w:t>
      </w:r>
      <w:r w:rsidR="003C421F">
        <w:rPr>
          <w:rFonts w:hint="eastAsia"/>
        </w:rPr>
        <w:t>）内两组数据在</w:t>
      </w:r>
      <w:r w:rsidR="00E64598">
        <w:t>5</w:t>
      </w:r>
      <w:r w:rsidR="003C421F">
        <w:t>%</w:t>
      </w:r>
      <w:r w:rsidR="003C421F">
        <w:rPr>
          <w:rFonts w:hint="eastAsia"/>
        </w:rPr>
        <w:t>水平上显著，其他事件窗口期内的累积平均异常收益率则没有得到显著性结果。而且</w:t>
      </w:r>
      <w:r w:rsidR="009B1377">
        <w:rPr>
          <w:rFonts w:hint="eastAsia"/>
        </w:rPr>
        <w:t>在事件日发生前后十天内，发生独立董事辞职事件的</w:t>
      </w:r>
      <w:r w:rsidR="009B1377">
        <w:rPr>
          <w:rFonts w:hint="eastAsia"/>
        </w:rPr>
        <w:t>A</w:t>
      </w:r>
      <w:r w:rsidR="009B1377">
        <w:rPr>
          <w:rFonts w:hint="eastAsia"/>
        </w:rPr>
        <w:t>股上市公司累积平均异常收益率最高。</w:t>
      </w:r>
    </w:p>
    <w:p w14:paraId="0D1A026F" w14:textId="581CB35F" w:rsidR="005137ED" w:rsidRDefault="003C421F" w:rsidP="00370439">
      <w:pPr>
        <w:ind w:firstLine="480"/>
      </w:pPr>
      <w:r>
        <w:rPr>
          <w:rFonts w:hint="eastAsia"/>
        </w:rPr>
        <w:t>经过分析，我们认为从独立董事辞职事件的发生，独立董事辞职信号的外部传递，再到市场</w:t>
      </w:r>
      <w:r w:rsidR="006A07C3">
        <w:rPr>
          <w:rFonts w:hint="eastAsia"/>
        </w:rPr>
        <w:t>收到辞职信息并做出相应反应需要一定的时间周期。考虑到信号传递的时效性和决策主体分析信息和采取行动的滞后性以及事件</w:t>
      </w:r>
      <w:proofErr w:type="gramStart"/>
      <w:r w:rsidR="006A07C3">
        <w:rPr>
          <w:rFonts w:hint="eastAsia"/>
        </w:rPr>
        <w:t>日集中</w:t>
      </w:r>
      <w:proofErr w:type="gramEnd"/>
      <w:r w:rsidR="006A07C3">
        <w:rPr>
          <w:rFonts w:hint="eastAsia"/>
        </w:rPr>
        <w:t>在</w:t>
      </w:r>
      <w:r w:rsidR="006A07C3">
        <w:rPr>
          <w:rFonts w:hint="eastAsia"/>
        </w:rPr>
        <w:t>2</w:t>
      </w:r>
      <w:r w:rsidR="006A07C3">
        <w:t>021</w:t>
      </w:r>
      <w:r w:rsidR="006A07C3">
        <w:rPr>
          <w:rFonts w:hint="eastAsia"/>
        </w:rPr>
        <w:t>年底和</w:t>
      </w:r>
      <w:r w:rsidR="006A07C3">
        <w:rPr>
          <w:rFonts w:hint="eastAsia"/>
        </w:rPr>
        <w:t>2</w:t>
      </w:r>
      <w:r w:rsidR="006A07C3">
        <w:t>022</w:t>
      </w:r>
      <w:r w:rsidR="006A07C3">
        <w:rPr>
          <w:rFonts w:hint="eastAsia"/>
        </w:rPr>
        <w:t>年年初的时间背景，我们认为市场需要至少一周的时间来处理独立董事辞职信息，并根据自身利益做出合理的决策。</w:t>
      </w:r>
    </w:p>
    <w:p w14:paraId="1F0703A1" w14:textId="71A0BD91" w:rsidR="000262D7" w:rsidRPr="00471641" w:rsidRDefault="002C7ADB" w:rsidP="00957AE2">
      <w:pPr>
        <w:ind w:firstLine="480"/>
      </w:pPr>
      <w:r>
        <w:rPr>
          <w:rFonts w:hint="eastAsia"/>
        </w:rPr>
        <w:t>为了保证模型的合理性和数据的显著性，</w:t>
      </w:r>
      <w:r w:rsidR="00B34A0E">
        <w:rPr>
          <w:rFonts w:hint="eastAsia"/>
        </w:rPr>
        <w:t>根据以上的相关分析，</w:t>
      </w:r>
      <w:r>
        <w:rPr>
          <w:rFonts w:hint="eastAsia"/>
        </w:rPr>
        <w:t>我们选取了独立董事辞职事件日发生前后十天作为具体研究对象，并将</w:t>
      </w:r>
      <w:r>
        <w:rPr>
          <w:rFonts w:hint="eastAsia"/>
        </w:rPr>
        <w:t>car</w:t>
      </w:r>
      <w:r>
        <w:t>(-10,10)</w:t>
      </w:r>
      <w:r>
        <w:rPr>
          <w:rFonts w:hint="eastAsia"/>
        </w:rPr>
        <w:t>以天为单位划分为二十个期间，分别进行分析，并进行显著性检验。</w:t>
      </w:r>
      <w:r w:rsidR="00957AE2">
        <w:rPr>
          <w:rFonts w:hint="eastAsia"/>
        </w:rPr>
        <w:t>检验结果如下表格所示。</w:t>
      </w:r>
    </w:p>
    <w:p w14:paraId="6CF12C70" w14:textId="496A2D05" w:rsidR="009343DF" w:rsidRDefault="00C21817" w:rsidP="006407C6">
      <w:pPr>
        <w:pStyle w:val="a3"/>
        <w:keepNext/>
        <w:ind w:firstLine="480"/>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2378D8">
        <w:t>5</w:t>
      </w:r>
      <w:r>
        <w:rPr>
          <w:rFonts w:hint="eastAsia"/>
        </w:rPr>
        <w:t>（</w:t>
      </w:r>
      <w:r>
        <w:rPr>
          <w:rFonts w:hint="eastAsia"/>
        </w:rPr>
        <w:t>-</w:t>
      </w:r>
      <w:r>
        <w:t>10</w:t>
      </w:r>
      <w:r>
        <w:rPr>
          <w:rFonts w:hint="eastAsia"/>
        </w:rPr>
        <w:t>，</w:t>
      </w:r>
      <w:r>
        <w:rPr>
          <w:rFonts w:hint="eastAsia"/>
        </w:rPr>
        <w:t>1</w:t>
      </w:r>
      <w:r>
        <w:t>0</w:t>
      </w:r>
      <w:r>
        <w:rPr>
          <w:rFonts w:hint="eastAsia"/>
        </w:rPr>
        <w:t>）每日数据</w:t>
      </w:r>
    </w:p>
    <w:tbl>
      <w:tblPr>
        <w:tblStyle w:val="af6"/>
        <w:tblW w:w="5000" w:type="pct"/>
        <w:tblLook w:val="04A0" w:firstRow="1" w:lastRow="0" w:firstColumn="1" w:lastColumn="0" w:noHBand="0" w:noVBand="1"/>
      </w:tblPr>
      <w:tblGrid>
        <w:gridCol w:w="1582"/>
        <w:gridCol w:w="1571"/>
        <w:gridCol w:w="2492"/>
        <w:gridCol w:w="1799"/>
        <w:gridCol w:w="862"/>
      </w:tblGrid>
      <w:tr w:rsidR="00057AE8" w:rsidRPr="00B00143" w14:paraId="16EE37E5" w14:textId="77777777" w:rsidTr="00057AE8">
        <w:trPr>
          <w:cnfStyle w:val="100000000000" w:firstRow="1" w:lastRow="0" w:firstColumn="0" w:lastColumn="0" w:oddVBand="0" w:evenVBand="0" w:oddHBand="0" w:evenHBand="0" w:firstRowFirstColumn="0" w:firstRowLastColumn="0" w:lastRowFirstColumn="0" w:lastRowLastColumn="0"/>
          <w:trHeight w:val="276"/>
        </w:trPr>
        <w:tc>
          <w:tcPr>
            <w:tcW w:w="952" w:type="pct"/>
            <w:noWrap/>
            <w:hideMark/>
          </w:tcPr>
          <w:p w14:paraId="7B9C6562" w14:textId="029A8F0F" w:rsidR="00057AE8" w:rsidRPr="00B00143" w:rsidRDefault="00F7731D" w:rsidP="00B00143">
            <w:pPr>
              <w:pStyle w:val="af2"/>
            </w:pPr>
            <w:r w:rsidRPr="00B00143">
              <w:t>T</w:t>
            </w:r>
          </w:p>
        </w:tc>
        <w:tc>
          <w:tcPr>
            <w:tcW w:w="946" w:type="pct"/>
            <w:noWrap/>
            <w:hideMark/>
          </w:tcPr>
          <w:p w14:paraId="39EA60F4" w14:textId="77777777" w:rsidR="00057AE8" w:rsidRPr="00B00143" w:rsidRDefault="00057AE8" w:rsidP="00B00143">
            <w:pPr>
              <w:pStyle w:val="af2"/>
            </w:pPr>
            <w:r w:rsidRPr="00B00143">
              <w:rPr>
                <w:rFonts w:hint="eastAsia"/>
              </w:rPr>
              <w:t>CAARE</w:t>
            </w:r>
          </w:p>
        </w:tc>
        <w:tc>
          <w:tcPr>
            <w:tcW w:w="1500" w:type="pct"/>
            <w:noWrap/>
            <w:hideMark/>
          </w:tcPr>
          <w:p w14:paraId="6F965052" w14:textId="77777777" w:rsidR="00057AE8" w:rsidRPr="00B00143" w:rsidRDefault="00057AE8" w:rsidP="00B00143">
            <w:pPr>
              <w:pStyle w:val="af2"/>
            </w:pPr>
            <w:proofErr w:type="spellStart"/>
            <w:r w:rsidRPr="00B00143">
              <w:rPr>
                <w:rFonts w:hint="eastAsia"/>
              </w:rPr>
              <w:t>NCAAREt_test</w:t>
            </w:r>
            <w:proofErr w:type="spellEnd"/>
          </w:p>
        </w:tc>
        <w:tc>
          <w:tcPr>
            <w:tcW w:w="1083" w:type="pct"/>
            <w:noWrap/>
            <w:hideMark/>
          </w:tcPr>
          <w:p w14:paraId="74945844" w14:textId="77777777" w:rsidR="00057AE8" w:rsidRPr="00B00143" w:rsidRDefault="00057AE8" w:rsidP="00B00143">
            <w:pPr>
              <w:pStyle w:val="af2"/>
            </w:pPr>
            <w:r w:rsidRPr="00B00143">
              <w:rPr>
                <w:rFonts w:hint="eastAsia"/>
              </w:rPr>
              <w:t>p</w:t>
            </w:r>
          </w:p>
        </w:tc>
        <w:tc>
          <w:tcPr>
            <w:tcW w:w="519" w:type="pct"/>
            <w:noWrap/>
            <w:hideMark/>
          </w:tcPr>
          <w:p w14:paraId="7A0B19EB" w14:textId="77777777" w:rsidR="00057AE8" w:rsidRPr="00B00143" w:rsidRDefault="00057AE8" w:rsidP="00B00143">
            <w:pPr>
              <w:pStyle w:val="af2"/>
            </w:pPr>
            <w:r w:rsidRPr="00B00143">
              <w:rPr>
                <w:rFonts w:hint="eastAsia"/>
              </w:rPr>
              <w:t>star</w:t>
            </w:r>
          </w:p>
        </w:tc>
      </w:tr>
      <w:tr w:rsidR="00057AE8" w:rsidRPr="00B00143" w14:paraId="09B60AE2" w14:textId="77777777" w:rsidTr="00057AE8">
        <w:trPr>
          <w:trHeight w:val="276"/>
        </w:trPr>
        <w:tc>
          <w:tcPr>
            <w:tcW w:w="952" w:type="pct"/>
            <w:noWrap/>
            <w:hideMark/>
          </w:tcPr>
          <w:p w14:paraId="4BE318D8"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10]</w:t>
            </w:r>
          </w:p>
        </w:tc>
        <w:tc>
          <w:tcPr>
            <w:tcW w:w="946" w:type="pct"/>
            <w:noWrap/>
            <w:hideMark/>
          </w:tcPr>
          <w:p w14:paraId="623CE956" w14:textId="77777777" w:rsidR="00057AE8" w:rsidRPr="00B00143" w:rsidRDefault="00057AE8" w:rsidP="00B00143">
            <w:pPr>
              <w:pStyle w:val="af2"/>
            </w:pPr>
            <w:r w:rsidRPr="00B00143">
              <w:rPr>
                <w:rFonts w:hint="eastAsia"/>
              </w:rPr>
              <w:t>-0.00435</w:t>
            </w:r>
          </w:p>
        </w:tc>
        <w:tc>
          <w:tcPr>
            <w:tcW w:w="1500" w:type="pct"/>
            <w:noWrap/>
            <w:hideMark/>
          </w:tcPr>
          <w:p w14:paraId="55D08466" w14:textId="77777777" w:rsidR="00057AE8" w:rsidRPr="00B00143" w:rsidRDefault="00057AE8" w:rsidP="00B00143">
            <w:pPr>
              <w:pStyle w:val="af2"/>
            </w:pPr>
            <w:r w:rsidRPr="00B00143">
              <w:rPr>
                <w:rFonts w:hint="eastAsia"/>
              </w:rPr>
              <w:t>-0.76325</w:t>
            </w:r>
          </w:p>
        </w:tc>
        <w:tc>
          <w:tcPr>
            <w:tcW w:w="1083" w:type="pct"/>
            <w:noWrap/>
            <w:hideMark/>
          </w:tcPr>
          <w:p w14:paraId="3B741612" w14:textId="77777777" w:rsidR="00057AE8" w:rsidRPr="00B00143" w:rsidRDefault="00057AE8" w:rsidP="00B00143">
            <w:pPr>
              <w:pStyle w:val="af2"/>
            </w:pPr>
            <w:r w:rsidRPr="00B00143">
              <w:rPr>
                <w:rFonts w:hint="eastAsia"/>
              </w:rPr>
              <w:t>0.447127</w:t>
            </w:r>
          </w:p>
        </w:tc>
        <w:tc>
          <w:tcPr>
            <w:tcW w:w="519" w:type="pct"/>
            <w:noWrap/>
            <w:hideMark/>
          </w:tcPr>
          <w:p w14:paraId="6F7F8249" w14:textId="77777777" w:rsidR="00057AE8" w:rsidRPr="00B00143" w:rsidRDefault="00057AE8" w:rsidP="00B00143">
            <w:pPr>
              <w:pStyle w:val="af2"/>
            </w:pPr>
          </w:p>
        </w:tc>
      </w:tr>
      <w:tr w:rsidR="00057AE8" w:rsidRPr="00B00143" w14:paraId="7ACA087A" w14:textId="77777777" w:rsidTr="00057AE8">
        <w:trPr>
          <w:trHeight w:val="276"/>
        </w:trPr>
        <w:tc>
          <w:tcPr>
            <w:tcW w:w="952" w:type="pct"/>
            <w:noWrap/>
            <w:hideMark/>
          </w:tcPr>
          <w:p w14:paraId="27CC23FE"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9]</w:t>
            </w:r>
          </w:p>
        </w:tc>
        <w:tc>
          <w:tcPr>
            <w:tcW w:w="946" w:type="pct"/>
            <w:noWrap/>
            <w:hideMark/>
          </w:tcPr>
          <w:p w14:paraId="5D8DA156" w14:textId="77777777" w:rsidR="00057AE8" w:rsidRPr="00B00143" w:rsidRDefault="00057AE8" w:rsidP="00B00143">
            <w:pPr>
              <w:pStyle w:val="af2"/>
            </w:pPr>
            <w:r w:rsidRPr="00B00143">
              <w:rPr>
                <w:rFonts w:hint="eastAsia"/>
              </w:rPr>
              <w:t>-0.01153</w:t>
            </w:r>
          </w:p>
        </w:tc>
        <w:tc>
          <w:tcPr>
            <w:tcW w:w="1500" w:type="pct"/>
            <w:noWrap/>
            <w:hideMark/>
          </w:tcPr>
          <w:p w14:paraId="1D7346D2" w14:textId="77777777" w:rsidR="00057AE8" w:rsidRPr="00B00143" w:rsidRDefault="00057AE8" w:rsidP="00B00143">
            <w:pPr>
              <w:pStyle w:val="af2"/>
            </w:pPr>
            <w:r w:rsidRPr="00B00143">
              <w:rPr>
                <w:rFonts w:hint="eastAsia"/>
              </w:rPr>
              <w:t>-1.41785</w:t>
            </w:r>
          </w:p>
        </w:tc>
        <w:tc>
          <w:tcPr>
            <w:tcW w:w="1083" w:type="pct"/>
            <w:noWrap/>
            <w:hideMark/>
          </w:tcPr>
          <w:p w14:paraId="6A70B350" w14:textId="77777777" w:rsidR="00057AE8" w:rsidRPr="00B00143" w:rsidRDefault="00057AE8" w:rsidP="00B00143">
            <w:pPr>
              <w:pStyle w:val="af2"/>
            </w:pPr>
            <w:r w:rsidRPr="00B00143">
              <w:rPr>
                <w:rFonts w:hint="eastAsia"/>
              </w:rPr>
              <w:t>0.1593737</w:t>
            </w:r>
          </w:p>
        </w:tc>
        <w:tc>
          <w:tcPr>
            <w:tcW w:w="519" w:type="pct"/>
            <w:noWrap/>
            <w:hideMark/>
          </w:tcPr>
          <w:p w14:paraId="009BF9C7" w14:textId="77777777" w:rsidR="00057AE8" w:rsidRPr="00B00143" w:rsidRDefault="00057AE8" w:rsidP="00B00143">
            <w:pPr>
              <w:pStyle w:val="af2"/>
            </w:pPr>
          </w:p>
        </w:tc>
      </w:tr>
      <w:tr w:rsidR="00057AE8" w:rsidRPr="00B00143" w14:paraId="08DD57F3" w14:textId="77777777" w:rsidTr="00057AE8">
        <w:trPr>
          <w:trHeight w:val="276"/>
        </w:trPr>
        <w:tc>
          <w:tcPr>
            <w:tcW w:w="952" w:type="pct"/>
            <w:noWrap/>
            <w:hideMark/>
          </w:tcPr>
          <w:p w14:paraId="33B43193"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8]</w:t>
            </w:r>
          </w:p>
        </w:tc>
        <w:tc>
          <w:tcPr>
            <w:tcW w:w="946" w:type="pct"/>
            <w:noWrap/>
            <w:hideMark/>
          </w:tcPr>
          <w:p w14:paraId="22DEA028" w14:textId="77777777" w:rsidR="00057AE8" w:rsidRPr="00B00143" w:rsidRDefault="00057AE8" w:rsidP="00B00143">
            <w:pPr>
              <w:pStyle w:val="af2"/>
            </w:pPr>
            <w:r w:rsidRPr="00B00143">
              <w:rPr>
                <w:rFonts w:hint="eastAsia"/>
              </w:rPr>
              <w:t>-0.01786</w:t>
            </w:r>
          </w:p>
        </w:tc>
        <w:tc>
          <w:tcPr>
            <w:tcW w:w="1500" w:type="pct"/>
            <w:noWrap/>
            <w:hideMark/>
          </w:tcPr>
          <w:p w14:paraId="51B2EA82" w14:textId="77777777" w:rsidR="00057AE8" w:rsidRPr="00B00143" w:rsidRDefault="00057AE8" w:rsidP="00B00143">
            <w:pPr>
              <w:pStyle w:val="af2"/>
            </w:pPr>
            <w:r w:rsidRPr="00B00143">
              <w:rPr>
                <w:rFonts w:hint="eastAsia"/>
              </w:rPr>
              <w:t>-1.81258</w:t>
            </w:r>
          </w:p>
        </w:tc>
        <w:tc>
          <w:tcPr>
            <w:tcW w:w="1083" w:type="pct"/>
            <w:noWrap/>
            <w:hideMark/>
          </w:tcPr>
          <w:p w14:paraId="57DB5E1C" w14:textId="77777777" w:rsidR="00057AE8" w:rsidRPr="00B00143" w:rsidRDefault="00057AE8" w:rsidP="00B00143">
            <w:pPr>
              <w:pStyle w:val="af2"/>
            </w:pPr>
            <w:r w:rsidRPr="00B00143">
              <w:rPr>
                <w:rFonts w:hint="eastAsia"/>
              </w:rPr>
              <w:t>0.0729269</w:t>
            </w:r>
          </w:p>
        </w:tc>
        <w:tc>
          <w:tcPr>
            <w:tcW w:w="519" w:type="pct"/>
            <w:noWrap/>
            <w:hideMark/>
          </w:tcPr>
          <w:p w14:paraId="15B62CB2" w14:textId="77777777" w:rsidR="00057AE8" w:rsidRPr="00B00143" w:rsidRDefault="00057AE8" w:rsidP="00B00143">
            <w:pPr>
              <w:pStyle w:val="af2"/>
            </w:pPr>
            <w:r w:rsidRPr="00B00143">
              <w:rPr>
                <w:rFonts w:hint="eastAsia"/>
              </w:rPr>
              <w:t>*</w:t>
            </w:r>
          </w:p>
        </w:tc>
      </w:tr>
      <w:tr w:rsidR="00057AE8" w:rsidRPr="00B00143" w14:paraId="06783F44" w14:textId="77777777" w:rsidTr="00057AE8">
        <w:trPr>
          <w:trHeight w:val="276"/>
        </w:trPr>
        <w:tc>
          <w:tcPr>
            <w:tcW w:w="952" w:type="pct"/>
            <w:noWrap/>
            <w:hideMark/>
          </w:tcPr>
          <w:p w14:paraId="2E83A9FE"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7]</w:t>
            </w:r>
          </w:p>
        </w:tc>
        <w:tc>
          <w:tcPr>
            <w:tcW w:w="946" w:type="pct"/>
            <w:noWrap/>
            <w:hideMark/>
          </w:tcPr>
          <w:p w14:paraId="0C1D4F44" w14:textId="77777777" w:rsidR="00057AE8" w:rsidRPr="00B00143" w:rsidRDefault="00057AE8" w:rsidP="00B00143">
            <w:pPr>
              <w:pStyle w:val="af2"/>
            </w:pPr>
            <w:r w:rsidRPr="00B00143">
              <w:rPr>
                <w:rFonts w:hint="eastAsia"/>
              </w:rPr>
              <w:t>-0.0255</w:t>
            </w:r>
          </w:p>
        </w:tc>
        <w:tc>
          <w:tcPr>
            <w:tcW w:w="1500" w:type="pct"/>
            <w:noWrap/>
            <w:hideMark/>
          </w:tcPr>
          <w:p w14:paraId="5B769CF2" w14:textId="77777777" w:rsidR="00057AE8" w:rsidRPr="00B00143" w:rsidRDefault="00057AE8" w:rsidP="00B00143">
            <w:pPr>
              <w:pStyle w:val="af2"/>
            </w:pPr>
            <w:r w:rsidRPr="00B00143">
              <w:rPr>
                <w:rFonts w:hint="eastAsia"/>
              </w:rPr>
              <w:t>-2.245</w:t>
            </w:r>
          </w:p>
        </w:tc>
        <w:tc>
          <w:tcPr>
            <w:tcW w:w="1083" w:type="pct"/>
            <w:noWrap/>
            <w:hideMark/>
          </w:tcPr>
          <w:p w14:paraId="706FE76C" w14:textId="77777777" w:rsidR="00057AE8" w:rsidRPr="00B00143" w:rsidRDefault="00057AE8" w:rsidP="00B00143">
            <w:pPr>
              <w:pStyle w:val="af2"/>
            </w:pPr>
            <w:r w:rsidRPr="00B00143">
              <w:rPr>
                <w:rFonts w:hint="eastAsia"/>
              </w:rPr>
              <w:t>0.0269927</w:t>
            </w:r>
          </w:p>
        </w:tc>
        <w:tc>
          <w:tcPr>
            <w:tcW w:w="519" w:type="pct"/>
            <w:noWrap/>
            <w:hideMark/>
          </w:tcPr>
          <w:p w14:paraId="100E0F93" w14:textId="77777777" w:rsidR="00057AE8" w:rsidRPr="00B00143" w:rsidRDefault="00057AE8" w:rsidP="00B00143">
            <w:pPr>
              <w:pStyle w:val="af2"/>
            </w:pPr>
            <w:r w:rsidRPr="00B00143">
              <w:rPr>
                <w:rFonts w:hint="eastAsia"/>
              </w:rPr>
              <w:t>**</w:t>
            </w:r>
          </w:p>
        </w:tc>
      </w:tr>
      <w:tr w:rsidR="00057AE8" w:rsidRPr="00B00143" w14:paraId="1F89770E" w14:textId="77777777" w:rsidTr="00057AE8">
        <w:trPr>
          <w:trHeight w:val="276"/>
        </w:trPr>
        <w:tc>
          <w:tcPr>
            <w:tcW w:w="952" w:type="pct"/>
            <w:noWrap/>
            <w:hideMark/>
          </w:tcPr>
          <w:p w14:paraId="4E1FC468"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6]</w:t>
            </w:r>
          </w:p>
        </w:tc>
        <w:tc>
          <w:tcPr>
            <w:tcW w:w="946" w:type="pct"/>
            <w:noWrap/>
            <w:hideMark/>
          </w:tcPr>
          <w:p w14:paraId="33BEA62B" w14:textId="77777777" w:rsidR="00057AE8" w:rsidRPr="00B00143" w:rsidRDefault="00057AE8" w:rsidP="00B00143">
            <w:pPr>
              <w:pStyle w:val="af2"/>
            </w:pPr>
            <w:r w:rsidRPr="00B00143">
              <w:rPr>
                <w:rFonts w:hint="eastAsia"/>
              </w:rPr>
              <w:t>-0.03081</w:t>
            </w:r>
          </w:p>
        </w:tc>
        <w:tc>
          <w:tcPr>
            <w:tcW w:w="1500" w:type="pct"/>
            <w:noWrap/>
            <w:hideMark/>
          </w:tcPr>
          <w:p w14:paraId="33F9980A" w14:textId="77777777" w:rsidR="00057AE8" w:rsidRPr="00B00143" w:rsidRDefault="00057AE8" w:rsidP="00B00143">
            <w:pPr>
              <w:pStyle w:val="af2"/>
            </w:pPr>
            <w:r w:rsidRPr="00B00143">
              <w:rPr>
                <w:rFonts w:hint="eastAsia"/>
              </w:rPr>
              <w:t>-2.42745</w:t>
            </w:r>
          </w:p>
        </w:tc>
        <w:tc>
          <w:tcPr>
            <w:tcW w:w="1083" w:type="pct"/>
            <w:noWrap/>
            <w:hideMark/>
          </w:tcPr>
          <w:p w14:paraId="094A7800" w14:textId="77777777" w:rsidR="00057AE8" w:rsidRPr="00B00143" w:rsidRDefault="00057AE8" w:rsidP="00B00143">
            <w:pPr>
              <w:pStyle w:val="af2"/>
            </w:pPr>
            <w:r w:rsidRPr="00B00143">
              <w:rPr>
                <w:rFonts w:hint="eastAsia"/>
              </w:rPr>
              <w:t>0.0170122</w:t>
            </w:r>
          </w:p>
        </w:tc>
        <w:tc>
          <w:tcPr>
            <w:tcW w:w="519" w:type="pct"/>
            <w:noWrap/>
            <w:hideMark/>
          </w:tcPr>
          <w:p w14:paraId="08EA4C9A" w14:textId="77777777" w:rsidR="00057AE8" w:rsidRPr="00B00143" w:rsidRDefault="00057AE8" w:rsidP="00B00143">
            <w:pPr>
              <w:pStyle w:val="af2"/>
            </w:pPr>
            <w:r w:rsidRPr="00B00143">
              <w:rPr>
                <w:rFonts w:hint="eastAsia"/>
              </w:rPr>
              <w:t>**</w:t>
            </w:r>
          </w:p>
        </w:tc>
      </w:tr>
      <w:tr w:rsidR="00057AE8" w:rsidRPr="00B00143" w14:paraId="12AA7677" w14:textId="77777777" w:rsidTr="00057AE8">
        <w:trPr>
          <w:trHeight w:val="276"/>
        </w:trPr>
        <w:tc>
          <w:tcPr>
            <w:tcW w:w="952" w:type="pct"/>
            <w:noWrap/>
            <w:hideMark/>
          </w:tcPr>
          <w:p w14:paraId="77A91605"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5]</w:t>
            </w:r>
          </w:p>
        </w:tc>
        <w:tc>
          <w:tcPr>
            <w:tcW w:w="946" w:type="pct"/>
            <w:noWrap/>
            <w:hideMark/>
          </w:tcPr>
          <w:p w14:paraId="2CBEB807" w14:textId="77777777" w:rsidR="00057AE8" w:rsidRPr="00B00143" w:rsidRDefault="00057AE8" w:rsidP="00B00143">
            <w:pPr>
              <w:pStyle w:val="af2"/>
            </w:pPr>
            <w:r w:rsidRPr="00B00143">
              <w:rPr>
                <w:rFonts w:hint="eastAsia"/>
              </w:rPr>
              <w:t>-0.03348</w:t>
            </w:r>
          </w:p>
        </w:tc>
        <w:tc>
          <w:tcPr>
            <w:tcW w:w="1500" w:type="pct"/>
            <w:noWrap/>
            <w:hideMark/>
          </w:tcPr>
          <w:p w14:paraId="2BA6A1E9" w14:textId="77777777" w:rsidR="00057AE8" w:rsidRPr="00B00143" w:rsidRDefault="00057AE8" w:rsidP="00B00143">
            <w:pPr>
              <w:pStyle w:val="af2"/>
            </w:pPr>
            <w:r w:rsidRPr="00B00143">
              <w:rPr>
                <w:rFonts w:hint="eastAsia"/>
              </w:rPr>
              <w:t>-2.39833</w:t>
            </w:r>
          </w:p>
        </w:tc>
        <w:tc>
          <w:tcPr>
            <w:tcW w:w="1083" w:type="pct"/>
            <w:noWrap/>
            <w:hideMark/>
          </w:tcPr>
          <w:p w14:paraId="329E386B" w14:textId="77777777" w:rsidR="00057AE8" w:rsidRPr="00B00143" w:rsidRDefault="00057AE8" w:rsidP="00B00143">
            <w:pPr>
              <w:pStyle w:val="af2"/>
            </w:pPr>
            <w:r w:rsidRPr="00B00143">
              <w:rPr>
                <w:rFonts w:hint="eastAsia"/>
              </w:rPr>
              <w:t>0.0183435</w:t>
            </w:r>
          </w:p>
        </w:tc>
        <w:tc>
          <w:tcPr>
            <w:tcW w:w="519" w:type="pct"/>
            <w:noWrap/>
            <w:hideMark/>
          </w:tcPr>
          <w:p w14:paraId="7AE7335D" w14:textId="77777777" w:rsidR="00057AE8" w:rsidRPr="00B00143" w:rsidRDefault="00057AE8" w:rsidP="00B00143">
            <w:pPr>
              <w:pStyle w:val="af2"/>
            </w:pPr>
            <w:r w:rsidRPr="00B00143">
              <w:rPr>
                <w:rFonts w:hint="eastAsia"/>
              </w:rPr>
              <w:t>**</w:t>
            </w:r>
          </w:p>
        </w:tc>
      </w:tr>
      <w:tr w:rsidR="00057AE8" w:rsidRPr="00B00143" w14:paraId="0F05F5E0" w14:textId="77777777" w:rsidTr="00057AE8">
        <w:trPr>
          <w:trHeight w:val="276"/>
        </w:trPr>
        <w:tc>
          <w:tcPr>
            <w:tcW w:w="952" w:type="pct"/>
            <w:noWrap/>
            <w:hideMark/>
          </w:tcPr>
          <w:p w14:paraId="308F7A7D"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4]</w:t>
            </w:r>
          </w:p>
        </w:tc>
        <w:tc>
          <w:tcPr>
            <w:tcW w:w="946" w:type="pct"/>
            <w:noWrap/>
            <w:hideMark/>
          </w:tcPr>
          <w:p w14:paraId="0B5ADD4A" w14:textId="77777777" w:rsidR="00057AE8" w:rsidRPr="00B00143" w:rsidRDefault="00057AE8" w:rsidP="00B00143">
            <w:pPr>
              <w:pStyle w:val="af2"/>
            </w:pPr>
            <w:r w:rsidRPr="00B00143">
              <w:rPr>
                <w:rFonts w:hint="eastAsia"/>
              </w:rPr>
              <w:t>-0.03825</w:t>
            </w:r>
          </w:p>
        </w:tc>
        <w:tc>
          <w:tcPr>
            <w:tcW w:w="1500" w:type="pct"/>
            <w:noWrap/>
            <w:hideMark/>
          </w:tcPr>
          <w:p w14:paraId="37E8051F" w14:textId="77777777" w:rsidR="00057AE8" w:rsidRPr="00B00143" w:rsidRDefault="00057AE8" w:rsidP="00B00143">
            <w:pPr>
              <w:pStyle w:val="af2"/>
            </w:pPr>
            <w:r w:rsidRPr="00B00143">
              <w:rPr>
                <w:rFonts w:hint="eastAsia"/>
              </w:rPr>
              <w:t>-2.53448</w:t>
            </w:r>
          </w:p>
        </w:tc>
        <w:tc>
          <w:tcPr>
            <w:tcW w:w="1083" w:type="pct"/>
            <w:noWrap/>
            <w:hideMark/>
          </w:tcPr>
          <w:p w14:paraId="5B195AAA" w14:textId="77777777" w:rsidR="00057AE8" w:rsidRPr="00B00143" w:rsidRDefault="00057AE8" w:rsidP="00B00143">
            <w:pPr>
              <w:pStyle w:val="af2"/>
            </w:pPr>
            <w:r w:rsidRPr="00B00143">
              <w:rPr>
                <w:rFonts w:hint="eastAsia"/>
              </w:rPr>
              <w:t>0.0128287</w:t>
            </w:r>
          </w:p>
        </w:tc>
        <w:tc>
          <w:tcPr>
            <w:tcW w:w="519" w:type="pct"/>
            <w:noWrap/>
            <w:hideMark/>
          </w:tcPr>
          <w:p w14:paraId="76B814E1" w14:textId="77777777" w:rsidR="00057AE8" w:rsidRPr="00B00143" w:rsidRDefault="00057AE8" w:rsidP="00B00143">
            <w:pPr>
              <w:pStyle w:val="af2"/>
            </w:pPr>
            <w:r w:rsidRPr="00B00143">
              <w:rPr>
                <w:rFonts w:hint="eastAsia"/>
              </w:rPr>
              <w:t>**</w:t>
            </w:r>
          </w:p>
        </w:tc>
      </w:tr>
      <w:tr w:rsidR="00057AE8" w:rsidRPr="00B00143" w14:paraId="1625CC7E" w14:textId="77777777" w:rsidTr="00057AE8">
        <w:trPr>
          <w:trHeight w:val="276"/>
        </w:trPr>
        <w:tc>
          <w:tcPr>
            <w:tcW w:w="952" w:type="pct"/>
            <w:noWrap/>
            <w:hideMark/>
          </w:tcPr>
          <w:p w14:paraId="72B648D8"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3]</w:t>
            </w:r>
          </w:p>
        </w:tc>
        <w:tc>
          <w:tcPr>
            <w:tcW w:w="946" w:type="pct"/>
            <w:noWrap/>
            <w:hideMark/>
          </w:tcPr>
          <w:p w14:paraId="561588B1" w14:textId="77777777" w:rsidR="00057AE8" w:rsidRPr="00B00143" w:rsidRDefault="00057AE8" w:rsidP="00B00143">
            <w:pPr>
              <w:pStyle w:val="af2"/>
            </w:pPr>
            <w:r w:rsidRPr="00B00143">
              <w:rPr>
                <w:rFonts w:hint="eastAsia"/>
              </w:rPr>
              <w:t>-0.04108</w:t>
            </w:r>
          </w:p>
        </w:tc>
        <w:tc>
          <w:tcPr>
            <w:tcW w:w="1500" w:type="pct"/>
            <w:noWrap/>
            <w:hideMark/>
          </w:tcPr>
          <w:p w14:paraId="1329E2D1" w14:textId="77777777" w:rsidR="00057AE8" w:rsidRPr="00B00143" w:rsidRDefault="00057AE8" w:rsidP="00B00143">
            <w:pPr>
              <w:pStyle w:val="af2"/>
            </w:pPr>
            <w:r w:rsidRPr="00B00143">
              <w:rPr>
                <w:rFonts w:hint="eastAsia"/>
              </w:rPr>
              <w:t>-2.54869</w:t>
            </w:r>
          </w:p>
        </w:tc>
        <w:tc>
          <w:tcPr>
            <w:tcW w:w="1083" w:type="pct"/>
            <w:noWrap/>
            <w:hideMark/>
          </w:tcPr>
          <w:p w14:paraId="48EF30B6" w14:textId="77777777" w:rsidR="00057AE8" w:rsidRPr="00B00143" w:rsidRDefault="00057AE8" w:rsidP="00B00143">
            <w:pPr>
              <w:pStyle w:val="af2"/>
            </w:pPr>
            <w:r w:rsidRPr="00B00143">
              <w:rPr>
                <w:rFonts w:hint="eastAsia"/>
              </w:rPr>
              <w:t>0.0123491</w:t>
            </w:r>
          </w:p>
        </w:tc>
        <w:tc>
          <w:tcPr>
            <w:tcW w:w="519" w:type="pct"/>
            <w:noWrap/>
            <w:hideMark/>
          </w:tcPr>
          <w:p w14:paraId="1B2C8638" w14:textId="77777777" w:rsidR="00057AE8" w:rsidRPr="00B00143" w:rsidRDefault="00057AE8" w:rsidP="00B00143">
            <w:pPr>
              <w:pStyle w:val="af2"/>
            </w:pPr>
            <w:r w:rsidRPr="00B00143">
              <w:rPr>
                <w:rFonts w:hint="eastAsia"/>
              </w:rPr>
              <w:t>**</w:t>
            </w:r>
          </w:p>
        </w:tc>
      </w:tr>
      <w:tr w:rsidR="00057AE8" w:rsidRPr="00B00143" w14:paraId="6E8EC77F" w14:textId="77777777" w:rsidTr="00057AE8">
        <w:trPr>
          <w:trHeight w:val="276"/>
        </w:trPr>
        <w:tc>
          <w:tcPr>
            <w:tcW w:w="952" w:type="pct"/>
            <w:noWrap/>
            <w:hideMark/>
          </w:tcPr>
          <w:p w14:paraId="4322AF73"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2]</w:t>
            </w:r>
          </w:p>
        </w:tc>
        <w:tc>
          <w:tcPr>
            <w:tcW w:w="946" w:type="pct"/>
            <w:noWrap/>
            <w:hideMark/>
          </w:tcPr>
          <w:p w14:paraId="24B1B907" w14:textId="77777777" w:rsidR="00057AE8" w:rsidRPr="00B00143" w:rsidRDefault="00057AE8" w:rsidP="00B00143">
            <w:pPr>
              <w:pStyle w:val="af2"/>
            </w:pPr>
            <w:r w:rsidRPr="00B00143">
              <w:rPr>
                <w:rFonts w:hint="eastAsia"/>
              </w:rPr>
              <w:t>-0.03764</w:t>
            </w:r>
          </w:p>
        </w:tc>
        <w:tc>
          <w:tcPr>
            <w:tcW w:w="1500" w:type="pct"/>
            <w:noWrap/>
            <w:hideMark/>
          </w:tcPr>
          <w:p w14:paraId="51140ABF" w14:textId="77777777" w:rsidR="00057AE8" w:rsidRPr="00B00143" w:rsidRDefault="00057AE8" w:rsidP="00B00143">
            <w:pPr>
              <w:pStyle w:val="af2"/>
            </w:pPr>
            <w:r w:rsidRPr="00B00143">
              <w:rPr>
                <w:rFonts w:hint="eastAsia"/>
              </w:rPr>
              <w:t>-2.18896</w:t>
            </w:r>
          </w:p>
        </w:tc>
        <w:tc>
          <w:tcPr>
            <w:tcW w:w="1083" w:type="pct"/>
            <w:noWrap/>
            <w:hideMark/>
          </w:tcPr>
          <w:p w14:paraId="08ED2CFD" w14:textId="77777777" w:rsidR="00057AE8" w:rsidRPr="00B00143" w:rsidRDefault="00057AE8" w:rsidP="00B00143">
            <w:pPr>
              <w:pStyle w:val="af2"/>
            </w:pPr>
            <w:r w:rsidRPr="00B00143">
              <w:rPr>
                <w:rFonts w:hint="eastAsia"/>
              </w:rPr>
              <w:t>0.0309502</w:t>
            </w:r>
          </w:p>
        </w:tc>
        <w:tc>
          <w:tcPr>
            <w:tcW w:w="519" w:type="pct"/>
            <w:noWrap/>
            <w:hideMark/>
          </w:tcPr>
          <w:p w14:paraId="0DE39318" w14:textId="77777777" w:rsidR="00057AE8" w:rsidRPr="00B00143" w:rsidRDefault="00057AE8" w:rsidP="00B00143">
            <w:pPr>
              <w:pStyle w:val="af2"/>
            </w:pPr>
            <w:r w:rsidRPr="00B00143">
              <w:rPr>
                <w:rFonts w:hint="eastAsia"/>
              </w:rPr>
              <w:t>**</w:t>
            </w:r>
          </w:p>
        </w:tc>
      </w:tr>
      <w:tr w:rsidR="00057AE8" w:rsidRPr="00B00143" w14:paraId="2F39D090" w14:textId="77777777" w:rsidTr="00057AE8">
        <w:trPr>
          <w:trHeight w:val="276"/>
        </w:trPr>
        <w:tc>
          <w:tcPr>
            <w:tcW w:w="952" w:type="pct"/>
            <w:noWrap/>
            <w:hideMark/>
          </w:tcPr>
          <w:p w14:paraId="768853C9" w14:textId="77777777" w:rsidR="00057AE8" w:rsidRPr="00E91B39" w:rsidRDefault="00057AE8" w:rsidP="00CB638D">
            <w:pPr>
              <w:pStyle w:val="af2"/>
            </w:pPr>
            <w:r w:rsidRPr="00E91B39">
              <w:rPr>
                <w:rFonts w:hint="eastAsia"/>
              </w:rPr>
              <w:t>[-</w:t>
            </w:r>
            <w:proofErr w:type="gramStart"/>
            <w:r w:rsidRPr="00E91B39">
              <w:rPr>
                <w:rFonts w:hint="eastAsia"/>
              </w:rPr>
              <w:t>10;-</w:t>
            </w:r>
            <w:proofErr w:type="gramEnd"/>
            <w:r w:rsidRPr="00E91B39">
              <w:rPr>
                <w:rFonts w:hint="eastAsia"/>
              </w:rPr>
              <w:t>1]</w:t>
            </w:r>
          </w:p>
        </w:tc>
        <w:tc>
          <w:tcPr>
            <w:tcW w:w="946" w:type="pct"/>
            <w:noWrap/>
            <w:hideMark/>
          </w:tcPr>
          <w:p w14:paraId="67034193" w14:textId="77777777" w:rsidR="00057AE8" w:rsidRPr="00B00143" w:rsidRDefault="00057AE8" w:rsidP="00B00143">
            <w:pPr>
              <w:pStyle w:val="af2"/>
            </w:pPr>
            <w:r w:rsidRPr="00B00143">
              <w:rPr>
                <w:rFonts w:hint="eastAsia"/>
              </w:rPr>
              <w:t>-0.04153</w:t>
            </w:r>
          </w:p>
        </w:tc>
        <w:tc>
          <w:tcPr>
            <w:tcW w:w="1500" w:type="pct"/>
            <w:noWrap/>
            <w:hideMark/>
          </w:tcPr>
          <w:p w14:paraId="02F7927A" w14:textId="77777777" w:rsidR="00057AE8" w:rsidRPr="00B00143" w:rsidRDefault="00057AE8" w:rsidP="00B00143">
            <w:pPr>
              <w:pStyle w:val="af2"/>
            </w:pPr>
            <w:r w:rsidRPr="00B00143">
              <w:rPr>
                <w:rFonts w:hint="eastAsia"/>
              </w:rPr>
              <w:t>-2.29391</w:t>
            </w:r>
          </w:p>
        </w:tc>
        <w:tc>
          <w:tcPr>
            <w:tcW w:w="1083" w:type="pct"/>
            <w:noWrap/>
            <w:hideMark/>
          </w:tcPr>
          <w:p w14:paraId="6EBAFF46" w14:textId="77777777" w:rsidR="00057AE8" w:rsidRPr="00B00143" w:rsidRDefault="00057AE8" w:rsidP="00B00143">
            <w:pPr>
              <w:pStyle w:val="af2"/>
            </w:pPr>
            <w:r w:rsidRPr="00B00143">
              <w:rPr>
                <w:rFonts w:hint="eastAsia"/>
              </w:rPr>
              <w:t>0.0239092</w:t>
            </w:r>
          </w:p>
        </w:tc>
        <w:tc>
          <w:tcPr>
            <w:tcW w:w="519" w:type="pct"/>
            <w:noWrap/>
            <w:hideMark/>
          </w:tcPr>
          <w:p w14:paraId="16E0200A" w14:textId="77777777" w:rsidR="00057AE8" w:rsidRPr="00B00143" w:rsidRDefault="00057AE8" w:rsidP="00B00143">
            <w:pPr>
              <w:pStyle w:val="af2"/>
            </w:pPr>
            <w:r w:rsidRPr="00B00143">
              <w:rPr>
                <w:rFonts w:hint="eastAsia"/>
              </w:rPr>
              <w:t>**</w:t>
            </w:r>
          </w:p>
        </w:tc>
      </w:tr>
      <w:tr w:rsidR="00057AE8" w:rsidRPr="00B00143" w14:paraId="68C9E0BA" w14:textId="77777777" w:rsidTr="00057AE8">
        <w:trPr>
          <w:trHeight w:val="276"/>
        </w:trPr>
        <w:tc>
          <w:tcPr>
            <w:tcW w:w="952" w:type="pct"/>
            <w:noWrap/>
            <w:hideMark/>
          </w:tcPr>
          <w:p w14:paraId="5802EF3D" w14:textId="77777777" w:rsidR="00057AE8" w:rsidRPr="00E91B39" w:rsidRDefault="00057AE8" w:rsidP="00CB638D">
            <w:pPr>
              <w:pStyle w:val="af2"/>
            </w:pPr>
            <w:r w:rsidRPr="00E91B39">
              <w:rPr>
                <w:rFonts w:hint="eastAsia"/>
              </w:rPr>
              <w:t>[-10;0]</w:t>
            </w:r>
          </w:p>
        </w:tc>
        <w:tc>
          <w:tcPr>
            <w:tcW w:w="946" w:type="pct"/>
            <w:noWrap/>
            <w:hideMark/>
          </w:tcPr>
          <w:p w14:paraId="03A0E994" w14:textId="77777777" w:rsidR="00057AE8" w:rsidRPr="00B00143" w:rsidRDefault="00057AE8" w:rsidP="00B00143">
            <w:pPr>
              <w:pStyle w:val="af2"/>
            </w:pPr>
            <w:r w:rsidRPr="00B00143">
              <w:rPr>
                <w:rFonts w:hint="eastAsia"/>
              </w:rPr>
              <w:t>-0.0503</w:t>
            </w:r>
          </w:p>
        </w:tc>
        <w:tc>
          <w:tcPr>
            <w:tcW w:w="1500" w:type="pct"/>
            <w:noWrap/>
            <w:hideMark/>
          </w:tcPr>
          <w:p w14:paraId="4F2D9441" w14:textId="77777777" w:rsidR="00057AE8" w:rsidRPr="00B00143" w:rsidRDefault="00057AE8" w:rsidP="00B00143">
            <w:pPr>
              <w:pStyle w:val="af2"/>
            </w:pPr>
            <w:r w:rsidRPr="00B00143">
              <w:rPr>
                <w:rFonts w:hint="eastAsia"/>
              </w:rPr>
              <w:t>-2.64733</w:t>
            </w:r>
          </w:p>
        </w:tc>
        <w:tc>
          <w:tcPr>
            <w:tcW w:w="1083" w:type="pct"/>
            <w:noWrap/>
            <w:hideMark/>
          </w:tcPr>
          <w:p w14:paraId="229D5203" w14:textId="77777777" w:rsidR="00057AE8" w:rsidRPr="00B00143" w:rsidRDefault="00057AE8" w:rsidP="00B00143">
            <w:pPr>
              <w:pStyle w:val="af2"/>
            </w:pPr>
            <w:r w:rsidRPr="00B00143">
              <w:rPr>
                <w:rFonts w:hint="eastAsia"/>
              </w:rPr>
              <w:t>0.0094408</w:t>
            </w:r>
          </w:p>
        </w:tc>
        <w:tc>
          <w:tcPr>
            <w:tcW w:w="519" w:type="pct"/>
            <w:noWrap/>
            <w:hideMark/>
          </w:tcPr>
          <w:p w14:paraId="0860131C" w14:textId="77777777" w:rsidR="00057AE8" w:rsidRPr="00B00143" w:rsidRDefault="00057AE8" w:rsidP="00B00143">
            <w:pPr>
              <w:pStyle w:val="af2"/>
            </w:pPr>
            <w:r w:rsidRPr="00B00143">
              <w:rPr>
                <w:rFonts w:hint="eastAsia"/>
              </w:rPr>
              <w:t>***</w:t>
            </w:r>
          </w:p>
        </w:tc>
      </w:tr>
      <w:tr w:rsidR="00057AE8" w:rsidRPr="00B00143" w14:paraId="51C8EDB9" w14:textId="77777777" w:rsidTr="00057AE8">
        <w:trPr>
          <w:trHeight w:val="276"/>
        </w:trPr>
        <w:tc>
          <w:tcPr>
            <w:tcW w:w="952" w:type="pct"/>
            <w:noWrap/>
            <w:hideMark/>
          </w:tcPr>
          <w:p w14:paraId="23BF2B52" w14:textId="77777777" w:rsidR="00057AE8" w:rsidRPr="00E91B39" w:rsidRDefault="00057AE8" w:rsidP="00CB638D">
            <w:pPr>
              <w:pStyle w:val="af2"/>
            </w:pPr>
            <w:r w:rsidRPr="00E91B39">
              <w:rPr>
                <w:rFonts w:hint="eastAsia"/>
              </w:rPr>
              <w:t>[-10;1]</w:t>
            </w:r>
          </w:p>
        </w:tc>
        <w:tc>
          <w:tcPr>
            <w:tcW w:w="946" w:type="pct"/>
            <w:noWrap/>
            <w:hideMark/>
          </w:tcPr>
          <w:p w14:paraId="77EDA3E8" w14:textId="77777777" w:rsidR="00057AE8" w:rsidRPr="00B00143" w:rsidRDefault="00057AE8" w:rsidP="00B00143">
            <w:pPr>
              <w:pStyle w:val="af2"/>
            </w:pPr>
            <w:r w:rsidRPr="00B00143">
              <w:rPr>
                <w:rFonts w:hint="eastAsia"/>
              </w:rPr>
              <w:t>-0.05215</w:t>
            </w:r>
          </w:p>
        </w:tc>
        <w:tc>
          <w:tcPr>
            <w:tcW w:w="1500" w:type="pct"/>
            <w:noWrap/>
            <w:hideMark/>
          </w:tcPr>
          <w:p w14:paraId="72B5E12E" w14:textId="77777777" w:rsidR="00057AE8" w:rsidRPr="00B00143" w:rsidRDefault="00057AE8" w:rsidP="00B00143">
            <w:pPr>
              <w:pStyle w:val="af2"/>
            </w:pPr>
            <w:r w:rsidRPr="00B00143">
              <w:rPr>
                <w:rFonts w:hint="eastAsia"/>
              </w:rPr>
              <w:t>-2.62122</w:t>
            </w:r>
          </w:p>
        </w:tc>
        <w:tc>
          <w:tcPr>
            <w:tcW w:w="1083" w:type="pct"/>
            <w:noWrap/>
            <w:hideMark/>
          </w:tcPr>
          <w:p w14:paraId="468CA31D" w14:textId="77777777" w:rsidR="00057AE8" w:rsidRPr="00B00143" w:rsidRDefault="00057AE8" w:rsidP="00B00143">
            <w:pPr>
              <w:pStyle w:val="af2"/>
            </w:pPr>
            <w:r w:rsidRPr="00B00143">
              <w:rPr>
                <w:rFonts w:hint="eastAsia"/>
              </w:rPr>
              <w:t>0.0101432</w:t>
            </w:r>
          </w:p>
        </w:tc>
        <w:tc>
          <w:tcPr>
            <w:tcW w:w="519" w:type="pct"/>
            <w:noWrap/>
            <w:hideMark/>
          </w:tcPr>
          <w:p w14:paraId="1C5A5DB0" w14:textId="77777777" w:rsidR="00057AE8" w:rsidRPr="00B00143" w:rsidRDefault="00057AE8" w:rsidP="00B00143">
            <w:pPr>
              <w:pStyle w:val="af2"/>
            </w:pPr>
            <w:r w:rsidRPr="00B00143">
              <w:rPr>
                <w:rFonts w:hint="eastAsia"/>
              </w:rPr>
              <w:t>**</w:t>
            </w:r>
          </w:p>
        </w:tc>
      </w:tr>
      <w:tr w:rsidR="00057AE8" w:rsidRPr="00B00143" w14:paraId="6657D204" w14:textId="77777777" w:rsidTr="00270B24">
        <w:trPr>
          <w:trHeight w:val="276"/>
        </w:trPr>
        <w:tc>
          <w:tcPr>
            <w:tcW w:w="952" w:type="pct"/>
            <w:tcBorders>
              <w:bottom w:val="single" w:sz="12" w:space="0" w:color="auto"/>
            </w:tcBorders>
            <w:noWrap/>
            <w:hideMark/>
          </w:tcPr>
          <w:p w14:paraId="2454A24F" w14:textId="77777777" w:rsidR="00057AE8" w:rsidRPr="00E91B39" w:rsidRDefault="00057AE8" w:rsidP="00E91B39">
            <w:pPr>
              <w:pStyle w:val="af2"/>
            </w:pPr>
            <w:r w:rsidRPr="00E91B39">
              <w:rPr>
                <w:rFonts w:hint="eastAsia"/>
              </w:rPr>
              <w:t>[-10;2]</w:t>
            </w:r>
          </w:p>
        </w:tc>
        <w:tc>
          <w:tcPr>
            <w:tcW w:w="946" w:type="pct"/>
            <w:tcBorders>
              <w:bottom w:val="single" w:sz="12" w:space="0" w:color="auto"/>
            </w:tcBorders>
            <w:noWrap/>
            <w:hideMark/>
          </w:tcPr>
          <w:p w14:paraId="5DE36AD8" w14:textId="77777777" w:rsidR="00057AE8" w:rsidRPr="00B00143" w:rsidRDefault="00057AE8" w:rsidP="00B00143">
            <w:pPr>
              <w:pStyle w:val="af2"/>
            </w:pPr>
            <w:r w:rsidRPr="00B00143">
              <w:rPr>
                <w:rFonts w:hint="eastAsia"/>
              </w:rPr>
              <w:t>-0.0524</w:t>
            </w:r>
          </w:p>
        </w:tc>
        <w:tc>
          <w:tcPr>
            <w:tcW w:w="1500" w:type="pct"/>
            <w:tcBorders>
              <w:bottom w:val="single" w:sz="12" w:space="0" w:color="auto"/>
            </w:tcBorders>
            <w:noWrap/>
            <w:hideMark/>
          </w:tcPr>
          <w:p w14:paraId="7886B882" w14:textId="77777777" w:rsidR="00057AE8" w:rsidRPr="00B00143" w:rsidRDefault="00057AE8" w:rsidP="00B00143">
            <w:pPr>
              <w:pStyle w:val="af2"/>
            </w:pPr>
            <w:r w:rsidRPr="00B00143">
              <w:rPr>
                <w:rFonts w:hint="eastAsia"/>
              </w:rPr>
              <w:t>-2.50493</w:t>
            </w:r>
          </w:p>
        </w:tc>
        <w:tc>
          <w:tcPr>
            <w:tcW w:w="1083" w:type="pct"/>
            <w:tcBorders>
              <w:bottom w:val="single" w:sz="12" w:space="0" w:color="auto"/>
            </w:tcBorders>
            <w:noWrap/>
            <w:hideMark/>
          </w:tcPr>
          <w:p w14:paraId="63613D79" w14:textId="77777777" w:rsidR="00057AE8" w:rsidRPr="00B00143" w:rsidRDefault="00057AE8" w:rsidP="00B00143">
            <w:pPr>
              <w:pStyle w:val="af2"/>
            </w:pPr>
            <w:r w:rsidRPr="00B00143">
              <w:rPr>
                <w:rFonts w:hint="eastAsia"/>
              </w:rPr>
              <w:t>0.0138799</w:t>
            </w:r>
          </w:p>
        </w:tc>
        <w:tc>
          <w:tcPr>
            <w:tcW w:w="519" w:type="pct"/>
            <w:tcBorders>
              <w:bottom w:val="single" w:sz="12" w:space="0" w:color="auto"/>
            </w:tcBorders>
            <w:noWrap/>
            <w:hideMark/>
          </w:tcPr>
          <w:p w14:paraId="24803AAD" w14:textId="77777777" w:rsidR="00057AE8" w:rsidRPr="00B00143" w:rsidRDefault="00057AE8" w:rsidP="00B00143">
            <w:pPr>
              <w:pStyle w:val="af2"/>
            </w:pPr>
            <w:r w:rsidRPr="00B00143">
              <w:rPr>
                <w:rFonts w:hint="eastAsia"/>
              </w:rPr>
              <w:t>**</w:t>
            </w:r>
          </w:p>
        </w:tc>
      </w:tr>
    </w:tbl>
    <w:p w14:paraId="3FBEB1C5" w14:textId="0A9E1EB8" w:rsidR="00270B24" w:rsidRDefault="000262D7" w:rsidP="000262D7">
      <w:pPr>
        <w:jc w:val="right"/>
      </w:pPr>
      <w:r>
        <w:rPr>
          <w:rFonts w:hint="eastAsia"/>
        </w:rPr>
        <w:lastRenderedPageBreak/>
        <w:t>续表</w:t>
      </w:r>
    </w:p>
    <w:tbl>
      <w:tblPr>
        <w:tblStyle w:val="af6"/>
        <w:tblW w:w="5000" w:type="pct"/>
        <w:tblLook w:val="04A0" w:firstRow="1" w:lastRow="0" w:firstColumn="1" w:lastColumn="0" w:noHBand="0" w:noVBand="1"/>
      </w:tblPr>
      <w:tblGrid>
        <w:gridCol w:w="1582"/>
        <w:gridCol w:w="1571"/>
        <w:gridCol w:w="2492"/>
        <w:gridCol w:w="1799"/>
        <w:gridCol w:w="862"/>
      </w:tblGrid>
      <w:tr w:rsidR="00270B24" w:rsidRPr="00B00143" w14:paraId="758D0543" w14:textId="77777777" w:rsidTr="00270B24">
        <w:trPr>
          <w:cnfStyle w:val="100000000000" w:firstRow="1" w:lastRow="0" w:firstColumn="0" w:lastColumn="0" w:oddVBand="0" w:evenVBand="0" w:oddHBand="0" w:evenHBand="0" w:firstRowFirstColumn="0" w:firstRowLastColumn="0" w:lastRowFirstColumn="0" w:lastRowLastColumn="0"/>
          <w:trHeight w:val="276"/>
        </w:trPr>
        <w:tc>
          <w:tcPr>
            <w:tcW w:w="952" w:type="pct"/>
            <w:tcBorders>
              <w:bottom w:val="single" w:sz="4" w:space="0" w:color="auto"/>
            </w:tcBorders>
            <w:noWrap/>
          </w:tcPr>
          <w:p w14:paraId="33EF44D5" w14:textId="18B1843E" w:rsidR="00270B24" w:rsidRPr="00E91B39" w:rsidRDefault="00270B24" w:rsidP="00270B24">
            <w:pPr>
              <w:pStyle w:val="af2"/>
            </w:pPr>
            <w:r w:rsidRPr="00B00143">
              <w:t>T</w:t>
            </w:r>
          </w:p>
        </w:tc>
        <w:tc>
          <w:tcPr>
            <w:tcW w:w="946" w:type="pct"/>
            <w:tcBorders>
              <w:bottom w:val="single" w:sz="4" w:space="0" w:color="auto"/>
            </w:tcBorders>
            <w:noWrap/>
          </w:tcPr>
          <w:p w14:paraId="7D306549" w14:textId="6D2B107E" w:rsidR="00270B24" w:rsidRPr="00B00143" w:rsidRDefault="00270B24" w:rsidP="00270B24">
            <w:pPr>
              <w:pStyle w:val="af2"/>
            </w:pPr>
            <w:r w:rsidRPr="00B00143">
              <w:rPr>
                <w:rFonts w:hint="eastAsia"/>
              </w:rPr>
              <w:t>CAARE</w:t>
            </w:r>
          </w:p>
        </w:tc>
        <w:tc>
          <w:tcPr>
            <w:tcW w:w="1500" w:type="pct"/>
            <w:tcBorders>
              <w:bottom w:val="single" w:sz="4" w:space="0" w:color="auto"/>
            </w:tcBorders>
            <w:noWrap/>
          </w:tcPr>
          <w:p w14:paraId="44AA8D6B" w14:textId="2824A70A" w:rsidR="00270B24" w:rsidRPr="00B00143" w:rsidRDefault="00270B24" w:rsidP="00270B24">
            <w:pPr>
              <w:pStyle w:val="af2"/>
            </w:pPr>
            <w:proofErr w:type="spellStart"/>
            <w:r w:rsidRPr="00B00143">
              <w:rPr>
                <w:rFonts w:hint="eastAsia"/>
              </w:rPr>
              <w:t>NCAAREt_test</w:t>
            </w:r>
            <w:proofErr w:type="spellEnd"/>
          </w:p>
        </w:tc>
        <w:tc>
          <w:tcPr>
            <w:tcW w:w="1083" w:type="pct"/>
            <w:tcBorders>
              <w:bottom w:val="single" w:sz="4" w:space="0" w:color="auto"/>
            </w:tcBorders>
            <w:noWrap/>
          </w:tcPr>
          <w:p w14:paraId="5E000AED" w14:textId="2128E873" w:rsidR="00270B24" w:rsidRPr="00B00143" w:rsidRDefault="00270B24" w:rsidP="00270B24">
            <w:pPr>
              <w:pStyle w:val="af2"/>
            </w:pPr>
            <w:r w:rsidRPr="00B00143">
              <w:rPr>
                <w:rFonts w:hint="eastAsia"/>
              </w:rPr>
              <w:t>p</w:t>
            </w:r>
          </w:p>
        </w:tc>
        <w:tc>
          <w:tcPr>
            <w:tcW w:w="519" w:type="pct"/>
            <w:tcBorders>
              <w:bottom w:val="single" w:sz="4" w:space="0" w:color="auto"/>
            </w:tcBorders>
            <w:noWrap/>
          </w:tcPr>
          <w:p w14:paraId="42B003C2" w14:textId="396A57FF" w:rsidR="00270B24" w:rsidRPr="00B00143" w:rsidRDefault="00270B24" w:rsidP="00270B24">
            <w:pPr>
              <w:pStyle w:val="af2"/>
            </w:pPr>
            <w:r w:rsidRPr="00B00143">
              <w:rPr>
                <w:rFonts w:hint="eastAsia"/>
              </w:rPr>
              <w:t>star</w:t>
            </w:r>
          </w:p>
        </w:tc>
      </w:tr>
      <w:tr w:rsidR="00270B24" w:rsidRPr="00B00143" w14:paraId="13AF63B0" w14:textId="77777777" w:rsidTr="00270B24">
        <w:trPr>
          <w:trHeight w:val="276"/>
        </w:trPr>
        <w:tc>
          <w:tcPr>
            <w:tcW w:w="952" w:type="pct"/>
            <w:tcBorders>
              <w:top w:val="single" w:sz="4" w:space="0" w:color="auto"/>
            </w:tcBorders>
            <w:noWrap/>
            <w:hideMark/>
          </w:tcPr>
          <w:p w14:paraId="5220D51E" w14:textId="77777777" w:rsidR="00270B24" w:rsidRPr="00E91B39" w:rsidRDefault="00270B24" w:rsidP="00270B24">
            <w:pPr>
              <w:pStyle w:val="af2"/>
            </w:pPr>
            <w:r w:rsidRPr="00E91B39">
              <w:rPr>
                <w:rFonts w:hint="eastAsia"/>
              </w:rPr>
              <w:t>[-10;3]</w:t>
            </w:r>
          </w:p>
        </w:tc>
        <w:tc>
          <w:tcPr>
            <w:tcW w:w="946" w:type="pct"/>
            <w:tcBorders>
              <w:top w:val="single" w:sz="4" w:space="0" w:color="auto"/>
            </w:tcBorders>
            <w:noWrap/>
            <w:hideMark/>
          </w:tcPr>
          <w:p w14:paraId="509CCECB" w14:textId="77777777" w:rsidR="00270B24" w:rsidRPr="00B00143" w:rsidRDefault="00270B24" w:rsidP="00270B24">
            <w:pPr>
              <w:pStyle w:val="af2"/>
            </w:pPr>
            <w:r w:rsidRPr="00B00143">
              <w:rPr>
                <w:rFonts w:hint="eastAsia"/>
              </w:rPr>
              <w:t>-0.04794</w:t>
            </w:r>
          </w:p>
        </w:tc>
        <w:tc>
          <w:tcPr>
            <w:tcW w:w="1500" w:type="pct"/>
            <w:tcBorders>
              <w:top w:val="single" w:sz="4" w:space="0" w:color="auto"/>
            </w:tcBorders>
            <w:noWrap/>
            <w:hideMark/>
          </w:tcPr>
          <w:p w14:paraId="2AB614FE" w14:textId="77777777" w:rsidR="00270B24" w:rsidRPr="00B00143" w:rsidRDefault="00270B24" w:rsidP="00270B24">
            <w:pPr>
              <w:pStyle w:val="af2"/>
            </w:pPr>
            <w:r w:rsidRPr="00B00143">
              <w:rPr>
                <w:rFonts w:hint="eastAsia"/>
              </w:rPr>
              <w:t>-2.19927</w:t>
            </w:r>
          </w:p>
        </w:tc>
        <w:tc>
          <w:tcPr>
            <w:tcW w:w="1083" w:type="pct"/>
            <w:tcBorders>
              <w:top w:val="single" w:sz="4" w:space="0" w:color="auto"/>
            </w:tcBorders>
            <w:noWrap/>
            <w:hideMark/>
          </w:tcPr>
          <w:p w14:paraId="2650268C" w14:textId="77777777" w:rsidR="00270B24" w:rsidRPr="00B00143" w:rsidRDefault="00270B24" w:rsidP="00270B24">
            <w:pPr>
              <w:pStyle w:val="af2"/>
            </w:pPr>
            <w:r w:rsidRPr="00B00143">
              <w:rPr>
                <w:rFonts w:hint="eastAsia"/>
              </w:rPr>
              <w:t>0.0301861</w:t>
            </w:r>
          </w:p>
        </w:tc>
        <w:tc>
          <w:tcPr>
            <w:tcW w:w="519" w:type="pct"/>
            <w:tcBorders>
              <w:top w:val="single" w:sz="4" w:space="0" w:color="auto"/>
            </w:tcBorders>
            <w:noWrap/>
            <w:hideMark/>
          </w:tcPr>
          <w:p w14:paraId="6BE38D44" w14:textId="77777777" w:rsidR="00270B24" w:rsidRPr="00B00143" w:rsidRDefault="00270B24" w:rsidP="00270B24">
            <w:pPr>
              <w:pStyle w:val="af2"/>
            </w:pPr>
            <w:r w:rsidRPr="00B00143">
              <w:rPr>
                <w:rFonts w:hint="eastAsia"/>
              </w:rPr>
              <w:t>**</w:t>
            </w:r>
          </w:p>
        </w:tc>
      </w:tr>
      <w:tr w:rsidR="00270B24" w:rsidRPr="00B00143" w14:paraId="1BCE9316" w14:textId="77777777" w:rsidTr="00057AE8">
        <w:trPr>
          <w:trHeight w:val="276"/>
        </w:trPr>
        <w:tc>
          <w:tcPr>
            <w:tcW w:w="952" w:type="pct"/>
            <w:noWrap/>
            <w:hideMark/>
          </w:tcPr>
          <w:p w14:paraId="4A9025B0" w14:textId="77777777" w:rsidR="00270B24" w:rsidRPr="00E91B39" w:rsidRDefault="00270B24" w:rsidP="00270B24">
            <w:pPr>
              <w:pStyle w:val="af2"/>
            </w:pPr>
            <w:r w:rsidRPr="00E91B39">
              <w:rPr>
                <w:rFonts w:hint="eastAsia"/>
              </w:rPr>
              <w:t>[-10;4]</w:t>
            </w:r>
          </w:p>
        </w:tc>
        <w:tc>
          <w:tcPr>
            <w:tcW w:w="946" w:type="pct"/>
            <w:noWrap/>
            <w:hideMark/>
          </w:tcPr>
          <w:p w14:paraId="1702A71C" w14:textId="77777777" w:rsidR="00270B24" w:rsidRPr="00B00143" w:rsidRDefault="00270B24" w:rsidP="00270B24">
            <w:pPr>
              <w:pStyle w:val="af2"/>
            </w:pPr>
            <w:r w:rsidRPr="00B00143">
              <w:rPr>
                <w:rFonts w:hint="eastAsia"/>
              </w:rPr>
              <w:t>-0.05222</w:t>
            </w:r>
          </w:p>
        </w:tc>
        <w:tc>
          <w:tcPr>
            <w:tcW w:w="1500" w:type="pct"/>
            <w:noWrap/>
            <w:hideMark/>
          </w:tcPr>
          <w:p w14:paraId="5BD18C4D" w14:textId="77777777" w:rsidR="00270B24" w:rsidRPr="00B00143" w:rsidRDefault="00270B24" w:rsidP="00270B24">
            <w:pPr>
              <w:pStyle w:val="af2"/>
            </w:pPr>
            <w:r w:rsidRPr="00B00143">
              <w:rPr>
                <w:rFonts w:hint="eastAsia"/>
              </w:rPr>
              <w:t>-2.29989</w:t>
            </w:r>
          </w:p>
        </w:tc>
        <w:tc>
          <w:tcPr>
            <w:tcW w:w="1083" w:type="pct"/>
            <w:noWrap/>
            <w:hideMark/>
          </w:tcPr>
          <w:p w14:paraId="1100497B" w14:textId="77777777" w:rsidR="00270B24" w:rsidRPr="00B00143" w:rsidRDefault="00270B24" w:rsidP="00270B24">
            <w:pPr>
              <w:pStyle w:val="af2"/>
            </w:pPr>
            <w:r w:rsidRPr="00B00143">
              <w:rPr>
                <w:rFonts w:hint="eastAsia"/>
              </w:rPr>
              <w:t>0.0235541</w:t>
            </w:r>
          </w:p>
        </w:tc>
        <w:tc>
          <w:tcPr>
            <w:tcW w:w="519" w:type="pct"/>
            <w:noWrap/>
            <w:hideMark/>
          </w:tcPr>
          <w:p w14:paraId="530FAF8D" w14:textId="77777777" w:rsidR="00270B24" w:rsidRPr="00B00143" w:rsidRDefault="00270B24" w:rsidP="00270B24">
            <w:pPr>
              <w:pStyle w:val="af2"/>
            </w:pPr>
            <w:r w:rsidRPr="00B00143">
              <w:rPr>
                <w:rFonts w:hint="eastAsia"/>
              </w:rPr>
              <w:t>**</w:t>
            </w:r>
          </w:p>
        </w:tc>
      </w:tr>
      <w:tr w:rsidR="00270B24" w:rsidRPr="00B00143" w14:paraId="7B2FF1F8" w14:textId="77777777" w:rsidTr="00214004">
        <w:trPr>
          <w:trHeight w:val="276"/>
        </w:trPr>
        <w:tc>
          <w:tcPr>
            <w:tcW w:w="952" w:type="pct"/>
            <w:tcBorders>
              <w:bottom w:val="nil"/>
            </w:tcBorders>
            <w:noWrap/>
            <w:hideMark/>
          </w:tcPr>
          <w:p w14:paraId="5EED64D1" w14:textId="77777777" w:rsidR="00270B24" w:rsidRPr="00E91B39" w:rsidRDefault="00270B24" w:rsidP="00270B24">
            <w:pPr>
              <w:pStyle w:val="af2"/>
            </w:pPr>
            <w:r w:rsidRPr="00E91B39">
              <w:rPr>
                <w:rFonts w:hint="eastAsia"/>
              </w:rPr>
              <w:t>[-10;5]</w:t>
            </w:r>
          </w:p>
        </w:tc>
        <w:tc>
          <w:tcPr>
            <w:tcW w:w="946" w:type="pct"/>
            <w:tcBorders>
              <w:bottom w:val="nil"/>
            </w:tcBorders>
            <w:noWrap/>
            <w:hideMark/>
          </w:tcPr>
          <w:p w14:paraId="54419E1C" w14:textId="77777777" w:rsidR="00270B24" w:rsidRPr="00B00143" w:rsidRDefault="00270B24" w:rsidP="00270B24">
            <w:pPr>
              <w:pStyle w:val="af2"/>
            </w:pPr>
            <w:r w:rsidRPr="00B00143">
              <w:rPr>
                <w:rFonts w:hint="eastAsia"/>
              </w:rPr>
              <w:t>-0.04791</w:t>
            </w:r>
          </w:p>
        </w:tc>
        <w:tc>
          <w:tcPr>
            <w:tcW w:w="1500" w:type="pct"/>
            <w:tcBorders>
              <w:bottom w:val="nil"/>
            </w:tcBorders>
            <w:noWrap/>
            <w:hideMark/>
          </w:tcPr>
          <w:p w14:paraId="745B7F7F" w14:textId="77777777" w:rsidR="00270B24" w:rsidRPr="00B00143" w:rsidRDefault="00270B24" w:rsidP="00270B24">
            <w:pPr>
              <w:pStyle w:val="af2"/>
            </w:pPr>
            <w:r w:rsidRPr="00B00143">
              <w:rPr>
                <w:rFonts w:hint="eastAsia"/>
              </w:rPr>
              <w:t>-2.03831</w:t>
            </w:r>
          </w:p>
        </w:tc>
        <w:tc>
          <w:tcPr>
            <w:tcW w:w="1083" w:type="pct"/>
            <w:tcBorders>
              <w:bottom w:val="nil"/>
            </w:tcBorders>
            <w:noWrap/>
            <w:hideMark/>
          </w:tcPr>
          <w:p w14:paraId="7537177B" w14:textId="77777777" w:rsidR="00270B24" w:rsidRPr="00B00143" w:rsidRDefault="00270B24" w:rsidP="00270B24">
            <w:pPr>
              <w:pStyle w:val="af2"/>
            </w:pPr>
            <w:r w:rsidRPr="00B00143">
              <w:rPr>
                <w:rFonts w:hint="eastAsia"/>
              </w:rPr>
              <w:t>0.0441853</w:t>
            </w:r>
          </w:p>
        </w:tc>
        <w:tc>
          <w:tcPr>
            <w:tcW w:w="519" w:type="pct"/>
            <w:tcBorders>
              <w:bottom w:val="nil"/>
            </w:tcBorders>
            <w:noWrap/>
            <w:hideMark/>
          </w:tcPr>
          <w:p w14:paraId="5D8CBCB2" w14:textId="77777777" w:rsidR="00270B24" w:rsidRPr="00B00143" w:rsidRDefault="00270B24" w:rsidP="00270B24">
            <w:pPr>
              <w:pStyle w:val="af2"/>
            </w:pPr>
            <w:r w:rsidRPr="00B00143">
              <w:rPr>
                <w:rFonts w:hint="eastAsia"/>
              </w:rPr>
              <w:t>**</w:t>
            </w:r>
          </w:p>
        </w:tc>
      </w:tr>
      <w:tr w:rsidR="00270B24" w:rsidRPr="00057AE8" w14:paraId="3625A6A8" w14:textId="77777777" w:rsidTr="00214004">
        <w:trPr>
          <w:trHeight w:val="276"/>
        </w:trPr>
        <w:tc>
          <w:tcPr>
            <w:tcW w:w="952" w:type="pct"/>
            <w:tcBorders>
              <w:top w:val="nil"/>
              <w:bottom w:val="nil"/>
            </w:tcBorders>
            <w:noWrap/>
            <w:hideMark/>
          </w:tcPr>
          <w:p w14:paraId="7962BA37" w14:textId="7FC6B58E" w:rsidR="00270B24" w:rsidRPr="00057AE8" w:rsidRDefault="00270B24" w:rsidP="00270B24">
            <w:pPr>
              <w:pStyle w:val="af2"/>
            </w:pPr>
            <w:r w:rsidRPr="00057AE8">
              <w:rPr>
                <w:rFonts w:hint="eastAsia"/>
              </w:rPr>
              <w:t>[-10;6]</w:t>
            </w:r>
          </w:p>
        </w:tc>
        <w:tc>
          <w:tcPr>
            <w:tcW w:w="946" w:type="pct"/>
            <w:tcBorders>
              <w:top w:val="nil"/>
              <w:bottom w:val="nil"/>
            </w:tcBorders>
            <w:noWrap/>
            <w:hideMark/>
          </w:tcPr>
          <w:p w14:paraId="5B8ECB63" w14:textId="77777777" w:rsidR="00270B24" w:rsidRPr="00057AE8" w:rsidRDefault="00270B24" w:rsidP="00270B24">
            <w:pPr>
              <w:pStyle w:val="af2"/>
            </w:pPr>
            <w:r w:rsidRPr="00057AE8">
              <w:rPr>
                <w:rFonts w:hint="eastAsia"/>
              </w:rPr>
              <w:t>-0.0546</w:t>
            </w:r>
          </w:p>
        </w:tc>
        <w:tc>
          <w:tcPr>
            <w:tcW w:w="1500" w:type="pct"/>
            <w:tcBorders>
              <w:top w:val="nil"/>
              <w:bottom w:val="nil"/>
            </w:tcBorders>
            <w:noWrap/>
            <w:hideMark/>
          </w:tcPr>
          <w:p w14:paraId="101D751A" w14:textId="77777777" w:rsidR="00270B24" w:rsidRPr="00057AE8" w:rsidRDefault="00270B24" w:rsidP="00270B24">
            <w:pPr>
              <w:pStyle w:val="af2"/>
            </w:pPr>
            <w:r w:rsidRPr="00057AE8">
              <w:rPr>
                <w:rFonts w:hint="eastAsia"/>
              </w:rPr>
              <w:t>-2.23296</w:t>
            </w:r>
          </w:p>
        </w:tc>
        <w:tc>
          <w:tcPr>
            <w:tcW w:w="1083" w:type="pct"/>
            <w:tcBorders>
              <w:top w:val="nil"/>
              <w:bottom w:val="nil"/>
            </w:tcBorders>
            <w:noWrap/>
            <w:hideMark/>
          </w:tcPr>
          <w:p w14:paraId="55221BA5" w14:textId="77777777" w:rsidR="00270B24" w:rsidRPr="00057AE8" w:rsidRDefault="00270B24" w:rsidP="00270B24">
            <w:pPr>
              <w:pStyle w:val="af2"/>
            </w:pPr>
            <w:r w:rsidRPr="00057AE8">
              <w:rPr>
                <w:rFonts w:hint="eastAsia"/>
              </w:rPr>
              <w:t>0.0278037</w:t>
            </w:r>
          </w:p>
        </w:tc>
        <w:tc>
          <w:tcPr>
            <w:tcW w:w="519" w:type="pct"/>
            <w:tcBorders>
              <w:top w:val="nil"/>
              <w:bottom w:val="nil"/>
            </w:tcBorders>
            <w:noWrap/>
            <w:hideMark/>
          </w:tcPr>
          <w:p w14:paraId="188B616F" w14:textId="77777777" w:rsidR="00270B24" w:rsidRPr="00057AE8" w:rsidRDefault="00270B24" w:rsidP="00270B24">
            <w:pPr>
              <w:pStyle w:val="af2"/>
            </w:pPr>
            <w:r w:rsidRPr="00057AE8">
              <w:rPr>
                <w:rFonts w:hint="eastAsia"/>
              </w:rPr>
              <w:t>**</w:t>
            </w:r>
          </w:p>
        </w:tc>
      </w:tr>
      <w:tr w:rsidR="00270B24" w:rsidRPr="00057AE8" w14:paraId="05C0D733" w14:textId="77777777" w:rsidTr="00214004">
        <w:trPr>
          <w:trHeight w:val="276"/>
        </w:trPr>
        <w:tc>
          <w:tcPr>
            <w:tcW w:w="952" w:type="pct"/>
            <w:tcBorders>
              <w:top w:val="nil"/>
            </w:tcBorders>
            <w:noWrap/>
            <w:hideMark/>
          </w:tcPr>
          <w:p w14:paraId="5D7751DF" w14:textId="77777777" w:rsidR="00270B24" w:rsidRPr="00057AE8" w:rsidRDefault="00270B24" w:rsidP="00270B24">
            <w:pPr>
              <w:pStyle w:val="af2"/>
            </w:pPr>
            <w:r w:rsidRPr="00057AE8">
              <w:rPr>
                <w:rFonts w:hint="eastAsia"/>
              </w:rPr>
              <w:t>[-10;7]</w:t>
            </w:r>
          </w:p>
        </w:tc>
        <w:tc>
          <w:tcPr>
            <w:tcW w:w="946" w:type="pct"/>
            <w:tcBorders>
              <w:top w:val="nil"/>
            </w:tcBorders>
            <w:noWrap/>
            <w:hideMark/>
          </w:tcPr>
          <w:p w14:paraId="458CC5DB" w14:textId="77777777" w:rsidR="00270B24" w:rsidRPr="00057AE8" w:rsidRDefault="00270B24" w:rsidP="00270B24">
            <w:pPr>
              <w:pStyle w:val="af2"/>
            </w:pPr>
            <w:r w:rsidRPr="00057AE8">
              <w:rPr>
                <w:rFonts w:hint="eastAsia"/>
              </w:rPr>
              <w:t>-0.06075</w:t>
            </w:r>
          </w:p>
        </w:tc>
        <w:tc>
          <w:tcPr>
            <w:tcW w:w="1500" w:type="pct"/>
            <w:tcBorders>
              <w:top w:val="nil"/>
            </w:tcBorders>
            <w:noWrap/>
            <w:hideMark/>
          </w:tcPr>
          <w:p w14:paraId="448F4756" w14:textId="77777777" w:rsidR="00270B24" w:rsidRPr="00057AE8" w:rsidRDefault="00270B24" w:rsidP="00270B24">
            <w:pPr>
              <w:pStyle w:val="af2"/>
            </w:pPr>
            <w:r w:rsidRPr="00057AE8">
              <w:rPr>
                <w:rFonts w:hint="eastAsia"/>
              </w:rPr>
              <w:t>-2.41416</w:t>
            </w:r>
          </w:p>
        </w:tc>
        <w:tc>
          <w:tcPr>
            <w:tcW w:w="1083" w:type="pct"/>
            <w:tcBorders>
              <w:top w:val="nil"/>
            </w:tcBorders>
            <w:noWrap/>
            <w:hideMark/>
          </w:tcPr>
          <w:p w14:paraId="47B093D8" w14:textId="77777777" w:rsidR="00270B24" w:rsidRPr="00057AE8" w:rsidRDefault="00270B24" w:rsidP="00270B24">
            <w:pPr>
              <w:pStyle w:val="af2"/>
            </w:pPr>
            <w:r w:rsidRPr="00057AE8">
              <w:rPr>
                <w:rFonts w:hint="eastAsia"/>
              </w:rPr>
              <w:t>0.0176085</w:t>
            </w:r>
          </w:p>
        </w:tc>
        <w:tc>
          <w:tcPr>
            <w:tcW w:w="519" w:type="pct"/>
            <w:tcBorders>
              <w:top w:val="nil"/>
            </w:tcBorders>
            <w:noWrap/>
            <w:hideMark/>
          </w:tcPr>
          <w:p w14:paraId="5C24AAFF" w14:textId="77777777" w:rsidR="00270B24" w:rsidRPr="00057AE8" w:rsidRDefault="00270B24" w:rsidP="00270B24">
            <w:pPr>
              <w:pStyle w:val="af2"/>
            </w:pPr>
            <w:r w:rsidRPr="00057AE8">
              <w:rPr>
                <w:rFonts w:hint="eastAsia"/>
              </w:rPr>
              <w:t>**</w:t>
            </w:r>
          </w:p>
        </w:tc>
      </w:tr>
      <w:tr w:rsidR="00270B24" w:rsidRPr="00057AE8" w14:paraId="4227FFE4" w14:textId="77777777" w:rsidTr="00057AE8">
        <w:trPr>
          <w:trHeight w:val="276"/>
        </w:trPr>
        <w:tc>
          <w:tcPr>
            <w:tcW w:w="952" w:type="pct"/>
            <w:noWrap/>
            <w:hideMark/>
          </w:tcPr>
          <w:p w14:paraId="520C7BD8" w14:textId="77777777" w:rsidR="00270B24" w:rsidRPr="00057AE8" w:rsidRDefault="00270B24" w:rsidP="00270B24">
            <w:pPr>
              <w:pStyle w:val="af2"/>
            </w:pPr>
            <w:r w:rsidRPr="00057AE8">
              <w:rPr>
                <w:rFonts w:hint="eastAsia"/>
              </w:rPr>
              <w:t>[-10;8]</w:t>
            </w:r>
          </w:p>
        </w:tc>
        <w:tc>
          <w:tcPr>
            <w:tcW w:w="946" w:type="pct"/>
            <w:noWrap/>
            <w:hideMark/>
          </w:tcPr>
          <w:p w14:paraId="43F7EFC6" w14:textId="77777777" w:rsidR="00270B24" w:rsidRPr="00057AE8" w:rsidRDefault="00270B24" w:rsidP="00270B24">
            <w:pPr>
              <w:pStyle w:val="af2"/>
            </w:pPr>
            <w:r w:rsidRPr="00057AE8">
              <w:rPr>
                <w:rFonts w:hint="eastAsia"/>
              </w:rPr>
              <w:t>-0.06748</w:t>
            </w:r>
          </w:p>
        </w:tc>
        <w:tc>
          <w:tcPr>
            <w:tcW w:w="1500" w:type="pct"/>
            <w:noWrap/>
            <w:hideMark/>
          </w:tcPr>
          <w:p w14:paraId="19B664C3" w14:textId="77777777" w:rsidR="00270B24" w:rsidRPr="00057AE8" w:rsidRDefault="00270B24" w:rsidP="00270B24">
            <w:pPr>
              <w:pStyle w:val="af2"/>
            </w:pPr>
            <w:r w:rsidRPr="00057AE8">
              <w:rPr>
                <w:rFonts w:hint="eastAsia"/>
              </w:rPr>
              <w:t>-2.57213</w:t>
            </w:r>
          </w:p>
        </w:tc>
        <w:tc>
          <w:tcPr>
            <w:tcW w:w="1083" w:type="pct"/>
            <w:noWrap/>
            <w:hideMark/>
          </w:tcPr>
          <w:p w14:paraId="05443A8D" w14:textId="77777777" w:rsidR="00270B24" w:rsidRPr="00057AE8" w:rsidRDefault="00270B24" w:rsidP="00270B24">
            <w:pPr>
              <w:pStyle w:val="af2"/>
            </w:pPr>
            <w:r w:rsidRPr="00057AE8">
              <w:rPr>
                <w:rFonts w:hint="eastAsia"/>
              </w:rPr>
              <w:t>0.0115929</w:t>
            </w:r>
          </w:p>
        </w:tc>
        <w:tc>
          <w:tcPr>
            <w:tcW w:w="519" w:type="pct"/>
            <w:noWrap/>
            <w:hideMark/>
          </w:tcPr>
          <w:p w14:paraId="2586DF0F" w14:textId="77777777" w:rsidR="00270B24" w:rsidRPr="00057AE8" w:rsidRDefault="00270B24" w:rsidP="00270B24">
            <w:pPr>
              <w:pStyle w:val="af2"/>
            </w:pPr>
            <w:r w:rsidRPr="00057AE8">
              <w:rPr>
                <w:rFonts w:hint="eastAsia"/>
              </w:rPr>
              <w:t>**</w:t>
            </w:r>
          </w:p>
        </w:tc>
      </w:tr>
      <w:tr w:rsidR="00270B24" w:rsidRPr="00057AE8" w14:paraId="2B7370EF" w14:textId="77777777" w:rsidTr="00057AE8">
        <w:trPr>
          <w:trHeight w:val="276"/>
        </w:trPr>
        <w:tc>
          <w:tcPr>
            <w:tcW w:w="952" w:type="pct"/>
            <w:noWrap/>
            <w:hideMark/>
          </w:tcPr>
          <w:p w14:paraId="1390A592" w14:textId="77777777" w:rsidR="00270B24" w:rsidRPr="00057AE8" w:rsidRDefault="00270B24" w:rsidP="00270B24">
            <w:pPr>
              <w:pStyle w:val="af2"/>
            </w:pPr>
            <w:r w:rsidRPr="00057AE8">
              <w:rPr>
                <w:rFonts w:hint="eastAsia"/>
              </w:rPr>
              <w:t>[-10;9]</w:t>
            </w:r>
          </w:p>
        </w:tc>
        <w:tc>
          <w:tcPr>
            <w:tcW w:w="946" w:type="pct"/>
            <w:noWrap/>
            <w:hideMark/>
          </w:tcPr>
          <w:p w14:paraId="2F2CA06A" w14:textId="77777777" w:rsidR="00270B24" w:rsidRPr="00057AE8" w:rsidRDefault="00270B24" w:rsidP="00270B24">
            <w:pPr>
              <w:pStyle w:val="af2"/>
            </w:pPr>
            <w:r w:rsidRPr="00057AE8">
              <w:rPr>
                <w:rFonts w:hint="eastAsia"/>
              </w:rPr>
              <w:t>-0.06919</w:t>
            </w:r>
          </w:p>
        </w:tc>
        <w:tc>
          <w:tcPr>
            <w:tcW w:w="1500" w:type="pct"/>
            <w:noWrap/>
            <w:hideMark/>
          </w:tcPr>
          <w:p w14:paraId="5E12DC32" w14:textId="77777777" w:rsidR="00270B24" w:rsidRPr="00057AE8" w:rsidRDefault="00270B24" w:rsidP="00270B24">
            <w:pPr>
              <w:pStyle w:val="af2"/>
            </w:pPr>
            <w:r w:rsidRPr="00057AE8">
              <w:rPr>
                <w:rFonts w:hint="eastAsia"/>
              </w:rPr>
              <w:t>-2.54445</w:t>
            </w:r>
          </w:p>
        </w:tc>
        <w:tc>
          <w:tcPr>
            <w:tcW w:w="1083" w:type="pct"/>
            <w:noWrap/>
            <w:hideMark/>
          </w:tcPr>
          <w:p w14:paraId="14965444" w14:textId="77777777" w:rsidR="00270B24" w:rsidRPr="00057AE8" w:rsidRDefault="00270B24" w:rsidP="00270B24">
            <w:pPr>
              <w:pStyle w:val="af2"/>
            </w:pPr>
            <w:r w:rsidRPr="00057AE8">
              <w:rPr>
                <w:rFonts w:hint="eastAsia"/>
              </w:rPr>
              <w:t>0.0124904</w:t>
            </w:r>
          </w:p>
        </w:tc>
        <w:tc>
          <w:tcPr>
            <w:tcW w:w="519" w:type="pct"/>
            <w:noWrap/>
            <w:hideMark/>
          </w:tcPr>
          <w:p w14:paraId="662B6FF8" w14:textId="77777777" w:rsidR="00270B24" w:rsidRPr="00057AE8" w:rsidRDefault="00270B24" w:rsidP="00270B24">
            <w:pPr>
              <w:pStyle w:val="af2"/>
            </w:pPr>
            <w:r w:rsidRPr="00057AE8">
              <w:rPr>
                <w:rFonts w:hint="eastAsia"/>
              </w:rPr>
              <w:t>**</w:t>
            </w:r>
          </w:p>
        </w:tc>
      </w:tr>
      <w:tr w:rsidR="00270B24" w:rsidRPr="00057AE8" w14:paraId="14042B2F" w14:textId="77777777" w:rsidTr="00057AE8">
        <w:trPr>
          <w:trHeight w:val="276"/>
        </w:trPr>
        <w:tc>
          <w:tcPr>
            <w:tcW w:w="952" w:type="pct"/>
            <w:noWrap/>
            <w:hideMark/>
          </w:tcPr>
          <w:p w14:paraId="06C053A0" w14:textId="77777777" w:rsidR="00270B24" w:rsidRPr="00057AE8" w:rsidRDefault="00270B24" w:rsidP="00270B24">
            <w:pPr>
              <w:pStyle w:val="af2"/>
            </w:pPr>
            <w:r w:rsidRPr="00057AE8">
              <w:rPr>
                <w:rFonts w:hint="eastAsia"/>
              </w:rPr>
              <w:t>[-10;10]</w:t>
            </w:r>
          </w:p>
        </w:tc>
        <w:tc>
          <w:tcPr>
            <w:tcW w:w="946" w:type="pct"/>
            <w:noWrap/>
            <w:hideMark/>
          </w:tcPr>
          <w:p w14:paraId="1B54C997" w14:textId="77777777" w:rsidR="00270B24" w:rsidRPr="00057AE8" w:rsidRDefault="00270B24" w:rsidP="00270B24">
            <w:pPr>
              <w:pStyle w:val="af2"/>
            </w:pPr>
            <w:r w:rsidRPr="00057AE8">
              <w:rPr>
                <w:rFonts w:hint="eastAsia"/>
              </w:rPr>
              <w:t>-0.06666</w:t>
            </w:r>
          </w:p>
        </w:tc>
        <w:tc>
          <w:tcPr>
            <w:tcW w:w="1500" w:type="pct"/>
            <w:noWrap/>
            <w:hideMark/>
          </w:tcPr>
          <w:p w14:paraId="1EC65CA1" w14:textId="77777777" w:rsidR="00270B24" w:rsidRPr="00057AE8" w:rsidRDefault="00270B24" w:rsidP="00270B24">
            <w:pPr>
              <w:pStyle w:val="af2"/>
            </w:pPr>
            <w:r w:rsidRPr="00057AE8">
              <w:rPr>
                <w:rFonts w:hint="eastAsia"/>
              </w:rPr>
              <w:t>-2.39293</w:t>
            </w:r>
          </w:p>
        </w:tc>
        <w:tc>
          <w:tcPr>
            <w:tcW w:w="1083" w:type="pct"/>
            <w:noWrap/>
            <w:hideMark/>
          </w:tcPr>
          <w:p w14:paraId="3ADC5DDC" w14:textId="77777777" w:rsidR="00270B24" w:rsidRPr="00057AE8" w:rsidRDefault="00270B24" w:rsidP="00270B24">
            <w:pPr>
              <w:pStyle w:val="af2"/>
            </w:pPr>
            <w:r w:rsidRPr="00057AE8">
              <w:rPr>
                <w:rFonts w:hint="eastAsia"/>
              </w:rPr>
              <w:t>0.0186003</w:t>
            </w:r>
          </w:p>
        </w:tc>
        <w:tc>
          <w:tcPr>
            <w:tcW w:w="519" w:type="pct"/>
            <w:noWrap/>
            <w:hideMark/>
          </w:tcPr>
          <w:p w14:paraId="3309A4CD" w14:textId="77777777" w:rsidR="00270B24" w:rsidRPr="00057AE8" w:rsidRDefault="00270B24" w:rsidP="00270B24">
            <w:pPr>
              <w:pStyle w:val="af2"/>
            </w:pPr>
            <w:r w:rsidRPr="00057AE8">
              <w:rPr>
                <w:rFonts w:hint="eastAsia"/>
              </w:rPr>
              <w:t>**</w:t>
            </w:r>
          </w:p>
        </w:tc>
      </w:tr>
    </w:tbl>
    <w:p w14:paraId="7ED881E0" w14:textId="3DB27E28" w:rsidR="005137ED" w:rsidRDefault="00C66266" w:rsidP="00B00143">
      <w:pPr>
        <w:ind w:firstLineChars="200" w:firstLine="480"/>
      </w:pPr>
      <w:r>
        <w:rPr>
          <w:rFonts w:hint="eastAsia"/>
        </w:rPr>
        <w:t>从表格</w:t>
      </w:r>
      <w:r>
        <w:rPr>
          <w:rFonts w:hint="eastAsia"/>
        </w:rPr>
        <w:t>4</w:t>
      </w:r>
      <w:r>
        <w:t>-</w:t>
      </w:r>
      <w:r w:rsidR="002378D8">
        <w:t>5</w:t>
      </w:r>
      <w:r>
        <w:rPr>
          <w:rFonts w:hint="eastAsia"/>
        </w:rPr>
        <w:t>中，我们可以发现随着时间向前推移，累积平均异常收益率呈波动上升趋势，</w:t>
      </w:r>
      <w:r w:rsidR="006E4092">
        <w:rPr>
          <w:rFonts w:hint="eastAsia"/>
        </w:rPr>
        <w:t>且</w:t>
      </w:r>
      <w:r>
        <w:rPr>
          <w:rFonts w:hint="eastAsia"/>
        </w:rPr>
        <w:t>事件窗口期内</w:t>
      </w:r>
      <w:r w:rsidR="006E4092">
        <w:rPr>
          <w:rFonts w:hint="eastAsia"/>
        </w:rPr>
        <w:t>每一日的累积平均异常收益率都为负</w:t>
      </w:r>
      <w:r w:rsidR="00862DB9">
        <w:rPr>
          <w:rFonts w:hint="eastAsia"/>
        </w:rPr>
        <w:t>，这与我们的假设</w:t>
      </w:r>
      <w:proofErr w:type="gramStart"/>
      <w:r w:rsidR="00862DB9">
        <w:rPr>
          <w:rFonts w:hint="eastAsia"/>
        </w:rPr>
        <w:t>一</w:t>
      </w:r>
      <w:proofErr w:type="gramEnd"/>
      <w:r w:rsidR="00BA13D9">
        <w:rPr>
          <w:rFonts w:hint="eastAsia"/>
        </w:rPr>
        <w:t>符合</w:t>
      </w:r>
      <w:r w:rsidR="00DE76D9">
        <w:rPr>
          <w:rFonts w:hint="eastAsia"/>
        </w:rPr>
        <w:t>。</w:t>
      </w:r>
      <w:r w:rsidR="006E4092">
        <w:rPr>
          <w:rFonts w:hint="eastAsia"/>
        </w:rPr>
        <w:t>其中</w:t>
      </w:r>
      <w:r w:rsidR="00DE76D9">
        <w:rPr>
          <w:rFonts w:hint="eastAsia"/>
        </w:rPr>
        <w:t>累积平均异常收益率的</w:t>
      </w:r>
      <w:r w:rsidR="00E841B4">
        <w:rPr>
          <w:rFonts w:hint="eastAsia"/>
        </w:rPr>
        <w:t>最大值出现在事件日发生后</w:t>
      </w:r>
      <w:r w:rsidR="00862DB9">
        <w:rPr>
          <w:rFonts w:hint="eastAsia"/>
        </w:rPr>
        <w:t>第九天。（</w:t>
      </w:r>
      <w:r w:rsidR="00862DB9">
        <w:rPr>
          <w:rFonts w:hint="eastAsia"/>
        </w:rPr>
        <w:t>-</w:t>
      </w:r>
      <w:r w:rsidR="00862DB9">
        <w:t>10</w:t>
      </w:r>
      <w:r w:rsidR="00862DB9">
        <w:rPr>
          <w:rFonts w:hint="eastAsia"/>
        </w:rPr>
        <w:t>，</w:t>
      </w:r>
      <w:r w:rsidR="00862DB9">
        <w:rPr>
          <w:rFonts w:hint="eastAsia"/>
        </w:rPr>
        <w:t>-</w:t>
      </w:r>
      <w:r w:rsidR="00862DB9">
        <w:t>9</w:t>
      </w:r>
      <w:r w:rsidR="00862DB9">
        <w:rPr>
          <w:rFonts w:hint="eastAsia"/>
        </w:rPr>
        <w:t>）窗口期内的累积平均异常收益率没有得到显著性证明。</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8</w:t>
      </w:r>
      <w:r w:rsidR="00DE76D9">
        <w:rPr>
          <w:rFonts w:hint="eastAsia"/>
        </w:rPr>
        <w:t>）窗口期内累积平均异常收益率为</w:t>
      </w:r>
      <w:r w:rsidR="00DE76D9">
        <w:rPr>
          <w:rFonts w:hint="eastAsia"/>
        </w:rPr>
        <w:t>-</w:t>
      </w:r>
      <w:r w:rsidR="00DE76D9">
        <w:t>0.01786</w:t>
      </w:r>
      <w:r w:rsidR="00DE76D9">
        <w:rPr>
          <w:rFonts w:hint="eastAsia"/>
        </w:rPr>
        <w:t>，且在</w:t>
      </w:r>
      <w:r w:rsidR="00DE76D9">
        <w:rPr>
          <w:rFonts w:hint="eastAsia"/>
        </w:rPr>
        <w:t>5</w:t>
      </w:r>
      <w:r w:rsidR="00DE76D9">
        <w:t>%</w:t>
      </w:r>
      <w:r w:rsidR="00DE76D9">
        <w:rPr>
          <w:rFonts w:hint="eastAsia"/>
        </w:rPr>
        <w:t>置信水平上显著。（</w:t>
      </w:r>
      <w:r w:rsidR="00DE76D9">
        <w:rPr>
          <w:rFonts w:hint="eastAsia"/>
        </w:rPr>
        <w:t>-</w:t>
      </w:r>
      <w:r w:rsidR="00DE76D9">
        <w:t>10</w:t>
      </w:r>
      <w:r w:rsidR="00DE76D9">
        <w:rPr>
          <w:rFonts w:hint="eastAsia"/>
        </w:rPr>
        <w:t>，</w:t>
      </w:r>
      <w:r w:rsidR="00DE76D9">
        <w:rPr>
          <w:rFonts w:hint="eastAsia"/>
        </w:rPr>
        <w:t>-</w:t>
      </w:r>
      <w:r w:rsidR="00DE76D9">
        <w:t>7</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6</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5</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4</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3</w:t>
      </w:r>
      <w:r w:rsidR="00DE76D9">
        <w:rPr>
          <w:rFonts w:hint="eastAsia"/>
        </w:rPr>
        <w:t>）</w:t>
      </w:r>
      <w:r w:rsidR="00E7318F">
        <w:rPr>
          <w:rFonts w:hint="eastAsia"/>
        </w:rPr>
        <w:t>，</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2</w:t>
      </w:r>
      <w:r w:rsidR="00DE76D9">
        <w:rPr>
          <w:rFonts w:hint="eastAsia"/>
        </w:rPr>
        <w:t>），（</w:t>
      </w:r>
      <w:r w:rsidR="00DE76D9">
        <w:rPr>
          <w:rFonts w:hint="eastAsia"/>
        </w:rPr>
        <w:t>-</w:t>
      </w:r>
      <w:r w:rsidR="00DE76D9">
        <w:t>10</w:t>
      </w:r>
      <w:r w:rsidR="00DE76D9">
        <w:rPr>
          <w:rFonts w:hint="eastAsia"/>
        </w:rPr>
        <w:t>，</w:t>
      </w:r>
      <w:r w:rsidR="00DE76D9">
        <w:rPr>
          <w:rFonts w:hint="eastAsia"/>
        </w:rPr>
        <w:t>-</w:t>
      </w:r>
      <w:r w:rsidR="00DE76D9">
        <w:t>1</w:t>
      </w:r>
      <w:r w:rsidR="00DE76D9">
        <w:rPr>
          <w:rFonts w:hint="eastAsia"/>
        </w:rPr>
        <w:t>）</w:t>
      </w:r>
      <w:r w:rsidR="00E7318F">
        <w:rPr>
          <w:rFonts w:hint="eastAsia"/>
        </w:rPr>
        <w:t>，（</w:t>
      </w:r>
      <w:r w:rsidR="00E7318F">
        <w:rPr>
          <w:rFonts w:hint="eastAsia"/>
        </w:rPr>
        <w:t>-</w:t>
      </w:r>
      <w:r w:rsidR="00E7318F">
        <w:t>10</w:t>
      </w:r>
      <w:r w:rsidR="00E7318F">
        <w:rPr>
          <w:rFonts w:hint="eastAsia"/>
        </w:rPr>
        <w:t>，</w:t>
      </w:r>
      <w:r w:rsidR="00E7318F">
        <w:rPr>
          <w:rFonts w:hint="eastAsia"/>
        </w:rPr>
        <w:t>1</w:t>
      </w:r>
      <w:r w:rsidR="00E7318F">
        <w:rPr>
          <w:rFonts w:hint="eastAsia"/>
        </w:rPr>
        <w:t>），（</w:t>
      </w:r>
      <w:r w:rsidR="00E7318F">
        <w:rPr>
          <w:rFonts w:hint="eastAsia"/>
        </w:rPr>
        <w:t>-</w:t>
      </w:r>
      <w:r w:rsidR="00E7318F">
        <w:t>10</w:t>
      </w:r>
      <w:r w:rsidR="00E7318F">
        <w:rPr>
          <w:rFonts w:hint="eastAsia"/>
        </w:rPr>
        <w:t>，</w:t>
      </w:r>
      <w:r w:rsidR="00E7318F">
        <w:rPr>
          <w:rFonts w:hint="eastAsia"/>
        </w:rPr>
        <w:t>2</w:t>
      </w:r>
      <w:r w:rsidR="00E7318F">
        <w:rPr>
          <w:rFonts w:hint="eastAsia"/>
        </w:rPr>
        <w:t>），（</w:t>
      </w:r>
      <w:r w:rsidR="00E7318F">
        <w:rPr>
          <w:rFonts w:hint="eastAsia"/>
        </w:rPr>
        <w:t>-</w:t>
      </w:r>
      <w:r w:rsidR="00E7318F">
        <w:t>10</w:t>
      </w:r>
      <w:r w:rsidR="00E7318F">
        <w:rPr>
          <w:rFonts w:hint="eastAsia"/>
        </w:rPr>
        <w:t>，</w:t>
      </w:r>
      <w:r w:rsidR="00E7318F">
        <w:rPr>
          <w:rFonts w:hint="eastAsia"/>
        </w:rPr>
        <w:t>3</w:t>
      </w:r>
      <w:r w:rsidR="00E7318F">
        <w:rPr>
          <w:rFonts w:hint="eastAsia"/>
        </w:rPr>
        <w:t>），（</w:t>
      </w:r>
      <w:r w:rsidR="00E7318F">
        <w:rPr>
          <w:rFonts w:hint="eastAsia"/>
        </w:rPr>
        <w:t>-</w:t>
      </w:r>
      <w:r w:rsidR="00E7318F">
        <w:t>10</w:t>
      </w:r>
      <w:r w:rsidR="00E7318F">
        <w:rPr>
          <w:rFonts w:hint="eastAsia"/>
        </w:rPr>
        <w:t>，</w:t>
      </w:r>
      <w:r w:rsidR="00E7318F">
        <w:rPr>
          <w:rFonts w:hint="eastAsia"/>
        </w:rPr>
        <w:t>4</w:t>
      </w:r>
      <w:r w:rsidR="00E7318F">
        <w:rPr>
          <w:rFonts w:hint="eastAsia"/>
        </w:rPr>
        <w:t>），（</w:t>
      </w:r>
      <w:r w:rsidR="00E7318F">
        <w:rPr>
          <w:rFonts w:hint="eastAsia"/>
        </w:rPr>
        <w:t>-</w:t>
      </w:r>
      <w:r w:rsidR="00E7318F">
        <w:t>10</w:t>
      </w:r>
      <w:r w:rsidR="00E7318F">
        <w:rPr>
          <w:rFonts w:hint="eastAsia"/>
        </w:rPr>
        <w:t>，</w:t>
      </w:r>
      <w:r w:rsidR="00E7318F">
        <w:rPr>
          <w:rFonts w:hint="eastAsia"/>
        </w:rPr>
        <w:t>5</w:t>
      </w:r>
      <w:r w:rsidR="00E7318F">
        <w:rPr>
          <w:rFonts w:hint="eastAsia"/>
        </w:rPr>
        <w:t>），（</w:t>
      </w:r>
      <w:r w:rsidR="00E7318F">
        <w:rPr>
          <w:rFonts w:hint="eastAsia"/>
        </w:rPr>
        <w:t>-</w:t>
      </w:r>
      <w:r w:rsidR="00E7318F">
        <w:t>10</w:t>
      </w:r>
      <w:r w:rsidR="00E7318F">
        <w:rPr>
          <w:rFonts w:hint="eastAsia"/>
        </w:rPr>
        <w:t>，</w:t>
      </w:r>
      <w:r w:rsidR="00E7318F">
        <w:rPr>
          <w:rFonts w:hint="eastAsia"/>
        </w:rPr>
        <w:t>6</w:t>
      </w:r>
      <w:r w:rsidR="00E7318F">
        <w:rPr>
          <w:rFonts w:hint="eastAsia"/>
        </w:rPr>
        <w:t>），（</w:t>
      </w:r>
      <w:r w:rsidR="00E7318F">
        <w:rPr>
          <w:rFonts w:hint="eastAsia"/>
        </w:rPr>
        <w:t>-</w:t>
      </w:r>
      <w:r w:rsidR="00E7318F">
        <w:t>10</w:t>
      </w:r>
      <w:r w:rsidR="00E7318F">
        <w:rPr>
          <w:rFonts w:hint="eastAsia"/>
        </w:rPr>
        <w:t>，</w:t>
      </w:r>
      <w:r w:rsidR="00E7318F">
        <w:rPr>
          <w:rFonts w:hint="eastAsia"/>
        </w:rPr>
        <w:t>7</w:t>
      </w:r>
      <w:r w:rsidR="00E7318F">
        <w:rPr>
          <w:rFonts w:hint="eastAsia"/>
        </w:rPr>
        <w:t>），（</w:t>
      </w:r>
      <w:r w:rsidR="00E7318F">
        <w:rPr>
          <w:rFonts w:hint="eastAsia"/>
        </w:rPr>
        <w:t>-</w:t>
      </w:r>
      <w:r w:rsidR="00E7318F">
        <w:t>10</w:t>
      </w:r>
      <w:r w:rsidR="00E7318F">
        <w:rPr>
          <w:rFonts w:hint="eastAsia"/>
        </w:rPr>
        <w:t>，</w:t>
      </w:r>
      <w:r w:rsidR="00E7318F">
        <w:rPr>
          <w:rFonts w:hint="eastAsia"/>
        </w:rPr>
        <w:t>8</w:t>
      </w:r>
      <w:r w:rsidR="00E7318F">
        <w:rPr>
          <w:rFonts w:hint="eastAsia"/>
        </w:rPr>
        <w:t>），（</w:t>
      </w:r>
      <w:r w:rsidR="00E7318F">
        <w:rPr>
          <w:rFonts w:hint="eastAsia"/>
        </w:rPr>
        <w:t>-</w:t>
      </w:r>
      <w:r w:rsidR="00E7318F">
        <w:t>10</w:t>
      </w:r>
      <w:r w:rsidR="00E7318F">
        <w:rPr>
          <w:rFonts w:hint="eastAsia"/>
        </w:rPr>
        <w:t>，</w:t>
      </w:r>
      <w:r w:rsidR="00E7318F">
        <w:rPr>
          <w:rFonts w:hint="eastAsia"/>
        </w:rPr>
        <w:t>9</w:t>
      </w:r>
      <w:r w:rsidR="00E7318F">
        <w:rPr>
          <w:rFonts w:hint="eastAsia"/>
        </w:rPr>
        <w:t>）窗口期内的累积平均异常收益率</w:t>
      </w:r>
      <w:r w:rsidR="00DB6939">
        <w:rPr>
          <w:rFonts w:hint="eastAsia"/>
        </w:rPr>
        <w:t>在置信水平</w:t>
      </w:r>
      <w:r w:rsidR="00E64598">
        <w:t>5</w:t>
      </w:r>
      <w:r w:rsidR="00DB6939">
        <w:t>%</w:t>
      </w:r>
      <w:r w:rsidR="00DB6939">
        <w:rPr>
          <w:rFonts w:hint="eastAsia"/>
        </w:rPr>
        <w:t>上显著为负，（</w:t>
      </w:r>
      <w:r w:rsidR="00DB6939">
        <w:rPr>
          <w:rFonts w:hint="eastAsia"/>
        </w:rPr>
        <w:t>-</w:t>
      </w:r>
      <w:r w:rsidR="00DB6939">
        <w:t>10</w:t>
      </w:r>
      <w:r w:rsidR="00DB6939">
        <w:rPr>
          <w:rFonts w:hint="eastAsia"/>
        </w:rPr>
        <w:t>，</w:t>
      </w:r>
      <w:r w:rsidR="00DB6939">
        <w:rPr>
          <w:rFonts w:hint="eastAsia"/>
        </w:rPr>
        <w:t>0</w:t>
      </w:r>
      <w:r w:rsidR="00DB6939">
        <w:rPr>
          <w:rFonts w:hint="eastAsia"/>
        </w:rPr>
        <w:t>）窗口期内在</w:t>
      </w:r>
      <w:r w:rsidR="00DB6939">
        <w:t>1%</w:t>
      </w:r>
      <w:r w:rsidR="00DB6939">
        <w:rPr>
          <w:rFonts w:hint="eastAsia"/>
        </w:rPr>
        <w:t>置信水平上显著。</w:t>
      </w:r>
    </w:p>
    <w:p w14:paraId="4A6F8758" w14:textId="55CFCC6C" w:rsidR="00270B24" w:rsidRDefault="00D82599" w:rsidP="00000CDE">
      <w:pPr>
        <w:ind w:firstLineChars="200" w:firstLine="480"/>
      </w:pPr>
      <w:r>
        <w:rPr>
          <w:rFonts w:hint="eastAsia"/>
        </w:rPr>
        <w:t>由于先前的分析</w:t>
      </w:r>
      <w:r w:rsidR="00000CDE">
        <w:rPr>
          <w:rFonts w:hint="eastAsia"/>
        </w:rPr>
        <w:t>，在独立董事辞职事件发生以后的事件窗口内，</w:t>
      </w:r>
      <w:r w:rsidR="00074D9F">
        <w:rPr>
          <w:rFonts w:hint="eastAsia"/>
        </w:rPr>
        <w:t>样本公司窗口期间内的累计平均异常收益率为负</w:t>
      </w:r>
      <w:r w:rsidR="005914D7">
        <w:rPr>
          <w:rFonts w:hint="eastAsia"/>
        </w:rPr>
        <w:t>不难理解，</w:t>
      </w:r>
      <w:r w:rsidR="00000CDE">
        <w:rPr>
          <w:rFonts w:hint="eastAsia"/>
        </w:rPr>
        <w:t>此外在独立董事事件发生之前的累积平均异常收益率为负</w:t>
      </w:r>
      <w:r w:rsidR="00270B24">
        <w:rPr>
          <w:rFonts w:hint="eastAsia"/>
        </w:rPr>
        <w:t>，对此我们进行了相应的理论分析。</w:t>
      </w:r>
    </w:p>
    <w:p w14:paraId="5BBDF1C4" w14:textId="5A820E68" w:rsidR="00E841B4" w:rsidRDefault="00000CDE" w:rsidP="00000CDE">
      <w:pPr>
        <w:ind w:firstLineChars="200" w:firstLine="480"/>
      </w:pPr>
      <w:r>
        <w:rPr>
          <w:rFonts w:hint="eastAsia"/>
        </w:rPr>
        <w:t>我们认为在独立董事辞职公告发布以前，由于信息不对称和沟通成本的存在，市场上会分化为</w:t>
      </w:r>
      <w:r w:rsidR="00D67987">
        <w:rPr>
          <w:rFonts w:hint="eastAsia"/>
        </w:rPr>
        <w:t>两个群体，其中一个群体受限于信息传递，没有提前采取相应的风险回避措施来尽量削弱相关影响，而另一个群体能够提前获取内部消息，能够提前对独立董事辞职事件进行风险分析并采取相应措施，用脚投票。</w:t>
      </w:r>
    </w:p>
    <w:p w14:paraId="73325FF0" w14:textId="2D96BA3A" w:rsidR="00471641" w:rsidRDefault="008756A6" w:rsidP="00563A68">
      <w:pPr>
        <w:pStyle w:val="3"/>
      </w:pPr>
      <w:r>
        <w:rPr>
          <w:rFonts w:hint="eastAsia"/>
        </w:rPr>
        <w:lastRenderedPageBreak/>
        <w:t>假设二的回归检验</w:t>
      </w:r>
    </w:p>
    <w:p w14:paraId="04DD16FE" w14:textId="77777777" w:rsidR="00E80840" w:rsidRDefault="00471641" w:rsidP="00471641">
      <w:pPr>
        <w:pStyle w:val="a3"/>
        <w:keepNext/>
        <w:ind w:firstLine="480"/>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2378D8">
        <w:t>6</w:t>
      </w:r>
      <w:r>
        <w:rPr>
          <w:rFonts w:hint="eastAsia"/>
        </w:rPr>
        <w:t>假设二回归分析</w:t>
      </w:r>
    </w:p>
    <w:tbl>
      <w:tblPr>
        <w:tblStyle w:val="1111"/>
        <w:tblW w:w="5035" w:type="pct"/>
        <w:tblLook w:val="0000" w:firstRow="0" w:lastRow="0" w:firstColumn="0" w:lastColumn="0" w:noHBand="0" w:noVBand="0"/>
      </w:tblPr>
      <w:tblGrid>
        <w:gridCol w:w="1439"/>
        <w:gridCol w:w="584"/>
        <w:gridCol w:w="410"/>
        <w:gridCol w:w="898"/>
        <w:gridCol w:w="475"/>
        <w:gridCol w:w="473"/>
        <w:gridCol w:w="995"/>
        <w:gridCol w:w="656"/>
        <w:gridCol w:w="654"/>
        <w:gridCol w:w="1092"/>
        <w:gridCol w:w="631"/>
        <w:gridCol w:w="57"/>
      </w:tblGrid>
      <w:tr w:rsidR="00E80840" w:rsidRPr="00724DFC" w14:paraId="76DF8FF7" w14:textId="77777777" w:rsidTr="005A06AA">
        <w:trPr>
          <w:gridAfter w:val="1"/>
          <w:wAfter w:w="34" w:type="pct"/>
        </w:trPr>
        <w:tc>
          <w:tcPr>
            <w:tcW w:w="860" w:type="pct"/>
            <w:tcBorders>
              <w:bottom w:val="single" w:sz="6" w:space="0" w:color="auto"/>
            </w:tcBorders>
          </w:tcPr>
          <w:p w14:paraId="30C7CCB1" w14:textId="77777777" w:rsidR="00E80840" w:rsidRPr="00724DFC" w:rsidRDefault="00E80840" w:rsidP="00EC050D">
            <w:pPr>
              <w:pStyle w:val="af2"/>
            </w:pPr>
            <w:r w:rsidRPr="00724DFC">
              <w:t>Car</w:t>
            </w:r>
          </w:p>
        </w:tc>
        <w:tc>
          <w:tcPr>
            <w:tcW w:w="594" w:type="pct"/>
            <w:gridSpan w:val="2"/>
            <w:tcBorders>
              <w:bottom w:val="single" w:sz="6" w:space="0" w:color="auto"/>
            </w:tcBorders>
          </w:tcPr>
          <w:p w14:paraId="7C046189" w14:textId="77777777" w:rsidR="00E80840" w:rsidRPr="00724DFC" w:rsidRDefault="00E80840" w:rsidP="00EC050D">
            <w:pPr>
              <w:pStyle w:val="af2"/>
            </w:pPr>
            <w:r w:rsidRPr="00724DFC">
              <w:t xml:space="preserve"> Coef.</w:t>
            </w:r>
          </w:p>
        </w:tc>
        <w:tc>
          <w:tcPr>
            <w:tcW w:w="537" w:type="pct"/>
            <w:tcBorders>
              <w:bottom w:val="single" w:sz="6" w:space="0" w:color="auto"/>
            </w:tcBorders>
          </w:tcPr>
          <w:p w14:paraId="4F1ED0A9" w14:textId="77777777" w:rsidR="00E80840" w:rsidRPr="00724DFC" w:rsidRDefault="00E80840" w:rsidP="00EC050D">
            <w:pPr>
              <w:pStyle w:val="af2"/>
            </w:pPr>
            <w:r w:rsidRPr="00724DFC">
              <w:t xml:space="preserve"> </w:t>
            </w:r>
            <w:proofErr w:type="spellStart"/>
            <w:proofErr w:type="gramStart"/>
            <w:r w:rsidRPr="00724DFC">
              <w:t>St.Err</w:t>
            </w:r>
            <w:proofErr w:type="spellEnd"/>
            <w:proofErr w:type="gramEnd"/>
            <w:r w:rsidRPr="00724DFC">
              <w:t>.</w:t>
            </w:r>
          </w:p>
        </w:tc>
        <w:tc>
          <w:tcPr>
            <w:tcW w:w="567" w:type="pct"/>
            <w:gridSpan w:val="2"/>
            <w:tcBorders>
              <w:bottom w:val="single" w:sz="6" w:space="0" w:color="auto"/>
            </w:tcBorders>
          </w:tcPr>
          <w:p w14:paraId="6C37C207" w14:textId="77777777" w:rsidR="00E80840" w:rsidRPr="00724DFC" w:rsidRDefault="00E80840" w:rsidP="00EC050D">
            <w:pPr>
              <w:pStyle w:val="af2"/>
            </w:pPr>
            <w:r w:rsidRPr="00724DFC">
              <w:t xml:space="preserve"> t-value</w:t>
            </w:r>
          </w:p>
        </w:tc>
        <w:tc>
          <w:tcPr>
            <w:tcW w:w="595" w:type="pct"/>
            <w:tcBorders>
              <w:bottom w:val="single" w:sz="6" w:space="0" w:color="auto"/>
            </w:tcBorders>
          </w:tcPr>
          <w:p w14:paraId="321B7031" w14:textId="77777777" w:rsidR="00E80840" w:rsidRPr="00724DFC" w:rsidRDefault="00E80840" w:rsidP="00EC050D">
            <w:pPr>
              <w:pStyle w:val="af2"/>
            </w:pPr>
            <w:r w:rsidRPr="00724DFC">
              <w:t xml:space="preserve"> p-value</w:t>
            </w:r>
          </w:p>
        </w:tc>
        <w:tc>
          <w:tcPr>
            <w:tcW w:w="783" w:type="pct"/>
            <w:gridSpan w:val="2"/>
            <w:tcBorders>
              <w:bottom w:val="single" w:sz="6" w:space="0" w:color="auto"/>
            </w:tcBorders>
          </w:tcPr>
          <w:p w14:paraId="61ABE622" w14:textId="77777777" w:rsidR="00E80840" w:rsidRPr="00724DFC" w:rsidRDefault="00E80840" w:rsidP="00EC050D">
            <w:pPr>
              <w:pStyle w:val="af2"/>
            </w:pPr>
            <w:r w:rsidRPr="00724DFC">
              <w:t xml:space="preserve"> [95% Conf</w:t>
            </w:r>
          </w:p>
        </w:tc>
        <w:tc>
          <w:tcPr>
            <w:tcW w:w="653" w:type="pct"/>
            <w:tcBorders>
              <w:bottom w:val="single" w:sz="6" w:space="0" w:color="auto"/>
            </w:tcBorders>
          </w:tcPr>
          <w:p w14:paraId="1AA89A7E" w14:textId="77777777" w:rsidR="00E80840" w:rsidRPr="00724DFC" w:rsidRDefault="00E80840" w:rsidP="00EC050D">
            <w:pPr>
              <w:pStyle w:val="af2"/>
            </w:pPr>
            <w:r w:rsidRPr="00724DFC">
              <w:t xml:space="preserve"> Interval]</w:t>
            </w:r>
          </w:p>
        </w:tc>
        <w:tc>
          <w:tcPr>
            <w:tcW w:w="377" w:type="pct"/>
            <w:tcBorders>
              <w:bottom w:val="single" w:sz="6" w:space="0" w:color="auto"/>
            </w:tcBorders>
          </w:tcPr>
          <w:p w14:paraId="513B9C14" w14:textId="77777777" w:rsidR="00E80840" w:rsidRPr="00724DFC" w:rsidRDefault="00E80840" w:rsidP="00EC050D">
            <w:pPr>
              <w:pStyle w:val="af2"/>
            </w:pPr>
            <w:r w:rsidRPr="00724DFC">
              <w:t xml:space="preserve"> Sig</w:t>
            </w:r>
          </w:p>
        </w:tc>
      </w:tr>
      <w:tr w:rsidR="00E80840" w:rsidRPr="00724DFC" w14:paraId="5DBCDBC7" w14:textId="77777777" w:rsidTr="005A06AA">
        <w:trPr>
          <w:gridAfter w:val="1"/>
          <w:wAfter w:w="34" w:type="pct"/>
        </w:trPr>
        <w:tc>
          <w:tcPr>
            <w:tcW w:w="860" w:type="pct"/>
            <w:tcBorders>
              <w:top w:val="single" w:sz="6" w:space="0" w:color="auto"/>
            </w:tcBorders>
          </w:tcPr>
          <w:p w14:paraId="79A2FBBA" w14:textId="77777777" w:rsidR="00E80840" w:rsidRPr="00724DFC" w:rsidRDefault="00E80840" w:rsidP="00EC050D">
            <w:pPr>
              <w:pStyle w:val="af2"/>
            </w:pPr>
            <w:r w:rsidRPr="00724DFC">
              <w:t>Degree</w:t>
            </w:r>
          </w:p>
        </w:tc>
        <w:tc>
          <w:tcPr>
            <w:tcW w:w="594" w:type="pct"/>
            <w:gridSpan w:val="2"/>
            <w:tcBorders>
              <w:top w:val="single" w:sz="6" w:space="0" w:color="auto"/>
            </w:tcBorders>
          </w:tcPr>
          <w:p w14:paraId="7C9FF84A" w14:textId="77777777" w:rsidR="00E80840" w:rsidRPr="00724DFC" w:rsidRDefault="00E80840" w:rsidP="00EC050D">
            <w:pPr>
              <w:pStyle w:val="af2"/>
            </w:pPr>
            <w:r w:rsidRPr="00724DFC">
              <w:t>.05</w:t>
            </w:r>
          </w:p>
        </w:tc>
        <w:tc>
          <w:tcPr>
            <w:tcW w:w="537" w:type="pct"/>
            <w:tcBorders>
              <w:top w:val="single" w:sz="6" w:space="0" w:color="auto"/>
            </w:tcBorders>
          </w:tcPr>
          <w:p w14:paraId="20053A7A" w14:textId="77777777" w:rsidR="00E80840" w:rsidRPr="00724DFC" w:rsidRDefault="00E80840" w:rsidP="00EC050D">
            <w:pPr>
              <w:pStyle w:val="af2"/>
            </w:pPr>
            <w:r w:rsidRPr="00724DFC">
              <w:t>.039</w:t>
            </w:r>
          </w:p>
        </w:tc>
        <w:tc>
          <w:tcPr>
            <w:tcW w:w="567" w:type="pct"/>
            <w:gridSpan w:val="2"/>
            <w:tcBorders>
              <w:top w:val="single" w:sz="6" w:space="0" w:color="auto"/>
            </w:tcBorders>
          </w:tcPr>
          <w:p w14:paraId="03A11D16" w14:textId="77777777" w:rsidR="00E80840" w:rsidRPr="00724DFC" w:rsidRDefault="00E80840" w:rsidP="00EC050D">
            <w:pPr>
              <w:pStyle w:val="af2"/>
            </w:pPr>
            <w:r w:rsidRPr="00724DFC">
              <w:t>1.26</w:t>
            </w:r>
          </w:p>
        </w:tc>
        <w:tc>
          <w:tcPr>
            <w:tcW w:w="595" w:type="pct"/>
            <w:tcBorders>
              <w:top w:val="single" w:sz="6" w:space="0" w:color="auto"/>
            </w:tcBorders>
          </w:tcPr>
          <w:p w14:paraId="56E58266" w14:textId="77777777" w:rsidR="00E80840" w:rsidRPr="00724DFC" w:rsidRDefault="00E80840" w:rsidP="00EC050D">
            <w:pPr>
              <w:pStyle w:val="af2"/>
            </w:pPr>
            <w:r w:rsidRPr="00724DFC">
              <w:t>.213</w:t>
            </w:r>
          </w:p>
        </w:tc>
        <w:tc>
          <w:tcPr>
            <w:tcW w:w="783" w:type="pct"/>
            <w:gridSpan w:val="2"/>
            <w:tcBorders>
              <w:top w:val="single" w:sz="6" w:space="0" w:color="auto"/>
            </w:tcBorders>
          </w:tcPr>
          <w:p w14:paraId="3DC85FBE" w14:textId="77777777" w:rsidR="00E80840" w:rsidRPr="00724DFC" w:rsidRDefault="00E80840" w:rsidP="00EC050D">
            <w:pPr>
              <w:pStyle w:val="af2"/>
            </w:pPr>
            <w:r w:rsidRPr="00724DFC">
              <w:t>-.029</w:t>
            </w:r>
          </w:p>
        </w:tc>
        <w:tc>
          <w:tcPr>
            <w:tcW w:w="653" w:type="pct"/>
            <w:tcBorders>
              <w:top w:val="single" w:sz="6" w:space="0" w:color="auto"/>
            </w:tcBorders>
          </w:tcPr>
          <w:p w14:paraId="4B0DC9F3" w14:textId="77777777" w:rsidR="00E80840" w:rsidRPr="00724DFC" w:rsidRDefault="00E80840" w:rsidP="00EC050D">
            <w:pPr>
              <w:pStyle w:val="af2"/>
            </w:pPr>
            <w:r w:rsidRPr="00724DFC">
              <w:t>.129</w:t>
            </w:r>
          </w:p>
        </w:tc>
        <w:tc>
          <w:tcPr>
            <w:tcW w:w="377" w:type="pct"/>
            <w:tcBorders>
              <w:top w:val="single" w:sz="6" w:space="0" w:color="auto"/>
            </w:tcBorders>
          </w:tcPr>
          <w:p w14:paraId="6B094584" w14:textId="77777777" w:rsidR="00E80840" w:rsidRPr="00724DFC" w:rsidRDefault="00E80840" w:rsidP="00EC050D">
            <w:pPr>
              <w:pStyle w:val="af2"/>
            </w:pPr>
          </w:p>
        </w:tc>
      </w:tr>
      <w:tr w:rsidR="00E80840" w:rsidRPr="00724DFC" w14:paraId="46C2DD71" w14:textId="77777777" w:rsidTr="005A06AA">
        <w:trPr>
          <w:gridAfter w:val="1"/>
          <w:wAfter w:w="34" w:type="pct"/>
        </w:trPr>
        <w:tc>
          <w:tcPr>
            <w:tcW w:w="860" w:type="pct"/>
          </w:tcPr>
          <w:p w14:paraId="314840D4" w14:textId="77777777" w:rsidR="00E80840" w:rsidRPr="00724DFC" w:rsidRDefault="00E80840" w:rsidP="00EC050D">
            <w:pPr>
              <w:pStyle w:val="af2"/>
            </w:pPr>
            <w:proofErr w:type="spellStart"/>
            <w:r w:rsidRPr="00724DFC">
              <w:t>Tbq</w:t>
            </w:r>
            <w:proofErr w:type="spellEnd"/>
          </w:p>
        </w:tc>
        <w:tc>
          <w:tcPr>
            <w:tcW w:w="594" w:type="pct"/>
            <w:gridSpan w:val="2"/>
          </w:tcPr>
          <w:p w14:paraId="3BEBCF32" w14:textId="77777777" w:rsidR="00E80840" w:rsidRPr="00724DFC" w:rsidRDefault="00E80840" w:rsidP="00EC050D">
            <w:pPr>
              <w:pStyle w:val="af2"/>
            </w:pPr>
            <w:r w:rsidRPr="00724DFC">
              <w:t>-.002</w:t>
            </w:r>
          </w:p>
        </w:tc>
        <w:tc>
          <w:tcPr>
            <w:tcW w:w="537" w:type="pct"/>
          </w:tcPr>
          <w:p w14:paraId="60788442" w14:textId="77777777" w:rsidR="00E80840" w:rsidRPr="00724DFC" w:rsidRDefault="00E80840" w:rsidP="00EC050D">
            <w:pPr>
              <w:pStyle w:val="af2"/>
            </w:pPr>
            <w:r w:rsidRPr="00724DFC">
              <w:t>.026</w:t>
            </w:r>
          </w:p>
        </w:tc>
        <w:tc>
          <w:tcPr>
            <w:tcW w:w="567" w:type="pct"/>
            <w:gridSpan w:val="2"/>
          </w:tcPr>
          <w:p w14:paraId="0A76C2AE" w14:textId="77777777" w:rsidR="00E80840" w:rsidRPr="00724DFC" w:rsidRDefault="00E80840" w:rsidP="00EC050D">
            <w:pPr>
              <w:pStyle w:val="af2"/>
            </w:pPr>
            <w:r w:rsidRPr="00724DFC">
              <w:t>-0.07</w:t>
            </w:r>
          </w:p>
        </w:tc>
        <w:tc>
          <w:tcPr>
            <w:tcW w:w="595" w:type="pct"/>
          </w:tcPr>
          <w:p w14:paraId="09173381" w14:textId="77777777" w:rsidR="00E80840" w:rsidRPr="00724DFC" w:rsidRDefault="00E80840" w:rsidP="00EC050D">
            <w:pPr>
              <w:pStyle w:val="af2"/>
            </w:pPr>
            <w:r w:rsidRPr="00724DFC">
              <w:t>.944</w:t>
            </w:r>
          </w:p>
        </w:tc>
        <w:tc>
          <w:tcPr>
            <w:tcW w:w="783" w:type="pct"/>
            <w:gridSpan w:val="2"/>
          </w:tcPr>
          <w:p w14:paraId="5A1F885F" w14:textId="77777777" w:rsidR="00E80840" w:rsidRPr="00724DFC" w:rsidRDefault="00E80840" w:rsidP="00EC050D">
            <w:pPr>
              <w:pStyle w:val="af2"/>
            </w:pPr>
            <w:r w:rsidRPr="00724DFC">
              <w:t>-.054</w:t>
            </w:r>
          </w:p>
        </w:tc>
        <w:tc>
          <w:tcPr>
            <w:tcW w:w="653" w:type="pct"/>
          </w:tcPr>
          <w:p w14:paraId="06BF7A4F" w14:textId="77777777" w:rsidR="00E80840" w:rsidRPr="00724DFC" w:rsidRDefault="00E80840" w:rsidP="00EC050D">
            <w:pPr>
              <w:pStyle w:val="af2"/>
            </w:pPr>
            <w:r w:rsidRPr="00724DFC">
              <w:t>.051</w:t>
            </w:r>
          </w:p>
        </w:tc>
        <w:tc>
          <w:tcPr>
            <w:tcW w:w="377" w:type="pct"/>
          </w:tcPr>
          <w:p w14:paraId="7AC3DB59" w14:textId="77777777" w:rsidR="00E80840" w:rsidRPr="00724DFC" w:rsidRDefault="00E80840" w:rsidP="00EC050D">
            <w:pPr>
              <w:pStyle w:val="af2"/>
            </w:pPr>
          </w:p>
        </w:tc>
      </w:tr>
      <w:tr w:rsidR="00E80840" w:rsidRPr="00724DFC" w14:paraId="6FD76305" w14:textId="77777777" w:rsidTr="005A06AA">
        <w:trPr>
          <w:gridAfter w:val="1"/>
          <w:wAfter w:w="34" w:type="pct"/>
        </w:trPr>
        <w:tc>
          <w:tcPr>
            <w:tcW w:w="860" w:type="pct"/>
          </w:tcPr>
          <w:p w14:paraId="3CB6187C" w14:textId="77777777" w:rsidR="00E80840" w:rsidRPr="00724DFC" w:rsidRDefault="00E80840" w:rsidP="00EC050D">
            <w:pPr>
              <w:pStyle w:val="af2"/>
            </w:pPr>
            <w:r w:rsidRPr="00724DFC">
              <w:t>Size</w:t>
            </w:r>
          </w:p>
        </w:tc>
        <w:tc>
          <w:tcPr>
            <w:tcW w:w="594" w:type="pct"/>
            <w:gridSpan w:val="2"/>
          </w:tcPr>
          <w:p w14:paraId="30D61E1F" w14:textId="77777777" w:rsidR="00E80840" w:rsidRPr="00724DFC" w:rsidRDefault="00E80840" w:rsidP="00EC050D">
            <w:pPr>
              <w:pStyle w:val="af2"/>
            </w:pPr>
            <w:r w:rsidRPr="00724DFC">
              <w:t>.013</w:t>
            </w:r>
          </w:p>
        </w:tc>
        <w:tc>
          <w:tcPr>
            <w:tcW w:w="537" w:type="pct"/>
          </w:tcPr>
          <w:p w14:paraId="214E5345" w14:textId="77777777" w:rsidR="00E80840" w:rsidRPr="00724DFC" w:rsidRDefault="00E80840" w:rsidP="00EC050D">
            <w:pPr>
              <w:pStyle w:val="af2"/>
            </w:pPr>
            <w:r w:rsidRPr="00724DFC">
              <w:t>.018</w:t>
            </w:r>
          </w:p>
        </w:tc>
        <w:tc>
          <w:tcPr>
            <w:tcW w:w="567" w:type="pct"/>
            <w:gridSpan w:val="2"/>
          </w:tcPr>
          <w:p w14:paraId="54DD46E5" w14:textId="77777777" w:rsidR="00E80840" w:rsidRPr="00724DFC" w:rsidRDefault="00E80840" w:rsidP="00EC050D">
            <w:pPr>
              <w:pStyle w:val="af2"/>
            </w:pPr>
            <w:r w:rsidRPr="00724DFC">
              <w:t>0.71</w:t>
            </w:r>
          </w:p>
        </w:tc>
        <w:tc>
          <w:tcPr>
            <w:tcW w:w="595" w:type="pct"/>
          </w:tcPr>
          <w:p w14:paraId="47F5AE4F" w14:textId="77777777" w:rsidR="00E80840" w:rsidRPr="00724DFC" w:rsidRDefault="00E80840" w:rsidP="00EC050D">
            <w:pPr>
              <w:pStyle w:val="af2"/>
            </w:pPr>
            <w:r w:rsidRPr="00724DFC">
              <w:t>.481</w:t>
            </w:r>
          </w:p>
        </w:tc>
        <w:tc>
          <w:tcPr>
            <w:tcW w:w="783" w:type="pct"/>
            <w:gridSpan w:val="2"/>
          </w:tcPr>
          <w:p w14:paraId="372CF4DA" w14:textId="77777777" w:rsidR="00E80840" w:rsidRPr="00724DFC" w:rsidRDefault="00E80840" w:rsidP="00EC050D">
            <w:pPr>
              <w:pStyle w:val="af2"/>
            </w:pPr>
            <w:r w:rsidRPr="00724DFC">
              <w:t>-.023</w:t>
            </w:r>
          </w:p>
        </w:tc>
        <w:tc>
          <w:tcPr>
            <w:tcW w:w="653" w:type="pct"/>
          </w:tcPr>
          <w:p w14:paraId="52BA151A" w14:textId="77777777" w:rsidR="00E80840" w:rsidRPr="00724DFC" w:rsidRDefault="00E80840" w:rsidP="00EC050D">
            <w:pPr>
              <w:pStyle w:val="af2"/>
            </w:pPr>
            <w:r w:rsidRPr="00724DFC">
              <w:t>.049</w:t>
            </w:r>
          </w:p>
        </w:tc>
        <w:tc>
          <w:tcPr>
            <w:tcW w:w="377" w:type="pct"/>
          </w:tcPr>
          <w:p w14:paraId="47C87258" w14:textId="77777777" w:rsidR="00E80840" w:rsidRPr="00724DFC" w:rsidRDefault="00E80840" w:rsidP="00EC050D">
            <w:pPr>
              <w:pStyle w:val="af2"/>
            </w:pPr>
          </w:p>
        </w:tc>
      </w:tr>
      <w:tr w:rsidR="00E80840" w:rsidRPr="00724DFC" w14:paraId="5906382E" w14:textId="77777777" w:rsidTr="005A06AA">
        <w:trPr>
          <w:gridAfter w:val="1"/>
          <w:wAfter w:w="34" w:type="pct"/>
        </w:trPr>
        <w:tc>
          <w:tcPr>
            <w:tcW w:w="860" w:type="pct"/>
          </w:tcPr>
          <w:p w14:paraId="34FEBAD7" w14:textId="77777777" w:rsidR="00E80840" w:rsidRPr="00724DFC" w:rsidRDefault="00E80840" w:rsidP="00EC050D">
            <w:pPr>
              <w:pStyle w:val="af2"/>
            </w:pPr>
            <w:r w:rsidRPr="00724DFC">
              <w:t>Lev</w:t>
            </w:r>
          </w:p>
        </w:tc>
        <w:tc>
          <w:tcPr>
            <w:tcW w:w="594" w:type="pct"/>
            <w:gridSpan w:val="2"/>
          </w:tcPr>
          <w:p w14:paraId="2B52A60B" w14:textId="77777777" w:rsidR="00E80840" w:rsidRPr="00724DFC" w:rsidRDefault="00E80840" w:rsidP="00EC050D">
            <w:pPr>
              <w:pStyle w:val="af2"/>
            </w:pPr>
            <w:r w:rsidRPr="00724DFC">
              <w:t>.209</w:t>
            </w:r>
          </w:p>
        </w:tc>
        <w:tc>
          <w:tcPr>
            <w:tcW w:w="537" w:type="pct"/>
          </w:tcPr>
          <w:p w14:paraId="1CB8C8F8" w14:textId="77777777" w:rsidR="00E80840" w:rsidRPr="00724DFC" w:rsidRDefault="00E80840" w:rsidP="00EC050D">
            <w:pPr>
              <w:pStyle w:val="af2"/>
            </w:pPr>
            <w:r w:rsidRPr="00724DFC">
              <w:t>.107</w:t>
            </w:r>
          </w:p>
        </w:tc>
        <w:tc>
          <w:tcPr>
            <w:tcW w:w="567" w:type="pct"/>
            <w:gridSpan w:val="2"/>
          </w:tcPr>
          <w:p w14:paraId="780284D1" w14:textId="77777777" w:rsidR="00E80840" w:rsidRPr="00724DFC" w:rsidRDefault="00E80840" w:rsidP="00EC050D">
            <w:pPr>
              <w:pStyle w:val="af2"/>
            </w:pPr>
            <w:r w:rsidRPr="00724DFC">
              <w:t>1.96</w:t>
            </w:r>
          </w:p>
        </w:tc>
        <w:tc>
          <w:tcPr>
            <w:tcW w:w="595" w:type="pct"/>
          </w:tcPr>
          <w:p w14:paraId="13AE4502" w14:textId="77777777" w:rsidR="00E80840" w:rsidRPr="00724DFC" w:rsidRDefault="00E80840" w:rsidP="00EC050D">
            <w:pPr>
              <w:pStyle w:val="af2"/>
            </w:pPr>
            <w:r w:rsidRPr="00724DFC">
              <w:t>.057</w:t>
            </w:r>
          </w:p>
        </w:tc>
        <w:tc>
          <w:tcPr>
            <w:tcW w:w="783" w:type="pct"/>
            <w:gridSpan w:val="2"/>
          </w:tcPr>
          <w:p w14:paraId="1F9A139A" w14:textId="77777777" w:rsidR="00E80840" w:rsidRPr="00724DFC" w:rsidRDefault="00E80840" w:rsidP="00EC050D">
            <w:pPr>
              <w:pStyle w:val="af2"/>
            </w:pPr>
            <w:r w:rsidRPr="00724DFC">
              <w:t>-.006</w:t>
            </w:r>
          </w:p>
        </w:tc>
        <w:tc>
          <w:tcPr>
            <w:tcW w:w="653" w:type="pct"/>
          </w:tcPr>
          <w:p w14:paraId="74EEC56C" w14:textId="77777777" w:rsidR="00E80840" w:rsidRPr="00724DFC" w:rsidRDefault="00E80840" w:rsidP="00EC050D">
            <w:pPr>
              <w:pStyle w:val="af2"/>
            </w:pPr>
            <w:r w:rsidRPr="00724DFC">
              <w:t>.424</w:t>
            </w:r>
          </w:p>
        </w:tc>
        <w:tc>
          <w:tcPr>
            <w:tcW w:w="377" w:type="pct"/>
          </w:tcPr>
          <w:p w14:paraId="0718AF35" w14:textId="77777777" w:rsidR="00E80840" w:rsidRPr="00724DFC" w:rsidRDefault="00E80840" w:rsidP="00EC050D">
            <w:pPr>
              <w:pStyle w:val="af2"/>
            </w:pPr>
            <w:r w:rsidRPr="00724DFC">
              <w:t>*</w:t>
            </w:r>
          </w:p>
        </w:tc>
      </w:tr>
      <w:tr w:rsidR="00E80840" w:rsidRPr="00724DFC" w14:paraId="02AE5DD7" w14:textId="77777777" w:rsidTr="005A06AA">
        <w:trPr>
          <w:gridAfter w:val="1"/>
          <w:wAfter w:w="34" w:type="pct"/>
        </w:trPr>
        <w:tc>
          <w:tcPr>
            <w:tcW w:w="860" w:type="pct"/>
          </w:tcPr>
          <w:p w14:paraId="5EA611D4" w14:textId="77777777" w:rsidR="00E80840" w:rsidRPr="00724DFC" w:rsidRDefault="00E80840" w:rsidP="00EC050D">
            <w:pPr>
              <w:pStyle w:val="af2"/>
            </w:pPr>
            <w:r w:rsidRPr="00724DFC">
              <w:t>Bps</w:t>
            </w:r>
          </w:p>
        </w:tc>
        <w:tc>
          <w:tcPr>
            <w:tcW w:w="594" w:type="pct"/>
            <w:gridSpan w:val="2"/>
          </w:tcPr>
          <w:p w14:paraId="2406D90B" w14:textId="77777777" w:rsidR="00E80840" w:rsidRPr="00724DFC" w:rsidRDefault="00E80840" w:rsidP="00EC050D">
            <w:pPr>
              <w:pStyle w:val="af2"/>
            </w:pPr>
            <w:r w:rsidRPr="00724DFC">
              <w:t>-.021</w:t>
            </w:r>
          </w:p>
        </w:tc>
        <w:tc>
          <w:tcPr>
            <w:tcW w:w="537" w:type="pct"/>
          </w:tcPr>
          <w:p w14:paraId="35C14B78" w14:textId="77777777" w:rsidR="00E80840" w:rsidRPr="00724DFC" w:rsidRDefault="00E80840" w:rsidP="00EC050D">
            <w:pPr>
              <w:pStyle w:val="af2"/>
            </w:pPr>
            <w:r w:rsidRPr="00724DFC">
              <w:t>.006</w:t>
            </w:r>
          </w:p>
        </w:tc>
        <w:tc>
          <w:tcPr>
            <w:tcW w:w="567" w:type="pct"/>
            <w:gridSpan w:val="2"/>
          </w:tcPr>
          <w:p w14:paraId="53791794" w14:textId="77777777" w:rsidR="00E80840" w:rsidRPr="00724DFC" w:rsidRDefault="00E80840" w:rsidP="00EC050D">
            <w:pPr>
              <w:pStyle w:val="af2"/>
            </w:pPr>
            <w:r w:rsidRPr="00724DFC">
              <w:t>-3.38</w:t>
            </w:r>
          </w:p>
        </w:tc>
        <w:tc>
          <w:tcPr>
            <w:tcW w:w="595" w:type="pct"/>
          </w:tcPr>
          <w:p w14:paraId="678A7290" w14:textId="77777777" w:rsidR="00E80840" w:rsidRPr="00724DFC" w:rsidRDefault="00E80840" w:rsidP="00EC050D">
            <w:pPr>
              <w:pStyle w:val="af2"/>
            </w:pPr>
            <w:r w:rsidRPr="00724DFC">
              <w:t>.001</w:t>
            </w:r>
          </w:p>
        </w:tc>
        <w:tc>
          <w:tcPr>
            <w:tcW w:w="783" w:type="pct"/>
            <w:gridSpan w:val="2"/>
          </w:tcPr>
          <w:p w14:paraId="4559EA6F" w14:textId="77777777" w:rsidR="00E80840" w:rsidRPr="00724DFC" w:rsidRDefault="00E80840" w:rsidP="00EC050D">
            <w:pPr>
              <w:pStyle w:val="af2"/>
            </w:pPr>
            <w:r w:rsidRPr="00724DFC">
              <w:t>-.034</w:t>
            </w:r>
          </w:p>
        </w:tc>
        <w:tc>
          <w:tcPr>
            <w:tcW w:w="653" w:type="pct"/>
          </w:tcPr>
          <w:p w14:paraId="25838249" w14:textId="77777777" w:rsidR="00E80840" w:rsidRPr="00724DFC" w:rsidRDefault="00E80840" w:rsidP="00EC050D">
            <w:pPr>
              <w:pStyle w:val="af2"/>
            </w:pPr>
            <w:r w:rsidRPr="00724DFC">
              <w:t>-.009</w:t>
            </w:r>
          </w:p>
        </w:tc>
        <w:tc>
          <w:tcPr>
            <w:tcW w:w="377" w:type="pct"/>
          </w:tcPr>
          <w:p w14:paraId="4129FBD1" w14:textId="77777777" w:rsidR="00E80840" w:rsidRPr="00724DFC" w:rsidRDefault="00E80840" w:rsidP="00EC050D">
            <w:pPr>
              <w:pStyle w:val="af2"/>
            </w:pPr>
            <w:r w:rsidRPr="00724DFC">
              <w:t>***</w:t>
            </w:r>
          </w:p>
        </w:tc>
      </w:tr>
      <w:tr w:rsidR="00E80840" w:rsidRPr="00724DFC" w14:paraId="73BBF571" w14:textId="77777777" w:rsidTr="005A06AA">
        <w:trPr>
          <w:gridAfter w:val="1"/>
          <w:wAfter w:w="34" w:type="pct"/>
        </w:trPr>
        <w:tc>
          <w:tcPr>
            <w:tcW w:w="860" w:type="pct"/>
          </w:tcPr>
          <w:p w14:paraId="7652BD92" w14:textId="77777777" w:rsidR="00E80840" w:rsidRPr="00724DFC" w:rsidRDefault="00E80840" w:rsidP="00EC050D">
            <w:pPr>
              <w:pStyle w:val="af2"/>
            </w:pPr>
            <w:r w:rsidRPr="00724DFC">
              <w:t>Constant</w:t>
            </w:r>
          </w:p>
        </w:tc>
        <w:tc>
          <w:tcPr>
            <w:tcW w:w="594" w:type="pct"/>
            <w:gridSpan w:val="2"/>
          </w:tcPr>
          <w:p w14:paraId="5F3F7A48" w14:textId="77777777" w:rsidR="00E80840" w:rsidRPr="00724DFC" w:rsidRDefault="00E80840" w:rsidP="00EC050D">
            <w:pPr>
              <w:pStyle w:val="af2"/>
            </w:pPr>
            <w:r w:rsidRPr="00724DFC">
              <w:t>-.41</w:t>
            </w:r>
          </w:p>
        </w:tc>
        <w:tc>
          <w:tcPr>
            <w:tcW w:w="537" w:type="pct"/>
          </w:tcPr>
          <w:p w14:paraId="214310D2" w14:textId="77777777" w:rsidR="00E80840" w:rsidRPr="00724DFC" w:rsidRDefault="00E80840" w:rsidP="00EC050D">
            <w:pPr>
              <w:pStyle w:val="af2"/>
            </w:pPr>
            <w:r w:rsidRPr="00724DFC">
              <w:t>.404</w:t>
            </w:r>
          </w:p>
        </w:tc>
        <w:tc>
          <w:tcPr>
            <w:tcW w:w="567" w:type="pct"/>
            <w:gridSpan w:val="2"/>
          </w:tcPr>
          <w:p w14:paraId="24E91B03" w14:textId="77777777" w:rsidR="00E80840" w:rsidRPr="00724DFC" w:rsidRDefault="00E80840" w:rsidP="00EC050D">
            <w:pPr>
              <w:pStyle w:val="af2"/>
            </w:pPr>
            <w:r w:rsidRPr="00724DFC">
              <w:t>-1.01</w:t>
            </w:r>
          </w:p>
        </w:tc>
        <w:tc>
          <w:tcPr>
            <w:tcW w:w="595" w:type="pct"/>
          </w:tcPr>
          <w:p w14:paraId="1DBE09F3" w14:textId="77777777" w:rsidR="00E80840" w:rsidRPr="00724DFC" w:rsidRDefault="00E80840" w:rsidP="00EC050D">
            <w:pPr>
              <w:pStyle w:val="af2"/>
            </w:pPr>
            <w:r w:rsidRPr="00724DFC">
              <w:t>.316</w:t>
            </w:r>
          </w:p>
        </w:tc>
        <w:tc>
          <w:tcPr>
            <w:tcW w:w="783" w:type="pct"/>
            <w:gridSpan w:val="2"/>
          </w:tcPr>
          <w:p w14:paraId="1E906A2C" w14:textId="77777777" w:rsidR="00E80840" w:rsidRPr="00724DFC" w:rsidRDefault="00E80840" w:rsidP="00EC050D">
            <w:pPr>
              <w:pStyle w:val="af2"/>
            </w:pPr>
            <w:r w:rsidRPr="00724DFC">
              <w:t>-1.224</w:t>
            </w:r>
          </w:p>
        </w:tc>
        <w:tc>
          <w:tcPr>
            <w:tcW w:w="653" w:type="pct"/>
          </w:tcPr>
          <w:p w14:paraId="2545EAFC" w14:textId="77777777" w:rsidR="00E80840" w:rsidRPr="00724DFC" w:rsidRDefault="00E80840" w:rsidP="00EC050D">
            <w:pPr>
              <w:pStyle w:val="af2"/>
            </w:pPr>
            <w:r w:rsidRPr="00724DFC">
              <w:t>.405</w:t>
            </w:r>
          </w:p>
        </w:tc>
        <w:tc>
          <w:tcPr>
            <w:tcW w:w="377" w:type="pct"/>
          </w:tcPr>
          <w:p w14:paraId="06548697" w14:textId="77777777" w:rsidR="00E80840" w:rsidRPr="00724DFC" w:rsidRDefault="00E80840" w:rsidP="00EC050D">
            <w:pPr>
              <w:pStyle w:val="af2"/>
            </w:pPr>
          </w:p>
        </w:tc>
      </w:tr>
      <w:tr w:rsidR="00E80840" w:rsidRPr="00724DFC" w14:paraId="46D8F06B" w14:textId="77777777" w:rsidTr="005A06AA">
        <w:tc>
          <w:tcPr>
            <w:tcW w:w="1209" w:type="pct"/>
            <w:gridSpan w:val="2"/>
          </w:tcPr>
          <w:p w14:paraId="2B7A8C21" w14:textId="77777777" w:rsidR="00E80840" w:rsidRPr="00724DFC" w:rsidRDefault="00E80840" w:rsidP="00EC050D">
            <w:pPr>
              <w:pStyle w:val="af2"/>
            </w:pPr>
            <w:r w:rsidRPr="00724DFC">
              <w:t>Mean dependent var</w:t>
            </w:r>
          </w:p>
        </w:tc>
        <w:tc>
          <w:tcPr>
            <w:tcW w:w="1066" w:type="pct"/>
            <w:gridSpan w:val="3"/>
          </w:tcPr>
          <w:p w14:paraId="175E8969" w14:textId="77777777" w:rsidR="00E80840" w:rsidRPr="00724DFC" w:rsidRDefault="00E80840" w:rsidP="00EC050D">
            <w:pPr>
              <w:pStyle w:val="af2"/>
            </w:pPr>
            <w:r w:rsidRPr="00724DFC">
              <w:t>-0.095</w:t>
            </w:r>
          </w:p>
        </w:tc>
        <w:tc>
          <w:tcPr>
            <w:tcW w:w="1270" w:type="pct"/>
            <w:gridSpan w:val="3"/>
          </w:tcPr>
          <w:p w14:paraId="20CA3632" w14:textId="77777777" w:rsidR="00E80840" w:rsidRPr="00724DFC" w:rsidRDefault="00E80840" w:rsidP="00EC050D">
            <w:pPr>
              <w:pStyle w:val="af2"/>
            </w:pPr>
            <w:r w:rsidRPr="00724DFC">
              <w:t xml:space="preserve">SD dependent var </w:t>
            </w:r>
          </w:p>
        </w:tc>
        <w:tc>
          <w:tcPr>
            <w:tcW w:w="1455" w:type="pct"/>
            <w:gridSpan w:val="4"/>
          </w:tcPr>
          <w:p w14:paraId="088DE6B9" w14:textId="77777777" w:rsidR="00E80840" w:rsidRPr="00724DFC" w:rsidRDefault="00E80840" w:rsidP="00EC050D">
            <w:pPr>
              <w:pStyle w:val="af2"/>
            </w:pPr>
            <w:r w:rsidRPr="00724DFC">
              <w:t>0.124</w:t>
            </w:r>
          </w:p>
        </w:tc>
      </w:tr>
      <w:tr w:rsidR="00E80840" w:rsidRPr="00724DFC" w14:paraId="5F8CBED5" w14:textId="77777777" w:rsidTr="005A06AA">
        <w:tc>
          <w:tcPr>
            <w:tcW w:w="1209" w:type="pct"/>
            <w:gridSpan w:val="2"/>
          </w:tcPr>
          <w:p w14:paraId="0B8C0EF8" w14:textId="77777777" w:rsidR="00E80840" w:rsidRPr="00724DFC" w:rsidRDefault="00E80840" w:rsidP="00EC050D">
            <w:pPr>
              <w:pStyle w:val="af2"/>
            </w:pPr>
            <w:r w:rsidRPr="00724DFC">
              <w:t xml:space="preserve">R-squared </w:t>
            </w:r>
          </w:p>
        </w:tc>
        <w:tc>
          <w:tcPr>
            <w:tcW w:w="1066" w:type="pct"/>
            <w:gridSpan w:val="3"/>
          </w:tcPr>
          <w:p w14:paraId="1726E842" w14:textId="77777777" w:rsidR="00E80840" w:rsidRPr="00724DFC" w:rsidRDefault="00E80840" w:rsidP="00EC050D">
            <w:pPr>
              <w:pStyle w:val="af2"/>
            </w:pPr>
            <w:r w:rsidRPr="00724DFC">
              <w:t>0.209</w:t>
            </w:r>
          </w:p>
        </w:tc>
        <w:tc>
          <w:tcPr>
            <w:tcW w:w="1270" w:type="pct"/>
            <w:gridSpan w:val="3"/>
          </w:tcPr>
          <w:p w14:paraId="4AA8ED3D" w14:textId="77777777" w:rsidR="00E80840" w:rsidRPr="00724DFC" w:rsidRDefault="00E80840" w:rsidP="00EC050D">
            <w:pPr>
              <w:pStyle w:val="af2"/>
            </w:pPr>
            <w:r w:rsidRPr="00724DFC">
              <w:t xml:space="preserve">Number of </w:t>
            </w:r>
            <w:proofErr w:type="spellStart"/>
            <w:r w:rsidRPr="00724DFC">
              <w:t>obs</w:t>
            </w:r>
            <w:proofErr w:type="spellEnd"/>
            <w:r w:rsidRPr="00724DFC">
              <w:t xml:space="preserve">  </w:t>
            </w:r>
          </w:p>
        </w:tc>
        <w:tc>
          <w:tcPr>
            <w:tcW w:w="1455" w:type="pct"/>
            <w:gridSpan w:val="4"/>
          </w:tcPr>
          <w:p w14:paraId="4DA21F04" w14:textId="77777777" w:rsidR="00E80840" w:rsidRPr="00724DFC" w:rsidRDefault="00E80840" w:rsidP="00EC050D">
            <w:pPr>
              <w:pStyle w:val="af2"/>
            </w:pPr>
            <w:r w:rsidRPr="00724DFC">
              <w:t>51</w:t>
            </w:r>
          </w:p>
        </w:tc>
      </w:tr>
      <w:tr w:rsidR="00E80840" w:rsidRPr="00724DFC" w14:paraId="580397C5" w14:textId="77777777" w:rsidTr="005A06AA">
        <w:tc>
          <w:tcPr>
            <w:tcW w:w="1209" w:type="pct"/>
            <w:gridSpan w:val="2"/>
          </w:tcPr>
          <w:p w14:paraId="3581DE2D" w14:textId="77777777" w:rsidR="00E80840" w:rsidRPr="00724DFC" w:rsidRDefault="00E80840" w:rsidP="00EC050D">
            <w:pPr>
              <w:pStyle w:val="af2"/>
            </w:pPr>
            <w:r w:rsidRPr="00724DFC">
              <w:t xml:space="preserve">F-test  </w:t>
            </w:r>
          </w:p>
        </w:tc>
        <w:tc>
          <w:tcPr>
            <w:tcW w:w="1066" w:type="pct"/>
            <w:gridSpan w:val="3"/>
          </w:tcPr>
          <w:p w14:paraId="5235344C" w14:textId="77777777" w:rsidR="00E80840" w:rsidRPr="00724DFC" w:rsidRDefault="00E80840" w:rsidP="00EC050D">
            <w:pPr>
              <w:pStyle w:val="af2"/>
            </w:pPr>
            <w:r w:rsidRPr="00724DFC">
              <w:t>2.384</w:t>
            </w:r>
          </w:p>
        </w:tc>
        <w:tc>
          <w:tcPr>
            <w:tcW w:w="1270" w:type="pct"/>
            <w:gridSpan w:val="3"/>
          </w:tcPr>
          <w:p w14:paraId="5E241A2E" w14:textId="77777777" w:rsidR="00E80840" w:rsidRPr="00724DFC" w:rsidRDefault="00E80840" w:rsidP="00EC050D">
            <w:pPr>
              <w:pStyle w:val="af2"/>
            </w:pPr>
            <w:r w:rsidRPr="00724DFC">
              <w:t xml:space="preserve">Prob &gt; F </w:t>
            </w:r>
          </w:p>
        </w:tc>
        <w:tc>
          <w:tcPr>
            <w:tcW w:w="1455" w:type="pct"/>
            <w:gridSpan w:val="4"/>
          </w:tcPr>
          <w:p w14:paraId="2A0D36FF" w14:textId="77777777" w:rsidR="00E80840" w:rsidRPr="00724DFC" w:rsidRDefault="00E80840" w:rsidP="00EC050D">
            <w:pPr>
              <w:pStyle w:val="af2"/>
            </w:pPr>
            <w:r w:rsidRPr="00724DFC">
              <w:t>0.053</w:t>
            </w:r>
          </w:p>
        </w:tc>
      </w:tr>
      <w:tr w:rsidR="00E80840" w:rsidRPr="00724DFC" w14:paraId="524C5A76" w14:textId="77777777" w:rsidTr="005A06AA">
        <w:tc>
          <w:tcPr>
            <w:tcW w:w="1209" w:type="pct"/>
            <w:gridSpan w:val="2"/>
          </w:tcPr>
          <w:p w14:paraId="71C4C35B" w14:textId="77777777" w:rsidR="00E80840" w:rsidRPr="00724DFC" w:rsidRDefault="00E80840" w:rsidP="00EC050D">
            <w:pPr>
              <w:pStyle w:val="af2"/>
            </w:pPr>
            <w:r w:rsidRPr="00724DFC">
              <w:t>Akaike crit. (AIC)</w:t>
            </w:r>
          </w:p>
        </w:tc>
        <w:tc>
          <w:tcPr>
            <w:tcW w:w="1066" w:type="pct"/>
            <w:gridSpan w:val="3"/>
          </w:tcPr>
          <w:p w14:paraId="248777DD" w14:textId="77777777" w:rsidR="00E80840" w:rsidRPr="00724DFC" w:rsidRDefault="00E80840" w:rsidP="00EC050D">
            <w:pPr>
              <w:pStyle w:val="af2"/>
            </w:pPr>
            <w:r w:rsidRPr="00724DFC">
              <w:t>-69.277</w:t>
            </w:r>
          </w:p>
        </w:tc>
        <w:tc>
          <w:tcPr>
            <w:tcW w:w="1270" w:type="pct"/>
            <w:gridSpan w:val="3"/>
          </w:tcPr>
          <w:p w14:paraId="7C0E3239" w14:textId="77777777" w:rsidR="00E80840" w:rsidRPr="00724DFC" w:rsidRDefault="00E80840" w:rsidP="00EC050D">
            <w:pPr>
              <w:pStyle w:val="af2"/>
            </w:pPr>
            <w:r w:rsidRPr="00724DFC">
              <w:t>Bayesian crit. (BIC)</w:t>
            </w:r>
          </w:p>
        </w:tc>
        <w:tc>
          <w:tcPr>
            <w:tcW w:w="1455" w:type="pct"/>
            <w:gridSpan w:val="4"/>
          </w:tcPr>
          <w:p w14:paraId="47A9A5D9" w14:textId="77777777" w:rsidR="00E80840" w:rsidRPr="00724DFC" w:rsidRDefault="00E80840" w:rsidP="00EC050D">
            <w:pPr>
              <w:pStyle w:val="af2"/>
            </w:pPr>
            <w:r w:rsidRPr="00724DFC">
              <w:t>-57.686</w:t>
            </w:r>
          </w:p>
        </w:tc>
      </w:tr>
    </w:tbl>
    <w:p w14:paraId="0412E4BD" w14:textId="16A5F0AF" w:rsidR="00D141D3" w:rsidRPr="006A43C1" w:rsidRDefault="00D141D3" w:rsidP="00E80840">
      <w:pPr>
        <w:ind w:firstLineChars="1600" w:firstLine="3360"/>
        <w:rPr>
          <w:sz w:val="21"/>
          <w:szCs w:val="21"/>
        </w:rPr>
      </w:pPr>
      <w:r w:rsidRPr="006A43C1">
        <w:rPr>
          <w:sz w:val="21"/>
          <w:szCs w:val="21"/>
        </w:rPr>
        <w:t>*** p&lt;.01, ** p&lt;.05, * p&lt;.1</w:t>
      </w:r>
    </w:p>
    <w:p w14:paraId="56709CFE" w14:textId="5DB857F3" w:rsidR="00920DFF" w:rsidRDefault="00920DFF" w:rsidP="00B66801">
      <w:pPr>
        <w:ind w:firstLineChars="200" w:firstLine="480"/>
      </w:pPr>
      <w:r>
        <w:rPr>
          <w:rFonts w:hint="eastAsia"/>
        </w:rPr>
        <w:t>为了检验假设二：独立董事学历水平与独立董事辞职行为对相关公司价值变动呈正相关关系。我们将学历特征</w:t>
      </w:r>
      <w:r>
        <w:rPr>
          <w:rFonts w:hint="eastAsia"/>
        </w:rPr>
        <w:t>d</w:t>
      </w:r>
      <w:r>
        <w:t>egree</w:t>
      </w:r>
      <w:r>
        <w:rPr>
          <w:rFonts w:hint="eastAsia"/>
        </w:rPr>
        <w:t>作为解释变量，并与控制变量托宾</w:t>
      </w:r>
      <w:r>
        <w:rPr>
          <w:rFonts w:hint="eastAsia"/>
        </w:rPr>
        <w:t>Q</w:t>
      </w:r>
      <w:r>
        <w:rPr>
          <w:rFonts w:hint="eastAsia"/>
        </w:rPr>
        <w:t>值（</w:t>
      </w:r>
      <w:proofErr w:type="spellStart"/>
      <w:r>
        <w:rPr>
          <w:rFonts w:hint="eastAsia"/>
        </w:rPr>
        <w:t>t</w:t>
      </w:r>
      <w:r>
        <w:t>bq</w:t>
      </w:r>
      <w:proofErr w:type="spellEnd"/>
      <w:r>
        <w:rPr>
          <w:rFonts w:hint="eastAsia"/>
        </w:rPr>
        <w:t>），企业规模（</w:t>
      </w:r>
      <w:r>
        <w:rPr>
          <w:rFonts w:hint="eastAsia"/>
        </w:rPr>
        <w:t>s</w:t>
      </w:r>
      <w:r>
        <w:t>ize</w:t>
      </w:r>
      <w:r>
        <w:rPr>
          <w:rFonts w:hint="eastAsia"/>
        </w:rPr>
        <w:t>），资产负债率（</w:t>
      </w:r>
      <w:r>
        <w:rPr>
          <w:rFonts w:hint="eastAsia"/>
        </w:rPr>
        <w:t>lev</w:t>
      </w:r>
      <w:r>
        <w:rPr>
          <w:rFonts w:hint="eastAsia"/>
        </w:rPr>
        <w:t>）</w:t>
      </w:r>
      <w:r>
        <w:rPr>
          <w:rFonts w:hint="eastAsia"/>
        </w:rPr>
        <w:t>,</w:t>
      </w:r>
      <w:r>
        <w:rPr>
          <w:rFonts w:hint="eastAsia"/>
        </w:rPr>
        <w:t>每股负债（</w:t>
      </w:r>
      <w:r>
        <w:rPr>
          <w:rFonts w:hint="eastAsia"/>
        </w:rPr>
        <w:t>b</w:t>
      </w:r>
      <w:r>
        <w:t>ps</w:t>
      </w:r>
      <w:r>
        <w:rPr>
          <w:rFonts w:hint="eastAsia"/>
        </w:rPr>
        <w:t>）一同进行回归分析。</w:t>
      </w:r>
    </w:p>
    <w:p w14:paraId="388A5D30" w14:textId="3091D5AF" w:rsidR="00724DFC" w:rsidRPr="00920DFF" w:rsidRDefault="00920DFF" w:rsidP="00D63060">
      <w:pPr>
        <w:ind w:firstLineChars="200" w:firstLine="480"/>
      </w:pPr>
      <w:r>
        <w:rPr>
          <w:rFonts w:hint="eastAsia"/>
        </w:rPr>
        <w:t>从表格</w:t>
      </w:r>
      <w:r>
        <w:rPr>
          <w:rFonts w:hint="eastAsia"/>
        </w:rPr>
        <w:t>4</w:t>
      </w:r>
      <w:r>
        <w:t>-</w:t>
      </w:r>
      <w:r w:rsidR="002378D8">
        <w:t>6</w:t>
      </w:r>
      <w:r>
        <w:rPr>
          <w:rFonts w:hint="eastAsia"/>
        </w:rPr>
        <w:t>中，我们可以发现事件期内的公司累积异常收益率</w:t>
      </w:r>
      <w:r w:rsidR="00D63060">
        <w:rPr>
          <w:rFonts w:hint="eastAsia"/>
        </w:rPr>
        <w:t>c</w:t>
      </w:r>
      <w:r w:rsidR="00D63060">
        <w:t>ar</w:t>
      </w:r>
      <w:r w:rsidR="00D63060">
        <w:rPr>
          <w:rFonts w:hint="eastAsia"/>
        </w:rPr>
        <w:t>与辞职独立董事的学历水平</w:t>
      </w:r>
      <w:r w:rsidR="00D63060">
        <w:rPr>
          <w:rFonts w:hint="eastAsia"/>
        </w:rPr>
        <w:t>d</w:t>
      </w:r>
      <w:r w:rsidR="00D63060">
        <w:t>egree</w:t>
      </w:r>
      <w:r w:rsidR="00D63060">
        <w:rPr>
          <w:rFonts w:hint="eastAsia"/>
        </w:rPr>
        <w:t>相关系数为</w:t>
      </w:r>
      <w:r w:rsidR="00D63060">
        <w:rPr>
          <w:rFonts w:hint="eastAsia"/>
        </w:rPr>
        <w:t>0</w:t>
      </w:r>
      <w:r w:rsidR="00D63060">
        <w:t>.05</w:t>
      </w:r>
      <w:r w:rsidR="00D63060">
        <w:rPr>
          <w:rFonts w:hint="eastAsia"/>
        </w:rPr>
        <w:t>大于零，因此独立董事的学历水平与公司累积异常收益率呈正向相关关系，</w:t>
      </w:r>
      <w:r w:rsidR="00D63060" w:rsidRPr="00920DFF">
        <w:rPr>
          <w:rFonts w:hint="eastAsia"/>
        </w:rPr>
        <w:t xml:space="preserve"> </w:t>
      </w:r>
      <w:r w:rsidR="00D63060">
        <w:rPr>
          <w:rFonts w:hint="eastAsia"/>
        </w:rPr>
        <w:t>即辞职独立董事自身的学历水平越高，其辞职行为导致的负累积异常收益率会更加明显</w:t>
      </w:r>
      <w:r w:rsidR="00A56172">
        <w:rPr>
          <w:rFonts w:hint="eastAsia"/>
        </w:rPr>
        <w:t>，这与我们提出的假设二</w:t>
      </w:r>
      <w:r w:rsidR="0054771C">
        <w:rPr>
          <w:rFonts w:hint="eastAsia"/>
        </w:rPr>
        <w:t>的</w:t>
      </w:r>
      <w:r w:rsidR="00A56172">
        <w:rPr>
          <w:rFonts w:hint="eastAsia"/>
        </w:rPr>
        <w:t>结果相符合。</w:t>
      </w:r>
    </w:p>
    <w:p w14:paraId="387C1E72" w14:textId="3BF25460" w:rsidR="001836F2" w:rsidRDefault="00A56172" w:rsidP="006520A8">
      <w:pPr>
        <w:ind w:firstLineChars="200" w:firstLine="480"/>
      </w:pPr>
      <w:r>
        <w:rPr>
          <w:rFonts w:hint="eastAsia"/>
        </w:rPr>
        <w:t>此外，在本次回归分析中，我们发现资产负债率</w:t>
      </w:r>
      <w:r>
        <w:rPr>
          <w:rFonts w:hint="eastAsia"/>
        </w:rPr>
        <w:t>lev</w:t>
      </w:r>
      <w:r>
        <w:rPr>
          <w:rFonts w:hint="eastAsia"/>
        </w:rPr>
        <w:t>与累积异常收益率</w:t>
      </w:r>
      <w:r>
        <w:rPr>
          <w:rFonts w:hint="eastAsia"/>
        </w:rPr>
        <w:t>car</w:t>
      </w:r>
      <w:r>
        <w:rPr>
          <w:rFonts w:hint="eastAsia"/>
        </w:rPr>
        <w:t>呈正相关关系，</w:t>
      </w:r>
      <w:r w:rsidR="0049550C">
        <w:rPr>
          <w:rFonts w:hint="eastAsia"/>
        </w:rPr>
        <w:t>且在</w:t>
      </w:r>
      <w:r w:rsidR="0049550C">
        <w:t>10</w:t>
      </w:r>
      <w:r w:rsidR="0049550C">
        <w:rPr>
          <w:rFonts w:hint="eastAsia"/>
        </w:rPr>
        <w:t>%</w:t>
      </w:r>
      <w:r w:rsidR="0049550C">
        <w:rPr>
          <w:rFonts w:hint="eastAsia"/>
        </w:rPr>
        <w:t>水平上显著；每股负债</w:t>
      </w:r>
      <w:r w:rsidR="0049550C">
        <w:rPr>
          <w:rFonts w:hint="eastAsia"/>
        </w:rPr>
        <w:t>bps</w:t>
      </w:r>
      <w:r w:rsidR="0049550C">
        <w:rPr>
          <w:rFonts w:hint="eastAsia"/>
        </w:rPr>
        <w:t>与累积异常收益率</w:t>
      </w:r>
      <w:r w:rsidR="0049550C">
        <w:rPr>
          <w:rFonts w:hint="eastAsia"/>
        </w:rPr>
        <w:t>c</w:t>
      </w:r>
      <w:r w:rsidR="0049550C">
        <w:t>ar</w:t>
      </w:r>
      <w:r w:rsidR="0049550C">
        <w:rPr>
          <w:rFonts w:hint="eastAsia"/>
        </w:rPr>
        <w:t>呈负相关关系，且在</w:t>
      </w:r>
      <w:r w:rsidR="0049550C">
        <w:rPr>
          <w:rFonts w:hint="eastAsia"/>
        </w:rPr>
        <w:t>1</w:t>
      </w:r>
      <w:r w:rsidR="0049550C">
        <w:t>%</w:t>
      </w:r>
      <w:r w:rsidR="0049550C">
        <w:rPr>
          <w:rFonts w:hint="eastAsia"/>
        </w:rPr>
        <w:t>水平上显著。我们认为资产负债率是衡量企业风险的重要指标，资产负债率越高的公司其面临的债务压力就越大，抵抗风险能力就越弱</w:t>
      </w:r>
      <w:r w:rsidR="001836F2">
        <w:rPr>
          <w:rFonts w:hint="eastAsia"/>
        </w:rPr>
        <w:t>，因而可能会使负的累积异常收益率更加显著。</w:t>
      </w:r>
    </w:p>
    <w:p w14:paraId="5FD85626" w14:textId="0FE3FD61" w:rsidR="00724DFC" w:rsidRDefault="006520A8" w:rsidP="006520A8">
      <w:pPr>
        <w:ind w:firstLineChars="200" w:firstLine="480"/>
      </w:pPr>
      <w:r>
        <w:rPr>
          <w:rFonts w:hint="eastAsia"/>
        </w:rPr>
        <w:lastRenderedPageBreak/>
        <w:t>每股负债</w:t>
      </w:r>
      <w:r>
        <w:rPr>
          <w:rFonts w:hint="eastAsia"/>
        </w:rPr>
        <w:t>b</w:t>
      </w:r>
      <w:r>
        <w:t>ps</w:t>
      </w:r>
      <w:r>
        <w:rPr>
          <w:rFonts w:hint="eastAsia"/>
        </w:rPr>
        <w:t>表示每股承担的负债，虽然一定程度上也体现了风险系数，但根据有序融资理论和信号理论，企业选择举债来进行外部融资，一定程度上能够彰显公司管理层对未来盈利能力的信心，因而在一定程度上，可能会相对削弱负的累积异常收益率。</w:t>
      </w:r>
    </w:p>
    <w:p w14:paraId="57F29250" w14:textId="3B777019" w:rsidR="001836F2" w:rsidRPr="00724DFC" w:rsidRDefault="004C23D0" w:rsidP="0095246E">
      <w:pPr>
        <w:ind w:firstLineChars="200" w:firstLine="480"/>
      </w:pPr>
      <w:r>
        <w:rPr>
          <w:rFonts w:hint="eastAsia"/>
        </w:rPr>
        <w:t>企业规模越大，表明公司的市场认可度越高，越受到市场各方面的关注，因而遇到独立董事辞职此类突发事件，其经济后果即价值变动的程度会被进一步放大。</w:t>
      </w:r>
    </w:p>
    <w:p w14:paraId="105871C3" w14:textId="5BF5C147" w:rsidR="005137ED" w:rsidRDefault="00590ACB" w:rsidP="00590ACB">
      <w:pPr>
        <w:pStyle w:val="3"/>
      </w:pPr>
      <w:r>
        <w:rPr>
          <w:rFonts w:hint="eastAsia"/>
        </w:rPr>
        <w:t>假设</w:t>
      </w:r>
      <w:r w:rsidR="00724DFC">
        <w:rPr>
          <w:rFonts w:hint="eastAsia"/>
        </w:rPr>
        <w:t>三</w:t>
      </w:r>
      <w:r>
        <w:rPr>
          <w:rFonts w:hint="eastAsia"/>
        </w:rPr>
        <w:t>的回归检验</w:t>
      </w:r>
    </w:p>
    <w:p w14:paraId="14A766E4" w14:textId="2EEE95D3" w:rsidR="00B65D30" w:rsidRDefault="00B65D30" w:rsidP="00B65D30">
      <w:pPr>
        <w:pStyle w:val="a3"/>
        <w:keepNext/>
        <w:ind w:firstLine="480"/>
      </w:pPr>
      <w:r>
        <w:rPr>
          <w:rFonts w:hint="eastAsia"/>
        </w:rPr>
        <w:t>表</w:t>
      </w:r>
      <w:r>
        <w:rPr>
          <w:rFonts w:hint="eastAsia"/>
        </w:rPr>
        <w:t xml:space="preserve"> </w:t>
      </w:r>
      <w:r w:rsidR="00B66801">
        <w:fldChar w:fldCharType="begin"/>
      </w:r>
      <w:r w:rsidR="00B66801">
        <w:instrText xml:space="preserve"> </w:instrText>
      </w:r>
      <w:r w:rsidR="00B66801">
        <w:rPr>
          <w:rFonts w:hint="eastAsia"/>
        </w:rPr>
        <w:instrText>STYLEREF 1 \s</w:instrText>
      </w:r>
      <w:r w:rsidR="00B66801">
        <w:instrText xml:space="preserve"> </w:instrText>
      </w:r>
      <w:r w:rsidR="00B66801">
        <w:fldChar w:fldCharType="separate"/>
      </w:r>
      <w:r w:rsidR="00B545B4">
        <w:rPr>
          <w:noProof/>
        </w:rPr>
        <w:t>4</w:t>
      </w:r>
      <w:r w:rsidR="00B66801">
        <w:fldChar w:fldCharType="end"/>
      </w:r>
      <w:r w:rsidR="00B66801">
        <w:noBreakHyphen/>
      </w:r>
      <w:r w:rsidR="002378D8">
        <w:t>7</w:t>
      </w:r>
      <w:r>
        <w:t xml:space="preserve"> </w:t>
      </w:r>
      <w:r>
        <w:rPr>
          <w:rFonts w:hint="eastAsia"/>
        </w:rPr>
        <w:t>假设</w:t>
      </w:r>
      <w:r w:rsidR="00A60F08">
        <w:rPr>
          <w:rFonts w:hint="eastAsia"/>
        </w:rPr>
        <w:t>三</w:t>
      </w:r>
      <w:r>
        <w:rPr>
          <w:rFonts w:hint="eastAsia"/>
        </w:rPr>
        <w:t>回归分析</w:t>
      </w:r>
    </w:p>
    <w:tbl>
      <w:tblPr>
        <w:tblStyle w:val="1111"/>
        <w:tblW w:w="5035" w:type="pct"/>
        <w:tblLook w:val="0000" w:firstRow="0" w:lastRow="0" w:firstColumn="0" w:lastColumn="0" w:noHBand="0" w:noVBand="0"/>
      </w:tblPr>
      <w:tblGrid>
        <w:gridCol w:w="1438"/>
        <w:gridCol w:w="585"/>
        <w:gridCol w:w="408"/>
        <w:gridCol w:w="898"/>
        <w:gridCol w:w="477"/>
        <w:gridCol w:w="472"/>
        <w:gridCol w:w="995"/>
        <w:gridCol w:w="657"/>
        <w:gridCol w:w="652"/>
        <w:gridCol w:w="1092"/>
        <w:gridCol w:w="631"/>
        <w:gridCol w:w="59"/>
      </w:tblGrid>
      <w:tr w:rsidR="00025A51" w:rsidRPr="005A06AA" w14:paraId="1EE8297B" w14:textId="77777777" w:rsidTr="000205D3">
        <w:trPr>
          <w:gridAfter w:val="1"/>
          <w:wAfter w:w="35" w:type="pct"/>
        </w:trPr>
        <w:tc>
          <w:tcPr>
            <w:tcW w:w="859" w:type="pct"/>
            <w:tcBorders>
              <w:top w:val="single" w:sz="12" w:space="0" w:color="auto"/>
              <w:bottom w:val="single" w:sz="6" w:space="0" w:color="auto"/>
            </w:tcBorders>
          </w:tcPr>
          <w:p w14:paraId="5FBBED5E" w14:textId="77777777" w:rsidR="00025A51" w:rsidRPr="005A06AA" w:rsidRDefault="00025A51" w:rsidP="005A06AA">
            <w:pPr>
              <w:pStyle w:val="af2"/>
            </w:pPr>
            <w:r w:rsidRPr="005A06AA">
              <w:t>car</w:t>
            </w:r>
          </w:p>
        </w:tc>
        <w:tc>
          <w:tcPr>
            <w:tcW w:w="594" w:type="pct"/>
            <w:gridSpan w:val="2"/>
            <w:tcBorders>
              <w:top w:val="single" w:sz="12" w:space="0" w:color="auto"/>
              <w:bottom w:val="single" w:sz="6" w:space="0" w:color="auto"/>
            </w:tcBorders>
          </w:tcPr>
          <w:p w14:paraId="478E23F6" w14:textId="77777777" w:rsidR="00025A51" w:rsidRPr="005A06AA" w:rsidRDefault="00025A51" w:rsidP="005A06AA">
            <w:pPr>
              <w:pStyle w:val="af2"/>
            </w:pPr>
            <w:r w:rsidRPr="005A06AA">
              <w:t xml:space="preserve"> Coef.</w:t>
            </w:r>
          </w:p>
        </w:tc>
        <w:tc>
          <w:tcPr>
            <w:tcW w:w="537" w:type="pct"/>
            <w:tcBorders>
              <w:top w:val="single" w:sz="12" w:space="0" w:color="auto"/>
              <w:bottom w:val="single" w:sz="6" w:space="0" w:color="auto"/>
            </w:tcBorders>
          </w:tcPr>
          <w:p w14:paraId="33067507" w14:textId="77777777" w:rsidR="00025A51" w:rsidRPr="005A06AA" w:rsidRDefault="00025A51" w:rsidP="005A06AA">
            <w:pPr>
              <w:pStyle w:val="af2"/>
            </w:pPr>
            <w:r w:rsidRPr="005A06AA">
              <w:t xml:space="preserve"> </w:t>
            </w:r>
            <w:proofErr w:type="spellStart"/>
            <w:proofErr w:type="gramStart"/>
            <w:r w:rsidRPr="005A06AA">
              <w:t>St.Err</w:t>
            </w:r>
            <w:proofErr w:type="spellEnd"/>
            <w:proofErr w:type="gramEnd"/>
            <w:r w:rsidRPr="005A06AA">
              <w:t>.</w:t>
            </w:r>
          </w:p>
        </w:tc>
        <w:tc>
          <w:tcPr>
            <w:tcW w:w="567" w:type="pct"/>
            <w:gridSpan w:val="2"/>
            <w:tcBorders>
              <w:top w:val="single" w:sz="12" w:space="0" w:color="auto"/>
              <w:bottom w:val="single" w:sz="6" w:space="0" w:color="auto"/>
            </w:tcBorders>
          </w:tcPr>
          <w:p w14:paraId="19C44D29" w14:textId="77777777" w:rsidR="00025A51" w:rsidRPr="005A06AA" w:rsidRDefault="00025A51" w:rsidP="005A06AA">
            <w:pPr>
              <w:pStyle w:val="af2"/>
            </w:pPr>
            <w:r w:rsidRPr="005A06AA">
              <w:t xml:space="preserve"> t-value</w:t>
            </w:r>
          </w:p>
        </w:tc>
        <w:tc>
          <w:tcPr>
            <w:tcW w:w="595" w:type="pct"/>
            <w:tcBorders>
              <w:top w:val="single" w:sz="12" w:space="0" w:color="auto"/>
              <w:bottom w:val="single" w:sz="6" w:space="0" w:color="auto"/>
            </w:tcBorders>
          </w:tcPr>
          <w:p w14:paraId="1AD0D98A" w14:textId="77777777" w:rsidR="00025A51" w:rsidRPr="005A06AA" w:rsidRDefault="00025A51" w:rsidP="005A06AA">
            <w:pPr>
              <w:pStyle w:val="af2"/>
            </w:pPr>
            <w:r w:rsidRPr="005A06AA">
              <w:t xml:space="preserve"> p-value</w:t>
            </w:r>
          </w:p>
        </w:tc>
        <w:tc>
          <w:tcPr>
            <w:tcW w:w="783" w:type="pct"/>
            <w:gridSpan w:val="2"/>
            <w:tcBorders>
              <w:top w:val="single" w:sz="12" w:space="0" w:color="auto"/>
              <w:bottom w:val="single" w:sz="6" w:space="0" w:color="auto"/>
            </w:tcBorders>
          </w:tcPr>
          <w:p w14:paraId="59364D16" w14:textId="77777777" w:rsidR="00025A51" w:rsidRPr="005A06AA" w:rsidRDefault="00025A51" w:rsidP="005A06AA">
            <w:pPr>
              <w:pStyle w:val="af2"/>
            </w:pPr>
            <w:r w:rsidRPr="005A06AA">
              <w:t xml:space="preserve"> [95% Conf</w:t>
            </w:r>
          </w:p>
        </w:tc>
        <w:tc>
          <w:tcPr>
            <w:tcW w:w="653" w:type="pct"/>
            <w:tcBorders>
              <w:top w:val="single" w:sz="12" w:space="0" w:color="auto"/>
              <w:bottom w:val="single" w:sz="6" w:space="0" w:color="auto"/>
            </w:tcBorders>
          </w:tcPr>
          <w:p w14:paraId="1338298D" w14:textId="77777777" w:rsidR="00025A51" w:rsidRPr="005A06AA" w:rsidRDefault="00025A51" w:rsidP="005A06AA">
            <w:pPr>
              <w:pStyle w:val="af2"/>
            </w:pPr>
            <w:r w:rsidRPr="005A06AA">
              <w:t xml:space="preserve"> Interval]</w:t>
            </w:r>
          </w:p>
        </w:tc>
        <w:tc>
          <w:tcPr>
            <w:tcW w:w="377" w:type="pct"/>
            <w:tcBorders>
              <w:top w:val="single" w:sz="12" w:space="0" w:color="auto"/>
              <w:bottom w:val="single" w:sz="6" w:space="0" w:color="auto"/>
            </w:tcBorders>
          </w:tcPr>
          <w:p w14:paraId="6C9EB08E" w14:textId="77777777" w:rsidR="00025A51" w:rsidRPr="005A06AA" w:rsidRDefault="00025A51" w:rsidP="005A06AA">
            <w:pPr>
              <w:pStyle w:val="af2"/>
            </w:pPr>
            <w:r w:rsidRPr="005A06AA">
              <w:t xml:space="preserve"> Sig</w:t>
            </w:r>
          </w:p>
        </w:tc>
      </w:tr>
      <w:tr w:rsidR="00025A51" w:rsidRPr="005A06AA" w14:paraId="1CD4D361" w14:textId="77777777" w:rsidTr="000205D3">
        <w:trPr>
          <w:gridAfter w:val="1"/>
          <w:wAfter w:w="35" w:type="pct"/>
        </w:trPr>
        <w:tc>
          <w:tcPr>
            <w:tcW w:w="859" w:type="pct"/>
            <w:tcBorders>
              <w:top w:val="single" w:sz="6" w:space="0" w:color="auto"/>
            </w:tcBorders>
          </w:tcPr>
          <w:p w14:paraId="4B8C0AC1" w14:textId="77777777" w:rsidR="00025A51" w:rsidRPr="005A06AA" w:rsidRDefault="00025A51" w:rsidP="005A06AA">
            <w:pPr>
              <w:pStyle w:val="af2"/>
            </w:pPr>
            <w:r w:rsidRPr="005A06AA">
              <w:t>tenure</w:t>
            </w:r>
          </w:p>
        </w:tc>
        <w:tc>
          <w:tcPr>
            <w:tcW w:w="594" w:type="pct"/>
            <w:gridSpan w:val="2"/>
            <w:tcBorders>
              <w:top w:val="single" w:sz="6" w:space="0" w:color="auto"/>
            </w:tcBorders>
          </w:tcPr>
          <w:p w14:paraId="56857B5C" w14:textId="77777777" w:rsidR="00025A51" w:rsidRPr="005A06AA" w:rsidRDefault="00025A51" w:rsidP="005A06AA">
            <w:pPr>
              <w:pStyle w:val="af2"/>
            </w:pPr>
            <w:r w:rsidRPr="005A06AA">
              <w:t>.002</w:t>
            </w:r>
          </w:p>
        </w:tc>
        <w:tc>
          <w:tcPr>
            <w:tcW w:w="537" w:type="pct"/>
            <w:tcBorders>
              <w:top w:val="single" w:sz="6" w:space="0" w:color="auto"/>
            </w:tcBorders>
          </w:tcPr>
          <w:p w14:paraId="59DA4BD1" w14:textId="77777777" w:rsidR="00025A51" w:rsidRPr="005A06AA" w:rsidRDefault="00025A51" w:rsidP="005A06AA">
            <w:pPr>
              <w:pStyle w:val="af2"/>
            </w:pPr>
            <w:r w:rsidRPr="005A06AA">
              <w:t>.001</w:t>
            </w:r>
          </w:p>
        </w:tc>
        <w:tc>
          <w:tcPr>
            <w:tcW w:w="567" w:type="pct"/>
            <w:gridSpan w:val="2"/>
            <w:tcBorders>
              <w:top w:val="single" w:sz="6" w:space="0" w:color="auto"/>
            </w:tcBorders>
          </w:tcPr>
          <w:p w14:paraId="269B7123" w14:textId="77777777" w:rsidR="00025A51" w:rsidRPr="005A06AA" w:rsidRDefault="00025A51" w:rsidP="005A06AA">
            <w:pPr>
              <w:pStyle w:val="af2"/>
            </w:pPr>
            <w:r w:rsidRPr="005A06AA">
              <w:t>2.45</w:t>
            </w:r>
          </w:p>
        </w:tc>
        <w:tc>
          <w:tcPr>
            <w:tcW w:w="595" w:type="pct"/>
            <w:tcBorders>
              <w:top w:val="single" w:sz="6" w:space="0" w:color="auto"/>
            </w:tcBorders>
          </w:tcPr>
          <w:p w14:paraId="345007E2" w14:textId="77777777" w:rsidR="00025A51" w:rsidRPr="005A06AA" w:rsidRDefault="00025A51" w:rsidP="005A06AA">
            <w:pPr>
              <w:pStyle w:val="af2"/>
            </w:pPr>
            <w:r w:rsidRPr="005A06AA">
              <w:t>.018</w:t>
            </w:r>
          </w:p>
        </w:tc>
        <w:tc>
          <w:tcPr>
            <w:tcW w:w="783" w:type="pct"/>
            <w:gridSpan w:val="2"/>
            <w:tcBorders>
              <w:top w:val="single" w:sz="6" w:space="0" w:color="auto"/>
            </w:tcBorders>
          </w:tcPr>
          <w:p w14:paraId="7D4B3D78" w14:textId="77777777" w:rsidR="00025A51" w:rsidRPr="005A06AA" w:rsidRDefault="00025A51" w:rsidP="005A06AA">
            <w:pPr>
              <w:pStyle w:val="af2"/>
            </w:pPr>
            <w:r w:rsidRPr="005A06AA">
              <w:t>0</w:t>
            </w:r>
          </w:p>
        </w:tc>
        <w:tc>
          <w:tcPr>
            <w:tcW w:w="653" w:type="pct"/>
            <w:tcBorders>
              <w:top w:val="single" w:sz="6" w:space="0" w:color="auto"/>
            </w:tcBorders>
          </w:tcPr>
          <w:p w14:paraId="4A8212AA" w14:textId="77777777" w:rsidR="00025A51" w:rsidRPr="005A06AA" w:rsidRDefault="00025A51" w:rsidP="005A06AA">
            <w:pPr>
              <w:pStyle w:val="af2"/>
            </w:pPr>
            <w:r w:rsidRPr="005A06AA">
              <w:t>.004</w:t>
            </w:r>
          </w:p>
        </w:tc>
        <w:tc>
          <w:tcPr>
            <w:tcW w:w="377" w:type="pct"/>
            <w:tcBorders>
              <w:top w:val="single" w:sz="6" w:space="0" w:color="auto"/>
            </w:tcBorders>
          </w:tcPr>
          <w:p w14:paraId="7B12D726" w14:textId="77777777" w:rsidR="00025A51" w:rsidRPr="005A06AA" w:rsidRDefault="00025A51" w:rsidP="005A06AA">
            <w:pPr>
              <w:pStyle w:val="af2"/>
            </w:pPr>
            <w:r w:rsidRPr="005A06AA">
              <w:t>**</w:t>
            </w:r>
          </w:p>
        </w:tc>
      </w:tr>
      <w:tr w:rsidR="00025A51" w:rsidRPr="005A06AA" w14:paraId="06508311" w14:textId="77777777" w:rsidTr="000205D3">
        <w:trPr>
          <w:gridAfter w:val="1"/>
          <w:wAfter w:w="35" w:type="pct"/>
        </w:trPr>
        <w:tc>
          <w:tcPr>
            <w:tcW w:w="859" w:type="pct"/>
          </w:tcPr>
          <w:p w14:paraId="2BBDEC68" w14:textId="77777777" w:rsidR="00025A51" w:rsidRPr="005A06AA" w:rsidRDefault="00025A51" w:rsidP="005A06AA">
            <w:pPr>
              <w:pStyle w:val="af2"/>
            </w:pPr>
            <w:r w:rsidRPr="005A06AA">
              <w:t>degree</w:t>
            </w:r>
          </w:p>
        </w:tc>
        <w:tc>
          <w:tcPr>
            <w:tcW w:w="594" w:type="pct"/>
            <w:gridSpan w:val="2"/>
          </w:tcPr>
          <w:p w14:paraId="30232627" w14:textId="77777777" w:rsidR="00025A51" w:rsidRPr="005A06AA" w:rsidRDefault="00025A51" w:rsidP="005A06AA">
            <w:pPr>
              <w:pStyle w:val="af2"/>
            </w:pPr>
            <w:r w:rsidRPr="005A06AA">
              <w:t>.065</w:t>
            </w:r>
          </w:p>
        </w:tc>
        <w:tc>
          <w:tcPr>
            <w:tcW w:w="537" w:type="pct"/>
          </w:tcPr>
          <w:p w14:paraId="4F7B6DE0" w14:textId="77777777" w:rsidR="00025A51" w:rsidRPr="005A06AA" w:rsidRDefault="00025A51" w:rsidP="005A06AA">
            <w:pPr>
              <w:pStyle w:val="af2"/>
            </w:pPr>
            <w:r w:rsidRPr="005A06AA">
              <w:t>.038</w:t>
            </w:r>
          </w:p>
        </w:tc>
        <w:tc>
          <w:tcPr>
            <w:tcW w:w="567" w:type="pct"/>
            <w:gridSpan w:val="2"/>
          </w:tcPr>
          <w:p w14:paraId="4D32FDB2" w14:textId="77777777" w:rsidR="00025A51" w:rsidRPr="005A06AA" w:rsidRDefault="00025A51" w:rsidP="005A06AA">
            <w:pPr>
              <w:pStyle w:val="af2"/>
            </w:pPr>
            <w:r w:rsidRPr="005A06AA">
              <w:t>1.72</w:t>
            </w:r>
          </w:p>
        </w:tc>
        <w:tc>
          <w:tcPr>
            <w:tcW w:w="595" w:type="pct"/>
          </w:tcPr>
          <w:p w14:paraId="383B6EE8" w14:textId="77777777" w:rsidR="00025A51" w:rsidRPr="005A06AA" w:rsidRDefault="00025A51" w:rsidP="005A06AA">
            <w:pPr>
              <w:pStyle w:val="af2"/>
            </w:pPr>
            <w:r w:rsidRPr="005A06AA">
              <w:t>.092</w:t>
            </w:r>
          </w:p>
        </w:tc>
        <w:tc>
          <w:tcPr>
            <w:tcW w:w="783" w:type="pct"/>
            <w:gridSpan w:val="2"/>
          </w:tcPr>
          <w:p w14:paraId="5B1A7A92" w14:textId="77777777" w:rsidR="00025A51" w:rsidRPr="005A06AA" w:rsidRDefault="00025A51" w:rsidP="005A06AA">
            <w:pPr>
              <w:pStyle w:val="af2"/>
            </w:pPr>
            <w:r w:rsidRPr="005A06AA">
              <w:t>-.011</w:t>
            </w:r>
          </w:p>
        </w:tc>
        <w:tc>
          <w:tcPr>
            <w:tcW w:w="653" w:type="pct"/>
          </w:tcPr>
          <w:p w14:paraId="21DD0709" w14:textId="77777777" w:rsidR="00025A51" w:rsidRPr="005A06AA" w:rsidRDefault="00025A51" w:rsidP="005A06AA">
            <w:pPr>
              <w:pStyle w:val="af2"/>
            </w:pPr>
            <w:r w:rsidRPr="005A06AA">
              <w:t>.141</w:t>
            </w:r>
          </w:p>
        </w:tc>
        <w:tc>
          <w:tcPr>
            <w:tcW w:w="377" w:type="pct"/>
          </w:tcPr>
          <w:p w14:paraId="3763AF80" w14:textId="77777777" w:rsidR="00025A51" w:rsidRPr="005A06AA" w:rsidRDefault="00025A51" w:rsidP="005A06AA">
            <w:pPr>
              <w:pStyle w:val="af2"/>
            </w:pPr>
            <w:r w:rsidRPr="005A06AA">
              <w:t>*</w:t>
            </w:r>
          </w:p>
        </w:tc>
      </w:tr>
      <w:tr w:rsidR="00025A51" w:rsidRPr="005A06AA" w14:paraId="38CA7604" w14:textId="77777777" w:rsidTr="000205D3">
        <w:trPr>
          <w:gridAfter w:val="1"/>
          <w:wAfter w:w="35" w:type="pct"/>
        </w:trPr>
        <w:tc>
          <w:tcPr>
            <w:tcW w:w="859" w:type="pct"/>
          </w:tcPr>
          <w:p w14:paraId="59C0D42D" w14:textId="77777777" w:rsidR="00025A51" w:rsidRPr="005A06AA" w:rsidRDefault="00025A51" w:rsidP="005A06AA">
            <w:pPr>
              <w:pStyle w:val="af2"/>
            </w:pPr>
            <w:proofErr w:type="spellStart"/>
            <w:r w:rsidRPr="005A06AA">
              <w:t>tbq</w:t>
            </w:r>
            <w:proofErr w:type="spellEnd"/>
          </w:p>
        </w:tc>
        <w:tc>
          <w:tcPr>
            <w:tcW w:w="594" w:type="pct"/>
            <w:gridSpan w:val="2"/>
          </w:tcPr>
          <w:p w14:paraId="5598BA9B" w14:textId="77777777" w:rsidR="00025A51" w:rsidRPr="005A06AA" w:rsidRDefault="00025A51" w:rsidP="005A06AA">
            <w:pPr>
              <w:pStyle w:val="af2"/>
            </w:pPr>
            <w:r w:rsidRPr="005A06AA">
              <w:t>.001</w:t>
            </w:r>
          </w:p>
        </w:tc>
        <w:tc>
          <w:tcPr>
            <w:tcW w:w="537" w:type="pct"/>
          </w:tcPr>
          <w:p w14:paraId="5F3BBA9A" w14:textId="77777777" w:rsidR="00025A51" w:rsidRPr="005A06AA" w:rsidRDefault="00025A51" w:rsidP="005A06AA">
            <w:pPr>
              <w:pStyle w:val="af2"/>
            </w:pPr>
            <w:r w:rsidRPr="005A06AA">
              <w:t>.025</w:t>
            </w:r>
          </w:p>
        </w:tc>
        <w:tc>
          <w:tcPr>
            <w:tcW w:w="567" w:type="pct"/>
            <w:gridSpan w:val="2"/>
          </w:tcPr>
          <w:p w14:paraId="11728E2C" w14:textId="77777777" w:rsidR="00025A51" w:rsidRPr="005A06AA" w:rsidRDefault="00025A51" w:rsidP="005A06AA">
            <w:pPr>
              <w:pStyle w:val="af2"/>
            </w:pPr>
            <w:r w:rsidRPr="005A06AA">
              <w:t>0.02</w:t>
            </w:r>
          </w:p>
        </w:tc>
        <w:tc>
          <w:tcPr>
            <w:tcW w:w="595" w:type="pct"/>
          </w:tcPr>
          <w:p w14:paraId="72C4FADC" w14:textId="77777777" w:rsidR="00025A51" w:rsidRPr="005A06AA" w:rsidRDefault="00025A51" w:rsidP="005A06AA">
            <w:pPr>
              <w:pStyle w:val="af2"/>
            </w:pPr>
            <w:r w:rsidRPr="005A06AA">
              <w:t>.984</w:t>
            </w:r>
          </w:p>
        </w:tc>
        <w:tc>
          <w:tcPr>
            <w:tcW w:w="783" w:type="pct"/>
            <w:gridSpan w:val="2"/>
          </w:tcPr>
          <w:p w14:paraId="09D8B1B4" w14:textId="77777777" w:rsidR="00025A51" w:rsidRPr="005A06AA" w:rsidRDefault="00025A51" w:rsidP="005A06AA">
            <w:pPr>
              <w:pStyle w:val="af2"/>
            </w:pPr>
            <w:r w:rsidRPr="005A06AA">
              <w:t>-.049</w:t>
            </w:r>
          </w:p>
        </w:tc>
        <w:tc>
          <w:tcPr>
            <w:tcW w:w="653" w:type="pct"/>
          </w:tcPr>
          <w:p w14:paraId="5925E988" w14:textId="77777777" w:rsidR="00025A51" w:rsidRPr="005A06AA" w:rsidRDefault="00025A51" w:rsidP="005A06AA">
            <w:pPr>
              <w:pStyle w:val="af2"/>
            </w:pPr>
            <w:r w:rsidRPr="005A06AA">
              <w:t>.05</w:t>
            </w:r>
          </w:p>
        </w:tc>
        <w:tc>
          <w:tcPr>
            <w:tcW w:w="377" w:type="pct"/>
          </w:tcPr>
          <w:p w14:paraId="1E7CE784" w14:textId="77777777" w:rsidR="00025A51" w:rsidRPr="005A06AA" w:rsidRDefault="00025A51" w:rsidP="005A06AA">
            <w:pPr>
              <w:pStyle w:val="af2"/>
            </w:pPr>
          </w:p>
        </w:tc>
      </w:tr>
      <w:tr w:rsidR="00025A51" w:rsidRPr="005A06AA" w14:paraId="5DDA3529" w14:textId="77777777" w:rsidTr="000205D3">
        <w:trPr>
          <w:gridAfter w:val="1"/>
          <w:wAfter w:w="35" w:type="pct"/>
        </w:trPr>
        <w:tc>
          <w:tcPr>
            <w:tcW w:w="859" w:type="pct"/>
          </w:tcPr>
          <w:p w14:paraId="4A1E40BC" w14:textId="77777777" w:rsidR="00025A51" w:rsidRPr="005A06AA" w:rsidRDefault="00025A51" w:rsidP="005A06AA">
            <w:pPr>
              <w:pStyle w:val="af2"/>
            </w:pPr>
            <w:r w:rsidRPr="005A06AA">
              <w:t>size</w:t>
            </w:r>
          </w:p>
        </w:tc>
        <w:tc>
          <w:tcPr>
            <w:tcW w:w="594" w:type="pct"/>
            <w:gridSpan w:val="2"/>
          </w:tcPr>
          <w:p w14:paraId="05A63881" w14:textId="77777777" w:rsidR="00025A51" w:rsidRPr="005A06AA" w:rsidRDefault="00025A51" w:rsidP="005A06AA">
            <w:pPr>
              <w:pStyle w:val="af2"/>
            </w:pPr>
            <w:r w:rsidRPr="005A06AA">
              <w:t>.015</w:t>
            </w:r>
          </w:p>
        </w:tc>
        <w:tc>
          <w:tcPr>
            <w:tcW w:w="537" w:type="pct"/>
          </w:tcPr>
          <w:p w14:paraId="54D255EC" w14:textId="77777777" w:rsidR="00025A51" w:rsidRPr="005A06AA" w:rsidRDefault="00025A51" w:rsidP="005A06AA">
            <w:pPr>
              <w:pStyle w:val="af2"/>
            </w:pPr>
            <w:r w:rsidRPr="005A06AA">
              <w:t>.017</w:t>
            </w:r>
          </w:p>
        </w:tc>
        <w:tc>
          <w:tcPr>
            <w:tcW w:w="567" w:type="pct"/>
            <w:gridSpan w:val="2"/>
          </w:tcPr>
          <w:p w14:paraId="24372D41" w14:textId="77777777" w:rsidR="00025A51" w:rsidRPr="005A06AA" w:rsidRDefault="00025A51" w:rsidP="005A06AA">
            <w:pPr>
              <w:pStyle w:val="af2"/>
            </w:pPr>
            <w:r w:rsidRPr="005A06AA">
              <w:t>0.88</w:t>
            </w:r>
          </w:p>
        </w:tc>
        <w:tc>
          <w:tcPr>
            <w:tcW w:w="595" w:type="pct"/>
          </w:tcPr>
          <w:p w14:paraId="73CFED61" w14:textId="77777777" w:rsidR="00025A51" w:rsidRPr="005A06AA" w:rsidRDefault="00025A51" w:rsidP="005A06AA">
            <w:pPr>
              <w:pStyle w:val="af2"/>
            </w:pPr>
            <w:r w:rsidRPr="005A06AA">
              <w:t>.384</w:t>
            </w:r>
          </w:p>
        </w:tc>
        <w:tc>
          <w:tcPr>
            <w:tcW w:w="783" w:type="pct"/>
            <w:gridSpan w:val="2"/>
          </w:tcPr>
          <w:p w14:paraId="0AD2891E" w14:textId="77777777" w:rsidR="00025A51" w:rsidRPr="005A06AA" w:rsidRDefault="00025A51" w:rsidP="005A06AA">
            <w:pPr>
              <w:pStyle w:val="af2"/>
            </w:pPr>
            <w:r w:rsidRPr="005A06AA">
              <w:t>-.019</w:t>
            </w:r>
          </w:p>
        </w:tc>
        <w:tc>
          <w:tcPr>
            <w:tcW w:w="653" w:type="pct"/>
          </w:tcPr>
          <w:p w14:paraId="49E30682" w14:textId="77777777" w:rsidR="00025A51" w:rsidRPr="005A06AA" w:rsidRDefault="00025A51" w:rsidP="005A06AA">
            <w:pPr>
              <w:pStyle w:val="af2"/>
            </w:pPr>
            <w:r w:rsidRPr="005A06AA">
              <w:t>.049</w:t>
            </w:r>
          </w:p>
        </w:tc>
        <w:tc>
          <w:tcPr>
            <w:tcW w:w="377" w:type="pct"/>
          </w:tcPr>
          <w:p w14:paraId="257D956D" w14:textId="77777777" w:rsidR="00025A51" w:rsidRPr="005A06AA" w:rsidRDefault="00025A51" w:rsidP="005A06AA">
            <w:pPr>
              <w:pStyle w:val="af2"/>
            </w:pPr>
          </w:p>
        </w:tc>
      </w:tr>
      <w:tr w:rsidR="00025A51" w:rsidRPr="005A06AA" w14:paraId="645BFEB8" w14:textId="77777777" w:rsidTr="000205D3">
        <w:trPr>
          <w:gridAfter w:val="1"/>
          <w:wAfter w:w="35" w:type="pct"/>
        </w:trPr>
        <w:tc>
          <w:tcPr>
            <w:tcW w:w="859" w:type="pct"/>
          </w:tcPr>
          <w:p w14:paraId="17365970" w14:textId="77777777" w:rsidR="00025A51" w:rsidRPr="005A06AA" w:rsidRDefault="00025A51" w:rsidP="005A06AA">
            <w:pPr>
              <w:pStyle w:val="af2"/>
            </w:pPr>
            <w:r w:rsidRPr="005A06AA">
              <w:t>lev</w:t>
            </w:r>
          </w:p>
        </w:tc>
        <w:tc>
          <w:tcPr>
            <w:tcW w:w="594" w:type="pct"/>
            <w:gridSpan w:val="2"/>
          </w:tcPr>
          <w:p w14:paraId="1B11D49D" w14:textId="77777777" w:rsidR="00025A51" w:rsidRPr="005A06AA" w:rsidRDefault="00025A51" w:rsidP="005A06AA">
            <w:pPr>
              <w:pStyle w:val="af2"/>
            </w:pPr>
            <w:r w:rsidRPr="005A06AA">
              <w:t>.218</w:t>
            </w:r>
          </w:p>
        </w:tc>
        <w:tc>
          <w:tcPr>
            <w:tcW w:w="537" w:type="pct"/>
          </w:tcPr>
          <w:p w14:paraId="161643FC" w14:textId="77777777" w:rsidR="00025A51" w:rsidRPr="005A06AA" w:rsidRDefault="00025A51" w:rsidP="005A06AA">
            <w:pPr>
              <w:pStyle w:val="af2"/>
            </w:pPr>
            <w:r w:rsidRPr="005A06AA">
              <w:t>.101</w:t>
            </w:r>
          </w:p>
        </w:tc>
        <w:tc>
          <w:tcPr>
            <w:tcW w:w="567" w:type="pct"/>
            <w:gridSpan w:val="2"/>
          </w:tcPr>
          <w:p w14:paraId="6F3ACFD1" w14:textId="77777777" w:rsidR="00025A51" w:rsidRPr="005A06AA" w:rsidRDefault="00025A51" w:rsidP="005A06AA">
            <w:pPr>
              <w:pStyle w:val="af2"/>
            </w:pPr>
            <w:r w:rsidRPr="005A06AA">
              <w:t>2.15</w:t>
            </w:r>
          </w:p>
        </w:tc>
        <w:tc>
          <w:tcPr>
            <w:tcW w:w="595" w:type="pct"/>
          </w:tcPr>
          <w:p w14:paraId="3E438AC0" w14:textId="77777777" w:rsidR="00025A51" w:rsidRPr="005A06AA" w:rsidRDefault="00025A51" w:rsidP="005A06AA">
            <w:pPr>
              <w:pStyle w:val="af2"/>
            </w:pPr>
            <w:r w:rsidRPr="005A06AA">
              <w:t>.037</w:t>
            </w:r>
          </w:p>
        </w:tc>
        <w:tc>
          <w:tcPr>
            <w:tcW w:w="783" w:type="pct"/>
            <w:gridSpan w:val="2"/>
          </w:tcPr>
          <w:p w14:paraId="402EAB1C" w14:textId="77777777" w:rsidR="00025A51" w:rsidRPr="005A06AA" w:rsidRDefault="00025A51" w:rsidP="005A06AA">
            <w:pPr>
              <w:pStyle w:val="af2"/>
            </w:pPr>
            <w:r w:rsidRPr="005A06AA">
              <w:t>.013</w:t>
            </w:r>
          </w:p>
        </w:tc>
        <w:tc>
          <w:tcPr>
            <w:tcW w:w="653" w:type="pct"/>
          </w:tcPr>
          <w:p w14:paraId="59673653" w14:textId="77777777" w:rsidR="00025A51" w:rsidRPr="005A06AA" w:rsidRDefault="00025A51" w:rsidP="005A06AA">
            <w:pPr>
              <w:pStyle w:val="af2"/>
            </w:pPr>
            <w:r w:rsidRPr="005A06AA">
              <w:t>.422</w:t>
            </w:r>
          </w:p>
        </w:tc>
        <w:tc>
          <w:tcPr>
            <w:tcW w:w="377" w:type="pct"/>
          </w:tcPr>
          <w:p w14:paraId="679BF03B" w14:textId="77777777" w:rsidR="00025A51" w:rsidRPr="005A06AA" w:rsidRDefault="00025A51" w:rsidP="005A06AA">
            <w:pPr>
              <w:pStyle w:val="af2"/>
            </w:pPr>
            <w:r w:rsidRPr="005A06AA">
              <w:t>**</w:t>
            </w:r>
          </w:p>
        </w:tc>
      </w:tr>
      <w:tr w:rsidR="00025A51" w:rsidRPr="005A06AA" w14:paraId="01ABCAB2" w14:textId="77777777" w:rsidTr="000205D3">
        <w:trPr>
          <w:gridAfter w:val="1"/>
          <w:wAfter w:w="35" w:type="pct"/>
        </w:trPr>
        <w:tc>
          <w:tcPr>
            <w:tcW w:w="859" w:type="pct"/>
          </w:tcPr>
          <w:p w14:paraId="3847B947" w14:textId="77777777" w:rsidR="00025A51" w:rsidRPr="005A06AA" w:rsidRDefault="00025A51" w:rsidP="005A06AA">
            <w:pPr>
              <w:pStyle w:val="af2"/>
            </w:pPr>
            <w:r w:rsidRPr="005A06AA">
              <w:t>bps</w:t>
            </w:r>
          </w:p>
        </w:tc>
        <w:tc>
          <w:tcPr>
            <w:tcW w:w="594" w:type="pct"/>
            <w:gridSpan w:val="2"/>
          </w:tcPr>
          <w:p w14:paraId="329BA9DE" w14:textId="77777777" w:rsidR="00025A51" w:rsidRPr="005A06AA" w:rsidRDefault="00025A51" w:rsidP="005A06AA">
            <w:pPr>
              <w:pStyle w:val="af2"/>
            </w:pPr>
            <w:r w:rsidRPr="005A06AA">
              <w:t>-.021</w:t>
            </w:r>
          </w:p>
        </w:tc>
        <w:tc>
          <w:tcPr>
            <w:tcW w:w="537" w:type="pct"/>
          </w:tcPr>
          <w:p w14:paraId="18D071A8" w14:textId="77777777" w:rsidR="00025A51" w:rsidRPr="005A06AA" w:rsidRDefault="00025A51" w:rsidP="005A06AA">
            <w:pPr>
              <w:pStyle w:val="af2"/>
            </w:pPr>
            <w:r w:rsidRPr="005A06AA">
              <w:t>.006</w:t>
            </w:r>
          </w:p>
        </w:tc>
        <w:tc>
          <w:tcPr>
            <w:tcW w:w="567" w:type="pct"/>
            <w:gridSpan w:val="2"/>
          </w:tcPr>
          <w:p w14:paraId="0FA502DD" w14:textId="77777777" w:rsidR="00025A51" w:rsidRPr="005A06AA" w:rsidRDefault="00025A51" w:rsidP="005A06AA">
            <w:pPr>
              <w:pStyle w:val="af2"/>
            </w:pPr>
            <w:r w:rsidRPr="005A06AA">
              <w:t>-3.60</w:t>
            </w:r>
          </w:p>
        </w:tc>
        <w:tc>
          <w:tcPr>
            <w:tcW w:w="595" w:type="pct"/>
          </w:tcPr>
          <w:p w14:paraId="486BA10A" w14:textId="77777777" w:rsidR="00025A51" w:rsidRPr="005A06AA" w:rsidRDefault="00025A51" w:rsidP="005A06AA">
            <w:pPr>
              <w:pStyle w:val="af2"/>
            </w:pPr>
            <w:r w:rsidRPr="005A06AA">
              <w:t>.001</w:t>
            </w:r>
          </w:p>
        </w:tc>
        <w:tc>
          <w:tcPr>
            <w:tcW w:w="783" w:type="pct"/>
            <w:gridSpan w:val="2"/>
          </w:tcPr>
          <w:p w14:paraId="640DE4C8" w14:textId="77777777" w:rsidR="00025A51" w:rsidRPr="005A06AA" w:rsidRDefault="00025A51" w:rsidP="005A06AA">
            <w:pPr>
              <w:pStyle w:val="af2"/>
            </w:pPr>
            <w:r w:rsidRPr="005A06AA">
              <w:t>-.033</w:t>
            </w:r>
          </w:p>
        </w:tc>
        <w:tc>
          <w:tcPr>
            <w:tcW w:w="653" w:type="pct"/>
          </w:tcPr>
          <w:p w14:paraId="040EB8EE" w14:textId="77777777" w:rsidR="00025A51" w:rsidRPr="005A06AA" w:rsidRDefault="00025A51" w:rsidP="005A06AA">
            <w:pPr>
              <w:pStyle w:val="af2"/>
            </w:pPr>
            <w:r w:rsidRPr="005A06AA">
              <w:t>-.009</w:t>
            </w:r>
          </w:p>
        </w:tc>
        <w:tc>
          <w:tcPr>
            <w:tcW w:w="377" w:type="pct"/>
          </w:tcPr>
          <w:p w14:paraId="43D947FF" w14:textId="77777777" w:rsidR="00025A51" w:rsidRPr="005A06AA" w:rsidRDefault="00025A51" w:rsidP="005A06AA">
            <w:pPr>
              <w:pStyle w:val="af2"/>
            </w:pPr>
            <w:r w:rsidRPr="005A06AA">
              <w:t>***</w:t>
            </w:r>
          </w:p>
        </w:tc>
      </w:tr>
      <w:tr w:rsidR="00025A51" w:rsidRPr="005A06AA" w14:paraId="79F2C45F" w14:textId="77777777" w:rsidTr="000205D3">
        <w:trPr>
          <w:gridAfter w:val="1"/>
          <w:wAfter w:w="35" w:type="pct"/>
        </w:trPr>
        <w:tc>
          <w:tcPr>
            <w:tcW w:w="859" w:type="pct"/>
          </w:tcPr>
          <w:p w14:paraId="368BC5F6" w14:textId="77777777" w:rsidR="00025A51" w:rsidRPr="005A06AA" w:rsidRDefault="00025A51" w:rsidP="005A06AA">
            <w:pPr>
              <w:pStyle w:val="af2"/>
            </w:pPr>
            <w:r w:rsidRPr="005A06AA">
              <w:t>Constant</w:t>
            </w:r>
          </w:p>
        </w:tc>
        <w:tc>
          <w:tcPr>
            <w:tcW w:w="594" w:type="pct"/>
            <w:gridSpan w:val="2"/>
          </w:tcPr>
          <w:p w14:paraId="2B364A29" w14:textId="77777777" w:rsidR="00025A51" w:rsidRPr="005A06AA" w:rsidRDefault="00025A51" w:rsidP="005A06AA">
            <w:pPr>
              <w:pStyle w:val="af2"/>
            </w:pPr>
            <w:r w:rsidRPr="005A06AA">
              <w:t>-.557</w:t>
            </w:r>
          </w:p>
        </w:tc>
        <w:tc>
          <w:tcPr>
            <w:tcW w:w="537" w:type="pct"/>
          </w:tcPr>
          <w:p w14:paraId="5CC7BE91" w14:textId="77777777" w:rsidR="00025A51" w:rsidRPr="005A06AA" w:rsidRDefault="00025A51" w:rsidP="005A06AA">
            <w:pPr>
              <w:pStyle w:val="af2"/>
            </w:pPr>
            <w:r w:rsidRPr="005A06AA">
              <w:t>.388</w:t>
            </w:r>
          </w:p>
        </w:tc>
        <w:tc>
          <w:tcPr>
            <w:tcW w:w="567" w:type="pct"/>
            <w:gridSpan w:val="2"/>
          </w:tcPr>
          <w:p w14:paraId="75E698F0" w14:textId="77777777" w:rsidR="00025A51" w:rsidRPr="005A06AA" w:rsidRDefault="00025A51" w:rsidP="005A06AA">
            <w:pPr>
              <w:pStyle w:val="af2"/>
            </w:pPr>
            <w:r w:rsidRPr="005A06AA">
              <w:t>-1.43</w:t>
            </w:r>
          </w:p>
        </w:tc>
        <w:tc>
          <w:tcPr>
            <w:tcW w:w="595" w:type="pct"/>
          </w:tcPr>
          <w:p w14:paraId="2A862E58" w14:textId="77777777" w:rsidR="00025A51" w:rsidRPr="005A06AA" w:rsidRDefault="00025A51" w:rsidP="005A06AA">
            <w:pPr>
              <w:pStyle w:val="af2"/>
            </w:pPr>
            <w:r w:rsidRPr="005A06AA">
              <w:t>.158</w:t>
            </w:r>
          </w:p>
        </w:tc>
        <w:tc>
          <w:tcPr>
            <w:tcW w:w="783" w:type="pct"/>
            <w:gridSpan w:val="2"/>
          </w:tcPr>
          <w:p w14:paraId="78ACA2E2" w14:textId="77777777" w:rsidR="00025A51" w:rsidRPr="005A06AA" w:rsidRDefault="00025A51" w:rsidP="005A06AA">
            <w:pPr>
              <w:pStyle w:val="af2"/>
            </w:pPr>
            <w:r w:rsidRPr="005A06AA">
              <w:t>-1.34</w:t>
            </w:r>
          </w:p>
        </w:tc>
        <w:tc>
          <w:tcPr>
            <w:tcW w:w="653" w:type="pct"/>
          </w:tcPr>
          <w:p w14:paraId="11F1ABCB" w14:textId="77777777" w:rsidR="00025A51" w:rsidRPr="005A06AA" w:rsidRDefault="00025A51" w:rsidP="005A06AA">
            <w:pPr>
              <w:pStyle w:val="af2"/>
            </w:pPr>
            <w:r w:rsidRPr="005A06AA">
              <w:t>.225</w:t>
            </w:r>
          </w:p>
        </w:tc>
        <w:tc>
          <w:tcPr>
            <w:tcW w:w="377" w:type="pct"/>
          </w:tcPr>
          <w:p w14:paraId="7F584F9A" w14:textId="77777777" w:rsidR="00025A51" w:rsidRPr="005A06AA" w:rsidRDefault="00025A51" w:rsidP="005A06AA">
            <w:pPr>
              <w:pStyle w:val="af2"/>
            </w:pPr>
          </w:p>
        </w:tc>
      </w:tr>
      <w:tr w:rsidR="00025A51" w14:paraId="5B3BD9F4" w14:textId="77777777" w:rsidTr="000205D3">
        <w:tc>
          <w:tcPr>
            <w:tcW w:w="1209" w:type="pct"/>
            <w:gridSpan w:val="2"/>
          </w:tcPr>
          <w:p w14:paraId="325AEB91" w14:textId="77777777" w:rsidR="00025A51" w:rsidRPr="005A06AA" w:rsidRDefault="00025A51" w:rsidP="005A06AA">
            <w:pPr>
              <w:pStyle w:val="af2"/>
            </w:pPr>
            <w:r w:rsidRPr="005A06AA">
              <w:t>Mean dependent var</w:t>
            </w:r>
          </w:p>
        </w:tc>
        <w:tc>
          <w:tcPr>
            <w:tcW w:w="1066" w:type="pct"/>
            <w:gridSpan w:val="3"/>
          </w:tcPr>
          <w:p w14:paraId="650BF83C" w14:textId="77777777" w:rsidR="00025A51" w:rsidRPr="005A06AA" w:rsidRDefault="00025A51" w:rsidP="005A06AA">
            <w:pPr>
              <w:pStyle w:val="af2"/>
            </w:pPr>
            <w:r w:rsidRPr="005A06AA">
              <w:t>-0.095</w:t>
            </w:r>
          </w:p>
        </w:tc>
        <w:tc>
          <w:tcPr>
            <w:tcW w:w="1270" w:type="pct"/>
            <w:gridSpan w:val="3"/>
          </w:tcPr>
          <w:p w14:paraId="173EF87B" w14:textId="77777777" w:rsidR="00025A51" w:rsidRPr="005A06AA" w:rsidRDefault="00025A51" w:rsidP="005A06AA">
            <w:pPr>
              <w:pStyle w:val="af2"/>
            </w:pPr>
            <w:r w:rsidRPr="005A06AA">
              <w:t xml:space="preserve">SD dependent var </w:t>
            </w:r>
          </w:p>
        </w:tc>
        <w:tc>
          <w:tcPr>
            <w:tcW w:w="1456" w:type="pct"/>
            <w:gridSpan w:val="4"/>
          </w:tcPr>
          <w:p w14:paraId="65CF42A0" w14:textId="77777777" w:rsidR="00025A51" w:rsidRPr="005A06AA" w:rsidRDefault="00025A51" w:rsidP="005A06AA">
            <w:pPr>
              <w:pStyle w:val="af2"/>
            </w:pPr>
            <w:r w:rsidRPr="005A06AA">
              <w:t>0.124</w:t>
            </w:r>
          </w:p>
        </w:tc>
      </w:tr>
      <w:tr w:rsidR="00025A51" w14:paraId="33C6D7B4" w14:textId="77777777" w:rsidTr="000205D3">
        <w:tc>
          <w:tcPr>
            <w:tcW w:w="1209" w:type="pct"/>
            <w:gridSpan w:val="2"/>
          </w:tcPr>
          <w:p w14:paraId="222539B6" w14:textId="77777777" w:rsidR="00025A51" w:rsidRPr="005A06AA" w:rsidRDefault="00025A51" w:rsidP="005A06AA">
            <w:pPr>
              <w:pStyle w:val="af2"/>
            </w:pPr>
            <w:r w:rsidRPr="005A06AA">
              <w:t xml:space="preserve">R-squared </w:t>
            </w:r>
          </w:p>
        </w:tc>
        <w:tc>
          <w:tcPr>
            <w:tcW w:w="1066" w:type="pct"/>
            <w:gridSpan w:val="3"/>
          </w:tcPr>
          <w:p w14:paraId="0923CD51" w14:textId="77777777" w:rsidR="00025A51" w:rsidRPr="005A06AA" w:rsidRDefault="00025A51" w:rsidP="005A06AA">
            <w:pPr>
              <w:pStyle w:val="af2"/>
            </w:pPr>
            <w:r w:rsidRPr="005A06AA">
              <w:t>0.305</w:t>
            </w:r>
          </w:p>
        </w:tc>
        <w:tc>
          <w:tcPr>
            <w:tcW w:w="1270" w:type="pct"/>
            <w:gridSpan w:val="3"/>
          </w:tcPr>
          <w:p w14:paraId="3D8859DE" w14:textId="77777777" w:rsidR="00025A51" w:rsidRPr="005A06AA" w:rsidRDefault="00025A51" w:rsidP="005A06AA">
            <w:pPr>
              <w:pStyle w:val="af2"/>
            </w:pPr>
            <w:r w:rsidRPr="005A06AA">
              <w:t xml:space="preserve">Number of </w:t>
            </w:r>
            <w:proofErr w:type="spellStart"/>
            <w:r w:rsidRPr="005A06AA">
              <w:t>obs</w:t>
            </w:r>
            <w:proofErr w:type="spellEnd"/>
            <w:r w:rsidRPr="005A06AA">
              <w:t xml:space="preserve">  </w:t>
            </w:r>
          </w:p>
        </w:tc>
        <w:tc>
          <w:tcPr>
            <w:tcW w:w="1456" w:type="pct"/>
            <w:gridSpan w:val="4"/>
          </w:tcPr>
          <w:p w14:paraId="32EC7164" w14:textId="77777777" w:rsidR="00025A51" w:rsidRPr="005A06AA" w:rsidRDefault="00025A51" w:rsidP="005A06AA">
            <w:pPr>
              <w:pStyle w:val="af2"/>
            </w:pPr>
            <w:r w:rsidRPr="005A06AA">
              <w:t>51</w:t>
            </w:r>
          </w:p>
        </w:tc>
      </w:tr>
      <w:tr w:rsidR="00025A51" w14:paraId="686BDB21" w14:textId="77777777" w:rsidTr="000205D3">
        <w:tc>
          <w:tcPr>
            <w:tcW w:w="1209" w:type="pct"/>
            <w:gridSpan w:val="2"/>
          </w:tcPr>
          <w:p w14:paraId="6E4DEE14" w14:textId="77777777" w:rsidR="00025A51" w:rsidRPr="005A06AA" w:rsidRDefault="00025A51" w:rsidP="005A06AA">
            <w:pPr>
              <w:pStyle w:val="af2"/>
            </w:pPr>
            <w:r w:rsidRPr="005A06AA">
              <w:t xml:space="preserve">F-test  </w:t>
            </w:r>
          </w:p>
        </w:tc>
        <w:tc>
          <w:tcPr>
            <w:tcW w:w="1066" w:type="pct"/>
            <w:gridSpan w:val="3"/>
          </w:tcPr>
          <w:p w14:paraId="3EB35F5D" w14:textId="77777777" w:rsidR="00025A51" w:rsidRPr="005A06AA" w:rsidRDefault="00025A51" w:rsidP="005A06AA">
            <w:pPr>
              <w:pStyle w:val="af2"/>
            </w:pPr>
            <w:r w:rsidRPr="005A06AA">
              <w:t>3.212</w:t>
            </w:r>
          </w:p>
        </w:tc>
        <w:tc>
          <w:tcPr>
            <w:tcW w:w="1270" w:type="pct"/>
            <w:gridSpan w:val="3"/>
          </w:tcPr>
          <w:p w14:paraId="025E546C" w14:textId="77777777" w:rsidR="00025A51" w:rsidRPr="005A06AA" w:rsidRDefault="00025A51" w:rsidP="005A06AA">
            <w:pPr>
              <w:pStyle w:val="af2"/>
            </w:pPr>
            <w:r w:rsidRPr="005A06AA">
              <w:t xml:space="preserve">Prob &gt; F </w:t>
            </w:r>
          </w:p>
        </w:tc>
        <w:tc>
          <w:tcPr>
            <w:tcW w:w="1456" w:type="pct"/>
            <w:gridSpan w:val="4"/>
          </w:tcPr>
          <w:p w14:paraId="77D95A58" w14:textId="77777777" w:rsidR="00025A51" w:rsidRPr="005A06AA" w:rsidRDefault="00025A51" w:rsidP="005A06AA">
            <w:pPr>
              <w:pStyle w:val="af2"/>
            </w:pPr>
            <w:r w:rsidRPr="005A06AA">
              <w:t>0.011</w:t>
            </w:r>
          </w:p>
        </w:tc>
      </w:tr>
      <w:tr w:rsidR="00025A51" w14:paraId="06925CD2" w14:textId="77777777" w:rsidTr="000205D3">
        <w:tc>
          <w:tcPr>
            <w:tcW w:w="1209" w:type="pct"/>
            <w:gridSpan w:val="2"/>
          </w:tcPr>
          <w:p w14:paraId="0CC266D2" w14:textId="77777777" w:rsidR="00025A51" w:rsidRPr="005A06AA" w:rsidRDefault="00025A51" w:rsidP="005A06AA">
            <w:pPr>
              <w:pStyle w:val="af2"/>
            </w:pPr>
            <w:r w:rsidRPr="005A06AA">
              <w:t>Akaike crit. (AIC)</w:t>
            </w:r>
          </w:p>
        </w:tc>
        <w:tc>
          <w:tcPr>
            <w:tcW w:w="1066" w:type="pct"/>
            <w:gridSpan w:val="3"/>
          </w:tcPr>
          <w:p w14:paraId="18EF33FF" w14:textId="77777777" w:rsidR="00025A51" w:rsidRPr="005A06AA" w:rsidRDefault="00025A51" w:rsidP="005A06AA">
            <w:pPr>
              <w:pStyle w:val="af2"/>
            </w:pPr>
            <w:r w:rsidRPr="005A06AA">
              <w:t>-73.818</w:t>
            </w:r>
          </w:p>
        </w:tc>
        <w:tc>
          <w:tcPr>
            <w:tcW w:w="1270" w:type="pct"/>
            <w:gridSpan w:val="3"/>
          </w:tcPr>
          <w:p w14:paraId="2BAA8FD6" w14:textId="77777777" w:rsidR="00025A51" w:rsidRPr="005A06AA" w:rsidRDefault="00025A51" w:rsidP="005A06AA">
            <w:pPr>
              <w:pStyle w:val="af2"/>
            </w:pPr>
            <w:r w:rsidRPr="005A06AA">
              <w:t>Bayesian crit. (BIC)</w:t>
            </w:r>
          </w:p>
        </w:tc>
        <w:tc>
          <w:tcPr>
            <w:tcW w:w="1456" w:type="pct"/>
            <w:gridSpan w:val="4"/>
          </w:tcPr>
          <w:p w14:paraId="495CC22F" w14:textId="77777777" w:rsidR="00025A51" w:rsidRPr="005A06AA" w:rsidRDefault="00025A51" w:rsidP="005A06AA">
            <w:pPr>
              <w:pStyle w:val="af2"/>
            </w:pPr>
            <w:r w:rsidRPr="005A06AA">
              <w:t>-60.295</w:t>
            </w:r>
          </w:p>
        </w:tc>
      </w:tr>
    </w:tbl>
    <w:p w14:paraId="2C793299" w14:textId="790825E8" w:rsidR="001801E4" w:rsidRPr="006A43C1" w:rsidRDefault="00D141D3" w:rsidP="00D141D3">
      <w:pPr>
        <w:jc w:val="center"/>
        <w:rPr>
          <w:sz w:val="21"/>
          <w:szCs w:val="21"/>
        </w:rPr>
      </w:pPr>
      <w:r w:rsidRPr="006A43C1">
        <w:rPr>
          <w:sz w:val="21"/>
          <w:szCs w:val="21"/>
        </w:rPr>
        <w:t>*** p&lt;.01, ** p&lt;.05, * p&lt;.1</w:t>
      </w:r>
    </w:p>
    <w:p w14:paraId="77150C4B" w14:textId="10BF652E" w:rsidR="001801E4" w:rsidRDefault="005756EE" w:rsidP="005756EE">
      <w:pPr>
        <w:ind w:firstLineChars="200" w:firstLine="480"/>
      </w:pPr>
      <w:r>
        <w:rPr>
          <w:rFonts w:hint="eastAsia"/>
        </w:rPr>
        <w:t>为了检验假设</w:t>
      </w:r>
      <w:r w:rsidR="00023A9C">
        <w:rPr>
          <w:rFonts w:hint="eastAsia"/>
        </w:rPr>
        <w:t>三</w:t>
      </w:r>
      <w:r>
        <w:rPr>
          <w:rFonts w:hint="eastAsia"/>
        </w:rPr>
        <w:t>：独立董事任职期限的不同，会使独立董事辞职行为对相关公司价值变动造成不同的影响，我们将任职期限</w:t>
      </w:r>
      <w:r>
        <w:rPr>
          <w:rFonts w:hint="eastAsia"/>
        </w:rPr>
        <w:t>t</w:t>
      </w:r>
      <w:r>
        <w:t>enure</w:t>
      </w:r>
      <w:r>
        <w:rPr>
          <w:rFonts w:hint="eastAsia"/>
        </w:rPr>
        <w:t>作为解释变量</w:t>
      </w:r>
      <w:r w:rsidR="00AF3BCA">
        <w:rPr>
          <w:rFonts w:hint="eastAsia"/>
        </w:rPr>
        <w:t>，加入到假设一中的回归模型，</w:t>
      </w:r>
      <w:r>
        <w:rPr>
          <w:rFonts w:hint="eastAsia"/>
        </w:rPr>
        <w:t>并与控制变量托宾</w:t>
      </w:r>
      <w:r>
        <w:rPr>
          <w:rFonts w:hint="eastAsia"/>
        </w:rPr>
        <w:t>Q</w:t>
      </w:r>
      <w:r>
        <w:rPr>
          <w:rFonts w:hint="eastAsia"/>
        </w:rPr>
        <w:t>值（</w:t>
      </w:r>
      <w:proofErr w:type="spellStart"/>
      <w:r>
        <w:rPr>
          <w:rFonts w:hint="eastAsia"/>
        </w:rPr>
        <w:t>t</w:t>
      </w:r>
      <w:r>
        <w:t>bq</w:t>
      </w:r>
      <w:proofErr w:type="spellEnd"/>
      <w:r>
        <w:rPr>
          <w:rFonts w:hint="eastAsia"/>
        </w:rPr>
        <w:t>），企业规模（</w:t>
      </w:r>
      <w:r>
        <w:rPr>
          <w:rFonts w:hint="eastAsia"/>
        </w:rPr>
        <w:t>s</w:t>
      </w:r>
      <w:r>
        <w:t>ize</w:t>
      </w:r>
      <w:r>
        <w:rPr>
          <w:rFonts w:hint="eastAsia"/>
        </w:rPr>
        <w:t>），资产负债率（</w:t>
      </w:r>
      <w:r>
        <w:rPr>
          <w:rFonts w:hint="eastAsia"/>
        </w:rPr>
        <w:t>lev</w:t>
      </w:r>
      <w:r>
        <w:rPr>
          <w:rFonts w:hint="eastAsia"/>
        </w:rPr>
        <w:t>）</w:t>
      </w:r>
      <w:r>
        <w:rPr>
          <w:rFonts w:hint="eastAsia"/>
        </w:rPr>
        <w:t>,</w:t>
      </w:r>
      <w:r>
        <w:rPr>
          <w:rFonts w:hint="eastAsia"/>
        </w:rPr>
        <w:t>每股负债（</w:t>
      </w:r>
      <w:r>
        <w:rPr>
          <w:rFonts w:hint="eastAsia"/>
        </w:rPr>
        <w:t>b</w:t>
      </w:r>
      <w:r>
        <w:t>ps</w:t>
      </w:r>
      <w:r>
        <w:rPr>
          <w:rFonts w:hint="eastAsia"/>
        </w:rPr>
        <w:t>）一同进行回归分析。</w:t>
      </w:r>
    </w:p>
    <w:p w14:paraId="65A1BCF1" w14:textId="23B627CE" w:rsidR="00757482" w:rsidRDefault="005756EE" w:rsidP="00964C51">
      <w:pPr>
        <w:ind w:firstLineChars="200" w:firstLine="480"/>
      </w:pPr>
      <w:r>
        <w:rPr>
          <w:rFonts w:hint="eastAsia"/>
        </w:rPr>
        <w:t>从表格</w:t>
      </w:r>
      <w:r>
        <w:rPr>
          <w:rFonts w:hint="eastAsia"/>
        </w:rPr>
        <w:t>4</w:t>
      </w:r>
      <w:r>
        <w:t>-</w:t>
      </w:r>
      <w:r w:rsidR="002378D8">
        <w:t>7</w:t>
      </w:r>
      <w:r>
        <w:rPr>
          <w:rFonts w:hint="eastAsia"/>
        </w:rPr>
        <w:t>中，我们可以发现</w:t>
      </w:r>
      <w:r w:rsidR="008D58B9">
        <w:rPr>
          <w:rFonts w:hint="eastAsia"/>
        </w:rPr>
        <w:t>任职期限</w:t>
      </w:r>
      <w:r w:rsidR="008D58B9">
        <w:rPr>
          <w:rFonts w:hint="eastAsia"/>
        </w:rPr>
        <w:t>tenure</w:t>
      </w:r>
      <w:r w:rsidR="008D58B9">
        <w:rPr>
          <w:rFonts w:hint="eastAsia"/>
        </w:rPr>
        <w:t>对累积异常收益率的回归系数为</w:t>
      </w:r>
      <w:r w:rsidR="008D58B9">
        <w:rPr>
          <w:rFonts w:hint="eastAsia"/>
        </w:rPr>
        <w:t>0</w:t>
      </w:r>
      <w:r w:rsidR="008D58B9">
        <w:t>.002</w:t>
      </w:r>
      <w:r w:rsidR="008D58B9">
        <w:rPr>
          <w:rFonts w:hint="eastAsia"/>
        </w:rPr>
        <w:t>，即独立董事任职期限</w:t>
      </w:r>
      <w:r w:rsidR="008D58B9">
        <w:rPr>
          <w:rFonts w:hint="eastAsia"/>
        </w:rPr>
        <w:t>tenure</w:t>
      </w:r>
      <w:r w:rsidR="008D58B9">
        <w:rPr>
          <w:rFonts w:hint="eastAsia"/>
        </w:rPr>
        <w:t>与公司累积异常收益率呈正向相关关系，</w:t>
      </w:r>
      <w:r w:rsidR="008D58B9">
        <w:rPr>
          <w:rFonts w:hint="eastAsia"/>
        </w:rPr>
        <w:lastRenderedPageBreak/>
        <w:t>且实证结果在</w:t>
      </w:r>
      <w:r w:rsidR="00EA54B1">
        <w:t>5</w:t>
      </w:r>
      <w:r w:rsidR="00AB01AC">
        <w:t>%</w:t>
      </w:r>
      <w:r w:rsidR="00AB01AC">
        <w:rPr>
          <w:rFonts w:hint="eastAsia"/>
        </w:rPr>
        <w:t>置信水平上显著，这与我们提出的假设</w:t>
      </w:r>
      <w:r w:rsidR="00BE1545">
        <w:rPr>
          <w:rFonts w:hint="eastAsia"/>
        </w:rPr>
        <w:t>三</w:t>
      </w:r>
      <w:r w:rsidR="00AB01AC">
        <w:rPr>
          <w:rFonts w:hint="eastAsia"/>
        </w:rPr>
        <w:t>相符合。</w:t>
      </w:r>
    </w:p>
    <w:p w14:paraId="66A85BB7" w14:textId="267E2A20" w:rsidR="00BE1545" w:rsidRDefault="00BE1545" w:rsidP="00964C51">
      <w:pPr>
        <w:ind w:firstLineChars="200" w:firstLine="480"/>
      </w:pPr>
      <w:r>
        <w:rPr>
          <w:rFonts w:hint="eastAsia"/>
        </w:rPr>
        <w:t>与此同时，在表格中，我们可以发现独立董事自身学历水平的回归系数由</w:t>
      </w:r>
      <w:r>
        <w:rPr>
          <w:rFonts w:hint="eastAsia"/>
        </w:rPr>
        <w:t>0</w:t>
      </w:r>
      <w:r>
        <w:t>.05</w:t>
      </w:r>
      <w:r>
        <w:rPr>
          <w:rFonts w:hint="eastAsia"/>
        </w:rPr>
        <w:t>变为</w:t>
      </w:r>
      <w:r>
        <w:rPr>
          <w:rFonts w:hint="eastAsia"/>
        </w:rPr>
        <w:t>0</w:t>
      </w:r>
      <w:r>
        <w:t>.065</w:t>
      </w:r>
      <w:r>
        <w:rPr>
          <w:rFonts w:hint="eastAsia"/>
        </w:rPr>
        <w:t>，且在</w:t>
      </w:r>
      <w:r>
        <w:rPr>
          <w:rFonts w:hint="eastAsia"/>
        </w:rPr>
        <w:t>1</w:t>
      </w:r>
      <w:r>
        <w:t>0%</w:t>
      </w:r>
      <w:r>
        <w:rPr>
          <w:rFonts w:hint="eastAsia"/>
        </w:rPr>
        <w:t>显著性水平上显著，依然呈正相关关系，这与我们的假设二相符合，同时由于回归系数的增加，我们可以得出结论，在独立董事辞职事件后，负的累积收益率与</w:t>
      </w:r>
      <w:r w:rsidR="00126F84">
        <w:rPr>
          <w:rFonts w:hint="eastAsia"/>
        </w:rPr>
        <w:t>独立董事自身的学历和任职期限呈正相关关系，而且在考虑任职期限影响因素之后，独立董事自身学历水平对累积收益率的影响程度会增加，即相同任期的独立董事发生辞职行为，自身学历水平越高的独立董事，其经济后果更加显著。</w:t>
      </w:r>
    </w:p>
    <w:p w14:paraId="7A85FFA5" w14:textId="77777777" w:rsidR="00211DE6" w:rsidRDefault="00AB01AC" w:rsidP="00023A9C">
      <w:pPr>
        <w:ind w:firstLineChars="200" w:firstLine="480"/>
      </w:pPr>
      <w:r>
        <w:rPr>
          <w:rFonts w:hint="eastAsia"/>
        </w:rPr>
        <w:t>此外，托宾</w:t>
      </w:r>
      <w:r>
        <w:rPr>
          <w:rFonts w:hint="eastAsia"/>
        </w:rPr>
        <w:t>Q</w:t>
      </w:r>
      <w:r>
        <w:rPr>
          <w:rFonts w:hint="eastAsia"/>
        </w:rPr>
        <w:t>值</w:t>
      </w:r>
      <w:r w:rsidR="00B732C9">
        <w:rPr>
          <w:rFonts w:hint="eastAsia"/>
        </w:rPr>
        <w:t>（</w:t>
      </w:r>
      <w:proofErr w:type="spellStart"/>
      <w:r w:rsidR="00B732C9">
        <w:rPr>
          <w:rFonts w:hint="eastAsia"/>
        </w:rPr>
        <w:t>t</w:t>
      </w:r>
      <w:r w:rsidR="00B732C9">
        <w:t>bq</w:t>
      </w:r>
      <w:proofErr w:type="spellEnd"/>
      <w:r w:rsidR="00B732C9">
        <w:rPr>
          <w:rFonts w:hint="eastAsia"/>
        </w:rPr>
        <w:t>）</w:t>
      </w:r>
      <w:r>
        <w:rPr>
          <w:rFonts w:hint="eastAsia"/>
        </w:rPr>
        <w:t>，企业规模</w:t>
      </w:r>
      <w:r w:rsidR="00B732C9">
        <w:rPr>
          <w:rFonts w:hint="eastAsia"/>
        </w:rPr>
        <w:t>(</w:t>
      </w:r>
      <w:r w:rsidR="00B732C9">
        <w:t>size)</w:t>
      </w:r>
      <w:r>
        <w:rPr>
          <w:rFonts w:hint="eastAsia"/>
        </w:rPr>
        <w:t>，资产负债率</w:t>
      </w:r>
      <w:r w:rsidR="00B732C9">
        <w:rPr>
          <w:rFonts w:hint="eastAsia"/>
        </w:rPr>
        <w:t>(</w:t>
      </w:r>
      <w:r w:rsidR="00B732C9">
        <w:t>lev)</w:t>
      </w:r>
      <w:r>
        <w:rPr>
          <w:rFonts w:hint="eastAsia"/>
        </w:rPr>
        <w:t>的回归系数均大于零，即与累积异常收益率呈正相关关系。我们认为托宾</w:t>
      </w:r>
      <w:r>
        <w:rPr>
          <w:rFonts w:hint="eastAsia"/>
        </w:rPr>
        <w:t>Q</w:t>
      </w:r>
      <w:r>
        <w:rPr>
          <w:rFonts w:hint="eastAsia"/>
        </w:rPr>
        <w:t>值越高的公司，表明其市值高于有形净资产的</w:t>
      </w:r>
      <w:r w:rsidR="00964C51">
        <w:rPr>
          <w:rFonts w:hint="eastAsia"/>
        </w:rPr>
        <w:t>幅度越大，企业价值被高估，因而公司面对独立董事辞职此类突发事件其价值变动会有更大的几率。</w:t>
      </w:r>
    </w:p>
    <w:p w14:paraId="70996041" w14:textId="77777777" w:rsidR="00211DE6" w:rsidRDefault="00964C51" w:rsidP="00023A9C">
      <w:pPr>
        <w:ind w:firstLineChars="200" w:firstLine="480"/>
      </w:pPr>
      <w:r>
        <w:rPr>
          <w:rFonts w:hint="eastAsia"/>
        </w:rPr>
        <w:t>同时企业规模越大，表明公司的市场认可度越高，越受到市场各方面的关注，因而遇到独立董事辞职此类突发事件，其经济后果即价值变动的程度会被进一步放大。</w:t>
      </w:r>
    </w:p>
    <w:p w14:paraId="1675E76E" w14:textId="77777777" w:rsidR="00211DE6" w:rsidRDefault="00266688" w:rsidP="00023A9C">
      <w:pPr>
        <w:ind w:firstLineChars="200" w:firstLine="480"/>
      </w:pPr>
      <w:r>
        <w:rPr>
          <w:rFonts w:hint="eastAsia"/>
        </w:rPr>
        <w:t>资产负债率的回归系数大于零，</w:t>
      </w:r>
      <w:r w:rsidR="00B732C9">
        <w:rPr>
          <w:rFonts w:hint="eastAsia"/>
        </w:rPr>
        <w:t>且在</w:t>
      </w:r>
      <w:r w:rsidR="00EA54B1">
        <w:t>10</w:t>
      </w:r>
      <w:r w:rsidR="00B732C9">
        <w:t>%</w:t>
      </w:r>
      <w:r w:rsidR="00B732C9">
        <w:rPr>
          <w:rFonts w:hint="eastAsia"/>
        </w:rPr>
        <w:t>置信水平上显著，</w:t>
      </w:r>
      <w:r>
        <w:rPr>
          <w:rFonts w:hint="eastAsia"/>
        </w:rPr>
        <w:t>表明财务杠杆越大，公司的累积异常收益率也会更加明显，我们认为财务杠杆作为风险衡量指标，能够体现公司的财务风险状况，因而资产负债率越高，其对风险抵抗能力越差，累积异常收益率也会相应</w:t>
      </w:r>
      <w:r w:rsidR="00B732C9">
        <w:rPr>
          <w:rFonts w:hint="eastAsia"/>
        </w:rPr>
        <w:t>更显著。</w:t>
      </w:r>
    </w:p>
    <w:p w14:paraId="32518664" w14:textId="4790C436" w:rsidR="005217B0" w:rsidRDefault="00B732C9" w:rsidP="006A43C1">
      <w:pPr>
        <w:ind w:firstLineChars="200" w:firstLine="480"/>
      </w:pPr>
      <w:r>
        <w:rPr>
          <w:rFonts w:hint="eastAsia"/>
        </w:rPr>
        <w:t>最后每股负债</w:t>
      </w:r>
      <w:r>
        <w:rPr>
          <w:rFonts w:hint="eastAsia"/>
        </w:rPr>
        <w:t>(</w:t>
      </w:r>
      <w:r>
        <w:t>bps)</w:t>
      </w:r>
      <w:r>
        <w:rPr>
          <w:rFonts w:hint="eastAsia"/>
        </w:rPr>
        <w:t>的回归系数为</w:t>
      </w:r>
      <w:r>
        <w:rPr>
          <w:rFonts w:hint="eastAsia"/>
        </w:rPr>
        <w:t>-</w:t>
      </w:r>
      <w:r>
        <w:t>0.463</w:t>
      </w:r>
      <w:r>
        <w:rPr>
          <w:rFonts w:hint="eastAsia"/>
        </w:rPr>
        <w:t>，即与公司</w:t>
      </w:r>
      <w:r w:rsidR="00757482">
        <w:rPr>
          <w:rFonts w:hint="eastAsia"/>
        </w:rPr>
        <w:t>累积异常收益率呈负相关在</w:t>
      </w:r>
      <w:r w:rsidR="00757482">
        <w:t>1%</w:t>
      </w:r>
      <w:r w:rsidR="00757482">
        <w:rPr>
          <w:rFonts w:hint="eastAsia"/>
        </w:rPr>
        <w:t>置信水平上显著。</w:t>
      </w:r>
      <w:r w:rsidR="0054771C">
        <w:rPr>
          <w:rFonts w:hint="eastAsia"/>
        </w:rPr>
        <w:t>虽</w:t>
      </w:r>
      <w:r w:rsidR="00E6749D">
        <w:rPr>
          <w:rFonts w:hint="eastAsia"/>
        </w:rPr>
        <w:t>然一定程度上也体现了风险系数，但根据有序融资理论和信号理论，企业选择举债来进行外部融资，一定程度上能够彰显公司管理层对未来盈利能力的信心，因而在一定程度上，可能会相对削弱负的累积异常收益率。</w:t>
      </w:r>
    </w:p>
    <w:p w14:paraId="17C422B0" w14:textId="5A736FF6" w:rsidR="00214004" w:rsidRDefault="00214004" w:rsidP="006A43C1">
      <w:pPr>
        <w:ind w:firstLineChars="200" w:firstLine="480"/>
      </w:pPr>
    </w:p>
    <w:p w14:paraId="199B08C9" w14:textId="77777777" w:rsidR="00214004" w:rsidRDefault="00214004" w:rsidP="006A43C1">
      <w:pPr>
        <w:ind w:firstLineChars="200" w:firstLine="480"/>
      </w:pPr>
    </w:p>
    <w:p w14:paraId="15E85566" w14:textId="77777777" w:rsidR="00FB2129" w:rsidRDefault="00FB2129" w:rsidP="00FB2129">
      <w:pPr>
        <w:pStyle w:val="3"/>
      </w:pPr>
      <w:r>
        <w:rPr>
          <w:rFonts w:hint="eastAsia"/>
        </w:rPr>
        <w:lastRenderedPageBreak/>
        <w:t>假设四的回归检验</w:t>
      </w:r>
    </w:p>
    <w:p w14:paraId="0D20E2B4" w14:textId="3CF5423D" w:rsidR="00FB2129" w:rsidRDefault="00FB2129" w:rsidP="00FB2129">
      <w:pPr>
        <w:pStyle w:val="a3"/>
        <w:keepNext/>
        <w:ind w:firstLine="4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45B4">
        <w:rPr>
          <w:noProof/>
        </w:rPr>
        <w:t>4</w:t>
      </w:r>
      <w:r>
        <w:fldChar w:fldCharType="end"/>
      </w:r>
      <w:r>
        <w:noBreakHyphen/>
      </w:r>
      <w:r w:rsidR="00FF22E9">
        <w:t>8</w:t>
      </w:r>
      <w:r>
        <w:rPr>
          <w:rFonts w:hint="eastAsia"/>
        </w:rPr>
        <w:t>假设四回归分析</w:t>
      </w:r>
    </w:p>
    <w:tbl>
      <w:tblPr>
        <w:tblW w:w="5000" w:type="pct"/>
        <w:tblLook w:val="0000" w:firstRow="0" w:lastRow="0" w:firstColumn="0" w:lastColumn="0" w:noHBand="0" w:noVBand="0"/>
      </w:tblPr>
      <w:tblGrid>
        <w:gridCol w:w="1437"/>
        <w:gridCol w:w="585"/>
        <w:gridCol w:w="409"/>
        <w:gridCol w:w="899"/>
        <w:gridCol w:w="475"/>
        <w:gridCol w:w="473"/>
        <w:gridCol w:w="995"/>
        <w:gridCol w:w="656"/>
        <w:gridCol w:w="653"/>
        <w:gridCol w:w="1093"/>
        <w:gridCol w:w="631"/>
      </w:tblGrid>
      <w:tr w:rsidR="00FB2129" w14:paraId="37C95CE3" w14:textId="77777777" w:rsidTr="005A06AA">
        <w:tc>
          <w:tcPr>
            <w:tcW w:w="865" w:type="pct"/>
            <w:tcBorders>
              <w:top w:val="single" w:sz="12" w:space="0" w:color="auto"/>
              <w:left w:val="nil"/>
              <w:bottom w:val="single" w:sz="4" w:space="0" w:color="auto"/>
              <w:right w:val="nil"/>
            </w:tcBorders>
          </w:tcPr>
          <w:p w14:paraId="41A5D328" w14:textId="77777777" w:rsidR="00FB2129" w:rsidRDefault="00FB2129" w:rsidP="00FE4029">
            <w:pPr>
              <w:pStyle w:val="af2"/>
            </w:pPr>
            <w:r>
              <w:t>Car</w:t>
            </w:r>
          </w:p>
        </w:tc>
        <w:tc>
          <w:tcPr>
            <w:tcW w:w="598" w:type="pct"/>
            <w:gridSpan w:val="2"/>
            <w:tcBorders>
              <w:top w:val="single" w:sz="12" w:space="0" w:color="auto"/>
              <w:left w:val="nil"/>
              <w:bottom w:val="single" w:sz="4" w:space="0" w:color="auto"/>
              <w:right w:val="nil"/>
            </w:tcBorders>
          </w:tcPr>
          <w:p w14:paraId="11A26F1D" w14:textId="77777777" w:rsidR="00FB2129" w:rsidRDefault="00FB2129" w:rsidP="00FE4029">
            <w:pPr>
              <w:pStyle w:val="af2"/>
            </w:pPr>
            <w:r>
              <w:t xml:space="preserve"> Coef.</w:t>
            </w:r>
          </w:p>
        </w:tc>
        <w:tc>
          <w:tcPr>
            <w:tcW w:w="541" w:type="pct"/>
            <w:tcBorders>
              <w:top w:val="single" w:sz="12" w:space="0" w:color="auto"/>
              <w:left w:val="nil"/>
              <w:bottom w:val="single" w:sz="4" w:space="0" w:color="auto"/>
              <w:right w:val="nil"/>
            </w:tcBorders>
          </w:tcPr>
          <w:p w14:paraId="1F8D6D40" w14:textId="77777777" w:rsidR="00FB2129" w:rsidRDefault="00FB2129" w:rsidP="00FE4029">
            <w:pPr>
              <w:pStyle w:val="af2"/>
            </w:pPr>
            <w:r>
              <w:t xml:space="preserve"> </w:t>
            </w:r>
            <w:proofErr w:type="spellStart"/>
            <w:proofErr w:type="gramStart"/>
            <w:r>
              <w:t>St.Err</w:t>
            </w:r>
            <w:proofErr w:type="spellEnd"/>
            <w:proofErr w:type="gramEnd"/>
            <w:r>
              <w:t>.</w:t>
            </w:r>
          </w:p>
        </w:tc>
        <w:tc>
          <w:tcPr>
            <w:tcW w:w="571" w:type="pct"/>
            <w:gridSpan w:val="2"/>
            <w:tcBorders>
              <w:top w:val="single" w:sz="12" w:space="0" w:color="auto"/>
              <w:left w:val="nil"/>
              <w:bottom w:val="single" w:sz="4" w:space="0" w:color="auto"/>
              <w:right w:val="nil"/>
            </w:tcBorders>
          </w:tcPr>
          <w:p w14:paraId="0FA4EF31" w14:textId="77777777" w:rsidR="00FB2129" w:rsidRDefault="00FB2129" w:rsidP="00FE4029">
            <w:pPr>
              <w:pStyle w:val="af2"/>
            </w:pPr>
            <w:r>
              <w:t xml:space="preserve"> t-value</w:t>
            </w:r>
          </w:p>
        </w:tc>
        <w:tc>
          <w:tcPr>
            <w:tcW w:w="599" w:type="pct"/>
            <w:tcBorders>
              <w:top w:val="single" w:sz="12" w:space="0" w:color="auto"/>
              <w:left w:val="nil"/>
              <w:bottom w:val="single" w:sz="4" w:space="0" w:color="auto"/>
              <w:right w:val="nil"/>
            </w:tcBorders>
          </w:tcPr>
          <w:p w14:paraId="4578F475" w14:textId="77777777" w:rsidR="00FB2129" w:rsidRDefault="00FB2129" w:rsidP="00FE4029">
            <w:pPr>
              <w:pStyle w:val="af2"/>
            </w:pPr>
            <w:r>
              <w:t xml:space="preserve"> p-value</w:t>
            </w:r>
          </w:p>
        </w:tc>
        <w:tc>
          <w:tcPr>
            <w:tcW w:w="788" w:type="pct"/>
            <w:gridSpan w:val="2"/>
            <w:tcBorders>
              <w:top w:val="single" w:sz="12" w:space="0" w:color="auto"/>
              <w:left w:val="nil"/>
              <w:bottom w:val="single" w:sz="4" w:space="0" w:color="auto"/>
              <w:right w:val="nil"/>
            </w:tcBorders>
          </w:tcPr>
          <w:p w14:paraId="4C46F52F" w14:textId="77777777" w:rsidR="00FB2129" w:rsidRDefault="00FB2129" w:rsidP="00FE4029">
            <w:pPr>
              <w:pStyle w:val="af2"/>
            </w:pPr>
            <w:r>
              <w:t xml:space="preserve"> [95% Conf</w:t>
            </w:r>
          </w:p>
        </w:tc>
        <w:tc>
          <w:tcPr>
            <w:tcW w:w="658" w:type="pct"/>
            <w:tcBorders>
              <w:top w:val="single" w:sz="12" w:space="0" w:color="auto"/>
              <w:left w:val="nil"/>
              <w:bottom w:val="single" w:sz="4" w:space="0" w:color="auto"/>
              <w:right w:val="nil"/>
            </w:tcBorders>
          </w:tcPr>
          <w:p w14:paraId="5938ED41" w14:textId="77777777" w:rsidR="00FB2129" w:rsidRDefault="00FB2129" w:rsidP="00FE4029">
            <w:pPr>
              <w:pStyle w:val="af2"/>
            </w:pPr>
            <w:r>
              <w:t xml:space="preserve"> Interval]</w:t>
            </w:r>
          </w:p>
        </w:tc>
        <w:tc>
          <w:tcPr>
            <w:tcW w:w="380" w:type="pct"/>
            <w:tcBorders>
              <w:top w:val="single" w:sz="12" w:space="0" w:color="auto"/>
              <w:left w:val="nil"/>
              <w:bottom w:val="single" w:sz="4" w:space="0" w:color="auto"/>
              <w:right w:val="nil"/>
            </w:tcBorders>
          </w:tcPr>
          <w:p w14:paraId="77F2C701" w14:textId="77777777" w:rsidR="00FB2129" w:rsidRDefault="00FB2129" w:rsidP="00FE4029">
            <w:pPr>
              <w:pStyle w:val="af2"/>
            </w:pPr>
            <w:r>
              <w:t xml:space="preserve"> Sig</w:t>
            </w:r>
          </w:p>
        </w:tc>
      </w:tr>
      <w:tr w:rsidR="00FB2129" w14:paraId="29D806B7" w14:textId="77777777" w:rsidTr="005A06AA">
        <w:tc>
          <w:tcPr>
            <w:tcW w:w="865" w:type="pct"/>
            <w:tcBorders>
              <w:top w:val="single" w:sz="4" w:space="0" w:color="auto"/>
              <w:left w:val="nil"/>
              <w:bottom w:val="nil"/>
              <w:right w:val="nil"/>
            </w:tcBorders>
          </w:tcPr>
          <w:p w14:paraId="42FD3D1E" w14:textId="77777777" w:rsidR="00FB2129" w:rsidRDefault="00FB2129" w:rsidP="00FE4029">
            <w:pPr>
              <w:pStyle w:val="af2"/>
            </w:pPr>
            <w:r>
              <w:t>DA</w:t>
            </w:r>
          </w:p>
        </w:tc>
        <w:tc>
          <w:tcPr>
            <w:tcW w:w="598" w:type="pct"/>
            <w:gridSpan w:val="2"/>
            <w:tcBorders>
              <w:top w:val="single" w:sz="4" w:space="0" w:color="auto"/>
              <w:left w:val="nil"/>
              <w:bottom w:val="nil"/>
              <w:right w:val="nil"/>
            </w:tcBorders>
          </w:tcPr>
          <w:p w14:paraId="081E7AC6" w14:textId="77777777" w:rsidR="00FB2129" w:rsidRDefault="00FB2129" w:rsidP="00FE4029">
            <w:pPr>
              <w:pStyle w:val="af2"/>
            </w:pPr>
            <w:r>
              <w:t>.074</w:t>
            </w:r>
          </w:p>
        </w:tc>
        <w:tc>
          <w:tcPr>
            <w:tcW w:w="541" w:type="pct"/>
            <w:tcBorders>
              <w:top w:val="single" w:sz="4" w:space="0" w:color="auto"/>
              <w:left w:val="nil"/>
              <w:bottom w:val="nil"/>
              <w:right w:val="nil"/>
            </w:tcBorders>
          </w:tcPr>
          <w:p w14:paraId="1458AD5D" w14:textId="77777777" w:rsidR="00FB2129" w:rsidRDefault="00FB2129" w:rsidP="00FE4029">
            <w:pPr>
              <w:pStyle w:val="af2"/>
            </w:pPr>
            <w:r>
              <w:t>.182</w:t>
            </w:r>
          </w:p>
        </w:tc>
        <w:tc>
          <w:tcPr>
            <w:tcW w:w="571" w:type="pct"/>
            <w:gridSpan w:val="2"/>
            <w:tcBorders>
              <w:top w:val="single" w:sz="4" w:space="0" w:color="auto"/>
              <w:left w:val="nil"/>
              <w:bottom w:val="nil"/>
              <w:right w:val="nil"/>
            </w:tcBorders>
          </w:tcPr>
          <w:p w14:paraId="28FF7B70" w14:textId="77777777" w:rsidR="00FB2129" w:rsidRDefault="00FB2129" w:rsidP="00FE4029">
            <w:pPr>
              <w:pStyle w:val="af2"/>
            </w:pPr>
            <w:r>
              <w:t>0.41</w:t>
            </w:r>
          </w:p>
        </w:tc>
        <w:tc>
          <w:tcPr>
            <w:tcW w:w="599" w:type="pct"/>
            <w:tcBorders>
              <w:top w:val="single" w:sz="4" w:space="0" w:color="auto"/>
              <w:left w:val="nil"/>
              <w:bottom w:val="nil"/>
              <w:right w:val="nil"/>
            </w:tcBorders>
          </w:tcPr>
          <w:p w14:paraId="6C2F496F" w14:textId="77777777" w:rsidR="00FB2129" w:rsidRDefault="00FB2129" w:rsidP="00FE4029">
            <w:pPr>
              <w:pStyle w:val="af2"/>
            </w:pPr>
            <w:r>
              <w:t>.685</w:t>
            </w:r>
          </w:p>
        </w:tc>
        <w:tc>
          <w:tcPr>
            <w:tcW w:w="788" w:type="pct"/>
            <w:gridSpan w:val="2"/>
            <w:tcBorders>
              <w:top w:val="single" w:sz="4" w:space="0" w:color="auto"/>
              <w:left w:val="nil"/>
              <w:bottom w:val="nil"/>
              <w:right w:val="nil"/>
            </w:tcBorders>
          </w:tcPr>
          <w:p w14:paraId="6D2107AE" w14:textId="77777777" w:rsidR="00FB2129" w:rsidRDefault="00FB2129" w:rsidP="00FE4029">
            <w:pPr>
              <w:pStyle w:val="af2"/>
            </w:pPr>
            <w:r>
              <w:t>-.296</w:t>
            </w:r>
          </w:p>
        </w:tc>
        <w:tc>
          <w:tcPr>
            <w:tcW w:w="658" w:type="pct"/>
            <w:tcBorders>
              <w:top w:val="single" w:sz="4" w:space="0" w:color="auto"/>
              <w:left w:val="nil"/>
              <w:bottom w:val="nil"/>
              <w:right w:val="nil"/>
            </w:tcBorders>
          </w:tcPr>
          <w:p w14:paraId="27308ED4" w14:textId="77777777" w:rsidR="00FB2129" w:rsidRDefault="00FB2129" w:rsidP="00FE4029">
            <w:pPr>
              <w:pStyle w:val="af2"/>
            </w:pPr>
            <w:r>
              <w:t>.445</w:t>
            </w:r>
          </w:p>
        </w:tc>
        <w:tc>
          <w:tcPr>
            <w:tcW w:w="380" w:type="pct"/>
            <w:tcBorders>
              <w:top w:val="single" w:sz="4" w:space="0" w:color="auto"/>
              <w:left w:val="nil"/>
              <w:bottom w:val="nil"/>
              <w:right w:val="nil"/>
            </w:tcBorders>
          </w:tcPr>
          <w:p w14:paraId="0CE43528" w14:textId="77777777" w:rsidR="00FB2129" w:rsidRDefault="00FB2129" w:rsidP="00FE4029">
            <w:pPr>
              <w:pStyle w:val="af2"/>
            </w:pPr>
          </w:p>
        </w:tc>
      </w:tr>
      <w:tr w:rsidR="00FB2129" w14:paraId="503E54B0" w14:textId="77777777" w:rsidTr="004414E0">
        <w:tc>
          <w:tcPr>
            <w:tcW w:w="865" w:type="pct"/>
            <w:tcBorders>
              <w:top w:val="nil"/>
              <w:left w:val="nil"/>
              <w:right w:val="nil"/>
            </w:tcBorders>
          </w:tcPr>
          <w:p w14:paraId="5F866362" w14:textId="77777777" w:rsidR="00FB2129" w:rsidRDefault="00FB2129" w:rsidP="00FE4029">
            <w:pPr>
              <w:pStyle w:val="af2"/>
            </w:pPr>
            <w:proofErr w:type="spellStart"/>
            <w:r>
              <w:t>Tbq</w:t>
            </w:r>
            <w:proofErr w:type="spellEnd"/>
          </w:p>
        </w:tc>
        <w:tc>
          <w:tcPr>
            <w:tcW w:w="598" w:type="pct"/>
            <w:gridSpan w:val="2"/>
            <w:tcBorders>
              <w:top w:val="nil"/>
              <w:left w:val="nil"/>
              <w:right w:val="nil"/>
            </w:tcBorders>
          </w:tcPr>
          <w:p w14:paraId="419F9CB0" w14:textId="77777777" w:rsidR="00FB2129" w:rsidRDefault="00FB2129" w:rsidP="00FE4029">
            <w:pPr>
              <w:pStyle w:val="af2"/>
            </w:pPr>
            <w:r>
              <w:t>.036</w:t>
            </w:r>
          </w:p>
        </w:tc>
        <w:tc>
          <w:tcPr>
            <w:tcW w:w="541" w:type="pct"/>
            <w:tcBorders>
              <w:top w:val="nil"/>
              <w:left w:val="nil"/>
              <w:right w:val="nil"/>
            </w:tcBorders>
          </w:tcPr>
          <w:p w14:paraId="234AEFF8" w14:textId="77777777" w:rsidR="00FB2129" w:rsidRDefault="00FB2129" w:rsidP="00FE4029">
            <w:pPr>
              <w:pStyle w:val="af2"/>
            </w:pPr>
            <w:r>
              <w:t>.035</w:t>
            </w:r>
          </w:p>
        </w:tc>
        <w:tc>
          <w:tcPr>
            <w:tcW w:w="571" w:type="pct"/>
            <w:gridSpan w:val="2"/>
            <w:tcBorders>
              <w:top w:val="nil"/>
              <w:left w:val="nil"/>
              <w:right w:val="nil"/>
            </w:tcBorders>
          </w:tcPr>
          <w:p w14:paraId="0CE4C361" w14:textId="77777777" w:rsidR="00FB2129" w:rsidRDefault="00FB2129" w:rsidP="00FE4029">
            <w:pPr>
              <w:pStyle w:val="af2"/>
            </w:pPr>
            <w:r>
              <w:t>1.04</w:t>
            </w:r>
          </w:p>
        </w:tc>
        <w:tc>
          <w:tcPr>
            <w:tcW w:w="599" w:type="pct"/>
            <w:tcBorders>
              <w:top w:val="nil"/>
              <w:left w:val="nil"/>
              <w:right w:val="nil"/>
            </w:tcBorders>
          </w:tcPr>
          <w:p w14:paraId="3F282240" w14:textId="77777777" w:rsidR="00FB2129" w:rsidRDefault="00FB2129" w:rsidP="00FE4029">
            <w:pPr>
              <w:pStyle w:val="af2"/>
            </w:pPr>
            <w:r>
              <w:t>.306</w:t>
            </w:r>
          </w:p>
        </w:tc>
        <w:tc>
          <w:tcPr>
            <w:tcW w:w="788" w:type="pct"/>
            <w:gridSpan w:val="2"/>
            <w:tcBorders>
              <w:top w:val="nil"/>
              <w:left w:val="nil"/>
              <w:right w:val="nil"/>
            </w:tcBorders>
          </w:tcPr>
          <w:p w14:paraId="01B6CC11" w14:textId="77777777" w:rsidR="00FB2129" w:rsidRDefault="00FB2129" w:rsidP="00FE4029">
            <w:pPr>
              <w:pStyle w:val="af2"/>
            </w:pPr>
            <w:r>
              <w:t>-.035</w:t>
            </w:r>
          </w:p>
        </w:tc>
        <w:tc>
          <w:tcPr>
            <w:tcW w:w="658" w:type="pct"/>
            <w:tcBorders>
              <w:top w:val="nil"/>
              <w:left w:val="nil"/>
              <w:right w:val="nil"/>
            </w:tcBorders>
          </w:tcPr>
          <w:p w14:paraId="5CBF6158" w14:textId="77777777" w:rsidR="00FB2129" w:rsidRDefault="00FB2129" w:rsidP="00FE4029">
            <w:pPr>
              <w:pStyle w:val="af2"/>
            </w:pPr>
            <w:r>
              <w:t>.107</w:t>
            </w:r>
          </w:p>
        </w:tc>
        <w:tc>
          <w:tcPr>
            <w:tcW w:w="380" w:type="pct"/>
            <w:tcBorders>
              <w:top w:val="nil"/>
              <w:left w:val="nil"/>
              <w:right w:val="nil"/>
            </w:tcBorders>
          </w:tcPr>
          <w:p w14:paraId="35065D84" w14:textId="77777777" w:rsidR="00FB2129" w:rsidRDefault="00FB2129" w:rsidP="00FE4029">
            <w:pPr>
              <w:pStyle w:val="af2"/>
            </w:pPr>
          </w:p>
        </w:tc>
      </w:tr>
      <w:tr w:rsidR="00FB2129" w14:paraId="4E539DD4" w14:textId="77777777" w:rsidTr="004414E0">
        <w:tc>
          <w:tcPr>
            <w:tcW w:w="865" w:type="pct"/>
            <w:tcBorders>
              <w:top w:val="nil"/>
              <w:left w:val="nil"/>
              <w:right w:val="nil"/>
            </w:tcBorders>
          </w:tcPr>
          <w:p w14:paraId="0243C593" w14:textId="77777777" w:rsidR="00FB2129" w:rsidRDefault="00FB2129" w:rsidP="00FE4029">
            <w:pPr>
              <w:pStyle w:val="af2"/>
            </w:pPr>
            <w:r>
              <w:t>Size</w:t>
            </w:r>
          </w:p>
        </w:tc>
        <w:tc>
          <w:tcPr>
            <w:tcW w:w="598" w:type="pct"/>
            <w:gridSpan w:val="2"/>
            <w:tcBorders>
              <w:top w:val="nil"/>
              <w:left w:val="nil"/>
              <w:right w:val="nil"/>
            </w:tcBorders>
          </w:tcPr>
          <w:p w14:paraId="7CFF3F83" w14:textId="77777777" w:rsidR="00FB2129" w:rsidRDefault="00FB2129" w:rsidP="00FE4029">
            <w:pPr>
              <w:pStyle w:val="af2"/>
            </w:pPr>
            <w:r>
              <w:t>.008</w:t>
            </w:r>
          </w:p>
        </w:tc>
        <w:tc>
          <w:tcPr>
            <w:tcW w:w="541" w:type="pct"/>
            <w:tcBorders>
              <w:top w:val="nil"/>
              <w:left w:val="nil"/>
              <w:right w:val="nil"/>
            </w:tcBorders>
          </w:tcPr>
          <w:p w14:paraId="67347DC0" w14:textId="77777777" w:rsidR="00FB2129" w:rsidRDefault="00FB2129" w:rsidP="00FE4029">
            <w:pPr>
              <w:pStyle w:val="af2"/>
            </w:pPr>
            <w:r>
              <w:t>.022</w:t>
            </w:r>
          </w:p>
        </w:tc>
        <w:tc>
          <w:tcPr>
            <w:tcW w:w="571" w:type="pct"/>
            <w:gridSpan w:val="2"/>
            <w:tcBorders>
              <w:top w:val="nil"/>
              <w:left w:val="nil"/>
              <w:right w:val="nil"/>
            </w:tcBorders>
          </w:tcPr>
          <w:p w14:paraId="63C91493" w14:textId="77777777" w:rsidR="00FB2129" w:rsidRDefault="00FB2129" w:rsidP="00FE4029">
            <w:pPr>
              <w:pStyle w:val="af2"/>
            </w:pPr>
            <w:r>
              <w:t>0.36</w:t>
            </w:r>
          </w:p>
        </w:tc>
        <w:tc>
          <w:tcPr>
            <w:tcW w:w="599" w:type="pct"/>
            <w:tcBorders>
              <w:top w:val="nil"/>
              <w:left w:val="nil"/>
              <w:right w:val="nil"/>
            </w:tcBorders>
          </w:tcPr>
          <w:p w14:paraId="342745D6" w14:textId="77777777" w:rsidR="00FB2129" w:rsidRDefault="00FB2129" w:rsidP="00FE4029">
            <w:pPr>
              <w:pStyle w:val="af2"/>
            </w:pPr>
            <w:r>
              <w:t>.72</w:t>
            </w:r>
          </w:p>
        </w:tc>
        <w:tc>
          <w:tcPr>
            <w:tcW w:w="788" w:type="pct"/>
            <w:gridSpan w:val="2"/>
            <w:tcBorders>
              <w:top w:val="nil"/>
              <w:left w:val="nil"/>
              <w:right w:val="nil"/>
            </w:tcBorders>
          </w:tcPr>
          <w:p w14:paraId="61AEF4F0" w14:textId="77777777" w:rsidR="00FB2129" w:rsidRDefault="00FB2129" w:rsidP="00FE4029">
            <w:pPr>
              <w:pStyle w:val="af2"/>
            </w:pPr>
            <w:r>
              <w:t>-.037</w:t>
            </w:r>
          </w:p>
        </w:tc>
        <w:tc>
          <w:tcPr>
            <w:tcW w:w="658" w:type="pct"/>
            <w:tcBorders>
              <w:top w:val="nil"/>
              <w:left w:val="nil"/>
              <w:right w:val="nil"/>
            </w:tcBorders>
          </w:tcPr>
          <w:p w14:paraId="0FF77EFF" w14:textId="77777777" w:rsidR="00FB2129" w:rsidRDefault="00FB2129" w:rsidP="00FE4029">
            <w:pPr>
              <w:pStyle w:val="af2"/>
            </w:pPr>
            <w:r>
              <w:t>.053</w:t>
            </w:r>
          </w:p>
        </w:tc>
        <w:tc>
          <w:tcPr>
            <w:tcW w:w="380" w:type="pct"/>
            <w:tcBorders>
              <w:top w:val="nil"/>
              <w:left w:val="nil"/>
              <w:right w:val="nil"/>
            </w:tcBorders>
          </w:tcPr>
          <w:p w14:paraId="24CFAE04" w14:textId="77777777" w:rsidR="00FB2129" w:rsidRDefault="00FB2129" w:rsidP="00FE4029">
            <w:pPr>
              <w:pStyle w:val="af2"/>
            </w:pPr>
          </w:p>
        </w:tc>
      </w:tr>
      <w:tr w:rsidR="004414E0" w14:paraId="7770DA76" w14:textId="77777777" w:rsidTr="004414E0">
        <w:tc>
          <w:tcPr>
            <w:tcW w:w="865" w:type="pct"/>
            <w:tcBorders>
              <w:top w:val="nil"/>
              <w:left w:val="nil"/>
              <w:right w:val="nil"/>
            </w:tcBorders>
          </w:tcPr>
          <w:p w14:paraId="31DC343C" w14:textId="77777777" w:rsidR="004414E0" w:rsidRDefault="004414E0" w:rsidP="00FF1150">
            <w:pPr>
              <w:pStyle w:val="af2"/>
            </w:pPr>
            <w:r>
              <w:t>Lev</w:t>
            </w:r>
          </w:p>
        </w:tc>
        <w:tc>
          <w:tcPr>
            <w:tcW w:w="598" w:type="pct"/>
            <w:gridSpan w:val="2"/>
            <w:tcBorders>
              <w:top w:val="nil"/>
              <w:left w:val="nil"/>
              <w:right w:val="nil"/>
            </w:tcBorders>
          </w:tcPr>
          <w:p w14:paraId="67CCAD53" w14:textId="77777777" w:rsidR="004414E0" w:rsidRDefault="004414E0" w:rsidP="00FF1150">
            <w:pPr>
              <w:pStyle w:val="af2"/>
            </w:pPr>
            <w:r>
              <w:t>.095</w:t>
            </w:r>
          </w:p>
        </w:tc>
        <w:tc>
          <w:tcPr>
            <w:tcW w:w="541" w:type="pct"/>
            <w:tcBorders>
              <w:top w:val="nil"/>
              <w:left w:val="nil"/>
              <w:right w:val="nil"/>
            </w:tcBorders>
          </w:tcPr>
          <w:p w14:paraId="32222697" w14:textId="77777777" w:rsidR="004414E0" w:rsidRDefault="004414E0" w:rsidP="00FF1150">
            <w:pPr>
              <w:pStyle w:val="af2"/>
            </w:pPr>
            <w:r>
              <w:t>.12</w:t>
            </w:r>
          </w:p>
        </w:tc>
        <w:tc>
          <w:tcPr>
            <w:tcW w:w="571" w:type="pct"/>
            <w:gridSpan w:val="2"/>
            <w:tcBorders>
              <w:top w:val="nil"/>
              <w:left w:val="nil"/>
              <w:right w:val="nil"/>
            </w:tcBorders>
          </w:tcPr>
          <w:p w14:paraId="632F35BC" w14:textId="77777777" w:rsidR="004414E0" w:rsidRDefault="004414E0" w:rsidP="00FF1150">
            <w:pPr>
              <w:pStyle w:val="af2"/>
            </w:pPr>
            <w:r>
              <w:t>0.79</w:t>
            </w:r>
          </w:p>
        </w:tc>
        <w:tc>
          <w:tcPr>
            <w:tcW w:w="599" w:type="pct"/>
            <w:tcBorders>
              <w:top w:val="nil"/>
              <w:left w:val="nil"/>
              <w:right w:val="nil"/>
            </w:tcBorders>
          </w:tcPr>
          <w:p w14:paraId="252D670F" w14:textId="77777777" w:rsidR="004414E0" w:rsidRDefault="004414E0" w:rsidP="00FF1150">
            <w:pPr>
              <w:pStyle w:val="af2"/>
            </w:pPr>
            <w:r>
              <w:t>.434</w:t>
            </w:r>
          </w:p>
        </w:tc>
        <w:tc>
          <w:tcPr>
            <w:tcW w:w="788" w:type="pct"/>
            <w:gridSpan w:val="2"/>
            <w:tcBorders>
              <w:top w:val="nil"/>
              <w:left w:val="nil"/>
              <w:right w:val="nil"/>
            </w:tcBorders>
          </w:tcPr>
          <w:p w14:paraId="59D7644B" w14:textId="77777777" w:rsidR="004414E0" w:rsidRDefault="004414E0" w:rsidP="00FF1150">
            <w:pPr>
              <w:pStyle w:val="af2"/>
            </w:pPr>
            <w:r>
              <w:t>-.15</w:t>
            </w:r>
          </w:p>
        </w:tc>
        <w:tc>
          <w:tcPr>
            <w:tcW w:w="658" w:type="pct"/>
            <w:tcBorders>
              <w:top w:val="nil"/>
              <w:left w:val="nil"/>
              <w:right w:val="nil"/>
            </w:tcBorders>
          </w:tcPr>
          <w:p w14:paraId="372F73C7" w14:textId="77777777" w:rsidR="004414E0" w:rsidRDefault="004414E0" w:rsidP="00FF1150">
            <w:pPr>
              <w:pStyle w:val="af2"/>
            </w:pPr>
            <w:r>
              <w:t>.341</w:t>
            </w:r>
          </w:p>
        </w:tc>
        <w:tc>
          <w:tcPr>
            <w:tcW w:w="380" w:type="pct"/>
            <w:tcBorders>
              <w:top w:val="nil"/>
              <w:left w:val="nil"/>
              <w:right w:val="nil"/>
            </w:tcBorders>
          </w:tcPr>
          <w:p w14:paraId="32796DAA" w14:textId="77777777" w:rsidR="004414E0" w:rsidRDefault="004414E0" w:rsidP="00FF1150">
            <w:pPr>
              <w:pStyle w:val="af2"/>
            </w:pPr>
          </w:p>
        </w:tc>
      </w:tr>
      <w:tr w:rsidR="004414E0" w14:paraId="5BE93FB3" w14:textId="77777777" w:rsidTr="005A06AA">
        <w:tc>
          <w:tcPr>
            <w:tcW w:w="865" w:type="pct"/>
            <w:tcBorders>
              <w:top w:val="nil"/>
              <w:left w:val="nil"/>
              <w:right w:val="nil"/>
            </w:tcBorders>
          </w:tcPr>
          <w:p w14:paraId="3F79DA8D" w14:textId="77777777" w:rsidR="004414E0" w:rsidRDefault="004414E0" w:rsidP="00FF1150">
            <w:pPr>
              <w:pStyle w:val="af2"/>
            </w:pPr>
            <w:r>
              <w:t>Bps</w:t>
            </w:r>
          </w:p>
        </w:tc>
        <w:tc>
          <w:tcPr>
            <w:tcW w:w="598" w:type="pct"/>
            <w:gridSpan w:val="2"/>
            <w:tcBorders>
              <w:top w:val="nil"/>
              <w:left w:val="nil"/>
              <w:right w:val="nil"/>
            </w:tcBorders>
          </w:tcPr>
          <w:p w14:paraId="40C22C76" w14:textId="77777777" w:rsidR="004414E0" w:rsidRDefault="004414E0" w:rsidP="00FF1150">
            <w:pPr>
              <w:pStyle w:val="af2"/>
            </w:pPr>
            <w:r>
              <w:t>-.009</w:t>
            </w:r>
          </w:p>
        </w:tc>
        <w:tc>
          <w:tcPr>
            <w:tcW w:w="541" w:type="pct"/>
            <w:tcBorders>
              <w:top w:val="nil"/>
              <w:left w:val="nil"/>
              <w:right w:val="nil"/>
            </w:tcBorders>
          </w:tcPr>
          <w:p w14:paraId="74309184" w14:textId="77777777" w:rsidR="004414E0" w:rsidRDefault="004414E0" w:rsidP="00FF1150">
            <w:pPr>
              <w:pStyle w:val="af2"/>
            </w:pPr>
            <w:r>
              <w:t>.008</w:t>
            </w:r>
          </w:p>
        </w:tc>
        <w:tc>
          <w:tcPr>
            <w:tcW w:w="571" w:type="pct"/>
            <w:gridSpan w:val="2"/>
            <w:tcBorders>
              <w:top w:val="nil"/>
              <w:left w:val="nil"/>
              <w:right w:val="nil"/>
            </w:tcBorders>
          </w:tcPr>
          <w:p w14:paraId="064B6F51" w14:textId="77777777" w:rsidR="004414E0" w:rsidRDefault="004414E0" w:rsidP="00FF1150">
            <w:pPr>
              <w:pStyle w:val="af2"/>
            </w:pPr>
            <w:r>
              <w:t>-1.13</w:t>
            </w:r>
          </w:p>
        </w:tc>
        <w:tc>
          <w:tcPr>
            <w:tcW w:w="599" w:type="pct"/>
            <w:tcBorders>
              <w:top w:val="nil"/>
              <w:left w:val="nil"/>
              <w:right w:val="nil"/>
            </w:tcBorders>
          </w:tcPr>
          <w:p w14:paraId="16FA1B5E" w14:textId="77777777" w:rsidR="004414E0" w:rsidRDefault="004414E0" w:rsidP="00FF1150">
            <w:pPr>
              <w:pStyle w:val="af2"/>
            </w:pPr>
            <w:r>
              <w:t>.266</w:t>
            </w:r>
          </w:p>
        </w:tc>
        <w:tc>
          <w:tcPr>
            <w:tcW w:w="788" w:type="pct"/>
            <w:gridSpan w:val="2"/>
            <w:tcBorders>
              <w:top w:val="nil"/>
              <w:left w:val="nil"/>
              <w:right w:val="nil"/>
            </w:tcBorders>
          </w:tcPr>
          <w:p w14:paraId="13F8ADAF" w14:textId="77777777" w:rsidR="004414E0" w:rsidRDefault="004414E0" w:rsidP="00FF1150">
            <w:pPr>
              <w:pStyle w:val="af2"/>
            </w:pPr>
            <w:r>
              <w:t>-.026</w:t>
            </w:r>
          </w:p>
        </w:tc>
        <w:tc>
          <w:tcPr>
            <w:tcW w:w="658" w:type="pct"/>
            <w:tcBorders>
              <w:top w:val="nil"/>
              <w:left w:val="nil"/>
              <w:right w:val="nil"/>
            </w:tcBorders>
          </w:tcPr>
          <w:p w14:paraId="462BBF75" w14:textId="77777777" w:rsidR="004414E0" w:rsidRDefault="004414E0" w:rsidP="00FF1150">
            <w:pPr>
              <w:pStyle w:val="af2"/>
            </w:pPr>
            <w:r>
              <w:t>.008</w:t>
            </w:r>
          </w:p>
        </w:tc>
        <w:tc>
          <w:tcPr>
            <w:tcW w:w="380" w:type="pct"/>
            <w:tcBorders>
              <w:top w:val="nil"/>
              <w:left w:val="nil"/>
              <w:right w:val="nil"/>
            </w:tcBorders>
          </w:tcPr>
          <w:p w14:paraId="175CBDC7" w14:textId="77777777" w:rsidR="004414E0" w:rsidRDefault="004414E0" w:rsidP="00FF1150">
            <w:pPr>
              <w:pStyle w:val="af2"/>
            </w:pPr>
          </w:p>
        </w:tc>
      </w:tr>
      <w:tr w:rsidR="004414E0" w14:paraId="6F679A66" w14:textId="77777777" w:rsidTr="005A06AA">
        <w:tc>
          <w:tcPr>
            <w:tcW w:w="865" w:type="pct"/>
            <w:tcBorders>
              <w:top w:val="nil"/>
              <w:left w:val="nil"/>
              <w:right w:val="nil"/>
            </w:tcBorders>
          </w:tcPr>
          <w:p w14:paraId="1E3DB003" w14:textId="77777777" w:rsidR="004414E0" w:rsidRDefault="004414E0" w:rsidP="00FF1150">
            <w:pPr>
              <w:pStyle w:val="af2"/>
            </w:pPr>
            <w:r>
              <w:t>Constant</w:t>
            </w:r>
          </w:p>
        </w:tc>
        <w:tc>
          <w:tcPr>
            <w:tcW w:w="598" w:type="pct"/>
            <w:gridSpan w:val="2"/>
            <w:tcBorders>
              <w:top w:val="nil"/>
              <w:left w:val="nil"/>
              <w:right w:val="nil"/>
            </w:tcBorders>
          </w:tcPr>
          <w:p w14:paraId="3F9631D7" w14:textId="77777777" w:rsidR="004414E0" w:rsidRDefault="004414E0" w:rsidP="00FF1150">
            <w:pPr>
              <w:pStyle w:val="af2"/>
            </w:pPr>
            <w:r>
              <w:t>-.337</w:t>
            </w:r>
          </w:p>
        </w:tc>
        <w:tc>
          <w:tcPr>
            <w:tcW w:w="541" w:type="pct"/>
            <w:tcBorders>
              <w:top w:val="nil"/>
              <w:left w:val="nil"/>
              <w:right w:val="nil"/>
            </w:tcBorders>
          </w:tcPr>
          <w:p w14:paraId="0002DB47" w14:textId="77777777" w:rsidR="004414E0" w:rsidRDefault="004414E0" w:rsidP="00FF1150">
            <w:pPr>
              <w:pStyle w:val="af2"/>
            </w:pPr>
            <w:r>
              <w:t>.505</w:t>
            </w:r>
          </w:p>
        </w:tc>
        <w:tc>
          <w:tcPr>
            <w:tcW w:w="571" w:type="pct"/>
            <w:gridSpan w:val="2"/>
            <w:tcBorders>
              <w:top w:val="nil"/>
              <w:left w:val="nil"/>
              <w:right w:val="nil"/>
            </w:tcBorders>
          </w:tcPr>
          <w:p w14:paraId="08A2E1ED" w14:textId="77777777" w:rsidR="004414E0" w:rsidRDefault="004414E0" w:rsidP="00FF1150">
            <w:pPr>
              <w:pStyle w:val="af2"/>
            </w:pPr>
            <w:r>
              <w:t>-0.67</w:t>
            </w:r>
          </w:p>
        </w:tc>
        <w:tc>
          <w:tcPr>
            <w:tcW w:w="599" w:type="pct"/>
            <w:tcBorders>
              <w:top w:val="nil"/>
              <w:left w:val="nil"/>
              <w:right w:val="nil"/>
            </w:tcBorders>
          </w:tcPr>
          <w:p w14:paraId="6BC1FE3D" w14:textId="77777777" w:rsidR="004414E0" w:rsidRDefault="004414E0" w:rsidP="00FF1150">
            <w:pPr>
              <w:pStyle w:val="af2"/>
            </w:pPr>
            <w:r>
              <w:t>.51</w:t>
            </w:r>
          </w:p>
        </w:tc>
        <w:tc>
          <w:tcPr>
            <w:tcW w:w="788" w:type="pct"/>
            <w:gridSpan w:val="2"/>
            <w:tcBorders>
              <w:top w:val="nil"/>
              <w:left w:val="nil"/>
              <w:right w:val="nil"/>
            </w:tcBorders>
          </w:tcPr>
          <w:p w14:paraId="0C435A3A" w14:textId="77777777" w:rsidR="004414E0" w:rsidRDefault="004414E0" w:rsidP="00FF1150">
            <w:pPr>
              <w:pStyle w:val="af2"/>
            </w:pPr>
            <w:r>
              <w:t>-1.367</w:t>
            </w:r>
          </w:p>
        </w:tc>
        <w:tc>
          <w:tcPr>
            <w:tcW w:w="658" w:type="pct"/>
            <w:tcBorders>
              <w:top w:val="nil"/>
              <w:left w:val="nil"/>
              <w:right w:val="nil"/>
            </w:tcBorders>
          </w:tcPr>
          <w:p w14:paraId="0EE92B61" w14:textId="77777777" w:rsidR="004414E0" w:rsidRDefault="004414E0" w:rsidP="00FF1150">
            <w:pPr>
              <w:pStyle w:val="af2"/>
            </w:pPr>
            <w:r>
              <w:t>.694</w:t>
            </w:r>
          </w:p>
        </w:tc>
        <w:tc>
          <w:tcPr>
            <w:tcW w:w="380" w:type="pct"/>
            <w:tcBorders>
              <w:top w:val="nil"/>
              <w:left w:val="nil"/>
              <w:right w:val="nil"/>
            </w:tcBorders>
          </w:tcPr>
          <w:p w14:paraId="2231E695" w14:textId="77777777" w:rsidR="004414E0" w:rsidRDefault="004414E0" w:rsidP="00FF1150">
            <w:pPr>
              <w:pStyle w:val="af2"/>
            </w:pPr>
          </w:p>
        </w:tc>
      </w:tr>
      <w:tr w:rsidR="004414E0" w14:paraId="73BF3095" w14:textId="77777777" w:rsidTr="005A06AA">
        <w:tc>
          <w:tcPr>
            <w:tcW w:w="1217" w:type="pct"/>
            <w:gridSpan w:val="2"/>
            <w:tcBorders>
              <w:left w:val="nil"/>
              <w:bottom w:val="nil"/>
              <w:right w:val="nil"/>
            </w:tcBorders>
          </w:tcPr>
          <w:p w14:paraId="55EF0C6B" w14:textId="77777777" w:rsidR="004414E0" w:rsidRDefault="004414E0" w:rsidP="00FF1150">
            <w:pPr>
              <w:pStyle w:val="af2"/>
            </w:pPr>
            <w:r>
              <w:t>Mean dependent var</w:t>
            </w:r>
          </w:p>
        </w:tc>
        <w:tc>
          <w:tcPr>
            <w:tcW w:w="1073" w:type="pct"/>
            <w:gridSpan w:val="3"/>
            <w:tcBorders>
              <w:left w:val="nil"/>
              <w:bottom w:val="nil"/>
              <w:right w:val="nil"/>
            </w:tcBorders>
          </w:tcPr>
          <w:p w14:paraId="4EBC5A95" w14:textId="77777777" w:rsidR="004414E0" w:rsidRDefault="004414E0" w:rsidP="00FF1150">
            <w:pPr>
              <w:pStyle w:val="af2"/>
            </w:pPr>
            <w:r>
              <w:t>-0.089</w:t>
            </w:r>
          </w:p>
        </w:tc>
        <w:tc>
          <w:tcPr>
            <w:tcW w:w="1279" w:type="pct"/>
            <w:gridSpan w:val="3"/>
            <w:tcBorders>
              <w:left w:val="nil"/>
              <w:bottom w:val="nil"/>
              <w:right w:val="nil"/>
            </w:tcBorders>
          </w:tcPr>
          <w:p w14:paraId="2AEBEDAE" w14:textId="77777777" w:rsidR="004414E0" w:rsidRDefault="004414E0" w:rsidP="00FF1150">
            <w:pPr>
              <w:pStyle w:val="af2"/>
            </w:pPr>
            <w:r>
              <w:t xml:space="preserve">SD dependent var </w:t>
            </w:r>
          </w:p>
        </w:tc>
        <w:tc>
          <w:tcPr>
            <w:tcW w:w="1431" w:type="pct"/>
            <w:gridSpan w:val="3"/>
            <w:tcBorders>
              <w:left w:val="nil"/>
              <w:bottom w:val="nil"/>
              <w:right w:val="nil"/>
            </w:tcBorders>
          </w:tcPr>
          <w:p w14:paraId="380A071A" w14:textId="77777777" w:rsidR="004414E0" w:rsidRDefault="004414E0" w:rsidP="00FF1150">
            <w:pPr>
              <w:pStyle w:val="af2"/>
            </w:pPr>
            <w:r>
              <w:t>0.112</w:t>
            </w:r>
          </w:p>
        </w:tc>
      </w:tr>
      <w:tr w:rsidR="004414E0" w14:paraId="08E801E2" w14:textId="77777777" w:rsidTr="00952E45">
        <w:tc>
          <w:tcPr>
            <w:tcW w:w="1217" w:type="pct"/>
            <w:gridSpan w:val="2"/>
            <w:tcBorders>
              <w:top w:val="nil"/>
              <w:left w:val="nil"/>
              <w:bottom w:val="nil"/>
              <w:right w:val="nil"/>
            </w:tcBorders>
          </w:tcPr>
          <w:p w14:paraId="08B7B08E" w14:textId="43D3312A" w:rsidR="004414E0" w:rsidRDefault="00E9412D" w:rsidP="00FF1150">
            <w:pPr>
              <w:pStyle w:val="af2"/>
            </w:pPr>
            <w:r>
              <w:t xml:space="preserve"> </w:t>
            </w:r>
            <w:r w:rsidR="004414E0">
              <w:t xml:space="preserve">R-squared </w:t>
            </w:r>
          </w:p>
        </w:tc>
        <w:tc>
          <w:tcPr>
            <w:tcW w:w="1073" w:type="pct"/>
            <w:gridSpan w:val="3"/>
            <w:tcBorders>
              <w:top w:val="nil"/>
              <w:left w:val="nil"/>
              <w:bottom w:val="nil"/>
              <w:right w:val="nil"/>
            </w:tcBorders>
          </w:tcPr>
          <w:p w14:paraId="09FCE4C5" w14:textId="77777777" w:rsidR="004414E0" w:rsidRDefault="004414E0" w:rsidP="00FF1150">
            <w:pPr>
              <w:pStyle w:val="af2"/>
            </w:pPr>
            <w:r>
              <w:t>0.078</w:t>
            </w:r>
          </w:p>
        </w:tc>
        <w:tc>
          <w:tcPr>
            <w:tcW w:w="1279" w:type="pct"/>
            <w:gridSpan w:val="3"/>
            <w:tcBorders>
              <w:top w:val="nil"/>
              <w:left w:val="nil"/>
              <w:bottom w:val="nil"/>
              <w:right w:val="nil"/>
            </w:tcBorders>
          </w:tcPr>
          <w:p w14:paraId="45E12159" w14:textId="77777777" w:rsidR="004414E0" w:rsidRDefault="004414E0" w:rsidP="00FF1150">
            <w:pPr>
              <w:pStyle w:val="af2"/>
            </w:pPr>
            <w:r>
              <w:t xml:space="preserve">Number of </w:t>
            </w:r>
            <w:proofErr w:type="spellStart"/>
            <w:r>
              <w:t>obs</w:t>
            </w:r>
            <w:proofErr w:type="spellEnd"/>
            <w:r>
              <w:t xml:space="preserve">  </w:t>
            </w:r>
          </w:p>
        </w:tc>
        <w:tc>
          <w:tcPr>
            <w:tcW w:w="1431" w:type="pct"/>
            <w:gridSpan w:val="3"/>
            <w:tcBorders>
              <w:top w:val="nil"/>
              <w:left w:val="nil"/>
              <w:bottom w:val="nil"/>
              <w:right w:val="nil"/>
            </w:tcBorders>
          </w:tcPr>
          <w:p w14:paraId="68C92D9E" w14:textId="77777777" w:rsidR="004414E0" w:rsidRDefault="004414E0" w:rsidP="00FF1150">
            <w:pPr>
              <w:pStyle w:val="af2"/>
            </w:pPr>
            <w:r>
              <w:t>36</w:t>
            </w:r>
          </w:p>
        </w:tc>
      </w:tr>
      <w:tr w:rsidR="004414E0" w14:paraId="46879257" w14:textId="77777777" w:rsidTr="00952E45">
        <w:tc>
          <w:tcPr>
            <w:tcW w:w="1217" w:type="pct"/>
            <w:gridSpan w:val="2"/>
            <w:tcBorders>
              <w:top w:val="nil"/>
              <w:left w:val="nil"/>
              <w:bottom w:val="nil"/>
              <w:right w:val="nil"/>
            </w:tcBorders>
          </w:tcPr>
          <w:p w14:paraId="479CFBC4" w14:textId="77777777" w:rsidR="004414E0" w:rsidRDefault="004414E0" w:rsidP="00FF1150">
            <w:pPr>
              <w:pStyle w:val="af2"/>
            </w:pPr>
            <w:r>
              <w:t xml:space="preserve">F-test  </w:t>
            </w:r>
          </w:p>
        </w:tc>
        <w:tc>
          <w:tcPr>
            <w:tcW w:w="1073" w:type="pct"/>
            <w:gridSpan w:val="3"/>
            <w:tcBorders>
              <w:top w:val="nil"/>
              <w:left w:val="nil"/>
              <w:bottom w:val="nil"/>
              <w:right w:val="nil"/>
            </w:tcBorders>
          </w:tcPr>
          <w:p w14:paraId="6C735EAC" w14:textId="77777777" w:rsidR="004414E0" w:rsidRDefault="004414E0" w:rsidP="00FF1150">
            <w:pPr>
              <w:pStyle w:val="af2"/>
            </w:pPr>
            <w:r>
              <w:t>0.509</w:t>
            </w:r>
          </w:p>
        </w:tc>
        <w:tc>
          <w:tcPr>
            <w:tcW w:w="1279" w:type="pct"/>
            <w:gridSpan w:val="3"/>
            <w:tcBorders>
              <w:top w:val="nil"/>
              <w:left w:val="nil"/>
              <w:bottom w:val="nil"/>
              <w:right w:val="nil"/>
            </w:tcBorders>
          </w:tcPr>
          <w:p w14:paraId="2103EFD6" w14:textId="77777777" w:rsidR="004414E0" w:rsidRDefault="004414E0" w:rsidP="00FF1150">
            <w:pPr>
              <w:pStyle w:val="af2"/>
            </w:pPr>
            <w:r>
              <w:t xml:space="preserve">Prob &gt; F </w:t>
            </w:r>
          </w:p>
        </w:tc>
        <w:tc>
          <w:tcPr>
            <w:tcW w:w="1431" w:type="pct"/>
            <w:gridSpan w:val="3"/>
            <w:tcBorders>
              <w:top w:val="nil"/>
              <w:left w:val="nil"/>
              <w:bottom w:val="nil"/>
              <w:right w:val="nil"/>
            </w:tcBorders>
          </w:tcPr>
          <w:p w14:paraId="2F14A841" w14:textId="77777777" w:rsidR="004414E0" w:rsidRDefault="004414E0" w:rsidP="00FF1150">
            <w:pPr>
              <w:pStyle w:val="af2"/>
            </w:pPr>
            <w:r>
              <w:t>0.767</w:t>
            </w:r>
          </w:p>
        </w:tc>
      </w:tr>
      <w:tr w:rsidR="004414E0" w14:paraId="18F406C5" w14:textId="77777777" w:rsidTr="00952E45">
        <w:tc>
          <w:tcPr>
            <w:tcW w:w="1217" w:type="pct"/>
            <w:gridSpan w:val="2"/>
            <w:tcBorders>
              <w:top w:val="nil"/>
              <w:left w:val="nil"/>
              <w:bottom w:val="nil"/>
              <w:right w:val="nil"/>
            </w:tcBorders>
          </w:tcPr>
          <w:p w14:paraId="5A05ED71" w14:textId="77777777" w:rsidR="004414E0" w:rsidRDefault="004414E0" w:rsidP="00FF1150">
            <w:pPr>
              <w:pStyle w:val="af2"/>
            </w:pPr>
            <w:r>
              <w:t>Akaike crit. (AIC)</w:t>
            </w:r>
          </w:p>
        </w:tc>
        <w:tc>
          <w:tcPr>
            <w:tcW w:w="1073" w:type="pct"/>
            <w:gridSpan w:val="3"/>
            <w:tcBorders>
              <w:top w:val="nil"/>
              <w:left w:val="nil"/>
              <w:bottom w:val="nil"/>
              <w:right w:val="nil"/>
            </w:tcBorders>
          </w:tcPr>
          <w:p w14:paraId="30730016" w14:textId="77777777" w:rsidR="004414E0" w:rsidRDefault="004414E0" w:rsidP="00FF1150">
            <w:pPr>
              <w:pStyle w:val="af2"/>
            </w:pPr>
            <w:r>
              <w:t>-47.607</w:t>
            </w:r>
          </w:p>
        </w:tc>
        <w:tc>
          <w:tcPr>
            <w:tcW w:w="1279" w:type="pct"/>
            <w:gridSpan w:val="3"/>
            <w:tcBorders>
              <w:top w:val="nil"/>
              <w:left w:val="nil"/>
              <w:bottom w:val="nil"/>
              <w:right w:val="nil"/>
            </w:tcBorders>
          </w:tcPr>
          <w:p w14:paraId="46D72562" w14:textId="77777777" w:rsidR="004414E0" w:rsidRDefault="004414E0" w:rsidP="00FF1150">
            <w:pPr>
              <w:pStyle w:val="af2"/>
            </w:pPr>
            <w:r>
              <w:t>Bayesian crit. (BIC)</w:t>
            </w:r>
          </w:p>
        </w:tc>
        <w:tc>
          <w:tcPr>
            <w:tcW w:w="1431" w:type="pct"/>
            <w:gridSpan w:val="3"/>
            <w:tcBorders>
              <w:top w:val="nil"/>
              <w:left w:val="nil"/>
              <w:bottom w:val="nil"/>
              <w:right w:val="nil"/>
            </w:tcBorders>
          </w:tcPr>
          <w:p w14:paraId="46C1EED4" w14:textId="77777777" w:rsidR="004414E0" w:rsidRDefault="004414E0" w:rsidP="00FF1150">
            <w:pPr>
              <w:pStyle w:val="af2"/>
            </w:pPr>
            <w:r>
              <w:t>-38.106</w:t>
            </w:r>
          </w:p>
        </w:tc>
      </w:tr>
      <w:tr w:rsidR="004414E0" w14:paraId="66BF491E" w14:textId="77777777" w:rsidTr="004414E0">
        <w:tc>
          <w:tcPr>
            <w:tcW w:w="5000" w:type="pct"/>
            <w:gridSpan w:val="11"/>
            <w:tcBorders>
              <w:top w:val="single" w:sz="12" w:space="0" w:color="auto"/>
              <w:left w:val="nil"/>
              <w:bottom w:val="nil"/>
              <w:right w:val="nil"/>
            </w:tcBorders>
          </w:tcPr>
          <w:p w14:paraId="0BB2D5C3" w14:textId="0CED7DE7" w:rsidR="004414E0" w:rsidRPr="005217B0" w:rsidRDefault="005217B0" w:rsidP="005217B0">
            <w:pPr>
              <w:pStyle w:val="af2"/>
            </w:pPr>
            <w:r w:rsidRPr="005217B0">
              <w:t>*** p&lt;.01, ** p&lt;.05, * p&lt;.1</w:t>
            </w:r>
          </w:p>
        </w:tc>
      </w:tr>
    </w:tbl>
    <w:p w14:paraId="77608E7C" w14:textId="752D3F4C" w:rsidR="00FB2129" w:rsidRDefault="00FB2129" w:rsidP="008150ED">
      <w:pPr>
        <w:ind w:right="960"/>
      </w:pPr>
    </w:p>
    <w:p w14:paraId="2B11ED91" w14:textId="77777777" w:rsidR="00FB2129" w:rsidRDefault="00FB2129" w:rsidP="00FB2129">
      <w:pPr>
        <w:ind w:firstLineChars="200" w:firstLine="480"/>
      </w:pPr>
      <w:r>
        <w:rPr>
          <w:rFonts w:hint="eastAsia"/>
        </w:rPr>
        <w:t>为了检验假设四：公司盈余管理水平的不同，会使独立董事辞职行为对相关公司价值变动造成不同的影响，我们将薪酬管理水平</w:t>
      </w:r>
      <w:r>
        <w:t>DA</w:t>
      </w:r>
      <w:r>
        <w:rPr>
          <w:rFonts w:hint="eastAsia"/>
        </w:rPr>
        <w:t>作为解释变量，并与控制变量托宾</w:t>
      </w:r>
      <w:r>
        <w:rPr>
          <w:rFonts w:hint="eastAsia"/>
        </w:rPr>
        <w:t>Q</w:t>
      </w:r>
      <w:r>
        <w:rPr>
          <w:rFonts w:hint="eastAsia"/>
        </w:rPr>
        <w:t>值（</w:t>
      </w:r>
      <w:proofErr w:type="spellStart"/>
      <w:r>
        <w:rPr>
          <w:rFonts w:hint="eastAsia"/>
        </w:rPr>
        <w:t>t</w:t>
      </w:r>
      <w:r>
        <w:t>bq</w:t>
      </w:r>
      <w:proofErr w:type="spellEnd"/>
      <w:r>
        <w:rPr>
          <w:rFonts w:hint="eastAsia"/>
        </w:rPr>
        <w:t>），企业规模（</w:t>
      </w:r>
      <w:r>
        <w:rPr>
          <w:rFonts w:hint="eastAsia"/>
        </w:rPr>
        <w:t>s</w:t>
      </w:r>
      <w:r>
        <w:t>ize</w:t>
      </w:r>
      <w:r>
        <w:rPr>
          <w:rFonts w:hint="eastAsia"/>
        </w:rPr>
        <w:t>），资产负债率（</w:t>
      </w:r>
      <w:r>
        <w:rPr>
          <w:rFonts w:hint="eastAsia"/>
        </w:rPr>
        <w:t>lev</w:t>
      </w:r>
      <w:r>
        <w:rPr>
          <w:rFonts w:hint="eastAsia"/>
        </w:rPr>
        <w:t>）</w:t>
      </w:r>
      <w:r>
        <w:rPr>
          <w:rFonts w:hint="eastAsia"/>
        </w:rPr>
        <w:t>,</w:t>
      </w:r>
      <w:r>
        <w:rPr>
          <w:rFonts w:hint="eastAsia"/>
        </w:rPr>
        <w:t>每股负债（</w:t>
      </w:r>
      <w:r>
        <w:rPr>
          <w:rFonts w:hint="eastAsia"/>
        </w:rPr>
        <w:t>b</w:t>
      </w:r>
      <w:r>
        <w:t>ps</w:t>
      </w:r>
      <w:r>
        <w:rPr>
          <w:rFonts w:hint="eastAsia"/>
        </w:rPr>
        <w:t>）一同进行回归分析。</w:t>
      </w:r>
    </w:p>
    <w:p w14:paraId="79FCF8C3" w14:textId="173B6895" w:rsidR="005217B0" w:rsidRPr="00FB2129" w:rsidRDefault="00FB2129" w:rsidP="00991D63">
      <w:pPr>
        <w:ind w:firstLineChars="200" w:firstLine="480"/>
      </w:pPr>
      <w:r>
        <w:rPr>
          <w:rFonts w:hint="eastAsia"/>
        </w:rPr>
        <w:t>从表格</w:t>
      </w:r>
      <w:r>
        <w:rPr>
          <w:rFonts w:hint="eastAsia"/>
        </w:rPr>
        <w:t>4</w:t>
      </w:r>
      <w:r>
        <w:t>-9</w:t>
      </w:r>
      <w:r>
        <w:rPr>
          <w:rFonts w:hint="eastAsia"/>
        </w:rPr>
        <w:t>中，我们可以发现盈余管理水平</w:t>
      </w:r>
      <w:r>
        <w:rPr>
          <w:rFonts w:hint="eastAsia"/>
        </w:rPr>
        <w:t>D</w:t>
      </w:r>
      <w:r>
        <w:t>A</w:t>
      </w:r>
      <w:r>
        <w:rPr>
          <w:rFonts w:hint="eastAsia"/>
        </w:rPr>
        <w:t>对累积异常收益率的回归系数为</w:t>
      </w:r>
      <w:r>
        <w:rPr>
          <w:rFonts w:hint="eastAsia"/>
        </w:rPr>
        <w:t>0</w:t>
      </w:r>
      <w:r>
        <w:t>.074</w:t>
      </w:r>
      <w:r>
        <w:rPr>
          <w:rFonts w:hint="eastAsia"/>
        </w:rPr>
        <w:t>，即盈余管理水平</w:t>
      </w:r>
      <w:r>
        <w:rPr>
          <w:rFonts w:hint="eastAsia"/>
        </w:rPr>
        <w:t>D</w:t>
      </w:r>
      <w:r>
        <w:t>A</w:t>
      </w:r>
      <w:r>
        <w:rPr>
          <w:rFonts w:hint="eastAsia"/>
        </w:rPr>
        <w:t>与公司累积异常收益率呈正向相关关系，这与我们提出的假设四相符合。</w:t>
      </w:r>
    </w:p>
    <w:p w14:paraId="65FC915A" w14:textId="7BAD3A99" w:rsidR="001801E4" w:rsidRDefault="007308BA" w:rsidP="007308BA">
      <w:pPr>
        <w:pStyle w:val="2"/>
        <w:spacing w:before="163" w:after="163"/>
      </w:pPr>
      <w:bookmarkStart w:id="44" w:name="_Toc104938612"/>
      <w:r>
        <w:rPr>
          <w:rFonts w:hint="eastAsia"/>
        </w:rPr>
        <w:t>实证研究小结</w:t>
      </w:r>
      <w:bookmarkEnd w:id="44"/>
    </w:p>
    <w:p w14:paraId="15DFCFCC" w14:textId="339F1E8F" w:rsidR="001801E4" w:rsidRDefault="007308BA" w:rsidP="0006512E">
      <w:pPr>
        <w:ind w:firstLineChars="200" w:firstLine="480"/>
      </w:pPr>
      <w:r>
        <w:rPr>
          <w:rFonts w:hint="eastAsia"/>
        </w:rPr>
        <w:t>在实证研究部分</w:t>
      </w:r>
      <w:r w:rsidR="007E12A3">
        <w:rPr>
          <w:rFonts w:hint="eastAsia"/>
        </w:rPr>
        <w:t>，我们首先</w:t>
      </w:r>
      <w:r w:rsidR="0006512E">
        <w:rPr>
          <w:rFonts w:hint="eastAsia"/>
        </w:rPr>
        <w:t>检验了假设</w:t>
      </w:r>
      <w:proofErr w:type="gramStart"/>
      <w:r w:rsidR="0006512E">
        <w:rPr>
          <w:rFonts w:hint="eastAsia"/>
        </w:rPr>
        <w:t>一</w:t>
      </w:r>
      <w:proofErr w:type="gramEnd"/>
      <w:r w:rsidR="0006512E">
        <w:rPr>
          <w:rFonts w:hint="eastAsia"/>
        </w:rPr>
        <w:t>：独立董事辞职事件会对相关公司价值造成负面影响。为了体现结论的准确性，我们设置了</w:t>
      </w:r>
      <w:r w:rsidR="006054EB">
        <w:rPr>
          <w:rFonts w:hint="eastAsia"/>
        </w:rPr>
        <w:t>（</w:t>
      </w:r>
      <w:r w:rsidR="006054EB">
        <w:rPr>
          <w:rFonts w:hint="eastAsia"/>
        </w:rPr>
        <w:t>-</w:t>
      </w:r>
      <w:r w:rsidR="006054EB">
        <w:t>1</w:t>
      </w:r>
      <w:r w:rsidR="006054EB">
        <w:rPr>
          <w:rFonts w:hint="eastAsia"/>
        </w:rPr>
        <w:t>，</w:t>
      </w:r>
      <w:r w:rsidR="006054EB">
        <w:rPr>
          <w:rFonts w:hint="eastAsia"/>
        </w:rPr>
        <w:t>1</w:t>
      </w:r>
      <w:r w:rsidR="006054EB">
        <w:rPr>
          <w:rFonts w:hint="eastAsia"/>
        </w:rPr>
        <w:t>），（</w:t>
      </w:r>
      <w:r w:rsidR="006054EB">
        <w:t>-2</w:t>
      </w:r>
      <w:r w:rsidR="006054EB">
        <w:rPr>
          <w:rFonts w:hint="eastAsia"/>
        </w:rPr>
        <w:t>，</w:t>
      </w:r>
      <w:r w:rsidR="006054EB">
        <w:rPr>
          <w:rFonts w:hint="eastAsia"/>
        </w:rPr>
        <w:t>2</w:t>
      </w:r>
      <w:r w:rsidR="006054EB">
        <w:rPr>
          <w:rFonts w:hint="eastAsia"/>
        </w:rPr>
        <w:t>），（</w:t>
      </w:r>
      <w:r w:rsidR="006054EB">
        <w:rPr>
          <w:rFonts w:hint="eastAsia"/>
        </w:rPr>
        <w:t>-</w:t>
      </w:r>
      <w:r w:rsidR="006054EB">
        <w:t>3</w:t>
      </w:r>
      <w:r w:rsidR="006054EB">
        <w:rPr>
          <w:rFonts w:hint="eastAsia"/>
        </w:rPr>
        <w:t>，</w:t>
      </w:r>
      <w:r w:rsidR="006054EB">
        <w:rPr>
          <w:rFonts w:hint="eastAsia"/>
        </w:rPr>
        <w:t>3</w:t>
      </w:r>
      <w:r w:rsidR="006054EB">
        <w:rPr>
          <w:rFonts w:hint="eastAsia"/>
        </w:rPr>
        <w:t>），（</w:t>
      </w:r>
      <w:r w:rsidR="006054EB">
        <w:rPr>
          <w:rFonts w:hint="eastAsia"/>
        </w:rPr>
        <w:t>-</w:t>
      </w:r>
      <w:r w:rsidR="006054EB">
        <w:t>4</w:t>
      </w:r>
      <w:r w:rsidR="006054EB">
        <w:rPr>
          <w:rFonts w:hint="eastAsia"/>
        </w:rPr>
        <w:t>，</w:t>
      </w:r>
      <w:r w:rsidR="006054EB">
        <w:rPr>
          <w:rFonts w:hint="eastAsia"/>
        </w:rPr>
        <w:t>4</w:t>
      </w:r>
      <w:r w:rsidR="006054EB">
        <w:rPr>
          <w:rFonts w:hint="eastAsia"/>
        </w:rPr>
        <w:t>），（</w:t>
      </w:r>
      <w:r w:rsidR="006054EB">
        <w:rPr>
          <w:rFonts w:hint="eastAsia"/>
        </w:rPr>
        <w:t>-</w:t>
      </w:r>
      <w:r w:rsidR="006054EB">
        <w:t>5</w:t>
      </w:r>
      <w:r w:rsidR="006054EB">
        <w:rPr>
          <w:rFonts w:hint="eastAsia"/>
        </w:rPr>
        <w:t>，</w:t>
      </w:r>
      <w:r w:rsidR="006054EB">
        <w:rPr>
          <w:rFonts w:hint="eastAsia"/>
        </w:rPr>
        <w:t>5</w:t>
      </w:r>
      <w:r w:rsidR="006054EB">
        <w:rPr>
          <w:rFonts w:hint="eastAsia"/>
        </w:rPr>
        <w:t>），（</w:t>
      </w:r>
      <w:r w:rsidR="006054EB">
        <w:rPr>
          <w:rFonts w:hint="eastAsia"/>
        </w:rPr>
        <w:t>-</w:t>
      </w:r>
      <w:r w:rsidR="006054EB">
        <w:t>8</w:t>
      </w:r>
      <w:r w:rsidR="006054EB">
        <w:rPr>
          <w:rFonts w:hint="eastAsia"/>
        </w:rPr>
        <w:t>，</w:t>
      </w:r>
      <w:r w:rsidR="006054EB">
        <w:rPr>
          <w:rFonts w:hint="eastAsia"/>
        </w:rPr>
        <w:t>8</w:t>
      </w:r>
      <w:r w:rsidR="006054EB">
        <w:rPr>
          <w:rFonts w:hint="eastAsia"/>
        </w:rPr>
        <w:t>），（</w:t>
      </w:r>
      <w:r w:rsidR="006054EB">
        <w:rPr>
          <w:rFonts w:hint="eastAsia"/>
        </w:rPr>
        <w:t>-</w:t>
      </w:r>
      <w:r w:rsidR="006054EB">
        <w:t>10</w:t>
      </w:r>
      <w:r w:rsidR="006054EB">
        <w:rPr>
          <w:rFonts w:hint="eastAsia"/>
        </w:rPr>
        <w:t>，</w:t>
      </w:r>
      <w:r w:rsidR="006054EB">
        <w:rPr>
          <w:rFonts w:hint="eastAsia"/>
        </w:rPr>
        <w:t>1</w:t>
      </w:r>
      <w:r w:rsidR="006054EB">
        <w:t>0</w:t>
      </w:r>
      <w:r w:rsidR="006054EB">
        <w:rPr>
          <w:rFonts w:hint="eastAsia"/>
        </w:rPr>
        <w:t>）七组事件窗口期，进行数据分析并进行显著性检验，其中（</w:t>
      </w:r>
      <w:r w:rsidR="006054EB">
        <w:rPr>
          <w:rFonts w:hint="eastAsia"/>
        </w:rPr>
        <w:t>-</w:t>
      </w:r>
      <w:r w:rsidR="006054EB">
        <w:t>8</w:t>
      </w:r>
      <w:r w:rsidR="006054EB">
        <w:rPr>
          <w:rFonts w:hint="eastAsia"/>
        </w:rPr>
        <w:t>，</w:t>
      </w:r>
      <w:r w:rsidR="006054EB">
        <w:rPr>
          <w:rFonts w:hint="eastAsia"/>
        </w:rPr>
        <w:t>-</w:t>
      </w:r>
      <w:r w:rsidR="006054EB">
        <w:t>8</w:t>
      </w:r>
      <w:r w:rsidR="006054EB">
        <w:rPr>
          <w:rFonts w:hint="eastAsia"/>
        </w:rPr>
        <w:t>），（</w:t>
      </w:r>
      <w:r w:rsidR="006054EB">
        <w:rPr>
          <w:rFonts w:hint="eastAsia"/>
        </w:rPr>
        <w:t>-</w:t>
      </w:r>
      <w:r w:rsidR="006054EB">
        <w:t>10</w:t>
      </w:r>
      <w:r w:rsidR="006054EB">
        <w:rPr>
          <w:rFonts w:hint="eastAsia"/>
        </w:rPr>
        <w:t>，</w:t>
      </w:r>
      <w:r w:rsidR="006054EB">
        <w:rPr>
          <w:rFonts w:hint="eastAsia"/>
        </w:rPr>
        <w:t>1</w:t>
      </w:r>
      <w:r w:rsidR="006054EB">
        <w:t>0</w:t>
      </w:r>
      <w:r w:rsidR="006054EB">
        <w:rPr>
          <w:rFonts w:hint="eastAsia"/>
        </w:rPr>
        <w:t>）两组事件窗口期</w:t>
      </w:r>
      <w:r w:rsidR="006054EB">
        <w:rPr>
          <w:rFonts w:hint="eastAsia"/>
        </w:rPr>
        <w:lastRenderedPageBreak/>
        <w:t>内的累积平均异常收益率分别为</w:t>
      </w:r>
      <w:r w:rsidR="006054EB">
        <w:rPr>
          <w:rFonts w:hint="eastAsia"/>
        </w:rPr>
        <w:t>-</w:t>
      </w:r>
      <w:r w:rsidR="006054EB">
        <w:t>0.05596</w:t>
      </w:r>
      <w:r w:rsidR="006054EB">
        <w:rPr>
          <w:rFonts w:hint="eastAsia"/>
        </w:rPr>
        <w:t>，</w:t>
      </w:r>
      <w:r w:rsidR="006054EB">
        <w:rPr>
          <w:rFonts w:hint="eastAsia"/>
        </w:rPr>
        <w:t>-</w:t>
      </w:r>
      <w:r w:rsidR="006054EB">
        <w:t>0.06666</w:t>
      </w:r>
      <w:r w:rsidR="006054EB">
        <w:rPr>
          <w:rFonts w:hint="eastAsia"/>
        </w:rPr>
        <w:t>，且两组累积平均异常收益率均在</w:t>
      </w:r>
      <w:r w:rsidR="00905B35">
        <w:t>5</w:t>
      </w:r>
      <w:r w:rsidR="006054EB">
        <w:t>%</w:t>
      </w:r>
      <w:r w:rsidR="006054EB">
        <w:rPr>
          <w:rFonts w:hint="eastAsia"/>
        </w:rPr>
        <w:t>置信水平上显著。</w:t>
      </w:r>
    </w:p>
    <w:p w14:paraId="0752901B" w14:textId="64C3AFEE" w:rsidR="006054EB" w:rsidRDefault="006054EB" w:rsidP="0006512E">
      <w:pPr>
        <w:ind w:firstLineChars="200" w:firstLine="480"/>
      </w:pPr>
      <w:r>
        <w:rPr>
          <w:rFonts w:hint="eastAsia"/>
        </w:rPr>
        <w:t>为了进一步</w:t>
      </w:r>
      <w:r w:rsidR="007D5899">
        <w:rPr>
          <w:rFonts w:hint="eastAsia"/>
        </w:rPr>
        <w:t>分析窗口期内累积异常收益率的变动和影响，我们选取事件窗口期（</w:t>
      </w:r>
      <w:r w:rsidR="007D5899">
        <w:rPr>
          <w:rFonts w:hint="eastAsia"/>
        </w:rPr>
        <w:t>-</w:t>
      </w:r>
      <w:r w:rsidR="007D5899">
        <w:t>10</w:t>
      </w:r>
      <w:r w:rsidR="007D5899">
        <w:rPr>
          <w:rFonts w:hint="eastAsia"/>
        </w:rPr>
        <w:t>，</w:t>
      </w:r>
      <w:r w:rsidR="007D5899">
        <w:rPr>
          <w:rFonts w:hint="eastAsia"/>
        </w:rPr>
        <w:t>1</w:t>
      </w:r>
      <w:r w:rsidR="007D5899">
        <w:t>0</w:t>
      </w:r>
      <w:r w:rsidR="007D5899">
        <w:rPr>
          <w:rFonts w:hint="eastAsia"/>
        </w:rPr>
        <w:t>）前后二十天作为研究对象，以天为单位，将事件窗口</w:t>
      </w:r>
      <w:proofErr w:type="gramStart"/>
      <w:r w:rsidR="007D5899">
        <w:rPr>
          <w:rFonts w:hint="eastAsia"/>
        </w:rPr>
        <w:t>期分为</w:t>
      </w:r>
      <w:proofErr w:type="gramEnd"/>
      <w:r w:rsidR="0053780F">
        <w:rPr>
          <w:rFonts w:hint="eastAsia"/>
        </w:rPr>
        <w:t>2</w:t>
      </w:r>
      <w:r w:rsidR="0053780F">
        <w:t>0</w:t>
      </w:r>
      <w:r w:rsidR="0053780F">
        <w:rPr>
          <w:rFonts w:hint="eastAsia"/>
        </w:rPr>
        <w:t>个研究区间。其中</w:t>
      </w:r>
      <w:r w:rsidR="0053780F">
        <w:rPr>
          <w:rFonts w:hint="eastAsia"/>
        </w:rPr>
        <w:t>2</w:t>
      </w:r>
      <w:r w:rsidR="0053780F">
        <w:t>0</w:t>
      </w:r>
      <w:r w:rsidR="0053780F">
        <w:rPr>
          <w:rFonts w:hint="eastAsia"/>
        </w:rPr>
        <w:t>个研究区间内的累积平均异常收益率均为负，其中</w:t>
      </w:r>
      <w:r w:rsidR="0053780F">
        <w:t>1</w:t>
      </w:r>
      <w:r w:rsidR="0053780F">
        <w:rPr>
          <w:rFonts w:hint="eastAsia"/>
        </w:rPr>
        <w:t>个研究区间在</w:t>
      </w:r>
      <w:r w:rsidR="00905B35">
        <w:t>10</w:t>
      </w:r>
      <w:r w:rsidR="0053780F">
        <w:t>%</w:t>
      </w:r>
      <w:r w:rsidR="0053780F">
        <w:rPr>
          <w:rFonts w:hint="eastAsia"/>
        </w:rPr>
        <w:t>置信水平上显著，</w:t>
      </w:r>
      <w:r w:rsidR="0053780F">
        <w:rPr>
          <w:rFonts w:hint="eastAsia"/>
        </w:rPr>
        <w:t>1</w:t>
      </w:r>
      <w:r w:rsidR="0053780F">
        <w:rPr>
          <w:rFonts w:hint="eastAsia"/>
        </w:rPr>
        <w:t>个研究区间在</w:t>
      </w:r>
      <w:r w:rsidR="0053780F">
        <w:t>1%</w:t>
      </w:r>
      <w:r w:rsidR="0053780F">
        <w:rPr>
          <w:rFonts w:hint="eastAsia"/>
        </w:rPr>
        <w:t>置信水平上显著，</w:t>
      </w:r>
      <w:r w:rsidR="0053780F">
        <w:rPr>
          <w:rFonts w:hint="eastAsia"/>
        </w:rPr>
        <w:t>1</w:t>
      </w:r>
      <w:r w:rsidR="0053780F">
        <w:t>8</w:t>
      </w:r>
      <w:r w:rsidR="0053780F">
        <w:rPr>
          <w:rFonts w:hint="eastAsia"/>
        </w:rPr>
        <w:t>个研究区间在</w:t>
      </w:r>
      <w:r w:rsidR="00905B35">
        <w:rPr>
          <w:rFonts w:hint="eastAsia"/>
        </w:rPr>
        <w:t>5</w:t>
      </w:r>
      <w:r w:rsidR="0053780F">
        <w:t>%</w:t>
      </w:r>
      <w:r w:rsidR="0053780F">
        <w:rPr>
          <w:rFonts w:hint="eastAsia"/>
        </w:rPr>
        <w:t>置信水平上显著。</w:t>
      </w:r>
    </w:p>
    <w:p w14:paraId="7BFDACB9" w14:textId="74E97EEA" w:rsidR="00E6749D" w:rsidRDefault="00E6749D" w:rsidP="0006512E">
      <w:pPr>
        <w:ind w:firstLineChars="200" w:firstLine="480"/>
      </w:pPr>
      <w:r>
        <w:rPr>
          <w:rFonts w:hint="eastAsia"/>
        </w:rPr>
        <w:t>为了检验假设二：独立董事自身学历水平与公司价值变动（累积异常收益率）呈正相关关系</w:t>
      </w:r>
      <w:r w:rsidR="00A8499F">
        <w:rPr>
          <w:rFonts w:hint="eastAsia"/>
        </w:rPr>
        <w:t>。我们以独立董事自身学历水平</w:t>
      </w:r>
      <w:r w:rsidR="00A8499F">
        <w:t>degree</w:t>
      </w:r>
      <w:r w:rsidR="00A8499F">
        <w:rPr>
          <w:rFonts w:hint="eastAsia"/>
        </w:rPr>
        <w:t>作为解释变量进行回归，得到学历水平的回归系数</w:t>
      </w:r>
      <w:r w:rsidR="00A8499F">
        <w:rPr>
          <w:rFonts w:hint="eastAsia"/>
        </w:rPr>
        <w:t>0</w:t>
      </w:r>
      <w:r w:rsidR="00A8499F">
        <w:t>.05</w:t>
      </w:r>
      <w:r w:rsidR="00A8499F">
        <w:rPr>
          <w:rFonts w:hint="eastAsia"/>
        </w:rPr>
        <w:t>，资产负债率</w:t>
      </w:r>
      <w:r w:rsidR="00A8499F">
        <w:rPr>
          <w:rFonts w:hint="eastAsia"/>
        </w:rPr>
        <w:t>lev</w:t>
      </w:r>
      <w:r w:rsidR="00A8499F">
        <w:rPr>
          <w:rFonts w:hint="eastAsia"/>
        </w:rPr>
        <w:t>的回归系数</w:t>
      </w:r>
      <w:r w:rsidR="00A8499F">
        <w:rPr>
          <w:rFonts w:hint="eastAsia"/>
        </w:rPr>
        <w:t>0</w:t>
      </w:r>
      <w:r w:rsidR="00A8499F">
        <w:t>.209</w:t>
      </w:r>
      <w:r w:rsidR="00A8499F">
        <w:rPr>
          <w:rFonts w:hint="eastAsia"/>
        </w:rPr>
        <w:t>且在</w:t>
      </w:r>
      <w:r w:rsidR="00A8499F">
        <w:t>10%</w:t>
      </w:r>
      <w:r w:rsidR="00A8499F">
        <w:rPr>
          <w:rFonts w:hint="eastAsia"/>
        </w:rPr>
        <w:t>水平上</w:t>
      </w:r>
      <w:r w:rsidR="0041702A">
        <w:rPr>
          <w:rFonts w:hint="eastAsia"/>
        </w:rPr>
        <w:t>具备</w:t>
      </w:r>
      <w:r w:rsidR="00A8499F">
        <w:rPr>
          <w:rFonts w:hint="eastAsia"/>
        </w:rPr>
        <w:t>显著</w:t>
      </w:r>
      <w:r w:rsidR="0041702A">
        <w:rPr>
          <w:rFonts w:hint="eastAsia"/>
        </w:rPr>
        <w:t>性</w:t>
      </w:r>
      <w:r w:rsidR="00A8499F">
        <w:rPr>
          <w:rFonts w:hint="eastAsia"/>
        </w:rPr>
        <w:t>，</w:t>
      </w:r>
      <w:r w:rsidR="0041702A">
        <w:rPr>
          <w:rFonts w:hint="eastAsia"/>
        </w:rPr>
        <w:t>每股负债</w:t>
      </w:r>
      <w:r w:rsidR="0041702A">
        <w:rPr>
          <w:rFonts w:hint="eastAsia"/>
        </w:rPr>
        <w:t>bps</w:t>
      </w:r>
      <w:r w:rsidR="0041702A">
        <w:rPr>
          <w:rFonts w:hint="eastAsia"/>
        </w:rPr>
        <w:t>的回归系数为</w:t>
      </w:r>
      <w:r w:rsidR="0041702A">
        <w:rPr>
          <w:rFonts w:hint="eastAsia"/>
        </w:rPr>
        <w:t>-</w:t>
      </w:r>
      <w:r w:rsidR="0041702A">
        <w:t>0.021</w:t>
      </w:r>
      <w:r w:rsidR="0041702A">
        <w:rPr>
          <w:rFonts w:hint="eastAsia"/>
        </w:rPr>
        <w:t>，且在</w:t>
      </w:r>
      <w:r w:rsidR="0041702A">
        <w:rPr>
          <w:rFonts w:hint="eastAsia"/>
        </w:rPr>
        <w:t>1</w:t>
      </w:r>
      <w:r w:rsidR="0041702A">
        <w:t>%</w:t>
      </w:r>
      <w:r w:rsidR="0041702A">
        <w:rPr>
          <w:rFonts w:hint="eastAsia"/>
        </w:rPr>
        <w:t>的置信水平上具备显著性。</w:t>
      </w:r>
    </w:p>
    <w:p w14:paraId="6D654540" w14:textId="5F5B8D91" w:rsidR="00640810" w:rsidRDefault="00640810" w:rsidP="0006512E">
      <w:pPr>
        <w:ind w:firstLineChars="200" w:firstLine="480"/>
      </w:pPr>
      <w:r>
        <w:rPr>
          <w:rFonts w:hint="eastAsia"/>
        </w:rPr>
        <w:t>为了检验假设</w:t>
      </w:r>
      <w:r w:rsidR="0041702A">
        <w:rPr>
          <w:rFonts w:hint="eastAsia"/>
        </w:rPr>
        <w:t>三</w:t>
      </w:r>
      <w:r>
        <w:rPr>
          <w:rFonts w:hint="eastAsia"/>
        </w:rPr>
        <w:t>：独立董事任职期限与公司价值变动</w:t>
      </w:r>
      <w:r w:rsidR="00E6749D">
        <w:rPr>
          <w:rFonts w:hint="eastAsia"/>
        </w:rPr>
        <w:t>（累积异常收益率）</w:t>
      </w:r>
      <w:r>
        <w:rPr>
          <w:rFonts w:hint="eastAsia"/>
        </w:rPr>
        <w:t>呈正相关关系。我们以独立董事任职期限</w:t>
      </w:r>
      <w:r>
        <w:rPr>
          <w:rFonts w:hint="eastAsia"/>
        </w:rPr>
        <w:t>tenure</w:t>
      </w:r>
      <w:r>
        <w:rPr>
          <w:rFonts w:hint="eastAsia"/>
        </w:rPr>
        <w:t>作为解释变量，</w:t>
      </w:r>
      <w:r w:rsidR="00C052EA">
        <w:rPr>
          <w:rFonts w:hint="eastAsia"/>
        </w:rPr>
        <w:t>加入到假设二的回归模型之中进行实证分析和检验，</w:t>
      </w:r>
      <w:r>
        <w:rPr>
          <w:rFonts w:hint="eastAsia"/>
        </w:rPr>
        <w:t>得到任职期限</w:t>
      </w:r>
      <w:r>
        <w:rPr>
          <w:rFonts w:hint="eastAsia"/>
        </w:rPr>
        <w:t>tenure</w:t>
      </w:r>
      <w:r>
        <w:rPr>
          <w:rFonts w:hint="eastAsia"/>
        </w:rPr>
        <w:t>的回归系数</w:t>
      </w:r>
      <w:r>
        <w:rPr>
          <w:rFonts w:hint="eastAsia"/>
        </w:rPr>
        <w:t>0</w:t>
      </w:r>
      <w:r>
        <w:t>.002</w:t>
      </w:r>
      <w:r>
        <w:rPr>
          <w:rFonts w:hint="eastAsia"/>
        </w:rPr>
        <w:t>，且在</w:t>
      </w:r>
      <w:r w:rsidR="00E40D08">
        <w:t>5</w:t>
      </w:r>
      <w:r>
        <w:t>%</w:t>
      </w:r>
      <w:r>
        <w:rPr>
          <w:rFonts w:hint="eastAsia"/>
        </w:rPr>
        <w:t>置信水平上显著。</w:t>
      </w:r>
      <w:r w:rsidR="00C052EA">
        <w:rPr>
          <w:rFonts w:hint="eastAsia"/>
        </w:rPr>
        <w:t>与此同时，我们得到学历水平</w:t>
      </w:r>
      <w:r w:rsidR="00C052EA">
        <w:rPr>
          <w:rFonts w:hint="eastAsia"/>
        </w:rPr>
        <w:t>d</w:t>
      </w:r>
      <w:r w:rsidR="00C052EA">
        <w:t>egree</w:t>
      </w:r>
      <w:r w:rsidR="00C052EA">
        <w:rPr>
          <w:rFonts w:hint="eastAsia"/>
        </w:rPr>
        <w:t>的回归系数为</w:t>
      </w:r>
      <w:r w:rsidR="00C052EA">
        <w:rPr>
          <w:rFonts w:hint="eastAsia"/>
        </w:rPr>
        <w:t>0</w:t>
      </w:r>
      <w:r w:rsidR="00C052EA">
        <w:t>.065</w:t>
      </w:r>
      <w:r w:rsidR="00C052EA">
        <w:rPr>
          <w:rFonts w:hint="eastAsia"/>
        </w:rPr>
        <w:t>，增加了</w:t>
      </w:r>
      <w:r w:rsidR="00C052EA">
        <w:rPr>
          <w:rFonts w:hint="eastAsia"/>
        </w:rPr>
        <w:t>0</w:t>
      </w:r>
      <w:r w:rsidR="00C052EA">
        <w:t>.015</w:t>
      </w:r>
      <w:r w:rsidR="00C052EA">
        <w:rPr>
          <w:rFonts w:hint="eastAsia"/>
        </w:rPr>
        <w:t>，且在</w:t>
      </w:r>
      <w:r w:rsidR="00C052EA">
        <w:rPr>
          <w:rFonts w:hint="eastAsia"/>
        </w:rPr>
        <w:t>1</w:t>
      </w:r>
      <w:r w:rsidR="00C052EA">
        <w:t>0%</w:t>
      </w:r>
      <w:r w:rsidR="00C052EA">
        <w:rPr>
          <w:rFonts w:hint="eastAsia"/>
        </w:rPr>
        <w:t>水平上显著</w:t>
      </w:r>
      <w:r w:rsidR="00051BEC">
        <w:rPr>
          <w:rFonts w:hint="eastAsia"/>
        </w:rPr>
        <w:t>，即学历水平的影响程度增加了。</w:t>
      </w:r>
    </w:p>
    <w:p w14:paraId="42413C8A" w14:textId="77777777" w:rsidR="00FB2129" w:rsidRDefault="00FB2129" w:rsidP="00FB2129">
      <w:pPr>
        <w:ind w:firstLineChars="200" w:firstLine="480"/>
      </w:pPr>
      <w:r>
        <w:rPr>
          <w:rFonts w:hint="eastAsia"/>
        </w:rPr>
        <w:t>为了检验假设四：盈余管理水平与公司价值变动（累积异常收益率）呈正相关关系。们以盈余管理水平</w:t>
      </w:r>
      <w:r>
        <w:t>DA</w:t>
      </w:r>
      <w:r>
        <w:rPr>
          <w:rFonts w:hint="eastAsia"/>
        </w:rPr>
        <w:t>作为解释变量，得到盈余管理水平</w:t>
      </w:r>
      <w:r>
        <w:t>DA</w:t>
      </w:r>
      <w:r>
        <w:rPr>
          <w:rFonts w:hint="eastAsia"/>
        </w:rPr>
        <w:t>的回归系数</w:t>
      </w:r>
      <w:r>
        <w:rPr>
          <w:rFonts w:hint="eastAsia"/>
        </w:rPr>
        <w:t>0</w:t>
      </w:r>
      <w:r>
        <w:t>.002</w:t>
      </w:r>
      <w:r>
        <w:rPr>
          <w:rFonts w:hint="eastAsia"/>
        </w:rPr>
        <w:t>，与我们的假设相符合。</w:t>
      </w:r>
    </w:p>
    <w:p w14:paraId="62A40E0A" w14:textId="540DABAA" w:rsidR="00051BEC" w:rsidRDefault="00051BEC" w:rsidP="00554569"/>
    <w:p w14:paraId="2B7F8688" w14:textId="5658C6DA" w:rsidR="00E9412D" w:rsidRDefault="00E9412D" w:rsidP="00554569"/>
    <w:p w14:paraId="26D182EC" w14:textId="4E985686" w:rsidR="00E9412D" w:rsidRDefault="00E9412D" w:rsidP="00554569"/>
    <w:p w14:paraId="453C34C3" w14:textId="31C0EDC3" w:rsidR="00E9412D" w:rsidRDefault="00E9412D" w:rsidP="00554569"/>
    <w:p w14:paraId="516E3246" w14:textId="0B8B7881" w:rsidR="00E9412D" w:rsidRDefault="00E9412D" w:rsidP="00554569"/>
    <w:p w14:paraId="009AB4E0" w14:textId="4A1997D7" w:rsidR="00E9412D" w:rsidRDefault="00E9412D" w:rsidP="00554569"/>
    <w:p w14:paraId="1FA1C07A" w14:textId="77777777" w:rsidR="00E9412D" w:rsidRPr="00FB2129" w:rsidRDefault="00E9412D" w:rsidP="00554569"/>
    <w:p w14:paraId="423DE64A" w14:textId="18CEE401" w:rsidR="001801E4" w:rsidRDefault="00F52B60" w:rsidP="00F52B60">
      <w:pPr>
        <w:pStyle w:val="1"/>
        <w:spacing w:before="163" w:after="163"/>
      </w:pPr>
      <w:bookmarkStart w:id="45" w:name="_Toc104938613"/>
      <w:r>
        <w:rPr>
          <w:rFonts w:hint="eastAsia"/>
        </w:rPr>
        <w:lastRenderedPageBreak/>
        <w:t>研究</w:t>
      </w:r>
      <w:r w:rsidR="0006763B">
        <w:rPr>
          <w:rFonts w:hint="eastAsia"/>
        </w:rPr>
        <w:t>总结</w:t>
      </w:r>
      <w:bookmarkEnd w:id="45"/>
    </w:p>
    <w:p w14:paraId="2A2AAB53" w14:textId="6B550669" w:rsidR="00F7301F" w:rsidRDefault="00F7301F" w:rsidP="00F7301F">
      <w:pPr>
        <w:pStyle w:val="2"/>
        <w:spacing w:before="163" w:after="163"/>
      </w:pPr>
      <w:bookmarkStart w:id="46" w:name="_Toc104938614"/>
      <w:r>
        <w:rPr>
          <w:rFonts w:hint="eastAsia"/>
        </w:rPr>
        <w:t>研究结论</w:t>
      </w:r>
      <w:bookmarkEnd w:id="46"/>
    </w:p>
    <w:p w14:paraId="50E2255E" w14:textId="1DE0736F" w:rsidR="001801E4" w:rsidRDefault="00F52B60" w:rsidP="00F7301F">
      <w:pPr>
        <w:ind w:firstLineChars="200" w:firstLine="480"/>
      </w:pPr>
      <w:r>
        <w:rPr>
          <w:rFonts w:hint="eastAsia"/>
        </w:rPr>
        <w:t>论文选取</w:t>
      </w:r>
      <w:r>
        <w:rPr>
          <w:rFonts w:hint="eastAsia"/>
        </w:rPr>
        <w:t>2</w:t>
      </w:r>
      <w:r>
        <w:t>021</w:t>
      </w:r>
      <w:r>
        <w:rPr>
          <w:rFonts w:hint="eastAsia"/>
        </w:rPr>
        <w:t>年</w:t>
      </w:r>
      <w:r>
        <w:rPr>
          <w:rFonts w:hint="eastAsia"/>
        </w:rPr>
        <w:t>1</w:t>
      </w:r>
      <w:r>
        <w:t>1</w:t>
      </w:r>
      <w:r>
        <w:rPr>
          <w:rFonts w:hint="eastAsia"/>
        </w:rPr>
        <w:t>月</w:t>
      </w:r>
      <w:r>
        <w:rPr>
          <w:rFonts w:hint="eastAsia"/>
        </w:rPr>
        <w:t>1</w:t>
      </w:r>
      <w:r>
        <w:t>2</w:t>
      </w:r>
      <w:r>
        <w:rPr>
          <w:rFonts w:hint="eastAsia"/>
        </w:rPr>
        <w:t>日</w:t>
      </w:r>
      <w:r w:rsidR="00725295">
        <w:rPr>
          <w:rFonts w:hint="eastAsia"/>
        </w:rPr>
        <w:t>至</w:t>
      </w:r>
      <w:r w:rsidR="00725295">
        <w:rPr>
          <w:rFonts w:hint="eastAsia"/>
        </w:rPr>
        <w:t>2</w:t>
      </w:r>
      <w:r w:rsidR="00725295">
        <w:t>022</w:t>
      </w:r>
      <w:r w:rsidR="00725295">
        <w:rPr>
          <w:rFonts w:hint="eastAsia"/>
        </w:rPr>
        <w:t>年</w:t>
      </w:r>
      <w:r w:rsidR="00725295">
        <w:rPr>
          <w:rFonts w:hint="eastAsia"/>
        </w:rPr>
        <w:t>3</w:t>
      </w:r>
      <w:r w:rsidR="00725295">
        <w:rPr>
          <w:rFonts w:hint="eastAsia"/>
        </w:rPr>
        <w:t>月</w:t>
      </w:r>
      <w:r w:rsidR="00725295">
        <w:rPr>
          <w:rFonts w:hint="eastAsia"/>
        </w:rPr>
        <w:t>1</w:t>
      </w:r>
      <w:r w:rsidR="00725295">
        <w:rPr>
          <w:rFonts w:hint="eastAsia"/>
        </w:rPr>
        <w:t>日内发布独立董事辞职公告的</w:t>
      </w:r>
      <w:r>
        <w:rPr>
          <w:rFonts w:hint="eastAsia"/>
        </w:rPr>
        <w:t>沪深</w:t>
      </w:r>
      <w:r>
        <w:rPr>
          <w:rFonts w:hint="eastAsia"/>
        </w:rPr>
        <w:t>A</w:t>
      </w:r>
      <w:r>
        <w:rPr>
          <w:rFonts w:hint="eastAsia"/>
        </w:rPr>
        <w:t>股上市公司作为初始研究样本</w:t>
      </w:r>
      <w:r w:rsidR="00837967">
        <w:rPr>
          <w:rFonts w:hint="eastAsia"/>
        </w:rPr>
        <w:t>。</w:t>
      </w:r>
      <w:r w:rsidR="00725295">
        <w:rPr>
          <w:rFonts w:hint="eastAsia"/>
        </w:rPr>
        <w:t>在假设</w:t>
      </w:r>
      <w:proofErr w:type="gramStart"/>
      <w:r w:rsidR="00725295">
        <w:rPr>
          <w:rFonts w:hint="eastAsia"/>
        </w:rPr>
        <w:t>一</w:t>
      </w:r>
      <w:proofErr w:type="gramEnd"/>
      <w:r w:rsidR="00725295">
        <w:rPr>
          <w:rFonts w:hint="eastAsia"/>
        </w:rPr>
        <w:t>模型中，采取事件研究法，以独立董事辞职公告发布日期作为事件日，公告发布前</w:t>
      </w:r>
      <w:r w:rsidR="00725295">
        <w:rPr>
          <w:rFonts w:hint="eastAsia"/>
        </w:rPr>
        <w:t>1</w:t>
      </w:r>
      <w:r w:rsidR="00725295">
        <w:t>50</w:t>
      </w:r>
      <w:r w:rsidR="00587FB4">
        <w:rPr>
          <w:rFonts w:hint="eastAsia"/>
        </w:rPr>
        <w:t>天到前</w:t>
      </w:r>
      <w:r w:rsidR="00587FB4">
        <w:rPr>
          <w:rFonts w:hint="eastAsia"/>
        </w:rPr>
        <w:t>3</w:t>
      </w:r>
      <w:r w:rsidR="00587FB4">
        <w:t>0</w:t>
      </w:r>
      <w:r w:rsidR="00587FB4">
        <w:rPr>
          <w:rFonts w:hint="eastAsia"/>
        </w:rPr>
        <w:t>天作为估计期，估算出正常收益率，</w:t>
      </w:r>
      <w:r w:rsidR="003C1138">
        <w:rPr>
          <w:rFonts w:hint="eastAsia"/>
        </w:rPr>
        <w:t>与实际收益率做差得出异常收益率，进而得到累积异常收益率。</w:t>
      </w:r>
      <w:r w:rsidR="00106AE5">
        <w:rPr>
          <w:rFonts w:hint="eastAsia"/>
        </w:rPr>
        <w:t>在假设二模型中，</w:t>
      </w:r>
      <w:r w:rsidR="00837967">
        <w:rPr>
          <w:rFonts w:hint="eastAsia"/>
        </w:rPr>
        <w:t>以累积异常收益率</w:t>
      </w:r>
      <w:r w:rsidR="00837967">
        <w:rPr>
          <w:rFonts w:hint="eastAsia"/>
        </w:rPr>
        <w:t>car</w:t>
      </w:r>
      <w:r w:rsidR="00837967">
        <w:rPr>
          <w:rFonts w:hint="eastAsia"/>
        </w:rPr>
        <w:t>（</w:t>
      </w:r>
      <w:r w:rsidR="00837967">
        <w:rPr>
          <w:rFonts w:hint="eastAsia"/>
        </w:rPr>
        <w:t>-</w:t>
      </w:r>
      <w:r w:rsidR="00837967">
        <w:t>10</w:t>
      </w:r>
      <w:r w:rsidR="00837967">
        <w:rPr>
          <w:rFonts w:hint="eastAsia"/>
        </w:rPr>
        <w:t>，</w:t>
      </w:r>
      <w:r w:rsidR="00837967">
        <w:t>10</w:t>
      </w:r>
      <w:r w:rsidR="00837967">
        <w:rPr>
          <w:rFonts w:hint="eastAsia"/>
        </w:rPr>
        <w:t>）对学历</w:t>
      </w:r>
      <w:r w:rsidR="00837967">
        <w:rPr>
          <w:rFonts w:hint="eastAsia"/>
        </w:rPr>
        <w:t>degree</w:t>
      </w:r>
      <w:r w:rsidR="00837967">
        <w:rPr>
          <w:rFonts w:hint="eastAsia"/>
        </w:rPr>
        <w:t>进行回归</w:t>
      </w:r>
      <w:r w:rsidR="00837967">
        <w:rPr>
          <w:rFonts w:hint="eastAsia"/>
        </w:rPr>
        <w:t>.</w:t>
      </w:r>
      <w:r w:rsidR="0054033C">
        <w:rPr>
          <w:rFonts w:hint="eastAsia"/>
        </w:rPr>
        <w:t>在假设</w:t>
      </w:r>
      <w:r w:rsidR="00106AE5">
        <w:rPr>
          <w:rFonts w:hint="eastAsia"/>
        </w:rPr>
        <w:t>三</w:t>
      </w:r>
      <w:r w:rsidR="0054033C">
        <w:rPr>
          <w:rFonts w:hint="eastAsia"/>
        </w:rPr>
        <w:t>模型中，以累积异常收益率</w:t>
      </w:r>
      <w:r w:rsidR="00AE23CA">
        <w:rPr>
          <w:rFonts w:hint="eastAsia"/>
        </w:rPr>
        <w:t>car</w:t>
      </w:r>
      <w:r w:rsidR="00AE23CA">
        <w:rPr>
          <w:rFonts w:hint="eastAsia"/>
        </w:rPr>
        <w:t>（</w:t>
      </w:r>
      <w:r w:rsidR="00AE23CA">
        <w:rPr>
          <w:rFonts w:hint="eastAsia"/>
        </w:rPr>
        <w:t>-</w:t>
      </w:r>
      <w:r w:rsidR="00AE23CA">
        <w:t>10</w:t>
      </w:r>
      <w:r w:rsidR="00AE23CA">
        <w:rPr>
          <w:rFonts w:hint="eastAsia"/>
        </w:rPr>
        <w:t>，</w:t>
      </w:r>
      <w:r w:rsidR="00AE23CA">
        <w:t>10</w:t>
      </w:r>
      <w:r w:rsidR="00AE23CA">
        <w:rPr>
          <w:rFonts w:hint="eastAsia"/>
        </w:rPr>
        <w:t>）</w:t>
      </w:r>
      <w:r w:rsidR="00106AE5">
        <w:rPr>
          <w:rFonts w:hint="eastAsia"/>
        </w:rPr>
        <w:t>对</w:t>
      </w:r>
      <w:r w:rsidR="00AE23CA">
        <w:rPr>
          <w:rFonts w:hint="eastAsia"/>
        </w:rPr>
        <w:t>任职期限</w:t>
      </w:r>
      <w:r w:rsidR="00AE23CA">
        <w:rPr>
          <w:rFonts w:hint="eastAsia"/>
        </w:rPr>
        <w:t>tenure</w:t>
      </w:r>
      <w:r w:rsidR="00AE23CA">
        <w:rPr>
          <w:rFonts w:hint="eastAsia"/>
        </w:rPr>
        <w:t>进行回归。</w:t>
      </w:r>
      <w:r w:rsidR="00FB2129">
        <w:rPr>
          <w:rFonts w:hint="eastAsia"/>
        </w:rPr>
        <w:t>在假设四中</w:t>
      </w:r>
      <w:r w:rsidR="00FB2129">
        <w:rPr>
          <w:rFonts w:hint="eastAsia"/>
        </w:rPr>
        <w:t>,</w:t>
      </w:r>
      <w:r w:rsidR="00FB2129" w:rsidRPr="00837967">
        <w:rPr>
          <w:rFonts w:hint="eastAsia"/>
        </w:rPr>
        <w:t xml:space="preserve"> </w:t>
      </w:r>
      <w:r w:rsidR="00FB2129">
        <w:rPr>
          <w:rFonts w:hint="eastAsia"/>
        </w:rPr>
        <w:t>以累积异常收益率</w:t>
      </w:r>
      <w:r w:rsidR="00FB2129">
        <w:rPr>
          <w:rFonts w:hint="eastAsia"/>
        </w:rPr>
        <w:t>car</w:t>
      </w:r>
      <w:r w:rsidR="00FB2129">
        <w:rPr>
          <w:rFonts w:hint="eastAsia"/>
        </w:rPr>
        <w:t>（</w:t>
      </w:r>
      <w:r w:rsidR="00FB2129">
        <w:rPr>
          <w:rFonts w:hint="eastAsia"/>
        </w:rPr>
        <w:t>-</w:t>
      </w:r>
      <w:r w:rsidR="00FB2129">
        <w:t>10</w:t>
      </w:r>
      <w:r w:rsidR="00FB2129">
        <w:rPr>
          <w:rFonts w:hint="eastAsia"/>
        </w:rPr>
        <w:t>，</w:t>
      </w:r>
      <w:r w:rsidR="00FB2129">
        <w:t>10</w:t>
      </w:r>
      <w:r w:rsidR="00FB2129">
        <w:rPr>
          <w:rFonts w:hint="eastAsia"/>
        </w:rPr>
        <w:t>）对盈余管理水平</w:t>
      </w:r>
      <w:r w:rsidR="00FB2129">
        <w:rPr>
          <w:rFonts w:hint="eastAsia"/>
        </w:rPr>
        <w:t>D</w:t>
      </w:r>
      <w:r w:rsidR="00FB2129">
        <w:t>A</w:t>
      </w:r>
      <w:r w:rsidR="00FB2129">
        <w:rPr>
          <w:rFonts w:hint="eastAsia"/>
        </w:rPr>
        <w:t>进行回归。</w:t>
      </w:r>
      <w:r w:rsidR="00106AE5">
        <w:rPr>
          <w:rFonts w:hint="eastAsia"/>
        </w:rPr>
        <w:t>我们</w:t>
      </w:r>
      <w:r w:rsidR="00AE23CA">
        <w:rPr>
          <w:rFonts w:hint="eastAsia"/>
        </w:rPr>
        <w:t>得到以下结论：</w:t>
      </w:r>
    </w:p>
    <w:p w14:paraId="19B59A93" w14:textId="36A2ECD1" w:rsidR="00AE23CA" w:rsidRDefault="0006763B" w:rsidP="0006763B">
      <w:pPr>
        <w:pStyle w:val="af7"/>
        <w:numPr>
          <w:ilvl w:val="0"/>
          <w:numId w:val="5"/>
        </w:numPr>
        <w:ind w:firstLineChars="0"/>
      </w:pPr>
      <w:r>
        <w:rPr>
          <w:rFonts w:hint="eastAsia"/>
        </w:rPr>
        <w:t>独立董事辞职对公司价值变动会产生负面影响。受独立董事辞职事件的影响，</w:t>
      </w:r>
      <w:r w:rsidR="00503212">
        <w:rPr>
          <w:rFonts w:hint="eastAsia"/>
        </w:rPr>
        <w:t>相关公司的累积异常收益率为负，公司的市场价值下降。</w:t>
      </w:r>
    </w:p>
    <w:p w14:paraId="2363DABB" w14:textId="2D4A74A9" w:rsidR="00134315" w:rsidRDefault="00134315" w:rsidP="0006763B">
      <w:pPr>
        <w:pStyle w:val="af7"/>
        <w:numPr>
          <w:ilvl w:val="0"/>
          <w:numId w:val="5"/>
        </w:numPr>
        <w:ind w:firstLineChars="0"/>
      </w:pPr>
      <w:r>
        <w:rPr>
          <w:rFonts w:hint="eastAsia"/>
        </w:rPr>
        <w:t>独立董事的学历水平与累积异常收益率呈正向相关关系，辞职独立董事的学历越高，其辞职行为导致的累积异常收益率会更明显。</w:t>
      </w:r>
    </w:p>
    <w:p w14:paraId="265D4896" w14:textId="611C0539" w:rsidR="00370439" w:rsidRDefault="00503212" w:rsidP="00C94194">
      <w:pPr>
        <w:pStyle w:val="af7"/>
        <w:numPr>
          <w:ilvl w:val="0"/>
          <w:numId w:val="5"/>
        </w:numPr>
        <w:ind w:firstLineChars="0"/>
      </w:pPr>
      <w:r>
        <w:rPr>
          <w:rFonts w:hint="eastAsia"/>
        </w:rPr>
        <w:t>独立董事的任职期限与累积异常收益率呈正向相关关系，独立董事任职期限越长，其辞职导致的负</w:t>
      </w:r>
      <w:r w:rsidR="00F7301F">
        <w:rPr>
          <w:rFonts w:hint="eastAsia"/>
        </w:rPr>
        <w:t>的累积异常收益率会更明显</w:t>
      </w:r>
      <w:r w:rsidR="00051BEC">
        <w:rPr>
          <w:rFonts w:hint="eastAsia"/>
        </w:rPr>
        <w:t>，而且在考虑的独立董事任期因素之后，独立董事学历水平的影响程度增加了。</w:t>
      </w:r>
    </w:p>
    <w:p w14:paraId="459C1364" w14:textId="67527750" w:rsidR="00837967" w:rsidRPr="00FB2129" w:rsidRDefault="00FB2129" w:rsidP="00FB2129">
      <w:pPr>
        <w:pStyle w:val="af7"/>
        <w:numPr>
          <w:ilvl w:val="0"/>
          <w:numId w:val="5"/>
        </w:numPr>
        <w:ind w:firstLineChars="0"/>
      </w:pPr>
      <w:r>
        <w:rPr>
          <w:rFonts w:hint="eastAsia"/>
        </w:rPr>
        <w:t>公司盈余管理水平与累积异常收益率呈正相关关系，盈余管理水平越高，辞职导致的负累积异常收益率就越大。</w:t>
      </w:r>
    </w:p>
    <w:p w14:paraId="6817D9B7" w14:textId="3706150F" w:rsidR="00370439" w:rsidRDefault="00F7301F" w:rsidP="00F7301F">
      <w:pPr>
        <w:pStyle w:val="2"/>
        <w:spacing w:before="163" w:after="163"/>
      </w:pPr>
      <w:bookmarkStart w:id="47" w:name="_Toc104938615"/>
      <w:r>
        <w:rPr>
          <w:rFonts w:hint="eastAsia"/>
        </w:rPr>
        <w:t>总结</w:t>
      </w:r>
      <w:bookmarkEnd w:id="47"/>
    </w:p>
    <w:p w14:paraId="68A29CEC" w14:textId="5D1803AD" w:rsidR="00F7301F" w:rsidRDefault="00F7301F" w:rsidP="00F7301F">
      <w:pPr>
        <w:ind w:firstLineChars="200" w:firstLine="480"/>
      </w:pPr>
      <w:r>
        <w:rPr>
          <w:rFonts w:hint="eastAsia"/>
        </w:rPr>
        <w:t>由于个人能力有限和其他多方面的原因，论文在数据选取和模型构建上还存在许多不完善的地方：</w:t>
      </w:r>
    </w:p>
    <w:p w14:paraId="7D51DF7B" w14:textId="3E8234B4" w:rsidR="00F7301F" w:rsidRDefault="00F7301F" w:rsidP="00F7301F">
      <w:pPr>
        <w:pStyle w:val="af7"/>
        <w:numPr>
          <w:ilvl w:val="0"/>
          <w:numId w:val="6"/>
        </w:numPr>
        <w:ind w:firstLineChars="0"/>
      </w:pPr>
      <w:r>
        <w:rPr>
          <w:rFonts w:hint="eastAsia"/>
        </w:rPr>
        <w:t>论文旨在研究受</w:t>
      </w:r>
      <w:r>
        <w:rPr>
          <w:rFonts w:hint="eastAsia"/>
        </w:rPr>
        <w:t>2</w:t>
      </w:r>
      <w:r>
        <w:t>021</w:t>
      </w:r>
      <w:r>
        <w:rPr>
          <w:rFonts w:hint="eastAsia"/>
        </w:rPr>
        <w:t>年</w:t>
      </w:r>
      <w:r>
        <w:rPr>
          <w:rFonts w:hint="eastAsia"/>
        </w:rPr>
        <w:t>1</w:t>
      </w:r>
      <w:r>
        <w:t>1</w:t>
      </w:r>
      <w:r>
        <w:rPr>
          <w:rFonts w:hint="eastAsia"/>
        </w:rPr>
        <w:t>月</w:t>
      </w:r>
      <w:r>
        <w:rPr>
          <w:rFonts w:hint="eastAsia"/>
        </w:rPr>
        <w:t>1</w:t>
      </w:r>
      <w:r>
        <w:t>2</w:t>
      </w:r>
      <w:r>
        <w:rPr>
          <w:rFonts w:hint="eastAsia"/>
        </w:rPr>
        <w:t>日康美药业财务造假案</w:t>
      </w:r>
      <w:r w:rsidR="009E3C49">
        <w:rPr>
          <w:rFonts w:hint="eastAsia"/>
        </w:rPr>
        <w:t>影响，发生独立董事辞职事件的公司价值变动情况。由于时间范围较小，相关公司数据缺乏，筛选后的</w:t>
      </w:r>
      <w:r w:rsidR="009E3C49">
        <w:rPr>
          <w:rFonts w:hint="eastAsia"/>
        </w:rPr>
        <w:t>5</w:t>
      </w:r>
      <w:r w:rsidR="009E3C49">
        <w:t>1</w:t>
      </w:r>
      <w:r w:rsidR="009E3C49">
        <w:rPr>
          <w:rFonts w:hint="eastAsia"/>
        </w:rPr>
        <w:t>家公司样本与预期样本数量有</w:t>
      </w:r>
      <w:r w:rsidR="00BD7B0A">
        <w:rPr>
          <w:rFonts w:hint="eastAsia"/>
        </w:rPr>
        <w:t>较大差异。</w:t>
      </w:r>
    </w:p>
    <w:p w14:paraId="7951211C" w14:textId="4B9A73AF" w:rsidR="00370439" w:rsidRDefault="00BD7B0A" w:rsidP="00C94194">
      <w:pPr>
        <w:pStyle w:val="af7"/>
        <w:numPr>
          <w:ilvl w:val="0"/>
          <w:numId w:val="6"/>
        </w:numPr>
        <w:ind w:firstLineChars="0"/>
      </w:pPr>
      <w:r>
        <w:rPr>
          <w:rFonts w:hint="eastAsia"/>
        </w:rPr>
        <w:t>由于备选数据的不足，没有考虑高管个人</w:t>
      </w:r>
      <w:r w:rsidR="00837967">
        <w:rPr>
          <w:rFonts w:hint="eastAsia"/>
        </w:rPr>
        <w:t>的</w:t>
      </w:r>
      <w:r>
        <w:rPr>
          <w:rFonts w:hint="eastAsia"/>
        </w:rPr>
        <w:t>行业背景</w:t>
      </w:r>
      <w:r w:rsidR="002D5568">
        <w:rPr>
          <w:rFonts w:hint="eastAsia"/>
        </w:rPr>
        <w:t>，行业性质</w:t>
      </w:r>
      <w:r>
        <w:rPr>
          <w:rFonts w:hint="eastAsia"/>
        </w:rPr>
        <w:t>等因素。</w:t>
      </w:r>
    </w:p>
    <w:p w14:paraId="42ED4696" w14:textId="6A032A7D" w:rsidR="00370439" w:rsidRDefault="0001688A" w:rsidP="0001688A">
      <w:pPr>
        <w:pStyle w:val="1"/>
        <w:numPr>
          <w:ilvl w:val="0"/>
          <w:numId w:val="0"/>
        </w:numPr>
        <w:spacing w:before="163" w:after="163"/>
      </w:pPr>
      <w:bookmarkStart w:id="48" w:name="_Toc104938616"/>
      <w:r>
        <w:rPr>
          <w:rFonts w:hint="eastAsia"/>
        </w:rPr>
        <w:lastRenderedPageBreak/>
        <w:t>致谢</w:t>
      </w:r>
      <w:bookmarkEnd w:id="48"/>
    </w:p>
    <w:p w14:paraId="2A2A13FD" w14:textId="5C416CF2" w:rsidR="00370439" w:rsidRDefault="0001688A" w:rsidP="00D42CC7">
      <w:pPr>
        <w:ind w:firstLineChars="200" w:firstLine="480"/>
      </w:pPr>
      <w:r>
        <w:rPr>
          <w:rFonts w:hint="eastAsia"/>
        </w:rPr>
        <w:t>写到这里，也就意味着我的大学生活行将结束，</w:t>
      </w:r>
      <w:r w:rsidR="00D42CC7">
        <w:rPr>
          <w:rFonts w:hint="eastAsia"/>
        </w:rPr>
        <w:t>虽然之前一直期待大四的生活，渴望早点毕业，可如今真到了这一步，难免有些怅然若失。</w:t>
      </w:r>
    </w:p>
    <w:p w14:paraId="1F256FCF" w14:textId="77777777" w:rsidR="00BA5203" w:rsidRDefault="00D42CC7" w:rsidP="00D42CC7">
      <w:pPr>
        <w:ind w:firstLineChars="200" w:firstLine="480"/>
      </w:pPr>
      <w:r>
        <w:rPr>
          <w:rFonts w:hint="eastAsia"/>
        </w:rPr>
        <w:t>回首我的大学生活，它没有我预想之中的那么精彩热烈，但它胜在真实，胜在每一日都是我用心度过，亲身体验的时光。四年时间悄然走过，每一次上课</w:t>
      </w:r>
      <w:r w:rsidR="00916F41">
        <w:rPr>
          <w:rFonts w:hint="eastAsia"/>
        </w:rPr>
        <w:t>时紧张又放松的复杂情绪，每一次考试之前备考的紧张焦虑，每一次成绩公布时的欣喜或是懊恼，每一次想要举手却选择放手的遗憾都历历在目。</w:t>
      </w:r>
    </w:p>
    <w:p w14:paraId="66865B3D" w14:textId="32C5564B" w:rsidR="00BA5203" w:rsidRDefault="00022B4A" w:rsidP="00BA5203">
      <w:pPr>
        <w:ind w:firstLineChars="200" w:firstLine="480"/>
      </w:pPr>
      <w:r>
        <w:rPr>
          <w:rFonts w:hint="eastAsia"/>
        </w:rPr>
        <w:t>也有很庆幸在认识新朋友的同时，也没有忘记与老朋友保持联络。</w:t>
      </w:r>
      <w:r w:rsidR="00BA5203">
        <w:rPr>
          <w:rFonts w:hint="eastAsia"/>
        </w:rPr>
        <w:t>感谢陈同学在我低落时寄来的明信片，</w:t>
      </w:r>
      <w:r w:rsidR="00E75CBF">
        <w:rPr>
          <w:rFonts w:hint="eastAsia"/>
        </w:rPr>
        <w:t>感谢刘学长在我学习计量软件时为我解惑，</w:t>
      </w:r>
      <w:r>
        <w:rPr>
          <w:rFonts w:hint="eastAsia"/>
        </w:rPr>
        <w:t>感谢于同学和我分享日常生活，感谢吴</w:t>
      </w:r>
      <w:r w:rsidR="00BA5203">
        <w:rPr>
          <w:rFonts w:hint="eastAsia"/>
        </w:rPr>
        <w:t>同学在留学时期的大方分享。感谢四年与我一同生活学习的室友和各位同学。</w:t>
      </w:r>
    </w:p>
    <w:p w14:paraId="11E082AD" w14:textId="43104BDB" w:rsidR="00BA5203" w:rsidRDefault="00BA5203" w:rsidP="00BA5203">
      <w:pPr>
        <w:ind w:firstLineChars="200" w:firstLine="480"/>
      </w:pPr>
      <w:r>
        <w:rPr>
          <w:rFonts w:hint="eastAsia"/>
        </w:rPr>
        <w:t>感谢</w:t>
      </w:r>
      <w:r w:rsidR="00E75CBF">
        <w:rPr>
          <w:rFonts w:hint="eastAsia"/>
        </w:rPr>
        <w:t>汪老师对毕业论文的诸多指导，感谢毕业小组的胡心怡同学和何影同学的相互打气。</w:t>
      </w:r>
    </w:p>
    <w:p w14:paraId="5AD01C11" w14:textId="7CD191B6" w:rsidR="00AD0FE9" w:rsidRDefault="00E75CBF" w:rsidP="00AD0FE9">
      <w:pPr>
        <w:ind w:firstLineChars="200" w:firstLine="480"/>
      </w:pPr>
      <w:r>
        <w:rPr>
          <w:rFonts w:hint="eastAsia"/>
        </w:rPr>
        <w:t>感谢父母，奶奶在我成长路上的细心陪伴，感谢他们在</w:t>
      </w:r>
      <w:r w:rsidR="00D61D0C">
        <w:rPr>
          <w:rFonts w:hint="eastAsia"/>
        </w:rPr>
        <w:t>我低沉时鼓励我迎难而上，感谢他们在我</w:t>
      </w:r>
      <w:proofErr w:type="gramStart"/>
      <w:r w:rsidR="00D61D0C">
        <w:rPr>
          <w:rFonts w:hint="eastAsia"/>
        </w:rPr>
        <w:t>骄傲时</w:t>
      </w:r>
      <w:proofErr w:type="gramEnd"/>
      <w:r w:rsidR="00D61D0C">
        <w:rPr>
          <w:rFonts w:hint="eastAsia"/>
        </w:rPr>
        <w:t>提醒我保持谦卑，</w:t>
      </w:r>
      <w:r w:rsidR="00AD0FE9">
        <w:rPr>
          <w:rFonts w:hint="eastAsia"/>
        </w:rPr>
        <w:t>感谢他们对我的缺点和脾气包容接纳，</w:t>
      </w:r>
      <w:r w:rsidR="00D61D0C">
        <w:rPr>
          <w:rFonts w:hint="eastAsia"/>
        </w:rPr>
        <w:t>感谢他们在生活中吃尽苦难却对我只字不提</w:t>
      </w:r>
      <w:r w:rsidR="00AD0FE9">
        <w:rPr>
          <w:rFonts w:hint="eastAsia"/>
        </w:rPr>
        <w:t>。</w:t>
      </w:r>
    </w:p>
    <w:p w14:paraId="5BDC8FC9" w14:textId="77777777" w:rsidR="00AD0FE9" w:rsidRDefault="00AD0FE9" w:rsidP="00BA5203">
      <w:pPr>
        <w:ind w:firstLineChars="200" w:firstLine="480"/>
      </w:pPr>
      <w:r>
        <w:rPr>
          <w:rFonts w:hint="eastAsia"/>
        </w:rPr>
        <w:t>感谢一路走来所有遇到过的，帮助过我的人。</w:t>
      </w:r>
    </w:p>
    <w:p w14:paraId="5C53DBE4" w14:textId="2E7CC86C" w:rsidR="00E75CBF" w:rsidRDefault="00AD0FE9" w:rsidP="00BA5203">
      <w:pPr>
        <w:ind w:firstLineChars="200" w:firstLine="480"/>
      </w:pPr>
      <w:r>
        <w:rPr>
          <w:rFonts w:hint="eastAsia"/>
        </w:rPr>
        <w:t>希望在以后的生活中，我能够真正做到随心所向，无问西东。</w:t>
      </w:r>
    </w:p>
    <w:p w14:paraId="5D153F80" w14:textId="1331ECC4" w:rsidR="00370439" w:rsidRPr="00BA5203" w:rsidRDefault="00370439" w:rsidP="00C94194"/>
    <w:p w14:paraId="7D54D7D1" w14:textId="1B1AD25B" w:rsidR="00370439" w:rsidRDefault="00370439" w:rsidP="00C94194"/>
    <w:p w14:paraId="6F04B151" w14:textId="22135C79" w:rsidR="00344B5E" w:rsidRDefault="00344B5E" w:rsidP="00C94194"/>
    <w:p w14:paraId="5BCF6519" w14:textId="3E665370" w:rsidR="00344B5E" w:rsidRDefault="00344B5E" w:rsidP="00C94194"/>
    <w:p w14:paraId="769BC3FB" w14:textId="50BA5B49" w:rsidR="00344B5E" w:rsidRDefault="00344B5E" w:rsidP="00C94194"/>
    <w:p w14:paraId="184CD6F7" w14:textId="56DF743B" w:rsidR="00344B5E" w:rsidRDefault="00344B5E" w:rsidP="00C94194"/>
    <w:p w14:paraId="557AE59B" w14:textId="66C753E8" w:rsidR="00344B5E" w:rsidRDefault="00344B5E" w:rsidP="00C94194"/>
    <w:p w14:paraId="07EADB01" w14:textId="57E0622B" w:rsidR="00344B5E" w:rsidRDefault="00344B5E" w:rsidP="00C94194"/>
    <w:p w14:paraId="37245DC1" w14:textId="092D8763" w:rsidR="00344B5E" w:rsidRDefault="00344B5E" w:rsidP="00C94194"/>
    <w:p w14:paraId="32AFA560" w14:textId="6FA2E725" w:rsidR="00344B5E" w:rsidRDefault="004C1EBA" w:rsidP="004C1EBA">
      <w:pPr>
        <w:pStyle w:val="1"/>
        <w:numPr>
          <w:ilvl w:val="0"/>
          <w:numId w:val="0"/>
        </w:numPr>
        <w:spacing w:before="163" w:after="163"/>
      </w:pPr>
      <w:bookmarkStart w:id="49" w:name="_Toc104938617"/>
      <w:r>
        <w:rPr>
          <w:rFonts w:hint="eastAsia"/>
        </w:rPr>
        <w:lastRenderedPageBreak/>
        <w:t>参考文献</w:t>
      </w:r>
      <w:bookmarkEnd w:id="49"/>
    </w:p>
    <w:p w14:paraId="70503CE0" w14:textId="77777777" w:rsidR="00A131BA" w:rsidRPr="00A131BA" w:rsidRDefault="00A131BA" w:rsidP="00646F82">
      <w:pPr>
        <w:pStyle w:val="af7"/>
        <w:numPr>
          <w:ilvl w:val="0"/>
          <w:numId w:val="12"/>
        </w:numPr>
        <w:ind w:left="0" w:firstLineChars="0" w:firstLine="0"/>
        <w:rPr>
          <w:shd w:val="clear" w:color="auto" w:fill="FFFFFF"/>
        </w:rPr>
      </w:pPr>
      <w:r w:rsidRPr="00A131BA">
        <w:rPr>
          <w:shd w:val="clear" w:color="auto" w:fill="FFFFFF"/>
        </w:rPr>
        <w:t>Gordon J N (2006). The rise of independent directors in the United States, 1950-2005: Of shareholder value and stock market prices[J]. Stan. L. Rev.59: 1465.</w:t>
      </w:r>
    </w:p>
    <w:p w14:paraId="513C6093" w14:textId="77777777" w:rsidR="00A131BA" w:rsidRPr="004B3363" w:rsidRDefault="00A131BA" w:rsidP="00646F82">
      <w:pPr>
        <w:pStyle w:val="af7"/>
        <w:numPr>
          <w:ilvl w:val="0"/>
          <w:numId w:val="12"/>
        </w:numPr>
        <w:ind w:left="0" w:firstLineChars="0" w:firstLine="0"/>
      </w:pPr>
      <w:r w:rsidRPr="004E4EE4">
        <w:rPr>
          <w:shd w:val="clear" w:color="auto" w:fill="FFFFFF"/>
        </w:rPr>
        <w:t>Nguyen B D, Nielsen K M (2010). The value of independent directors: Evidence from sudden deaths[J]. Journal of financial economics, 98(3): 550-567.</w:t>
      </w:r>
    </w:p>
    <w:p w14:paraId="1451C358" w14:textId="77777777" w:rsidR="00A131BA" w:rsidRDefault="00A131BA" w:rsidP="00646F82">
      <w:pPr>
        <w:pStyle w:val="af7"/>
        <w:numPr>
          <w:ilvl w:val="0"/>
          <w:numId w:val="12"/>
        </w:numPr>
        <w:ind w:left="0" w:firstLineChars="0" w:firstLine="0"/>
        <w:rPr>
          <w:shd w:val="clear" w:color="auto" w:fill="FFFFFF"/>
        </w:rPr>
      </w:pPr>
      <w:proofErr w:type="spellStart"/>
      <w:r>
        <w:rPr>
          <w:shd w:val="clear" w:color="auto" w:fill="FFFFFF"/>
        </w:rPr>
        <w:t>Masulis</w:t>
      </w:r>
      <w:proofErr w:type="spellEnd"/>
      <w:r>
        <w:rPr>
          <w:shd w:val="clear" w:color="auto" w:fill="FFFFFF"/>
        </w:rPr>
        <w:t xml:space="preserve"> R W, Mobbs S (2014). Independent director incentives: Where do talented directors spend their limited time and </w:t>
      </w:r>
      <w:proofErr w:type="gramStart"/>
      <w:r>
        <w:rPr>
          <w:shd w:val="clear" w:color="auto" w:fill="FFFFFF"/>
        </w:rPr>
        <w:t>energy?[</w:t>
      </w:r>
      <w:proofErr w:type="gramEnd"/>
      <w:r>
        <w:rPr>
          <w:shd w:val="clear" w:color="auto" w:fill="FFFFFF"/>
        </w:rPr>
        <w:t>J]. Journal of financial economics, 111(2): 406-429.</w:t>
      </w:r>
    </w:p>
    <w:p w14:paraId="1FBFB594" w14:textId="77777777" w:rsidR="00A131BA" w:rsidRPr="00A131BA" w:rsidRDefault="00A131BA" w:rsidP="00646F82">
      <w:pPr>
        <w:pStyle w:val="af7"/>
        <w:numPr>
          <w:ilvl w:val="0"/>
          <w:numId w:val="12"/>
        </w:numPr>
        <w:ind w:left="0" w:firstLineChars="0" w:firstLine="0"/>
        <w:rPr>
          <w:shd w:val="clear" w:color="auto" w:fill="FFFFFF"/>
        </w:rPr>
      </w:pPr>
      <w:proofErr w:type="spellStart"/>
      <w:r>
        <w:rPr>
          <w:shd w:val="clear" w:color="auto" w:fill="FFFFFF"/>
        </w:rPr>
        <w:t>Haldar</w:t>
      </w:r>
      <w:proofErr w:type="spellEnd"/>
      <w:r>
        <w:rPr>
          <w:shd w:val="clear" w:color="auto" w:fill="FFFFFF"/>
        </w:rPr>
        <w:t xml:space="preserve"> A, Shah R, Rao S V D N, et al (2018). Corporate performance: Does board independence </w:t>
      </w:r>
      <w:proofErr w:type="gramStart"/>
      <w:r>
        <w:rPr>
          <w:shd w:val="clear" w:color="auto" w:fill="FFFFFF"/>
        </w:rPr>
        <w:t>matter?–</w:t>
      </w:r>
      <w:proofErr w:type="gramEnd"/>
      <w:r>
        <w:rPr>
          <w:shd w:val="clear" w:color="auto" w:fill="FFFFFF"/>
        </w:rPr>
        <w:t>Indian evidence[J]. International Journal of Organizational Analysis.</w:t>
      </w:r>
    </w:p>
    <w:p w14:paraId="18A5A17F" w14:textId="77777777" w:rsidR="00A131BA" w:rsidRDefault="00A131BA" w:rsidP="00646F82">
      <w:pPr>
        <w:pStyle w:val="af7"/>
        <w:numPr>
          <w:ilvl w:val="0"/>
          <w:numId w:val="12"/>
        </w:numPr>
        <w:ind w:left="0" w:firstLineChars="0" w:firstLine="0"/>
      </w:pPr>
      <w:proofErr w:type="spellStart"/>
      <w:r>
        <w:rPr>
          <w:shd w:val="clear" w:color="auto" w:fill="FFFFFF"/>
        </w:rPr>
        <w:t>Jenwittayaroje</w:t>
      </w:r>
      <w:proofErr w:type="spellEnd"/>
      <w:r>
        <w:rPr>
          <w:shd w:val="clear" w:color="auto" w:fill="FFFFFF"/>
        </w:rPr>
        <w:t xml:space="preserve"> N, </w:t>
      </w:r>
      <w:proofErr w:type="spellStart"/>
      <w:r>
        <w:rPr>
          <w:shd w:val="clear" w:color="auto" w:fill="FFFFFF"/>
        </w:rPr>
        <w:t>Jiraporn</w:t>
      </w:r>
      <w:proofErr w:type="spellEnd"/>
      <w:r>
        <w:rPr>
          <w:shd w:val="clear" w:color="auto" w:fill="FFFFFF"/>
        </w:rPr>
        <w:t xml:space="preserve"> P (2019). Do independent directors improve firm value? Evidence from the great recession[J]. International Review of Finance,19(1): 207-222.</w:t>
      </w:r>
    </w:p>
    <w:p w14:paraId="2531377E" w14:textId="77777777" w:rsidR="00A131BA" w:rsidRDefault="00A131BA" w:rsidP="00646F82">
      <w:pPr>
        <w:pStyle w:val="af7"/>
        <w:numPr>
          <w:ilvl w:val="0"/>
          <w:numId w:val="12"/>
        </w:numPr>
        <w:ind w:left="0" w:firstLineChars="0" w:firstLine="0"/>
        <w:rPr>
          <w:shd w:val="clear" w:color="auto" w:fill="FFFFFF"/>
        </w:rPr>
      </w:pPr>
      <w:r>
        <w:rPr>
          <w:shd w:val="clear" w:color="auto" w:fill="FFFFFF"/>
        </w:rPr>
        <w:t>James H L, Ngo T, Wang H (2021). Independent director tenure and corporate transparency[J]. The North American Journal of Economics and Finance, 57: 101413.</w:t>
      </w:r>
    </w:p>
    <w:p w14:paraId="6C2A92A5" w14:textId="77777777" w:rsidR="00A131BA" w:rsidRDefault="00A131BA" w:rsidP="00646F82">
      <w:pPr>
        <w:pStyle w:val="af7"/>
        <w:numPr>
          <w:ilvl w:val="0"/>
          <w:numId w:val="12"/>
        </w:numPr>
        <w:ind w:left="0" w:firstLineChars="0" w:firstLine="0"/>
        <w:rPr>
          <w:shd w:val="clear" w:color="auto" w:fill="FFFFFF"/>
        </w:rPr>
      </w:pPr>
      <w:proofErr w:type="spellStart"/>
      <w:r>
        <w:rPr>
          <w:shd w:val="clear" w:color="auto" w:fill="FFFFFF"/>
        </w:rPr>
        <w:t>Bonini</w:t>
      </w:r>
      <w:proofErr w:type="spellEnd"/>
      <w:r>
        <w:rPr>
          <w:shd w:val="clear" w:color="auto" w:fill="FFFFFF"/>
        </w:rPr>
        <w:t xml:space="preserve"> S, Deng J, Ferrari M, et al (2021). Long</w:t>
      </w:r>
      <w:r>
        <w:rPr>
          <w:rFonts w:ascii="宋体" w:hAnsi="宋体" w:cs="宋体" w:hint="eastAsia"/>
          <w:shd w:val="clear" w:color="auto" w:fill="FFFFFF"/>
        </w:rPr>
        <w:t>‐</w:t>
      </w:r>
      <w:r>
        <w:rPr>
          <w:shd w:val="clear" w:color="auto" w:fill="FFFFFF"/>
        </w:rPr>
        <w:t>tenured independent directors and firm performance[J]. Strategic Management Journal.</w:t>
      </w:r>
    </w:p>
    <w:p w14:paraId="3848B4C9" w14:textId="77777777" w:rsidR="00A131BA" w:rsidRDefault="00A131BA" w:rsidP="00646F82">
      <w:pPr>
        <w:pStyle w:val="af7"/>
        <w:numPr>
          <w:ilvl w:val="0"/>
          <w:numId w:val="12"/>
        </w:numPr>
        <w:ind w:left="0" w:firstLineChars="0" w:firstLine="0"/>
        <w:rPr>
          <w:shd w:val="clear" w:color="auto" w:fill="FFFFFF"/>
        </w:rPr>
      </w:pPr>
      <w:r>
        <w:rPr>
          <w:shd w:val="clear" w:color="auto" w:fill="FFFFFF"/>
        </w:rPr>
        <w:t>Bar-</w:t>
      </w:r>
      <w:proofErr w:type="spellStart"/>
      <w:r>
        <w:rPr>
          <w:shd w:val="clear" w:color="auto" w:fill="FFFFFF"/>
        </w:rPr>
        <w:t>Hava</w:t>
      </w:r>
      <w:proofErr w:type="spellEnd"/>
      <w:r>
        <w:rPr>
          <w:shd w:val="clear" w:color="auto" w:fill="FFFFFF"/>
        </w:rPr>
        <w:t xml:space="preserve"> K, Huang S, Segal B, et al (2021). Do independent directors tell the truth, the whole truth, and nothing but the truth when they resign? [J]. Journal of Accounting, Auditing &amp; Finance, 36(1): 3-29.</w:t>
      </w:r>
    </w:p>
    <w:p w14:paraId="584C4BC6" w14:textId="77777777" w:rsidR="00A131BA" w:rsidRDefault="00A131BA" w:rsidP="00646F82">
      <w:pPr>
        <w:pStyle w:val="af7"/>
        <w:numPr>
          <w:ilvl w:val="0"/>
          <w:numId w:val="12"/>
        </w:numPr>
        <w:ind w:left="0" w:firstLineChars="0" w:firstLine="0"/>
        <w:rPr>
          <w:shd w:val="clear" w:color="auto" w:fill="FFFFFF"/>
        </w:rPr>
      </w:pPr>
      <w:r>
        <w:rPr>
          <w:shd w:val="clear" w:color="auto" w:fill="FFFFFF"/>
        </w:rPr>
        <w:t xml:space="preserve">Choi W, </w:t>
      </w:r>
      <w:proofErr w:type="spellStart"/>
      <w:r>
        <w:rPr>
          <w:shd w:val="clear" w:color="auto" w:fill="FFFFFF"/>
        </w:rPr>
        <w:t>Rabarison</w:t>
      </w:r>
      <w:proofErr w:type="spellEnd"/>
      <w:r>
        <w:rPr>
          <w:shd w:val="clear" w:color="auto" w:fill="FFFFFF"/>
        </w:rPr>
        <w:t xml:space="preserve"> M K, Wang B (2021). Independent directors’ dissensions and firm value[J]. The Quarterly Review of Economics and Finance, 80: 258-271.</w:t>
      </w:r>
    </w:p>
    <w:p w14:paraId="244F2DFA" w14:textId="67C59289" w:rsidR="00A131BA" w:rsidRPr="00A131BA" w:rsidRDefault="00A131BA" w:rsidP="00646F82">
      <w:pPr>
        <w:pStyle w:val="af7"/>
        <w:numPr>
          <w:ilvl w:val="0"/>
          <w:numId w:val="12"/>
        </w:numPr>
        <w:ind w:left="0" w:firstLineChars="0" w:firstLine="0"/>
        <w:rPr>
          <w:shd w:val="clear" w:color="auto" w:fill="FFFFFF"/>
        </w:rPr>
      </w:pPr>
      <w:r>
        <w:rPr>
          <w:shd w:val="clear" w:color="auto" w:fill="FFFFFF"/>
        </w:rPr>
        <w:t xml:space="preserve">Le Q, </w:t>
      </w:r>
      <w:proofErr w:type="spellStart"/>
      <w:r>
        <w:rPr>
          <w:shd w:val="clear" w:color="auto" w:fill="FFFFFF"/>
        </w:rPr>
        <w:t>Vafaei</w:t>
      </w:r>
      <w:proofErr w:type="spellEnd"/>
      <w:r>
        <w:rPr>
          <w:shd w:val="clear" w:color="auto" w:fill="FFFFFF"/>
        </w:rPr>
        <w:t xml:space="preserve"> A, Ahmed K, et al (2022). Independent directors' reputation incentives and firm performance–an Australian perspective[J]. Pacific-Basin Finance Journal: 101709.</w:t>
      </w:r>
    </w:p>
    <w:p w14:paraId="773232BD" w14:textId="04469F05" w:rsidR="00812077" w:rsidRDefault="00812077" w:rsidP="004E4EE4">
      <w:pPr>
        <w:pStyle w:val="af7"/>
        <w:numPr>
          <w:ilvl w:val="0"/>
          <w:numId w:val="12"/>
        </w:numPr>
        <w:ind w:left="0" w:firstLineChars="0" w:firstLine="0"/>
      </w:pPr>
      <w:r w:rsidRPr="00DD270E">
        <w:rPr>
          <w:rFonts w:hint="eastAsia"/>
        </w:rPr>
        <w:t>李善民</w:t>
      </w:r>
      <w:r w:rsidRPr="00DD270E">
        <w:rPr>
          <w:rFonts w:hint="eastAsia"/>
        </w:rPr>
        <w:t>,</w:t>
      </w:r>
      <w:r w:rsidRPr="00DD270E">
        <w:rPr>
          <w:rFonts w:hint="eastAsia"/>
        </w:rPr>
        <w:t>陈正道</w:t>
      </w:r>
      <w:r w:rsidRPr="00DD270E">
        <w:rPr>
          <w:rFonts w:hint="eastAsia"/>
        </w:rPr>
        <w:t>.</w:t>
      </w:r>
      <w:r w:rsidRPr="00DD270E">
        <w:rPr>
          <w:rFonts w:hint="eastAsia"/>
        </w:rPr>
        <w:t>独立董事制度与股东的财富变化</w:t>
      </w:r>
      <w:r w:rsidRPr="00DD270E">
        <w:rPr>
          <w:rFonts w:hint="eastAsia"/>
        </w:rPr>
        <w:t>[J].</w:t>
      </w:r>
      <w:r w:rsidRPr="00DD270E">
        <w:rPr>
          <w:rFonts w:hint="eastAsia"/>
        </w:rPr>
        <w:t>中山大学学报：社会科学版</w:t>
      </w:r>
      <w:r w:rsidRPr="00DD270E">
        <w:rPr>
          <w:rFonts w:hint="eastAsia"/>
        </w:rPr>
        <w:t>,2002,42(5):92-99</w:t>
      </w:r>
    </w:p>
    <w:p w14:paraId="2F9D2D45" w14:textId="77777777" w:rsidR="00812077" w:rsidRDefault="00812077" w:rsidP="004E4EE4">
      <w:pPr>
        <w:pStyle w:val="af7"/>
        <w:numPr>
          <w:ilvl w:val="0"/>
          <w:numId w:val="12"/>
        </w:numPr>
        <w:ind w:left="0" w:firstLineChars="0" w:firstLine="0"/>
      </w:pPr>
      <w:proofErr w:type="gramStart"/>
      <w:r w:rsidRPr="002D047E">
        <w:rPr>
          <w:rFonts w:hint="eastAsia"/>
        </w:rPr>
        <w:lastRenderedPageBreak/>
        <w:t>支晓强</w:t>
      </w:r>
      <w:proofErr w:type="gramEnd"/>
      <w:r w:rsidRPr="002D047E">
        <w:rPr>
          <w:rFonts w:hint="eastAsia"/>
        </w:rPr>
        <w:t>,</w:t>
      </w:r>
      <w:proofErr w:type="gramStart"/>
      <w:r w:rsidRPr="002D047E">
        <w:rPr>
          <w:rFonts w:hint="eastAsia"/>
        </w:rPr>
        <w:t>童盼</w:t>
      </w:r>
      <w:proofErr w:type="gramEnd"/>
      <w:r w:rsidRPr="002D047E">
        <w:rPr>
          <w:rFonts w:hint="eastAsia"/>
        </w:rPr>
        <w:t>.</w:t>
      </w:r>
      <w:r w:rsidRPr="002D047E">
        <w:rPr>
          <w:rFonts w:hint="eastAsia"/>
        </w:rPr>
        <w:t>盈余管理、控制权转移与独立董事变更——兼论独立董事治理</w:t>
      </w:r>
      <w:r w:rsidRPr="004E4EE4">
        <w:rPr>
          <w:rFonts w:hint="eastAsia"/>
          <w:shd w:val="clear" w:color="auto" w:fill="FFFFFF"/>
        </w:rPr>
        <w:t>作用</w:t>
      </w:r>
      <w:r w:rsidRPr="002D047E">
        <w:rPr>
          <w:rFonts w:hint="eastAsia"/>
        </w:rPr>
        <w:t>的发挥</w:t>
      </w:r>
      <w:r w:rsidRPr="002D047E">
        <w:rPr>
          <w:rFonts w:hint="eastAsia"/>
        </w:rPr>
        <w:t>[J].</w:t>
      </w:r>
      <w:r w:rsidRPr="002D047E">
        <w:rPr>
          <w:rFonts w:hint="eastAsia"/>
        </w:rPr>
        <w:t>管理世界</w:t>
      </w:r>
      <w:r w:rsidRPr="002D047E">
        <w:rPr>
          <w:rFonts w:hint="eastAsia"/>
        </w:rPr>
        <w:t>,2005(11):137-144</w:t>
      </w:r>
    </w:p>
    <w:p w14:paraId="2AB811A8" w14:textId="77777777" w:rsidR="00812077" w:rsidRDefault="00812077" w:rsidP="004E4EE4">
      <w:pPr>
        <w:pStyle w:val="af7"/>
        <w:numPr>
          <w:ilvl w:val="0"/>
          <w:numId w:val="12"/>
        </w:numPr>
        <w:ind w:left="0" w:firstLineChars="0" w:firstLine="0"/>
      </w:pPr>
      <w:r w:rsidRPr="002D047E">
        <w:rPr>
          <w:rFonts w:hint="eastAsia"/>
        </w:rPr>
        <w:t>唐清泉</w:t>
      </w:r>
      <w:r w:rsidRPr="002D047E">
        <w:rPr>
          <w:rFonts w:hint="eastAsia"/>
        </w:rPr>
        <w:t>,</w:t>
      </w:r>
      <w:proofErr w:type="gramStart"/>
      <w:r w:rsidRPr="002D047E">
        <w:rPr>
          <w:rFonts w:hint="eastAsia"/>
        </w:rPr>
        <w:t>罗党论</w:t>
      </w:r>
      <w:proofErr w:type="gramEnd"/>
      <w:r w:rsidRPr="002D047E">
        <w:rPr>
          <w:rFonts w:hint="eastAsia"/>
        </w:rPr>
        <w:t>,</w:t>
      </w:r>
      <w:r w:rsidRPr="002D047E">
        <w:rPr>
          <w:rFonts w:hint="eastAsia"/>
        </w:rPr>
        <w:t>王莉</w:t>
      </w:r>
      <w:r w:rsidRPr="002D047E">
        <w:rPr>
          <w:rFonts w:hint="eastAsia"/>
        </w:rPr>
        <w:t>.</w:t>
      </w:r>
      <w:r w:rsidRPr="002D047E">
        <w:rPr>
          <w:rFonts w:hint="eastAsia"/>
        </w:rPr>
        <w:t>上市公司独立董事辞职行为研究——基于前景理论的分析</w:t>
      </w:r>
      <w:r w:rsidRPr="002D047E">
        <w:rPr>
          <w:rFonts w:hint="eastAsia"/>
        </w:rPr>
        <w:t>[J].</w:t>
      </w:r>
      <w:r w:rsidRPr="002D047E">
        <w:rPr>
          <w:rFonts w:hint="eastAsia"/>
        </w:rPr>
        <w:t>南开管理评论</w:t>
      </w:r>
      <w:r w:rsidRPr="002D047E">
        <w:rPr>
          <w:rFonts w:hint="eastAsia"/>
        </w:rPr>
        <w:t>,2006,9(1):74-83</w:t>
      </w:r>
    </w:p>
    <w:p w14:paraId="3DE76082" w14:textId="77777777" w:rsidR="00812077" w:rsidRDefault="00812077" w:rsidP="004E4EE4">
      <w:pPr>
        <w:pStyle w:val="af7"/>
        <w:numPr>
          <w:ilvl w:val="0"/>
          <w:numId w:val="12"/>
        </w:numPr>
        <w:ind w:left="0" w:firstLineChars="0" w:firstLine="0"/>
      </w:pPr>
      <w:r w:rsidRPr="002D047E">
        <w:rPr>
          <w:rFonts w:hint="eastAsia"/>
        </w:rPr>
        <w:t>唐清泉</w:t>
      </w:r>
      <w:r w:rsidRPr="002D047E">
        <w:rPr>
          <w:rFonts w:hint="eastAsia"/>
        </w:rPr>
        <w:t>,</w:t>
      </w:r>
      <w:proofErr w:type="gramStart"/>
      <w:r w:rsidRPr="002D047E">
        <w:rPr>
          <w:rFonts w:hint="eastAsia"/>
        </w:rPr>
        <w:t>罗党论</w:t>
      </w:r>
      <w:proofErr w:type="gramEnd"/>
      <w:r w:rsidRPr="002D047E">
        <w:rPr>
          <w:rFonts w:hint="eastAsia"/>
        </w:rPr>
        <w:t>.</w:t>
      </w:r>
      <w:r w:rsidRPr="002D047E">
        <w:rPr>
          <w:rFonts w:hint="eastAsia"/>
        </w:rPr>
        <w:t>风险感知力与独立董事辞职行为研究——来自中国上市公司的经验</w:t>
      </w:r>
      <w:r w:rsidRPr="002D047E">
        <w:rPr>
          <w:rFonts w:hint="eastAsia"/>
        </w:rPr>
        <w:t>[J].</w:t>
      </w:r>
      <w:r w:rsidRPr="002D047E">
        <w:rPr>
          <w:rFonts w:hint="eastAsia"/>
        </w:rPr>
        <w:t>中山大学学报：社会科学版</w:t>
      </w:r>
      <w:r w:rsidRPr="002D047E">
        <w:rPr>
          <w:rFonts w:hint="eastAsia"/>
        </w:rPr>
        <w:t>,2007,47(1):91-98127</w:t>
      </w:r>
    </w:p>
    <w:p w14:paraId="5805724D" w14:textId="77777777" w:rsidR="00812077" w:rsidRDefault="00812077" w:rsidP="004E4EE4">
      <w:pPr>
        <w:pStyle w:val="af7"/>
        <w:numPr>
          <w:ilvl w:val="0"/>
          <w:numId w:val="12"/>
        </w:numPr>
        <w:ind w:left="0" w:firstLineChars="0" w:firstLine="0"/>
      </w:pPr>
      <w:r w:rsidRPr="00350541">
        <w:rPr>
          <w:rFonts w:hint="eastAsia"/>
        </w:rPr>
        <w:t>张俊生</w:t>
      </w:r>
      <w:r w:rsidRPr="00350541">
        <w:rPr>
          <w:rFonts w:hint="eastAsia"/>
        </w:rPr>
        <w:t>,</w:t>
      </w:r>
      <w:r w:rsidRPr="00350541">
        <w:rPr>
          <w:rFonts w:hint="eastAsia"/>
        </w:rPr>
        <w:t>曾亚敏</w:t>
      </w:r>
      <w:r w:rsidRPr="00350541">
        <w:rPr>
          <w:rFonts w:hint="eastAsia"/>
        </w:rPr>
        <w:t>.</w:t>
      </w:r>
      <w:r w:rsidRPr="00350541">
        <w:rPr>
          <w:rFonts w:hint="eastAsia"/>
        </w:rPr>
        <w:t>独立董事辞职行为的信息含量</w:t>
      </w:r>
      <w:r w:rsidRPr="00350541">
        <w:rPr>
          <w:rFonts w:hint="eastAsia"/>
        </w:rPr>
        <w:t>[J].</w:t>
      </w:r>
      <w:r w:rsidRPr="00350541">
        <w:rPr>
          <w:rFonts w:hint="eastAsia"/>
        </w:rPr>
        <w:t>金融研究</w:t>
      </w:r>
      <w:r w:rsidRPr="00350541">
        <w:rPr>
          <w:rFonts w:hint="eastAsia"/>
        </w:rPr>
        <w:t>,2010(8):155-170</w:t>
      </w:r>
    </w:p>
    <w:p w14:paraId="11C5D497" w14:textId="77777777" w:rsidR="00812077" w:rsidRDefault="00812077" w:rsidP="004E4EE4">
      <w:pPr>
        <w:pStyle w:val="af7"/>
        <w:numPr>
          <w:ilvl w:val="0"/>
          <w:numId w:val="12"/>
        </w:numPr>
        <w:ind w:left="0" w:firstLineChars="0" w:firstLine="0"/>
      </w:pPr>
      <w:r w:rsidRPr="00350541">
        <w:rPr>
          <w:rFonts w:hint="eastAsia"/>
        </w:rPr>
        <w:t>李焰</w:t>
      </w:r>
      <w:r w:rsidRPr="00350541">
        <w:rPr>
          <w:rFonts w:hint="eastAsia"/>
        </w:rPr>
        <w:t>,</w:t>
      </w:r>
      <w:r w:rsidRPr="00350541">
        <w:rPr>
          <w:rFonts w:hint="eastAsia"/>
        </w:rPr>
        <w:t>秦义虎</w:t>
      </w:r>
      <w:r w:rsidRPr="00350541">
        <w:rPr>
          <w:rFonts w:hint="eastAsia"/>
        </w:rPr>
        <w:t>.</w:t>
      </w:r>
      <w:r w:rsidRPr="00350541">
        <w:rPr>
          <w:rFonts w:hint="eastAsia"/>
        </w:rPr>
        <w:t>媒体监督、声誉机制与独立董事辞职行为</w:t>
      </w:r>
      <w:r w:rsidRPr="00350541">
        <w:rPr>
          <w:rFonts w:hint="eastAsia"/>
        </w:rPr>
        <w:t>[J].</w:t>
      </w:r>
      <w:r w:rsidRPr="00350541">
        <w:rPr>
          <w:rFonts w:hint="eastAsia"/>
        </w:rPr>
        <w:t>财贸经济</w:t>
      </w:r>
      <w:r w:rsidRPr="00350541">
        <w:rPr>
          <w:rFonts w:hint="eastAsia"/>
        </w:rPr>
        <w:t>,2011(3):36-4160</w:t>
      </w:r>
    </w:p>
    <w:p w14:paraId="6144D9F7" w14:textId="77777777" w:rsidR="00812077" w:rsidRDefault="00812077" w:rsidP="004E4EE4">
      <w:pPr>
        <w:pStyle w:val="af7"/>
        <w:numPr>
          <w:ilvl w:val="0"/>
          <w:numId w:val="12"/>
        </w:numPr>
        <w:ind w:left="0" w:firstLineChars="0" w:firstLine="0"/>
      </w:pPr>
      <w:r w:rsidRPr="006F6065">
        <w:rPr>
          <w:rFonts w:hint="eastAsia"/>
        </w:rPr>
        <w:t>戴亦</w:t>
      </w:r>
      <w:proofErr w:type="gramStart"/>
      <w:r w:rsidRPr="006F6065">
        <w:rPr>
          <w:rFonts w:hint="eastAsia"/>
        </w:rPr>
        <w:t>一</w:t>
      </w:r>
      <w:proofErr w:type="gramEnd"/>
      <w:r w:rsidRPr="006F6065">
        <w:rPr>
          <w:rFonts w:hint="eastAsia"/>
        </w:rPr>
        <w:t>,</w:t>
      </w:r>
      <w:r w:rsidRPr="006F6065">
        <w:rPr>
          <w:rFonts w:hint="eastAsia"/>
        </w:rPr>
        <w:t>陈冠霖</w:t>
      </w:r>
      <w:r w:rsidRPr="006F6065">
        <w:rPr>
          <w:rFonts w:hint="eastAsia"/>
        </w:rPr>
        <w:t>,</w:t>
      </w:r>
      <w:r w:rsidRPr="006F6065">
        <w:rPr>
          <w:rFonts w:hint="eastAsia"/>
        </w:rPr>
        <w:t>潘健平</w:t>
      </w:r>
      <w:r w:rsidRPr="006F6065">
        <w:rPr>
          <w:rFonts w:hint="eastAsia"/>
        </w:rPr>
        <w:t>.</w:t>
      </w:r>
      <w:r w:rsidRPr="006F6065">
        <w:rPr>
          <w:rFonts w:hint="eastAsia"/>
        </w:rPr>
        <w:t>独立董事辞职、政治关系与公司治理缺陷</w:t>
      </w:r>
      <w:r w:rsidRPr="006F6065">
        <w:rPr>
          <w:rFonts w:hint="eastAsia"/>
        </w:rPr>
        <w:t>[J].</w:t>
      </w:r>
      <w:r w:rsidRPr="006F6065">
        <w:rPr>
          <w:rFonts w:hint="eastAsia"/>
        </w:rPr>
        <w:t>会计研究</w:t>
      </w:r>
      <w:r w:rsidRPr="006F6065">
        <w:rPr>
          <w:rFonts w:hint="eastAsia"/>
        </w:rPr>
        <w:t>,2014,0(11):16-2396</w:t>
      </w:r>
    </w:p>
    <w:p w14:paraId="33E9B777" w14:textId="77777777" w:rsidR="00812077" w:rsidRDefault="00812077" w:rsidP="004E4EE4">
      <w:pPr>
        <w:pStyle w:val="af7"/>
        <w:numPr>
          <w:ilvl w:val="0"/>
          <w:numId w:val="12"/>
        </w:numPr>
        <w:ind w:left="0" w:firstLineChars="0" w:firstLine="0"/>
      </w:pPr>
      <w:r w:rsidRPr="004E4EE4">
        <w:rPr>
          <w:rFonts w:hint="eastAsia"/>
          <w:shd w:val="clear" w:color="auto" w:fill="FFFFFF"/>
        </w:rPr>
        <w:t>郝云宏</w:t>
      </w:r>
      <w:r w:rsidRPr="006F6065">
        <w:rPr>
          <w:rFonts w:hint="eastAsia"/>
        </w:rPr>
        <w:t>,</w:t>
      </w:r>
      <w:r w:rsidRPr="006F6065">
        <w:rPr>
          <w:rFonts w:hint="eastAsia"/>
        </w:rPr>
        <w:t>甘甜</w:t>
      </w:r>
      <w:r w:rsidRPr="006F6065">
        <w:rPr>
          <w:rFonts w:hint="eastAsia"/>
        </w:rPr>
        <w:t>,</w:t>
      </w:r>
      <w:r w:rsidRPr="006F6065">
        <w:rPr>
          <w:rFonts w:hint="eastAsia"/>
        </w:rPr>
        <w:t>林仙云</w:t>
      </w:r>
      <w:r w:rsidRPr="006F6065">
        <w:rPr>
          <w:rFonts w:hint="eastAsia"/>
        </w:rPr>
        <w:t>.</w:t>
      </w:r>
      <w:r w:rsidRPr="006F6065">
        <w:rPr>
          <w:rFonts w:hint="eastAsia"/>
        </w:rPr>
        <w:t>独立董事的身份对企业绩效的影响</w:t>
      </w:r>
      <w:r w:rsidRPr="006F6065">
        <w:rPr>
          <w:rFonts w:hint="eastAsia"/>
        </w:rPr>
        <w:t>[J].</w:t>
      </w:r>
      <w:r w:rsidRPr="006F6065">
        <w:rPr>
          <w:rFonts w:hint="eastAsia"/>
        </w:rPr>
        <w:t>管理学报</w:t>
      </w:r>
      <w:r w:rsidRPr="006F6065">
        <w:rPr>
          <w:rFonts w:hint="eastAsia"/>
        </w:rPr>
        <w:t>,2014,11(4):520-524</w:t>
      </w:r>
    </w:p>
    <w:p w14:paraId="0522E80D" w14:textId="77777777" w:rsidR="00812077" w:rsidRDefault="00812077" w:rsidP="004E4EE4">
      <w:pPr>
        <w:pStyle w:val="af7"/>
        <w:numPr>
          <w:ilvl w:val="0"/>
          <w:numId w:val="12"/>
        </w:numPr>
        <w:ind w:left="0" w:firstLineChars="0" w:firstLine="0"/>
      </w:pPr>
      <w:proofErr w:type="gramStart"/>
      <w:r w:rsidRPr="009E7B44">
        <w:rPr>
          <w:rFonts w:hint="eastAsia"/>
        </w:rPr>
        <w:t>醋卫华</w:t>
      </w:r>
      <w:proofErr w:type="gramEnd"/>
      <w:r w:rsidRPr="009E7B44">
        <w:rPr>
          <w:rFonts w:hint="eastAsia"/>
        </w:rPr>
        <w:t>.</w:t>
      </w:r>
      <w:r w:rsidRPr="009E7B44">
        <w:rPr>
          <w:rFonts w:hint="eastAsia"/>
        </w:rPr>
        <w:t>独立董事的价值</w:t>
      </w:r>
      <w:r w:rsidRPr="009E7B44">
        <w:rPr>
          <w:rFonts w:hint="eastAsia"/>
        </w:rPr>
        <w:t>:</w:t>
      </w:r>
      <w:r w:rsidRPr="009E7B44">
        <w:rPr>
          <w:rFonts w:hint="eastAsia"/>
        </w:rPr>
        <w:t>来自独立董事集中辞职的证据</w:t>
      </w:r>
      <w:r w:rsidRPr="009E7B44">
        <w:rPr>
          <w:rFonts w:hint="eastAsia"/>
        </w:rPr>
        <w:t>[J].</w:t>
      </w:r>
      <w:r w:rsidRPr="009E7B44">
        <w:rPr>
          <w:rFonts w:hint="eastAsia"/>
        </w:rPr>
        <w:t>经济管理</w:t>
      </w:r>
      <w:r w:rsidRPr="009E7B44">
        <w:rPr>
          <w:rFonts w:hint="eastAsia"/>
        </w:rPr>
        <w:t>,2015,0(3):56-66</w:t>
      </w:r>
    </w:p>
    <w:p w14:paraId="4981D9E6" w14:textId="5AEC0C3A" w:rsidR="00513EA4" w:rsidRPr="00BC446A" w:rsidRDefault="00BC446A" w:rsidP="004E4EE4">
      <w:pPr>
        <w:pStyle w:val="af7"/>
        <w:numPr>
          <w:ilvl w:val="0"/>
          <w:numId w:val="12"/>
        </w:numPr>
        <w:ind w:left="0" w:firstLineChars="0" w:firstLine="0"/>
      </w:pPr>
      <w:r>
        <w:rPr>
          <w:rFonts w:hint="eastAsia"/>
          <w:shd w:val="clear" w:color="auto" w:fill="FFFFFF"/>
        </w:rPr>
        <w:t>陈非</w:t>
      </w:r>
      <w:r>
        <w:rPr>
          <w:rFonts w:hint="eastAsia"/>
          <w:shd w:val="clear" w:color="auto" w:fill="FFFFFF"/>
        </w:rPr>
        <w:t>,</w:t>
      </w:r>
      <w:r>
        <w:rPr>
          <w:rFonts w:hint="eastAsia"/>
          <w:shd w:val="clear" w:color="auto" w:fill="FFFFFF"/>
        </w:rPr>
        <w:t>刘林丹</w:t>
      </w:r>
      <w:r>
        <w:rPr>
          <w:rFonts w:hint="eastAsia"/>
          <w:shd w:val="clear" w:color="auto" w:fill="FFFFFF"/>
        </w:rPr>
        <w:t>.</w:t>
      </w:r>
      <w:r>
        <w:rPr>
          <w:rFonts w:hint="eastAsia"/>
          <w:shd w:val="clear" w:color="auto" w:fill="FFFFFF"/>
        </w:rPr>
        <w:t>独立董事辞职的市场反应——以中国独立董事辞职潮为背景的研究</w:t>
      </w:r>
      <w:r>
        <w:rPr>
          <w:rFonts w:hint="eastAsia"/>
          <w:shd w:val="clear" w:color="auto" w:fill="FFFFFF"/>
        </w:rPr>
        <w:t>[J].</w:t>
      </w:r>
      <w:r>
        <w:rPr>
          <w:rFonts w:hint="eastAsia"/>
          <w:shd w:val="clear" w:color="auto" w:fill="FFFFFF"/>
        </w:rPr>
        <w:t>金融论坛</w:t>
      </w:r>
      <w:r>
        <w:rPr>
          <w:rFonts w:hint="eastAsia"/>
          <w:shd w:val="clear" w:color="auto" w:fill="FFFFFF"/>
        </w:rPr>
        <w:t>,2016,21(10):72-80</w:t>
      </w:r>
    </w:p>
    <w:p w14:paraId="2C9E0063" w14:textId="67930FFA" w:rsidR="00BC446A" w:rsidRDefault="00362C13" w:rsidP="004E4EE4">
      <w:pPr>
        <w:pStyle w:val="af7"/>
        <w:numPr>
          <w:ilvl w:val="0"/>
          <w:numId w:val="12"/>
        </w:numPr>
        <w:ind w:left="0" w:firstLineChars="0" w:firstLine="0"/>
      </w:pPr>
      <w:proofErr w:type="gramStart"/>
      <w:r w:rsidRPr="00362C13">
        <w:rPr>
          <w:rFonts w:hint="eastAsia"/>
        </w:rPr>
        <w:t>王性玉</w:t>
      </w:r>
      <w:proofErr w:type="gramEnd"/>
      <w:r w:rsidRPr="00362C13">
        <w:rPr>
          <w:rFonts w:hint="eastAsia"/>
        </w:rPr>
        <w:t>,</w:t>
      </w:r>
      <w:r w:rsidRPr="00362C13">
        <w:rPr>
          <w:rFonts w:hint="eastAsia"/>
        </w:rPr>
        <w:t>彭宇</w:t>
      </w:r>
      <w:r w:rsidRPr="00362C13">
        <w:rPr>
          <w:rFonts w:hint="eastAsia"/>
        </w:rPr>
        <w:t>.</w:t>
      </w:r>
      <w:r w:rsidRPr="00362C13">
        <w:rPr>
          <w:rFonts w:hint="eastAsia"/>
        </w:rPr>
        <w:t>独立董事辞职行为的信号传递效应</w:t>
      </w:r>
      <w:r w:rsidRPr="00362C13">
        <w:rPr>
          <w:rFonts w:hint="eastAsia"/>
        </w:rPr>
        <w:t>[J].</w:t>
      </w:r>
      <w:r w:rsidRPr="00362C13">
        <w:rPr>
          <w:rFonts w:hint="eastAsia"/>
        </w:rPr>
        <w:t>管理评论</w:t>
      </w:r>
      <w:r w:rsidRPr="00362C13">
        <w:rPr>
          <w:rFonts w:hint="eastAsia"/>
        </w:rPr>
        <w:t>,2012,24(12):31-3983</w:t>
      </w:r>
    </w:p>
    <w:p w14:paraId="49643A13" w14:textId="1235EED6" w:rsidR="00362C13" w:rsidRDefault="00362C13" w:rsidP="004E4EE4">
      <w:pPr>
        <w:pStyle w:val="af7"/>
        <w:numPr>
          <w:ilvl w:val="0"/>
          <w:numId w:val="12"/>
        </w:numPr>
        <w:ind w:left="0" w:firstLineChars="0" w:firstLine="0"/>
      </w:pPr>
      <w:r w:rsidRPr="00362C13">
        <w:rPr>
          <w:rFonts w:hint="eastAsia"/>
        </w:rPr>
        <w:t>李想</w:t>
      </w:r>
      <w:r w:rsidRPr="00362C13">
        <w:rPr>
          <w:rFonts w:hint="eastAsia"/>
        </w:rPr>
        <w:t>.</w:t>
      </w:r>
      <w:r w:rsidRPr="00362C13">
        <w:rPr>
          <w:rFonts w:hint="eastAsia"/>
        </w:rPr>
        <w:t>独立董事辞职的影响因素及其经济后果研究——文献综述</w:t>
      </w:r>
      <w:r w:rsidRPr="00362C13">
        <w:rPr>
          <w:rFonts w:hint="eastAsia"/>
        </w:rPr>
        <w:t>[J].</w:t>
      </w:r>
      <w:r w:rsidRPr="00362C13">
        <w:rPr>
          <w:rFonts w:hint="eastAsia"/>
        </w:rPr>
        <w:t>时代金融</w:t>
      </w:r>
      <w:r w:rsidRPr="00362C13">
        <w:rPr>
          <w:rFonts w:hint="eastAsia"/>
        </w:rPr>
        <w:t>,2014,0(11X):141-142</w:t>
      </w:r>
    </w:p>
    <w:p w14:paraId="536C3BC8" w14:textId="4625FA95" w:rsidR="00DD41E2" w:rsidRDefault="00DD41E2" w:rsidP="004E4EE4">
      <w:pPr>
        <w:pStyle w:val="af7"/>
        <w:numPr>
          <w:ilvl w:val="0"/>
          <w:numId w:val="12"/>
        </w:numPr>
        <w:ind w:left="0" w:firstLineChars="0" w:firstLine="0"/>
      </w:pPr>
      <w:proofErr w:type="gramStart"/>
      <w:r w:rsidRPr="00DD41E2">
        <w:rPr>
          <w:rFonts w:hint="eastAsia"/>
        </w:rPr>
        <w:t>谭</w:t>
      </w:r>
      <w:proofErr w:type="gramEnd"/>
      <w:r w:rsidRPr="00DD41E2">
        <w:rPr>
          <w:rFonts w:hint="eastAsia"/>
        </w:rPr>
        <w:t>劲松</w:t>
      </w:r>
      <w:r w:rsidRPr="00DD41E2">
        <w:rPr>
          <w:rFonts w:hint="eastAsia"/>
        </w:rPr>
        <w:t>,</w:t>
      </w:r>
      <w:r w:rsidRPr="00DD41E2">
        <w:rPr>
          <w:rFonts w:hint="eastAsia"/>
        </w:rPr>
        <w:t>郑国坚</w:t>
      </w:r>
      <w:r w:rsidRPr="00DD41E2">
        <w:rPr>
          <w:rFonts w:hint="eastAsia"/>
        </w:rPr>
        <w:t>,</w:t>
      </w:r>
      <w:r w:rsidRPr="00DD41E2">
        <w:rPr>
          <w:rFonts w:hint="eastAsia"/>
        </w:rPr>
        <w:t>周繁</w:t>
      </w:r>
      <w:r w:rsidRPr="00DD41E2">
        <w:rPr>
          <w:rFonts w:hint="eastAsia"/>
        </w:rPr>
        <w:t>.</w:t>
      </w:r>
      <w:r w:rsidRPr="00DD41E2">
        <w:rPr>
          <w:rFonts w:hint="eastAsia"/>
        </w:rPr>
        <w:t>独立董事辞职的影响因素：理论框架与实证分析</w:t>
      </w:r>
      <w:r w:rsidRPr="00DD41E2">
        <w:rPr>
          <w:rFonts w:hint="eastAsia"/>
        </w:rPr>
        <w:t>[J].</w:t>
      </w:r>
      <w:r w:rsidRPr="00DD41E2">
        <w:rPr>
          <w:rFonts w:hint="eastAsia"/>
        </w:rPr>
        <w:t>中国会计与财务研究</w:t>
      </w:r>
      <w:r w:rsidRPr="00DD41E2">
        <w:rPr>
          <w:rFonts w:hint="eastAsia"/>
        </w:rPr>
        <w:t>,2006(2):119-162</w:t>
      </w:r>
    </w:p>
    <w:p w14:paraId="315CE420" w14:textId="2D1FD140" w:rsidR="00DD41E2" w:rsidRDefault="00DD41E2" w:rsidP="004E4EE4">
      <w:pPr>
        <w:pStyle w:val="af7"/>
        <w:numPr>
          <w:ilvl w:val="0"/>
          <w:numId w:val="12"/>
        </w:numPr>
        <w:ind w:left="0" w:firstLineChars="0" w:firstLine="0"/>
      </w:pPr>
      <w:r w:rsidRPr="00DD41E2">
        <w:rPr>
          <w:rFonts w:hint="eastAsia"/>
        </w:rPr>
        <w:t>宁向东</w:t>
      </w:r>
      <w:r w:rsidRPr="00DD41E2">
        <w:rPr>
          <w:rFonts w:hint="eastAsia"/>
        </w:rPr>
        <w:t>,</w:t>
      </w:r>
      <w:r w:rsidRPr="00DD41E2">
        <w:rPr>
          <w:rFonts w:hint="eastAsia"/>
        </w:rPr>
        <w:t>崔弼</w:t>
      </w:r>
      <w:proofErr w:type="gramStart"/>
      <w:r w:rsidRPr="00DD41E2">
        <w:rPr>
          <w:rFonts w:hint="eastAsia"/>
        </w:rPr>
        <w:t>洙</w:t>
      </w:r>
      <w:proofErr w:type="gramEnd"/>
      <w:r w:rsidRPr="00DD41E2">
        <w:rPr>
          <w:rFonts w:hint="eastAsia"/>
        </w:rPr>
        <w:t>,</w:t>
      </w:r>
      <w:r w:rsidRPr="00DD41E2">
        <w:rPr>
          <w:rFonts w:hint="eastAsia"/>
        </w:rPr>
        <w:t>张颖</w:t>
      </w:r>
      <w:r w:rsidRPr="00DD41E2">
        <w:rPr>
          <w:rFonts w:hint="eastAsia"/>
        </w:rPr>
        <w:t>.</w:t>
      </w:r>
      <w:r w:rsidRPr="00DD41E2">
        <w:rPr>
          <w:rFonts w:hint="eastAsia"/>
        </w:rPr>
        <w:t>基于声誉的独立董事行为研究</w:t>
      </w:r>
      <w:r w:rsidRPr="00DD41E2">
        <w:rPr>
          <w:rFonts w:hint="eastAsia"/>
        </w:rPr>
        <w:t>[J].</w:t>
      </w:r>
      <w:r w:rsidRPr="00DD41E2">
        <w:rPr>
          <w:rFonts w:hint="eastAsia"/>
        </w:rPr>
        <w:t>清华大学学报：哲学社会科学版</w:t>
      </w:r>
      <w:r w:rsidRPr="00DD41E2">
        <w:rPr>
          <w:rFonts w:hint="eastAsia"/>
        </w:rPr>
        <w:t>,2012,27(1):129-136161</w:t>
      </w:r>
    </w:p>
    <w:p w14:paraId="0FBAF873" w14:textId="6F0BECC0" w:rsidR="00DD41E2" w:rsidRDefault="004A3DB9" w:rsidP="004E4EE4">
      <w:pPr>
        <w:pStyle w:val="af7"/>
        <w:numPr>
          <w:ilvl w:val="0"/>
          <w:numId w:val="12"/>
        </w:numPr>
        <w:ind w:left="0" w:firstLineChars="0" w:firstLine="0"/>
      </w:pPr>
      <w:r w:rsidRPr="004A3DB9">
        <w:rPr>
          <w:rFonts w:hint="eastAsia"/>
        </w:rPr>
        <w:t>唐清泉</w:t>
      </w:r>
      <w:r w:rsidRPr="004A3DB9">
        <w:rPr>
          <w:rFonts w:hint="eastAsia"/>
        </w:rPr>
        <w:t>,</w:t>
      </w:r>
      <w:proofErr w:type="gramStart"/>
      <w:r w:rsidRPr="004A3DB9">
        <w:rPr>
          <w:rFonts w:hint="eastAsia"/>
        </w:rPr>
        <w:t>罗党论</w:t>
      </w:r>
      <w:proofErr w:type="gramEnd"/>
      <w:r w:rsidRPr="004A3DB9">
        <w:rPr>
          <w:rFonts w:hint="eastAsia"/>
        </w:rPr>
        <w:t>.</w:t>
      </w:r>
      <w:r w:rsidRPr="004A3DB9">
        <w:rPr>
          <w:rFonts w:hint="eastAsia"/>
        </w:rPr>
        <w:t>设立独立董事的效果分析——来自中国上市公司独立董事的问卷调查</w:t>
      </w:r>
      <w:r w:rsidRPr="004A3DB9">
        <w:rPr>
          <w:rFonts w:hint="eastAsia"/>
        </w:rPr>
        <w:t>[J].</w:t>
      </w:r>
      <w:r w:rsidRPr="004A3DB9">
        <w:rPr>
          <w:rFonts w:hint="eastAsia"/>
        </w:rPr>
        <w:t>中国工业经济</w:t>
      </w:r>
      <w:r w:rsidRPr="004A3DB9">
        <w:rPr>
          <w:rFonts w:hint="eastAsia"/>
        </w:rPr>
        <w:t>,2006(1):120-127</w:t>
      </w:r>
    </w:p>
    <w:p w14:paraId="05BCB729" w14:textId="1E2591CC" w:rsidR="004A3DB9" w:rsidRDefault="004A3DB9" w:rsidP="004E4EE4">
      <w:pPr>
        <w:pStyle w:val="af7"/>
        <w:numPr>
          <w:ilvl w:val="0"/>
          <w:numId w:val="12"/>
        </w:numPr>
        <w:ind w:left="0" w:firstLineChars="0" w:firstLine="0"/>
      </w:pPr>
      <w:r w:rsidRPr="004A3DB9">
        <w:rPr>
          <w:rFonts w:hint="eastAsia"/>
        </w:rPr>
        <w:t>程姣姣</w:t>
      </w:r>
      <w:r w:rsidRPr="004A3DB9">
        <w:rPr>
          <w:rFonts w:hint="eastAsia"/>
        </w:rPr>
        <w:t>.</w:t>
      </w:r>
      <w:r w:rsidRPr="004A3DB9">
        <w:rPr>
          <w:rFonts w:hint="eastAsia"/>
        </w:rPr>
        <w:t>政治关联</w:t>
      </w:r>
      <w:proofErr w:type="gramStart"/>
      <w:r w:rsidRPr="004A3DB9">
        <w:rPr>
          <w:rFonts w:hint="eastAsia"/>
        </w:rPr>
        <w:t>型独立</w:t>
      </w:r>
      <w:proofErr w:type="gramEnd"/>
      <w:r w:rsidRPr="004A3DB9">
        <w:rPr>
          <w:rFonts w:hint="eastAsia"/>
        </w:rPr>
        <w:t>董事辞职与企业业绩——基于中国</w:t>
      </w:r>
      <w:r w:rsidRPr="004A3DB9">
        <w:rPr>
          <w:rFonts w:hint="eastAsia"/>
        </w:rPr>
        <w:t>A</w:t>
      </w:r>
      <w:r w:rsidRPr="004A3DB9">
        <w:rPr>
          <w:rFonts w:hint="eastAsia"/>
        </w:rPr>
        <w:t>股上市公司的</w:t>
      </w:r>
      <w:r w:rsidRPr="004A3DB9">
        <w:rPr>
          <w:rFonts w:hint="eastAsia"/>
        </w:rPr>
        <w:lastRenderedPageBreak/>
        <w:t>实证研究</w:t>
      </w:r>
      <w:r w:rsidRPr="004A3DB9">
        <w:rPr>
          <w:rFonts w:hint="eastAsia"/>
        </w:rPr>
        <w:t>[J].</w:t>
      </w:r>
      <w:r w:rsidRPr="004A3DB9">
        <w:rPr>
          <w:rFonts w:hint="eastAsia"/>
        </w:rPr>
        <w:t>中南</w:t>
      </w:r>
      <w:proofErr w:type="gramStart"/>
      <w:r w:rsidRPr="004A3DB9">
        <w:rPr>
          <w:rFonts w:hint="eastAsia"/>
        </w:rPr>
        <w:t>财经政法</w:t>
      </w:r>
      <w:proofErr w:type="gramEnd"/>
      <w:r w:rsidRPr="004A3DB9">
        <w:rPr>
          <w:rFonts w:hint="eastAsia"/>
        </w:rPr>
        <w:t>大学研究生学报</w:t>
      </w:r>
      <w:r w:rsidRPr="004A3DB9">
        <w:rPr>
          <w:rFonts w:hint="eastAsia"/>
        </w:rPr>
        <w:t>,2016,0(3):101-107</w:t>
      </w:r>
    </w:p>
    <w:p w14:paraId="5F041758" w14:textId="3B006E79" w:rsidR="00344B5E" w:rsidRDefault="00344B5E" w:rsidP="00C94194"/>
    <w:p w14:paraId="1A9AFA31" w14:textId="199745A4" w:rsidR="00344B5E" w:rsidRDefault="00344B5E" w:rsidP="00C94194"/>
    <w:sectPr w:rsidR="00344B5E" w:rsidSect="00604CB4">
      <w:footerReference w:type="default" r:id="rId14"/>
      <w:endnotePr>
        <w:numFmt w:val="decimal"/>
      </w:endnotePr>
      <w:pgSz w:w="11906" w:h="16838"/>
      <w:pgMar w:top="1440" w:right="1800" w:bottom="1440" w:left="1800" w:header="851" w:footer="567"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999D" w14:textId="77777777" w:rsidR="0051081F" w:rsidRDefault="0051081F">
      <w:pPr>
        <w:rPr>
          <w:sz w:val="18"/>
        </w:rPr>
      </w:pPr>
    </w:p>
  </w:endnote>
  <w:endnote w:type="continuationSeparator" w:id="0">
    <w:p w14:paraId="292DB2E8" w14:textId="77777777" w:rsidR="0051081F" w:rsidRDefault="0051081F">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1C75" w14:textId="77777777" w:rsidR="00A42430" w:rsidRDefault="00A42430">
    <w:pPr>
      <w:pStyle w:val="a8"/>
    </w:pPr>
  </w:p>
  <w:p w14:paraId="35C65140" w14:textId="77777777" w:rsidR="00E22E01" w:rsidRDefault="00E22E0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5000" w:type="pct"/>
      <w:tblBorders>
        <w:top w:val="none" w:sz="0" w:space="0" w:color="auto"/>
        <w:bottom w:val="none" w:sz="0" w:space="0" w:color="auto"/>
        <w:insideH w:val="single" w:sz="6" w:space="0" w:color="auto"/>
      </w:tblBorders>
      <w:tblLook w:val="04A0" w:firstRow="1" w:lastRow="0" w:firstColumn="1" w:lastColumn="0" w:noHBand="0" w:noVBand="1"/>
    </w:tblPr>
    <w:tblGrid>
      <w:gridCol w:w="3827"/>
      <w:gridCol w:w="850"/>
      <w:gridCol w:w="3827"/>
    </w:tblGrid>
    <w:tr w:rsidR="00312C78" w14:paraId="36C9A28E" w14:textId="77777777" w:rsidTr="00312C78">
      <w:trPr>
        <w:cnfStyle w:val="100000000000" w:firstRow="1" w:lastRow="0" w:firstColumn="0" w:lastColumn="0" w:oddVBand="0" w:evenVBand="0" w:oddHBand="0" w:evenHBand="0" w:firstRowFirstColumn="0" w:firstRowLastColumn="0" w:lastRowFirstColumn="0" w:lastRowLastColumn="0"/>
      </w:trPr>
      <w:tc>
        <w:tcPr>
          <w:tcW w:w="225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5BC123" w14:textId="77777777" w:rsidR="00312C78" w:rsidRDefault="00312C78">
          <w:pPr>
            <w:pStyle w:val="a8"/>
            <w:jc w:val="center"/>
          </w:pPr>
        </w:p>
      </w:tc>
      <w:tc>
        <w:tcPr>
          <w:tcW w:w="500" w:type="pct"/>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F0D38DA" w14:textId="4113A6FA" w:rsidR="00312C78" w:rsidRPr="00CB638D" w:rsidRDefault="00312C78">
          <w:pPr>
            <w:pStyle w:val="a8"/>
            <w:jc w:val="center"/>
            <w:rPr>
              <w:b/>
              <w:bCs/>
            </w:rPr>
          </w:pPr>
          <w:r w:rsidRPr="00CB638D">
            <w:rPr>
              <w:b/>
              <w:bCs/>
            </w:rPr>
            <w:fldChar w:fldCharType="begin"/>
          </w:r>
          <w:r w:rsidRPr="00CB638D">
            <w:rPr>
              <w:b/>
              <w:bCs/>
            </w:rPr>
            <w:instrText>PAGE   \* MERGEFORMAT</w:instrText>
          </w:r>
          <w:r w:rsidRPr="00CB638D">
            <w:rPr>
              <w:b/>
              <w:bCs/>
            </w:rPr>
            <w:fldChar w:fldCharType="separate"/>
          </w:r>
          <w:r w:rsidRPr="00CB638D">
            <w:rPr>
              <w:b/>
              <w:bCs/>
              <w:lang w:val="zh-CN"/>
            </w:rPr>
            <w:t>1</w:t>
          </w:r>
          <w:r w:rsidRPr="00CB638D">
            <w:rPr>
              <w:b/>
              <w:bCs/>
            </w:rPr>
            <w:fldChar w:fldCharType="end"/>
          </w:r>
        </w:p>
      </w:tc>
      <w:tc>
        <w:tcPr>
          <w:tcW w:w="225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4AD492" w14:textId="77777777" w:rsidR="00312C78" w:rsidRDefault="00312C78">
          <w:pPr>
            <w:pStyle w:val="a8"/>
            <w:jc w:val="center"/>
          </w:pPr>
        </w:p>
      </w:tc>
    </w:tr>
    <w:tr w:rsidR="00312C78" w14:paraId="21FA89C8" w14:textId="77777777" w:rsidTr="00312C78">
      <w:tc>
        <w:tcPr>
          <w:tcW w:w="2250" w:type="pct"/>
        </w:tcPr>
        <w:p w14:paraId="706E004B" w14:textId="77777777" w:rsidR="00312C78" w:rsidRDefault="00312C78" w:rsidP="00312C78">
          <w:pPr>
            <w:pStyle w:val="a8"/>
            <w:jc w:val="center"/>
          </w:pPr>
        </w:p>
      </w:tc>
      <w:tc>
        <w:tcPr>
          <w:tcW w:w="500" w:type="pct"/>
          <w:vMerge/>
        </w:tcPr>
        <w:p w14:paraId="470E2DDD" w14:textId="77777777" w:rsidR="00312C78" w:rsidRDefault="00312C78" w:rsidP="00312C78">
          <w:pPr>
            <w:pStyle w:val="a8"/>
            <w:jc w:val="center"/>
          </w:pPr>
        </w:p>
      </w:tc>
      <w:tc>
        <w:tcPr>
          <w:tcW w:w="2250" w:type="pct"/>
        </w:tcPr>
        <w:p w14:paraId="0602516E" w14:textId="77777777" w:rsidR="00312C78" w:rsidRDefault="00312C78" w:rsidP="00312C78">
          <w:pPr>
            <w:pStyle w:val="a8"/>
            <w:jc w:val="center"/>
          </w:pPr>
        </w:p>
      </w:tc>
    </w:tr>
  </w:tbl>
  <w:p w14:paraId="7CA74FDE" w14:textId="50ECAFFF" w:rsidR="0096536C" w:rsidRDefault="0096536C">
    <w:pPr>
      <w:pStyle w:val="a8"/>
      <w:jc w:val="center"/>
    </w:pPr>
  </w:p>
  <w:p w14:paraId="4D228997" w14:textId="77777777" w:rsidR="0080179C" w:rsidRDefault="0080179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F44F" w14:textId="77777777" w:rsidR="00393A30" w:rsidRDefault="00393A30">
    <w:pPr>
      <w:pStyle w:val="a8"/>
      <w:jc w:val="center"/>
    </w:pPr>
  </w:p>
  <w:p w14:paraId="16CB51B2" w14:textId="77777777" w:rsidR="00393A30" w:rsidRDefault="00393A30">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pPr w:leftFromText="180" w:rightFromText="180" w:vertAnchor="text" w:tblpY="1"/>
      <w:tblOverlap w:val="never"/>
      <w:tblW w:w="5000" w:type="pct"/>
      <w:tblBorders>
        <w:top w:val="none" w:sz="0" w:space="0" w:color="auto"/>
        <w:bottom w:val="none" w:sz="0" w:space="0" w:color="auto"/>
        <w:insideH w:val="single" w:sz="4" w:space="0" w:color="auto"/>
      </w:tblBorders>
      <w:tblLook w:val="04A0" w:firstRow="1" w:lastRow="0" w:firstColumn="1" w:lastColumn="0" w:noHBand="0" w:noVBand="1"/>
    </w:tblPr>
    <w:tblGrid>
      <w:gridCol w:w="3827"/>
      <w:gridCol w:w="850"/>
      <w:gridCol w:w="3827"/>
    </w:tblGrid>
    <w:tr w:rsidR="00312C78" w14:paraId="59D2FFE8" w14:textId="77777777" w:rsidTr="00604CB4">
      <w:trPr>
        <w:cnfStyle w:val="100000000000" w:firstRow="1" w:lastRow="0" w:firstColumn="0" w:lastColumn="0" w:oddVBand="0" w:evenVBand="0" w:oddHBand="0" w:evenHBand="0" w:firstRowFirstColumn="0" w:firstRowLastColumn="0" w:lastRowFirstColumn="0" w:lastRowLastColumn="0"/>
      </w:trPr>
      <w:tc>
        <w:tcPr>
          <w:tcW w:w="225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FAAAD" w14:textId="77777777" w:rsidR="00312C78" w:rsidRDefault="00312C78" w:rsidP="00604CB4">
          <w:pPr>
            <w:pStyle w:val="a8"/>
          </w:pPr>
        </w:p>
      </w:tc>
      <w:tc>
        <w:tcPr>
          <w:tcW w:w="500" w:type="pct"/>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2739054" w14:textId="4D53ECE3" w:rsidR="00312C78" w:rsidRPr="00CB638D" w:rsidRDefault="00604CB4" w:rsidP="00604CB4">
          <w:pPr>
            <w:pStyle w:val="a8"/>
            <w:rPr>
              <w:b/>
              <w:bCs/>
            </w:rPr>
          </w:pPr>
          <w:r>
            <w:t xml:space="preserve">   </w:t>
          </w:r>
          <w:r w:rsidRPr="00CB638D">
            <w:rPr>
              <w:b/>
              <w:bCs/>
            </w:rPr>
            <w:fldChar w:fldCharType="begin"/>
          </w:r>
          <w:r w:rsidRPr="00CB638D">
            <w:rPr>
              <w:b/>
              <w:bCs/>
            </w:rPr>
            <w:instrText>PAGE   \* MERGEFORMAT</w:instrText>
          </w:r>
          <w:r w:rsidRPr="00CB638D">
            <w:rPr>
              <w:b/>
              <w:bCs/>
            </w:rPr>
            <w:fldChar w:fldCharType="separate"/>
          </w:r>
          <w:r w:rsidRPr="00CB638D">
            <w:rPr>
              <w:b/>
              <w:bCs/>
              <w:lang w:val="zh-CN"/>
            </w:rPr>
            <w:t>1</w:t>
          </w:r>
          <w:r w:rsidRPr="00CB638D">
            <w:rPr>
              <w:b/>
              <w:bCs/>
            </w:rPr>
            <w:fldChar w:fldCharType="end"/>
          </w:r>
        </w:p>
      </w:tc>
      <w:tc>
        <w:tcPr>
          <w:tcW w:w="225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4CC6B" w14:textId="77777777" w:rsidR="00312C78" w:rsidRDefault="00312C78" w:rsidP="00604CB4">
          <w:pPr>
            <w:pStyle w:val="a8"/>
          </w:pPr>
        </w:p>
      </w:tc>
    </w:tr>
    <w:tr w:rsidR="00312C78" w14:paraId="05DEF131" w14:textId="77777777" w:rsidTr="00604CB4">
      <w:tc>
        <w:tcPr>
          <w:tcW w:w="2250" w:type="pct"/>
        </w:tcPr>
        <w:p w14:paraId="0EB05BB9" w14:textId="77777777" w:rsidR="00312C78" w:rsidRDefault="00312C78" w:rsidP="00604CB4">
          <w:pPr>
            <w:pStyle w:val="a8"/>
          </w:pPr>
        </w:p>
      </w:tc>
      <w:tc>
        <w:tcPr>
          <w:tcW w:w="500" w:type="pct"/>
          <w:vMerge/>
        </w:tcPr>
        <w:p w14:paraId="1EBB8606" w14:textId="77777777" w:rsidR="00312C78" w:rsidRDefault="00312C78" w:rsidP="00604CB4">
          <w:pPr>
            <w:pStyle w:val="a8"/>
          </w:pPr>
        </w:p>
      </w:tc>
      <w:tc>
        <w:tcPr>
          <w:tcW w:w="2250" w:type="pct"/>
        </w:tcPr>
        <w:p w14:paraId="1B116867" w14:textId="77777777" w:rsidR="00312C78" w:rsidRDefault="00312C78" w:rsidP="00604CB4">
          <w:pPr>
            <w:pStyle w:val="a8"/>
          </w:pPr>
        </w:p>
      </w:tc>
    </w:tr>
  </w:tbl>
  <w:p w14:paraId="283E8DED" w14:textId="77777777" w:rsidR="0080179C" w:rsidRPr="00312C78" w:rsidRDefault="0080179C" w:rsidP="00312C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9083A" w14:textId="77777777" w:rsidR="0051081F" w:rsidRDefault="0051081F">
      <w:pPr>
        <w:rPr>
          <w:sz w:val="18"/>
        </w:rPr>
      </w:pPr>
    </w:p>
  </w:footnote>
  <w:footnote w:type="continuationSeparator" w:id="0">
    <w:p w14:paraId="1E9255F8" w14:textId="77777777" w:rsidR="0051081F" w:rsidRDefault="0051081F">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E4BD" w14:textId="77777777" w:rsidR="0080179C" w:rsidRDefault="0080179C">
    <w:pPr>
      <w:pStyle w:val="aa"/>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毕 业 设 计（论 文）</w:t>
    </w:r>
  </w:p>
  <w:p w14:paraId="2647D80A" w14:textId="77777777" w:rsidR="0080179C" w:rsidRDefault="008017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51"/>
    <w:multiLevelType w:val="hybridMultilevel"/>
    <w:tmpl w:val="AE94187E"/>
    <w:lvl w:ilvl="0" w:tplc="C570E2C6">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0DAB0F3C"/>
    <w:multiLevelType w:val="hybridMultilevel"/>
    <w:tmpl w:val="56546B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922193"/>
    <w:multiLevelType w:val="hybridMultilevel"/>
    <w:tmpl w:val="8110D9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513986"/>
    <w:multiLevelType w:val="hybridMultilevel"/>
    <w:tmpl w:val="2CB69B7C"/>
    <w:lvl w:ilvl="0" w:tplc="76808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A5210"/>
    <w:multiLevelType w:val="hybridMultilevel"/>
    <w:tmpl w:val="E0F23042"/>
    <w:lvl w:ilvl="0" w:tplc="7680882E">
      <w:start w:val="1"/>
      <w:numFmt w:val="decimal"/>
      <w:lvlText w:val="[%1]"/>
      <w:lvlJc w:val="left"/>
      <w:pPr>
        <w:ind w:left="3822" w:hanging="420"/>
      </w:pPr>
      <w:rPr>
        <w:rFonts w:hint="eastAsia"/>
      </w:rPr>
    </w:lvl>
    <w:lvl w:ilvl="1" w:tplc="04090019" w:tentative="1">
      <w:start w:val="1"/>
      <w:numFmt w:val="lowerLetter"/>
      <w:lvlText w:val="%2)"/>
      <w:lvlJc w:val="left"/>
      <w:pPr>
        <w:ind w:left="4242" w:hanging="420"/>
      </w:pPr>
    </w:lvl>
    <w:lvl w:ilvl="2" w:tplc="0409001B" w:tentative="1">
      <w:start w:val="1"/>
      <w:numFmt w:val="lowerRoman"/>
      <w:lvlText w:val="%3."/>
      <w:lvlJc w:val="right"/>
      <w:pPr>
        <w:ind w:left="4662" w:hanging="420"/>
      </w:pPr>
    </w:lvl>
    <w:lvl w:ilvl="3" w:tplc="0409000F" w:tentative="1">
      <w:start w:val="1"/>
      <w:numFmt w:val="decimal"/>
      <w:lvlText w:val="%4."/>
      <w:lvlJc w:val="left"/>
      <w:pPr>
        <w:ind w:left="5082" w:hanging="420"/>
      </w:pPr>
    </w:lvl>
    <w:lvl w:ilvl="4" w:tplc="04090019" w:tentative="1">
      <w:start w:val="1"/>
      <w:numFmt w:val="lowerLetter"/>
      <w:lvlText w:val="%5)"/>
      <w:lvlJc w:val="left"/>
      <w:pPr>
        <w:ind w:left="5502" w:hanging="420"/>
      </w:pPr>
    </w:lvl>
    <w:lvl w:ilvl="5" w:tplc="0409001B" w:tentative="1">
      <w:start w:val="1"/>
      <w:numFmt w:val="lowerRoman"/>
      <w:lvlText w:val="%6."/>
      <w:lvlJc w:val="right"/>
      <w:pPr>
        <w:ind w:left="5922" w:hanging="420"/>
      </w:pPr>
    </w:lvl>
    <w:lvl w:ilvl="6" w:tplc="0409000F" w:tentative="1">
      <w:start w:val="1"/>
      <w:numFmt w:val="decimal"/>
      <w:lvlText w:val="%7."/>
      <w:lvlJc w:val="left"/>
      <w:pPr>
        <w:ind w:left="6342" w:hanging="420"/>
      </w:pPr>
    </w:lvl>
    <w:lvl w:ilvl="7" w:tplc="04090019" w:tentative="1">
      <w:start w:val="1"/>
      <w:numFmt w:val="lowerLetter"/>
      <w:lvlText w:val="%8)"/>
      <w:lvlJc w:val="left"/>
      <w:pPr>
        <w:ind w:left="6762" w:hanging="420"/>
      </w:pPr>
    </w:lvl>
    <w:lvl w:ilvl="8" w:tplc="0409001B" w:tentative="1">
      <w:start w:val="1"/>
      <w:numFmt w:val="lowerRoman"/>
      <w:lvlText w:val="%9."/>
      <w:lvlJc w:val="right"/>
      <w:pPr>
        <w:ind w:left="7182" w:hanging="420"/>
      </w:pPr>
    </w:lvl>
  </w:abstractNum>
  <w:abstractNum w:abstractNumId="5" w15:restartNumberingAfterBreak="0">
    <w:nsid w:val="456F77FA"/>
    <w:multiLevelType w:val="hybridMultilevel"/>
    <w:tmpl w:val="EF1CBF02"/>
    <w:lvl w:ilvl="0" w:tplc="C570E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16155"/>
    <w:multiLevelType w:val="multilevel"/>
    <w:tmpl w:val="55216155"/>
    <w:lvl w:ilvl="0">
      <w:start w:val="1"/>
      <w:numFmt w:val="decimal"/>
      <w:pStyle w:val="1"/>
      <w:suff w:val="space"/>
      <w:lvlText w:val="%1"/>
      <w:lvlJc w:val="center"/>
      <w:pPr>
        <w:tabs>
          <w:tab w:val="num" w:pos="420"/>
        </w:tabs>
        <w:ind w:left="432" w:hanging="432"/>
      </w:pPr>
      <w:rPr>
        <w:rFonts w:ascii="Times New Roman" w:eastAsia="宋体" w:hAnsi="Times New Roman" w:cs="宋体" w:hint="default"/>
        <w:b/>
        <w:sz w:val="36"/>
      </w:rPr>
    </w:lvl>
    <w:lvl w:ilvl="1">
      <w:start w:val="1"/>
      <w:numFmt w:val="decimal"/>
      <w:pStyle w:val="2"/>
      <w:suff w:val="space"/>
      <w:lvlText w:val="%1.%2"/>
      <w:lvlJc w:val="left"/>
      <w:pPr>
        <w:tabs>
          <w:tab w:val="num" w:pos="0"/>
        </w:tabs>
        <w:ind w:left="420" w:hanging="420"/>
      </w:pPr>
      <w:rPr>
        <w:rFonts w:ascii="Times New Roman" w:eastAsia="宋体" w:hAnsi="Times New Roman" w:cs="宋体" w:hint="default"/>
        <w:b/>
        <w:sz w:val="28"/>
      </w:rPr>
    </w:lvl>
    <w:lvl w:ilvl="2">
      <w:start w:val="1"/>
      <w:numFmt w:val="decimal"/>
      <w:pStyle w:val="3"/>
      <w:suff w:val="space"/>
      <w:lvlText w:val="%1.%2.%3"/>
      <w:lvlJc w:val="left"/>
      <w:pPr>
        <w:tabs>
          <w:tab w:val="num" w:pos="420"/>
        </w:tabs>
        <w:ind w:left="720" w:hanging="720"/>
      </w:pPr>
      <w:rPr>
        <w:rFonts w:ascii="Times New Roman" w:eastAsia="宋体" w:hAnsi="Times New Roman" w:cs="宋体" w:hint="default"/>
        <w:b/>
        <w:sz w:val="24"/>
      </w:rPr>
    </w:lvl>
    <w:lvl w:ilvl="3">
      <w:start w:val="1"/>
      <w:numFmt w:val="decimal"/>
      <w:pStyle w:val="4"/>
      <w:suff w:val="space"/>
      <w:lvlText w:val="%1.%2.%3.%4"/>
      <w:lvlJc w:val="left"/>
      <w:pPr>
        <w:tabs>
          <w:tab w:val="num" w:pos="420"/>
        </w:tabs>
        <w:ind w:left="864" w:hanging="864"/>
      </w:pPr>
      <w:rPr>
        <w:rFonts w:ascii="Times New Roman" w:eastAsia="宋体" w:hAnsi="Times New Roman" w:cs="宋体" w:hint="default"/>
        <w:b/>
        <w:sz w:val="24"/>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7" w15:restartNumberingAfterBreak="0">
    <w:nsid w:val="5C116C46"/>
    <w:multiLevelType w:val="singleLevel"/>
    <w:tmpl w:val="5C116C46"/>
    <w:lvl w:ilvl="0">
      <w:start w:val="1"/>
      <w:numFmt w:val="decimal"/>
      <w:suff w:val="nothing"/>
      <w:lvlText w:val="（%1）"/>
      <w:lvlJc w:val="left"/>
    </w:lvl>
  </w:abstractNum>
  <w:abstractNum w:abstractNumId="8" w15:restartNumberingAfterBreak="0">
    <w:nsid w:val="6F625B15"/>
    <w:multiLevelType w:val="hybridMultilevel"/>
    <w:tmpl w:val="E8EEA1DA"/>
    <w:lvl w:ilvl="0" w:tplc="4B3457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5272942">
    <w:abstractNumId w:val="6"/>
  </w:num>
  <w:num w:numId="2" w16cid:durableId="1364674869">
    <w:abstractNumId w:val="7"/>
  </w:num>
  <w:num w:numId="3" w16cid:durableId="419764429">
    <w:abstractNumId w:val="6"/>
  </w:num>
  <w:num w:numId="4" w16cid:durableId="14424567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1168924">
    <w:abstractNumId w:val="2"/>
  </w:num>
  <w:num w:numId="6" w16cid:durableId="1691027536">
    <w:abstractNumId w:val="1"/>
  </w:num>
  <w:num w:numId="7" w16cid:durableId="1471703203">
    <w:abstractNumId w:val="3"/>
  </w:num>
  <w:num w:numId="8" w16cid:durableId="164904254">
    <w:abstractNumId w:val="5"/>
  </w:num>
  <w:num w:numId="9" w16cid:durableId="2033191778">
    <w:abstractNumId w:val="5"/>
    <w:lvlOverride w:ilvl="0">
      <w:lvl w:ilvl="0" w:tplc="C570E2C6">
        <w:start w:val="1"/>
        <w:numFmt w:val="decimal"/>
        <w:suff w:val="nothing"/>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16cid:durableId="900672721">
    <w:abstractNumId w:val="0"/>
  </w:num>
  <w:num w:numId="11" w16cid:durableId="557326083">
    <w:abstractNumId w:val="0"/>
    <w:lvlOverride w:ilvl="0">
      <w:lvl w:ilvl="0" w:tplc="C570E2C6">
        <w:start w:val="1"/>
        <w:numFmt w:val="decimal"/>
        <w:suff w:val="nothing"/>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16cid:durableId="1448306842">
    <w:abstractNumId w:val="4"/>
  </w:num>
  <w:num w:numId="13" w16cid:durableId="1832914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0C9A"/>
    <w:rsid w:val="00000CDE"/>
    <w:rsid w:val="00001732"/>
    <w:rsid w:val="00001788"/>
    <w:rsid w:val="00002B48"/>
    <w:rsid w:val="00004F8C"/>
    <w:rsid w:val="00005028"/>
    <w:rsid w:val="00005C4F"/>
    <w:rsid w:val="000064C4"/>
    <w:rsid w:val="00006903"/>
    <w:rsid w:val="00006974"/>
    <w:rsid w:val="00007207"/>
    <w:rsid w:val="00010181"/>
    <w:rsid w:val="00013339"/>
    <w:rsid w:val="00013BDD"/>
    <w:rsid w:val="00014329"/>
    <w:rsid w:val="0001489D"/>
    <w:rsid w:val="00015DDD"/>
    <w:rsid w:val="0001688A"/>
    <w:rsid w:val="00017DDC"/>
    <w:rsid w:val="000205D3"/>
    <w:rsid w:val="00021DE2"/>
    <w:rsid w:val="00022B4A"/>
    <w:rsid w:val="00023A9C"/>
    <w:rsid w:val="00024A94"/>
    <w:rsid w:val="00025A51"/>
    <w:rsid w:val="000262D7"/>
    <w:rsid w:val="00030193"/>
    <w:rsid w:val="000308AB"/>
    <w:rsid w:val="00033A9A"/>
    <w:rsid w:val="00035F0D"/>
    <w:rsid w:val="00035F75"/>
    <w:rsid w:val="00037557"/>
    <w:rsid w:val="000412FD"/>
    <w:rsid w:val="00044531"/>
    <w:rsid w:val="000448B3"/>
    <w:rsid w:val="00044D34"/>
    <w:rsid w:val="000461FA"/>
    <w:rsid w:val="00046CED"/>
    <w:rsid w:val="000472D3"/>
    <w:rsid w:val="00047876"/>
    <w:rsid w:val="00050B8F"/>
    <w:rsid w:val="00051121"/>
    <w:rsid w:val="00051BEC"/>
    <w:rsid w:val="0005238E"/>
    <w:rsid w:val="00052878"/>
    <w:rsid w:val="00053D68"/>
    <w:rsid w:val="0005485C"/>
    <w:rsid w:val="00056493"/>
    <w:rsid w:val="000566D0"/>
    <w:rsid w:val="00057901"/>
    <w:rsid w:val="00057AE8"/>
    <w:rsid w:val="000624FE"/>
    <w:rsid w:val="0006512E"/>
    <w:rsid w:val="0006763B"/>
    <w:rsid w:val="00072126"/>
    <w:rsid w:val="00073120"/>
    <w:rsid w:val="00073DE6"/>
    <w:rsid w:val="00074D9F"/>
    <w:rsid w:val="00076401"/>
    <w:rsid w:val="00076530"/>
    <w:rsid w:val="000765C6"/>
    <w:rsid w:val="00077995"/>
    <w:rsid w:val="00077BF6"/>
    <w:rsid w:val="0008236F"/>
    <w:rsid w:val="0008316C"/>
    <w:rsid w:val="0008359A"/>
    <w:rsid w:val="00084788"/>
    <w:rsid w:val="00084AD6"/>
    <w:rsid w:val="00087ABF"/>
    <w:rsid w:val="00090430"/>
    <w:rsid w:val="00090681"/>
    <w:rsid w:val="00090B18"/>
    <w:rsid w:val="000913B7"/>
    <w:rsid w:val="000933D3"/>
    <w:rsid w:val="00094033"/>
    <w:rsid w:val="000957FA"/>
    <w:rsid w:val="00097189"/>
    <w:rsid w:val="000978B7"/>
    <w:rsid w:val="000A02A8"/>
    <w:rsid w:val="000A09A1"/>
    <w:rsid w:val="000A3238"/>
    <w:rsid w:val="000A3745"/>
    <w:rsid w:val="000A4815"/>
    <w:rsid w:val="000A4E28"/>
    <w:rsid w:val="000A636F"/>
    <w:rsid w:val="000A651D"/>
    <w:rsid w:val="000A6C51"/>
    <w:rsid w:val="000A7312"/>
    <w:rsid w:val="000A7CA8"/>
    <w:rsid w:val="000B1C7D"/>
    <w:rsid w:val="000B2689"/>
    <w:rsid w:val="000B2967"/>
    <w:rsid w:val="000B364A"/>
    <w:rsid w:val="000B491D"/>
    <w:rsid w:val="000B505D"/>
    <w:rsid w:val="000B7317"/>
    <w:rsid w:val="000C012F"/>
    <w:rsid w:val="000C1604"/>
    <w:rsid w:val="000C1A5F"/>
    <w:rsid w:val="000C1ECA"/>
    <w:rsid w:val="000C2B20"/>
    <w:rsid w:val="000C3C11"/>
    <w:rsid w:val="000C6756"/>
    <w:rsid w:val="000C7506"/>
    <w:rsid w:val="000D0ECE"/>
    <w:rsid w:val="000D101F"/>
    <w:rsid w:val="000D4988"/>
    <w:rsid w:val="000D4AE6"/>
    <w:rsid w:val="000D4F86"/>
    <w:rsid w:val="000D6C62"/>
    <w:rsid w:val="000D736D"/>
    <w:rsid w:val="000E2BD1"/>
    <w:rsid w:val="000E423B"/>
    <w:rsid w:val="000E6E9C"/>
    <w:rsid w:val="000E7911"/>
    <w:rsid w:val="000F1079"/>
    <w:rsid w:val="000F1AE4"/>
    <w:rsid w:val="000F55EC"/>
    <w:rsid w:val="000F6A09"/>
    <w:rsid w:val="000F71F0"/>
    <w:rsid w:val="000F72AD"/>
    <w:rsid w:val="0010055D"/>
    <w:rsid w:val="00101B4F"/>
    <w:rsid w:val="00103033"/>
    <w:rsid w:val="0010355C"/>
    <w:rsid w:val="001048AE"/>
    <w:rsid w:val="00104AE0"/>
    <w:rsid w:val="001055BF"/>
    <w:rsid w:val="0010677E"/>
    <w:rsid w:val="00106A62"/>
    <w:rsid w:val="00106AE5"/>
    <w:rsid w:val="00107ECB"/>
    <w:rsid w:val="00107F61"/>
    <w:rsid w:val="001100BA"/>
    <w:rsid w:val="0011012E"/>
    <w:rsid w:val="00110498"/>
    <w:rsid w:val="001112C8"/>
    <w:rsid w:val="0011231B"/>
    <w:rsid w:val="00112712"/>
    <w:rsid w:val="00112C8D"/>
    <w:rsid w:val="0011393D"/>
    <w:rsid w:val="0011695B"/>
    <w:rsid w:val="00116A45"/>
    <w:rsid w:val="001173F1"/>
    <w:rsid w:val="00120C61"/>
    <w:rsid w:val="00123833"/>
    <w:rsid w:val="00123C85"/>
    <w:rsid w:val="00126F84"/>
    <w:rsid w:val="00131037"/>
    <w:rsid w:val="00131A48"/>
    <w:rsid w:val="00131CDB"/>
    <w:rsid w:val="00134315"/>
    <w:rsid w:val="00134FC1"/>
    <w:rsid w:val="00137E2B"/>
    <w:rsid w:val="001418B4"/>
    <w:rsid w:val="00142767"/>
    <w:rsid w:val="0014572C"/>
    <w:rsid w:val="00147BDA"/>
    <w:rsid w:val="00151398"/>
    <w:rsid w:val="0015168F"/>
    <w:rsid w:val="001529A8"/>
    <w:rsid w:val="00154BBC"/>
    <w:rsid w:val="00154DC3"/>
    <w:rsid w:val="00155B81"/>
    <w:rsid w:val="00155D00"/>
    <w:rsid w:val="00155D42"/>
    <w:rsid w:val="00157921"/>
    <w:rsid w:val="001579AC"/>
    <w:rsid w:val="001600E8"/>
    <w:rsid w:val="001608BE"/>
    <w:rsid w:val="00163D07"/>
    <w:rsid w:val="00163F3C"/>
    <w:rsid w:val="00164223"/>
    <w:rsid w:val="00165D3E"/>
    <w:rsid w:val="001703D9"/>
    <w:rsid w:val="00170CE9"/>
    <w:rsid w:val="00172A27"/>
    <w:rsid w:val="00173343"/>
    <w:rsid w:val="001755D9"/>
    <w:rsid w:val="001755FC"/>
    <w:rsid w:val="00175A32"/>
    <w:rsid w:val="0017617E"/>
    <w:rsid w:val="001761ED"/>
    <w:rsid w:val="001775FA"/>
    <w:rsid w:val="001801E4"/>
    <w:rsid w:val="001801EE"/>
    <w:rsid w:val="0018092C"/>
    <w:rsid w:val="001809EF"/>
    <w:rsid w:val="00181EAF"/>
    <w:rsid w:val="00182A29"/>
    <w:rsid w:val="001836F2"/>
    <w:rsid w:val="00185800"/>
    <w:rsid w:val="00185EBD"/>
    <w:rsid w:val="0018693C"/>
    <w:rsid w:val="00187C7A"/>
    <w:rsid w:val="0019074D"/>
    <w:rsid w:val="001910CC"/>
    <w:rsid w:val="00191525"/>
    <w:rsid w:val="00191EE7"/>
    <w:rsid w:val="00192894"/>
    <w:rsid w:val="00192E61"/>
    <w:rsid w:val="0019395B"/>
    <w:rsid w:val="00196A61"/>
    <w:rsid w:val="00196AC9"/>
    <w:rsid w:val="001A01C1"/>
    <w:rsid w:val="001A0F8F"/>
    <w:rsid w:val="001A12E5"/>
    <w:rsid w:val="001A18E1"/>
    <w:rsid w:val="001A35BE"/>
    <w:rsid w:val="001A40B4"/>
    <w:rsid w:val="001A693F"/>
    <w:rsid w:val="001B14A6"/>
    <w:rsid w:val="001B206B"/>
    <w:rsid w:val="001B5EA7"/>
    <w:rsid w:val="001B5EB3"/>
    <w:rsid w:val="001B5F65"/>
    <w:rsid w:val="001B6B94"/>
    <w:rsid w:val="001C163E"/>
    <w:rsid w:val="001C2AB7"/>
    <w:rsid w:val="001C3220"/>
    <w:rsid w:val="001C39CB"/>
    <w:rsid w:val="001C3AA1"/>
    <w:rsid w:val="001C403B"/>
    <w:rsid w:val="001C5ADD"/>
    <w:rsid w:val="001C6090"/>
    <w:rsid w:val="001C6837"/>
    <w:rsid w:val="001C71FF"/>
    <w:rsid w:val="001D0432"/>
    <w:rsid w:val="001D1F84"/>
    <w:rsid w:val="001D2FD2"/>
    <w:rsid w:val="001D4636"/>
    <w:rsid w:val="001D47C2"/>
    <w:rsid w:val="001D5D46"/>
    <w:rsid w:val="001D5D47"/>
    <w:rsid w:val="001D7731"/>
    <w:rsid w:val="001D7DF8"/>
    <w:rsid w:val="001E1F16"/>
    <w:rsid w:val="001E204C"/>
    <w:rsid w:val="001E2AD9"/>
    <w:rsid w:val="001E3694"/>
    <w:rsid w:val="001E3E1F"/>
    <w:rsid w:val="001E445D"/>
    <w:rsid w:val="001E5E0F"/>
    <w:rsid w:val="001E5ED8"/>
    <w:rsid w:val="001E602F"/>
    <w:rsid w:val="001E714C"/>
    <w:rsid w:val="001E768C"/>
    <w:rsid w:val="001F2E17"/>
    <w:rsid w:val="001F5052"/>
    <w:rsid w:val="001F6F6C"/>
    <w:rsid w:val="001F7196"/>
    <w:rsid w:val="001F797F"/>
    <w:rsid w:val="00200535"/>
    <w:rsid w:val="002013A0"/>
    <w:rsid w:val="002017F1"/>
    <w:rsid w:val="00201E2A"/>
    <w:rsid w:val="00202424"/>
    <w:rsid w:val="00202814"/>
    <w:rsid w:val="00203F28"/>
    <w:rsid w:val="002049B4"/>
    <w:rsid w:val="00204F0D"/>
    <w:rsid w:val="00205734"/>
    <w:rsid w:val="00206125"/>
    <w:rsid w:val="00206148"/>
    <w:rsid w:val="00207165"/>
    <w:rsid w:val="002077ED"/>
    <w:rsid w:val="00207B93"/>
    <w:rsid w:val="00210998"/>
    <w:rsid w:val="002118E7"/>
    <w:rsid w:val="00211DE6"/>
    <w:rsid w:val="00214004"/>
    <w:rsid w:val="00214139"/>
    <w:rsid w:val="00214242"/>
    <w:rsid w:val="002152E0"/>
    <w:rsid w:val="00220011"/>
    <w:rsid w:val="00221079"/>
    <w:rsid w:val="0022174E"/>
    <w:rsid w:val="00221C9C"/>
    <w:rsid w:val="00222F0A"/>
    <w:rsid w:val="0022308E"/>
    <w:rsid w:val="002238A9"/>
    <w:rsid w:val="00225953"/>
    <w:rsid w:val="002260D9"/>
    <w:rsid w:val="00226AB8"/>
    <w:rsid w:val="00226E6B"/>
    <w:rsid w:val="002303C4"/>
    <w:rsid w:val="00231716"/>
    <w:rsid w:val="00232F81"/>
    <w:rsid w:val="002337ED"/>
    <w:rsid w:val="00233A78"/>
    <w:rsid w:val="002349F6"/>
    <w:rsid w:val="00234DB5"/>
    <w:rsid w:val="00236454"/>
    <w:rsid w:val="00236809"/>
    <w:rsid w:val="002368E5"/>
    <w:rsid w:val="00237810"/>
    <w:rsid w:val="002378D8"/>
    <w:rsid w:val="00237E88"/>
    <w:rsid w:val="00243240"/>
    <w:rsid w:val="00243252"/>
    <w:rsid w:val="002436B2"/>
    <w:rsid w:val="0024456D"/>
    <w:rsid w:val="0024480F"/>
    <w:rsid w:val="002449A1"/>
    <w:rsid w:val="0024547A"/>
    <w:rsid w:val="00247355"/>
    <w:rsid w:val="00250862"/>
    <w:rsid w:val="00252A86"/>
    <w:rsid w:val="00252BFC"/>
    <w:rsid w:val="00253882"/>
    <w:rsid w:val="00254498"/>
    <w:rsid w:val="002549A4"/>
    <w:rsid w:val="002549F3"/>
    <w:rsid w:val="0025535E"/>
    <w:rsid w:val="002556A3"/>
    <w:rsid w:val="002562BB"/>
    <w:rsid w:val="00257A30"/>
    <w:rsid w:val="00257A8D"/>
    <w:rsid w:val="002603DA"/>
    <w:rsid w:val="002609FD"/>
    <w:rsid w:val="00260F94"/>
    <w:rsid w:val="00263634"/>
    <w:rsid w:val="00263903"/>
    <w:rsid w:val="0026496B"/>
    <w:rsid w:val="0026560B"/>
    <w:rsid w:val="0026659F"/>
    <w:rsid w:val="00266688"/>
    <w:rsid w:val="002676F2"/>
    <w:rsid w:val="00270783"/>
    <w:rsid w:val="00270B24"/>
    <w:rsid w:val="00271E50"/>
    <w:rsid w:val="00272F19"/>
    <w:rsid w:val="00274465"/>
    <w:rsid w:val="0027460D"/>
    <w:rsid w:val="002748DC"/>
    <w:rsid w:val="00275BD1"/>
    <w:rsid w:val="00276C46"/>
    <w:rsid w:val="002774CC"/>
    <w:rsid w:val="00283158"/>
    <w:rsid w:val="0028331E"/>
    <w:rsid w:val="00283EAD"/>
    <w:rsid w:val="00285AB3"/>
    <w:rsid w:val="002860DB"/>
    <w:rsid w:val="00286292"/>
    <w:rsid w:val="00287154"/>
    <w:rsid w:val="00287CF7"/>
    <w:rsid w:val="00291C8C"/>
    <w:rsid w:val="00291E67"/>
    <w:rsid w:val="00293514"/>
    <w:rsid w:val="00294DAD"/>
    <w:rsid w:val="00295579"/>
    <w:rsid w:val="00297093"/>
    <w:rsid w:val="002A052A"/>
    <w:rsid w:val="002A0783"/>
    <w:rsid w:val="002A1EE7"/>
    <w:rsid w:val="002A3B0E"/>
    <w:rsid w:val="002A3E43"/>
    <w:rsid w:val="002A40D9"/>
    <w:rsid w:val="002A6CDE"/>
    <w:rsid w:val="002B0B3F"/>
    <w:rsid w:val="002B0BDE"/>
    <w:rsid w:val="002B0FC5"/>
    <w:rsid w:val="002B1E4A"/>
    <w:rsid w:val="002B2024"/>
    <w:rsid w:val="002B23A8"/>
    <w:rsid w:val="002B2BC0"/>
    <w:rsid w:val="002B3961"/>
    <w:rsid w:val="002B3E63"/>
    <w:rsid w:val="002B54FF"/>
    <w:rsid w:val="002B572C"/>
    <w:rsid w:val="002B5B77"/>
    <w:rsid w:val="002B60C1"/>
    <w:rsid w:val="002B745F"/>
    <w:rsid w:val="002B74E4"/>
    <w:rsid w:val="002C10FD"/>
    <w:rsid w:val="002C1195"/>
    <w:rsid w:val="002C1971"/>
    <w:rsid w:val="002C52D6"/>
    <w:rsid w:val="002C5E8B"/>
    <w:rsid w:val="002C5FA8"/>
    <w:rsid w:val="002C610E"/>
    <w:rsid w:val="002C71EA"/>
    <w:rsid w:val="002C7763"/>
    <w:rsid w:val="002C7ADB"/>
    <w:rsid w:val="002C7C83"/>
    <w:rsid w:val="002D0E77"/>
    <w:rsid w:val="002D2E25"/>
    <w:rsid w:val="002D3176"/>
    <w:rsid w:val="002D325E"/>
    <w:rsid w:val="002D43C3"/>
    <w:rsid w:val="002D4B2C"/>
    <w:rsid w:val="002D5568"/>
    <w:rsid w:val="002D61E4"/>
    <w:rsid w:val="002D661A"/>
    <w:rsid w:val="002D6A57"/>
    <w:rsid w:val="002D7C8C"/>
    <w:rsid w:val="002E0B46"/>
    <w:rsid w:val="002E247A"/>
    <w:rsid w:val="002E2C5F"/>
    <w:rsid w:val="002E3085"/>
    <w:rsid w:val="002E31DB"/>
    <w:rsid w:val="002E3C09"/>
    <w:rsid w:val="002E590B"/>
    <w:rsid w:val="002E6C09"/>
    <w:rsid w:val="002F0D3A"/>
    <w:rsid w:val="002F1C27"/>
    <w:rsid w:val="002F2DA0"/>
    <w:rsid w:val="002F359E"/>
    <w:rsid w:val="002F4400"/>
    <w:rsid w:val="002F463C"/>
    <w:rsid w:val="002F544E"/>
    <w:rsid w:val="002F7BC1"/>
    <w:rsid w:val="00300131"/>
    <w:rsid w:val="00300201"/>
    <w:rsid w:val="00301689"/>
    <w:rsid w:val="00302586"/>
    <w:rsid w:val="00302C87"/>
    <w:rsid w:val="00302DD1"/>
    <w:rsid w:val="003036D8"/>
    <w:rsid w:val="00304692"/>
    <w:rsid w:val="003050F4"/>
    <w:rsid w:val="003053BD"/>
    <w:rsid w:val="00306324"/>
    <w:rsid w:val="00306764"/>
    <w:rsid w:val="00307D6C"/>
    <w:rsid w:val="003101F4"/>
    <w:rsid w:val="00312140"/>
    <w:rsid w:val="00312C78"/>
    <w:rsid w:val="00312CF2"/>
    <w:rsid w:val="00315B8F"/>
    <w:rsid w:val="00317A8F"/>
    <w:rsid w:val="00317EF4"/>
    <w:rsid w:val="00317FA5"/>
    <w:rsid w:val="0032056F"/>
    <w:rsid w:val="00320B08"/>
    <w:rsid w:val="00321FDD"/>
    <w:rsid w:val="003226CB"/>
    <w:rsid w:val="00323B35"/>
    <w:rsid w:val="00324ADB"/>
    <w:rsid w:val="0032522F"/>
    <w:rsid w:val="003252FD"/>
    <w:rsid w:val="00325DC9"/>
    <w:rsid w:val="00326518"/>
    <w:rsid w:val="00327C77"/>
    <w:rsid w:val="003309C7"/>
    <w:rsid w:val="00330B0B"/>
    <w:rsid w:val="0033245C"/>
    <w:rsid w:val="003330CF"/>
    <w:rsid w:val="00333AE9"/>
    <w:rsid w:val="00334024"/>
    <w:rsid w:val="0033495E"/>
    <w:rsid w:val="00334C33"/>
    <w:rsid w:val="0033503F"/>
    <w:rsid w:val="00335EC4"/>
    <w:rsid w:val="003376BB"/>
    <w:rsid w:val="0033793F"/>
    <w:rsid w:val="00341488"/>
    <w:rsid w:val="003415AA"/>
    <w:rsid w:val="00342A97"/>
    <w:rsid w:val="00344B5E"/>
    <w:rsid w:val="00344E93"/>
    <w:rsid w:val="00345BC4"/>
    <w:rsid w:val="00345CF8"/>
    <w:rsid w:val="00346C05"/>
    <w:rsid w:val="00351664"/>
    <w:rsid w:val="003526B3"/>
    <w:rsid w:val="00352E41"/>
    <w:rsid w:val="00353434"/>
    <w:rsid w:val="00354D29"/>
    <w:rsid w:val="003561EC"/>
    <w:rsid w:val="003563DF"/>
    <w:rsid w:val="00356927"/>
    <w:rsid w:val="00356FDA"/>
    <w:rsid w:val="00357E3D"/>
    <w:rsid w:val="003605DA"/>
    <w:rsid w:val="003605ED"/>
    <w:rsid w:val="003606E9"/>
    <w:rsid w:val="0036125C"/>
    <w:rsid w:val="003625C8"/>
    <w:rsid w:val="00362C13"/>
    <w:rsid w:val="00362DD7"/>
    <w:rsid w:val="00363063"/>
    <w:rsid w:val="003648F7"/>
    <w:rsid w:val="00366B27"/>
    <w:rsid w:val="00366DA8"/>
    <w:rsid w:val="00370120"/>
    <w:rsid w:val="00370439"/>
    <w:rsid w:val="003706D2"/>
    <w:rsid w:val="0037100A"/>
    <w:rsid w:val="00372A48"/>
    <w:rsid w:val="00372AE6"/>
    <w:rsid w:val="00373607"/>
    <w:rsid w:val="0037575C"/>
    <w:rsid w:val="0038042D"/>
    <w:rsid w:val="00380BD8"/>
    <w:rsid w:val="00380EBC"/>
    <w:rsid w:val="003822D3"/>
    <w:rsid w:val="00383C6F"/>
    <w:rsid w:val="00384030"/>
    <w:rsid w:val="00384142"/>
    <w:rsid w:val="003851A0"/>
    <w:rsid w:val="00386247"/>
    <w:rsid w:val="00386A26"/>
    <w:rsid w:val="00391CC6"/>
    <w:rsid w:val="0039243A"/>
    <w:rsid w:val="00392BCB"/>
    <w:rsid w:val="00393446"/>
    <w:rsid w:val="00393A30"/>
    <w:rsid w:val="003951EB"/>
    <w:rsid w:val="00395B4C"/>
    <w:rsid w:val="00395F9D"/>
    <w:rsid w:val="003961A4"/>
    <w:rsid w:val="003A3360"/>
    <w:rsid w:val="003A3E2B"/>
    <w:rsid w:val="003A59A2"/>
    <w:rsid w:val="003A694D"/>
    <w:rsid w:val="003A6F61"/>
    <w:rsid w:val="003B36A7"/>
    <w:rsid w:val="003B40A9"/>
    <w:rsid w:val="003B6554"/>
    <w:rsid w:val="003B6597"/>
    <w:rsid w:val="003C00CF"/>
    <w:rsid w:val="003C088B"/>
    <w:rsid w:val="003C0FEA"/>
    <w:rsid w:val="003C1138"/>
    <w:rsid w:val="003C1993"/>
    <w:rsid w:val="003C1ABB"/>
    <w:rsid w:val="003C1D37"/>
    <w:rsid w:val="003C421F"/>
    <w:rsid w:val="003C423A"/>
    <w:rsid w:val="003C4AB5"/>
    <w:rsid w:val="003C59A5"/>
    <w:rsid w:val="003C6147"/>
    <w:rsid w:val="003C6F06"/>
    <w:rsid w:val="003C7210"/>
    <w:rsid w:val="003C7DBF"/>
    <w:rsid w:val="003D0EA9"/>
    <w:rsid w:val="003D2400"/>
    <w:rsid w:val="003D30EB"/>
    <w:rsid w:val="003D3429"/>
    <w:rsid w:val="003D4344"/>
    <w:rsid w:val="003D4E85"/>
    <w:rsid w:val="003D52F0"/>
    <w:rsid w:val="003D5BCA"/>
    <w:rsid w:val="003D6566"/>
    <w:rsid w:val="003D7FAC"/>
    <w:rsid w:val="003E00BB"/>
    <w:rsid w:val="003E3101"/>
    <w:rsid w:val="003E3B11"/>
    <w:rsid w:val="003E4ED3"/>
    <w:rsid w:val="003E5267"/>
    <w:rsid w:val="003E5FB0"/>
    <w:rsid w:val="003E797C"/>
    <w:rsid w:val="003F11EE"/>
    <w:rsid w:val="003F1AF9"/>
    <w:rsid w:val="003F45DF"/>
    <w:rsid w:val="003F660C"/>
    <w:rsid w:val="003F6DEF"/>
    <w:rsid w:val="003F79F7"/>
    <w:rsid w:val="00400149"/>
    <w:rsid w:val="00401687"/>
    <w:rsid w:val="00402407"/>
    <w:rsid w:val="00402CE7"/>
    <w:rsid w:val="00402E0B"/>
    <w:rsid w:val="00402F57"/>
    <w:rsid w:val="00403BB3"/>
    <w:rsid w:val="004065A4"/>
    <w:rsid w:val="00407E29"/>
    <w:rsid w:val="00410BCB"/>
    <w:rsid w:val="00410CB2"/>
    <w:rsid w:val="004112C2"/>
    <w:rsid w:val="00411AFF"/>
    <w:rsid w:val="00412A10"/>
    <w:rsid w:val="00412AD1"/>
    <w:rsid w:val="00412E12"/>
    <w:rsid w:val="00413562"/>
    <w:rsid w:val="0041612C"/>
    <w:rsid w:val="00416E96"/>
    <w:rsid w:val="0041702A"/>
    <w:rsid w:val="0041732E"/>
    <w:rsid w:val="00421861"/>
    <w:rsid w:val="00425D24"/>
    <w:rsid w:val="004268D3"/>
    <w:rsid w:val="00427132"/>
    <w:rsid w:val="00427693"/>
    <w:rsid w:val="004313D8"/>
    <w:rsid w:val="00432488"/>
    <w:rsid w:val="00432B19"/>
    <w:rsid w:val="00432FF9"/>
    <w:rsid w:val="004338F3"/>
    <w:rsid w:val="00434142"/>
    <w:rsid w:val="00436B88"/>
    <w:rsid w:val="00437212"/>
    <w:rsid w:val="004414E0"/>
    <w:rsid w:val="00441882"/>
    <w:rsid w:val="0044475F"/>
    <w:rsid w:val="004449F9"/>
    <w:rsid w:val="00446E97"/>
    <w:rsid w:val="00446F27"/>
    <w:rsid w:val="004476CA"/>
    <w:rsid w:val="00450542"/>
    <w:rsid w:val="0045122F"/>
    <w:rsid w:val="0045290D"/>
    <w:rsid w:val="00453EC1"/>
    <w:rsid w:val="00453F68"/>
    <w:rsid w:val="0045442C"/>
    <w:rsid w:val="00454609"/>
    <w:rsid w:val="004556AA"/>
    <w:rsid w:val="00460FE4"/>
    <w:rsid w:val="0046138B"/>
    <w:rsid w:val="004627D8"/>
    <w:rsid w:val="00464E16"/>
    <w:rsid w:val="00465F20"/>
    <w:rsid w:val="00466C69"/>
    <w:rsid w:val="00470E80"/>
    <w:rsid w:val="00471641"/>
    <w:rsid w:val="00471EAB"/>
    <w:rsid w:val="004721DF"/>
    <w:rsid w:val="00472B4B"/>
    <w:rsid w:val="0047355E"/>
    <w:rsid w:val="00473A24"/>
    <w:rsid w:val="00473C41"/>
    <w:rsid w:val="00475DC9"/>
    <w:rsid w:val="0047685D"/>
    <w:rsid w:val="00477AAE"/>
    <w:rsid w:val="00477CFE"/>
    <w:rsid w:val="00477EB3"/>
    <w:rsid w:val="00482FD8"/>
    <w:rsid w:val="00484114"/>
    <w:rsid w:val="004866F6"/>
    <w:rsid w:val="00490D69"/>
    <w:rsid w:val="00491BDA"/>
    <w:rsid w:val="0049447D"/>
    <w:rsid w:val="004946B0"/>
    <w:rsid w:val="0049550C"/>
    <w:rsid w:val="00495B57"/>
    <w:rsid w:val="004961AD"/>
    <w:rsid w:val="00496274"/>
    <w:rsid w:val="004A037F"/>
    <w:rsid w:val="004A0988"/>
    <w:rsid w:val="004A1073"/>
    <w:rsid w:val="004A336D"/>
    <w:rsid w:val="004A365A"/>
    <w:rsid w:val="004A3DB9"/>
    <w:rsid w:val="004A49FD"/>
    <w:rsid w:val="004A5002"/>
    <w:rsid w:val="004A6267"/>
    <w:rsid w:val="004A6E8A"/>
    <w:rsid w:val="004B08B3"/>
    <w:rsid w:val="004B1120"/>
    <w:rsid w:val="004B3363"/>
    <w:rsid w:val="004C1BDB"/>
    <w:rsid w:val="004C1EBA"/>
    <w:rsid w:val="004C2253"/>
    <w:rsid w:val="004C23D0"/>
    <w:rsid w:val="004C24A2"/>
    <w:rsid w:val="004C4811"/>
    <w:rsid w:val="004C4CB0"/>
    <w:rsid w:val="004C6B1F"/>
    <w:rsid w:val="004C6C9F"/>
    <w:rsid w:val="004C6DA2"/>
    <w:rsid w:val="004C779D"/>
    <w:rsid w:val="004C7D7F"/>
    <w:rsid w:val="004D0144"/>
    <w:rsid w:val="004D126C"/>
    <w:rsid w:val="004D2B88"/>
    <w:rsid w:val="004D336C"/>
    <w:rsid w:val="004D39F8"/>
    <w:rsid w:val="004D4C6A"/>
    <w:rsid w:val="004D6D6A"/>
    <w:rsid w:val="004D737D"/>
    <w:rsid w:val="004D75BD"/>
    <w:rsid w:val="004E01DE"/>
    <w:rsid w:val="004E0CD5"/>
    <w:rsid w:val="004E1B00"/>
    <w:rsid w:val="004E1D4F"/>
    <w:rsid w:val="004E24B8"/>
    <w:rsid w:val="004E26FA"/>
    <w:rsid w:val="004E3FCC"/>
    <w:rsid w:val="004E41D3"/>
    <w:rsid w:val="004E4EE4"/>
    <w:rsid w:val="004E5206"/>
    <w:rsid w:val="004E6D1C"/>
    <w:rsid w:val="004F1A73"/>
    <w:rsid w:val="004F33FE"/>
    <w:rsid w:val="004F4366"/>
    <w:rsid w:val="004F59A0"/>
    <w:rsid w:val="004F6334"/>
    <w:rsid w:val="004F76E8"/>
    <w:rsid w:val="0050086E"/>
    <w:rsid w:val="005015FF"/>
    <w:rsid w:val="00501E83"/>
    <w:rsid w:val="005024F1"/>
    <w:rsid w:val="00503212"/>
    <w:rsid w:val="00503FC7"/>
    <w:rsid w:val="0050558C"/>
    <w:rsid w:val="00506993"/>
    <w:rsid w:val="0051081F"/>
    <w:rsid w:val="00511459"/>
    <w:rsid w:val="005137ED"/>
    <w:rsid w:val="00513EA4"/>
    <w:rsid w:val="00515DF0"/>
    <w:rsid w:val="005202CE"/>
    <w:rsid w:val="00520F2C"/>
    <w:rsid w:val="005217B0"/>
    <w:rsid w:val="005221E8"/>
    <w:rsid w:val="00522687"/>
    <w:rsid w:val="00522F8F"/>
    <w:rsid w:val="005246C6"/>
    <w:rsid w:val="00524CFE"/>
    <w:rsid w:val="0052726C"/>
    <w:rsid w:val="0052747E"/>
    <w:rsid w:val="00527C82"/>
    <w:rsid w:val="00527F70"/>
    <w:rsid w:val="00530128"/>
    <w:rsid w:val="005305E5"/>
    <w:rsid w:val="0053249B"/>
    <w:rsid w:val="0053289E"/>
    <w:rsid w:val="005330D3"/>
    <w:rsid w:val="0053398C"/>
    <w:rsid w:val="00534152"/>
    <w:rsid w:val="0053523A"/>
    <w:rsid w:val="005352B8"/>
    <w:rsid w:val="0053578F"/>
    <w:rsid w:val="005369F0"/>
    <w:rsid w:val="00536BD7"/>
    <w:rsid w:val="00537694"/>
    <w:rsid w:val="00537788"/>
    <w:rsid w:val="0053780F"/>
    <w:rsid w:val="00537920"/>
    <w:rsid w:val="0054033C"/>
    <w:rsid w:val="005411B7"/>
    <w:rsid w:val="00541303"/>
    <w:rsid w:val="0054559A"/>
    <w:rsid w:val="00545874"/>
    <w:rsid w:val="0054771C"/>
    <w:rsid w:val="00547939"/>
    <w:rsid w:val="00550B85"/>
    <w:rsid w:val="005515B0"/>
    <w:rsid w:val="00551D77"/>
    <w:rsid w:val="00551E1E"/>
    <w:rsid w:val="00554569"/>
    <w:rsid w:val="00556AA4"/>
    <w:rsid w:val="005571A8"/>
    <w:rsid w:val="0055763E"/>
    <w:rsid w:val="00557763"/>
    <w:rsid w:val="00560401"/>
    <w:rsid w:val="005609A9"/>
    <w:rsid w:val="00562061"/>
    <w:rsid w:val="00562336"/>
    <w:rsid w:val="00563A68"/>
    <w:rsid w:val="00563BC6"/>
    <w:rsid w:val="00563C5D"/>
    <w:rsid w:val="00563E99"/>
    <w:rsid w:val="00565D11"/>
    <w:rsid w:val="00575140"/>
    <w:rsid w:val="005756EE"/>
    <w:rsid w:val="00580806"/>
    <w:rsid w:val="00581041"/>
    <w:rsid w:val="0058170D"/>
    <w:rsid w:val="00584283"/>
    <w:rsid w:val="005862C1"/>
    <w:rsid w:val="0058651F"/>
    <w:rsid w:val="005866A0"/>
    <w:rsid w:val="005869F4"/>
    <w:rsid w:val="00586D57"/>
    <w:rsid w:val="00587AD8"/>
    <w:rsid w:val="00587FB4"/>
    <w:rsid w:val="00590829"/>
    <w:rsid w:val="00590ACB"/>
    <w:rsid w:val="00591379"/>
    <w:rsid w:val="00591491"/>
    <w:rsid w:val="005914D7"/>
    <w:rsid w:val="00592001"/>
    <w:rsid w:val="0059471A"/>
    <w:rsid w:val="00595002"/>
    <w:rsid w:val="00596438"/>
    <w:rsid w:val="005A06AA"/>
    <w:rsid w:val="005A1391"/>
    <w:rsid w:val="005A2593"/>
    <w:rsid w:val="005A27A8"/>
    <w:rsid w:val="005A4CE7"/>
    <w:rsid w:val="005A56F7"/>
    <w:rsid w:val="005A5A29"/>
    <w:rsid w:val="005A6CED"/>
    <w:rsid w:val="005A6D49"/>
    <w:rsid w:val="005A7160"/>
    <w:rsid w:val="005A7174"/>
    <w:rsid w:val="005A7C6A"/>
    <w:rsid w:val="005B19FC"/>
    <w:rsid w:val="005B2514"/>
    <w:rsid w:val="005B2A0C"/>
    <w:rsid w:val="005B3905"/>
    <w:rsid w:val="005B48DA"/>
    <w:rsid w:val="005B4EA9"/>
    <w:rsid w:val="005B6337"/>
    <w:rsid w:val="005B70C6"/>
    <w:rsid w:val="005B7731"/>
    <w:rsid w:val="005B78C5"/>
    <w:rsid w:val="005B7DF3"/>
    <w:rsid w:val="005C03DF"/>
    <w:rsid w:val="005C0F62"/>
    <w:rsid w:val="005C4499"/>
    <w:rsid w:val="005C6036"/>
    <w:rsid w:val="005C653A"/>
    <w:rsid w:val="005D0661"/>
    <w:rsid w:val="005D0CA8"/>
    <w:rsid w:val="005D1A26"/>
    <w:rsid w:val="005D2706"/>
    <w:rsid w:val="005D2F87"/>
    <w:rsid w:val="005D5789"/>
    <w:rsid w:val="005D7CC5"/>
    <w:rsid w:val="005E1798"/>
    <w:rsid w:val="005E216F"/>
    <w:rsid w:val="005E45C9"/>
    <w:rsid w:val="005E5239"/>
    <w:rsid w:val="005E54A5"/>
    <w:rsid w:val="005E6028"/>
    <w:rsid w:val="005E6A05"/>
    <w:rsid w:val="005F3330"/>
    <w:rsid w:val="005F3CE5"/>
    <w:rsid w:val="005F6040"/>
    <w:rsid w:val="005F7A5B"/>
    <w:rsid w:val="005F7BA4"/>
    <w:rsid w:val="00600998"/>
    <w:rsid w:val="00604141"/>
    <w:rsid w:val="00604CB4"/>
    <w:rsid w:val="006054EB"/>
    <w:rsid w:val="00611580"/>
    <w:rsid w:val="00611E19"/>
    <w:rsid w:val="00612157"/>
    <w:rsid w:val="00612BA0"/>
    <w:rsid w:val="00613F78"/>
    <w:rsid w:val="006156B7"/>
    <w:rsid w:val="00616920"/>
    <w:rsid w:val="00620480"/>
    <w:rsid w:val="006213B1"/>
    <w:rsid w:val="006218D4"/>
    <w:rsid w:val="00621CA4"/>
    <w:rsid w:val="00622246"/>
    <w:rsid w:val="00622DA5"/>
    <w:rsid w:val="00624400"/>
    <w:rsid w:val="00625FC0"/>
    <w:rsid w:val="0062609A"/>
    <w:rsid w:val="00630463"/>
    <w:rsid w:val="006304E8"/>
    <w:rsid w:val="0063137A"/>
    <w:rsid w:val="00631900"/>
    <w:rsid w:val="00632B29"/>
    <w:rsid w:val="0063305C"/>
    <w:rsid w:val="0063316E"/>
    <w:rsid w:val="0063584D"/>
    <w:rsid w:val="00636D43"/>
    <w:rsid w:val="00637525"/>
    <w:rsid w:val="00637D40"/>
    <w:rsid w:val="006407C6"/>
    <w:rsid w:val="00640810"/>
    <w:rsid w:val="00641434"/>
    <w:rsid w:val="0064170D"/>
    <w:rsid w:val="00641C4C"/>
    <w:rsid w:val="006465CD"/>
    <w:rsid w:val="00646F82"/>
    <w:rsid w:val="006520A8"/>
    <w:rsid w:val="00652B9D"/>
    <w:rsid w:val="00655736"/>
    <w:rsid w:val="00655FDA"/>
    <w:rsid w:val="00656A7A"/>
    <w:rsid w:val="00656FFB"/>
    <w:rsid w:val="006571AA"/>
    <w:rsid w:val="006573D5"/>
    <w:rsid w:val="0066285C"/>
    <w:rsid w:val="00662871"/>
    <w:rsid w:val="00663612"/>
    <w:rsid w:val="00663B1D"/>
    <w:rsid w:val="0066642C"/>
    <w:rsid w:val="00667490"/>
    <w:rsid w:val="00667773"/>
    <w:rsid w:val="00667934"/>
    <w:rsid w:val="00667AC1"/>
    <w:rsid w:val="00667DF4"/>
    <w:rsid w:val="00671C5A"/>
    <w:rsid w:val="006736A5"/>
    <w:rsid w:val="0067374A"/>
    <w:rsid w:val="00673ACC"/>
    <w:rsid w:val="006744A5"/>
    <w:rsid w:val="00675FEF"/>
    <w:rsid w:val="0067675B"/>
    <w:rsid w:val="0067677C"/>
    <w:rsid w:val="006776B7"/>
    <w:rsid w:val="0068058F"/>
    <w:rsid w:val="00681C84"/>
    <w:rsid w:val="00682A0D"/>
    <w:rsid w:val="00682D18"/>
    <w:rsid w:val="00682FA9"/>
    <w:rsid w:val="00683911"/>
    <w:rsid w:val="00686D90"/>
    <w:rsid w:val="00686F0B"/>
    <w:rsid w:val="00687DAE"/>
    <w:rsid w:val="006907AA"/>
    <w:rsid w:val="00690EE2"/>
    <w:rsid w:val="00690F55"/>
    <w:rsid w:val="00691617"/>
    <w:rsid w:val="00692093"/>
    <w:rsid w:val="006920AA"/>
    <w:rsid w:val="00693815"/>
    <w:rsid w:val="006939A3"/>
    <w:rsid w:val="006940F9"/>
    <w:rsid w:val="00694735"/>
    <w:rsid w:val="00696110"/>
    <w:rsid w:val="00696A19"/>
    <w:rsid w:val="00697F31"/>
    <w:rsid w:val="006A01AA"/>
    <w:rsid w:val="006A0763"/>
    <w:rsid w:val="006A07C3"/>
    <w:rsid w:val="006A3F7A"/>
    <w:rsid w:val="006A43C1"/>
    <w:rsid w:val="006A458A"/>
    <w:rsid w:val="006A4942"/>
    <w:rsid w:val="006A5860"/>
    <w:rsid w:val="006B00AE"/>
    <w:rsid w:val="006B0D3C"/>
    <w:rsid w:val="006B1889"/>
    <w:rsid w:val="006B1DBF"/>
    <w:rsid w:val="006B2111"/>
    <w:rsid w:val="006B2C2F"/>
    <w:rsid w:val="006B392D"/>
    <w:rsid w:val="006B3A4B"/>
    <w:rsid w:val="006B5926"/>
    <w:rsid w:val="006B5B1B"/>
    <w:rsid w:val="006B5EE8"/>
    <w:rsid w:val="006B6BD2"/>
    <w:rsid w:val="006B6F86"/>
    <w:rsid w:val="006B707C"/>
    <w:rsid w:val="006B7CD6"/>
    <w:rsid w:val="006C0E4B"/>
    <w:rsid w:val="006C0E6C"/>
    <w:rsid w:val="006C2660"/>
    <w:rsid w:val="006C2A6A"/>
    <w:rsid w:val="006C2EF4"/>
    <w:rsid w:val="006C30EC"/>
    <w:rsid w:val="006C4EA6"/>
    <w:rsid w:val="006C5799"/>
    <w:rsid w:val="006C67D6"/>
    <w:rsid w:val="006C6BD4"/>
    <w:rsid w:val="006C7415"/>
    <w:rsid w:val="006C7BEF"/>
    <w:rsid w:val="006C7F4C"/>
    <w:rsid w:val="006D1697"/>
    <w:rsid w:val="006D2CE1"/>
    <w:rsid w:val="006D3FA6"/>
    <w:rsid w:val="006D4DBC"/>
    <w:rsid w:val="006D4F67"/>
    <w:rsid w:val="006D5028"/>
    <w:rsid w:val="006D5AB0"/>
    <w:rsid w:val="006E0087"/>
    <w:rsid w:val="006E0BAB"/>
    <w:rsid w:val="006E0F14"/>
    <w:rsid w:val="006E12BB"/>
    <w:rsid w:val="006E17AB"/>
    <w:rsid w:val="006E23ED"/>
    <w:rsid w:val="006E4092"/>
    <w:rsid w:val="006E4A00"/>
    <w:rsid w:val="006E5248"/>
    <w:rsid w:val="006E5466"/>
    <w:rsid w:val="006E5637"/>
    <w:rsid w:val="006E6745"/>
    <w:rsid w:val="006E73BC"/>
    <w:rsid w:val="006E78C0"/>
    <w:rsid w:val="006F0D1E"/>
    <w:rsid w:val="006F0E73"/>
    <w:rsid w:val="006F1463"/>
    <w:rsid w:val="006F1C80"/>
    <w:rsid w:val="006F360F"/>
    <w:rsid w:val="006F40C2"/>
    <w:rsid w:val="006F40E3"/>
    <w:rsid w:val="006F6543"/>
    <w:rsid w:val="006F6952"/>
    <w:rsid w:val="006F72D4"/>
    <w:rsid w:val="006F7B0E"/>
    <w:rsid w:val="00700A2C"/>
    <w:rsid w:val="0070135A"/>
    <w:rsid w:val="0070276A"/>
    <w:rsid w:val="007045DA"/>
    <w:rsid w:val="00706F79"/>
    <w:rsid w:val="0070700D"/>
    <w:rsid w:val="00710A1D"/>
    <w:rsid w:val="0071111E"/>
    <w:rsid w:val="007112B8"/>
    <w:rsid w:val="00712374"/>
    <w:rsid w:val="007136DE"/>
    <w:rsid w:val="007158A6"/>
    <w:rsid w:val="007158CD"/>
    <w:rsid w:val="00715A5D"/>
    <w:rsid w:val="007160A1"/>
    <w:rsid w:val="00716E71"/>
    <w:rsid w:val="0071732B"/>
    <w:rsid w:val="007212F1"/>
    <w:rsid w:val="00721A96"/>
    <w:rsid w:val="00721E5C"/>
    <w:rsid w:val="00721ED7"/>
    <w:rsid w:val="00722770"/>
    <w:rsid w:val="00724B2F"/>
    <w:rsid w:val="00724DFC"/>
    <w:rsid w:val="00724F21"/>
    <w:rsid w:val="00725295"/>
    <w:rsid w:val="007254E0"/>
    <w:rsid w:val="007308BA"/>
    <w:rsid w:val="00730C1E"/>
    <w:rsid w:val="0073127D"/>
    <w:rsid w:val="00731983"/>
    <w:rsid w:val="00732283"/>
    <w:rsid w:val="007343D3"/>
    <w:rsid w:val="00734E92"/>
    <w:rsid w:val="0073533E"/>
    <w:rsid w:val="007361FC"/>
    <w:rsid w:val="0073623C"/>
    <w:rsid w:val="007417F5"/>
    <w:rsid w:val="00741D25"/>
    <w:rsid w:val="00741D82"/>
    <w:rsid w:val="0074209F"/>
    <w:rsid w:val="00743159"/>
    <w:rsid w:val="00745BC1"/>
    <w:rsid w:val="00745BF0"/>
    <w:rsid w:val="00745F77"/>
    <w:rsid w:val="00746FA9"/>
    <w:rsid w:val="007470AA"/>
    <w:rsid w:val="00747CA6"/>
    <w:rsid w:val="007503C5"/>
    <w:rsid w:val="0075044F"/>
    <w:rsid w:val="00750665"/>
    <w:rsid w:val="007514F4"/>
    <w:rsid w:val="00751E62"/>
    <w:rsid w:val="007528E1"/>
    <w:rsid w:val="00752946"/>
    <w:rsid w:val="00752E8C"/>
    <w:rsid w:val="0075421D"/>
    <w:rsid w:val="007542F6"/>
    <w:rsid w:val="00754888"/>
    <w:rsid w:val="007560FD"/>
    <w:rsid w:val="00756502"/>
    <w:rsid w:val="00756DA4"/>
    <w:rsid w:val="0075746B"/>
    <w:rsid w:val="00757482"/>
    <w:rsid w:val="0075756A"/>
    <w:rsid w:val="0075782A"/>
    <w:rsid w:val="007626F4"/>
    <w:rsid w:val="00762EAE"/>
    <w:rsid w:val="00764E6B"/>
    <w:rsid w:val="00765A73"/>
    <w:rsid w:val="00766459"/>
    <w:rsid w:val="007667CE"/>
    <w:rsid w:val="00766EAD"/>
    <w:rsid w:val="007701DC"/>
    <w:rsid w:val="00770325"/>
    <w:rsid w:val="007708E3"/>
    <w:rsid w:val="00770B10"/>
    <w:rsid w:val="00771C21"/>
    <w:rsid w:val="007726EE"/>
    <w:rsid w:val="00773D17"/>
    <w:rsid w:val="00773DAC"/>
    <w:rsid w:val="007746DB"/>
    <w:rsid w:val="00776347"/>
    <w:rsid w:val="007763B7"/>
    <w:rsid w:val="00776990"/>
    <w:rsid w:val="00776A2C"/>
    <w:rsid w:val="00776C13"/>
    <w:rsid w:val="00777B74"/>
    <w:rsid w:val="0078052C"/>
    <w:rsid w:val="007825DF"/>
    <w:rsid w:val="007831C7"/>
    <w:rsid w:val="00784D0E"/>
    <w:rsid w:val="007854DF"/>
    <w:rsid w:val="007858B4"/>
    <w:rsid w:val="00785F2E"/>
    <w:rsid w:val="00786721"/>
    <w:rsid w:val="0078699F"/>
    <w:rsid w:val="00786C9B"/>
    <w:rsid w:val="007875C8"/>
    <w:rsid w:val="007916A1"/>
    <w:rsid w:val="007921E2"/>
    <w:rsid w:val="00792FFC"/>
    <w:rsid w:val="0079453E"/>
    <w:rsid w:val="0079464C"/>
    <w:rsid w:val="0079490B"/>
    <w:rsid w:val="00794DB9"/>
    <w:rsid w:val="00795006"/>
    <w:rsid w:val="00797C64"/>
    <w:rsid w:val="007A0549"/>
    <w:rsid w:val="007A2162"/>
    <w:rsid w:val="007B3807"/>
    <w:rsid w:val="007B3CE7"/>
    <w:rsid w:val="007B45C7"/>
    <w:rsid w:val="007B4639"/>
    <w:rsid w:val="007B559D"/>
    <w:rsid w:val="007B67EA"/>
    <w:rsid w:val="007C2694"/>
    <w:rsid w:val="007C30AD"/>
    <w:rsid w:val="007C3229"/>
    <w:rsid w:val="007C3791"/>
    <w:rsid w:val="007C3DCC"/>
    <w:rsid w:val="007C3E85"/>
    <w:rsid w:val="007C452C"/>
    <w:rsid w:val="007C47CC"/>
    <w:rsid w:val="007C4A24"/>
    <w:rsid w:val="007C4F77"/>
    <w:rsid w:val="007C69AD"/>
    <w:rsid w:val="007C7C40"/>
    <w:rsid w:val="007D203D"/>
    <w:rsid w:val="007D4195"/>
    <w:rsid w:val="007D4447"/>
    <w:rsid w:val="007D5899"/>
    <w:rsid w:val="007E00D3"/>
    <w:rsid w:val="007E1156"/>
    <w:rsid w:val="007E12A3"/>
    <w:rsid w:val="007E2B3E"/>
    <w:rsid w:val="007E33CD"/>
    <w:rsid w:val="007E4242"/>
    <w:rsid w:val="007E4B54"/>
    <w:rsid w:val="007E5225"/>
    <w:rsid w:val="007E62D5"/>
    <w:rsid w:val="007E6990"/>
    <w:rsid w:val="007F22CF"/>
    <w:rsid w:val="007F2F9B"/>
    <w:rsid w:val="007F5473"/>
    <w:rsid w:val="007F74DF"/>
    <w:rsid w:val="007F78E9"/>
    <w:rsid w:val="008011CB"/>
    <w:rsid w:val="0080179C"/>
    <w:rsid w:val="00805EF5"/>
    <w:rsid w:val="008060C5"/>
    <w:rsid w:val="00806DB8"/>
    <w:rsid w:val="00807872"/>
    <w:rsid w:val="00810614"/>
    <w:rsid w:val="008119F3"/>
    <w:rsid w:val="00811D7D"/>
    <w:rsid w:val="00812077"/>
    <w:rsid w:val="008130A9"/>
    <w:rsid w:val="00813779"/>
    <w:rsid w:val="00814654"/>
    <w:rsid w:val="00814CE9"/>
    <w:rsid w:val="00815062"/>
    <w:rsid w:val="008150ED"/>
    <w:rsid w:val="00815E1A"/>
    <w:rsid w:val="00815F3E"/>
    <w:rsid w:val="008161A6"/>
    <w:rsid w:val="00816296"/>
    <w:rsid w:val="008177EC"/>
    <w:rsid w:val="00820A79"/>
    <w:rsid w:val="008212B1"/>
    <w:rsid w:val="008213A8"/>
    <w:rsid w:val="00821A99"/>
    <w:rsid w:val="00821B84"/>
    <w:rsid w:val="00822122"/>
    <w:rsid w:val="0082308C"/>
    <w:rsid w:val="008243C1"/>
    <w:rsid w:val="00824CCA"/>
    <w:rsid w:val="00825B01"/>
    <w:rsid w:val="0082772F"/>
    <w:rsid w:val="0082775C"/>
    <w:rsid w:val="0082790C"/>
    <w:rsid w:val="00830FBF"/>
    <w:rsid w:val="00831794"/>
    <w:rsid w:val="00831899"/>
    <w:rsid w:val="00833671"/>
    <w:rsid w:val="00834278"/>
    <w:rsid w:val="00835EAA"/>
    <w:rsid w:val="0083643F"/>
    <w:rsid w:val="008364A4"/>
    <w:rsid w:val="00837757"/>
    <w:rsid w:val="00837967"/>
    <w:rsid w:val="008379AE"/>
    <w:rsid w:val="00840B57"/>
    <w:rsid w:val="00841961"/>
    <w:rsid w:val="008419A3"/>
    <w:rsid w:val="00841EB7"/>
    <w:rsid w:val="00844F13"/>
    <w:rsid w:val="00845F5B"/>
    <w:rsid w:val="00846472"/>
    <w:rsid w:val="008469E3"/>
    <w:rsid w:val="00850178"/>
    <w:rsid w:val="008517C3"/>
    <w:rsid w:val="008554D5"/>
    <w:rsid w:val="00856EEB"/>
    <w:rsid w:val="00861509"/>
    <w:rsid w:val="008619A2"/>
    <w:rsid w:val="00862DB9"/>
    <w:rsid w:val="0086377A"/>
    <w:rsid w:val="008644BE"/>
    <w:rsid w:val="00865149"/>
    <w:rsid w:val="00865D98"/>
    <w:rsid w:val="00865DC1"/>
    <w:rsid w:val="00866035"/>
    <w:rsid w:val="00866E03"/>
    <w:rsid w:val="0086747A"/>
    <w:rsid w:val="008709FD"/>
    <w:rsid w:val="00872DD5"/>
    <w:rsid w:val="008739F5"/>
    <w:rsid w:val="00874B61"/>
    <w:rsid w:val="008754E1"/>
    <w:rsid w:val="008756A6"/>
    <w:rsid w:val="008760A4"/>
    <w:rsid w:val="00876156"/>
    <w:rsid w:val="0087786E"/>
    <w:rsid w:val="008805F2"/>
    <w:rsid w:val="00880FFF"/>
    <w:rsid w:val="008835A1"/>
    <w:rsid w:val="00884B0F"/>
    <w:rsid w:val="00884E25"/>
    <w:rsid w:val="00886193"/>
    <w:rsid w:val="00886AC4"/>
    <w:rsid w:val="0088719A"/>
    <w:rsid w:val="00887BD3"/>
    <w:rsid w:val="00890FEC"/>
    <w:rsid w:val="00892D9F"/>
    <w:rsid w:val="00893552"/>
    <w:rsid w:val="008942D0"/>
    <w:rsid w:val="0089461E"/>
    <w:rsid w:val="00896734"/>
    <w:rsid w:val="00896D21"/>
    <w:rsid w:val="00897112"/>
    <w:rsid w:val="008A2041"/>
    <w:rsid w:val="008A374B"/>
    <w:rsid w:val="008A3C4E"/>
    <w:rsid w:val="008A540D"/>
    <w:rsid w:val="008A6322"/>
    <w:rsid w:val="008A6F32"/>
    <w:rsid w:val="008B1FD7"/>
    <w:rsid w:val="008B224E"/>
    <w:rsid w:val="008B36E4"/>
    <w:rsid w:val="008B4CB0"/>
    <w:rsid w:val="008C0A26"/>
    <w:rsid w:val="008C0A80"/>
    <w:rsid w:val="008C1654"/>
    <w:rsid w:val="008C1D11"/>
    <w:rsid w:val="008C25EA"/>
    <w:rsid w:val="008C2615"/>
    <w:rsid w:val="008C51DC"/>
    <w:rsid w:val="008C5365"/>
    <w:rsid w:val="008C73AA"/>
    <w:rsid w:val="008C7DFA"/>
    <w:rsid w:val="008D018F"/>
    <w:rsid w:val="008D05F9"/>
    <w:rsid w:val="008D1746"/>
    <w:rsid w:val="008D1D6D"/>
    <w:rsid w:val="008D30AA"/>
    <w:rsid w:val="008D43D5"/>
    <w:rsid w:val="008D45E4"/>
    <w:rsid w:val="008D4855"/>
    <w:rsid w:val="008D511D"/>
    <w:rsid w:val="008D58B9"/>
    <w:rsid w:val="008D5962"/>
    <w:rsid w:val="008D77BA"/>
    <w:rsid w:val="008E06BF"/>
    <w:rsid w:val="008E1567"/>
    <w:rsid w:val="008E17BF"/>
    <w:rsid w:val="008E1BD7"/>
    <w:rsid w:val="008E20CC"/>
    <w:rsid w:val="008E4EC6"/>
    <w:rsid w:val="008E6236"/>
    <w:rsid w:val="008E6E73"/>
    <w:rsid w:val="008F267D"/>
    <w:rsid w:val="008F3387"/>
    <w:rsid w:val="008F3659"/>
    <w:rsid w:val="008F4444"/>
    <w:rsid w:val="008F6159"/>
    <w:rsid w:val="008F6863"/>
    <w:rsid w:val="008F7556"/>
    <w:rsid w:val="008F7F45"/>
    <w:rsid w:val="0090039B"/>
    <w:rsid w:val="00902CC0"/>
    <w:rsid w:val="00903146"/>
    <w:rsid w:val="00904D63"/>
    <w:rsid w:val="00905356"/>
    <w:rsid w:val="00905B35"/>
    <w:rsid w:val="00905F86"/>
    <w:rsid w:val="009102BF"/>
    <w:rsid w:val="009106DA"/>
    <w:rsid w:val="00911052"/>
    <w:rsid w:val="009110A8"/>
    <w:rsid w:val="0091184C"/>
    <w:rsid w:val="0091295A"/>
    <w:rsid w:val="00916F41"/>
    <w:rsid w:val="00920DFF"/>
    <w:rsid w:val="00920E01"/>
    <w:rsid w:val="00921368"/>
    <w:rsid w:val="009244B7"/>
    <w:rsid w:val="00924C19"/>
    <w:rsid w:val="0092554D"/>
    <w:rsid w:val="00925D75"/>
    <w:rsid w:val="00927466"/>
    <w:rsid w:val="00930999"/>
    <w:rsid w:val="0093115D"/>
    <w:rsid w:val="00931AF3"/>
    <w:rsid w:val="00931B69"/>
    <w:rsid w:val="009324BD"/>
    <w:rsid w:val="009337B6"/>
    <w:rsid w:val="009343DF"/>
    <w:rsid w:val="00934B75"/>
    <w:rsid w:val="0093644B"/>
    <w:rsid w:val="0093790B"/>
    <w:rsid w:val="00937BE6"/>
    <w:rsid w:val="00940251"/>
    <w:rsid w:val="00940732"/>
    <w:rsid w:val="00942672"/>
    <w:rsid w:val="00945B4E"/>
    <w:rsid w:val="009461F4"/>
    <w:rsid w:val="00950143"/>
    <w:rsid w:val="0095246E"/>
    <w:rsid w:val="00952E45"/>
    <w:rsid w:val="0095556F"/>
    <w:rsid w:val="00956356"/>
    <w:rsid w:val="00957527"/>
    <w:rsid w:val="00957A5C"/>
    <w:rsid w:val="00957AE2"/>
    <w:rsid w:val="00957CA9"/>
    <w:rsid w:val="00962627"/>
    <w:rsid w:val="00962A22"/>
    <w:rsid w:val="00963AA2"/>
    <w:rsid w:val="00964196"/>
    <w:rsid w:val="00964A99"/>
    <w:rsid w:val="00964C51"/>
    <w:rsid w:val="0096536C"/>
    <w:rsid w:val="00967033"/>
    <w:rsid w:val="00970B68"/>
    <w:rsid w:val="0097718D"/>
    <w:rsid w:val="00977636"/>
    <w:rsid w:val="0098041D"/>
    <w:rsid w:val="009808C1"/>
    <w:rsid w:val="00980BE0"/>
    <w:rsid w:val="00981F8B"/>
    <w:rsid w:val="009827F4"/>
    <w:rsid w:val="009829F9"/>
    <w:rsid w:val="00984137"/>
    <w:rsid w:val="0098464B"/>
    <w:rsid w:val="00991D63"/>
    <w:rsid w:val="00992459"/>
    <w:rsid w:val="009928AD"/>
    <w:rsid w:val="00993A0D"/>
    <w:rsid w:val="00995A5F"/>
    <w:rsid w:val="009964BE"/>
    <w:rsid w:val="00996B30"/>
    <w:rsid w:val="009970F3"/>
    <w:rsid w:val="00997763"/>
    <w:rsid w:val="009A3F3E"/>
    <w:rsid w:val="009A41A9"/>
    <w:rsid w:val="009A429A"/>
    <w:rsid w:val="009A4CA0"/>
    <w:rsid w:val="009A530D"/>
    <w:rsid w:val="009A5A18"/>
    <w:rsid w:val="009A692C"/>
    <w:rsid w:val="009A7BEB"/>
    <w:rsid w:val="009A7FEC"/>
    <w:rsid w:val="009B0B2F"/>
    <w:rsid w:val="009B0DE2"/>
    <w:rsid w:val="009B1377"/>
    <w:rsid w:val="009B32DF"/>
    <w:rsid w:val="009B664D"/>
    <w:rsid w:val="009C07DC"/>
    <w:rsid w:val="009C1DEF"/>
    <w:rsid w:val="009C295C"/>
    <w:rsid w:val="009C3B36"/>
    <w:rsid w:val="009C5A42"/>
    <w:rsid w:val="009C6C56"/>
    <w:rsid w:val="009C7063"/>
    <w:rsid w:val="009C715D"/>
    <w:rsid w:val="009C7C67"/>
    <w:rsid w:val="009D0270"/>
    <w:rsid w:val="009D54AB"/>
    <w:rsid w:val="009D5A7A"/>
    <w:rsid w:val="009D5E7A"/>
    <w:rsid w:val="009D7639"/>
    <w:rsid w:val="009E0A2E"/>
    <w:rsid w:val="009E219A"/>
    <w:rsid w:val="009E23BC"/>
    <w:rsid w:val="009E316F"/>
    <w:rsid w:val="009E3BBE"/>
    <w:rsid w:val="009E3C49"/>
    <w:rsid w:val="009E4107"/>
    <w:rsid w:val="009E5683"/>
    <w:rsid w:val="009F03B5"/>
    <w:rsid w:val="009F1356"/>
    <w:rsid w:val="009F1C55"/>
    <w:rsid w:val="009F338A"/>
    <w:rsid w:val="009F350C"/>
    <w:rsid w:val="009F4A52"/>
    <w:rsid w:val="009F4EAC"/>
    <w:rsid w:val="009F56DD"/>
    <w:rsid w:val="00A014C4"/>
    <w:rsid w:val="00A025B1"/>
    <w:rsid w:val="00A0643D"/>
    <w:rsid w:val="00A06452"/>
    <w:rsid w:val="00A1023B"/>
    <w:rsid w:val="00A10CC0"/>
    <w:rsid w:val="00A11C67"/>
    <w:rsid w:val="00A122BA"/>
    <w:rsid w:val="00A12C22"/>
    <w:rsid w:val="00A131BA"/>
    <w:rsid w:val="00A13786"/>
    <w:rsid w:val="00A15F06"/>
    <w:rsid w:val="00A172F3"/>
    <w:rsid w:val="00A27BED"/>
    <w:rsid w:val="00A27D04"/>
    <w:rsid w:val="00A27FE8"/>
    <w:rsid w:val="00A30288"/>
    <w:rsid w:val="00A30F9C"/>
    <w:rsid w:val="00A31050"/>
    <w:rsid w:val="00A311B8"/>
    <w:rsid w:val="00A32717"/>
    <w:rsid w:val="00A328F5"/>
    <w:rsid w:val="00A330C4"/>
    <w:rsid w:val="00A346B1"/>
    <w:rsid w:val="00A34808"/>
    <w:rsid w:val="00A3529F"/>
    <w:rsid w:val="00A35A79"/>
    <w:rsid w:val="00A36BE0"/>
    <w:rsid w:val="00A4024C"/>
    <w:rsid w:val="00A4196C"/>
    <w:rsid w:val="00A42430"/>
    <w:rsid w:val="00A42CD5"/>
    <w:rsid w:val="00A43104"/>
    <w:rsid w:val="00A45CFE"/>
    <w:rsid w:val="00A4764C"/>
    <w:rsid w:val="00A5046E"/>
    <w:rsid w:val="00A51616"/>
    <w:rsid w:val="00A5231F"/>
    <w:rsid w:val="00A52B52"/>
    <w:rsid w:val="00A56172"/>
    <w:rsid w:val="00A57F7B"/>
    <w:rsid w:val="00A57FD2"/>
    <w:rsid w:val="00A608DC"/>
    <w:rsid w:val="00A60F08"/>
    <w:rsid w:val="00A6100E"/>
    <w:rsid w:val="00A61D77"/>
    <w:rsid w:val="00A62588"/>
    <w:rsid w:val="00A63280"/>
    <w:rsid w:val="00A63DC3"/>
    <w:rsid w:val="00A70146"/>
    <w:rsid w:val="00A711E9"/>
    <w:rsid w:val="00A71C42"/>
    <w:rsid w:val="00A738C8"/>
    <w:rsid w:val="00A753D8"/>
    <w:rsid w:val="00A75C50"/>
    <w:rsid w:val="00A75CCF"/>
    <w:rsid w:val="00A760A4"/>
    <w:rsid w:val="00A76F6E"/>
    <w:rsid w:val="00A7742C"/>
    <w:rsid w:val="00A819EB"/>
    <w:rsid w:val="00A8217B"/>
    <w:rsid w:val="00A836CB"/>
    <w:rsid w:val="00A83758"/>
    <w:rsid w:val="00A83C94"/>
    <w:rsid w:val="00A8499F"/>
    <w:rsid w:val="00A86DD8"/>
    <w:rsid w:val="00A909C9"/>
    <w:rsid w:val="00A91BA0"/>
    <w:rsid w:val="00A93643"/>
    <w:rsid w:val="00A93EA5"/>
    <w:rsid w:val="00A94735"/>
    <w:rsid w:val="00A94A9B"/>
    <w:rsid w:val="00A94B6E"/>
    <w:rsid w:val="00A94E85"/>
    <w:rsid w:val="00A95030"/>
    <w:rsid w:val="00AA0D4E"/>
    <w:rsid w:val="00AA1917"/>
    <w:rsid w:val="00AA19BC"/>
    <w:rsid w:val="00AA3794"/>
    <w:rsid w:val="00AA459B"/>
    <w:rsid w:val="00AA63A0"/>
    <w:rsid w:val="00AA6A70"/>
    <w:rsid w:val="00AA6CB8"/>
    <w:rsid w:val="00AA7C84"/>
    <w:rsid w:val="00AB01AC"/>
    <w:rsid w:val="00AB0A4B"/>
    <w:rsid w:val="00AB14B3"/>
    <w:rsid w:val="00AB3108"/>
    <w:rsid w:val="00AB4BC9"/>
    <w:rsid w:val="00AB5BE1"/>
    <w:rsid w:val="00AB68F4"/>
    <w:rsid w:val="00AB7A4A"/>
    <w:rsid w:val="00AB7D58"/>
    <w:rsid w:val="00AC023D"/>
    <w:rsid w:val="00AC1043"/>
    <w:rsid w:val="00AC1742"/>
    <w:rsid w:val="00AC18C0"/>
    <w:rsid w:val="00AC2926"/>
    <w:rsid w:val="00AC2929"/>
    <w:rsid w:val="00AC443A"/>
    <w:rsid w:val="00AD0FE9"/>
    <w:rsid w:val="00AD22EB"/>
    <w:rsid w:val="00AD2D06"/>
    <w:rsid w:val="00AD5C68"/>
    <w:rsid w:val="00AD67A5"/>
    <w:rsid w:val="00AD6971"/>
    <w:rsid w:val="00AE0065"/>
    <w:rsid w:val="00AE11C5"/>
    <w:rsid w:val="00AE1DDE"/>
    <w:rsid w:val="00AE22BA"/>
    <w:rsid w:val="00AE23CA"/>
    <w:rsid w:val="00AE5F87"/>
    <w:rsid w:val="00AE6D43"/>
    <w:rsid w:val="00AF0847"/>
    <w:rsid w:val="00AF0CFA"/>
    <w:rsid w:val="00AF2F20"/>
    <w:rsid w:val="00AF3BCA"/>
    <w:rsid w:val="00AF5BE7"/>
    <w:rsid w:val="00AF6283"/>
    <w:rsid w:val="00AF7F64"/>
    <w:rsid w:val="00B00143"/>
    <w:rsid w:val="00B01493"/>
    <w:rsid w:val="00B017D5"/>
    <w:rsid w:val="00B01893"/>
    <w:rsid w:val="00B03F2A"/>
    <w:rsid w:val="00B042DD"/>
    <w:rsid w:val="00B05B0C"/>
    <w:rsid w:val="00B05DA1"/>
    <w:rsid w:val="00B10190"/>
    <w:rsid w:val="00B10407"/>
    <w:rsid w:val="00B10D42"/>
    <w:rsid w:val="00B118F7"/>
    <w:rsid w:val="00B13D84"/>
    <w:rsid w:val="00B142DB"/>
    <w:rsid w:val="00B15F2E"/>
    <w:rsid w:val="00B203E8"/>
    <w:rsid w:val="00B23060"/>
    <w:rsid w:val="00B235E3"/>
    <w:rsid w:val="00B23832"/>
    <w:rsid w:val="00B26B33"/>
    <w:rsid w:val="00B30644"/>
    <w:rsid w:val="00B30AF5"/>
    <w:rsid w:val="00B32363"/>
    <w:rsid w:val="00B3280D"/>
    <w:rsid w:val="00B332DD"/>
    <w:rsid w:val="00B34A0E"/>
    <w:rsid w:val="00B36977"/>
    <w:rsid w:val="00B36A9E"/>
    <w:rsid w:val="00B3707B"/>
    <w:rsid w:val="00B37100"/>
    <w:rsid w:val="00B40D44"/>
    <w:rsid w:val="00B40D75"/>
    <w:rsid w:val="00B415C4"/>
    <w:rsid w:val="00B41DF3"/>
    <w:rsid w:val="00B45051"/>
    <w:rsid w:val="00B45526"/>
    <w:rsid w:val="00B45C5C"/>
    <w:rsid w:val="00B4655F"/>
    <w:rsid w:val="00B50B5D"/>
    <w:rsid w:val="00B51424"/>
    <w:rsid w:val="00B5175A"/>
    <w:rsid w:val="00B51A84"/>
    <w:rsid w:val="00B545B4"/>
    <w:rsid w:val="00B608A3"/>
    <w:rsid w:val="00B609E2"/>
    <w:rsid w:val="00B60B36"/>
    <w:rsid w:val="00B629CA"/>
    <w:rsid w:val="00B65D30"/>
    <w:rsid w:val="00B662F6"/>
    <w:rsid w:val="00B66801"/>
    <w:rsid w:val="00B66F58"/>
    <w:rsid w:val="00B671D9"/>
    <w:rsid w:val="00B674EE"/>
    <w:rsid w:val="00B732C9"/>
    <w:rsid w:val="00B7441D"/>
    <w:rsid w:val="00B758E3"/>
    <w:rsid w:val="00B75929"/>
    <w:rsid w:val="00B76754"/>
    <w:rsid w:val="00B77642"/>
    <w:rsid w:val="00B77DB7"/>
    <w:rsid w:val="00B8081B"/>
    <w:rsid w:val="00B817DF"/>
    <w:rsid w:val="00B8190F"/>
    <w:rsid w:val="00B82702"/>
    <w:rsid w:val="00B82C41"/>
    <w:rsid w:val="00B83774"/>
    <w:rsid w:val="00B84C40"/>
    <w:rsid w:val="00B84F57"/>
    <w:rsid w:val="00B87AE3"/>
    <w:rsid w:val="00B926C9"/>
    <w:rsid w:val="00B92D38"/>
    <w:rsid w:val="00B972DC"/>
    <w:rsid w:val="00BA12B3"/>
    <w:rsid w:val="00BA13D9"/>
    <w:rsid w:val="00BA167F"/>
    <w:rsid w:val="00BA1C62"/>
    <w:rsid w:val="00BA3A25"/>
    <w:rsid w:val="00BA3D81"/>
    <w:rsid w:val="00BA47FB"/>
    <w:rsid w:val="00BA5203"/>
    <w:rsid w:val="00BB0B17"/>
    <w:rsid w:val="00BB15E9"/>
    <w:rsid w:val="00BB2B1D"/>
    <w:rsid w:val="00BB3DE3"/>
    <w:rsid w:val="00BB57F2"/>
    <w:rsid w:val="00BB7DE9"/>
    <w:rsid w:val="00BC0222"/>
    <w:rsid w:val="00BC0AB3"/>
    <w:rsid w:val="00BC231B"/>
    <w:rsid w:val="00BC446A"/>
    <w:rsid w:val="00BC4685"/>
    <w:rsid w:val="00BC4B43"/>
    <w:rsid w:val="00BC73C7"/>
    <w:rsid w:val="00BC7793"/>
    <w:rsid w:val="00BD0101"/>
    <w:rsid w:val="00BD083A"/>
    <w:rsid w:val="00BD100E"/>
    <w:rsid w:val="00BD135D"/>
    <w:rsid w:val="00BD1447"/>
    <w:rsid w:val="00BD1A6D"/>
    <w:rsid w:val="00BD1EE0"/>
    <w:rsid w:val="00BD2E9F"/>
    <w:rsid w:val="00BD47C7"/>
    <w:rsid w:val="00BD593F"/>
    <w:rsid w:val="00BD5B46"/>
    <w:rsid w:val="00BD63AA"/>
    <w:rsid w:val="00BD79C6"/>
    <w:rsid w:val="00BD7B0A"/>
    <w:rsid w:val="00BE0128"/>
    <w:rsid w:val="00BE1545"/>
    <w:rsid w:val="00BE25D7"/>
    <w:rsid w:val="00BE3DE3"/>
    <w:rsid w:val="00BE431B"/>
    <w:rsid w:val="00BE53E5"/>
    <w:rsid w:val="00BE618B"/>
    <w:rsid w:val="00BE62FE"/>
    <w:rsid w:val="00BF18B3"/>
    <w:rsid w:val="00BF2EF4"/>
    <w:rsid w:val="00BF377D"/>
    <w:rsid w:val="00BF4D83"/>
    <w:rsid w:val="00BF610A"/>
    <w:rsid w:val="00BF658E"/>
    <w:rsid w:val="00BF6940"/>
    <w:rsid w:val="00BF6F17"/>
    <w:rsid w:val="00BF6FDA"/>
    <w:rsid w:val="00C00C3B"/>
    <w:rsid w:val="00C012CE"/>
    <w:rsid w:val="00C01961"/>
    <w:rsid w:val="00C031FC"/>
    <w:rsid w:val="00C052EA"/>
    <w:rsid w:val="00C05534"/>
    <w:rsid w:val="00C05FB5"/>
    <w:rsid w:val="00C061DD"/>
    <w:rsid w:val="00C064A1"/>
    <w:rsid w:val="00C07D28"/>
    <w:rsid w:val="00C07FB3"/>
    <w:rsid w:val="00C10253"/>
    <w:rsid w:val="00C1086A"/>
    <w:rsid w:val="00C10A8C"/>
    <w:rsid w:val="00C12F72"/>
    <w:rsid w:val="00C13B17"/>
    <w:rsid w:val="00C143F3"/>
    <w:rsid w:val="00C149D8"/>
    <w:rsid w:val="00C14C2A"/>
    <w:rsid w:val="00C14E56"/>
    <w:rsid w:val="00C15241"/>
    <w:rsid w:val="00C21817"/>
    <w:rsid w:val="00C2254E"/>
    <w:rsid w:val="00C2334E"/>
    <w:rsid w:val="00C23B43"/>
    <w:rsid w:val="00C255E6"/>
    <w:rsid w:val="00C269E7"/>
    <w:rsid w:val="00C30A6A"/>
    <w:rsid w:val="00C3292D"/>
    <w:rsid w:val="00C34187"/>
    <w:rsid w:val="00C34FA5"/>
    <w:rsid w:val="00C41EE0"/>
    <w:rsid w:val="00C4216D"/>
    <w:rsid w:val="00C43E61"/>
    <w:rsid w:val="00C45D61"/>
    <w:rsid w:val="00C470C5"/>
    <w:rsid w:val="00C50471"/>
    <w:rsid w:val="00C50C4F"/>
    <w:rsid w:val="00C52763"/>
    <w:rsid w:val="00C534F5"/>
    <w:rsid w:val="00C53B73"/>
    <w:rsid w:val="00C56A8D"/>
    <w:rsid w:val="00C57331"/>
    <w:rsid w:val="00C61849"/>
    <w:rsid w:val="00C618C3"/>
    <w:rsid w:val="00C6494F"/>
    <w:rsid w:val="00C651A7"/>
    <w:rsid w:val="00C66266"/>
    <w:rsid w:val="00C675E9"/>
    <w:rsid w:val="00C676A9"/>
    <w:rsid w:val="00C67752"/>
    <w:rsid w:val="00C70A3A"/>
    <w:rsid w:val="00C71878"/>
    <w:rsid w:val="00C73A90"/>
    <w:rsid w:val="00C74BCF"/>
    <w:rsid w:val="00C777E1"/>
    <w:rsid w:val="00C80D15"/>
    <w:rsid w:val="00C815E2"/>
    <w:rsid w:val="00C821B6"/>
    <w:rsid w:val="00C839F3"/>
    <w:rsid w:val="00C83E14"/>
    <w:rsid w:val="00C843A4"/>
    <w:rsid w:val="00C856CC"/>
    <w:rsid w:val="00C860DA"/>
    <w:rsid w:val="00C86A4B"/>
    <w:rsid w:val="00C877CE"/>
    <w:rsid w:val="00C87DA5"/>
    <w:rsid w:val="00C87EF8"/>
    <w:rsid w:val="00C90447"/>
    <w:rsid w:val="00C904DE"/>
    <w:rsid w:val="00C905C3"/>
    <w:rsid w:val="00C90B45"/>
    <w:rsid w:val="00C91060"/>
    <w:rsid w:val="00C911C6"/>
    <w:rsid w:val="00C93196"/>
    <w:rsid w:val="00C9323C"/>
    <w:rsid w:val="00C933FC"/>
    <w:rsid w:val="00C94194"/>
    <w:rsid w:val="00C9442D"/>
    <w:rsid w:val="00C9500D"/>
    <w:rsid w:val="00C95DE4"/>
    <w:rsid w:val="00C96F2C"/>
    <w:rsid w:val="00C979B9"/>
    <w:rsid w:val="00C97BBA"/>
    <w:rsid w:val="00C97F7D"/>
    <w:rsid w:val="00CA0697"/>
    <w:rsid w:val="00CA0BDA"/>
    <w:rsid w:val="00CA2FE2"/>
    <w:rsid w:val="00CA40AF"/>
    <w:rsid w:val="00CA5438"/>
    <w:rsid w:val="00CA54C9"/>
    <w:rsid w:val="00CA62A8"/>
    <w:rsid w:val="00CA6514"/>
    <w:rsid w:val="00CA78FA"/>
    <w:rsid w:val="00CB0C3A"/>
    <w:rsid w:val="00CB2D09"/>
    <w:rsid w:val="00CB373B"/>
    <w:rsid w:val="00CB3C74"/>
    <w:rsid w:val="00CB48F4"/>
    <w:rsid w:val="00CB4B0D"/>
    <w:rsid w:val="00CB5EF4"/>
    <w:rsid w:val="00CB638D"/>
    <w:rsid w:val="00CB6D4F"/>
    <w:rsid w:val="00CC0CE9"/>
    <w:rsid w:val="00CC1116"/>
    <w:rsid w:val="00CC27AF"/>
    <w:rsid w:val="00CC2C1F"/>
    <w:rsid w:val="00CC3024"/>
    <w:rsid w:val="00CC3F48"/>
    <w:rsid w:val="00CC53F3"/>
    <w:rsid w:val="00CD01EB"/>
    <w:rsid w:val="00CD1B00"/>
    <w:rsid w:val="00CD1EE9"/>
    <w:rsid w:val="00CD4729"/>
    <w:rsid w:val="00CD51DF"/>
    <w:rsid w:val="00CD5B25"/>
    <w:rsid w:val="00CD5CE9"/>
    <w:rsid w:val="00CD62B4"/>
    <w:rsid w:val="00CD7E68"/>
    <w:rsid w:val="00CE01F8"/>
    <w:rsid w:val="00CE0457"/>
    <w:rsid w:val="00CE1273"/>
    <w:rsid w:val="00CE18EF"/>
    <w:rsid w:val="00CE369C"/>
    <w:rsid w:val="00CE460F"/>
    <w:rsid w:val="00CE5096"/>
    <w:rsid w:val="00CE5141"/>
    <w:rsid w:val="00CE5174"/>
    <w:rsid w:val="00CE5A07"/>
    <w:rsid w:val="00CE707D"/>
    <w:rsid w:val="00CE7232"/>
    <w:rsid w:val="00CE7324"/>
    <w:rsid w:val="00CE7568"/>
    <w:rsid w:val="00CF068B"/>
    <w:rsid w:val="00CF07A4"/>
    <w:rsid w:val="00CF3109"/>
    <w:rsid w:val="00CF4AF3"/>
    <w:rsid w:val="00CF6E6F"/>
    <w:rsid w:val="00D00668"/>
    <w:rsid w:val="00D00C73"/>
    <w:rsid w:val="00D017DA"/>
    <w:rsid w:val="00D01CFF"/>
    <w:rsid w:val="00D03C9D"/>
    <w:rsid w:val="00D040BC"/>
    <w:rsid w:val="00D04CC4"/>
    <w:rsid w:val="00D10D65"/>
    <w:rsid w:val="00D11B7A"/>
    <w:rsid w:val="00D1241C"/>
    <w:rsid w:val="00D141D3"/>
    <w:rsid w:val="00D14754"/>
    <w:rsid w:val="00D1659A"/>
    <w:rsid w:val="00D16BFD"/>
    <w:rsid w:val="00D20B6E"/>
    <w:rsid w:val="00D21B85"/>
    <w:rsid w:val="00D21E69"/>
    <w:rsid w:val="00D21FFE"/>
    <w:rsid w:val="00D23F9F"/>
    <w:rsid w:val="00D2434E"/>
    <w:rsid w:val="00D253E8"/>
    <w:rsid w:val="00D32652"/>
    <w:rsid w:val="00D33C45"/>
    <w:rsid w:val="00D36275"/>
    <w:rsid w:val="00D364D2"/>
    <w:rsid w:val="00D36EEF"/>
    <w:rsid w:val="00D370D6"/>
    <w:rsid w:val="00D37F35"/>
    <w:rsid w:val="00D40877"/>
    <w:rsid w:val="00D413B7"/>
    <w:rsid w:val="00D420D6"/>
    <w:rsid w:val="00D42927"/>
    <w:rsid w:val="00D42CC7"/>
    <w:rsid w:val="00D45778"/>
    <w:rsid w:val="00D47EB0"/>
    <w:rsid w:val="00D50651"/>
    <w:rsid w:val="00D51DD3"/>
    <w:rsid w:val="00D52186"/>
    <w:rsid w:val="00D529C5"/>
    <w:rsid w:val="00D54502"/>
    <w:rsid w:val="00D546BE"/>
    <w:rsid w:val="00D564EA"/>
    <w:rsid w:val="00D564F5"/>
    <w:rsid w:val="00D56CFA"/>
    <w:rsid w:val="00D57F9F"/>
    <w:rsid w:val="00D603A3"/>
    <w:rsid w:val="00D610B0"/>
    <w:rsid w:val="00D61969"/>
    <w:rsid w:val="00D61D0C"/>
    <w:rsid w:val="00D625F3"/>
    <w:rsid w:val="00D63060"/>
    <w:rsid w:val="00D66168"/>
    <w:rsid w:val="00D66453"/>
    <w:rsid w:val="00D67987"/>
    <w:rsid w:val="00D67E5B"/>
    <w:rsid w:val="00D67E6E"/>
    <w:rsid w:val="00D70575"/>
    <w:rsid w:val="00D742D1"/>
    <w:rsid w:val="00D74C31"/>
    <w:rsid w:val="00D7568E"/>
    <w:rsid w:val="00D76C46"/>
    <w:rsid w:val="00D80130"/>
    <w:rsid w:val="00D8040B"/>
    <w:rsid w:val="00D81115"/>
    <w:rsid w:val="00D8180B"/>
    <w:rsid w:val="00D82599"/>
    <w:rsid w:val="00D82B8B"/>
    <w:rsid w:val="00D832B7"/>
    <w:rsid w:val="00D83D9F"/>
    <w:rsid w:val="00D84496"/>
    <w:rsid w:val="00D845B8"/>
    <w:rsid w:val="00D84D88"/>
    <w:rsid w:val="00D858D9"/>
    <w:rsid w:val="00D91CB1"/>
    <w:rsid w:val="00D91FAD"/>
    <w:rsid w:val="00D920A8"/>
    <w:rsid w:val="00D93348"/>
    <w:rsid w:val="00D937A8"/>
    <w:rsid w:val="00D937CA"/>
    <w:rsid w:val="00D93839"/>
    <w:rsid w:val="00D9435D"/>
    <w:rsid w:val="00D949A4"/>
    <w:rsid w:val="00D9547B"/>
    <w:rsid w:val="00D961B1"/>
    <w:rsid w:val="00D96B5E"/>
    <w:rsid w:val="00DA255E"/>
    <w:rsid w:val="00DA29EB"/>
    <w:rsid w:val="00DA2D34"/>
    <w:rsid w:val="00DA42DF"/>
    <w:rsid w:val="00DA50AF"/>
    <w:rsid w:val="00DA5ABF"/>
    <w:rsid w:val="00DA6A8E"/>
    <w:rsid w:val="00DB1192"/>
    <w:rsid w:val="00DB32A7"/>
    <w:rsid w:val="00DB32C1"/>
    <w:rsid w:val="00DB4F27"/>
    <w:rsid w:val="00DB6534"/>
    <w:rsid w:val="00DB6939"/>
    <w:rsid w:val="00DC1D75"/>
    <w:rsid w:val="00DC344E"/>
    <w:rsid w:val="00DC4341"/>
    <w:rsid w:val="00DC7F65"/>
    <w:rsid w:val="00DD2290"/>
    <w:rsid w:val="00DD2611"/>
    <w:rsid w:val="00DD36C1"/>
    <w:rsid w:val="00DD41E2"/>
    <w:rsid w:val="00DD4B8C"/>
    <w:rsid w:val="00DD4C98"/>
    <w:rsid w:val="00DD6BD6"/>
    <w:rsid w:val="00DD6F8C"/>
    <w:rsid w:val="00DD772B"/>
    <w:rsid w:val="00DE2B04"/>
    <w:rsid w:val="00DE44EB"/>
    <w:rsid w:val="00DE504D"/>
    <w:rsid w:val="00DE6057"/>
    <w:rsid w:val="00DE6A56"/>
    <w:rsid w:val="00DE76D9"/>
    <w:rsid w:val="00DF0DDD"/>
    <w:rsid w:val="00DF0DE4"/>
    <w:rsid w:val="00DF1730"/>
    <w:rsid w:val="00DF3628"/>
    <w:rsid w:val="00DF452F"/>
    <w:rsid w:val="00DF582D"/>
    <w:rsid w:val="00DF6841"/>
    <w:rsid w:val="00E003DD"/>
    <w:rsid w:val="00E0157B"/>
    <w:rsid w:val="00E03258"/>
    <w:rsid w:val="00E04784"/>
    <w:rsid w:val="00E04E2C"/>
    <w:rsid w:val="00E04F91"/>
    <w:rsid w:val="00E05FC4"/>
    <w:rsid w:val="00E05FF8"/>
    <w:rsid w:val="00E06526"/>
    <w:rsid w:val="00E104B8"/>
    <w:rsid w:val="00E12B68"/>
    <w:rsid w:val="00E139F3"/>
    <w:rsid w:val="00E13A80"/>
    <w:rsid w:val="00E13B90"/>
    <w:rsid w:val="00E1448D"/>
    <w:rsid w:val="00E147B3"/>
    <w:rsid w:val="00E14B9C"/>
    <w:rsid w:val="00E15FBB"/>
    <w:rsid w:val="00E1605E"/>
    <w:rsid w:val="00E17EFF"/>
    <w:rsid w:val="00E204C8"/>
    <w:rsid w:val="00E20B00"/>
    <w:rsid w:val="00E225E9"/>
    <w:rsid w:val="00E22E01"/>
    <w:rsid w:val="00E2495B"/>
    <w:rsid w:val="00E26EC2"/>
    <w:rsid w:val="00E26FBE"/>
    <w:rsid w:val="00E27E48"/>
    <w:rsid w:val="00E3063D"/>
    <w:rsid w:val="00E307E5"/>
    <w:rsid w:val="00E31B8A"/>
    <w:rsid w:val="00E31DAC"/>
    <w:rsid w:val="00E35923"/>
    <w:rsid w:val="00E35D53"/>
    <w:rsid w:val="00E35DFE"/>
    <w:rsid w:val="00E373F9"/>
    <w:rsid w:val="00E378EC"/>
    <w:rsid w:val="00E37CEF"/>
    <w:rsid w:val="00E40542"/>
    <w:rsid w:val="00E40D08"/>
    <w:rsid w:val="00E42303"/>
    <w:rsid w:val="00E42D7A"/>
    <w:rsid w:val="00E42E0C"/>
    <w:rsid w:val="00E4325B"/>
    <w:rsid w:val="00E458FF"/>
    <w:rsid w:val="00E459D3"/>
    <w:rsid w:val="00E47010"/>
    <w:rsid w:val="00E47152"/>
    <w:rsid w:val="00E545D3"/>
    <w:rsid w:val="00E54C8B"/>
    <w:rsid w:val="00E56DAD"/>
    <w:rsid w:val="00E57387"/>
    <w:rsid w:val="00E57540"/>
    <w:rsid w:val="00E57F85"/>
    <w:rsid w:val="00E60C65"/>
    <w:rsid w:val="00E6315A"/>
    <w:rsid w:val="00E64598"/>
    <w:rsid w:val="00E6526B"/>
    <w:rsid w:val="00E66408"/>
    <w:rsid w:val="00E66621"/>
    <w:rsid w:val="00E66A07"/>
    <w:rsid w:val="00E66C84"/>
    <w:rsid w:val="00E66E1B"/>
    <w:rsid w:val="00E6749D"/>
    <w:rsid w:val="00E675B7"/>
    <w:rsid w:val="00E67A8B"/>
    <w:rsid w:val="00E7081C"/>
    <w:rsid w:val="00E71FDB"/>
    <w:rsid w:val="00E7318F"/>
    <w:rsid w:val="00E73B31"/>
    <w:rsid w:val="00E75CBF"/>
    <w:rsid w:val="00E769A3"/>
    <w:rsid w:val="00E77123"/>
    <w:rsid w:val="00E77760"/>
    <w:rsid w:val="00E77F00"/>
    <w:rsid w:val="00E8006B"/>
    <w:rsid w:val="00E807CB"/>
    <w:rsid w:val="00E80840"/>
    <w:rsid w:val="00E80975"/>
    <w:rsid w:val="00E80CB6"/>
    <w:rsid w:val="00E814F9"/>
    <w:rsid w:val="00E81C15"/>
    <w:rsid w:val="00E83A34"/>
    <w:rsid w:val="00E841B4"/>
    <w:rsid w:val="00E85943"/>
    <w:rsid w:val="00E86384"/>
    <w:rsid w:val="00E90B1F"/>
    <w:rsid w:val="00E91B39"/>
    <w:rsid w:val="00E936C2"/>
    <w:rsid w:val="00E9412D"/>
    <w:rsid w:val="00E94AD7"/>
    <w:rsid w:val="00E96ACB"/>
    <w:rsid w:val="00E96BBE"/>
    <w:rsid w:val="00EA1470"/>
    <w:rsid w:val="00EA14DB"/>
    <w:rsid w:val="00EA28A7"/>
    <w:rsid w:val="00EA36E5"/>
    <w:rsid w:val="00EA38DF"/>
    <w:rsid w:val="00EA3FE2"/>
    <w:rsid w:val="00EA54A2"/>
    <w:rsid w:val="00EA54B1"/>
    <w:rsid w:val="00EA599F"/>
    <w:rsid w:val="00EA6F08"/>
    <w:rsid w:val="00EA7DAD"/>
    <w:rsid w:val="00EB0C75"/>
    <w:rsid w:val="00EB2B84"/>
    <w:rsid w:val="00EB5744"/>
    <w:rsid w:val="00EB5B9E"/>
    <w:rsid w:val="00EB6B99"/>
    <w:rsid w:val="00EC07C1"/>
    <w:rsid w:val="00EC07CC"/>
    <w:rsid w:val="00EC128C"/>
    <w:rsid w:val="00EC3922"/>
    <w:rsid w:val="00EC6C21"/>
    <w:rsid w:val="00ED1320"/>
    <w:rsid w:val="00ED2D35"/>
    <w:rsid w:val="00ED301D"/>
    <w:rsid w:val="00ED32C8"/>
    <w:rsid w:val="00ED35A6"/>
    <w:rsid w:val="00ED42D5"/>
    <w:rsid w:val="00ED5D25"/>
    <w:rsid w:val="00ED5F8E"/>
    <w:rsid w:val="00ED694E"/>
    <w:rsid w:val="00ED6C81"/>
    <w:rsid w:val="00ED78E5"/>
    <w:rsid w:val="00ED7DDA"/>
    <w:rsid w:val="00EE1C90"/>
    <w:rsid w:val="00EE2582"/>
    <w:rsid w:val="00EE38B3"/>
    <w:rsid w:val="00EE5C5D"/>
    <w:rsid w:val="00EE67BA"/>
    <w:rsid w:val="00EE6DC0"/>
    <w:rsid w:val="00EE7D72"/>
    <w:rsid w:val="00EF0DF9"/>
    <w:rsid w:val="00EF327D"/>
    <w:rsid w:val="00EF3886"/>
    <w:rsid w:val="00EF38E0"/>
    <w:rsid w:val="00EF41BE"/>
    <w:rsid w:val="00EF4892"/>
    <w:rsid w:val="00EF5E6E"/>
    <w:rsid w:val="00F00A9A"/>
    <w:rsid w:val="00F01497"/>
    <w:rsid w:val="00F04041"/>
    <w:rsid w:val="00F04248"/>
    <w:rsid w:val="00F04A98"/>
    <w:rsid w:val="00F04CA7"/>
    <w:rsid w:val="00F05A91"/>
    <w:rsid w:val="00F06E72"/>
    <w:rsid w:val="00F06F67"/>
    <w:rsid w:val="00F07B06"/>
    <w:rsid w:val="00F10965"/>
    <w:rsid w:val="00F10D17"/>
    <w:rsid w:val="00F112D7"/>
    <w:rsid w:val="00F12026"/>
    <w:rsid w:val="00F14AE0"/>
    <w:rsid w:val="00F154BE"/>
    <w:rsid w:val="00F155FB"/>
    <w:rsid w:val="00F15BD4"/>
    <w:rsid w:val="00F15EB9"/>
    <w:rsid w:val="00F16CFB"/>
    <w:rsid w:val="00F20ED2"/>
    <w:rsid w:val="00F21196"/>
    <w:rsid w:val="00F21849"/>
    <w:rsid w:val="00F21C57"/>
    <w:rsid w:val="00F21D66"/>
    <w:rsid w:val="00F224E2"/>
    <w:rsid w:val="00F229B8"/>
    <w:rsid w:val="00F231A1"/>
    <w:rsid w:val="00F23448"/>
    <w:rsid w:val="00F235B9"/>
    <w:rsid w:val="00F241CE"/>
    <w:rsid w:val="00F24FAB"/>
    <w:rsid w:val="00F2523C"/>
    <w:rsid w:val="00F276F0"/>
    <w:rsid w:val="00F2797F"/>
    <w:rsid w:val="00F31421"/>
    <w:rsid w:val="00F321C5"/>
    <w:rsid w:val="00F32E1C"/>
    <w:rsid w:val="00F342CF"/>
    <w:rsid w:val="00F3459A"/>
    <w:rsid w:val="00F40B9A"/>
    <w:rsid w:val="00F42431"/>
    <w:rsid w:val="00F43C5E"/>
    <w:rsid w:val="00F524AD"/>
    <w:rsid w:val="00F52B60"/>
    <w:rsid w:val="00F53CC8"/>
    <w:rsid w:val="00F540EB"/>
    <w:rsid w:val="00F541A6"/>
    <w:rsid w:val="00F57AFF"/>
    <w:rsid w:val="00F604B2"/>
    <w:rsid w:val="00F61540"/>
    <w:rsid w:val="00F63D62"/>
    <w:rsid w:val="00F64025"/>
    <w:rsid w:val="00F644D5"/>
    <w:rsid w:val="00F6677E"/>
    <w:rsid w:val="00F67A9E"/>
    <w:rsid w:val="00F711E9"/>
    <w:rsid w:val="00F71496"/>
    <w:rsid w:val="00F71579"/>
    <w:rsid w:val="00F717F9"/>
    <w:rsid w:val="00F72DCF"/>
    <w:rsid w:val="00F7300A"/>
    <w:rsid w:val="00F7301F"/>
    <w:rsid w:val="00F73418"/>
    <w:rsid w:val="00F73806"/>
    <w:rsid w:val="00F73DEE"/>
    <w:rsid w:val="00F75726"/>
    <w:rsid w:val="00F75EB5"/>
    <w:rsid w:val="00F7731D"/>
    <w:rsid w:val="00F801A5"/>
    <w:rsid w:val="00F801ED"/>
    <w:rsid w:val="00F8162B"/>
    <w:rsid w:val="00F82848"/>
    <w:rsid w:val="00F83966"/>
    <w:rsid w:val="00F84310"/>
    <w:rsid w:val="00F85165"/>
    <w:rsid w:val="00F85562"/>
    <w:rsid w:val="00F8567E"/>
    <w:rsid w:val="00F85D98"/>
    <w:rsid w:val="00F87104"/>
    <w:rsid w:val="00F87BE9"/>
    <w:rsid w:val="00F90BA1"/>
    <w:rsid w:val="00F94097"/>
    <w:rsid w:val="00F94102"/>
    <w:rsid w:val="00F9423B"/>
    <w:rsid w:val="00F94505"/>
    <w:rsid w:val="00F949A0"/>
    <w:rsid w:val="00F94FE6"/>
    <w:rsid w:val="00F95425"/>
    <w:rsid w:val="00F958E7"/>
    <w:rsid w:val="00F95BF4"/>
    <w:rsid w:val="00F95C78"/>
    <w:rsid w:val="00F96463"/>
    <w:rsid w:val="00F96927"/>
    <w:rsid w:val="00FA0A23"/>
    <w:rsid w:val="00FA186E"/>
    <w:rsid w:val="00FA2934"/>
    <w:rsid w:val="00FA32EA"/>
    <w:rsid w:val="00FA38D3"/>
    <w:rsid w:val="00FA4253"/>
    <w:rsid w:val="00FA4809"/>
    <w:rsid w:val="00FA6A9B"/>
    <w:rsid w:val="00FA6C19"/>
    <w:rsid w:val="00FA73FE"/>
    <w:rsid w:val="00FB0CCF"/>
    <w:rsid w:val="00FB1D99"/>
    <w:rsid w:val="00FB2129"/>
    <w:rsid w:val="00FC299D"/>
    <w:rsid w:val="00FC4647"/>
    <w:rsid w:val="00FC4CEA"/>
    <w:rsid w:val="00FC6345"/>
    <w:rsid w:val="00FC6FF7"/>
    <w:rsid w:val="00FC78D2"/>
    <w:rsid w:val="00FC7B98"/>
    <w:rsid w:val="00FD003C"/>
    <w:rsid w:val="00FD00AC"/>
    <w:rsid w:val="00FD1D69"/>
    <w:rsid w:val="00FD36E6"/>
    <w:rsid w:val="00FD382C"/>
    <w:rsid w:val="00FD39DF"/>
    <w:rsid w:val="00FD4158"/>
    <w:rsid w:val="00FD67D3"/>
    <w:rsid w:val="00FD6C7D"/>
    <w:rsid w:val="00FD6F7A"/>
    <w:rsid w:val="00FD7A58"/>
    <w:rsid w:val="00FE1179"/>
    <w:rsid w:val="00FE173E"/>
    <w:rsid w:val="00FE17E9"/>
    <w:rsid w:val="00FE1F19"/>
    <w:rsid w:val="00FE23A1"/>
    <w:rsid w:val="00FE28A9"/>
    <w:rsid w:val="00FE3CF0"/>
    <w:rsid w:val="00FE4206"/>
    <w:rsid w:val="00FE5753"/>
    <w:rsid w:val="00FF1EF8"/>
    <w:rsid w:val="00FF22E9"/>
    <w:rsid w:val="00FF24C0"/>
    <w:rsid w:val="00FF2703"/>
    <w:rsid w:val="00FF39A7"/>
    <w:rsid w:val="00FF4064"/>
    <w:rsid w:val="00FF48FD"/>
    <w:rsid w:val="00FF7BF4"/>
    <w:rsid w:val="013B536F"/>
    <w:rsid w:val="01F66D5A"/>
    <w:rsid w:val="028C1197"/>
    <w:rsid w:val="03C4024C"/>
    <w:rsid w:val="054E0ECE"/>
    <w:rsid w:val="06F30B0B"/>
    <w:rsid w:val="085165A4"/>
    <w:rsid w:val="087D1936"/>
    <w:rsid w:val="09D600FE"/>
    <w:rsid w:val="0E8936FC"/>
    <w:rsid w:val="0F453BC8"/>
    <w:rsid w:val="0F7A1CB8"/>
    <w:rsid w:val="0FF40F82"/>
    <w:rsid w:val="10217246"/>
    <w:rsid w:val="10374253"/>
    <w:rsid w:val="108825F4"/>
    <w:rsid w:val="10AC6CD8"/>
    <w:rsid w:val="11C45B49"/>
    <w:rsid w:val="11EF3A21"/>
    <w:rsid w:val="13316CA1"/>
    <w:rsid w:val="1443600F"/>
    <w:rsid w:val="15285049"/>
    <w:rsid w:val="172B23A4"/>
    <w:rsid w:val="17683902"/>
    <w:rsid w:val="1A840F1A"/>
    <w:rsid w:val="1AB26A35"/>
    <w:rsid w:val="1AE3392C"/>
    <w:rsid w:val="1CF52C94"/>
    <w:rsid w:val="1D703874"/>
    <w:rsid w:val="1E803BA4"/>
    <w:rsid w:val="1FDB4565"/>
    <w:rsid w:val="207E7C42"/>
    <w:rsid w:val="211F3C2F"/>
    <w:rsid w:val="217D219D"/>
    <w:rsid w:val="21BA530E"/>
    <w:rsid w:val="26B6330A"/>
    <w:rsid w:val="274D3FB8"/>
    <w:rsid w:val="28EE0800"/>
    <w:rsid w:val="294436F4"/>
    <w:rsid w:val="2AAC22E7"/>
    <w:rsid w:val="2CD310C7"/>
    <w:rsid w:val="2CFE6C8E"/>
    <w:rsid w:val="2D225C3B"/>
    <w:rsid w:val="2EAD02A9"/>
    <w:rsid w:val="2F0D7D38"/>
    <w:rsid w:val="2F7C30C4"/>
    <w:rsid w:val="2F983008"/>
    <w:rsid w:val="31E431BF"/>
    <w:rsid w:val="32106DF2"/>
    <w:rsid w:val="32811FF2"/>
    <w:rsid w:val="333A4D25"/>
    <w:rsid w:val="334B7A63"/>
    <w:rsid w:val="33964DD7"/>
    <w:rsid w:val="344D5AD4"/>
    <w:rsid w:val="35334A09"/>
    <w:rsid w:val="35A724BD"/>
    <w:rsid w:val="372553E0"/>
    <w:rsid w:val="373F3CB2"/>
    <w:rsid w:val="39576DDE"/>
    <w:rsid w:val="3989225F"/>
    <w:rsid w:val="3A96205A"/>
    <w:rsid w:val="3B1E47E0"/>
    <w:rsid w:val="3D2775DA"/>
    <w:rsid w:val="3D657004"/>
    <w:rsid w:val="3EC70D8E"/>
    <w:rsid w:val="3FE517CE"/>
    <w:rsid w:val="42180807"/>
    <w:rsid w:val="42477B43"/>
    <w:rsid w:val="42D52DBF"/>
    <w:rsid w:val="431C1EED"/>
    <w:rsid w:val="434B584E"/>
    <w:rsid w:val="47497290"/>
    <w:rsid w:val="48045FD5"/>
    <w:rsid w:val="48B63898"/>
    <w:rsid w:val="4904190C"/>
    <w:rsid w:val="4A706098"/>
    <w:rsid w:val="4AAB2C4E"/>
    <w:rsid w:val="4AE153F1"/>
    <w:rsid w:val="4C476DD4"/>
    <w:rsid w:val="4C842726"/>
    <w:rsid w:val="4CBF082E"/>
    <w:rsid w:val="50574934"/>
    <w:rsid w:val="507A7FC6"/>
    <w:rsid w:val="507B3FEE"/>
    <w:rsid w:val="52666DF6"/>
    <w:rsid w:val="52BD14D1"/>
    <w:rsid w:val="52D33A36"/>
    <w:rsid w:val="52D711FE"/>
    <w:rsid w:val="550B334A"/>
    <w:rsid w:val="552F26B7"/>
    <w:rsid w:val="55390A25"/>
    <w:rsid w:val="560716E5"/>
    <w:rsid w:val="575A202E"/>
    <w:rsid w:val="59EA16A0"/>
    <w:rsid w:val="5A02511D"/>
    <w:rsid w:val="5B8C3F92"/>
    <w:rsid w:val="5BD655E8"/>
    <w:rsid w:val="5BE07DF5"/>
    <w:rsid w:val="5D043FBC"/>
    <w:rsid w:val="5D0B3CD9"/>
    <w:rsid w:val="5E726C52"/>
    <w:rsid w:val="5E842F8C"/>
    <w:rsid w:val="5E9A3086"/>
    <w:rsid w:val="5EC50A08"/>
    <w:rsid w:val="5F84475D"/>
    <w:rsid w:val="5FEF3B15"/>
    <w:rsid w:val="5FFD512A"/>
    <w:rsid w:val="604E00B2"/>
    <w:rsid w:val="606D5BD6"/>
    <w:rsid w:val="60D71094"/>
    <w:rsid w:val="61535E6F"/>
    <w:rsid w:val="63ED2947"/>
    <w:rsid w:val="65771AD5"/>
    <w:rsid w:val="667027DF"/>
    <w:rsid w:val="667A2450"/>
    <w:rsid w:val="66C57A49"/>
    <w:rsid w:val="67B0508A"/>
    <w:rsid w:val="67B94580"/>
    <w:rsid w:val="68BE4F79"/>
    <w:rsid w:val="6A25321F"/>
    <w:rsid w:val="6C304249"/>
    <w:rsid w:val="6C511CA8"/>
    <w:rsid w:val="6DAF0D5F"/>
    <w:rsid w:val="6F425D9A"/>
    <w:rsid w:val="6FBA54D6"/>
    <w:rsid w:val="72763F0A"/>
    <w:rsid w:val="72987D52"/>
    <w:rsid w:val="729B3F05"/>
    <w:rsid w:val="729C45B1"/>
    <w:rsid w:val="72AC2FCB"/>
    <w:rsid w:val="761667BE"/>
    <w:rsid w:val="7630745E"/>
    <w:rsid w:val="76F657AA"/>
    <w:rsid w:val="77605E2E"/>
    <w:rsid w:val="77A07F04"/>
    <w:rsid w:val="781C7EE5"/>
    <w:rsid w:val="78CF0219"/>
    <w:rsid w:val="79371A97"/>
    <w:rsid w:val="7B022DC4"/>
    <w:rsid w:val="7B2A57EE"/>
    <w:rsid w:val="7BE66677"/>
    <w:rsid w:val="7D11324F"/>
    <w:rsid w:val="7D7639BE"/>
    <w:rsid w:val="7E3264BB"/>
    <w:rsid w:val="7FBC1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oNotEmbedSmartTags/>
  <w:decimalSymbol w:val="."/>
  <w:listSeparator w:val=","/>
  <w14:docId w14:val="7DE9659B"/>
  <w15:chartTrackingRefBased/>
  <w15:docId w15:val="{0E520D6B-EB49-4642-AEBA-1293DEE5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4"/>
    </w:rPr>
  </w:style>
  <w:style w:type="paragraph" w:styleId="1">
    <w:name w:val="heading 1"/>
    <w:basedOn w:val="a"/>
    <w:next w:val="a"/>
    <w:link w:val="10"/>
    <w:qFormat/>
    <w:pPr>
      <w:keepNext/>
      <w:keepLines/>
      <w:widowControl/>
      <w:numPr>
        <w:numId w:val="1"/>
      </w:numPr>
      <w:tabs>
        <w:tab w:val="left" w:pos="420"/>
      </w:tabs>
      <w:spacing w:beforeLines="50" w:before="50" w:afterLines="50" w:after="50" w:line="240" w:lineRule="auto"/>
      <w:ind w:left="0" w:firstLine="0"/>
      <w:jc w:val="center"/>
      <w:outlineLvl w:val="0"/>
    </w:pPr>
    <w:rPr>
      <w:rFonts w:eastAsia="黑体"/>
      <w:b/>
      <w:bCs/>
      <w:kern w:val="44"/>
      <w:sz w:val="36"/>
      <w:szCs w:val="36"/>
    </w:rPr>
  </w:style>
  <w:style w:type="paragraph" w:styleId="2">
    <w:name w:val="heading 2"/>
    <w:basedOn w:val="a"/>
    <w:next w:val="a"/>
    <w:link w:val="20"/>
    <w:uiPriority w:val="9"/>
    <w:qFormat/>
    <w:pPr>
      <w:keepNext/>
      <w:keepLines/>
      <w:numPr>
        <w:ilvl w:val="1"/>
        <w:numId w:val="1"/>
      </w:numPr>
      <w:spacing w:beforeLines="50" w:before="50" w:afterLines="50" w:after="50" w:line="240" w:lineRule="auto"/>
      <w:outlineLvl w:val="1"/>
    </w:pPr>
    <w:rPr>
      <w:rFonts w:eastAsia="黑体"/>
      <w:b/>
      <w:sz w:val="28"/>
    </w:rPr>
  </w:style>
  <w:style w:type="paragraph" w:styleId="3">
    <w:name w:val="heading 3"/>
    <w:basedOn w:val="a"/>
    <w:next w:val="a"/>
    <w:link w:val="30"/>
    <w:uiPriority w:val="9"/>
    <w:qFormat/>
    <w:pPr>
      <w:keepNext/>
      <w:keepLines/>
      <w:numPr>
        <w:ilvl w:val="2"/>
        <w:numId w:val="1"/>
      </w:numPr>
      <w:tabs>
        <w:tab w:val="left" w:pos="420"/>
      </w:tabs>
      <w:spacing w:line="480" w:lineRule="auto"/>
      <w:outlineLvl w:val="2"/>
    </w:pPr>
    <w:rPr>
      <w:rFonts w:eastAsia="黑体"/>
      <w:b/>
    </w:rPr>
  </w:style>
  <w:style w:type="paragraph" w:styleId="4">
    <w:name w:val="heading 4"/>
    <w:basedOn w:val="a"/>
    <w:next w:val="a"/>
    <w:link w:val="40"/>
    <w:uiPriority w:val="9"/>
    <w:qFormat/>
    <w:pPr>
      <w:keepNext/>
      <w:keepLines/>
      <w:numPr>
        <w:ilvl w:val="3"/>
        <w:numId w:val="1"/>
      </w:numPr>
      <w:tabs>
        <w:tab w:val="left" w:pos="420"/>
      </w:tabs>
      <w:spacing w:line="480" w:lineRule="auto"/>
      <w:outlineLvl w:val="3"/>
    </w:pPr>
    <w:rPr>
      <w:rFonts w:eastAsia="黑体"/>
      <w:b/>
    </w:rPr>
  </w:style>
  <w:style w:type="paragraph" w:styleId="5">
    <w:name w:val="heading 5"/>
    <w:basedOn w:val="a"/>
    <w:next w:val="a"/>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qFormat/>
    <w:pPr>
      <w:keepNext/>
      <w:keepLines/>
      <w:numPr>
        <w:ilvl w:val="6"/>
        <w:numId w:val="1"/>
      </w:numPr>
      <w:spacing w:before="240" w:after="64" w:line="317" w:lineRule="auto"/>
      <w:outlineLvl w:val="6"/>
    </w:pPr>
    <w:rPr>
      <w:b/>
    </w:rPr>
  </w:style>
  <w:style w:type="paragraph" w:styleId="8">
    <w:name w:val="heading 8"/>
    <w:basedOn w:val="a"/>
    <w:next w:val="a"/>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黑体"/>
      <w:b/>
      <w:bCs/>
      <w:kern w:val="44"/>
      <w:sz w:val="36"/>
      <w:szCs w:val="36"/>
    </w:rPr>
  </w:style>
  <w:style w:type="character" w:customStyle="1" w:styleId="20">
    <w:name w:val="标题 2 字符"/>
    <w:link w:val="2"/>
    <w:rPr>
      <w:rFonts w:eastAsia="黑体"/>
      <w:b/>
      <w:sz w:val="28"/>
    </w:rPr>
  </w:style>
  <w:style w:type="character" w:customStyle="1" w:styleId="30">
    <w:name w:val="标题 3 字符"/>
    <w:link w:val="3"/>
    <w:rPr>
      <w:rFonts w:eastAsia="黑体"/>
      <w:b/>
    </w:rPr>
  </w:style>
  <w:style w:type="character" w:customStyle="1" w:styleId="40">
    <w:name w:val="标题 4 字符"/>
    <w:link w:val="4"/>
    <w:rPr>
      <w:rFonts w:ascii="Times New Roman" w:eastAsia="黑体" w:hAnsi="Times New Roman"/>
      <w:b/>
    </w:rPr>
  </w:style>
  <w:style w:type="paragraph" w:styleId="a3">
    <w:name w:val="caption"/>
    <w:basedOn w:val="a"/>
    <w:next w:val="a"/>
    <w:link w:val="a4"/>
    <w:uiPriority w:val="35"/>
    <w:qFormat/>
    <w:pPr>
      <w:spacing w:line="300" w:lineRule="exact"/>
      <w:ind w:firstLineChars="200" w:firstLine="600"/>
      <w:jc w:val="center"/>
    </w:pPr>
    <w:rPr>
      <w:rFonts w:eastAsia="黑体"/>
    </w:rPr>
  </w:style>
  <w:style w:type="paragraph" w:customStyle="1" w:styleId="31">
    <w:name w:val="目录 3"/>
    <w:basedOn w:val="a"/>
    <w:next w:val="a"/>
    <w:uiPriority w:val="39"/>
    <w:unhideWhenUsed/>
    <w:pPr>
      <w:ind w:leftChars="400" w:left="840"/>
    </w:pPr>
  </w:style>
  <w:style w:type="paragraph" w:styleId="a5">
    <w:name w:val="endnote text"/>
    <w:basedOn w:val="a"/>
    <w:uiPriority w:val="99"/>
    <w:unhideWhenUsed/>
    <w:pPr>
      <w:snapToGrid w:val="0"/>
      <w:jc w:val="left"/>
    </w:pPr>
  </w:style>
  <w:style w:type="paragraph" w:styleId="a6">
    <w:name w:val="Balloon Text"/>
    <w:basedOn w:val="a"/>
    <w:link w:val="a7"/>
    <w:uiPriority w:val="99"/>
    <w:unhideWhenUsed/>
    <w:rPr>
      <w:sz w:val="18"/>
      <w:szCs w:val="18"/>
    </w:rPr>
  </w:style>
  <w:style w:type="character" w:customStyle="1" w:styleId="a7">
    <w:name w:val="批注框文本 字符"/>
    <w:link w:val="a6"/>
    <w:uiPriority w:val="99"/>
    <w:semiHidden/>
    <w:rPr>
      <w:kern w:val="2"/>
      <w:sz w:val="18"/>
      <w:szCs w:val="18"/>
    </w:rPr>
  </w:style>
  <w:style w:type="paragraph" w:styleId="a8">
    <w:name w:val="footer"/>
    <w:basedOn w:val="a"/>
    <w:link w:val="a9"/>
    <w:uiPriority w:val="99"/>
    <w:pPr>
      <w:tabs>
        <w:tab w:val="center" w:pos="4153"/>
        <w:tab w:val="right" w:pos="8306"/>
      </w:tabs>
      <w:snapToGrid w:val="0"/>
      <w:jc w:val="left"/>
    </w:pPr>
    <w:rPr>
      <w:sz w:val="18"/>
    </w:rPr>
  </w:style>
  <w:style w:type="character" w:customStyle="1" w:styleId="a9">
    <w:name w:val="页脚 字符"/>
    <w:link w:val="a8"/>
    <w:uiPriority w:val="99"/>
    <w:rPr>
      <w:kern w:val="2"/>
      <w:sz w:val="18"/>
    </w:r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1">
    <w:name w:val="目录 1"/>
    <w:basedOn w:val="a"/>
    <w:next w:val="a"/>
    <w:uiPriority w:val="39"/>
    <w:pPr>
      <w:tabs>
        <w:tab w:val="right" w:leader="dot" w:pos="9180"/>
        <w:tab w:val="right" w:leader="middleDot" w:pos="9240"/>
      </w:tabs>
    </w:pPr>
    <w:rPr>
      <w:b/>
      <w:szCs w:val="24"/>
    </w:rPr>
  </w:style>
  <w:style w:type="paragraph" w:customStyle="1" w:styleId="21">
    <w:name w:val="目录 2"/>
    <w:basedOn w:val="a"/>
    <w:next w:val="a"/>
    <w:uiPriority w:val="39"/>
    <w:unhideWhenUsed/>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table" w:styleId="ab">
    <w:name w:val="Table Grid"/>
    <w:aliases w:val="三线表"/>
    <w:basedOn w:val="a1"/>
    <w:uiPriority w:val="59"/>
    <w:rsid w:val="00C2334E"/>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c">
    <w:name w:val="endnote reference"/>
    <w:uiPriority w:val="99"/>
    <w:unhideWhenUsed/>
    <w:rPr>
      <w:rFonts w:ascii="Times New Roman" w:eastAsia="宋体" w:hAnsi="Times New Roman"/>
      <w:sz w:val="24"/>
      <w:vertAlign w:val="superscript"/>
    </w:rPr>
  </w:style>
  <w:style w:type="character" w:styleId="ad">
    <w:name w:val="Hyperlink"/>
    <w:uiPriority w:val="99"/>
    <w:rPr>
      <w:color w:val="000000"/>
      <w:u w:val="single"/>
    </w:rPr>
  </w:style>
  <w:style w:type="character" w:customStyle="1" w:styleId="ae">
    <w:name w:val="无间隔 字符"/>
    <w:link w:val="af"/>
    <w:rPr>
      <w:rFonts w:ascii="Calibri" w:eastAsia="宋体" w:hAnsi="Calibri"/>
      <w:sz w:val="22"/>
      <w:szCs w:val="22"/>
      <w:lang w:val="en-US" w:eastAsia="zh-CN" w:bidi="ar-SA"/>
    </w:rPr>
  </w:style>
  <w:style w:type="paragraph" w:styleId="af">
    <w:name w:val="No Spacing"/>
    <w:link w:val="ae"/>
    <w:qFormat/>
    <w:rPr>
      <w:rFonts w:ascii="Calibri" w:hAnsi="Calibri"/>
      <w:sz w:val="22"/>
      <w:szCs w:val="22"/>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WPSOffice1">
    <w:name w:val="WPSOffice手动目录 1"/>
  </w:style>
  <w:style w:type="paragraph" w:customStyle="1" w:styleId="WPSOffice2">
    <w:name w:val="WPSOffice手动目录 2"/>
    <w:pPr>
      <w:ind w:leftChars="200" w:left="200"/>
    </w:pPr>
  </w:style>
  <w:style w:type="paragraph" w:styleId="af0">
    <w:name w:val="Normal (Web)"/>
    <w:basedOn w:val="a"/>
    <w:uiPriority w:val="99"/>
    <w:semiHidden/>
    <w:unhideWhenUsed/>
    <w:rsid w:val="004A6267"/>
    <w:rPr>
      <w:szCs w:val="24"/>
    </w:rPr>
  </w:style>
  <w:style w:type="paragraph" w:styleId="TOC1">
    <w:name w:val="toc 1"/>
    <w:basedOn w:val="a"/>
    <w:next w:val="a"/>
    <w:autoRedefine/>
    <w:uiPriority w:val="39"/>
    <w:rsid w:val="00E47010"/>
    <w:pPr>
      <w:tabs>
        <w:tab w:val="right" w:leader="middleDot" w:pos="8494"/>
      </w:tabs>
    </w:pPr>
    <w:rPr>
      <w:b/>
      <w:bCs/>
      <w:noProof/>
    </w:rPr>
  </w:style>
  <w:style w:type="paragraph" w:styleId="TOC2">
    <w:name w:val="toc 2"/>
    <w:basedOn w:val="a"/>
    <w:next w:val="a"/>
    <w:autoRedefine/>
    <w:uiPriority w:val="39"/>
    <w:unhideWhenUsed/>
    <w:rsid w:val="002B54FF"/>
    <w:pPr>
      <w:tabs>
        <w:tab w:val="right" w:pos="0"/>
        <w:tab w:val="right" w:leader="middleDot" w:pos="8494"/>
      </w:tabs>
    </w:pPr>
    <w:rPr>
      <w:rFonts w:cs="宋体"/>
      <w:noProof/>
    </w:rPr>
  </w:style>
  <w:style w:type="character" w:styleId="af1">
    <w:name w:val="Placeholder Text"/>
    <w:basedOn w:val="a0"/>
    <w:uiPriority w:val="99"/>
    <w:unhideWhenUsed/>
    <w:rsid w:val="007E1156"/>
    <w:rPr>
      <w:color w:val="808080"/>
    </w:rPr>
  </w:style>
  <w:style w:type="paragraph" w:customStyle="1" w:styleId="af2">
    <w:name w:val="表格内容"/>
    <w:basedOn w:val="a"/>
    <w:link w:val="af3"/>
    <w:qFormat/>
    <w:rsid w:val="00DA29EB"/>
    <w:pPr>
      <w:jc w:val="center"/>
    </w:pPr>
    <w:rPr>
      <w:sz w:val="21"/>
    </w:rPr>
  </w:style>
  <w:style w:type="paragraph" w:customStyle="1" w:styleId="af4">
    <w:name w:val="表头"/>
    <w:basedOn w:val="a3"/>
    <w:link w:val="af5"/>
    <w:qFormat/>
    <w:rsid w:val="00681C84"/>
    <w:pPr>
      <w:ind w:firstLine="480"/>
    </w:pPr>
  </w:style>
  <w:style w:type="character" w:customStyle="1" w:styleId="af3">
    <w:name w:val="表格内容 字符"/>
    <w:basedOn w:val="a0"/>
    <w:link w:val="af2"/>
    <w:rsid w:val="00DA29EB"/>
    <w:rPr>
      <w:kern w:val="2"/>
      <w:sz w:val="21"/>
    </w:rPr>
  </w:style>
  <w:style w:type="character" w:customStyle="1" w:styleId="a4">
    <w:name w:val="题注 字符"/>
    <w:basedOn w:val="a0"/>
    <w:link w:val="a3"/>
    <w:uiPriority w:val="35"/>
    <w:rsid w:val="00681C84"/>
    <w:rPr>
      <w:rFonts w:eastAsia="黑体"/>
      <w:kern w:val="2"/>
      <w:sz w:val="24"/>
    </w:rPr>
  </w:style>
  <w:style w:type="character" w:customStyle="1" w:styleId="af5">
    <w:name w:val="表头 字符"/>
    <w:basedOn w:val="a4"/>
    <w:link w:val="af4"/>
    <w:rsid w:val="00681C84"/>
    <w:rPr>
      <w:rFonts w:eastAsia="黑体"/>
      <w:kern w:val="2"/>
      <w:sz w:val="24"/>
    </w:rPr>
  </w:style>
  <w:style w:type="table" w:customStyle="1" w:styleId="af6">
    <w:name w:val="论文表格"/>
    <w:basedOn w:val="a1"/>
    <w:uiPriority w:val="99"/>
    <w:rsid w:val="002E0B46"/>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customStyle="1" w:styleId="12">
    <w:name w:val="样式1"/>
    <w:basedOn w:val="a1"/>
    <w:uiPriority w:val="99"/>
    <w:rsid w:val="009C07DC"/>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1111">
    <w:name w:val="1111"/>
    <w:basedOn w:val="a1"/>
    <w:uiPriority w:val="99"/>
    <w:rsid w:val="00DD4B8C"/>
    <w:tblPr>
      <w:tblBorders>
        <w:top w:val="single" w:sz="12" w:space="0" w:color="auto"/>
        <w:bottom w:val="single" w:sz="12" w:space="0" w:color="auto"/>
      </w:tblBorders>
    </w:tblPr>
    <w:tblStylePr w:type="firstRow">
      <w:rPr>
        <w:i/>
      </w:rPr>
      <w:tblPr/>
      <w:tcPr>
        <w:tcBorders>
          <w:top w:val="single" w:sz="12" w:space="0" w:color="auto"/>
          <w:left w:val="nil"/>
          <w:bottom w:val="single" w:sz="8" w:space="0" w:color="auto"/>
          <w:right w:val="nil"/>
          <w:insideH w:val="nil"/>
          <w:insideV w:val="nil"/>
          <w:tl2br w:val="nil"/>
          <w:tr2bl w:val="nil"/>
        </w:tcBorders>
      </w:tcPr>
    </w:tblStylePr>
  </w:style>
  <w:style w:type="paragraph" w:styleId="af7">
    <w:name w:val="List Paragraph"/>
    <w:basedOn w:val="a"/>
    <w:uiPriority w:val="34"/>
    <w:qFormat/>
    <w:rsid w:val="0006763B"/>
    <w:pPr>
      <w:ind w:firstLineChars="200" w:firstLine="420"/>
    </w:pPr>
  </w:style>
  <w:style w:type="paragraph" w:styleId="TOC3">
    <w:name w:val="toc 3"/>
    <w:basedOn w:val="a"/>
    <w:next w:val="a"/>
    <w:autoRedefine/>
    <w:uiPriority w:val="39"/>
    <w:unhideWhenUsed/>
    <w:rsid w:val="00F717F9"/>
    <w:pPr>
      <w:ind w:leftChars="400" w:left="840"/>
    </w:pPr>
  </w:style>
  <w:style w:type="paragraph" w:customStyle="1" w:styleId="af8">
    <w:name w:val="公式"/>
    <w:basedOn w:val="a"/>
    <w:link w:val="af9"/>
    <w:qFormat/>
    <w:rsid w:val="0092554D"/>
    <w:pPr>
      <w:tabs>
        <w:tab w:val="center" w:pos="4200"/>
        <w:tab w:val="right" w:pos="8160"/>
      </w:tabs>
      <w:jc w:val="center"/>
    </w:pPr>
    <w:rPr>
      <w:rFonts w:cs="Cambria Math"/>
    </w:rPr>
  </w:style>
  <w:style w:type="character" w:customStyle="1" w:styleId="af9">
    <w:name w:val="公式 字符"/>
    <w:basedOn w:val="a0"/>
    <w:link w:val="af8"/>
    <w:rsid w:val="0092554D"/>
    <w:rPr>
      <w:rFonts w:cs="Cambria Math"/>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860">
      <w:bodyDiv w:val="1"/>
      <w:marLeft w:val="0"/>
      <w:marRight w:val="0"/>
      <w:marTop w:val="0"/>
      <w:marBottom w:val="0"/>
      <w:divBdr>
        <w:top w:val="none" w:sz="0" w:space="0" w:color="auto"/>
        <w:left w:val="none" w:sz="0" w:space="0" w:color="auto"/>
        <w:bottom w:val="none" w:sz="0" w:space="0" w:color="auto"/>
        <w:right w:val="none" w:sz="0" w:space="0" w:color="auto"/>
      </w:divBdr>
    </w:div>
    <w:div w:id="457989799">
      <w:bodyDiv w:val="1"/>
      <w:marLeft w:val="0"/>
      <w:marRight w:val="0"/>
      <w:marTop w:val="0"/>
      <w:marBottom w:val="0"/>
      <w:divBdr>
        <w:top w:val="none" w:sz="0" w:space="0" w:color="auto"/>
        <w:left w:val="none" w:sz="0" w:space="0" w:color="auto"/>
        <w:bottom w:val="none" w:sz="0" w:space="0" w:color="auto"/>
        <w:right w:val="none" w:sz="0" w:space="0" w:color="auto"/>
      </w:divBdr>
    </w:div>
    <w:div w:id="474641260">
      <w:bodyDiv w:val="1"/>
      <w:marLeft w:val="0"/>
      <w:marRight w:val="0"/>
      <w:marTop w:val="0"/>
      <w:marBottom w:val="0"/>
      <w:divBdr>
        <w:top w:val="none" w:sz="0" w:space="0" w:color="auto"/>
        <w:left w:val="none" w:sz="0" w:space="0" w:color="auto"/>
        <w:bottom w:val="none" w:sz="0" w:space="0" w:color="auto"/>
        <w:right w:val="none" w:sz="0" w:space="0" w:color="auto"/>
      </w:divBdr>
    </w:div>
    <w:div w:id="509758551">
      <w:bodyDiv w:val="1"/>
      <w:marLeft w:val="0"/>
      <w:marRight w:val="0"/>
      <w:marTop w:val="0"/>
      <w:marBottom w:val="0"/>
      <w:divBdr>
        <w:top w:val="none" w:sz="0" w:space="0" w:color="auto"/>
        <w:left w:val="none" w:sz="0" w:space="0" w:color="auto"/>
        <w:bottom w:val="none" w:sz="0" w:space="0" w:color="auto"/>
        <w:right w:val="none" w:sz="0" w:space="0" w:color="auto"/>
      </w:divBdr>
    </w:div>
    <w:div w:id="1034963830">
      <w:bodyDiv w:val="1"/>
      <w:marLeft w:val="0"/>
      <w:marRight w:val="0"/>
      <w:marTop w:val="0"/>
      <w:marBottom w:val="0"/>
      <w:divBdr>
        <w:top w:val="none" w:sz="0" w:space="0" w:color="auto"/>
        <w:left w:val="none" w:sz="0" w:space="0" w:color="auto"/>
        <w:bottom w:val="none" w:sz="0" w:space="0" w:color="auto"/>
        <w:right w:val="none" w:sz="0" w:space="0" w:color="auto"/>
      </w:divBdr>
    </w:div>
    <w:div w:id="1198812084">
      <w:bodyDiv w:val="1"/>
      <w:marLeft w:val="0"/>
      <w:marRight w:val="0"/>
      <w:marTop w:val="0"/>
      <w:marBottom w:val="0"/>
      <w:divBdr>
        <w:top w:val="none" w:sz="0" w:space="0" w:color="auto"/>
        <w:left w:val="none" w:sz="0" w:space="0" w:color="auto"/>
        <w:bottom w:val="none" w:sz="0" w:space="0" w:color="auto"/>
        <w:right w:val="none" w:sz="0" w:space="0" w:color="auto"/>
      </w:divBdr>
    </w:div>
    <w:div w:id="1397242340">
      <w:bodyDiv w:val="1"/>
      <w:marLeft w:val="0"/>
      <w:marRight w:val="0"/>
      <w:marTop w:val="0"/>
      <w:marBottom w:val="0"/>
      <w:divBdr>
        <w:top w:val="none" w:sz="0" w:space="0" w:color="auto"/>
        <w:left w:val="none" w:sz="0" w:space="0" w:color="auto"/>
        <w:bottom w:val="none" w:sz="0" w:space="0" w:color="auto"/>
        <w:right w:val="none" w:sz="0" w:space="0" w:color="auto"/>
      </w:divBdr>
    </w:div>
    <w:div w:id="1402408547">
      <w:bodyDiv w:val="1"/>
      <w:marLeft w:val="0"/>
      <w:marRight w:val="0"/>
      <w:marTop w:val="0"/>
      <w:marBottom w:val="0"/>
      <w:divBdr>
        <w:top w:val="none" w:sz="0" w:space="0" w:color="auto"/>
        <w:left w:val="none" w:sz="0" w:space="0" w:color="auto"/>
        <w:bottom w:val="none" w:sz="0" w:space="0" w:color="auto"/>
        <w:right w:val="none" w:sz="0" w:space="0" w:color="auto"/>
      </w:divBdr>
    </w:div>
    <w:div w:id="1454589718">
      <w:bodyDiv w:val="1"/>
      <w:marLeft w:val="0"/>
      <w:marRight w:val="0"/>
      <w:marTop w:val="0"/>
      <w:marBottom w:val="0"/>
      <w:divBdr>
        <w:top w:val="none" w:sz="0" w:space="0" w:color="auto"/>
        <w:left w:val="none" w:sz="0" w:space="0" w:color="auto"/>
        <w:bottom w:val="none" w:sz="0" w:space="0" w:color="auto"/>
        <w:right w:val="none" w:sz="0" w:space="0" w:color="auto"/>
      </w:divBdr>
    </w:div>
    <w:div w:id="1536966853">
      <w:bodyDiv w:val="1"/>
      <w:marLeft w:val="0"/>
      <w:marRight w:val="0"/>
      <w:marTop w:val="0"/>
      <w:marBottom w:val="0"/>
      <w:divBdr>
        <w:top w:val="none" w:sz="0" w:space="0" w:color="auto"/>
        <w:left w:val="none" w:sz="0" w:space="0" w:color="auto"/>
        <w:bottom w:val="none" w:sz="0" w:space="0" w:color="auto"/>
        <w:right w:val="none" w:sz="0" w:space="0" w:color="auto"/>
      </w:divBdr>
    </w:div>
    <w:div w:id="2106879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04208-F29A-4396-85C5-6983B6DA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37</Pages>
  <Words>4611</Words>
  <Characters>26289</Characters>
  <Application>Microsoft Office Word</Application>
  <DocSecurity>0</DocSecurity>
  <PresentationFormat/>
  <Lines>219</Lines>
  <Paragraphs>61</Paragraphs>
  <Slides>0</Slides>
  <Notes>0</Notes>
  <HiddenSlides>0</HiddenSlides>
  <MMClips>0</MMClips>
  <ScaleCrop>false</ScaleCrop>
  <Manager/>
  <Company/>
  <LinksUpToDate>false</LinksUpToDate>
  <CharactersWithSpaces>30839</CharactersWithSpaces>
  <SharedDoc>false</SharedDoc>
  <HLinks>
    <vt:vector size="144" baseType="variant">
      <vt:variant>
        <vt:i4>1245233</vt:i4>
      </vt:variant>
      <vt:variant>
        <vt:i4>143</vt:i4>
      </vt:variant>
      <vt:variant>
        <vt:i4>0</vt:i4>
      </vt:variant>
      <vt:variant>
        <vt:i4>5</vt:i4>
      </vt:variant>
      <vt:variant>
        <vt:lpwstr/>
      </vt:variant>
      <vt:variant>
        <vt:lpwstr>_Toc16022</vt:lpwstr>
      </vt:variant>
      <vt:variant>
        <vt:i4>2359302</vt:i4>
      </vt:variant>
      <vt:variant>
        <vt:i4>137</vt:i4>
      </vt:variant>
      <vt:variant>
        <vt:i4>0</vt:i4>
      </vt:variant>
      <vt:variant>
        <vt:i4>5</vt:i4>
      </vt:variant>
      <vt:variant>
        <vt:lpwstr/>
      </vt:variant>
      <vt:variant>
        <vt:lpwstr>_Toc639</vt:lpwstr>
      </vt:variant>
      <vt:variant>
        <vt:i4>1900607</vt:i4>
      </vt:variant>
      <vt:variant>
        <vt:i4>131</vt:i4>
      </vt:variant>
      <vt:variant>
        <vt:i4>0</vt:i4>
      </vt:variant>
      <vt:variant>
        <vt:i4>5</vt:i4>
      </vt:variant>
      <vt:variant>
        <vt:lpwstr/>
      </vt:variant>
      <vt:variant>
        <vt:lpwstr>_Toc7983</vt:lpwstr>
      </vt:variant>
      <vt:variant>
        <vt:i4>1966130</vt:i4>
      </vt:variant>
      <vt:variant>
        <vt:i4>125</vt:i4>
      </vt:variant>
      <vt:variant>
        <vt:i4>0</vt:i4>
      </vt:variant>
      <vt:variant>
        <vt:i4>5</vt:i4>
      </vt:variant>
      <vt:variant>
        <vt:lpwstr/>
      </vt:variant>
      <vt:variant>
        <vt:lpwstr>_Toc20094</vt:lpwstr>
      </vt:variant>
      <vt:variant>
        <vt:i4>1900600</vt:i4>
      </vt:variant>
      <vt:variant>
        <vt:i4>119</vt:i4>
      </vt:variant>
      <vt:variant>
        <vt:i4>0</vt:i4>
      </vt:variant>
      <vt:variant>
        <vt:i4>5</vt:i4>
      </vt:variant>
      <vt:variant>
        <vt:lpwstr/>
      </vt:variant>
      <vt:variant>
        <vt:lpwstr>_Toc13993</vt:lpwstr>
      </vt:variant>
      <vt:variant>
        <vt:i4>1179710</vt:i4>
      </vt:variant>
      <vt:variant>
        <vt:i4>113</vt:i4>
      </vt:variant>
      <vt:variant>
        <vt:i4>0</vt:i4>
      </vt:variant>
      <vt:variant>
        <vt:i4>5</vt:i4>
      </vt:variant>
      <vt:variant>
        <vt:lpwstr/>
      </vt:variant>
      <vt:variant>
        <vt:lpwstr>_Toc6683</vt:lpwstr>
      </vt:variant>
      <vt:variant>
        <vt:i4>1441840</vt:i4>
      </vt:variant>
      <vt:variant>
        <vt:i4>107</vt:i4>
      </vt:variant>
      <vt:variant>
        <vt:i4>0</vt:i4>
      </vt:variant>
      <vt:variant>
        <vt:i4>5</vt:i4>
      </vt:variant>
      <vt:variant>
        <vt:lpwstr/>
      </vt:variant>
      <vt:variant>
        <vt:lpwstr>_Toc10117</vt:lpwstr>
      </vt:variant>
      <vt:variant>
        <vt:i4>1114165</vt:i4>
      </vt:variant>
      <vt:variant>
        <vt:i4>101</vt:i4>
      </vt:variant>
      <vt:variant>
        <vt:i4>0</vt:i4>
      </vt:variant>
      <vt:variant>
        <vt:i4>5</vt:i4>
      </vt:variant>
      <vt:variant>
        <vt:lpwstr/>
      </vt:variant>
      <vt:variant>
        <vt:lpwstr>_Toc25730</vt:lpwstr>
      </vt:variant>
      <vt:variant>
        <vt:i4>1703988</vt:i4>
      </vt:variant>
      <vt:variant>
        <vt:i4>95</vt:i4>
      </vt:variant>
      <vt:variant>
        <vt:i4>0</vt:i4>
      </vt:variant>
      <vt:variant>
        <vt:i4>5</vt:i4>
      </vt:variant>
      <vt:variant>
        <vt:lpwstr/>
      </vt:variant>
      <vt:variant>
        <vt:lpwstr>_Toc2568</vt:lpwstr>
      </vt:variant>
      <vt:variant>
        <vt:i4>1310778</vt:i4>
      </vt:variant>
      <vt:variant>
        <vt:i4>89</vt:i4>
      </vt:variant>
      <vt:variant>
        <vt:i4>0</vt:i4>
      </vt:variant>
      <vt:variant>
        <vt:i4>5</vt:i4>
      </vt:variant>
      <vt:variant>
        <vt:lpwstr/>
      </vt:variant>
      <vt:variant>
        <vt:lpwstr>_Toc31928</vt:lpwstr>
      </vt:variant>
      <vt:variant>
        <vt:i4>2555910</vt:i4>
      </vt:variant>
      <vt:variant>
        <vt:i4>83</vt:i4>
      </vt:variant>
      <vt:variant>
        <vt:i4>0</vt:i4>
      </vt:variant>
      <vt:variant>
        <vt:i4>5</vt:i4>
      </vt:variant>
      <vt:variant>
        <vt:lpwstr/>
      </vt:variant>
      <vt:variant>
        <vt:lpwstr>_Toc608</vt:lpwstr>
      </vt:variant>
      <vt:variant>
        <vt:i4>1179699</vt:i4>
      </vt:variant>
      <vt:variant>
        <vt:i4>77</vt:i4>
      </vt:variant>
      <vt:variant>
        <vt:i4>0</vt:i4>
      </vt:variant>
      <vt:variant>
        <vt:i4>5</vt:i4>
      </vt:variant>
      <vt:variant>
        <vt:lpwstr/>
      </vt:variant>
      <vt:variant>
        <vt:lpwstr>_Toc10256</vt:lpwstr>
      </vt:variant>
      <vt:variant>
        <vt:i4>1376311</vt:i4>
      </vt:variant>
      <vt:variant>
        <vt:i4>71</vt:i4>
      </vt:variant>
      <vt:variant>
        <vt:i4>0</vt:i4>
      </vt:variant>
      <vt:variant>
        <vt:i4>5</vt:i4>
      </vt:variant>
      <vt:variant>
        <vt:lpwstr/>
      </vt:variant>
      <vt:variant>
        <vt:lpwstr>_Toc27558</vt:lpwstr>
      </vt:variant>
      <vt:variant>
        <vt:i4>1966132</vt:i4>
      </vt:variant>
      <vt:variant>
        <vt:i4>65</vt:i4>
      </vt:variant>
      <vt:variant>
        <vt:i4>0</vt:i4>
      </vt:variant>
      <vt:variant>
        <vt:i4>5</vt:i4>
      </vt:variant>
      <vt:variant>
        <vt:lpwstr/>
      </vt:variant>
      <vt:variant>
        <vt:lpwstr>_Toc18516</vt:lpwstr>
      </vt:variant>
      <vt:variant>
        <vt:i4>1638448</vt:i4>
      </vt:variant>
      <vt:variant>
        <vt:i4>59</vt:i4>
      </vt:variant>
      <vt:variant>
        <vt:i4>0</vt:i4>
      </vt:variant>
      <vt:variant>
        <vt:i4>5</vt:i4>
      </vt:variant>
      <vt:variant>
        <vt:lpwstr/>
      </vt:variant>
      <vt:variant>
        <vt:lpwstr>_Toc3836</vt:lpwstr>
      </vt:variant>
      <vt:variant>
        <vt:i4>2031664</vt:i4>
      </vt:variant>
      <vt:variant>
        <vt:i4>53</vt:i4>
      </vt:variant>
      <vt:variant>
        <vt:i4>0</vt:i4>
      </vt:variant>
      <vt:variant>
        <vt:i4>5</vt:i4>
      </vt:variant>
      <vt:variant>
        <vt:lpwstr/>
      </vt:variant>
      <vt:variant>
        <vt:lpwstr>_Toc20282</vt:lpwstr>
      </vt:variant>
      <vt:variant>
        <vt:i4>1310776</vt:i4>
      </vt:variant>
      <vt:variant>
        <vt:i4>47</vt:i4>
      </vt:variant>
      <vt:variant>
        <vt:i4>0</vt:i4>
      </vt:variant>
      <vt:variant>
        <vt:i4>5</vt:i4>
      </vt:variant>
      <vt:variant>
        <vt:lpwstr/>
      </vt:variant>
      <vt:variant>
        <vt:lpwstr>_Toc16953</vt:lpwstr>
      </vt:variant>
      <vt:variant>
        <vt:i4>1310770</vt:i4>
      </vt:variant>
      <vt:variant>
        <vt:i4>41</vt:i4>
      </vt:variant>
      <vt:variant>
        <vt:i4>0</vt:i4>
      </vt:variant>
      <vt:variant>
        <vt:i4>5</vt:i4>
      </vt:variant>
      <vt:variant>
        <vt:lpwstr/>
      </vt:variant>
      <vt:variant>
        <vt:lpwstr>_Toc22019</vt:lpwstr>
      </vt:variant>
      <vt:variant>
        <vt:i4>1966132</vt:i4>
      </vt:variant>
      <vt:variant>
        <vt:i4>35</vt:i4>
      </vt:variant>
      <vt:variant>
        <vt:i4>0</vt:i4>
      </vt:variant>
      <vt:variant>
        <vt:i4>5</vt:i4>
      </vt:variant>
      <vt:variant>
        <vt:lpwstr/>
      </vt:variant>
      <vt:variant>
        <vt:lpwstr>_Toc7138</vt:lpwstr>
      </vt:variant>
      <vt:variant>
        <vt:i4>1114163</vt:i4>
      </vt:variant>
      <vt:variant>
        <vt:i4>29</vt:i4>
      </vt:variant>
      <vt:variant>
        <vt:i4>0</vt:i4>
      </vt:variant>
      <vt:variant>
        <vt:i4>5</vt:i4>
      </vt:variant>
      <vt:variant>
        <vt:lpwstr/>
      </vt:variant>
      <vt:variant>
        <vt:lpwstr>_Toc16206</vt:lpwstr>
      </vt:variant>
      <vt:variant>
        <vt:i4>1507384</vt:i4>
      </vt:variant>
      <vt:variant>
        <vt:i4>23</vt:i4>
      </vt:variant>
      <vt:variant>
        <vt:i4>0</vt:i4>
      </vt:variant>
      <vt:variant>
        <vt:i4>5</vt:i4>
      </vt:variant>
      <vt:variant>
        <vt:lpwstr/>
      </vt:variant>
      <vt:variant>
        <vt:lpwstr>_Toc14944</vt:lpwstr>
      </vt:variant>
      <vt:variant>
        <vt:i4>1507384</vt:i4>
      </vt:variant>
      <vt:variant>
        <vt:i4>17</vt:i4>
      </vt:variant>
      <vt:variant>
        <vt:i4>0</vt:i4>
      </vt:variant>
      <vt:variant>
        <vt:i4>5</vt:i4>
      </vt:variant>
      <vt:variant>
        <vt:lpwstr/>
      </vt:variant>
      <vt:variant>
        <vt:lpwstr>_Toc11914</vt:lpwstr>
      </vt:variant>
      <vt:variant>
        <vt:i4>1507383</vt:i4>
      </vt:variant>
      <vt:variant>
        <vt:i4>11</vt:i4>
      </vt:variant>
      <vt:variant>
        <vt:i4>0</vt:i4>
      </vt:variant>
      <vt:variant>
        <vt:i4>5</vt:i4>
      </vt:variant>
      <vt:variant>
        <vt:lpwstr/>
      </vt:variant>
      <vt:variant>
        <vt:lpwstr>_Toc31413</vt:lpwstr>
      </vt:variant>
      <vt:variant>
        <vt:i4>1245232</vt:i4>
      </vt:variant>
      <vt:variant>
        <vt:i4>5</vt:i4>
      </vt:variant>
      <vt:variant>
        <vt:i4>0</vt:i4>
      </vt:variant>
      <vt:variant>
        <vt:i4>5</vt:i4>
      </vt:variant>
      <vt:variant>
        <vt:lpwstr/>
      </vt:variant>
      <vt:variant>
        <vt:lpwstr>_Toc11150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居福成</dc:creator>
  <cp:keywords/>
  <dc:description/>
  <cp:lastModifiedBy>朱 湖成</cp:lastModifiedBy>
  <cp:revision>61</cp:revision>
  <cp:lastPrinted>2022-05-26T14:59:00Z</cp:lastPrinted>
  <dcterms:created xsi:type="dcterms:W3CDTF">2022-05-11T05:24:00Z</dcterms:created>
  <dcterms:modified xsi:type="dcterms:W3CDTF">2022-06-09T14:21:00Z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CC6E646B8FDA4A71AB9DF77B5022DDB4</vt:lpwstr>
  </property>
</Properties>
</file>