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overflowPunct/>
        <w:topLinePunct w:val="0"/>
        <w:bidi w:val="0"/>
        <w:spacing w:line="360" w:lineRule="auto"/>
        <w:ind w:firstLine="480" w:firstLineChars="200"/>
        <w:jc w:val="left"/>
        <w:textAlignment w:val="auto"/>
        <w:rPr>
          <w:rFonts w:hint="eastAsia" w:ascii="Times New Roman" w:hAnsi="Times New Roman" w:eastAsia="宋体"/>
          <w:bCs/>
          <w:color w:val="FF0000"/>
          <w:sz w:val="24"/>
          <w:szCs w:val="36"/>
        </w:rPr>
      </w:pPr>
    </w:p>
    <w:p>
      <w:pPr>
        <w:spacing w:line="360" w:lineRule="auto"/>
        <w:jc w:val="center"/>
        <w:rPr>
          <w:rFonts w:hint="eastAsia" w:ascii="Times New Roman" w:hAnsi="Times New Roman" w:eastAsia="黑体"/>
          <w:sz w:val="34"/>
        </w:rPr>
      </w:pPr>
      <w:r>
        <w:rPr>
          <w:rFonts w:hint="eastAsia" w:ascii="Times New Roman" w:hAnsi="Times New Roman"/>
          <w:kern w:val="0"/>
        </w:rPr>
        <w:t xml:space="preserve"> </w:t>
      </w:r>
      <w:bookmarkStart w:id="0" w:name="_1064953734"/>
      <w:bookmarkEnd w:id="0"/>
      <w:bookmarkStart w:id="1" w:name="_1065102613"/>
      <w:bookmarkEnd w:id="1"/>
      <w:r>
        <w:rPr>
          <w:rFonts w:ascii="Times New Roman" w:hAnsi="Times New Roman"/>
          <w:kern w:val="0"/>
        </w:rPr>
        <w:object>
          <v:shape id="_x0000_i1025" o:spt="75" type="#_x0000_t75" style="height:46.5pt;width:206.05pt;" o:ole="t" fillcolor="#FFFFFF" filled="t" stroked="f" coordsize="21600,21600">
            <v:path/>
            <v:fill on="t" alignshape="1" focussize="0,0"/>
            <v:stroke on="f"/>
            <v:imagedata r:id="rId13" o:title=""/>
            <o:lock v:ext="edit" aspectratio="t"/>
            <w10:wrap type="none"/>
            <w10:anchorlock/>
          </v:shape>
          <o:OLEObject Type="Embed" ProgID="Word.Picture.8" ShapeID="_x0000_i1025" DrawAspect="Content" ObjectID="_1468075725" r:id="rId12">
            <o:LockedField>false</o:LockedField>
          </o:OLEObject>
        </w:object>
      </w:r>
    </w:p>
    <w:p>
      <w:pPr>
        <w:adjustRightInd w:val="0"/>
        <w:snapToGrid w:val="0"/>
        <w:jc w:val="center"/>
        <w:rPr>
          <w:rFonts w:hint="eastAsia" w:ascii="Times New Roman" w:hAnsi="Times New Roman"/>
          <w:b/>
          <w:bCs/>
          <w:spacing w:val="20"/>
          <w:sz w:val="18"/>
        </w:rPr>
      </w:pPr>
    </w:p>
    <w:p>
      <w:pPr>
        <w:adjustRightInd w:val="0"/>
        <w:snapToGrid w:val="0"/>
        <w:jc w:val="center"/>
        <w:rPr>
          <w:rFonts w:hint="eastAsia" w:ascii="Times New Roman" w:hAnsi="Times New Roman"/>
          <w:b/>
          <w:bCs/>
          <w:spacing w:val="20"/>
          <w:sz w:val="18"/>
        </w:rPr>
      </w:pPr>
    </w:p>
    <w:p>
      <w:pPr>
        <w:spacing w:line="360" w:lineRule="auto"/>
        <w:jc w:val="center"/>
        <w:rPr>
          <w:rFonts w:ascii="Times New Roman" w:hAnsi="Times New Roman" w:eastAsia="华文中宋"/>
          <w:b/>
          <w:bCs/>
          <w:sz w:val="72"/>
          <w:szCs w:val="72"/>
        </w:rPr>
      </w:pPr>
      <w:r>
        <w:rPr>
          <w:rFonts w:hint="eastAsia" w:ascii="Times New Roman" w:hAnsi="Times New Roman" w:eastAsia="华文中宋"/>
          <w:b/>
          <w:bCs/>
          <w:spacing w:val="20"/>
          <w:sz w:val="72"/>
          <w:szCs w:val="72"/>
        </w:rPr>
        <w:t>本科毕业设计[论文]</w:t>
      </w:r>
    </w:p>
    <w:p>
      <w:pPr>
        <w:adjustRightInd w:val="0"/>
        <w:snapToGrid w:val="0"/>
        <w:spacing w:line="264" w:lineRule="auto"/>
        <w:rPr>
          <w:rFonts w:hint="eastAsia" w:ascii="Times New Roman" w:hAnsi="Times New Roman" w:eastAsia="华文中宋"/>
          <w:b/>
          <w:bCs/>
          <w:spacing w:val="12"/>
          <w:sz w:val="52"/>
          <w:szCs w:val="32"/>
        </w:rPr>
      </w:pPr>
      <w:r>
        <w:rPr>
          <w:rFonts w:hint="eastAsia" w:ascii="Times New Roman" w:hAnsi="Times New Roman" w:eastAsia="楷体_GB2312"/>
          <w:color w:val="FF0000"/>
          <w:lang w:val="en-US" w:eastAsia="zh-CN"/>
        </w:rPr>
        <w:t xml:space="preserve"> </w:t>
      </w:r>
    </w:p>
    <w:p>
      <w:pPr>
        <w:spacing w:line="360" w:lineRule="auto"/>
        <w:jc w:val="center"/>
        <w:rPr>
          <w:rFonts w:hint="eastAsia" w:ascii="Times New Roman" w:hAnsi="Times New Roman" w:eastAsia="黑体"/>
          <w:bCs/>
          <w:color w:val="FF0000"/>
          <w:sz w:val="36"/>
          <w:szCs w:val="36"/>
        </w:rPr>
      </w:pPr>
      <w:r>
        <w:rPr>
          <w:rFonts w:hint="eastAsia" w:ascii="Times New Roman" w:hAnsi="Times New Roman" w:eastAsia="黑体"/>
          <w:b/>
          <w:sz w:val="44"/>
          <w:szCs w:val="44"/>
        </w:rPr>
        <w:t>税收与出口：来自增值税转型改革的证据</w:t>
      </w:r>
    </w:p>
    <w:p>
      <w:pPr>
        <w:adjustRightInd w:val="0"/>
        <w:snapToGrid w:val="0"/>
        <w:spacing w:line="264" w:lineRule="auto"/>
        <w:rPr>
          <w:rFonts w:hint="eastAsia" w:ascii="Times New Roman" w:hAnsi="Times New Roman" w:eastAsia="华文中宋"/>
          <w:b/>
          <w:bCs/>
          <w:spacing w:val="12"/>
          <w:sz w:val="52"/>
          <w:szCs w:val="32"/>
        </w:rPr>
      </w:pPr>
    </w:p>
    <w:p>
      <w:pPr>
        <w:adjustRightInd w:val="0"/>
        <w:snapToGrid w:val="0"/>
        <w:spacing w:line="264" w:lineRule="auto"/>
        <w:rPr>
          <w:rFonts w:hint="eastAsia" w:ascii="Times New Roman" w:hAnsi="Times New Roman" w:eastAsia="华文中宋"/>
          <w:b/>
          <w:bCs/>
          <w:spacing w:val="12"/>
          <w:sz w:val="52"/>
          <w:szCs w:val="32"/>
        </w:rPr>
      </w:pPr>
    </w:p>
    <w:p>
      <w:pPr>
        <w:spacing w:line="720" w:lineRule="auto"/>
        <w:jc w:val="center"/>
        <w:rPr>
          <w:rFonts w:hint="default" w:ascii="Times New Roman" w:hAnsi="Times New Roman" w:eastAsia="华文中宋"/>
          <w:kern w:val="0"/>
          <w:sz w:val="32"/>
          <w:szCs w:val="32"/>
          <w:u w:val="single"/>
          <w:lang w:val="en-US" w:eastAsia="zh-CN"/>
        </w:rPr>
      </w:pPr>
      <w:r>
        <w:rPr>
          <w:rFonts w:hint="eastAsia" w:ascii="Times New Roman" w:hAnsi="Times New Roman" w:eastAsia="华文中宋"/>
          <w:kern w:val="0"/>
          <w:sz w:val="32"/>
          <w:szCs w:val="32"/>
        </w:rPr>
        <w:t>院    系</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管理学院</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p>
    <w:p>
      <w:pPr>
        <w:spacing w:line="720" w:lineRule="auto"/>
        <w:jc w:val="center"/>
        <w:rPr>
          <w:rFonts w:hint="default" w:ascii="Times New Roman" w:hAnsi="Times New Roman" w:eastAsia="华文中宋"/>
          <w:kern w:val="0"/>
          <w:sz w:val="32"/>
          <w:szCs w:val="32"/>
          <w:u w:val="single"/>
          <w:lang w:val="en-US" w:eastAsia="zh-CN"/>
        </w:rPr>
      </w:pPr>
      <w:r>
        <w:rPr>
          <w:rFonts w:hint="eastAsia" w:ascii="Times New Roman" w:hAnsi="Times New Roman" w:eastAsia="华文中宋"/>
          <w:kern w:val="0"/>
          <w:sz w:val="32"/>
          <w:szCs w:val="32"/>
        </w:rPr>
        <w:t>专业班级</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财政1801</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p>
    <w:p>
      <w:pPr>
        <w:spacing w:line="720" w:lineRule="auto"/>
        <w:jc w:val="center"/>
        <w:rPr>
          <w:rFonts w:hint="default" w:ascii="Times New Roman" w:hAnsi="Times New Roman" w:eastAsia="华文中宋"/>
          <w:kern w:val="0"/>
          <w:sz w:val="32"/>
          <w:szCs w:val="32"/>
          <w:u w:val="single"/>
          <w:lang w:val="en-US" w:eastAsia="zh-CN"/>
        </w:rPr>
      </w:pPr>
      <w:r>
        <w:rPr>
          <w:rFonts w:hint="eastAsia" w:ascii="Times New Roman" w:hAnsi="Times New Roman" w:eastAsia="华文中宋"/>
          <w:kern w:val="0"/>
          <w:sz w:val="32"/>
          <w:szCs w:val="32"/>
        </w:rPr>
        <w:t>姓    名</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陈明蕊</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p>
    <w:p>
      <w:pPr>
        <w:spacing w:line="720" w:lineRule="auto"/>
        <w:ind w:left="1260" w:leftChars="0" w:firstLine="420" w:firstLineChars="0"/>
        <w:jc w:val="both"/>
        <w:rPr>
          <w:rFonts w:hint="default" w:ascii="Times New Roman" w:hAnsi="Times New Roman" w:eastAsia="华文中宋"/>
          <w:kern w:val="0"/>
          <w:sz w:val="32"/>
          <w:szCs w:val="32"/>
          <w:u w:val="single"/>
          <w:lang w:val="en-US" w:eastAsia="zh-CN"/>
        </w:rPr>
      </w:pPr>
      <w:r>
        <w:rPr>
          <w:rFonts w:hint="eastAsia" w:ascii="Times New Roman" w:hAnsi="Times New Roman" w:eastAsia="华文中宋"/>
          <w:kern w:val="0"/>
          <w:sz w:val="32"/>
          <w:szCs w:val="32"/>
        </w:rPr>
        <w:t>学    号</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U201815928</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eastAsia="华文中宋"/>
          <w:kern w:val="0"/>
          <w:sz w:val="32"/>
          <w:szCs w:val="32"/>
          <w:u w:val="single"/>
          <w:lang w:val="en-US" w:eastAsia="zh-CN"/>
        </w:rPr>
        <w:tab/>
      </w:r>
    </w:p>
    <w:p>
      <w:pPr>
        <w:jc w:val="center"/>
        <w:rPr>
          <w:rFonts w:hint="eastAsia" w:ascii="Times New Roman" w:hAnsi="Times New Roman" w:eastAsia="华文中宋"/>
          <w:kern w:val="0"/>
          <w:sz w:val="32"/>
          <w:szCs w:val="32"/>
          <w:u w:val="single"/>
          <w:lang w:val="en-US" w:eastAsia="zh-CN"/>
        </w:rPr>
      </w:pPr>
      <w:r>
        <w:rPr>
          <w:rFonts w:hint="eastAsia" w:ascii="Times New Roman" w:hAnsi="Times New Roman" w:eastAsia="华文中宋"/>
          <w:kern w:val="0"/>
          <w:sz w:val="32"/>
          <w:szCs w:val="32"/>
        </w:rPr>
        <w:t>指导教师</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赵奎</w:t>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r>
        <w:rPr>
          <w:rFonts w:hint="eastAsia" w:ascii="Times New Roman" w:hAnsi="Times New Roman" w:eastAsia="华文中宋"/>
          <w:kern w:val="0"/>
          <w:sz w:val="32"/>
          <w:szCs w:val="32"/>
          <w:u w:val="single"/>
          <w:lang w:val="en-US" w:eastAsia="zh-CN"/>
        </w:rPr>
        <w:tab/>
      </w:r>
    </w:p>
    <w:p>
      <w:pPr>
        <w:jc w:val="center"/>
        <w:rPr>
          <w:rFonts w:hint="eastAsia" w:ascii="Times New Roman" w:hAnsi="Times New Roman" w:eastAsia="华文中宋"/>
          <w:kern w:val="0"/>
          <w:sz w:val="32"/>
          <w:szCs w:val="32"/>
          <w:u w:val="single"/>
        </w:rPr>
      </w:pPr>
    </w:p>
    <w:p>
      <w:pPr>
        <w:spacing w:line="360" w:lineRule="auto"/>
        <w:jc w:val="center"/>
        <w:rPr>
          <w:rFonts w:hint="eastAsia" w:ascii="Times New Roman" w:hAnsi="Times New Roman" w:eastAsia="黑体"/>
          <w:bCs/>
          <w:color w:val="FF0000"/>
          <w:sz w:val="36"/>
          <w:szCs w:val="36"/>
        </w:rPr>
      </w:pPr>
      <w:r>
        <w:rPr>
          <w:rFonts w:hint="eastAsia" w:ascii="Times New Roman" w:hAnsi="Times New Roman" w:eastAsia="华文中宋"/>
          <w:bCs/>
          <w:kern w:val="0"/>
          <w:sz w:val="32"/>
          <w:szCs w:val="32"/>
          <w:lang w:val="en-US" w:eastAsia="zh-CN"/>
        </w:rPr>
        <w:t>2022</w:t>
      </w:r>
      <w:r>
        <w:rPr>
          <w:rFonts w:hint="eastAsia" w:ascii="Times New Roman" w:hAnsi="Times New Roman" w:eastAsia="华文中宋"/>
          <w:bCs/>
          <w:kern w:val="0"/>
          <w:sz w:val="32"/>
          <w:szCs w:val="32"/>
        </w:rPr>
        <w:t>年</w:t>
      </w:r>
      <w:r>
        <w:rPr>
          <w:rFonts w:hint="eastAsia" w:eastAsia="华文中宋"/>
          <w:bCs/>
          <w:kern w:val="0"/>
          <w:sz w:val="32"/>
          <w:szCs w:val="32"/>
          <w:lang w:val="en-US" w:eastAsia="zh-CN"/>
        </w:rPr>
        <w:t xml:space="preserve"> 5</w:t>
      </w:r>
      <w:r>
        <w:rPr>
          <w:rFonts w:hint="eastAsia" w:ascii="Times New Roman" w:hAnsi="Times New Roman" w:eastAsia="华文中宋"/>
          <w:bCs/>
          <w:kern w:val="0"/>
          <w:sz w:val="32"/>
          <w:szCs w:val="32"/>
        </w:rPr>
        <w:t>月</w:t>
      </w:r>
      <w:r>
        <w:rPr>
          <w:rFonts w:hint="eastAsia" w:eastAsia="华文中宋"/>
          <w:bCs/>
          <w:kern w:val="0"/>
          <w:sz w:val="32"/>
          <w:szCs w:val="32"/>
          <w:lang w:val="en-US" w:eastAsia="zh-CN"/>
        </w:rPr>
        <w:t>26</w:t>
      </w:r>
      <w:r>
        <w:rPr>
          <w:rFonts w:hint="eastAsia" w:ascii="Times New Roman" w:hAnsi="Times New Roman" w:eastAsia="华文中宋"/>
          <w:bCs/>
          <w:kern w:val="0"/>
          <w:sz w:val="32"/>
          <w:szCs w:val="32"/>
        </w:rPr>
        <w:t>日</w:t>
      </w:r>
    </w:p>
    <w:p>
      <w:pPr>
        <w:ind w:firstLine="4160" w:firstLineChars="1300"/>
        <w:rPr>
          <w:rFonts w:hint="eastAsia" w:ascii="Times New Roman" w:hAnsi="Times New Roman" w:eastAsia="华文中宋"/>
          <w:bCs/>
          <w:kern w:val="0"/>
          <w:sz w:val="32"/>
          <w:szCs w:val="32"/>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p>
    <w:p>
      <w:pPr>
        <w:keepNext w:val="0"/>
        <w:keepLines w:val="0"/>
        <w:pageBreakBefore w:val="0"/>
        <w:kinsoku/>
        <w:overflowPunct/>
        <w:topLinePunct w:val="0"/>
        <w:bidi w:val="0"/>
        <w:spacing w:line="360" w:lineRule="auto"/>
        <w:ind w:firstLine="482" w:firstLineChars="200"/>
        <w:textAlignment w:val="auto"/>
        <w:rPr>
          <w:rFonts w:ascii="Times New Roman" w:hAnsi="Times New Roman" w:eastAsia="宋体"/>
          <w:b/>
          <w:bCs/>
          <w:sz w:val="24"/>
          <w:szCs w:val="30"/>
        </w:rPr>
        <w:sectPr>
          <w:headerReference r:id="rId4" w:type="even"/>
          <w:footerReference r:id="rId5" w:type="even"/>
          <w:pgSz w:w="11906" w:h="16838"/>
          <w:pgMar w:top="1418" w:right="1701" w:bottom="1134" w:left="1701" w:header="851" w:footer="992" w:gutter="0"/>
          <w:pgBorders>
            <w:top w:val="none" w:sz="0" w:space="0"/>
            <w:left w:val="none" w:sz="0" w:space="0"/>
            <w:bottom w:val="none" w:sz="0" w:space="0"/>
            <w:right w:val="none" w:sz="0" w:space="0"/>
          </w:pgBorders>
          <w:pgNumType w:fmt="upperRoman"/>
          <w:cols w:space="720" w:num="1"/>
          <w:titlePg/>
          <w:docGrid w:type="lines" w:linePitch="312" w:charSpace="0"/>
        </w:sectPr>
      </w:pPr>
    </w:p>
    <w:p>
      <w:pPr>
        <w:spacing w:before="468" w:beforeLines="150" w:line="360" w:lineRule="auto"/>
        <w:jc w:val="center"/>
        <w:rPr>
          <w:rFonts w:hint="eastAsia" w:ascii="Times New Roman" w:hAnsi="Times New Roman" w:eastAsia="黑体"/>
          <w:b/>
          <w:bCs/>
          <w:sz w:val="36"/>
          <w:szCs w:val="36"/>
        </w:rPr>
      </w:pPr>
      <w:r>
        <w:rPr>
          <w:rFonts w:ascii="Times New Roman" w:hAnsi="Times New Roman" w:eastAsia="黑体"/>
          <w:b/>
          <w:bCs/>
          <w:sz w:val="36"/>
          <w:szCs w:val="36"/>
        </w:rPr>
        <w:t>学位论文原创性声明</w:t>
      </w:r>
    </w:p>
    <w:p>
      <w:pPr>
        <w:spacing w:line="360" w:lineRule="auto"/>
        <w:ind w:firstLine="480" w:firstLineChars="200"/>
        <w:rPr>
          <w:rFonts w:ascii="Times New Roman" w:hAnsi="Times New Roman"/>
          <w:sz w:val="24"/>
          <w:szCs w:val="21"/>
        </w:rPr>
      </w:pPr>
      <w:r>
        <w:rPr>
          <w:rFonts w:ascii="Times New Roman" w:hAnsi="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wordWrap w:val="0"/>
        <w:spacing w:line="360" w:lineRule="auto"/>
        <w:jc w:val="right"/>
        <w:rPr>
          <w:rFonts w:ascii="Times New Roman" w:hAnsi="Times New Roman"/>
          <w:sz w:val="24"/>
        </w:rPr>
      </w:pPr>
      <w:r>
        <w:rPr>
          <w:rFonts w:ascii="Times New Roman" w:hAnsi="Times New Roman"/>
          <w:sz w:val="24"/>
        </w:rPr>
        <w:t xml:space="preserve">作者签名：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年   月    日</w:t>
      </w:r>
    </w:p>
    <w:p>
      <w:pPr>
        <w:spacing w:before="312" w:beforeLines="100" w:line="360" w:lineRule="auto"/>
        <w:jc w:val="center"/>
        <w:rPr>
          <w:rFonts w:hint="eastAsia" w:ascii="Times New Roman" w:hAnsi="Times New Roman"/>
          <w:b/>
          <w:bCs/>
          <w:sz w:val="40"/>
          <w:szCs w:val="36"/>
        </w:rPr>
      </w:pPr>
    </w:p>
    <w:p>
      <w:pPr>
        <w:spacing w:before="468" w:beforeLines="150" w:line="360" w:lineRule="auto"/>
        <w:jc w:val="center"/>
        <w:rPr>
          <w:rFonts w:hint="eastAsia" w:ascii="Times New Roman" w:hAnsi="Times New Roman" w:eastAsia="黑体"/>
          <w:b/>
          <w:bCs/>
          <w:sz w:val="36"/>
          <w:szCs w:val="36"/>
        </w:rPr>
      </w:pPr>
      <w:r>
        <w:rPr>
          <w:rFonts w:ascii="Times New Roman" w:hAnsi="Times New Roman" w:eastAsia="黑体"/>
          <w:b/>
          <w:bCs/>
          <w:sz w:val="36"/>
          <w:szCs w:val="36"/>
        </w:rPr>
        <w:t>学位论文版权使用授权书</w:t>
      </w:r>
    </w:p>
    <w:p>
      <w:pPr>
        <w:spacing w:line="360" w:lineRule="auto"/>
        <w:ind w:firstLine="480" w:firstLineChars="200"/>
        <w:rPr>
          <w:rFonts w:ascii="Times New Roman" w:hAnsi="Times New Roman"/>
          <w:sz w:val="24"/>
          <w:szCs w:val="21"/>
        </w:rPr>
      </w:pPr>
      <w:r>
        <w:rPr>
          <w:rFonts w:ascii="Times New Roman" w:hAnsi="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rFonts w:ascii="Times New Roman" w:hAnsi="Times New Roman"/>
          <w:sz w:val="24"/>
          <w:szCs w:val="21"/>
        </w:rPr>
      </w:pPr>
      <w:r>
        <w:rPr>
          <w:rFonts w:ascii="Times New Roman" w:hAnsi="Times New Roman"/>
          <w:sz w:val="24"/>
          <w:szCs w:val="21"/>
        </w:rPr>
        <w:t>本学位论文属于</w:t>
      </w:r>
      <w:r>
        <w:rPr>
          <w:rFonts w:hint="eastAsia" w:ascii="Times New Roman" w:hAnsi="Times New Roman"/>
          <w:sz w:val="24"/>
          <w:szCs w:val="21"/>
        </w:rPr>
        <w:t xml:space="preserve"> </w:t>
      </w:r>
      <w:r>
        <w:rPr>
          <w:rFonts w:ascii="Times New Roman" w:hAnsi="Times New Roman"/>
          <w:sz w:val="24"/>
          <w:szCs w:val="21"/>
        </w:rPr>
        <w:t>1、保密</w:t>
      </w:r>
      <w:r>
        <w:rPr>
          <w:rFonts w:hint="eastAsia" w:ascii="Times New Roman" w:hAnsi="Times New Roman"/>
          <w:sz w:val="24"/>
          <w:szCs w:val="21"/>
        </w:rPr>
        <w:t xml:space="preserve"> </w:t>
      </w:r>
      <w:r>
        <w:rPr>
          <w:rFonts w:ascii="Times New Roman" w:hAnsi="Times New Roman"/>
          <w:sz w:val="24"/>
          <w:szCs w:val="21"/>
        </w:rPr>
        <w:t xml:space="preserve">  囗</w:t>
      </w:r>
      <w:r>
        <w:rPr>
          <w:rFonts w:hint="eastAsia" w:ascii="Times New Roman" w:hAnsi="Times New Roman"/>
          <w:sz w:val="24"/>
          <w:szCs w:val="21"/>
        </w:rPr>
        <w:t xml:space="preserve"> </w:t>
      </w:r>
      <w:r>
        <w:rPr>
          <w:rFonts w:ascii="Times New Roman" w:hAnsi="Times New Roman"/>
          <w:sz w:val="24"/>
          <w:szCs w:val="21"/>
        </w:rPr>
        <w:t>，在    年解密后适用本授权书</w:t>
      </w:r>
      <w:r>
        <w:rPr>
          <w:rFonts w:hint="eastAsia" w:ascii="Times New Roman" w:hAnsi="Times New Roman"/>
          <w:sz w:val="24"/>
          <w:szCs w:val="21"/>
        </w:rPr>
        <w:t>。</w:t>
      </w:r>
    </w:p>
    <w:p>
      <w:pPr>
        <w:spacing w:line="360" w:lineRule="auto"/>
        <w:ind w:firstLine="2280" w:firstLineChars="950"/>
        <w:rPr>
          <w:rFonts w:ascii="Times New Roman" w:hAnsi="Times New Roman"/>
          <w:sz w:val="24"/>
          <w:szCs w:val="21"/>
        </w:rPr>
      </w:pPr>
      <w:r>
        <w:rPr>
          <w:rFonts w:ascii="Times New Roman" w:hAnsi="Times New Roman"/>
          <w:sz w:val="24"/>
          <w:szCs w:val="21"/>
        </w:rPr>
        <w:t>2、不保密</w:t>
      </w:r>
      <w:r>
        <w:rPr>
          <w:rFonts w:hint="eastAsia" w:ascii="Times New Roman" w:hAnsi="Times New Roman"/>
          <w:sz w:val="24"/>
          <w:szCs w:val="21"/>
        </w:rPr>
        <w:t xml:space="preserve"> </w:t>
      </w:r>
      <w:r>
        <w:rPr>
          <w:rFonts w:ascii="Times New Roman" w:hAnsi="Times New Roman"/>
          <w:sz w:val="24"/>
          <w:szCs w:val="21"/>
        </w:rPr>
        <w:t>囗 。</w:t>
      </w:r>
    </w:p>
    <w:p>
      <w:pPr>
        <w:spacing w:line="360" w:lineRule="auto"/>
        <w:ind w:firstLine="2160" w:firstLineChars="900"/>
        <w:rPr>
          <w:rFonts w:ascii="Times New Roman" w:hAnsi="Times New Roman"/>
          <w:sz w:val="24"/>
          <w:szCs w:val="21"/>
        </w:rPr>
      </w:pPr>
      <w:r>
        <w:rPr>
          <w:rFonts w:ascii="Times New Roman" w:hAnsi="Times New Roman"/>
          <w:sz w:val="24"/>
          <w:szCs w:val="21"/>
        </w:rPr>
        <w:t>（请在以上相应方框内打“√”）</w:t>
      </w:r>
    </w:p>
    <w:p>
      <w:pPr>
        <w:wordWrap w:val="0"/>
        <w:spacing w:line="360" w:lineRule="auto"/>
        <w:jc w:val="right"/>
        <w:rPr>
          <w:rFonts w:ascii="Times New Roman" w:hAnsi="Times New Roman"/>
          <w:sz w:val="24"/>
        </w:rPr>
      </w:pPr>
      <w:r>
        <w:rPr>
          <w:rFonts w:ascii="Times New Roman" w:hAnsi="Times New Roman"/>
          <w:sz w:val="24"/>
        </w:rPr>
        <w:t xml:space="preserve">作者签名：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年   月    日</w:t>
      </w:r>
    </w:p>
    <w:p>
      <w:pPr>
        <w:wordWrap w:val="0"/>
        <w:spacing w:line="360" w:lineRule="auto"/>
        <w:jc w:val="right"/>
        <w:rPr>
          <w:rFonts w:ascii="Times New Roman" w:hAnsi="Times New Roman"/>
          <w:sz w:val="24"/>
        </w:rPr>
      </w:pPr>
      <w:r>
        <w:rPr>
          <w:rFonts w:ascii="Times New Roman" w:hAnsi="Times New Roman"/>
          <w:sz w:val="24"/>
        </w:rPr>
        <w:t xml:space="preserve">导师签名：   </w:t>
      </w:r>
      <w:r>
        <w:rPr>
          <w:rFonts w:hint="eastAsia" w:ascii="Times New Roman" w:hAnsi="Times New Roman"/>
          <w:sz w:val="24"/>
        </w:rPr>
        <w:t xml:space="preserve">    </w:t>
      </w:r>
      <w:r>
        <w:rPr>
          <w:rFonts w:ascii="Times New Roman" w:hAnsi="Times New Roman"/>
          <w:sz w:val="24"/>
        </w:rPr>
        <w:t xml:space="preserve">      年   月    日</w:t>
      </w:r>
    </w:p>
    <w:p>
      <w:pPr>
        <w:keepNext w:val="0"/>
        <w:keepLines w:val="0"/>
        <w:pageBreakBefore w:val="0"/>
        <w:kinsoku/>
        <w:overflowPunct/>
        <w:topLinePunct w:val="0"/>
        <w:bidi w:val="0"/>
        <w:spacing w:line="360" w:lineRule="auto"/>
        <w:ind w:firstLine="480" w:firstLineChars="200"/>
        <w:jc w:val="right"/>
        <w:textAlignment w:val="auto"/>
        <w:rPr>
          <w:rFonts w:hint="eastAsia" w:ascii="Times New Roman" w:hAnsi="Times New Roman" w:eastAsia="宋体"/>
          <w:sz w:val="24"/>
        </w:rPr>
      </w:pPr>
    </w:p>
    <w:p>
      <w:pPr>
        <w:keepNext w:val="0"/>
        <w:keepLines w:val="0"/>
        <w:pageBreakBefore w:val="0"/>
        <w:kinsoku/>
        <w:overflowPunct/>
        <w:topLinePunct w:val="0"/>
        <w:bidi w:val="0"/>
        <w:spacing w:line="360" w:lineRule="auto"/>
        <w:ind w:firstLine="480" w:firstLineChars="200"/>
        <w:jc w:val="center"/>
        <w:textAlignment w:val="auto"/>
        <w:rPr>
          <w:rFonts w:hint="eastAsia" w:ascii="Times New Roman" w:hAnsi="Times New Roman" w:eastAsia="宋体"/>
          <w:color w:val="FF0000"/>
          <w:sz w:val="24"/>
          <w:lang w:val="en-US" w:eastAsia="zh-CN"/>
        </w:rPr>
        <w:sectPr>
          <w:headerReference r:id="rId6" w:type="default"/>
          <w:footerReference r:id="rId7" w:type="default"/>
          <w:pgSz w:w="11906" w:h="16838"/>
          <w:pgMar w:top="1418" w:right="1701" w:bottom="1134"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r>
        <w:rPr>
          <w:rFonts w:hint="eastAsia" w:ascii="Times New Roman" w:hAnsi="Times New Roman" w:eastAsia="宋体"/>
          <w:color w:val="FF0000"/>
          <w:sz w:val="24"/>
        </w:rPr>
        <w:t xml:space="preserve"> </w:t>
      </w:r>
      <w:r>
        <w:rPr>
          <w:rFonts w:hint="eastAsia" w:ascii="Times New Roman" w:hAnsi="Times New Roman" w:eastAsia="宋体"/>
          <w:color w:val="FF0000"/>
          <w:sz w:val="24"/>
          <w:lang w:val="en-US" w:eastAsia="zh-CN"/>
        </w:rPr>
        <w:t xml:space="preserve"> </w:t>
      </w:r>
    </w:p>
    <w:p>
      <w:pPr>
        <w:keepNext w:val="0"/>
        <w:keepLines w:val="0"/>
        <w:pageBreakBefore w:val="0"/>
        <w:kinsoku/>
        <w:overflowPunct/>
        <w:topLinePunct w:val="0"/>
        <w:bidi w:val="0"/>
        <w:spacing w:line="360" w:lineRule="auto"/>
        <w:ind w:firstLine="480" w:firstLineChars="200"/>
        <w:jc w:val="both"/>
        <w:textAlignment w:val="auto"/>
        <w:rPr>
          <w:rFonts w:hint="eastAsia" w:ascii="Times New Roman" w:hAnsi="Times New Roman" w:eastAsia="宋体"/>
          <w:color w:val="FF0000"/>
          <w:sz w:val="24"/>
        </w:rPr>
      </w:pPr>
    </w:p>
    <w:p>
      <w:pPr>
        <w:pStyle w:val="15"/>
        <w:bidi w:val="0"/>
        <w:rPr>
          <w:rFonts w:hint="eastAsia" w:ascii="Times New Roman" w:hAnsi="Times New Roman" w:eastAsia="宋体"/>
          <w:szCs w:val="36"/>
          <w:lang w:eastAsia="zh-CN"/>
        </w:rPr>
      </w:pPr>
      <w:bookmarkStart w:id="2" w:name="_Toc18835"/>
      <w:bookmarkStart w:id="3" w:name="_Toc17582"/>
      <w:r>
        <w:rPr>
          <w:rFonts w:hint="eastAsia"/>
        </w:rPr>
        <w:t>摘</w:t>
      </w:r>
      <w:r>
        <w:rPr>
          <w:rFonts w:hint="eastAsia"/>
          <w:lang w:val="en-US" w:eastAsia="zh-CN"/>
        </w:rPr>
        <w:t xml:space="preserve">  </w:t>
      </w:r>
      <w:r>
        <w:rPr>
          <w:rFonts w:hint="eastAsia"/>
        </w:rPr>
        <w:t>要</w:t>
      </w:r>
      <w:bookmarkEnd w:id="2"/>
      <w:bookmarkEnd w:id="3"/>
    </w:p>
    <w:p>
      <w:pPr>
        <w:pStyle w:val="19"/>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出口是拉动经济增长的“三驾马车”之一，维持出口的稳定增长有利于国家经济发展</w:t>
      </w:r>
      <w:r>
        <w:rPr>
          <w:rFonts w:hint="eastAsia" w:ascii="Times New Roman"/>
          <w:sz w:val="24"/>
          <w:lang w:val="en-US" w:eastAsia="zh-CN"/>
        </w:rPr>
        <w:t>，</w:t>
      </w:r>
      <w:r>
        <w:rPr>
          <w:rFonts w:hint="eastAsia" w:ascii="Times New Roman" w:hAnsi="Times New Roman" w:eastAsia="宋体"/>
          <w:sz w:val="24"/>
          <w:lang w:val="en-US" w:eastAsia="zh-CN"/>
        </w:rPr>
        <w:t>然而近年来贸易保护主义频频抬头，威胁了中国实现出口平稳增长的目标。税收政策是一国促进出口增长的主要手段之一，而在有关税收与出口的研究中，关于增值税转型改革的出口效应的研究较少。</w:t>
      </w:r>
    </w:p>
    <w:p>
      <w:pPr>
        <w:pStyle w:val="19"/>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sz w:val="24"/>
          <w:lang w:val="en-US" w:eastAsia="zh-CN"/>
        </w:rPr>
        <w:t>在此背景下，本文借助中部六省2007年的增值税</w:t>
      </w:r>
      <w:r>
        <w:rPr>
          <w:rFonts w:hint="eastAsia" w:ascii="Times New Roman"/>
          <w:sz w:val="24"/>
          <w:lang w:val="en-US" w:eastAsia="zh-CN"/>
        </w:rPr>
        <w:t>试点改革</w:t>
      </w:r>
      <w:r>
        <w:rPr>
          <w:rFonts w:hint="eastAsia" w:ascii="Times New Roman" w:hAnsi="Times New Roman" w:eastAsia="宋体"/>
          <w:sz w:val="24"/>
          <w:lang w:val="en-US" w:eastAsia="zh-CN"/>
        </w:rPr>
        <w:t>这一准自然实验，在对比分析四种国际贸易</w:t>
      </w:r>
      <w:r>
        <w:rPr>
          <w:rFonts w:hint="eastAsia" w:ascii="Times New Roman"/>
          <w:sz w:val="24"/>
          <w:lang w:val="en-US" w:eastAsia="zh-CN"/>
        </w:rPr>
        <w:t>研究</w:t>
      </w:r>
      <w:r>
        <w:rPr>
          <w:rFonts w:hint="eastAsia" w:ascii="Times New Roman" w:hAnsi="Times New Roman" w:eastAsia="宋体"/>
          <w:sz w:val="24"/>
          <w:lang w:val="en-US" w:eastAsia="zh-CN"/>
        </w:rPr>
        <w:t>主流回归模型的结果后，基于两部模型与双重差分法的回归结果，考察了增值税转型改革对企业出口行为的</w:t>
      </w:r>
      <w:r>
        <w:rPr>
          <w:rFonts w:hint="eastAsia" w:ascii="Times New Roman"/>
          <w:sz w:val="24"/>
          <w:lang w:val="en-US" w:eastAsia="zh-CN"/>
        </w:rPr>
        <w:t>总体</w:t>
      </w:r>
      <w:r>
        <w:rPr>
          <w:rFonts w:hint="eastAsia" w:ascii="Times New Roman" w:hAnsi="Times New Roman" w:eastAsia="宋体"/>
          <w:sz w:val="24"/>
          <w:lang w:val="en-US" w:eastAsia="zh-CN"/>
        </w:rPr>
        <w:t>影响、异质性</w:t>
      </w:r>
      <w:r>
        <w:rPr>
          <w:rFonts w:hint="eastAsia" w:ascii="Times New Roman"/>
          <w:sz w:val="24"/>
          <w:lang w:val="en-US" w:eastAsia="zh-CN"/>
        </w:rPr>
        <w:t>影响</w:t>
      </w:r>
      <w:r>
        <w:rPr>
          <w:rFonts w:hint="eastAsia" w:ascii="Times New Roman" w:hAnsi="Times New Roman" w:eastAsia="宋体"/>
          <w:sz w:val="24"/>
          <w:lang w:val="en-US" w:eastAsia="zh-CN"/>
        </w:rPr>
        <w:t>和具体的作用机制</w:t>
      </w:r>
      <w:r>
        <w:rPr>
          <w:rFonts w:hint="eastAsia" w:ascii="Times New Roman" w:hAnsi="Times New Roman" w:eastAsia="宋体"/>
          <w:sz w:val="24"/>
        </w:rPr>
        <w:t>。</w:t>
      </w:r>
      <w:r>
        <w:rPr>
          <w:rFonts w:hint="eastAsia" w:ascii="Times New Roman" w:hAnsi="Times New Roman" w:eastAsia="宋体"/>
          <w:sz w:val="24"/>
          <w:lang w:val="en-US" w:eastAsia="zh-CN"/>
        </w:rPr>
        <w:t>本文发现，</w:t>
      </w:r>
      <w:r>
        <w:rPr>
          <w:rFonts w:hint="eastAsia" w:ascii="Times New Roman"/>
          <w:sz w:val="24"/>
          <w:lang w:val="en-US" w:eastAsia="zh-CN"/>
        </w:rPr>
        <w:t>以增值税转型改革为典型的减税政策对企业出口行为有显著影响</w:t>
      </w:r>
      <w:r>
        <w:rPr>
          <w:rFonts w:hint="eastAsia" w:ascii="Times New Roman" w:hAnsi="Times New Roman" w:eastAsia="宋体"/>
          <w:sz w:val="24"/>
          <w:lang w:val="en-US" w:eastAsia="zh-CN"/>
        </w:rPr>
        <w:t>，其中非国有企业、处于资本密集型行业的企业和处于低集中度行业的企业对改革反应更敏感。进一步的机制检验结果显示，改革主要通过融资约束途径作用于企业的劳动生产率和规模，从而对企业的出口行为产生影响。本文启示政策制定者在</w:t>
      </w:r>
      <w:r>
        <w:rPr>
          <w:rFonts w:hint="eastAsia" w:ascii="Times New Roman" w:hAnsi="Times New Roman" w:eastAsia="宋体" w:cs="Times New Roman"/>
          <w:sz w:val="24"/>
          <w:szCs w:val="24"/>
          <w:lang w:val="en-US" w:eastAsia="zh-CN"/>
        </w:rPr>
        <w:t>制定促进出口发展的</w:t>
      </w:r>
      <w:r>
        <w:rPr>
          <w:rFonts w:hint="eastAsia" w:ascii="Times New Roman" w:cs="Times New Roman"/>
          <w:sz w:val="24"/>
          <w:szCs w:val="24"/>
          <w:lang w:val="en-US" w:eastAsia="zh-CN"/>
        </w:rPr>
        <w:t>税收政策</w:t>
      </w:r>
      <w:r>
        <w:rPr>
          <w:rFonts w:hint="eastAsia" w:ascii="Times New Roman" w:hAnsi="Times New Roman" w:eastAsia="宋体" w:cs="Times New Roman"/>
          <w:sz w:val="24"/>
          <w:szCs w:val="24"/>
          <w:lang w:val="en-US" w:eastAsia="zh-CN"/>
        </w:rPr>
        <w:t>时应权衡政策对不同主体的作用效果</w:t>
      </w:r>
      <w:r>
        <w:rPr>
          <w:rFonts w:hint="eastAsia" w:ascii="Times New Roman" w:cs="Times New Roman"/>
          <w:sz w:val="24"/>
          <w:szCs w:val="24"/>
          <w:lang w:val="en-US" w:eastAsia="zh-CN"/>
        </w:rPr>
        <w:t>、制定配套措施</w:t>
      </w:r>
      <w:r>
        <w:rPr>
          <w:rFonts w:hint="eastAsia" w:ascii="Times New Roman" w:hAnsi="Times New Roman" w:eastAsia="宋体" w:cs="Times New Roman"/>
          <w:sz w:val="24"/>
          <w:szCs w:val="24"/>
          <w:lang w:val="en-US" w:eastAsia="zh-CN"/>
        </w:rPr>
        <w:t>，并将现金流释放效果、投资鼓励效果纳入考虑重点。</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p>
    <w:p>
      <w:pPr>
        <w:keepNext w:val="0"/>
        <w:keepLines w:val="0"/>
        <w:pageBreakBefore w:val="0"/>
        <w:kinsoku/>
        <w:overflowPunct/>
        <w:topLinePunct w:val="0"/>
        <w:bidi w:val="0"/>
        <w:spacing w:before="156" w:beforeLines="50" w:line="360" w:lineRule="auto"/>
        <w:textAlignment w:val="auto"/>
        <w:rPr>
          <w:rFonts w:hint="default" w:ascii="Times New Roman" w:hAnsi="Times New Roman" w:eastAsia="宋体"/>
          <w:sz w:val="24"/>
          <w:lang w:val="en-US" w:eastAsia="zh-CN"/>
        </w:rPr>
      </w:pPr>
      <w:r>
        <w:rPr>
          <w:rFonts w:hint="eastAsia" w:ascii="黑体" w:hAnsi="黑体" w:eastAsia="黑体" w:cs="黑体"/>
          <w:b/>
          <w:bCs/>
          <w:sz w:val="28"/>
          <w:szCs w:val="28"/>
        </w:rPr>
        <w:t>关键词：</w:t>
      </w:r>
      <w:r>
        <w:rPr>
          <w:rFonts w:hint="eastAsia" w:ascii="Times New Roman" w:hAnsi="Times New Roman" w:eastAsia="宋体" w:cs="宋体"/>
          <w:b w:val="0"/>
          <w:bCs w:val="0"/>
          <w:sz w:val="24"/>
          <w:lang w:val="en-US" w:eastAsia="zh-CN"/>
        </w:rPr>
        <w:t>增值税改革</w:t>
      </w:r>
      <w:r>
        <w:rPr>
          <w:rFonts w:hint="eastAsia" w:ascii="Times New Roman" w:hAnsi="Times New Roman" w:eastAsia="宋体" w:cs="宋体"/>
          <w:b w:val="0"/>
          <w:bCs w:val="0"/>
          <w:sz w:val="24"/>
        </w:rPr>
        <w:t>；</w:t>
      </w:r>
      <w:r>
        <w:rPr>
          <w:rFonts w:hint="eastAsia" w:ascii="Times New Roman" w:hAnsi="Times New Roman" w:eastAsia="宋体" w:cs="宋体"/>
          <w:b w:val="0"/>
          <w:bCs w:val="0"/>
          <w:sz w:val="24"/>
          <w:lang w:val="en-US" w:eastAsia="zh-CN"/>
        </w:rPr>
        <w:t>出口</w:t>
      </w:r>
      <w:r>
        <w:rPr>
          <w:rFonts w:hint="eastAsia" w:ascii="Times New Roman" w:hAnsi="Times New Roman" w:eastAsia="宋体" w:cs="宋体"/>
          <w:b w:val="0"/>
          <w:bCs w:val="0"/>
          <w:sz w:val="24"/>
        </w:rPr>
        <w:t>；</w:t>
      </w:r>
      <w:r>
        <w:rPr>
          <w:rFonts w:hint="eastAsia" w:ascii="Times New Roman" w:hAnsi="Times New Roman" w:eastAsia="宋体" w:cs="宋体"/>
          <w:b w:val="0"/>
          <w:bCs w:val="0"/>
          <w:sz w:val="24"/>
          <w:lang w:val="en-US" w:eastAsia="zh-CN"/>
        </w:rPr>
        <w:t>双重差分法；两部模型</w:t>
      </w:r>
    </w:p>
    <w:p>
      <w:pPr>
        <w:keepNext w:val="0"/>
        <w:keepLines w:val="0"/>
        <w:pageBreakBefore w:val="0"/>
        <w:kinsoku/>
        <w:overflowPunct/>
        <w:topLinePunct w:val="0"/>
        <w:bidi w:val="0"/>
        <w:spacing w:before="156" w:beforeLines="50" w:after="156" w:afterLines="50" w:line="360" w:lineRule="auto"/>
        <w:ind w:firstLine="480" w:firstLineChars="200"/>
        <w:textAlignment w:val="auto"/>
        <w:rPr>
          <w:rFonts w:ascii="Times New Roman" w:hAnsi="Times New Roman" w:eastAsia="宋体"/>
          <w:sz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firstLineChars="200"/>
        <w:jc w:val="center"/>
        <w:textAlignment w:val="auto"/>
        <w:outlineLvl w:val="0"/>
        <w:rPr>
          <w:rStyle w:val="27"/>
          <w:rFonts w:hint="eastAsia"/>
        </w:rPr>
      </w:pPr>
      <w:r>
        <w:rPr>
          <w:rFonts w:ascii="Times New Roman" w:hAnsi="Times New Roman" w:eastAsia="宋体"/>
          <w:b/>
          <w:bCs/>
          <w:sz w:val="24"/>
        </w:rPr>
        <w:br w:type="page"/>
      </w:r>
      <w:bookmarkStart w:id="4" w:name="_Toc21958"/>
      <w:bookmarkStart w:id="5" w:name="_Toc4098"/>
      <w:r>
        <w:rPr>
          <w:rStyle w:val="27"/>
        </w:rPr>
        <w:t>Abstract</w:t>
      </w:r>
      <w:bookmarkEnd w:id="4"/>
    </w:p>
    <w:bookmarkEnd w:id="5"/>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Export</w:t>
      </w:r>
      <w:r>
        <w:rPr>
          <w:rFonts w:hint="eastAsia" w:cs="Times New Roman"/>
          <w:sz w:val="24"/>
          <w:szCs w:val="24"/>
          <w:lang w:val="en-US" w:eastAsia="zh-CN"/>
        </w:rPr>
        <w:t>ing</w:t>
      </w:r>
      <w:r>
        <w:rPr>
          <w:rFonts w:hint="eastAsia" w:ascii="Times New Roman" w:hAnsi="Times New Roman" w:eastAsia="宋体" w:cs="Times New Roman"/>
          <w:sz w:val="24"/>
          <w:szCs w:val="24"/>
        </w:rPr>
        <w:t xml:space="preserve"> is one of the "three carriages" driving economic growth, </w:t>
      </w:r>
      <w:r>
        <w:rPr>
          <w:rFonts w:hint="eastAsia" w:cs="Times New Roman"/>
          <w:sz w:val="24"/>
          <w:szCs w:val="24"/>
          <w:lang w:val="en-US" w:eastAsia="zh-CN"/>
        </w:rPr>
        <w:t>so</w:t>
      </w:r>
      <w:r>
        <w:rPr>
          <w:rFonts w:hint="eastAsia" w:ascii="Times New Roman" w:hAnsi="Times New Roman" w:eastAsia="宋体" w:cs="Times New Roman"/>
          <w:sz w:val="24"/>
          <w:szCs w:val="24"/>
        </w:rPr>
        <w:t xml:space="preserve"> the steady growth of export</w:t>
      </w:r>
      <w:r>
        <w:rPr>
          <w:rFonts w:hint="eastAsia" w:cs="Times New Roman"/>
          <w:sz w:val="24"/>
          <w:szCs w:val="24"/>
          <w:lang w:val="en-US" w:eastAsia="zh-CN"/>
        </w:rPr>
        <w:t>ing</w:t>
      </w:r>
      <w:r>
        <w:rPr>
          <w:rFonts w:hint="eastAsia" w:ascii="Times New Roman" w:hAnsi="Times New Roman" w:eastAsia="宋体" w:cs="Times New Roman"/>
          <w:sz w:val="24"/>
          <w:szCs w:val="24"/>
        </w:rPr>
        <w:t xml:space="preserve"> is beneficial to national economic development. However, in recent years, the frequent rise of trade protectionism has threatened China's goal of achieving steady export</w:t>
      </w:r>
      <w:r>
        <w:rPr>
          <w:rFonts w:hint="eastAsia" w:cs="Times New Roman"/>
          <w:sz w:val="24"/>
          <w:szCs w:val="24"/>
          <w:lang w:val="en-US" w:eastAsia="zh-CN"/>
        </w:rPr>
        <w:t>ing</w:t>
      </w:r>
      <w:r>
        <w:rPr>
          <w:rFonts w:hint="eastAsia" w:ascii="Times New Roman" w:hAnsi="Times New Roman" w:eastAsia="宋体" w:cs="Times New Roman"/>
          <w:sz w:val="24"/>
          <w:szCs w:val="24"/>
        </w:rPr>
        <w:t xml:space="preserve"> growth. Tax policy is one of the main</w:t>
      </w:r>
      <w:r>
        <w:rPr>
          <w:rFonts w:hint="eastAsia" w:cs="Times New Roman"/>
          <w:sz w:val="24"/>
          <w:szCs w:val="24"/>
          <w:lang w:val="en-US" w:eastAsia="zh-CN"/>
        </w:rPr>
        <w:t xml:space="preserve"> tools</w:t>
      </w:r>
      <w:r>
        <w:rPr>
          <w:rFonts w:hint="eastAsia" w:ascii="Times New Roman" w:hAnsi="Times New Roman" w:eastAsia="宋体" w:cs="Times New Roman"/>
          <w:sz w:val="24"/>
          <w:szCs w:val="24"/>
        </w:rPr>
        <w:t xml:space="preserve"> for a country to </w:t>
      </w:r>
      <w:r>
        <w:rPr>
          <w:rFonts w:hint="eastAsia" w:ascii="Times New Roman" w:hAnsi="Times New Roman" w:eastAsia="宋体" w:cs="Times New Roman"/>
          <w:sz w:val="24"/>
          <w:szCs w:val="24"/>
          <w:lang w:val="en-US" w:eastAsia="zh-CN"/>
        </w:rPr>
        <w:t>stimulate</w:t>
      </w:r>
      <w:r>
        <w:rPr>
          <w:rFonts w:hint="eastAsia" w:ascii="Times New Roman" w:hAnsi="Times New Roman" w:eastAsia="宋体" w:cs="Times New Roman"/>
          <w:sz w:val="24"/>
          <w:szCs w:val="24"/>
        </w:rPr>
        <w:t xml:space="preserve"> export</w:t>
      </w:r>
      <w:r>
        <w:rPr>
          <w:rFonts w:hint="eastAsia" w:ascii="Times New Roman" w:hAnsi="Times New Roman" w:eastAsia="宋体" w:cs="Times New Roman"/>
          <w:sz w:val="24"/>
          <w:szCs w:val="24"/>
          <w:lang w:val="en-US" w:eastAsia="zh-CN"/>
        </w:rPr>
        <w:t>ing</w:t>
      </w:r>
      <w:r>
        <w:rPr>
          <w:rFonts w:hint="eastAsia" w:ascii="Times New Roman" w:hAnsi="Times New Roman" w:eastAsia="宋体" w:cs="Times New Roman"/>
          <w:sz w:val="24"/>
          <w:szCs w:val="24"/>
        </w:rPr>
        <w:t xml:space="preserve"> growth, but </w:t>
      </w:r>
      <w:r>
        <w:rPr>
          <w:rFonts w:hint="eastAsia" w:ascii="Times New Roman" w:hAnsi="Times New Roman" w:eastAsia="宋体" w:cs="Times New Roman"/>
          <w:sz w:val="24"/>
          <w:szCs w:val="24"/>
          <w:lang w:val="en-US" w:eastAsia="zh-CN"/>
        </w:rPr>
        <w:t>among</w:t>
      </w:r>
      <w:r>
        <w:rPr>
          <w:rFonts w:hint="eastAsia" w:ascii="Times New Roman" w:hAnsi="Times New Roman" w:eastAsia="宋体" w:cs="Times New Roman"/>
          <w:sz w:val="24"/>
          <w:szCs w:val="24"/>
        </w:rPr>
        <w:t xml:space="preserve"> the research</w:t>
      </w:r>
      <w:r>
        <w:rPr>
          <w:rFonts w:hint="eastAsia" w:cs="Times New Roman"/>
          <w:sz w:val="24"/>
          <w:szCs w:val="24"/>
          <w:lang w:val="en-US" w:eastAsia="zh-CN"/>
        </w:rPr>
        <w:t>es</w:t>
      </w:r>
      <w:r>
        <w:rPr>
          <w:rFonts w:hint="eastAsia" w:ascii="Times New Roman" w:hAnsi="Times New Roman" w:eastAsia="宋体" w:cs="Times New Roman"/>
          <w:sz w:val="24"/>
          <w:szCs w:val="24"/>
        </w:rPr>
        <w:t xml:space="preserve"> on tax</w:t>
      </w:r>
      <w:r>
        <w:rPr>
          <w:rFonts w:hint="eastAsia" w:ascii="Times New Roman" w:hAnsi="Times New Roman" w:eastAsia="宋体" w:cs="Times New Roman"/>
          <w:sz w:val="24"/>
          <w:szCs w:val="24"/>
          <w:lang w:val="en-US" w:eastAsia="zh-CN"/>
        </w:rPr>
        <w:t xml:space="preserve"> policies</w:t>
      </w:r>
      <w:r>
        <w:rPr>
          <w:rFonts w:hint="eastAsia" w:ascii="Times New Roman" w:hAnsi="Times New Roman" w:eastAsia="宋体" w:cs="Times New Roman"/>
          <w:sz w:val="24"/>
          <w:szCs w:val="24"/>
        </w:rPr>
        <w:t xml:space="preserve"> and export</w:t>
      </w:r>
      <w:r>
        <w:rPr>
          <w:rFonts w:hint="eastAsia" w:ascii="Times New Roman" w:hAnsi="Times New Roman" w:eastAsia="宋体" w:cs="Times New Roman"/>
          <w:sz w:val="24"/>
          <w:szCs w:val="24"/>
          <w:lang w:val="en-US" w:eastAsia="zh-CN"/>
        </w:rPr>
        <w:t>ing</w:t>
      </w:r>
      <w:r>
        <w:rPr>
          <w:rFonts w:hint="eastAsia" w:cs="Times New Roman"/>
          <w:sz w:val="24"/>
          <w:szCs w:val="24"/>
          <w:lang w:val="en-US" w:eastAsia="zh-CN"/>
        </w:rPr>
        <w:t>,</w:t>
      </w:r>
      <w:r>
        <w:rPr>
          <w:rFonts w:hint="eastAsia" w:ascii="Times New Roman" w:hAnsi="Times New Roman" w:eastAsia="宋体" w:cs="Times New Roman"/>
          <w:sz w:val="24"/>
          <w:szCs w:val="24"/>
        </w:rPr>
        <w:t>there are few studies on the export</w:t>
      </w:r>
      <w:r>
        <w:rPr>
          <w:rFonts w:hint="eastAsia" w:ascii="Times New Roman" w:hAnsi="Times New Roman" w:eastAsia="宋体" w:cs="Times New Roman"/>
          <w:sz w:val="24"/>
          <w:szCs w:val="24"/>
          <w:lang w:val="en-US" w:eastAsia="zh-CN"/>
        </w:rPr>
        <w:t>ing</w:t>
      </w:r>
      <w:r>
        <w:rPr>
          <w:rFonts w:hint="eastAsia" w:ascii="Times New Roman" w:hAnsi="Times New Roman" w:eastAsia="宋体" w:cs="Times New Roman"/>
          <w:sz w:val="24"/>
          <w:szCs w:val="24"/>
        </w:rPr>
        <w:t xml:space="preserve"> effect of VAT reform .</w:t>
      </w: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szCs w:val="24"/>
        </w:rPr>
      </w:pPr>
      <w:r>
        <w:rPr>
          <w:rFonts w:hint="eastAsia" w:ascii="Times New Roman" w:hAnsi="Times New Roman" w:eastAsia="宋体" w:cs="Times New Roman"/>
          <w:sz w:val="24"/>
          <w:szCs w:val="24"/>
        </w:rPr>
        <w:t xml:space="preserve">In this </w:t>
      </w:r>
      <w:r>
        <w:rPr>
          <w:rFonts w:hint="eastAsia" w:ascii="Times New Roman" w:hAnsi="Times New Roman" w:eastAsia="宋体" w:cs="Times New Roman"/>
          <w:sz w:val="24"/>
          <w:szCs w:val="24"/>
          <w:lang w:val="en-US" w:eastAsia="zh-CN"/>
        </w:rPr>
        <w:t>context</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we</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take advantage of</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 xml:space="preserve">the quasi-experiment of </w:t>
      </w:r>
      <w:r>
        <w:rPr>
          <w:rFonts w:hint="eastAsia" w:ascii="Times New Roman" w:hAnsi="Times New Roman" w:eastAsia="宋体" w:cs="Times New Roman"/>
          <w:sz w:val="24"/>
          <w:szCs w:val="24"/>
        </w:rPr>
        <w:t xml:space="preserve">VAT pilot </w:t>
      </w:r>
      <w:r>
        <w:rPr>
          <w:rFonts w:hint="eastAsia" w:ascii="Times New Roman" w:hAnsi="Times New Roman" w:eastAsia="宋体" w:cs="Times New Roman"/>
          <w:sz w:val="24"/>
          <w:szCs w:val="24"/>
          <w:lang w:val="en-US" w:eastAsia="zh-CN"/>
        </w:rPr>
        <w:t xml:space="preserve">reform that took place </w:t>
      </w:r>
      <w:r>
        <w:rPr>
          <w:rFonts w:hint="eastAsia" w:ascii="Times New Roman" w:hAnsi="Times New Roman" w:eastAsia="宋体" w:cs="Times New Roman"/>
          <w:sz w:val="24"/>
          <w:szCs w:val="24"/>
        </w:rPr>
        <w:t xml:space="preserve">in 2007 </w:t>
      </w:r>
      <w:r>
        <w:rPr>
          <w:rFonts w:hint="eastAsia" w:ascii="Times New Roman" w:hAnsi="Times New Roman" w:eastAsia="宋体" w:cs="Times New Roman"/>
          <w:sz w:val="24"/>
          <w:szCs w:val="24"/>
          <w:lang w:val="en-US" w:eastAsia="zh-CN"/>
        </w:rPr>
        <w:t xml:space="preserve">among the six provinces </w:t>
      </w:r>
      <w:r>
        <w:rPr>
          <w:rFonts w:hint="eastAsia" w:cs="Times New Roman"/>
          <w:sz w:val="24"/>
          <w:szCs w:val="24"/>
          <w:lang w:val="en-US" w:eastAsia="zh-CN"/>
        </w:rPr>
        <w:t>in</w:t>
      </w:r>
      <w:r>
        <w:rPr>
          <w:rFonts w:hint="eastAsia" w:ascii="Times New Roman" w:hAnsi="Times New Roman" w:eastAsia="宋体" w:cs="Times New Roman"/>
          <w:sz w:val="24"/>
          <w:szCs w:val="24"/>
          <w:lang w:val="en-US" w:eastAsia="zh-CN"/>
        </w:rPr>
        <w:t xml:space="preserve"> Central China.After comparing and analyzing the results of four models which are commonly used in the research on international trade ,we estimate the effect of the policy on firms</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exporting behaviour </w:t>
      </w:r>
      <w:r>
        <w:rPr>
          <w:rFonts w:hint="eastAsia" w:ascii="Times New Roman" w:hAnsi="Times New Roman" w:eastAsia="宋体" w:cs="Times New Roman"/>
          <w:sz w:val="24"/>
          <w:szCs w:val="24"/>
        </w:rPr>
        <w:t>bas</w:t>
      </w:r>
      <w:r>
        <w:rPr>
          <w:rFonts w:hint="eastAsia" w:ascii="Times New Roman" w:hAnsi="Times New Roman" w:eastAsia="宋体" w:cs="Times New Roman"/>
          <w:sz w:val="24"/>
          <w:szCs w:val="24"/>
          <w:lang w:val="en-US" w:eastAsia="zh-CN"/>
        </w:rPr>
        <w:t>ing</w:t>
      </w:r>
      <w:r>
        <w:rPr>
          <w:rFonts w:hint="eastAsia" w:ascii="Times New Roman" w:hAnsi="Times New Roman" w:eastAsia="宋体" w:cs="Times New Roman"/>
          <w:sz w:val="24"/>
          <w:szCs w:val="24"/>
        </w:rPr>
        <w:t xml:space="preserve"> on the</w:t>
      </w:r>
      <w:r>
        <w:rPr>
          <w:rFonts w:hint="eastAsia" w:ascii="Times New Roman" w:hAnsi="Times New Roman" w:eastAsia="宋体" w:cs="Times New Roman"/>
          <w:sz w:val="24"/>
          <w:szCs w:val="24"/>
          <w:lang w:val="en-US" w:eastAsia="zh-CN"/>
        </w:rPr>
        <w:t xml:space="preserve"> results of</w:t>
      </w:r>
      <w:r>
        <w:rPr>
          <w:rFonts w:hint="eastAsia" w:ascii="Times New Roman" w:hAnsi="Times New Roman" w:eastAsia="宋体" w:cs="Times New Roman"/>
          <w:sz w:val="24"/>
          <w:szCs w:val="24"/>
        </w:rPr>
        <w:t xml:space="preserve"> two</w:t>
      </w:r>
      <w:r>
        <w:rPr>
          <w:rFonts w:hint="eastAsia" w:ascii="Times New Roman" w:hAnsi="Times New Roman" w:eastAsia="宋体" w:cs="Times New Roman"/>
          <w:sz w:val="24"/>
          <w:szCs w:val="24"/>
          <w:lang w:val="en-US" w:eastAsia="zh-CN"/>
        </w:rPr>
        <w:t>-part</w:t>
      </w:r>
      <w:r>
        <w:rPr>
          <w:rFonts w:hint="eastAsia" w:ascii="Times New Roman" w:hAnsi="Times New Roman" w:eastAsia="宋体" w:cs="Times New Roman"/>
          <w:sz w:val="24"/>
          <w:szCs w:val="24"/>
        </w:rPr>
        <w:t xml:space="preserve"> and</w:t>
      </w:r>
      <w:r>
        <w:rPr>
          <w:rFonts w:hint="eastAsia" w:ascii="Times New Roman" w:hAnsi="Times New Roman" w:eastAsia="宋体" w:cs="Times New Roman"/>
          <w:sz w:val="24"/>
          <w:szCs w:val="24"/>
          <w:lang w:val="en-US" w:eastAsia="zh-CN"/>
        </w:rPr>
        <w:t xml:space="preserve"> DID</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model</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and then </w:t>
      </w:r>
      <w:r>
        <w:rPr>
          <w:rFonts w:hint="eastAsia" w:ascii="Times New Roman" w:hAnsi="Times New Roman" w:eastAsia="宋体" w:cs="Times New Roman"/>
          <w:sz w:val="24"/>
          <w:szCs w:val="24"/>
        </w:rPr>
        <w:t>investigate</w:t>
      </w:r>
      <w:r>
        <w:rPr>
          <w:rFonts w:hint="eastAsia" w:ascii="Times New Roman" w:hAnsi="Times New Roman" w:eastAsia="宋体" w:cs="Times New Roman"/>
          <w:sz w:val="24"/>
          <w:szCs w:val="24"/>
          <w:lang w:val="en-US" w:eastAsia="zh-CN"/>
        </w:rPr>
        <w:t xml:space="preserve"> the</w:t>
      </w:r>
      <w:r>
        <w:rPr>
          <w:rFonts w:hint="eastAsia" w:ascii="Times New Roman" w:hAnsi="Times New Roman" w:eastAsia="宋体" w:cs="Times New Roman"/>
          <w:sz w:val="24"/>
          <w:szCs w:val="24"/>
        </w:rPr>
        <w:t xml:space="preserve"> heterogeneity and the mechanism of </w:t>
      </w:r>
      <w:r>
        <w:rPr>
          <w:rFonts w:hint="eastAsia" w:ascii="Times New Roman" w:hAnsi="Times New Roman" w:eastAsia="宋体" w:cs="Times New Roman"/>
          <w:sz w:val="24"/>
          <w:szCs w:val="24"/>
          <w:lang w:val="en-US" w:eastAsia="zh-CN"/>
        </w:rPr>
        <w:t>the policy effect</w:t>
      </w:r>
      <w:r>
        <w:rPr>
          <w:rFonts w:hint="eastAsia" w:ascii="Times New Roman" w:hAnsi="Times New Roman" w:eastAsia="宋体" w:cs="Times New Roman"/>
          <w:sz w:val="24"/>
          <w:szCs w:val="24"/>
        </w:rPr>
        <w:t xml:space="preserve">. </w:t>
      </w:r>
      <w:r>
        <w:rPr>
          <w:rFonts w:hint="eastAsia" w:cs="Times New Roman"/>
          <w:sz w:val="24"/>
          <w:szCs w:val="24"/>
          <w:lang w:val="en-US" w:eastAsia="zh-CN"/>
        </w:rPr>
        <w:t xml:space="preserve">We find that </w:t>
      </w:r>
      <w:r>
        <w:rPr>
          <w:rFonts w:hint="eastAsia" w:ascii="Times New Roman" w:hAnsi="Times New Roman" w:eastAsia="宋体" w:cs="Times New Roman"/>
          <w:sz w:val="24"/>
          <w:szCs w:val="24"/>
        </w:rPr>
        <w:t>VAT reform,</w:t>
      </w:r>
      <w:r>
        <w:rPr>
          <w:rFonts w:hint="eastAsia" w:cs="Times New Roman"/>
          <w:sz w:val="24"/>
          <w:szCs w:val="24"/>
          <w:lang w:val="en-US" w:eastAsia="zh-CN"/>
        </w:rPr>
        <w:t>typical of tax reduction policies,</w:t>
      </w:r>
      <w:r>
        <w:rPr>
          <w:rFonts w:hint="eastAsia" w:ascii="Times New Roman" w:hAnsi="Times New Roman" w:eastAsia="宋体" w:cs="Times New Roman"/>
          <w:sz w:val="24"/>
          <w:szCs w:val="24"/>
        </w:rPr>
        <w:t xml:space="preserve"> h</w:t>
      </w:r>
      <w:r>
        <w:rPr>
          <w:rFonts w:hint="eastAsia" w:cs="Times New Roman"/>
          <w:sz w:val="24"/>
          <w:szCs w:val="24"/>
          <w:lang w:val="en-US" w:eastAsia="zh-CN"/>
        </w:rPr>
        <w:t>ad</w:t>
      </w:r>
      <w:r>
        <w:rPr>
          <w:rFonts w:hint="eastAsia" w:ascii="Times New Roman" w:hAnsi="Times New Roman" w:eastAsia="宋体" w:cs="Times New Roman"/>
          <w:sz w:val="24"/>
          <w:szCs w:val="24"/>
        </w:rPr>
        <w:t xml:space="preserve"> a significant impact on </w:t>
      </w:r>
      <w:r>
        <w:rPr>
          <w:rFonts w:hint="eastAsia" w:cs="Times New Roman"/>
          <w:sz w:val="24"/>
          <w:szCs w:val="24"/>
          <w:lang w:val="en-US" w:eastAsia="zh-CN"/>
        </w:rPr>
        <w:t>firm</w:t>
      </w:r>
      <w:r>
        <w:rPr>
          <w:rFonts w:hint="eastAsia" w:ascii="Times New Roman" w:hAnsi="Times New Roman" w:eastAsia="宋体" w:cs="Times New Roman"/>
          <w:sz w:val="24"/>
          <w:szCs w:val="24"/>
        </w:rPr>
        <w:t>s' export</w:t>
      </w:r>
      <w:r>
        <w:rPr>
          <w:rFonts w:hint="eastAsia" w:cs="Times New Roman"/>
          <w:sz w:val="24"/>
          <w:szCs w:val="24"/>
          <w:lang w:val="en-US" w:eastAsia="zh-CN"/>
        </w:rPr>
        <w:t>ing</w:t>
      </w:r>
      <w:r>
        <w:rPr>
          <w:rFonts w:hint="eastAsia" w:ascii="Times New Roman" w:hAnsi="Times New Roman" w:eastAsia="宋体" w:cs="Times New Roman"/>
          <w:sz w:val="24"/>
          <w:szCs w:val="24"/>
        </w:rPr>
        <w:t xml:space="preserve"> behavior</w:t>
      </w:r>
      <w:r>
        <w:rPr>
          <w:rFonts w:hint="eastAsia" w:cs="Times New Roman"/>
          <w:sz w:val="24"/>
          <w:szCs w:val="24"/>
          <w:lang w:val="en-US" w:eastAsia="zh-CN"/>
        </w:rPr>
        <w:t>.</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Among all the firms,</w:t>
      </w:r>
      <w:r>
        <w:rPr>
          <w:rFonts w:hint="eastAsia" w:ascii="Times New Roman" w:hAnsi="Times New Roman" w:eastAsia="宋体" w:cs="Times New Roman"/>
          <w:sz w:val="24"/>
          <w:szCs w:val="24"/>
        </w:rPr>
        <w:t xml:space="preserve"> non-state-owned </w:t>
      </w:r>
      <w:r>
        <w:rPr>
          <w:rFonts w:hint="eastAsia" w:ascii="Times New Roman" w:hAnsi="Times New Roman" w:eastAsia="宋体" w:cs="Times New Roman"/>
          <w:sz w:val="24"/>
          <w:szCs w:val="24"/>
          <w:lang w:val="en-US" w:eastAsia="zh-CN"/>
        </w:rPr>
        <w:t>firms、firms</w:t>
      </w:r>
      <w:r>
        <w:rPr>
          <w:rFonts w:hint="eastAsia" w:ascii="Times New Roman" w:hAnsi="Times New Roman" w:eastAsia="宋体" w:cs="Times New Roman"/>
          <w:sz w:val="24"/>
          <w:szCs w:val="24"/>
        </w:rPr>
        <w:t xml:space="preserve"> in capital-intensive industries, and </w:t>
      </w:r>
      <w:r>
        <w:rPr>
          <w:rFonts w:hint="eastAsia" w:ascii="Times New Roman" w:hAnsi="Times New Roman" w:eastAsia="宋体" w:cs="Times New Roman"/>
          <w:sz w:val="24"/>
          <w:szCs w:val="24"/>
          <w:lang w:val="en-US" w:eastAsia="zh-CN"/>
        </w:rPr>
        <w:t xml:space="preserve">firms </w:t>
      </w:r>
      <w:r>
        <w:rPr>
          <w:rFonts w:hint="eastAsia" w:ascii="Times New Roman" w:hAnsi="Times New Roman" w:eastAsia="宋体" w:cs="Times New Roman"/>
          <w:sz w:val="24"/>
          <w:szCs w:val="24"/>
        </w:rPr>
        <w:t>in low</w:t>
      </w:r>
      <w:r>
        <w:rPr>
          <w:rFonts w:hint="eastAsia" w:ascii="Times New Roman" w:hAnsi="Times New Roman" w:eastAsia="宋体" w:cs="Times New Roman"/>
          <w:sz w:val="24"/>
          <w:szCs w:val="24"/>
          <w:lang w:val="en-US" w:eastAsia="zh-CN"/>
        </w:rPr>
        <w:t>-hhi</w:t>
      </w:r>
      <w:r>
        <w:rPr>
          <w:rFonts w:hint="eastAsia" w:ascii="Times New Roman" w:hAnsi="Times New Roman" w:eastAsia="宋体" w:cs="Times New Roman"/>
          <w:sz w:val="24"/>
          <w:szCs w:val="24"/>
        </w:rPr>
        <w:t xml:space="preserve"> industr</w:t>
      </w:r>
      <w:r>
        <w:rPr>
          <w:rFonts w:hint="eastAsia" w:ascii="Times New Roman" w:hAnsi="Times New Roman" w:eastAsia="宋体" w:cs="Times New Roman"/>
          <w:sz w:val="24"/>
          <w:szCs w:val="24"/>
          <w:lang w:val="en-US" w:eastAsia="zh-CN"/>
        </w:rPr>
        <w:t xml:space="preserve">ies </w:t>
      </w:r>
      <w:r>
        <w:rPr>
          <w:rFonts w:hint="eastAsia" w:cs="Times New Roman"/>
          <w:sz w:val="24"/>
          <w:szCs w:val="24"/>
          <w:lang w:val="en-US" w:eastAsia="zh-CN"/>
        </w:rPr>
        <w:t>were</w:t>
      </w:r>
      <w:r>
        <w:rPr>
          <w:rFonts w:hint="eastAsia" w:ascii="Times New Roman" w:hAnsi="Times New Roman" w:eastAsia="宋体" w:cs="Times New Roman"/>
          <w:sz w:val="24"/>
          <w:szCs w:val="24"/>
        </w:rPr>
        <w:t xml:space="preserve"> more sensitive to the reform . Further mechanism test results show that the reform mainly </w:t>
      </w:r>
      <w:r>
        <w:rPr>
          <w:rFonts w:hint="eastAsia" w:ascii="Times New Roman" w:hAnsi="Times New Roman" w:eastAsia="宋体" w:cs="Times New Roman"/>
          <w:sz w:val="24"/>
          <w:szCs w:val="24"/>
          <w:lang w:val="en-US" w:eastAsia="zh-CN"/>
        </w:rPr>
        <w:t>influence</w:t>
      </w:r>
      <w:r>
        <w:rPr>
          <w:rFonts w:hint="eastAsia" w:cs="Times New Roman"/>
          <w:sz w:val="24"/>
          <w:szCs w:val="24"/>
          <w:lang w:val="en-US" w:eastAsia="zh-CN"/>
        </w:rPr>
        <w:t>d</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firms</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 xml:space="preserve"> labor productivity and </w:t>
      </w:r>
      <w:r>
        <w:rPr>
          <w:rFonts w:hint="eastAsia" w:cs="Times New Roman"/>
          <w:sz w:val="24"/>
          <w:szCs w:val="24"/>
          <w:lang w:val="en-US" w:eastAsia="zh-CN"/>
        </w:rPr>
        <w:t>size</w:t>
      </w:r>
      <w:r>
        <w:rPr>
          <w:rFonts w:hint="eastAsia" w:ascii="Times New Roman" w:hAnsi="Times New Roman" w:eastAsia="宋体" w:cs="Times New Roman"/>
          <w:sz w:val="24"/>
          <w:szCs w:val="24"/>
        </w:rPr>
        <w:t xml:space="preserve"> through finan</w:t>
      </w:r>
      <w:r>
        <w:rPr>
          <w:rFonts w:hint="eastAsia" w:cs="Times New Roman"/>
          <w:sz w:val="24"/>
          <w:szCs w:val="24"/>
          <w:lang w:val="en-US" w:eastAsia="zh-CN"/>
        </w:rPr>
        <w:t>cial</w:t>
      </w:r>
      <w:r>
        <w:rPr>
          <w:rFonts w:hint="eastAsia" w:ascii="Times New Roman" w:hAnsi="Times New Roman" w:eastAsia="宋体" w:cs="Times New Roman"/>
          <w:sz w:val="24"/>
          <w:szCs w:val="24"/>
        </w:rPr>
        <w:t xml:space="preserve"> constraints, and </w:t>
      </w:r>
      <w:r>
        <w:rPr>
          <w:rFonts w:hint="eastAsia" w:ascii="Times New Roman" w:hAnsi="Times New Roman" w:eastAsia="宋体" w:cs="Times New Roman"/>
          <w:sz w:val="24"/>
          <w:szCs w:val="24"/>
          <w:lang w:val="en-US" w:eastAsia="zh-CN"/>
        </w:rPr>
        <w:t>then</w:t>
      </w:r>
      <w:r>
        <w:rPr>
          <w:rFonts w:hint="eastAsia" w:ascii="Times New Roman" w:hAnsi="Times New Roman" w:eastAsia="宋体" w:cs="Times New Roman"/>
          <w:sz w:val="24"/>
          <w:szCs w:val="24"/>
        </w:rPr>
        <w:t xml:space="preserve"> influence</w:t>
      </w:r>
      <w:r>
        <w:rPr>
          <w:rFonts w:hint="eastAsia" w:cs="Times New Roman"/>
          <w:sz w:val="24"/>
          <w:szCs w:val="24"/>
          <w:lang w:val="en-US" w:eastAsia="zh-CN"/>
        </w:rPr>
        <w:t>d</w:t>
      </w:r>
      <w:r>
        <w:rPr>
          <w:rFonts w:hint="eastAsia" w:ascii="Times New Roman" w:hAnsi="Times New Roman" w:eastAsia="宋体" w:cs="Times New Roman"/>
          <w:sz w:val="24"/>
          <w:szCs w:val="24"/>
        </w:rPr>
        <w:t xml:space="preserve"> </w:t>
      </w:r>
      <w:r>
        <w:rPr>
          <w:rFonts w:hint="eastAsia" w:cs="Times New Roman"/>
          <w:sz w:val="24"/>
          <w:szCs w:val="24"/>
          <w:lang w:val="en-US" w:eastAsia="zh-CN"/>
        </w:rPr>
        <w:t>firms</w:t>
      </w:r>
      <w:r>
        <w:rPr>
          <w:rFonts w:hint="default" w:cs="Times New Roman"/>
          <w:sz w:val="24"/>
          <w:szCs w:val="24"/>
          <w:lang w:val="en-US" w:eastAsia="zh-CN"/>
        </w:rPr>
        <w:t>’</w:t>
      </w:r>
      <w:r>
        <w:rPr>
          <w:rFonts w:hint="eastAsia" w:cs="Times New Roman"/>
          <w:sz w:val="24"/>
          <w:szCs w:val="24"/>
          <w:lang w:val="en-US" w:eastAsia="zh-CN"/>
        </w:rPr>
        <w:t xml:space="preserve"> exporting behaviour</w:t>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Our results</w:t>
      </w:r>
      <w:r>
        <w:rPr>
          <w:rFonts w:hint="eastAsia" w:ascii="Times New Roman" w:hAnsi="Times New Roman" w:eastAsia="宋体" w:cs="Times New Roman"/>
          <w:sz w:val="24"/>
          <w:szCs w:val="24"/>
        </w:rPr>
        <w:t xml:space="preserve"> suggest that policy makers should </w:t>
      </w:r>
      <w:r>
        <w:rPr>
          <w:rFonts w:hint="eastAsia" w:ascii="Times New Roman" w:hAnsi="Times New Roman" w:eastAsia="宋体" w:cs="Times New Roman"/>
          <w:sz w:val="24"/>
          <w:szCs w:val="24"/>
          <w:lang w:val="en-US" w:eastAsia="zh-CN"/>
        </w:rPr>
        <w:t>trade off</w:t>
      </w:r>
      <w:r>
        <w:rPr>
          <w:rFonts w:hint="eastAsia" w:ascii="Times New Roman" w:hAnsi="Times New Roman" w:eastAsia="宋体" w:cs="Times New Roman"/>
          <w:sz w:val="24"/>
          <w:szCs w:val="24"/>
        </w:rPr>
        <w:t xml:space="preserve"> the effects of tax policies on different </w:t>
      </w:r>
      <w:r>
        <w:rPr>
          <w:rFonts w:hint="eastAsia" w:ascii="Times New Roman" w:hAnsi="Times New Roman" w:eastAsia="宋体" w:cs="Times New Roman"/>
          <w:sz w:val="24"/>
          <w:szCs w:val="24"/>
          <w:lang w:val="en-US" w:eastAsia="zh-CN"/>
        </w:rPr>
        <w:t>kinds of firms</w:t>
      </w:r>
      <w:r>
        <w:rPr>
          <w:rFonts w:hint="eastAsia" w:ascii="Times New Roman" w:hAnsi="Times New Roman" w:eastAsia="宋体" w:cs="Times New Roman"/>
          <w:sz w:val="24"/>
          <w:szCs w:val="24"/>
        </w:rPr>
        <w:t xml:space="preserve"> when making tax policies to promote export</w:t>
      </w:r>
      <w:r>
        <w:rPr>
          <w:rFonts w:hint="eastAsia" w:cs="Times New Roman"/>
          <w:sz w:val="24"/>
          <w:szCs w:val="24"/>
          <w:lang w:val="en-US" w:eastAsia="zh-CN"/>
        </w:rPr>
        <w:t>ing</w:t>
      </w:r>
      <w:r>
        <w:rPr>
          <w:rFonts w:hint="eastAsia" w:ascii="Times New Roman" w:hAnsi="Times New Roman" w:eastAsia="宋体" w:cs="Times New Roman"/>
          <w:sz w:val="24"/>
          <w:szCs w:val="24"/>
        </w:rPr>
        <w:t xml:space="preserve"> development,</w:t>
      </w:r>
      <w:r>
        <w:rPr>
          <w:rFonts w:hint="eastAsia" w:cs="Times New Roman"/>
          <w:sz w:val="24"/>
          <w:szCs w:val="24"/>
          <w:lang w:val="en-US" w:eastAsia="zh-CN"/>
        </w:rPr>
        <w:t>formulate supporting measures</w:t>
      </w:r>
      <w:r>
        <w:rPr>
          <w:rFonts w:hint="eastAsia" w:ascii="Times New Roman" w:hAnsi="Times New Roman" w:eastAsia="宋体" w:cs="Times New Roman"/>
          <w:sz w:val="24"/>
          <w:szCs w:val="24"/>
        </w:rPr>
        <w:t xml:space="preserve"> and</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 xml:space="preserve">take the effects of cash flow release and </w:t>
      </w:r>
      <w:r>
        <w:rPr>
          <w:rFonts w:hint="eastAsia" w:ascii="Times New Roman" w:hAnsi="Times New Roman" w:eastAsia="宋体" w:cs="Times New Roman"/>
          <w:sz w:val="24"/>
          <w:szCs w:val="24"/>
          <w:lang w:val="en-US" w:eastAsia="zh-CN"/>
        </w:rPr>
        <w:t xml:space="preserve">the stimulus on the </w:t>
      </w:r>
      <w:r>
        <w:rPr>
          <w:rFonts w:hint="eastAsia" w:ascii="Times New Roman" w:hAnsi="Times New Roman" w:eastAsia="宋体" w:cs="Times New Roman"/>
          <w:sz w:val="24"/>
          <w:szCs w:val="24"/>
        </w:rPr>
        <w:t xml:space="preserve">investment </w:t>
      </w:r>
      <w:r>
        <w:rPr>
          <w:rFonts w:hint="eastAsia" w:ascii="Times New Roman" w:hAnsi="Times New Roman" w:eastAsia="宋体" w:cs="Times New Roman"/>
          <w:sz w:val="24"/>
          <w:szCs w:val="24"/>
          <w:lang w:val="en-US" w:eastAsia="zh-CN"/>
        </w:rPr>
        <w:t xml:space="preserve">in capital </w:t>
      </w:r>
      <w:r>
        <w:rPr>
          <w:rFonts w:hint="eastAsia" w:ascii="Times New Roman" w:hAnsi="Times New Roman" w:eastAsia="宋体" w:cs="Times New Roman"/>
          <w:sz w:val="24"/>
          <w:szCs w:val="24"/>
        </w:rPr>
        <w:t>into consideration.</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宋体"/>
          <w:b w:val="0"/>
          <w:bCs/>
          <w:sz w:val="24"/>
          <w:lang w:val="en-US" w:eastAsia="zh-CN"/>
        </w:rPr>
      </w:pPr>
      <w:r>
        <w:rPr>
          <w:rFonts w:hint="default" w:ascii="Times New Roman" w:hAnsi="Times New Roman" w:eastAsia="宋体" w:cs="Times New Roman"/>
          <w:b/>
          <w:sz w:val="24"/>
        </w:rPr>
        <w:t>Key Words：</w:t>
      </w:r>
      <w:r>
        <w:rPr>
          <w:rFonts w:hint="eastAsia" w:ascii="Times New Roman" w:hAnsi="Times New Roman" w:eastAsia="宋体"/>
          <w:b w:val="0"/>
          <w:bCs/>
          <w:sz w:val="24"/>
          <w:lang w:val="en-US" w:eastAsia="zh-CN"/>
        </w:rPr>
        <w:t>VAT reform</w:t>
      </w:r>
      <w:r>
        <w:rPr>
          <w:rFonts w:hint="eastAsia" w:ascii="Times New Roman" w:hAnsi="Times New Roman" w:eastAsia="宋体"/>
          <w:b w:val="0"/>
          <w:bCs/>
          <w:color w:val="000000"/>
          <w:kern w:val="0"/>
          <w:sz w:val="24"/>
        </w:rPr>
        <w:t>;</w:t>
      </w:r>
      <w:r>
        <w:rPr>
          <w:rFonts w:hint="eastAsia" w:ascii="Times New Roman" w:hAnsi="Times New Roman" w:eastAsia="宋体"/>
          <w:b w:val="0"/>
          <w:bCs/>
          <w:color w:val="000000"/>
          <w:kern w:val="0"/>
          <w:sz w:val="24"/>
          <w:lang w:val="en-US" w:eastAsia="zh-CN"/>
        </w:rPr>
        <w:t>exporting</w:t>
      </w:r>
      <w:r>
        <w:rPr>
          <w:rFonts w:hint="eastAsia" w:ascii="Times New Roman" w:hAnsi="Times New Roman" w:eastAsia="宋体"/>
          <w:b w:val="0"/>
          <w:bCs/>
          <w:color w:val="000000"/>
          <w:kern w:val="0"/>
          <w:sz w:val="24"/>
        </w:rPr>
        <w:t>;</w:t>
      </w:r>
      <w:r>
        <w:rPr>
          <w:rFonts w:hint="eastAsia" w:ascii="Times New Roman" w:hAnsi="Times New Roman" w:eastAsia="宋体"/>
          <w:b w:val="0"/>
          <w:bCs/>
          <w:color w:val="000000"/>
          <w:kern w:val="0"/>
          <w:sz w:val="24"/>
          <w:lang w:val="en-US" w:eastAsia="zh-CN"/>
        </w:rPr>
        <w:t>DID;Two-part model</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p>
    <w:p>
      <w:pPr>
        <w:pStyle w:val="15"/>
        <w:bidi w:val="0"/>
        <w:rPr>
          <w:rFonts w:hint="eastAsia"/>
        </w:rPr>
        <w:sectPr>
          <w:footerReference r:id="rId8" w:type="default"/>
          <w:pgSz w:w="11906" w:h="16838"/>
          <w:pgMar w:top="1418" w:right="1701" w:bottom="1134" w:left="1701" w:header="851" w:footer="1191" w:gutter="0"/>
          <w:pgBorders>
            <w:top w:val="none" w:sz="0" w:space="0"/>
            <w:left w:val="none" w:sz="0" w:space="0"/>
            <w:bottom w:val="none" w:sz="0" w:space="0"/>
            <w:right w:val="none" w:sz="0" w:space="0"/>
          </w:pgBorders>
          <w:pgNumType w:fmt="upperRoman" w:start="1"/>
          <w:cols w:space="720" w:num="1"/>
          <w:docGrid w:type="lines" w:linePitch="312" w:charSpace="0"/>
        </w:sectPr>
      </w:pPr>
      <w:bookmarkStart w:id="6" w:name="_Toc26215"/>
    </w:p>
    <w:p>
      <w:pPr>
        <w:pStyle w:val="15"/>
        <w:bidi w:val="0"/>
        <w:rPr>
          <w:rFonts w:hint="eastAsia"/>
        </w:rPr>
      </w:pPr>
      <w:bookmarkStart w:id="7" w:name="_Toc22428"/>
      <w:bookmarkStart w:id="8" w:name="_Toc31888"/>
      <w:bookmarkStart w:id="9" w:name="_Toc31532"/>
      <w:bookmarkStart w:id="10" w:name="_Toc21665"/>
      <w:bookmarkStart w:id="11" w:name="_Toc19374"/>
      <w:r>
        <w:rPr>
          <w:rFonts w:hint="eastAsia"/>
        </w:rPr>
        <w:t>目</w:t>
      </w:r>
      <w:r>
        <w:rPr>
          <w:rFonts w:hint="eastAsia"/>
          <w:lang w:val="en-US" w:eastAsia="zh-CN"/>
        </w:rPr>
        <w:t xml:space="preserve">  </w:t>
      </w:r>
      <w:r>
        <w:rPr>
          <w:rFonts w:hint="eastAsia"/>
        </w:rPr>
        <w:t>录</w:t>
      </w:r>
      <w:bookmarkEnd w:id="6"/>
      <w:bookmarkEnd w:id="7"/>
      <w:bookmarkEnd w:id="8"/>
      <w:bookmarkEnd w:id="9"/>
      <w:bookmarkEnd w:id="10"/>
      <w:bookmarkEnd w:id="11"/>
    </w:p>
    <w:p>
      <w:pPr>
        <w:pStyle w:val="7"/>
        <w:tabs>
          <w:tab w:val="right" w:leader="dot" w:pos="8504"/>
          <w:tab w:val="clear" w:pos="9180"/>
          <w:tab w:val="clear" w:pos="9240"/>
        </w:tabs>
      </w:pPr>
      <w:r>
        <w:rPr>
          <w:rFonts w:hint="eastAsia" w:ascii="Times New Roman" w:hAnsi="Times New Roman" w:eastAsia="宋体"/>
          <w:sz w:val="24"/>
        </w:rPr>
        <w:fldChar w:fldCharType="begin"/>
      </w:r>
      <w:r>
        <w:rPr>
          <w:rFonts w:hint="eastAsia" w:ascii="Times New Roman" w:hAnsi="Times New Roman" w:eastAsia="宋体"/>
          <w:sz w:val="24"/>
        </w:rPr>
        <w:instrText xml:space="preserve">TOC \t "毕业-1,1,毕业-2,2,毕业_3,3" \h</w:instrText>
      </w:r>
      <w:r>
        <w:rPr>
          <w:rFonts w:hint="eastAsia" w:ascii="Times New Roman" w:hAnsi="Times New Roman" w:eastAsia="宋体"/>
          <w:sz w:val="24"/>
        </w:rPr>
        <w:fldChar w:fldCharType="separate"/>
      </w: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_Toc17582 </w:instrText>
      </w:r>
      <w:r>
        <w:rPr>
          <w:rFonts w:hint="eastAsia" w:ascii="Times New Roman" w:hAnsi="Times New Roman" w:eastAsia="宋体"/>
          <w:b/>
          <w:bCs/>
        </w:rPr>
        <w:fldChar w:fldCharType="separate"/>
      </w:r>
      <w:r>
        <w:rPr>
          <w:rFonts w:hint="eastAsia"/>
          <w:b/>
          <w:bCs/>
        </w:rPr>
        <w:t>摘要</w:t>
      </w:r>
      <w:r>
        <w:rPr>
          <w:b w:val="0"/>
          <w:bCs w:val="0"/>
        </w:rPr>
        <w:tab/>
      </w:r>
      <w:r>
        <w:rPr>
          <w:b w:val="0"/>
          <w:bCs w:val="0"/>
        </w:rPr>
        <w:fldChar w:fldCharType="begin"/>
      </w:r>
      <w:r>
        <w:rPr>
          <w:b w:val="0"/>
          <w:bCs w:val="0"/>
        </w:rPr>
        <w:instrText xml:space="preserve"> PAGEREF _Toc17582 \h </w:instrText>
      </w:r>
      <w:r>
        <w:rPr>
          <w:b w:val="0"/>
          <w:bCs w:val="0"/>
        </w:rPr>
        <w:fldChar w:fldCharType="separate"/>
      </w:r>
      <w:r>
        <w:rPr>
          <w:b w:val="0"/>
          <w:bCs w:val="0"/>
        </w:rPr>
        <w:t>I</w:t>
      </w:r>
      <w:r>
        <w:rPr>
          <w:b w:val="0"/>
          <w:bCs w:val="0"/>
        </w:rPr>
        <w:fldChar w:fldCharType="end"/>
      </w:r>
      <w:r>
        <w:rPr>
          <w:rFonts w:hint="eastAsia" w:ascii="Times New Roman" w:hAnsi="Times New Roman" w:eastAsia="宋体"/>
          <w:b/>
          <w:bCs/>
        </w:rPr>
        <w:fldChar w:fldCharType="end"/>
      </w:r>
    </w:p>
    <w:p>
      <w:pPr>
        <w:pStyle w:val="7"/>
        <w:tabs>
          <w:tab w:val="right" w:leader="dot" w:pos="8504"/>
          <w:tab w:val="clear" w:pos="9180"/>
          <w:tab w:val="clear" w:pos="9240"/>
        </w:tabs>
        <w:rPr>
          <w:b/>
          <w:bCs/>
        </w:rPr>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_Toc4098 </w:instrText>
      </w:r>
      <w:r>
        <w:rPr>
          <w:rFonts w:hint="eastAsia" w:ascii="Times New Roman" w:hAnsi="Times New Roman" w:eastAsia="宋体"/>
          <w:b/>
          <w:bCs/>
        </w:rPr>
        <w:fldChar w:fldCharType="separate"/>
      </w:r>
      <w:r>
        <w:rPr>
          <w:b/>
          <w:bCs/>
        </w:rPr>
        <w:t>Abstract</w:t>
      </w:r>
      <w:r>
        <w:rPr>
          <w:b w:val="0"/>
          <w:bCs w:val="0"/>
        </w:rPr>
        <w:tab/>
      </w:r>
      <w:r>
        <w:rPr>
          <w:b w:val="0"/>
          <w:bCs w:val="0"/>
        </w:rPr>
        <w:fldChar w:fldCharType="begin"/>
      </w:r>
      <w:r>
        <w:rPr>
          <w:b w:val="0"/>
          <w:bCs w:val="0"/>
        </w:rPr>
        <w:instrText xml:space="preserve"> PAGEREF _Toc4098 \h </w:instrText>
      </w:r>
      <w:r>
        <w:rPr>
          <w:b w:val="0"/>
          <w:bCs w:val="0"/>
        </w:rPr>
        <w:fldChar w:fldCharType="separate"/>
      </w:r>
      <w:r>
        <w:rPr>
          <w:b w:val="0"/>
          <w:bCs w:val="0"/>
        </w:rPr>
        <w:t>II</w:t>
      </w:r>
      <w:r>
        <w:rPr>
          <w:b w:val="0"/>
          <w:bCs w:val="0"/>
        </w:rPr>
        <w:fldChar w:fldCharType="end"/>
      </w:r>
      <w:r>
        <w:rPr>
          <w:rFonts w:hint="eastAsia" w:ascii="Times New Roman" w:hAnsi="Times New Roman" w:eastAsia="宋体"/>
          <w:b/>
          <w:bCs/>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_Toc22193 </w:instrText>
      </w:r>
      <w:r>
        <w:rPr>
          <w:rFonts w:hint="eastAsia" w:ascii="Times New Roman" w:hAnsi="Times New Roman" w:eastAsia="宋体"/>
          <w:b/>
          <w:bCs/>
        </w:rPr>
        <w:fldChar w:fldCharType="separate"/>
      </w:r>
      <w:r>
        <w:rPr>
          <w:b/>
          <w:bCs/>
        </w:rPr>
        <w:t>1</w:t>
      </w:r>
      <w:r>
        <w:rPr>
          <w:rFonts w:hint="eastAsia"/>
          <w:b/>
          <w:bCs/>
          <w:lang w:val="en-US" w:eastAsia="zh-CN"/>
        </w:rPr>
        <w:t xml:space="preserve">   </w:t>
      </w:r>
      <w:r>
        <w:rPr>
          <w:rFonts w:hint="eastAsia"/>
          <w:b/>
          <w:bCs/>
        </w:rPr>
        <w:t>绪论</w:t>
      </w:r>
      <w:r>
        <w:rPr>
          <w:b w:val="0"/>
          <w:bCs w:val="0"/>
        </w:rPr>
        <w:tab/>
      </w:r>
      <w:r>
        <w:rPr>
          <w:b w:val="0"/>
          <w:bCs w:val="0"/>
        </w:rPr>
        <w:fldChar w:fldCharType="begin"/>
      </w:r>
      <w:r>
        <w:rPr>
          <w:b w:val="0"/>
          <w:bCs w:val="0"/>
        </w:rPr>
        <w:instrText xml:space="preserve"> PAGEREF _Toc22193 \h </w:instrText>
      </w:r>
      <w:r>
        <w:rPr>
          <w:b w:val="0"/>
          <w:bCs w:val="0"/>
        </w:rPr>
        <w:fldChar w:fldCharType="separate"/>
      </w:r>
      <w:r>
        <w:rPr>
          <w:b w:val="0"/>
          <w:bCs w:val="0"/>
        </w:rPr>
        <w:t>1</w:t>
      </w:r>
      <w:r>
        <w:rPr>
          <w:b w:val="0"/>
          <w:bCs w:val="0"/>
        </w:rPr>
        <w:fldChar w:fldCharType="end"/>
      </w:r>
      <w:r>
        <w:rPr>
          <w:rFonts w:hint="eastAsia" w:ascii="Times New Roman" w:hAnsi="Times New Roman" w:eastAsia="宋体"/>
          <w:b/>
          <w:bCs/>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_Toc1692 </w:instrText>
      </w:r>
      <w:r>
        <w:rPr>
          <w:rFonts w:hint="eastAsia" w:ascii="Times New Roman" w:hAnsi="Times New Roman" w:eastAsia="宋体"/>
        </w:rPr>
        <w:fldChar w:fldCharType="separate"/>
      </w:r>
      <w:r>
        <w:rPr>
          <w:rFonts w:hint="default"/>
          <w:lang w:val="en-US" w:eastAsia="zh-CN"/>
        </w:rPr>
        <w:t xml:space="preserve">1.1 </w:t>
      </w:r>
      <w:r>
        <w:rPr>
          <w:rFonts w:hint="eastAsia"/>
          <w:lang w:val="en-US" w:eastAsia="zh-CN"/>
        </w:rPr>
        <w:t xml:space="preserve"> 研究背景</w:t>
      </w:r>
      <w:r>
        <w:tab/>
      </w:r>
      <w:r>
        <w:fldChar w:fldCharType="begin"/>
      </w:r>
      <w:r>
        <w:instrText xml:space="preserve"> PAGEREF _Toc1692 \h </w:instrText>
      </w:r>
      <w:r>
        <w:fldChar w:fldCharType="separate"/>
      </w:r>
      <w:r>
        <w:t>1</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_Toc8933 </w:instrText>
      </w:r>
      <w:r>
        <w:rPr>
          <w:rFonts w:hint="eastAsia" w:ascii="Times New Roman" w:hAnsi="Times New Roman" w:eastAsia="宋体"/>
        </w:rPr>
        <w:fldChar w:fldCharType="separate"/>
      </w:r>
      <w:r>
        <w:rPr>
          <w:rFonts w:hint="default"/>
          <w:lang w:val="en-US" w:eastAsia="zh-CN"/>
        </w:rPr>
        <w:t xml:space="preserve">1.2 </w:t>
      </w:r>
      <w:r>
        <w:rPr>
          <w:rFonts w:hint="eastAsia"/>
          <w:lang w:val="en-US" w:eastAsia="zh-CN"/>
        </w:rPr>
        <w:t xml:space="preserve"> 文献综述</w:t>
      </w:r>
      <w:r>
        <w:tab/>
      </w:r>
      <w:r>
        <w:fldChar w:fldCharType="begin"/>
      </w:r>
      <w:r>
        <w:instrText xml:space="preserve"> PAGEREF _Toc8933 \h </w:instrText>
      </w:r>
      <w:r>
        <w:fldChar w:fldCharType="separate"/>
      </w:r>
      <w:r>
        <w:t>2</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_Toc23357 </w:instrText>
      </w:r>
      <w:r>
        <w:rPr>
          <w:rFonts w:hint="eastAsia" w:ascii="Times New Roman" w:hAnsi="Times New Roman" w:eastAsia="宋体"/>
        </w:rPr>
        <w:fldChar w:fldCharType="separate"/>
      </w:r>
      <w:r>
        <w:rPr>
          <w:rFonts w:hint="eastAsia"/>
          <w:lang w:val="en-US" w:eastAsia="zh-CN"/>
        </w:rPr>
        <w:t>1.3  研究方案</w:t>
      </w:r>
      <w:r>
        <w:tab/>
      </w:r>
      <w:r>
        <w:fldChar w:fldCharType="begin"/>
      </w:r>
      <w:r>
        <w:instrText xml:space="preserve"> PAGEREF _Toc23357 \h </w:instrText>
      </w:r>
      <w:r>
        <w:fldChar w:fldCharType="separate"/>
      </w:r>
      <w:r>
        <w:t>6</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_Toc31508 </w:instrText>
      </w:r>
      <w:r>
        <w:rPr>
          <w:rFonts w:hint="eastAsia" w:ascii="Times New Roman" w:hAnsi="Times New Roman" w:eastAsia="宋体"/>
        </w:rPr>
        <w:fldChar w:fldCharType="separate"/>
      </w:r>
      <w:r>
        <w:rPr>
          <w:rFonts w:hint="eastAsia"/>
          <w:lang w:val="en-US" w:eastAsia="zh-CN"/>
        </w:rPr>
        <w:t>1.4  研究意义</w:t>
      </w:r>
      <w:r>
        <w:tab/>
      </w:r>
      <w:r>
        <w:fldChar w:fldCharType="begin"/>
      </w:r>
      <w:r>
        <w:instrText xml:space="preserve"> PAGEREF _Toc31508 \h </w:instrText>
      </w:r>
      <w:r>
        <w:fldChar w:fldCharType="separate"/>
      </w:r>
      <w:r>
        <w:t>7</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_Toc20747 </w:instrText>
      </w:r>
      <w:r>
        <w:rPr>
          <w:rFonts w:hint="eastAsia" w:ascii="Times New Roman" w:hAnsi="Times New Roman" w:eastAsia="宋体"/>
        </w:rPr>
        <w:fldChar w:fldCharType="separate"/>
      </w:r>
      <w:r>
        <w:rPr>
          <w:rFonts w:hint="eastAsia"/>
          <w:lang w:val="en-US" w:eastAsia="zh-CN"/>
        </w:rPr>
        <w:t>1.5  论文结构</w:t>
      </w:r>
      <w:r>
        <w:tab/>
      </w:r>
      <w:r>
        <w:fldChar w:fldCharType="begin"/>
      </w:r>
      <w:r>
        <w:instrText xml:space="preserve"> PAGEREF _Toc20747 \h </w:instrText>
      </w:r>
      <w:r>
        <w:fldChar w:fldCharType="separate"/>
      </w:r>
      <w:r>
        <w:t>8</w:t>
      </w:r>
      <w:r>
        <w:fldChar w:fldCharType="end"/>
      </w:r>
      <w:r>
        <w:rPr>
          <w:rFonts w:hint="eastAsia" w:ascii="Times New Roman" w:hAnsi="Times New Roman" w:eastAsia="宋体"/>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_Toc26568 </w:instrText>
      </w:r>
      <w:r>
        <w:rPr>
          <w:rFonts w:hint="eastAsia" w:ascii="Times New Roman" w:hAnsi="Times New Roman" w:eastAsia="宋体"/>
          <w:b/>
          <w:bCs/>
        </w:rPr>
        <w:fldChar w:fldCharType="separate"/>
      </w:r>
      <w:r>
        <w:rPr>
          <w:rFonts w:hint="eastAsia"/>
          <w:b/>
          <w:bCs/>
          <w:lang w:val="en-US" w:eastAsia="zh-CN"/>
        </w:rPr>
        <w:t>2   理论分析、假设提出和研究设计</w:t>
      </w:r>
      <w:r>
        <w:rPr>
          <w:b w:val="0"/>
          <w:bCs w:val="0"/>
        </w:rPr>
        <w:tab/>
      </w:r>
      <w:r>
        <w:rPr>
          <w:b w:val="0"/>
          <w:bCs w:val="0"/>
        </w:rPr>
        <w:fldChar w:fldCharType="begin"/>
      </w:r>
      <w:r>
        <w:rPr>
          <w:b w:val="0"/>
          <w:bCs w:val="0"/>
        </w:rPr>
        <w:instrText xml:space="preserve"> PAGEREF _Toc26568 \h </w:instrText>
      </w:r>
      <w:r>
        <w:rPr>
          <w:b w:val="0"/>
          <w:bCs w:val="0"/>
        </w:rPr>
        <w:fldChar w:fldCharType="separate"/>
      </w:r>
      <w:r>
        <w:rPr>
          <w:b w:val="0"/>
          <w:bCs w:val="0"/>
        </w:rPr>
        <w:t>10</w:t>
      </w:r>
      <w:r>
        <w:rPr>
          <w:b w:val="0"/>
          <w:bCs w:val="0"/>
        </w:rPr>
        <w:fldChar w:fldCharType="end"/>
      </w:r>
      <w:r>
        <w:rPr>
          <w:rFonts w:hint="eastAsia" w:ascii="Times New Roman" w:hAnsi="Times New Roman" w:eastAsia="宋体"/>
          <w:b/>
          <w:bCs/>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_Toc935 </w:instrText>
      </w:r>
      <w:r>
        <w:rPr>
          <w:rFonts w:hint="eastAsia" w:ascii="Times New Roman" w:hAnsi="Times New Roman" w:eastAsia="宋体"/>
        </w:rPr>
        <w:fldChar w:fldCharType="separate"/>
      </w:r>
      <w:r>
        <w:rPr>
          <w:rFonts w:hint="eastAsia"/>
          <w:lang w:val="en-US" w:eastAsia="zh-CN"/>
        </w:rPr>
        <w:t>2.1  理论分析与假设提出</w:t>
      </w:r>
      <w:r>
        <w:tab/>
      </w:r>
      <w:r>
        <w:fldChar w:fldCharType="begin"/>
      </w:r>
      <w:r>
        <w:instrText xml:space="preserve"> PAGEREF _Toc935 \h </w:instrText>
      </w:r>
      <w:r>
        <w:fldChar w:fldCharType="separate"/>
      </w:r>
      <w:r>
        <w:t>10</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_Toc1846 </w:instrText>
      </w:r>
      <w:r>
        <w:rPr>
          <w:rFonts w:hint="eastAsia" w:ascii="Times New Roman" w:hAnsi="Times New Roman" w:eastAsia="宋体"/>
        </w:rPr>
        <w:fldChar w:fldCharType="separate"/>
      </w:r>
      <w:r>
        <w:rPr>
          <w:rFonts w:hint="eastAsia"/>
          <w:lang w:val="en-US" w:eastAsia="zh-CN"/>
        </w:rPr>
        <w:t>2</w:t>
      </w:r>
      <w:r>
        <w:t>.</w:t>
      </w:r>
      <w:r>
        <w:rPr>
          <w:rFonts w:hint="eastAsia"/>
          <w:lang w:val="en-US" w:eastAsia="zh-CN"/>
        </w:rPr>
        <w:t>2  研究设计</w:t>
      </w:r>
      <w:r>
        <w:tab/>
      </w:r>
      <w:r>
        <w:fldChar w:fldCharType="begin"/>
      </w:r>
      <w:r>
        <w:instrText xml:space="preserve"> PAGEREF _Toc1846 \h </w:instrText>
      </w:r>
      <w:r>
        <w:fldChar w:fldCharType="separate"/>
      </w:r>
      <w:r>
        <w:t>11</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_Toc31672 </w:instrText>
      </w:r>
      <w:r>
        <w:rPr>
          <w:rFonts w:hint="eastAsia" w:ascii="Times New Roman" w:hAnsi="Times New Roman" w:eastAsia="宋体"/>
        </w:rPr>
        <w:fldChar w:fldCharType="separate"/>
      </w:r>
      <w:r>
        <w:rPr>
          <w:rFonts w:hint="eastAsia"/>
          <w:lang w:val="en-US" w:eastAsia="zh-CN"/>
        </w:rPr>
        <w:t>2</w:t>
      </w:r>
      <w:r>
        <w:t>.</w:t>
      </w:r>
      <w:r>
        <w:rPr>
          <w:rFonts w:hint="eastAsia"/>
          <w:lang w:val="en-US" w:eastAsia="zh-CN"/>
        </w:rPr>
        <w:t>3  样本、模型设定</w:t>
      </w:r>
      <w:r>
        <w:tab/>
      </w:r>
      <w:r>
        <w:fldChar w:fldCharType="begin"/>
      </w:r>
      <w:r>
        <w:instrText xml:space="preserve"> PAGEREF _Toc31672 \h </w:instrText>
      </w:r>
      <w:r>
        <w:fldChar w:fldCharType="separate"/>
      </w:r>
      <w:r>
        <w:t>15</w:t>
      </w:r>
      <w:r>
        <w:fldChar w:fldCharType="end"/>
      </w:r>
      <w:r>
        <w:rPr>
          <w:rFonts w:hint="eastAsia" w:ascii="Times New Roman" w:hAnsi="Times New Roman" w:eastAsia="宋体"/>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_Toc8159 </w:instrText>
      </w:r>
      <w:r>
        <w:rPr>
          <w:rFonts w:hint="eastAsia" w:ascii="Times New Roman" w:hAnsi="Times New Roman" w:eastAsia="宋体"/>
          <w:b/>
          <w:bCs/>
        </w:rPr>
        <w:fldChar w:fldCharType="separate"/>
      </w:r>
      <w:r>
        <w:rPr>
          <w:rFonts w:hint="eastAsia"/>
          <w:b/>
          <w:bCs/>
          <w:lang w:val="en-US" w:eastAsia="zh-CN"/>
        </w:rPr>
        <w:t>3   实证分析</w:t>
      </w:r>
      <w:r>
        <w:rPr>
          <w:b w:val="0"/>
          <w:bCs w:val="0"/>
        </w:rPr>
        <w:tab/>
      </w:r>
      <w:r>
        <w:rPr>
          <w:b w:val="0"/>
          <w:bCs w:val="0"/>
        </w:rPr>
        <w:fldChar w:fldCharType="begin"/>
      </w:r>
      <w:r>
        <w:rPr>
          <w:b w:val="0"/>
          <w:bCs w:val="0"/>
        </w:rPr>
        <w:instrText xml:space="preserve"> PAGEREF _Toc8159 \h </w:instrText>
      </w:r>
      <w:r>
        <w:rPr>
          <w:b w:val="0"/>
          <w:bCs w:val="0"/>
        </w:rPr>
        <w:fldChar w:fldCharType="separate"/>
      </w:r>
      <w:r>
        <w:rPr>
          <w:b w:val="0"/>
          <w:bCs w:val="0"/>
        </w:rPr>
        <w:t>19</w:t>
      </w:r>
      <w:r>
        <w:rPr>
          <w:b w:val="0"/>
          <w:bCs w:val="0"/>
        </w:rPr>
        <w:fldChar w:fldCharType="end"/>
      </w:r>
      <w:r>
        <w:rPr>
          <w:rFonts w:hint="eastAsia" w:ascii="Times New Roman" w:hAnsi="Times New Roman" w:eastAsia="宋体"/>
          <w:b/>
          <w:bCs/>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_Toc7015 </w:instrText>
      </w:r>
      <w:r>
        <w:rPr>
          <w:rFonts w:hint="eastAsia" w:ascii="Times New Roman" w:hAnsi="Times New Roman" w:eastAsia="宋体"/>
        </w:rPr>
        <w:fldChar w:fldCharType="separate"/>
      </w:r>
      <w:r>
        <w:rPr>
          <w:rFonts w:hint="eastAsia"/>
          <w:lang w:val="en-US" w:eastAsia="zh-CN"/>
        </w:rPr>
        <w:t>3</w:t>
      </w:r>
      <w:r>
        <w:t>.1</w:t>
      </w:r>
      <w:r>
        <w:rPr>
          <w:rFonts w:hint="eastAsia"/>
          <w:lang w:val="en-US" w:eastAsia="zh-CN"/>
        </w:rPr>
        <w:t xml:space="preserve">  基准回归</w:t>
      </w:r>
      <w:r>
        <w:tab/>
      </w:r>
      <w:r>
        <w:fldChar w:fldCharType="begin"/>
      </w:r>
      <w:r>
        <w:instrText xml:space="preserve"> PAGEREF _Toc7015 \h </w:instrText>
      </w:r>
      <w:r>
        <w:fldChar w:fldCharType="separate"/>
      </w:r>
      <w:r>
        <w:t>19</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_Toc1971 </w:instrText>
      </w:r>
      <w:r>
        <w:rPr>
          <w:rFonts w:hint="eastAsia" w:ascii="Times New Roman" w:hAnsi="Times New Roman" w:eastAsia="宋体"/>
        </w:rPr>
        <w:fldChar w:fldCharType="separate"/>
      </w:r>
      <w:r>
        <w:rPr>
          <w:rFonts w:hint="eastAsia"/>
          <w:lang w:val="en-US" w:eastAsia="zh-CN"/>
        </w:rPr>
        <w:t>3</w:t>
      </w:r>
      <w:r>
        <w:rPr>
          <w:rFonts w:hint="eastAsia"/>
        </w:rPr>
        <w:t>.</w:t>
      </w:r>
      <w:r>
        <w:rPr>
          <w:rFonts w:hint="eastAsia"/>
          <w:lang w:val="en-US" w:eastAsia="zh-CN"/>
        </w:rPr>
        <w:t>2  稳健性检验</w:t>
      </w:r>
      <w:r>
        <w:tab/>
      </w:r>
      <w:r>
        <w:fldChar w:fldCharType="begin"/>
      </w:r>
      <w:r>
        <w:instrText xml:space="preserve"> PAGEREF _Toc1971 \h </w:instrText>
      </w:r>
      <w:r>
        <w:fldChar w:fldCharType="separate"/>
      </w:r>
      <w:r>
        <w:t>26</w:t>
      </w:r>
      <w:r>
        <w:fldChar w:fldCharType="end"/>
      </w:r>
      <w:r>
        <w:rPr>
          <w:rFonts w:hint="eastAsia" w:ascii="Times New Roman" w:hAnsi="Times New Roman" w:eastAsia="宋体"/>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_Toc13309 </w:instrText>
      </w:r>
      <w:r>
        <w:rPr>
          <w:rFonts w:hint="eastAsia" w:ascii="Times New Roman" w:hAnsi="Times New Roman" w:eastAsia="宋体"/>
          <w:b/>
          <w:bCs/>
        </w:rPr>
        <w:fldChar w:fldCharType="separate"/>
      </w:r>
      <w:r>
        <w:rPr>
          <w:rFonts w:hint="eastAsia"/>
          <w:b/>
          <w:bCs/>
          <w:lang w:val="en-US" w:eastAsia="zh-CN"/>
        </w:rPr>
        <w:t>4   扩展分析</w:t>
      </w:r>
      <w:r>
        <w:rPr>
          <w:b w:val="0"/>
          <w:bCs w:val="0"/>
        </w:rPr>
        <w:tab/>
      </w:r>
      <w:r>
        <w:rPr>
          <w:b w:val="0"/>
          <w:bCs w:val="0"/>
        </w:rPr>
        <w:fldChar w:fldCharType="begin"/>
      </w:r>
      <w:r>
        <w:rPr>
          <w:b w:val="0"/>
          <w:bCs w:val="0"/>
        </w:rPr>
        <w:instrText xml:space="preserve"> PAGEREF _Toc13309 \h </w:instrText>
      </w:r>
      <w:r>
        <w:rPr>
          <w:b w:val="0"/>
          <w:bCs w:val="0"/>
        </w:rPr>
        <w:fldChar w:fldCharType="separate"/>
      </w:r>
      <w:r>
        <w:rPr>
          <w:b w:val="0"/>
          <w:bCs w:val="0"/>
        </w:rPr>
        <w:t>36</w:t>
      </w:r>
      <w:r>
        <w:rPr>
          <w:b w:val="0"/>
          <w:bCs w:val="0"/>
        </w:rPr>
        <w:fldChar w:fldCharType="end"/>
      </w:r>
      <w:r>
        <w:rPr>
          <w:rFonts w:hint="eastAsia" w:ascii="Times New Roman" w:hAnsi="Times New Roman" w:eastAsia="宋体"/>
          <w:b/>
          <w:bCs/>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_Toc20638 </w:instrText>
      </w:r>
      <w:r>
        <w:rPr>
          <w:rFonts w:hint="eastAsia" w:ascii="Times New Roman" w:hAnsi="Times New Roman" w:eastAsia="宋体"/>
        </w:rPr>
        <w:fldChar w:fldCharType="separate"/>
      </w:r>
      <w:r>
        <w:rPr>
          <w:rFonts w:hint="eastAsia"/>
          <w:lang w:val="en-US" w:eastAsia="zh-CN"/>
        </w:rPr>
        <w:t>4</w:t>
      </w:r>
      <w:r>
        <w:rPr>
          <w:rFonts w:hint="eastAsia"/>
        </w:rPr>
        <w:t>.</w:t>
      </w:r>
      <w:r>
        <w:rPr>
          <w:rFonts w:hint="eastAsia"/>
          <w:lang w:val="en-US" w:eastAsia="zh-CN"/>
        </w:rPr>
        <w:t>1  异质性分析</w:t>
      </w:r>
      <w:r>
        <w:tab/>
      </w:r>
      <w:r>
        <w:fldChar w:fldCharType="begin"/>
      </w:r>
      <w:r>
        <w:instrText xml:space="preserve"> PAGEREF _Toc20638 \h </w:instrText>
      </w:r>
      <w:r>
        <w:fldChar w:fldCharType="separate"/>
      </w:r>
      <w:r>
        <w:t>36</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_Toc2192 </w:instrText>
      </w:r>
      <w:r>
        <w:rPr>
          <w:rFonts w:hint="eastAsia" w:ascii="Times New Roman" w:hAnsi="Times New Roman" w:eastAsia="宋体"/>
        </w:rPr>
        <w:fldChar w:fldCharType="separate"/>
      </w:r>
      <w:r>
        <w:rPr>
          <w:rFonts w:hint="eastAsia"/>
          <w:lang w:val="en-US" w:eastAsia="zh-CN"/>
        </w:rPr>
        <w:t>4</w:t>
      </w:r>
      <w:r>
        <w:rPr>
          <w:rFonts w:hint="eastAsia"/>
        </w:rPr>
        <w:t>.</w:t>
      </w:r>
      <w:r>
        <w:rPr>
          <w:rFonts w:hint="eastAsia"/>
          <w:lang w:val="en-US" w:eastAsia="zh-CN"/>
        </w:rPr>
        <w:t>2  机制检验</w:t>
      </w:r>
      <w:r>
        <w:tab/>
      </w:r>
      <w:r>
        <w:fldChar w:fldCharType="begin"/>
      </w:r>
      <w:r>
        <w:instrText xml:space="preserve"> PAGEREF _Toc2192 \h </w:instrText>
      </w:r>
      <w:r>
        <w:fldChar w:fldCharType="separate"/>
      </w:r>
      <w:r>
        <w:t>39</w:t>
      </w:r>
      <w:r>
        <w:fldChar w:fldCharType="end"/>
      </w:r>
      <w:r>
        <w:rPr>
          <w:rFonts w:hint="eastAsia" w:ascii="Times New Roman" w:hAnsi="Times New Roman" w:eastAsia="宋体"/>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_Toc11776 </w:instrText>
      </w:r>
      <w:r>
        <w:rPr>
          <w:rFonts w:hint="eastAsia" w:ascii="Times New Roman" w:hAnsi="Times New Roman" w:eastAsia="宋体"/>
          <w:b/>
          <w:bCs/>
        </w:rPr>
        <w:fldChar w:fldCharType="separate"/>
      </w:r>
      <w:r>
        <w:rPr>
          <w:rFonts w:hint="eastAsia"/>
          <w:b/>
          <w:bCs/>
          <w:lang w:val="en-US" w:eastAsia="zh-CN"/>
        </w:rPr>
        <w:t>5   结论</w:t>
      </w:r>
      <w:r>
        <w:rPr>
          <w:b w:val="0"/>
          <w:bCs w:val="0"/>
        </w:rPr>
        <w:tab/>
      </w:r>
      <w:r>
        <w:rPr>
          <w:b w:val="0"/>
          <w:bCs w:val="0"/>
        </w:rPr>
        <w:fldChar w:fldCharType="begin"/>
      </w:r>
      <w:r>
        <w:rPr>
          <w:b w:val="0"/>
          <w:bCs w:val="0"/>
        </w:rPr>
        <w:instrText xml:space="preserve"> PAGEREF _Toc11776 \h </w:instrText>
      </w:r>
      <w:r>
        <w:rPr>
          <w:b w:val="0"/>
          <w:bCs w:val="0"/>
        </w:rPr>
        <w:fldChar w:fldCharType="separate"/>
      </w:r>
      <w:r>
        <w:rPr>
          <w:b w:val="0"/>
          <w:bCs w:val="0"/>
        </w:rPr>
        <w:t>47</w:t>
      </w:r>
      <w:r>
        <w:rPr>
          <w:b w:val="0"/>
          <w:bCs w:val="0"/>
        </w:rPr>
        <w:fldChar w:fldCharType="end"/>
      </w:r>
      <w:r>
        <w:rPr>
          <w:rFonts w:hint="eastAsia" w:ascii="Times New Roman" w:hAnsi="Times New Roman" w:eastAsia="宋体"/>
          <w:b/>
          <w:bCs/>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_Toc22847 </w:instrText>
      </w:r>
      <w:r>
        <w:rPr>
          <w:rFonts w:hint="eastAsia" w:ascii="Times New Roman" w:hAnsi="Times New Roman" w:eastAsia="宋体"/>
        </w:rPr>
        <w:fldChar w:fldCharType="separate"/>
      </w:r>
      <w:r>
        <w:rPr>
          <w:rFonts w:hint="eastAsia"/>
          <w:lang w:val="en-US" w:eastAsia="zh-CN"/>
        </w:rPr>
        <w:t>5.1  实证结果总结</w:t>
      </w:r>
      <w:r>
        <w:tab/>
      </w:r>
      <w:r>
        <w:fldChar w:fldCharType="begin"/>
      </w:r>
      <w:r>
        <w:instrText xml:space="preserve"> PAGEREF _Toc22847 \h </w:instrText>
      </w:r>
      <w:r>
        <w:fldChar w:fldCharType="separate"/>
      </w:r>
      <w:r>
        <w:t>47</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_Toc12203 </w:instrText>
      </w:r>
      <w:r>
        <w:rPr>
          <w:rFonts w:hint="eastAsia" w:ascii="Times New Roman" w:hAnsi="Times New Roman" w:eastAsia="宋体"/>
        </w:rPr>
        <w:fldChar w:fldCharType="separate"/>
      </w:r>
      <w:r>
        <w:rPr>
          <w:rFonts w:hint="eastAsia"/>
          <w:lang w:val="en-US" w:eastAsia="zh-CN"/>
        </w:rPr>
        <w:t>5.2  对现有研究的贡献</w:t>
      </w:r>
      <w:r>
        <w:tab/>
      </w:r>
      <w:r>
        <w:fldChar w:fldCharType="begin"/>
      </w:r>
      <w:r>
        <w:instrText xml:space="preserve"> PAGEREF _Toc12203 \h </w:instrText>
      </w:r>
      <w:r>
        <w:fldChar w:fldCharType="separate"/>
      </w:r>
      <w:r>
        <w:t>47</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_Toc30108 </w:instrText>
      </w:r>
      <w:r>
        <w:rPr>
          <w:rFonts w:hint="eastAsia" w:ascii="Times New Roman" w:hAnsi="Times New Roman" w:eastAsia="宋体"/>
        </w:rPr>
        <w:fldChar w:fldCharType="separate"/>
      </w:r>
      <w:r>
        <w:rPr>
          <w:rFonts w:hint="eastAsia"/>
          <w:lang w:val="en-US" w:eastAsia="zh-CN"/>
        </w:rPr>
        <w:t>5.3  对政策制定者的助益</w:t>
      </w:r>
      <w:r>
        <w:tab/>
      </w:r>
      <w:r>
        <w:fldChar w:fldCharType="begin"/>
      </w:r>
      <w:r>
        <w:instrText xml:space="preserve"> PAGEREF _Toc30108 \h </w:instrText>
      </w:r>
      <w:r>
        <w:fldChar w:fldCharType="separate"/>
      </w:r>
      <w:r>
        <w:t>48</w:t>
      </w:r>
      <w:r>
        <w:fldChar w:fldCharType="end"/>
      </w:r>
      <w:r>
        <w:rPr>
          <w:rFonts w:hint="eastAsia" w:ascii="Times New Roman" w:hAnsi="Times New Roman" w:eastAsia="宋体"/>
        </w:rPr>
        <w:fldChar w:fldCharType="end"/>
      </w:r>
    </w:p>
    <w:p>
      <w:pPr>
        <w:pStyle w:val="9"/>
        <w:tabs>
          <w:tab w:val="right" w:leader="dot" w:pos="8504"/>
        </w:tabs>
        <w:ind w:left="0" w:leftChars="0" w:firstLine="0" w:firstLineChars="0"/>
      </w:pPr>
      <w:r>
        <w:rPr>
          <w:rFonts w:hint="eastAsia" w:ascii="Times New Roman" w:hAnsi="Times New Roman" w:eastAsia="宋体"/>
        </w:rPr>
        <w:fldChar w:fldCharType="begin"/>
      </w:r>
      <w:r>
        <w:rPr>
          <w:rFonts w:hint="eastAsia" w:ascii="Times New Roman" w:hAnsi="Times New Roman" w:eastAsia="宋体"/>
        </w:rPr>
        <w:instrText xml:space="preserve"> HYPERLINK \l _Toc4888 </w:instrText>
      </w:r>
      <w:r>
        <w:rPr>
          <w:rFonts w:hint="eastAsia" w:ascii="Times New Roman" w:hAnsi="Times New Roman" w:eastAsia="宋体"/>
        </w:rPr>
        <w:fldChar w:fldCharType="separate"/>
      </w:r>
      <w:r>
        <w:rPr>
          <w:rFonts w:hint="eastAsia"/>
          <w:lang w:val="en-US" w:eastAsia="zh-CN"/>
        </w:rPr>
        <w:t>5.4  不足之处</w:t>
      </w:r>
      <w:r>
        <w:tab/>
      </w:r>
      <w:r>
        <w:fldChar w:fldCharType="begin"/>
      </w:r>
      <w:r>
        <w:instrText xml:space="preserve"> PAGEREF _Toc4888 \h </w:instrText>
      </w:r>
      <w:r>
        <w:fldChar w:fldCharType="separate"/>
      </w:r>
      <w:r>
        <w:t>48</w:t>
      </w:r>
      <w:r>
        <w:fldChar w:fldCharType="end"/>
      </w:r>
      <w:r>
        <w:rPr>
          <w:rFonts w:hint="eastAsia" w:ascii="Times New Roman" w:hAnsi="Times New Roman" w:eastAsia="宋体"/>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_Toc19433 </w:instrText>
      </w:r>
      <w:r>
        <w:rPr>
          <w:rFonts w:hint="eastAsia" w:ascii="Times New Roman" w:hAnsi="Times New Roman" w:eastAsia="宋体"/>
          <w:b/>
          <w:bCs/>
        </w:rPr>
        <w:fldChar w:fldCharType="separate"/>
      </w:r>
      <w:r>
        <w:rPr>
          <w:rFonts w:hint="eastAsia"/>
          <w:b/>
          <w:bCs/>
          <w:lang w:val="en-US" w:eastAsia="zh-CN"/>
        </w:rPr>
        <w:t>致谢</w:t>
      </w:r>
      <w:r>
        <w:rPr>
          <w:b w:val="0"/>
          <w:bCs w:val="0"/>
        </w:rPr>
        <w:tab/>
      </w:r>
      <w:r>
        <w:rPr>
          <w:b w:val="0"/>
          <w:bCs w:val="0"/>
        </w:rPr>
        <w:fldChar w:fldCharType="begin"/>
      </w:r>
      <w:r>
        <w:rPr>
          <w:b w:val="0"/>
          <w:bCs w:val="0"/>
        </w:rPr>
        <w:instrText xml:space="preserve"> PAGEREF _Toc19433 \h </w:instrText>
      </w:r>
      <w:r>
        <w:rPr>
          <w:b w:val="0"/>
          <w:bCs w:val="0"/>
        </w:rPr>
        <w:fldChar w:fldCharType="separate"/>
      </w:r>
      <w:r>
        <w:rPr>
          <w:b w:val="0"/>
          <w:bCs w:val="0"/>
        </w:rPr>
        <w:t>49</w:t>
      </w:r>
      <w:r>
        <w:rPr>
          <w:b w:val="0"/>
          <w:bCs w:val="0"/>
        </w:rPr>
        <w:fldChar w:fldCharType="end"/>
      </w:r>
      <w:r>
        <w:rPr>
          <w:rFonts w:hint="eastAsia" w:ascii="Times New Roman" w:hAnsi="Times New Roman" w:eastAsia="宋体"/>
          <w:b/>
          <w:bCs/>
        </w:rPr>
        <w:fldChar w:fldCharType="end"/>
      </w:r>
    </w:p>
    <w:p>
      <w:pPr>
        <w:pStyle w:val="7"/>
        <w:tabs>
          <w:tab w:val="right" w:leader="dot" w:pos="8504"/>
          <w:tab w:val="clear" w:pos="9180"/>
          <w:tab w:val="clear" w:pos="9240"/>
        </w:tabs>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_Toc4118 </w:instrText>
      </w:r>
      <w:r>
        <w:rPr>
          <w:rFonts w:hint="eastAsia" w:ascii="Times New Roman" w:hAnsi="Times New Roman" w:eastAsia="宋体"/>
          <w:b/>
          <w:bCs/>
        </w:rPr>
        <w:fldChar w:fldCharType="separate"/>
      </w:r>
      <w:r>
        <w:rPr>
          <w:rFonts w:hint="eastAsia"/>
          <w:b/>
          <w:bCs/>
        </w:rPr>
        <w:t>参考文献</w:t>
      </w:r>
      <w:r>
        <w:rPr>
          <w:b w:val="0"/>
          <w:bCs w:val="0"/>
        </w:rPr>
        <w:tab/>
      </w:r>
      <w:r>
        <w:rPr>
          <w:b w:val="0"/>
          <w:bCs w:val="0"/>
        </w:rPr>
        <w:fldChar w:fldCharType="begin"/>
      </w:r>
      <w:r>
        <w:rPr>
          <w:b w:val="0"/>
          <w:bCs w:val="0"/>
        </w:rPr>
        <w:instrText xml:space="preserve"> PAGEREF _Toc4118 \h </w:instrText>
      </w:r>
      <w:r>
        <w:rPr>
          <w:b w:val="0"/>
          <w:bCs w:val="0"/>
        </w:rPr>
        <w:fldChar w:fldCharType="separate"/>
      </w:r>
      <w:r>
        <w:rPr>
          <w:b w:val="0"/>
          <w:bCs w:val="0"/>
        </w:rPr>
        <w:t>50</w:t>
      </w:r>
      <w:r>
        <w:rPr>
          <w:b w:val="0"/>
          <w:bCs w:val="0"/>
        </w:rPr>
        <w:fldChar w:fldCharType="end"/>
      </w:r>
      <w:r>
        <w:rPr>
          <w:rFonts w:hint="eastAsia" w:ascii="Times New Roman" w:hAnsi="Times New Roman" w:eastAsia="宋体"/>
          <w:b/>
          <w:bCs/>
        </w:rPr>
        <w:fldChar w:fldCharType="end"/>
      </w:r>
    </w:p>
    <w:p>
      <w:pPr>
        <w:pStyle w:val="7"/>
        <w:tabs>
          <w:tab w:val="right" w:leader="dot" w:pos="8504"/>
          <w:tab w:val="clear" w:pos="9180"/>
          <w:tab w:val="clear" w:pos="9240"/>
        </w:tabs>
        <w:rPr>
          <w:b/>
          <w:bCs/>
        </w:rPr>
      </w:pPr>
      <w:r>
        <w:rPr>
          <w:rFonts w:hint="eastAsia" w:ascii="Times New Roman" w:hAnsi="Times New Roman" w:eastAsia="宋体"/>
          <w:b/>
          <w:bCs/>
        </w:rPr>
        <w:fldChar w:fldCharType="begin"/>
      </w:r>
      <w:r>
        <w:rPr>
          <w:rFonts w:hint="eastAsia" w:ascii="Times New Roman" w:hAnsi="Times New Roman" w:eastAsia="宋体"/>
          <w:b/>
          <w:bCs/>
        </w:rPr>
        <w:instrText xml:space="preserve"> HYPERLINK \l _Toc20579 </w:instrText>
      </w:r>
      <w:r>
        <w:rPr>
          <w:rFonts w:hint="eastAsia" w:ascii="Times New Roman" w:hAnsi="Times New Roman" w:eastAsia="宋体"/>
          <w:b/>
          <w:bCs/>
        </w:rPr>
        <w:fldChar w:fldCharType="separate"/>
      </w:r>
      <w:r>
        <w:rPr>
          <w:rFonts w:hint="eastAsia"/>
          <w:b/>
          <w:bCs/>
        </w:rPr>
        <w:t>附录</w:t>
      </w:r>
      <w:r>
        <w:rPr>
          <w:rFonts w:hint="eastAsia"/>
          <w:b/>
          <w:bCs/>
          <w:lang w:val="en-US" w:eastAsia="zh-CN"/>
        </w:rPr>
        <w:t xml:space="preserve"> 同时享受西部大开发优惠政策的县</w:t>
      </w:r>
      <w:r>
        <w:rPr>
          <w:b w:val="0"/>
          <w:bCs w:val="0"/>
        </w:rPr>
        <w:tab/>
      </w:r>
      <w:r>
        <w:rPr>
          <w:b w:val="0"/>
          <w:bCs w:val="0"/>
        </w:rPr>
        <w:fldChar w:fldCharType="begin"/>
      </w:r>
      <w:r>
        <w:rPr>
          <w:b w:val="0"/>
          <w:bCs w:val="0"/>
        </w:rPr>
        <w:instrText xml:space="preserve"> PAGEREF _Toc20579 \h </w:instrText>
      </w:r>
      <w:r>
        <w:rPr>
          <w:b w:val="0"/>
          <w:bCs w:val="0"/>
        </w:rPr>
        <w:fldChar w:fldCharType="separate"/>
      </w:r>
      <w:r>
        <w:rPr>
          <w:b w:val="0"/>
          <w:bCs w:val="0"/>
        </w:rPr>
        <w:t>56</w:t>
      </w:r>
      <w:r>
        <w:rPr>
          <w:b w:val="0"/>
          <w:bCs w:val="0"/>
        </w:rPr>
        <w:fldChar w:fldCharType="end"/>
      </w:r>
      <w:r>
        <w:rPr>
          <w:rFonts w:hint="eastAsia" w:ascii="Times New Roman" w:hAnsi="Times New Roman" w:eastAsia="宋体"/>
          <w:b/>
          <w:bCs/>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ascii="Times New Roman" w:hAnsi="Times New Roman" w:eastAsia="宋体"/>
          <w:sz w:val="24"/>
        </w:rPr>
      </w:pPr>
      <w:r>
        <w:rPr>
          <w:rFonts w:hint="eastAsia" w:ascii="Times New Roman" w:hAnsi="Times New Roman" w:eastAsia="宋体"/>
        </w:rPr>
        <w:fldChar w:fldCharType="end"/>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p>
    <w:p>
      <w:pPr>
        <w:keepNext w:val="0"/>
        <w:keepLines w:val="0"/>
        <w:pageBreakBefore w:val="0"/>
        <w:tabs>
          <w:tab w:val="left" w:pos="2985"/>
        </w:tabs>
        <w:kinsoku/>
        <w:overflowPunct/>
        <w:topLinePunct w:val="0"/>
        <w:bidi w:val="0"/>
        <w:spacing w:line="360" w:lineRule="auto"/>
        <w:textAlignment w:val="auto"/>
        <w:rPr>
          <w:rFonts w:hint="eastAsia" w:ascii="Times New Roman" w:hAnsi="Times New Roman" w:eastAsia="宋体"/>
          <w:sz w:val="24"/>
        </w:rPr>
      </w:pPr>
    </w:p>
    <w:p>
      <w:pPr>
        <w:keepNext w:val="0"/>
        <w:keepLines w:val="0"/>
        <w:pageBreakBefore w:val="0"/>
        <w:tabs>
          <w:tab w:val="left" w:pos="2985"/>
        </w:tabs>
        <w:kinsoku/>
        <w:overflowPunct/>
        <w:topLinePunct w:val="0"/>
        <w:bidi w:val="0"/>
        <w:spacing w:line="360" w:lineRule="auto"/>
        <w:textAlignment w:val="auto"/>
        <w:rPr>
          <w:rFonts w:hint="eastAsia" w:ascii="Times New Roman" w:hAnsi="Times New Roman" w:eastAsia="宋体"/>
          <w:sz w:val="24"/>
        </w:rPr>
      </w:pPr>
    </w:p>
    <w:p>
      <w:pPr>
        <w:keepNext w:val="0"/>
        <w:keepLines w:val="0"/>
        <w:pageBreakBefore w:val="0"/>
        <w:tabs>
          <w:tab w:val="left" w:pos="2985"/>
        </w:tabs>
        <w:kinsoku/>
        <w:overflowPunct/>
        <w:topLinePunct w:val="0"/>
        <w:bidi w:val="0"/>
        <w:spacing w:line="360" w:lineRule="auto"/>
        <w:textAlignment w:val="auto"/>
        <w:rPr>
          <w:rFonts w:hint="eastAsia" w:ascii="Times New Roman" w:hAnsi="Times New Roman" w:eastAsia="宋体"/>
          <w:sz w:val="24"/>
        </w:rPr>
      </w:pPr>
    </w:p>
    <w:p>
      <w:pPr>
        <w:keepNext w:val="0"/>
        <w:keepLines w:val="0"/>
        <w:pageBreakBefore w:val="0"/>
        <w:tabs>
          <w:tab w:val="left" w:pos="2985"/>
        </w:tabs>
        <w:kinsoku/>
        <w:overflowPunct/>
        <w:topLinePunct w:val="0"/>
        <w:bidi w:val="0"/>
        <w:spacing w:line="360" w:lineRule="auto"/>
        <w:textAlignment w:val="auto"/>
        <w:rPr>
          <w:rFonts w:hint="eastAsia" w:ascii="Times New Roman" w:hAnsi="Times New Roman" w:eastAsia="宋体"/>
          <w:sz w:val="24"/>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p>
    <w:p>
      <w:pPr>
        <w:keepNext w:val="0"/>
        <w:keepLines w:val="0"/>
        <w:pageBreakBefore w:val="0"/>
        <w:kinsoku/>
        <w:overflowPunct/>
        <w:topLinePunct w:val="0"/>
        <w:bidi w:val="0"/>
        <w:spacing w:line="360" w:lineRule="auto"/>
        <w:ind w:firstLine="482" w:firstLineChars="200"/>
        <w:textAlignment w:val="auto"/>
        <w:rPr>
          <w:rFonts w:hint="eastAsia" w:ascii="Times New Roman" w:hAnsi="Times New Roman" w:eastAsia="宋体"/>
          <w:b/>
          <w:sz w:val="24"/>
          <w:szCs w:val="36"/>
        </w:rPr>
        <w:sectPr>
          <w:footerReference r:id="rId9" w:type="default"/>
          <w:pgSz w:w="11906" w:h="16838"/>
          <w:pgMar w:top="1418" w:right="1701" w:bottom="1134" w:left="1701" w:header="851" w:footer="1191"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15"/>
        <w:bidi w:val="0"/>
        <w:rPr>
          <w:rFonts w:hint="eastAsia"/>
        </w:rPr>
      </w:pPr>
      <w:bookmarkStart w:id="12" w:name="_Toc15937"/>
      <w:bookmarkStart w:id="13" w:name="_Toc22193"/>
      <w:r>
        <w:t>1</w:t>
      </w:r>
      <w:r>
        <w:rPr>
          <w:rFonts w:hint="eastAsia"/>
          <w:lang w:val="en-US" w:eastAsia="zh-CN"/>
        </w:rPr>
        <w:t xml:space="preserve"> </w:t>
      </w:r>
      <w:r>
        <w:rPr>
          <w:rFonts w:hint="eastAsia"/>
        </w:rPr>
        <w:t>绪论</w:t>
      </w:r>
      <w:bookmarkEnd w:id="12"/>
      <w:bookmarkEnd w:id="13"/>
    </w:p>
    <w:p>
      <w:pPr>
        <w:keepNext w:val="0"/>
        <w:keepLines w:val="0"/>
        <w:pageBreakBefore w:val="0"/>
        <w:kinsoku/>
        <w:overflowPunct/>
        <w:topLinePunct w:val="0"/>
        <w:bidi w:val="0"/>
        <w:spacing w:line="360" w:lineRule="auto"/>
        <w:ind w:firstLine="482" w:firstLineChars="200"/>
        <w:jc w:val="center"/>
        <w:textAlignment w:val="auto"/>
        <w:outlineLvl w:val="0"/>
        <w:rPr>
          <w:rFonts w:hint="eastAsia" w:ascii="Times New Roman" w:hAnsi="Times New Roman" w:eastAsia="宋体"/>
          <w:b/>
          <w:sz w:val="24"/>
          <w:szCs w:val="36"/>
        </w:rPr>
      </w:pPr>
    </w:p>
    <w:p>
      <w:pPr>
        <w:pStyle w:val="16"/>
        <w:numPr>
          <w:ilvl w:val="1"/>
          <w:numId w:val="1"/>
        </w:numPr>
        <w:bidi w:val="0"/>
        <w:rPr>
          <w:rFonts w:hint="eastAsia"/>
          <w:lang w:val="en-US" w:eastAsia="zh-CN"/>
        </w:rPr>
      </w:pPr>
      <w:bookmarkStart w:id="14" w:name="_Toc1692"/>
      <w:bookmarkStart w:id="15" w:name="_Toc23852"/>
      <w:r>
        <w:rPr>
          <w:rFonts w:hint="eastAsia"/>
          <w:lang w:val="en-US" w:eastAsia="zh-CN"/>
        </w:rPr>
        <w:t>研究背景</w:t>
      </w:r>
      <w:bookmarkEnd w:id="14"/>
      <w:bookmarkEnd w:id="15"/>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出口是拉动经济增长的“三驾马车”之一，维持出口的稳定增长有利于国家经济发展，因此出口贸易竞争往往是国际经济竞争的重点领域。词条的搜索频率可以反应相应的事件热度，正如图1-1中“贸易保护主义”的关键词搜索趋势所示，自2018年3月23日的中美贸易战以来，全球贸易保护主义纷纷抬头；在2019年年末新冠疫情爆发后，各国经济增长普遍受阻，发达国家又纷纷以保护国家经济安全为由采取了</w:t>
      </w:r>
      <w:r>
        <w:rPr>
          <w:rFonts w:hint="eastAsia"/>
          <w:sz w:val="24"/>
          <w:lang w:val="en-US" w:eastAsia="zh-CN"/>
        </w:rPr>
        <w:t>一系列</w:t>
      </w:r>
      <w:r>
        <w:rPr>
          <w:rFonts w:hint="eastAsia" w:ascii="Times New Roman" w:hAnsi="Times New Roman" w:eastAsia="宋体"/>
          <w:sz w:val="24"/>
          <w:lang w:val="en-US" w:eastAsia="zh-CN"/>
        </w:rPr>
        <w:t>针对中国</w:t>
      </w:r>
      <w:r>
        <w:rPr>
          <w:rFonts w:hint="eastAsia"/>
          <w:sz w:val="24"/>
          <w:lang w:val="en-US" w:eastAsia="zh-CN"/>
        </w:rPr>
        <w:t>等</w:t>
      </w:r>
      <w:r>
        <w:rPr>
          <w:rFonts w:hint="eastAsia" w:ascii="Times New Roman" w:hAnsi="Times New Roman" w:eastAsia="宋体"/>
          <w:sz w:val="24"/>
          <w:lang w:val="en-US" w:eastAsia="zh-CN"/>
        </w:rPr>
        <w:t>发展中国家的形式多样化、产业</w:t>
      </w:r>
      <w:r>
        <w:rPr>
          <w:rFonts w:hint="eastAsia"/>
          <w:sz w:val="24"/>
          <w:lang w:val="en-US" w:eastAsia="zh-CN"/>
        </w:rPr>
        <w:t>范围</w:t>
      </w:r>
      <w:r>
        <w:rPr>
          <w:rFonts w:hint="eastAsia" w:ascii="Times New Roman" w:hAnsi="Times New Roman" w:eastAsia="宋体"/>
          <w:sz w:val="24"/>
          <w:lang w:val="en-US" w:eastAsia="zh-CN"/>
        </w:rPr>
        <w:t>广泛化的贸易保护主义政策（</w:t>
      </w:r>
      <w:r>
        <w:rPr>
          <w:rFonts w:hint="eastAsia" w:ascii="Times New Roman" w:hAnsi="Times New Roman" w:eastAsia="宋体" w:cs="宋体"/>
          <w:sz w:val="24"/>
          <w:szCs w:val="24"/>
        </w:rPr>
        <w:t>赵蓓文</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2020；吴振宇和唐朝，2021</w:t>
      </w:r>
      <w:r>
        <w:rPr>
          <w:rFonts w:hint="eastAsia" w:ascii="Times New Roman" w:hAnsi="Times New Roman" w:eastAsia="宋体"/>
          <w:sz w:val="24"/>
          <w:lang w:val="en-US" w:eastAsia="zh-CN"/>
        </w:rPr>
        <w:t>），增加了中国企业的出口风险，对中国实现出口稳定增长的目标构成威胁。</w:t>
      </w:r>
    </w:p>
    <w:p>
      <w:pPr>
        <w:keepNext w:val="0"/>
        <w:keepLines w:val="0"/>
        <w:pageBreakBefore w:val="0"/>
        <w:kinsoku/>
        <w:overflowPunct/>
        <w:topLinePunct w:val="0"/>
        <w:bidi w:val="0"/>
        <w:spacing w:line="360" w:lineRule="auto"/>
        <w:jc w:val="both"/>
        <w:textAlignment w:val="auto"/>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5392420" cy="3002280"/>
            <wp:effectExtent l="0" t="0" r="5080" b="7620"/>
            <wp:docPr id="1" name="图片 77" descr="贸易保护主义搜索指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7" descr="贸易保护主义搜索指数"/>
                    <pic:cNvPicPr>
                      <a:picLocks noChangeAspect="1"/>
                    </pic:cNvPicPr>
                  </pic:nvPicPr>
                  <pic:blipFill>
                    <a:blip r:embed="rId14"/>
                    <a:stretch>
                      <a:fillRect/>
                    </a:stretch>
                  </pic:blipFill>
                  <pic:spPr>
                    <a:xfrm>
                      <a:off x="0" y="0"/>
                      <a:ext cx="5392420" cy="3002280"/>
                    </a:xfrm>
                    <a:prstGeom prst="rect">
                      <a:avLst/>
                    </a:prstGeom>
                    <a:noFill/>
                    <a:ln>
                      <a:noFill/>
                    </a:ln>
                  </pic:spPr>
                </pic:pic>
              </a:graphicData>
            </a:graphic>
          </wp:inline>
        </w:drawing>
      </w:r>
    </w:p>
    <w:p>
      <w:pPr>
        <w:pStyle w:val="26"/>
        <w:bidi w:val="0"/>
        <w:rPr>
          <w:rFonts w:hint="default" w:ascii="Times New Roman" w:hAnsi="Times New Roman" w:eastAsia="宋体"/>
          <w:lang w:val="en-US" w:eastAsia="zh-CN"/>
        </w:rPr>
      </w:pPr>
      <w:r>
        <w:rPr>
          <w:rFonts w:hint="eastAsia"/>
          <w:lang w:val="en-US" w:eastAsia="zh-CN"/>
        </w:rPr>
        <w:t>图1-1 “贸易保护主义”的百度指数关键词搜索趋势</w:t>
      </w:r>
    </w:p>
    <w:p>
      <w:pPr>
        <w:keepNext w:val="0"/>
        <w:keepLines w:val="0"/>
        <w:pageBreakBefore w:val="0"/>
        <w:kinsoku/>
        <w:overflowPunct/>
        <w:topLinePunct w:val="0"/>
        <w:bidi w:val="0"/>
        <w:spacing w:line="360" w:lineRule="auto"/>
        <w:ind w:firstLine="480" w:firstLineChars="200"/>
        <w:jc w:val="both"/>
        <w:textAlignment w:val="auto"/>
        <w:rPr>
          <w:rFonts w:hint="eastAsia"/>
          <w:sz w:val="24"/>
          <w:lang w:val="en-US" w:eastAsia="zh-CN"/>
        </w:rPr>
      </w:pPr>
      <w:r>
        <w:rPr>
          <w:rFonts w:hint="eastAsia"/>
          <w:sz w:val="24"/>
          <w:lang w:val="en-US" w:eastAsia="zh-CN"/>
        </w:rPr>
        <w:t>国务院总理李克强在2021年12月23日召开的国务院常务会议中强调了减税政策是在不稳定的国际形势下促进出口平稳增长的重要政策工具，要加强落实减税政策。</w:t>
      </w:r>
      <w:r>
        <w:rPr>
          <w:rFonts w:hint="eastAsia" w:ascii="Times New Roman" w:hAnsi="Times New Roman" w:eastAsia="宋体"/>
          <w:sz w:val="24"/>
          <w:lang w:val="en-US" w:eastAsia="zh-CN"/>
        </w:rPr>
        <w:t>长期以来，中国采取了多种</w:t>
      </w:r>
      <w:r>
        <w:rPr>
          <w:rFonts w:hint="eastAsia"/>
          <w:sz w:val="24"/>
          <w:lang w:val="en-US" w:eastAsia="zh-CN"/>
        </w:rPr>
        <w:t>减税</w:t>
      </w:r>
      <w:r>
        <w:rPr>
          <w:rFonts w:hint="eastAsia" w:ascii="Times New Roman" w:hAnsi="Times New Roman" w:eastAsia="宋体"/>
          <w:sz w:val="24"/>
          <w:lang w:val="en-US" w:eastAsia="zh-CN"/>
        </w:rPr>
        <w:t>政策促进出口贸易的</w:t>
      </w:r>
      <w:r>
        <w:rPr>
          <w:rFonts w:hint="eastAsia"/>
          <w:sz w:val="24"/>
          <w:lang w:val="en-US" w:eastAsia="zh-CN"/>
        </w:rPr>
        <w:t>整体</w:t>
      </w:r>
      <w:r>
        <w:rPr>
          <w:rFonts w:hint="eastAsia" w:ascii="Times New Roman" w:hAnsi="Times New Roman" w:eastAsia="宋体"/>
          <w:sz w:val="24"/>
          <w:lang w:val="en-US" w:eastAsia="zh-CN"/>
        </w:rPr>
        <w:t>发展，并取得了一定成效，但</w:t>
      </w:r>
      <w:r>
        <w:rPr>
          <w:rFonts w:hint="eastAsia"/>
          <w:sz w:val="24"/>
          <w:lang w:val="en-US" w:eastAsia="zh-CN"/>
        </w:rPr>
        <w:t>关于减税政策的出口促进效果的考量多为宏观层面的统计分析，较少有</w:t>
      </w:r>
      <w:r>
        <w:rPr>
          <w:rFonts w:hint="eastAsia" w:ascii="Times New Roman" w:hAnsi="Times New Roman" w:eastAsia="宋体"/>
          <w:sz w:val="24"/>
          <w:lang w:val="en-US" w:eastAsia="zh-CN"/>
        </w:rPr>
        <w:t>关于</w:t>
      </w:r>
      <w:r>
        <w:rPr>
          <w:rFonts w:hint="eastAsia"/>
          <w:sz w:val="24"/>
          <w:lang w:val="en-US" w:eastAsia="zh-CN"/>
        </w:rPr>
        <w:t>具体的减税</w:t>
      </w:r>
      <w:r>
        <w:rPr>
          <w:rFonts w:hint="eastAsia" w:ascii="Times New Roman" w:hAnsi="Times New Roman" w:eastAsia="宋体"/>
          <w:sz w:val="24"/>
          <w:lang w:val="en-US" w:eastAsia="zh-CN"/>
        </w:rPr>
        <w:t>政策对微观企业出口</w:t>
      </w:r>
      <w:r>
        <w:rPr>
          <w:rFonts w:hint="eastAsia"/>
          <w:sz w:val="24"/>
          <w:lang w:val="en-US" w:eastAsia="zh-CN"/>
        </w:rPr>
        <w:t>促进效果</w:t>
      </w:r>
      <w:r>
        <w:rPr>
          <w:rFonts w:hint="eastAsia" w:ascii="Times New Roman" w:hAnsi="Times New Roman" w:eastAsia="宋体"/>
          <w:sz w:val="24"/>
          <w:lang w:val="en-US" w:eastAsia="zh-CN"/>
        </w:rPr>
        <w:t>的研究，</w:t>
      </w:r>
      <w:r>
        <w:rPr>
          <w:rFonts w:hint="eastAsia"/>
          <w:sz w:val="24"/>
          <w:lang w:val="en-US" w:eastAsia="zh-CN"/>
        </w:rPr>
        <w:t>而微观企业层面的分析有利于帮助政策制定者了解减税政策对企业的影响效果和影响渠道，从而找准政策发力点，并制定适当的配套政策。</w:t>
      </w:r>
    </w:p>
    <w:p>
      <w:pPr>
        <w:pStyle w:val="16"/>
        <w:numPr>
          <w:ilvl w:val="1"/>
          <w:numId w:val="1"/>
        </w:numPr>
        <w:bidi w:val="0"/>
        <w:rPr>
          <w:rFonts w:hint="eastAsia"/>
          <w:lang w:val="en-US" w:eastAsia="zh-CN"/>
        </w:rPr>
      </w:pPr>
      <w:bookmarkStart w:id="16" w:name="_Toc8933"/>
      <w:r>
        <w:rPr>
          <w:rFonts w:hint="eastAsia"/>
          <w:lang w:val="en-US" w:eastAsia="zh-CN"/>
        </w:rPr>
        <w:t>文献综述</w:t>
      </w:r>
      <w:bookmarkEnd w:id="16"/>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cs="宋体"/>
          <w:b w:val="0"/>
          <w:bCs/>
          <w:sz w:val="24"/>
          <w:szCs w:val="24"/>
          <w:lang w:val="en-US" w:eastAsia="zh-CN"/>
        </w:rPr>
        <w:t>本节</w:t>
      </w:r>
      <w:r>
        <w:rPr>
          <w:rFonts w:hint="eastAsia" w:ascii="Times New Roman" w:hAnsi="Times New Roman" w:eastAsia="宋体" w:cs="宋体"/>
          <w:b w:val="0"/>
          <w:bCs/>
          <w:sz w:val="24"/>
          <w:szCs w:val="24"/>
          <w:lang w:val="en-US" w:eastAsia="zh-CN"/>
        </w:rPr>
        <w:t>分别就各类税收政策对出口影响的研究、企业出口行为的影响因素</w:t>
      </w:r>
      <w:r>
        <w:rPr>
          <w:rFonts w:hint="eastAsia" w:cs="宋体"/>
          <w:b w:val="0"/>
          <w:bCs/>
          <w:sz w:val="24"/>
          <w:szCs w:val="24"/>
          <w:lang w:val="en-US" w:eastAsia="zh-CN"/>
        </w:rPr>
        <w:t>和</w:t>
      </w:r>
      <w:r>
        <w:rPr>
          <w:rFonts w:hint="eastAsia" w:ascii="Times New Roman" w:hAnsi="Times New Roman" w:eastAsia="宋体" w:cs="宋体"/>
          <w:b w:val="0"/>
          <w:bCs/>
          <w:sz w:val="24"/>
          <w:szCs w:val="24"/>
          <w:lang w:val="en-US" w:eastAsia="zh-CN"/>
        </w:rPr>
        <w:t>增值税转型改革对企业的影响研究进行梳理和评价</w:t>
      </w:r>
      <w:r>
        <w:rPr>
          <w:rFonts w:hint="eastAsia" w:cs="宋体"/>
          <w:b w:val="0"/>
          <w:bCs/>
          <w:sz w:val="24"/>
          <w:szCs w:val="24"/>
          <w:lang w:val="en-US" w:eastAsia="zh-CN"/>
        </w:rPr>
        <w:t>，具体地，本文通过文献分析首先解释了为什么选择增值税转型改革这一减税政策典型作为研究切入点和为什么选取增值税转型改革的中部六省试点阶段的企业作为研究样本，而后总结分析出增值税转型改革可能影响企业出口行为的渠道因素，并对现有研究识别策略作出改进，形成本文的研究设计创新点。</w:t>
      </w:r>
    </w:p>
    <w:p>
      <w:pPr>
        <w:pStyle w:val="25"/>
        <w:bidi w:val="0"/>
        <w:rPr>
          <w:rFonts w:hint="default"/>
          <w:lang w:val="en-US" w:eastAsia="zh-CN"/>
        </w:rPr>
      </w:pPr>
      <w:bookmarkStart w:id="17" w:name="_Toc21789"/>
      <w:r>
        <w:rPr>
          <w:rFonts w:hint="eastAsia"/>
          <w:lang w:val="en-US" w:eastAsia="zh-CN"/>
        </w:rPr>
        <w:t>1.2.1 各类税收政策对出口的影响</w:t>
      </w:r>
      <w:bookmarkEnd w:id="17"/>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中国与出口相关的政策可以按其是否直接作用于出口而分为两类，本文将分别就直接和间接作用于出口的政策进行文献梳理和评价</w:t>
      </w:r>
      <w:r>
        <w:rPr>
          <w:rFonts w:hint="eastAsia"/>
          <w:sz w:val="24"/>
          <w:lang w:val="en-US" w:eastAsia="zh-CN"/>
        </w:rPr>
        <w:t>。在本小节的分析中，本文将首先从政策对比角度解释为什么选择增值税转型改革作为研究事件，而后从双重差分法的基本假设角度解释为什么选择中部六省试点阶段的样本具有优势。</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直接作用于出口发展的政策以出口退税政策和对出口企业进行补贴（即负的税收）为代表</w:t>
      </w:r>
      <w:r>
        <w:rPr>
          <w:rStyle w:val="14"/>
          <w:rFonts w:hint="eastAsia" w:ascii="Times New Roman" w:hAnsi="Times New Roman" w:eastAsia="宋体"/>
          <w:sz w:val="24"/>
          <w:lang w:val="en-US" w:eastAsia="zh-CN"/>
        </w:rPr>
        <w:footnoteReference w:id="0"/>
      </w:r>
      <w:r>
        <w:rPr>
          <w:rFonts w:hint="eastAsia" w:ascii="Times New Roman" w:hAnsi="Times New Roman" w:eastAsia="宋体"/>
          <w:sz w:val="24"/>
          <w:lang w:val="en-US" w:eastAsia="zh-CN"/>
        </w:rPr>
        <w:t>，这两项政策是中国政府长期以来促进出口发展的主要选择，在过去的实践中取得不错的成效（周世民等，2014</w:t>
      </w:r>
      <w:r>
        <w:rPr>
          <w:rFonts w:hint="eastAsia"/>
          <w:sz w:val="24"/>
          <w:lang w:val="en-US" w:eastAsia="zh-CN"/>
        </w:rPr>
        <w:t>；</w:t>
      </w:r>
      <w:r>
        <w:rPr>
          <w:rFonts w:hint="eastAsia" w:ascii="Times New Roman" w:hAnsi="Times New Roman" w:eastAsia="宋体" w:cs="宋体"/>
          <w:sz w:val="24"/>
          <w:szCs w:val="24"/>
        </w:rPr>
        <w:t>潘文轩</w:t>
      </w:r>
      <w:r>
        <w:rPr>
          <w:rFonts w:hint="eastAsia" w:ascii="Times New Roman" w:hAnsi="Times New Roman" w:eastAsia="宋体"/>
          <w:sz w:val="24"/>
          <w:lang w:val="en-US" w:eastAsia="zh-CN"/>
        </w:rPr>
        <w:t>，2015</w:t>
      </w:r>
      <w:r>
        <w:rPr>
          <w:rFonts w:hint="eastAsia"/>
          <w:sz w:val="24"/>
          <w:lang w:val="en-US" w:eastAsia="zh-CN"/>
        </w:rPr>
        <w:t>；</w:t>
      </w:r>
      <w:r>
        <w:rPr>
          <w:rFonts w:hint="eastAsia" w:ascii="Times New Roman" w:hAnsi="Times New Roman" w:eastAsia="宋体" w:cs="宋体"/>
          <w:sz w:val="24"/>
          <w:szCs w:val="24"/>
        </w:rPr>
        <w:t>赵瑞丽</w:t>
      </w:r>
      <w:r>
        <w:rPr>
          <w:rFonts w:hint="eastAsia" w:ascii="Times New Roman" w:hAnsi="Times New Roman" w:eastAsia="宋体" w:cs="宋体"/>
          <w:sz w:val="24"/>
          <w:szCs w:val="24"/>
          <w:lang w:val="en-US" w:eastAsia="zh-CN"/>
        </w:rPr>
        <w:t>等</w:t>
      </w:r>
      <w:r>
        <w:rPr>
          <w:rFonts w:hint="eastAsia" w:ascii="Times New Roman" w:hAnsi="Times New Roman" w:eastAsia="宋体"/>
          <w:sz w:val="24"/>
          <w:lang w:val="en-US" w:eastAsia="zh-CN"/>
        </w:rPr>
        <w:t>，2021），但也暴露出了一定的缺陷。其中出口退税政策在理论上被设计为以消除税收歧视、防止国际重复征税为目的的中性税收政策（张宇麟和吕旺弟，2009），但在实际执行中却因标准和执行方式繁杂而往往无法回归中性税收（陈治和赵磊磊，2021），进而扭曲价格、导致资源误配（文媛和华春革，2008</w:t>
      </w:r>
      <w:r>
        <w:rPr>
          <w:rFonts w:hint="eastAsia"/>
          <w:sz w:val="24"/>
          <w:lang w:val="en-US" w:eastAsia="zh-CN"/>
        </w:rPr>
        <w:t>；</w:t>
      </w:r>
      <w:r>
        <w:rPr>
          <w:rFonts w:hint="eastAsia" w:ascii="Times New Roman" w:hAnsi="Times New Roman" w:eastAsia="宋体"/>
          <w:sz w:val="24"/>
          <w:lang w:val="en-US" w:eastAsia="zh-CN"/>
        </w:rPr>
        <w:t>冯阔和唐宜红，2021）。同时，出口退税被认为对国家财政造成较大的负担，且出口退税政策对出口贸易带去的收益不一定高于给消费者和国家财政造成的成本负担，不是一项稳健的政策（</w:t>
      </w:r>
      <w:r>
        <w:rPr>
          <w:rFonts w:hint="eastAsia" w:ascii="Times New Roman" w:hAnsi="Times New Roman" w:eastAsia="宋体" w:cs="宋体"/>
          <w:sz w:val="24"/>
          <w:szCs w:val="24"/>
        </w:rPr>
        <w:t>马捷</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李飞</w:t>
      </w:r>
      <w:r>
        <w:rPr>
          <w:rFonts w:hint="eastAsia" w:ascii="Times New Roman" w:hAnsi="Times New Roman" w:eastAsia="宋体" w:cs="宋体"/>
          <w:sz w:val="24"/>
          <w:szCs w:val="24"/>
          <w:lang w:val="en-US" w:eastAsia="zh-CN"/>
        </w:rPr>
        <w:t>，2008</w:t>
      </w:r>
      <w:r>
        <w:rPr>
          <w:rFonts w:hint="eastAsia" w:cs="宋体"/>
          <w:sz w:val="24"/>
          <w:szCs w:val="24"/>
          <w:lang w:val="en-US" w:eastAsia="zh-CN"/>
        </w:rPr>
        <w:t>；</w:t>
      </w:r>
      <w:r>
        <w:rPr>
          <w:rFonts w:hint="eastAsia" w:ascii="Times New Roman" w:hAnsi="Times New Roman" w:eastAsia="宋体" w:cs="宋体"/>
          <w:sz w:val="24"/>
          <w:szCs w:val="24"/>
        </w:rPr>
        <w:t>张鑫</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任鹏鹏</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2019</w:t>
      </w:r>
      <w:r>
        <w:rPr>
          <w:rFonts w:hint="eastAsia" w:ascii="Times New Roman" w:hAnsi="Times New Roman" w:eastAsia="宋体"/>
          <w:sz w:val="24"/>
          <w:lang w:val="en-US" w:eastAsia="zh-CN"/>
        </w:rPr>
        <w:t>）。</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由中国政府出资对本国出口企业进行补贴的行为不仅容易受到出口国家的“反补贴”调查，而且容易使被补贴企业对这种并非由技术升级或劳动生产率提升带来的竞争优势形成依赖，从而阻碍出口企业的技术化转型，不利于出口贸易的长期发展（</w:t>
      </w:r>
      <w:r>
        <w:rPr>
          <w:rFonts w:hint="eastAsia" w:ascii="Times New Roman" w:hAnsi="Times New Roman" w:eastAsia="宋体" w:cs="宋体"/>
          <w:sz w:val="24"/>
          <w:szCs w:val="24"/>
        </w:rPr>
        <w:t>邱筵婷</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张馨元</w:t>
      </w:r>
      <w:r>
        <w:rPr>
          <w:rFonts w:hint="eastAsia" w:ascii="Times New Roman" w:hAnsi="Times New Roman" w:eastAsia="宋体"/>
          <w:sz w:val="24"/>
          <w:lang w:val="en-US" w:eastAsia="zh-CN"/>
        </w:rPr>
        <w:t>，2016；</w:t>
      </w:r>
      <w:r>
        <w:rPr>
          <w:rFonts w:hint="eastAsia" w:ascii="Times New Roman" w:hAnsi="Times New Roman" w:eastAsia="宋体" w:cs="宋体"/>
          <w:sz w:val="24"/>
          <w:szCs w:val="24"/>
        </w:rPr>
        <w:t>张鑫</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任鹏鹏</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2019</w:t>
      </w:r>
      <w:r>
        <w:rPr>
          <w:rFonts w:hint="eastAsia" w:ascii="Times New Roman" w:hAnsi="Times New Roman" w:eastAsia="宋体"/>
          <w:sz w:val="24"/>
          <w:lang w:val="en-US" w:eastAsia="zh-CN"/>
        </w:rPr>
        <w:t>）。</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由此可见，出口退税政策和补贴政策都在一定程度上破坏了国内企业竞争环境的公平性、扭曲了资源配置，从促进出口贸易长远发展的角度看，二者都不是最稳健的选择。</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间接作用于出口发展的</w:t>
      </w:r>
      <w:r>
        <w:rPr>
          <w:rFonts w:hint="eastAsia"/>
          <w:sz w:val="24"/>
          <w:lang w:val="en-US" w:eastAsia="zh-CN"/>
        </w:rPr>
        <w:t>减税</w:t>
      </w:r>
      <w:r>
        <w:rPr>
          <w:rFonts w:hint="eastAsia" w:ascii="Times New Roman" w:hAnsi="Times New Roman" w:eastAsia="宋体"/>
          <w:sz w:val="24"/>
          <w:lang w:val="en-US" w:eastAsia="zh-CN"/>
        </w:rPr>
        <w:t>政策包括企业所得税</w:t>
      </w:r>
      <w:r>
        <w:rPr>
          <w:rFonts w:hint="eastAsia"/>
          <w:sz w:val="24"/>
          <w:lang w:val="en-US" w:eastAsia="zh-CN"/>
        </w:rPr>
        <w:t>优惠政策</w:t>
      </w:r>
      <w:r>
        <w:rPr>
          <w:rFonts w:hint="eastAsia" w:ascii="Times New Roman" w:hAnsi="Times New Roman" w:eastAsia="宋体"/>
          <w:sz w:val="24"/>
          <w:lang w:val="en-US" w:eastAsia="zh-CN"/>
        </w:rPr>
        <w:t>和增值税</w:t>
      </w:r>
      <w:r>
        <w:rPr>
          <w:rFonts w:hint="eastAsia"/>
          <w:sz w:val="24"/>
          <w:lang w:val="en-US" w:eastAsia="zh-CN"/>
        </w:rPr>
        <w:t>改革政策</w:t>
      </w:r>
      <w:r>
        <w:rPr>
          <w:rFonts w:hint="eastAsia" w:ascii="Times New Roman" w:hAnsi="Times New Roman" w:eastAsia="宋体"/>
          <w:sz w:val="24"/>
          <w:lang w:val="en-US" w:eastAsia="zh-CN"/>
        </w:rPr>
        <w:t>，</w:t>
      </w:r>
      <w:r>
        <w:rPr>
          <w:rFonts w:hint="eastAsia"/>
          <w:sz w:val="24"/>
          <w:lang w:val="en-US" w:eastAsia="zh-CN"/>
        </w:rPr>
        <w:t>这两类减税政策</w:t>
      </w:r>
      <w:r>
        <w:rPr>
          <w:rFonts w:hint="eastAsia" w:ascii="Times New Roman" w:hAnsi="Times New Roman" w:eastAsia="宋体"/>
          <w:sz w:val="24"/>
          <w:lang w:val="en-US" w:eastAsia="zh-CN"/>
        </w:rPr>
        <w:t>的作用机制都是通过降低实际税负减小企业受到的融资约束、增加企业进行固定资产投资或扩大生产规模的可能性，从而提高企业的生产能力，在国际市场上获得更强的竞争力（聂辉华等，2009</w:t>
      </w:r>
      <w:r>
        <w:rPr>
          <w:rFonts w:hint="eastAsia"/>
          <w:sz w:val="24"/>
          <w:lang w:val="en-US" w:eastAsia="zh-CN"/>
        </w:rPr>
        <w:t>；</w:t>
      </w:r>
      <w:r>
        <w:rPr>
          <w:rFonts w:hint="eastAsia" w:ascii="Times New Roman" w:hAnsi="Times New Roman" w:eastAsia="宋体" w:cs="宋体"/>
          <w:sz w:val="24"/>
          <w:szCs w:val="24"/>
        </w:rPr>
        <w:t>水会莉</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韩庆兰</w:t>
      </w:r>
      <w:r>
        <w:rPr>
          <w:rFonts w:hint="eastAsia" w:ascii="Times New Roman" w:hAnsi="Times New Roman" w:eastAsia="宋体"/>
          <w:sz w:val="24"/>
          <w:lang w:val="en-US" w:eastAsia="zh-CN"/>
        </w:rPr>
        <w:t>，2016；申广军等，2016；毛德凤，2020）。</w:t>
      </w:r>
    </w:p>
    <w:p>
      <w:pPr>
        <w:keepNext w:val="0"/>
        <w:keepLines w:val="0"/>
        <w:pageBreakBefore w:val="0"/>
        <w:kinsoku/>
        <w:overflowPunct/>
        <w:topLinePunct w:val="0"/>
        <w:bidi w:val="0"/>
        <w:spacing w:line="360" w:lineRule="auto"/>
        <w:ind w:firstLine="480" w:firstLineChars="200"/>
        <w:textAlignment w:val="auto"/>
        <w:rPr>
          <w:rFonts w:hint="eastAsia"/>
          <w:sz w:val="24"/>
          <w:lang w:val="en-US" w:eastAsia="zh-CN"/>
        </w:rPr>
      </w:pPr>
      <w:r>
        <w:rPr>
          <w:rFonts w:hint="eastAsia" w:ascii="Times New Roman" w:hAnsi="Times New Roman" w:eastAsia="宋体"/>
          <w:sz w:val="24"/>
          <w:lang w:val="en-US" w:eastAsia="zh-CN"/>
        </w:rPr>
        <w:t>但由于企业所得税多重优惠政策的叠加，</w:t>
      </w:r>
      <w:r>
        <w:rPr>
          <w:rFonts w:hint="eastAsia"/>
          <w:sz w:val="24"/>
          <w:lang w:val="en-US" w:eastAsia="zh-CN"/>
        </w:rPr>
        <w:t>不少</w:t>
      </w:r>
      <w:r>
        <w:rPr>
          <w:rFonts w:hint="eastAsia" w:ascii="Times New Roman" w:hAnsi="Times New Roman" w:eastAsia="宋体"/>
          <w:sz w:val="24"/>
          <w:lang w:val="en-US" w:eastAsia="zh-CN"/>
        </w:rPr>
        <w:t>企业</w:t>
      </w:r>
      <w:r>
        <w:rPr>
          <w:rStyle w:val="14"/>
          <w:rFonts w:hint="eastAsia" w:ascii="Times New Roman" w:hAnsi="Times New Roman" w:eastAsia="宋体"/>
          <w:sz w:val="24"/>
          <w:lang w:val="en-US" w:eastAsia="zh-CN"/>
        </w:rPr>
        <w:footnoteReference w:id="1"/>
      </w:r>
      <w:r>
        <w:rPr>
          <w:rFonts w:hint="eastAsia" w:ascii="Times New Roman" w:hAnsi="Times New Roman" w:eastAsia="宋体"/>
          <w:sz w:val="24"/>
          <w:lang w:val="en-US" w:eastAsia="zh-CN"/>
        </w:rPr>
        <w:t>的所得税实际有效税率已经是或者接近OECD组织规定的最低税率（15%），在未来难以继续通过降低企业所得税税率的方式提高出口企业的国际竞争力；相比于企业所得税，中国企业的增值税税负更重（汪昊等，2022）</w:t>
      </w:r>
      <w:r>
        <w:rPr>
          <w:rFonts w:hint="eastAsia"/>
          <w:sz w:val="24"/>
          <w:lang w:val="en-US" w:eastAsia="zh-CN"/>
        </w:rPr>
        <w:t>，</w:t>
      </w:r>
      <w:r>
        <w:rPr>
          <w:rFonts w:hint="eastAsia" w:ascii="Times New Roman" w:hAnsi="Times New Roman" w:eastAsia="宋体"/>
          <w:sz w:val="24"/>
          <w:lang w:val="en-US" w:eastAsia="zh-CN"/>
        </w:rPr>
        <w:t>中国的增值税改革还有较大的调整空间，因此本文认为增值税改革更适合作为</w:t>
      </w:r>
      <w:r>
        <w:rPr>
          <w:rFonts w:hint="eastAsia"/>
          <w:sz w:val="24"/>
          <w:lang w:val="en-US" w:eastAsia="zh-CN"/>
        </w:rPr>
        <w:t>研究减税政策出口效应的切入点。</w:t>
      </w:r>
    </w:p>
    <w:p>
      <w:pPr>
        <w:keepNext w:val="0"/>
        <w:keepLines w:val="0"/>
        <w:pageBreakBefore w:val="0"/>
        <w:kinsoku/>
        <w:overflowPunct/>
        <w:topLinePunct w:val="0"/>
        <w:bidi w:val="0"/>
        <w:spacing w:line="360" w:lineRule="auto"/>
        <w:ind w:firstLine="480" w:firstLineChars="200"/>
        <w:jc w:val="both"/>
        <w:textAlignment w:val="auto"/>
        <w:rPr>
          <w:rFonts w:hint="eastAsia" w:ascii="Times New Roman" w:hAnsi="Times New Roman" w:eastAsia="宋体"/>
          <w:sz w:val="24"/>
          <w:lang w:val="en-US" w:eastAsia="zh-CN"/>
        </w:rPr>
      </w:pPr>
      <w:r>
        <w:rPr>
          <w:rFonts w:hint="eastAsia" w:ascii="Times New Roman" w:hAnsi="Times New Roman" w:eastAsia="宋体"/>
          <w:sz w:val="24"/>
        </w:rPr>
        <w:t>增值税转型</w:t>
      </w:r>
      <w:r>
        <w:rPr>
          <w:rFonts w:hint="eastAsia" w:ascii="Times New Roman" w:hAnsi="Times New Roman" w:eastAsia="宋体"/>
          <w:sz w:val="24"/>
          <w:lang w:val="en-US" w:eastAsia="zh-CN"/>
        </w:rPr>
        <w:t>改革</w:t>
      </w:r>
      <w:r>
        <w:rPr>
          <w:rFonts w:hint="eastAsia" w:ascii="Times New Roman" w:hAnsi="Times New Roman" w:eastAsia="宋体"/>
          <w:sz w:val="24"/>
        </w:rPr>
        <w:t>经历了分阶段的试点</w:t>
      </w:r>
      <w:r>
        <w:rPr>
          <w:rFonts w:hint="eastAsia"/>
          <w:sz w:val="24"/>
          <w:lang w:eastAsia="zh-CN"/>
        </w:rPr>
        <w:t>，</w:t>
      </w:r>
      <w:r>
        <w:rPr>
          <w:rFonts w:hint="eastAsia"/>
          <w:sz w:val="24"/>
          <w:lang w:val="en-US" w:eastAsia="zh-CN"/>
        </w:rPr>
        <w:t>如图1-2所示</w:t>
      </w:r>
      <w:r>
        <w:rPr>
          <w:rFonts w:hint="eastAsia" w:ascii="Times New Roman" w:hAnsi="Times New Roman" w:eastAsia="宋体"/>
          <w:sz w:val="24"/>
        </w:rPr>
        <w:t>。</w:t>
      </w:r>
      <w:r>
        <w:rPr>
          <w:rFonts w:hint="eastAsia" w:ascii="Times New Roman" w:hAnsi="Times New Roman" w:eastAsia="宋体"/>
          <w:sz w:val="24"/>
          <w:lang w:val="en-US" w:eastAsia="zh-CN"/>
        </w:rPr>
        <w:t>具体地，2004年7月1日起</w:t>
      </w:r>
      <w:r>
        <w:rPr>
          <w:rFonts w:hint="eastAsia"/>
          <w:sz w:val="24"/>
          <w:lang w:val="en-US" w:eastAsia="zh-CN"/>
        </w:rPr>
        <w:t>，</w:t>
      </w:r>
      <w:r>
        <w:rPr>
          <w:rFonts w:hint="eastAsia" w:ascii="Times New Roman" w:hAnsi="Times New Roman" w:eastAsia="宋体"/>
          <w:sz w:val="24"/>
          <w:lang w:val="en-US" w:eastAsia="zh-CN"/>
        </w:rPr>
        <w:t>东北三省进行</w:t>
      </w:r>
      <w:r>
        <w:rPr>
          <w:rFonts w:hint="eastAsia"/>
          <w:sz w:val="24"/>
          <w:lang w:val="en-US" w:eastAsia="zh-CN"/>
        </w:rPr>
        <w:t>了</w:t>
      </w:r>
      <w:r>
        <w:rPr>
          <w:rFonts w:hint="eastAsia" w:ascii="Times New Roman" w:hAnsi="Times New Roman" w:eastAsia="宋体"/>
          <w:sz w:val="24"/>
          <w:lang w:val="en-US" w:eastAsia="zh-CN"/>
        </w:rPr>
        <w:t>增值税由生产型</w:t>
      </w:r>
      <w:r>
        <w:rPr>
          <w:rFonts w:hint="eastAsia"/>
          <w:sz w:val="24"/>
          <w:lang w:val="en-US" w:eastAsia="zh-CN"/>
        </w:rPr>
        <w:t>转</w:t>
      </w:r>
      <w:r>
        <w:rPr>
          <w:rFonts w:hint="eastAsia" w:ascii="Times New Roman" w:hAnsi="Times New Roman" w:eastAsia="宋体"/>
          <w:sz w:val="24"/>
          <w:lang w:val="en-US" w:eastAsia="zh-CN"/>
        </w:rPr>
        <w:t>向消费型的</w:t>
      </w:r>
      <w:r>
        <w:rPr>
          <w:rFonts w:hint="eastAsia"/>
          <w:sz w:val="24"/>
          <w:lang w:val="en-US" w:eastAsia="zh-CN"/>
        </w:rPr>
        <w:t>改革</w:t>
      </w:r>
      <w:r>
        <w:rPr>
          <w:rFonts w:hint="eastAsia" w:ascii="Times New Roman" w:hAnsi="Times New Roman" w:eastAsia="宋体"/>
          <w:sz w:val="24"/>
          <w:lang w:val="en-US" w:eastAsia="zh-CN"/>
        </w:rPr>
        <w:t>，改革允许以制造业为主的</w:t>
      </w:r>
      <w:r>
        <w:rPr>
          <w:rFonts w:hint="eastAsia"/>
          <w:sz w:val="24"/>
          <w:lang w:val="en-US" w:eastAsia="zh-CN"/>
        </w:rPr>
        <w:t>八大类行业</w:t>
      </w:r>
      <w:r>
        <w:rPr>
          <w:rFonts w:hint="eastAsia" w:ascii="Times New Roman" w:hAnsi="Times New Roman" w:eastAsia="宋体"/>
          <w:sz w:val="24"/>
          <w:lang w:val="en-US" w:eastAsia="zh-CN"/>
        </w:rPr>
        <w:t>企业对固定资产的</w:t>
      </w:r>
      <w:r>
        <w:rPr>
          <w:rFonts w:hint="eastAsia"/>
          <w:sz w:val="24"/>
          <w:lang w:val="en-US" w:eastAsia="zh-CN"/>
        </w:rPr>
        <w:t>相关</w:t>
      </w:r>
      <w:r>
        <w:rPr>
          <w:rFonts w:hint="eastAsia" w:ascii="Times New Roman" w:hAnsi="Times New Roman" w:eastAsia="宋体"/>
          <w:sz w:val="24"/>
          <w:lang w:val="en-US" w:eastAsia="zh-CN"/>
        </w:rPr>
        <w:t>进项税进行一次性全额抵扣；2007年7月1日起，改革扩展到了中部六省</w:t>
      </w:r>
      <w:r>
        <w:rPr>
          <w:rFonts w:hint="eastAsia"/>
          <w:sz w:val="24"/>
          <w:lang w:val="en-US" w:eastAsia="zh-CN"/>
        </w:rPr>
        <w:t>共26个城市</w:t>
      </w:r>
      <w:r>
        <w:rPr>
          <w:rFonts w:hint="eastAsia" w:ascii="Times New Roman" w:hAnsi="Times New Roman" w:eastAsia="宋体"/>
          <w:sz w:val="24"/>
          <w:lang w:val="en-US" w:eastAsia="zh-CN"/>
        </w:rPr>
        <w:t>的</w:t>
      </w:r>
      <w:r>
        <w:rPr>
          <w:rFonts w:hint="eastAsia"/>
          <w:sz w:val="24"/>
          <w:lang w:val="en-US" w:eastAsia="zh-CN"/>
        </w:rPr>
        <w:t>更多行业的</w:t>
      </w:r>
      <w:r>
        <w:rPr>
          <w:rFonts w:hint="eastAsia" w:ascii="Times New Roman" w:hAnsi="Times New Roman" w:eastAsia="宋体"/>
          <w:sz w:val="24"/>
          <w:lang w:val="en-US" w:eastAsia="zh-CN"/>
        </w:rPr>
        <w:t>企业；</w:t>
      </w:r>
      <w:r>
        <w:rPr>
          <w:rFonts w:hint="eastAsia"/>
          <w:sz w:val="24"/>
          <w:lang w:val="en-US" w:eastAsia="zh-CN"/>
        </w:rPr>
        <w:t>2008年7月1日，改革扩展到内蒙古和四川部分地区的企业；</w:t>
      </w:r>
      <w:r>
        <w:rPr>
          <w:rFonts w:hint="eastAsia" w:ascii="Times New Roman" w:hAnsi="Times New Roman" w:eastAsia="宋体"/>
          <w:sz w:val="24"/>
          <w:lang w:val="en-US" w:eastAsia="zh-CN"/>
        </w:rPr>
        <w:t>2009年1月1日起，全国推广施行增值税转型改革。</w:t>
      </w:r>
    </w:p>
    <w:p>
      <w:pPr>
        <w:keepNext w:val="0"/>
        <w:keepLines w:val="0"/>
        <w:pageBreakBefore w:val="0"/>
        <w:kinsoku/>
        <w:overflowPunct/>
        <w:topLinePunct w:val="0"/>
        <w:bidi w:val="0"/>
        <w:spacing w:line="360" w:lineRule="auto"/>
        <w:jc w:val="both"/>
        <w:textAlignment w:val="auto"/>
        <w:rPr>
          <w:rFonts w:hint="default" w:ascii="Times New Roman" w:hAnsi="Times New Roman" w:eastAsia="宋体"/>
          <w:sz w:val="24"/>
          <w:lang w:val="en-US" w:eastAsia="zh-CN"/>
        </w:rPr>
      </w:pPr>
      <w:r>
        <w:rPr>
          <w:rFonts w:hint="default" w:ascii="Times New Roman" w:hAnsi="Times New Roman" w:eastAsia="宋体"/>
          <w:sz w:val="24"/>
          <w:lang w:val="en-US" w:eastAsia="zh-CN"/>
        </w:rPr>
        <w:drawing>
          <wp:inline distT="0" distB="0" distL="114300" distR="114300">
            <wp:extent cx="5384165" cy="1099185"/>
            <wp:effectExtent l="0" t="0" r="0" b="0"/>
            <wp:docPr id="18" name="图片 18" descr="常用顺序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常用顺序流程图(1)"/>
                    <pic:cNvPicPr>
                      <a:picLocks noChangeAspect="1"/>
                    </pic:cNvPicPr>
                  </pic:nvPicPr>
                  <pic:blipFill>
                    <a:blip r:embed="rId15"/>
                    <a:stretch>
                      <a:fillRect/>
                    </a:stretch>
                  </pic:blipFill>
                  <pic:spPr>
                    <a:xfrm>
                      <a:off x="0" y="0"/>
                      <a:ext cx="5384165" cy="1099185"/>
                    </a:xfrm>
                    <a:prstGeom prst="rect">
                      <a:avLst/>
                    </a:prstGeom>
                  </pic:spPr>
                </pic:pic>
              </a:graphicData>
            </a:graphic>
          </wp:inline>
        </w:drawing>
      </w:r>
    </w:p>
    <w:p>
      <w:pPr>
        <w:pStyle w:val="26"/>
        <w:bidi w:val="0"/>
        <w:rPr>
          <w:rFonts w:hint="default"/>
          <w:lang w:val="en-US" w:eastAsia="zh-CN"/>
        </w:rPr>
      </w:pPr>
      <w:r>
        <w:rPr>
          <w:rFonts w:hint="eastAsia"/>
          <w:lang w:val="en-US" w:eastAsia="zh-CN"/>
        </w:rPr>
        <w:t>图1-2 增值税转型改革历程</w:t>
      </w:r>
    </w:p>
    <w:p>
      <w:pPr>
        <w:keepNext w:val="0"/>
        <w:keepLines w:val="0"/>
        <w:pageBreakBefore w:val="0"/>
        <w:kinsoku/>
        <w:overflowPunct/>
        <w:topLinePunct w:val="0"/>
        <w:bidi w:val="0"/>
        <w:spacing w:line="360" w:lineRule="auto"/>
        <w:ind w:firstLine="480" w:firstLineChars="200"/>
        <w:textAlignment w:val="auto"/>
        <w:rPr>
          <w:rFonts w:hint="eastAsia"/>
          <w:sz w:val="24"/>
          <w:lang w:val="en-US" w:eastAsia="zh-CN"/>
        </w:rPr>
      </w:pPr>
      <w:r>
        <w:rPr>
          <w:rFonts w:hint="eastAsia"/>
          <w:sz w:val="24"/>
          <w:lang w:val="en-US" w:eastAsia="zh-CN"/>
        </w:rPr>
        <w:t>由于本文采取双重差分法考察改革政策的效应，使用该方法考察经济政策效果要求样本企业的经济特征具有同质性，若样本经济特征差异过大，则估计结果将是有偏的，除此之外，若无法控制实验前后其他政策的冲击，也将影响估计结果的客观性（</w:t>
      </w:r>
      <w:r>
        <w:rPr>
          <w:rFonts w:hint="eastAsia" w:ascii="Times New Roman" w:hAnsi="Times New Roman" w:eastAsia="宋体" w:cs="宋体"/>
          <w:sz w:val="24"/>
          <w:szCs w:val="24"/>
        </w:rPr>
        <w:t>陈林</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伍海军</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2015</w:t>
      </w:r>
      <w:r>
        <w:rPr>
          <w:rFonts w:hint="eastAsia"/>
          <w:sz w:val="24"/>
          <w:lang w:val="en-US" w:eastAsia="zh-CN"/>
        </w:rPr>
        <w:t>）。</w:t>
      </w:r>
      <w:r>
        <w:rPr>
          <w:rFonts w:hint="eastAsia" w:ascii="Times New Roman" w:hAnsi="Times New Roman" w:eastAsia="宋体"/>
          <w:sz w:val="24"/>
          <w:lang w:val="en-US" w:eastAsia="zh-CN"/>
        </w:rPr>
        <w:t>现存</w:t>
      </w:r>
      <w:r>
        <w:rPr>
          <w:rFonts w:hint="eastAsia"/>
          <w:sz w:val="24"/>
          <w:lang w:val="en-US" w:eastAsia="zh-CN"/>
        </w:rPr>
        <w:t>有关增值税转型改革的出口效应的</w:t>
      </w:r>
      <w:r>
        <w:rPr>
          <w:rFonts w:hint="eastAsia" w:ascii="Times New Roman" w:hAnsi="Times New Roman" w:eastAsia="宋体"/>
          <w:sz w:val="24"/>
          <w:lang w:val="en-US" w:eastAsia="zh-CN"/>
        </w:rPr>
        <w:t>研究普遍使用东北三省增值税试点改革的样本（聂辉华等，2009；Liu&amp;Lu，2015；Du&amp;Yang，2020；杨慧梅，2020；方菲菲等，2021），而东北三省在增值税改革试点</w:t>
      </w:r>
      <w:r>
        <w:rPr>
          <w:rFonts w:hint="eastAsia"/>
          <w:sz w:val="24"/>
          <w:lang w:val="en-US" w:eastAsia="zh-CN"/>
        </w:rPr>
        <w:t>的同时实行</w:t>
      </w:r>
      <w:r>
        <w:rPr>
          <w:rFonts w:hint="eastAsia" w:ascii="Times New Roman" w:hAnsi="Times New Roman" w:eastAsia="宋体"/>
          <w:sz w:val="24"/>
          <w:lang w:val="en-US" w:eastAsia="zh-CN"/>
        </w:rPr>
        <w:t>加速折旧政策，两种政策产生了混合效应（刘怡，2017；陈瑾，2020），对单一政策效应的识别结果产生了干扰</w:t>
      </w:r>
      <w:r>
        <w:rPr>
          <w:rFonts w:hint="eastAsia"/>
          <w:sz w:val="24"/>
          <w:lang w:val="en-US" w:eastAsia="zh-CN"/>
        </w:rPr>
        <w:t>；此外，</w:t>
      </w:r>
      <w:r>
        <w:rPr>
          <w:rFonts w:hint="eastAsia" w:ascii="Times New Roman" w:hAnsi="Times New Roman" w:eastAsia="宋体"/>
          <w:sz w:val="24"/>
          <w:lang w:val="en-US" w:eastAsia="zh-CN"/>
        </w:rPr>
        <w:t>东北三省的增值税改革适用于省内所有城市</w:t>
      </w:r>
      <w:r>
        <w:rPr>
          <w:rFonts w:hint="eastAsia"/>
          <w:sz w:val="24"/>
          <w:lang w:val="en-US" w:eastAsia="zh-CN"/>
        </w:rPr>
        <w:t>，无法</w:t>
      </w:r>
      <w:r>
        <w:rPr>
          <w:rFonts w:hint="eastAsia" w:ascii="Times New Roman" w:hAnsi="Times New Roman" w:eastAsia="宋体"/>
          <w:sz w:val="24"/>
          <w:lang w:val="en-US" w:eastAsia="zh-CN"/>
        </w:rPr>
        <w:t>在省内样本中构造出控制组和实验组，又由于东北三省与全国范围内其他城市间的工业经济水平差异固然存在，在东北三省城市和全国其他省份的城市间构造实验组和控制组的做法，存在样本</w:t>
      </w:r>
      <w:r>
        <w:rPr>
          <w:rFonts w:hint="eastAsia"/>
          <w:sz w:val="24"/>
          <w:lang w:val="en-US" w:eastAsia="zh-CN"/>
        </w:rPr>
        <w:t>不同质的</w:t>
      </w:r>
      <w:r>
        <w:rPr>
          <w:rFonts w:hint="eastAsia" w:ascii="Times New Roman" w:hAnsi="Times New Roman" w:eastAsia="宋体"/>
          <w:sz w:val="24"/>
          <w:lang w:val="en-US" w:eastAsia="zh-CN"/>
        </w:rPr>
        <w:t>问题</w:t>
      </w:r>
      <w:r>
        <w:rPr>
          <w:rFonts w:hint="eastAsia"/>
          <w:sz w:val="24"/>
          <w:lang w:val="en-US" w:eastAsia="zh-CN"/>
        </w:rPr>
        <w:t>。而中部六省属于经济同质性区域（孙红玲，2012），且中部六省试点阶段只在区域内部分城市进行转型改革，可以在经济差异更小的地域范围内构造实验组和控制组；此外，中部六省在该试点阶段的同期政策实施范围与增值税转型改革的实施范围重合度低、易于识别和控制，混同效应干扰小，故选择中部六省改革阶段的企业作为研究样本更有利于准确识别出改革对出口的影响。</w:t>
      </w:r>
    </w:p>
    <w:p>
      <w:pPr>
        <w:pStyle w:val="25"/>
        <w:bidi w:val="0"/>
        <w:rPr>
          <w:rFonts w:hint="default"/>
          <w:lang w:val="en-US" w:eastAsia="zh-CN"/>
        </w:rPr>
      </w:pPr>
      <w:bookmarkStart w:id="18" w:name="_Toc18343"/>
      <w:r>
        <w:rPr>
          <w:rFonts w:hint="eastAsia"/>
          <w:lang w:val="en-US" w:eastAsia="zh-CN"/>
        </w:rPr>
        <w:t>1.2.2 企业出口行为的影响因素</w:t>
      </w:r>
      <w:bookmarkEnd w:id="18"/>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有关企业出口行为的影响因素的文献可</w:t>
      </w:r>
      <w:r>
        <w:rPr>
          <w:rFonts w:hint="eastAsia" w:cs="宋体"/>
          <w:b w:val="0"/>
          <w:bCs/>
          <w:sz w:val="24"/>
          <w:szCs w:val="24"/>
          <w:lang w:val="en-US" w:eastAsia="zh-CN"/>
        </w:rPr>
        <w:t>以</w:t>
      </w:r>
      <w:r>
        <w:rPr>
          <w:rFonts w:hint="eastAsia" w:ascii="Times New Roman" w:hAnsi="Times New Roman" w:eastAsia="宋体" w:cs="宋体"/>
          <w:b w:val="0"/>
          <w:bCs/>
          <w:sz w:val="24"/>
          <w:szCs w:val="24"/>
          <w:lang w:val="en-US" w:eastAsia="zh-CN"/>
        </w:rPr>
        <w:t>被分为出口倾向的影响因素和出口绩效的影响因素两大类。</w:t>
      </w:r>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cs="宋体"/>
          <w:b w:val="0"/>
          <w:bCs/>
          <w:sz w:val="24"/>
          <w:szCs w:val="24"/>
          <w:lang w:val="en-US" w:eastAsia="zh-CN"/>
        </w:rPr>
        <w:t>出口倾向方面，</w:t>
      </w:r>
      <w:r>
        <w:rPr>
          <w:rFonts w:hint="eastAsia" w:ascii="Times New Roman" w:hAnsi="Times New Roman" w:eastAsia="宋体" w:cs="宋体"/>
          <w:b w:val="0"/>
          <w:bCs/>
          <w:sz w:val="24"/>
          <w:szCs w:val="24"/>
          <w:lang w:val="en-US" w:eastAsia="zh-CN"/>
        </w:rPr>
        <w:t>在新新贸易理论体系的阐述中，由于出口市场存在明显的门槛成本，劳动生产率更高、规模更大的企业的出口倾向更高（</w:t>
      </w:r>
      <w:r>
        <w:rPr>
          <w:rFonts w:hint="eastAsia" w:ascii="Times New Roman" w:hAnsi="Times New Roman" w:eastAsia="宋体"/>
          <w:sz w:val="24"/>
          <w:lang w:val="en-US" w:eastAsia="zh-CN"/>
        </w:rPr>
        <w:t>Melitz，2003；易靖韬，2009；</w:t>
      </w:r>
      <w:r>
        <w:rPr>
          <w:rFonts w:hint="eastAsia" w:ascii="Times New Roman" w:hAnsi="Times New Roman" w:eastAsia="宋体" w:cs="宋体"/>
          <w:sz w:val="24"/>
          <w:szCs w:val="24"/>
        </w:rPr>
        <w:t>毛其淋</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赵柯雨</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2021</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但</w:t>
      </w:r>
      <w:r>
        <w:rPr>
          <w:rFonts w:hint="eastAsia" w:ascii="Times New Roman" w:hAnsi="Times New Roman" w:eastAsia="宋体" w:cs="宋体"/>
          <w:b w:val="0"/>
          <w:bCs/>
          <w:sz w:val="24"/>
          <w:szCs w:val="24"/>
          <w:lang w:val="en-US" w:eastAsia="zh-CN"/>
        </w:rPr>
        <w:t>社会信用体系和知识产权制度的缺位会引发“生产率悖论”，即小规模、低技术企业</w:t>
      </w:r>
      <w:r>
        <w:rPr>
          <w:rFonts w:hint="eastAsia" w:cs="宋体"/>
          <w:b w:val="0"/>
          <w:bCs/>
          <w:sz w:val="24"/>
          <w:szCs w:val="24"/>
          <w:lang w:val="en-US" w:eastAsia="zh-CN"/>
        </w:rPr>
        <w:t>可能</w:t>
      </w:r>
      <w:r>
        <w:rPr>
          <w:rFonts w:hint="eastAsia" w:ascii="Times New Roman" w:hAnsi="Times New Roman" w:eastAsia="宋体" w:cs="宋体"/>
          <w:b w:val="0"/>
          <w:bCs/>
          <w:sz w:val="24"/>
          <w:szCs w:val="24"/>
          <w:lang w:val="en-US" w:eastAsia="zh-CN"/>
        </w:rPr>
        <w:t>更有倾向进入出口市场，并挤出大规模、高技术企业（张杰等，2008）。</w:t>
      </w:r>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关于出口绩效影响因素的研究中，出口规模的影响因素占据主导，但几乎没有关于出口强度的影响因素的研究。影响企业出口规模的因素主要包括企业规模、产品竞争力和出口信心、融资约束、生产率、产业聚集等，具体地，企业规模越大，越容易在国际市场发挥规模效应，从而有利于扩大出口规模（</w:t>
      </w:r>
      <w:r>
        <w:rPr>
          <w:rFonts w:hint="eastAsia" w:ascii="Times New Roman" w:hAnsi="Times New Roman" w:eastAsia="宋体" w:cs="宋体"/>
          <w:sz w:val="24"/>
          <w:szCs w:val="24"/>
        </w:rPr>
        <w:t>蒋冠宏</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蒋殿春</w:t>
      </w:r>
      <w:r>
        <w:rPr>
          <w:rFonts w:hint="eastAsia" w:ascii="Times New Roman" w:hAnsi="Times New Roman" w:eastAsia="宋体" w:cs="宋体"/>
          <w:b w:val="0"/>
          <w:bCs/>
          <w:sz w:val="24"/>
          <w:szCs w:val="24"/>
          <w:lang w:val="en-US" w:eastAsia="zh-CN"/>
        </w:rPr>
        <w:t>，2014；樊娜娜，2018；毛其淋和</w:t>
      </w:r>
      <w:r>
        <w:rPr>
          <w:rFonts w:hint="eastAsia" w:ascii="Times New Roman" w:hAnsi="Times New Roman" w:eastAsia="宋体" w:cs="宋体"/>
          <w:sz w:val="24"/>
          <w:szCs w:val="24"/>
        </w:rPr>
        <w:t>王澍</w:t>
      </w:r>
      <w:r>
        <w:rPr>
          <w:rFonts w:hint="eastAsia" w:ascii="Times New Roman" w:hAnsi="Times New Roman" w:eastAsia="宋体" w:cs="宋体"/>
          <w:b w:val="0"/>
          <w:bCs/>
          <w:sz w:val="24"/>
          <w:szCs w:val="24"/>
          <w:lang w:val="en-US" w:eastAsia="zh-CN"/>
        </w:rPr>
        <w:t>，2019）、产品竞争力和企业对出口市场的信心强弱与企业出口绩效正相关（郑方辉和刘晓婕，2020）、受到的融资约束越</w:t>
      </w:r>
      <w:r>
        <w:rPr>
          <w:rFonts w:hint="eastAsia" w:cs="宋体"/>
          <w:b w:val="0"/>
          <w:bCs/>
          <w:sz w:val="24"/>
          <w:szCs w:val="24"/>
          <w:lang w:val="en-US" w:eastAsia="zh-CN"/>
        </w:rPr>
        <w:t>弱</w:t>
      </w:r>
      <w:r>
        <w:rPr>
          <w:rFonts w:hint="eastAsia" w:ascii="Times New Roman" w:hAnsi="Times New Roman" w:eastAsia="宋体" w:cs="宋体"/>
          <w:b w:val="0"/>
          <w:bCs/>
          <w:sz w:val="24"/>
          <w:szCs w:val="24"/>
          <w:lang w:val="en-US" w:eastAsia="zh-CN"/>
        </w:rPr>
        <w:t>的企业的出口绩效越好（曹献飞，2015；田晖等，2018）、</w:t>
      </w:r>
      <w:r>
        <w:rPr>
          <w:rFonts w:hint="default" w:ascii="Times New Roman" w:hAnsi="Times New Roman" w:eastAsia="宋体" w:cs="宋体"/>
          <w:b w:val="0"/>
          <w:bCs/>
          <w:sz w:val="24"/>
          <w:szCs w:val="24"/>
          <w:lang w:val="en-US" w:eastAsia="zh-CN"/>
        </w:rPr>
        <w:t>企业生产率越高，企业的出口贸易规模越大（</w:t>
      </w:r>
      <w:r>
        <w:rPr>
          <w:rFonts w:hint="eastAsia" w:ascii="Times New Roman" w:hAnsi="Times New Roman" w:eastAsia="宋体" w:cs="宋体"/>
          <w:b w:val="0"/>
          <w:bCs/>
          <w:sz w:val="24"/>
          <w:szCs w:val="24"/>
          <w:lang w:val="en-US" w:eastAsia="zh-CN"/>
        </w:rPr>
        <w:t>朱英杰，2012；</w:t>
      </w:r>
      <w:r>
        <w:rPr>
          <w:rFonts w:hint="default" w:ascii="Times New Roman" w:hAnsi="Times New Roman" w:eastAsia="宋体" w:cs="宋体"/>
          <w:b w:val="0"/>
          <w:bCs/>
          <w:sz w:val="24"/>
          <w:szCs w:val="24"/>
          <w:lang w:val="en-US" w:eastAsia="zh-CN"/>
        </w:rPr>
        <w:t>Jonas，2016）</w:t>
      </w:r>
      <w:r>
        <w:rPr>
          <w:rFonts w:hint="eastAsia" w:ascii="Times New Roman" w:hAnsi="Times New Roman" w:eastAsia="宋体" w:cs="宋体"/>
          <w:b w:val="0"/>
          <w:bCs/>
          <w:sz w:val="24"/>
          <w:szCs w:val="24"/>
          <w:lang w:val="en-US" w:eastAsia="zh-CN"/>
        </w:rPr>
        <w:t>、产业聚集通过发挥削减人力资本负担等规模效应使企业出口规模扩大（林拓和申力，2012；苏素和廖冰雅，2015；白东北等，2019；孔哲等，2020）。影响企业出口强度的因素主要是企业规模，具体地，企业规模越大，其出口强度越高（周茜，2018；</w:t>
      </w:r>
      <w:r>
        <w:rPr>
          <w:rFonts w:hint="eastAsia" w:ascii="Times New Roman" w:hAnsi="Times New Roman" w:eastAsia="宋体" w:cs="宋体"/>
          <w:sz w:val="24"/>
          <w:szCs w:val="24"/>
        </w:rPr>
        <w:t>高霞</w:t>
      </w:r>
      <w:r>
        <w:rPr>
          <w:rFonts w:hint="eastAsia" w:ascii="Times New Roman" w:hAnsi="Times New Roman" w:eastAsia="宋体" w:cs="宋体"/>
          <w:sz w:val="24"/>
          <w:szCs w:val="24"/>
          <w:lang w:val="en-US" w:eastAsia="zh-CN"/>
        </w:rPr>
        <w:t>等</w:t>
      </w:r>
      <w:r>
        <w:rPr>
          <w:rFonts w:hint="eastAsia" w:ascii="Times New Roman" w:hAnsi="Times New Roman" w:eastAsia="宋体" w:cs="宋体"/>
          <w:b w:val="0"/>
          <w:bCs/>
          <w:sz w:val="24"/>
          <w:szCs w:val="24"/>
          <w:lang w:val="en-US" w:eastAsia="zh-CN"/>
        </w:rPr>
        <w:t>，2022）。</w:t>
      </w:r>
    </w:p>
    <w:p>
      <w:pPr>
        <w:pStyle w:val="25"/>
        <w:bidi w:val="0"/>
        <w:rPr>
          <w:rFonts w:hint="default"/>
          <w:lang w:val="en-US" w:eastAsia="zh-CN"/>
        </w:rPr>
      </w:pPr>
      <w:bookmarkStart w:id="19" w:name="_Toc14630"/>
      <w:r>
        <w:rPr>
          <w:rFonts w:hint="eastAsia"/>
          <w:lang w:val="en-US" w:eastAsia="zh-CN"/>
        </w:rPr>
        <w:t>1.2.3 增值税转型改革对企业出口的影响</w:t>
      </w:r>
      <w:bookmarkEnd w:id="19"/>
    </w:p>
    <w:p>
      <w:pPr>
        <w:keepNext w:val="0"/>
        <w:keepLines w:val="0"/>
        <w:pageBreakBefore w:val="0"/>
        <w:kinsoku/>
        <w:overflowPunct/>
        <w:topLinePunct w:val="0"/>
        <w:bidi w:val="0"/>
        <w:spacing w:line="360" w:lineRule="auto"/>
        <w:ind w:firstLine="480" w:firstLineChars="200"/>
        <w:jc w:val="both"/>
        <w:textAlignment w:val="auto"/>
        <w:rPr>
          <w:rFonts w:hint="eastAsia" w:cs="宋体"/>
          <w:b w:val="0"/>
          <w:bCs/>
          <w:sz w:val="24"/>
          <w:szCs w:val="24"/>
          <w:lang w:val="en-US" w:eastAsia="zh-CN"/>
        </w:rPr>
      </w:pPr>
      <w:r>
        <w:rPr>
          <w:rFonts w:hint="eastAsia" w:cs="宋体"/>
          <w:b w:val="0"/>
          <w:bCs/>
          <w:sz w:val="24"/>
          <w:szCs w:val="24"/>
          <w:lang w:val="en-US" w:eastAsia="zh-CN"/>
        </w:rPr>
        <w:t>本文将在本小节的讨论中总结改革影响企业出口行为可能的渠道因素，并从评价指标和识别策略角度总结现有关于增值税转型改革对企业出口影响的文献中空缺或不足的地方。</w:t>
      </w:r>
    </w:p>
    <w:p>
      <w:pPr>
        <w:keepNext w:val="0"/>
        <w:keepLines w:val="0"/>
        <w:pageBreakBefore w:val="0"/>
        <w:kinsoku/>
        <w:overflowPunct/>
        <w:topLinePunct w:val="0"/>
        <w:bidi w:val="0"/>
        <w:spacing w:line="360" w:lineRule="auto"/>
        <w:ind w:firstLine="480" w:firstLineChars="200"/>
        <w:jc w:val="both"/>
        <w:textAlignment w:val="auto"/>
        <w:rPr>
          <w:rFonts w:hint="default" w:cs="宋体"/>
          <w:b w:val="0"/>
          <w:bCs/>
          <w:sz w:val="24"/>
          <w:szCs w:val="24"/>
          <w:lang w:val="en-US" w:eastAsia="zh-CN"/>
        </w:rPr>
      </w:pPr>
      <w:r>
        <w:rPr>
          <w:rFonts w:hint="eastAsia" w:cs="Times New Roman"/>
          <w:b w:val="0"/>
          <w:bCs/>
          <w:sz w:val="24"/>
          <w:szCs w:val="24"/>
          <w:lang w:val="en-US" w:eastAsia="zh-CN"/>
        </w:rPr>
        <w:t>影响渠道方面，增值税转型改革可能通过融资约束、生产率和规模三个渠道影响企业，如</w:t>
      </w:r>
      <w:r>
        <w:rPr>
          <w:rFonts w:hint="eastAsia" w:ascii="Times New Roman" w:hAnsi="Times New Roman" w:eastAsia="宋体" w:cs="Times New Roman"/>
          <w:b w:val="0"/>
          <w:bCs/>
          <w:sz w:val="24"/>
          <w:szCs w:val="24"/>
          <w:lang w:val="en-US" w:eastAsia="zh-CN"/>
        </w:rPr>
        <w:t>增值税转型改革</w:t>
      </w:r>
      <w:r>
        <w:rPr>
          <w:rFonts w:hint="eastAsia" w:cs="Times New Roman"/>
          <w:b w:val="0"/>
          <w:bCs/>
          <w:sz w:val="24"/>
          <w:szCs w:val="24"/>
          <w:lang w:val="en-US" w:eastAsia="zh-CN"/>
        </w:rPr>
        <w:t>可以</w:t>
      </w:r>
      <w:r>
        <w:rPr>
          <w:rFonts w:hint="eastAsia" w:ascii="Times New Roman" w:hAnsi="Times New Roman" w:eastAsia="宋体" w:cs="Times New Roman"/>
          <w:b w:val="0"/>
          <w:bCs/>
          <w:sz w:val="24"/>
          <w:szCs w:val="24"/>
          <w:lang w:val="en-US" w:eastAsia="zh-CN"/>
        </w:rPr>
        <w:t>通过抵扣固定资产的进项税金额削弱企业受到的融资约束、激励企业进行固定资产投资</w:t>
      </w:r>
      <w:r>
        <w:rPr>
          <w:rFonts w:hint="eastAsia" w:cs="Times New Roman"/>
          <w:b w:val="0"/>
          <w:bCs/>
          <w:sz w:val="24"/>
          <w:szCs w:val="24"/>
          <w:lang w:val="en-US" w:eastAsia="zh-CN"/>
        </w:rPr>
        <w:t>（</w:t>
      </w:r>
      <w:r>
        <w:rPr>
          <w:rFonts w:hint="eastAsia" w:ascii="Times New Roman" w:hAnsi="Times New Roman" w:eastAsia="宋体" w:cs="宋体"/>
          <w:b w:val="0"/>
          <w:bCs/>
          <w:sz w:val="24"/>
          <w:szCs w:val="24"/>
          <w:lang w:val="en-US" w:eastAsia="zh-CN"/>
        </w:rPr>
        <w:t>聂辉华等，2009；申广军等，2016；Du&amp;Yang，2020</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和</w:t>
      </w:r>
      <w:r>
        <w:rPr>
          <w:rFonts w:hint="eastAsia" w:cs="Times New Roman"/>
          <w:b w:val="0"/>
          <w:bCs/>
          <w:sz w:val="24"/>
          <w:szCs w:val="24"/>
          <w:lang w:val="en-US" w:eastAsia="zh-CN"/>
        </w:rPr>
        <w:t>可能</w:t>
      </w:r>
      <w:r>
        <w:rPr>
          <w:rFonts w:hint="eastAsia" w:ascii="Times New Roman" w:hAnsi="Times New Roman" w:eastAsia="宋体" w:cs="Times New Roman"/>
          <w:b w:val="0"/>
          <w:bCs/>
          <w:sz w:val="24"/>
          <w:szCs w:val="24"/>
          <w:lang w:val="en-US" w:eastAsia="zh-CN"/>
        </w:rPr>
        <w:t>扩大</w:t>
      </w:r>
      <w:r>
        <w:rPr>
          <w:rFonts w:hint="eastAsia" w:cs="Times New Roman"/>
          <w:b w:val="0"/>
          <w:bCs/>
          <w:sz w:val="24"/>
          <w:szCs w:val="24"/>
          <w:lang w:val="en-US" w:eastAsia="zh-CN"/>
        </w:rPr>
        <w:t>企业</w:t>
      </w:r>
      <w:r>
        <w:rPr>
          <w:rFonts w:hint="eastAsia" w:ascii="Times New Roman" w:hAnsi="Times New Roman" w:eastAsia="宋体" w:cs="Times New Roman"/>
          <w:b w:val="0"/>
          <w:bCs/>
          <w:sz w:val="24"/>
          <w:szCs w:val="24"/>
          <w:lang w:val="en-US" w:eastAsia="zh-CN"/>
        </w:rPr>
        <w:t>规模</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提高企业的生产率</w:t>
      </w:r>
      <w:r>
        <w:rPr>
          <w:rFonts w:hint="eastAsia" w:cs="Times New Roman"/>
          <w:b w:val="0"/>
          <w:bCs/>
          <w:sz w:val="24"/>
          <w:szCs w:val="24"/>
          <w:lang w:val="en-US" w:eastAsia="zh-CN"/>
        </w:rPr>
        <w:t>（</w:t>
      </w:r>
      <w:r>
        <w:rPr>
          <w:rFonts w:hint="eastAsia" w:ascii="Times New Roman" w:hAnsi="Times New Roman" w:eastAsia="宋体" w:cs="宋体"/>
          <w:b w:val="0"/>
          <w:bCs/>
          <w:sz w:val="24"/>
          <w:szCs w:val="24"/>
          <w:lang w:val="en-US" w:eastAsia="zh-CN"/>
        </w:rPr>
        <w:t>聂辉华等，2009；申广军等，2016；Liu&amp;Mao，2019</w:t>
      </w:r>
      <w:r>
        <w:rPr>
          <w:rFonts w:hint="eastAsia" w:cs="Times New Roman"/>
          <w:b w:val="0"/>
          <w:bCs/>
          <w:sz w:val="24"/>
          <w:szCs w:val="24"/>
          <w:lang w:val="en-US" w:eastAsia="zh-CN"/>
        </w:rPr>
        <w:t>）。而本文在1.2.2中总结出</w:t>
      </w:r>
      <w:r>
        <w:rPr>
          <w:rFonts w:hint="eastAsia" w:ascii="Times New Roman" w:hAnsi="Times New Roman" w:eastAsia="宋体" w:cs="Times New Roman"/>
          <w:b w:val="0"/>
          <w:bCs/>
          <w:sz w:val="24"/>
          <w:szCs w:val="24"/>
          <w:lang w:val="en-US" w:eastAsia="zh-CN"/>
        </w:rPr>
        <w:t>企业出口倾向和出口绩效都受到企业融资约束、生产率和规模影响</w:t>
      </w:r>
      <w:r>
        <w:rPr>
          <w:rFonts w:hint="eastAsia" w:cs="Times New Roman"/>
          <w:b w:val="0"/>
          <w:bCs/>
          <w:sz w:val="24"/>
          <w:szCs w:val="24"/>
          <w:lang w:val="en-US" w:eastAsia="zh-CN"/>
        </w:rPr>
        <w:t>（</w:t>
      </w:r>
      <w:r>
        <w:rPr>
          <w:rFonts w:hint="eastAsia" w:ascii="Times New Roman" w:hAnsi="Times New Roman" w:eastAsia="宋体"/>
          <w:sz w:val="24"/>
          <w:lang w:val="en-US" w:eastAsia="zh-CN"/>
        </w:rPr>
        <w:t>聂辉华等，2009；</w:t>
      </w:r>
      <w:r>
        <w:rPr>
          <w:rFonts w:hint="eastAsia" w:ascii="Times New Roman" w:hAnsi="Times New Roman" w:eastAsia="宋体" w:cs="宋体"/>
          <w:sz w:val="24"/>
          <w:szCs w:val="24"/>
        </w:rPr>
        <w:t>蒋冠宏</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蒋殿春</w:t>
      </w:r>
      <w:r>
        <w:rPr>
          <w:rFonts w:hint="eastAsia" w:ascii="Times New Roman" w:hAnsi="Times New Roman" w:eastAsia="宋体" w:cs="宋体"/>
          <w:b w:val="0"/>
          <w:bCs/>
          <w:sz w:val="24"/>
          <w:szCs w:val="24"/>
          <w:lang w:val="en-US" w:eastAsia="zh-CN"/>
        </w:rPr>
        <w:t>，2014</w:t>
      </w:r>
      <w:r>
        <w:rPr>
          <w:rFonts w:hint="eastAsia" w:cs="宋体"/>
          <w:b w:val="0"/>
          <w:bCs/>
          <w:sz w:val="24"/>
          <w:szCs w:val="24"/>
          <w:lang w:val="en-US" w:eastAsia="zh-CN"/>
        </w:rPr>
        <w:t>；</w:t>
      </w:r>
      <w:r>
        <w:rPr>
          <w:rFonts w:hint="eastAsia" w:ascii="Times New Roman" w:hAnsi="Times New Roman" w:eastAsia="宋体"/>
          <w:sz w:val="24"/>
          <w:lang w:val="en-US" w:eastAsia="zh-CN"/>
        </w:rPr>
        <w:t>Liu&amp;Lu，2015</w:t>
      </w:r>
      <w:r>
        <w:rPr>
          <w:rFonts w:hint="eastAsia" w:cs="Times New Roman"/>
          <w:b w:val="0"/>
          <w:bCs/>
          <w:sz w:val="24"/>
          <w:szCs w:val="24"/>
          <w:lang w:val="en-US" w:eastAsia="zh-CN"/>
        </w:rPr>
        <w:t>），故本文认为增值税转型改革可能通过融资约束、生产率和规模三个渠道影响企业的出口行为。</w:t>
      </w:r>
    </w:p>
    <w:p>
      <w:pPr>
        <w:keepNext w:val="0"/>
        <w:keepLines w:val="0"/>
        <w:pageBreakBefore w:val="0"/>
        <w:widowControl/>
        <w:suppressLineNumbers w:val="0"/>
        <w:kinsoku/>
        <w:overflowPunct/>
        <w:topLinePunct w:val="0"/>
        <w:bidi w:val="0"/>
        <w:spacing w:line="360" w:lineRule="auto"/>
        <w:ind w:firstLine="480" w:firstLineChars="200"/>
        <w:jc w:val="left"/>
        <w:textAlignment w:val="auto"/>
        <w:rPr>
          <w:rFonts w:hint="default" w:ascii="Times New Roman" w:hAnsi="Times New Roman" w:eastAsia="宋体" w:cs="宋体"/>
          <w:color w:val="000000"/>
          <w:kern w:val="0"/>
          <w:sz w:val="24"/>
          <w:szCs w:val="24"/>
          <w:lang w:val="en-US" w:eastAsia="zh-CN" w:bidi="ar"/>
        </w:rPr>
      </w:pPr>
      <w:r>
        <w:rPr>
          <w:rFonts w:hint="eastAsia" w:cs="宋体"/>
          <w:color w:val="000000"/>
          <w:kern w:val="0"/>
          <w:sz w:val="24"/>
          <w:szCs w:val="24"/>
          <w:lang w:val="en-US" w:eastAsia="zh-CN" w:bidi="ar"/>
        </w:rPr>
        <w:t>评价指标方面，现有文献中</w:t>
      </w:r>
      <w:r>
        <w:rPr>
          <w:rFonts w:hint="eastAsia" w:ascii="Times New Roman" w:hAnsi="Times New Roman" w:eastAsia="宋体" w:cs="宋体"/>
          <w:color w:val="000000"/>
          <w:kern w:val="0"/>
          <w:sz w:val="24"/>
          <w:szCs w:val="24"/>
          <w:lang w:val="en-US" w:eastAsia="zh-CN" w:bidi="ar"/>
        </w:rPr>
        <w:t>改革对企业出口带来的积极影响主要包括：从提高生产率的途径对企业出口概率产生持久、显著的正向影响（Liu&amp;Lu,2015）、通过缓解融资约束、提高资本劳动比的方式提高企业出口的国内附加值率（刘玉海等，2020）。也有学者认为增值税转型改革存在非预期的</w:t>
      </w:r>
      <w:r>
        <w:rPr>
          <w:rFonts w:hint="eastAsia" w:cs="宋体"/>
          <w:color w:val="000000"/>
          <w:kern w:val="0"/>
          <w:sz w:val="24"/>
          <w:szCs w:val="24"/>
          <w:lang w:val="en-US" w:eastAsia="zh-CN" w:bidi="ar"/>
        </w:rPr>
        <w:t>出口</w:t>
      </w:r>
      <w:r>
        <w:rPr>
          <w:rFonts w:hint="eastAsia" w:ascii="Times New Roman" w:hAnsi="Times New Roman" w:eastAsia="宋体" w:cs="宋体"/>
          <w:color w:val="000000"/>
          <w:kern w:val="0"/>
          <w:sz w:val="24"/>
          <w:szCs w:val="24"/>
          <w:lang w:val="en-US" w:eastAsia="zh-CN" w:bidi="ar"/>
        </w:rPr>
        <w:t>影响，如导致出口技术复杂度下降（Du&amp;Yang,2020）、降低企业出口产品质量（Kong&amp;Xiong,2021）、降低企业出口强度（Cai&amp;Harrison，2011）、</w:t>
      </w:r>
      <w:r>
        <w:rPr>
          <w:rFonts w:hint="eastAsia" w:cs="宋体"/>
          <w:color w:val="000000"/>
          <w:kern w:val="0"/>
          <w:sz w:val="24"/>
          <w:szCs w:val="24"/>
          <w:lang w:val="en-US" w:eastAsia="zh-CN" w:bidi="ar"/>
        </w:rPr>
        <w:t>出口</w:t>
      </w:r>
      <w:r>
        <w:rPr>
          <w:rFonts w:hint="eastAsia" w:ascii="Times New Roman" w:hAnsi="Times New Roman" w:eastAsia="宋体" w:cs="宋体"/>
          <w:color w:val="000000"/>
          <w:kern w:val="0"/>
          <w:sz w:val="24"/>
          <w:szCs w:val="24"/>
          <w:lang w:val="en-US" w:eastAsia="zh-CN" w:bidi="ar"/>
        </w:rPr>
        <w:t>企业的自主技术创新并无显著提高（聂辉华等，2009）。</w:t>
      </w:r>
      <w:r>
        <w:rPr>
          <w:rFonts w:hint="eastAsia" w:cs="宋体"/>
          <w:color w:val="000000"/>
          <w:kern w:val="0"/>
          <w:sz w:val="24"/>
          <w:szCs w:val="24"/>
          <w:lang w:val="en-US" w:eastAsia="zh-CN" w:bidi="ar"/>
        </w:rPr>
        <w:t>从上述研究的评价指标选取可知，现有研究关于企业出口评价的指标选取各异、较为单一，几乎没有同时考察企业出口倾向、出口规模和出口密度这三个维度的研究。</w:t>
      </w:r>
    </w:p>
    <w:p>
      <w:pPr>
        <w:keepNext w:val="0"/>
        <w:keepLines w:val="0"/>
        <w:pageBreakBefore w:val="0"/>
        <w:widowControl/>
        <w:suppressLineNumbers w:val="0"/>
        <w:kinsoku/>
        <w:overflowPunct/>
        <w:topLinePunct w:val="0"/>
        <w:bidi w:val="0"/>
        <w:spacing w:line="360" w:lineRule="auto"/>
        <w:ind w:firstLine="480" w:firstLineChars="200"/>
        <w:jc w:val="left"/>
        <w:textAlignment w:val="auto"/>
        <w:rPr>
          <w:rFonts w:hint="default" w:ascii="Times New Roman" w:hAnsi="Times New Roman" w:eastAsia="宋体" w:cs="宋体"/>
          <w:color w:val="000000"/>
          <w:kern w:val="0"/>
          <w:sz w:val="24"/>
          <w:szCs w:val="24"/>
          <w:lang w:val="en-US" w:eastAsia="zh-CN" w:bidi="ar"/>
        </w:rPr>
      </w:pPr>
      <w:r>
        <w:rPr>
          <w:rFonts w:hint="eastAsia" w:cs="宋体"/>
          <w:color w:val="000000"/>
          <w:kern w:val="0"/>
          <w:sz w:val="24"/>
          <w:szCs w:val="24"/>
          <w:lang w:val="en-US" w:eastAsia="zh-CN" w:bidi="ar"/>
        </w:rPr>
        <w:t>识别策略方面，</w:t>
      </w:r>
      <w:r>
        <w:rPr>
          <w:rFonts w:hint="eastAsia" w:ascii="Times New Roman" w:hAnsi="Times New Roman" w:eastAsia="宋体" w:cs="Times New Roman"/>
          <w:sz w:val="24"/>
          <w:szCs w:val="24"/>
          <w:lang w:val="en-US" w:eastAsia="zh-CN"/>
        </w:rPr>
        <w:t>现存相关文献普遍忽略了市辖区企业的空间聚集效应，而对于存在空间效应的情况，</w:t>
      </w:r>
      <w:r>
        <w:rPr>
          <w:rFonts w:hint="eastAsia" w:ascii="Times New Roman" w:hAnsi="Times New Roman" w:eastAsia="宋体" w:cs="宋体"/>
          <w:b w:val="0"/>
          <w:bCs/>
          <w:sz w:val="24"/>
          <w:szCs w:val="24"/>
          <w:lang w:val="en-US" w:eastAsia="zh-CN"/>
        </w:rPr>
        <w:t>传统计量中关于个体相互独立的假设将不再被满足，估计结果的可信度</w:t>
      </w:r>
      <w:r>
        <w:rPr>
          <w:rFonts w:hint="eastAsia" w:cs="宋体"/>
          <w:b w:val="0"/>
          <w:bCs/>
          <w:sz w:val="24"/>
          <w:szCs w:val="24"/>
          <w:lang w:val="en-US" w:eastAsia="zh-CN"/>
        </w:rPr>
        <w:t>降低。此外，现有文献的回归模型差异较大、较为单一，仅采用面板固定效应模型、Heckman两步法、Tobit模型和两部模型中的一种进行回归，目前仅有一篇文献采用了多种回归模型（刘凯豪和王雪芳，2020），但并未深入讨论不同模型结果存在差异的原因。</w:t>
      </w:r>
    </w:p>
    <w:p>
      <w:pPr>
        <w:pStyle w:val="25"/>
        <w:bidi w:val="0"/>
        <w:rPr>
          <w:rFonts w:hint="default"/>
          <w:lang w:val="en-US" w:eastAsia="zh-CN"/>
        </w:rPr>
      </w:pPr>
      <w:bookmarkStart w:id="20" w:name="_Toc6983"/>
      <w:r>
        <w:rPr>
          <w:rFonts w:hint="eastAsia"/>
          <w:lang w:val="en-US" w:eastAsia="zh-CN"/>
        </w:rPr>
        <w:t>1.2.4 小结</w:t>
      </w:r>
      <w:bookmarkEnd w:id="20"/>
    </w:p>
    <w:p>
      <w:pPr>
        <w:keepNext w:val="0"/>
        <w:keepLines w:val="0"/>
        <w:pageBreakBefore w:val="0"/>
        <w:kinsoku/>
        <w:overflowPunct/>
        <w:topLinePunct w:val="0"/>
        <w:bidi w:val="0"/>
        <w:spacing w:line="360" w:lineRule="auto"/>
        <w:ind w:firstLine="480" w:firstLineChars="200"/>
        <w:textAlignment w:val="auto"/>
        <w:rPr>
          <w:rFonts w:hint="eastAsia"/>
          <w:sz w:val="24"/>
          <w:lang w:val="en-US" w:eastAsia="zh-CN"/>
        </w:rPr>
      </w:pPr>
      <w:r>
        <w:rPr>
          <w:rFonts w:hint="eastAsia"/>
          <w:sz w:val="24"/>
          <w:lang w:val="en-US" w:eastAsia="zh-CN"/>
        </w:rPr>
        <w:t>综上，相较于其他促进出口发展的减税政策，增值税的减税政策具有对资源配置扭曲小、减税空间大的优点，且关于增值税转型改革这一减税政策的出口效应的研究较少，故本文选取增值税转型改革作为研究事件。进一步地，相比于有关研究在东北三省和其他省份中构造处理组和控制组的做法，中部六省改革阶段的样本具有同质性和政策混同效应干扰小的优势，故本文选取中部六省试点阶段作为研究样本。</w:t>
      </w:r>
    </w:p>
    <w:p>
      <w:pPr>
        <w:keepNext w:val="0"/>
        <w:keepLines w:val="0"/>
        <w:pageBreakBefore w:val="0"/>
        <w:kinsoku/>
        <w:overflowPunct/>
        <w:topLinePunct w:val="0"/>
        <w:bidi w:val="0"/>
        <w:spacing w:line="360" w:lineRule="auto"/>
        <w:ind w:firstLine="480" w:firstLineChars="200"/>
        <w:textAlignment w:val="auto"/>
        <w:rPr>
          <w:rFonts w:hint="default"/>
          <w:sz w:val="24"/>
          <w:lang w:val="en-US" w:eastAsia="zh-CN"/>
        </w:rPr>
      </w:pPr>
      <w:r>
        <w:rPr>
          <w:rFonts w:hint="eastAsia"/>
          <w:sz w:val="24"/>
          <w:lang w:val="en-US" w:eastAsia="zh-CN"/>
        </w:rPr>
        <w:t>现存相关研究鲜有同时考察企业出口倾向、出口规模和出口密度三个维度的企业出口行为，而更丰富的评价指标有利于更准确地把握政策效果，故本文采用出口倾向、出口规模和出口密度三个评价指标，考察企业出口行为。</w:t>
      </w:r>
    </w:p>
    <w:p>
      <w:pPr>
        <w:keepNext w:val="0"/>
        <w:keepLines w:val="0"/>
        <w:pageBreakBefore w:val="0"/>
        <w:kinsoku/>
        <w:overflowPunct/>
        <w:topLinePunct w:val="0"/>
        <w:bidi w:val="0"/>
        <w:spacing w:line="360" w:lineRule="auto"/>
        <w:ind w:firstLine="480" w:firstLineChars="200"/>
        <w:textAlignment w:val="auto"/>
        <w:rPr>
          <w:rFonts w:hint="default"/>
          <w:sz w:val="24"/>
          <w:lang w:val="en-US" w:eastAsia="zh-CN"/>
        </w:rPr>
      </w:pPr>
      <w:r>
        <w:rPr>
          <w:rFonts w:hint="eastAsia" w:ascii="Times New Roman" w:hAnsi="Times New Roman" w:eastAsia="宋体" w:cs="Times New Roman"/>
          <w:sz w:val="24"/>
          <w:szCs w:val="24"/>
          <w:lang w:val="en-US" w:eastAsia="zh-CN"/>
        </w:rPr>
        <w:t>现存相关文献普遍忽略了市辖区企业的空间聚集效应，</w:t>
      </w:r>
      <w:r>
        <w:rPr>
          <w:rFonts w:hint="eastAsia" w:cs="Times New Roman"/>
          <w:sz w:val="24"/>
          <w:szCs w:val="24"/>
          <w:lang w:val="en-US" w:eastAsia="zh-CN"/>
        </w:rPr>
        <w:t>导致</w:t>
      </w:r>
      <w:r>
        <w:rPr>
          <w:rFonts w:hint="eastAsia" w:ascii="Times New Roman" w:hAnsi="Times New Roman" w:eastAsia="宋体" w:cs="宋体"/>
          <w:b w:val="0"/>
          <w:bCs/>
          <w:sz w:val="24"/>
          <w:szCs w:val="24"/>
          <w:lang w:val="en-US" w:eastAsia="zh-CN"/>
        </w:rPr>
        <w:t>估计结果的可信度</w:t>
      </w:r>
      <w:r>
        <w:rPr>
          <w:rFonts w:hint="eastAsia" w:cs="宋体"/>
          <w:b w:val="0"/>
          <w:bCs/>
          <w:sz w:val="24"/>
          <w:szCs w:val="24"/>
          <w:lang w:val="en-US" w:eastAsia="zh-CN"/>
        </w:rPr>
        <w:t>降低</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此外，有关研究选取的回归模型各异、较为单一，缺少对不同模型回归结果的对比与讨论。因此，本文剔除市辖区样本，并采取多模型对比分析的方法，提高估计结果的可信度与可解释性。</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eastAsia"/>
          <w:sz w:val="24"/>
          <w:lang w:val="en-US" w:eastAsia="zh-CN"/>
        </w:rPr>
        <w:t>基于前文，本文的研究</w:t>
      </w:r>
      <w:r>
        <w:rPr>
          <w:rFonts w:hint="eastAsia" w:ascii="Times New Roman" w:hAnsi="Times New Roman" w:eastAsia="宋体"/>
          <w:sz w:val="24"/>
          <w:lang w:val="en-US" w:eastAsia="zh-CN"/>
        </w:rPr>
        <w:t>关注两个</w:t>
      </w:r>
      <w:r>
        <w:rPr>
          <w:rFonts w:hint="eastAsia"/>
          <w:sz w:val="24"/>
          <w:lang w:val="en-US" w:eastAsia="zh-CN"/>
        </w:rPr>
        <w:t>核心</w:t>
      </w:r>
      <w:r>
        <w:rPr>
          <w:rFonts w:hint="eastAsia" w:ascii="Times New Roman" w:hAnsi="Times New Roman" w:eastAsia="宋体"/>
          <w:sz w:val="24"/>
          <w:lang w:val="en-US" w:eastAsia="zh-CN"/>
        </w:rPr>
        <w:t>问题：</w:t>
      </w:r>
      <w:r>
        <w:rPr>
          <w:rFonts w:hint="eastAsia"/>
          <w:sz w:val="24"/>
          <w:lang w:val="en-US" w:eastAsia="zh-CN"/>
        </w:rPr>
        <w:t>其一，</w:t>
      </w:r>
      <w:r>
        <w:rPr>
          <w:rFonts w:hint="eastAsia" w:ascii="Times New Roman" w:hAnsi="Times New Roman" w:eastAsia="宋体"/>
          <w:b w:val="0"/>
          <w:bCs w:val="0"/>
          <w:sz w:val="24"/>
          <w:lang w:val="en-US" w:eastAsia="zh-CN"/>
        </w:rPr>
        <w:t>增值税转型改革对企业出口行为的影响</w:t>
      </w:r>
      <w:r>
        <w:rPr>
          <w:rFonts w:hint="eastAsia"/>
          <w:sz w:val="24"/>
          <w:lang w:val="en-US" w:eastAsia="zh-CN"/>
        </w:rPr>
        <w:t>；其二，</w:t>
      </w:r>
      <w:r>
        <w:rPr>
          <w:rFonts w:hint="eastAsia" w:ascii="Times New Roman" w:hAnsi="Times New Roman" w:eastAsia="宋体" w:cs="Times New Roman"/>
          <w:b w:val="0"/>
          <w:bCs w:val="0"/>
          <w:sz w:val="24"/>
          <w:lang w:val="en-US" w:eastAsia="zh-CN"/>
        </w:rPr>
        <w:t>增值税转型改革影响企业出口行为的机制</w:t>
      </w:r>
      <w:r>
        <w:rPr>
          <w:rFonts w:hint="eastAsia"/>
          <w:sz w:val="24"/>
          <w:lang w:val="en-US" w:eastAsia="zh-CN"/>
        </w:rPr>
        <w:t>。</w:t>
      </w:r>
    </w:p>
    <w:p>
      <w:pPr>
        <w:pStyle w:val="16"/>
        <w:bidi w:val="0"/>
        <w:rPr>
          <w:rFonts w:hint="eastAsia"/>
          <w:lang w:val="en-US" w:eastAsia="zh-CN"/>
        </w:rPr>
      </w:pPr>
      <w:bookmarkStart w:id="21" w:name="_Toc23357"/>
      <w:r>
        <w:rPr>
          <w:rFonts w:hint="eastAsia"/>
          <w:lang w:val="en-US" w:eastAsia="zh-CN"/>
        </w:rPr>
        <w:t>1.3 研究方案</w:t>
      </w:r>
      <w:bookmarkEnd w:id="21"/>
    </w:p>
    <w:p>
      <w:pPr>
        <w:pStyle w:val="25"/>
        <w:bidi w:val="0"/>
        <w:rPr>
          <w:rFonts w:hint="default"/>
          <w:lang w:val="en-US" w:eastAsia="zh-CN"/>
        </w:rPr>
      </w:pPr>
      <w:bookmarkStart w:id="22" w:name="_Toc2494"/>
      <w:r>
        <w:rPr>
          <w:rFonts w:hint="eastAsia"/>
          <w:lang w:val="en-US" w:eastAsia="zh-CN"/>
        </w:rPr>
        <w:t>1.3.1 研究方法</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1"/>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本文结合使用文献分析法和实证分析法进行研究。本文首先使用文献分析法对现有关于税收与出口的研究成果进行梳理和分析，找出补充或改进的</w:t>
      </w:r>
      <w:r>
        <w:rPr>
          <w:rFonts w:hint="eastAsia" w:cs="宋体"/>
          <w:b w:val="0"/>
          <w:bCs/>
          <w:sz w:val="24"/>
          <w:szCs w:val="24"/>
          <w:lang w:val="en-US" w:eastAsia="zh-CN"/>
        </w:rPr>
        <w:t>思路</w:t>
      </w:r>
      <w:r>
        <w:rPr>
          <w:rFonts w:hint="eastAsia" w:ascii="Times New Roman" w:hAnsi="Times New Roman" w:eastAsia="宋体" w:cs="宋体"/>
          <w:b w:val="0"/>
          <w:bCs/>
          <w:sz w:val="24"/>
          <w:szCs w:val="24"/>
          <w:lang w:val="en-US" w:eastAsia="zh-CN"/>
        </w:rPr>
        <w:t>；进一步以文献分析</w:t>
      </w:r>
      <w:r>
        <w:rPr>
          <w:rFonts w:hint="eastAsia" w:cs="宋体"/>
          <w:b w:val="0"/>
          <w:bCs/>
          <w:sz w:val="24"/>
          <w:szCs w:val="24"/>
          <w:lang w:val="en-US" w:eastAsia="zh-CN"/>
        </w:rPr>
        <w:t>小结</w:t>
      </w:r>
      <w:r>
        <w:rPr>
          <w:rFonts w:hint="eastAsia" w:ascii="Times New Roman" w:hAnsi="Times New Roman" w:eastAsia="宋体" w:cs="宋体"/>
          <w:b w:val="0"/>
          <w:bCs/>
          <w:sz w:val="24"/>
          <w:szCs w:val="24"/>
          <w:lang w:val="en-US" w:eastAsia="zh-CN"/>
        </w:rPr>
        <w:t>中提出的研究问题为</w:t>
      </w:r>
      <w:r>
        <w:rPr>
          <w:rFonts w:hint="eastAsia" w:cs="宋体"/>
          <w:b w:val="0"/>
          <w:bCs/>
          <w:sz w:val="24"/>
          <w:szCs w:val="24"/>
          <w:lang w:val="en-US" w:eastAsia="zh-CN"/>
        </w:rPr>
        <w:t>出发</w:t>
      </w:r>
      <w:r>
        <w:rPr>
          <w:rFonts w:hint="eastAsia" w:ascii="Times New Roman" w:hAnsi="Times New Roman" w:eastAsia="宋体" w:cs="宋体"/>
          <w:b w:val="0"/>
          <w:bCs/>
          <w:sz w:val="24"/>
          <w:szCs w:val="24"/>
          <w:lang w:val="en-US" w:eastAsia="zh-CN"/>
        </w:rPr>
        <w:t>点，通过实证分析进行回答和验证，具体地，本文首先使用相关研究中四种与DID方法相结合的模型</w:t>
      </w:r>
      <w:r>
        <w:rPr>
          <w:rStyle w:val="14"/>
          <w:rFonts w:hint="eastAsia" w:ascii="Times New Roman" w:hAnsi="Times New Roman" w:eastAsia="宋体" w:cs="宋体"/>
          <w:b w:val="0"/>
          <w:bCs/>
          <w:sz w:val="24"/>
          <w:szCs w:val="24"/>
          <w:lang w:val="en-US" w:eastAsia="zh-CN"/>
        </w:rPr>
        <w:footnoteReference w:id="2"/>
      </w:r>
      <w:r>
        <w:rPr>
          <w:rFonts w:hint="eastAsia" w:ascii="Times New Roman" w:hAnsi="Times New Roman" w:eastAsia="宋体" w:cs="宋体"/>
          <w:b w:val="0"/>
          <w:bCs/>
          <w:sz w:val="24"/>
          <w:szCs w:val="24"/>
          <w:lang w:val="en-US" w:eastAsia="zh-CN"/>
        </w:rPr>
        <w:t>进行基准回归，且为避免内生性问题对有关变量做了滞后处理，对比四种模型的回归结果分析得出具有稳健性的结果，而后通过平行趋势检验、政策外生性讨论、安慰剂测试、</w:t>
      </w:r>
      <w:r>
        <w:rPr>
          <w:rFonts w:hint="eastAsia" w:cs="宋体"/>
          <w:b w:val="0"/>
          <w:bCs/>
          <w:sz w:val="24"/>
          <w:szCs w:val="24"/>
          <w:lang w:val="en-US" w:eastAsia="zh-CN"/>
        </w:rPr>
        <w:t>低GDP增速子样本回归、检验其他内生性问题</w:t>
      </w:r>
      <w:r>
        <w:rPr>
          <w:rFonts w:hint="eastAsia" w:ascii="Times New Roman" w:hAnsi="Times New Roman" w:eastAsia="宋体" w:cs="宋体"/>
          <w:b w:val="0"/>
          <w:bCs/>
          <w:sz w:val="24"/>
          <w:szCs w:val="24"/>
          <w:lang w:val="en-US" w:eastAsia="zh-CN"/>
        </w:rPr>
        <w:t>的方式确认本文基准回归结果的稳健性，最后根据企业的不同特质进行了异质性分析，并分别从整体和子样本的角度讨论了增值税改革对企业出口的作用机制。</w:t>
      </w:r>
    </w:p>
    <w:p>
      <w:pPr>
        <w:pStyle w:val="25"/>
        <w:bidi w:val="0"/>
        <w:rPr>
          <w:rFonts w:hint="default"/>
          <w:lang w:val="en-US" w:eastAsia="zh-CN"/>
        </w:rPr>
      </w:pPr>
      <w:bookmarkStart w:id="23" w:name="_Toc3777"/>
      <w:r>
        <w:rPr>
          <w:rFonts w:hint="eastAsia"/>
          <w:lang w:val="en-US" w:eastAsia="zh-CN"/>
        </w:rPr>
        <w:t>1.3.2 研究内容</w:t>
      </w:r>
      <w:bookmarkEnd w:id="23"/>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本文首先讨论了增值税转型改革是否影响企业出口行为，并进一步分析了</w:t>
      </w:r>
      <w:r>
        <w:rPr>
          <w:rFonts w:hint="eastAsia"/>
          <w:sz w:val="24"/>
          <w:lang w:val="en-US" w:eastAsia="zh-CN"/>
        </w:rPr>
        <w:t>改革影响</w:t>
      </w:r>
      <w:r>
        <w:rPr>
          <w:rFonts w:hint="eastAsia" w:ascii="Times New Roman" w:hAnsi="Times New Roman" w:eastAsia="宋体"/>
          <w:sz w:val="24"/>
          <w:lang w:val="en-US" w:eastAsia="zh-CN"/>
        </w:rPr>
        <w:t>对不同企业的异质性。基于工业企业数据库和专利数据库、区域经济数据，本文选取了在观察期间一直处于营业状态的企业作为样本，通过对与DID方法结合的四种模型的回归结果进行比较分析，本文发现两部模型的适用性最高，其回归结果显示改革显著</w:t>
      </w:r>
      <w:r>
        <w:rPr>
          <w:rFonts w:hint="eastAsia"/>
          <w:sz w:val="24"/>
          <w:lang w:val="en-US" w:eastAsia="zh-CN"/>
        </w:rPr>
        <w:t>但有限</w:t>
      </w:r>
      <w:r>
        <w:rPr>
          <w:rFonts w:hint="eastAsia" w:ascii="Times New Roman" w:hAnsi="Times New Roman" w:eastAsia="宋体"/>
          <w:sz w:val="24"/>
          <w:lang w:val="en-US" w:eastAsia="zh-CN"/>
        </w:rPr>
        <w:t>地将企业出口倾向提高了约2%、平均出口规模扩大约</w:t>
      </w:r>
      <w:r>
        <w:rPr>
          <w:rFonts w:hint="eastAsia"/>
          <w:sz w:val="24"/>
          <w:lang w:val="en-US" w:eastAsia="zh-CN"/>
        </w:rPr>
        <w:t>200</w:t>
      </w:r>
      <w:r>
        <w:rPr>
          <w:rFonts w:hint="eastAsia" w:ascii="Times New Roman" w:hAnsi="Times New Roman" w:eastAsia="宋体"/>
          <w:sz w:val="24"/>
          <w:lang w:val="en-US" w:eastAsia="zh-CN"/>
        </w:rPr>
        <w:t>万元人民币、平均出口密度下降约0.63%。本文通过多种方式检验了基准回归结果的稳健性后，进一步依据企业产权性质是否为国有、企业所在行业是否为资本密集型、企业所在行业是否为高集中度行业划分出的子样本进行分组回归，结果显示改革对企业的出口行为存在明显的异质性，具体地，非国有企业、处于资本密集型行业的企业和处于低集中度行业的企业对改革的敏感程度更高，且具有受到较大的融资约束压力的共同特质。</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sz w:val="24"/>
          <w:lang w:val="en-US" w:eastAsia="zh-CN"/>
        </w:rPr>
        <w:t>为进一步讨论增值税改革对企业出口行为的影响机制，本文按照结合异质性分析结果和相关研究结论推断出的作用</w:t>
      </w:r>
      <w:r>
        <w:rPr>
          <w:rFonts w:hint="eastAsia"/>
          <w:sz w:val="24"/>
          <w:lang w:val="en-US" w:eastAsia="zh-CN"/>
        </w:rPr>
        <w:t>渠道</w:t>
      </w:r>
      <w:r>
        <w:rPr>
          <w:rFonts w:hint="eastAsia" w:ascii="Times New Roman" w:hAnsi="Times New Roman" w:eastAsia="宋体"/>
          <w:sz w:val="24"/>
          <w:lang w:val="en-US" w:eastAsia="zh-CN"/>
        </w:rPr>
        <w:t>进行回归，从而发现改革主要通过</w:t>
      </w:r>
      <w:r>
        <w:rPr>
          <w:rFonts w:hint="eastAsia" w:ascii="Times New Roman" w:hAnsi="Times New Roman" w:eastAsia="宋体"/>
          <w:b w:val="0"/>
          <w:bCs/>
          <w:sz w:val="24"/>
          <w:szCs w:val="24"/>
          <w:lang w:val="en-US" w:eastAsia="zh-CN"/>
        </w:rPr>
        <w:t>融资约束途径</w:t>
      </w:r>
      <w:r>
        <w:rPr>
          <w:rFonts w:hint="eastAsia"/>
          <w:b w:val="0"/>
          <w:bCs/>
          <w:sz w:val="24"/>
          <w:szCs w:val="24"/>
          <w:lang w:val="en-US" w:eastAsia="zh-CN"/>
        </w:rPr>
        <w:t>、生产率和规模渠道</w:t>
      </w:r>
      <w:r>
        <w:rPr>
          <w:rFonts w:hint="eastAsia" w:ascii="Times New Roman" w:hAnsi="Times New Roman" w:eastAsia="宋体"/>
          <w:b w:val="0"/>
          <w:bCs/>
          <w:sz w:val="24"/>
          <w:szCs w:val="24"/>
          <w:lang w:val="en-US" w:eastAsia="zh-CN"/>
        </w:rPr>
        <w:t>作用于企业的出口行为，具体地，改革释放了现金流，削弱了企业的融资约束，在融资负担减轻后，企业根据自身的特质对资本或劳动进行投资，</w:t>
      </w:r>
      <w:r>
        <w:rPr>
          <w:rFonts w:hint="eastAsia"/>
          <w:b w:val="0"/>
          <w:bCs/>
          <w:sz w:val="24"/>
          <w:szCs w:val="24"/>
          <w:lang w:val="en-US" w:eastAsia="zh-CN"/>
        </w:rPr>
        <w:t>投资结果是</w:t>
      </w:r>
      <w:r>
        <w:rPr>
          <w:rFonts w:hint="eastAsia" w:ascii="Times New Roman" w:hAnsi="Times New Roman" w:eastAsia="宋体"/>
          <w:b w:val="0"/>
          <w:bCs/>
          <w:sz w:val="24"/>
          <w:szCs w:val="24"/>
          <w:lang w:val="en-US" w:eastAsia="zh-CN"/>
        </w:rPr>
        <w:t>在平均意义上提高了企业资本劳动比、扩大了企业规模，资本劳动比的提高进一步提高了企业整体的劳动生产率，使得企业在国际市场上竞争力增强</w:t>
      </w:r>
      <w:r>
        <w:rPr>
          <w:rFonts w:hint="eastAsia"/>
          <w:b w:val="0"/>
          <w:bCs/>
          <w:sz w:val="24"/>
          <w:szCs w:val="24"/>
          <w:lang w:val="en-US" w:eastAsia="zh-CN"/>
        </w:rPr>
        <w:t>，</w:t>
      </w:r>
      <w:r>
        <w:rPr>
          <w:rFonts w:hint="eastAsia" w:ascii="Times New Roman" w:hAnsi="Times New Roman" w:eastAsia="宋体"/>
          <w:b w:val="0"/>
          <w:bCs/>
          <w:sz w:val="24"/>
          <w:szCs w:val="24"/>
          <w:lang w:val="en-US" w:eastAsia="zh-CN"/>
        </w:rPr>
        <w:t>进而扩大了出口规模；企业规模的扩大提高了企业的出口强度，但</w:t>
      </w:r>
      <w:r>
        <w:rPr>
          <w:rFonts w:hint="eastAsia"/>
          <w:b w:val="0"/>
          <w:bCs/>
          <w:sz w:val="24"/>
          <w:szCs w:val="24"/>
          <w:lang w:val="en-US" w:eastAsia="zh-CN"/>
        </w:rPr>
        <w:t>其</w:t>
      </w:r>
      <w:r>
        <w:rPr>
          <w:rFonts w:hint="eastAsia" w:ascii="Times New Roman" w:hAnsi="Times New Roman" w:eastAsia="宋体"/>
          <w:b w:val="0"/>
          <w:bCs/>
          <w:sz w:val="24"/>
          <w:szCs w:val="24"/>
          <w:lang w:val="en-US" w:eastAsia="zh-CN"/>
        </w:rPr>
        <w:t>对非出口</w:t>
      </w:r>
      <w:r>
        <w:rPr>
          <w:rFonts w:hint="eastAsia"/>
          <w:b w:val="0"/>
          <w:bCs/>
          <w:sz w:val="24"/>
          <w:szCs w:val="24"/>
          <w:lang w:val="en-US" w:eastAsia="zh-CN"/>
        </w:rPr>
        <w:t>市场</w:t>
      </w:r>
      <w:r>
        <w:rPr>
          <w:rFonts w:hint="eastAsia" w:ascii="Times New Roman" w:hAnsi="Times New Roman" w:eastAsia="宋体"/>
          <w:b w:val="0"/>
          <w:bCs/>
          <w:sz w:val="24"/>
          <w:szCs w:val="24"/>
          <w:lang w:val="en-US" w:eastAsia="zh-CN"/>
        </w:rPr>
        <w:t>新进入者的出口强度的正向影响可能受到了制度因素的扭曲。</w:t>
      </w:r>
    </w:p>
    <w:p>
      <w:pPr>
        <w:pStyle w:val="16"/>
        <w:bidi w:val="0"/>
        <w:rPr>
          <w:rFonts w:hint="default"/>
          <w:lang w:val="en-US" w:eastAsia="zh-CN"/>
        </w:rPr>
      </w:pPr>
      <w:bookmarkStart w:id="24" w:name="_Toc31508"/>
      <w:r>
        <w:rPr>
          <w:rFonts w:hint="eastAsia"/>
          <w:lang w:val="en-US" w:eastAsia="zh-CN"/>
        </w:rPr>
        <w:t>1.4 研究意义</w:t>
      </w:r>
      <w:bookmarkEnd w:id="24"/>
    </w:p>
    <w:p>
      <w:pPr>
        <w:pStyle w:val="25"/>
        <w:bidi w:val="0"/>
        <w:rPr>
          <w:rFonts w:hint="default"/>
          <w:lang w:val="en-US" w:eastAsia="zh-CN"/>
        </w:rPr>
      </w:pPr>
      <w:bookmarkStart w:id="25" w:name="_Toc32054"/>
      <w:r>
        <w:rPr>
          <w:rFonts w:hint="eastAsia"/>
          <w:lang w:val="en-US" w:eastAsia="zh-CN"/>
        </w:rPr>
        <w:t>1.4.1 理论意义</w:t>
      </w:r>
      <w:bookmarkEnd w:id="25"/>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cs="宋体"/>
          <w:b w:val="0"/>
          <w:bCs/>
          <w:sz w:val="24"/>
          <w:szCs w:val="24"/>
          <w:lang w:val="en-US" w:eastAsia="zh-CN"/>
        </w:rPr>
        <w:t>本文从样本选取、构造方式和指标选取与回归模型角度进行了创新，丰富了关于增值税转型改革对企业出口影响的研究。具体地，</w:t>
      </w:r>
      <w:r>
        <w:rPr>
          <w:rFonts w:hint="eastAsia" w:ascii="Times New Roman" w:hAnsi="Times New Roman" w:eastAsia="宋体" w:cs="宋体"/>
          <w:b w:val="0"/>
          <w:bCs/>
          <w:sz w:val="24"/>
          <w:szCs w:val="24"/>
          <w:lang w:val="en-US" w:eastAsia="zh-CN"/>
        </w:rPr>
        <w:t>由于以往有关增值税转型改革对出口影响的研究多以东北三省试点阶段的企业作为样本，而鲜有直接以在中部省份试点的阶段作为样本的研究，本文以不同改革阶段的视角对现有文献进行补充，并探究结论是否与现有研究不同；</w:t>
      </w:r>
      <w:r>
        <w:rPr>
          <w:rFonts w:hint="eastAsia" w:ascii="Times New Roman" w:hAnsi="Times New Roman" w:eastAsia="宋体" w:cs="Times New Roman"/>
          <w:sz w:val="24"/>
          <w:szCs w:val="24"/>
          <w:lang w:val="en-US" w:eastAsia="zh-CN"/>
        </w:rPr>
        <w:t>现存相关文献普遍忽略了市辖区企业的空间聚集效应，而对于存在空间效应的情况，</w:t>
      </w:r>
      <w:r>
        <w:rPr>
          <w:rFonts w:hint="eastAsia" w:ascii="Times New Roman" w:hAnsi="Times New Roman" w:eastAsia="宋体" w:cs="宋体"/>
          <w:b w:val="0"/>
          <w:bCs/>
          <w:sz w:val="24"/>
          <w:szCs w:val="24"/>
          <w:lang w:val="en-US" w:eastAsia="zh-CN"/>
        </w:rPr>
        <w:t>传统计量中关于个体相互独立的假设将不再被满足，</w:t>
      </w:r>
      <w:r>
        <w:rPr>
          <w:rFonts w:hint="eastAsia" w:cs="宋体"/>
          <w:b w:val="0"/>
          <w:bCs/>
          <w:sz w:val="24"/>
          <w:szCs w:val="24"/>
          <w:lang w:val="en-US" w:eastAsia="zh-CN"/>
        </w:rPr>
        <w:t>导致</w:t>
      </w:r>
      <w:r>
        <w:rPr>
          <w:rFonts w:hint="eastAsia" w:ascii="Times New Roman" w:hAnsi="Times New Roman" w:eastAsia="宋体" w:cs="宋体"/>
          <w:b w:val="0"/>
          <w:bCs/>
          <w:sz w:val="24"/>
          <w:szCs w:val="24"/>
          <w:lang w:val="en-US" w:eastAsia="zh-CN"/>
        </w:rPr>
        <w:t>估计结果出现偏误，本文将市辖区企业从样本中剔除，基于经济、社会条件差异更小的非市辖区构造样本，以降低空间效应对估计结果的干扰，从样本构造的视角对现有文献作出补充</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现存相关文献大多只采用</w:t>
      </w:r>
      <w:r>
        <w:rPr>
          <w:rFonts w:hint="eastAsia" w:cs="宋体"/>
          <w:b w:val="0"/>
          <w:bCs/>
          <w:sz w:val="24"/>
          <w:szCs w:val="24"/>
          <w:lang w:val="en-US" w:eastAsia="zh-CN"/>
        </w:rPr>
        <w:t>双重差分法结合</w:t>
      </w:r>
      <w:r>
        <w:rPr>
          <w:rFonts w:hint="eastAsia" w:ascii="Times New Roman" w:hAnsi="Times New Roman" w:eastAsia="宋体" w:cs="宋体"/>
          <w:b w:val="0"/>
          <w:bCs/>
          <w:sz w:val="24"/>
          <w:szCs w:val="24"/>
          <w:lang w:val="en-US" w:eastAsia="zh-CN"/>
        </w:rPr>
        <w:t>面板固定效应或</w:t>
      </w:r>
      <w:r>
        <w:rPr>
          <w:rFonts w:hint="eastAsia" w:cs="宋体"/>
          <w:b w:val="0"/>
          <w:bCs/>
          <w:sz w:val="24"/>
          <w:szCs w:val="24"/>
          <w:lang w:val="en-US" w:eastAsia="zh-CN"/>
        </w:rPr>
        <w:t>赫克曼</w:t>
      </w:r>
      <w:r>
        <w:rPr>
          <w:rFonts w:hint="eastAsia" w:ascii="Times New Roman" w:hAnsi="Times New Roman" w:eastAsia="宋体" w:cs="宋体"/>
          <w:b w:val="0"/>
          <w:bCs/>
          <w:sz w:val="24"/>
          <w:szCs w:val="24"/>
          <w:lang w:val="en-US" w:eastAsia="zh-CN"/>
        </w:rPr>
        <w:t>两阶段模型进行回归，而本文对比四种回归模型的</w:t>
      </w:r>
      <w:r>
        <w:rPr>
          <w:rFonts w:hint="eastAsia" w:cs="宋体"/>
          <w:b w:val="0"/>
          <w:bCs/>
          <w:sz w:val="24"/>
          <w:szCs w:val="24"/>
          <w:lang w:val="en-US" w:eastAsia="zh-CN"/>
        </w:rPr>
        <w:t>估计</w:t>
      </w:r>
      <w:r>
        <w:rPr>
          <w:rFonts w:hint="eastAsia" w:ascii="Times New Roman" w:hAnsi="Times New Roman" w:eastAsia="宋体" w:cs="宋体"/>
          <w:b w:val="0"/>
          <w:bCs/>
          <w:sz w:val="24"/>
          <w:szCs w:val="24"/>
          <w:lang w:val="en-US" w:eastAsia="zh-CN"/>
        </w:rPr>
        <w:t>结果，并分析各模型的适用性，从回归模型的对比视角对现有文献作出补充；以往研究鲜有同时讨论企业出口倾向、出口规模和出口强度的研究，本文以对企业出口行为更</w:t>
      </w:r>
      <w:r>
        <w:rPr>
          <w:rFonts w:hint="eastAsia" w:cs="宋体"/>
          <w:b w:val="0"/>
          <w:bCs/>
          <w:sz w:val="24"/>
          <w:szCs w:val="24"/>
          <w:lang w:val="en-US" w:eastAsia="zh-CN"/>
        </w:rPr>
        <w:t>丰富</w:t>
      </w:r>
      <w:r>
        <w:rPr>
          <w:rFonts w:hint="eastAsia" w:ascii="Times New Roman" w:hAnsi="Times New Roman" w:eastAsia="宋体" w:cs="宋体"/>
          <w:b w:val="0"/>
          <w:bCs/>
          <w:sz w:val="24"/>
          <w:szCs w:val="24"/>
          <w:lang w:val="en-US" w:eastAsia="zh-CN"/>
        </w:rPr>
        <w:t>的评估视角对现有文献作出补充。</w:t>
      </w:r>
    </w:p>
    <w:p>
      <w:pPr>
        <w:pStyle w:val="25"/>
        <w:bidi w:val="0"/>
        <w:rPr>
          <w:rFonts w:hint="default"/>
          <w:lang w:val="en-US" w:eastAsia="zh-CN"/>
        </w:rPr>
      </w:pPr>
      <w:bookmarkStart w:id="26" w:name="_Toc13810"/>
      <w:r>
        <w:rPr>
          <w:rFonts w:hint="eastAsia"/>
          <w:lang w:val="en-US" w:eastAsia="zh-CN"/>
        </w:rPr>
        <w:t>1.4.2 现实意义</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1"/>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基于国际贸易保护主义盛行，对中国出口贸易稳定增长构成威胁，以及疫情之下中国企业享有相对稳定的生产环境的优势的背景，</w:t>
      </w:r>
      <w:r>
        <w:rPr>
          <w:rFonts w:hint="eastAsia" w:ascii="Times New Roman" w:hAnsi="Times New Roman" w:eastAsia="宋体" w:cs="Times New Roman"/>
          <w:sz w:val="24"/>
          <w:szCs w:val="24"/>
          <w:lang w:val="en-US" w:eastAsia="zh-CN"/>
        </w:rPr>
        <w:t>本文的结论</w:t>
      </w:r>
      <w:r>
        <w:rPr>
          <w:rFonts w:hint="eastAsia" w:cs="Times New Roman"/>
          <w:sz w:val="24"/>
          <w:szCs w:val="24"/>
          <w:lang w:val="en-US" w:eastAsia="zh-CN"/>
        </w:rPr>
        <w:t>有利于</w:t>
      </w:r>
      <w:r>
        <w:rPr>
          <w:rFonts w:hint="eastAsia" w:ascii="Times New Roman" w:hAnsi="Times New Roman" w:eastAsia="宋体" w:cs="Times New Roman"/>
          <w:sz w:val="24"/>
          <w:szCs w:val="24"/>
          <w:lang w:val="en-US" w:eastAsia="zh-CN"/>
        </w:rPr>
        <w:t>政策制定者</w:t>
      </w:r>
      <w:r>
        <w:rPr>
          <w:rFonts w:hint="eastAsia" w:cs="Times New Roman"/>
          <w:sz w:val="24"/>
          <w:szCs w:val="24"/>
          <w:lang w:val="en-US" w:eastAsia="zh-CN"/>
        </w:rPr>
        <w:t>预测或评估与增值税转型改革作用特质相近的减税政策</w:t>
      </w:r>
      <w:r>
        <w:rPr>
          <w:rFonts w:hint="eastAsia" w:ascii="Times New Roman" w:hAnsi="Times New Roman" w:eastAsia="宋体" w:cs="Times New Roman"/>
          <w:sz w:val="24"/>
          <w:szCs w:val="24"/>
          <w:lang w:val="en-US" w:eastAsia="zh-CN"/>
        </w:rPr>
        <w:t>对企业出口行为的影响</w:t>
      </w:r>
      <w:r>
        <w:rPr>
          <w:rFonts w:hint="eastAsia" w:cs="Times New Roman"/>
          <w:sz w:val="24"/>
          <w:szCs w:val="24"/>
          <w:lang w:val="en-US" w:eastAsia="zh-CN"/>
        </w:rPr>
        <w:t>效果、识别出哪些群体的出口行为对改革更为敏感，以及改革通过何种渠道影响企业出口行为</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从而</w:t>
      </w:r>
      <w:r>
        <w:rPr>
          <w:rFonts w:hint="eastAsia" w:ascii="Times New Roman" w:hAnsi="Times New Roman" w:eastAsia="宋体" w:cs="Times New Roman"/>
          <w:sz w:val="24"/>
          <w:szCs w:val="24"/>
          <w:lang w:val="en-US" w:eastAsia="zh-CN"/>
        </w:rPr>
        <w:t>有助于政策制定者权衡多方利益、找准政策发力点</w:t>
      </w:r>
      <w:r>
        <w:rPr>
          <w:rFonts w:hint="eastAsia" w:cs="Times New Roman"/>
          <w:sz w:val="24"/>
          <w:szCs w:val="24"/>
          <w:lang w:val="en-US" w:eastAsia="zh-CN"/>
        </w:rPr>
        <w:t>并辅以恰当的配套措施</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放大减税政策的出口促进作用，</w:t>
      </w:r>
      <w:r>
        <w:rPr>
          <w:rFonts w:hint="eastAsia" w:ascii="Times New Roman" w:hAnsi="Times New Roman" w:eastAsia="宋体" w:cs="宋体"/>
          <w:b w:val="0"/>
          <w:bCs/>
          <w:sz w:val="24"/>
          <w:szCs w:val="24"/>
          <w:lang w:val="en-US" w:eastAsia="zh-CN"/>
        </w:rPr>
        <w:t>从而进一步扩大</w:t>
      </w:r>
      <w:r>
        <w:rPr>
          <w:rFonts w:hint="eastAsia" w:cs="宋体"/>
          <w:b w:val="0"/>
          <w:bCs/>
          <w:sz w:val="24"/>
          <w:szCs w:val="24"/>
          <w:lang w:val="en-US" w:eastAsia="zh-CN"/>
        </w:rPr>
        <w:t>中国</w:t>
      </w:r>
      <w:r>
        <w:rPr>
          <w:rFonts w:hint="eastAsia" w:ascii="Times New Roman" w:hAnsi="Times New Roman" w:eastAsia="宋体" w:cs="宋体"/>
          <w:b w:val="0"/>
          <w:bCs/>
          <w:sz w:val="24"/>
          <w:szCs w:val="24"/>
          <w:lang w:val="en-US" w:eastAsia="zh-CN"/>
        </w:rPr>
        <w:t>企业</w:t>
      </w:r>
      <w:r>
        <w:rPr>
          <w:rFonts w:hint="eastAsia" w:cs="宋体"/>
          <w:b w:val="0"/>
          <w:bCs/>
          <w:sz w:val="24"/>
          <w:szCs w:val="24"/>
          <w:lang w:val="en-US" w:eastAsia="zh-CN"/>
        </w:rPr>
        <w:t>的</w:t>
      </w:r>
      <w:r>
        <w:rPr>
          <w:rFonts w:hint="eastAsia" w:ascii="Times New Roman" w:hAnsi="Times New Roman" w:eastAsia="宋体" w:cs="宋体"/>
          <w:b w:val="0"/>
          <w:bCs/>
          <w:sz w:val="24"/>
          <w:szCs w:val="24"/>
          <w:lang w:val="en-US" w:eastAsia="zh-CN"/>
        </w:rPr>
        <w:t>出口竞争优势、释放出口经济活力</w:t>
      </w:r>
      <w:r>
        <w:rPr>
          <w:rFonts w:hint="eastAsia" w:cs="宋体"/>
          <w:b w:val="0"/>
          <w:bCs/>
          <w:sz w:val="24"/>
          <w:szCs w:val="24"/>
          <w:lang w:val="en-US" w:eastAsia="zh-CN"/>
        </w:rPr>
        <w:t>，拉动国家经济增长</w:t>
      </w:r>
      <w:r>
        <w:rPr>
          <w:rFonts w:hint="eastAsia" w:ascii="Times New Roman" w:hAnsi="Times New Roman" w:eastAsia="宋体" w:cs="宋体"/>
          <w:b w:val="0"/>
          <w:bCs/>
          <w:sz w:val="24"/>
          <w:szCs w:val="24"/>
          <w:lang w:val="en-US" w:eastAsia="zh-CN"/>
        </w:rPr>
        <w:t>。</w:t>
      </w:r>
    </w:p>
    <w:p>
      <w:pPr>
        <w:pStyle w:val="16"/>
        <w:bidi w:val="0"/>
        <w:rPr>
          <w:rFonts w:hint="default"/>
          <w:lang w:val="en-US" w:eastAsia="zh-CN"/>
        </w:rPr>
      </w:pPr>
      <w:bookmarkStart w:id="27" w:name="_Toc20747"/>
      <w:r>
        <w:rPr>
          <w:rFonts w:hint="eastAsia"/>
          <w:lang w:val="en-US" w:eastAsia="zh-CN"/>
        </w:rPr>
        <w:t>1.5</w:t>
      </w:r>
      <w:bookmarkStart w:id="82" w:name="_GoBack"/>
      <w:bookmarkEnd w:id="82"/>
      <w:r>
        <w:rPr>
          <w:rFonts w:hint="eastAsia"/>
          <w:lang w:val="en-US" w:eastAsia="zh-CN"/>
        </w:rPr>
        <w:t xml:space="preserve"> 论文结构</w:t>
      </w:r>
      <w:bookmarkEnd w:id="27"/>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b w:val="0"/>
          <w:bCs/>
          <w:sz w:val="24"/>
          <w:szCs w:val="24"/>
          <w:lang w:val="en-US" w:eastAsia="zh-CN"/>
        </w:rPr>
        <w:t>本文</w:t>
      </w:r>
      <w:r>
        <w:rPr>
          <w:rFonts w:hint="eastAsia" w:ascii="Times New Roman" w:hAnsi="Times New Roman" w:eastAsia="宋体"/>
          <w:b w:val="0"/>
          <w:bCs/>
          <w:sz w:val="24"/>
          <w:szCs w:val="24"/>
          <w:lang w:val="en-US" w:eastAsia="zh-CN"/>
        </w:rPr>
        <w:t>结构安排如下：</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r>
        <w:rPr>
          <w:rFonts w:hint="eastAsia"/>
          <w:b w:val="0"/>
          <w:bCs/>
          <w:sz w:val="24"/>
          <w:szCs w:val="24"/>
          <w:lang w:val="en-US" w:eastAsia="zh-CN"/>
        </w:rPr>
        <w:t>第1章为绪论，介绍了本文的研究背景，总结分析了相关研究现状并引出两个核心研究问题，界定了本文的研究方法和研究内容，说明了研究意义，并列出了本文的基本结构。</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第</w:t>
      </w:r>
      <w:r>
        <w:rPr>
          <w:rFonts w:hint="eastAsia" w:cs="宋体"/>
          <w:b w:val="0"/>
          <w:bCs/>
          <w:sz w:val="24"/>
          <w:szCs w:val="24"/>
          <w:lang w:val="en-US" w:eastAsia="zh-CN"/>
        </w:rPr>
        <w:t>2</w:t>
      </w:r>
      <w:r>
        <w:rPr>
          <w:rFonts w:hint="eastAsia" w:ascii="Times New Roman" w:hAnsi="Times New Roman" w:eastAsia="宋体" w:cs="宋体"/>
          <w:b w:val="0"/>
          <w:bCs/>
          <w:sz w:val="24"/>
          <w:szCs w:val="24"/>
          <w:lang w:val="en-US" w:eastAsia="zh-CN"/>
        </w:rPr>
        <w:t>章是</w:t>
      </w:r>
      <w:r>
        <w:rPr>
          <w:rFonts w:hint="eastAsia" w:cs="宋体"/>
          <w:b w:val="0"/>
          <w:bCs/>
          <w:sz w:val="24"/>
          <w:szCs w:val="24"/>
          <w:lang w:val="en-US" w:eastAsia="zh-CN"/>
        </w:rPr>
        <w:t>理论分析、</w:t>
      </w:r>
      <w:r>
        <w:rPr>
          <w:rFonts w:hint="eastAsia" w:ascii="Times New Roman" w:hAnsi="Times New Roman" w:eastAsia="宋体" w:cs="宋体"/>
          <w:b w:val="0"/>
          <w:bCs/>
          <w:sz w:val="24"/>
          <w:szCs w:val="24"/>
          <w:lang w:val="en-US" w:eastAsia="zh-CN"/>
        </w:rPr>
        <w:t>假设提出和研究设计，首先</w:t>
      </w:r>
      <w:r>
        <w:rPr>
          <w:rFonts w:hint="eastAsia" w:cs="宋体"/>
          <w:b w:val="0"/>
          <w:bCs/>
          <w:sz w:val="24"/>
          <w:szCs w:val="24"/>
          <w:lang w:val="en-US" w:eastAsia="zh-CN"/>
        </w:rPr>
        <w:t>基于</w:t>
      </w:r>
      <w:r>
        <w:rPr>
          <w:rFonts w:hint="eastAsia" w:ascii="Times New Roman" w:hAnsi="Times New Roman" w:eastAsia="宋体" w:cs="宋体"/>
          <w:b w:val="0"/>
          <w:bCs/>
          <w:sz w:val="24"/>
          <w:szCs w:val="24"/>
          <w:lang w:val="en-US" w:eastAsia="zh-CN"/>
        </w:rPr>
        <w:t>研究问题与</w:t>
      </w:r>
      <w:r>
        <w:rPr>
          <w:rFonts w:hint="eastAsia" w:cs="宋体"/>
          <w:b w:val="0"/>
          <w:bCs/>
          <w:sz w:val="24"/>
          <w:szCs w:val="24"/>
          <w:lang w:val="en-US" w:eastAsia="zh-CN"/>
        </w:rPr>
        <w:t>理论分析</w:t>
      </w:r>
      <w:r>
        <w:rPr>
          <w:rFonts w:hint="eastAsia" w:ascii="Times New Roman" w:hAnsi="Times New Roman" w:eastAsia="宋体" w:cs="宋体"/>
          <w:b w:val="0"/>
          <w:bCs/>
          <w:sz w:val="24"/>
          <w:szCs w:val="24"/>
          <w:lang w:val="en-US" w:eastAsia="zh-CN"/>
        </w:rPr>
        <w:t>提出两个研究假设；同时，本文详细地介绍了数据</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变量</w:t>
      </w:r>
      <w:r>
        <w:rPr>
          <w:rFonts w:hint="eastAsia" w:cs="宋体"/>
          <w:b w:val="0"/>
          <w:bCs/>
          <w:sz w:val="24"/>
          <w:szCs w:val="24"/>
          <w:lang w:val="en-US" w:eastAsia="zh-CN"/>
        </w:rPr>
        <w:t>与</w:t>
      </w:r>
      <w:r>
        <w:rPr>
          <w:rFonts w:hint="eastAsia" w:ascii="Times New Roman" w:hAnsi="Times New Roman" w:eastAsia="宋体" w:cs="宋体"/>
          <w:b w:val="0"/>
          <w:bCs/>
          <w:sz w:val="24"/>
          <w:szCs w:val="24"/>
          <w:lang w:val="en-US" w:eastAsia="zh-CN"/>
        </w:rPr>
        <w:t>样本</w:t>
      </w:r>
      <w:r>
        <w:rPr>
          <w:rFonts w:hint="eastAsia" w:cs="宋体"/>
          <w:b w:val="0"/>
          <w:bCs/>
          <w:sz w:val="24"/>
          <w:szCs w:val="24"/>
          <w:lang w:val="en-US" w:eastAsia="zh-CN"/>
        </w:rPr>
        <w:t>的来源、处理方式</w:t>
      </w:r>
      <w:r>
        <w:rPr>
          <w:rFonts w:hint="eastAsia" w:ascii="Times New Roman" w:hAnsi="Times New Roman" w:eastAsia="宋体" w:cs="宋体"/>
          <w:b w:val="0"/>
          <w:bCs/>
          <w:sz w:val="24"/>
          <w:szCs w:val="24"/>
          <w:lang w:val="en-US" w:eastAsia="zh-CN"/>
        </w:rPr>
        <w:t>和模型设定依据</w:t>
      </w:r>
      <w:r>
        <w:rPr>
          <w:rFonts w:hint="eastAsia" w:cs="宋体"/>
          <w:b w:val="0"/>
          <w:bCs/>
          <w:sz w:val="24"/>
          <w:szCs w:val="24"/>
          <w:lang w:val="en-US" w:eastAsia="zh-CN"/>
        </w:rPr>
        <w:t>和方法</w:t>
      </w:r>
      <w:r>
        <w:rPr>
          <w:rFonts w:hint="eastAsia" w:ascii="Times New Roman" w:hAnsi="Times New Roman" w:eastAsia="宋体" w:cs="宋体"/>
          <w:b w:val="0"/>
          <w:bCs/>
          <w:sz w:val="24"/>
          <w:szCs w:val="24"/>
          <w:lang w:val="en-US" w:eastAsia="zh-CN"/>
        </w:rPr>
        <w:t>，以便读者理解与重现本文的研究结果。</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第</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章</w:t>
      </w:r>
      <w:r>
        <w:rPr>
          <w:rFonts w:hint="eastAsia" w:cs="宋体"/>
          <w:b w:val="0"/>
          <w:bCs/>
          <w:sz w:val="24"/>
          <w:szCs w:val="24"/>
          <w:lang w:val="en-US" w:eastAsia="zh-CN"/>
        </w:rPr>
        <w:t>包括了基准回归分析和稳健性检验</w:t>
      </w:r>
      <w:r>
        <w:rPr>
          <w:rFonts w:hint="eastAsia" w:ascii="Times New Roman" w:hAnsi="Times New Roman" w:eastAsia="宋体" w:cs="宋体"/>
          <w:b w:val="0"/>
          <w:bCs/>
          <w:sz w:val="24"/>
          <w:szCs w:val="24"/>
          <w:lang w:val="en-US" w:eastAsia="zh-CN"/>
        </w:rPr>
        <w:t>。本文</w:t>
      </w:r>
      <w:r>
        <w:rPr>
          <w:rFonts w:hint="eastAsia" w:cs="宋体"/>
          <w:b w:val="0"/>
          <w:bCs/>
          <w:sz w:val="24"/>
          <w:szCs w:val="24"/>
          <w:lang w:val="en-US" w:eastAsia="zh-CN"/>
        </w:rPr>
        <w:t>首先通过基准回归分析讨论出</w:t>
      </w:r>
      <w:r>
        <w:rPr>
          <w:rFonts w:hint="eastAsia" w:ascii="Times New Roman" w:hAnsi="Times New Roman" w:eastAsia="宋体" w:cs="宋体"/>
          <w:b w:val="0"/>
          <w:bCs/>
          <w:sz w:val="24"/>
          <w:szCs w:val="24"/>
          <w:lang w:val="en-US" w:eastAsia="zh-CN"/>
        </w:rPr>
        <w:t>两部模型具有最佳适用性，其回归结果显示增值税转型改革确实对于企业出口行为存在显著影响。</w:t>
      </w:r>
      <w:r>
        <w:rPr>
          <w:rFonts w:hint="eastAsia" w:cs="宋体"/>
          <w:b w:val="0"/>
          <w:bCs/>
          <w:sz w:val="24"/>
          <w:szCs w:val="24"/>
          <w:lang w:val="en-US" w:eastAsia="zh-CN"/>
        </w:rPr>
        <w:t>而后本文</w:t>
      </w:r>
      <w:r>
        <w:rPr>
          <w:rFonts w:hint="eastAsia" w:ascii="Times New Roman" w:hAnsi="Times New Roman" w:eastAsia="宋体" w:cs="宋体"/>
          <w:b w:val="0"/>
          <w:bCs/>
          <w:sz w:val="24"/>
          <w:szCs w:val="24"/>
          <w:lang w:val="en-US" w:eastAsia="zh-CN"/>
        </w:rPr>
        <w:t>分别通过平行趋势检验、政策外生性讨论、安慰剂测试</w:t>
      </w:r>
      <w:r>
        <w:rPr>
          <w:rFonts w:hint="eastAsia" w:cs="宋体"/>
          <w:b w:val="0"/>
          <w:bCs/>
          <w:sz w:val="24"/>
          <w:szCs w:val="24"/>
          <w:lang w:val="en-US" w:eastAsia="zh-CN"/>
        </w:rPr>
        <w:t>、低GDP增速子样本回归</w:t>
      </w:r>
      <w:r>
        <w:rPr>
          <w:rFonts w:hint="eastAsia" w:ascii="Times New Roman" w:hAnsi="Times New Roman" w:eastAsia="宋体" w:cs="宋体"/>
          <w:b w:val="0"/>
          <w:bCs/>
          <w:sz w:val="24"/>
          <w:szCs w:val="24"/>
          <w:lang w:val="en-US" w:eastAsia="zh-CN"/>
        </w:rPr>
        <w:t>和</w:t>
      </w:r>
      <w:r>
        <w:rPr>
          <w:rFonts w:hint="eastAsia" w:cs="宋体"/>
          <w:b w:val="0"/>
          <w:bCs/>
          <w:sz w:val="24"/>
          <w:szCs w:val="24"/>
          <w:lang w:val="en-US" w:eastAsia="zh-CN"/>
        </w:rPr>
        <w:t>检验其他内生性问题</w:t>
      </w:r>
      <w:r>
        <w:rPr>
          <w:rFonts w:hint="eastAsia" w:ascii="Times New Roman" w:hAnsi="Times New Roman" w:eastAsia="宋体" w:cs="宋体"/>
          <w:b w:val="0"/>
          <w:bCs/>
          <w:sz w:val="24"/>
          <w:szCs w:val="24"/>
          <w:lang w:val="en-US" w:eastAsia="zh-CN"/>
        </w:rPr>
        <w:t>的方式检验了基准回归结果的稳健性。</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eastAsia" w:ascii="Times New Roman" w:hAnsi="Times New Roman" w:eastAsia="宋体" w:cs="宋体"/>
          <w:b w:val="0"/>
          <w:bCs/>
          <w:sz w:val="24"/>
          <w:szCs w:val="24"/>
          <w:lang w:val="en-US" w:eastAsia="zh-CN"/>
        </w:rPr>
        <w:t>第</w:t>
      </w:r>
      <w:r>
        <w:rPr>
          <w:rFonts w:hint="eastAsia" w:cs="宋体"/>
          <w:b w:val="0"/>
          <w:bCs/>
          <w:sz w:val="24"/>
          <w:szCs w:val="24"/>
          <w:lang w:val="en-US" w:eastAsia="zh-CN"/>
        </w:rPr>
        <w:t>4</w:t>
      </w:r>
      <w:r>
        <w:rPr>
          <w:rFonts w:hint="eastAsia" w:ascii="Times New Roman" w:hAnsi="Times New Roman" w:eastAsia="宋体" w:cs="宋体"/>
          <w:b w:val="0"/>
          <w:bCs/>
          <w:sz w:val="24"/>
          <w:szCs w:val="24"/>
          <w:lang w:val="en-US" w:eastAsia="zh-CN"/>
        </w:rPr>
        <w:t>章包括异质性分析和机制分析。本文首先</w:t>
      </w:r>
      <w:r>
        <w:rPr>
          <w:rFonts w:hint="eastAsia" w:cs="宋体"/>
          <w:b w:val="0"/>
          <w:bCs/>
          <w:sz w:val="24"/>
          <w:szCs w:val="24"/>
          <w:lang w:val="en-US" w:eastAsia="zh-CN"/>
        </w:rPr>
        <w:t>分别</w:t>
      </w:r>
      <w:r>
        <w:rPr>
          <w:rFonts w:hint="eastAsia" w:ascii="Times New Roman" w:hAnsi="Times New Roman" w:eastAsia="宋体" w:cs="宋体"/>
          <w:b w:val="0"/>
          <w:bCs/>
          <w:sz w:val="24"/>
          <w:szCs w:val="24"/>
          <w:lang w:val="en-US" w:eastAsia="zh-CN"/>
        </w:rPr>
        <w:t>依照</w:t>
      </w:r>
      <w:r>
        <w:rPr>
          <w:rFonts w:hint="eastAsia" w:ascii="Times New Roman" w:hAnsi="Times New Roman" w:eastAsia="宋体"/>
          <w:sz w:val="24"/>
          <w:lang w:val="en-US" w:eastAsia="zh-CN"/>
        </w:rPr>
        <w:t>企业产权性质是否为国有、企业所在行业是否为资本密集型、企业所在行业是否为高集中度行业划分出的子样本进行分组回归，验证了异质性假设；本文进一步结合异质性分析结果和相关研究结论推断出的作用框架进行回归，梳理出了改革是如何通过影响融资约束</w:t>
      </w:r>
      <w:r>
        <w:rPr>
          <w:rFonts w:hint="eastAsia"/>
          <w:sz w:val="24"/>
          <w:lang w:val="en-US" w:eastAsia="zh-CN"/>
        </w:rPr>
        <w:t>、生产率和规模</w:t>
      </w:r>
      <w:r>
        <w:rPr>
          <w:rFonts w:hint="eastAsia" w:ascii="Times New Roman" w:hAnsi="Times New Roman" w:eastAsia="宋体"/>
          <w:sz w:val="24"/>
          <w:lang w:val="en-US" w:eastAsia="zh-CN"/>
        </w:rPr>
        <w:t>作用于企业出口行为的，从而</w:t>
      </w:r>
      <w:r>
        <w:rPr>
          <w:rFonts w:hint="eastAsia"/>
          <w:sz w:val="24"/>
          <w:lang w:val="en-US" w:eastAsia="zh-CN"/>
        </w:rPr>
        <w:t>验证</w:t>
      </w:r>
      <w:r>
        <w:rPr>
          <w:rFonts w:hint="eastAsia" w:ascii="Times New Roman" w:hAnsi="Times New Roman" w:eastAsia="宋体"/>
          <w:sz w:val="24"/>
          <w:lang w:val="en-US" w:eastAsia="zh-CN"/>
        </w:rPr>
        <w:t>了本文的第二个研究假设。</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第</w:t>
      </w:r>
      <w:r>
        <w:rPr>
          <w:rFonts w:hint="eastAsia" w:cs="宋体"/>
          <w:b w:val="0"/>
          <w:bCs/>
          <w:sz w:val="24"/>
          <w:szCs w:val="24"/>
          <w:lang w:val="en-US" w:eastAsia="zh-CN"/>
        </w:rPr>
        <w:t>5</w:t>
      </w:r>
      <w:r>
        <w:rPr>
          <w:rFonts w:hint="eastAsia" w:ascii="Times New Roman" w:hAnsi="Times New Roman" w:eastAsia="宋体" w:cs="宋体"/>
          <w:b w:val="0"/>
          <w:bCs/>
          <w:sz w:val="24"/>
          <w:szCs w:val="24"/>
          <w:lang w:val="en-US" w:eastAsia="zh-CN"/>
        </w:rPr>
        <w:t>章为本文的结论。该部分首先梳理了本文的主要结论，然后总结了</w:t>
      </w:r>
      <w:r>
        <w:rPr>
          <w:rFonts w:hint="eastAsia" w:cs="宋体"/>
          <w:b w:val="0"/>
          <w:bCs/>
          <w:sz w:val="24"/>
          <w:szCs w:val="24"/>
          <w:lang w:val="en-US" w:eastAsia="zh-CN"/>
        </w:rPr>
        <w:t>本文</w:t>
      </w:r>
      <w:r>
        <w:rPr>
          <w:rFonts w:hint="eastAsia" w:ascii="Times New Roman" w:hAnsi="Times New Roman" w:eastAsia="宋体" w:cs="宋体"/>
          <w:b w:val="0"/>
          <w:bCs/>
          <w:sz w:val="24"/>
          <w:szCs w:val="24"/>
          <w:lang w:val="en-US" w:eastAsia="zh-CN"/>
        </w:rPr>
        <w:t>对于现有文献的补充作用和对政策制定</w:t>
      </w:r>
      <w:r>
        <w:rPr>
          <w:rFonts w:hint="eastAsia" w:cs="宋体"/>
          <w:b w:val="0"/>
          <w:bCs/>
          <w:sz w:val="24"/>
          <w:szCs w:val="24"/>
          <w:lang w:val="en-US" w:eastAsia="zh-CN"/>
        </w:rPr>
        <w:t>者</w:t>
      </w:r>
      <w:r>
        <w:rPr>
          <w:rFonts w:hint="eastAsia" w:ascii="Times New Roman" w:hAnsi="Times New Roman" w:eastAsia="宋体" w:cs="宋体"/>
          <w:b w:val="0"/>
          <w:bCs/>
          <w:sz w:val="24"/>
          <w:szCs w:val="24"/>
          <w:lang w:val="en-US" w:eastAsia="zh-CN"/>
        </w:rPr>
        <w:t>的助益，最后分析了本文存在的不足之处。</w:t>
      </w:r>
    </w:p>
    <w:p>
      <w:pPr>
        <w:keepNext w:val="0"/>
        <w:keepLines w:val="0"/>
        <w:pageBreakBefore w:val="0"/>
        <w:kinsoku/>
        <w:overflowPunct/>
        <w:topLinePunct w:val="0"/>
        <w:bidi w:val="0"/>
        <w:spacing w:line="360" w:lineRule="auto"/>
        <w:ind w:firstLine="420" w:firstLineChars="0"/>
        <w:jc w:val="both"/>
        <w:textAlignment w:val="auto"/>
        <w:rPr>
          <w:rFonts w:hint="eastAsia" w:ascii="Times New Roman" w:hAnsi="Times New Roman" w:eastAsia="宋体"/>
          <w:sz w:val="24"/>
        </w:rPr>
      </w:pPr>
    </w:p>
    <w:p>
      <w:pPr>
        <w:keepNext w:val="0"/>
        <w:keepLines w:val="0"/>
        <w:pageBreakBefore w:val="0"/>
        <w:kinsoku/>
        <w:overflowPunct/>
        <w:topLinePunct w:val="0"/>
        <w:bidi w:val="0"/>
        <w:spacing w:line="360" w:lineRule="auto"/>
        <w:ind w:firstLine="480" w:firstLineChars="200"/>
        <w:jc w:val="center"/>
        <w:textAlignment w:val="auto"/>
        <w:rPr>
          <w:rFonts w:hint="eastAsia" w:ascii="Times New Roman" w:hAnsi="Times New Roman" w:eastAsia="宋体"/>
          <w:b/>
          <w:sz w:val="24"/>
          <w:szCs w:val="36"/>
          <w:lang w:val="en-US" w:eastAsia="zh-CN"/>
        </w:rPr>
      </w:pPr>
      <w:r>
        <w:rPr>
          <w:rFonts w:hint="eastAsia" w:ascii="Times New Roman" w:hAnsi="Times New Roman" w:eastAsia="宋体"/>
          <w:sz w:val="24"/>
        </w:rPr>
        <w:br w:type="page"/>
      </w:r>
      <w:bookmarkStart w:id="28" w:name="_Toc28732"/>
    </w:p>
    <w:p>
      <w:pPr>
        <w:keepNext w:val="0"/>
        <w:keepLines w:val="0"/>
        <w:pageBreakBefore w:val="0"/>
        <w:kinsoku/>
        <w:overflowPunct/>
        <w:topLinePunct w:val="0"/>
        <w:bidi w:val="0"/>
        <w:spacing w:line="360" w:lineRule="auto"/>
        <w:ind w:firstLine="482" w:firstLineChars="200"/>
        <w:jc w:val="center"/>
        <w:textAlignment w:val="auto"/>
        <w:rPr>
          <w:rFonts w:hint="eastAsia" w:ascii="Times New Roman" w:hAnsi="Times New Roman" w:eastAsia="宋体"/>
          <w:b/>
          <w:sz w:val="24"/>
          <w:szCs w:val="36"/>
          <w:lang w:val="en-US" w:eastAsia="zh-CN"/>
        </w:rPr>
        <w:sectPr>
          <w:footerReference r:id="rId10" w:type="default"/>
          <w:type w:val="continuous"/>
          <w:pgSz w:w="11906" w:h="16838"/>
          <w:pgMar w:top="1418" w:right="1701" w:bottom="1134" w:left="1701" w:header="851" w:footer="850" w:gutter="0"/>
          <w:pgBorders>
            <w:top w:val="none" w:sz="0" w:space="0"/>
            <w:left w:val="none" w:sz="0" w:space="0"/>
            <w:bottom w:val="none" w:sz="0" w:space="0"/>
            <w:right w:val="none" w:sz="0" w:space="0"/>
          </w:pgBorders>
          <w:pgNumType w:fmt="decimal" w:start="1"/>
          <w:cols w:space="720" w:num="1"/>
          <w:docGrid w:type="lines" w:linePitch="312" w:charSpace="0"/>
        </w:sectPr>
      </w:pPr>
    </w:p>
    <w:p>
      <w:pPr>
        <w:pStyle w:val="15"/>
        <w:bidi w:val="0"/>
        <w:rPr>
          <w:rFonts w:hint="eastAsia" w:ascii="Times New Roman" w:hAnsi="Times New Roman" w:eastAsia="宋体"/>
          <w:b/>
          <w:szCs w:val="36"/>
          <w:lang w:val="en-US" w:eastAsia="zh-CN"/>
        </w:rPr>
      </w:pPr>
      <w:bookmarkStart w:id="29" w:name="_Toc26568"/>
      <w:r>
        <w:rPr>
          <w:rFonts w:hint="eastAsia"/>
          <w:lang w:val="en-US" w:eastAsia="zh-CN"/>
        </w:rPr>
        <w:t>2 理论分析、假设提出和研究设计</w:t>
      </w:r>
      <w:bookmarkEnd w:id="29"/>
    </w:p>
    <w:p>
      <w:pPr>
        <w:pStyle w:val="16"/>
        <w:bidi w:val="0"/>
        <w:rPr>
          <w:rFonts w:hint="eastAsia"/>
          <w:lang w:val="en-US" w:eastAsia="zh-CN"/>
        </w:rPr>
      </w:pPr>
      <w:bookmarkStart w:id="30" w:name="_Toc935"/>
      <w:r>
        <w:rPr>
          <w:rFonts w:hint="eastAsia"/>
          <w:lang w:val="en-US" w:eastAsia="zh-CN"/>
        </w:rPr>
        <w:t>2.1 理论分析与假设提出</w:t>
      </w:r>
      <w:bookmarkEnd w:id="30"/>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cs="Times New Roman"/>
          <w:b w:val="0"/>
          <w:bCs/>
          <w:sz w:val="24"/>
          <w:szCs w:val="24"/>
          <w:lang w:val="en-US" w:eastAsia="zh-CN"/>
        </w:rPr>
      </w:pPr>
      <w:r>
        <w:rPr>
          <w:rFonts w:hint="eastAsia" w:cs="Times New Roman"/>
          <w:b w:val="0"/>
          <w:bCs/>
          <w:sz w:val="24"/>
          <w:szCs w:val="24"/>
          <w:lang w:val="en-US" w:eastAsia="zh-CN"/>
        </w:rPr>
        <w:t>本文在文献综述中论证了</w:t>
      </w:r>
      <w:r>
        <w:rPr>
          <w:rFonts w:hint="eastAsia" w:ascii="Times New Roman" w:hAnsi="Times New Roman" w:eastAsia="宋体" w:cs="Times New Roman"/>
          <w:b w:val="0"/>
          <w:bCs/>
          <w:sz w:val="24"/>
          <w:szCs w:val="24"/>
          <w:lang w:val="en-US" w:eastAsia="zh-CN"/>
        </w:rPr>
        <w:t>企业出口倾向和出口绩效</w:t>
      </w:r>
      <w:r>
        <w:rPr>
          <w:rFonts w:hint="eastAsia" w:cs="Times New Roman"/>
          <w:b w:val="0"/>
          <w:bCs/>
          <w:sz w:val="24"/>
          <w:szCs w:val="24"/>
          <w:lang w:val="en-US" w:eastAsia="zh-CN"/>
        </w:rPr>
        <w:t>表现</w:t>
      </w:r>
      <w:r>
        <w:rPr>
          <w:rFonts w:hint="eastAsia" w:ascii="Times New Roman" w:hAnsi="Times New Roman" w:eastAsia="宋体" w:cs="Times New Roman"/>
          <w:b w:val="0"/>
          <w:bCs/>
          <w:sz w:val="24"/>
          <w:szCs w:val="24"/>
          <w:lang w:val="en-US" w:eastAsia="zh-CN"/>
        </w:rPr>
        <w:t>都受到企业融资约束、生产率和</w:t>
      </w:r>
      <w:r>
        <w:rPr>
          <w:rFonts w:hint="eastAsia" w:cs="Times New Roman"/>
          <w:b w:val="0"/>
          <w:bCs/>
          <w:sz w:val="24"/>
          <w:szCs w:val="24"/>
          <w:lang w:val="en-US" w:eastAsia="zh-CN"/>
        </w:rPr>
        <w:t>企业</w:t>
      </w:r>
      <w:r>
        <w:rPr>
          <w:rFonts w:hint="eastAsia" w:ascii="Times New Roman" w:hAnsi="Times New Roman" w:eastAsia="宋体" w:cs="Times New Roman"/>
          <w:b w:val="0"/>
          <w:bCs/>
          <w:sz w:val="24"/>
          <w:szCs w:val="24"/>
          <w:lang w:val="en-US" w:eastAsia="zh-CN"/>
        </w:rPr>
        <w:t>规模影响</w:t>
      </w:r>
      <w:r>
        <w:rPr>
          <w:rFonts w:hint="eastAsia" w:cs="Times New Roman"/>
          <w:b w:val="0"/>
          <w:bCs/>
          <w:sz w:val="24"/>
          <w:szCs w:val="24"/>
          <w:lang w:val="en-US" w:eastAsia="zh-CN"/>
        </w:rPr>
        <w:t>（</w:t>
      </w:r>
      <w:r>
        <w:rPr>
          <w:rFonts w:hint="eastAsia" w:ascii="Times New Roman" w:hAnsi="Times New Roman" w:eastAsia="宋体"/>
          <w:sz w:val="24"/>
          <w:lang w:val="en-US" w:eastAsia="zh-CN"/>
        </w:rPr>
        <w:t>聂辉华等，2009；</w:t>
      </w:r>
      <w:r>
        <w:rPr>
          <w:rFonts w:hint="eastAsia" w:ascii="Times New Roman" w:hAnsi="Times New Roman" w:eastAsia="宋体" w:cs="宋体"/>
          <w:sz w:val="24"/>
          <w:szCs w:val="24"/>
        </w:rPr>
        <w:t>蒋冠宏</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蒋殿春</w:t>
      </w:r>
      <w:r>
        <w:rPr>
          <w:rFonts w:hint="eastAsia" w:ascii="Times New Roman" w:hAnsi="Times New Roman" w:eastAsia="宋体" w:cs="宋体"/>
          <w:b w:val="0"/>
          <w:bCs/>
          <w:sz w:val="24"/>
          <w:szCs w:val="24"/>
          <w:lang w:val="en-US" w:eastAsia="zh-CN"/>
        </w:rPr>
        <w:t>，2014</w:t>
      </w:r>
      <w:r>
        <w:rPr>
          <w:rFonts w:hint="eastAsia" w:cs="宋体"/>
          <w:b w:val="0"/>
          <w:bCs/>
          <w:sz w:val="24"/>
          <w:szCs w:val="24"/>
          <w:lang w:val="en-US" w:eastAsia="zh-CN"/>
        </w:rPr>
        <w:t>；</w:t>
      </w:r>
      <w:r>
        <w:rPr>
          <w:rFonts w:hint="eastAsia" w:ascii="Times New Roman" w:hAnsi="Times New Roman" w:eastAsia="宋体"/>
          <w:sz w:val="24"/>
          <w:lang w:val="en-US" w:eastAsia="zh-CN"/>
        </w:rPr>
        <w:t>Liu&amp;Lu，2015</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，而增值税转型改革</w:t>
      </w:r>
      <w:r>
        <w:rPr>
          <w:rFonts w:hint="eastAsia" w:cs="Times New Roman"/>
          <w:b w:val="0"/>
          <w:bCs/>
          <w:sz w:val="24"/>
          <w:szCs w:val="24"/>
          <w:lang w:val="en-US" w:eastAsia="zh-CN"/>
        </w:rPr>
        <w:t>可以</w:t>
      </w:r>
      <w:r>
        <w:rPr>
          <w:rFonts w:hint="eastAsia" w:ascii="Times New Roman" w:hAnsi="Times New Roman" w:eastAsia="宋体" w:cs="Times New Roman"/>
          <w:b w:val="0"/>
          <w:bCs/>
          <w:sz w:val="24"/>
          <w:szCs w:val="24"/>
          <w:lang w:val="en-US" w:eastAsia="zh-CN"/>
        </w:rPr>
        <w:t>通过抵扣固定资产的进项税金额削弱企业受到的融资约束、激励企业进行固定资产投资</w:t>
      </w:r>
      <w:r>
        <w:rPr>
          <w:rFonts w:hint="eastAsia" w:cs="Times New Roman"/>
          <w:b w:val="0"/>
          <w:bCs/>
          <w:sz w:val="24"/>
          <w:szCs w:val="24"/>
          <w:lang w:val="en-US" w:eastAsia="zh-CN"/>
        </w:rPr>
        <w:t>（</w:t>
      </w:r>
      <w:r>
        <w:rPr>
          <w:rFonts w:hint="eastAsia" w:ascii="Times New Roman" w:hAnsi="Times New Roman" w:eastAsia="宋体" w:cs="宋体"/>
          <w:b w:val="0"/>
          <w:bCs/>
          <w:sz w:val="24"/>
          <w:szCs w:val="24"/>
          <w:lang w:val="en-US" w:eastAsia="zh-CN"/>
        </w:rPr>
        <w:t>聂辉华等，2009；申广军等，2016；Du&amp;Yang，2020</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扩大</w:t>
      </w:r>
      <w:r>
        <w:rPr>
          <w:rFonts w:hint="eastAsia" w:cs="Times New Roman"/>
          <w:b w:val="0"/>
          <w:bCs/>
          <w:sz w:val="24"/>
          <w:szCs w:val="24"/>
          <w:lang w:val="en-US" w:eastAsia="zh-CN"/>
        </w:rPr>
        <w:t>企业</w:t>
      </w:r>
      <w:r>
        <w:rPr>
          <w:rFonts w:hint="eastAsia" w:ascii="Times New Roman" w:hAnsi="Times New Roman" w:eastAsia="宋体" w:cs="Times New Roman"/>
          <w:b w:val="0"/>
          <w:bCs/>
          <w:sz w:val="24"/>
          <w:szCs w:val="24"/>
          <w:lang w:val="en-US" w:eastAsia="zh-CN"/>
        </w:rPr>
        <w:t>规模</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提高企业的生产率</w:t>
      </w:r>
      <w:r>
        <w:rPr>
          <w:rFonts w:hint="eastAsia" w:cs="Times New Roman"/>
          <w:b w:val="0"/>
          <w:bCs/>
          <w:sz w:val="24"/>
          <w:szCs w:val="24"/>
          <w:lang w:val="en-US" w:eastAsia="zh-CN"/>
        </w:rPr>
        <w:t>（</w:t>
      </w:r>
      <w:r>
        <w:rPr>
          <w:rFonts w:hint="eastAsia" w:ascii="Times New Roman" w:hAnsi="Times New Roman" w:eastAsia="宋体" w:cs="宋体"/>
          <w:b w:val="0"/>
          <w:bCs/>
          <w:sz w:val="24"/>
          <w:szCs w:val="24"/>
          <w:lang w:val="en-US" w:eastAsia="zh-CN"/>
        </w:rPr>
        <w:t>聂辉华等，2009；申广军等，2016；Liu&amp;Mao，2019</w:t>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w:t>
      </w:r>
      <w:r>
        <w:rPr>
          <w:rFonts w:hint="eastAsia" w:cs="Times New Roman"/>
          <w:b w:val="0"/>
          <w:bCs/>
          <w:sz w:val="24"/>
          <w:szCs w:val="24"/>
          <w:lang w:val="en-US" w:eastAsia="zh-CN"/>
        </w:rPr>
        <w:t>因此本文认为融资约束、生产率和企业规模是改革出口效应的渠道因素。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cs="Times New Roman"/>
          <w:b w:val="0"/>
          <w:bCs/>
          <w:sz w:val="24"/>
          <w:szCs w:val="24"/>
          <w:lang w:val="en-US" w:eastAsia="zh-CN"/>
        </w:rPr>
      </w:pPr>
      <w:r>
        <w:rPr>
          <w:rFonts w:hint="eastAsia" w:cs="Times New Roman"/>
          <w:b w:val="0"/>
          <w:bCs/>
          <w:sz w:val="24"/>
          <w:szCs w:val="24"/>
          <w:lang w:val="en-US" w:eastAsia="zh-CN"/>
        </w:rPr>
        <w:t>具体地，增值税转型改革允许企业抵扣固定资产进项税金额，</w:t>
      </w:r>
      <w:r>
        <w:rPr>
          <w:rFonts w:hint="eastAsia" w:cs="Times New Roman"/>
          <w:sz w:val="24"/>
          <w:szCs w:val="24"/>
          <w:lang w:val="en-US" w:eastAsia="zh-CN"/>
        </w:rPr>
        <w:t>对企业</w:t>
      </w:r>
      <w:r>
        <w:rPr>
          <w:rFonts w:hint="eastAsia" w:ascii="Times New Roman" w:hAnsi="Times New Roman" w:eastAsia="宋体" w:cs="Times New Roman"/>
          <w:sz w:val="24"/>
          <w:szCs w:val="24"/>
          <w:lang w:val="en-US" w:eastAsia="zh-CN"/>
        </w:rPr>
        <w:t>的直接影响是释放现金流，</w:t>
      </w:r>
      <w:r>
        <w:rPr>
          <w:rFonts w:hint="eastAsia" w:cs="Times New Roman"/>
          <w:sz w:val="24"/>
          <w:szCs w:val="24"/>
          <w:lang w:val="en-US" w:eastAsia="zh-CN"/>
        </w:rPr>
        <w:t>而现金流增加会直接影响企业的融资约束，内源融资方面，现金流增加有利于扩大企业的利润空间、提高企业的留存收益，提高企业的内源融资能力；外源融资方面，现金流增加有利于企业盈利表现的提高，从而降低外源融资难度（刘凯豪和王雪芳，2020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cs="Times New Roman"/>
          <w:b w:val="0"/>
          <w:bCs/>
          <w:sz w:val="24"/>
          <w:szCs w:val="24"/>
          <w:lang w:val="en-US" w:eastAsia="zh-CN"/>
        </w:rPr>
      </w:pPr>
      <w:r>
        <w:rPr>
          <w:rFonts w:hint="eastAsia" w:cs="Times New Roman"/>
          <w:b w:val="0"/>
          <w:bCs/>
          <w:sz w:val="24"/>
          <w:szCs w:val="24"/>
          <w:lang w:val="en-US" w:eastAsia="zh-CN"/>
        </w:rPr>
        <w:t>企业在获得现金流、融资约束减弱后，可能根据自身需求进行资本或劳动力投资，从而引发资本劳动比和企业规模的变动，而资本劳动比是企业劳动生产率的重要影响因素，资本劳动比的提高有利于提高企业劳动生产率</w:t>
      </w:r>
      <w:r>
        <w:rPr>
          <w:rFonts w:hint="eastAsia" w:ascii="Times New Roman" w:hAnsi="Times New Roman" w:eastAsia="宋体" w:cs="宋体"/>
          <w:sz w:val="24"/>
          <w:szCs w:val="24"/>
          <w:lang w:val="en-US" w:eastAsia="zh-CN"/>
        </w:rPr>
        <w:t>（</w:t>
      </w:r>
      <w:r>
        <w:rPr>
          <w:rFonts w:hint="eastAsia" w:ascii="Times New Roman" w:hAnsi="Times New Roman" w:eastAsia="宋体" w:cs="宋体"/>
          <w:sz w:val="24"/>
          <w:szCs w:val="24"/>
        </w:rPr>
        <w:t>王万珺</w:t>
      </w:r>
      <w:r>
        <w:rPr>
          <w:rFonts w:hint="eastAsia" w:ascii="Times New Roman" w:hAnsi="Times New Roman" w:eastAsia="宋体"/>
          <w:b w:val="0"/>
          <w:bCs/>
          <w:sz w:val="24"/>
          <w:szCs w:val="24"/>
          <w:lang w:val="en-US" w:eastAsia="zh-CN"/>
        </w:rPr>
        <w:t>，2021</w:t>
      </w:r>
      <w:r>
        <w:rPr>
          <w:rFonts w:hint="eastAsia" w:ascii="Times New Roman" w:hAnsi="Times New Roman" w:eastAsia="宋体" w:cs="宋体"/>
          <w:sz w:val="24"/>
          <w:szCs w:val="24"/>
          <w:lang w:val="en-US" w:eastAsia="zh-CN"/>
        </w:rPr>
        <w:t>）</w:t>
      </w:r>
      <w:r>
        <w:rPr>
          <w:rFonts w:hint="eastAsia" w:cs="宋体"/>
          <w:sz w:val="24"/>
          <w:szCs w:val="24"/>
          <w:lang w:val="en-US" w:eastAsia="zh-CN"/>
        </w:rPr>
        <w:t>，劳动生产率提高和企业规模扩大都有助于企业承受进入出口市场的固定成本，从而提高企业出口倾向</w:t>
      </w:r>
      <w:r>
        <w:rPr>
          <w:rFonts w:hint="eastAsia" w:ascii="Times New Roman" w:hAnsi="Times New Roman" w:eastAsia="宋体" w:cs="宋体"/>
          <w:b w:val="0"/>
          <w:bCs/>
          <w:sz w:val="24"/>
          <w:szCs w:val="24"/>
          <w:lang w:val="en-US" w:eastAsia="zh-CN"/>
        </w:rPr>
        <w:t>（</w:t>
      </w:r>
      <w:r>
        <w:rPr>
          <w:rFonts w:hint="eastAsia" w:ascii="Times New Roman" w:hAnsi="Times New Roman" w:eastAsia="宋体"/>
          <w:sz w:val="24"/>
          <w:lang w:val="en-US" w:eastAsia="zh-CN"/>
        </w:rPr>
        <w:t>Melitz，2003；易靖韬，2009；</w:t>
      </w:r>
      <w:r>
        <w:rPr>
          <w:rFonts w:hint="eastAsia" w:ascii="Times New Roman" w:hAnsi="Times New Roman" w:eastAsia="宋体" w:cs="宋体"/>
          <w:sz w:val="24"/>
          <w:szCs w:val="24"/>
        </w:rPr>
        <w:t>毛其淋</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赵柯雨</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2021</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，劳动生产率提高有助于提高企业的竞争力</w:t>
      </w:r>
      <w:r>
        <w:rPr>
          <w:rFonts w:hint="default" w:ascii="Times New Roman" w:hAnsi="Times New Roman" w:eastAsia="宋体" w:cs="宋体"/>
          <w:b w:val="0"/>
          <w:bCs/>
          <w:sz w:val="24"/>
          <w:szCs w:val="24"/>
          <w:lang w:val="en-US" w:eastAsia="zh-CN"/>
        </w:rPr>
        <w:t>，</w:t>
      </w:r>
      <w:r>
        <w:rPr>
          <w:rFonts w:hint="eastAsia" w:cs="宋体"/>
          <w:b w:val="0"/>
          <w:bCs/>
          <w:sz w:val="24"/>
          <w:szCs w:val="24"/>
          <w:lang w:val="en-US" w:eastAsia="zh-CN"/>
        </w:rPr>
        <w:t>从而扩大</w:t>
      </w:r>
      <w:r>
        <w:rPr>
          <w:rFonts w:hint="default" w:ascii="Times New Roman" w:hAnsi="Times New Roman" w:eastAsia="宋体" w:cs="宋体"/>
          <w:b w:val="0"/>
          <w:bCs/>
          <w:sz w:val="24"/>
          <w:szCs w:val="24"/>
          <w:lang w:val="en-US" w:eastAsia="zh-CN"/>
        </w:rPr>
        <w:t>企业的出口贸易规模（</w:t>
      </w:r>
      <w:r>
        <w:rPr>
          <w:rFonts w:hint="eastAsia" w:ascii="Times New Roman" w:hAnsi="Times New Roman" w:eastAsia="宋体" w:cs="宋体"/>
          <w:b w:val="0"/>
          <w:bCs/>
          <w:sz w:val="24"/>
          <w:szCs w:val="24"/>
          <w:lang w:val="en-US" w:eastAsia="zh-CN"/>
        </w:rPr>
        <w:t>朱英杰，2012；</w:t>
      </w:r>
      <w:r>
        <w:rPr>
          <w:rFonts w:hint="default" w:ascii="Times New Roman" w:hAnsi="Times New Roman" w:eastAsia="宋体" w:cs="宋体"/>
          <w:b w:val="0"/>
          <w:bCs/>
          <w:sz w:val="24"/>
          <w:szCs w:val="24"/>
          <w:lang w:val="en-US" w:eastAsia="zh-CN"/>
        </w:rPr>
        <w:t>Jonas，2016）</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企业规模越大，越容易在国际市场发挥规模效应，从而有利于扩大出口规模</w:t>
      </w:r>
      <w:r>
        <w:rPr>
          <w:rFonts w:hint="eastAsia" w:cs="宋体"/>
          <w:b w:val="0"/>
          <w:bCs/>
          <w:sz w:val="24"/>
          <w:szCs w:val="24"/>
          <w:lang w:val="en-US" w:eastAsia="zh-CN"/>
        </w:rPr>
        <w:t>、提高出口密度</w:t>
      </w:r>
      <w:r>
        <w:rPr>
          <w:rFonts w:hint="eastAsia" w:ascii="Times New Roman" w:hAnsi="Times New Roman" w:eastAsia="宋体" w:cs="宋体"/>
          <w:b w:val="0"/>
          <w:bCs/>
          <w:sz w:val="24"/>
          <w:szCs w:val="24"/>
          <w:lang w:val="en-US" w:eastAsia="zh-CN"/>
        </w:rPr>
        <w:t>（</w:t>
      </w:r>
      <w:r>
        <w:rPr>
          <w:rFonts w:hint="eastAsia" w:ascii="Times New Roman" w:hAnsi="Times New Roman" w:eastAsia="宋体" w:cs="宋体"/>
          <w:sz w:val="24"/>
          <w:szCs w:val="24"/>
        </w:rPr>
        <w:t>蒋冠宏</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蒋殿春</w:t>
      </w:r>
      <w:r>
        <w:rPr>
          <w:rFonts w:hint="eastAsia" w:ascii="Times New Roman" w:hAnsi="Times New Roman" w:eastAsia="宋体" w:cs="宋体"/>
          <w:b w:val="0"/>
          <w:bCs/>
          <w:sz w:val="24"/>
          <w:szCs w:val="24"/>
          <w:lang w:val="en-US" w:eastAsia="zh-CN"/>
        </w:rPr>
        <w:t>，2014；樊娜娜，2018；毛其淋和</w:t>
      </w:r>
      <w:r>
        <w:rPr>
          <w:rFonts w:hint="eastAsia" w:ascii="Times New Roman" w:hAnsi="Times New Roman" w:eastAsia="宋体" w:cs="宋体"/>
          <w:sz w:val="24"/>
          <w:szCs w:val="24"/>
        </w:rPr>
        <w:t>王澍</w:t>
      </w:r>
      <w:r>
        <w:rPr>
          <w:rFonts w:hint="eastAsia" w:ascii="Times New Roman" w:hAnsi="Times New Roman" w:eastAsia="宋体" w:cs="宋体"/>
          <w:b w:val="0"/>
          <w:bCs/>
          <w:sz w:val="24"/>
          <w:szCs w:val="24"/>
          <w:lang w:val="en-US" w:eastAsia="zh-CN"/>
        </w:rPr>
        <w:t>，2019）</w:t>
      </w:r>
      <w:r>
        <w:rPr>
          <w:rFonts w:hint="eastAsia" w:cs="宋体"/>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因此本文认为增值税转型改革可以影响企业的出口行为，且这种影响是通过减轻融资约束</w:t>
      </w:r>
      <w:r>
        <w:rPr>
          <w:rFonts w:hint="eastAsia" w:cs="Times New Roman"/>
          <w:b w:val="0"/>
          <w:bCs/>
          <w:sz w:val="24"/>
          <w:szCs w:val="24"/>
          <w:lang w:val="en-US" w:eastAsia="zh-CN"/>
        </w:rPr>
        <w:t>、扩大企业规模、提高劳动生产率的渠道</w:t>
      </w:r>
      <w:r>
        <w:rPr>
          <w:rFonts w:hint="eastAsia" w:ascii="Times New Roman" w:hAnsi="Times New Roman" w:eastAsia="宋体" w:cs="Times New Roman"/>
          <w:b w:val="0"/>
          <w:bCs/>
          <w:sz w:val="24"/>
          <w:szCs w:val="24"/>
          <w:lang w:val="en-US" w:eastAsia="zh-CN"/>
        </w:rPr>
        <w:t>作用的</w:t>
      </w:r>
      <w:r>
        <w:rPr>
          <w:rStyle w:val="14"/>
          <w:rFonts w:hint="eastAsia" w:ascii="Times New Roman" w:hAnsi="Times New Roman" w:eastAsia="宋体" w:cs="Times New Roman"/>
          <w:b w:val="0"/>
          <w:bCs/>
          <w:sz w:val="24"/>
          <w:szCs w:val="24"/>
          <w:lang w:val="en-US" w:eastAsia="zh-CN"/>
        </w:rPr>
        <w:footnoteReference w:id="3"/>
      </w:r>
      <w:r>
        <w:rPr>
          <w:rFonts w:hint="eastAsia"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本文的假设如下：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假设一：增值税转型改革对企业出口行为构成影响。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假设二：增值税转型改革对企业出口行为的影响主要通过企业融资约束减轻</w:t>
      </w:r>
      <w:r>
        <w:rPr>
          <w:rFonts w:hint="eastAsia" w:cs="Times New Roman"/>
          <w:b w:val="0"/>
          <w:bCs/>
          <w:sz w:val="24"/>
          <w:szCs w:val="24"/>
          <w:lang w:val="en-US" w:eastAsia="zh-CN"/>
        </w:rPr>
        <w:t>、企业规模扩大和劳动生产率提高</w:t>
      </w:r>
      <w:r>
        <w:rPr>
          <w:rFonts w:hint="eastAsia" w:ascii="Times New Roman" w:hAnsi="Times New Roman" w:eastAsia="宋体" w:cs="Times New Roman"/>
          <w:b w:val="0"/>
          <w:bCs/>
          <w:sz w:val="24"/>
          <w:szCs w:val="24"/>
          <w:lang w:val="en-US" w:eastAsia="zh-CN"/>
        </w:rPr>
        <w:t>的</w:t>
      </w:r>
      <w:r>
        <w:rPr>
          <w:rFonts w:hint="eastAsia" w:cs="Times New Roman"/>
          <w:b w:val="0"/>
          <w:bCs/>
          <w:sz w:val="24"/>
          <w:szCs w:val="24"/>
          <w:lang w:val="en-US" w:eastAsia="zh-CN"/>
        </w:rPr>
        <w:t>渠道</w:t>
      </w:r>
      <w:r>
        <w:rPr>
          <w:rFonts w:hint="eastAsia" w:ascii="Times New Roman" w:hAnsi="Times New Roman" w:eastAsia="宋体" w:cs="Times New Roman"/>
          <w:b w:val="0"/>
          <w:bCs/>
          <w:sz w:val="24"/>
          <w:szCs w:val="24"/>
          <w:lang w:val="en-US" w:eastAsia="zh-CN"/>
        </w:rPr>
        <w:t>作用于企业出口行为。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b w:val="0"/>
          <w:bCs/>
          <w:sz w:val="24"/>
          <w:szCs w:val="24"/>
          <w:lang w:val="en-US" w:eastAsia="zh-CN"/>
        </w:rPr>
      </w:pPr>
    </w:p>
    <w:p>
      <w:pPr>
        <w:pStyle w:val="16"/>
        <w:bidi w:val="0"/>
        <w:rPr>
          <w:rFonts w:hint="eastAsia"/>
          <w:lang w:val="en-US" w:eastAsia="zh-CN"/>
        </w:rPr>
      </w:pPr>
      <w:bookmarkStart w:id="31" w:name="_Toc1846"/>
      <w:r>
        <w:rPr>
          <w:rFonts w:hint="eastAsia"/>
          <w:lang w:val="en-US" w:eastAsia="zh-CN"/>
        </w:rPr>
        <w:t>2</w:t>
      </w:r>
      <w:r>
        <w:t>.</w:t>
      </w:r>
      <w:r>
        <w:rPr>
          <w:rFonts w:hint="eastAsia"/>
          <w:lang w:val="en-US" w:eastAsia="zh-CN"/>
        </w:rPr>
        <w:t>2 研究设计</w:t>
      </w:r>
      <w:bookmarkEnd w:id="31"/>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本文结合工业企业数据库、专利数据库和区域经济数据，生成</w:t>
      </w:r>
      <w:r>
        <w:rPr>
          <w:rFonts w:hint="eastAsia" w:cs="宋体"/>
          <w:b w:val="0"/>
          <w:bCs/>
          <w:sz w:val="24"/>
          <w:szCs w:val="24"/>
          <w:lang w:val="en-US" w:eastAsia="zh-CN"/>
        </w:rPr>
        <w:t>评估</w:t>
      </w:r>
      <w:r>
        <w:rPr>
          <w:rFonts w:hint="eastAsia" w:ascii="Times New Roman" w:hAnsi="Times New Roman" w:eastAsia="宋体" w:cs="宋体"/>
          <w:b w:val="0"/>
          <w:bCs/>
          <w:sz w:val="24"/>
          <w:szCs w:val="24"/>
          <w:lang w:val="en-US" w:eastAsia="zh-CN"/>
        </w:rPr>
        <w:t>企业出口行为的被解释变量、表示企业是否受到改革处理的解释变量和与企业出口行为相关的其他控制变量，为减轻可能存在的反向因果</w:t>
      </w:r>
      <w:r>
        <w:rPr>
          <w:rFonts w:hint="eastAsia" w:cs="宋体"/>
          <w:b w:val="0"/>
          <w:bCs/>
          <w:sz w:val="24"/>
          <w:szCs w:val="24"/>
          <w:lang w:val="en-US" w:eastAsia="zh-CN"/>
        </w:rPr>
        <w:t>内生性</w:t>
      </w:r>
      <w:r>
        <w:rPr>
          <w:rFonts w:hint="eastAsia" w:ascii="Times New Roman" w:hAnsi="Times New Roman" w:eastAsia="宋体" w:cs="宋体"/>
          <w:b w:val="0"/>
          <w:bCs/>
          <w:sz w:val="24"/>
          <w:szCs w:val="24"/>
          <w:lang w:val="en-US" w:eastAsia="zh-CN"/>
        </w:rPr>
        <w:t>问题，本文将控制变量滞后一期。考虑到市辖区和非市辖区无法回避的差异性，本文在中部六省试点城市和非试点城市的非市辖区</w:t>
      </w:r>
      <w:r>
        <w:rPr>
          <w:rFonts w:hint="eastAsia" w:cs="宋体"/>
          <w:b w:val="0"/>
          <w:bCs/>
          <w:sz w:val="24"/>
          <w:szCs w:val="24"/>
          <w:lang w:val="en-US" w:eastAsia="zh-CN"/>
        </w:rPr>
        <w:t>之间</w:t>
      </w:r>
      <w:r>
        <w:rPr>
          <w:rFonts w:hint="eastAsia" w:ascii="Times New Roman" w:hAnsi="Times New Roman" w:eastAsia="宋体" w:cs="宋体"/>
          <w:b w:val="0"/>
          <w:bCs/>
          <w:sz w:val="24"/>
          <w:szCs w:val="24"/>
          <w:lang w:val="en-US" w:eastAsia="zh-CN"/>
        </w:rPr>
        <w:t>构造处理组和控制组，在基准回归中对比分析四种</w:t>
      </w:r>
      <w:r>
        <w:rPr>
          <w:rFonts w:hint="eastAsia" w:cs="宋体"/>
          <w:b w:val="0"/>
          <w:bCs/>
          <w:sz w:val="24"/>
          <w:szCs w:val="24"/>
          <w:lang w:val="en-US" w:eastAsia="zh-CN"/>
        </w:rPr>
        <w:t>相关</w:t>
      </w:r>
      <w:r>
        <w:rPr>
          <w:rFonts w:hint="eastAsia" w:ascii="Times New Roman" w:hAnsi="Times New Roman" w:eastAsia="宋体" w:cs="宋体"/>
          <w:b w:val="0"/>
          <w:bCs/>
          <w:sz w:val="24"/>
          <w:szCs w:val="24"/>
          <w:lang w:val="en-US" w:eastAsia="zh-CN"/>
        </w:rPr>
        <w:t>研究主流模型的回归结果，并从多</w:t>
      </w:r>
      <w:r>
        <w:rPr>
          <w:rFonts w:hint="eastAsia" w:cs="宋体"/>
          <w:b w:val="0"/>
          <w:bCs/>
          <w:sz w:val="24"/>
          <w:szCs w:val="24"/>
          <w:lang w:val="en-US" w:eastAsia="zh-CN"/>
        </w:rPr>
        <w:t>途径</w:t>
      </w:r>
      <w:r>
        <w:rPr>
          <w:rFonts w:hint="eastAsia" w:ascii="Times New Roman" w:hAnsi="Times New Roman" w:eastAsia="宋体" w:cs="宋体"/>
          <w:b w:val="0"/>
          <w:bCs/>
          <w:sz w:val="24"/>
          <w:szCs w:val="24"/>
          <w:lang w:val="en-US" w:eastAsia="zh-CN"/>
        </w:rPr>
        <w:t>对基准回归结果进行稳健性检验，而后分别根据企业的产权性质和行业特质进行异质性分析，讨论改革对不同特质的企业的影响差异，</w:t>
      </w:r>
      <w:r>
        <w:rPr>
          <w:rFonts w:hint="eastAsia" w:cs="宋体"/>
          <w:b w:val="0"/>
          <w:bCs/>
          <w:sz w:val="24"/>
          <w:szCs w:val="24"/>
          <w:lang w:val="en-US" w:eastAsia="zh-CN"/>
        </w:rPr>
        <w:t>最后本文</w:t>
      </w:r>
      <w:r>
        <w:rPr>
          <w:rFonts w:hint="eastAsia" w:ascii="Times New Roman" w:hAnsi="Times New Roman" w:eastAsia="宋体" w:cs="宋体"/>
          <w:b w:val="0"/>
          <w:bCs/>
          <w:sz w:val="24"/>
          <w:szCs w:val="24"/>
          <w:lang w:val="en-US" w:eastAsia="zh-CN"/>
        </w:rPr>
        <w:t>讨论</w:t>
      </w:r>
      <w:r>
        <w:rPr>
          <w:rFonts w:hint="eastAsia" w:cs="宋体"/>
          <w:b w:val="0"/>
          <w:bCs/>
          <w:sz w:val="24"/>
          <w:szCs w:val="24"/>
          <w:lang w:val="en-US" w:eastAsia="zh-CN"/>
        </w:rPr>
        <w:t>了</w:t>
      </w:r>
      <w:r>
        <w:rPr>
          <w:rFonts w:hint="eastAsia" w:ascii="Times New Roman" w:hAnsi="Times New Roman" w:eastAsia="宋体" w:cs="宋体"/>
          <w:b w:val="0"/>
          <w:bCs/>
          <w:sz w:val="24"/>
          <w:szCs w:val="24"/>
          <w:lang w:val="en-US" w:eastAsia="zh-CN"/>
        </w:rPr>
        <w:t>改革对企业出口影响</w:t>
      </w:r>
      <w:r>
        <w:rPr>
          <w:rFonts w:hint="eastAsia" w:cs="宋体"/>
          <w:b w:val="0"/>
          <w:bCs/>
          <w:sz w:val="24"/>
          <w:szCs w:val="24"/>
          <w:lang w:val="en-US" w:eastAsia="zh-CN"/>
        </w:rPr>
        <w:t>渠道</w:t>
      </w:r>
      <w:r>
        <w:rPr>
          <w:rFonts w:hint="eastAsia" w:ascii="Times New Roman" w:hAnsi="Times New Roman" w:eastAsia="宋体" w:cs="宋体"/>
          <w:b w:val="0"/>
          <w:bCs/>
          <w:sz w:val="24"/>
          <w:szCs w:val="24"/>
          <w:lang w:val="en-US" w:eastAsia="zh-CN"/>
        </w:rPr>
        <w:t>，检验</w:t>
      </w:r>
      <w:r>
        <w:rPr>
          <w:rFonts w:hint="eastAsia" w:cs="宋体"/>
          <w:b w:val="0"/>
          <w:bCs/>
          <w:sz w:val="24"/>
          <w:szCs w:val="24"/>
          <w:lang w:val="en-US" w:eastAsia="zh-CN"/>
        </w:rPr>
        <w:t>了</w:t>
      </w:r>
      <w:r>
        <w:rPr>
          <w:rFonts w:hint="eastAsia" w:ascii="Times New Roman" w:hAnsi="Times New Roman" w:eastAsia="宋体" w:cs="宋体"/>
          <w:b w:val="0"/>
          <w:bCs/>
          <w:sz w:val="24"/>
          <w:szCs w:val="24"/>
          <w:lang w:val="en-US" w:eastAsia="zh-CN"/>
        </w:rPr>
        <w:t>假设二是否成立。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宋体"/>
          <w:b w:val="0"/>
          <w:bCs/>
          <w:sz w:val="24"/>
          <w:szCs w:val="24"/>
          <w:lang w:val="en-US" w:eastAsia="zh-CN"/>
        </w:rPr>
      </w:pPr>
    </w:p>
    <w:bookmarkEnd w:id="28"/>
    <w:p>
      <w:pPr>
        <w:pStyle w:val="25"/>
        <w:bidi w:val="0"/>
        <w:rPr>
          <w:rFonts w:hint="eastAsia"/>
          <w:lang w:val="en-US" w:eastAsia="zh-CN"/>
        </w:rPr>
      </w:pPr>
      <w:bookmarkStart w:id="32" w:name="_Toc11259"/>
      <w:bookmarkStart w:id="33" w:name="_Toc20665"/>
      <w:r>
        <w:rPr>
          <w:rFonts w:hint="eastAsia"/>
          <w:lang w:val="en-US" w:eastAsia="zh-CN"/>
        </w:rPr>
        <w:t>2</w:t>
      </w:r>
      <w:r>
        <w:t>.</w:t>
      </w:r>
      <w:r>
        <w:rPr>
          <w:rFonts w:hint="eastAsia"/>
          <w:lang w:val="en-US" w:eastAsia="zh-CN"/>
        </w:rPr>
        <w:t>2.1 数据</w:t>
      </w:r>
      <w:bookmarkEnd w:id="32"/>
      <w:r>
        <w:rPr>
          <w:rFonts w:hint="eastAsia"/>
          <w:lang w:val="en-US" w:eastAsia="zh-CN"/>
        </w:rPr>
        <w:t>来源及处理</w:t>
      </w:r>
      <w:bookmarkEnd w:id="33"/>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本文所用企业层面的数据主要来源于工业企业数据库，选取2003年到2008年包含企业</w:t>
      </w:r>
      <w:r>
        <w:rPr>
          <w:rFonts w:hint="eastAsia"/>
          <w:sz w:val="24"/>
          <w:szCs w:val="24"/>
          <w:lang w:val="en-US" w:eastAsia="zh-CN"/>
        </w:rPr>
        <w:t>所在地区划</w:t>
      </w:r>
      <w:r>
        <w:rPr>
          <w:rFonts w:hint="eastAsia" w:ascii="Times New Roman" w:hAnsi="Times New Roman" w:eastAsia="宋体"/>
          <w:sz w:val="24"/>
          <w:szCs w:val="24"/>
          <w:lang w:val="en-US" w:eastAsia="zh-CN"/>
        </w:rPr>
        <w:t>信息、经营能力信息和财务信息的工业企业数据。选取数据</w:t>
      </w:r>
      <w:r>
        <w:rPr>
          <w:rFonts w:hint="eastAsia"/>
          <w:sz w:val="24"/>
          <w:szCs w:val="24"/>
          <w:lang w:val="en-US" w:eastAsia="zh-CN"/>
        </w:rPr>
        <w:t>的</w:t>
      </w:r>
      <w:r>
        <w:rPr>
          <w:rFonts w:hint="eastAsia" w:ascii="Times New Roman" w:hAnsi="Times New Roman" w:eastAsia="宋体"/>
          <w:sz w:val="24"/>
          <w:szCs w:val="24"/>
          <w:lang w:val="en-US" w:eastAsia="zh-CN"/>
        </w:rPr>
        <w:t>时间起点为2003的原因在于：工业企业数据库中各企业的行业代码均按照《国民经济行业分类》标准进行定义和划分，而该标准于2002年进行了修订，企业所属行业可能因此发生变动，考虑到陈林（2018）提出的由于工业企业数据库中的企业生产异质性即便是在《国民经济行业分类》中最严格的四位数代码分类下仍较为突出，若将2002年及以前年份纳入考量，可能会干扰到对样本特征和事前趋势的观察，故本文采用阶段性新标准的起始年；选取数据时间截止2008年的原因在于：根据</w:t>
      </w:r>
      <w:r>
        <w:rPr>
          <w:rFonts w:ascii="Times New Roman" w:hAnsi="Times New Roman" w:eastAsia="宋体" w:cs="宋体"/>
          <w:sz w:val="24"/>
          <w:szCs w:val="24"/>
        </w:rPr>
        <w:t>财税[2008]170号</w:t>
      </w:r>
      <w:r>
        <w:rPr>
          <w:rFonts w:hint="eastAsia" w:ascii="Times New Roman" w:hAnsi="Times New Roman" w:eastAsia="宋体" w:cs="宋体"/>
          <w:sz w:val="24"/>
          <w:szCs w:val="24"/>
          <w:lang w:val="en-US" w:eastAsia="zh-CN"/>
        </w:rPr>
        <w:t>政策文件，</w:t>
      </w:r>
      <w:r>
        <w:rPr>
          <w:rFonts w:hint="eastAsia" w:ascii="Times New Roman" w:hAnsi="Times New Roman" w:eastAsia="宋体"/>
          <w:sz w:val="24"/>
          <w:szCs w:val="24"/>
          <w:lang w:val="en-US" w:eastAsia="zh-CN"/>
        </w:rPr>
        <w:t>2009年1月1日起增值税转型改革推广范围扩大至全国，选取2009年以后的数据将导致该政策冲击与本文衡量的阶段性试点改革效应混合，干扰对2007年试点改革效果的识别。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工业企业数据库的基础上，本文根据企业注册地所在地行政区划代码补充匹配了从Wind数据库获取的省级年度固定资产投资价格指数、省级月最低工资标准；根据企业所属二位数代码行业补充匹配了二位数代码行业年度生产价格指数、从CSMAR数据库获取的二位数代码行业年度赫芬达尔—赫希曼指数；根据企业匹配唯一标识码补充了从</w:t>
      </w:r>
      <w:r>
        <w:rPr>
          <w:rFonts w:hint="default" w:ascii="Times New Roman" w:hAnsi="Times New Roman" w:eastAsia="宋体" w:cs="Times New Roman"/>
          <w:sz w:val="24"/>
          <w:szCs w:val="24"/>
          <w:lang w:val="en-US" w:eastAsia="zh-CN"/>
        </w:rPr>
        <w:t>Chinese Patent Data Project（CPDP）</w:t>
      </w:r>
      <w:r>
        <w:rPr>
          <w:rStyle w:val="14"/>
          <w:rFonts w:hint="default" w:ascii="Times New Roman" w:hAnsi="Times New Roman" w:eastAsia="宋体" w:cs="Times New Roman"/>
          <w:sz w:val="24"/>
          <w:szCs w:val="24"/>
          <w:lang w:val="en-US" w:eastAsia="zh-CN"/>
        </w:rPr>
        <w:footnoteReference w:id="4"/>
      </w:r>
      <w:r>
        <w:rPr>
          <w:rFonts w:hint="eastAsia" w:ascii="Times New Roman" w:hAnsi="Times New Roman" w:eastAsia="宋体"/>
          <w:sz w:val="24"/>
          <w:szCs w:val="24"/>
          <w:lang w:val="en-US" w:eastAsia="zh-CN"/>
        </w:rPr>
        <w:t>获取的工业企业专利数据。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聂辉华（2012）指出工业企业数据库存在部分错误数据，本文在整合来源于其它数据库的数据后，对样本数据进行了清洗：删除企业就业人数小于等于0的数据;删除开业年份早于1949年的样本；删除总资产、固定资产、中间投入为负的样本；删除实收资本小于0的样本。参考奚美君等（2019）的做法，本文仅保留在观察期2003年至2008年间一直处于营业状态的企业样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sz w:val="24"/>
          <w:szCs w:val="24"/>
          <w:lang w:val="en-US" w:eastAsia="zh-CN"/>
        </w:rPr>
      </w:pPr>
    </w:p>
    <w:p>
      <w:pPr>
        <w:pStyle w:val="25"/>
        <w:bidi w:val="0"/>
        <w:rPr>
          <w:rFonts w:hint="eastAsia"/>
          <w:lang w:val="en-US" w:eastAsia="zh-CN"/>
        </w:rPr>
      </w:pPr>
      <w:bookmarkStart w:id="34" w:name="_Toc10895"/>
      <w:r>
        <w:rPr>
          <w:rFonts w:hint="eastAsia"/>
          <w:lang w:val="en-US" w:eastAsia="zh-CN"/>
        </w:rPr>
        <w:t>2.2.2 变量定义</w:t>
      </w:r>
      <w:bookmarkEnd w:id="3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r>
        <w:rPr>
          <w:rFonts w:hint="eastAsia" w:ascii="Times New Roman" w:hAnsi="Times New Roman" w:eastAsia="宋体" w:cs="Times New Roman"/>
          <w:sz w:val="24"/>
          <w:szCs w:val="24"/>
          <w:lang w:val="en-US" w:eastAsia="zh-CN"/>
        </w:rPr>
        <w:t>本文的被解释变量分为企业出口倾向和出口绩效两个维度、共三个变量，同时，本文分别从企业和行业</w:t>
      </w:r>
      <w:r>
        <w:rPr>
          <w:rFonts w:hint="eastAsia" w:cs="Times New Roman"/>
          <w:sz w:val="24"/>
          <w:szCs w:val="24"/>
          <w:lang w:val="en-US" w:eastAsia="zh-CN"/>
        </w:rPr>
        <w:t>层面</w:t>
      </w:r>
      <w:r>
        <w:rPr>
          <w:rFonts w:hint="eastAsia" w:ascii="Times New Roman" w:hAnsi="Times New Roman" w:eastAsia="宋体" w:cs="Times New Roman"/>
          <w:sz w:val="24"/>
          <w:szCs w:val="24"/>
          <w:lang w:val="en-US" w:eastAsia="zh-CN"/>
        </w:rPr>
        <w:t>生成了两类、共九个控制变量，本文各变量定义如表2-1所示</w:t>
      </w:r>
      <w:r>
        <w:rPr>
          <w:rFonts w:hint="eastAsia" w:cs="Times New Roman"/>
          <w:sz w:val="24"/>
          <w:szCs w:val="24"/>
          <w:lang w:val="en-US" w:eastAsia="zh-CN"/>
        </w:rPr>
        <w:t>。需要特别说明的是，由于2003年至2008年人民币对于主要贸易国货币普遍处于升值期且变动幅度较小，这种共同趋势带来的出口值变动可以被时间固定效应吸收，且现有研究显示观察期间中国对最大贸易国美国的出口额与汇率关系并不显著（李金荣，2009），故本文不单独考虑汇率的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p>
    <w:p>
      <w:pPr>
        <w:pStyle w:val="26"/>
        <w:bidi w:val="0"/>
        <w:rPr>
          <w:rFonts w:hint="default"/>
          <w:lang w:val="en-US" w:eastAsia="zh-CN"/>
        </w:rPr>
      </w:pPr>
      <w:r>
        <w:rPr>
          <w:rFonts w:hint="eastAsia"/>
          <w:lang w:val="en-US" w:eastAsia="zh-CN"/>
        </w:rPr>
        <w:t>表2-1 变量定义</w:t>
      </w:r>
    </w:p>
    <w:tbl>
      <w:tblPr>
        <w:tblStyle w:val="10"/>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84"/>
        <w:gridCol w:w="1173"/>
        <w:gridCol w:w="68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gridSpan w:val="2"/>
            <w:tcBorders>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b/>
                <w:bCs/>
                <w:sz w:val="21"/>
                <w:szCs w:val="21"/>
                <w:lang w:val="en-US" w:eastAsia="zh-CN"/>
              </w:rPr>
            </w:pPr>
            <w:r>
              <w:rPr>
                <w:rFonts w:hint="eastAsia" w:ascii="Times New Roman" w:hAnsi="Times New Roman" w:eastAsia="宋体"/>
                <w:b/>
                <w:bCs/>
                <w:sz w:val="21"/>
                <w:szCs w:val="21"/>
                <w:lang w:val="en-US" w:eastAsia="zh-CN"/>
              </w:rPr>
              <w:t>变量</w:t>
            </w:r>
          </w:p>
        </w:tc>
        <w:tc>
          <w:tcPr>
            <w:tcW w:w="0" w:type="auto"/>
            <w:tcBorders>
              <w:left w:val="single" w:color="auto" w:sz="4"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b/>
                <w:bCs/>
                <w:sz w:val="21"/>
                <w:szCs w:val="21"/>
                <w:lang w:val="en-US" w:eastAsia="zh-CN"/>
              </w:rPr>
            </w:pPr>
            <w:r>
              <w:rPr>
                <w:rFonts w:hint="eastAsia" w:ascii="Times New Roman" w:hAnsi="Times New Roman" w:eastAsia="宋体"/>
                <w:b/>
                <w:bCs/>
                <w:sz w:val="21"/>
                <w:szCs w:val="21"/>
                <w:lang w:val="en-US" w:eastAsia="zh-CN"/>
              </w:rPr>
              <w:t>变量定义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restart"/>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核心变量</w:t>
            </w: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export</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企业出口状态，若企业当年出口值大于0，则赋值为1，否则为0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exportscale</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企业出口规模，单位为百万，与本文其余名义变量单位保持一致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density</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企业出口强度，等于出口值除以产出值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did</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政策与时期交乘项，本文的核心解释变量，若年份大于等于2007，且企业所处行业、县市属于增值税改革政策适用范围，则赋值为1，否则为0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restart"/>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企业层变量</w:t>
            </w: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SOE</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企业性质是否为国有，若企业为国有企业，则赋值为1，否则为0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eastAsia" w:ascii="Times New Roman" w:hAnsi="Times New Roman" w:eastAsia="宋体"/>
                <w:sz w:val="21"/>
                <w:szCs w:val="21"/>
                <w:lang w:val="en-US" w:eastAsia="zh-CN"/>
              </w:rPr>
              <w:t>t</w:t>
            </w:r>
            <w:r>
              <w:rPr>
                <w:rFonts w:hint="default" w:ascii="Times New Roman" w:hAnsi="Times New Roman" w:eastAsia="宋体"/>
                <w:sz w:val="21"/>
                <w:szCs w:val="21"/>
              </w:rPr>
              <w:t>fp</w:t>
            </w:r>
            <w:r>
              <w:rPr>
                <w:rFonts w:hint="eastAsia" w:ascii="Times New Roman" w:hAnsi="Times New Roman" w:eastAsia="宋体"/>
                <w:sz w:val="21"/>
                <w:szCs w:val="21"/>
                <w:lang w:val="en-US" w:eastAsia="zh-CN"/>
              </w:rPr>
              <w:t>_</w:t>
            </w:r>
            <w:r>
              <w:rPr>
                <w:rFonts w:hint="default" w:ascii="Times New Roman" w:hAnsi="Times New Roman" w:eastAsia="宋体"/>
                <w:sz w:val="21"/>
                <w:szCs w:val="21"/>
              </w:rPr>
              <w:t>op</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企业全要素生产率，采用OP方法计算得出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firmsize</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企业规模，等于企业全部从业人员数的自然对数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roa</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资产收益率，等于息税前利润除以总资产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fincons</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企业融资约束，等于总利润加折旧额之和除以资产总额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patent</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企业专利总数，单位为个，等于企业申请的实用型专利、发明型专利数量的总和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kl</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企业资本密集度，等于ln(剔除固定资产投资价格因素的固定资产净值/全部从业人员数)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0" w:type="auto"/>
            <w:vMerge w:val="restart"/>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right="113" w:firstLine="0" w:firstLineChars="0"/>
              <w:jc w:val="center"/>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行业层变量</w:t>
            </w: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sz w:val="21"/>
                <w:szCs w:val="21"/>
              </w:rPr>
            </w:pPr>
            <w:r>
              <w:rPr>
                <w:rFonts w:hint="default" w:ascii="Times New Roman" w:hAnsi="Times New Roman" w:eastAsia="宋体"/>
                <w:sz w:val="21"/>
                <w:szCs w:val="21"/>
              </w:rPr>
              <w:t>hhi</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产业市场集中度，即使用主营业务收入标准计算的赫芬达尔—赫希曼指数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7" w:hRule="atLeast"/>
          <w:jc w:val="center"/>
        </w:trPr>
        <w:tc>
          <w:tcPr>
            <w:tcW w:w="0" w:type="auto"/>
            <w:vMerge w:val="continue"/>
            <w:tcBorders>
              <w:top w:val="single" w:color="auto" w:sz="4" w:space="0"/>
              <w:bottom w:val="single" w:color="auto" w:sz="4" w:space="0"/>
              <w:right w:val="single" w:color="auto" w:sz="4" w:space="0"/>
            </w:tcBorders>
            <w:noWrap w:val="0"/>
            <w:textDirection w:val="tbLrV"/>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bCs/>
                <w:sz w:val="21"/>
                <w:szCs w:val="21"/>
                <w:lang w:val="en-US" w:eastAsia="zh-CN"/>
              </w:rPr>
            </w:pPr>
          </w:p>
        </w:tc>
        <w:tc>
          <w:tcPr>
            <w:tcW w:w="0" w:type="auto"/>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indk</w:t>
            </w:r>
            <w:r>
              <w:rPr>
                <w:rFonts w:hint="default" w:ascii="Times New Roman" w:hAnsi="Times New Roman" w:eastAsia="宋体"/>
                <w:sz w:val="21"/>
                <w:szCs w:val="21"/>
              </w:rPr>
              <w:t>l</w:t>
            </w:r>
            <w:r>
              <w:rPr>
                <w:rFonts w:hint="eastAsia" w:ascii="Times New Roman" w:hAnsi="Times New Roman" w:eastAsia="宋体"/>
                <w:sz w:val="21"/>
                <w:szCs w:val="21"/>
                <w:lang w:val="en-US" w:eastAsia="zh-CN"/>
              </w:rPr>
              <w:t>type</w:t>
            </w:r>
          </w:p>
        </w:tc>
        <w:tc>
          <w:tcPr>
            <w:tcW w:w="0" w:type="auto"/>
            <w:tcBorders>
              <w:top w:val="single" w:color="auto" w:sz="4" w:space="0"/>
              <w:left w:val="single" w:color="auto"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行业类型，若企业所处行业为资本密集型行业，则取之为1，否则为0</w:t>
            </w:r>
          </w:p>
        </w:tc>
      </w:tr>
    </w:tbl>
    <w:p>
      <w:pPr>
        <w:keepNext w:val="0"/>
        <w:keepLines w:val="0"/>
        <w:pageBreakBefore w:val="0"/>
        <w:kinsoku/>
        <w:overflowPunct/>
        <w:topLinePunct w:val="0"/>
        <w:bidi w:val="0"/>
        <w:spacing w:after="0" w:line="360" w:lineRule="auto"/>
        <w:ind w:firstLine="480" w:firstLineChars="200"/>
        <w:jc w:val="center"/>
        <w:textAlignment w:val="auto"/>
        <w:rPr>
          <w:rFonts w:hint="eastAsia" w:ascii="Times New Roman" w:hAnsi="Times New Roman" w:eastAsia="宋体" w:cs="黑体"/>
          <w:sz w:val="24"/>
          <w:szCs w:val="24"/>
          <w:lang w:val="en-US" w:eastAsia="zh-CN"/>
        </w:rPr>
      </w:pPr>
    </w:p>
    <w:p>
      <w:pPr>
        <w:pStyle w:val="25"/>
        <w:bidi w:val="0"/>
        <w:rPr>
          <w:rFonts w:hint="eastAsia"/>
          <w:lang w:val="en-US" w:eastAsia="zh-CN"/>
        </w:rPr>
      </w:pPr>
      <w:bookmarkStart w:id="35" w:name="_Toc8475"/>
      <w:r>
        <w:rPr>
          <w:rFonts w:hint="eastAsia"/>
          <w:lang w:val="en-US" w:eastAsia="zh-CN"/>
        </w:rPr>
        <w:t>2</w:t>
      </w:r>
      <w:r>
        <w:rPr>
          <w:rFonts w:hint="eastAsia"/>
        </w:rPr>
        <w:t>.</w:t>
      </w:r>
      <w:r>
        <w:rPr>
          <w:rFonts w:hint="eastAsia"/>
          <w:lang w:val="en-US" w:eastAsia="zh-CN"/>
        </w:rPr>
        <w:t>2.3 变量构造依据与方法</w:t>
      </w:r>
      <w:bookmarkEnd w:id="3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textAlignment w:val="auto"/>
        <w:outlineLvl w:val="2"/>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核心变量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参考杨慧梅（2020）的做法，构造判断企业当年是否出口的虚拟变量（export）衡量出口倾向的变化。衡量企业出口绩效的两个变量分别是出口规模和出口强度。本文考虑到样本中约有八成观测值的出口值为0的特点，并结合杨远东等（2001）提出的关键变量对数化处理变量后相关性可能下降的观点，不对出口值做对数化处理，而是将出口值单位变换为百万元，同时为减少极端值的影响对其进行了1%的缩尾处理，作为出口规模变量（exportscale），并将除虚拟变量外的其他变量单位统一；本文参考Liu&amp;Lu（2015）的做法，用出口值除以产出值构造出口强度变量（dens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本文的核心解释变量沿用奚美君等（2019）做法，生成政策虚拟变量did。具体地，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position w:val="-120"/>
          <w:sz w:val="24"/>
          <w:szCs w:val="24"/>
          <w:lang w:val="en-US" w:eastAsia="zh-CN"/>
        </w:rPr>
      </w:pPr>
      <w:r>
        <w:rPr>
          <w:rFonts w:hint="eastAsia" w:ascii="Times New Roman" w:hAnsi="Times New Roman" w:eastAsia="宋体" w:cs="Times New Roman"/>
          <w:position w:val="-120"/>
          <w:sz w:val="24"/>
          <w:szCs w:val="24"/>
          <w:lang w:val="en-US" w:eastAsia="zh-CN"/>
        </w:rPr>
        <w:object>
          <v:shape id="_x0000_i1026" o:spt="75" type="#_x0000_t75" style="height:89pt;width:364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cs="Times New Roman"/>
          <w:position w:val="-120"/>
          <w:sz w:val="24"/>
          <w:szCs w:val="24"/>
          <w:lang w:val="en-US" w:eastAsia="zh-CN"/>
        </w:rPr>
      </w:pPr>
      <w:r>
        <w:rPr>
          <w:rFonts w:hint="eastAsia" w:cs="Times New Roman"/>
          <w:position w:val="-120"/>
          <w:sz w:val="24"/>
          <w:szCs w:val="24"/>
          <w:lang w:val="en-US" w:eastAsia="zh-CN"/>
        </w:rPr>
        <w:t>其中，i表示企业，c表示城市，t表示时间。</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textAlignment w:val="auto"/>
        <w:outlineLvl w:val="2"/>
        <w:rPr>
          <w:rFonts w:hint="eastAsia"/>
          <w:b w:val="0"/>
          <w:bCs w:val="0"/>
          <w:sz w:val="24"/>
          <w:szCs w:val="24"/>
          <w:lang w:val="en-US" w:eastAsia="zh-CN"/>
        </w:rPr>
      </w:pPr>
      <w:r>
        <w:rPr>
          <w:rFonts w:hint="eastAsia"/>
          <w:b w:val="0"/>
          <w:bCs w:val="0"/>
          <w:sz w:val="24"/>
          <w:szCs w:val="24"/>
          <w:lang w:val="en-US" w:eastAsia="zh-CN"/>
        </w:rPr>
        <w:t>企业控制变量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考虑到工业企业数据库中的企业登记注册类型仅能展现企业注册当年是否为国有企业，而随着不同主体控股比例变动，企业的实质类型也可能会发生改变，本文按照国有资本控股是否超过50%生成判定企业是否为国有企业的虚拟变量（SOE），企业是国有企业则赋值为1，否则为0；企业规模（firmsize）为企业全部从业人员数的对数值；参考杨慧梅（2020）的做法，用剔除固定资产投资价格因素的固定资产净值与全部从业人员数比值的对数值生成资本密集度（kl）；本文采用OP方法并沿用聂辉华等（2011）的15%的折旧率设置，对除工业产出、中间投入、投资外的名义变量使用1978年的GDP指数平减、对工业产出、中间品投入以当年的年度生产价格指数、对投资以当年的省级固定资产投资价格指数进行平减，计算出样本企业的全要素生产率（tfp_op），鉴于2008年的工业企业数据库缺失工业增加值和中间投入等指标数据，无法计算出全要素生产率，本文参照现行主流方法（鲁晓东和连玉军，2012；李苏苏等，2021）对缺失指标进行补全后计算出2008年的全要素生产率；考虑到设计型专利的技术创新含量较低，故本文的企业专利总数（patent）仅包含实用型专利和发明型专利；企业融资约束变量（fincons）沿用奚美君等（2019）的方法生成，定义为总利润加折旧额之和与资产总额的比值,该变量代表内外部融资难易程度的比较，取值越小代表企业更依赖于外源融资，取值越大代表企业越依赖于内源融资；资产收益率（roa），本文参考Kong&amp;Xiong(2020)的方法，用息税前利润除以总资产计算出资产收益率，并根据二位数行业代码分组进行线性插值法补全得到，该变量可以衡量企业的盈利能力。</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textAlignment w:val="auto"/>
        <w:outlineLvl w:val="2"/>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行业控制变量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本文参考刘晓宁等(2015</w:t>
      </w:r>
      <w:r>
        <w:rPr>
          <w:rFonts w:hint="default" w:ascii="Times New Roman" w:hAnsi="Times New Roman" w:eastAsia="宋体" w:cs="Times New Roman"/>
          <w:sz w:val="24"/>
          <w:szCs w:val="24"/>
          <w:lang w:val="en-US" w:eastAsia="zh-CN"/>
        </w:rPr>
        <w:t>)的方法，用分行业的全部从业人数除以固定资产净值</w:t>
      </w:r>
      <w:r>
        <w:rPr>
          <w:rFonts w:hint="eastAsia" w:ascii="Times New Roman" w:hAnsi="Times New Roman" w:eastAsia="宋体" w:cs="Times New Roman"/>
          <w:sz w:val="24"/>
          <w:szCs w:val="24"/>
          <w:lang w:val="en-US" w:eastAsia="zh-CN"/>
        </w:rPr>
        <w:t>生成二位数代码行业的劳动资本比</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并</w:t>
      </w:r>
      <w:r>
        <w:rPr>
          <w:rFonts w:hint="eastAsia" w:ascii="Times New Roman" w:hAnsi="Times New Roman" w:eastAsia="宋体" w:cs="Times New Roman"/>
          <w:sz w:val="24"/>
          <w:szCs w:val="24"/>
          <w:lang w:val="en-US" w:eastAsia="zh-CN"/>
        </w:rPr>
        <w:t>生成中位数，然后按是否大于中位数生成表示该二位数代码行业</w:t>
      </w:r>
      <w:r>
        <w:rPr>
          <w:rFonts w:hint="eastAsia" w:cs="Times New Roman"/>
          <w:sz w:val="24"/>
          <w:szCs w:val="24"/>
          <w:lang w:val="en-US" w:eastAsia="zh-CN"/>
        </w:rPr>
        <w:t>的</w:t>
      </w:r>
      <w:r>
        <w:rPr>
          <w:rFonts w:hint="eastAsia" w:ascii="Times New Roman" w:hAnsi="Times New Roman" w:eastAsia="宋体" w:cs="Times New Roman"/>
          <w:sz w:val="24"/>
          <w:szCs w:val="24"/>
          <w:lang w:val="en-US" w:eastAsia="zh-CN"/>
        </w:rPr>
        <w:t>行业性质的虚拟变量（indkltype），大于则取值为1，表示企业处于劳动密集型行业，否则为0，表示企业处于资本密集型行业;本文在基准回归部分选取用主营业务收入计算的赫芬达尔—赫希曼指数（hhi）作为对产业集中度的衡量，该指数越大说明该产业的集中度和垄断程度越高。考虑到可能存在的反向因果</w:t>
      </w:r>
      <w:r>
        <w:rPr>
          <w:rFonts w:hint="eastAsia" w:cs="Times New Roman"/>
          <w:sz w:val="24"/>
          <w:szCs w:val="24"/>
          <w:lang w:val="en-US" w:eastAsia="zh-CN"/>
        </w:rPr>
        <w:t>内生性</w:t>
      </w:r>
      <w:r>
        <w:rPr>
          <w:rFonts w:hint="eastAsia" w:ascii="Times New Roman" w:hAnsi="Times New Roman" w:eastAsia="宋体" w:cs="Times New Roman"/>
          <w:sz w:val="24"/>
          <w:szCs w:val="24"/>
          <w:lang w:val="en-US" w:eastAsia="zh-CN"/>
        </w:rPr>
        <w:t>问题，本文将所有控制变量滞后一期。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pPr>
        <w:pStyle w:val="16"/>
        <w:bidi w:val="0"/>
        <w:rPr>
          <w:rFonts w:hint="eastAsia"/>
          <w:lang w:val="en-US" w:eastAsia="zh-CN"/>
        </w:rPr>
      </w:pPr>
      <w:bookmarkStart w:id="36" w:name="_Toc24587"/>
      <w:bookmarkStart w:id="37" w:name="_Toc31672"/>
      <w:r>
        <w:rPr>
          <w:rFonts w:hint="eastAsia"/>
          <w:lang w:val="en-US" w:eastAsia="zh-CN"/>
        </w:rPr>
        <w:t>2</w:t>
      </w:r>
      <w:r>
        <w:t>.</w:t>
      </w:r>
      <w:r>
        <w:rPr>
          <w:rFonts w:hint="eastAsia"/>
          <w:lang w:val="en-US" w:eastAsia="zh-CN"/>
        </w:rPr>
        <w:t>3 样本、模型设定</w:t>
      </w:r>
      <w:bookmarkEnd w:id="36"/>
      <w:bookmarkEnd w:id="37"/>
    </w:p>
    <w:p>
      <w:pPr>
        <w:pStyle w:val="25"/>
        <w:bidi w:val="0"/>
        <w:rPr>
          <w:rFonts w:hint="eastAsia"/>
          <w:lang w:val="en-US" w:eastAsia="zh-CN"/>
        </w:rPr>
      </w:pPr>
      <w:bookmarkStart w:id="38" w:name="_Toc4560"/>
      <w:r>
        <w:rPr>
          <w:rFonts w:hint="eastAsia"/>
          <w:lang w:val="en-US" w:eastAsia="zh-CN"/>
        </w:rPr>
        <w:t>2.3.1 样本构造</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本文首先</w:t>
      </w:r>
      <w:r>
        <w:rPr>
          <w:rFonts w:hint="eastAsia" w:cs="宋体"/>
          <w:b w:val="0"/>
          <w:bCs/>
          <w:sz w:val="24"/>
          <w:szCs w:val="24"/>
          <w:lang w:val="en-US" w:eastAsia="zh-CN"/>
        </w:rPr>
        <w:t>剔除了位于</w:t>
      </w:r>
      <w:r>
        <w:rPr>
          <w:rFonts w:hint="eastAsia" w:ascii="Times New Roman" w:hAnsi="Times New Roman" w:eastAsia="宋体"/>
          <w:sz w:val="24"/>
          <w:lang w:val="en-US" w:eastAsia="zh-CN"/>
        </w:rPr>
        <w:t>国办函[2007]2号划定的同时享受</w:t>
      </w:r>
      <w:r>
        <w:rPr>
          <w:rFonts w:hint="eastAsia" w:ascii="Times New Roman" w:hAnsi="Times New Roman" w:eastAsia="宋体" w:cs="宋体"/>
          <w:b w:val="0"/>
          <w:bCs/>
          <w:sz w:val="24"/>
          <w:szCs w:val="24"/>
          <w:lang w:val="en-US" w:eastAsia="zh-CN"/>
        </w:rPr>
        <w:t>西部大开发优惠政策的</w:t>
      </w:r>
      <w:r>
        <w:rPr>
          <w:rFonts w:hint="eastAsia" w:cs="宋体"/>
          <w:b w:val="0"/>
          <w:bCs/>
          <w:sz w:val="24"/>
          <w:szCs w:val="24"/>
          <w:lang w:val="en-US" w:eastAsia="zh-CN"/>
        </w:rPr>
        <w:t>县（见附录）</w:t>
      </w:r>
      <w:r>
        <w:rPr>
          <w:rFonts w:hint="eastAsia" w:ascii="Times New Roman" w:hAnsi="Times New Roman" w:eastAsia="宋体" w:cs="宋体"/>
          <w:b w:val="0"/>
          <w:bCs/>
          <w:sz w:val="24"/>
          <w:szCs w:val="24"/>
          <w:lang w:val="en-US" w:eastAsia="zh-CN"/>
        </w:rPr>
        <w:t>的企业，而后剔除了位于市辖区的企业。本文在构造样本时剔除位于市辖区的企业主要有两点原因：其一是市辖区与非市辖区在政治、经济、资源禀赋上差异明显（沈非等，2019；潘家顺，2019），特别地，市辖区在如资本、技术、劳动力等关键生产要素领域往往具有较突出的规模效应和空间聚集效应（林拓和申力，2012</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苏素和廖冰雅，2015</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孔哲等，2020），对于存在空间聚集效应的情况，传统计量中关于个体相互独立的假设将不再被满足，一种解决办法是引入考虑样本空间联系的空间计量方法，如空间双重差分模型，但该模型发展尚未成熟、尚无研究从理论上证明该模型估计结果的有效性与精确性，故本文未使用空间计量方法，而是通过在空间联系相对不明显的各城市除市辖区外的</w:t>
      </w:r>
      <w:r>
        <w:rPr>
          <w:rFonts w:hint="eastAsia" w:cs="宋体"/>
          <w:b w:val="0"/>
          <w:bCs/>
          <w:sz w:val="24"/>
          <w:szCs w:val="24"/>
          <w:lang w:val="en-US" w:eastAsia="zh-CN"/>
        </w:rPr>
        <w:t>市县</w:t>
      </w:r>
      <w:r>
        <w:rPr>
          <w:rFonts w:hint="eastAsia" w:ascii="Times New Roman" w:hAnsi="Times New Roman" w:eastAsia="宋体" w:cs="宋体"/>
          <w:b w:val="0"/>
          <w:bCs/>
          <w:sz w:val="24"/>
          <w:szCs w:val="24"/>
          <w:lang w:val="en-US" w:eastAsia="zh-CN"/>
        </w:rPr>
        <w:t>中构造样本的方式来削弱空间联系对估计产生的影响；其二是各城市的市辖区之间也存在明显的经济特质差异，其中以武汉、</w:t>
      </w:r>
      <w:r>
        <w:rPr>
          <w:rFonts w:hint="eastAsia" w:cs="宋体"/>
          <w:b w:val="0"/>
          <w:bCs/>
          <w:sz w:val="24"/>
          <w:szCs w:val="24"/>
          <w:lang w:val="en-US" w:eastAsia="zh-CN"/>
        </w:rPr>
        <w:t>合肥</w:t>
      </w:r>
      <w:r>
        <w:rPr>
          <w:rFonts w:hint="eastAsia" w:ascii="Times New Roman" w:hAnsi="Times New Roman" w:eastAsia="宋体" w:cs="宋体"/>
          <w:b w:val="0"/>
          <w:bCs/>
          <w:sz w:val="24"/>
          <w:szCs w:val="24"/>
          <w:lang w:val="en-US" w:eastAsia="zh-CN"/>
        </w:rPr>
        <w:t>最为突出，出口占比极高</w:t>
      </w:r>
      <w:r>
        <w:rPr>
          <w:rStyle w:val="14"/>
          <w:rFonts w:hint="eastAsia" w:ascii="Times New Roman" w:hAnsi="Times New Roman" w:eastAsia="宋体" w:cs="宋体"/>
          <w:b w:val="0"/>
          <w:bCs/>
          <w:sz w:val="24"/>
          <w:szCs w:val="24"/>
          <w:lang w:val="en-US" w:eastAsia="zh-CN"/>
        </w:rPr>
        <w:footnoteReference w:id="5"/>
      </w:r>
      <w:r>
        <w:rPr>
          <w:rFonts w:hint="eastAsia" w:ascii="Times New Roman" w:hAnsi="Times New Roman" w:eastAsia="宋体" w:cs="宋体"/>
          <w:b w:val="0"/>
          <w:bCs/>
          <w:sz w:val="24"/>
          <w:szCs w:val="24"/>
          <w:lang w:val="en-US" w:eastAsia="zh-CN"/>
        </w:rPr>
        <w:t>，从这个角度，本文的样本构造方式有利于减轻企业所处环境的较强的异质性带来的选择偏差问题。</w:t>
      </w:r>
    </w:p>
    <w:p>
      <w:pPr>
        <w:pStyle w:val="25"/>
        <w:bidi w:val="0"/>
        <w:rPr>
          <w:rFonts w:hint="eastAsia"/>
          <w:lang w:val="en-US" w:eastAsia="zh-CN"/>
        </w:rPr>
      </w:pPr>
      <w:bookmarkStart w:id="39" w:name="_Toc31659"/>
      <w:r>
        <w:rPr>
          <w:rFonts w:hint="eastAsia"/>
          <w:lang w:val="en-US" w:eastAsia="zh-CN"/>
        </w:rPr>
        <w:t>2.3.2 模型设定</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由于本文的观察期总共包含六期（从2003年至2008年），故样本在观察期内的出口时间范围为大于等于零年且小于等于六年，本文定义出口时长等于零的企业为非出口企业，大于零则为出口企业；其中出口时长大于零年且小于六年的企业可能是出口市场的新进入者或退出者，出口时长等于六年的企业为出口市场的幸存企业，本文统计了不同出口时长的企业占比，如图2-1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eastAsia="宋体"/>
          <w:b/>
          <w:sz w:val="24"/>
          <w:szCs w:val="28"/>
          <w:lang w:val="en-US" w:eastAsia="zh-CN"/>
        </w:rPr>
      </w:pPr>
      <w:r>
        <w:rPr>
          <w:rFonts w:ascii="Times New Roman" w:hAnsi="Times New Roman" w:eastAsia="宋体"/>
          <w:sz w:val="24"/>
        </w:rPr>
        <w:drawing>
          <wp:inline distT="0" distB="0" distL="114300" distR="114300">
            <wp:extent cx="5398770" cy="3599180"/>
            <wp:effectExtent l="0" t="0" r="11430" b="7620"/>
            <wp:docPr id="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0"/>
                    <pic:cNvPicPr>
                      <a:picLocks noChangeAspect="1"/>
                    </pic:cNvPicPr>
                  </pic:nvPicPr>
                  <pic:blipFill>
                    <a:blip r:embed="rId18"/>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图2-1 归并数据：按出口时长划分的企业分布状况</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lang w:val="en-US" w:eastAsia="zh-CN"/>
        </w:rPr>
        <w:t>由图2-1可知，非出口企业约占样本企业总数的八成，属于</w:t>
      </w:r>
      <w:r>
        <w:rPr>
          <w:rFonts w:hint="eastAsia"/>
          <w:sz w:val="24"/>
          <w:lang w:val="en-US" w:eastAsia="zh-CN"/>
        </w:rPr>
        <w:t>在零值处大量累积的归并</w:t>
      </w:r>
      <w:r>
        <w:rPr>
          <w:rFonts w:hint="eastAsia" w:ascii="Times New Roman" w:hAnsi="Times New Roman" w:eastAsia="宋体"/>
          <w:sz w:val="24"/>
          <w:lang w:val="en-US" w:eastAsia="zh-CN"/>
        </w:rPr>
        <w:t>数据，而出口企业和非出口企业间存在生产率异质性(Melitz，2003)，若同等对待非出口企业和出口企业进行OLS回归，将会导致有偏估计。现有研究涉及的回归模型主要有H</w:t>
      </w:r>
      <w:r>
        <w:rPr>
          <w:rFonts w:hint="default" w:ascii="Times New Roman" w:hAnsi="Times New Roman" w:eastAsia="宋体" w:cs="Times New Roman"/>
          <w:sz w:val="24"/>
        </w:rPr>
        <w:t>eckman</w:t>
      </w:r>
      <w:r>
        <w:rPr>
          <w:rFonts w:hint="eastAsia" w:ascii="Times New Roman" w:hAnsi="Times New Roman" w:eastAsia="宋体"/>
          <w:sz w:val="24"/>
        </w:rPr>
        <w:t>两阶段模型</w:t>
      </w:r>
      <w:r>
        <w:rPr>
          <w:rFonts w:hint="eastAsia" w:ascii="Times New Roman" w:hAnsi="Times New Roman" w:eastAsia="宋体"/>
          <w:sz w:val="24"/>
          <w:lang w:eastAsia="zh-CN"/>
        </w:rPr>
        <w:t>、</w:t>
      </w:r>
      <w:r>
        <w:rPr>
          <w:rFonts w:hint="eastAsia" w:ascii="Times New Roman" w:hAnsi="Times New Roman" w:eastAsia="宋体"/>
          <w:sz w:val="24"/>
          <w:lang w:val="en-US" w:eastAsia="zh-CN"/>
        </w:rPr>
        <w:t>面板固定效应模型、Tobit模型和两部模型</w:t>
      </w:r>
      <w:r>
        <w:rPr>
          <w:rStyle w:val="14"/>
          <w:rFonts w:hint="eastAsia" w:ascii="Times New Roman" w:hAnsi="Times New Roman" w:eastAsia="宋体"/>
          <w:sz w:val="24"/>
          <w:lang w:val="en-US" w:eastAsia="zh-CN"/>
        </w:rPr>
        <w:footnoteReference w:id="6"/>
      </w:r>
      <w:r>
        <w:rPr>
          <w:rFonts w:hint="eastAsia" w:ascii="Times New Roman" w:hAnsi="Times New Roman" w:eastAsia="宋体"/>
          <w:sz w:val="24"/>
          <w:lang w:eastAsia="zh-CN"/>
        </w:rPr>
        <w:t>，</w:t>
      </w:r>
      <w:r>
        <w:rPr>
          <w:rFonts w:hint="eastAsia" w:ascii="Times New Roman" w:hAnsi="Times New Roman" w:eastAsia="宋体"/>
          <w:sz w:val="24"/>
          <w:lang w:val="en-US" w:eastAsia="zh-CN"/>
        </w:rPr>
        <w:t>本文首先在本小节介绍这四类模型的适用情况并参照现有研究进行模型设定，而后将在基准回归部分对比分析这四种模型的回归结果、讨论适用性</w:t>
      </w:r>
      <w:r>
        <w:rPr>
          <w:rFonts w:hint="eastAsia" w:ascii="Times New Roman" w:hAnsi="Times New Roman" w:eastAsia="宋体"/>
          <w:sz w:val="24"/>
          <w:lang w:eastAsia="zh-CN"/>
        </w:rPr>
        <w:t>。</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Heckman两步法的选择模型适用于由于某种不可观测的原因，样本企业出现缺失值的情形（Heckman,1979）</w:t>
      </w:r>
      <w:r>
        <w:rPr>
          <w:rFonts w:hint="eastAsia" w:ascii="Times New Roman" w:hAnsi="Times New Roman" w:eastAsia="宋体"/>
          <w:sz w:val="24"/>
        </w:rPr>
        <w:t>。</w:t>
      </w:r>
      <w:r>
        <w:rPr>
          <w:rFonts w:hint="eastAsia" w:ascii="Times New Roman" w:hAnsi="Times New Roman" w:eastAsia="宋体"/>
          <w:sz w:val="24"/>
          <w:lang w:val="en-US" w:eastAsia="zh-CN"/>
        </w:rPr>
        <w:t>具体地，Heckman两阶段模型首先借助Probit模型计算出逆米尔斯比率，逆米尔斯比率的作用在于为每条观测值计算出一个用于修正选择偏差的值，然后在第二阶段的回归中加入该逆米尔斯比率作为控制变量，从而得到修正的参数。本文参考Helpman（2007）对零出口值样本的处理方法和现有研究将Heckman两阶段应用于样本选择偏差问题的普遍做法（祝树金和赵玉龙，2017</w:t>
      </w:r>
      <w:r>
        <w:rPr>
          <w:rFonts w:hint="eastAsia"/>
          <w:sz w:val="24"/>
          <w:lang w:val="en-US" w:eastAsia="zh-CN"/>
        </w:rPr>
        <w:t>；</w:t>
      </w:r>
      <w:r>
        <w:rPr>
          <w:rFonts w:hint="eastAsia" w:ascii="Times New Roman" w:hAnsi="Times New Roman" w:eastAsia="宋体"/>
          <w:sz w:val="24"/>
          <w:lang w:val="en-US" w:eastAsia="zh-CN"/>
        </w:rPr>
        <w:t>奚美君等，2019；刘志强和白雪飞，2019</w:t>
      </w:r>
      <w:r>
        <w:rPr>
          <w:rFonts w:hint="eastAsia"/>
          <w:sz w:val="24"/>
          <w:lang w:val="en-US" w:eastAsia="zh-CN"/>
        </w:rPr>
        <w:t>；</w:t>
      </w:r>
      <w:r>
        <w:rPr>
          <w:rFonts w:hint="eastAsia" w:ascii="Times New Roman" w:hAnsi="Times New Roman" w:eastAsia="宋体"/>
          <w:sz w:val="24"/>
          <w:lang w:val="en-US" w:eastAsia="zh-CN"/>
        </w:rPr>
        <w:t>杨慧梅，2020）进行模型设定，即将出口值为0的企业视为因不可观测原因产生的缺失值处理。需要注意的是，为避免逆米尔斯比率与第二阶段出口方程中的控制变量产生严重的共线性问题，在</w:t>
      </w:r>
      <w:r>
        <w:rPr>
          <w:rFonts w:hint="eastAsia" w:ascii="Times New Roman" w:hAnsi="Times New Roman" w:eastAsia="宋体"/>
          <w:sz w:val="24"/>
        </w:rPr>
        <w:t>第一阶段</w:t>
      </w:r>
      <w:r>
        <w:rPr>
          <w:rFonts w:hint="eastAsia" w:ascii="Times New Roman" w:hAnsi="Times New Roman" w:eastAsia="宋体"/>
          <w:sz w:val="24"/>
          <w:lang w:val="en-US" w:eastAsia="zh-CN"/>
        </w:rPr>
        <w:t>的选择方程中</w:t>
      </w:r>
      <w:r>
        <w:rPr>
          <w:rFonts w:hint="eastAsia" w:ascii="Times New Roman" w:hAnsi="Times New Roman" w:eastAsia="宋体"/>
          <w:sz w:val="24"/>
        </w:rPr>
        <w:t>需要有一个</w:t>
      </w:r>
      <w:r>
        <w:rPr>
          <w:rFonts w:hint="eastAsia" w:ascii="Times New Roman" w:hAnsi="Times New Roman" w:eastAsia="宋体"/>
          <w:sz w:val="24"/>
          <w:lang w:val="en-US" w:eastAsia="zh-CN"/>
        </w:rPr>
        <w:t>影响企业出口倾向但不影响出口绩效指标的排他性约束变量</w:t>
      </w:r>
      <w:r>
        <w:rPr>
          <w:rFonts w:hint="eastAsia" w:ascii="Times New Roman" w:hAnsi="Times New Roman" w:eastAsia="宋体"/>
          <w:sz w:val="24"/>
        </w:rPr>
        <w:t>，本文参照</w:t>
      </w:r>
      <w:r>
        <w:rPr>
          <w:rFonts w:hint="eastAsia" w:ascii="Times New Roman" w:hAnsi="Times New Roman" w:eastAsia="宋体"/>
          <w:sz w:val="24"/>
          <w:lang w:val="en-US" w:eastAsia="zh-CN"/>
        </w:rPr>
        <w:t>现有研究的普遍做法</w:t>
      </w:r>
      <w:r>
        <w:rPr>
          <w:rFonts w:hint="eastAsia" w:ascii="Times New Roman" w:hAnsi="Times New Roman" w:eastAsia="宋体"/>
          <w:sz w:val="24"/>
          <w:lang w:eastAsia="zh-CN"/>
        </w:rPr>
        <w:t>（</w:t>
      </w:r>
      <w:r>
        <w:rPr>
          <w:rFonts w:hint="eastAsia" w:ascii="Times New Roman" w:hAnsi="Times New Roman" w:eastAsia="宋体"/>
          <w:sz w:val="24"/>
          <w:lang w:val="en-US" w:eastAsia="zh-CN"/>
        </w:rPr>
        <w:t>杨慧梅，2020；奚美君等，2019；祝树金和赵玉龙，2017</w:t>
      </w:r>
      <w:r>
        <w:rPr>
          <w:rFonts w:hint="eastAsia" w:ascii="Times New Roman" w:hAnsi="Times New Roman" w:eastAsia="宋体"/>
          <w:sz w:val="24"/>
          <w:lang w:eastAsia="zh-CN"/>
        </w:rPr>
        <w:t>）</w:t>
      </w:r>
      <w:r>
        <w:rPr>
          <w:rFonts w:hint="eastAsia" w:ascii="Times New Roman" w:hAnsi="Times New Roman" w:eastAsia="宋体"/>
          <w:sz w:val="24"/>
        </w:rPr>
        <w:t>，采用企业滞后一期的出口状态</w:t>
      </w:r>
      <w:r>
        <w:rPr>
          <w:rFonts w:hint="eastAsia" w:ascii="Times New Roman" w:hAnsi="Times New Roman" w:eastAsia="宋体"/>
          <w:sz w:val="24"/>
          <w:lang w:eastAsia="zh-CN"/>
        </w:rPr>
        <w:t>（</w:t>
      </w:r>
      <w:r>
        <w:rPr>
          <w:rFonts w:hint="eastAsia" w:ascii="Times New Roman" w:hAnsi="Times New Roman" w:eastAsia="宋体"/>
          <w:sz w:val="24"/>
          <w:lang w:val="en-US" w:eastAsia="zh-CN"/>
        </w:rPr>
        <w:t>explag</w:t>
      </w:r>
      <w:r>
        <w:rPr>
          <w:rFonts w:hint="eastAsia" w:ascii="Times New Roman" w:hAnsi="Times New Roman" w:eastAsia="宋体"/>
          <w:sz w:val="24"/>
          <w:lang w:eastAsia="zh-CN"/>
        </w:rPr>
        <w:t>）</w:t>
      </w:r>
      <w:r>
        <w:rPr>
          <w:rFonts w:hint="eastAsia" w:ascii="Times New Roman" w:hAnsi="Times New Roman" w:eastAsia="宋体"/>
          <w:sz w:val="24"/>
        </w:rPr>
        <w:t>作为</w:t>
      </w:r>
      <w:r>
        <w:rPr>
          <w:rFonts w:hint="eastAsia" w:ascii="Times New Roman" w:hAnsi="Times New Roman" w:eastAsia="宋体"/>
          <w:sz w:val="24"/>
          <w:lang w:val="en-US" w:eastAsia="zh-CN"/>
        </w:rPr>
        <w:t>选择方程的排他性约束变量，这是因为企业的各期出口决策存在路径依赖（</w:t>
      </w:r>
      <w:r>
        <w:rPr>
          <w:rFonts w:hint="eastAsia" w:ascii="Times New Roman" w:hAnsi="Times New Roman" w:eastAsia="宋体" w:cs="宋体"/>
          <w:sz w:val="24"/>
          <w:szCs w:val="24"/>
        </w:rPr>
        <w:t>Tybout</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1997</w:t>
      </w:r>
      <w:r>
        <w:rPr>
          <w:rFonts w:hint="eastAsia" w:ascii="Times New Roman" w:hAnsi="Times New Roman" w:eastAsia="宋体"/>
          <w:sz w:val="24"/>
          <w:lang w:val="en-US" w:eastAsia="zh-CN"/>
        </w:rPr>
        <w:t>），上期的出口状态能较好地解释本期的出口状态，且上期是否出口与本期的出口的规模和强度并无直接联系，可以从本期的出口绩效方程中排除</w:t>
      </w:r>
      <w:r>
        <w:rPr>
          <w:rFonts w:hint="eastAsia" w:ascii="Times New Roman" w:hAnsi="Times New Roman" w:eastAsia="宋体"/>
          <w:sz w:val="24"/>
        </w:rPr>
        <w:t>。</w:t>
      </w:r>
      <w:r>
        <w:rPr>
          <w:rFonts w:hint="eastAsia" w:ascii="Times New Roman" w:hAnsi="Times New Roman" w:eastAsia="宋体"/>
          <w:sz w:val="24"/>
          <w:lang w:val="en-US" w:eastAsia="zh-CN"/>
        </w:rPr>
        <w:t>在第二阶段的回归中，本文使用效率较高的最大似然估计法（即MLE法），并加入第一阶段估计出的逆米尔斯比率作为一个控制变量，以减轻样本选择问题，两个阶段的模型可表示如下：</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hint="default" w:ascii="Times New Roman" w:hAnsi="Times New Roman" w:eastAsia="宋体"/>
          <w:position w:val="-28"/>
          <w:sz w:val="24"/>
          <w:lang w:val="en-US" w:eastAsia="zh-CN"/>
        </w:rPr>
        <w:object>
          <v:shape id="_x0000_i1027" o:spt="75" type="#_x0000_t75" style="height:37pt;width:282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7" r:id="rId19">
            <o:LockedField>false</o:LockedField>
          </o:OLEObject>
        </w:object>
      </w:r>
      <w:r>
        <w:rPr>
          <w:rFonts w:hint="eastAsia" w:ascii="Times New Roman" w:hAnsi="Times New Roman" w:eastAsia="宋体"/>
          <w:sz w:val="24"/>
          <w:lang w:val="en-US" w:eastAsia="zh-CN"/>
        </w:rPr>
        <w:t xml:space="preserve">               （1-1）</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sz w:val="24"/>
          <w:szCs w:val="28"/>
          <w:lang w:val="en-US" w:eastAsia="zh-CN"/>
        </w:rPr>
      </w:pPr>
      <w:r>
        <w:rPr>
          <w:rFonts w:hint="eastAsia" w:ascii="Times New Roman" w:hAnsi="Times New Roman" w:eastAsia="宋体"/>
          <w:position w:val="-50"/>
          <w:sz w:val="24"/>
        </w:rPr>
        <w:object>
          <v:shape id="_x0000_i1028" o:spt="75" type="#_x0000_t75" style="height:57pt;width:251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r>
        <w:rPr>
          <w:rFonts w:hint="eastAsia" w:ascii="Times New Roman" w:hAnsi="Times New Roman" w:eastAsia="宋体"/>
          <w:sz w:val="24"/>
        </w:rPr>
        <w:t xml:space="preserve">       </w:t>
      </w:r>
      <w:r>
        <w:rPr>
          <w:rFonts w:hint="eastAsia" w:ascii="Times New Roman" w:hAnsi="Times New Roman" w:eastAsia="宋体"/>
          <w:sz w:val="24"/>
          <w:lang w:val="en-US" w:eastAsia="zh-CN"/>
        </w:rPr>
        <w:t xml:space="preserve">           </w:t>
      </w:r>
      <w:r>
        <w:rPr>
          <w:rFonts w:hint="eastAsia" w:ascii="Times New Roman" w:hAnsi="Times New Roman" w:eastAsia="宋体"/>
          <w:sz w:val="24"/>
        </w:rPr>
        <w:t xml:space="preserve"> </w:t>
      </w:r>
      <w:r>
        <w:rPr>
          <w:rFonts w:hint="eastAsia" w:ascii="Times New Roman" w:hAnsi="Times New Roman" w:eastAsia="宋体" w:cs="Times New Roman"/>
          <w:sz w:val="24"/>
          <w:lang w:val="en-US" w:eastAsia="zh-CN"/>
        </w:rPr>
        <w:t>（1-2）</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宋体"/>
          <w:sz w:val="24"/>
          <w:szCs w:val="24"/>
          <w:lang w:val="en-US" w:eastAsia="zh-CN"/>
        </w:rPr>
        <w:t>其中</w:t>
      </w:r>
      <w:r>
        <w:rPr>
          <w:rFonts w:hint="default" w:ascii="Times New Roman" w:hAnsi="Times New Roman" w:eastAsia="宋体" w:cs="Times New Roman"/>
          <w:sz w:val="24"/>
          <w:szCs w:val="24"/>
          <w:lang w:val="en-US" w:eastAsia="zh-CN"/>
        </w:rPr>
        <w:t>Z</w:t>
      </w:r>
      <w:r>
        <w:rPr>
          <w:rFonts w:hint="default" w:ascii="Times New Roman" w:hAnsi="Times New Roman" w:eastAsia="宋体" w:cs="Times New Roman"/>
          <w:sz w:val="24"/>
          <w:szCs w:val="24"/>
          <w:vertAlign w:val="subscript"/>
          <w:lang w:val="en-US" w:eastAsia="zh-CN"/>
        </w:rPr>
        <w:t>i,t</w:t>
      </w:r>
      <w:r>
        <w:rPr>
          <w:rFonts w:hint="eastAsia" w:ascii="Times New Roman" w:hAnsi="Times New Roman" w:eastAsia="宋体" w:cs="Times New Roman"/>
          <w:sz w:val="24"/>
          <w:szCs w:val="24"/>
          <w:vertAlign w:val="baseline"/>
          <w:lang w:val="en-US" w:eastAsia="zh-CN"/>
        </w:rPr>
        <w:t>包括所以</w:t>
      </w:r>
      <w:r>
        <w:rPr>
          <w:rFonts w:hint="eastAsia" w:ascii="Times New Roman" w:hAnsi="Times New Roman" w:eastAsia="宋体" w:cs="宋体"/>
          <w:sz w:val="24"/>
          <w:szCs w:val="24"/>
          <w:vertAlign w:val="baseline"/>
          <w:lang w:val="en-US" w:eastAsia="zh-CN"/>
        </w:rPr>
        <w:t>企业层和行业层的控制变量；</w:t>
      </w:r>
      <w:r>
        <w:rPr>
          <w:rFonts w:hint="default" w:ascii="Times New Roman" w:hAnsi="Times New Roman" w:eastAsia="宋体" w:cs="Times New Roman"/>
          <w:sz w:val="24"/>
          <w:szCs w:val="24"/>
          <w:vertAlign w:val="baseline"/>
          <w:lang w:val="en-US" w:eastAsia="zh-CN"/>
        </w:rPr>
        <w:t>λ</w:t>
      </w:r>
      <w:r>
        <w:rPr>
          <w:rFonts w:hint="default" w:ascii="Times New Roman" w:hAnsi="Times New Roman" w:eastAsia="宋体" w:cs="Times New Roman"/>
          <w:sz w:val="24"/>
          <w:szCs w:val="24"/>
          <w:vertAlign w:val="subscript"/>
          <w:lang w:val="en-US" w:eastAsia="zh-CN"/>
        </w:rPr>
        <w:t>i</w:t>
      </w:r>
      <w:r>
        <w:rPr>
          <w:rFonts w:hint="eastAsia" w:ascii="Times New Roman" w:hAnsi="Times New Roman" w:eastAsia="宋体" w:cs="Times New Roman"/>
          <w:sz w:val="24"/>
          <w:szCs w:val="24"/>
          <w:vertAlign w:val="baseline"/>
          <w:lang w:val="en-US" w:eastAsia="zh-CN"/>
        </w:rPr>
        <w:t>为通过式（1-1）计算出的逆米尔斯比率；</w:t>
      </w:r>
      <w:r>
        <w:rPr>
          <w:rFonts w:hint="default" w:ascii="Times New Roman" w:hAnsi="Times New Roman" w:eastAsia="宋体" w:cs="Times New Roman"/>
          <w:sz w:val="24"/>
          <w:szCs w:val="24"/>
          <w:vertAlign w:val="baseline"/>
          <w:lang w:val="en-US" w:eastAsia="zh-CN"/>
        </w:rPr>
        <w:t>δ</w:t>
      </w:r>
      <w:r>
        <w:rPr>
          <w:rFonts w:hint="default" w:ascii="Times New Roman" w:hAnsi="Times New Roman" w:eastAsia="宋体" w:cs="Times New Roman"/>
          <w:sz w:val="24"/>
          <w:szCs w:val="24"/>
          <w:vertAlign w:val="subscript"/>
          <w:lang w:val="en-US" w:eastAsia="zh-CN"/>
        </w:rPr>
        <w:t>i</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δ</w:t>
      </w:r>
      <w:r>
        <w:rPr>
          <w:rFonts w:hint="eastAsia" w:ascii="Times New Roman" w:hAnsi="Times New Roman" w:eastAsia="宋体" w:cs="Times New Roman"/>
          <w:sz w:val="24"/>
          <w:szCs w:val="24"/>
          <w:vertAlign w:val="subscript"/>
          <w:lang w:val="en-US" w:eastAsia="zh-CN"/>
        </w:rPr>
        <w:t>t</w:t>
      </w:r>
      <w:r>
        <w:rPr>
          <w:rFonts w:hint="eastAsia" w:ascii="Times New Roman" w:hAnsi="Times New Roman" w:eastAsia="宋体" w:cs="Times New Roman"/>
          <w:sz w:val="24"/>
          <w:szCs w:val="24"/>
          <w:vertAlign w:val="baseline"/>
          <w:lang w:val="en-US" w:eastAsia="zh-CN"/>
        </w:rPr>
        <w:t>分别为企业</w:t>
      </w:r>
      <w:r>
        <w:rPr>
          <w:rFonts w:hint="eastAsia" w:cs="Times New Roman"/>
          <w:sz w:val="24"/>
          <w:szCs w:val="24"/>
          <w:vertAlign w:val="baseline"/>
          <w:lang w:val="en-US" w:eastAsia="zh-CN"/>
        </w:rPr>
        <w:t>固定</w:t>
      </w:r>
      <w:r>
        <w:rPr>
          <w:rFonts w:hint="eastAsia" w:ascii="Times New Roman" w:hAnsi="Times New Roman" w:eastAsia="宋体" w:cs="Times New Roman"/>
          <w:sz w:val="24"/>
          <w:szCs w:val="24"/>
          <w:vertAlign w:val="baseline"/>
          <w:lang w:val="en-US" w:eastAsia="zh-CN"/>
        </w:rPr>
        <w:t>效应、年份</w:t>
      </w:r>
      <w:r>
        <w:rPr>
          <w:rFonts w:hint="eastAsia" w:cs="Times New Roman"/>
          <w:sz w:val="24"/>
          <w:szCs w:val="24"/>
          <w:vertAlign w:val="baseline"/>
          <w:lang w:val="en-US" w:eastAsia="zh-CN"/>
        </w:rPr>
        <w:t>固定</w:t>
      </w:r>
      <w:r>
        <w:rPr>
          <w:rFonts w:hint="eastAsia" w:ascii="Times New Roman" w:hAnsi="Times New Roman" w:eastAsia="宋体" w:cs="Times New Roman"/>
          <w:sz w:val="24"/>
          <w:szCs w:val="24"/>
          <w:vertAlign w:val="baseline"/>
          <w:lang w:val="en-US" w:eastAsia="zh-CN"/>
        </w:rPr>
        <w:t>效应</w:t>
      </w:r>
      <w:r>
        <w:rPr>
          <w:rStyle w:val="14"/>
          <w:rFonts w:hint="eastAsia" w:ascii="Times New Roman" w:hAnsi="Times New Roman" w:eastAsia="宋体" w:cs="Times New Roman"/>
          <w:sz w:val="24"/>
          <w:szCs w:val="24"/>
          <w:lang w:val="en-US" w:eastAsia="zh-CN"/>
        </w:rPr>
        <w:footnoteReference w:id="7"/>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ε</w:t>
      </w:r>
      <w:r>
        <w:rPr>
          <w:rFonts w:hint="eastAsia" w:ascii="Times New Roman" w:hAnsi="Times New Roman" w:eastAsia="宋体" w:cs="Times New Roman"/>
          <w:sz w:val="24"/>
          <w:szCs w:val="24"/>
          <w:vertAlign w:val="subscript"/>
          <w:lang w:val="en-US" w:eastAsia="zh-CN"/>
        </w:rPr>
        <w:t>i,t</w:t>
      </w:r>
      <w:r>
        <w:rPr>
          <w:rFonts w:hint="eastAsia" w:ascii="Times New Roman" w:hAnsi="Times New Roman" w:eastAsia="宋体" w:cs="Times New Roman"/>
          <w:sz w:val="24"/>
          <w:szCs w:val="24"/>
          <w:vertAlign w:val="baseline"/>
          <w:lang w:val="en-US" w:eastAsia="zh-CN"/>
        </w:rPr>
        <w:t>为随机扰动项；其余变量含义与前文保持一致。</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sz w:val="24"/>
          <w:szCs w:val="28"/>
          <w:lang w:val="en-US" w:eastAsia="zh-CN"/>
        </w:rPr>
      </w:pPr>
      <w:r>
        <w:rPr>
          <w:rFonts w:hint="eastAsia" w:ascii="Times New Roman" w:hAnsi="Times New Roman" w:eastAsia="宋体" w:cs="Times New Roman"/>
          <w:sz w:val="24"/>
          <w:szCs w:val="24"/>
          <w:vertAlign w:val="baseline"/>
          <w:lang w:val="en-US" w:eastAsia="zh-CN"/>
        </w:rPr>
        <w:t>由于Heckman选择模型具有脆弱性</w:t>
      </w:r>
      <w:r>
        <w:rPr>
          <w:rStyle w:val="14"/>
          <w:rFonts w:hint="eastAsia" w:ascii="Times New Roman" w:hAnsi="Times New Roman" w:eastAsia="宋体" w:cs="Times New Roman"/>
          <w:sz w:val="24"/>
          <w:szCs w:val="24"/>
          <w:lang w:val="en-US" w:eastAsia="zh-CN"/>
        </w:rPr>
        <w:footnoteReference w:id="8"/>
      </w:r>
      <w:r>
        <w:rPr>
          <w:rFonts w:hint="eastAsia" w:ascii="Times New Roman" w:hAnsi="Times New Roman" w:eastAsia="宋体" w:cs="Times New Roman"/>
          <w:sz w:val="24"/>
          <w:szCs w:val="24"/>
          <w:vertAlign w:val="baseline"/>
          <w:lang w:val="en-US" w:eastAsia="zh-CN"/>
        </w:rPr>
        <w:t>，现有研究往往在使用Heckman模型的同时，使用面板固定效应模型作为一种稳健性的检验，故本文同时构造了除不包含逆米尔斯比率以外，其他变量设定、组合都与Heckman第二阶段的出口方程保持一致的面板双向固定效应模型。</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在本文的研究主题下，Heckman两阶段和Tobit模型、两部模型虽然形式上类似，都以企业是否出口为第一阶段的因变量，以企业出口绩效为第二阶段的因变量，但不同于Heckman两阶段模型将零值视为因不可观测原因产生的缺失值，Tobit模型和两部模型将零值视为真实观测值。Tobit模型和两部模型都适用于</w:t>
      </w:r>
      <w:r>
        <w:rPr>
          <w:rFonts w:hint="eastAsia" w:cs="Times New Roman"/>
          <w:sz w:val="24"/>
          <w:szCs w:val="24"/>
          <w:vertAlign w:val="baseline"/>
          <w:lang w:val="en-US" w:eastAsia="zh-CN"/>
        </w:rPr>
        <w:t>归并</w:t>
      </w:r>
      <w:r>
        <w:rPr>
          <w:rFonts w:hint="eastAsia" w:ascii="Times New Roman" w:hAnsi="Times New Roman" w:eastAsia="宋体" w:cs="Times New Roman"/>
          <w:sz w:val="24"/>
          <w:szCs w:val="24"/>
          <w:vertAlign w:val="baseline"/>
          <w:lang w:val="en-US" w:eastAsia="zh-CN"/>
        </w:rPr>
        <w:t>数据，两者的不同之处在于Tobit模型只能在两阶段使用同样的控制变量，而两部模型可以在两阶段分别使用不同的控制变量，由于影响企业出口绩效的因素和影响企业出口决策的因素往往是不同的，故现有研究往往以两部模型为主、Tobit模型为对其结果的稳健性检验（刘凯豪和王雪芳，2020）。本文对Tobit模型和两部模型的控制变量组、企业效应、时间效应设定与Heckman两阶段模型保持一致，但从Tobit模型的控制变量中剔除表示上期是否出口的变量（explag）、在两部模型中保留该变量，且两部模型在第一阶段使用Probit模型、第二阶段使用双向固定效应模型回归，而tobit模型使用最大似然估计法。</w:t>
      </w:r>
    </w:p>
    <w:p>
      <w:pPr>
        <w:keepNext w:val="0"/>
        <w:keepLines w:val="0"/>
        <w:pageBreakBefore w:val="0"/>
        <w:kinsoku/>
        <w:overflowPunct/>
        <w:topLinePunct w:val="0"/>
        <w:bidi w:val="0"/>
        <w:spacing w:line="360" w:lineRule="auto"/>
        <w:ind w:firstLine="482" w:firstLineChars="200"/>
        <w:textAlignment w:val="auto"/>
        <w:rPr>
          <w:rFonts w:hint="default" w:ascii="Times New Roman" w:hAnsi="Times New Roman" w:eastAsia="宋体"/>
          <w:b/>
          <w:sz w:val="24"/>
          <w:szCs w:val="28"/>
          <w:lang w:val="en-US" w:eastAsia="zh-CN"/>
        </w:rPr>
      </w:pPr>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br w:type="page"/>
      </w:r>
    </w:p>
    <w:p>
      <w:pPr>
        <w:pStyle w:val="15"/>
        <w:bidi w:val="0"/>
        <w:rPr>
          <w:rFonts w:hint="eastAsia" w:ascii="Times New Roman" w:hAnsi="Times New Roman" w:eastAsia="宋体" w:cs="宋体"/>
          <w:b w:val="0"/>
          <w:bCs/>
          <w:sz w:val="24"/>
          <w:szCs w:val="24"/>
          <w:lang w:val="en-US" w:eastAsia="zh-CN"/>
        </w:rPr>
      </w:pPr>
      <w:bookmarkStart w:id="40" w:name="_Toc1120"/>
      <w:bookmarkStart w:id="41" w:name="_Toc8159"/>
      <w:r>
        <w:rPr>
          <w:rFonts w:hint="eastAsia"/>
          <w:lang w:val="en-US" w:eastAsia="zh-CN"/>
        </w:rPr>
        <w:t>3 实证分析</w:t>
      </w:r>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宋体"/>
          <w:b w:val="0"/>
          <w:bCs/>
          <w:sz w:val="24"/>
          <w:szCs w:val="24"/>
          <w:lang w:val="en-US" w:eastAsia="zh-CN"/>
        </w:rPr>
      </w:pPr>
      <w:r>
        <w:rPr>
          <w:rFonts w:hint="eastAsia" w:ascii="Times New Roman" w:hAnsi="Times New Roman" w:eastAsia="宋体" w:cs="宋体"/>
          <w:b w:val="0"/>
          <w:bCs/>
          <w:sz w:val="24"/>
          <w:szCs w:val="24"/>
          <w:lang w:val="en-US" w:eastAsia="zh-CN"/>
        </w:rPr>
        <w:t>本章首先</w:t>
      </w:r>
      <w:r>
        <w:rPr>
          <w:rFonts w:hint="eastAsia" w:cs="宋体"/>
          <w:b w:val="0"/>
          <w:bCs/>
          <w:sz w:val="24"/>
          <w:szCs w:val="24"/>
          <w:lang w:val="en-US" w:eastAsia="zh-CN"/>
        </w:rPr>
        <w:t>在</w:t>
      </w:r>
      <w:r>
        <w:rPr>
          <w:rFonts w:hint="eastAsia" w:ascii="Times New Roman" w:hAnsi="Times New Roman" w:eastAsia="宋体" w:cs="宋体"/>
          <w:b w:val="0"/>
          <w:bCs/>
          <w:sz w:val="24"/>
          <w:szCs w:val="24"/>
          <w:lang w:val="en-US" w:eastAsia="zh-CN"/>
        </w:rPr>
        <w:t>基准回归</w:t>
      </w:r>
      <w:r>
        <w:rPr>
          <w:rFonts w:hint="eastAsia" w:cs="宋体"/>
          <w:b w:val="0"/>
          <w:bCs/>
          <w:sz w:val="24"/>
          <w:szCs w:val="24"/>
          <w:lang w:val="en-US" w:eastAsia="zh-CN"/>
        </w:rPr>
        <w:t>部分对比分析四种模型的回归结果、讨论各模型的适用性，并根据最适用于本文研究情景的模型</w:t>
      </w:r>
      <w:r>
        <w:rPr>
          <w:rFonts w:hint="eastAsia" w:ascii="Times New Roman" w:hAnsi="Times New Roman" w:eastAsia="宋体" w:cs="宋体"/>
          <w:b w:val="0"/>
          <w:bCs/>
          <w:sz w:val="24"/>
          <w:szCs w:val="24"/>
          <w:lang w:val="en-US" w:eastAsia="zh-CN"/>
        </w:rPr>
        <w:t>估计出样本在平均意义上的改革效应</w:t>
      </w:r>
      <w:r>
        <w:rPr>
          <w:rFonts w:hint="eastAsia" w:cs="宋体"/>
          <w:b w:val="0"/>
          <w:bCs/>
          <w:sz w:val="24"/>
          <w:szCs w:val="24"/>
          <w:lang w:val="en-US" w:eastAsia="zh-CN"/>
        </w:rPr>
        <w:t>，</w:t>
      </w:r>
      <w:r>
        <w:rPr>
          <w:rFonts w:hint="eastAsia" w:ascii="Times New Roman" w:hAnsi="Times New Roman" w:eastAsia="宋体" w:cs="宋体"/>
          <w:b w:val="0"/>
          <w:bCs/>
          <w:sz w:val="24"/>
          <w:szCs w:val="24"/>
          <w:lang w:val="en-US" w:eastAsia="zh-CN"/>
        </w:rPr>
        <w:t>而后</w:t>
      </w:r>
      <w:r>
        <w:rPr>
          <w:rFonts w:hint="eastAsia" w:cs="宋体"/>
          <w:b w:val="0"/>
          <w:bCs/>
          <w:sz w:val="24"/>
          <w:szCs w:val="24"/>
          <w:lang w:val="en-US" w:eastAsia="zh-CN"/>
        </w:rPr>
        <w:t>本文</w:t>
      </w:r>
      <w:r>
        <w:rPr>
          <w:rFonts w:hint="eastAsia" w:ascii="Times New Roman" w:hAnsi="Times New Roman" w:eastAsia="宋体" w:cs="宋体"/>
          <w:b w:val="0"/>
          <w:bCs/>
          <w:sz w:val="24"/>
          <w:szCs w:val="24"/>
          <w:lang w:val="en-US" w:eastAsia="zh-CN"/>
        </w:rPr>
        <w:t>分别通过平行趋势检验、政策外生性讨论、安慰剂测试、低GDP增速子样本回归和检验其他内生性问题的方式</w:t>
      </w:r>
      <w:r>
        <w:rPr>
          <w:rFonts w:hint="eastAsia" w:cs="宋体"/>
          <w:b w:val="0"/>
          <w:bCs/>
          <w:sz w:val="24"/>
          <w:szCs w:val="24"/>
          <w:lang w:val="en-US" w:eastAsia="zh-CN"/>
        </w:rPr>
        <w:t>确认</w:t>
      </w:r>
      <w:r>
        <w:rPr>
          <w:rFonts w:hint="eastAsia" w:ascii="Times New Roman" w:hAnsi="Times New Roman" w:eastAsia="宋体" w:cs="宋体"/>
          <w:b w:val="0"/>
          <w:bCs/>
          <w:sz w:val="24"/>
          <w:szCs w:val="24"/>
          <w:lang w:val="en-US" w:eastAsia="zh-CN"/>
        </w:rPr>
        <w:t>了基准回归结果的稳健性</w:t>
      </w:r>
      <w:r>
        <w:rPr>
          <w:rFonts w:hint="eastAsia" w:cs="宋体"/>
          <w:b w:val="0"/>
          <w:bCs/>
          <w:sz w:val="24"/>
          <w:szCs w:val="24"/>
          <w:lang w:val="en-US" w:eastAsia="zh-CN"/>
        </w:rPr>
        <w:t>。</w:t>
      </w:r>
    </w:p>
    <w:p>
      <w:pPr>
        <w:pStyle w:val="16"/>
        <w:bidi w:val="0"/>
        <w:rPr>
          <w:rFonts w:hint="eastAsia"/>
          <w:lang w:val="en-US" w:eastAsia="zh-CN"/>
        </w:rPr>
      </w:pPr>
      <w:bookmarkStart w:id="42" w:name="_Toc6378"/>
      <w:bookmarkStart w:id="43" w:name="_Toc7015"/>
      <w:r>
        <w:rPr>
          <w:rFonts w:hint="eastAsia"/>
          <w:lang w:val="en-US" w:eastAsia="zh-CN"/>
        </w:rPr>
        <w:t>3</w:t>
      </w:r>
      <w:r>
        <w:t>.1</w:t>
      </w:r>
      <w:r>
        <w:rPr>
          <w:rFonts w:hint="eastAsia"/>
          <w:lang w:val="en-US" w:eastAsia="zh-CN"/>
        </w:rPr>
        <w:t xml:space="preserve"> 基准回归</w:t>
      </w:r>
      <w:bookmarkEnd w:id="42"/>
      <w:bookmarkEnd w:id="43"/>
    </w:p>
    <w:p>
      <w:pPr>
        <w:pStyle w:val="25"/>
        <w:bidi w:val="0"/>
        <w:rPr>
          <w:rFonts w:hint="eastAsia"/>
          <w:lang w:val="en-US" w:eastAsia="zh-CN"/>
        </w:rPr>
      </w:pPr>
      <w:bookmarkStart w:id="44" w:name="_Toc2073"/>
      <w:r>
        <w:rPr>
          <w:rFonts w:hint="eastAsia"/>
          <w:lang w:val="en-US" w:eastAsia="zh-CN"/>
        </w:rPr>
        <w:t>3</w:t>
      </w:r>
      <w:r>
        <w:rPr>
          <w:rFonts w:hint="eastAsia"/>
        </w:rPr>
        <w:t>.</w:t>
      </w:r>
      <w:r>
        <w:rPr>
          <w:rFonts w:hint="eastAsia"/>
          <w:lang w:val="en-US" w:eastAsia="zh-CN"/>
        </w:rPr>
        <w:t>1.1 描述性统计</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为了更直观地观察出口绩效两个维度变量的分布特征与变化趋势，本文分别绘制了出口规模和出口强度从2003年到2008年的核密度趋势图，如图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-1、图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-2所示。从核密度值分布看，出口规模和出口强度的核密度值在零点附近值最高，表明样本企业中非出口企业、低密度出口企业分布密集、占比高；从核密度曲线的年间变化看，出口规模的核密度曲线在零值附近的峰值高度呈明显的下降趋势，且曲线有向右移动的趋势，说明样本企业的出口规模水平随时间推移而增加；出口强度的核密度曲线变化趋势不明显、方向不确定，表明样本企业的出口强度可能并未随时间推移表现出明显的变化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Times New Roman" w:hAnsi="Times New Roman" w:eastAsia="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Times New Roman" w:hAnsi="Times New Roman" w:eastAsia="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textAlignment w:val="auto"/>
        <w:outlineLvl w:val="1"/>
        <w:rPr>
          <w:rFonts w:ascii="Times New Roman" w:hAnsi="Times New Roman" w:eastAsia="宋体"/>
          <w:sz w:val="24"/>
        </w:rPr>
      </w:pPr>
      <w:r>
        <w:rPr>
          <w:rFonts w:ascii="Times New Roman" w:hAnsi="Times New Roman" w:eastAsia="宋体"/>
          <w:sz w:val="24"/>
        </w:rPr>
        <w:drawing>
          <wp:inline distT="0" distB="0" distL="114300" distR="114300">
            <wp:extent cx="4977765" cy="3319145"/>
            <wp:effectExtent l="0" t="0" r="635" b="8255"/>
            <wp:docPr id="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3"/>
                    <pic:cNvPicPr>
                      <a:picLocks noChangeAspect="1"/>
                    </pic:cNvPicPr>
                  </pic:nvPicPr>
                  <pic:blipFill>
                    <a:blip r:embed="rId23"/>
                    <a:stretch>
                      <a:fillRect/>
                    </a:stretch>
                  </pic:blipFill>
                  <pic:spPr>
                    <a:xfrm>
                      <a:off x="0" y="0"/>
                      <a:ext cx="4977765" cy="3319145"/>
                    </a:xfrm>
                    <a:prstGeom prst="rect">
                      <a:avLst/>
                    </a:prstGeom>
                    <a:noFill/>
                    <a:ln>
                      <a:noFill/>
                    </a:ln>
                  </pic:spPr>
                </pic:pic>
              </a:graphicData>
            </a:graphic>
          </wp:inline>
        </w:drawing>
      </w:r>
    </w:p>
    <w:p>
      <w:pPr>
        <w:pStyle w:val="26"/>
        <w:bidi w:val="0"/>
        <w:rPr>
          <w:rFonts w:hint="default" w:ascii="Times New Roman" w:hAnsi="Times New Roman" w:eastAsia="宋体" w:cs="黑体"/>
          <w:szCs w:val="24"/>
          <w:lang w:val="en-US" w:eastAsia="zh-CN"/>
        </w:rPr>
      </w:pPr>
      <w:r>
        <w:rPr>
          <w:rFonts w:hint="eastAsia"/>
          <w:lang w:val="en-US" w:eastAsia="zh-CN"/>
        </w:rPr>
        <w:t>图3-1 出口规模的核密度动态演进</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textAlignment w:val="auto"/>
        <w:outlineLvl w:val="1"/>
        <w:rPr>
          <w:rFonts w:ascii="Times New Roman" w:hAnsi="Times New Roman" w:eastAsia="宋体"/>
          <w:sz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textAlignment w:val="auto"/>
        <w:outlineLvl w:val="1"/>
        <w:rPr>
          <w:rFonts w:hint="eastAsia" w:ascii="Times New Roman" w:hAnsi="Times New Roman" w:eastAsia="宋体"/>
          <w:sz w:val="24"/>
          <w:lang w:val="en-US" w:eastAsia="zh-CN"/>
        </w:rPr>
      </w:pPr>
      <w:r>
        <w:rPr>
          <w:rFonts w:ascii="Times New Roman" w:hAnsi="Times New Roman" w:eastAsia="宋体"/>
          <w:sz w:val="24"/>
        </w:rPr>
        <w:drawing>
          <wp:inline distT="0" distB="0" distL="114300" distR="114300">
            <wp:extent cx="4882515" cy="3255645"/>
            <wp:effectExtent l="0" t="0" r="6985" b="825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24"/>
                    <a:stretch>
                      <a:fillRect/>
                    </a:stretch>
                  </pic:blipFill>
                  <pic:spPr>
                    <a:xfrm>
                      <a:off x="0" y="0"/>
                      <a:ext cx="4882515" cy="325564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图3-2 出口强度的核密度动态演进</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textAlignment w:val="auto"/>
        <w:outlineLvl w:val="1"/>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本文的各变量描述性统计如表</w:t>
      </w:r>
      <w:r>
        <w:rPr>
          <w:rFonts w:hint="eastAsia" w:cs="宋体"/>
          <w:sz w:val="24"/>
          <w:szCs w:val="24"/>
          <w:lang w:val="en-US" w:eastAsia="zh-CN"/>
        </w:rPr>
        <w:t>3</w:t>
      </w:r>
      <w:r>
        <w:rPr>
          <w:rFonts w:hint="eastAsia" w:ascii="Times New Roman" w:hAnsi="Times New Roman" w:eastAsia="宋体" w:cs="宋体"/>
          <w:sz w:val="24"/>
          <w:szCs w:val="24"/>
          <w:lang w:val="en-US" w:eastAsia="zh-CN"/>
        </w:rPr>
        <w:t>-1所示</w:t>
      </w:r>
      <w:r>
        <w:rPr>
          <w:rStyle w:val="14"/>
          <w:rFonts w:hint="eastAsia" w:ascii="Times New Roman" w:hAnsi="Times New Roman" w:eastAsia="宋体" w:cs="宋体"/>
          <w:sz w:val="24"/>
          <w:szCs w:val="24"/>
          <w:lang w:val="en-US" w:eastAsia="zh-CN"/>
        </w:rPr>
        <w:footnoteReference w:id="9"/>
      </w:r>
      <w:r>
        <w:rPr>
          <w:rFonts w:hint="eastAsia" w:ascii="Times New Roman" w:hAnsi="Times New Roman" w:eastAsia="宋体" w:cs="宋体"/>
          <w:sz w:val="24"/>
          <w:szCs w:val="24"/>
          <w:lang w:val="en-US" w:eastAsia="zh-CN"/>
        </w:rPr>
        <w:t>。</w:t>
      </w:r>
    </w:p>
    <w:p>
      <w:pPr>
        <w:pStyle w:val="26"/>
        <w:bidi w:val="0"/>
        <w:rPr>
          <w:rFonts w:hint="default" w:ascii="Times New Roman" w:hAnsi="Times New Roman" w:eastAsia="宋体" w:cs="黑体"/>
          <w:szCs w:val="24"/>
          <w:lang w:val="en-US" w:eastAsia="zh-CN"/>
        </w:rPr>
      </w:pPr>
      <w:r>
        <w:rPr>
          <w:rFonts w:hint="eastAsia"/>
          <w:lang w:val="en-US" w:eastAsia="zh-CN"/>
        </w:rPr>
        <w:t>表3-1 描述性统计</w:t>
      </w:r>
    </w:p>
    <w:tbl>
      <w:tblPr>
        <w:tblStyle w:val="10"/>
        <w:tblW w:w="4998" w:type="pct"/>
        <w:jc w:val="center"/>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9"/>
        <w:gridCol w:w="1183"/>
        <w:gridCol w:w="1371"/>
        <w:gridCol w:w="1204"/>
        <w:gridCol w:w="1185"/>
        <w:gridCol w:w="1186"/>
        <w:gridCol w:w="1189"/>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变量名</w:t>
            </w:r>
          </w:p>
        </w:tc>
        <w:tc>
          <w:tcPr>
            <w:tcW w:w="678"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样本量</w:t>
            </w:r>
          </w:p>
        </w:tc>
        <w:tc>
          <w:tcPr>
            <w:tcW w:w="786"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平均值</w:t>
            </w:r>
          </w:p>
        </w:tc>
        <w:tc>
          <w:tcPr>
            <w:tcW w:w="690"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标准差</w:t>
            </w:r>
          </w:p>
        </w:tc>
        <w:tc>
          <w:tcPr>
            <w:tcW w:w="679"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最小值</w:t>
            </w:r>
          </w:p>
        </w:tc>
        <w:tc>
          <w:tcPr>
            <w:tcW w:w="680"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中位数</w:t>
            </w:r>
          </w:p>
        </w:tc>
        <w:tc>
          <w:tcPr>
            <w:tcW w:w="681" w:type="pct"/>
            <w:tcBorders>
              <w:top w:val="single" w:color="000000" w:themeColor="text1" w:sz="12" w:space="0"/>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最大值</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export</w:t>
            </w:r>
          </w:p>
        </w:tc>
        <w:tc>
          <w:tcPr>
            <w:tcW w:w="1183"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2"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0.139</w:t>
            </w:r>
          </w:p>
        </w:tc>
        <w:tc>
          <w:tcPr>
            <w:tcW w:w="1203"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0.346</w:t>
            </w:r>
          </w:p>
        </w:tc>
        <w:tc>
          <w:tcPr>
            <w:tcW w:w="1185"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7"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8" w:type="dxa"/>
            <w:tcBorders>
              <w:top w:val="single" w:color="auto"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exportscale</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2.450</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8.498</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65.520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density</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0.068</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0.066</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0.053</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0.296</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SOE</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0.290</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0.454</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w:t>
            </w:r>
            <w:r>
              <w:rPr>
                <w:rFonts w:hint="default" w:ascii="Times New Roman" w:hAnsi="Times New Roman" w:eastAsia="宋体" w:cs="Times New Roman"/>
                <w:b w:val="0"/>
                <w:bCs w:val="0"/>
                <w:sz w:val="21"/>
                <w:szCs w:val="21"/>
                <w:lang w:val="en-US" w:eastAsia="zh-CN"/>
              </w:rPr>
              <w:t>fp</w:t>
            </w:r>
            <w:r>
              <w:rPr>
                <w:rFonts w:hint="eastAsia" w:ascii="Times New Roman" w:hAnsi="Times New Roman" w:eastAsia="宋体" w:cs="Times New Roman"/>
                <w:b w:val="0"/>
                <w:bCs w:val="0"/>
                <w:sz w:val="21"/>
                <w:szCs w:val="21"/>
                <w:lang w:val="en-US" w:eastAsia="zh-CN"/>
              </w:rPr>
              <w:t>_</w:t>
            </w:r>
            <w:r>
              <w:rPr>
                <w:rFonts w:hint="default" w:ascii="Times New Roman" w:hAnsi="Times New Roman" w:eastAsia="宋体" w:cs="Times New Roman"/>
                <w:b w:val="0"/>
                <w:bCs w:val="0"/>
                <w:sz w:val="21"/>
                <w:szCs w:val="21"/>
                <w:lang w:val="en-US" w:eastAsia="zh-CN"/>
              </w:rPr>
              <w:t>op</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6.199</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0.394</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4.565</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6.192</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7.409</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firmsize</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5.162</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1.061</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1.792</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5.094</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10.830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roa</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0.173</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0.222</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-0.514</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0.147</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5.419</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fincons</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0.255</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0.304</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-1.197</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0.190</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19.440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patentnum</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0.070 </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1.326</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82</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kl</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3.682</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1.235</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-5.172</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3.709</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9.598</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hhi</w:t>
            </w:r>
          </w:p>
        </w:tc>
        <w:tc>
          <w:tcPr>
            <w:tcW w:w="1183"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0.138</w:t>
            </w:r>
          </w:p>
        </w:tc>
        <w:tc>
          <w:tcPr>
            <w:tcW w:w="1204"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0.153</w:t>
            </w:r>
          </w:p>
        </w:tc>
        <w:tc>
          <w:tcPr>
            <w:tcW w:w="118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0.021</w:t>
            </w:r>
          </w:p>
        </w:tc>
        <w:tc>
          <w:tcPr>
            <w:tcW w:w="1186"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0.095</w:t>
            </w:r>
          </w:p>
        </w:tc>
        <w:tc>
          <w:tcPr>
            <w:tcW w:w="1189"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2" w:type="pct"/>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ind</w:t>
            </w:r>
            <w:r>
              <w:rPr>
                <w:rFonts w:hint="default" w:ascii="Times New Roman" w:hAnsi="Times New Roman" w:eastAsia="宋体" w:cs="Times New Roman"/>
                <w:b w:val="0"/>
                <w:bCs w:val="0"/>
                <w:sz w:val="21"/>
                <w:szCs w:val="21"/>
                <w:lang w:val="en-US" w:eastAsia="zh-CN"/>
              </w:rPr>
              <w:t>kl</w:t>
            </w:r>
            <w:r>
              <w:rPr>
                <w:rFonts w:hint="eastAsia" w:ascii="Times New Roman" w:hAnsi="Times New Roman" w:eastAsia="宋体" w:cs="Times New Roman"/>
                <w:b w:val="0"/>
                <w:bCs w:val="0"/>
                <w:sz w:val="21"/>
                <w:szCs w:val="21"/>
                <w:lang w:val="en-US" w:eastAsia="zh-CN"/>
              </w:rPr>
              <w:t>type</w:t>
            </w:r>
          </w:p>
        </w:tc>
        <w:tc>
          <w:tcPr>
            <w:tcW w:w="1183"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18700</w:t>
            </w:r>
          </w:p>
        </w:tc>
        <w:tc>
          <w:tcPr>
            <w:tcW w:w="1371"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0.422</w:t>
            </w:r>
          </w:p>
        </w:tc>
        <w:tc>
          <w:tcPr>
            <w:tcW w:w="1204"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0.494</w:t>
            </w:r>
          </w:p>
        </w:tc>
        <w:tc>
          <w:tcPr>
            <w:tcW w:w="1185"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6"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w:t>
            </w:r>
          </w:p>
        </w:tc>
        <w:tc>
          <w:tcPr>
            <w:tcW w:w="1189" w:type="dxa"/>
            <w:tcBorders>
              <w:top w:val="nil"/>
              <w:bottom w:val="single" w:color="000000" w:themeColor="text1" w:sz="12"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p>
        </w:tc>
      </w:tr>
    </w:tbl>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2"/>
        <w:rPr>
          <w:rFonts w:hint="eastAsia" w:ascii="Times New Roman" w:hAnsi="Times New Roman" w:eastAsia="宋体" w:cs="黑体"/>
          <w:b/>
          <w:sz w:val="24"/>
          <w:szCs w:val="24"/>
          <w:lang w:val="en-US" w:eastAsia="zh-CN"/>
        </w:rPr>
      </w:pPr>
    </w:p>
    <w:p>
      <w:pPr>
        <w:pStyle w:val="25"/>
        <w:bidi w:val="0"/>
        <w:rPr>
          <w:rFonts w:hint="default" w:ascii="Times New Roman" w:hAnsi="Times New Roman" w:eastAsia="宋体" w:cs="黑体"/>
          <w:b/>
          <w:szCs w:val="24"/>
          <w:lang w:val="en-US" w:eastAsia="zh-CN"/>
        </w:rPr>
      </w:pPr>
      <w:bookmarkStart w:id="45" w:name="_Toc22558"/>
      <w:bookmarkStart w:id="46" w:name="_Toc7447"/>
      <w:r>
        <w:rPr>
          <w:rFonts w:hint="eastAsia"/>
          <w:lang w:val="en-US" w:eastAsia="zh-CN"/>
        </w:rPr>
        <w:t>3</w:t>
      </w:r>
      <w:r>
        <w:rPr>
          <w:rFonts w:hint="eastAsia"/>
        </w:rPr>
        <w:t>.</w:t>
      </w:r>
      <w:r>
        <w:rPr>
          <w:rFonts w:hint="eastAsia"/>
          <w:lang w:val="en-US" w:eastAsia="zh-CN"/>
        </w:rPr>
        <w:t xml:space="preserve">1.2 </w:t>
      </w:r>
      <w:bookmarkEnd w:id="45"/>
      <w:r>
        <w:rPr>
          <w:rFonts w:hint="eastAsia"/>
          <w:lang w:val="en-US" w:eastAsia="zh-CN"/>
        </w:rPr>
        <w:t>改革对出口选择的影响</w:t>
      </w:r>
      <w:bookmarkEnd w:id="46"/>
    </w:p>
    <w:p>
      <w:pPr>
        <w:keepNext w:val="0"/>
        <w:keepLines w:val="0"/>
        <w:pageBreakBefore w:val="0"/>
        <w:numPr>
          <w:ilvl w:val="0"/>
          <w:numId w:val="0"/>
        </w:numPr>
        <w:kinsoku/>
        <w:overflowPunct/>
        <w:topLinePunct w:val="0"/>
        <w:bidi w:val="0"/>
        <w:spacing w:line="360" w:lineRule="auto"/>
        <w:ind w:firstLine="480" w:firstLineChars="200"/>
        <w:jc w:val="both"/>
        <w:textAlignment w:val="auto"/>
        <w:rPr>
          <w:rFonts w:hint="default" w:ascii="Times New Roman" w:hAnsi="Times New Roman" w:eastAsia="宋体"/>
          <w:sz w:val="24"/>
          <w:lang w:val="en-US" w:eastAsia="zh-CN"/>
        </w:rPr>
      </w:pPr>
      <w:r>
        <w:rPr>
          <w:rFonts w:hint="eastAsia" w:ascii="Times New Roman" w:hAnsi="Times New Roman" w:eastAsia="宋体"/>
          <w:sz w:val="24"/>
          <w:szCs w:val="24"/>
          <w:lang w:val="en-US" w:eastAsia="zh-CN"/>
        </w:rPr>
        <w:t>本文首先展示Heckman两阶段模型和两部模型下出口选择方程的回归结果，如表</w:t>
      </w:r>
      <w:r>
        <w:rPr>
          <w:rFonts w:hint="eastAsia"/>
          <w:sz w:val="24"/>
          <w:szCs w:val="24"/>
          <w:lang w:val="en-US" w:eastAsia="zh-CN"/>
        </w:rPr>
        <w:t>3</w:t>
      </w:r>
      <w:r>
        <w:rPr>
          <w:rFonts w:hint="eastAsia" w:ascii="Times New Roman" w:hAnsi="Times New Roman" w:eastAsia="宋体"/>
          <w:sz w:val="24"/>
          <w:szCs w:val="24"/>
          <w:lang w:val="en-US" w:eastAsia="zh-CN"/>
        </w:rPr>
        <w:t>-2所示。两个模型的回归结果中除企业规模（firmsize）以外的变量在系数方向、大小方面都十分接近，表明Heckman两阶段模型和两部模型对出口倾向的估计结果基本具有稳健性；两部模型中企业规模系数表明，规模越大的企业出口倾向越高，而Heckman模型中的企业规模系数则表明规模越小的企业出口倾向越高，由于企业进入出口市场需要支付门槛成本，一般规模越大的企业越有能力支付这一成本（Melitz, 2003;Bernard et al, 20</w:t>
      </w:r>
      <w:r>
        <w:rPr>
          <w:rFonts w:hint="eastAsia"/>
          <w:sz w:val="24"/>
          <w:szCs w:val="24"/>
          <w:lang w:val="en-US" w:eastAsia="zh-CN"/>
        </w:rPr>
        <w:t>09</w:t>
      </w:r>
      <w:r>
        <w:rPr>
          <w:rFonts w:hint="eastAsia" w:ascii="Times New Roman" w:hAnsi="Times New Roman" w:eastAsia="宋体"/>
          <w:sz w:val="24"/>
          <w:szCs w:val="24"/>
          <w:lang w:val="en-US" w:eastAsia="zh-CN"/>
        </w:rPr>
        <w:t>），故本文认为在对出口选择的估计上两部模型的结果更能符合现实情况。</w:t>
      </w:r>
      <w:r>
        <w:rPr>
          <w:rFonts w:hint="eastAsia" w:ascii="Times New Roman" w:hAnsi="Times New Roman" w:eastAsia="宋体"/>
          <w:sz w:val="24"/>
          <w:lang w:val="en-US" w:eastAsia="zh-CN"/>
        </w:rPr>
        <w:t>交乘项系数表明，改革后企业平均出口倾向提高约2%</w:t>
      </w:r>
      <w:r>
        <w:rPr>
          <w:rStyle w:val="14"/>
          <w:rFonts w:hint="eastAsia" w:ascii="Times New Roman" w:hAnsi="Times New Roman" w:eastAsia="宋体"/>
          <w:sz w:val="24"/>
          <w:lang w:val="en-US" w:eastAsia="zh-CN"/>
        </w:rPr>
        <w:footnoteReference w:id="10"/>
      </w:r>
      <w:r>
        <w:rPr>
          <w:rFonts w:hint="eastAsia" w:ascii="Times New Roman" w:hAnsi="Times New Roman" w:eastAsia="宋体"/>
          <w:sz w:val="24"/>
          <w:lang w:val="en-US" w:eastAsia="zh-CN"/>
        </w:rPr>
        <w:t>，改革对于鼓励更多企业进入出口市场的效果比较有限。</w:t>
      </w:r>
    </w:p>
    <w:p>
      <w:pPr>
        <w:pStyle w:val="26"/>
        <w:bidi w:val="0"/>
        <w:rPr>
          <w:rFonts w:hint="eastAsia"/>
        </w:rPr>
      </w:pPr>
    </w:p>
    <w:p>
      <w:pPr>
        <w:pStyle w:val="26"/>
        <w:bidi w:val="0"/>
        <w:rPr>
          <w:rFonts w:hint="eastAsia"/>
        </w:rPr>
      </w:pPr>
    </w:p>
    <w:p>
      <w:pPr>
        <w:pStyle w:val="26"/>
        <w:bidi w:val="0"/>
        <w:rPr>
          <w:rFonts w:hint="eastAsia"/>
        </w:rPr>
      </w:pPr>
    </w:p>
    <w:p>
      <w:pPr>
        <w:pStyle w:val="26"/>
        <w:bidi w:val="0"/>
        <w:rPr>
          <w:rFonts w:hint="eastAsia"/>
        </w:rPr>
      </w:pPr>
    </w:p>
    <w:p>
      <w:pPr>
        <w:pStyle w:val="26"/>
        <w:bidi w:val="0"/>
        <w:rPr>
          <w:rFonts w:hint="eastAsia"/>
          <w:lang w:val="en-US" w:eastAsia="zh-CN"/>
        </w:rPr>
      </w:pPr>
      <w:r>
        <w:rPr>
          <w:rFonts w:hint="eastAsia"/>
        </w:rPr>
        <w:t>表</w:t>
      </w:r>
      <w:r>
        <w:rPr>
          <w:rFonts w:hint="eastAsia"/>
          <w:lang w:val="en-US" w:eastAsia="zh-CN"/>
        </w:rPr>
        <w:t>3</w:t>
      </w:r>
      <w:r>
        <w:rPr>
          <w:rFonts w:hint="eastAsia"/>
        </w:rPr>
        <w:t>-</w:t>
      </w:r>
      <w:r>
        <w:rPr>
          <w:rFonts w:hint="eastAsia"/>
          <w:lang w:val="en-US" w:eastAsia="zh-CN"/>
        </w:rPr>
        <w:t>2基准回归：选择方程回归结果</w:t>
      </w:r>
    </w:p>
    <w:tbl>
      <w:tblPr>
        <w:tblStyle w:val="10"/>
        <w:tblW w:w="4998"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8"/>
        <w:gridCol w:w="2856"/>
        <w:gridCol w:w="2953"/>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668"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Heckman</w:t>
            </w:r>
          </w:p>
        </w:tc>
        <w:tc>
          <w:tcPr>
            <w:tcW w:w="169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Twopm</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gridSpan w:val="3"/>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Dependent variable:export</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0.187***</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0.1551***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(0.067)</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(0.0582)</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SOE</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-0.346***</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-0.4381***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(0.077)</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(0.0679)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tfp_op</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0.331***</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0.2514***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(0.059)</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(0.0551)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firmsize</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-0.0451***</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0.1684***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(0.014)</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(0.0134)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roa</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0.0916*</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0.0906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(0.055)</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(0.0631)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fincons</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-0.212***</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-0.1590**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(0.068)</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(0.0718)</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patentnum</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0.0125*</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0.0232</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(0.007)</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(0.0211)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kl</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-0.111***</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-0.0646***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(0.013)</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(0.0126)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hhi</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-0.994***</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-0.7114***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(0.149)</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(0.1349)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indkltype</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0.0204</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0.0615**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(0.032)</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(0.0299)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explag</w:t>
            </w: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2.267***</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2.6095***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63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(0.033)</w:t>
            </w:r>
          </w:p>
        </w:tc>
        <w:tc>
          <w:tcPr>
            <w:tcW w:w="16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(0.0436)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163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295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w:t>
            </w:r>
            <w:r>
              <w:rPr>
                <w:rFonts w:hint="default" w:ascii="Times New Roman" w:hAnsi="Times New Roman" w:eastAsia="宋体" w:cs="Times New Roman"/>
                <w:b w:val="0"/>
                <w:bCs w:val="0"/>
                <w:sz w:val="21"/>
                <w:szCs w:val="21"/>
                <w:lang w:val="en-US" w:eastAsia="zh-CN"/>
              </w:rPr>
              <w:t>效应</w:t>
            </w:r>
          </w:p>
        </w:tc>
        <w:tc>
          <w:tcPr>
            <w:tcW w:w="163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295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66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N</w:t>
            </w:r>
          </w:p>
        </w:tc>
        <w:tc>
          <w:tcPr>
            <w:tcW w:w="1638"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19401</w:t>
            </w:r>
          </w:p>
        </w:tc>
        <w:tc>
          <w:tcPr>
            <w:tcW w:w="1693"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19323</w:t>
            </w:r>
          </w:p>
        </w:tc>
      </w:tr>
    </w:tbl>
    <w:p>
      <w:pPr>
        <w:pStyle w:val="25"/>
        <w:bidi w:val="0"/>
        <w:rPr>
          <w:rFonts w:hint="eastAsia"/>
          <w:lang w:val="en-US" w:eastAsia="zh-CN"/>
        </w:rPr>
      </w:pPr>
    </w:p>
    <w:p>
      <w:pPr>
        <w:pStyle w:val="25"/>
        <w:bidi w:val="0"/>
        <w:rPr>
          <w:rFonts w:hint="default"/>
          <w:lang w:val="en-US" w:eastAsia="zh-CN"/>
        </w:rPr>
      </w:pPr>
      <w:bookmarkStart w:id="47" w:name="_Toc8721"/>
      <w:r>
        <w:rPr>
          <w:rFonts w:hint="eastAsia"/>
          <w:lang w:val="en-US" w:eastAsia="zh-CN"/>
        </w:rPr>
        <w:t>3</w:t>
      </w:r>
      <w:r>
        <w:rPr>
          <w:rFonts w:hint="eastAsia"/>
        </w:rPr>
        <w:t>.</w:t>
      </w:r>
      <w:r>
        <w:rPr>
          <w:rFonts w:hint="eastAsia"/>
          <w:lang w:val="en-US" w:eastAsia="zh-CN"/>
        </w:rPr>
        <w:t>1.3 改革对出口绩效的影响</w:t>
      </w:r>
      <w:bookmarkEnd w:id="47"/>
    </w:p>
    <w:p>
      <w:pPr>
        <w:keepNext w:val="0"/>
        <w:keepLines w:val="0"/>
        <w:pageBreakBefore w:val="0"/>
        <w:kinsoku/>
        <w:overflowPunct/>
        <w:topLinePunct w:val="0"/>
        <w:bidi w:val="0"/>
        <w:spacing w:line="360" w:lineRule="auto"/>
        <w:ind w:firstLine="480" w:firstLineChars="200"/>
        <w:jc w:val="left"/>
        <w:textAlignment w:val="auto"/>
        <w:rPr>
          <w:rFonts w:hint="eastAsia" w:ascii="Times New Roman" w:hAnsi="Times New Roman" w:eastAsia="宋体"/>
          <w:sz w:val="24"/>
          <w:lang w:val="en-US" w:eastAsia="zh-CN"/>
        </w:rPr>
      </w:pPr>
    </w:p>
    <w:p>
      <w:pPr>
        <w:keepNext w:val="0"/>
        <w:keepLines w:val="0"/>
        <w:pageBreakBefore w:val="0"/>
        <w:kinsoku/>
        <w:overflowPunct/>
        <w:topLinePunct w:val="0"/>
        <w:bidi w:val="0"/>
        <w:spacing w:line="360" w:lineRule="auto"/>
        <w:ind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本文在</w:t>
      </w:r>
      <w:r>
        <w:rPr>
          <w:rFonts w:hint="eastAsia"/>
          <w:sz w:val="24"/>
          <w:lang w:val="en-US" w:eastAsia="zh-CN"/>
        </w:rPr>
        <w:t>表3-3的</w:t>
      </w:r>
      <w:r>
        <w:rPr>
          <w:rFonts w:hint="eastAsia" w:ascii="Times New Roman" w:hAnsi="Times New Roman" w:eastAsia="宋体"/>
          <w:sz w:val="24"/>
          <w:lang w:val="en-US" w:eastAsia="zh-CN"/>
        </w:rPr>
        <w:t>Panel A、B中分别展示了Heckman模型、两部模型、面板固定效应模型和Tobit模型下出口规模方程、出口强度方程的回归结果。出口规模方程中，四个模型中政策时间交乘项（did）的系数都至少在5%水平上正向显著，其中面板固定效应模型估计出的系数最小，Tobit模型估计出的系数最大，Heckman两阶段模型的估计系数大于两部模型的估计系数；出口强度方程中，两部模型和面板固定效应模型中政策时间交乘项系数都为负向显著，而Heckman两阶段模型和Tobit模型中系数虽同样为负值，但不显著，其中交乘项估计系数从大到小依次为：Heckman两阶段模型、Tobit模型、面板固定效应模型、两部模型。</w:t>
      </w:r>
    </w:p>
    <w:p>
      <w:pPr>
        <w:keepNext w:val="0"/>
        <w:keepLines w:val="0"/>
        <w:pageBreakBefore w:val="0"/>
        <w:kinsoku/>
        <w:overflowPunct/>
        <w:topLinePunct w:val="0"/>
        <w:bidi w:val="0"/>
        <w:spacing w:line="360" w:lineRule="auto"/>
        <w:ind w:firstLine="480" w:firstLineChars="200"/>
        <w:jc w:val="left"/>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四个模型的出口绩效方程回归结果符合本文预期，理由如下：本文在</w:t>
      </w:r>
      <w:r>
        <w:rPr>
          <w:rFonts w:hint="eastAsia"/>
          <w:sz w:val="24"/>
          <w:lang w:val="en-US" w:eastAsia="zh-CN"/>
        </w:rPr>
        <w:t>3</w:t>
      </w:r>
      <w:r>
        <w:rPr>
          <w:rFonts w:hint="eastAsia" w:ascii="Times New Roman" w:hAnsi="Times New Roman" w:eastAsia="宋体"/>
          <w:sz w:val="24"/>
          <w:lang w:val="en-US" w:eastAsia="zh-CN"/>
        </w:rPr>
        <w:t>.1.2小节中论证了非出口企业本身受到改革激励而进入出口市场的倾向性不高这一结果具有稳健性，改革对企业出口绩效的刺激主要作用于出口企业，只在国内市场销售的企业的出口绩效并不受到改革的影响，而结合样本分布可知改革前后始终存在大量的零值企业，面板固定效应模型简单地同等对待零值企业和非零值企业，导致估计结果与考虑了零值企业和非零值企业异质性的其他三个模型的估计结果不</w:t>
      </w:r>
      <w:r>
        <w:rPr>
          <w:rFonts w:hint="eastAsia"/>
          <w:sz w:val="24"/>
          <w:lang w:val="en-US" w:eastAsia="zh-CN"/>
        </w:rPr>
        <w:t>同</w:t>
      </w:r>
      <w:r>
        <w:rPr>
          <w:rFonts w:hint="eastAsia" w:ascii="Times New Roman" w:hAnsi="Times New Roman" w:eastAsia="宋体"/>
          <w:sz w:val="24"/>
          <w:lang w:val="en-US" w:eastAsia="zh-CN"/>
        </w:rPr>
        <w:t>；Heckman模型在第二阶段，也就是在出口绩效方程估计中，将出口值为0的企业视同缺失值对待，实质上缩小了</w:t>
      </w:r>
      <w:r>
        <w:rPr>
          <w:rFonts w:hint="eastAsia"/>
          <w:sz w:val="24"/>
          <w:lang w:val="en-US" w:eastAsia="zh-CN"/>
        </w:rPr>
        <w:t>非</w:t>
      </w:r>
      <w:r>
        <w:rPr>
          <w:rFonts w:hint="eastAsia" w:ascii="Times New Roman" w:hAnsi="Times New Roman" w:eastAsia="宋体"/>
          <w:sz w:val="24"/>
          <w:lang w:val="en-US" w:eastAsia="zh-CN"/>
        </w:rPr>
        <w:t>出口企业的</w:t>
      </w:r>
      <w:r>
        <w:rPr>
          <w:rFonts w:hint="eastAsia"/>
          <w:sz w:val="24"/>
          <w:lang w:val="en-US" w:eastAsia="zh-CN"/>
        </w:rPr>
        <w:t>潜在</w:t>
      </w:r>
      <w:r>
        <w:rPr>
          <w:rFonts w:hint="eastAsia" w:ascii="Times New Roman" w:hAnsi="Times New Roman" w:eastAsia="宋体"/>
          <w:sz w:val="24"/>
          <w:lang w:val="en-US" w:eastAsia="zh-CN"/>
        </w:rPr>
        <w:t>被处理效应</w:t>
      </w:r>
      <w:r>
        <w:rPr>
          <w:rFonts w:hint="eastAsia"/>
          <w:sz w:val="24"/>
          <w:lang w:val="en-US" w:eastAsia="zh-CN"/>
        </w:rPr>
        <w:t>对整体被处理效应的影响</w:t>
      </w:r>
      <w:r>
        <w:rPr>
          <w:rFonts w:hint="eastAsia" w:ascii="Times New Roman" w:hAnsi="Times New Roman" w:eastAsia="宋体"/>
          <w:sz w:val="24"/>
          <w:lang w:val="en-US" w:eastAsia="zh-CN"/>
        </w:rPr>
        <w:t>，使得出口企业的被处理效应发挥主导作用，从而高估了样本整体的被处理效应</w:t>
      </w:r>
      <w:r>
        <w:rPr>
          <w:rStyle w:val="14"/>
          <w:rFonts w:hint="eastAsia" w:ascii="Times New Roman" w:hAnsi="Times New Roman" w:eastAsia="宋体"/>
          <w:sz w:val="24"/>
          <w:lang w:val="en-US" w:eastAsia="zh-CN"/>
        </w:rPr>
        <w:footnoteReference w:id="11"/>
      </w:r>
      <w:r>
        <w:rPr>
          <w:rFonts w:hint="eastAsia" w:ascii="Times New Roman" w:hAnsi="Times New Roman" w:eastAsia="宋体"/>
          <w:sz w:val="24"/>
          <w:lang w:val="en-US" w:eastAsia="zh-CN"/>
        </w:rPr>
        <w:t>；Tobit模型受限于认为影响企业是否出口和出口绩效的影响因素完全相同的强假设，导致其估计出的交乘项系数可能包含除政策处理以外的其他因素的影响，从而高估政策处理效应。而两部模型不仅没有难以满足的强假设、对样本包含的信息的忽视最小，而且回归结果中</w:t>
      </w:r>
      <w:r>
        <w:rPr>
          <w:rFonts w:hint="eastAsia"/>
          <w:sz w:val="24"/>
          <w:lang w:val="en-US" w:eastAsia="zh-CN"/>
        </w:rPr>
        <w:t>其余</w:t>
      </w:r>
      <w:r>
        <w:rPr>
          <w:rFonts w:hint="eastAsia" w:ascii="Times New Roman" w:hAnsi="Times New Roman" w:eastAsia="宋体"/>
          <w:sz w:val="24"/>
          <w:lang w:val="en-US" w:eastAsia="zh-CN"/>
        </w:rPr>
        <w:t>变量系数更符合逻辑与现有文献回归中的普遍情况</w:t>
      </w:r>
      <w:r>
        <w:rPr>
          <w:rStyle w:val="14"/>
          <w:rFonts w:hint="eastAsia" w:ascii="Times New Roman" w:hAnsi="Times New Roman" w:eastAsia="宋体"/>
          <w:sz w:val="24"/>
          <w:lang w:val="en-US" w:eastAsia="zh-CN"/>
        </w:rPr>
        <w:footnoteReference w:id="12"/>
      </w:r>
      <w:r>
        <w:rPr>
          <w:rFonts w:hint="eastAsia" w:ascii="Times New Roman" w:hAnsi="Times New Roman" w:eastAsia="宋体"/>
          <w:sz w:val="24"/>
          <w:lang w:val="en-US" w:eastAsia="zh-CN"/>
        </w:rPr>
        <w:t>，故本文认为两部模型的结果具有最强的合理性和解释力。</w:t>
      </w:r>
    </w:p>
    <w:p>
      <w:pPr>
        <w:keepNext w:val="0"/>
        <w:keepLines w:val="0"/>
        <w:pageBreakBefore w:val="0"/>
        <w:kinsoku/>
        <w:overflowPunct/>
        <w:topLinePunct w:val="0"/>
        <w:bidi w:val="0"/>
        <w:spacing w:line="360" w:lineRule="auto"/>
        <w:ind w:firstLine="480" w:firstLineChars="200"/>
        <w:jc w:val="left"/>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两部模型的回归结果表明改革显著扩大了企业的平均出口规模，且扩大幅度较为可观、降低了企业的平均出口强度，但缩小幅度较小。具体地，企业受改革影响，出口规模平均扩大两百万元，出口强度平均降低0.63%。</w:t>
      </w:r>
    </w:p>
    <w:p>
      <w:pPr>
        <w:pStyle w:val="26"/>
        <w:bidi w:val="0"/>
        <w:rPr>
          <w:rFonts w:hint="eastAsia"/>
        </w:rPr>
      </w:pPr>
    </w:p>
    <w:p>
      <w:pPr>
        <w:pStyle w:val="26"/>
        <w:bidi w:val="0"/>
        <w:jc w:val="both"/>
        <w:rPr>
          <w:rFonts w:hint="eastAsia"/>
        </w:rPr>
      </w:pPr>
    </w:p>
    <w:p>
      <w:pPr>
        <w:pStyle w:val="26"/>
        <w:bidi w:val="0"/>
        <w:rPr>
          <w:rFonts w:hint="eastAsia"/>
        </w:rPr>
      </w:pPr>
    </w:p>
    <w:p>
      <w:pPr>
        <w:pStyle w:val="26"/>
        <w:bidi w:val="0"/>
        <w:jc w:val="both"/>
        <w:rPr>
          <w:rFonts w:hint="eastAsia"/>
        </w:rPr>
      </w:pPr>
    </w:p>
    <w:p>
      <w:pPr>
        <w:pStyle w:val="26"/>
        <w:bidi w:val="0"/>
        <w:rPr>
          <w:rFonts w:hint="eastAsia"/>
          <w:lang w:val="en-US" w:eastAsia="zh-CN"/>
        </w:rPr>
      </w:pPr>
      <w:r>
        <w:rPr>
          <w:rFonts w:hint="eastAsia"/>
        </w:rPr>
        <w:t>表</w:t>
      </w:r>
      <w:r>
        <w:rPr>
          <w:rFonts w:hint="eastAsia"/>
          <w:lang w:val="en-US" w:eastAsia="zh-CN"/>
        </w:rPr>
        <w:t>3</w:t>
      </w:r>
      <w:r>
        <w:rPr>
          <w:rFonts w:hint="eastAsia"/>
        </w:rPr>
        <w:t>-</w:t>
      </w:r>
      <w:r>
        <w:rPr>
          <w:rFonts w:hint="eastAsia"/>
          <w:lang w:val="en-US" w:eastAsia="zh-CN"/>
        </w:rPr>
        <w:t>3基准回归：出口绩效方程回归结果</w:t>
      </w:r>
    </w:p>
    <w:tbl>
      <w:tblPr>
        <w:tblStyle w:val="10"/>
        <w:tblW w:w="4998"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8"/>
        <w:gridCol w:w="3"/>
        <w:gridCol w:w="1665"/>
        <w:gridCol w:w="2"/>
        <w:gridCol w:w="5"/>
        <w:gridCol w:w="7"/>
        <w:gridCol w:w="1663"/>
        <w:gridCol w:w="3"/>
        <w:gridCol w:w="3"/>
        <w:gridCol w:w="1700"/>
        <w:gridCol w:w="3"/>
        <w:gridCol w:w="11"/>
        <w:gridCol w:w="1774"/>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gridSpan w:val="1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Panel A(dependent variable:exportscale)</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Heckman</w:t>
            </w:r>
          </w:p>
        </w:tc>
        <w:tc>
          <w:tcPr>
            <w:tcW w:w="964" w:type="pct"/>
            <w:gridSpan w:val="5"/>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Twopm</w:t>
            </w:r>
          </w:p>
        </w:tc>
        <w:tc>
          <w:tcPr>
            <w:tcW w:w="977" w:type="pct"/>
            <w:gridSpan w:val="2"/>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面板固定效应</w:t>
            </w:r>
          </w:p>
        </w:tc>
        <w:tc>
          <w:tcPr>
            <w:tcW w:w="1023" w:type="pct"/>
            <w:gridSpan w:val="3"/>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Tobit</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956" w:type="pct"/>
            <w:gridSpan w:val="2"/>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2.613***</w:t>
            </w:r>
          </w:p>
        </w:tc>
        <w:tc>
          <w:tcPr>
            <w:tcW w:w="964" w:type="pct"/>
            <w:gridSpan w:val="5"/>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2.4504**</w:t>
            </w:r>
          </w:p>
        </w:tc>
        <w:tc>
          <w:tcPr>
            <w:tcW w:w="977" w:type="pct"/>
            <w:gridSpan w:val="2"/>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1.2035***</w:t>
            </w:r>
          </w:p>
        </w:tc>
        <w:tc>
          <w:tcPr>
            <w:tcW w:w="1023" w:type="pct"/>
            <w:gridSpan w:val="3"/>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4.2155***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(0.637)</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(1.1620)</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(0.2420)</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(1.1866)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SOE</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0.771</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0.5313</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0.0490</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-2.3466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(1.489)</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(0.6986)</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(0.1553)</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(2.1753)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tfp_op</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0.112</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2.8315</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-0.4894**</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-1.7917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(1.014)</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(1.7588)</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(0.2279)</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(1.8149)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firmsize</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3.666***</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4.5249***</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0.4280***</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4.0275***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(0.573)</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(1.0304)</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(0.1529)</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(1.0417)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roa</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0.750</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1.7175*</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0.3791***</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2.8556***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(0.933)</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(0.9048)</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(0.1155)</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(0.7889)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fincons</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1.802</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2.6424</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0.2267*</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5.2159**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(1.166)</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(1.8058)</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(0.1344)</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(2.1596)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patentnum</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0.0134</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0.0559</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0.1669**</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0.2671**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(0.099)</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(0.0711)</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(0.0768)</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(0.1304)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kl</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1.283***</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2.0528***</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0.1849**</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1.4580**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(0.337)</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(0.5281)</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(0.0829)</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(0.5930)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hhi</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6.130</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10.4186</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-0.3127</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-10.5681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(4.747)</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(11.0911)</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(0.4304)</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(9.3923)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indkltype</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-0.808</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-1.1816</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0.0207</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-0.1840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(0.597)</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(0.9531)</w:t>
            </w: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(0.1064)</w:t>
            </w: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(0.9607)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λ</w:t>
            </w:r>
          </w:p>
        </w:tc>
        <w:tc>
          <w:tcPr>
            <w:tcW w:w="956"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-0.523</w:t>
            </w:r>
          </w:p>
        </w:tc>
        <w:tc>
          <w:tcPr>
            <w:tcW w:w="964" w:type="pct"/>
            <w:gridSpan w:val="5"/>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77"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023"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961" w:type="pct"/>
            <w:gridSpan w:val="4"/>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59" w:type="pct"/>
            <w:gridSpan w:val="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77"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23" w:type="pct"/>
            <w:gridSpan w:val="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w:t>
            </w:r>
            <w:r>
              <w:rPr>
                <w:rFonts w:hint="default" w:ascii="Times New Roman" w:hAnsi="Times New Roman" w:eastAsia="宋体" w:cs="Times New Roman"/>
                <w:b w:val="0"/>
                <w:bCs w:val="0"/>
                <w:sz w:val="21"/>
                <w:szCs w:val="21"/>
                <w:lang w:val="en-US" w:eastAsia="zh-CN"/>
              </w:rPr>
              <w:t>效应</w:t>
            </w:r>
          </w:p>
        </w:tc>
        <w:tc>
          <w:tcPr>
            <w:tcW w:w="961" w:type="pct"/>
            <w:gridSpan w:val="4"/>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59" w:type="pct"/>
            <w:gridSpan w:val="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77"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23" w:type="pct"/>
            <w:gridSpan w:val="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N</w:t>
            </w:r>
          </w:p>
        </w:tc>
        <w:tc>
          <w:tcPr>
            <w:tcW w:w="965" w:type="pct"/>
            <w:gridSpan w:val="5"/>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19401</w:t>
            </w:r>
          </w:p>
        </w:tc>
        <w:tc>
          <w:tcPr>
            <w:tcW w:w="955"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19404</w:t>
            </w:r>
          </w:p>
        </w:tc>
        <w:tc>
          <w:tcPr>
            <w:tcW w:w="977"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18834</w:t>
            </w:r>
          </w:p>
        </w:tc>
        <w:tc>
          <w:tcPr>
            <w:tcW w:w="1023" w:type="pct"/>
            <w:gridSpan w:val="3"/>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18860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op w:val="nil"/>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both"/>
              <w:textAlignment w:val="auto"/>
              <w:rPr>
                <w:rFonts w:hint="eastAsia" w:ascii="Times New Roman" w:hAnsi="Times New Roman" w:eastAsia="宋体" w:cs="Times New Roman"/>
                <w:b w:val="0"/>
                <w:bCs w:val="0"/>
                <w:sz w:val="21"/>
                <w:szCs w:val="21"/>
                <w:lang w:val="en-US" w:eastAsia="zh-CN"/>
              </w:rPr>
            </w:pPr>
          </w:p>
        </w:tc>
        <w:tc>
          <w:tcPr>
            <w:tcW w:w="2900" w:type="pct"/>
            <w:gridSpan w:val="10"/>
            <w:tcBorders>
              <w:top w:val="nil"/>
              <w:bottom w:val="single" w:color="000000" w:themeColor="text1" w:sz="12" w:space="0"/>
            </w:tcBorders>
            <w:noWrap w:val="0"/>
            <w:vAlign w:val="center"/>
          </w:tcPr>
          <w:p>
            <w:pPr>
              <w:pStyle w:val="26"/>
              <w:bidi w:val="0"/>
              <w:rPr>
                <w:rFonts w:hint="eastAsia" w:ascii="Times New Roman" w:hAnsi="Times New Roman" w:eastAsia="宋体" w:cs="Times New Roman"/>
                <w:b w:val="0"/>
                <w:bCs w:val="0"/>
                <w:sz w:val="21"/>
                <w:szCs w:val="21"/>
                <w:lang w:val="en-US" w:eastAsia="zh-CN"/>
              </w:rPr>
            </w:pPr>
            <w:r>
              <w:rPr>
                <w:rFonts w:hint="eastAsia"/>
              </w:rPr>
              <w:t>表</w:t>
            </w:r>
            <w:r>
              <w:rPr>
                <w:rFonts w:hint="eastAsia"/>
                <w:lang w:val="en-US" w:eastAsia="zh-CN"/>
              </w:rPr>
              <w:t>3</w:t>
            </w:r>
            <w:r>
              <w:rPr>
                <w:rFonts w:hint="eastAsia"/>
              </w:rPr>
              <w:t>-</w:t>
            </w:r>
            <w:r>
              <w:rPr>
                <w:rFonts w:hint="eastAsia"/>
                <w:lang w:val="en-US" w:eastAsia="zh-CN"/>
              </w:rPr>
              <w:t>3基准回归：出口绩效方程回归结果</w:t>
            </w:r>
          </w:p>
        </w:tc>
        <w:tc>
          <w:tcPr>
            <w:tcW w:w="1022" w:type="pct"/>
            <w:gridSpan w:val="2"/>
            <w:tcBorders>
              <w:top w:val="nil"/>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right"/>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续表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gridSpan w:val="13"/>
            <w:tcBorders>
              <w:top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Panel B(dependent variable:density)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Heckman</w:t>
            </w:r>
          </w:p>
        </w:tc>
        <w:tc>
          <w:tcPr>
            <w:tcW w:w="962" w:type="pct"/>
            <w:gridSpan w:val="4"/>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Twopm</w:t>
            </w:r>
          </w:p>
        </w:tc>
        <w:tc>
          <w:tcPr>
            <w:tcW w:w="987" w:type="pct"/>
            <w:gridSpan w:val="5"/>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面板固定效应</w:t>
            </w:r>
          </w:p>
        </w:tc>
        <w:tc>
          <w:tcPr>
            <w:tcW w:w="1015" w:type="pct"/>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Tobit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956" w:type="pct"/>
            <w:gridSpan w:val="2"/>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-0.000540</w:t>
            </w:r>
          </w:p>
        </w:tc>
        <w:tc>
          <w:tcPr>
            <w:tcW w:w="962" w:type="pct"/>
            <w:gridSpan w:val="4"/>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-0.0063***</w:t>
            </w:r>
          </w:p>
        </w:tc>
        <w:tc>
          <w:tcPr>
            <w:tcW w:w="987" w:type="pct"/>
            <w:gridSpan w:val="5"/>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-0.0022***</w:t>
            </w:r>
          </w:p>
        </w:tc>
        <w:tc>
          <w:tcPr>
            <w:tcW w:w="1015"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(-1.20)</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(0.0010)</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(0.0007)</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SOE</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-0.00407***</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-0.0171***</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-0.0070***</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(-6.06)</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(0.0015)</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(0.0008)</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tfp_op</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-0.00621***</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-0.0453***</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-0.0027***</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(-11.02)</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(0.0036)</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(0.0009)</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firmsize</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0.000917*</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-0.0035***</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0.0011***</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(2.56)</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(0.0008)</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roa</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-0.0169***</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0.0151***</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0.0050***</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(-9.67)</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(0.0013)</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(0.0005)</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fincons</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-0.00128*</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-0.0135***</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-0.0003</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(-2.43)</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(0.0036)</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patentnum</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0.0000751</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-0.0008***</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(1.41)</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kl</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-0.00000528</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-0.0077***</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(0.0007)</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(0.0003)</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hhi</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-0.0592***</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-0.0709***</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-0.0198***</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(-19.43)</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(0.0130)</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(0.0040)</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indkltype</w:t>
            </w: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0.00101**</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-0.0097***</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5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(3.01)</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(0.0014)</w:t>
            </w: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(0.0003)</w:t>
            </w: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λ</w:t>
            </w:r>
          </w:p>
        </w:tc>
        <w:tc>
          <w:tcPr>
            <w:tcW w:w="956"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0.00159</w:t>
            </w:r>
          </w:p>
        </w:tc>
        <w:tc>
          <w:tcPr>
            <w:tcW w:w="964" w:type="pct"/>
            <w:gridSpan w:val="5"/>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976"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022" w:type="pct"/>
            <w:gridSpan w:val="2"/>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955" w:type="pct"/>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66" w:type="pct"/>
            <w:gridSpan w:val="6"/>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76"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22"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w:t>
            </w:r>
            <w:r>
              <w:rPr>
                <w:rFonts w:hint="default" w:ascii="Times New Roman" w:hAnsi="Times New Roman" w:eastAsia="宋体" w:cs="Times New Roman"/>
                <w:b w:val="0"/>
                <w:bCs w:val="0"/>
                <w:sz w:val="21"/>
                <w:szCs w:val="21"/>
                <w:lang w:val="en-US" w:eastAsia="zh-CN"/>
              </w:rPr>
              <w:t>效应</w:t>
            </w:r>
          </w:p>
        </w:tc>
        <w:tc>
          <w:tcPr>
            <w:tcW w:w="955" w:type="pct"/>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66" w:type="pct"/>
            <w:gridSpan w:val="6"/>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76"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22" w:type="pct"/>
            <w:gridSpan w:val="2"/>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 w:type="pct"/>
            <w:gridSpan w:val="2"/>
            <w:tcBorders>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N</w:t>
            </w:r>
          </w:p>
        </w:tc>
        <w:tc>
          <w:tcPr>
            <w:tcW w:w="955" w:type="pct"/>
            <w:tcBorders>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19404</w:t>
            </w:r>
          </w:p>
        </w:tc>
        <w:tc>
          <w:tcPr>
            <w:tcW w:w="966" w:type="pct"/>
            <w:gridSpan w:val="6"/>
            <w:tcBorders>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19404</w:t>
            </w:r>
          </w:p>
        </w:tc>
        <w:tc>
          <w:tcPr>
            <w:tcW w:w="976" w:type="pct"/>
            <w:gridSpan w:val="2"/>
            <w:tcBorders>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19245</w:t>
            </w:r>
          </w:p>
        </w:tc>
        <w:tc>
          <w:tcPr>
            <w:tcW w:w="1022" w:type="pct"/>
            <w:gridSpan w:val="2"/>
            <w:tcBorders>
              <w:bottom w:val="single" w:color="000000" w:themeColor="text1"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19245</w:t>
            </w:r>
          </w:p>
        </w:tc>
      </w:tr>
    </w:tbl>
    <w:p>
      <w:pPr>
        <w:keepNext w:val="0"/>
        <w:keepLines w:val="0"/>
        <w:pageBreakBefore w:val="0"/>
        <w:numPr>
          <w:ilvl w:val="0"/>
          <w:numId w:val="0"/>
        </w:numPr>
        <w:kinsoku/>
        <w:overflowPunct/>
        <w:topLinePunct w:val="0"/>
        <w:bidi w:val="0"/>
        <w:spacing w:line="360" w:lineRule="auto"/>
        <w:ind w:left="420" w:leftChars="0" w:firstLine="480" w:firstLineChars="200"/>
        <w:jc w:val="left"/>
        <w:textAlignment w:val="auto"/>
        <w:rPr>
          <w:rFonts w:hint="default" w:ascii="Times New Roman" w:hAnsi="Times New Roman" w:eastAsia="宋体"/>
          <w:sz w:val="24"/>
          <w:lang w:val="en-US" w:eastAsia="zh-CN"/>
        </w:rPr>
      </w:pPr>
    </w:p>
    <w:p>
      <w:pPr>
        <w:keepNext w:val="0"/>
        <w:keepLines w:val="0"/>
        <w:pageBreakBefore w:val="0"/>
        <w:kinsoku/>
        <w:overflowPunct/>
        <w:topLinePunct w:val="0"/>
        <w:bidi w:val="0"/>
        <w:spacing w:line="360" w:lineRule="auto"/>
        <w:ind w:left="120" w:leftChars="57" w:firstLine="480" w:firstLineChars="200"/>
        <w:jc w:val="left"/>
        <w:textAlignment w:val="auto"/>
        <w:rPr>
          <w:rFonts w:hint="eastAsia" w:ascii="Times New Roman" w:hAnsi="Times New Roman" w:eastAsia="宋体"/>
          <w:sz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olor w:val="FF0000"/>
          <w:sz w:val="24"/>
        </w:rPr>
      </w:pPr>
      <w:r>
        <w:rPr>
          <w:rFonts w:hint="eastAsia" w:ascii="Times New Roman" w:hAnsi="Times New Roman" w:eastAsia="宋体"/>
          <w:color w:val="FF0000"/>
          <w:sz w:val="24"/>
        </w:rPr>
        <w:br w:type="page"/>
      </w:r>
    </w:p>
    <w:p>
      <w:pPr>
        <w:pStyle w:val="16"/>
        <w:bidi w:val="0"/>
        <w:rPr>
          <w:rFonts w:hint="default"/>
          <w:lang w:val="en-US" w:eastAsia="zh-CN"/>
        </w:rPr>
      </w:pPr>
      <w:bookmarkStart w:id="48" w:name="_Toc1971"/>
      <w:r>
        <w:rPr>
          <w:rFonts w:hint="eastAsia"/>
          <w:lang w:val="en-US" w:eastAsia="zh-CN"/>
        </w:rPr>
        <w:t>3</w:t>
      </w:r>
      <w:r>
        <w:rPr>
          <w:rFonts w:hint="eastAsia"/>
        </w:rPr>
        <w:t>.</w:t>
      </w:r>
      <w:r>
        <w:rPr>
          <w:rFonts w:hint="eastAsia"/>
          <w:lang w:val="en-US" w:eastAsia="zh-CN"/>
        </w:rPr>
        <w:t>2 稳健性检验</w:t>
      </w:r>
      <w:bookmarkEnd w:id="48"/>
    </w:p>
    <w:p>
      <w:pPr>
        <w:pStyle w:val="16"/>
        <w:bidi w:val="0"/>
        <w:rPr>
          <w:rFonts w:hint="default"/>
          <w:lang w:val="en-US" w:eastAsia="zh-CN"/>
        </w:rPr>
      </w:pPr>
      <w:bookmarkStart w:id="49" w:name="_Toc25171"/>
      <w:bookmarkStart w:id="50" w:name="_Toc30670"/>
      <w:r>
        <w:rPr>
          <w:rFonts w:hint="eastAsia"/>
          <w:lang w:val="en-US" w:eastAsia="zh-CN"/>
        </w:rPr>
        <w:t>3</w:t>
      </w:r>
      <w:r>
        <w:rPr>
          <w:rFonts w:hint="eastAsia"/>
        </w:rPr>
        <w:t>.</w:t>
      </w:r>
      <w:bookmarkEnd w:id="49"/>
      <w:r>
        <w:rPr>
          <w:rFonts w:hint="eastAsia"/>
          <w:lang w:val="en-US" w:eastAsia="zh-CN"/>
        </w:rPr>
        <w:t>2.1 平行趋势检验</w:t>
      </w:r>
      <w:bookmarkEnd w:id="5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sz w:val="24"/>
          <w:szCs w:val="24"/>
          <w:lang w:val="en-US" w:eastAsia="zh-CN"/>
        </w:rPr>
        <w:t>(1)</w:t>
      </w:r>
      <w:r>
        <w:rPr>
          <w:rFonts w:hint="eastAsia"/>
          <w:lang w:val="en-US" w:eastAsia="zh-CN"/>
        </w:rPr>
        <w:t xml:space="preserve"> </w:t>
      </w:r>
      <w:r>
        <w:rPr>
          <w:rFonts w:hint="eastAsia" w:ascii="Times New Roman" w:hAnsi="Times New Roman" w:eastAsia="宋体" w:cs="宋体"/>
          <w:b w:val="0"/>
          <w:bCs/>
          <w:sz w:val="24"/>
          <w:szCs w:val="24"/>
          <w:lang w:val="en-US" w:eastAsia="zh-CN"/>
        </w:rPr>
        <w:t>图形法</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cs="宋体"/>
          <w:b w:val="0"/>
          <w:bCs/>
          <w:sz w:val="24"/>
          <w:szCs w:val="24"/>
          <w:lang w:val="en-US" w:eastAsia="zh-CN"/>
        </w:rPr>
        <w:t>运用双重差分法研究政策效应有一个前提，即处理组和控制组在政策时点前不存在明显的事前趋势差异，本文对这一假设进行检验。首先，通过图形法观察控制组和处理组的出口</w:t>
      </w:r>
      <w:r>
        <w:rPr>
          <w:rFonts w:hint="eastAsia" w:cs="宋体"/>
          <w:b w:val="0"/>
          <w:bCs/>
          <w:sz w:val="24"/>
          <w:szCs w:val="24"/>
          <w:lang w:val="en-US" w:eastAsia="zh-CN"/>
        </w:rPr>
        <w:t>倾向均值、出口</w:t>
      </w:r>
      <w:r>
        <w:rPr>
          <w:rFonts w:hint="eastAsia" w:ascii="Times New Roman" w:hAnsi="Times New Roman" w:eastAsia="宋体" w:cs="宋体"/>
          <w:b w:val="0"/>
          <w:bCs/>
          <w:sz w:val="24"/>
          <w:szCs w:val="24"/>
          <w:lang w:val="en-US" w:eastAsia="zh-CN"/>
        </w:rPr>
        <w:t>规模均值和出口强度均值在改革前后的趋势对比图，可见处理组和控制组的企业出口倾向、出口规模、出口强度的均值差异在2007年前几乎没有波动。</w:t>
      </w:r>
      <w:r>
        <w:rPr>
          <w:rFonts w:hint="eastAsia" w:ascii="Times New Roman" w:hAnsi="Times New Roman" w:eastAsia="宋体"/>
          <w:sz w:val="24"/>
        </w:rPr>
        <w:t>(如图</w:t>
      </w:r>
      <w:r>
        <w:rPr>
          <w:rFonts w:hint="eastAsia"/>
          <w:sz w:val="24"/>
          <w:lang w:val="en-US" w:eastAsia="zh-CN"/>
        </w:rPr>
        <w:t>3</w:t>
      </w:r>
      <w:r>
        <w:rPr>
          <w:rFonts w:hint="eastAsia" w:ascii="Times New Roman" w:hAnsi="Times New Roman" w:eastAsia="宋体"/>
          <w:sz w:val="24"/>
        </w:rPr>
        <w:t>-</w:t>
      </w:r>
      <w:r>
        <w:rPr>
          <w:rFonts w:hint="eastAsia"/>
          <w:sz w:val="24"/>
          <w:lang w:val="en-US" w:eastAsia="zh-CN"/>
        </w:rPr>
        <w:t>3</w:t>
      </w:r>
      <w:r>
        <w:rPr>
          <w:rFonts w:hint="eastAsia" w:ascii="Times New Roman" w:hAnsi="Times New Roman" w:eastAsia="宋体"/>
          <w:sz w:val="24"/>
          <w:lang w:eastAsia="zh-CN"/>
        </w:rPr>
        <w:t>、</w:t>
      </w:r>
      <w:r>
        <w:rPr>
          <w:rFonts w:hint="eastAsia" w:ascii="Times New Roman" w:hAnsi="Times New Roman" w:eastAsia="宋体"/>
          <w:sz w:val="24"/>
          <w:lang w:val="en-US" w:eastAsia="zh-CN"/>
        </w:rPr>
        <w:t>图</w:t>
      </w:r>
      <w:r>
        <w:rPr>
          <w:rFonts w:hint="eastAsia"/>
          <w:sz w:val="24"/>
          <w:lang w:val="en-US" w:eastAsia="zh-CN"/>
        </w:rPr>
        <w:t>3</w:t>
      </w:r>
      <w:r>
        <w:rPr>
          <w:rFonts w:hint="eastAsia" w:ascii="Times New Roman" w:hAnsi="Times New Roman" w:eastAsia="宋体"/>
          <w:sz w:val="24"/>
          <w:lang w:val="en-US" w:eastAsia="zh-CN"/>
        </w:rPr>
        <w:t>-</w:t>
      </w:r>
      <w:r>
        <w:rPr>
          <w:rFonts w:hint="eastAsia"/>
          <w:sz w:val="24"/>
          <w:lang w:val="en-US" w:eastAsia="zh-CN"/>
        </w:rPr>
        <w:t>4</w:t>
      </w:r>
      <w:r>
        <w:rPr>
          <w:rFonts w:hint="eastAsia" w:ascii="Times New Roman" w:hAnsi="Times New Roman" w:eastAsia="宋体"/>
          <w:sz w:val="24"/>
          <w:lang w:val="en-US" w:eastAsia="zh-CN"/>
        </w:rPr>
        <w:t>、图</w:t>
      </w:r>
      <w:r>
        <w:rPr>
          <w:rFonts w:hint="eastAsia"/>
          <w:sz w:val="24"/>
          <w:lang w:val="en-US" w:eastAsia="zh-CN"/>
        </w:rPr>
        <w:t>3</w:t>
      </w:r>
      <w:r>
        <w:rPr>
          <w:rFonts w:hint="eastAsia" w:ascii="Times New Roman" w:hAnsi="Times New Roman" w:eastAsia="宋体"/>
          <w:sz w:val="24"/>
          <w:lang w:val="en-US" w:eastAsia="zh-CN"/>
        </w:rPr>
        <w:t>-</w:t>
      </w:r>
      <w:r>
        <w:rPr>
          <w:rFonts w:hint="eastAsia"/>
          <w:sz w:val="24"/>
          <w:lang w:val="en-US" w:eastAsia="zh-CN"/>
        </w:rPr>
        <w:t>5</w:t>
      </w:r>
      <w:r>
        <w:rPr>
          <w:rFonts w:hint="eastAsia" w:ascii="Times New Roman" w:hAnsi="Times New Roman" w:eastAsia="宋体"/>
          <w:sz w:val="24"/>
        </w:rPr>
        <w:t>所示)</w:t>
      </w: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rPr>
      </w:pPr>
      <w:r>
        <w:rPr>
          <w:rFonts w:ascii="Times New Roman" w:hAnsi="Times New Roman" w:eastAsia="宋体"/>
          <w:sz w:val="24"/>
        </w:rPr>
        <w:drawing>
          <wp:inline distT="0" distB="0" distL="114300" distR="114300">
            <wp:extent cx="5398770" cy="3599180"/>
            <wp:effectExtent l="0" t="0" r="11430" b="7620"/>
            <wp:docPr id="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9"/>
                    <pic:cNvPicPr>
                      <a:picLocks noChangeAspect="1"/>
                    </pic:cNvPicPr>
                  </pic:nvPicPr>
                  <pic:blipFill>
                    <a:blip r:embed="rId25"/>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3企业出口倾向趋势图</w:t>
      </w: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rPr>
      </w:pP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rPr>
      </w:pP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ascii="Times New Roman" w:hAnsi="Times New Roman" w:eastAsia="宋体"/>
          <w:sz w:val="24"/>
        </w:rPr>
        <w:drawing>
          <wp:inline distT="0" distB="0" distL="114300" distR="114300">
            <wp:extent cx="5398770" cy="3599180"/>
            <wp:effectExtent l="0" t="0" r="11430" b="7620"/>
            <wp:docPr id="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6"/>
                    <pic:cNvPicPr>
                      <a:picLocks noChangeAspect="1"/>
                    </pic:cNvPicPr>
                  </pic:nvPicPr>
                  <pic:blipFill>
                    <a:blip r:embed="rId26"/>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ascii="Times New Roman" w:hAnsi="Times New Roman" w:eastAsia="宋体" w:cs="宋体"/>
          <w:b w:val="0"/>
          <w:bCs/>
          <w:szCs w:val="24"/>
          <w:lang w:val="en-US" w:eastAsia="zh-CN"/>
        </w:rPr>
      </w:pPr>
      <w:r>
        <w:rPr>
          <w:rFonts w:hint="eastAsia"/>
        </w:rPr>
        <w:t>图</w:t>
      </w:r>
      <w:r>
        <w:rPr>
          <w:rFonts w:hint="eastAsia"/>
          <w:lang w:val="en-US" w:eastAsia="zh-CN"/>
        </w:rPr>
        <w:t>3-4企业出口规模趋势图</w:t>
      </w: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rPr>
      </w:pP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sz w:val="24"/>
          <w:lang w:val="en-US" w:eastAsia="zh-CN"/>
        </w:rPr>
      </w:pPr>
      <w:r>
        <w:rPr>
          <w:rFonts w:ascii="Times New Roman" w:hAnsi="Times New Roman" w:eastAsia="宋体"/>
          <w:sz w:val="24"/>
        </w:rPr>
        <w:drawing>
          <wp:inline distT="0" distB="0" distL="114300" distR="114300">
            <wp:extent cx="5398770" cy="3599180"/>
            <wp:effectExtent l="0" t="0" r="11430" b="7620"/>
            <wp:docPr id="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7"/>
                    <pic:cNvPicPr>
                      <a:picLocks noChangeAspect="1"/>
                    </pic:cNvPicPr>
                  </pic:nvPicPr>
                  <pic:blipFill>
                    <a:blip r:embed="rId27"/>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5企业出口强度趋势图</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(2) 改革的动态效应检验</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本文进一步以观察期的第一年（2003年）为基期分别对出口</w:t>
      </w:r>
      <w:r>
        <w:rPr>
          <w:rFonts w:hint="eastAsia" w:cs="宋体"/>
          <w:b w:val="0"/>
          <w:bCs/>
          <w:sz w:val="24"/>
          <w:szCs w:val="24"/>
          <w:lang w:val="en-US" w:eastAsia="zh-CN"/>
        </w:rPr>
        <w:t>倾向、出口</w:t>
      </w:r>
      <w:r>
        <w:rPr>
          <w:rFonts w:hint="eastAsia" w:ascii="Times New Roman" w:hAnsi="Times New Roman" w:eastAsia="宋体" w:cs="宋体"/>
          <w:b w:val="0"/>
          <w:bCs/>
          <w:sz w:val="24"/>
          <w:szCs w:val="24"/>
          <w:lang w:val="en-US" w:eastAsia="zh-CN"/>
        </w:rPr>
        <w:t>规模和出口强度进行平行趋势检验，这样做不仅可以通过实证的方式进一步验证平行趋势假设是否成立，且可以分别展示出政策实施当期及实施后第一期的处理效应。</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具体地，本文为2004年至2008年的每一年分别构造政策时间交乘项，用这五个交乘项替换掉模型（1-2）中的政策时间交乘项，而后进行回归，并根据回归结果中这五个交乘项的系数绘制出动态效应检验图。（如图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6</w:t>
      </w:r>
      <w:r>
        <w:rPr>
          <w:rFonts w:hint="eastAsia" w:ascii="Times New Roman" w:hAnsi="Times New Roman" w:eastAsia="宋体" w:cs="宋体"/>
          <w:b w:val="0"/>
          <w:bCs/>
          <w:sz w:val="24"/>
          <w:szCs w:val="24"/>
          <w:lang w:val="en-US" w:eastAsia="zh-CN"/>
        </w:rPr>
        <w:t>、图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7</w:t>
      </w:r>
      <w:r>
        <w:rPr>
          <w:rFonts w:hint="eastAsia" w:ascii="Times New Roman" w:hAnsi="Times New Roman" w:eastAsia="宋体" w:cs="宋体"/>
          <w:b w:val="0"/>
          <w:bCs/>
          <w:sz w:val="24"/>
          <w:szCs w:val="24"/>
          <w:lang w:val="en-US" w:eastAsia="zh-CN"/>
        </w:rPr>
        <w:t>和图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8</w:t>
      </w:r>
      <w:r>
        <w:rPr>
          <w:rFonts w:hint="eastAsia" w:ascii="Times New Roman" w:hAnsi="Times New Roman" w:eastAsia="宋体" w:cs="宋体"/>
          <w:b w:val="0"/>
          <w:bCs/>
          <w:sz w:val="24"/>
          <w:szCs w:val="24"/>
          <w:lang w:val="en-US" w:eastAsia="zh-CN"/>
        </w:rPr>
        <w:t>所示）</w:t>
      </w:r>
    </w:p>
    <w:p>
      <w:pPr>
        <w:pStyle w:val="26"/>
        <w:bidi w:val="0"/>
        <w:rPr>
          <w:rFonts w:hint="default"/>
          <w:lang w:val="en-US" w:eastAsia="zh-CN"/>
        </w:rPr>
      </w:pPr>
      <w:r>
        <w:rPr>
          <w:rFonts w:ascii="Times New Roman" w:hAnsi="Times New Roman" w:eastAsia="宋体"/>
        </w:rPr>
        <w:drawing>
          <wp:inline distT="0" distB="0" distL="114300" distR="114300">
            <wp:extent cx="5398770" cy="3599180"/>
            <wp:effectExtent l="0" t="0" r="11430" b="7620"/>
            <wp:docPr id="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8"/>
                    <pic:cNvPicPr>
                      <a:picLocks noChangeAspect="1"/>
                    </pic:cNvPicPr>
                  </pic:nvPicPr>
                  <pic:blipFill>
                    <a:blip r:embed="rId28"/>
                    <a:stretch>
                      <a:fillRect/>
                    </a:stretch>
                  </pic:blipFill>
                  <pic:spPr>
                    <a:xfrm>
                      <a:off x="0" y="0"/>
                      <a:ext cx="5398770" cy="3599180"/>
                    </a:xfrm>
                    <a:prstGeom prst="rect">
                      <a:avLst/>
                    </a:prstGeom>
                    <a:noFill/>
                    <a:ln>
                      <a:noFill/>
                    </a:ln>
                  </pic:spPr>
                </pic:pic>
              </a:graphicData>
            </a:graphic>
          </wp:inline>
        </w:drawing>
      </w:r>
      <w:r>
        <w:rPr>
          <w:rFonts w:hint="eastAsia"/>
        </w:rPr>
        <w:t>图</w:t>
      </w:r>
      <w:r>
        <w:rPr>
          <w:rFonts w:hint="eastAsia"/>
          <w:lang w:val="en-US" w:eastAsia="zh-CN"/>
        </w:rPr>
        <w:t>3</w:t>
      </w:r>
      <w:r>
        <w:rPr>
          <w:rFonts w:hint="eastAsia"/>
        </w:rPr>
        <w:t>-</w:t>
      </w:r>
      <w:r>
        <w:rPr>
          <w:rFonts w:hint="eastAsia"/>
          <w:lang w:val="en-US" w:eastAsia="zh-CN"/>
        </w:rPr>
        <w:t>6企业出口倾向动态效应图</w:t>
      </w:r>
    </w:p>
    <w:p>
      <w:pPr>
        <w:pStyle w:val="26"/>
        <w:bidi w:val="0"/>
        <w:rPr>
          <w:rFonts w:hint="eastAsia"/>
          <w:lang w:val="en-US" w:eastAsia="zh-CN"/>
        </w:rPr>
      </w:pP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sz w:val="24"/>
        </w:rPr>
      </w:pPr>
    </w:p>
    <w:p>
      <w:pPr>
        <w:keepNext w:val="0"/>
        <w:keepLines w:val="0"/>
        <w:pageBreakBefore w:val="0"/>
        <w:kinsoku/>
        <w:overflowPunct/>
        <w:topLinePunct w:val="0"/>
        <w:bidi w:val="0"/>
        <w:spacing w:line="360" w:lineRule="auto"/>
        <w:textAlignment w:val="auto"/>
        <w:rPr>
          <w:rFonts w:hint="eastAsia" w:ascii="Times New Roman" w:hAnsi="Times New Roman" w:eastAsia="宋体"/>
          <w:sz w:val="24"/>
          <w:lang w:val="en-US" w:eastAsia="zh-CN"/>
        </w:rPr>
      </w:pPr>
      <w:r>
        <w:rPr>
          <w:rFonts w:ascii="Times New Roman" w:hAnsi="Times New Roman" w:eastAsia="宋体"/>
          <w:sz w:val="24"/>
        </w:rPr>
        <w:drawing>
          <wp:inline distT="0" distB="0" distL="114300" distR="114300">
            <wp:extent cx="5398770" cy="3599180"/>
            <wp:effectExtent l="0" t="0" r="11430" b="7620"/>
            <wp:docPr id="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8"/>
                    <pic:cNvPicPr>
                      <a:picLocks noChangeAspect="1"/>
                    </pic:cNvPicPr>
                  </pic:nvPicPr>
                  <pic:blipFill>
                    <a:blip r:embed="rId29"/>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7企业出口规模动态效应图</w:t>
      </w:r>
    </w:p>
    <w:p>
      <w:pPr>
        <w:keepNext w:val="0"/>
        <w:keepLines w:val="0"/>
        <w:pageBreakBefore w:val="0"/>
        <w:kinsoku/>
        <w:overflowPunct/>
        <w:topLinePunct w:val="0"/>
        <w:bidi w:val="0"/>
        <w:spacing w:line="360" w:lineRule="auto"/>
        <w:ind w:firstLine="480" w:firstLineChars="200"/>
        <w:jc w:val="both"/>
        <w:textAlignment w:val="auto"/>
        <w:rPr>
          <w:rFonts w:hint="eastAsia" w:ascii="Times New Roman" w:hAnsi="Times New Roman" w:eastAsia="宋体" w:cs="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p>
    <w:p>
      <w:pPr>
        <w:keepNext w:val="0"/>
        <w:keepLines w:val="0"/>
        <w:pageBreakBefore w:val="0"/>
        <w:kinsoku/>
        <w:overflowPunct/>
        <w:topLinePunct w:val="0"/>
        <w:bidi w:val="0"/>
        <w:spacing w:line="360" w:lineRule="auto"/>
        <w:textAlignment w:val="auto"/>
        <w:rPr>
          <w:rFonts w:hint="eastAsia" w:ascii="Times New Roman" w:hAnsi="Times New Roman" w:eastAsia="宋体" w:cs="宋体"/>
          <w:b w:val="0"/>
          <w:bCs/>
          <w:sz w:val="24"/>
          <w:szCs w:val="24"/>
          <w:lang w:val="en-US" w:eastAsia="zh-CN"/>
        </w:rPr>
      </w:pPr>
      <w:r>
        <w:rPr>
          <w:rFonts w:ascii="Times New Roman" w:hAnsi="Times New Roman" w:eastAsia="宋体"/>
          <w:sz w:val="24"/>
        </w:rPr>
        <w:drawing>
          <wp:inline distT="0" distB="0" distL="114300" distR="114300">
            <wp:extent cx="5398770" cy="3599180"/>
            <wp:effectExtent l="0" t="0" r="11430" b="7620"/>
            <wp:docPr id="1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9"/>
                    <pic:cNvPicPr>
                      <a:picLocks noChangeAspect="1"/>
                    </pic:cNvPicPr>
                  </pic:nvPicPr>
                  <pic:blipFill>
                    <a:blip r:embed="rId30"/>
                    <a:stretch>
                      <a:fillRect/>
                    </a:stretch>
                  </pic:blipFill>
                  <pic:spPr>
                    <a:xfrm>
                      <a:off x="0" y="0"/>
                      <a:ext cx="5398770" cy="3599180"/>
                    </a:xfrm>
                    <a:prstGeom prst="rect">
                      <a:avLst/>
                    </a:prstGeom>
                    <a:noFill/>
                    <a:ln>
                      <a:noFill/>
                    </a:ln>
                  </pic:spPr>
                </pic:pic>
              </a:graphicData>
            </a:graphic>
          </wp:inline>
        </w:drawing>
      </w:r>
    </w:p>
    <w:p>
      <w:pPr>
        <w:pStyle w:val="26"/>
        <w:bidi w:val="0"/>
        <w:rPr>
          <w:rFonts w:hint="default"/>
          <w:lang w:val="en-US" w:eastAsia="zh-CN"/>
        </w:rPr>
      </w:pPr>
      <w:r>
        <w:rPr>
          <w:rFonts w:hint="eastAsia"/>
        </w:rPr>
        <w:t>图</w:t>
      </w:r>
      <w:r>
        <w:rPr>
          <w:rFonts w:hint="eastAsia"/>
          <w:lang w:val="en-US" w:eastAsia="zh-CN"/>
        </w:rPr>
        <w:t>3-8企业出口强度动态效应图</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无论是出口</w:t>
      </w:r>
      <w:r>
        <w:rPr>
          <w:rFonts w:hint="eastAsia" w:cs="宋体"/>
          <w:b w:val="0"/>
          <w:bCs/>
          <w:sz w:val="24"/>
          <w:szCs w:val="24"/>
          <w:lang w:val="en-US" w:eastAsia="zh-CN"/>
        </w:rPr>
        <w:t>倾向</w:t>
      </w:r>
      <w:r>
        <w:rPr>
          <w:rFonts w:hint="eastAsia" w:ascii="Times New Roman" w:hAnsi="Times New Roman" w:eastAsia="宋体" w:cs="宋体"/>
          <w:b w:val="0"/>
          <w:bCs/>
          <w:sz w:val="24"/>
          <w:szCs w:val="24"/>
          <w:lang w:val="en-US" w:eastAsia="zh-CN"/>
        </w:rPr>
        <w:t>还是出口</w:t>
      </w:r>
      <w:r>
        <w:rPr>
          <w:rFonts w:hint="eastAsia" w:cs="宋体"/>
          <w:b w:val="0"/>
          <w:bCs/>
          <w:sz w:val="24"/>
          <w:szCs w:val="24"/>
          <w:lang w:val="en-US" w:eastAsia="zh-CN"/>
        </w:rPr>
        <w:t>绩效</w:t>
      </w:r>
      <w:r>
        <w:rPr>
          <w:rFonts w:hint="eastAsia" w:ascii="Times New Roman" w:hAnsi="Times New Roman" w:eastAsia="宋体" w:cs="宋体"/>
          <w:b w:val="0"/>
          <w:bCs/>
          <w:sz w:val="24"/>
          <w:szCs w:val="24"/>
          <w:lang w:val="en-US" w:eastAsia="zh-CN"/>
        </w:rPr>
        <w:t>的平行趋势检验图都显示：在2007年前，交乘项的95%的置信区间始终包括零，即说明控制组和处理组在2007年增值税试点转型改革前并无异质性的时间趋势，即通过双重差分法的平行趋势假设。</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政策当期和政策后一期的回归结果与基准回归相符，且展现出处理效应的短期趋势变化，即改革</w:t>
      </w:r>
      <w:r>
        <w:rPr>
          <w:rFonts w:hint="eastAsia" w:cs="宋体"/>
          <w:b w:val="0"/>
          <w:bCs/>
          <w:sz w:val="24"/>
          <w:szCs w:val="24"/>
          <w:lang w:val="en-US" w:eastAsia="zh-CN"/>
        </w:rPr>
        <w:t>对出口倾向的提高作用微弱，同时，改革</w:t>
      </w:r>
      <w:r>
        <w:rPr>
          <w:rFonts w:hint="eastAsia" w:ascii="Times New Roman" w:hAnsi="Times New Roman" w:eastAsia="宋体" w:cs="宋体"/>
          <w:b w:val="0"/>
          <w:bCs/>
          <w:sz w:val="24"/>
          <w:szCs w:val="24"/>
          <w:lang w:val="en-US" w:eastAsia="zh-CN"/>
        </w:rPr>
        <w:t>扩大了企业的当期与下期出口规模，且这种改革效应在下期得到扩大</w:t>
      </w:r>
      <w:r>
        <w:rPr>
          <w:rFonts w:hint="eastAsia" w:cs="宋体"/>
          <w:b w:val="0"/>
          <w:bCs/>
          <w:sz w:val="24"/>
          <w:szCs w:val="24"/>
          <w:lang w:val="en-US" w:eastAsia="zh-CN"/>
        </w:rPr>
        <w:t>，此外，改革</w:t>
      </w:r>
      <w:r>
        <w:rPr>
          <w:rFonts w:hint="eastAsia" w:ascii="Times New Roman" w:hAnsi="Times New Roman" w:eastAsia="宋体" w:cs="宋体"/>
          <w:b w:val="0"/>
          <w:bCs/>
          <w:sz w:val="24"/>
          <w:szCs w:val="24"/>
          <w:lang w:val="en-US" w:eastAsia="zh-CN"/>
        </w:rPr>
        <w:t>对企业的当期出口强度没有显著影响，但对下期的出口强度起到降低作用，说明改革对出口强度的作用可能存在滞后效应。</w:t>
      </w:r>
    </w:p>
    <w:p>
      <w:pPr>
        <w:keepNext w:val="0"/>
        <w:keepLines w:val="0"/>
        <w:pageBreakBefore w:val="0"/>
        <w:kinsoku/>
        <w:overflowPunct/>
        <w:topLinePunct w:val="0"/>
        <w:bidi w:val="0"/>
        <w:spacing w:line="360" w:lineRule="auto"/>
        <w:ind w:firstLine="482" w:firstLineChars="200"/>
        <w:textAlignment w:val="auto"/>
        <w:rPr>
          <w:rFonts w:hint="default" w:ascii="Times New Roman" w:hAnsi="Times New Roman" w:eastAsia="宋体"/>
          <w:b/>
          <w:sz w:val="24"/>
          <w:szCs w:val="28"/>
          <w:lang w:val="en-US" w:eastAsia="zh-CN"/>
        </w:rPr>
      </w:pPr>
    </w:p>
    <w:p>
      <w:pPr>
        <w:pStyle w:val="16"/>
        <w:bidi w:val="0"/>
        <w:rPr>
          <w:rFonts w:hint="default"/>
          <w:lang w:val="en-US" w:eastAsia="zh-CN"/>
        </w:rPr>
      </w:pPr>
      <w:bookmarkStart w:id="51" w:name="_Toc17631"/>
      <w:bookmarkStart w:id="52" w:name="_Toc2154"/>
      <w:r>
        <w:rPr>
          <w:rFonts w:hint="eastAsia"/>
          <w:lang w:val="en-US" w:eastAsia="zh-CN"/>
        </w:rPr>
        <w:t>3</w:t>
      </w:r>
      <w:r>
        <w:rPr>
          <w:rFonts w:hint="eastAsia"/>
        </w:rPr>
        <w:t>.</w:t>
      </w:r>
      <w:bookmarkEnd w:id="51"/>
      <w:r>
        <w:rPr>
          <w:rFonts w:hint="eastAsia"/>
          <w:lang w:val="en-US" w:eastAsia="zh-CN"/>
        </w:rPr>
        <w:t>2.2 政策外生性讨论</w:t>
      </w:r>
      <w:bookmarkEnd w:id="52"/>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政策内生性将导致政策时间交互项系数出现有偏估计（</w:t>
      </w:r>
      <w:r>
        <w:rPr>
          <w:rFonts w:hint="eastAsia" w:ascii="Times New Roman" w:hAnsi="Times New Roman" w:eastAsia="宋体" w:cs="宋体"/>
          <w:sz w:val="24"/>
          <w:szCs w:val="24"/>
        </w:rPr>
        <w:t>陈林</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伍海军</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2015；</w:t>
      </w:r>
      <w:r>
        <w:rPr>
          <w:rFonts w:hint="eastAsia" w:ascii="Times New Roman" w:hAnsi="Times New Roman" w:eastAsia="宋体" w:cs="宋体"/>
          <w:b w:val="0"/>
          <w:bCs/>
          <w:sz w:val="24"/>
          <w:szCs w:val="24"/>
          <w:lang w:val="en-US" w:eastAsia="zh-CN"/>
        </w:rPr>
        <w:t>Lu et al.,2016;蒋灵多，2021），本文分别就政策处理项与时间项讨论2007年增值税转型改革的外生性。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(1) 政策处理组的随机性</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中部六省增值税转型改革的参考政策文件</w:t>
      </w:r>
      <w:r>
        <w:rPr>
          <w:rStyle w:val="14"/>
          <w:rFonts w:hint="eastAsia" w:ascii="Times New Roman" w:hAnsi="Times New Roman" w:eastAsia="宋体" w:cs="宋体"/>
          <w:b w:val="0"/>
          <w:bCs/>
          <w:sz w:val="24"/>
          <w:szCs w:val="24"/>
          <w:lang w:val="en-US" w:eastAsia="zh-CN"/>
        </w:rPr>
        <w:footnoteReference w:id="13"/>
      </w:r>
      <w:r>
        <w:rPr>
          <w:rFonts w:hint="eastAsia" w:ascii="Times New Roman" w:hAnsi="Times New Roman" w:eastAsia="宋体" w:cs="宋体"/>
          <w:b w:val="0"/>
          <w:bCs/>
          <w:sz w:val="24"/>
          <w:szCs w:val="24"/>
          <w:lang w:val="en-US" w:eastAsia="zh-CN"/>
        </w:rPr>
        <w:t>中并未提及城市进入试点名单的具体标准，且在2006年中旬公布的有关中部地区崛起的战略文件</w:t>
      </w:r>
      <w:r>
        <w:rPr>
          <w:rStyle w:val="14"/>
          <w:rFonts w:hint="eastAsia" w:ascii="Times New Roman" w:hAnsi="Times New Roman" w:eastAsia="宋体" w:cs="宋体"/>
          <w:b w:val="0"/>
          <w:bCs/>
          <w:sz w:val="24"/>
          <w:szCs w:val="24"/>
          <w:lang w:val="en-US" w:eastAsia="zh-CN"/>
        </w:rPr>
        <w:footnoteReference w:id="14"/>
      </w:r>
      <w:r>
        <w:rPr>
          <w:rFonts w:hint="eastAsia" w:ascii="Times New Roman" w:hAnsi="Times New Roman" w:eastAsia="宋体" w:cs="宋体"/>
          <w:b w:val="0"/>
          <w:bCs/>
          <w:sz w:val="24"/>
          <w:szCs w:val="24"/>
          <w:lang w:val="en-US" w:eastAsia="zh-CN"/>
        </w:rPr>
        <w:t>的行业覆盖面、地区覆盖面较为宽泛，囊括国民经济的几乎所有大类行业和中部六省约三分之一的城市，在宽泛的行业、地区定位下，可能产生接近于随机抽取的效果，故本文认为对于微观企业而言，2007年的增值税试点改革的处理项是外生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(2) 政策时间的随机性</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2007年中部六省的增值税试点改革为中国深化增值税转型改革、推动经济现代化转型改革的结合产物，增值税试点改革的上一阶段于2004年在东北开展试点，距离中部六省的的改革试点时间足有三年，企业难以判断改革何时会进入下一阶段。由于不论是上一阶段的增值税试点改革（即东北三省试点改革）还是本阶段（即中部六省试点改革），改革政策的核心都与固定资产有关，假如企业提前知晓政策的时间，很可能会在当时的主流搜索引擎（即百度）上搜索与固定资产有关的信息，而结合改革前后“固定资产”的百度指数关键词搜索趋势（如图</w:t>
      </w:r>
      <w:r>
        <w:rPr>
          <w:rFonts w:hint="eastAsia" w:cs="宋体"/>
          <w:b w:val="0"/>
          <w:bCs/>
          <w:sz w:val="24"/>
          <w:szCs w:val="24"/>
          <w:lang w:val="en-US" w:eastAsia="zh-CN"/>
        </w:rPr>
        <w:t>4</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7</w:t>
      </w:r>
      <w:r>
        <w:rPr>
          <w:rFonts w:hint="eastAsia" w:ascii="Times New Roman" w:hAnsi="Times New Roman" w:eastAsia="宋体" w:cs="宋体"/>
          <w:b w:val="0"/>
          <w:bCs/>
          <w:sz w:val="24"/>
          <w:szCs w:val="24"/>
          <w:lang w:val="en-US" w:eastAsia="zh-CN"/>
        </w:rPr>
        <w:t>所示）判断，关键词“固定资产”的搜索趋势在改革前搜索频率较低，而改革后搜索频率</w:t>
      </w:r>
      <w:r>
        <w:rPr>
          <w:rFonts w:hint="eastAsia" w:cs="宋体"/>
          <w:b w:val="0"/>
          <w:bCs/>
          <w:sz w:val="24"/>
          <w:szCs w:val="24"/>
          <w:lang w:val="en-US" w:eastAsia="zh-CN"/>
        </w:rPr>
        <w:t>才</w:t>
      </w:r>
      <w:r>
        <w:rPr>
          <w:rFonts w:hint="eastAsia" w:ascii="Times New Roman" w:hAnsi="Times New Roman" w:eastAsia="宋体" w:cs="宋体"/>
          <w:b w:val="0"/>
          <w:bCs/>
          <w:sz w:val="24"/>
          <w:szCs w:val="24"/>
          <w:lang w:val="en-US" w:eastAsia="zh-CN"/>
        </w:rPr>
        <w:t>明显升高，故本文认为实验中不存在预期效应，政策时间具有随机性。</w:t>
      </w:r>
    </w:p>
    <w:p>
      <w:pPr>
        <w:keepNext w:val="0"/>
        <w:keepLines w:val="0"/>
        <w:pageBreakBefore w:val="0"/>
        <w:numPr>
          <w:ilvl w:val="0"/>
          <w:numId w:val="0"/>
        </w:numPr>
        <w:kinsoku/>
        <w:overflowPunct/>
        <w:topLinePunct w:val="0"/>
        <w:bidi w:val="0"/>
        <w:spacing w:line="360" w:lineRule="auto"/>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drawing>
          <wp:inline distT="0" distB="0" distL="114300" distR="114300">
            <wp:extent cx="5392420" cy="3002280"/>
            <wp:effectExtent l="0" t="0" r="5080" b="7620"/>
            <wp:docPr id="11" name="图片 87" descr="“固定资产”的百度指数pc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7" descr="“固定资产”的百度指数pc趋势"/>
                    <pic:cNvPicPr>
                      <a:picLocks noChangeAspect="1"/>
                    </pic:cNvPicPr>
                  </pic:nvPicPr>
                  <pic:blipFill>
                    <a:blip r:embed="rId31"/>
                    <a:stretch>
                      <a:fillRect/>
                    </a:stretch>
                  </pic:blipFill>
                  <pic:spPr>
                    <a:xfrm>
                      <a:off x="0" y="0"/>
                      <a:ext cx="5392420" cy="300228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图3-9 “固定资产”的百度指数关键词搜索趋势</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(3) 双向固定效应模型</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在各章节的回归中都控制了企业固定效应和时间固定效应，或是控制了两者的虚拟变量，从而达到将年份变动影响和个体变动影响控制住的效果，即使政策内生性存在，也能够在一定程度上削弱其对交乘项系数估计产生的影响。</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p>
    <w:p>
      <w:pPr>
        <w:pStyle w:val="16"/>
        <w:bidi w:val="0"/>
        <w:rPr>
          <w:rFonts w:hint="default"/>
          <w:lang w:val="en-US" w:eastAsia="zh-CN"/>
        </w:rPr>
      </w:pPr>
      <w:bookmarkStart w:id="53" w:name="_Toc11715"/>
      <w:bookmarkStart w:id="54" w:name="_Toc10234"/>
      <w:r>
        <w:rPr>
          <w:rFonts w:hint="eastAsia"/>
          <w:lang w:val="en-US" w:eastAsia="zh-CN"/>
        </w:rPr>
        <w:t>3.2</w:t>
      </w:r>
      <w:r>
        <w:rPr>
          <w:rFonts w:hint="eastAsia"/>
        </w:rPr>
        <w:t>.</w:t>
      </w:r>
      <w:r>
        <w:rPr>
          <w:rFonts w:hint="eastAsia"/>
          <w:lang w:val="en-US" w:eastAsia="zh-CN"/>
        </w:rPr>
        <w:t xml:space="preserve">3 </w:t>
      </w:r>
      <w:bookmarkEnd w:id="53"/>
      <w:r>
        <w:rPr>
          <w:rFonts w:hint="eastAsia"/>
          <w:lang w:val="en-US" w:eastAsia="zh-CN"/>
        </w:rPr>
        <w:t>安慰剂测试</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(1) 虚构处理组</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本文通过500次随机抽取试点城市、构造虚假处理组的方法，生成虚假政策时间交乘项并加入基准回归模型进行回归，出口倾向、出口规模、出口强度的回归系数的核密度曲线分别如图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10</w:t>
      </w:r>
      <w:r>
        <w:rPr>
          <w:rFonts w:hint="eastAsia" w:ascii="Times New Roman" w:hAnsi="Times New Roman" w:eastAsia="宋体" w:cs="宋体"/>
          <w:b w:val="0"/>
          <w:bCs/>
          <w:sz w:val="24"/>
          <w:szCs w:val="24"/>
          <w:lang w:val="en-US" w:eastAsia="zh-CN"/>
        </w:rPr>
        <w:t>、图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11</w:t>
      </w:r>
      <w:r>
        <w:rPr>
          <w:rFonts w:hint="eastAsia" w:ascii="Times New Roman" w:hAnsi="Times New Roman" w:eastAsia="宋体" w:cs="宋体"/>
          <w:b w:val="0"/>
          <w:bCs/>
          <w:sz w:val="24"/>
          <w:szCs w:val="24"/>
          <w:lang w:val="en-US" w:eastAsia="zh-CN"/>
        </w:rPr>
        <w:t>、图</w:t>
      </w:r>
      <w:r>
        <w:rPr>
          <w:rFonts w:hint="eastAsia" w:cs="宋体"/>
          <w:b w:val="0"/>
          <w:bCs/>
          <w:sz w:val="24"/>
          <w:szCs w:val="24"/>
          <w:lang w:val="en-US" w:eastAsia="zh-CN"/>
        </w:rPr>
        <w:t>3</w:t>
      </w:r>
      <w:r>
        <w:rPr>
          <w:rFonts w:hint="eastAsia" w:ascii="Times New Roman" w:hAnsi="Times New Roman" w:eastAsia="宋体" w:cs="宋体"/>
          <w:b w:val="0"/>
          <w:bCs/>
          <w:sz w:val="24"/>
          <w:szCs w:val="24"/>
          <w:lang w:val="en-US" w:eastAsia="zh-CN"/>
        </w:rPr>
        <w:t>-</w:t>
      </w:r>
      <w:r>
        <w:rPr>
          <w:rFonts w:hint="eastAsia" w:cs="宋体"/>
          <w:b w:val="0"/>
          <w:bCs/>
          <w:sz w:val="24"/>
          <w:szCs w:val="24"/>
          <w:lang w:val="en-US" w:eastAsia="zh-CN"/>
        </w:rPr>
        <w:t>12</w:t>
      </w:r>
      <w:r>
        <w:rPr>
          <w:rFonts w:hint="eastAsia" w:ascii="Times New Roman" w:hAnsi="Times New Roman" w:eastAsia="宋体" w:cs="宋体"/>
          <w:b w:val="0"/>
          <w:bCs/>
          <w:sz w:val="24"/>
          <w:szCs w:val="24"/>
          <w:lang w:val="en-US" w:eastAsia="zh-CN"/>
        </w:rPr>
        <w:t>所示。图中空心点为虚假交乘项回归系数的显著性水平，曲线为虚假交乘项回归系数的核密度曲线，水平虚线代表1%的显著性水平，垂直虚线为真实交乘项的回归系数。由图可见，无论是出口倾向方程还是两个出口绩效方程，其真实回归系数相对于虚假系数的分布都为异常值，说明本文在基准回归中得出的结果不太可能是随机因素导致的。</w:t>
      </w:r>
    </w:p>
    <w:p>
      <w:pPr>
        <w:keepNext w:val="0"/>
        <w:keepLines w:val="0"/>
        <w:pageBreakBefore w:val="0"/>
        <w:numPr>
          <w:ilvl w:val="0"/>
          <w:numId w:val="0"/>
        </w:numPr>
        <w:kinsoku/>
        <w:overflowPunct/>
        <w:topLinePunct w:val="0"/>
        <w:bidi w:val="0"/>
        <w:spacing w:line="360" w:lineRule="auto"/>
        <w:ind w:firstLine="420" w:firstLineChars="0"/>
        <w:textAlignment w:val="auto"/>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5151755" cy="3054350"/>
            <wp:effectExtent l="0" t="0" r="4445" b="6350"/>
            <wp:docPr id="12" name="图片 83" descr="52dda1a4033d8da28ad3ce59cee48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3" descr="52dda1a4033d8da28ad3ce59cee48f5"/>
                    <pic:cNvPicPr>
                      <a:picLocks noChangeAspect="1"/>
                    </pic:cNvPicPr>
                  </pic:nvPicPr>
                  <pic:blipFill>
                    <a:blip r:embed="rId32"/>
                    <a:stretch>
                      <a:fillRect/>
                    </a:stretch>
                  </pic:blipFill>
                  <pic:spPr>
                    <a:xfrm>
                      <a:off x="0" y="0"/>
                      <a:ext cx="5151755" cy="3054350"/>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图3-10 随机抽取试点城市：出口倾向回归系数核密度曲线</w:t>
      </w:r>
    </w:p>
    <w:p>
      <w:pPr>
        <w:pStyle w:val="26"/>
        <w:bidi w:val="0"/>
        <w:rPr>
          <w:rFonts w:hint="default"/>
          <w:lang w:val="en-US" w:eastAsia="zh-CN"/>
        </w:rPr>
      </w:pPr>
    </w:p>
    <w:p>
      <w:pPr>
        <w:pStyle w:val="26"/>
        <w:bidi w:val="0"/>
        <w:rPr>
          <w:rFonts w:hint="default"/>
          <w:lang w:val="en-US" w:eastAsia="zh-CN"/>
        </w:rPr>
      </w:pPr>
    </w:p>
    <w:p>
      <w:pPr>
        <w:keepNext w:val="0"/>
        <w:keepLines w:val="0"/>
        <w:pageBreakBefore w:val="0"/>
        <w:numPr>
          <w:ilvl w:val="0"/>
          <w:numId w:val="0"/>
        </w:numPr>
        <w:kinsoku/>
        <w:overflowPunct/>
        <w:topLinePunct w:val="0"/>
        <w:bidi w:val="0"/>
        <w:spacing w:line="360" w:lineRule="auto"/>
        <w:textAlignment w:val="auto"/>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4410710" cy="3225800"/>
            <wp:effectExtent l="0" t="0" r="8890" b="0"/>
            <wp:docPr id="13" name="图片 85" descr="ec91725eeff02b818a67cd3497bb7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5" descr="ec91725eeff02b818a67cd3497bb75e"/>
                    <pic:cNvPicPr>
                      <a:picLocks noChangeAspect="1"/>
                    </pic:cNvPicPr>
                  </pic:nvPicPr>
                  <pic:blipFill>
                    <a:blip r:embed="rId33"/>
                    <a:stretch>
                      <a:fillRect/>
                    </a:stretch>
                  </pic:blipFill>
                  <pic:spPr>
                    <a:xfrm>
                      <a:off x="0" y="0"/>
                      <a:ext cx="4410710" cy="322580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图3-11 随机抽取试点城市：出口规模回归系数核密度曲线</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4127500" cy="3270250"/>
            <wp:effectExtent l="0" t="0" r="0" b="6350"/>
            <wp:docPr id="14" name="图片 86" descr="88bd206b42cc0634245b88f75c49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6" descr="88bd206b42cc0634245b88f75c49b17"/>
                    <pic:cNvPicPr>
                      <a:picLocks noChangeAspect="1"/>
                    </pic:cNvPicPr>
                  </pic:nvPicPr>
                  <pic:blipFill>
                    <a:blip r:embed="rId34"/>
                    <a:stretch>
                      <a:fillRect/>
                    </a:stretch>
                  </pic:blipFill>
                  <pic:spPr>
                    <a:xfrm>
                      <a:off x="0" y="0"/>
                      <a:ext cx="4127500" cy="327025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图3-12 随机抽取试点城市：出口强度回归系数核密度曲线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(2) 预期效应检验</w:t>
      </w:r>
    </w:p>
    <w:p>
      <w:pPr>
        <w:keepNext w:val="0"/>
        <w:keepLines w:val="0"/>
        <w:pageBreakBefore w:val="0"/>
        <w:numPr>
          <w:ilvl w:val="0"/>
          <w:numId w:val="0"/>
        </w:numPr>
        <w:kinsoku/>
        <w:overflowPunct/>
        <w:topLinePunct w:val="0"/>
        <w:bidi w:val="0"/>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通过本文在</w:t>
      </w:r>
      <w:r>
        <w:rPr>
          <w:rFonts w:hint="eastAsia" w:cs="宋体"/>
          <w:b w:val="0"/>
          <w:bCs/>
          <w:sz w:val="24"/>
          <w:szCs w:val="24"/>
          <w:lang w:val="en-US" w:eastAsia="zh-CN"/>
        </w:rPr>
        <w:t>3.2.1</w:t>
      </w:r>
      <w:r>
        <w:rPr>
          <w:rFonts w:hint="eastAsia" w:ascii="Times New Roman" w:hAnsi="Times New Roman" w:eastAsia="宋体" w:cs="宋体"/>
          <w:b w:val="0"/>
          <w:bCs/>
          <w:sz w:val="24"/>
          <w:szCs w:val="24"/>
          <w:lang w:val="en-US" w:eastAsia="zh-CN"/>
        </w:rPr>
        <w:t>中动态效应</w:t>
      </w:r>
      <w:r>
        <w:rPr>
          <w:rFonts w:hint="eastAsia" w:cs="宋体"/>
          <w:b w:val="0"/>
          <w:bCs/>
          <w:sz w:val="24"/>
          <w:szCs w:val="24"/>
          <w:lang w:val="en-US" w:eastAsia="zh-CN"/>
        </w:rPr>
        <w:t>的结果</w:t>
      </w:r>
      <w:r>
        <w:rPr>
          <w:rFonts w:hint="eastAsia" w:ascii="Times New Roman" w:hAnsi="Times New Roman" w:eastAsia="宋体" w:cs="宋体"/>
          <w:b w:val="0"/>
          <w:bCs/>
          <w:sz w:val="24"/>
          <w:szCs w:val="24"/>
          <w:lang w:val="en-US" w:eastAsia="zh-CN"/>
        </w:rPr>
        <w:t>可以看出，在改革前的年份并不存在显著的出口倾向、规模、密度变化，因此不存在预期效应。</w:t>
      </w:r>
    </w:p>
    <w:p>
      <w:pPr>
        <w:pStyle w:val="16"/>
        <w:bidi w:val="0"/>
        <w:rPr>
          <w:rFonts w:hint="default"/>
          <w:lang w:val="en-US" w:eastAsia="zh-CN"/>
        </w:rPr>
      </w:pPr>
      <w:bookmarkStart w:id="55" w:name="_Toc14483"/>
      <w:r>
        <w:rPr>
          <w:rFonts w:hint="eastAsia"/>
          <w:lang w:val="en-US" w:eastAsia="zh-CN"/>
        </w:rPr>
        <w:t>3.2.4 低GDP增速的子样本回归</w:t>
      </w:r>
      <w:bookmarkEnd w:id="55"/>
    </w:p>
    <w:p>
      <w:pPr>
        <w:keepNext w:val="0"/>
        <w:keepLines w:val="0"/>
        <w:pageBreakBefore w:val="0"/>
        <w:kinsoku/>
        <w:overflowPunct/>
        <w:topLinePunct w:val="0"/>
        <w:bidi w:val="0"/>
        <w:spacing w:line="360" w:lineRule="auto"/>
        <w:ind w:firstLine="420" w:firstLineChars="0"/>
        <w:textAlignment w:val="auto"/>
        <w:rPr>
          <w:rFonts w:hint="eastAsia" w:cs="Times New Roman"/>
          <w:sz w:val="24"/>
          <w:szCs w:val="24"/>
          <w:lang w:val="en-US" w:eastAsia="zh-CN"/>
        </w:rPr>
      </w:pPr>
      <w:r>
        <w:rPr>
          <w:rFonts w:hint="eastAsia" w:cs="宋体"/>
          <w:b w:val="0"/>
          <w:bCs/>
          <w:sz w:val="24"/>
          <w:szCs w:val="24"/>
          <w:lang w:val="en-US" w:eastAsia="zh-CN"/>
        </w:rPr>
        <w:t>由于相较于后疫情时期，本文所考察的样本期间GDP增速更快，为验证基准回归结论是否适用于GDP增速较低的情况，本文选取企业所在城市当年GDP增速低于中部六省城市在观察期间的多年平均GDP增速的子样本进行回归，回归结果如表3-3所示。</w:t>
      </w:r>
      <w:r>
        <w:rPr>
          <w:rFonts w:hint="eastAsia" w:ascii="Times New Roman" w:hAnsi="Times New Roman" w:eastAsia="宋体" w:cs="Times New Roman"/>
          <w:sz w:val="24"/>
          <w:szCs w:val="24"/>
          <w:lang w:val="en-US" w:eastAsia="zh-CN"/>
        </w:rPr>
        <w:t>回归系数与基准回归系数大小和显著性相近、方向相同，表明本文基准回归结果</w:t>
      </w:r>
      <w:r>
        <w:rPr>
          <w:rFonts w:hint="eastAsia" w:cs="Times New Roman"/>
          <w:sz w:val="24"/>
          <w:szCs w:val="24"/>
          <w:lang w:val="en-US" w:eastAsia="zh-CN"/>
        </w:rPr>
        <w:t>在宏观经济较差的情况下仍</w:t>
      </w:r>
      <w:r>
        <w:rPr>
          <w:rFonts w:hint="eastAsia" w:ascii="Times New Roman" w:hAnsi="Times New Roman" w:eastAsia="宋体" w:cs="Times New Roman"/>
          <w:sz w:val="24"/>
          <w:szCs w:val="24"/>
          <w:lang w:val="en-US" w:eastAsia="zh-CN"/>
        </w:rPr>
        <w:t>具有稳健性</w:t>
      </w:r>
      <w:r>
        <w:rPr>
          <w:rFonts w:hint="eastAsia" w:cs="Times New Roman"/>
          <w:sz w:val="24"/>
          <w:szCs w:val="24"/>
          <w:lang w:val="en-US" w:eastAsia="zh-CN"/>
        </w:rPr>
        <w:t>。</w:t>
      </w:r>
    </w:p>
    <w:p>
      <w:pPr>
        <w:pStyle w:val="26"/>
        <w:bidi w:val="0"/>
        <w:rPr>
          <w:rFonts w:hint="default"/>
          <w:lang w:val="en-US" w:eastAsia="zh-CN"/>
        </w:rPr>
      </w:pPr>
      <w:bookmarkStart w:id="56" w:name="_Toc10283"/>
      <w:r>
        <w:rPr>
          <w:rFonts w:hint="eastAsia"/>
          <w:lang w:val="en-US" w:eastAsia="zh-CN"/>
        </w:rPr>
        <w:t>表3-3 低GDP增速的子样本回归</w:t>
      </w:r>
    </w:p>
    <w:tbl>
      <w:tblPr>
        <w:tblStyle w:val="10"/>
        <w:tblW w:w="4998"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7"/>
        <w:gridCol w:w="2089"/>
        <w:gridCol w:w="10"/>
        <w:gridCol w:w="2100"/>
        <w:gridCol w:w="2151"/>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198"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w:t>
            </w:r>
          </w:p>
        </w:tc>
        <w:tc>
          <w:tcPr>
            <w:tcW w:w="1210" w:type="pct"/>
            <w:gridSpan w:val="2"/>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exportscale</w:t>
            </w:r>
          </w:p>
        </w:tc>
        <w:tc>
          <w:tcPr>
            <w:tcW w:w="123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208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0.1719*</w:t>
            </w:r>
          </w:p>
        </w:tc>
        <w:tc>
          <w:tcPr>
            <w:tcW w:w="2110" w:type="dxa"/>
            <w:gridSpan w:val="2"/>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1.2706***</w:t>
            </w:r>
          </w:p>
        </w:tc>
        <w:tc>
          <w:tcPr>
            <w:tcW w:w="2151"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-0.0021*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208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(0.1005)</w:t>
            </w:r>
          </w:p>
        </w:tc>
        <w:tc>
          <w:tcPr>
            <w:tcW w:w="2110" w:type="dxa"/>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(0.4290)</w:t>
            </w:r>
          </w:p>
        </w:tc>
        <w:tc>
          <w:tcPr>
            <w:tcW w:w="2151"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119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10"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120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w:t>
            </w:r>
            <w:r>
              <w:rPr>
                <w:rFonts w:hint="default" w:ascii="Times New Roman" w:hAnsi="Times New Roman" w:eastAsia="宋体" w:cs="Times New Roman"/>
                <w:b w:val="0"/>
                <w:bCs w:val="0"/>
                <w:sz w:val="21"/>
                <w:szCs w:val="21"/>
                <w:lang w:val="en-US" w:eastAsia="zh-CN"/>
              </w:rPr>
              <w:t>效应</w:t>
            </w:r>
          </w:p>
        </w:tc>
        <w:tc>
          <w:tcPr>
            <w:tcW w:w="120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bl>
    <w:p>
      <w:pPr>
        <w:pStyle w:val="16"/>
        <w:bidi w:val="0"/>
        <w:rPr>
          <w:rFonts w:hint="eastAsia"/>
          <w:lang w:val="en-US" w:eastAsia="zh-CN"/>
        </w:rPr>
      </w:pPr>
      <w:bookmarkStart w:id="57" w:name="_Toc20122"/>
      <w:r>
        <w:rPr>
          <w:rFonts w:hint="eastAsia"/>
          <w:lang w:val="en-US" w:eastAsia="zh-CN"/>
        </w:rPr>
        <w:t xml:space="preserve">3.2.5 </w:t>
      </w:r>
      <w:bookmarkEnd w:id="56"/>
      <w:r>
        <w:rPr>
          <w:rFonts w:hint="eastAsia"/>
          <w:lang w:val="en-US" w:eastAsia="zh-CN"/>
        </w:rPr>
        <w:t>其他可能的内生性问题</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(1) 控制其他政策影响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在观察期间行业层面主要的</w:t>
      </w:r>
      <w:r>
        <w:rPr>
          <w:rFonts w:hint="eastAsia" w:cs="Times New Roman"/>
          <w:sz w:val="24"/>
          <w:szCs w:val="24"/>
          <w:lang w:val="en-US" w:eastAsia="zh-CN"/>
        </w:rPr>
        <w:t>其他</w:t>
      </w:r>
      <w:r>
        <w:rPr>
          <w:rFonts w:hint="eastAsia" w:ascii="Times New Roman" w:hAnsi="Times New Roman" w:eastAsia="宋体" w:cs="Times New Roman"/>
          <w:sz w:val="24"/>
          <w:szCs w:val="24"/>
          <w:lang w:val="en-US" w:eastAsia="zh-CN"/>
        </w:rPr>
        <w:t>政策冲击为最低工资标准政策</w:t>
      </w:r>
      <w:r>
        <w:rPr>
          <w:rFonts w:hint="eastAsia" w:cs="Times New Roman"/>
          <w:sz w:val="24"/>
          <w:szCs w:val="24"/>
          <w:lang w:val="en-US" w:eastAsia="zh-CN"/>
        </w:rPr>
        <w:t>、出口退税率变动</w:t>
      </w:r>
      <w:r>
        <w:rPr>
          <w:rFonts w:hint="eastAsia" w:ascii="Times New Roman" w:hAnsi="Times New Roman" w:eastAsia="宋体" w:cs="Times New Roman"/>
          <w:sz w:val="24"/>
          <w:szCs w:val="24"/>
          <w:lang w:val="en-US" w:eastAsia="zh-CN"/>
        </w:rPr>
        <w:t>和纺织品配额制度取消。对于2003年的最低工资标准政策，本文在生成判断工业企业当年平均工资水平是否低于所在省份最低工资标准的变量后发现，几乎没有企业是不满足最低工资标准的，这可能是由于工业企业数据库选取的企业本身具有较大规模、工资制度较为规范，且本文选取的是在观察期间持续经营的企业，其工资水平可能较高</w:t>
      </w:r>
      <w:r>
        <w:rPr>
          <w:rFonts w:hint="eastAsia" w:cs="Times New Roman"/>
          <w:sz w:val="24"/>
          <w:szCs w:val="24"/>
          <w:lang w:val="en-US" w:eastAsia="zh-CN"/>
        </w:rPr>
        <w:t>的缘故导致的</w:t>
      </w:r>
      <w:r>
        <w:rPr>
          <w:rFonts w:hint="eastAsia" w:ascii="Times New Roman" w:hAnsi="Times New Roman" w:eastAsia="宋体" w:cs="Times New Roman"/>
          <w:sz w:val="24"/>
          <w:szCs w:val="24"/>
          <w:lang w:val="en-US" w:eastAsia="zh-CN"/>
        </w:rPr>
        <w:t>，故本文不再对该政策冲击做单独处理。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针对2005年纺织品配额取消和</w:t>
      </w:r>
      <w:r>
        <w:rPr>
          <w:rFonts w:hint="eastAsia" w:cs="Times New Roman"/>
          <w:sz w:val="24"/>
          <w:szCs w:val="24"/>
          <w:lang w:val="en-US" w:eastAsia="zh-CN"/>
        </w:rPr>
        <w:t>2004年的出口退税率调整和</w:t>
      </w:r>
      <w:r>
        <w:rPr>
          <w:rFonts w:hint="eastAsia" w:ascii="Times New Roman" w:hAnsi="Times New Roman" w:eastAsia="宋体" w:cs="Times New Roman"/>
          <w:sz w:val="24"/>
          <w:szCs w:val="24"/>
          <w:lang w:val="en-US" w:eastAsia="zh-CN"/>
        </w:rPr>
        <w:t>2005年</w:t>
      </w:r>
      <w:r>
        <w:rPr>
          <w:rFonts w:hint="eastAsia" w:cs="Times New Roman"/>
          <w:sz w:val="24"/>
          <w:szCs w:val="24"/>
          <w:lang w:val="en-US" w:eastAsia="zh-CN"/>
        </w:rPr>
        <w:t>以</w:t>
      </w:r>
      <w:r>
        <w:rPr>
          <w:rFonts w:hint="eastAsia" w:ascii="Times New Roman" w:hAnsi="Times New Roman" w:eastAsia="宋体" w:cs="Times New Roman"/>
          <w:sz w:val="24"/>
          <w:szCs w:val="24"/>
          <w:lang w:val="en-US" w:eastAsia="zh-CN"/>
        </w:rPr>
        <w:t>后部分行业出口退税率的变动冲击，本文参考杨慧梅（2020）的做法，</w:t>
      </w:r>
      <w:r>
        <w:rPr>
          <w:rFonts w:hint="eastAsia" w:cs="Times New Roman"/>
          <w:sz w:val="24"/>
          <w:szCs w:val="24"/>
          <w:lang w:val="en-US" w:eastAsia="zh-CN"/>
        </w:rPr>
        <w:t>剔除受到2004年出口退税率调整影响的企业，</w:t>
      </w:r>
      <w:r>
        <w:rPr>
          <w:rFonts w:hint="eastAsia" w:ascii="Times New Roman" w:hAnsi="Times New Roman" w:eastAsia="宋体" w:cs="Times New Roman"/>
          <w:sz w:val="24"/>
          <w:szCs w:val="24"/>
          <w:lang w:val="en-US" w:eastAsia="zh-CN"/>
        </w:rPr>
        <w:t>并结合</w:t>
      </w:r>
      <w:r>
        <w:rPr>
          <w:rFonts w:hint="eastAsia" w:cs="Times New Roman"/>
          <w:sz w:val="24"/>
          <w:szCs w:val="24"/>
          <w:lang w:val="en-US" w:eastAsia="zh-CN"/>
        </w:rPr>
        <w:t>从</w:t>
      </w:r>
      <w:r>
        <w:rPr>
          <w:rFonts w:ascii="Times New Roman" w:hAnsi="Times New Roman" w:eastAsia="宋体" w:cs="宋体"/>
          <w:sz w:val="24"/>
          <w:szCs w:val="24"/>
        </w:rPr>
        <w:t>国发〔2006〕36号</w:t>
      </w:r>
      <w:r>
        <w:rPr>
          <w:rStyle w:val="14"/>
          <w:rFonts w:ascii="Times New Roman" w:hAnsi="Times New Roman" w:eastAsia="宋体" w:cs="宋体"/>
          <w:sz w:val="24"/>
          <w:szCs w:val="24"/>
        </w:rPr>
        <w:footnoteReference w:id="15"/>
      </w:r>
      <w:r>
        <w:rPr>
          <w:rFonts w:hint="eastAsia" w:ascii="Times New Roman" w:hAnsi="Times New Roman" w:eastAsia="宋体" w:cs="宋体"/>
          <w:sz w:val="24"/>
          <w:szCs w:val="24"/>
          <w:lang w:val="en-US" w:eastAsia="zh-CN"/>
        </w:rPr>
        <w:t>配套技术方案</w:t>
      </w:r>
      <w:r>
        <w:rPr>
          <w:rFonts w:hint="eastAsia" w:ascii="Times New Roman" w:hAnsi="Times New Roman" w:eastAsia="宋体" w:cs="Times New Roman"/>
          <w:sz w:val="24"/>
          <w:szCs w:val="24"/>
          <w:lang w:val="en-US" w:eastAsia="zh-CN"/>
        </w:rPr>
        <w:t>划定的重点污染源行业分类</w:t>
      </w:r>
      <w:r>
        <w:rPr>
          <w:rFonts w:hint="eastAsia" w:cs="Times New Roman"/>
          <w:sz w:val="24"/>
          <w:szCs w:val="24"/>
          <w:lang w:val="en-US" w:eastAsia="zh-CN"/>
        </w:rPr>
        <w:t>中</w:t>
      </w:r>
      <w:r>
        <w:rPr>
          <w:rFonts w:hint="eastAsia" w:ascii="Times New Roman" w:hAnsi="Times New Roman" w:eastAsia="宋体" w:cs="Times New Roman"/>
          <w:sz w:val="24"/>
          <w:szCs w:val="24"/>
          <w:lang w:val="en-US" w:eastAsia="zh-CN"/>
        </w:rPr>
        <w:t>整理出受到</w:t>
      </w:r>
      <w:r>
        <w:rPr>
          <w:rFonts w:hint="eastAsia" w:cs="Times New Roman"/>
          <w:sz w:val="24"/>
          <w:szCs w:val="24"/>
          <w:lang w:val="en-US" w:eastAsia="zh-CN"/>
        </w:rPr>
        <w:t>2005年以后退税率调整</w:t>
      </w:r>
      <w:r>
        <w:rPr>
          <w:rFonts w:hint="eastAsia" w:ascii="Times New Roman" w:hAnsi="Times New Roman" w:eastAsia="宋体" w:cs="Times New Roman"/>
          <w:sz w:val="24"/>
          <w:szCs w:val="24"/>
          <w:lang w:val="en-US" w:eastAsia="zh-CN"/>
        </w:rPr>
        <w:t>影响的行业，根据企业当年是否处于受影响行业，生成企业在2005年后是否受到纺织品配额取消和</w:t>
      </w:r>
      <w:r>
        <w:rPr>
          <w:rFonts w:hint="eastAsia" w:cs="Times New Roman"/>
          <w:sz w:val="24"/>
          <w:szCs w:val="24"/>
          <w:lang w:val="en-US" w:eastAsia="zh-CN"/>
        </w:rPr>
        <w:t>出口</w:t>
      </w:r>
      <w:r>
        <w:rPr>
          <w:rFonts w:hint="eastAsia" w:ascii="Times New Roman" w:hAnsi="Times New Roman" w:eastAsia="宋体" w:cs="Times New Roman"/>
          <w:sz w:val="24"/>
          <w:szCs w:val="24"/>
          <w:lang w:val="en-US" w:eastAsia="zh-CN"/>
        </w:rPr>
        <w:t>退税率变动影响的变量（policy2005），当受到影响时赋值为1，否则为0，加入到基准回归模型中观察，回归结果如表</w:t>
      </w:r>
      <w:r>
        <w:rPr>
          <w:rFonts w:hint="eastAsia" w:cs="Times New Roman"/>
          <w:sz w:val="24"/>
          <w:szCs w:val="24"/>
          <w:lang w:val="en-US" w:eastAsia="zh-CN"/>
        </w:rPr>
        <w:t>3</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所示。回归系数与基准回归系数大小和显著性相近、方向相同，表明本文基准回归结果具有稳健性。</w:t>
      </w:r>
    </w:p>
    <w:p>
      <w:pPr>
        <w:pStyle w:val="26"/>
        <w:bidi w:val="0"/>
        <w:rPr>
          <w:rFonts w:hint="default"/>
          <w:lang w:val="en-US" w:eastAsia="zh-CN"/>
        </w:rPr>
      </w:pPr>
      <w:r>
        <w:rPr>
          <w:rFonts w:hint="eastAsia"/>
          <w:lang w:val="en-US" w:eastAsia="zh-CN"/>
        </w:rPr>
        <w:t>表3-4 考虑其他政策的冲击</w:t>
      </w:r>
    </w:p>
    <w:tbl>
      <w:tblPr>
        <w:tblStyle w:val="10"/>
        <w:tblW w:w="4998"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7"/>
        <w:gridCol w:w="2089"/>
        <w:gridCol w:w="10"/>
        <w:gridCol w:w="2100"/>
        <w:gridCol w:w="2151"/>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357"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198"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w:t>
            </w:r>
          </w:p>
        </w:tc>
        <w:tc>
          <w:tcPr>
            <w:tcW w:w="1210" w:type="pct"/>
            <w:gridSpan w:val="2"/>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exportscale</w:t>
            </w:r>
          </w:p>
        </w:tc>
        <w:tc>
          <w:tcPr>
            <w:tcW w:w="123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208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0.1492**</w:t>
            </w:r>
          </w:p>
        </w:tc>
        <w:tc>
          <w:tcPr>
            <w:tcW w:w="2110" w:type="dxa"/>
            <w:gridSpan w:val="2"/>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2.4175**</w:t>
            </w:r>
          </w:p>
        </w:tc>
        <w:tc>
          <w:tcPr>
            <w:tcW w:w="2151"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-0.0052***</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208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(0.0584)</w:t>
            </w:r>
          </w:p>
        </w:tc>
        <w:tc>
          <w:tcPr>
            <w:tcW w:w="2110" w:type="dxa"/>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(1.1657)</w:t>
            </w:r>
          </w:p>
        </w:tc>
        <w:tc>
          <w:tcPr>
            <w:tcW w:w="2151"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119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10" w:type="pct"/>
            <w:gridSpan w:val="2"/>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120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7"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w:t>
            </w:r>
            <w:r>
              <w:rPr>
                <w:rFonts w:hint="default" w:ascii="Times New Roman" w:hAnsi="Times New Roman" w:eastAsia="宋体" w:cs="Times New Roman"/>
                <w:b w:val="0"/>
                <w:bCs w:val="0"/>
                <w:sz w:val="21"/>
                <w:szCs w:val="21"/>
                <w:lang w:val="en-US" w:eastAsia="zh-CN"/>
              </w:rPr>
              <w:t>效应</w:t>
            </w:r>
          </w:p>
        </w:tc>
        <w:tc>
          <w:tcPr>
            <w:tcW w:w="120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3"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bl>
    <w:p>
      <w:pPr>
        <w:keepNext w:val="0"/>
        <w:keepLines w:val="0"/>
        <w:pageBreakBefore w:val="0"/>
        <w:kinsoku/>
        <w:overflowPunct/>
        <w:topLinePunct w:val="0"/>
        <w:bidi w:val="0"/>
        <w:spacing w:line="360" w:lineRule="auto"/>
        <w:ind w:firstLine="480" w:firstLineChars="200"/>
        <w:jc w:val="left"/>
        <w:textAlignment w:val="auto"/>
        <w:rPr>
          <w:rFonts w:hint="eastAsia"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(2) 外部需求变动的影响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sz w:val="24"/>
          <w:lang w:val="en-US" w:eastAsia="zh-CN"/>
        </w:rPr>
        <w:t>本文在基准回归中控制的时间固定效应可以吸收不随企业变动的总体外部需求变动的干扰，但若企业的出口目的地或产品结构差异变动大，则可能产生随时间和个体变动的干扰，从而威胁到基准回归结果的一致性。本文认为基准回归结果不受此威胁干扰的原因如下：首先，中部六省企业的出口目的国、出口商品结构重合度高、较稳定，出口目的国以美、日等发达国家为主，出口商品结构以机械设备为主（</w:t>
      </w:r>
      <w:r>
        <w:rPr>
          <w:rFonts w:hint="default" w:ascii="Times New Roman" w:hAnsi="Times New Roman" w:eastAsia="宋体" w:cs="宋体"/>
          <w:sz w:val="24"/>
          <w:szCs w:val="24"/>
          <w:lang w:val="en-US" w:eastAsia="zh-CN"/>
        </w:rPr>
        <w:t>宋周莺</w:t>
      </w:r>
      <w:r>
        <w:rPr>
          <w:rFonts w:hint="eastAsia" w:cs="宋体"/>
          <w:sz w:val="24"/>
          <w:szCs w:val="24"/>
          <w:lang w:val="en-US" w:eastAsia="zh-CN"/>
        </w:rPr>
        <w:t>等，2017；</w:t>
      </w:r>
      <w:r>
        <w:rPr>
          <w:rFonts w:hint="eastAsia" w:ascii="Times New Roman" w:hAnsi="Times New Roman" w:eastAsia="宋体" w:cs="宋体"/>
          <w:sz w:val="24"/>
          <w:szCs w:val="24"/>
        </w:rPr>
        <w:t>侯欣裕</w:t>
      </w:r>
      <w:r>
        <w:rPr>
          <w:rFonts w:hint="eastAsia" w:cs="宋体"/>
          <w:sz w:val="24"/>
          <w:szCs w:val="24"/>
          <w:lang w:val="en-US" w:eastAsia="zh-CN"/>
        </w:rPr>
        <w:t>等，2020</w:t>
      </w:r>
      <w:r>
        <w:rPr>
          <w:rFonts w:hint="eastAsia"/>
          <w:sz w:val="24"/>
          <w:lang w:val="en-US" w:eastAsia="zh-CN"/>
        </w:rPr>
        <w:t>），而主要出口目的国的需求在2003年至2007年普遍处于扩张期，2008年后普遍处于收缩期，且出口主要目的国家间的需求扩张速度差异较小（钟腾龙，2020），故本文认为出口目的国的需求变异对基准回归结果一致性的威胁小；而观察期间对机械设备行业构成冲击的主要政策为2005年纺织品配额制度的取消，经前文的检验，该冲击并不干扰基准回归结果的一致性；其次，本文的样本企业以一般贸易企业为主</w:t>
      </w:r>
      <w:r>
        <w:rPr>
          <w:rStyle w:val="14"/>
          <w:rFonts w:hint="eastAsia"/>
          <w:sz w:val="24"/>
          <w:lang w:val="en-US" w:eastAsia="zh-CN"/>
        </w:rPr>
        <w:footnoteReference w:id="16"/>
      </w:r>
      <w:r>
        <w:rPr>
          <w:rFonts w:hint="eastAsia"/>
          <w:sz w:val="24"/>
          <w:lang w:val="en-US" w:eastAsia="zh-CN"/>
        </w:rPr>
        <w:t>，此分布的好处在于相较于加工贸易企业，一般贸易企业的出口受到外部需求的影响较小（</w:t>
      </w:r>
      <w:r>
        <w:rPr>
          <w:rFonts w:hint="eastAsia" w:ascii="Times New Roman" w:hAnsi="Times New Roman" w:eastAsia="宋体" w:cs="宋体"/>
          <w:sz w:val="24"/>
          <w:szCs w:val="24"/>
        </w:rPr>
        <w:t>郎金焕</w:t>
      </w:r>
      <w:r>
        <w:rPr>
          <w:rFonts w:hint="eastAsia" w:cs="宋体"/>
          <w:sz w:val="24"/>
          <w:szCs w:val="24"/>
          <w:lang w:val="en-US" w:eastAsia="zh-CN"/>
        </w:rPr>
        <w:t>和</w:t>
      </w:r>
      <w:r>
        <w:rPr>
          <w:rFonts w:hint="eastAsia" w:ascii="Times New Roman" w:hAnsi="Times New Roman" w:eastAsia="宋体" w:cs="宋体"/>
          <w:sz w:val="24"/>
          <w:szCs w:val="24"/>
        </w:rPr>
        <w:t>史晋川</w:t>
      </w:r>
      <w:r>
        <w:rPr>
          <w:rFonts w:hint="eastAsia" w:cs="宋体"/>
          <w:sz w:val="24"/>
          <w:szCs w:val="24"/>
          <w:lang w:eastAsia="zh-CN"/>
        </w:rPr>
        <w:t>，</w:t>
      </w:r>
      <w:r>
        <w:rPr>
          <w:rFonts w:hint="eastAsia" w:cs="宋体"/>
          <w:sz w:val="24"/>
          <w:szCs w:val="24"/>
          <w:lang w:val="en-US" w:eastAsia="zh-CN"/>
        </w:rPr>
        <w:t>2013</w:t>
      </w:r>
      <w:r>
        <w:rPr>
          <w:rFonts w:hint="eastAsia"/>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15"/>
        <w:bidi w:val="0"/>
        <w:rPr>
          <w:rFonts w:hint="default" w:ascii="Times New Roman" w:hAnsi="Times New Roman" w:eastAsia="宋体"/>
          <w:b/>
          <w:szCs w:val="36"/>
          <w:lang w:val="en-US" w:eastAsia="zh-CN"/>
        </w:rPr>
      </w:pPr>
      <w:bookmarkStart w:id="58" w:name="_Toc13309"/>
      <w:bookmarkStart w:id="59" w:name="_Toc8964"/>
      <w:r>
        <w:rPr>
          <w:rFonts w:hint="eastAsia"/>
          <w:lang w:val="en-US" w:eastAsia="zh-CN"/>
        </w:rPr>
        <w:t>4 扩展分析</w:t>
      </w:r>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宋体"/>
          <w:sz w:val="24"/>
          <w:lang w:val="en-US" w:eastAsia="zh-CN"/>
        </w:rPr>
      </w:pPr>
      <w:bookmarkStart w:id="60" w:name="_Toc14448"/>
      <w:r>
        <w:rPr>
          <w:rFonts w:hint="eastAsia" w:ascii="Times New Roman" w:hAnsi="Times New Roman" w:eastAsia="宋体" w:cs="宋体"/>
          <w:sz w:val="24"/>
          <w:lang w:val="en-US" w:eastAsia="zh-CN"/>
        </w:rPr>
        <w:t>基准回归中的结果展示了样本在平均意义上的改革效应，本文在此基础上进一步将样本依次按照企业产权性质是否为国有、行业是否为资本密集型、行业是否为高集中度划分</w:t>
      </w:r>
      <w:r>
        <w:rPr>
          <w:rFonts w:hint="eastAsia" w:cs="宋体"/>
          <w:sz w:val="24"/>
          <w:lang w:val="en-US" w:eastAsia="zh-CN"/>
        </w:rPr>
        <w:t>并分组回归</w:t>
      </w:r>
      <w:r>
        <w:rPr>
          <w:rFonts w:hint="eastAsia" w:ascii="Times New Roman" w:hAnsi="Times New Roman" w:eastAsia="宋体" w:cs="宋体"/>
          <w:sz w:val="24"/>
          <w:lang w:val="en-US" w:eastAsia="zh-CN"/>
        </w:rPr>
        <w:t>，从而分别讨论具有不同特质的企业在改革</w:t>
      </w:r>
      <w:r>
        <w:rPr>
          <w:rFonts w:hint="eastAsia" w:cs="宋体"/>
          <w:sz w:val="24"/>
          <w:lang w:val="en-US" w:eastAsia="zh-CN"/>
        </w:rPr>
        <w:t>后</w:t>
      </w:r>
      <w:r>
        <w:rPr>
          <w:rFonts w:hint="eastAsia" w:ascii="Times New Roman" w:hAnsi="Times New Roman" w:eastAsia="宋体" w:cs="宋体"/>
          <w:sz w:val="24"/>
          <w:lang w:val="en-US" w:eastAsia="zh-CN"/>
        </w:rPr>
        <w:t>的出口异质性。</w:t>
      </w:r>
    </w:p>
    <w:p>
      <w:pPr>
        <w:pStyle w:val="16"/>
        <w:bidi w:val="0"/>
        <w:rPr>
          <w:rFonts w:hint="eastAsia"/>
          <w:lang w:val="en-US" w:eastAsia="zh-CN"/>
        </w:rPr>
      </w:pPr>
      <w:bookmarkStart w:id="61" w:name="_Toc20638"/>
      <w:r>
        <w:rPr>
          <w:rFonts w:hint="eastAsia"/>
          <w:lang w:val="en-US" w:eastAsia="zh-CN"/>
        </w:rPr>
        <w:t>4</w:t>
      </w:r>
      <w:r>
        <w:rPr>
          <w:rFonts w:hint="eastAsia"/>
        </w:rPr>
        <w:t>.</w:t>
      </w:r>
      <w:r>
        <w:rPr>
          <w:rFonts w:hint="eastAsia"/>
          <w:lang w:val="en-US" w:eastAsia="zh-CN"/>
        </w:rPr>
        <w:t>1 异质性分析</w:t>
      </w:r>
      <w:bookmarkEnd w:id="60"/>
      <w:bookmarkEnd w:id="61"/>
    </w:p>
    <w:p>
      <w:pPr>
        <w:pStyle w:val="25"/>
        <w:bidi w:val="0"/>
        <w:rPr>
          <w:rFonts w:hint="default" w:ascii="Times New Roman" w:hAnsi="Times New Roman" w:eastAsia="宋体" w:cs="宋体"/>
          <w:lang w:val="en-US" w:eastAsia="zh-CN"/>
        </w:rPr>
      </w:pPr>
      <w:bookmarkStart w:id="62" w:name="_Toc2765"/>
      <w:r>
        <w:rPr>
          <w:rFonts w:hint="eastAsia"/>
          <w:lang w:val="en-US" w:eastAsia="zh-CN"/>
        </w:rPr>
        <w:t>4.1.1 国有企业和非国有企业</w:t>
      </w:r>
      <w:bookmarkEnd w:id="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sz w:val="24"/>
          <w:lang w:val="en-US" w:eastAsia="zh-CN"/>
        </w:rPr>
      </w:pPr>
      <w:r>
        <w:rPr>
          <w:rFonts w:hint="eastAsia" w:ascii="Times New Roman" w:hAnsi="Times New Roman" w:eastAsia="宋体" w:cs="宋体"/>
          <w:sz w:val="24"/>
          <w:lang w:val="en-US" w:eastAsia="zh-CN"/>
        </w:rPr>
        <w:t>相比非国有企业，国有企业享有更多的政府扶持和税收优惠倾斜，在信贷市场上也由于国家背书优势更容易取得信贷（张晓晶，2019）。这些原因可能导致国有企业的出口行为对于增值税试点改革的敏感性低于非国有制企业，为检验该差异是否存在，本文按照企业国有持股份额是否高于50%划分企业性质，高于50%的为国有企业，否则为非国有企业。本文将样本分为国有和非国有企业两组分别对出口倾向和出口绩效进行回归，回归结果如表</w:t>
      </w:r>
      <w:r>
        <w:rPr>
          <w:rFonts w:hint="eastAsia" w:cs="宋体"/>
          <w:sz w:val="24"/>
          <w:lang w:val="en-US" w:eastAsia="zh-CN"/>
        </w:rPr>
        <w:t>4</w:t>
      </w:r>
      <w:r>
        <w:rPr>
          <w:rFonts w:hint="eastAsia" w:ascii="Times New Roman" w:hAnsi="Times New Roman" w:eastAsia="宋体" w:cs="宋体"/>
          <w:sz w:val="24"/>
          <w:lang w:val="en-US" w:eastAsia="zh-CN"/>
        </w:rPr>
        <w:t>-</w:t>
      </w:r>
      <w:r>
        <w:rPr>
          <w:rFonts w:hint="eastAsia" w:cs="宋体"/>
          <w:sz w:val="24"/>
          <w:lang w:val="en-US" w:eastAsia="zh-CN"/>
        </w:rPr>
        <w:t>1</w:t>
      </w:r>
      <w:r>
        <w:rPr>
          <w:rFonts w:hint="eastAsia" w:ascii="Times New Roman" w:hAnsi="Times New Roman" w:eastAsia="宋体" w:cs="宋体"/>
          <w:sz w:val="24"/>
          <w:lang w:val="en-US" w:eastAsia="zh-CN"/>
        </w:rPr>
        <w:t>所示。结果显示，改革显著提高了国企和非国有企业的平均出口倾向，且非国有企业的出口倾向提高幅度更大；改革显著扩大了非国有企业的出口规模，但对国有企业的出口规模影响不显著；改革对非国有企业的出口强度影响为正向但并不显著，对国有企业的出口强度影响为负向显著。</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sz w:val="24"/>
          <w:szCs w:val="24"/>
          <w:lang w:val="en-US" w:eastAsia="zh-CN"/>
        </w:rPr>
      </w:pPr>
      <w:r>
        <w:rPr>
          <w:rFonts w:hint="eastAsia" w:ascii="Times New Roman" w:hAnsi="Times New Roman" w:eastAsia="宋体"/>
          <w:b w:val="0"/>
          <w:bCs/>
          <w:sz w:val="24"/>
          <w:szCs w:val="24"/>
          <w:lang w:val="en-US" w:eastAsia="zh-CN"/>
        </w:rPr>
        <w:t>总体上非国有企业的出口行为受到了改革的正向激励作用，而国有企业受到改革激励的程度较非国有企业更小。</w:t>
      </w:r>
      <w:r>
        <w:rPr>
          <w:rFonts w:hint="eastAsia" w:ascii="Times New Roman" w:hAnsi="Times New Roman" w:eastAsia="宋体" w:cs="Times New Roman"/>
          <w:sz w:val="24"/>
          <w:szCs w:val="24"/>
          <w:lang w:val="en-US" w:eastAsia="zh-CN"/>
        </w:rPr>
        <w:t>本文基于2006年样本对两个组别的控制变量的均值进行t检验，发现非国有企业受到的融资约束压力更大，因此本文认为导致改革对出口的影响在不同产权企业间存在异质性</w:t>
      </w:r>
      <w:r>
        <w:rPr>
          <w:rFonts w:hint="eastAsia" w:ascii="Times New Roman" w:hAnsi="Times New Roman" w:eastAsia="宋体"/>
          <w:b w:val="0"/>
          <w:bCs/>
          <w:sz w:val="24"/>
          <w:szCs w:val="24"/>
          <w:lang w:val="en-US" w:eastAsia="zh-CN"/>
        </w:rPr>
        <w:t>的原因可能是国有企业在改革前就享受更多的其他政策优惠和政府兜底，所受到的融资约束压力更小，因此对增值税转型改革产生的冲击并不如非国有企业敏感；而国有企业的出口强度下降的可能原因是非国有企业在出口市场的进入和绩效提升激化了行业竞争（Liu&amp;Lu,2015），从而受到挤出效应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宋体"/>
          <w:sz w:val="24"/>
          <w:lang w:val="en-US" w:eastAsia="zh-CN"/>
        </w:rPr>
      </w:pP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1 分组回归：国有企业和非国有企业</w:t>
      </w:r>
    </w:p>
    <w:tbl>
      <w:tblPr>
        <w:tblStyle w:val="10"/>
        <w:tblW w:w="4999"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57"/>
        <w:gridCol w:w="1230"/>
        <w:gridCol w:w="1399"/>
        <w:gridCol w:w="1250"/>
        <w:gridCol w:w="1107"/>
        <w:gridCol w:w="1399"/>
        <w:gridCol w:w="1376"/>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cr/>
            </w:r>
            <w:r>
              <w:rPr>
                <w:rFonts w:hint="default" w:ascii="Times New Roman" w:hAnsi="Times New Roman" w:eastAsia="宋体" w:cs="Times New Roman"/>
                <w:b w:val="0"/>
                <w:bCs w:val="0"/>
                <w:sz w:val="21"/>
                <w:szCs w:val="21"/>
                <w:lang w:val="en-US" w:eastAsia="zh-CN"/>
              </w:rPr>
              <w:t>
</w:t>
            </w:r>
          </w:p>
        </w:tc>
        <w:tc>
          <w:tcPr>
            <w:tcW w:w="3767" w:type="dxa"/>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r>
              <w:rPr>
                <w:rFonts w:hint="eastAsia" w:ascii="Times New Roman" w:hAnsi="Times New Roman" w:eastAsia="宋体" w:cs="Times New Roman"/>
                <w:b w:val="0"/>
                <w:bCs w:val="0"/>
                <w:sz w:val="21"/>
                <w:szCs w:val="21"/>
                <w:lang w:val="en-US" w:eastAsia="zh-CN"/>
              </w:rPr>
              <w:t>非国有企业</w:t>
            </w:r>
          </w:p>
        </w:tc>
        <w:tc>
          <w:tcPr>
            <w:tcW w:w="3767" w:type="dxa"/>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国有企业</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02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130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exportscale</w:t>
            </w:r>
          </w:p>
        </w:tc>
        <w:tc>
          <w:tcPr>
            <w:tcW w:w="143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c>
          <w:tcPr>
            <w:tcW w:w="100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131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exportscale</w:t>
            </w:r>
          </w:p>
        </w:tc>
        <w:tc>
          <w:tcPr>
            <w:tcW w:w="144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102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0.300***</w:t>
            </w:r>
          </w:p>
        </w:tc>
        <w:tc>
          <w:tcPr>
            <w:tcW w:w="130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1.10</w:t>
            </w:r>
            <w:r>
              <w:rPr>
                <w:rFonts w:hint="eastAsia"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w:t>
            </w:r>
          </w:p>
        </w:tc>
        <w:tc>
          <w:tcPr>
            <w:tcW w:w="143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0.0002</w:t>
            </w:r>
          </w:p>
        </w:tc>
        <w:tc>
          <w:tcPr>
            <w:tcW w:w="100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0.132*</w:t>
            </w:r>
          </w:p>
        </w:tc>
        <w:tc>
          <w:tcPr>
            <w:tcW w:w="131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0.207</w:t>
            </w:r>
          </w:p>
        </w:tc>
        <w:tc>
          <w:tcPr>
            <w:tcW w:w="144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02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4</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05</w:t>
            </w:r>
            <w:r>
              <w:rPr>
                <w:rFonts w:hint="default" w:ascii="Times New Roman" w:hAnsi="Times New Roman" w:eastAsia="宋体" w:cs="Times New Roman"/>
                <w:b w:val="0"/>
                <w:bCs w:val="0"/>
                <w:sz w:val="21"/>
                <w:szCs w:val="21"/>
                <w:lang w:val="en-US" w:eastAsia="zh-CN"/>
              </w:rPr>
              <w:t>)</w:t>
            </w:r>
          </w:p>
        </w:tc>
        <w:tc>
          <w:tcPr>
            <w:tcW w:w="13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(5.74)</w:t>
            </w:r>
          </w:p>
        </w:tc>
        <w:tc>
          <w:tcPr>
            <w:tcW w:w="143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(0.43)</w:t>
            </w:r>
          </w:p>
        </w:tc>
        <w:tc>
          <w:tcPr>
            <w:tcW w:w="100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(1.74) </w:t>
            </w:r>
          </w:p>
        </w:tc>
        <w:tc>
          <w:tcPr>
            <w:tcW w:w="131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(0.8</w:t>
            </w:r>
            <w:r>
              <w:rPr>
                <w:rFonts w:hint="eastAsia"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w:t>
            </w:r>
          </w:p>
        </w:tc>
        <w:tc>
          <w:tcPr>
            <w:tcW w:w="144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3</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15</w:t>
            </w:r>
            <w:r>
              <w:rPr>
                <w:rFonts w:hint="default" w:ascii="Times New Roman" w:hAnsi="Times New Roman" w:eastAsia="宋体" w:cs="Times New Roman"/>
                <w:b w:val="0"/>
                <w:bCs w:val="0"/>
                <w:sz w:val="21"/>
                <w:szCs w:val="21"/>
                <w:lang w:val="en-US" w:eastAsia="zh-CN"/>
              </w:rPr>
              <w:t>)</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控制变量</w:t>
            </w:r>
          </w:p>
        </w:tc>
        <w:tc>
          <w:tcPr>
            <w:tcW w:w="102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3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0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1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4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时间效应</w:t>
            </w:r>
          </w:p>
        </w:tc>
        <w:tc>
          <w:tcPr>
            <w:tcW w:w="102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3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0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1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4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个体效应</w:t>
            </w:r>
          </w:p>
        </w:tc>
        <w:tc>
          <w:tcPr>
            <w:tcW w:w="102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143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00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1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144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N</w:t>
            </w:r>
          </w:p>
        </w:tc>
        <w:tc>
          <w:tcPr>
            <w:tcW w:w="102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13781</w:t>
            </w:r>
          </w:p>
        </w:tc>
        <w:tc>
          <w:tcPr>
            <w:tcW w:w="13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13427</w:t>
            </w:r>
          </w:p>
        </w:tc>
        <w:tc>
          <w:tcPr>
            <w:tcW w:w="143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13629</w:t>
            </w:r>
          </w:p>
        </w:tc>
        <w:tc>
          <w:tcPr>
            <w:tcW w:w="100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5623</w:t>
            </w:r>
          </w:p>
        </w:tc>
        <w:tc>
          <w:tcPr>
            <w:tcW w:w="131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5433</w:t>
            </w:r>
          </w:p>
        </w:tc>
        <w:tc>
          <w:tcPr>
            <w:tcW w:w="144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5616</w:t>
            </w:r>
          </w:p>
        </w:tc>
      </w:tr>
    </w:tbl>
    <w:p>
      <w:pPr>
        <w:keepNext w:val="0"/>
        <w:keepLines w:val="0"/>
        <w:pageBreakBefore w:val="0"/>
        <w:kinsoku/>
        <w:overflowPunct/>
        <w:topLinePunct w:val="0"/>
        <w:bidi w:val="0"/>
        <w:spacing w:line="360" w:lineRule="auto"/>
        <w:ind w:firstLine="482" w:firstLineChars="200"/>
        <w:textAlignment w:val="auto"/>
        <w:rPr>
          <w:rFonts w:hint="eastAsia" w:ascii="Times New Roman" w:hAnsi="Times New Roman" w:eastAsia="宋体"/>
          <w:b/>
          <w:sz w:val="24"/>
          <w:szCs w:val="24"/>
          <w:lang w:val="en-US" w:eastAsia="zh-CN"/>
        </w:rPr>
      </w:pPr>
    </w:p>
    <w:p>
      <w:pPr>
        <w:pStyle w:val="25"/>
        <w:bidi w:val="0"/>
        <w:rPr>
          <w:rFonts w:hint="default"/>
          <w:lang w:val="en-US" w:eastAsia="zh-CN"/>
        </w:rPr>
      </w:pPr>
      <w:bookmarkStart w:id="63" w:name="_Toc2241"/>
      <w:r>
        <w:rPr>
          <w:rFonts w:hint="eastAsia"/>
          <w:lang w:val="en-US" w:eastAsia="zh-CN"/>
        </w:rPr>
        <w:t>4.1.2 资本密集型行业企业和劳动密集型行业企业</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由于增值税转型改革针对的是固定资产投资行为，而资本密集型行业的企业对固定资产投资的需求往往强于劳动密集型行业的企业，</w:t>
      </w:r>
      <w:r>
        <w:rPr>
          <w:rFonts w:hint="eastAsia" w:cs="Times New Roman"/>
          <w:sz w:val="24"/>
          <w:szCs w:val="24"/>
          <w:lang w:val="en-US" w:eastAsia="zh-CN"/>
        </w:rPr>
        <w:t>因此</w:t>
      </w:r>
      <w:r>
        <w:rPr>
          <w:rFonts w:hint="eastAsia" w:ascii="Times New Roman" w:hAnsi="Times New Roman" w:eastAsia="宋体" w:cs="Times New Roman"/>
          <w:sz w:val="24"/>
          <w:szCs w:val="24"/>
          <w:lang w:val="en-US" w:eastAsia="zh-CN"/>
        </w:rPr>
        <w:t>资本密集型行业的企业对改革的敏感性</w:t>
      </w:r>
      <w:r>
        <w:rPr>
          <w:rFonts w:hint="eastAsia" w:cs="Times New Roman"/>
          <w:sz w:val="24"/>
          <w:szCs w:val="24"/>
          <w:lang w:val="en-US" w:eastAsia="zh-CN"/>
        </w:rPr>
        <w:t>可能</w:t>
      </w:r>
      <w:r>
        <w:rPr>
          <w:rFonts w:hint="eastAsia" w:ascii="Times New Roman" w:hAnsi="Times New Roman" w:eastAsia="宋体" w:cs="Times New Roman"/>
          <w:sz w:val="24"/>
          <w:szCs w:val="24"/>
          <w:lang w:val="en-US" w:eastAsia="zh-CN"/>
        </w:rPr>
        <w:t>更高，故本文进一步探究了企业出口对改革反应的行业异质性，分组回归结果如表</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所示。结果显示，改革显著提高了处于资本密集型行业的企业的出口倾向，但对劳动密集型行业企业的出口倾向没有显著影响；改革显著扩大了资本密集型行业企业的出口规模，但对劳动密集型行业企业的出口规模没有显著影响；改革显著降低了资本密集型行业的出口强度，但对劳动密集型行业企业的出口强度</w:t>
      </w:r>
      <w:r>
        <w:rPr>
          <w:rFonts w:hint="eastAsia" w:cs="Times New Roman"/>
          <w:sz w:val="24"/>
          <w:szCs w:val="24"/>
          <w:lang w:val="en-US" w:eastAsia="zh-CN"/>
        </w:rPr>
        <w:t>的</w:t>
      </w:r>
      <w:r>
        <w:rPr>
          <w:rFonts w:hint="eastAsia" w:ascii="Times New Roman" w:hAnsi="Times New Roman" w:eastAsia="宋体" w:cs="Times New Roman"/>
          <w:sz w:val="24"/>
          <w:szCs w:val="24"/>
          <w:lang w:val="en-US" w:eastAsia="zh-CN"/>
        </w:rPr>
        <w:t>消极影响不显著。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本密集型行业企业的出口行为受到改革影响的程度和显著性整体高于劳动密集型行业的企业。本文基于2006年样本对两个组别的控制变量的均值进行t检验，发现资本密集型行业企业受到的融资约束更大，因此本文认为改革对出口影响在资本密集行业企业和劳动密集型行业企业间存在异质性的原因可能是处于资本密集型行业的企业对固定资产投资的需求更大，而固定资产投资价格较高，因而会受到更大的融资约束，因此对改革释放出的现金流更加敏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2 分组回归：资本密集型行业企业和劳动密集型行业企业</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2"/>
        <w:gridCol w:w="1230"/>
        <w:gridCol w:w="1399"/>
        <w:gridCol w:w="1405"/>
        <w:gridCol w:w="1107"/>
        <w:gridCol w:w="1399"/>
        <w:gridCol w:w="11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single" w:color="000000" w:themeColor="text1" w:sz="12"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cr/>
            </w:r>
            <w:r>
              <w:rPr>
                <w:rFonts w:hint="default" w:ascii="Times New Roman" w:hAnsi="Times New Roman" w:eastAsia="宋体" w:cs="Times New Roman"/>
                <w:b w:val="0"/>
                <w:bCs w:val="0"/>
                <w:sz w:val="21"/>
                <w:szCs w:val="21"/>
                <w:lang w:val="en-US" w:eastAsia="zh-CN"/>
              </w:rPr>
              <w:t>
</w:t>
            </w:r>
          </w:p>
        </w:tc>
        <w:tc>
          <w:tcPr>
            <w:tcW w:w="2263" w:type="pct"/>
            <w:gridSpan w:val="3"/>
            <w:tcBorders>
              <w:top w:val="single" w:color="000000" w:themeColor="text1" w:sz="12"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r>
              <w:rPr>
                <w:rFonts w:hint="eastAsia" w:ascii="Times New Roman" w:hAnsi="Times New Roman" w:eastAsia="宋体" w:cs="Times New Roman"/>
                <w:b w:val="0"/>
                <w:bCs w:val="0"/>
                <w:sz w:val="21"/>
                <w:szCs w:val="21"/>
                <w:lang w:val="en-US" w:eastAsia="zh-CN"/>
              </w:rPr>
              <w:t>资本密集型行业企业</w:t>
            </w:r>
          </w:p>
        </w:tc>
        <w:tc>
          <w:tcPr>
            <w:tcW w:w="2045" w:type="pct"/>
            <w:gridSpan w:val="3"/>
            <w:tcBorders>
              <w:top w:val="single" w:color="000000" w:themeColor="text1" w:sz="12"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劳动密集型行业企业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656"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766"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exportscale</w:t>
            </w:r>
          </w:p>
        </w:tc>
        <w:tc>
          <w:tcPr>
            <w:tcW w:w="840"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c>
          <w:tcPr>
            <w:tcW w:w="575"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766"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exportscale</w:t>
            </w:r>
          </w:p>
        </w:tc>
        <w:tc>
          <w:tcPr>
            <w:tcW w:w="703" w:type="pct"/>
            <w:tcBorders>
              <w:top w:val="nil"/>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656"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0.213***</w:t>
            </w:r>
          </w:p>
        </w:tc>
        <w:tc>
          <w:tcPr>
            <w:tcW w:w="766"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2.158***</w:t>
            </w:r>
          </w:p>
        </w:tc>
        <w:tc>
          <w:tcPr>
            <w:tcW w:w="840"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-0.0029***</w:t>
            </w:r>
          </w:p>
        </w:tc>
        <w:tc>
          <w:tcPr>
            <w:tcW w:w="575"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0.123</w:t>
            </w:r>
          </w:p>
        </w:tc>
        <w:tc>
          <w:tcPr>
            <w:tcW w:w="766"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0.124</w:t>
            </w:r>
          </w:p>
        </w:tc>
        <w:tc>
          <w:tcPr>
            <w:tcW w:w="703" w:type="pct"/>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65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(3.04) </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(10.20)</w:t>
            </w:r>
          </w:p>
        </w:tc>
        <w:tc>
          <w:tcPr>
            <w:tcW w:w="84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(-5.60)</w:t>
            </w:r>
          </w:p>
        </w:tc>
        <w:tc>
          <w:tcPr>
            <w:tcW w:w="575"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(1.47)</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(0.54)</w:t>
            </w:r>
          </w:p>
        </w:tc>
        <w:tc>
          <w:tcPr>
            <w:tcW w:w="703"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控制变量</w:t>
            </w:r>
          </w:p>
        </w:tc>
        <w:tc>
          <w:tcPr>
            <w:tcW w:w="1230"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99"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0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107"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99"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19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时间效应</w:t>
            </w:r>
          </w:p>
        </w:tc>
        <w:tc>
          <w:tcPr>
            <w:tcW w:w="65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84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575"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703"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个体效应</w:t>
            </w:r>
          </w:p>
        </w:tc>
        <w:tc>
          <w:tcPr>
            <w:tcW w:w="65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840"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575"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766"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703" w:type="pct"/>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0"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N</w:t>
            </w:r>
          </w:p>
        </w:tc>
        <w:tc>
          <w:tcPr>
            <w:tcW w:w="656"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11064</w:t>
            </w:r>
          </w:p>
        </w:tc>
        <w:tc>
          <w:tcPr>
            <w:tcW w:w="766"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10815</w:t>
            </w:r>
          </w:p>
        </w:tc>
        <w:tc>
          <w:tcPr>
            <w:tcW w:w="840"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11059</w:t>
            </w:r>
          </w:p>
        </w:tc>
        <w:tc>
          <w:tcPr>
            <w:tcW w:w="575"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8340</w:t>
            </w:r>
          </w:p>
        </w:tc>
        <w:tc>
          <w:tcPr>
            <w:tcW w:w="766"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8045</w:t>
            </w:r>
          </w:p>
        </w:tc>
        <w:tc>
          <w:tcPr>
            <w:tcW w:w="703" w:type="pct"/>
            <w:tcBorders>
              <w:top w:val="nil"/>
              <w:left w:val="nil"/>
              <w:bottom w:val="single" w:color="000000" w:themeColor="text1" w:sz="12"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8186</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b/>
      </w:r>
    </w:p>
    <w:p>
      <w:pPr>
        <w:pStyle w:val="25"/>
        <w:bidi w:val="0"/>
        <w:rPr>
          <w:rFonts w:hint="default" w:ascii="Times New Roman" w:hAnsi="Times New Roman" w:eastAsia="宋体"/>
          <w:b/>
          <w:szCs w:val="24"/>
          <w:lang w:val="en-US" w:eastAsia="zh-CN"/>
        </w:rPr>
      </w:pPr>
      <w:bookmarkStart w:id="64" w:name="_Toc13136"/>
      <w:r>
        <w:rPr>
          <w:rFonts w:hint="eastAsia"/>
          <w:lang w:val="en-US" w:eastAsia="zh-CN"/>
        </w:rPr>
        <w:t>4.1.3 高集中度行业企业和低集中度行业企业</w:t>
      </w:r>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本文按照企业所在二位数代码行业的市场集中度是否高于每年全部二位数代码行业市场集中度均值将样本分为高集中度行业企业和低集中度行业企业，分组进行回归，结果如表</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3</w:t>
      </w:r>
      <w:r>
        <w:rPr>
          <w:rFonts w:hint="eastAsia" w:ascii="Times New Roman" w:hAnsi="Times New Roman" w:eastAsia="宋体" w:cs="Times New Roman"/>
          <w:sz w:val="24"/>
          <w:szCs w:val="24"/>
          <w:lang w:val="en-US" w:eastAsia="zh-CN"/>
        </w:rPr>
        <w:t>所示。改革显著提高了低集中度行业企业的出口倾向，但对高集中度行业企业的出口倾向影响较小；改革显著扩大了低集中度行业企业的出口规模，但对高集中度行业企业的出口规模影响不显著；改革显著降低了低集中度和高集中度行业企业的出口强度，且降低幅度相近。总体上低集中度行业企业受改革影响的程度更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行业集中度异质性在实质上是行业竞争程度异质性，行业集中度越高，则同业竞争越不激烈（肖文和殷宝庆，2011）。本文选取2006年的样本对两组企业的控制变量的均值进行t检验，发现低集中度行业企业受到的融资约束更严重，</w:t>
      </w:r>
      <w:r>
        <w:rPr>
          <w:rFonts w:hint="eastAsia" w:cs="Times New Roman"/>
          <w:sz w:val="24"/>
          <w:szCs w:val="24"/>
          <w:lang w:val="en-US" w:eastAsia="zh-CN"/>
        </w:rPr>
        <w:t>可能由于低集中度行业的企业在融资方面也面临更激烈的竞争，企业的平均融资压力更大，</w:t>
      </w:r>
      <w:r>
        <w:rPr>
          <w:rFonts w:hint="eastAsia" w:ascii="Times New Roman" w:hAnsi="Times New Roman" w:eastAsia="宋体" w:cs="Times New Roman"/>
          <w:sz w:val="24"/>
          <w:szCs w:val="24"/>
          <w:lang w:val="en-US" w:eastAsia="zh-CN"/>
        </w:rPr>
        <w:t>因此对改革释放出的现金流更为敏感。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Style w:val="26"/>
        <w:bidi w:val="0"/>
        <w:rPr>
          <w:rFonts w:hint="default" w:ascii="Times New Roman" w:hAnsi="Times New Roman" w:eastAsia="宋体" w:cs="Times New Roman"/>
          <w:szCs w:val="24"/>
          <w:lang w:val="en-US" w:eastAsia="zh-CN"/>
        </w:rPr>
      </w:pPr>
      <w:r>
        <w:rPr>
          <w:rFonts w:hint="eastAsia"/>
        </w:rPr>
        <w:t>表</w:t>
      </w:r>
      <w:r>
        <w:rPr>
          <w:rFonts w:hint="eastAsia"/>
          <w:lang w:val="en-US" w:eastAsia="zh-CN"/>
        </w:rPr>
        <w:t>4</w:t>
      </w:r>
      <w:r>
        <w:rPr>
          <w:rFonts w:hint="eastAsia"/>
        </w:rPr>
        <w:t>-</w:t>
      </w:r>
      <w:r>
        <w:rPr>
          <w:rFonts w:hint="eastAsia"/>
          <w:lang w:val="en-US" w:eastAsia="zh-CN"/>
        </w:rPr>
        <w:t>3 分组回归：低集中度行业企业和高集中度行业企业</w:t>
      </w:r>
    </w:p>
    <w:tbl>
      <w:tblPr>
        <w:tblStyle w:val="10"/>
        <w:tblW w:w="4999"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2"/>
        <w:gridCol w:w="1125"/>
        <w:gridCol w:w="1399"/>
        <w:gridCol w:w="1405"/>
        <w:gridCol w:w="1107"/>
        <w:gridCol w:w="1399"/>
        <w:gridCol w:w="130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cr/>
            </w:r>
            <w:r>
              <w:rPr>
                <w:rFonts w:hint="default" w:ascii="Times New Roman" w:hAnsi="Times New Roman" w:eastAsia="宋体" w:cs="Times New Roman"/>
                <w:b w:val="0"/>
                <w:bCs w:val="0"/>
                <w:sz w:val="21"/>
                <w:szCs w:val="21"/>
                <w:lang w:val="en-US" w:eastAsia="zh-CN"/>
              </w:rPr>
              <w:t>
</w:t>
            </w:r>
          </w:p>
        </w:tc>
        <w:tc>
          <w:tcPr>
            <w:tcW w:w="2085"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r>
              <w:rPr>
                <w:rFonts w:hint="eastAsia" w:ascii="Times New Roman" w:hAnsi="Times New Roman" w:eastAsia="宋体" w:cs="Times New Roman"/>
                <w:b w:val="0"/>
                <w:bCs w:val="0"/>
                <w:sz w:val="21"/>
                <w:szCs w:val="21"/>
                <w:lang w:val="en-US" w:eastAsia="zh-CN"/>
              </w:rPr>
              <w:t>低集中度行业企业</w:t>
            </w:r>
          </w:p>
        </w:tc>
        <w:tc>
          <w:tcPr>
            <w:tcW w:w="2021" w:type="pct"/>
            <w:gridSpan w:val="3"/>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高集中度行业企业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9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53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709"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exportscale</w:t>
            </w:r>
          </w:p>
        </w:tc>
        <w:tc>
          <w:tcPr>
            <w:tcW w:w="841"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c>
          <w:tcPr>
            <w:tcW w:w="533"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expnow</w:t>
            </w:r>
          </w:p>
        </w:tc>
        <w:tc>
          <w:tcPr>
            <w:tcW w:w="709"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exportscale</w:t>
            </w:r>
          </w:p>
        </w:tc>
        <w:tc>
          <w:tcPr>
            <w:tcW w:w="778"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density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93"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did</w:t>
            </w:r>
          </w:p>
        </w:tc>
        <w:tc>
          <w:tcPr>
            <w:tcW w:w="533"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0.175**</w:t>
            </w:r>
          </w:p>
        </w:tc>
        <w:tc>
          <w:tcPr>
            <w:tcW w:w="709"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2.427***</w:t>
            </w:r>
          </w:p>
        </w:tc>
        <w:tc>
          <w:tcPr>
            <w:tcW w:w="841"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-0.00138**</w:t>
            </w:r>
          </w:p>
        </w:tc>
        <w:tc>
          <w:tcPr>
            <w:tcW w:w="533"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0.0826</w:t>
            </w:r>
          </w:p>
        </w:tc>
        <w:tc>
          <w:tcPr>
            <w:tcW w:w="709"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0.237</w:t>
            </w:r>
          </w:p>
        </w:tc>
        <w:tc>
          <w:tcPr>
            <w:tcW w:w="778"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5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(2.27)</w:t>
            </w:r>
          </w:p>
        </w:tc>
        <w:tc>
          <w:tcPr>
            <w:tcW w:w="709"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(9.07)</w:t>
            </w:r>
          </w:p>
        </w:tc>
        <w:tc>
          <w:tcPr>
            <w:tcW w:w="841"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(-2.13)</w:t>
            </w:r>
          </w:p>
        </w:tc>
        <w:tc>
          <w:tcPr>
            <w:tcW w:w="5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(0.93)</w:t>
            </w:r>
          </w:p>
        </w:tc>
        <w:tc>
          <w:tcPr>
            <w:tcW w:w="709"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(1.23)</w:t>
            </w:r>
          </w:p>
        </w:tc>
        <w:tc>
          <w:tcPr>
            <w:tcW w:w="77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(-1.84)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控制变量</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7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时间效应</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47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3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个体效应</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147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93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c>
          <w:tcPr>
            <w:tcW w:w="12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YES</w:t>
            </w:r>
          </w:p>
        </w:tc>
        <w:tc>
          <w:tcPr>
            <w:tcW w:w="13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leftChars="0" w:right="113" w:rightChars="0"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9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5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9684</w:t>
            </w:r>
          </w:p>
        </w:tc>
        <w:tc>
          <w:tcPr>
            <w:tcW w:w="709"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11205</w:t>
            </w:r>
          </w:p>
        </w:tc>
        <w:tc>
          <w:tcPr>
            <w:tcW w:w="841"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11525</w:t>
            </w:r>
          </w:p>
        </w:tc>
        <w:tc>
          <w:tcPr>
            <w:tcW w:w="533"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9639</w:t>
            </w:r>
          </w:p>
        </w:tc>
        <w:tc>
          <w:tcPr>
            <w:tcW w:w="709"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11377</w:t>
            </w:r>
          </w:p>
        </w:tc>
        <w:tc>
          <w:tcPr>
            <w:tcW w:w="778"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11460</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p>
    <w:p>
      <w:pPr>
        <w:pStyle w:val="16"/>
        <w:bidi w:val="0"/>
        <w:rPr>
          <w:rFonts w:hint="default"/>
          <w:lang w:val="en-US" w:eastAsia="zh-CN"/>
        </w:rPr>
      </w:pPr>
      <w:bookmarkStart w:id="65" w:name="_Toc2192"/>
      <w:r>
        <w:rPr>
          <w:rFonts w:hint="eastAsia"/>
          <w:lang w:val="en-US" w:eastAsia="zh-CN"/>
        </w:rPr>
        <w:t>4</w:t>
      </w:r>
      <w:r>
        <w:rPr>
          <w:rFonts w:hint="eastAsia"/>
        </w:rPr>
        <w:t>.</w:t>
      </w:r>
      <w:r>
        <w:rPr>
          <w:rFonts w:hint="eastAsia"/>
          <w:lang w:val="en-US" w:eastAsia="zh-CN"/>
        </w:rPr>
        <w:t>2 机制检验</w:t>
      </w:r>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本文在</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.1小节的</w:t>
      </w:r>
      <w:r>
        <w:rPr>
          <w:rFonts w:hint="eastAsia" w:cs="Times New Roman"/>
          <w:sz w:val="24"/>
          <w:szCs w:val="24"/>
          <w:lang w:val="en-US" w:eastAsia="zh-CN"/>
        </w:rPr>
        <w:t>三</w:t>
      </w:r>
      <w:r>
        <w:rPr>
          <w:rFonts w:hint="eastAsia" w:ascii="Times New Roman" w:hAnsi="Times New Roman" w:eastAsia="宋体" w:cs="Times New Roman"/>
          <w:sz w:val="24"/>
          <w:szCs w:val="24"/>
          <w:lang w:val="en-US" w:eastAsia="zh-CN"/>
        </w:rPr>
        <w:t>个异质性维度的引致原因分析中都包含了融资约束这一要素，表明融资约束</w:t>
      </w:r>
      <w:r>
        <w:rPr>
          <w:rFonts w:hint="eastAsia" w:cs="Times New Roman"/>
          <w:sz w:val="24"/>
          <w:szCs w:val="24"/>
          <w:lang w:val="en-US" w:eastAsia="zh-CN"/>
        </w:rPr>
        <w:t>可能</w:t>
      </w:r>
      <w:r>
        <w:rPr>
          <w:rFonts w:hint="eastAsia" w:ascii="Times New Roman" w:hAnsi="Times New Roman" w:eastAsia="宋体" w:cs="Times New Roman"/>
          <w:sz w:val="24"/>
          <w:szCs w:val="24"/>
          <w:lang w:val="en-US" w:eastAsia="zh-CN"/>
        </w:rPr>
        <w:t>是改革作用机制的一个重要</w:t>
      </w:r>
      <w:r>
        <w:rPr>
          <w:rFonts w:hint="eastAsia" w:cs="Times New Roman"/>
          <w:sz w:val="24"/>
          <w:szCs w:val="24"/>
          <w:lang w:val="en-US" w:eastAsia="zh-CN"/>
        </w:rPr>
        <w:t>渠道。</w:t>
      </w:r>
      <w:r>
        <w:rPr>
          <w:rFonts w:hint="eastAsia" w:ascii="Times New Roman" w:hAnsi="Times New Roman" w:eastAsia="宋体" w:cs="Times New Roman"/>
          <w:sz w:val="24"/>
          <w:szCs w:val="24"/>
          <w:lang w:val="en-US" w:eastAsia="zh-CN"/>
        </w:rPr>
        <w:t>为进一步</w:t>
      </w:r>
      <w:r>
        <w:rPr>
          <w:rFonts w:hint="eastAsia" w:cs="Times New Roman"/>
          <w:sz w:val="24"/>
          <w:szCs w:val="24"/>
          <w:lang w:val="en-US" w:eastAsia="zh-CN"/>
        </w:rPr>
        <w:t>讨论</w:t>
      </w:r>
      <w:r>
        <w:rPr>
          <w:rFonts w:hint="eastAsia" w:ascii="Times New Roman" w:hAnsi="Times New Roman" w:eastAsia="宋体" w:cs="Times New Roman"/>
          <w:sz w:val="24"/>
          <w:szCs w:val="24"/>
          <w:lang w:val="en-US" w:eastAsia="zh-CN"/>
        </w:rPr>
        <w:t>改革对企业出口行为的作用链条，本文</w:t>
      </w:r>
      <w:r>
        <w:rPr>
          <w:rFonts w:hint="eastAsia" w:cs="Times New Roman"/>
          <w:sz w:val="24"/>
          <w:szCs w:val="24"/>
          <w:lang w:val="en-US" w:eastAsia="zh-CN"/>
        </w:rPr>
        <w:t>基于在2.1的研究假设中提到的渠道变量，按照通过理论推断出的各渠道因素及其相关因素的变化顺序，依次将渠道变量对解释变量</w:t>
      </w:r>
      <w:r>
        <w:rPr>
          <w:rFonts w:hint="eastAsia" w:ascii="Times New Roman" w:hAnsi="Times New Roman" w:eastAsia="宋体" w:cs="Times New Roman"/>
          <w:sz w:val="24"/>
          <w:szCs w:val="24"/>
          <w:lang w:val="en-US" w:eastAsia="zh-CN"/>
        </w:rPr>
        <w:t>进行回归</w:t>
      </w:r>
      <w:r>
        <w:rPr>
          <w:rFonts w:hint="eastAsia" w:cs="Times New Roman"/>
          <w:sz w:val="24"/>
          <w:szCs w:val="24"/>
          <w:lang w:val="en-US" w:eastAsia="zh-CN"/>
        </w:rPr>
        <w:t>，以验证改革是否会影响这些渠道变量、影响方向是否符合预期</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由于本文在2.1的理论分析中论证了渠道变量对企业出口行为的影响，如果本小节的回归结果表明改革确实对渠道变量产生预期影响，则意味着该渠道变量通过了机制检验。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此外，前文中的异质性分析也证明了改革对于不同性质企业具有不同的作用或作用程度不同，因此本文在递进回归中不仅使用全样本回归考察了改革的整体平均效果，还就企业产权性质和所在行业是否为资本密集型行业划分出子样本分别进行回归，以进一步探究作用链条上每一环节影响的分化情况。为避免可能存在的内生性问题，本文在回归时控制了包含行业集中度等其他影响因素的控制变量和个体、时间固定效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本小节的</w:t>
      </w:r>
      <w:r>
        <w:rPr>
          <w:rFonts w:hint="eastAsia" w:cs="Times New Roman"/>
          <w:sz w:val="24"/>
          <w:szCs w:val="24"/>
          <w:lang w:val="en-US" w:eastAsia="zh-CN"/>
        </w:rPr>
        <w:t>流程</w:t>
      </w:r>
      <w:r>
        <w:rPr>
          <w:rFonts w:hint="eastAsia" w:ascii="Times New Roman" w:hAnsi="Times New Roman" w:eastAsia="宋体" w:cs="Times New Roman"/>
          <w:sz w:val="24"/>
          <w:szCs w:val="24"/>
          <w:lang w:val="en-US" w:eastAsia="zh-CN"/>
        </w:rPr>
        <w:t>框架如图</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404745" cy="6346825"/>
            <wp:effectExtent l="0" t="0" r="0" b="0"/>
            <wp:docPr id="15" name="图片 15" descr="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29"/>
                    <pic:cNvPicPr>
                      <a:picLocks noChangeAspect="1"/>
                    </pic:cNvPicPr>
                  </pic:nvPicPr>
                  <pic:blipFill>
                    <a:blip r:embed="rId35"/>
                    <a:stretch>
                      <a:fillRect/>
                    </a:stretch>
                  </pic:blipFill>
                  <pic:spPr>
                    <a:xfrm>
                      <a:off x="0" y="0"/>
                      <a:ext cx="2404745" cy="6346825"/>
                    </a:xfrm>
                    <a:prstGeom prst="rect">
                      <a:avLst/>
                    </a:prstGeom>
                  </pic:spPr>
                </pic:pic>
              </a:graphicData>
            </a:graphic>
          </wp:inline>
        </w:drawing>
      </w:r>
    </w:p>
    <w:p>
      <w:pPr>
        <w:pStyle w:val="26"/>
        <w:bidi w:val="0"/>
        <w:rPr>
          <w:rFonts w:hint="default"/>
          <w:lang w:val="en-US" w:eastAsia="zh-CN"/>
        </w:rPr>
      </w:pPr>
      <w:r>
        <w:rPr>
          <w:rFonts w:hint="eastAsia"/>
          <w:lang w:val="en-US" w:eastAsia="zh-CN"/>
        </w:rPr>
        <w:t>图4-1 机制检验框架图</w:t>
      </w:r>
    </w:p>
    <w:p>
      <w:pPr>
        <w:pStyle w:val="25"/>
        <w:bidi w:val="0"/>
        <w:rPr>
          <w:rFonts w:hint="default"/>
          <w:lang w:val="en-US" w:eastAsia="zh-CN"/>
        </w:rPr>
      </w:pPr>
      <w:bookmarkStart w:id="66" w:name="_Toc882"/>
      <w:r>
        <w:rPr>
          <w:rFonts w:hint="eastAsia"/>
          <w:lang w:val="en-US" w:eastAsia="zh-CN"/>
        </w:rPr>
        <w:t>4.2.1 减轻融资负担</w:t>
      </w:r>
      <w:bookmarkEnd w:id="6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首先，考虑到增值税转型改革</w:t>
      </w:r>
      <w:r>
        <w:rPr>
          <w:rFonts w:hint="eastAsia" w:cs="Times New Roman"/>
          <w:sz w:val="24"/>
          <w:szCs w:val="24"/>
          <w:lang w:val="en-US" w:eastAsia="zh-CN"/>
        </w:rPr>
        <w:t>对企业</w:t>
      </w:r>
      <w:r>
        <w:rPr>
          <w:rFonts w:hint="eastAsia" w:ascii="Times New Roman" w:hAnsi="Times New Roman" w:eastAsia="宋体" w:cs="Times New Roman"/>
          <w:sz w:val="24"/>
          <w:szCs w:val="24"/>
          <w:lang w:val="en-US" w:eastAsia="zh-CN"/>
        </w:rPr>
        <w:t>的直接影响是释放现金流，</w:t>
      </w:r>
      <w:r>
        <w:rPr>
          <w:rFonts w:hint="eastAsia" w:cs="Times New Roman"/>
          <w:sz w:val="24"/>
          <w:szCs w:val="24"/>
          <w:lang w:val="en-US" w:eastAsia="zh-CN"/>
        </w:rPr>
        <w:t>而现金流变动会直接影响企业的融资约束（刘凯豪和王雪芳，2020），故</w:t>
      </w:r>
      <w:r>
        <w:rPr>
          <w:rFonts w:hint="eastAsia" w:ascii="Times New Roman" w:hAnsi="Times New Roman" w:eastAsia="宋体" w:cs="Times New Roman"/>
          <w:sz w:val="24"/>
          <w:szCs w:val="24"/>
          <w:lang w:val="en-US" w:eastAsia="zh-CN"/>
        </w:rPr>
        <w:t>本文认为融资约束的改善是作用机制链条上的</w:t>
      </w:r>
      <w:r>
        <w:rPr>
          <w:rFonts w:hint="eastAsia" w:cs="Times New Roman"/>
          <w:sz w:val="24"/>
          <w:szCs w:val="24"/>
          <w:lang w:val="en-US" w:eastAsia="zh-CN"/>
        </w:rPr>
        <w:t>首要渠道因素</w:t>
      </w:r>
      <w:r>
        <w:rPr>
          <w:rFonts w:hint="eastAsia" w:ascii="Times New Roman" w:hAnsi="Times New Roman" w:eastAsia="宋体" w:cs="Times New Roman"/>
          <w:sz w:val="24"/>
          <w:szCs w:val="24"/>
          <w:lang w:val="en-US" w:eastAsia="zh-CN"/>
        </w:rPr>
        <w:t>，以融资约束为被解释变量进行了全样本和子样本分组回归，回归结果如表</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所示，其中列（1）至列（7）分别代表全样本、国有企业、非国有企业、国有企业中的资本密集型行业企业、国有企业中的劳动密集型行业企业、非国有企业中的资本密集型行业企业、非国有企业中的劳动密集型行业企业，后文的结果展示方式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结果显示，改革</w:t>
      </w:r>
      <w:r>
        <w:rPr>
          <w:rFonts w:hint="eastAsia" w:cs="Times New Roman"/>
          <w:sz w:val="24"/>
          <w:szCs w:val="24"/>
          <w:lang w:val="en-US" w:eastAsia="zh-CN"/>
        </w:rPr>
        <w:t>确实削弱</w:t>
      </w:r>
      <w:r>
        <w:rPr>
          <w:rFonts w:hint="eastAsia" w:ascii="Times New Roman" w:hAnsi="Times New Roman" w:eastAsia="宋体" w:cs="Times New Roman"/>
          <w:sz w:val="24"/>
          <w:szCs w:val="24"/>
          <w:lang w:val="en-US" w:eastAsia="zh-CN"/>
        </w:rPr>
        <w:t>了企业整体的融资约束压力，具体地，非国有企业，尤其是非国有企业中的资本密集型行业企业对改革释放出的现金流较为敏感，融资压力得到显著缓解。</w:t>
      </w: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4 改革对融资约束的影响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5"/>
        <w:gridCol w:w="1230"/>
        <w:gridCol w:w="1055"/>
        <w:gridCol w:w="1230"/>
        <w:gridCol w:w="1055"/>
        <w:gridCol w:w="1055"/>
        <w:gridCol w:w="1125"/>
        <w:gridCol w:w="1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w:t>
            </w:r>
          </w:p>
        </w:tc>
        <w:tc>
          <w:tcPr>
            <w:tcW w:w="0" w:type="auto"/>
            <w:tcBorders>
              <w:top w:val="single" w:color="auto"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did</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0.027***</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cs="Times New Roman"/>
                <w:b w:val="0"/>
                <w:bCs w:val="0"/>
                <w:sz w:val="21"/>
                <w:szCs w:val="21"/>
                <w:lang w:val="en-US" w:eastAsia="zh-CN"/>
              </w:rPr>
              <w:t>5</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cs="Times New Roman"/>
                <w:b w:val="0"/>
                <w:bCs w:val="0"/>
                <w:sz w:val="21"/>
                <w:szCs w:val="21"/>
                <w:lang w:val="en-US" w:eastAsia="zh-CN"/>
              </w:rPr>
              <w:t>9</w:t>
            </w:r>
            <w:r>
              <w:rPr>
                <w:rFonts w:hint="default" w:ascii="Times New Roman" w:hAnsi="Times New Roman" w:eastAsia="宋体" w:cs="Times New Roman"/>
                <w:b w:val="0"/>
                <w:bCs w:val="0"/>
                <w:sz w:val="21"/>
                <w:szCs w:val="21"/>
                <w:lang w:val="en-US" w:eastAsia="zh-CN"/>
              </w:rPr>
              <w:t>***</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0.0001</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0.047**</w:t>
            </w:r>
          </w:p>
        </w:tc>
        <w:tc>
          <w:tcPr>
            <w:tcW w:w="0" w:type="auto"/>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w:t>
            </w:r>
            <w:r>
              <w:rPr>
                <w:rFonts w:hint="eastAsia" w:ascii="Times New Roman" w:hAnsi="Times New Roman" w:eastAsia="宋体" w:cs="Times New Roman"/>
                <w:b w:val="0"/>
                <w:bCs w:val="0"/>
                <w:sz w:val="21"/>
                <w:szCs w:val="21"/>
                <w:lang w:val="en-US" w:eastAsia="zh-CN"/>
              </w:rPr>
              <w:t>8</w:t>
            </w:r>
            <w:r>
              <w:rPr>
                <w:rFonts w:hint="default" w:ascii="Times New Roman" w:hAnsi="Times New Roman" w:eastAsia="宋体" w:cs="Times New Roman"/>
                <w:b w:val="0"/>
                <w:bCs w:val="0"/>
                <w:sz w:val="21"/>
                <w:szCs w:val="21"/>
                <w:lang w:val="en-US" w:eastAsia="zh-CN"/>
              </w:rPr>
              <w:t>)</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ascii="Times New Roman" w:hAnsi="Times New Roman" w:eastAsia="宋体" w:cs="Times New Roman"/>
                <w:b w:val="0"/>
                <w:bCs w:val="0"/>
                <w:sz w:val="21"/>
                <w:szCs w:val="21"/>
                <w:lang w:val="en-US" w:eastAsia="zh-CN"/>
              </w:rPr>
              <w:t>0</w:t>
            </w:r>
            <w:r>
              <w:rPr>
                <w:rFonts w:hint="default" w:ascii="Times New Roman" w:hAnsi="Times New Roman" w:eastAsia="宋体" w:cs="Times New Roman"/>
                <w:b w:val="0"/>
                <w:bCs w:val="0"/>
                <w:sz w:val="21"/>
                <w:szCs w:val="21"/>
                <w:lang w:val="en-US" w:eastAsia="zh-CN"/>
              </w:rPr>
              <w:t>)</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(0.010)</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(0.033)</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ascii="Times New Roman" w:hAnsi="Times New Roman" w:eastAsia="宋体" w:cs="Times New Roman"/>
                <w:b w:val="0"/>
                <w:bCs w:val="0"/>
                <w:sz w:val="21"/>
                <w:szCs w:val="21"/>
                <w:lang w:val="en-US" w:eastAsia="zh-CN"/>
              </w:rPr>
              <w:t>9</w:t>
            </w:r>
            <w:r>
              <w:rPr>
                <w:rFonts w:hint="default" w:ascii="Times New Roman" w:hAnsi="Times New Roman" w:eastAsia="宋体" w:cs="Times New Roman"/>
                <w:b w:val="0"/>
                <w:bCs w:val="0"/>
                <w:sz w:val="21"/>
                <w:szCs w:val="21"/>
                <w:lang w:val="en-US" w:eastAsia="zh-CN"/>
              </w:rPr>
              <w:t>)</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w:t>
            </w:r>
            <w:r>
              <w:rPr>
                <w:rFonts w:hint="eastAsia" w:ascii="Times New Roman" w:hAnsi="Times New Roman" w:eastAsia="宋体" w:cs="Times New Roman"/>
                <w:b w:val="0"/>
                <w:bCs w:val="0"/>
                <w:sz w:val="21"/>
                <w:szCs w:val="21"/>
                <w:lang w:val="en-US" w:eastAsia="zh-CN"/>
              </w:rPr>
              <w:t>9</w:t>
            </w:r>
            <w:r>
              <w:rPr>
                <w:rFonts w:hint="default" w:ascii="Times New Roman" w:hAnsi="Times New Roman" w:eastAsia="宋体" w:cs="Times New Roman"/>
                <w:b w:val="0"/>
                <w:bCs w:val="0"/>
                <w:sz w:val="21"/>
                <w:szCs w:val="21"/>
                <w:lang w:val="en-US" w:eastAsia="zh-CN"/>
              </w:rPr>
              <w:t>)</w:t>
            </w:r>
          </w:p>
        </w:tc>
        <w:tc>
          <w:tcPr>
            <w:tcW w:w="0" w:type="auto"/>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w:t>
            </w:r>
            <w:r>
              <w:rPr>
                <w:rFonts w:hint="eastAsia" w:ascii="Times New Roman" w:hAnsi="Times New Roman" w:eastAsia="宋体" w:cs="Times New Roman"/>
                <w:b w:val="0"/>
                <w:bCs w:val="0"/>
                <w:sz w:val="21"/>
                <w:szCs w:val="21"/>
                <w:lang w:val="en-US" w:eastAsia="zh-CN"/>
              </w:rPr>
              <w:t>4</w:t>
            </w:r>
            <w:r>
              <w:rPr>
                <w:rFonts w:hint="default" w:ascii="Times New Roman" w:hAnsi="Times New Roman" w:eastAsia="宋体" w:cs="Times New Roman"/>
                <w:b w:val="0"/>
                <w:bCs w:val="0"/>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0" w:type="auto"/>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0" w:type="auto"/>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0" w:type="auto"/>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23171</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2853</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17094</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768</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1962</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6933</w:t>
            </w:r>
          </w:p>
        </w:tc>
        <w:tc>
          <w:tcPr>
            <w:tcW w:w="0" w:type="auto"/>
            <w:tcBorders>
              <w:top w:val="nil"/>
              <w:left w:val="nil"/>
              <w:bottom w:val="single" w:color="auto"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9416</w:t>
            </w:r>
          </w:p>
        </w:tc>
      </w:tr>
    </w:tbl>
    <w:p>
      <w:pPr>
        <w:pStyle w:val="25"/>
        <w:bidi w:val="0"/>
        <w:rPr>
          <w:rFonts w:hint="default"/>
          <w:lang w:val="en-US" w:eastAsia="zh-CN"/>
        </w:rPr>
      </w:pPr>
      <w:bookmarkStart w:id="67" w:name="_Toc30362"/>
      <w:r>
        <w:rPr>
          <w:rFonts w:hint="eastAsia"/>
          <w:lang w:val="en-US" w:eastAsia="zh-CN"/>
        </w:rPr>
        <w:t>4.2.2 促进资本投资或规模扩大</w:t>
      </w:r>
      <w:bookmarkEnd w:id="67"/>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融资约束缓解后，企业可能会增加固定资产投资</w:t>
      </w:r>
      <w:r>
        <w:rPr>
          <w:rFonts w:hint="eastAsia"/>
          <w:b w:val="0"/>
          <w:bCs/>
          <w:sz w:val="24"/>
          <w:szCs w:val="24"/>
          <w:lang w:val="en-US" w:eastAsia="zh-CN"/>
        </w:rPr>
        <w:t>（</w:t>
      </w:r>
      <w:r>
        <w:rPr>
          <w:rFonts w:hint="eastAsia" w:ascii="Times New Roman" w:hAnsi="Times New Roman" w:eastAsia="宋体"/>
          <w:b w:val="0"/>
          <w:bCs/>
          <w:sz w:val="24"/>
          <w:szCs w:val="24"/>
          <w:lang w:val="en-US" w:eastAsia="zh-CN"/>
        </w:rPr>
        <w:t>赵灿和刘啟仁</w:t>
      </w:r>
      <w:r>
        <w:rPr>
          <w:rFonts w:hint="eastAsia"/>
          <w:b w:val="0"/>
          <w:bCs/>
          <w:sz w:val="24"/>
          <w:szCs w:val="24"/>
          <w:lang w:val="en-US" w:eastAsia="zh-CN"/>
        </w:rPr>
        <w:t>，2021）</w:t>
      </w:r>
      <w:r>
        <w:rPr>
          <w:rFonts w:hint="eastAsia" w:ascii="Times New Roman" w:hAnsi="Times New Roman" w:eastAsia="宋体"/>
          <w:b w:val="0"/>
          <w:bCs/>
          <w:sz w:val="24"/>
          <w:szCs w:val="24"/>
          <w:lang w:val="en-US" w:eastAsia="zh-CN"/>
        </w:rPr>
        <w:t>、增加雇佣人数（即扩大企业规模）</w:t>
      </w:r>
      <w:r>
        <w:rPr>
          <w:rFonts w:hint="eastAsia"/>
          <w:b w:val="0"/>
          <w:bCs/>
          <w:sz w:val="24"/>
          <w:szCs w:val="24"/>
          <w:lang w:val="en-US" w:eastAsia="zh-CN"/>
        </w:rPr>
        <w:t>（廖涵等，2021）</w:t>
      </w:r>
      <w:r>
        <w:rPr>
          <w:rFonts w:hint="eastAsia" w:ascii="Times New Roman" w:hAnsi="Times New Roman" w:eastAsia="宋体"/>
          <w:b w:val="0"/>
          <w:bCs/>
          <w:sz w:val="24"/>
          <w:szCs w:val="24"/>
          <w:lang w:val="en-US" w:eastAsia="zh-CN"/>
        </w:rPr>
        <w:t>，因此本文进一步分别以</w:t>
      </w:r>
      <w:r>
        <w:rPr>
          <w:rFonts w:hint="eastAsia"/>
          <w:b w:val="0"/>
          <w:bCs/>
          <w:sz w:val="24"/>
          <w:szCs w:val="24"/>
          <w:lang w:val="en-US" w:eastAsia="zh-CN"/>
        </w:rPr>
        <w:t>对数化的</w:t>
      </w:r>
      <w:r>
        <w:rPr>
          <w:rFonts w:hint="eastAsia" w:ascii="Times New Roman" w:hAnsi="Times New Roman" w:eastAsia="宋体"/>
          <w:b w:val="0"/>
          <w:bCs/>
          <w:sz w:val="24"/>
          <w:szCs w:val="24"/>
          <w:lang w:val="en-US" w:eastAsia="zh-CN"/>
        </w:rPr>
        <w:t>固定资产投资、企业规模作为因变量进行回归，回归结果分别如表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5</w:t>
      </w:r>
      <w:r>
        <w:rPr>
          <w:rFonts w:hint="eastAsia" w:ascii="Times New Roman" w:hAnsi="Times New Roman" w:eastAsia="宋体"/>
          <w:b w:val="0"/>
          <w:bCs/>
          <w:sz w:val="24"/>
          <w:szCs w:val="24"/>
          <w:lang w:val="en-US" w:eastAsia="zh-CN"/>
        </w:rPr>
        <w:t>、表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6</w:t>
      </w:r>
      <w:r>
        <w:rPr>
          <w:rFonts w:hint="eastAsia" w:ascii="Times New Roman" w:hAnsi="Times New Roman" w:eastAsia="宋体"/>
          <w:b w:val="0"/>
          <w:bCs/>
          <w:sz w:val="24"/>
          <w:szCs w:val="24"/>
          <w:lang w:val="en-US" w:eastAsia="zh-CN"/>
        </w:rPr>
        <w:t>所示。</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5</w:t>
      </w:r>
      <w:r>
        <w:rPr>
          <w:rFonts w:hint="eastAsia" w:ascii="Times New Roman" w:hAnsi="Times New Roman" w:eastAsia="宋体"/>
          <w:b w:val="0"/>
          <w:bCs/>
          <w:sz w:val="24"/>
          <w:szCs w:val="24"/>
          <w:lang w:val="en-US" w:eastAsia="zh-CN"/>
        </w:rPr>
        <w:t>的结果显示，改革</w:t>
      </w:r>
      <w:r>
        <w:rPr>
          <w:rFonts w:hint="eastAsia"/>
          <w:b w:val="0"/>
          <w:bCs/>
          <w:sz w:val="24"/>
          <w:szCs w:val="24"/>
          <w:lang w:val="en-US" w:eastAsia="zh-CN"/>
        </w:rPr>
        <w:t>确实</w:t>
      </w:r>
      <w:r>
        <w:rPr>
          <w:rFonts w:hint="eastAsia" w:ascii="Times New Roman" w:hAnsi="Times New Roman" w:eastAsia="宋体"/>
          <w:b w:val="0"/>
          <w:bCs/>
          <w:sz w:val="24"/>
          <w:szCs w:val="24"/>
          <w:lang w:val="en-US" w:eastAsia="zh-CN"/>
        </w:rPr>
        <w:t>显著增加了企业整体的固定资产投资，其中非国有企业的固定资产增加较为显著，国有企业固定资产投资虽有增加但并不显著；在国有企业组内，资本密集型行业企业的固定资产投资增加较劳动密集型行业企业较为显著；而非国有企业的组内差别不大，无论是资本密集型行业企业还是劳动密集型行业企业的固定资产投资都显著增加，且资本密集型行业企业的增加幅度略大于劳动密集型行业企业。</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6</w:t>
      </w:r>
      <w:r>
        <w:rPr>
          <w:rFonts w:hint="eastAsia" w:ascii="Times New Roman" w:hAnsi="Times New Roman" w:eastAsia="宋体"/>
          <w:b w:val="0"/>
          <w:bCs/>
          <w:sz w:val="24"/>
          <w:szCs w:val="24"/>
          <w:lang w:val="en-US" w:eastAsia="zh-CN"/>
        </w:rPr>
        <w:t>的结果显示，改革</w:t>
      </w:r>
      <w:r>
        <w:rPr>
          <w:rFonts w:hint="eastAsia"/>
          <w:b w:val="0"/>
          <w:bCs/>
          <w:sz w:val="24"/>
          <w:szCs w:val="24"/>
          <w:lang w:val="en-US" w:eastAsia="zh-CN"/>
        </w:rPr>
        <w:t>确实</w:t>
      </w:r>
      <w:r>
        <w:rPr>
          <w:rFonts w:hint="eastAsia" w:ascii="Times New Roman" w:hAnsi="Times New Roman" w:eastAsia="宋体"/>
          <w:b w:val="0"/>
          <w:bCs/>
          <w:sz w:val="24"/>
          <w:szCs w:val="24"/>
          <w:lang w:val="en-US" w:eastAsia="zh-CN"/>
        </w:rPr>
        <w:t>显著增大了企业的整体雇佣规模，其中国有企业的雇佣规模较非国有企业的雇佣规模增加更为显著、幅度更大；在国有企业的组内，劳动密集型行业企业的雇佣规模增加较资本密集型行业企业更为显著、幅度更大；而在非国有企业的组内，无论行业性质如何雇佣规模都不受到改革的显著影响。</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综合观察表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5</w:t>
      </w:r>
      <w:r>
        <w:rPr>
          <w:rFonts w:hint="eastAsia" w:ascii="Times New Roman" w:hAnsi="Times New Roman" w:eastAsia="宋体"/>
          <w:b w:val="0"/>
          <w:bCs/>
          <w:sz w:val="24"/>
          <w:szCs w:val="24"/>
          <w:lang w:val="en-US" w:eastAsia="zh-CN"/>
        </w:rPr>
        <w:t>和表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6</w:t>
      </w:r>
      <w:r>
        <w:rPr>
          <w:rFonts w:hint="eastAsia" w:ascii="Times New Roman" w:hAnsi="Times New Roman" w:eastAsia="宋体"/>
          <w:b w:val="0"/>
          <w:bCs/>
          <w:sz w:val="24"/>
          <w:szCs w:val="24"/>
          <w:lang w:val="en-US" w:eastAsia="zh-CN"/>
        </w:rPr>
        <w:t>的回归结果可知，改革使企业增加了固定资产投资、扩张了企业雇佣规模，其中国有企业更倾向于投资劳动力、扩大企业规模，这可能是由于国有企业承担促进就业的社会责任导致的；非国有企业更倾向于投资固定资产，这可能是由于其在改革前受到更严重的融资约束导致的，在资本相对于劳动的成本下降时，非国有企业会优先考虑进行资本投资。</w:t>
      </w: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5 改革对固定资产投资的影响</w:t>
      </w:r>
    </w:p>
    <w:tbl>
      <w:tblPr>
        <w:tblStyle w:val="11"/>
        <w:tblW w:w="5000"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8"/>
        <w:gridCol w:w="1193"/>
        <w:gridCol w:w="1055"/>
        <w:gridCol w:w="1125"/>
        <w:gridCol w:w="1055"/>
        <w:gridCol w:w="1055"/>
        <w:gridCol w:w="1055"/>
        <w:gridCol w:w="1134"/>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685"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p>
        </w:tc>
        <w:tc>
          <w:tcPr>
            <w:tcW w:w="604"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p>
        </w:tc>
        <w:tc>
          <w:tcPr>
            <w:tcW w:w="645"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p>
        </w:tc>
        <w:tc>
          <w:tcPr>
            <w:tcW w:w="604"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w:t>
            </w:r>
          </w:p>
        </w:tc>
        <w:tc>
          <w:tcPr>
            <w:tcW w:w="604"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w:t>
            </w:r>
          </w:p>
        </w:tc>
        <w:tc>
          <w:tcPr>
            <w:tcW w:w="604"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w:t>
            </w:r>
          </w:p>
        </w:tc>
        <w:tc>
          <w:tcPr>
            <w:tcW w:w="646" w:type="pct"/>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did</w:t>
            </w:r>
          </w:p>
        </w:tc>
        <w:tc>
          <w:tcPr>
            <w:tcW w:w="685"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0.17***</w:t>
            </w:r>
          </w:p>
        </w:tc>
        <w:tc>
          <w:tcPr>
            <w:tcW w:w="604"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w:t>
            </w:r>
          </w:p>
        </w:tc>
        <w:tc>
          <w:tcPr>
            <w:tcW w:w="645"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0.16***</w:t>
            </w:r>
          </w:p>
        </w:tc>
        <w:tc>
          <w:tcPr>
            <w:tcW w:w="604"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0.4</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604"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p>
        </w:tc>
        <w:tc>
          <w:tcPr>
            <w:tcW w:w="604"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0.18**</w:t>
            </w:r>
          </w:p>
        </w:tc>
        <w:tc>
          <w:tcPr>
            <w:tcW w:w="646"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w:t>
            </w:r>
            <w:r>
              <w:rPr>
                <w:rFonts w:hint="eastAsia" w:ascii="Times New Roman" w:hAnsi="Times New Roman" w:eastAsia="宋体" w:cs="Times New Roman"/>
                <w:b w:val="0"/>
                <w:bCs w:val="0"/>
                <w:sz w:val="21"/>
                <w:szCs w:val="21"/>
                <w:lang w:val="en-US" w:eastAsia="zh-CN"/>
              </w:rPr>
              <w:t>8</w:t>
            </w:r>
            <w:r>
              <w:rPr>
                <w:rFonts w:hint="default" w:ascii="Times New Roman" w:hAnsi="Times New Roman" w:eastAsia="宋体" w:cs="Times New Roman"/>
                <w:b w:val="0"/>
                <w:bCs w:val="0"/>
                <w:sz w:val="21"/>
                <w:szCs w:val="21"/>
                <w:lang w:val="en-US" w:eastAsia="zh-CN"/>
              </w:rPr>
              <w:t>***</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685"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(0.036)</w:t>
            </w:r>
          </w:p>
        </w:tc>
        <w:tc>
          <w:tcPr>
            <w:tcW w:w="60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(0.10</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645"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w:t>
            </w:r>
            <w:r>
              <w:rPr>
                <w:rFonts w:hint="eastAsia" w:ascii="Times New Roman" w:hAnsi="Times New Roman" w:eastAsia="宋体" w:cs="Times New Roman"/>
                <w:b w:val="0"/>
                <w:bCs w:val="0"/>
                <w:sz w:val="21"/>
                <w:szCs w:val="21"/>
                <w:lang w:val="en-US" w:eastAsia="zh-CN"/>
              </w:rPr>
              <w:t>6</w:t>
            </w:r>
            <w:r>
              <w:rPr>
                <w:rFonts w:hint="default" w:ascii="Times New Roman" w:hAnsi="Times New Roman" w:eastAsia="宋体" w:cs="Times New Roman"/>
                <w:b w:val="0"/>
                <w:bCs w:val="0"/>
                <w:sz w:val="21"/>
                <w:szCs w:val="21"/>
                <w:lang w:val="en-US" w:eastAsia="zh-CN"/>
              </w:rPr>
              <w:t>)</w:t>
            </w:r>
          </w:p>
        </w:tc>
        <w:tc>
          <w:tcPr>
            <w:tcW w:w="60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(0.18</w:t>
            </w:r>
            <w:r>
              <w:rPr>
                <w:rFonts w:hint="eastAsia" w:ascii="Times New Roman" w:hAnsi="Times New Roman" w:eastAsia="宋体" w:cs="Times New Roman"/>
                <w:b w:val="0"/>
                <w:bCs w:val="0"/>
                <w:sz w:val="21"/>
                <w:szCs w:val="21"/>
                <w:lang w:val="en-US" w:eastAsia="zh-CN"/>
              </w:rPr>
              <w:t>8</w:t>
            </w:r>
            <w:r>
              <w:rPr>
                <w:rFonts w:hint="default" w:ascii="Times New Roman" w:hAnsi="Times New Roman" w:eastAsia="宋体" w:cs="Times New Roman"/>
                <w:b w:val="0"/>
                <w:bCs w:val="0"/>
                <w:sz w:val="21"/>
                <w:szCs w:val="21"/>
                <w:lang w:val="en-US" w:eastAsia="zh-CN"/>
              </w:rPr>
              <w:t>)</w:t>
            </w:r>
          </w:p>
        </w:tc>
        <w:tc>
          <w:tcPr>
            <w:tcW w:w="60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(0.137)</w:t>
            </w:r>
          </w:p>
        </w:tc>
        <w:tc>
          <w:tcPr>
            <w:tcW w:w="60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w:t>
            </w:r>
            <w:r>
              <w:rPr>
                <w:rFonts w:hint="eastAsia" w:ascii="Times New Roman" w:hAnsi="Times New Roman" w:eastAsia="宋体" w:cs="Times New Roman"/>
                <w:b w:val="0"/>
                <w:bCs w:val="0"/>
                <w:sz w:val="21"/>
                <w:szCs w:val="21"/>
                <w:lang w:val="en-US" w:eastAsia="zh-CN"/>
              </w:rPr>
              <w:t>9</w:t>
            </w:r>
            <w:r>
              <w:rPr>
                <w:rFonts w:hint="default" w:ascii="Times New Roman" w:hAnsi="Times New Roman" w:eastAsia="宋体" w:cs="Times New Roman"/>
                <w:b w:val="0"/>
                <w:bCs w:val="0"/>
                <w:sz w:val="21"/>
                <w:szCs w:val="21"/>
                <w:lang w:val="en-US" w:eastAsia="zh-CN"/>
              </w:rPr>
              <w:t>)</w:t>
            </w:r>
          </w:p>
        </w:tc>
        <w:tc>
          <w:tcPr>
            <w:tcW w:w="646"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4397" w:type="pct"/>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4397" w:type="pct"/>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4397" w:type="pct"/>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02"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68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16244</w:t>
            </w:r>
          </w:p>
        </w:tc>
        <w:tc>
          <w:tcPr>
            <w:tcW w:w="6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1925</w:t>
            </w:r>
          </w:p>
        </w:tc>
        <w:tc>
          <w:tcPr>
            <w:tcW w:w="64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w:t>
            </w:r>
            <w:r>
              <w:rPr>
                <w:rFonts w:hint="eastAsia" w:ascii="Times New Roman" w:hAnsi="Times New Roman" w:eastAsia="宋体" w:cs="Times New Roman"/>
                <w:b w:val="0"/>
                <w:bCs w:val="0"/>
                <w:sz w:val="21"/>
                <w:szCs w:val="21"/>
                <w:lang w:val="en-US" w:eastAsia="zh-CN"/>
              </w:rPr>
              <w:t>1449</w:t>
            </w:r>
          </w:p>
        </w:tc>
        <w:tc>
          <w:tcPr>
            <w:tcW w:w="6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485</w:t>
            </w:r>
          </w:p>
        </w:tc>
        <w:tc>
          <w:tcPr>
            <w:tcW w:w="6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1338</w:t>
            </w:r>
          </w:p>
        </w:tc>
        <w:tc>
          <w:tcPr>
            <w:tcW w:w="60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4397</w:t>
            </w:r>
          </w:p>
        </w:tc>
        <w:tc>
          <w:tcPr>
            <w:tcW w:w="646"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5982</w:t>
            </w:r>
          </w:p>
        </w:tc>
      </w:tr>
    </w:tbl>
    <w:p>
      <w:pPr>
        <w:pStyle w:val="26"/>
        <w:bidi w:val="0"/>
        <w:rPr>
          <w:rFonts w:hint="default" w:ascii="Times New Roman" w:hAnsi="Times New Roman" w:eastAsia="宋体" w:cs="Times New Roman"/>
          <w:szCs w:val="24"/>
          <w:lang w:val="en-US" w:eastAsia="zh-CN"/>
        </w:rPr>
      </w:pPr>
      <w:r>
        <w:rPr>
          <w:rFonts w:hint="eastAsia"/>
        </w:rPr>
        <w:t>表</w:t>
      </w:r>
      <w:r>
        <w:rPr>
          <w:rFonts w:hint="eastAsia"/>
          <w:lang w:val="en-US" w:eastAsia="zh-CN"/>
        </w:rPr>
        <w:t>4</w:t>
      </w:r>
      <w:r>
        <w:rPr>
          <w:rFonts w:hint="eastAsia"/>
        </w:rPr>
        <w:t>-</w:t>
      </w:r>
      <w:r>
        <w:rPr>
          <w:rFonts w:hint="eastAsia"/>
          <w:lang w:val="en-US" w:eastAsia="zh-CN"/>
        </w:rPr>
        <w:t>6 改革对企业规模的影响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
        <w:gridCol w:w="1157"/>
        <w:gridCol w:w="1222"/>
        <w:gridCol w:w="1055"/>
        <w:gridCol w:w="1055"/>
        <w:gridCol w:w="1230"/>
        <w:gridCol w:w="1055"/>
        <w:gridCol w:w="1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1157"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p>
        </w:tc>
        <w:tc>
          <w:tcPr>
            <w:tcW w:w="1222"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p>
        </w:tc>
        <w:tc>
          <w:tcPr>
            <w:tcW w:w="1055"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p>
        </w:tc>
        <w:tc>
          <w:tcPr>
            <w:tcW w:w="1055"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w:t>
            </w:r>
          </w:p>
        </w:tc>
        <w:tc>
          <w:tcPr>
            <w:tcW w:w="1230"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w:t>
            </w:r>
          </w:p>
        </w:tc>
        <w:tc>
          <w:tcPr>
            <w:tcW w:w="1055"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w:t>
            </w:r>
          </w:p>
        </w:tc>
        <w:tc>
          <w:tcPr>
            <w:tcW w:w="1055" w:type="dxa"/>
            <w:tcBorders>
              <w:top w:val="single" w:color="000000" w:themeColor="text1" w:sz="12" w:space="0"/>
              <w:left w:val="nil"/>
              <w:bottom w:val="single" w:color="auto" w:sz="4" w:space="0"/>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did</w:t>
            </w:r>
          </w:p>
        </w:tc>
        <w:tc>
          <w:tcPr>
            <w:tcW w:w="1157"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w:t>
            </w:r>
          </w:p>
        </w:tc>
        <w:tc>
          <w:tcPr>
            <w:tcW w:w="1222"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0.119***</w:t>
            </w:r>
          </w:p>
        </w:tc>
        <w:tc>
          <w:tcPr>
            <w:tcW w:w="1055"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0.009</w:t>
            </w:r>
          </w:p>
        </w:tc>
        <w:tc>
          <w:tcPr>
            <w:tcW w:w="1055"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0.019</w:t>
            </w:r>
          </w:p>
        </w:tc>
        <w:tc>
          <w:tcPr>
            <w:tcW w:w="1230"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0.15</w:t>
            </w:r>
            <w:r>
              <w:rPr>
                <w:rFonts w:hint="eastAsia" w:ascii="Times New Roman" w:hAnsi="Times New Roman" w:eastAsia="宋体" w:cs="Times New Roman"/>
                <w:b w:val="0"/>
                <w:bCs w:val="0"/>
                <w:sz w:val="21"/>
                <w:szCs w:val="21"/>
                <w:lang w:val="en-US" w:eastAsia="zh-CN"/>
              </w:rPr>
              <w:t>3</w:t>
            </w:r>
            <w:r>
              <w:rPr>
                <w:rFonts w:hint="default" w:ascii="Times New Roman" w:hAnsi="Times New Roman" w:eastAsia="宋体" w:cs="Times New Roman"/>
                <w:b w:val="0"/>
                <w:bCs w:val="0"/>
                <w:sz w:val="21"/>
                <w:szCs w:val="21"/>
                <w:lang w:val="en-US" w:eastAsia="zh-CN"/>
              </w:rPr>
              <w:t>***</w:t>
            </w:r>
          </w:p>
        </w:tc>
        <w:tc>
          <w:tcPr>
            <w:tcW w:w="1055"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0.0289</w:t>
            </w:r>
          </w:p>
        </w:tc>
        <w:tc>
          <w:tcPr>
            <w:tcW w:w="1055" w:type="dxa"/>
            <w:tcBorders>
              <w:top w:val="single" w:color="auto" w:sz="4" w:space="0"/>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1157"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1222"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w:t>
            </w:r>
            <w:r>
              <w:rPr>
                <w:rFonts w:hint="eastAsia" w:ascii="Times New Roman" w:hAnsi="Times New Roman" w:eastAsia="宋体" w:cs="Times New Roman"/>
                <w:b w:val="0"/>
                <w:bCs w:val="0"/>
                <w:sz w:val="21"/>
                <w:szCs w:val="21"/>
                <w:lang w:val="en-US" w:eastAsia="zh-CN"/>
              </w:rPr>
              <w:t>4</w:t>
            </w:r>
            <w:r>
              <w:rPr>
                <w:rFonts w:hint="default" w:ascii="Times New Roman" w:hAnsi="Times New Roman" w:eastAsia="宋体" w:cs="Times New Roman"/>
                <w:b w:val="0"/>
                <w:bCs w:val="0"/>
                <w:sz w:val="21"/>
                <w:szCs w:val="21"/>
                <w:lang w:val="en-US" w:eastAsia="zh-CN"/>
              </w:rPr>
              <w:t>)</w:t>
            </w:r>
          </w:p>
        </w:tc>
        <w:tc>
          <w:tcPr>
            <w:tcW w:w="105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105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(0.072)</w:t>
            </w:r>
          </w:p>
        </w:tc>
        <w:tc>
          <w:tcPr>
            <w:tcW w:w="1230"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w:t>
            </w:r>
            <w:r>
              <w:rPr>
                <w:rFonts w:hint="eastAsia" w:ascii="Times New Roman" w:hAnsi="Times New Roman" w:eastAsia="宋体" w:cs="Times New Roman"/>
                <w:b w:val="0"/>
                <w:bCs w:val="0"/>
                <w:sz w:val="21"/>
                <w:szCs w:val="21"/>
                <w:lang w:val="en-US" w:eastAsia="zh-CN"/>
              </w:rPr>
              <w:t>8</w:t>
            </w:r>
            <w:r>
              <w:rPr>
                <w:rFonts w:hint="default" w:ascii="Times New Roman" w:hAnsi="Times New Roman" w:eastAsia="宋体" w:cs="Times New Roman"/>
                <w:b w:val="0"/>
                <w:bCs w:val="0"/>
                <w:sz w:val="21"/>
                <w:szCs w:val="21"/>
                <w:lang w:val="en-US" w:eastAsia="zh-CN"/>
              </w:rPr>
              <w:t>)</w:t>
            </w:r>
          </w:p>
        </w:tc>
        <w:tc>
          <w:tcPr>
            <w:tcW w:w="105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1055" w:type="dxa"/>
            <w:tcBorders>
              <w:top w:val="nil"/>
              <w:left w:val="nil"/>
              <w:bottom w:val="nil"/>
              <w:right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7829" w:type="dxa"/>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7829" w:type="dxa"/>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7829" w:type="dxa"/>
            <w:gridSpan w:val="7"/>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1157"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23171</w:t>
            </w:r>
          </w:p>
        </w:tc>
        <w:tc>
          <w:tcPr>
            <w:tcW w:w="1222"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285</w:t>
            </w:r>
            <w:r>
              <w:rPr>
                <w:rFonts w:hint="eastAsia" w:ascii="Times New Roman" w:hAnsi="Times New Roman" w:eastAsia="宋体" w:cs="Times New Roman"/>
                <w:b w:val="0"/>
                <w:bCs w:val="0"/>
                <w:sz w:val="21"/>
                <w:szCs w:val="21"/>
                <w:lang w:val="en-US" w:eastAsia="zh-CN"/>
              </w:rPr>
              <w:t>1</w:t>
            </w:r>
          </w:p>
        </w:tc>
        <w:tc>
          <w:tcPr>
            <w:tcW w:w="1055"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17094</w:t>
            </w:r>
          </w:p>
        </w:tc>
        <w:tc>
          <w:tcPr>
            <w:tcW w:w="1055"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768</w:t>
            </w:r>
          </w:p>
        </w:tc>
        <w:tc>
          <w:tcPr>
            <w:tcW w:w="1230"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1962</w:t>
            </w:r>
          </w:p>
        </w:tc>
        <w:tc>
          <w:tcPr>
            <w:tcW w:w="1055"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6933</w:t>
            </w:r>
          </w:p>
        </w:tc>
        <w:tc>
          <w:tcPr>
            <w:tcW w:w="1055" w:type="dxa"/>
            <w:tcBorders>
              <w:top w:val="nil"/>
              <w:left w:val="nil"/>
              <w:bottom w:val="single" w:color="000000" w:themeColor="text1" w:sz="12" w:space="0"/>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9416</w:t>
            </w:r>
          </w:p>
        </w:tc>
      </w:tr>
    </w:tbl>
    <w:p>
      <w:pPr>
        <w:pStyle w:val="25"/>
        <w:bidi w:val="0"/>
        <w:rPr>
          <w:rFonts w:hint="default" w:ascii="Times New Roman" w:hAnsi="Times New Roman" w:eastAsia="宋体"/>
          <w:b w:val="0"/>
          <w:bCs/>
          <w:szCs w:val="24"/>
          <w:lang w:val="en-US" w:eastAsia="zh-CN"/>
        </w:rPr>
      </w:pPr>
      <w:bookmarkStart w:id="68" w:name="_Toc13994"/>
      <w:r>
        <w:rPr>
          <w:rFonts w:hint="eastAsia"/>
          <w:lang w:val="en-US" w:eastAsia="zh-CN"/>
        </w:rPr>
        <w:t>4.2.3 提高资本劳动比</w:t>
      </w:r>
      <w:bookmarkEnd w:id="68"/>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为衡量改革对资本投资和劳动力投资的总影响，本文进一步以资本密集度作为被解释变量进行回归，回归结果如表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7</w:t>
      </w:r>
      <w:r>
        <w:rPr>
          <w:rFonts w:hint="eastAsia" w:ascii="Times New Roman" w:hAnsi="Times New Roman" w:eastAsia="宋体"/>
          <w:b w:val="0"/>
          <w:bCs/>
          <w:sz w:val="24"/>
          <w:szCs w:val="24"/>
          <w:lang w:val="en-US" w:eastAsia="zh-CN"/>
        </w:rPr>
        <w:t>所示。结果显示，改革显著提高了企业整体的资本密集度，其中国有企业的资本密集度提升不显著，而非国有企业的资本密集度提升较为显著，且在国有企业和非国有企业的组内都不具有显著的行业异质性。</w:t>
      </w: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7 改革对资本密集度的影响</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1"/>
        <w:gridCol w:w="1220"/>
        <w:gridCol w:w="1122"/>
        <w:gridCol w:w="1125"/>
        <w:gridCol w:w="1047"/>
        <w:gridCol w:w="1055"/>
        <w:gridCol w:w="1055"/>
        <w:gridCol w:w="10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122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p>
        </w:tc>
        <w:tc>
          <w:tcPr>
            <w:tcW w:w="1122"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p>
        </w:tc>
        <w:tc>
          <w:tcPr>
            <w:tcW w:w="11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p>
        </w:tc>
        <w:tc>
          <w:tcPr>
            <w:tcW w:w="0" w:type="auto"/>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w:t>
            </w:r>
          </w:p>
        </w:tc>
        <w:tc>
          <w:tcPr>
            <w:tcW w:w="0" w:type="auto"/>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w:t>
            </w:r>
          </w:p>
        </w:tc>
        <w:tc>
          <w:tcPr>
            <w:tcW w:w="0" w:type="auto"/>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w:t>
            </w:r>
          </w:p>
        </w:tc>
        <w:tc>
          <w:tcPr>
            <w:tcW w:w="0" w:type="auto"/>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did</w:t>
            </w:r>
          </w:p>
        </w:tc>
        <w:tc>
          <w:tcPr>
            <w:tcW w:w="122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0.0476*</w:t>
            </w:r>
          </w:p>
        </w:tc>
        <w:tc>
          <w:tcPr>
            <w:tcW w:w="1122"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0.0660</w:t>
            </w:r>
          </w:p>
        </w:tc>
        <w:tc>
          <w:tcPr>
            <w:tcW w:w="11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0.0403*</w:t>
            </w:r>
          </w:p>
        </w:tc>
        <w:tc>
          <w:tcPr>
            <w:tcW w:w="0" w:type="auto"/>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0.0395</w:t>
            </w:r>
          </w:p>
        </w:tc>
        <w:tc>
          <w:tcPr>
            <w:tcW w:w="0" w:type="auto"/>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0.0532</w:t>
            </w:r>
          </w:p>
        </w:tc>
        <w:tc>
          <w:tcPr>
            <w:tcW w:w="0" w:type="auto"/>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0.0173</w:t>
            </w:r>
          </w:p>
        </w:tc>
        <w:tc>
          <w:tcPr>
            <w:tcW w:w="0" w:type="auto"/>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p>
        </w:tc>
        <w:tc>
          <w:tcPr>
            <w:tcW w:w="122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112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(0.070)</w:t>
            </w:r>
          </w:p>
        </w:tc>
        <w:tc>
          <w:tcPr>
            <w:tcW w:w="11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(0.023)</w:t>
            </w:r>
          </w:p>
        </w:tc>
        <w:tc>
          <w:tcPr>
            <w:tcW w:w="0" w:type="auto"/>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(0.119)</w:t>
            </w:r>
          </w:p>
        </w:tc>
        <w:tc>
          <w:tcPr>
            <w:tcW w:w="0" w:type="auto"/>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w:t>
            </w:r>
            <w:r>
              <w:rPr>
                <w:rFonts w:hint="eastAsia" w:ascii="Times New Roman" w:hAnsi="Times New Roman" w:eastAsia="宋体" w:cs="Times New Roman"/>
                <w:b w:val="0"/>
                <w:bCs w:val="0"/>
                <w:sz w:val="21"/>
                <w:szCs w:val="21"/>
                <w:lang w:val="en-US" w:eastAsia="zh-CN"/>
              </w:rPr>
              <w:t>8</w:t>
            </w:r>
            <w:r>
              <w:rPr>
                <w:rFonts w:hint="default" w:ascii="Times New Roman" w:hAnsi="Times New Roman" w:eastAsia="宋体" w:cs="Times New Roman"/>
                <w:b w:val="0"/>
                <w:bCs w:val="0"/>
                <w:sz w:val="21"/>
                <w:szCs w:val="21"/>
                <w:lang w:val="en-US" w:eastAsia="zh-CN"/>
              </w:rPr>
              <w:t>)</w:t>
            </w:r>
          </w:p>
        </w:tc>
        <w:tc>
          <w:tcPr>
            <w:tcW w:w="0" w:type="auto"/>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w:t>
            </w:r>
            <w:r>
              <w:rPr>
                <w:rFonts w:hint="eastAsia" w:ascii="Times New Roman" w:hAnsi="Times New Roman" w:eastAsia="宋体" w:cs="Times New Roman"/>
                <w:b w:val="0"/>
                <w:bCs w:val="0"/>
                <w:sz w:val="21"/>
                <w:szCs w:val="21"/>
                <w:lang w:val="en-US" w:eastAsia="zh-CN"/>
              </w:rPr>
              <w:t>40</w:t>
            </w:r>
            <w:r>
              <w:rPr>
                <w:rFonts w:hint="default" w:ascii="Times New Roman" w:hAnsi="Times New Roman" w:eastAsia="宋体" w:cs="Times New Roman"/>
                <w:b w:val="0"/>
                <w:bCs w:val="0"/>
                <w:sz w:val="21"/>
                <w:szCs w:val="21"/>
                <w:lang w:val="en-US" w:eastAsia="zh-CN"/>
              </w:rPr>
              <w:t>)</w:t>
            </w:r>
          </w:p>
        </w:tc>
        <w:tc>
          <w:tcPr>
            <w:tcW w:w="0" w:type="auto"/>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7679" w:type="dxa"/>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7679" w:type="dxa"/>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7679" w:type="dxa"/>
            <w:gridSpan w:val="7"/>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1220"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23171</w:t>
            </w:r>
          </w:p>
        </w:tc>
        <w:tc>
          <w:tcPr>
            <w:tcW w:w="1122"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285</w:t>
            </w:r>
            <w:r>
              <w:rPr>
                <w:rFonts w:hint="eastAsia" w:ascii="Times New Roman" w:hAnsi="Times New Roman" w:eastAsia="宋体" w:cs="Times New Roman"/>
                <w:b w:val="0"/>
                <w:bCs w:val="0"/>
                <w:sz w:val="21"/>
                <w:szCs w:val="21"/>
                <w:lang w:val="en-US" w:eastAsia="zh-CN"/>
              </w:rPr>
              <w:t>1</w:t>
            </w:r>
          </w:p>
        </w:tc>
        <w:tc>
          <w:tcPr>
            <w:tcW w:w="112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17094</w:t>
            </w:r>
          </w:p>
        </w:tc>
        <w:tc>
          <w:tcPr>
            <w:tcW w:w="0" w:type="auto"/>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768</w:t>
            </w:r>
          </w:p>
        </w:tc>
        <w:tc>
          <w:tcPr>
            <w:tcW w:w="0" w:type="auto"/>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1964</w:t>
            </w:r>
          </w:p>
        </w:tc>
        <w:tc>
          <w:tcPr>
            <w:tcW w:w="0" w:type="auto"/>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6934</w:t>
            </w:r>
          </w:p>
        </w:tc>
        <w:tc>
          <w:tcPr>
            <w:tcW w:w="0" w:type="auto"/>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9416</w:t>
            </w:r>
          </w:p>
        </w:tc>
      </w:tr>
    </w:tbl>
    <w:p>
      <w:pPr>
        <w:keepNext w:val="0"/>
        <w:keepLines w:val="0"/>
        <w:pageBreakBefore w:val="0"/>
        <w:widowControl w:val="0"/>
        <w:kinsoku/>
        <w:wordWrap/>
        <w:overflowPunct/>
        <w:topLinePunct w:val="0"/>
        <w:autoSpaceDE/>
        <w:autoSpaceDN/>
        <w:bidi w:val="0"/>
        <w:adjustRightInd/>
        <w:snapToGrid/>
        <w:spacing w:beforeLines="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p>
      <w:pPr>
        <w:pStyle w:val="25"/>
        <w:bidi w:val="0"/>
        <w:rPr>
          <w:rFonts w:hint="default" w:ascii="Times New Roman" w:hAnsi="Times New Roman" w:eastAsia="宋体"/>
          <w:b w:val="0"/>
          <w:bCs/>
          <w:szCs w:val="24"/>
          <w:lang w:val="en-US" w:eastAsia="zh-CN"/>
        </w:rPr>
      </w:pPr>
      <w:bookmarkStart w:id="69" w:name="_Toc6923"/>
      <w:r>
        <w:rPr>
          <w:rFonts w:hint="eastAsia"/>
          <w:lang w:val="en-US" w:eastAsia="zh-CN"/>
        </w:rPr>
        <w:t>4.2.4 提高劳动生产率</w:t>
      </w:r>
      <w:bookmarkEnd w:id="69"/>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由于资本密集度提升有利于提高企业的劳动生产率（</w:t>
      </w:r>
      <w:r>
        <w:rPr>
          <w:rFonts w:hint="eastAsia" w:ascii="Times New Roman" w:hAnsi="Times New Roman" w:eastAsia="宋体" w:cs="宋体"/>
          <w:sz w:val="24"/>
          <w:szCs w:val="24"/>
        </w:rPr>
        <w:t>王万珺</w:t>
      </w:r>
      <w:r>
        <w:rPr>
          <w:rFonts w:hint="eastAsia" w:ascii="Times New Roman" w:hAnsi="Times New Roman" w:eastAsia="宋体"/>
          <w:b w:val="0"/>
          <w:bCs/>
          <w:sz w:val="24"/>
          <w:szCs w:val="24"/>
          <w:lang w:val="en-US" w:eastAsia="zh-CN"/>
        </w:rPr>
        <w:t>，2021），本文参考</w:t>
      </w:r>
      <w:r>
        <w:rPr>
          <w:rFonts w:hint="eastAsia" w:ascii="Times New Roman" w:hAnsi="Times New Roman" w:eastAsia="宋体" w:cs="宋体"/>
          <w:sz w:val="24"/>
          <w:szCs w:val="24"/>
        </w:rPr>
        <w:t>邹丰华</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吕康银</w:t>
      </w:r>
      <w:r>
        <w:rPr>
          <w:rFonts w:hint="eastAsia" w:ascii="Times New Roman" w:hAnsi="Times New Roman" w:eastAsia="宋体"/>
          <w:b w:val="0"/>
          <w:bCs/>
          <w:sz w:val="24"/>
          <w:szCs w:val="24"/>
          <w:lang w:val="en-US" w:eastAsia="zh-CN"/>
        </w:rPr>
        <w:t>（2019）的做法，用工业增加值和雇佣人数的比值衡量劳动生产率，并以劳动生产率为被解释变量进行回归，回归结果如表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8</w:t>
      </w:r>
      <w:r>
        <w:rPr>
          <w:rFonts w:hint="eastAsia" w:ascii="Times New Roman" w:hAnsi="Times New Roman" w:eastAsia="宋体"/>
          <w:b w:val="0"/>
          <w:bCs/>
          <w:sz w:val="24"/>
          <w:szCs w:val="24"/>
          <w:lang w:val="en-US" w:eastAsia="zh-CN"/>
        </w:rPr>
        <w:t>所示。</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结果显示，改革显著提高了企业整体的劳动生产率，且不因企业产权不同而存在显著的异质性。</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pStyle w:val="26"/>
        <w:bidi w:val="0"/>
        <w:rPr>
          <w:rFonts w:hint="default" w:ascii="Times New Roman" w:hAnsi="Times New Roman" w:eastAsia="宋体" w:cs="Times New Roman"/>
          <w:szCs w:val="24"/>
          <w:lang w:val="en-US" w:eastAsia="zh-CN"/>
        </w:rPr>
      </w:pPr>
      <w:r>
        <w:rPr>
          <w:rFonts w:hint="eastAsia"/>
        </w:rPr>
        <w:t>表</w:t>
      </w:r>
      <w:r>
        <w:rPr>
          <w:rFonts w:hint="eastAsia"/>
          <w:lang w:val="en-US" w:eastAsia="zh-CN"/>
        </w:rPr>
        <w:t>4</w:t>
      </w:r>
      <w:r>
        <w:rPr>
          <w:rFonts w:hint="eastAsia"/>
        </w:rPr>
        <w:t>-</w:t>
      </w:r>
      <w:r>
        <w:rPr>
          <w:rFonts w:hint="eastAsia"/>
          <w:lang w:val="en-US" w:eastAsia="zh-CN"/>
        </w:rPr>
        <w:t>8 改革对劳动生产率的影响</w:t>
      </w:r>
    </w:p>
    <w:tbl>
      <w:tblPr>
        <w:tblStyle w:val="11"/>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0"/>
        <w:gridCol w:w="1230"/>
        <w:gridCol w:w="1090"/>
        <w:gridCol w:w="1055"/>
        <w:gridCol w:w="1055"/>
        <w:gridCol w:w="1055"/>
        <w:gridCol w:w="1125"/>
        <w:gridCol w:w="10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（5）</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w:t>
            </w:r>
          </w:p>
        </w:tc>
        <w:tc>
          <w:tcPr>
            <w:tcW w:w="0" w:type="auto"/>
            <w:tcBorders>
              <w:top w:val="single" w:color="auto" w:sz="12"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4" w:hRule="atLeast"/>
        </w:trPr>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did</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12.7</w:t>
            </w:r>
            <w:r>
              <w:rPr>
                <w:rFonts w:hint="eastAsia" w:ascii="Times New Roman" w:hAnsi="Times New Roman" w:eastAsia="宋体" w:cs="Times New Roman"/>
                <w:b w:val="0"/>
                <w:bCs w:val="0"/>
                <w:sz w:val="21"/>
                <w:szCs w:val="21"/>
                <w:lang w:val="en-US" w:eastAsia="zh-CN"/>
              </w:rPr>
              <w:t>4</w:t>
            </w:r>
            <w:r>
              <w:rPr>
                <w:rFonts w:hint="default" w:ascii="Times New Roman" w:hAnsi="Times New Roman" w:eastAsia="宋体" w:cs="Times New Roman"/>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(4.400)</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-0.0016</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(0.02</w:t>
            </w:r>
            <w:r>
              <w:rPr>
                <w:rFonts w:hint="eastAsia" w:ascii="Times New Roman" w:hAnsi="Times New Roman" w:eastAsia="宋体" w:cs="Times New Roman"/>
                <w:b w:val="0"/>
                <w:bCs w:val="0"/>
                <w:sz w:val="21"/>
                <w:szCs w:val="21"/>
                <w:lang w:val="en-US" w:eastAsia="zh-CN"/>
              </w:rPr>
              <w:t>1</w:t>
            </w:r>
            <w:r>
              <w:rPr>
                <w:rFonts w:hint="default" w:ascii="Times New Roman" w:hAnsi="Times New Roman" w:eastAsia="宋体" w:cs="Times New Roman"/>
                <w:b w:val="0"/>
                <w:bCs w:val="0"/>
                <w:sz w:val="21"/>
                <w:szCs w:val="21"/>
                <w:lang w:val="en-US" w:eastAsia="zh-CN"/>
              </w:rPr>
              <w:t>)</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0.0041</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w:t>
            </w:r>
            <w:r>
              <w:rPr>
                <w:rFonts w:hint="eastAsia" w:ascii="Times New Roman" w:hAnsi="Times New Roman" w:eastAsia="宋体" w:cs="Times New Roman"/>
                <w:b w:val="0"/>
                <w:bCs w:val="0"/>
                <w:sz w:val="21"/>
                <w:szCs w:val="21"/>
                <w:lang w:val="en-US" w:eastAsia="zh-CN"/>
              </w:rPr>
              <w:t>5</w:t>
            </w:r>
            <w:r>
              <w:rPr>
                <w:rFonts w:hint="default" w:ascii="Times New Roman" w:hAnsi="Times New Roman" w:eastAsia="宋体" w:cs="Times New Roman"/>
                <w:b w:val="0"/>
                <w:bCs w:val="0"/>
                <w:sz w:val="21"/>
                <w:szCs w:val="21"/>
                <w:lang w:val="en-US" w:eastAsia="zh-CN"/>
              </w:rPr>
              <w:t>)</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0.0006</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(0.019)</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0.0048</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(0.012)</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0.0126*</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(0.007)</w:t>
            </w:r>
          </w:p>
        </w:tc>
        <w:tc>
          <w:tcPr>
            <w:tcW w:w="0" w:type="auto"/>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-0.0109</w:t>
            </w:r>
          </w:p>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0" w:type="auto"/>
            <w:gridSpan w:val="7"/>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0" w:type="auto"/>
            <w:gridSpan w:val="7"/>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0" w:type="auto"/>
            <w:gridSpan w:val="7"/>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2989</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736</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16619</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724</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1891</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6637</w:t>
            </w:r>
          </w:p>
        </w:tc>
        <w:tc>
          <w:tcPr>
            <w:tcW w:w="0" w:type="auto"/>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9156</w:t>
            </w:r>
          </w:p>
        </w:tc>
      </w:tr>
    </w:tbl>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p>
    <w:p>
      <w:pPr>
        <w:pStyle w:val="25"/>
        <w:bidi w:val="0"/>
        <w:rPr>
          <w:rFonts w:hint="default"/>
          <w:lang w:val="en-US" w:eastAsia="zh-CN"/>
        </w:rPr>
      </w:pPr>
      <w:bookmarkStart w:id="70" w:name="_Toc27815"/>
      <w:r>
        <w:rPr>
          <w:rFonts w:hint="eastAsia"/>
          <w:lang w:val="en-US" w:eastAsia="zh-CN"/>
        </w:rPr>
        <w:t>4.2.5 生产率和规模对出口的影响</w:t>
      </w:r>
      <w:bookmarkEnd w:id="70"/>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firstLine="0" w:firstLineChars="0"/>
        <w:textAlignment w:val="auto"/>
        <w:rPr>
          <w:rFonts w:hint="default" w:ascii="Times New Roman" w:hAnsi="Times New Roman" w:eastAsia="宋体"/>
          <w:b w:val="0"/>
          <w:bCs/>
          <w:sz w:val="24"/>
          <w:szCs w:val="24"/>
          <w:lang w:val="en-US" w:eastAsia="zh-CN"/>
        </w:rPr>
      </w:pPr>
      <w:r>
        <w:rPr>
          <w:rFonts w:hint="eastAsia"/>
          <w:b w:val="0"/>
          <w:bCs/>
          <w:sz w:val="24"/>
          <w:szCs w:val="24"/>
          <w:lang w:val="en-US" w:eastAsia="zh-CN"/>
        </w:rPr>
        <w:t>劳动生产率</w:t>
      </w:r>
      <w:r>
        <w:rPr>
          <w:rFonts w:hint="eastAsia" w:ascii="Times New Roman" w:hAnsi="Times New Roman" w:eastAsia="宋体"/>
          <w:b w:val="0"/>
          <w:bCs/>
          <w:sz w:val="24"/>
          <w:szCs w:val="24"/>
          <w:lang w:val="en-US" w:eastAsia="zh-CN"/>
        </w:rPr>
        <w:t>对出口行为的影响</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劳动生产率的提高有利于提高企业的出口倾向、扩大出口规模（宴涛，2013），因此本文分别在对出口倾向、出口规模的回归中以劳动生产率替换掉全要素生产率进行回归，回归结果如表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9</w:t>
      </w:r>
      <w:r>
        <w:rPr>
          <w:rFonts w:hint="eastAsia" w:ascii="Times New Roman" w:hAnsi="Times New Roman" w:eastAsia="宋体"/>
          <w:b w:val="0"/>
          <w:bCs/>
          <w:sz w:val="24"/>
          <w:szCs w:val="24"/>
          <w:lang w:val="en-US" w:eastAsia="zh-CN"/>
        </w:rPr>
        <w:t>所示。结果显示，劳动生产率</w:t>
      </w:r>
      <w:r>
        <w:rPr>
          <w:rFonts w:hint="eastAsia"/>
          <w:b w:val="0"/>
          <w:bCs/>
          <w:sz w:val="24"/>
          <w:szCs w:val="24"/>
          <w:lang w:val="en-US" w:eastAsia="zh-CN"/>
        </w:rPr>
        <w:t>提高</w:t>
      </w:r>
      <w:r>
        <w:rPr>
          <w:rFonts w:hint="eastAsia" w:ascii="Times New Roman" w:hAnsi="Times New Roman" w:eastAsia="宋体"/>
          <w:b w:val="0"/>
          <w:bCs/>
          <w:sz w:val="24"/>
          <w:szCs w:val="24"/>
          <w:lang w:val="en-US" w:eastAsia="zh-CN"/>
        </w:rPr>
        <w:t>有利于扩大企业出口规模，</w:t>
      </w:r>
      <w:r>
        <w:rPr>
          <w:rFonts w:hint="eastAsia"/>
          <w:b w:val="0"/>
          <w:bCs/>
          <w:sz w:val="24"/>
          <w:szCs w:val="24"/>
          <w:lang w:val="en-US" w:eastAsia="zh-CN"/>
        </w:rPr>
        <w:t>但</w:t>
      </w:r>
      <w:r>
        <w:rPr>
          <w:rFonts w:hint="eastAsia" w:ascii="Times New Roman" w:hAnsi="Times New Roman" w:eastAsia="宋体"/>
          <w:b w:val="0"/>
          <w:bCs/>
          <w:sz w:val="24"/>
          <w:szCs w:val="24"/>
          <w:lang w:val="en-US" w:eastAsia="zh-CN"/>
        </w:rPr>
        <w:t>对出口倾向</w:t>
      </w:r>
      <w:r>
        <w:rPr>
          <w:rFonts w:hint="eastAsia"/>
          <w:b w:val="0"/>
          <w:bCs/>
          <w:sz w:val="24"/>
          <w:szCs w:val="24"/>
          <w:lang w:val="en-US" w:eastAsia="zh-CN"/>
        </w:rPr>
        <w:t>的提高作用有限且不显著</w:t>
      </w:r>
      <w:r>
        <w:rPr>
          <w:rFonts w:hint="eastAsia" w:ascii="Times New Roman" w:hAnsi="Times New Roman" w:eastAsia="宋体"/>
          <w:b w:val="0"/>
          <w:bCs/>
          <w:sz w:val="24"/>
          <w:szCs w:val="24"/>
          <w:lang w:val="en-US" w:eastAsia="zh-CN"/>
        </w:rPr>
        <w:t>。</w:t>
      </w: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9 劳动生产率对企业出口行为的影响</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72"/>
        <w:gridCol w:w="3006"/>
        <w:gridCol w:w="313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724"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出口倾向</w:t>
            </w:r>
          </w:p>
        </w:tc>
        <w:tc>
          <w:tcPr>
            <w:tcW w:w="1800"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出口规模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企业规模</w:t>
            </w:r>
          </w:p>
        </w:tc>
        <w:tc>
          <w:tcPr>
            <w:tcW w:w="1724"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0.0881</w:t>
            </w:r>
          </w:p>
        </w:tc>
        <w:tc>
          <w:tcPr>
            <w:tcW w:w="1800"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25.4953***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72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(0.0730)</w:t>
            </w:r>
          </w:p>
        </w:tc>
        <w:tc>
          <w:tcPr>
            <w:tcW w:w="180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(6.4391)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控制变量</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172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18401</w:t>
            </w:r>
          </w:p>
        </w:tc>
        <w:tc>
          <w:tcPr>
            <w:tcW w:w="180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18401</w:t>
            </w:r>
          </w:p>
        </w:tc>
      </w:tr>
    </w:tbl>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firstLine="0" w:firstLineChars="0"/>
        <w:textAlignment w:val="auto"/>
        <w:rPr>
          <w:rFonts w:hint="default"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企业规模对出口行为的影响</w:t>
      </w:r>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首先讨论企业规模与出口倾向和出口规模的因果关联。表</w:t>
      </w:r>
      <w:r>
        <w:rPr>
          <w:rFonts w:hint="eastAsia"/>
          <w:b w:val="0"/>
          <w:bCs/>
          <w:sz w:val="24"/>
          <w:szCs w:val="24"/>
          <w:lang w:val="en-US" w:eastAsia="zh-CN"/>
        </w:rPr>
        <w:t>3</w:t>
      </w:r>
      <w:r>
        <w:rPr>
          <w:rFonts w:hint="eastAsia" w:ascii="Times New Roman" w:hAnsi="Times New Roman" w:eastAsia="宋体"/>
          <w:b w:val="0"/>
          <w:bCs/>
          <w:sz w:val="24"/>
          <w:szCs w:val="24"/>
          <w:lang w:val="en-US" w:eastAsia="zh-CN"/>
        </w:rPr>
        <w:t>-2中企业规模对企业出口倾向的回归系数显著为正，即企业规模越大，其出口倾向越高，这与新新贸易理论中企业规模越大，克服出口市场的门槛成本的能力就越强，从而更倾向于出口（</w:t>
      </w:r>
      <w:r>
        <w:rPr>
          <w:rFonts w:hint="eastAsia" w:ascii="Times New Roman" w:hAnsi="Times New Roman" w:eastAsia="宋体"/>
          <w:sz w:val="24"/>
          <w:lang w:val="en-US" w:eastAsia="zh-CN"/>
        </w:rPr>
        <w:t>Melitz，2003；易靖韬，2009；</w:t>
      </w:r>
      <w:r>
        <w:rPr>
          <w:rFonts w:hint="eastAsia" w:ascii="Times New Roman" w:hAnsi="Times New Roman" w:eastAsia="宋体" w:cs="宋体"/>
          <w:sz w:val="24"/>
          <w:szCs w:val="24"/>
        </w:rPr>
        <w:t>毛其淋</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赵柯雨</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2021</w:t>
      </w:r>
      <w:r>
        <w:rPr>
          <w:rFonts w:hint="eastAsia" w:ascii="Times New Roman" w:hAnsi="Times New Roman" w:eastAsia="宋体"/>
          <w:b w:val="0"/>
          <w:bCs/>
          <w:sz w:val="24"/>
          <w:szCs w:val="24"/>
          <w:lang w:val="en-US" w:eastAsia="zh-CN"/>
        </w:rPr>
        <w:t>）的理论相符；表</w:t>
      </w:r>
      <w:r>
        <w:rPr>
          <w:rFonts w:hint="eastAsia"/>
          <w:b w:val="0"/>
          <w:bCs/>
          <w:sz w:val="24"/>
          <w:szCs w:val="24"/>
          <w:lang w:val="en-US" w:eastAsia="zh-CN"/>
        </w:rPr>
        <w:t>3</w:t>
      </w:r>
      <w:r>
        <w:rPr>
          <w:rFonts w:hint="eastAsia" w:ascii="Times New Roman" w:hAnsi="Times New Roman" w:eastAsia="宋体"/>
          <w:b w:val="0"/>
          <w:bCs/>
          <w:sz w:val="24"/>
          <w:szCs w:val="24"/>
          <w:lang w:val="en-US" w:eastAsia="zh-CN"/>
        </w:rPr>
        <w:t>-3中企业规模对企业出口规模的回归系数显著为正，即企业规模越大，出口规模越大，这与现有研究结论中</w:t>
      </w:r>
      <w:r>
        <w:rPr>
          <w:rFonts w:hint="eastAsia" w:ascii="Times New Roman" w:hAnsi="Times New Roman" w:eastAsia="宋体" w:cs="宋体"/>
          <w:b w:val="0"/>
          <w:bCs/>
          <w:sz w:val="24"/>
          <w:szCs w:val="24"/>
          <w:lang w:val="en-US" w:eastAsia="zh-CN"/>
        </w:rPr>
        <w:t>企业规模越大，越容易在国际市场发挥规模效应，从而有利于扩大出口规模（</w:t>
      </w:r>
      <w:r>
        <w:rPr>
          <w:rFonts w:hint="eastAsia" w:ascii="Times New Roman" w:hAnsi="Times New Roman" w:eastAsia="宋体" w:cs="宋体"/>
          <w:sz w:val="24"/>
          <w:szCs w:val="24"/>
        </w:rPr>
        <w:t>蒋冠宏</w:t>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rPr>
        <w:t>蒋殿春</w:t>
      </w:r>
      <w:r>
        <w:rPr>
          <w:rFonts w:hint="eastAsia" w:ascii="Times New Roman" w:hAnsi="Times New Roman" w:eastAsia="宋体" w:cs="宋体"/>
          <w:b w:val="0"/>
          <w:bCs/>
          <w:sz w:val="24"/>
          <w:szCs w:val="24"/>
          <w:lang w:val="en-US" w:eastAsia="zh-CN"/>
        </w:rPr>
        <w:t>，2014；樊娜娜，2018；毛其淋和</w:t>
      </w:r>
      <w:r>
        <w:rPr>
          <w:rFonts w:hint="eastAsia" w:ascii="Times New Roman" w:hAnsi="Times New Roman" w:eastAsia="宋体" w:cs="宋体"/>
          <w:sz w:val="24"/>
          <w:szCs w:val="24"/>
        </w:rPr>
        <w:t>王澍</w:t>
      </w:r>
      <w:r>
        <w:rPr>
          <w:rFonts w:hint="eastAsia" w:ascii="Times New Roman" w:hAnsi="Times New Roman" w:eastAsia="宋体" w:cs="宋体"/>
          <w:b w:val="0"/>
          <w:bCs/>
          <w:sz w:val="24"/>
          <w:szCs w:val="24"/>
          <w:lang w:val="en-US" w:eastAsia="zh-CN"/>
        </w:rPr>
        <w:t>，2019）的理论相符。</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在确认企业规模与出口倾向和出口规模的因果关联后，结合表</w:t>
      </w:r>
      <w:r>
        <w:rPr>
          <w:rFonts w:hint="eastAsia"/>
          <w:b w:val="0"/>
          <w:bCs/>
          <w:sz w:val="24"/>
          <w:szCs w:val="24"/>
          <w:lang w:val="en-US" w:eastAsia="zh-CN"/>
        </w:rPr>
        <w:t>4</w:t>
      </w:r>
      <w:r>
        <w:rPr>
          <w:rFonts w:hint="eastAsia" w:ascii="Times New Roman" w:hAnsi="Times New Roman" w:eastAsia="宋体"/>
          <w:b w:val="0"/>
          <w:bCs/>
          <w:sz w:val="24"/>
          <w:szCs w:val="24"/>
          <w:lang w:val="en-US" w:eastAsia="zh-CN"/>
        </w:rPr>
        <w:t>-</w:t>
      </w:r>
      <w:r>
        <w:rPr>
          <w:rFonts w:hint="eastAsia"/>
          <w:b w:val="0"/>
          <w:bCs/>
          <w:sz w:val="24"/>
          <w:szCs w:val="24"/>
          <w:lang w:val="en-US" w:eastAsia="zh-CN"/>
        </w:rPr>
        <w:t>6中</w:t>
      </w:r>
      <w:r>
        <w:rPr>
          <w:rFonts w:hint="eastAsia" w:ascii="Times New Roman" w:hAnsi="Times New Roman" w:eastAsia="宋体"/>
          <w:b w:val="0"/>
          <w:bCs/>
          <w:sz w:val="24"/>
          <w:szCs w:val="24"/>
          <w:lang w:val="en-US" w:eastAsia="zh-CN"/>
        </w:rPr>
        <w:t>企业规模的回归系数可知，改革后企业规模得到扩大，从而显著提高了企业的出口倾向、显著扩大了企业的出口规模。</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关于企业规模对出口强度的影响，表</w:t>
      </w:r>
      <w:r>
        <w:rPr>
          <w:rFonts w:hint="eastAsia"/>
          <w:b w:val="0"/>
          <w:bCs/>
          <w:sz w:val="24"/>
          <w:szCs w:val="24"/>
          <w:lang w:val="en-US" w:eastAsia="zh-CN"/>
        </w:rPr>
        <w:t>3</w:t>
      </w:r>
      <w:r>
        <w:rPr>
          <w:rFonts w:hint="eastAsia" w:ascii="Times New Roman" w:hAnsi="Times New Roman" w:eastAsia="宋体"/>
          <w:b w:val="0"/>
          <w:bCs/>
          <w:sz w:val="24"/>
          <w:szCs w:val="24"/>
          <w:lang w:val="en-US" w:eastAsia="zh-CN"/>
        </w:rPr>
        <w:t>-3中出口强度方程的企业规模系数显著为负，这看似与企业规模扩大有利于提高企业出口强度的现有研究结论（</w:t>
      </w:r>
      <w:r>
        <w:rPr>
          <w:rFonts w:hint="eastAsia" w:ascii="Times New Roman" w:hAnsi="Times New Roman" w:eastAsia="宋体" w:cs="宋体"/>
          <w:b w:val="0"/>
          <w:bCs/>
          <w:sz w:val="24"/>
          <w:szCs w:val="24"/>
          <w:lang w:val="en-US" w:eastAsia="zh-CN"/>
        </w:rPr>
        <w:t>周茜，2018；</w:t>
      </w:r>
      <w:r>
        <w:rPr>
          <w:rFonts w:hint="eastAsia" w:ascii="Times New Roman" w:hAnsi="Times New Roman" w:eastAsia="宋体" w:cs="宋体"/>
          <w:sz w:val="24"/>
          <w:szCs w:val="24"/>
        </w:rPr>
        <w:t>高霞</w:t>
      </w:r>
      <w:r>
        <w:rPr>
          <w:rFonts w:hint="eastAsia" w:ascii="Times New Roman" w:hAnsi="Times New Roman" w:eastAsia="宋体" w:cs="宋体"/>
          <w:sz w:val="24"/>
          <w:szCs w:val="24"/>
          <w:lang w:val="en-US" w:eastAsia="zh-CN"/>
        </w:rPr>
        <w:t>等</w:t>
      </w:r>
      <w:r>
        <w:rPr>
          <w:rFonts w:hint="eastAsia" w:ascii="Times New Roman" w:hAnsi="Times New Roman" w:eastAsia="宋体" w:cs="宋体"/>
          <w:b w:val="0"/>
          <w:bCs/>
          <w:sz w:val="24"/>
          <w:szCs w:val="24"/>
          <w:lang w:val="en-US" w:eastAsia="zh-CN"/>
        </w:rPr>
        <w:t>，2022</w:t>
      </w:r>
      <w:r>
        <w:rPr>
          <w:rFonts w:hint="eastAsia" w:ascii="Times New Roman" w:hAnsi="Times New Roman" w:eastAsia="宋体"/>
          <w:b w:val="0"/>
          <w:bCs/>
          <w:sz w:val="24"/>
          <w:szCs w:val="24"/>
          <w:lang w:val="en-US" w:eastAsia="zh-CN"/>
        </w:rPr>
        <w:t>）不符，但考虑到企业出口强度会因其是否为出口市场的新进入者而产生异质性（Liu&amp;Lu,2015），故本文参考Liu&amp;Lu（2015）的做法，将样本划分为在改革后才开始出口的新进入者和改革前即有过出口的其他企业，分别对出口强度进行回归</w:t>
      </w:r>
      <w:r>
        <w:rPr>
          <w:rFonts w:hint="eastAsia"/>
          <w:b w:val="0"/>
          <w:bCs/>
          <w:sz w:val="24"/>
          <w:szCs w:val="24"/>
          <w:lang w:val="en-US" w:eastAsia="zh-CN"/>
        </w:rPr>
        <w:t>，回归结果如表4-10所示</w:t>
      </w:r>
      <w:r>
        <w:rPr>
          <w:rFonts w:hint="eastAsia" w:ascii="Times New Roman" w:hAnsi="Times New Roman" w:eastAsia="宋体"/>
          <w:b w:val="0"/>
          <w:bCs/>
          <w:sz w:val="24"/>
          <w:szCs w:val="24"/>
          <w:lang w:val="en-US" w:eastAsia="zh-CN"/>
        </w:rPr>
        <w:t>。</w:t>
      </w:r>
    </w:p>
    <w:p>
      <w:pPr>
        <w:pStyle w:val="26"/>
        <w:bidi w:val="0"/>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10 出口新进入企业和曾出口企业的出口密度回归</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72"/>
        <w:gridCol w:w="3006"/>
        <w:gridCol w:w="313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724"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出口新进入企业</w:t>
            </w:r>
          </w:p>
        </w:tc>
        <w:tc>
          <w:tcPr>
            <w:tcW w:w="1800" w:type="pct"/>
            <w:tcBorders>
              <w:bottom w:val="single" w:color="auto"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曾出口的企业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op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出口密度</w:t>
            </w:r>
          </w:p>
        </w:tc>
        <w:tc>
          <w:tcPr>
            <w:tcW w:w="1724"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0.0876***</w:t>
            </w:r>
          </w:p>
        </w:tc>
        <w:tc>
          <w:tcPr>
            <w:tcW w:w="1800" w:type="pct"/>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72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(0.0068)</w:t>
            </w:r>
          </w:p>
        </w:tc>
        <w:tc>
          <w:tcPr>
            <w:tcW w:w="1800"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企业规模</w:t>
            </w:r>
          </w:p>
        </w:tc>
        <w:tc>
          <w:tcPr>
            <w:tcW w:w="172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0.0062*</w:t>
            </w:r>
          </w:p>
        </w:tc>
        <w:tc>
          <w:tcPr>
            <w:tcW w:w="1800"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p>
        </w:tc>
        <w:tc>
          <w:tcPr>
            <w:tcW w:w="1724"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(0.0036)</w:t>
            </w:r>
          </w:p>
        </w:tc>
        <w:tc>
          <w:tcPr>
            <w:tcW w:w="1800" w:type="pct"/>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(0.0004)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其他</w:t>
            </w:r>
            <w:r>
              <w:rPr>
                <w:rFonts w:hint="eastAsia" w:ascii="Times New Roman" w:hAnsi="Times New Roman" w:eastAsia="宋体" w:cs="Times New Roman"/>
                <w:b w:val="0"/>
                <w:bCs w:val="0"/>
                <w:sz w:val="21"/>
                <w:szCs w:val="21"/>
                <w:lang w:val="en-US" w:eastAsia="zh-CN"/>
              </w:rPr>
              <w:t>控制变量</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个体效应</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年份效应</w:t>
            </w:r>
          </w:p>
        </w:tc>
        <w:tc>
          <w:tcPr>
            <w:tcW w:w="3524" w:type="pct"/>
            <w:gridSpan w:val="2"/>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YES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5"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N</w:t>
            </w:r>
          </w:p>
        </w:tc>
        <w:tc>
          <w:tcPr>
            <w:tcW w:w="1724"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r>
              <w:rPr>
                <w:rFonts w:hint="eastAsia" w:cs="Times New Roman"/>
                <w:b w:val="0"/>
                <w:bCs w:val="0"/>
                <w:sz w:val="21"/>
                <w:szCs w:val="21"/>
                <w:lang w:val="en-US" w:eastAsia="zh-CN"/>
              </w:rPr>
              <w:t>068</w:t>
            </w:r>
          </w:p>
        </w:tc>
        <w:tc>
          <w:tcPr>
            <w:tcW w:w="180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beforeLines="0" w:after="0" w:afterLines="0" w:line="360" w:lineRule="auto"/>
              <w:ind w:left="113" w:right="113" w:firstLine="0" w:firstLineChars="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r>
              <w:rPr>
                <w:rFonts w:hint="eastAsia" w:cs="Times New Roman"/>
                <w:b w:val="0"/>
                <w:bCs w:val="0"/>
                <w:sz w:val="21"/>
                <w:szCs w:val="21"/>
                <w:lang w:val="en-US" w:eastAsia="zh-CN"/>
              </w:rPr>
              <w:t>7942</w:t>
            </w:r>
          </w:p>
        </w:tc>
      </w:tr>
    </w:tbl>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回归结果显示，对于出口新进入者而言，其出口强度显著提高，且企业规模与</w:t>
      </w:r>
      <w:r>
        <w:rPr>
          <w:rFonts w:hint="eastAsia"/>
          <w:b w:val="0"/>
          <w:bCs/>
          <w:sz w:val="24"/>
          <w:szCs w:val="24"/>
          <w:lang w:val="en-US" w:eastAsia="zh-CN"/>
        </w:rPr>
        <w:t>出口强度</w:t>
      </w:r>
      <w:r>
        <w:rPr>
          <w:rFonts w:hint="eastAsia" w:ascii="Times New Roman" w:hAnsi="Times New Roman" w:eastAsia="宋体"/>
          <w:b w:val="0"/>
          <w:bCs/>
          <w:sz w:val="24"/>
          <w:szCs w:val="24"/>
          <w:lang w:val="en-US" w:eastAsia="zh-CN"/>
        </w:rPr>
        <w:t>显著正相关，表明企业规模扩大显著提高了出口新进入者的出口强度；而在改革前有过出口的企业的出口强度在受到企业规模扩大的显著正向影响下仍然显著下降，这可能是由于在不够健全的社会信用体系、知识产权保护制度下受到新进入者的挤出效应导致的（</w:t>
      </w:r>
      <w:r>
        <w:rPr>
          <w:rFonts w:hint="eastAsia" w:ascii="Times New Roman" w:hAnsi="Times New Roman" w:eastAsia="宋体" w:cs="宋体"/>
          <w:b w:val="0"/>
          <w:bCs/>
          <w:sz w:val="24"/>
          <w:szCs w:val="24"/>
          <w:lang w:val="en-US" w:eastAsia="zh-CN"/>
        </w:rPr>
        <w:t>张杰等，2008</w:t>
      </w:r>
      <w:r>
        <w:rPr>
          <w:rFonts w:hint="eastAsia" w:ascii="Times New Roman" w:hAnsi="Times New Roman" w:eastAsia="宋体"/>
          <w:b w:val="0"/>
          <w:bCs/>
          <w:sz w:val="24"/>
          <w:szCs w:val="24"/>
          <w:lang w:val="en-US" w:eastAsia="zh-CN"/>
        </w:rPr>
        <w:t>）。</w:t>
      </w:r>
    </w:p>
    <w:p>
      <w:pPr>
        <w:keepNext w:val="0"/>
        <w:keepLines w:val="0"/>
        <w:pageBreakBefore w:val="0"/>
        <w:kinsoku/>
        <w:overflowPunct/>
        <w:topLinePunct w:val="0"/>
        <w:bidi w:val="0"/>
        <w:spacing w:line="360" w:lineRule="auto"/>
        <w:ind w:firstLine="480" w:firstLineChars="200"/>
        <w:textAlignment w:val="auto"/>
        <w:rPr>
          <w:rFonts w:hint="eastAsia"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由于本文的样本中在改革前有过出口的企业数目约为出口新进入者数目的七倍，在整体回归结果中发挥主导作用，导致企业整体的出口强度呈现下降趋势，而实际上改革引起的企业规模的扩大显著提高了企业的出口强度，与现有研究结论相符。</w:t>
      </w:r>
    </w:p>
    <w:p>
      <w:pPr>
        <w:pStyle w:val="25"/>
        <w:bidi w:val="0"/>
        <w:rPr>
          <w:rFonts w:hint="default"/>
          <w:lang w:val="en-US" w:eastAsia="zh-CN"/>
        </w:rPr>
      </w:pPr>
      <w:bookmarkStart w:id="71" w:name="_Toc30278"/>
      <w:r>
        <w:rPr>
          <w:rFonts w:hint="eastAsia"/>
          <w:lang w:val="en-US" w:eastAsia="zh-CN"/>
        </w:rPr>
        <w:t>4.2.6 总结</w:t>
      </w:r>
      <w:bookmarkEnd w:id="71"/>
    </w:p>
    <w:p>
      <w:pPr>
        <w:keepNext w:val="0"/>
        <w:keepLines w:val="0"/>
        <w:pageBreakBefore w:val="0"/>
        <w:kinsoku/>
        <w:overflowPunct/>
        <w:topLinePunct w:val="0"/>
        <w:bidi w:val="0"/>
        <w:spacing w:line="360" w:lineRule="auto"/>
        <w:ind w:firstLine="480" w:firstLineChars="200"/>
        <w:textAlignment w:val="auto"/>
        <w:rPr>
          <w:rFonts w:hint="default" w:ascii="Times New Roman" w:hAnsi="Times New Roman" w:eastAsia="宋体"/>
          <w:b w:val="0"/>
          <w:bCs/>
          <w:sz w:val="24"/>
          <w:szCs w:val="24"/>
          <w:lang w:val="en-US" w:eastAsia="zh-CN"/>
        </w:rPr>
      </w:pPr>
      <w:r>
        <w:rPr>
          <w:rFonts w:hint="eastAsia" w:ascii="Times New Roman" w:hAnsi="Times New Roman" w:eastAsia="宋体"/>
          <w:b w:val="0"/>
          <w:bCs/>
          <w:sz w:val="24"/>
          <w:szCs w:val="24"/>
          <w:lang w:val="en-US" w:eastAsia="zh-CN"/>
        </w:rPr>
        <w:t>根据本小节的分析，本文认为假设二成立，即改革通过融资约束</w:t>
      </w:r>
      <w:r>
        <w:rPr>
          <w:rFonts w:hint="eastAsia"/>
          <w:b w:val="0"/>
          <w:bCs/>
          <w:sz w:val="24"/>
          <w:szCs w:val="24"/>
          <w:lang w:val="en-US" w:eastAsia="zh-CN"/>
        </w:rPr>
        <w:t>、生产率和企业规模渠道</w:t>
      </w:r>
      <w:r>
        <w:rPr>
          <w:rFonts w:hint="eastAsia" w:ascii="Times New Roman" w:hAnsi="Times New Roman" w:eastAsia="宋体"/>
          <w:b w:val="0"/>
          <w:bCs/>
          <w:sz w:val="24"/>
          <w:szCs w:val="24"/>
          <w:lang w:val="en-US" w:eastAsia="zh-CN"/>
        </w:rPr>
        <w:t>作用于企业的出口行为，具体地，改革释放了现金流，削弱了企业的融资约束，在融资负担减轻后，企业根据自身的特质对资本或劳动进行投资，在平均意义上提高了企业资本劳动比、扩大了企业规模，资本劳动比的提高进一步提高了企业整体的劳动生产率，使得企业在国际市场上竞争力增强、进而扩大了出口规模；企业规模的扩大提高了企业的出口</w:t>
      </w:r>
      <w:r>
        <w:rPr>
          <w:rFonts w:hint="eastAsia"/>
          <w:b w:val="0"/>
          <w:bCs/>
          <w:sz w:val="24"/>
          <w:szCs w:val="24"/>
          <w:lang w:val="en-US" w:eastAsia="zh-CN"/>
        </w:rPr>
        <w:t>倾向、出口</w:t>
      </w:r>
      <w:r>
        <w:rPr>
          <w:rFonts w:hint="eastAsia" w:ascii="Times New Roman" w:hAnsi="Times New Roman" w:eastAsia="宋体"/>
          <w:b w:val="0"/>
          <w:bCs/>
          <w:sz w:val="24"/>
          <w:szCs w:val="24"/>
          <w:lang w:val="en-US" w:eastAsia="zh-CN"/>
        </w:rPr>
        <w:t>强度</w:t>
      </w:r>
      <w:r>
        <w:rPr>
          <w:rFonts w:hint="eastAsia"/>
          <w:b w:val="0"/>
          <w:bCs/>
          <w:sz w:val="24"/>
          <w:szCs w:val="24"/>
          <w:lang w:val="en-US" w:eastAsia="zh-CN"/>
        </w:rPr>
        <w:t>、扩大了出口规模</w:t>
      </w:r>
      <w:r>
        <w:rPr>
          <w:rFonts w:hint="eastAsia" w:ascii="Times New Roman" w:hAnsi="Times New Roman" w:eastAsia="宋体"/>
          <w:b w:val="0"/>
          <w:bCs/>
          <w:sz w:val="24"/>
          <w:szCs w:val="24"/>
          <w:lang w:val="en-US" w:eastAsia="zh-CN"/>
        </w:rPr>
        <w:t>，但对非出口新进入者的出口强度的正向影响可能受到了制度因素的扭曲。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15"/>
        <w:bidi w:val="0"/>
        <w:rPr>
          <w:rFonts w:hint="default"/>
          <w:lang w:val="en-US" w:eastAsia="zh-CN"/>
        </w:rPr>
      </w:pPr>
      <w:bookmarkStart w:id="72" w:name="_Toc23588"/>
      <w:bookmarkStart w:id="73" w:name="_Toc11776"/>
      <w:r>
        <w:rPr>
          <w:rFonts w:hint="eastAsia"/>
          <w:lang w:val="en-US" w:eastAsia="zh-CN"/>
        </w:rPr>
        <w:t>5 结论</w:t>
      </w:r>
      <w:bookmarkEnd w:id="72"/>
      <w:bookmarkEnd w:id="73"/>
    </w:p>
    <w:p>
      <w:pPr>
        <w:pStyle w:val="16"/>
        <w:bidi w:val="0"/>
        <w:rPr>
          <w:rFonts w:hint="default"/>
          <w:lang w:val="en-US" w:eastAsia="zh-CN"/>
        </w:rPr>
      </w:pPr>
      <w:bookmarkStart w:id="74" w:name="_Toc22847"/>
      <w:r>
        <w:rPr>
          <w:rFonts w:hint="eastAsia"/>
          <w:lang w:val="en-US" w:eastAsia="zh-CN"/>
        </w:rPr>
        <w:t>5.1 实证结果总结</w:t>
      </w:r>
      <w:bookmarkEnd w:id="7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基于2007年中部六省的增值税转型试点改革这一准自然实验，综合使用工业企业数据库、专利数据库和区域经济数据，在非市辖区的试点企业和非试点企业间构造处理组和控制组，对比四种回归模型结果并进行较为严格的稳健性检验，从而得出增值税转型改革提高了企业的平均出口倾向</w:t>
      </w:r>
      <w:r>
        <w:rPr>
          <w:rFonts w:hint="eastAsia" w:cs="Times New Roman"/>
          <w:sz w:val="24"/>
          <w:szCs w:val="24"/>
          <w:lang w:val="en-US" w:eastAsia="zh-CN"/>
        </w:rPr>
        <w:t>，但提高程度有限</w:t>
      </w:r>
      <w:r>
        <w:rPr>
          <w:rFonts w:hint="eastAsia" w:ascii="Times New Roman" w:hAnsi="Times New Roman" w:eastAsia="宋体" w:cs="Times New Roman"/>
          <w:sz w:val="24"/>
          <w:szCs w:val="24"/>
          <w:lang w:val="en-US" w:eastAsia="zh-CN"/>
        </w:rPr>
        <w:t>、扩大</w:t>
      </w:r>
      <w:r>
        <w:rPr>
          <w:rFonts w:hint="eastAsia" w:cs="Times New Roman"/>
          <w:sz w:val="24"/>
          <w:szCs w:val="24"/>
          <w:lang w:val="en-US" w:eastAsia="zh-CN"/>
        </w:rPr>
        <w:t>了企业</w:t>
      </w:r>
      <w:r>
        <w:rPr>
          <w:rFonts w:hint="eastAsia" w:ascii="Times New Roman" w:hAnsi="Times New Roman" w:eastAsia="宋体" w:cs="Times New Roman"/>
          <w:sz w:val="24"/>
          <w:szCs w:val="24"/>
          <w:lang w:val="en-US" w:eastAsia="zh-CN"/>
        </w:rPr>
        <w:t>平均出口规模、降低了平均出口强度的基本结论，并通过异质性分析发现产权性质为非国有、处于资本密集型行业、处于低集中度行业的企业的出口行为对改革的反应更敏感。最后，本文通过样本整体和子样本的机制分析发现，改革通过减轻企业的融资约束</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提高劳动生产率扩大企业</w:t>
      </w:r>
      <w:r>
        <w:rPr>
          <w:rFonts w:hint="eastAsia" w:cs="Times New Roman"/>
          <w:sz w:val="24"/>
          <w:szCs w:val="24"/>
          <w:lang w:val="en-US" w:eastAsia="zh-CN"/>
        </w:rPr>
        <w:t>的</w:t>
      </w:r>
      <w:r>
        <w:rPr>
          <w:rFonts w:hint="eastAsia" w:ascii="Times New Roman" w:hAnsi="Times New Roman" w:eastAsia="宋体" w:cs="Times New Roman"/>
          <w:sz w:val="24"/>
          <w:szCs w:val="24"/>
          <w:lang w:val="en-US" w:eastAsia="zh-CN"/>
        </w:rPr>
        <w:t>出口规模</w:t>
      </w:r>
      <w:r>
        <w:rPr>
          <w:rFonts w:hint="eastAsia" w:cs="Times New Roman"/>
          <w:sz w:val="24"/>
          <w:szCs w:val="24"/>
          <w:lang w:val="en-US" w:eastAsia="zh-CN"/>
        </w:rPr>
        <w:t>，以及</w:t>
      </w:r>
      <w:r>
        <w:rPr>
          <w:rFonts w:hint="eastAsia" w:ascii="Times New Roman" w:hAnsi="Times New Roman" w:eastAsia="宋体" w:cs="Times New Roman"/>
          <w:sz w:val="24"/>
          <w:szCs w:val="24"/>
          <w:lang w:val="en-US" w:eastAsia="zh-CN"/>
        </w:rPr>
        <w:t>通过扩大企业规模，提高企业出口倾向、增加出口规模和出口强度，但非出口市场新进入者的出口强度的处理效应受到了扭曲。</w:t>
      </w:r>
    </w:p>
    <w:p>
      <w:pPr>
        <w:pStyle w:val="16"/>
        <w:bidi w:val="0"/>
        <w:rPr>
          <w:rFonts w:hint="eastAsia"/>
          <w:lang w:val="en-US" w:eastAsia="zh-CN"/>
        </w:rPr>
      </w:pPr>
      <w:bookmarkStart w:id="75" w:name="_Toc12203"/>
      <w:r>
        <w:rPr>
          <w:rFonts w:hint="eastAsia"/>
          <w:lang w:val="en-US" w:eastAsia="zh-CN"/>
        </w:rPr>
        <w:t>5.2 对现有研究的贡献</w:t>
      </w:r>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现存相关文献大多只采用面板固定效应模型或Heckman两阶段模型进行回归，而本文在基准回归部分全面对比了四种相关文献中出现过的回归模型的结果，并分析了为什么Heckman两阶段模型、面板固定效应模型和Tobit模型在</w:t>
      </w:r>
      <w:r>
        <w:rPr>
          <w:rFonts w:hint="eastAsia" w:cs="Times New Roman"/>
          <w:sz w:val="24"/>
          <w:szCs w:val="24"/>
          <w:lang w:val="en-US" w:eastAsia="zh-CN"/>
        </w:rPr>
        <w:t>本文应用情景下的估计</w:t>
      </w:r>
      <w:r>
        <w:rPr>
          <w:rFonts w:hint="eastAsia" w:ascii="Times New Roman" w:hAnsi="Times New Roman" w:eastAsia="宋体" w:cs="Times New Roman"/>
          <w:sz w:val="24"/>
          <w:szCs w:val="24"/>
          <w:lang w:val="en-US" w:eastAsia="zh-CN"/>
        </w:rPr>
        <w:t>结果存在偏误，而两部模型具有最佳适用性，对于未来的研究者具有启发意义。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其次，现存相关文献鲜有同时考察出口倾向、出口规模和出口强度的，本文从这三个维度考察增值税改革对企业出口的影响，能更全面、立体地</w:t>
      </w:r>
      <w:r>
        <w:rPr>
          <w:rFonts w:hint="eastAsia" w:cs="Times New Roman"/>
          <w:sz w:val="24"/>
          <w:szCs w:val="24"/>
          <w:lang w:val="en-US" w:eastAsia="zh-CN"/>
        </w:rPr>
        <w:t>评估</w:t>
      </w:r>
      <w:r>
        <w:rPr>
          <w:rFonts w:hint="eastAsia" w:ascii="Times New Roman" w:hAnsi="Times New Roman" w:eastAsia="宋体" w:cs="Times New Roman"/>
          <w:sz w:val="24"/>
          <w:szCs w:val="24"/>
          <w:lang w:val="en-US" w:eastAsia="zh-CN"/>
        </w:rPr>
        <w:t>改革的出口效应，从评价体系角度丰富了相关研究。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宋体"/>
          <w:b w:val="0"/>
          <w:bCs/>
          <w:sz w:val="24"/>
          <w:szCs w:val="24"/>
          <w:lang w:val="en-US" w:eastAsia="zh-CN"/>
        </w:rPr>
      </w:pPr>
      <w:r>
        <w:rPr>
          <w:rFonts w:hint="eastAsia" w:ascii="Times New Roman" w:hAnsi="Times New Roman" w:eastAsia="宋体" w:cs="Times New Roman"/>
          <w:sz w:val="24"/>
          <w:szCs w:val="24"/>
          <w:lang w:val="en-US" w:eastAsia="zh-CN"/>
        </w:rPr>
        <w:t>再者，现存相关文献忽略了市辖区企业的空间聚集效应，而对于存在空间效应的情况，</w:t>
      </w:r>
      <w:r>
        <w:rPr>
          <w:rFonts w:hint="eastAsia" w:ascii="Times New Roman" w:hAnsi="Times New Roman" w:eastAsia="宋体" w:cs="宋体"/>
          <w:b w:val="0"/>
          <w:bCs/>
          <w:sz w:val="24"/>
          <w:szCs w:val="24"/>
          <w:lang w:val="en-US" w:eastAsia="zh-CN"/>
        </w:rPr>
        <w:t>传统计量中关于个体相互独立的假设将不再被满足，估计结果的可信度很可能出现偏误。本文考虑到市辖区企业具有显著的空间效应，将市辖区企业从样本中剔除，基于经济、社会条件差异更小的非市辖区构造样本，降低了空间效应对估计结果的干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最后，本文通过</w:t>
      </w:r>
      <w:r>
        <w:rPr>
          <w:rFonts w:hint="eastAsia" w:cs="宋体"/>
          <w:b w:val="0"/>
          <w:bCs/>
          <w:sz w:val="24"/>
          <w:szCs w:val="24"/>
          <w:lang w:val="en-US" w:eastAsia="zh-CN"/>
        </w:rPr>
        <w:t>理论分析和分别回归</w:t>
      </w:r>
      <w:r>
        <w:rPr>
          <w:rFonts w:hint="eastAsia" w:ascii="Times New Roman" w:hAnsi="Times New Roman" w:eastAsia="宋体" w:cs="宋体"/>
          <w:b w:val="0"/>
          <w:bCs/>
          <w:sz w:val="24"/>
          <w:szCs w:val="24"/>
          <w:lang w:val="en-US" w:eastAsia="zh-CN"/>
        </w:rPr>
        <w:t>的方法，</w:t>
      </w:r>
      <w:r>
        <w:rPr>
          <w:rFonts w:hint="eastAsia" w:cs="宋体"/>
          <w:b w:val="0"/>
          <w:bCs/>
          <w:sz w:val="24"/>
          <w:szCs w:val="24"/>
          <w:lang w:val="en-US" w:eastAsia="zh-CN"/>
        </w:rPr>
        <w:t>讨论</w:t>
      </w:r>
      <w:r>
        <w:rPr>
          <w:rFonts w:hint="eastAsia" w:ascii="Times New Roman" w:hAnsi="Times New Roman" w:eastAsia="宋体" w:cs="宋体"/>
          <w:b w:val="0"/>
          <w:bCs/>
          <w:sz w:val="24"/>
          <w:szCs w:val="24"/>
          <w:lang w:val="en-US" w:eastAsia="zh-CN"/>
        </w:rPr>
        <w:t>了增值税改革是如何</w:t>
      </w:r>
      <w:r>
        <w:rPr>
          <w:rFonts w:hint="eastAsia" w:cs="宋体"/>
          <w:b w:val="0"/>
          <w:bCs/>
          <w:sz w:val="24"/>
          <w:szCs w:val="24"/>
          <w:lang w:val="en-US" w:eastAsia="zh-CN"/>
        </w:rPr>
        <w:t>通过</w:t>
      </w:r>
      <w:r>
        <w:rPr>
          <w:rFonts w:hint="eastAsia" w:ascii="Times New Roman" w:hAnsi="Times New Roman" w:eastAsia="宋体" w:cs="宋体"/>
          <w:b w:val="0"/>
          <w:bCs/>
          <w:sz w:val="24"/>
          <w:szCs w:val="24"/>
          <w:lang w:val="en-US" w:eastAsia="zh-CN"/>
        </w:rPr>
        <w:t>削弱融资约束</w:t>
      </w:r>
      <w:r>
        <w:rPr>
          <w:rFonts w:hint="eastAsia" w:cs="宋体"/>
          <w:b w:val="0"/>
          <w:bCs/>
          <w:sz w:val="24"/>
          <w:szCs w:val="24"/>
          <w:lang w:val="en-US" w:eastAsia="zh-CN"/>
        </w:rPr>
        <w:t>、提高</w:t>
      </w:r>
      <w:r>
        <w:rPr>
          <w:rFonts w:hint="eastAsia" w:ascii="Times New Roman" w:hAnsi="Times New Roman" w:eastAsia="宋体" w:cs="宋体"/>
          <w:b w:val="0"/>
          <w:bCs/>
          <w:sz w:val="24"/>
          <w:szCs w:val="24"/>
          <w:lang w:val="en-US" w:eastAsia="zh-CN"/>
        </w:rPr>
        <w:t>劳动力生产率和</w:t>
      </w:r>
      <w:r>
        <w:rPr>
          <w:rFonts w:hint="eastAsia" w:cs="宋体"/>
          <w:b w:val="0"/>
          <w:bCs/>
          <w:sz w:val="24"/>
          <w:szCs w:val="24"/>
          <w:lang w:val="en-US" w:eastAsia="zh-CN"/>
        </w:rPr>
        <w:t>扩大</w:t>
      </w:r>
      <w:r>
        <w:rPr>
          <w:rFonts w:hint="eastAsia" w:ascii="Times New Roman" w:hAnsi="Times New Roman" w:eastAsia="宋体" w:cs="宋体"/>
          <w:b w:val="0"/>
          <w:bCs/>
          <w:sz w:val="24"/>
          <w:szCs w:val="24"/>
          <w:lang w:val="en-US" w:eastAsia="zh-CN"/>
        </w:rPr>
        <w:t>企业规模</w:t>
      </w:r>
      <w:r>
        <w:rPr>
          <w:rFonts w:hint="eastAsia" w:cs="宋体"/>
          <w:b w:val="0"/>
          <w:bCs/>
          <w:sz w:val="24"/>
          <w:szCs w:val="24"/>
          <w:lang w:val="en-US" w:eastAsia="zh-CN"/>
        </w:rPr>
        <w:t>这三个渠道</w:t>
      </w:r>
      <w:r>
        <w:rPr>
          <w:rFonts w:hint="eastAsia" w:ascii="Times New Roman" w:hAnsi="Times New Roman" w:eastAsia="宋体" w:cs="宋体"/>
          <w:b w:val="0"/>
          <w:bCs/>
          <w:sz w:val="24"/>
          <w:szCs w:val="24"/>
          <w:lang w:val="en-US" w:eastAsia="zh-CN"/>
        </w:rPr>
        <w:t>作用于企业出口行为的，补充了关于增值税改革对企业出口行为的作用机制的讨论。</w:t>
      </w:r>
    </w:p>
    <w:p>
      <w:pPr>
        <w:pStyle w:val="16"/>
        <w:bidi w:val="0"/>
        <w:rPr>
          <w:rFonts w:hint="eastAsia"/>
          <w:lang w:val="en-US" w:eastAsia="zh-CN"/>
        </w:rPr>
      </w:pPr>
      <w:bookmarkStart w:id="76" w:name="_Toc30108"/>
      <w:r>
        <w:rPr>
          <w:rFonts w:hint="eastAsia"/>
          <w:lang w:val="en-US" w:eastAsia="zh-CN"/>
        </w:rPr>
        <w:t>5.3 对政策制定者的助益</w:t>
      </w:r>
      <w:bookmarkEnd w:id="7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本文在3.2.4的子样本回归中证明了本文的结果同样适用于宏观经济较差的情况，故本文的分析结论对于后疫情时代的减税政策制定有所助益。此外，由于本文的样本特征，本文的结论主要针对采取一般贸易出口模式的企业，而一般贸易对经济增长的推动作用更显著（</w:t>
      </w:r>
      <w:r>
        <w:rPr>
          <w:rFonts w:hint="eastAsia" w:ascii="Times New Roman" w:hAnsi="Times New Roman" w:eastAsia="宋体" w:cs="宋体"/>
          <w:sz w:val="24"/>
          <w:szCs w:val="24"/>
        </w:rPr>
        <w:t>彭斯达</w:t>
      </w:r>
      <w:r>
        <w:rPr>
          <w:rFonts w:hint="eastAsia" w:cs="宋体"/>
          <w:sz w:val="24"/>
          <w:szCs w:val="24"/>
          <w:lang w:val="en-US" w:eastAsia="zh-CN"/>
        </w:rPr>
        <w:t>等</w:t>
      </w:r>
      <w:r>
        <w:rPr>
          <w:rFonts w:hint="eastAsia" w:cs="Times New Roman"/>
          <w:sz w:val="24"/>
          <w:szCs w:val="24"/>
          <w:lang w:val="en-US" w:eastAsia="zh-CN"/>
        </w:rPr>
        <w:t>，2008；张梦婷和钟昌标，2015；孙楚仁等，2019），故本文结论对于鼓励一般贸易企业出口发展，从而促进经济发展的税收政策制定具有参考价值。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本文的结论表明</w:t>
      </w:r>
      <w:r>
        <w:rPr>
          <w:rFonts w:hint="eastAsia" w:cs="Times New Roman"/>
          <w:sz w:val="24"/>
          <w:szCs w:val="24"/>
          <w:lang w:val="en-US" w:eastAsia="zh-CN"/>
        </w:rPr>
        <w:t>以增值税转型改革为典型的减税政策有利于提高企业的出口倾向、扩大出口规模和提高出口密度，但单一政策对出口倾向的提高效果有限、对出口密度的提高作用可能受到制度因素的扭曲，政策制定者需要配合制定其他的减税降费和改善出口企业营商环境的政策，如健全</w:t>
      </w:r>
      <w:r>
        <w:rPr>
          <w:rFonts w:hint="eastAsia" w:ascii="Times New Roman" w:hAnsi="Times New Roman" w:eastAsia="宋体"/>
          <w:b w:val="0"/>
          <w:bCs/>
          <w:sz w:val="24"/>
          <w:szCs w:val="24"/>
          <w:lang w:val="en-US" w:eastAsia="zh-CN"/>
        </w:rPr>
        <w:t>社会信用体系、知识产权保护制度</w:t>
      </w:r>
      <w:r>
        <w:rPr>
          <w:rFonts w:hint="eastAsia"/>
          <w:b w:val="0"/>
          <w:bCs/>
          <w:sz w:val="24"/>
          <w:szCs w:val="24"/>
          <w:lang w:val="en-US" w:eastAsia="zh-CN"/>
        </w:rPr>
        <w:t>等</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改革的主要作用特质在于释放现金流、削弱融资约束和鼓励固定资产投资，故本文认为政策制定者在制定促进出口发展的</w:t>
      </w:r>
      <w:r>
        <w:rPr>
          <w:rFonts w:hint="eastAsia" w:cs="Times New Roman"/>
          <w:sz w:val="24"/>
          <w:szCs w:val="24"/>
          <w:lang w:val="en-US" w:eastAsia="zh-CN"/>
        </w:rPr>
        <w:t>减税</w:t>
      </w:r>
      <w:r>
        <w:rPr>
          <w:rFonts w:hint="eastAsia" w:ascii="Times New Roman" w:hAnsi="Times New Roman" w:eastAsia="宋体" w:cs="Times New Roman"/>
          <w:sz w:val="24"/>
          <w:szCs w:val="24"/>
          <w:lang w:val="en-US" w:eastAsia="zh-CN"/>
        </w:rPr>
        <w:t>政策时应将现金流释放效果、投资鼓励效果纳入考虑。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此外，本文的结论还帮助了政策制定者更清晰地识别出增值税改革对企业出口行为的影响的传递链条，以及</w:t>
      </w:r>
      <w:r>
        <w:rPr>
          <w:rFonts w:hint="eastAsia" w:cs="Times New Roman"/>
          <w:sz w:val="24"/>
          <w:szCs w:val="24"/>
          <w:lang w:val="en-US" w:eastAsia="zh-CN"/>
        </w:rPr>
        <w:t>每个渠道因素</w:t>
      </w:r>
      <w:r>
        <w:rPr>
          <w:rFonts w:hint="eastAsia" w:ascii="Times New Roman" w:hAnsi="Times New Roman" w:eastAsia="宋体" w:cs="Times New Roman"/>
          <w:sz w:val="24"/>
          <w:szCs w:val="24"/>
          <w:lang w:val="en-US" w:eastAsia="zh-CN"/>
        </w:rPr>
        <w:t>的主要作用对象具有何种特质，有助于政策制定者权衡多方利益、找准政策发力点。</w:t>
      </w:r>
      <w:r>
        <w:rPr>
          <w:rFonts w:hint="eastAsia" w:cs="Times New Roman"/>
          <w:sz w:val="24"/>
          <w:szCs w:val="24"/>
          <w:lang w:val="en-US" w:eastAsia="zh-CN"/>
        </w:rPr>
        <w:t>具体地，非国有企业、资本密集型行业的企业、低集中度行业的企业对改革的作用更为敏感、出口行为表现出的政策激励效果更佳，政策制定者可以考虑配合减税政策制定深化国企改革，提高各行业非国有份额占比、鼓励劳动密集型企业向资本密集型升级和控制行业市场垄断程度、鼓励企业自由竞争的配套政策，如鼓励银行向这三类企业贷款等。</w:t>
      </w:r>
    </w:p>
    <w:p>
      <w:pPr>
        <w:pStyle w:val="16"/>
        <w:bidi w:val="0"/>
        <w:rPr>
          <w:rFonts w:hint="default"/>
          <w:lang w:val="en-US" w:eastAsia="zh-CN"/>
        </w:rPr>
      </w:pPr>
      <w:bookmarkStart w:id="77" w:name="_Toc4888"/>
      <w:r>
        <w:rPr>
          <w:rFonts w:hint="eastAsia"/>
          <w:lang w:val="en-US" w:eastAsia="zh-CN"/>
        </w:rPr>
        <w:t>5.4 不足之处</w:t>
      </w:r>
      <w:bookmarkEnd w:id="7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的不足之处在于改革两年后政策范围发生变化，故本文仅检查改革两年内的短期效应，而无法识别该阶段性政策的长期效应。同时，由于工业企业的研发周期较长，很难在改革后一年之内产生显著变化，故本文无法考察增值税改革是否能在长期通过提高企业创新能力（或全要素生产率）的途径影响企业出口行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pPr>
        <w:pStyle w:val="15"/>
        <w:bidi w:val="0"/>
        <w:rPr>
          <w:rFonts w:hint="default"/>
          <w:lang w:val="en-US" w:eastAsia="zh-CN"/>
        </w:rPr>
      </w:pPr>
      <w:bookmarkStart w:id="78" w:name="_Toc19433"/>
      <w:bookmarkStart w:id="79" w:name="_Toc6573"/>
      <w:r>
        <w:rPr>
          <w:rFonts w:hint="eastAsia"/>
          <w:lang w:val="en-US" w:eastAsia="zh-CN"/>
        </w:rPr>
        <w:t>致谢</w:t>
      </w:r>
      <w:bookmarkEnd w:id="78"/>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cs="宋体"/>
          <w:b w:val="0"/>
          <w:bCs/>
          <w:sz w:val="24"/>
          <w:szCs w:val="24"/>
          <w:lang w:val="en-US" w:eastAsia="zh-CN"/>
        </w:rPr>
        <w:t>在完成我的毕业论文、为我在森林大学的四年旅程画上句号之际，我想首先感谢我的导师赵奎，谢谢您组建了本科生科研小组，并耐心地为组员们传道授业解惑，让我从中积累了宝贵的科研经验、激发了我对社会科学研究的兴趣与热情；谢谢每一位曾孜孜不倦教授我知识的老师们，为我的专业素养和综合能力打下了坚实的基础，让我无论是在实习面试还是跟研究生导师做任务时，都能拥有底气和信心。</w:t>
      </w:r>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ascii="Times New Roman" w:hAnsi="Times New Roman" w:eastAsia="宋体" w:cs="宋体"/>
          <w:b w:val="0"/>
          <w:bCs/>
          <w:sz w:val="24"/>
          <w:szCs w:val="24"/>
          <w:lang w:val="en-US" w:eastAsia="zh-CN"/>
        </w:rPr>
        <w:t>我还想感谢我的</w:t>
      </w:r>
      <w:r>
        <w:rPr>
          <w:rFonts w:hint="eastAsia" w:cs="宋体"/>
          <w:b w:val="0"/>
          <w:bCs/>
          <w:sz w:val="24"/>
          <w:szCs w:val="24"/>
          <w:lang w:val="en-US" w:eastAsia="zh-CN"/>
        </w:rPr>
        <w:t>父母</w:t>
      </w:r>
      <w:r>
        <w:rPr>
          <w:rFonts w:hint="eastAsia" w:ascii="Times New Roman" w:hAnsi="Times New Roman" w:eastAsia="宋体" w:cs="宋体"/>
          <w:b w:val="0"/>
          <w:bCs/>
          <w:sz w:val="24"/>
          <w:szCs w:val="24"/>
          <w:lang w:val="en-US" w:eastAsia="zh-CN"/>
        </w:rPr>
        <w:t>，在我陷入困境时给予我最温暖的关怀和支持</w:t>
      </w:r>
      <w:r>
        <w:rPr>
          <w:rFonts w:hint="eastAsia" w:cs="宋体"/>
          <w:b w:val="0"/>
          <w:bCs/>
          <w:sz w:val="24"/>
          <w:szCs w:val="24"/>
          <w:lang w:val="en-US" w:eastAsia="zh-CN"/>
        </w:rPr>
        <w:t>、在我彷徨不定时给予我无条件的信任与鼓励，</w:t>
      </w:r>
      <w:r>
        <w:rPr>
          <w:rFonts w:hint="eastAsia" w:ascii="Times New Roman" w:hAnsi="Times New Roman" w:eastAsia="宋体" w:cs="宋体"/>
          <w:b w:val="0"/>
          <w:bCs/>
          <w:sz w:val="24"/>
          <w:szCs w:val="24"/>
          <w:lang w:val="en-US" w:eastAsia="zh-CN"/>
        </w:rPr>
        <w:t>让我能更坚定地前行。</w:t>
      </w:r>
      <w:r>
        <w:rPr>
          <w:rFonts w:hint="eastAsia" w:cs="宋体"/>
          <w:b w:val="0"/>
          <w:bCs/>
          <w:sz w:val="24"/>
          <w:szCs w:val="24"/>
          <w:lang w:val="en-US" w:eastAsia="zh-CN"/>
        </w:rPr>
        <w:t>同时，我想感谢我在森林大学遇到的朋友们，尤其是叶曼溪，我在手术后的住院期间，正是她考研冲刺的紧张时期，但她还是常常深夜来给我带饭，我非常感动、感激，衷心祝愿她能身体健康、一帆风顺。我还想感谢学校各服务岗位的工作人员，特别地，我想要感谢大活的心理咨询师李京京老师，遇见您之前我的心理状态像是在十字路口等待一盏坏掉的红绿灯一样迷茫，经过多次咨询畅谈，您为我打开了减轻心理创伤的门，并留下了诸多令我受益匪浅的建议。</w:t>
      </w:r>
    </w:p>
    <w:p>
      <w:pPr>
        <w:keepNext w:val="0"/>
        <w:keepLines w:val="0"/>
        <w:pageBreakBefore w:val="0"/>
        <w:kinsoku/>
        <w:overflowPunct/>
        <w:topLinePunct w:val="0"/>
        <w:bidi w:val="0"/>
        <w:spacing w:line="360" w:lineRule="auto"/>
        <w:ind w:firstLine="480" w:firstLineChars="200"/>
        <w:jc w:val="both"/>
        <w:textAlignment w:val="auto"/>
        <w:rPr>
          <w:rFonts w:hint="default" w:ascii="Times New Roman" w:hAnsi="Times New Roman" w:eastAsia="宋体" w:cs="宋体"/>
          <w:b w:val="0"/>
          <w:bCs/>
          <w:sz w:val="24"/>
          <w:szCs w:val="24"/>
          <w:lang w:val="en-US" w:eastAsia="zh-CN"/>
        </w:rPr>
      </w:pPr>
      <w:r>
        <w:rPr>
          <w:rFonts w:hint="eastAsia" w:cs="宋体"/>
          <w:b w:val="0"/>
          <w:bCs/>
          <w:sz w:val="24"/>
          <w:szCs w:val="24"/>
          <w:lang w:val="en-US" w:eastAsia="zh-CN"/>
        </w:rPr>
        <w:t>最后，感谢森林大学四年以来对我的包容，预祝母校建校70周年快乐！</w:t>
      </w:r>
    </w:p>
    <w:p>
      <w:pPr>
        <w:keepNext w:val="0"/>
        <w:keepLines w:val="0"/>
        <w:pageBreakBefore w:val="0"/>
        <w:kinsoku/>
        <w:overflowPunct/>
        <w:topLinePunct w:val="0"/>
        <w:bidi w:val="0"/>
        <w:spacing w:line="360" w:lineRule="auto"/>
        <w:ind w:firstLine="482" w:firstLineChars="200"/>
        <w:jc w:val="center"/>
        <w:textAlignment w:val="auto"/>
        <w:rPr>
          <w:rFonts w:hint="eastAsia" w:ascii="Times New Roman" w:hAnsi="Times New Roman" w:eastAsia="宋体"/>
          <w:b/>
          <w:sz w:val="24"/>
          <w:szCs w:val="36"/>
          <w:lang w:val="en-US" w:eastAsia="zh-CN"/>
        </w:rPr>
      </w:pPr>
    </w:p>
    <w:p>
      <w:pPr>
        <w:keepNext w:val="0"/>
        <w:keepLines w:val="0"/>
        <w:pageBreakBefore w:val="0"/>
        <w:kinsoku/>
        <w:overflowPunct/>
        <w:topLinePunct w:val="0"/>
        <w:bidi w:val="0"/>
        <w:spacing w:line="360" w:lineRule="auto"/>
        <w:ind w:firstLine="480" w:firstLineChars="200"/>
        <w:textAlignment w:val="auto"/>
        <w:rPr>
          <w:rFonts w:ascii="Times New Roman" w:hAnsi="Times New Roman" w:eastAsia="宋体"/>
          <w:color w:val="FF0000"/>
          <w:sz w:val="24"/>
        </w:rPr>
      </w:pPr>
    </w:p>
    <w:p>
      <w:pPr>
        <w:rPr>
          <w:rFonts w:hint="eastAsia"/>
        </w:rPr>
      </w:pPr>
      <w:r>
        <w:rPr>
          <w:rFonts w:hint="eastAsia"/>
        </w:rPr>
        <w:br w:type="page"/>
      </w:r>
    </w:p>
    <w:p>
      <w:pPr>
        <w:pStyle w:val="15"/>
        <w:bidi w:val="0"/>
        <w:rPr>
          <w:rFonts w:hint="eastAsia"/>
        </w:rPr>
      </w:pPr>
      <w:bookmarkStart w:id="80" w:name="_Toc4118"/>
      <w:r>
        <w:rPr>
          <w:rFonts w:hint="eastAsia"/>
        </w:rPr>
        <w:t>参考文献</w:t>
      </w:r>
      <w:bookmarkEnd w:id="79"/>
      <w:bookmarkEnd w:id="80"/>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default" w:ascii="Times New Roman" w:hAnsi="Times New Roman" w:eastAsia="宋体" w:cs="宋体"/>
          <w:b w:val="0"/>
          <w:bCs w:val="0"/>
          <w:sz w:val="24"/>
          <w:szCs w:val="24"/>
          <w:lang w:val="en-US" w:eastAsia="zh-CN"/>
        </w:rPr>
        <w:t>Allen N. Berger,Gregory F. Udell. The economics of small business finance: The roles of private equity and debt markets in the financial growth cycle[J]. Journal of Banking and Finance,1998,22(6).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Bernard A ,  Redding S ,  Schott P . Multi-Product Firms and Trade Liberalization[J]. Working Papers, 2009, 126(126):1271-1318.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eastAsia"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Daniela Federici and Valentino Parisi and Francesco Ferrante. Heterogeneous firms, corporate taxes and export behavior: A firm-level investigation for Italy[J]. Economic Modelling, 2020, 88(prepublish) : 98-112.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Debrulle J . Start-up export intensity: An empirical investigation of the impact of absorptive capacity and business owner human and social capital[J]. Working Papers of Department of Management, Strategy and Innovation, Leuven, 2012.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ascii="Times New Roman" w:hAnsi="Times New Roman" w:eastAsia="宋体" w:cs="宋体"/>
          <w:sz w:val="24"/>
          <w:szCs w:val="24"/>
        </w:rPr>
        <w:t>Douglas G. Steigerwald and Charles Stuart. Econometric Estimation of Foresight: Tax Policy and Investment in the United States[J]. The Review of Economics and Statistics, 1997, 79(1) : 32-40.</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Kong D ,  Xiong M . Unintended consequences of tax incentives on export product quality: Evidence from a natural experiment in China[J]. Review of International Economics, 2021, 29.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Marsh P . The Choice between Equity and Debt: An Empirical Study[J]. Journal of Finance, 1982, 37.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Pei Li,Yi Lu,Jin Wang. Does flattening government improve economic performance? Evidence from China[J]. Journal of Development Economics,2016,123.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Qing Liu,Yi Lu. Firm investment and exporting: Evidence from China's value-added tax reform[J]. Journal of International Economics,2015,97(2).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Tybout R J R . The Decision to Export in Colombia: An Empirical Model of Entry with Sunk Costs[J]. American Economic Review, 1997, 87(4):545-564.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Yan Du,Mengkai Yang,Jing Li,Yunong Li. The Stagnant Export Upgrading in Northeast China: Evidence from Value‐added Tax Reform[J]. China &amp; World Economy,2020,28(4).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白东北,张营营,王珏.产业集聚与中国企业出口行为:基于企业劳动力成本的研究[J].世界经济研究,2019(11):46-64+135.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曹献飞.融资约束与企业出口:孰因孰果——基于联立方程模型的经验分析[J].国际经贸探索,2015,31(01):66-76.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陈海秋.现阶段增值税转型改革的问题与对策[J].重庆工商大学学报(西部论坛),2009,19(01):87-93.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陈瑾,李丹,孙楚仁.增值税转型与中国制造业企业出口动态[J].经济科学,2021(1):13.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陈林,伍海军.国内双重差分法的研究现状与潜在问题[J].数量经济技术经济研究,2015,32(07):133-148.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陈烨,张欣,寇恩惠,刘明.增值税转型对就业负面影响的CGE模拟分析[J].经济研究,2010,45(09):29-42.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陈治,赵磊磊.基于税收中性的增值税改革进路[J].地方财政研究,2021(09):68-77+92.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方菲菲,龙小宁,杨进.区域性税制改革对企业出口及创新的影响——以东北地区增值税转型改革为例[J]. 中国经济问题, 2021(2):16.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樊娜娜.FDI如何影响本地企业出口——来自中国制造业的发现[J].南方经济,2018(01):100-114.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冯阔,唐宜红.增值税多档税率、出口退税与国际经济效应[J].经济研究,2021,56(05):58-74.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高霞,雷林兴,马芬芬.数字金融、融资约束与企业成长[J].财会通讯,2022(02):68-71.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顾海峰,于家珺.人民币汇率对中国出口企业盈利能力的影响研究——来自2006—2016年中国上市公司的证据[J].国际贸易问题,2018(09):145-161.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蒋冠宏,蒋殿春.中国企业对外直接投资的“出口效应”[J].经济研究,2014,49(05):160-173.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蒋灵多,陆毅,张国峰.自由贸易试验区建设与中国出口行为[J].中国工业经济,2021(08):75-93.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rPr>
        <w:t>侯欣裕,陈璐瑶,孙浦阳.市场重合、侵蚀性竞争与出口质量[J].世界经济,2020,43(03):93-116.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康妮.出口退税与中国企业的出口行为——基于2004～2013年微观企业数据的经验研究[J]. 国际商务：对外经济贸易大学学报, 2018(5):12.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孔哲,胡以文,梁欢欢.城市规模与劳动力工资议价[J].上海立信会计金融学院学报,2020,32(05):65-81.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郎金焕,史晋川.加工贸易、一般贸易与外部需求冲击的传导机制[J].浙江大学学报(人文社会科学版),2013,43(01):179-190.</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李金荣.人民币汇率波动对中国对外贸易的影响：2003-2008[D].河南大学,2009.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李苏苏,叶祥松,张少华.中国制造业企业全要素生产率测度研究[J].2021(2020-3):105-113.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廖涵,方明朋,谢靖.人力资本、融资约束与企业出口产品质量[J].产经评论,2021,12(05):38-56.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林拓,申立.我国城乡区县重组:风险及其超越[J].中国行政管理,2012(11):72-76.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林志帆,刘诗源.税收负担与企业研发创新——来自世界银行中国企业调查数据的经验证据[J].财政研究,2017(02):98-112.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刘铠豪,王雪芳.税收负担与企业出口行为--来自世界银行中国企业调查数据的证据[J].财经研究,2020,46(9):15.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刘玉海,廖赛男,张丽.税收激励与企业出口国内附加值率[J].中国工业经济,2020(09):99-117.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鲁晓东,连玉君.中国工业企业全要素生产率估计:1999—2007[J].经济学（季刊）,2012,11(1):18.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罗宏,陈丽霖.增值税转型对企业融资约束的影响研究[J].会计研究,2012(12):43-49+94.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马捷,李飞.出口退税是一项稳健的贸易政策吗?[J].经济研究,2008(04):78-87.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毛德凤,彭飞.中国企业融资难的破解路径:基于减税的视角[J].广东财经大学学报,2020,35(01):87-100+112.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毛其淋,王澍.地方金融自由化如何影响中国企业出口?:以城市商业银行发展为例[J].世界经济研究,2019(08):11-29+134.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毛其淋,赵柯雨.重点产业政策如何影响了企业出口——来自中国制造业的微观证据[J].财贸经济,2021,42(11):131-145.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聂辉华,方明月,李涛.增值税转型对企业行为和绩效的影响——以东北地区为例[J]. 管理世界, 2009(5):9.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潘加顺.基于行政层级视角的中国城镇化问题研究[J].特区经济,2019(04):42-45.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潘文轩.我国出口退税影响出口增长的动态效应及其特征——基于1985～2013年数据的实证分析[J].经济问题探索,2015(11):138-144.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裴丹,陈林.内外双循环、僵尸企业与出口竞争力[J].中南财经政法大学学报,2021(03):91-99+156.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cs="宋体"/>
          <w:sz w:val="24"/>
          <w:szCs w:val="24"/>
          <w:lang w:val="en-US" w:eastAsia="zh-CN"/>
        </w:rPr>
        <w:t>彭斯达</w:t>
      </w:r>
      <w:r>
        <w:rPr>
          <w:rFonts w:hint="eastAsia" w:ascii="Times New Roman" w:hAnsi="Times New Roman" w:eastAsia="宋体" w:cs="宋体"/>
          <w:sz w:val="24"/>
          <w:szCs w:val="24"/>
        </w:rPr>
        <w:t>,陈继勇,杨余.我国对外贸易商品结构和方式与经济增长的相关性比较[J].国际贸易问题,2008(03):3-8.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邱筵婷,张馨元.中国出口鼓励财政政策与出口商品结构的优化——基于不同要素密集度产品的研究[J].经济视角,2016(04):87-95.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申广军,陈斌开,杨汝岱.减税能否提振中国经济?——基于中国增值税改革的实证研究[J]. 经济研究, 2016, 51(11):13.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沈非,黄薇薇,李大伟,任雅茹,黄艳萍.安徽省县域公路交通与经济发展空间格局及耦合研究[J].长江流域资源与环境,2019,28(10):2309-2318.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水会莉,韩庆兰.融资约束、税收激励与企业研发投入——来自中国制造业上市公司的证据[J].科技管理研究,2016,36(07):30-36.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宋周莺,车姝韵,刘卫东.中部地区对外贸易的格局与结构分析[J].地理研究,2017,36(12):2291-2304.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苏素,廖冰雅.城市规模、城市结构、产业集聚度与城市能耗[J].工业技术经济,2015,34(04):153-160.</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sz w:val="24"/>
          <w:szCs w:val="24"/>
          <w:lang w:val="en-US" w:eastAsia="zh-CN"/>
        </w:rPr>
        <w:t>孙楚仁,王松,陈瑾.贸易开放、城市制度改进与经济增长[J].科研管理,2019,40(08):43-52.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lang w:val="en-US" w:eastAsia="zh-CN"/>
        </w:rPr>
        <w:t>孙红玲.基于邓小平“两个大局”战略转换重塑中国经济地理[J].经济地理,2012,32(12):27-33.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田晖,陈巧,刘爱东.融资约束、全要素生产率与反倾销涉案企业出口绩效——来自中国2001-2016年的经验证据[J].现代财经(天津财经大学学报),2018,38(04):30-47.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汪昊,郭玉清,陆毅.中国增值税转嫁、归宿及减税效应：一般均衡分析[J].经济研究,2022,57(02):73-89.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王俊,黄先海.跨国外包体系下技术创新的出口效应——基于浙江省制造企业问卷调查数据的实证研究[J].国际贸易问题,2012(10):105-114.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王万珺.中国工业企业的成本结构和降成本——基于劳动力成本和非劳动力成本的比较分析[J].产经评论,2021,12(02):120-132.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闻媛.关于我国出口退税政策功能定位的分析与思考[J].财经论丛,2008(03):34-39.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吴振宇,唐朝.全球经济增长、通货膨胀和金融风险态势分析[J].经济纵横,2021(10):33-43.</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奚美君,黄乾,李蕾蕾.最低工资政策对中国制造业企业出口的影响研究——基于DID与Heckman两步法相结合的方法[J]. 财贸研究, 2019, 30(1):12.</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肖文,殷宝庆.垂直专业化的技术进步效应——基于27个制造行业面板数据的实证分析[J].科学学研究,2011,29(03):382-389.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许伟,陈斌开.税收激励和企业投资——基于2004～2009年增值税转型的自然实验[J]. 管理世界, 2016(5):9.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晏涛.研发创新推动了中国企业出口吗?——基于“扩展边际”与“集约边际”的实证检验[J].中南财经政法大学学报,2013(06):103-110+160.</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default" w:ascii="Times New Roman" w:hAnsi="Times New Roman" w:eastAsia="宋体" w:cs="宋体"/>
          <w:b w:val="0"/>
          <w:bCs w:val="0"/>
          <w:sz w:val="24"/>
          <w:szCs w:val="24"/>
          <w:lang w:val="en-US" w:eastAsia="zh-CN"/>
        </w:rPr>
        <w:t>杨慧梅.减税能否影响企业出口?——基于增值税有效税率的考察[J]. 商业研究, 2020(6):11.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sz w:val="24"/>
          <w:szCs w:val="24"/>
        </w:rPr>
        <w:t>易靖韬.企业异质性、市场进入成本、技术溢出效应与出口参与决定[J].经济研究,2009,44(09):106-115.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张慧慧,胡秋阳,张云.城市化与工业化关联——演进趋势及决定因素研究[J].世界经济文汇,2022(01):71-88.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张杰,刘志彪,张少军.制度扭曲与中国本土企业的出口扩张[J].世界经济,2008(10):3-11.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张梦婷,钟昌标.出口贸易方式与区域经济增长:基于中国省际面板数据的分析[J].科技与管理,2015,17(04):83-88.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张鑫,任鹏鹏.全球化背景下中美贸易摩擦的成因、影响及化解路径[J].改革与战略,2019,35(04):61-68.</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张宇麟,吕旺弟.应对金融危机出口退税率上调的效应分析[J].涉外税务,2009(05):23-25.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赵蓓文.全球外资安全审查新趋势及其对中国的影响[J].世界经济研究,2020(06):3-10+135.</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赵灿,刘啟仁.税收激励政策与企业国际化行为——基于2014年固定资产加速折旧政策的准自然实验[J].国际贸易问题,2021(03):62-77.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赵瑞丽,何欢浪,陶敏.出口退税政策与中国企业创新行为[J].国际贸易问题,2021(04):47-61.</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郑方辉,刘晓婕.商品质量、市场信心如何影响出口绩效?——基于2013-2018年广东出口消费品企业的抽样调查[J].南方经济,2020(07):58-74.</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钟腾龙.外部需求与企业出口产品质量[J].中南财经政法大学学报,2020(01):147-156.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周世民,盛月,陈勇兵.生产补贴、出口激励与资源错置:微观证据[J].世界经济,2014,37(12):47-66.</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周茜.社会资本对企业出口绩效的影响研究——基于中国出口上市公司的实证研究[J].技术经济与管理研究,2018(11):23-27.</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s="宋体"/>
          <w:sz w:val="24"/>
          <w:szCs w:val="24"/>
        </w:rPr>
      </w:pPr>
      <w:r>
        <w:rPr>
          <w:rFonts w:hint="eastAsia" w:ascii="Times New Roman" w:hAnsi="Times New Roman" w:eastAsia="宋体" w:cs="宋体"/>
          <w:sz w:val="24"/>
          <w:szCs w:val="24"/>
        </w:rPr>
        <w:t>朱英杰.融资约束、生产率与异质性企业的出口竞争力——微观基础的中国经验考察[J].世界经济研究,2012(09):57-65+89.</w:t>
      </w:r>
    </w:p>
    <w:p>
      <w:pPr>
        <w:keepNext w:val="0"/>
        <w:keepLines w:val="0"/>
        <w:pageBreakBefore w:val="0"/>
        <w:widowControl w:val="0"/>
        <w:numPr>
          <w:ilvl w:val="0"/>
          <w:numId w:val="4"/>
        </w:numPr>
        <w:kinsoku/>
        <w:wordWrap w:val="0"/>
        <w:overflowPunct/>
        <w:topLinePunct w:val="0"/>
        <w:autoSpaceDE w:val="0"/>
        <w:autoSpaceDN/>
        <w:bidi w:val="0"/>
        <w:adjustRightInd/>
        <w:snapToGrid/>
        <w:spacing w:before="78" w:line="360" w:lineRule="auto"/>
        <w:ind w:firstLine="0" w:firstLineChars="0"/>
        <w:jc w:val="both"/>
        <w:textAlignment w:val="auto"/>
        <w:rPr>
          <w:rFonts w:ascii="Times New Roman" w:hAnsi="Times New Roman" w:eastAsia="宋体"/>
          <w:color w:val="FF0000"/>
          <w:sz w:val="24"/>
        </w:rPr>
      </w:pPr>
      <w:r>
        <w:rPr>
          <w:rFonts w:hint="eastAsia" w:ascii="Times New Roman" w:hAnsi="Times New Roman" w:eastAsia="宋体" w:cs="宋体"/>
          <w:sz w:val="24"/>
          <w:szCs w:val="24"/>
        </w:rPr>
        <w:t>邹丰华,吕康银.最低工资标准与企业劳动生产率[J].税务与经济,2019(01):42-48.</w:t>
      </w:r>
    </w:p>
    <w:p>
      <w:pPr>
        <w:pStyle w:val="15"/>
        <w:bidi w:val="0"/>
        <w:rPr>
          <w:rFonts w:hint="default"/>
          <w:lang w:val="en-US" w:eastAsia="zh-CN"/>
        </w:rPr>
      </w:pPr>
      <w:bookmarkStart w:id="81" w:name="_Toc20579"/>
      <w:r>
        <w:rPr>
          <w:rFonts w:hint="eastAsia"/>
        </w:rPr>
        <w:t>附录</w:t>
      </w:r>
      <w:r>
        <w:rPr>
          <w:rFonts w:hint="eastAsia"/>
          <w:lang w:val="en-US" w:eastAsia="zh-CN"/>
        </w:rPr>
        <w:t xml:space="preserve"> 同时享受西部大开发优惠政策的县</w:t>
      </w:r>
      <w:bookmarkEnd w:id="81"/>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default" w:ascii="宋体" w:hAnsi="宋体" w:cs="宋体"/>
          <w:b w:val="0"/>
          <w:bCs/>
          <w:sz w:val="24"/>
          <w:szCs w:val="24"/>
          <w:lang w:val="en-US" w:eastAsia="zh-CN"/>
        </w:rPr>
      </w:pPr>
      <w:r>
        <w:rPr>
          <w:rFonts w:hint="eastAsia" w:ascii="Times New Roman" w:hAnsi="Times New Roman" w:eastAsia="宋体"/>
          <w:sz w:val="24"/>
          <w:lang w:val="en-US" w:eastAsia="zh-CN"/>
        </w:rPr>
        <w:t>国办函[2007]2号划定的同时享受</w:t>
      </w:r>
      <w:r>
        <w:rPr>
          <w:rFonts w:hint="eastAsia" w:ascii="Times New Roman" w:hAnsi="Times New Roman" w:eastAsia="宋体" w:cs="宋体"/>
          <w:b w:val="0"/>
          <w:bCs/>
          <w:sz w:val="24"/>
          <w:szCs w:val="24"/>
          <w:lang w:val="en-US" w:eastAsia="zh-CN"/>
        </w:rPr>
        <w:t>西部大开发优惠政策的</w:t>
      </w:r>
      <w:r>
        <w:rPr>
          <w:rFonts w:hint="eastAsia" w:cs="宋体"/>
          <w:b w:val="0"/>
          <w:bCs/>
          <w:sz w:val="24"/>
          <w:szCs w:val="24"/>
          <w:lang w:val="en-US" w:eastAsia="zh-CN"/>
        </w:rPr>
        <w:t>县名单如下：</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山西省：阳曲县、娄烦县、阳高县、天镇县、广灵县、灵丘县、浑源县、大同县、平顺县、壶关县、武乡县、沁县、沁源县、陵川县、榆社县、左权县、和顺县、昔阳县、万荣县、闻喜县、新绛县、离石区、垣曲县、夏县、平陆县、五台县、代县、繁峙县、宁武县、静乐县、忻府区、河曲县、保德县、偏关县、平鲁区、原平市、古县、浮山县、乡宁县、汾西县、文水县、交城县、兴县、临县、柳林县、石楼县、岚县、方山县、中阳县、交口县。</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安徽省：长丰县、怀远县、枞阳县、潜山县、太湖县、宿松县、望江县、岳西县、定远县、临泉县、太和县、阜南县、颍上县、界首市、砀山县、萧县、灵璧县、泗县、无为县、寿县、霍邱县、舒城县、金寨县、霍山县、裕安区、涡阳县、利辛县、石台县、郎溪县、泾县。</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湖北省：</w:t>
      </w:r>
      <w:r>
        <w:rPr>
          <w:rFonts w:ascii="宋体" w:hAnsi="宋体" w:eastAsia="宋体" w:cs="宋体"/>
          <w:sz w:val="24"/>
          <w:szCs w:val="24"/>
        </w:rPr>
        <w:t>阳新县、郧县、郧西县、竹山县、竹溪县、房县、丹江口市、远安县、兴山县、秭归县、长阳土家族自治县、五峰土家族自治县、当阳市、南漳县、保康县、孝昌县、大悟县、监利县、洪湖县、团风县、红安县、罗田县、英山县、浠水县、蕲春县、麻城市、崇阳县、通山县</w:t>
      </w:r>
      <w:r>
        <w:rPr>
          <w:rFonts w:hint="eastAsia" w:ascii="宋体" w:hAnsi="宋体" w:cs="宋体"/>
          <w:sz w:val="24"/>
          <w:szCs w:val="24"/>
          <w:lang w:eastAsia="zh-CN"/>
        </w:rPr>
        <w:t>。</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湖南省：</w:t>
      </w:r>
      <w:r>
        <w:rPr>
          <w:rFonts w:ascii="宋体" w:hAnsi="宋体" w:eastAsia="宋体" w:cs="宋体"/>
          <w:sz w:val="24"/>
          <w:szCs w:val="24"/>
        </w:rPr>
        <w:t>茶陵县、炎陵县、韶山市、衡山县、祁东县、耒阳市、新邵县、邵阳县、隆回县、绥宁县、新宁县、城步苗族自治县、平江县、澧县、津市市、慈利县、桑植县、南县、安化县、沅江市、永兴县、汝城县、桂东县、安仁县、祁阳县、江永县、宁远县、蓝山县、新田县、江华瑶族自治县、沅陵县、会同县、麻阳苗族自治县、新晃侗族自治县、芷江侗族自治县、靖州苗族侗族自治县、通道侗族自治县、双峰县、新化县、冷水江市</w:t>
      </w:r>
      <w:r>
        <w:rPr>
          <w:rFonts w:hint="eastAsia" w:ascii="宋体" w:hAnsi="宋体" w:cs="宋体"/>
          <w:sz w:val="24"/>
          <w:szCs w:val="24"/>
          <w:lang w:eastAsia="zh-CN"/>
        </w:rPr>
        <w:t>。</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江西省：乐平市、莲花县、修水县、德安县、都昌县、赣县、上犹县、安远县、宁都县、于都县、兴国县、会昌县、寻乌县、石城县、瑞金市、吉安县、吉水县、峡江县、新干县、永丰县、泰和县、遂川县、万安县、安福县、永新县、井冈山市、万载县、铜鼓县、黎川县、南丰县、乐安县、宜黄县、资溪县、广昌县、上饶县、横峰县、弋阳县、余干县、鄱阳县、万年县、德兴市。</w:t>
      </w: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河南省：</w:t>
      </w:r>
      <w:r>
        <w:rPr>
          <w:rFonts w:ascii="宋体" w:hAnsi="宋体" w:eastAsia="宋体" w:cs="宋体"/>
          <w:sz w:val="24"/>
          <w:szCs w:val="24"/>
        </w:rPr>
        <w:t>杞县、通许县、兰考县、栾川县、嵩县、汝阳县、宜阳县、洛宁县、叶县、鲁山县、郏县、滑县、内黄县、林州市、原阳县、封丘县、南乐县、范县、台前县、濮阳县、舞阳县、卢氏县、南召县、淅川县、社旗县、桐柏县、民权县、睢县、宁陵县、柘城县、虞城县、夏邑县、永城市、罗山县、光山县、新县、商城县、固始县、淮滨县、息县、扶沟县、商水县、沈丘县、郸城县、淮阳县、太康县、鹿邑县、上蔡县、平舆县、正阳县、确山县、泌阳县、汝南县、新蔡县</w:t>
      </w:r>
      <w:r>
        <w:rPr>
          <w:rFonts w:hint="eastAsia" w:ascii="宋体" w:hAnsi="宋体" w:cs="宋体"/>
          <w:sz w:val="24"/>
          <w:szCs w:val="24"/>
          <w:lang w:eastAsia="zh-CN"/>
        </w:rPr>
        <w:t>。</w:t>
      </w:r>
    </w:p>
    <w:p>
      <w:pPr>
        <w:rPr>
          <w:rFonts w:hint="eastAsia" w:ascii="宋体" w:hAnsi="宋体" w:cs="宋体"/>
          <w:sz w:val="24"/>
          <w:szCs w:val="24"/>
          <w:lang w:eastAsia="zh-CN"/>
        </w:rPr>
      </w:pPr>
      <w:r>
        <w:rPr>
          <w:rFonts w:hint="eastAsia" w:ascii="宋体" w:hAnsi="宋体" w:cs="宋体"/>
          <w:sz w:val="24"/>
          <w:szCs w:val="24"/>
          <w:lang w:eastAsia="zh-CN"/>
        </w:rPr>
        <w:br w:type="page"/>
      </w:r>
    </w:p>
    <w:p>
      <w:pPr>
        <w:jc w:val="both"/>
        <w:rPr>
          <w:sz w:val="32"/>
        </w:rPr>
      </w:pPr>
    </w:p>
    <w:p>
      <w:pPr>
        <w:jc w:val="center"/>
        <w:rPr>
          <w:rFonts w:hint="eastAsia" w:hAnsi="宋体"/>
          <w:kern w:val="0"/>
        </w:rPr>
      </w:pPr>
      <w:r>
        <w:rPr>
          <w:rFonts w:hAnsi="宋体"/>
          <w:kern w:val="0"/>
        </w:rPr>
        <w:object>
          <v:shape id="_x0000_i1029" o:spt="75" type="#_x0000_t75" style="height:46.5pt;width:206.05pt;" o:ole="t" fillcolor="#FFFFFF" filled="t" stroked="f" coordsize="21600,21600">
            <v:path/>
            <v:fill on="t" alignshape="1" focussize="0,0"/>
            <v:stroke on="f"/>
            <v:imagedata r:id="rId13" o:title=""/>
            <o:lock v:ext="edit" aspectratio="t"/>
            <w10:wrap type="none"/>
            <w10:anchorlock/>
          </v:shape>
          <o:OLEObject Type="Embed" ProgID="Word.Picture.8" ShapeID="_x0000_i1029" DrawAspect="Content" ObjectID="_1468075729" r:id="rId36">
            <o:LockedField>false</o:LockedField>
          </o:OLEObject>
        </w:object>
      </w:r>
    </w:p>
    <w:p>
      <w:pPr>
        <w:jc w:val="center"/>
        <w:rPr>
          <w:rFonts w:eastAsia="华文行楷"/>
          <w:sz w:val="44"/>
        </w:rPr>
      </w:pPr>
    </w:p>
    <w:p>
      <w:pPr>
        <w:tabs>
          <w:tab w:val="left" w:pos="0"/>
        </w:tabs>
        <w:jc w:val="center"/>
        <w:rPr>
          <w:rFonts w:ascii="华文中宋" w:hAnsi="华文中宋" w:eastAsia="华文中宋"/>
          <w:b/>
          <w:bCs/>
          <w:kern w:val="0"/>
          <w:sz w:val="44"/>
          <w:szCs w:val="44"/>
        </w:rPr>
      </w:pPr>
      <w:r>
        <w:rPr>
          <w:rFonts w:hint="eastAsia" w:ascii="华文中宋" w:hAnsi="华文中宋" w:eastAsia="华文中宋"/>
          <w:b/>
          <w:bCs/>
          <w:kern w:val="0"/>
          <w:sz w:val="44"/>
          <w:szCs w:val="44"/>
        </w:rPr>
        <w:t>本科生毕业设计（论文）任务书</w:t>
      </w:r>
    </w:p>
    <w:p>
      <w:pPr>
        <w:rPr>
          <w:sz w:val="32"/>
        </w:rPr>
      </w:pPr>
    </w:p>
    <w:p>
      <w:pPr>
        <w:rPr>
          <w:rFonts w:eastAsia="仿宋_GB2312"/>
          <w:sz w:val="32"/>
          <w:u w:val="single"/>
        </w:rPr>
      </w:pPr>
      <w:r>
        <w:rPr>
          <w:rFonts w:hint="eastAsia" w:eastAsia="华文中宋"/>
          <w:sz w:val="32"/>
          <w:lang w:val="en-US" w:eastAsia="zh-CN"/>
        </w:rPr>
        <w:tab/>
      </w:r>
      <w:r>
        <w:rPr>
          <w:rFonts w:hint="eastAsia" w:eastAsia="华文中宋"/>
          <w:sz w:val="32"/>
          <w:lang w:val="en-US" w:eastAsia="zh-CN"/>
        </w:rPr>
        <w:tab/>
      </w:r>
      <w:r>
        <w:rPr>
          <w:rFonts w:hint="eastAsia" w:ascii="华文中宋" w:hAnsi="华文中宋" w:eastAsia="华文中宋"/>
          <w:bCs/>
          <w:sz w:val="32"/>
        </w:rPr>
        <w:t>题</w:t>
      </w:r>
      <w:r>
        <w:rPr>
          <w:rFonts w:ascii="华文中宋" w:hAnsi="华文中宋" w:eastAsia="华文中宋"/>
          <w:bCs/>
          <w:sz w:val="32"/>
        </w:rPr>
        <w:t xml:space="preserve">    </w:t>
      </w:r>
      <w:r>
        <w:rPr>
          <w:rFonts w:hint="eastAsia" w:ascii="华文中宋" w:hAnsi="华文中宋" w:eastAsia="华文中宋"/>
          <w:bCs/>
          <w:sz w:val="32"/>
        </w:rPr>
        <w:t>目</w:t>
      </w:r>
      <w:r>
        <w:rPr>
          <w:rFonts w:eastAsia="仿宋_GB2312"/>
          <w:sz w:val="32"/>
          <w:u w:val="single"/>
        </w:rPr>
        <w:t xml:space="preserve">   </w:t>
      </w:r>
      <w:r>
        <w:rPr>
          <w:rFonts w:hint="eastAsia" w:ascii="宋体" w:hAnsi="宋体" w:eastAsia="宋体" w:cs="宋体"/>
          <w:b/>
          <w:bCs/>
          <w:kern w:val="0"/>
          <w:sz w:val="28"/>
          <w:szCs w:val="28"/>
          <w:u w:val="single"/>
          <w:lang w:val="en-US" w:eastAsia="zh-CN"/>
        </w:rPr>
        <w:t>税收与出口：来自增值税转型改革的证据</w:t>
      </w:r>
      <w:r>
        <w:rPr>
          <w:rFonts w:eastAsia="仿宋_GB2312"/>
          <w:sz w:val="32"/>
          <w:u w:val="single"/>
        </w:rPr>
        <w:t xml:space="preserve">   </w:t>
      </w:r>
    </w:p>
    <w:p>
      <w:pPr>
        <w:spacing w:line="600" w:lineRule="exact"/>
        <w:rPr>
          <w:rFonts w:hint="eastAsia" w:eastAsia="仿宋_GB2312"/>
          <w:sz w:val="32"/>
          <w:u w:val="single"/>
        </w:rPr>
      </w:pPr>
    </w:p>
    <w:p>
      <w:pPr>
        <w:spacing w:line="720" w:lineRule="auto"/>
        <w:jc w:val="center"/>
        <w:rPr>
          <w:rFonts w:hint="eastAsia" w:ascii="华文中宋" w:hAnsi="华文中宋" w:eastAsia="华文中宋"/>
          <w:bCs/>
          <w:sz w:val="24"/>
        </w:rPr>
      </w:pPr>
      <w:r>
        <w:rPr>
          <w:rFonts w:hint="eastAsia" w:ascii="华文中宋" w:hAnsi="华文中宋" w:eastAsia="华文中宋"/>
          <w:bCs/>
          <w:sz w:val="24"/>
        </w:rPr>
        <w:t>（任务起止日期：</w:t>
      </w:r>
      <w:r>
        <w:rPr>
          <w:rFonts w:ascii="华文中宋" w:hAnsi="华文中宋" w:eastAsia="华文中宋"/>
          <w:bCs/>
          <w:sz w:val="24"/>
        </w:rPr>
        <w:t>20</w:t>
      </w:r>
      <w:r>
        <w:rPr>
          <w:rFonts w:hint="eastAsia" w:ascii="华文中宋" w:hAnsi="华文中宋" w:eastAsia="华文中宋"/>
          <w:bCs/>
          <w:sz w:val="24"/>
          <w:lang w:val="en-US" w:eastAsia="zh-CN"/>
        </w:rPr>
        <w:t>21</w:t>
      </w:r>
      <w:r>
        <w:rPr>
          <w:rFonts w:hint="eastAsia" w:ascii="华文中宋" w:hAnsi="华文中宋" w:eastAsia="华文中宋"/>
          <w:bCs/>
          <w:sz w:val="24"/>
        </w:rPr>
        <w:t>年</w:t>
      </w:r>
      <w:r>
        <w:rPr>
          <w:rFonts w:hint="eastAsia" w:ascii="华文中宋" w:hAnsi="华文中宋" w:eastAsia="华文中宋"/>
          <w:bCs/>
          <w:sz w:val="24"/>
          <w:lang w:val="en-US" w:eastAsia="zh-CN"/>
        </w:rPr>
        <w:t>11</w:t>
      </w:r>
      <w:r>
        <w:rPr>
          <w:rFonts w:hint="eastAsia" w:ascii="华文中宋" w:hAnsi="华文中宋" w:eastAsia="华文中宋"/>
          <w:bCs/>
          <w:sz w:val="24"/>
        </w:rPr>
        <w:t>月</w:t>
      </w:r>
      <w:r>
        <w:rPr>
          <w:rFonts w:hint="eastAsia" w:ascii="华文中宋" w:hAnsi="华文中宋" w:eastAsia="华文中宋"/>
          <w:bCs/>
          <w:sz w:val="24"/>
          <w:lang w:val="en-US" w:eastAsia="zh-CN"/>
        </w:rPr>
        <w:t>2</w:t>
      </w:r>
      <w:r>
        <w:rPr>
          <w:rFonts w:hint="eastAsia" w:ascii="华文中宋" w:hAnsi="华文中宋" w:eastAsia="华文中宋"/>
          <w:bCs/>
          <w:sz w:val="24"/>
        </w:rPr>
        <w:t>日～20</w:t>
      </w:r>
      <w:r>
        <w:rPr>
          <w:rFonts w:hint="eastAsia" w:ascii="华文中宋" w:hAnsi="华文中宋" w:eastAsia="华文中宋"/>
          <w:bCs/>
          <w:sz w:val="24"/>
          <w:lang w:val="en-US" w:eastAsia="zh-CN"/>
        </w:rPr>
        <w:t>22</w:t>
      </w:r>
      <w:r>
        <w:rPr>
          <w:rFonts w:hint="eastAsia" w:ascii="华文中宋" w:hAnsi="华文中宋" w:eastAsia="华文中宋"/>
          <w:bCs/>
          <w:sz w:val="24"/>
        </w:rPr>
        <w:t>年</w:t>
      </w:r>
      <w:r>
        <w:rPr>
          <w:rFonts w:hint="eastAsia" w:ascii="华文中宋" w:hAnsi="华文中宋" w:eastAsia="华文中宋"/>
          <w:bCs/>
          <w:sz w:val="24"/>
          <w:lang w:val="en-US" w:eastAsia="zh-CN"/>
        </w:rPr>
        <w:t>6</w:t>
      </w:r>
      <w:r>
        <w:rPr>
          <w:rFonts w:hint="eastAsia" w:ascii="华文中宋" w:hAnsi="华文中宋" w:eastAsia="华文中宋"/>
          <w:bCs/>
          <w:sz w:val="24"/>
        </w:rPr>
        <w:t>月</w:t>
      </w:r>
      <w:r>
        <w:rPr>
          <w:rFonts w:hint="eastAsia" w:ascii="华文中宋" w:hAnsi="华文中宋" w:eastAsia="华文中宋"/>
          <w:bCs/>
          <w:sz w:val="24"/>
          <w:lang w:val="en-US" w:eastAsia="zh-CN"/>
        </w:rPr>
        <w:t>5</w:t>
      </w:r>
      <w:r>
        <w:rPr>
          <w:rFonts w:hint="eastAsia" w:ascii="华文中宋" w:hAnsi="华文中宋" w:eastAsia="华文中宋"/>
          <w:bCs/>
          <w:sz w:val="24"/>
        </w:rPr>
        <w:t>日）</w:t>
      </w:r>
    </w:p>
    <w:p>
      <w:pPr>
        <w:keepNext w:val="0"/>
        <w:keepLines w:val="0"/>
        <w:pageBreakBefore w:val="0"/>
        <w:widowControl w:val="0"/>
        <w:kinsoku/>
        <w:wordWrap/>
        <w:overflowPunct/>
        <w:topLinePunct w:val="0"/>
        <w:autoSpaceDE/>
        <w:autoSpaceDN/>
        <w:bidi w:val="0"/>
        <w:adjustRightInd/>
        <w:snapToGrid/>
        <w:spacing w:line="720" w:lineRule="auto"/>
        <w:ind w:firstLine="0"/>
        <w:jc w:val="center"/>
        <w:textAlignment w:val="auto"/>
        <w:rPr>
          <w:rFonts w:hint="eastAsia" w:ascii="华文中宋" w:hAnsi="华文中宋" w:eastAsia="华文中宋"/>
          <w:kern w:val="0"/>
          <w:sz w:val="32"/>
          <w:szCs w:val="32"/>
        </w:rPr>
      </w:pPr>
    </w:p>
    <w:p>
      <w:pPr>
        <w:keepNext w:val="0"/>
        <w:keepLines w:val="0"/>
        <w:pageBreakBefore w:val="0"/>
        <w:widowControl w:val="0"/>
        <w:kinsoku/>
        <w:wordWrap/>
        <w:overflowPunct/>
        <w:topLinePunct w:val="0"/>
        <w:autoSpaceDE/>
        <w:autoSpaceDN/>
        <w:bidi w:val="0"/>
        <w:adjustRightInd/>
        <w:snapToGrid/>
        <w:spacing w:line="720" w:lineRule="auto"/>
        <w:ind w:left="2520" w:leftChars="0" w:firstLine="0" w:firstLineChars="0"/>
        <w:jc w:val="both"/>
        <w:textAlignment w:val="auto"/>
        <w:rPr>
          <w:rFonts w:hint="default" w:ascii="华文中宋" w:hAnsi="华文中宋" w:eastAsia="华文中宋"/>
          <w:kern w:val="0"/>
          <w:sz w:val="32"/>
          <w:szCs w:val="32"/>
          <w:lang w:val="en-US"/>
        </w:rPr>
      </w:pPr>
      <w:r>
        <w:rPr>
          <w:rFonts w:hint="eastAsia" w:ascii="华文中宋" w:hAnsi="华文中宋" w:eastAsia="华文中宋"/>
          <w:kern w:val="0"/>
          <w:sz w:val="32"/>
          <w:szCs w:val="32"/>
        </w:rPr>
        <w:t>院    系</w:t>
      </w:r>
      <w:r>
        <w:rPr>
          <w:rFonts w:hint="eastAsia" w:ascii="华文中宋" w:hAnsi="华文中宋" w:eastAsia="华文中宋"/>
          <w:kern w:val="0"/>
          <w:sz w:val="32"/>
          <w:szCs w:val="32"/>
          <w:u w:val="single"/>
          <w:lang w:val="en-US" w:eastAsia="zh-CN"/>
        </w:rPr>
        <w:t xml:space="preserve">    </w:t>
      </w:r>
      <w:r>
        <w:rPr>
          <w:rFonts w:hint="eastAsia" w:ascii="宋体" w:hAnsi="宋体" w:eastAsia="宋体" w:cs="宋体"/>
          <w:kern w:val="0"/>
          <w:sz w:val="28"/>
          <w:szCs w:val="28"/>
          <w:u w:val="single"/>
          <w:lang w:val="en-US" w:eastAsia="zh-CN"/>
        </w:rPr>
        <w:t xml:space="preserve">管理学院财政学    </w:t>
      </w:r>
    </w:p>
    <w:p>
      <w:pPr>
        <w:keepNext w:val="0"/>
        <w:keepLines w:val="0"/>
        <w:pageBreakBefore w:val="0"/>
        <w:widowControl w:val="0"/>
        <w:kinsoku/>
        <w:wordWrap/>
        <w:overflowPunct/>
        <w:topLinePunct w:val="0"/>
        <w:autoSpaceDE/>
        <w:autoSpaceDN/>
        <w:bidi w:val="0"/>
        <w:adjustRightInd/>
        <w:snapToGrid/>
        <w:spacing w:line="720" w:lineRule="auto"/>
        <w:ind w:left="2520" w:leftChars="0" w:firstLine="0" w:firstLineChars="0"/>
        <w:jc w:val="both"/>
        <w:textAlignment w:val="auto"/>
        <w:rPr>
          <w:rFonts w:hint="default" w:ascii="华文中宋" w:hAnsi="华文中宋" w:eastAsia="华文中宋"/>
          <w:kern w:val="0"/>
          <w:sz w:val="32"/>
          <w:szCs w:val="32"/>
          <w:lang w:val="en-US"/>
        </w:rPr>
      </w:pPr>
      <w:r>
        <w:rPr>
          <w:rFonts w:hint="eastAsia" w:ascii="华文中宋" w:hAnsi="华文中宋" w:eastAsia="华文中宋"/>
          <w:kern w:val="0"/>
          <w:sz w:val="32"/>
          <w:szCs w:val="32"/>
        </w:rPr>
        <w:t>专业班级</w:t>
      </w:r>
      <w:r>
        <w:rPr>
          <w:rFonts w:hint="eastAsia" w:ascii="华文中宋" w:hAnsi="华文中宋" w:eastAsia="华文中宋"/>
          <w:kern w:val="0"/>
          <w:sz w:val="32"/>
          <w:szCs w:val="32"/>
          <w:u w:val="single"/>
          <w:lang w:val="en-US" w:eastAsia="zh-CN"/>
        </w:rPr>
        <w:t xml:space="preserve">       </w:t>
      </w:r>
      <w:r>
        <w:rPr>
          <w:rFonts w:hint="eastAsia" w:ascii="宋体" w:hAnsi="宋体" w:eastAsia="宋体" w:cs="宋体"/>
          <w:kern w:val="0"/>
          <w:sz w:val="28"/>
          <w:szCs w:val="28"/>
          <w:u w:val="single"/>
          <w:lang w:val="en-US" w:eastAsia="zh-CN"/>
        </w:rPr>
        <w:t xml:space="preserve">财政1801      </w:t>
      </w:r>
    </w:p>
    <w:p>
      <w:pPr>
        <w:keepNext w:val="0"/>
        <w:keepLines w:val="0"/>
        <w:pageBreakBefore w:val="0"/>
        <w:widowControl w:val="0"/>
        <w:kinsoku/>
        <w:wordWrap/>
        <w:overflowPunct/>
        <w:topLinePunct w:val="0"/>
        <w:autoSpaceDE/>
        <w:autoSpaceDN/>
        <w:bidi w:val="0"/>
        <w:adjustRightInd/>
        <w:snapToGrid/>
        <w:spacing w:line="720" w:lineRule="auto"/>
        <w:ind w:left="2520" w:leftChars="0" w:firstLine="0" w:firstLineChars="0"/>
        <w:jc w:val="both"/>
        <w:textAlignment w:val="auto"/>
        <w:rPr>
          <w:rFonts w:hint="default" w:ascii="华文中宋" w:hAnsi="华文中宋" w:eastAsia="华文中宋"/>
          <w:kern w:val="0"/>
          <w:sz w:val="32"/>
          <w:szCs w:val="32"/>
          <w:lang w:val="en-US"/>
        </w:rPr>
      </w:pPr>
      <w:r>
        <w:rPr>
          <w:rFonts w:hint="eastAsia" w:ascii="华文中宋" w:hAnsi="华文中宋" w:eastAsia="华文中宋"/>
          <w:kern w:val="0"/>
          <w:sz w:val="32"/>
          <w:szCs w:val="32"/>
        </w:rPr>
        <w:t>姓    名</w:t>
      </w:r>
      <w:r>
        <w:rPr>
          <w:rFonts w:hint="eastAsia" w:ascii="华文中宋" w:hAnsi="华文中宋" w:eastAsia="华文中宋"/>
          <w:kern w:val="0"/>
          <w:sz w:val="32"/>
          <w:szCs w:val="32"/>
          <w:u w:val="single"/>
          <w:lang w:val="en-US" w:eastAsia="zh-CN"/>
        </w:rPr>
        <w:t xml:space="preserve">      </w:t>
      </w:r>
      <w:r>
        <w:rPr>
          <w:rFonts w:hint="eastAsia" w:ascii="宋体" w:hAnsi="宋体" w:eastAsia="宋体" w:cs="宋体"/>
          <w:kern w:val="0"/>
          <w:sz w:val="28"/>
          <w:szCs w:val="28"/>
          <w:u w:val="single"/>
          <w:lang w:val="en-US" w:eastAsia="zh-CN"/>
        </w:rPr>
        <w:t xml:space="preserve">陈明蕊          </w:t>
      </w:r>
    </w:p>
    <w:p>
      <w:pPr>
        <w:keepNext w:val="0"/>
        <w:keepLines w:val="0"/>
        <w:pageBreakBefore w:val="0"/>
        <w:widowControl w:val="0"/>
        <w:kinsoku/>
        <w:wordWrap/>
        <w:overflowPunct/>
        <w:topLinePunct w:val="0"/>
        <w:autoSpaceDE/>
        <w:autoSpaceDN/>
        <w:bidi w:val="0"/>
        <w:adjustRightInd/>
        <w:snapToGrid/>
        <w:spacing w:line="720" w:lineRule="auto"/>
        <w:ind w:left="2520" w:leftChars="0" w:firstLine="0" w:firstLineChars="0"/>
        <w:jc w:val="both"/>
        <w:textAlignment w:val="auto"/>
        <w:rPr>
          <w:rFonts w:hint="default" w:ascii="华文中宋" w:hAnsi="华文中宋" w:eastAsia="华文中宋"/>
          <w:kern w:val="0"/>
          <w:sz w:val="32"/>
          <w:szCs w:val="32"/>
          <w:lang w:val="en-US"/>
        </w:rPr>
      </w:pPr>
      <w:r>
        <w:rPr>
          <w:rFonts w:hint="eastAsia" w:ascii="华文中宋" w:hAnsi="华文中宋" w:eastAsia="华文中宋"/>
          <w:kern w:val="0"/>
          <w:sz w:val="32"/>
          <w:szCs w:val="32"/>
        </w:rPr>
        <w:t>学    号</w:t>
      </w:r>
      <w:r>
        <w:rPr>
          <w:rFonts w:hint="eastAsia" w:ascii="华文中宋" w:hAnsi="华文中宋" w:eastAsia="华文中宋"/>
          <w:kern w:val="0"/>
          <w:sz w:val="32"/>
          <w:szCs w:val="32"/>
          <w:u w:val="single"/>
          <w:lang w:val="en-US" w:eastAsia="zh-CN"/>
        </w:rPr>
        <w:t xml:space="preserve">       </w:t>
      </w:r>
      <w:r>
        <w:rPr>
          <w:rFonts w:hint="eastAsia" w:ascii="宋体" w:hAnsi="宋体" w:eastAsia="宋体" w:cs="宋体"/>
          <w:kern w:val="0"/>
          <w:sz w:val="28"/>
          <w:szCs w:val="28"/>
          <w:u w:val="single"/>
          <w:lang w:val="en-US" w:eastAsia="zh-CN"/>
        </w:rPr>
        <w:t xml:space="preserve">U201815928     </w:t>
      </w:r>
    </w:p>
    <w:p>
      <w:pPr>
        <w:keepNext w:val="0"/>
        <w:keepLines w:val="0"/>
        <w:pageBreakBefore w:val="0"/>
        <w:widowControl w:val="0"/>
        <w:kinsoku/>
        <w:wordWrap/>
        <w:overflowPunct/>
        <w:topLinePunct w:val="0"/>
        <w:autoSpaceDE/>
        <w:autoSpaceDN/>
        <w:bidi w:val="0"/>
        <w:adjustRightInd/>
        <w:snapToGrid/>
        <w:spacing w:line="720" w:lineRule="auto"/>
        <w:ind w:left="2520" w:leftChars="0" w:firstLine="0" w:firstLineChars="0"/>
        <w:jc w:val="both"/>
        <w:textAlignment w:val="auto"/>
        <w:rPr>
          <w:rFonts w:hint="default" w:ascii="华文中宋" w:hAnsi="华文中宋" w:eastAsia="华文中宋"/>
          <w:kern w:val="0"/>
          <w:sz w:val="32"/>
          <w:szCs w:val="32"/>
          <w:lang w:val="en-US"/>
        </w:rPr>
      </w:pPr>
      <w:r>
        <w:rPr>
          <w:rFonts w:hint="eastAsia" w:ascii="华文中宋" w:hAnsi="华文中宋" w:eastAsia="华文中宋"/>
          <w:kern w:val="0"/>
          <w:sz w:val="32"/>
          <w:szCs w:val="32"/>
        </w:rPr>
        <w:t>指导教师</w:t>
      </w:r>
      <w:r>
        <w:rPr>
          <w:rFonts w:hint="eastAsia" w:ascii="宋体" w:hAnsi="宋体" w:eastAsia="宋体" w:cs="宋体"/>
          <w:kern w:val="0"/>
          <w:sz w:val="28"/>
          <w:szCs w:val="28"/>
          <w:u w:val="single"/>
          <w:lang w:val="en-US" w:eastAsia="zh-CN"/>
        </w:rPr>
        <w:t xml:space="preserve">        赵奎           </w:t>
      </w:r>
    </w:p>
    <w:p>
      <w:pPr>
        <w:jc w:val="both"/>
        <w:rPr>
          <w:rFonts w:ascii="华文中宋" w:hAnsi="华文中宋" w:eastAsia="华文中宋"/>
          <w:bCs/>
          <w:sz w:val="24"/>
        </w:rPr>
      </w:pPr>
    </w:p>
    <w:p>
      <w:pPr>
        <w:spacing w:line="600" w:lineRule="exact"/>
        <w:jc w:val="center"/>
        <w:rPr>
          <w:rFonts w:eastAsia="仿宋_GB2312"/>
          <w:bCs/>
          <w:sz w:val="30"/>
          <w:szCs w:val="30"/>
        </w:rPr>
      </w:pPr>
      <w:r>
        <w:rPr>
          <w:rFonts w:hint="eastAsia" w:ascii="华文中宋" w:hAnsi="华文中宋" w:eastAsia="华文中宋"/>
          <w:bCs/>
          <w:spacing w:val="-20"/>
          <w:sz w:val="30"/>
          <w:szCs w:val="30"/>
        </w:rPr>
        <w:t>教研室（系、所）负责人</w:t>
      </w:r>
      <w:r>
        <w:rPr>
          <w:rFonts w:ascii="华文中宋" w:hAnsi="华文中宋" w:eastAsia="华文中宋"/>
          <w:bCs/>
          <w:spacing w:val="-20"/>
          <w:sz w:val="30"/>
          <w:szCs w:val="30"/>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21</w:t>
      </w:r>
      <w:r>
        <w:rPr>
          <w:rFonts w:hint="eastAsia" w:ascii="华文中宋" w:hAnsi="华文中宋" w:eastAsia="华文中宋"/>
          <w:bCs/>
          <w:spacing w:val="-20"/>
          <w:sz w:val="30"/>
          <w:szCs w:val="30"/>
        </w:rPr>
        <w:t xml:space="preserve"> 年</w:t>
      </w:r>
      <w:r>
        <w:rPr>
          <w:rFonts w:hint="eastAsia" w:ascii="华文中宋" w:hAnsi="华文中宋" w:eastAsia="华文中宋"/>
          <w:bCs/>
          <w:spacing w:val="-20"/>
          <w:sz w:val="30"/>
          <w:szCs w:val="30"/>
          <w:lang w:val="en-US" w:eastAsia="zh-CN"/>
        </w:rPr>
        <w:t>10</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hint="eastAsia" w:ascii="华文中宋" w:hAnsi="华文中宋" w:eastAsia="华文中宋"/>
          <w:bCs/>
          <w:spacing w:val="-20"/>
          <w:sz w:val="30"/>
          <w:szCs w:val="30"/>
          <w:lang w:val="en-US" w:eastAsia="zh-CN"/>
        </w:rPr>
        <w:t>28</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日审查</w:t>
      </w:r>
    </w:p>
    <w:p>
      <w:pPr>
        <w:spacing w:line="600" w:lineRule="exact"/>
        <w:jc w:val="center"/>
        <w:rPr>
          <w:rFonts w:hint="eastAsia" w:ascii="华文中宋" w:hAnsi="华文中宋" w:eastAsia="华文中宋"/>
          <w:bCs/>
          <w:spacing w:val="-20"/>
          <w:sz w:val="30"/>
          <w:szCs w:val="30"/>
        </w:rPr>
      </w:pPr>
      <w:r>
        <w:rPr>
          <w:rFonts w:hint="eastAsia" w:ascii="华文中宋" w:hAnsi="华文中宋" w:eastAsia="华文中宋"/>
          <w:bCs/>
          <w:spacing w:val="-20"/>
          <w:sz w:val="30"/>
          <w:szCs w:val="30"/>
        </w:rPr>
        <w:t>院（系）负责人</w:t>
      </w:r>
      <w:r>
        <w:rPr>
          <w:rFonts w:ascii="华文中宋" w:hAnsi="华文中宋" w:eastAsia="华文中宋"/>
          <w:bCs/>
          <w:spacing w:val="-20"/>
          <w:sz w:val="30"/>
          <w:szCs w:val="30"/>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21</w:t>
      </w:r>
      <w:r>
        <w:rPr>
          <w:rFonts w:hint="eastAsia" w:ascii="华文中宋" w:hAnsi="华文中宋" w:eastAsia="华文中宋"/>
          <w:bCs/>
          <w:spacing w:val="-20"/>
          <w:sz w:val="30"/>
          <w:szCs w:val="30"/>
        </w:rPr>
        <w:t xml:space="preserve"> 年</w:t>
      </w:r>
      <w:r>
        <w:rPr>
          <w:rFonts w:hint="eastAsia" w:ascii="华文中宋" w:hAnsi="华文中宋" w:eastAsia="华文中宋"/>
          <w:bCs/>
          <w:spacing w:val="-20"/>
          <w:sz w:val="30"/>
          <w:szCs w:val="30"/>
          <w:lang w:val="en-US" w:eastAsia="zh-CN"/>
        </w:rPr>
        <w:t xml:space="preserve">  11</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hint="eastAsia" w:ascii="华文中宋" w:hAnsi="华文中宋" w:eastAsia="华文中宋"/>
          <w:bCs/>
          <w:spacing w:val="-20"/>
          <w:sz w:val="30"/>
          <w:szCs w:val="30"/>
          <w:lang w:val="en-US" w:eastAsia="zh-CN"/>
        </w:rPr>
        <w:t xml:space="preserve">  2</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日批准</w:t>
      </w:r>
    </w:p>
    <w:p>
      <w:pPr>
        <w:spacing w:line="600" w:lineRule="exact"/>
        <w:jc w:val="center"/>
        <w:rPr>
          <w:rFonts w:hint="eastAsia" w:ascii="华文中宋" w:hAnsi="华文中宋" w:eastAsia="华文中宋"/>
          <w:bCs/>
          <w:spacing w:val="-20"/>
          <w:sz w:val="30"/>
          <w:szCs w:val="30"/>
        </w:rPr>
      </w:pPr>
    </w:p>
    <w:p>
      <w:pPr>
        <w:jc w:val="center"/>
        <w:rPr>
          <w:rFonts w:hint="eastAsia" w:ascii="公文小标宋简" w:eastAsia="公文小标宋简"/>
          <w:bCs/>
          <w:sz w:val="44"/>
          <w:szCs w:val="44"/>
        </w:rPr>
      </w:pPr>
      <w:r>
        <w:rPr>
          <w:rFonts w:hint="eastAsia" w:ascii="公文小标宋简" w:eastAsia="公文小标宋简"/>
          <w:bCs/>
          <w:sz w:val="44"/>
          <w:szCs w:val="44"/>
        </w:rPr>
        <w:t>华中科技大学本科毕业设计（论文）任务书</w:t>
      </w:r>
    </w:p>
    <w:p>
      <w:pPr>
        <w:jc w:val="center"/>
        <w:rPr>
          <w:rFonts w:hint="eastAsia" w:ascii="公文小标宋简" w:hAnsi="华文中宋" w:eastAsia="公文小标宋简"/>
          <w:bCs/>
          <w:sz w:val="44"/>
          <w:szCs w:val="44"/>
        </w:rPr>
      </w:pPr>
      <w:r>
        <w:rPr>
          <w:rFonts w:hint="eastAsia" w:ascii="公文小标宋简" w:hAnsi="华文中宋" w:eastAsia="公文小标宋简"/>
          <w:bCs/>
          <w:sz w:val="44"/>
          <w:szCs w:val="44"/>
        </w:rPr>
        <w:t>填写要求</w:t>
      </w:r>
    </w:p>
    <w:p>
      <w:pPr>
        <w:spacing w:line="520" w:lineRule="exact"/>
        <w:jc w:val="center"/>
        <w:rPr>
          <w:rFonts w:hint="eastAsia" w:ascii="仿宋_GB2312" w:eastAsia="仿宋_GB2312"/>
          <w:b/>
          <w:sz w:val="32"/>
          <w:szCs w:val="32"/>
        </w:rPr>
      </w:pPr>
    </w:p>
    <w:p>
      <w:pPr>
        <w:numPr>
          <w:ilvl w:val="0"/>
          <w:numId w:val="5"/>
        </w:numPr>
        <w:spacing w:line="560" w:lineRule="exact"/>
        <w:ind w:leftChars="300"/>
        <w:rPr>
          <w:rFonts w:hint="eastAsia" w:ascii="仿宋_GB2312" w:hAnsi="宋体" w:eastAsia="仿宋_GB2312"/>
          <w:sz w:val="32"/>
          <w:szCs w:val="32"/>
        </w:rPr>
      </w:pPr>
      <w:r>
        <w:rPr>
          <w:rFonts w:hint="eastAsia" w:ascii="仿宋_GB2312" w:hAnsi="宋体" w:eastAsia="仿宋_GB2312"/>
          <w:sz w:val="32"/>
          <w:szCs w:val="32"/>
        </w:rPr>
        <w:t>填表请用五号宋体字编辑，签名须手写，A4纸双面打印。</w:t>
      </w:r>
    </w:p>
    <w:p>
      <w:pPr>
        <w:numPr>
          <w:ilvl w:val="0"/>
          <w:numId w:val="5"/>
        </w:numPr>
        <w:spacing w:line="560" w:lineRule="exact"/>
        <w:ind w:leftChars="300"/>
        <w:rPr>
          <w:rFonts w:hint="eastAsia" w:ascii="仿宋_GB2312" w:hAnsi="宋体" w:eastAsia="仿宋_GB2312"/>
          <w:sz w:val="32"/>
          <w:szCs w:val="32"/>
        </w:rPr>
      </w:pPr>
      <w:r>
        <w:rPr>
          <w:rFonts w:hint="eastAsia" w:ascii="仿宋_GB2312" w:hAnsi="宋体" w:eastAsia="仿宋_GB2312"/>
          <w:sz w:val="32"/>
          <w:szCs w:val="32"/>
        </w:rPr>
        <w:t>此任务书表格内容应由指导教师填写。</w:t>
      </w:r>
    </w:p>
    <w:p>
      <w:pPr>
        <w:spacing w:line="560" w:lineRule="exact"/>
        <w:ind w:left="1270" w:leftChars="300" w:hanging="640" w:hangingChars="200"/>
        <w:rPr>
          <w:rFonts w:hint="eastAsia" w:ascii="仿宋_GB2312" w:hAnsi="宋体" w:eastAsia="仿宋_GB2312"/>
          <w:sz w:val="32"/>
          <w:szCs w:val="32"/>
        </w:rPr>
      </w:pPr>
      <w:r>
        <w:rPr>
          <w:rFonts w:hint="eastAsia" w:ascii="仿宋_GB2312" w:hAnsi="宋体" w:eastAsia="仿宋_GB2312"/>
          <w:sz w:val="32"/>
          <w:szCs w:val="32"/>
        </w:rPr>
        <w:t>三、此任务书最迟必须在毕业设计（论文）</w:t>
      </w:r>
      <w:r>
        <w:rPr>
          <w:rFonts w:hint="eastAsia" w:ascii="仿宋_GB2312" w:hAnsi="宋体" w:eastAsia="仿宋_GB2312"/>
          <w:b/>
          <w:sz w:val="32"/>
          <w:szCs w:val="32"/>
        </w:rPr>
        <w:t>开始前一周下达给学生</w:t>
      </w:r>
      <w:r>
        <w:rPr>
          <w:rFonts w:hint="eastAsia" w:ascii="仿宋_GB2312" w:hAnsi="宋体" w:eastAsia="仿宋_GB2312"/>
          <w:sz w:val="32"/>
          <w:szCs w:val="32"/>
        </w:rPr>
        <w:t>。</w:t>
      </w:r>
    </w:p>
    <w:p>
      <w:pPr>
        <w:rPr>
          <w:rFonts w:hint="eastAsia" w:ascii="宋体" w:hAnsi="宋体"/>
          <w:sz w:val="30"/>
          <w:szCs w:val="30"/>
        </w:rPr>
      </w:pPr>
    </w:p>
    <w:p>
      <w:pPr>
        <w:jc w:val="center"/>
        <w:rPr>
          <w:rFonts w:hint="eastAsia" w:ascii="华文细黑" w:hAnsi="华文细黑" w:eastAsia="华文细黑"/>
          <w:bCs/>
          <w:kern w:val="0"/>
          <w:sz w:val="28"/>
          <w:szCs w:val="28"/>
        </w:rPr>
      </w:pPr>
    </w:p>
    <w:p>
      <w:pPr>
        <w:jc w:val="center"/>
        <w:rPr>
          <w:rFonts w:hint="eastAsia" w:ascii="华文细黑" w:hAnsi="华文细黑" w:eastAsia="华文细黑"/>
          <w:bCs/>
          <w:kern w:val="0"/>
          <w:sz w:val="28"/>
          <w:szCs w:val="28"/>
        </w:rPr>
      </w:pPr>
    </w:p>
    <w:p>
      <w:pPr>
        <w:jc w:val="center"/>
        <w:rPr>
          <w:rFonts w:hint="eastAsia" w:ascii="华文细黑" w:hAnsi="华文细黑" w:eastAsia="华文细黑"/>
          <w:bCs/>
          <w:kern w:val="0"/>
          <w:sz w:val="28"/>
          <w:szCs w:val="28"/>
        </w:rPr>
      </w:pPr>
    </w:p>
    <w:p>
      <w:pPr>
        <w:jc w:val="center"/>
        <w:rPr>
          <w:rFonts w:hint="eastAsia" w:ascii="华文细黑" w:hAnsi="华文细黑" w:eastAsia="华文细黑"/>
          <w:bCs/>
          <w:kern w:val="0"/>
          <w:sz w:val="28"/>
          <w:szCs w:val="28"/>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tbl>
      <w:tblPr>
        <w:tblStyle w:val="10"/>
        <w:tblW w:w="0" w:type="auto"/>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18" w:hRule="atLeast"/>
        </w:trPr>
        <w:tc>
          <w:tcPr>
            <w:tcW w:w="8454" w:type="dxa"/>
            <w:noWrap w:val="0"/>
            <w:vAlign w:val="top"/>
          </w:tcPr>
          <w:p>
            <w:pPr>
              <w:jc w:val="left"/>
              <w:rPr>
                <w:rFonts w:hint="eastAsia" w:ascii="华文中宋" w:eastAsia="华文中宋"/>
                <w:bCs/>
                <w:sz w:val="28"/>
              </w:rPr>
            </w:pPr>
            <w:r>
              <w:rPr>
                <w:rFonts w:hint="eastAsia" w:ascii="华文中宋" w:eastAsia="华文中宋"/>
                <w:bCs/>
                <w:sz w:val="28"/>
              </w:rPr>
              <w:t>课题内容：</w:t>
            </w:r>
          </w:p>
          <w:p>
            <w:pPr>
              <w:ind w:firstLine="420" w:firstLineChars="200"/>
              <w:jc w:val="both"/>
              <w:rPr>
                <w:rFonts w:ascii="华文中宋" w:eastAsia="华文中宋"/>
                <w:bCs/>
                <w:sz w:val="28"/>
              </w:rPr>
            </w:pPr>
            <w:r>
              <w:rPr>
                <w:rFonts w:hint="eastAsia"/>
                <w:sz w:val="21"/>
                <w:szCs w:val="21"/>
                <w:lang w:val="en-US" w:eastAsia="zh-CN"/>
              </w:rPr>
              <w:t>本课题旨在根据中国增值税转型改革的经验，通过结合转型改革的实施特点对该领域现存研究策略进行改进，提高研究结果的可信度，并通过对基础回归结果的分析和异质性分析为我国未来的税收改革政策提供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3" w:hRule="atLeast"/>
        </w:trPr>
        <w:tc>
          <w:tcPr>
            <w:tcW w:w="8454"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课题任务要求：</w:t>
            </w:r>
          </w:p>
          <w:p>
            <w:pPr>
              <w:numPr>
                <w:ilvl w:val="0"/>
                <w:numId w:val="6"/>
              </w:numPr>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技能要求</w:t>
            </w:r>
          </w:p>
          <w:p>
            <w:pPr>
              <w:numPr>
                <w:ilvl w:val="0"/>
                <w:numId w:val="0"/>
              </w:numPr>
              <w:ind w:firstLine="210" w:firstLineChars="100"/>
              <w:jc w:val="both"/>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熟悉工业企业数据库以及其他常用数据库的数据特点，并熟练掌握数据搜集、数据匹配、清洗方法；熟练掌握用stata进行DID回归及平行趋势检验的方法。</w:t>
            </w:r>
          </w:p>
          <w:p>
            <w:pPr>
              <w:numPr>
                <w:ilvl w:val="0"/>
                <w:numId w:val="0"/>
              </w:numPr>
              <w:jc w:val="both"/>
              <w:rPr>
                <w:rFonts w:hint="eastAsia" w:ascii="Times New Roman" w:hAnsi="Times New Roman" w:eastAsia="宋体" w:cs="Times New Roman"/>
                <w:sz w:val="21"/>
                <w:szCs w:val="21"/>
                <w:lang w:val="en-US" w:eastAsia="zh-CN"/>
              </w:rPr>
            </w:pPr>
          </w:p>
          <w:p>
            <w:pPr>
              <w:numPr>
                <w:ilvl w:val="0"/>
                <w:numId w:val="6"/>
              </w:numPr>
              <w:ind w:left="0" w:leftChars="0" w:firstLine="0" w:firstLineChars="0"/>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质量要求</w:t>
            </w:r>
          </w:p>
          <w:p>
            <w:pPr>
              <w:numPr>
                <w:ilvl w:val="0"/>
                <w:numId w:val="0"/>
              </w:numPr>
              <w:ind w:leftChars="0"/>
              <w:jc w:val="both"/>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 xml:space="preserve">  要求论文结构完整，观点清晰明确、论据充分，争取达到可发表水平。</w:t>
            </w:r>
          </w:p>
          <w:p>
            <w:pPr>
              <w:numPr>
                <w:ilvl w:val="0"/>
                <w:numId w:val="6"/>
              </w:numPr>
              <w:ind w:left="0" w:leftChars="0" w:firstLine="0" w:firstLineChars="0"/>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进度要求</w:t>
            </w:r>
          </w:p>
          <w:p>
            <w:pPr>
              <w:jc w:val="center"/>
              <w:rPr>
                <w:rFonts w:ascii="楷体_GB2312" w:hAnsi="宋体" w:eastAsia="楷体_GB2312"/>
                <w:color w:val="FF0000"/>
                <w:sz w:val="24"/>
                <w:szCs w:val="24"/>
              </w:rPr>
            </w:pPr>
            <w:r>
              <w:rPr>
                <w:rFonts w:hint="eastAsia"/>
                <w:sz w:val="24"/>
                <w:szCs w:val="24"/>
              </w:rPr>
              <w:t>课题研究进度安排表</w:t>
            </w:r>
          </w:p>
          <w:tbl>
            <w:tblPr>
              <w:tblStyle w:val="10"/>
              <w:tblW w:w="0" w:type="auto"/>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63"/>
              <w:gridCol w:w="2171"/>
              <w:gridCol w:w="4804"/>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noWrap w:val="0"/>
                  <w:vAlign w:val="top"/>
                </w:tcPr>
                <w:p>
                  <w:pPr>
                    <w:jc w:val="center"/>
                    <w:rPr>
                      <w:rFonts w:hint="eastAsia"/>
                      <w:sz w:val="24"/>
                      <w:szCs w:val="24"/>
                    </w:rPr>
                  </w:pPr>
                  <w:r>
                    <w:rPr>
                      <w:rFonts w:hint="eastAsia"/>
                      <w:sz w:val="24"/>
                      <w:szCs w:val="24"/>
                    </w:rPr>
                    <w:t>学期</w:t>
                  </w:r>
                </w:p>
              </w:tc>
              <w:tc>
                <w:tcPr>
                  <w:tcW w:w="2248" w:type="dxa"/>
                  <w:noWrap w:val="0"/>
                  <w:vAlign w:val="top"/>
                </w:tcPr>
                <w:p>
                  <w:pPr>
                    <w:jc w:val="center"/>
                    <w:rPr>
                      <w:rFonts w:hint="eastAsia"/>
                      <w:sz w:val="24"/>
                      <w:szCs w:val="24"/>
                    </w:rPr>
                  </w:pPr>
                  <w:r>
                    <w:rPr>
                      <w:rFonts w:hint="eastAsia"/>
                      <w:sz w:val="24"/>
                      <w:szCs w:val="24"/>
                    </w:rPr>
                    <w:t>周次</w:t>
                  </w:r>
                </w:p>
              </w:tc>
              <w:tc>
                <w:tcPr>
                  <w:tcW w:w="5011" w:type="dxa"/>
                  <w:noWrap w:val="0"/>
                  <w:vAlign w:val="top"/>
                </w:tcPr>
                <w:p>
                  <w:pPr>
                    <w:jc w:val="center"/>
                    <w:rPr>
                      <w:rFonts w:hint="eastAsia"/>
                      <w:sz w:val="24"/>
                      <w:szCs w:val="24"/>
                    </w:rPr>
                  </w:pPr>
                  <w:r>
                    <w:rPr>
                      <w:rFonts w:hint="eastAsia"/>
                      <w:sz w:val="24"/>
                      <w:szCs w:val="24"/>
                    </w:rPr>
                    <w:t>工作任务</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restart"/>
                  <w:noWrap w:val="0"/>
                  <w:vAlign w:val="center"/>
                </w:tcPr>
                <w:p>
                  <w:pPr>
                    <w:jc w:val="center"/>
                    <w:rPr>
                      <w:rFonts w:hint="default" w:eastAsia="宋体"/>
                      <w:sz w:val="24"/>
                      <w:szCs w:val="24"/>
                      <w:lang w:val="en-US" w:eastAsia="zh-CN"/>
                    </w:rPr>
                  </w:pPr>
                  <w:r>
                    <w:rPr>
                      <w:rFonts w:hint="eastAsia"/>
                      <w:sz w:val="24"/>
                      <w:szCs w:val="24"/>
                      <w:lang w:val="en-US" w:eastAsia="zh-CN"/>
                    </w:rPr>
                    <w:t>2021-2022第七学期</w:t>
                  </w:r>
                </w:p>
              </w:tc>
              <w:tc>
                <w:tcPr>
                  <w:tcW w:w="2248" w:type="dxa"/>
                  <w:noWrap w:val="0"/>
                  <w:vAlign w:val="top"/>
                </w:tcPr>
                <w:p>
                  <w:pPr>
                    <w:spacing w:line="360" w:lineRule="auto"/>
                    <w:jc w:val="center"/>
                    <w:rPr>
                      <w:rFonts w:hint="default" w:ascii="宋体" w:hAnsi="宋体" w:eastAsia="宋体"/>
                      <w:sz w:val="24"/>
                      <w:szCs w:val="24"/>
                      <w:lang w:val="en-US" w:eastAsia="zh-CN"/>
                    </w:rPr>
                  </w:pPr>
                  <w:r>
                    <w:rPr>
                      <w:rFonts w:hint="eastAsia" w:ascii="宋体" w:hAnsi="宋体"/>
                      <w:sz w:val="24"/>
                      <w:szCs w:val="24"/>
                      <w:lang w:val="en-US" w:eastAsia="zh-CN"/>
                    </w:rPr>
                    <w:t>第8周——第13周</w:t>
                  </w:r>
                </w:p>
              </w:tc>
              <w:tc>
                <w:tcPr>
                  <w:tcW w:w="5011" w:type="dxa"/>
                  <w:noWrap w:val="0"/>
                  <w:vAlign w:val="top"/>
                </w:tcPr>
                <w:p>
                  <w:pPr>
                    <w:spacing w:line="360" w:lineRule="auto"/>
                    <w:jc w:val="center"/>
                    <w:rPr>
                      <w:rFonts w:hint="eastAsia" w:ascii="宋体" w:hAnsi="宋体"/>
                      <w:sz w:val="24"/>
                      <w:szCs w:val="24"/>
                    </w:rPr>
                  </w:pPr>
                  <w:r>
                    <w:rPr>
                      <w:rFonts w:hint="eastAsia" w:ascii="宋体" w:hAnsi="宋体"/>
                      <w:sz w:val="24"/>
                      <w:szCs w:val="24"/>
                      <w:lang w:val="en-US" w:eastAsia="zh-CN"/>
                    </w:rPr>
                    <w:t>前期理论调研和数据整理</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eastAsia" w:ascii="宋体" w:hAnsi="宋体" w:eastAsia="宋体"/>
                      <w:sz w:val="24"/>
                      <w:szCs w:val="24"/>
                      <w:lang w:val="en-US" w:eastAsia="zh-CN"/>
                    </w:rPr>
                  </w:pPr>
                  <w:r>
                    <w:rPr>
                      <w:rFonts w:hint="eastAsia" w:ascii="宋体" w:hAnsi="宋体"/>
                      <w:sz w:val="24"/>
                      <w:szCs w:val="24"/>
                      <w:lang w:val="en-US" w:eastAsia="zh-CN"/>
                    </w:rPr>
                    <w:t>第14周——第15周</w:t>
                  </w:r>
                </w:p>
              </w:tc>
              <w:tc>
                <w:tcPr>
                  <w:tcW w:w="5011" w:type="dxa"/>
                  <w:noWrap w:val="0"/>
                  <w:vAlign w:val="top"/>
                </w:tcPr>
                <w:p>
                  <w:pPr>
                    <w:spacing w:line="360" w:lineRule="auto"/>
                    <w:jc w:val="center"/>
                    <w:rPr>
                      <w:rFonts w:hint="default" w:ascii="宋体" w:hAnsi="宋体" w:eastAsia="宋体"/>
                      <w:sz w:val="24"/>
                      <w:szCs w:val="24"/>
                      <w:lang w:val="en-US" w:eastAsia="zh-CN"/>
                    </w:rPr>
                  </w:pPr>
                  <w:r>
                    <w:rPr>
                      <w:rFonts w:hint="eastAsia" w:ascii="宋体" w:hAnsi="宋体"/>
                      <w:sz w:val="24"/>
                      <w:szCs w:val="24"/>
                      <w:lang w:val="en-US" w:eastAsia="zh-CN"/>
                    </w:rPr>
                    <w:t>完成基础回归和外文翻译</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eastAsia" w:ascii="宋体" w:hAnsi="宋体"/>
                      <w:sz w:val="24"/>
                      <w:szCs w:val="24"/>
                    </w:rPr>
                  </w:pPr>
                  <w:r>
                    <w:rPr>
                      <w:rFonts w:hint="eastAsia" w:ascii="宋体" w:hAnsi="宋体"/>
                      <w:sz w:val="24"/>
                      <w:szCs w:val="24"/>
                      <w:lang w:val="en-US" w:eastAsia="zh-CN"/>
                    </w:rPr>
                    <w:t>第16周——第18周</w:t>
                  </w:r>
                </w:p>
              </w:tc>
              <w:tc>
                <w:tcPr>
                  <w:tcW w:w="5011" w:type="dxa"/>
                  <w:noWrap w:val="0"/>
                  <w:vAlign w:val="top"/>
                </w:tcPr>
                <w:p>
                  <w:pPr>
                    <w:spacing w:line="360" w:lineRule="auto"/>
                    <w:jc w:val="center"/>
                    <w:rPr>
                      <w:rFonts w:hint="default" w:ascii="宋体" w:hAnsi="宋体" w:eastAsia="宋体"/>
                      <w:sz w:val="24"/>
                      <w:szCs w:val="24"/>
                      <w:lang w:val="en-US" w:eastAsia="zh-CN"/>
                    </w:rPr>
                  </w:pPr>
                  <w:r>
                    <w:rPr>
                      <w:rFonts w:hint="eastAsia" w:ascii="宋体" w:hAnsi="宋体"/>
                      <w:sz w:val="24"/>
                      <w:szCs w:val="24"/>
                      <w:lang w:val="en-US" w:eastAsia="zh-CN"/>
                    </w:rPr>
                    <w:t>完成文献综述撰写和开题报告</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restart"/>
                  <w:noWrap w:val="0"/>
                  <w:vAlign w:val="center"/>
                </w:tcPr>
                <w:p>
                  <w:pPr>
                    <w:jc w:val="center"/>
                    <w:rPr>
                      <w:rFonts w:hint="default" w:eastAsia="宋体"/>
                      <w:sz w:val="24"/>
                      <w:szCs w:val="24"/>
                      <w:lang w:val="en-US" w:eastAsia="zh-CN"/>
                    </w:rPr>
                  </w:pPr>
                  <w:r>
                    <w:rPr>
                      <w:rFonts w:hint="eastAsia"/>
                      <w:sz w:val="24"/>
                      <w:szCs w:val="24"/>
                      <w:lang w:val="en-US" w:eastAsia="zh-CN"/>
                    </w:rPr>
                    <w:t>2021-2022第八学期</w:t>
                  </w:r>
                </w:p>
              </w:tc>
              <w:tc>
                <w:tcPr>
                  <w:tcW w:w="2248" w:type="dxa"/>
                  <w:noWrap w:val="0"/>
                  <w:vAlign w:val="top"/>
                </w:tcPr>
                <w:p>
                  <w:pPr>
                    <w:spacing w:line="360" w:lineRule="auto"/>
                    <w:jc w:val="center"/>
                    <w:rPr>
                      <w:rFonts w:hint="default" w:ascii="宋体" w:hAnsi="宋体"/>
                      <w:sz w:val="24"/>
                      <w:szCs w:val="24"/>
                      <w:lang w:val="en-US" w:eastAsia="zh-CN"/>
                    </w:rPr>
                  </w:pPr>
                  <w:r>
                    <w:rPr>
                      <w:rFonts w:hint="eastAsia" w:ascii="宋体" w:hAnsi="宋体"/>
                      <w:sz w:val="24"/>
                      <w:szCs w:val="24"/>
                      <w:lang w:val="en-US" w:eastAsia="zh-CN"/>
                    </w:rPr>
                    <w:t>第1周</w:t>
                  </w:r>
                </w:p>
              </w:tc>
              <w:tc>
                <w:tcPr>
                  <w:tcW w:w="5011" w:type="dxa"/>
                  <w:noWrap w:val="0"/>
                  <w:vAlign w:val="top"/>
                </w:tcPr>
                <w:p>
                  <w:pPr>
                    <w:spacing w:line="360" w:lineRule="auto"/>
                    <w:jc w:val="center"/>
                    <w:rPr>
                      <w:rFonts w:hint="default" w:ascii="宋体" w:hAnsi="宋体"/>
                      <w:sz w:val="24"/>
                      <w:szCs w:val="24"/>
                      <w:lang w:val="en-US"/>
                    </w:rPr>
                  </w:pPr>
                  <w:r>
                    <w:rPr>
                      <w:rFonts w:hint="eastAsia"/>
                      <w:sz w:val="24"/>
                      <w:szCs w:val="24"/>
                      <w:lang w:val="en-US" w:eastAsia="zh-CN"/>
                    </w:rPr>
                    <w:t>完成绪论部分撰写</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eastAsia" w:ascii="宋体" w:hAnsi="宋体"/>
                      <w:sz w:val="24"/>
                      <w:szCs w:val="24"/>
                      <w:lang w:val="en-US" w:eastAsia="zh-CN"/>
                    </w:rPr>
                  </w:pPr>
                  <w:r>
                    <w:rPr>
                      <w:rFonts w:hint="eastAsia" w:ascii="宋体" w:hAnsi="宋体"/>
                      <w:sz w:val="24"/>
                      <w:szCs w:val="24"/>
                      <w:lang w:val="en-US" w:eastAsia="zh-CN"/>
                    </w:rPr>
                    <w:t>第2周——第3周</w:t>
                  </w:r>
                </w:p>
              </w:tc>
              <w:tc>
                <w:tcPr>
                  <w:tcW w:w="5011" w:type="dxa"/>
                  <w:noWrap w:val="0"/>
                  <w:vAlign w:val="top"/>
                </w:tcPr>
                <w:p>
                  <w:pPr>
                    <w:spacing w:line="360" w:lineRule="auto"/>
                    <w:jc w:val="center"/>
                    <w:rPr>
                      <w:rFonts w:hint="eastAsia" w:ascii="宋体" w:hAnsi="宋体"/>
                      <w:sz w:val="24"/>
                      <w:szCs w:val="24"/>
                    </w:rPr>
                  </w:pPr>
                  <w:r>
                    <w:rPr>
                      <w:rFonts w:hint="eastAsia" w:ascii="宋体" w:hAnsi="宋体"/>
                      <w:sz w:val="24"/>
                      <w:szCs w:val="24"/>
                      <w:lang w:val="en-US" w:eastAsia="zh-CN"/>
                    </w:rPr>
                    <w:t>完成基础回归部分内容撰写</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eastAsia" w:ascii="宋体" w:hAnsi="宋体"/>
                      <w:sz w:val="24"/>
                      <w:szCs w:val="24"/>
                      <w:lang w:val="en-US" w:eastAsia="zh-CN"/>
                    </w:rPr>
                  </w:pPr>
                  <w:r>
                    <w:rPr>
                      <w:rFonts w:hint="eastAsia" w:ascii="宋体" w:hAnsi="宋体"/>
                      <w:sz w:val="24"/>
                      <w:szCs w:val="24"/>
                      <w:lang w:val="en-US" w:eastAsia="zh-CN"/>
                    </w:rPr>
                    <w:t>第4周——第5周</w:t>
                  </w:r>
                </w:p>
              </w:tc>
              <w:tc>
                <w:tcPr>
                  <w:tcW w:w="5011" w:type="dxa"/>
                  <w:noWrap w:val="0"/>
                  <w:vAlign w:val="top"/>
                </w:tcPr>
                <w:p>
                  <w:pPr>
                    <w:spacing w:line="360" w:lineRule="auto"/>
                    <w:jc w:val="both"/>
                    <w:rPr>
                      <w:rFonts w:hint="default" w:ascii="宋体" w:hAnsi="宋体" w:eastAsia="宋体"/>
                      <w:sz w:val="24"/>
                      <w:szCs w:val="24"/>
                      <w:lang w:val="en-US" w:eastAsia="zh-CN"/>
                    </w:rPr>
                  </w:pPr>
                  <w:r>
                    <w:rPr>
                      <w:rFonts w:hint="eastAsia" w:ascii="宋体" w:hAnsi="宋体"/>
                      <w:sz w:val="24"/>
                      <w:szCs w:val="24"/>
                      <w:lang w:val="en-US" w:eastAsia="zh-CN"/>
                    </w:rPr>
                    <w:t>利用stata等工具完成稳健性检验，并撰写相应研究设计和实证分析部分内容</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default" w:ascii="宋体" w:hAnsi="宋体"/>
                      <w:sz w:val="24"/>
                      <w:szCs w:val="24"/>
                      <w:lang w:val="en-US" w:eastAsia="zh-CN"/>
                    </w:rPr>
                  </w:pPr>
                  <w:r>
                    <w:rPr>
                      <w:rFonts w:hint="eastAsia" w:ascii="宋体" w:hAnsi="宋体"/>
                      <w:sz w:val="24"/>
                      <w:szCs w:val="24"/>
                      <w:lang w:val="en-US" w:eastAsia="zh-CN"/>
                    </w:rPr>
                    <w:t>第6周——第8周</w:t>
                  </w:r>
                </w:p>
              </w:tc>
              <w:tc>
                <w:tcPr>
                  <w:tcW w:w="5011" w:type="dxa"/>
                  <w:noWrap w:val="0"/>
                  <w:vAlign w:val="top"/>
                </w:tcPr>
                <w:p>
                  <w:pPr>
                    <w:spacing w:line="360" w:lineRule="auto"/>
                    <w:jc w:val="both"/>
                    <w:rPr>
                      <w:rFonts w:hint="default" w:ascii="宋体" w:hAnsi="宋体"/>
                      <w:sz w:val="24"/>
                      <w:szCs w:val="24"/>
                      <w:lang w:val="en-US" w:eastAsia="zh-CN"/>
                    </w:rPr>
                  </w:pPr>
                  <w:r>
                    <w:rPr>
                      <w:rFonts w:hint="eastAsia" w:ascii="宋体" w:hAnsi="宋体"/>
                      <w:sz w:val="24"/>
                      <w:szCs w:val="24"/>
                      <w:lang w:val="en-US" w:eastAsia="zh-CN"/>
                    </w:rPr>
                    <w:t>完成初稿撰写请教导师意见</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default" w:ascii="宋体" w:hAnsi="宋体"/>
                      <w:sz w:val="24"/>
                      <w:szCs w:val="24"/>
                      <w:lang w:val="en-US" w:eastAsia="zh-CN"/>
                    </w:rPr>
                  </w:pPr>
                  <w:r>
                    <w:rPr>
                      <w:rFonts w:hint="eastAsia" w:ascii="宋体" w:hAnsi="宋体"/>
                      <w:sz w:val="24"/>
                      <w:szCs w:val="24"/>
                      <w:lang w:val="en-US" w:eastAsia="zh-CN"/>
                    </w:rPr>
                    <w:t>第9周——第10周</w:t>
                  </w:r>
                </w:p>
              </w:tc>
              <w:tc>
                <w:tcPr>
                  <w:tcW w:w="5011" w:type="dxa"/>
                  <w:noWrap w:val="0"/>
                  <w:vAlign w:val="top"/>
                </w:tcPr>
                <w:p>
                  <w:pPr>
                    <w:spacing w:line="360" w:lineRule="auto"/>
                    <w:jc w:val="both"/>
                    <w:rPr>
                      <w:rFonts w:hint="default" w:ascii="宋体" w:hAnsi="宋体"/>
                      <w:sz w:val="24"/>
                      <w:szCs w:val="24"/>
                      <w:lang w:val="en-US" w:eastAsia="zh-CN"/>
                    </w:rPr>
                  </w:pPr>
                  <w:r>
                    <w:rPr>
                      <w:rFonts w:hint="eastAsia" w:ascii="宋体" w:hAnsi="宋体"/>
                      <w:sz w:val="24"/>
                      <w:szCs w:val="24"/>
                      <w:lang w:val="en-US" w:eastAsia="zh-CN"/>
                    </w:rPr>
                    <w:t>根据导师意见和自行查重结果修改论文，定稿</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1263" w:type="dxa"/>
                  <w:vMerge w:val="continue"/>
                  <w:noWrap w:val="0"/>
                  <w:vAlign w:val="top"/>
                </w:tcPr>
                <w:p>
                  <w:pPr>
                    <w:rPr>
                      <w:rFonts w:hint="eastAsia"/>
                      <w:sz w:val="24"/>
                      <w:szCs w:val="24"/>
                    </w:rPr>
                  </w:pPr>
                </w:p>
              </w:tc>
              <w:tc>
                <w:tcPr>
                  <w:tcW w:w="2248" w:type="dxa"/>
                  <w:noWrap w:val="0"/>
                  <w:vAlign w:val="top"/>
                </w:tcPr>
                <w:p>
                  <w:pPr>
                    <w:spacing w:line="360" w:lineRule="auto"/>
                    <w:jc w:val="center"/>
                    <w:rPr>
                      <w:rFonts w:hint="default" w:ascii="宋体" w:hAnsi="宋体"/>
                      <w:sz w:val="24"/>
                      <w:szCs w:val="24"/>
                      <w:lang w:val="en-US" w:eastAsia="zh-CN"/>
                    </w:rPr>
                  </w:pPr>
                  <w:r>
                    <w:rPr>
                      <w:rFonts w:hint="eastAsia" w:ascii="宋体" w:hAnsi="宋体"/>
                      <w:sz w:val="24"/>
                      <w:szCs w:val="24"/>
                      <w:lang w:val="en-US" w:eastAsia="zh-CN"/>
                    </w:rPr>
                    <w:t>第11周-第15周</w:t>
                  </w:r>
                </w:p>
              </w:tc>
              <w:tc>
                <w:tcPr>
                  <w:tcW w:w="5011" w:type="dxa"/>
                  <w:noWrap w:val="0"/>
                  <w:vAlign w:val="top"/>
                </w:tcPr>
                <w:p>
                  <w:pPr>
                    <w:spacing w:line="360" w:lineRule="auto"/>
                    <w:jc w:val="both"/>
                    <w:rPr>
                      <w:rFonts w:hint="default" w:ascii="宋体" w:hAnsi="宋体"/>
                      <w:sz w:val="24"/>
                      <w:szCs w:val="24"/>
                      <w:lang w:val="en-US" w:eastAsia="zh-CN"/>
                    </w:rPr>
                  </w:pPr>
                  <w:r>
                    <w:rPr>
                      <w:rFonts w:hint="eastAsia" w:ascii="宋体" w:hAnsi="宋体"/>
                      <w:sz w:val="24"/>
                      <w:szCs w:val="24"/>
                      <w:lang w:val="en-US" w:eastAsia="zh-CN"/>
                    </w:rPr>
                    <w:t>提交学校查重并完成答辩</w:t>
                  </w:r>
                </w:p>
              </w:tc>
            </w:tr>
          </w:tbl>
          <w:p>
            <w:pPr>
              <w:spacing w:line="600" w:lineRule="exact"/>
              <w:jc w:val="left"/>
              <w:rPr>
                <w:rFonts w:ascii="华文中宋" w:hAnsi="华文中宋" w:eastAsia="华文中宋"/>
                <w:bCs/>
                <w:spacing w:val="-20"/>
                <w:sz w:val="30"/>
                <w:szCs w:val="30"/>
              </w:rPr>
            </w:pPr>
          </w:p>
          <w:p>
            <w:pPr>
              <w:spacing w:line="600" w:lineRule="exact"/>
              <w:jc w:val="left"/>
              <w:rPr>
                <w:rFonts w:ascii="华文中宋" w:hAnsi="华文中宋" w:eastAsia="华文中宋"/>
                <w:bCs/>
                <w:spacing w:val="-20"/>
                <w:sz w:val="30"/>
                <w:szCs w:val="30"/>
              </w:rPr>
            </w:pPr>
          </w:p>
          <w:p>
            <w:pPr>
              <w:spacing w:line="600" w:lineRule="exact"/>
              <w:jc w:val="left"/>
              <w:rPr>
                <w:rFonts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7" w:hRule="atLeast"/>
        </w:trPr>
        <w:tc>
          <w:tcPr>
            <w:tcW w:w="8454"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主要参考文献（</w:t>
            </w:r>
            <w:r>
              <w:rPr>
                <w:rFonts w:hint="eastAsia" w:ascii="仿宋" w:hAnsi="仿宋" w:eastAsia="仿宋"/>
                <w:sz w:val="28"/>
              </w:rPr>
              <w:t>由指导教师选定</w:t>
            </w:r>
            <w:r>
              <w:rPr>
                <w:rFonts w:hint="eastAsia" w:ascii="华文中宋" w:eastAsia="华文中宋"/>
                <w:bCs/>
                <w:sz w:val="28"/>
              </w:rPr>
              <w:t>）</w:t>
            </w:r>
          </w:p>
          <w:p>
            <w:pPr>
              <w:widowControl w:val="0"/>
              <w:numPr>
                <w:ilvl w:val="0"/>
                <w:numId w:val="4"/>
              </w:numPr>
              <w:spacing w:before="78" w:line="184" w:lineRule="auto"/>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Kong D ,  Xiong M . Unintended consequences of tax incentives on export product quality: Evidence from a natural experiment in China[J]. Review of International Economics, 2021, 29.</w:t>
            </w:r>
          </w:p>
          <w:p>
            <w:pPr>
              <w:widowControl w:val="0"/>
              <w:numPr>
                <w:ilvl w:val="0"/>
                <w:numId w:val="4"/>
              </w:numPr>
              <w:spacing w:before="78" w:line="184" w:lineRule="auto"/>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Qing, Liu, Yi, et al. Firm investment and exporting: Evidence from China's value-added tax reform[J]. Journal of International Economics, 2015.</w:t>
            </w:r>
          </w:p>
          <w:p>
            <w:pPr>
              <w:widowControl w:val="0"/>
              <w:numPr>
                <w:ilvl w:val="0"/>
                <w:numId w:val="4"/>
              </w:numPr>
              <w:spacing w:before="78" w:line="184" w:lineRule="auto"/>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方菲菲, 龙小宁, 杨进. 区域性税制改革对企业出口及创新的影响——以东北地区增值税转型改革为例[J]. 中国经济问题, 2021(2):16.</w:t>
            </w:r>
          </w:p>
          <w:p>
            <w:pPr>
              <w:widowControl w:val="0"/>
              <w:numPr>
                <w:ilvl w:val="0"/>
                <w:numId w:val="4"/>
              </w:numPr>
              <w:spacing w:before="78" w:line="184" w:lineRule="auto"/>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陈瑾, 李丹, 孙楚仁. 增值税转型与中国制造业企业出口动态[J]. 经济科学, 2021(1):13.</w:t>
            </w:r>
          </w:p>
          <w:p>
            <w:pPr>
              <w:jc w:val="both"/>
              <w:rPr>
                <w:rFonts w:hint="eastAsia" w:ascii="华文中宋" w:hAnsi="华文中宋" w:eastAsia="华文中宋"/>
                <w:bCs/>
                <w:spacing w:val="-20"/>
                <w:szCs w:val="21"/>
              </w:rPr>
            </w:pPr>
          </w:p>
          <w:p>
            <w:pPr>
              <w:spacing w:line="600" w:lineRule="exact"/>
              <w:jc w:val="left"/>
              <w:rPr>
                <w:rFonts w:hint="eastAsia"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2" w:hRule="atLeast"/>
        </w:trPr>
        <w:tc>
          <w:tcPr>
            <w:tcW w:w="8454" w:type="dxa"/>
            <w:noWrap w:val="0"/>
            <w:vAlign w:val="top"/>
          </w:tcPr>
          <w:p>
            <w:pPr>
              <w:jc w:val="left"/>
              <w:rPr>
                <w:rFonts w:hint="eastAsia" w:ascii="华文中宋" w:eastAsia="华文中宋"/>
                <w:bCs/>
                <w:sz w:val="28"/>
                <w:lang w:val="en-US" w:eastAsia="zh-CN"/>
              </w:rPr>
            </w:pPr>
            <w:r>
              <w:rPr>
                <w:rFonts w:hint="eastAsia" w:ascii="华文中宋" w:eastAsia="华文中宋"/>
                <w:bCs/>
                <w:sz w:val="28"/>
              </w:rPr>
              <w:t>同组设计者</w:t>
            </w:r>
          </w:p>
          <w:p>
            <w:pPr>
              <w:jc w:val="left"/>
              <w:rPr>
                <w:rFonts w:hint="default" w:ascii="华文中宋" w:hAnsi="华文中宋" w:eastAsia="华文中宋"/>
                <w:bCs/>
                <w:spacing w:val="-20"/>
                <w:szCs w:val="21"/>
                <w:lang w:val="en-US" w:eastAsia="zh-CN"/>
              </w:rPr>
            </w:pPr>
            <w:r>
              <w:rPr>
                <w:rFonts w:hint="eastAsia" w:ascii="宋体" w:hAnsi="宋体" w:eastAsia="宋体" w:cs="宋体"/>
                <w:bCs/>
                <w:sz w:val="28"/>
                <w:lang w:val="en-US" w:eastAsia="zh-CN"/>
              </w:rPr>
              <w:t>无</w:t>
            </w:r>
          </w:p>
        </w:tc>
      </w:tr>
    </w:tbl>
    <w:p>
      <w:pPr>
        <w:ind w:right="-1772" w:rightChars="-844"/>
        <w:rPr>
          <w:rFonts w:hint="eastAsia"/>
        </w:rPr>
      </w:pPr>
    </w:p>
    <w:p>
      <w:pPr>
        <w:keepNext w:val="0"/>
        <w:keepLines w:val="0"/>
        <w:pageBreakBefore w:val="0"/>
        <w:widowControl w:val="0"/>
        <w:numPr>
          <w:ilvl w:val="0"/>
          <w:numId w:val="0"/>
        </w:numPr>
        <w:kinsoku/>
        <w:wordWrap w:val="0"/>
        <w:overflowPunct/>
        <w:topLinePunct w:val="0"/>
        <w:autoSpaceDE w:val="0"/>
        <w:autoSpaceDN/>
        <w:bidi w:val="0"/>
        <w:adjustRightInd/>
        <w:snapToGrid/>
        <w:spacing w:before="78" w:line="360" w:lineRule="auto"/>
        <w:ind w:firstLine="420" w:firstLineChars="0"/>
        <w:jc w:val="both"/>
        <w:textAlignment w:val="auto"/>
        <w:rPr>
          <w:rFonts w:hint="eastAsia" w:ascii="宋体" w:hAnsi="宋体" w:cs="宋体"/>
          <w:sz w:val="24"/>
          <w:szCs w:val="24"/>
          <w:lang w:val="en-US" w:eastAsia="zh-CN"/>
        </w:rPr>
      </w:pPr>
    </w:p>
    <w:sectPr>
      <w:pgSz w:w="11906" w:h="16838"/>
      <w:pgMar w:top="1418" w:right="1701" w:bottom="1134" w:left="1701" w:header="851" w:footer="850"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公文小标宋简">
    <w:altName w:val="宋体"/>
    <w:panose1 w:val="02010609010101010101"/>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noWrap w:val="0"/>
          <w:vAlign w:val="top"/>
        </w:tcPr>
        <w:p>
          <w:pPr>
            <w:pStyle w:val="6"/>
            <w:rPr>
              <w:rFonts w:ascii="Cambria" w:hAnsi="Cambria"/>
              <w:b/>
              <w:bCs/>
            </w:rPr>
          </w:pPr>
        </w:p>
      </w:tc>
      <w:tc>
        <w:tcPr>
          <w:tcW w:w="500" w:type="pct"/>
          <w:vMerge w:val="restart"/>
          <w:noWrap/>
          <w:vAlign w:val="center"/>
        </w:tcPr>
        <w:p>
          <w:pPr>
            <w:pStyle w:val="20"/>
            <w:jc w:val="center"/>
            <w:rPr>
              <w:rFonts w:ascii="Cambria" w:hAnsi="Cambria"/>
            </w:rPr>
          </w:pPr>
        </w:p>
      </w:tc>
      <w:tc>
        <w:tcPr>
          <w:tcW w:w="2250" w:type="pct"/>
          <w:tcBorders>
            <w:bottom w:val="single" w:color="4F81BD" w:sz="4" w:space="0"/>
          </w:tcBorders>
          <w:noWrap w:val="0"/>
          <w:vAlign w:val="top"/>
        </w:tcPr>
        <w:p>
          <w:pPr>
            <w:pStyle w:val="6"/>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noWrap w:val="0"/>
          <w:vAlign w:val="top"/>
        </w:tcPr>
        <w:p>
          <w:pPr>
            <w:pStyle w:val="6"/>
            <w:rPr>
              <w:rFonts w:ascii="Cambria" w:hAnsi="Cambria"/>
              <w:b/>
              <w:bCs/>
            </w:rPr>
          </w:pPr>
        </w:p>
      </w:tc>
      <w:tc>
        <w:tcPr>
          <w:tcW w:w="500" w:type="pct"/>
          <w:vMerge w:val="continue"/>
          <w:noWrap w:val="0"/>
          <w:vAlign w:val="top"/>
        </w:tcPr>
        <w:p>
          <w:pPr>
            <w:pStyle w:val="6"/>
            <w:jc w:val="center"/>
            <w:rPr>
              <w:rFonts w:ascii="Cambria" w:hAnsi="Cambria"/>
              <w:b/>
              <w:bCs/>
            </w:rPr>
          </w:pPr>
        </w:p>
      </w:tc>
      <w:tc>
        <w:tcPr>
          <w:tcW w:w="2250" w:type="pct"/>
          <w:tcBorders>
            <w:top w:val="single" w:color="4F81BD" w:sz="4" w:space="0"/>
          </w:tcBorders>
          <w:noWrap w:val="0"/>
          <w:vAlign w:val="top"/>
        </w:tcPr>
        <w:p>
          <w:pPr>
            <w:pStyle w:val="6"/>
            <w:rPr>
              <w:rFonts w:ascii="Cambria" w:hAnsi="Cambria"/>
              <w:b/>
              <w:bCs/>
            </w:rPr>
          </w:pPr>
        </w:p>
      </w:tc>
    </w:tr>
  </w:tbl>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924"/>
      <w:gridCol w:w="872"/>
      <w:gridCol w:w="3924"/>
    </w:tblGrid>
    <w:tr>
      <w:trPr>
        <w:trHeight w:val="151" w:hRule="atLeast"/>
      </w:trPr>
      <w:tc>
        <w:tcPr>
          <w:tcW w:w="2250" w:type="pct"/>
          <w:tcBorders>
            <w:bottom w:val="single" w:color="4F81BD" w:sz="4" w:space="0"/>
          </w:tcBorders>
          <w:noWrap w:val="0"/>
          <w:vAlign w:val="top"/>
        </w:tcPr>
        <w:p>
          <w:pPr>
            <w:pStyle w:val="6"/>
            <w:rPr>
              <w:rFonts w:ascii="Cambria" w:hAnsi="Cambria"/>
              <w:b/>
              <w:bCs/>
            </w:rPr>
          </w:pPr>
        </w:p>
      </w:tc>
      <w:tc>
        <w:tcPr>
          <w:tcW w:w="500" w:type="pct"/>
          <w:vMerge w:val="restart"/>
          <w:noWrap/>
          <w:vAlign w:val="center"/>
        </w:tcPr>
        <w:p>
          <w:pPr>
            <w:pStyle w:val="20"/>
            <w:jc w:val="both"/>
            <w:rPr>
              <w:rFonts w:ascii="Cambria" w:hAnsi="Cambria"/>
            </w:rPr>
          </w:pPr>
        </w:p>
      </w:tc>
      <w:tc>
        <w:tcPr>
          <w:tcW w:w="2250" w:type="pct"/>
          <w:tcBorders>
            <w:bottom w:val="single" w:color="4F81BD" w:sz="4" w:space="0"/>
          </w:tcBorders>
          <w:noWrap w:val="0"/>
          <w:vAlign w:val="top"/>
        </w:tcPr>
        <w:p>
          <w:pPr>
            <w:pStyle w:val="6"/>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noWrap w:val="0"/>
          <w:vAlign w:val="top"/>
        </w:tcPr>
        <w:p>
          <w:pPr>
            <w:pStyle w:val="6"/>
            <w:rPr>
              <w:rFonts w:ascii="Cambria" w:hAnsi="Cambria"/>
              <w:b/>
              <w:bCs/>
            </w:rPr>
          </w:pPr>
        </w:p>
      </w:tc>
      <w:tc>
        <w:tcPr>
          <w:tcW w:w="500" w:type="pct"/>
          <w:vMerge w:val="continue"/>
          <w:noWrap w:val="0"/>
          <w:vAlign w:val="top"/>
        </w:tcPr>
        <w:p>
          <w:pPr>
            <w:pStyle w:val="6"/>
            <w:jc w:val="center"/>
            <w:rPr>
              <w:rFonts w:ascii="Cambria" w:hAnsi="Cambria"/>
              <w:b/>
              <w:bCs/>
            </w:rPr>
          </w:pPr>
        </w:p>
      </w:tc>
      <w:tc>
        <w:tcPr>
          <w:tcW w:w="2250" w:type="pct"/>
          <w:tcBorders>
            <w:top w:val="single" w:color="4F81BD" w:sz="4" w:space="0"/>
          </w:tcBorders>
          <w:noWrap w:val="0"/>
          <w:vAlign w:val="top"/>
        </w:tcPr>
        <w:p>
          <w:pPr>
            <w:pStyle w:val="6"/>
            <w:rPr>
              <w:rFonts w:ascii="Cambria" w:hAnsi="Cambria"/>
              <w:b/>
              <w:bCs/>
            </w:rPr>
          </w:pPr>
        </w:p>
      </w:tc>
    </w:tr>
  </w:tbl>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posOffset>2430145</wp:posOffset>
              </wp:positionH>
              <wp:positionV relativeFrom="paragraph">
                <wp:posOffset>-1905</wp:posOffset>
              </wp:positionV>
              <wp:extent cx="549275" cy="32258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49275" cy="322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pPr>
                        </w:p>
                        <w:p>
                          <w:pPr>
                            <w:pStyle w:val="5"/>
                            <w:jc w:val="cen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1.35pt;margin-top:-0.15pt;height:25.4pt;width:43.25pt;mso-position-horizontal-relative:margin;z-index:251659264;mso-width-relative:page;mso-height-relative:page;" filled="f" stroked="f" coordsize="21600,21600" o:gfxdata="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f2EH9gAAAAIAQAADwAAAAAAAAABACAAAAAiAAAAZHJzL2Rvd25y&#10;ZXYueG1sUEsBAhQAFAAAAAgAh07iQAn3Hs43AgAAYwQAAA4AAAAAAAAAAQAgAAAAJwEAAGRycy9l&#10;Mm9Eb2MueG1sUEsFBgAAAAAGAAYAWQEAANAFAAAAAA==&#10;">
              <v:fill on="f" focussize="0,0"/>
              <v:stroke on="f" weight="0.5pt"/>
              <v:imagedata o:title=""/>
              <o:lock v:ext="edit" aspectratio="f"/>
              <v:textbox inset="0mm,0mm,0mm,0mm">
                <w:txbxContent>
                  <w:p>
                    <w:pPr>
                      <w:pStyle w:val="5"/>
                      <w:jc w:val="center"/>
                    </w:pPr>
                  </w:p>
                  <w:p>
                    <w:pPr>
                      <w:pStyle w:val="5"/>
                      <w:jc w:val="cente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noWrap w:val="0"/>
          <w:vAlign w:val="top"/>
        </w:tcPr>
        <w:p>
          <w:pPr>
            <w:pStyle w:val="6"/>
            <w:rPr>
              <w:rFonts w:ascii="Cambria" w:hAnsi="Cambria"/>
              <w:b/>
              <w:bCs/>
            </w:rPr>
          </w:pPr>
        </w:p>
      </w:tc>
      <w:tc>
        <w:tcPr>
          <w:tcW w:w="500" w:type="pct"/>
          <w:vMerge w:val="restart"/>
          <w:noWrap/>
          <w:vAlign w:val="center"/>
        </w:tcPr>
        <w:p>
          <w:pPr>
            <w:pStyle w:val="20"/>
            <w:jc w:val="both"/>
            <w:rPr>
              <w:rFonts w:ascii="Cambria" w:hAnsi="Cambria"/>
            </w:rPr>
          </w:pPr>
        </w:p>
      </w:tc>
      <w:tc>
        <w:tcPr>
          <w:tcW w:w="2250" w:type="pct"/>
          <w:tcBorders>
            <w:bottom w:val="single" w:color="4F81BD" w:sz="4" w:space="0"/>
          </w:tcBorders>
          <w:noWrap w:val="0"/>
          <w:vAlign w:val="top"/>
        </w:tcPr>
        <w:p>
          <w:pPr>
            <w:pStyle w:val="6"/>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noWrap w:val="0"/>
          <w:vAlign w:val="top"/>
        </w:tcPr>
        <w:p>
          <w:pPr>
            <w:pStyle w:val="6"/>
            <w:rPr>
              <w:rFonts w:ascii="Cambria" w:hAnsi="Cambria"/>
              <w:b/>
              <w:bCs/>
            </w:rPr>
          </w:pPr>
        </w:p>
      </w:tc>
      <w:tc>
        <w:tcPr>
          <w:tcW w:w="500" w:type="pct"/>
          <w:vMerge w:val="continue"/>
          <w:noWrap w:val="0"/>
          <w:vAlign w:val="top"/>
        </w:tcPr>
        <w:p>
          <w:pPr>
            <w:pStyle w:val="6"/>
            <w:jc w:val="center"/>
            <w:rPr>
              <w:rFonts w:ascii="Cambria" w:hAnsi="Cambria"/>
              <w:b/>
              <w:bCs/>
            </w:rPr>
          </w:pPr>
        </w:p>
      </w:tc>
      <w:tc>
        <w:tcPr>
          <w:tcW w:w="2250" w:type="pct"/>
          <w:tcBorders>
            <w:top w:val="single" w:color="4F81BD" w:sz="4" w:space="0"/>
          </w:tcBorders>
          <w:noWrap w:val="0"/>
          <w:vAlign w:val="top"/>
        </w:tcPr>
        <w:p>
          <w:pPr>
            <w:pStyle w:val="6"/>
            <w:rPr>
              <w:rFonts w:ascii="Cambria" w:hAnsi="Cambria"/>
              <w:b/>
              <w:bCs/>
            </w:rPr>
          </w:pPr>
        </w:p>
      </w:tc>
    </w:tr>
  </w:tbl>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posOffset>2430145</wp:posOffset>
              </wp:positionH>
              <wp:positionV relativeFrom="paragraph">
                <wp:posOffset>-1905</wp:posOffset>
              </wp:positionV>
              <wp:extent cx="549275" cy="32258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549275" cy="322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pPr>
                        </w:p>
                        <w:p>
                          <w:pPr>
                            <w:pStyle w:val="5"/>
                            <w:jc w:val="center"/>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1.35pt;margin-top:-0.15pt;height:25.4pt;width:43.25pt;mso-position-horizontal-relative:margin;z-index:251661312;mso-width-relative:page;mso-height-relative:page;" filled="f" stroked="f" coordsize="21600,21600" o:gfxdata="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n9hB/YAAAACAEAAA8AAAAAAAAAAQAgAAAAIgAAAGRycy9kb3du&#10;cmV2LnhtbFBLAQIUABQAAAAIAIdO4kA708uxOAIAAGMEAAAOAAAAAAAAAAEAIAAAACcBAABkcnMv&#10;ZTJvRG9jLnhtbFBLBQYAAAAABgAGAFkBAADRBQAAAAA=&#10;">
              <v:fill on="f" focussize="0,0"/>
              <v:stroke on="f" weight="0.5pt"/>
              <v:imagedata o:title=""/>
              <o:lock v:ext="edit" aspectratio="f"/>
              <v:textbox inset="0mm,0mm,0mm,0mm">
                <w:txbxContent>
                  <w:p>
                    <w:pPr>
                      <w:pStyle w:val="5"/>
                      <w:jc w:val="center"/>
                    </w:pPr>
                  </w:p>
                  <w:p>
                    <w:pPr>
                      <w:pStyle w:val="5"/>
                      <w:jc w:val="center"/>
                      <w:rPr>
                        <w:rFonts w:hint="default" w:eastAsia="宋体"/>
                        <w:lang w:val="en-US" w:eastAsia="zh-C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page" w:horzAnchor="page" w:tblpX="1822" w:tblpY="15672"/>
      <w:tblW w:w="4814" w:type="pct"/>
      <w:tblInd w:w="0" w:type="dxa"/>
      <w:tblLayout w:type="autofit"/>
      <w:tblCellMar>
        <w:top w:w="0" w:type="dxa"/>
        <w:left w:w="108" w:type="dxa"/>
        <w:bottom w:w="0" w:type="dxa"/>
        <w:right w:w="108" w:type="dxa"/>
      </w:tblCellMar>
    </w:tblPr>
    <w:tblGrid>
      <w:gridCol w:w="3711"/>
      <w:gridCol w:w="1119"/>
      <w:gridCol w:w="3566"/>
    </w:tblGrid>
    <w:tr>
      <w:tblPrEx>
        <w:tblCellMar>
          <w:top w:w="0" w:type="dxa"/>
          <w:left w:w="108" w:type="dxa"/>
          <w:bottom w:w="0" w:type="dxa"/>
          <w:right w:w="108" w:type="dxa"/>
        </w:tblCellMar>
      </w:tblPrEx>
      <w:trPr>
        <w:trHeight w:val="92" w:hRule="atLeast"/>
      </w:trPr>
      <w:tc>
        <w:tcPr>
          <w:tcW w:w="2209" w:type="pct"/>
          <w:tcBorders>
            <w:bottom w:val="single" w:color="4F81BD" w:sz="4" w:space="0"/>
          </w:tcBorders>
          <w:noWrap w:val="0"/>
          <w:vAlign w:val="top"/>
        </w:tcPr>
        <w:p>
          <w:pPr>
            <w:pStyle w:val="6"/>
            <w:rPr>
              <w:rFonts w:ascii="Cambria" w:hAnsi="Cambria"/>
              <w:b/>
              <w:bCs/>
            </w:rPr>
          </w:pPr>
        </w:p>
      </w:tc>
      <w:tc>
        <w:tcPr>
          <w:tcW w:w="666" w:type="pct"/>
          <w:vMerge w:val="restart"/>
          <w:noWrap/>
          <w:vAlign w:val="center"/>
        </w:tcPr>
        <w:p>
          <w:pPr>
            <w:pStyle w:val="20"/>
            <w:jc w:val="center"/>
            <w:rPr>
              <w:rFonts w:ascii="Cambria" w:hAnsi="Cambria"/>
            </w:rPr>
          </w:pPr>
        </w:p>
      </w:tc>
      <w:tc>
        <w:tcPr>
          <w:tcW w:w="2123" w:type="pct"/>
          <w:tcBorders>
            <w:bottom w:val="single" w:color="4F81BD" w:sz="4" w:space="0"/>
          </w:tcBorders>
          <w:noWrap w:val="0"/>
          <w:vAlign w:val="top"/>
        </w:tcPr>
        <w:p>
          <w:pPr>
            <w:pStyle w:val="6"/>
            <w:rPr>
              <w:rFonts w:ascii="Cambria" w:hAnsi="Cambria"/>
              <w:b/>
              <w:bCs/>
            </w:rPr>
          </w:pPr>
        </w:p>
      </w:tc>
    </w:tr>
    <w:tr>
      <w:tblPrEx>
        <w:tblCellMar>
          <w:top w:w="0" w:type="dxa"/>
          <w:left w:w="108" w:type="dxa"/>
          <w:bottom w:w="0" w:type="dxa"/>
          <w:right w:w="108" w:type="dxa"/>
        </w:tblCellMar>
      </w:tblPrEx>
      <w:trPr>
        <w:trHeight w:val="271" w:hRule="atLeast"/>
      </w:trPr>
      <w:tc>
        <w:tcPr>
          <w:tcW w:w="2209" w:type="pct"/>
          <w:tcBorders>
            <w:top w:val="single" w:color="4F81BD" w:sz="4" w:space="0"/>
          </w:tcBorders>
          <w:noWrap w:val="0"/>
          <w:vAlign w:val="top"/>
        </w:tcPr>
        <w:p>
          <w:pPr>
            <w:pStyle w:val="6"/>
            <w:rPr>
              <w:rFonts w:ascii="Cambria" w:hAnsi="Cambria"/>
              <w:b/>
              <w:bCs/>
            </w:rPr>
          </w:pPr>
        </w:p>
      </w:tc>
      <w:tc>
        <w:tcPr>
          <w:tcW w:w="666" w:type="pct"/>
          <w:vMerge w:val="continue"/>
          <w:noWrap w:val="0"/>
          <w:vAlign w:val="top"/>
        </w:tcPr>
        <w:p>
          <w:pPr>
            <w:pStyle w:val="6"/>
            <w:jc w:val="center"/>
            <w:rPr>
              <w:rFonts w:ascii="Cambria" w:hAnsi="Cambria"/>
              <w:b/>
              <w:bCs/>
            </w:rPr>
          </w:pPr>
        </w:p>
      </w:tc>
      <w:tc>
        <w:tcPr>
          <w:tcW w:w="2123" w:type="pct"/>
          <w:tcBorders>
            <w:top w:val="single" w:color="4F81BD" w:sz="4" w:space="0"/>
          </w:tcBorders>
          <w:noWrap w:val="0"/>
          <w:vAlign w:val="top"/>
        </w:tcPr>
        <w:p>
          <w:pPr>
            <w:pStyle w:val="6"/>
            <w:rPr>
              <w:rFonts w:ascii="Cambria" w:hAnsi="Cambria"/>
              <w:b/>
              <w:bCs/>
            </w:rPr>
          </w:pPr>
        </w:p>
      </w:tc>
    </w:tr>
  </w:tbl>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posOffset>2594610</wp:posOffset>
              </wp:positionH>
              <wp:positionV relativeFrom="paragraph">
                <wp:posOffset>16510</wp:posOffset>
              </wp:positionV>
              <wp:extent cx="292100" cy="20129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92100" cy="201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I</w:t>
                          </w:r>
                          <w:r>
                            <w:rPr>
                              <w:sz w:val="18"/>
                              <w:szCs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3pt;margin-top:1.3pt;height:15.85pt;width:23pt;mso-position-horizontal-relative:margin;z-index:251660288;mso-width-relative:page;mso-height-relative:page;" filled="f" stroked="f" coordsize="21600,21600" o:gfxdata="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Ujsc8tgAAAAIAQAADwAAAAAAAAABACAAAAAiAAAAZHJzL2Rvd25y&#10;ZXYueG1sUEsBAhQAFAAAAAgAh07iQGG9SHA3AgAAYwQAAA4AAAAAAAAAAQAgAAAAJwEAAGRycy9l&#10;Mm9Eb2MueG1sUEsFBgAAAAAGAAYAWQEAANAFAAAAAA==&#10;">
              <v:fill on="f" focussize="0,0"/>
              <v:stroke on="f" weight="0.5pt"/>
              <v:imagedata o:title=""/>
              <o:lock v:ext="edit" aspectratio="f"/>
              <v:textbox inset="0mm,0mm,0mm,0mm">
                <w:txbxContent>
                  <w:p>
                    <w:pPr>
                      <w:pStyle w:val="5"/>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I</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34">
    <w:p>
      <w:r>
        <w:separator/>
      </w:r>
    </w:p>
  </w:footnote>
  <w:footnote w:type="continuationSeparator" w:id="35">
    <w:p>
      <w:r>
        <w:continuationSeparator/>
      </w:r>
    </w:p>
  </w:footnote>
  <w:footnote w:id="0">
    <w:p>
      <w:pPr>
        <w:pStyle w:val="8"/>
        <w:snapToGrid w:val="0"/>
        <w:rPr>
          <w:rFonts w:hint="default" w:eastAsia="宋体"/>
          <w:lang w:val="en-US" w:eastAsia="zh-CN"/>
        </w:rPr>
      </w:pPr>
      <w:r>
        <w:rPr>
          <w:rStyle w:val="14"/>
        </w:rPr>
        <w:footnoteRef/>
      </w:r>
      <w:r>
        <w:t xml:space="preserve"> </w:t>
      </w:r>
      <w:r>
        <w:rPr>
          <w:rFonts w:hint="eastAsia"/>
          <w:lang w:val="en-US" w:eastAsia="zh-CN"/>
        </w:rPr>
        <w:t>出口关税虽然也直接作用于出口，但由于中国仅对少数商品征收出口关税，其对出口产业的发展作用较小，故本文不予以讨论。</w:t>
      </w:r>
    </w:p>
  </w:footnote>
  <w:footnote w:id="1">
    <w:p>
      <w:pPr>
        <w:pStyle w:val="8"/>
        <w:snapToGrid w:val="0"/>
        <w:rPr>
          <w:rFonts w:hint="default" w:eastAsia="宋体"/>
          <w:lang w:val="en-US" w:eastAsia="zh-CN"/>
        </w:rPr>
      </w:pPr>
      <w:r>
        <w:rPr>
          <w:rStyle w:val="14"/>
        </w:rPr>
        <w:footnoteRef/>
      </w:r>
      <w:r>
        <w:t xml:space="preserve"> </w:t>
      </w:r>
      <w:r>
        <w:rPr>
          <w:rFonts w:hint="eastAsia"/>
          <w:lang w:val="en-US" w:eastAsia="zh-CN"/>
        </w:rPr>
        <w:t>如高新技术企业、部分地区的鼓励类产业的企业、享受研发费用加计扣除的企业。</w:t>
      </w:r>
    </w:p>
  </w:footnote>
  <w:footnote w:id="2">
    <w:p>
      <w:pPr>
        <w:pStyle w:val="8"/>
        <w:snapToGrid w:val="0"/>
        <w:rPr>
          <w:rFonts w:hint="default" w:eastAsia="宋体"/>
          <w:lang w:val="en-US" w:eastAsia="zh-CN"/>
        </w:rPr>
      </w:pPr>
      <w:r>
        <w:rPr>
          <w:rStyle w:val="14"/>
        </w:rPr>
        <w:footnoteRef/>
      </w:r>
      <w:r>
        <w:t xml:space="preserve"> </w:t>
      </w:r>
      <w:r>
        <w:rPr>
          <w:rFonts w:hint="eastAsia"/>
          <w:lang w:val="en-US" w:eastAsia="zh-CN"/>
        </w:rPr>
        <w:t>四种模型分别是：赫克曼两阶段、面板固定效应模型、两部模型和受限因变量模型。</w:t>
      </w:r>
    </w:p>
  </w:footnote>
  <w:footnote w:id="3">
    <w:p>
      <w:pPr>
        <w:pStyle w:val="8"/>
        <w:snapToGrid w:val="0"/>
        <w:rPr>
          <w:rFonts w:hint="default" w:eastAsia="宋体"/>
          <w:lang w:val="en-US" w:eastAsia="zh-CN"/>
        </w:rPr>
      </w:pPr>
      <w:r>
        <w:rPr>
          <w:rStyle w:val="14"/>
        </w:rPr>
        <w:footnoteRef/>
      </w:r>
      <w:r>
        <w:t xml:space="preserve"> </w:t>
      </w:r>
      <w:r>
        <w:rPr>
          <w:rFonts w:hint="eastAsia"/>
          <w:lang w:val="en-US" w:eastAsia="zh-CN"/>
        </w:rPr>
        <w:t>考虑到本文的事件后观察期仅有两年（包含事件当年），而工业企业的研发周期较长，改革难以在短期内改变企业的创新能力，故本文仅在回归时对反应创新能力的指标进行控制，而不单独讨论其作用途径。</w:t>
      </w:r>
    </w:p>
  </w:footnote>
  <w:footnote w:id="4">
    <w:p>
      <w:pPr>
        <w:pStyle w:val="8"/>
        <w:snapToGrid w:val="0"/>
        <w:rPr>
          <w:rFonts w:hint="default" w:eastAsia="宋体"/>
          <w:lang w:val="en-US" w:eastAsia="zh-CN"/>
        </w:rPr>
      </w:pPr>
      <w:r>
        <w:rPr>
          <w:rStyle w:val="14"/>
        </w:rPr>
        <w:footnoteRef/>
      </w:r>
      <w:r>
        <w:t xml:space="preserve"> </w:t>
      </w:r>
      <w:r>
        <w:rPr>
          <w:rFonts w:hint="eastAsia"/>
          <w:lang w:val="en-US" w:eastAsia="zh-CN"/>
        </w:rPr>
        <w:t>网址参见：https://dataverse.harvard.edu/dataverse/cpdp</w:t>
      </w:r>
    </w:p>
  </w:footnote>
  <w:footnote w:id="5">
    <w:p>
      <w:pPr>
        <w:pStyle w:val="8"/>
        <w:snapToGrid w:val="0"/>
        <w:rPr>
          <w:rFonts w:hint="default" w:eastAsia="宋体"/>
          <w:lang w:val="en-US" w:eastAsia="zh-CN"/>
        </w:rPr>
      </w:pPr>
      <w:r>
        <w:rPr>
          <w:rStyle w:val="14"/>
        </w:rPr>
        <w:footnoteRef/>
      </w:r>
      <w:r>
        <w:t xml:space="preserve"> </w:t>
      </w:r>
      <w:r>
        <w:rPr>
          <w:rFonts w:hint="eastAsia"/>
          <w:lang w:val="en-US" w:eastAsia="zh-CN"/>
        </w:rPr>
        <w:t>以2006年为例，合肥和武汉市辖区的出口额分别约占中部六省总出口额的13%和10%，而郑州、长沙、南昌和大同的出口额合计约占总额的14%。</w:t>
      </w:r>
    </w:p>
  </w:footnote>
  <w:footnote w:id="6">
    <w:p>
      <w:pPr>
        <w:pStyle w:val="8"/>
        <w:snapToGrid w:val="0"/>
        <w:rPr>
          <w:rFonts w:hint="default" w:eastAsia="宋体"/>
          <w:lang w:val="en-US" w:eastAsia="zh-CN"/>
        </w:rPr>
      </w:pPr>
      <w:r>
        <w:rPr>
          <w:rStyle w:val="14"/>
        </w:rPr>
        <w:footnoteRef/>
      </w:r>
      <w:r>
        <w:t xml:space="preserve"> </w:t>
      </w:r>
      <w:r>
        <w:rPr>
          <w:rFonts w:hint="eastAsia"/>
          <w:lang w:val="en-US" w:eastAsia="zh-CN"/>
        </w:rPr>
        <w:t>即Two-part model,可简写为twopm。</w:t>
      </w:r>
    </w:p>
  </w:footnote>
  <w:footnote w:id="7">
    <w:p>
      <w:pPr>
        <w:pStyle w:val="8"/>
        <w:snapToGrid w:val="0"/>
        <w:rPr>
          <w:rFonts w:hint="default" w:eastAsia="宋体"/>
          <w:vertAlign w:val="baseline"/>
          <w:lang w:val="en-US" w:eastAsia="zh-CN"/>
        </w:rPr>
      </w:pPr>
      <w:r>
        <w:rPr>
          <w:rStyle w:val="14"/>
        </w:rPr>
        <w:footnoteRef/>
      </w:r>
      <w:r>
        <w:t xml:space="preserve"> </w:t>
      </w:r>
      <w:r>
        <w:rPr>
          <w:rFonts w:hint="eastAsia"/>
          <w:lang w:val="en-US" w:eastAsia="zh-CN"/>
        </w:rPr>
        <w:t>由于企业固定效应和年份固定效应分别与treated</w:t>
      </w:r>
      <w:r>
        <w:rPr>
          <w:rFonts w:hint="eastAsia"/>
          <w:vertAlign w:val="subscript"/>
          <w:lang w:val="en-US" w:eastAsia="zh-CN"/>
        </w:rPr>
        <w:t>i,c</w:t>
      </w:r>
      <w:r>
        <w:rPr>
          <w:rFonts w:hint="eastAsia"/>
          <w:lang w:val="en-US" w:eastAsia="zh-CN"/>
        </w:rPr>
        <w:t>和time</w:t>
      </w:r>
      <w:r>
        <w:rPr>
          <w:rFonts w:hint="eastAsia"/>
          <w:vertAlign w:val="subscript"/>
          <w:lang w:val="en-US" w:eastAsia="zh-CN"/>
        </w:rPr>
        <w:t>t</w:t>
      </w:r>
      <w:r>
        <w:rPr>
          <w:rFonts w:hint="eastAsia"/>
          <w:vertAlign w:val="baseline"/>
          <w:lang w:val="en-US" w:eastAsia="zh-CN"/>
        </w:rPr>
        <w:t>共线，且固定效应更为精准，故本文的模型中没有单独加入</w:t>
      </w:r>
      <w:r>
        <w:rPr>
          <w:rFonts w:hint="eastAsia"/>
          <w:lang w:val="en-US" w:eastAsia="zh-CN"/>
        </w:rPr>
        <w:t>treated</w:t>
      </w:r>
      <w:r>
        <w:rPr>
          <w:rFonts w:hint="eastAsia"/>
          <w:vertAlign w:val="subscript"/>
          <w:lang w:val="en-US" w:eastAsia="zh-CN"/>
        </w:rPr>
        <w:t>i,c</w:t>
      </w:r>
      <w:r>
        <w:rPr>
          <w:rFonts w:hint="eastAsia"/>
          <w:lang w:val="en-US" w:eastAsia="zh-CN"/>
        </w:rPr>
        <w:t>和time</w:t>
      </w:r>
      <w:r>
        <w:rPr>
          <w:rFonts w:hint="eastAsia"/>
          <w:vertAlign w:val="subscript"/>
          <w:lang w:val="en-US" w:eastAsia="zh-CN"/>
        </w:rPr>
        <w:t>t</w:t>
      </w:r>
      <w:r>
        <w:rPr>
          <w:rFonts w:hint="eastAsia"/>
          <w:vertAlign w:val="baseline"/>
          <w:lang w:val="en-US" w:eastAsia="zh-CN"/>
        </w:rPr>
        <w:t>，该做法参考方菲菲（2021）。</w:t>
      </w:r>
    </w:p>
  </w:footnote>
  <w:footnote w:id="8">
    <w:p>
      <w:pPr>
        <w:pStyle w:val="8"/>
        <w:snapToGrid w:val="0"/>
        <w:rPr>
          <w:rFonts w:hint="default" w:eastAsia="宋体"/>
          <w:lang w:val="en-US" w:eastAsia="zh-CN"/>
        </w:rPr>
      </w:pPr>
      <w:r>
        <w:rPr>
          <w:rStyle w:val="14"/>
        </w:rPr>
        <w:footnoteRef/>
      </w:r>
      <w:r>
        <w:t xml:space="preserve"> </w:t>
      </w:r>
      <w:r>
        <w:rPr>
          <w:rFonts w:hint="eastAsia"/>
          <w:lang w:val="en-US" w:eastAsia="zh-CN"/>
        </w:rPr>
        <w:t>Heckman两阶段模型假设两阶段的模型中的扰动项服从联合正态分布，该假设较为严格。</w:t>
      </w:r>
    </w:p>
  </w:footnote>
  <w:footnote w:id="9">
    <w:p>
      <w:pPr>
        <w:pStyle w:val="8"/>
        <w:snapToGrid w:val="0"/>
        <w:rPr>
          <w:rFonts w:hint="default" w:eastAsia="宋体"/>
          <w:lang w:val="en-US" w:eastAsia="zh-CN"/>
        </w:rPr>
      </w:pPr>
      <w:r>
        <w:rPr>
          <w:rStyle w:val="14"/>
        </w:rPr>
        <w:footnoteRef/>
      </w:r>
      <w:r>
        <w:t xml:space="preserve"> </w:t>
      </w:r>
      <w:r>
        <w:rPr>
          <w:rFonts w:hint="eastAsia"/>
          <w:lang w:val="en-US" w:eastAsia="zh-CN"/>
        </w:rPr>
        <w:t>本文的回归样本量与相关研究（刘凯豪和王雪芳，2020）相近。</w:t>
      </w:r>
    </w:p>
  </w:footnote>
  <w:footnote w:id="10">
    <w:p>
      <w:pPr>
        <w:pStyle w:val="8"/>
        <w:snapToGrid w:val="0"/>
        <w:rPr>
          <w:rFonts w:hint="default" w:eastAsia="宋体"/>
          <w:lang w:val="en-US" w:eastAsia="zh-CN"/>
        </w:rPr>
      </w:pPr>
      <w:r>
        <w:rPr>
          <w:rStyle w:val="14"/>
        </w:rPr>
        <w:footnoteRef/>
      </w:r>
      <w:r>
        <w:t xml:space="preserve"> </w:t>
      </w:r>
      <w:r>
        <w:rPr>
          <w:rFonts w:hint="eastAsia"/>
          <w:lang w:val="en-US" w:eastAsia="zh-CN"/>
        </w:rPr>
        <w:t>该值为使用margins命令计算得出。</w:t>
      </w:r>
    </w:p>
  </w:footnote>
  <w:footnote w:id="11">
    <w:p>
      <w:pPr>
        <w:pStyle w:val="8"/>
        <w:snapToGrid w:val="0"/>
        <w:rPr>
          <w:rFonts w:hint="default" w:eastAsia="宋体"/>
          <w:lang w:val="en-US" w:eastAsia="zh-CN"/>
        </w:rPr>
      </w:pPr>
      <w:r>
        <w:rPr>
          <w:rStyle w:val="14"/>
        </w:rPr>
        <w:footnoteRef/>
      </w:r>
      <w:r>
        <w:t xml:space="preserve"> </w:t>
      </w:r>
      <w:r>
        <w:rPr>
          <w:rFonts w:hint="eastAsia"/>
          <w:lang w:val="en-US" w:eastAsia="zh-CN"/>
        </w:rPr>
        <w:t>此外，回归中逆米尔斯比率系数不显著，表明该Heckman模型所假设的样本选择偏差问题并不严重。</w:t>
      </w:r>
    </w:p>
  </w:footnote>
  <w:footnote w:id="12">
    <w:p>
      <w:pPr>
        <w:pStyle w:val="8"/>
        <w:snapToGrid w:val="0"/>
        <w:rPr>
          <w:rFonts w:hint="default" w:eastAsia="宋体"/>
          <w:lang w:val="en-US" w:eastAsia="zh-CN"/>
        </w:rPr>
      </w:pPr>
      <w:r>
        <w:rPr>
          <w:rStyle w:val="14"/>
        </w:rPr>
        <w:footnoteRef/>
      </w:r>
      <w:r>
        <w:t xml:space="preserve"> </w:t>
      </w:r>
      <w:r>
        <w:rPr>
          <w:rFonts w:hint="eastAsia"/>
          <w:lang w:val="en-US" w:eastAsia="zh-CN"/>
        </w:rPr>
        <w:t>例如企业规模与企业出口呈正相关（蒋冠宏和蒋殿春，2014）。</w:t>
      </w:r>
    </w:p>
  </w:footnote>
  <w:footnote w:id="13">
    <w:p>
      <w:pPr>
        <w:pStyle w:val="8"/>
        <w:snapToGrid w:val="0"/>
        <w:rPr>
          <w:rFonts w:hint="default" w:eastAsia="宋体"/>
          <w:lang w:val="en-US" w:eastAsia="zh-CN"/>
        </w:rPr>
      </w:pPr>
      <w:r>
        <w:rPr>
          <w:rStyle w:val="14"/>
        </w:rPr>
        <w:footnoteRef/>
      </w:r>
      <w:r>
        <w:t xml:space="preserve"> </w:t>
      </w:r>
      <w:r>
        <w:rPr>
          <w:rFonts w:hint="eastAsia"/>
          <w:lang w:val="en-US" w:eastAsia="zh-CN"/>
        </w:rPr>
        <w:t>即财税[2007]75号文件。</w:t>
      </w:r>
    </w:p>
  </w:footnote>
  <w:footnote w:id="14">
    <w:p>
      <w:pPr>
        <w:pStyle w:val="8"/>
        <w:snapToGrid w:val="0"/>
        <w:rPr>
          <w:rFonts w:hint="default" w:eastAsia="宋体"/>
          <w:lang w:val="en-US" w:eastAsia="zh-CN"/>
        </w:rPr>
      </w:pPr>
      <w:r>
        <w:rPr>
          <w:rStyle w:val="14"/>
        </w:rPr>
        <w:footnoteRef/>
      </w:r>
      <w:r>
        <w:t xml:space="preserve"> </w:t>
      </w:r>
      <w:r>
        <w:rPr>
          <w:rFonts w:hint="eastAsia"/>
          <w:lang w:val="en-US" w:eastAsia="zh-CN"/>
        </w:rPr>
        <w:t>即中发[2006]10号文件。</w:t>
      </w:r>
    </w:p>
  </w:footnote>
  <w:footnote w:id="15">
    <w:p>
      <w:pPr>
        <w:pStyle w:val="2"/>
        <w:keepNext w:val="0"/>
        <w:keepLines w:val="0"/>
        <w:widowControl/>
        <w:suppressLineNumbers w:val="0"/>
        <w:wordWrap/>
        <w:rPr>
          <w:rFonts w:hint="default" w:ascii="Times New Roman" w:hAnsi="Times New Roman" w:eastAsia="宋体" w:cs="Times New Roman"/>
          <w:b w:val="0"/>
          <w:bCs w:val="0"/>
          <w:kern w:val="2"/>
          <w:sz w:val="18"/>
          <w:szCs w:val="20"/>
          <w:lang w:val="en-US" w:eastAsia="zh-CN" w:bidi="ar-SA"/>
        </w:rPr>
      </w:pPr>
      <w:r>
        <w:rPr>
          <w:rStyle w:val="14"/>
          <w:rFonts w:hint="eastAsia" w:ascii="Times New Roman" w:hAnsi="Times New Roman" w:eastAsia="宋体" w:cs="Times New Roman"/>
          <w:b w:val="0"/>
          <w:bCs w:val="0"/>
          <w:kern w:val="2"/>
          <w:sz w:val="18"/>
          <w:szCs w:val="20"/>
          <w:lang w:val="en-US" w:eastAsia="zh-CN" w:bidi="ar-SA"/>
        </w:rPr>
        <w:footnoteRef/>
      </w:r>
      <w:r>
        <w:rPr>
          <w:rFonts w:hint="eastAsia" w:ascii="Times New Roman" w:hAnsi="Times New Roman" w:eastAsia="宋体" w:cs="Times New Roman"/>
          <w:b w:val="0"/>
          <w:bCs w:val="0"/>
          <w:kern w:val="2"/>
          <w:sz w:val="18"/>
          <w:szCs w:val="20"/>
          <w:lang w:val="en-US" w:eastAsia="zh-CN" w:bidi="ar-SA"/>
        </w:rPr>
        <w:t xml:space="preserve"> 即《国务院办公厅关于印发第一次全国污染源普查方案的通知》网址参见：http://www.gov.cn/zhengce/content/2009-03/28/content_4926.htm</w:t>
      </w:r>
    </w:p>
  </w:footnote>
  <w:footnote w:id="16">
    <w:p>
      <w:pPr>
        <w:pStyle w:val="8"/>
        <w:snapToGrid w:val="0"/>
        <w:rPr>
          <w:rFonts w:hint="default" w:eastAsia="宋体"/>
          <w:lang w:val="en-US" w:eastAsia="zh-CN"/>
        </w:rPr>
      </w:pPr>
      <w:r>
        <w:rPr>
          <w:rStyle w:val="14"/>
        </w:rPr>
        <w:footnoteRef/>
      </w:r>
      <w:r>
        <w:t xml:space="preserve"> </w:t>
      </w:r>
      <w:r>
        <w:rPr>
          <w:rFonts w:hint="eastAsia"/>
          <w:lang w:val="en-US" w:eastAsia="zh-CN"/>
        </w:rPr>
        <w:t>本文样本中一般贸易企业与加工贸易企业数量比约为9:1。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0"/>
      </w:pBdr>
      <w:jc w:val="center"/>
      <w:rPr>
        <w:rFonts w:hint="eastAsia" w:ascii="华文中宋" w:hAnsi="华文中宋" w:eastAsia="华文中宋"/>
        <w:sz w:val="21"/>
        <w:szCs w:val="21"/>
      </w:rPr>
    </w:pPr>
    <w:r>
      <w:rPr>
        <w:rFonts w:hint="eastAsia" w:ascii="华文中宋" w:hAnsi="华文中宋" w:eastAsia="华文中宋"/>
        <w:sz w:val="21"/>
        <w:szCs w:val="21"/>
      </w:rPr>
      <w:t>华 中 科 技 大 学 本 科 毕 业 设 计（论 文）</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699833"/>
    <w:multiLevelType w:val="singleLevel"/>
    <w:tmpl w:val="AE699833"/>
    <w:lvl w:ilvl="0" w:tentative="0">
      <w:start w:val="1"/>
      <w:numFmt w:val="decimal"/>
      <w:lvlText w:val="(%1)"/>
      <w:lvlJc w:val="left"/>
      <w:pPr>
        <w:ind w:left="425" w:hanging="425"/>
      </w:pPr>
      <w:rPr>
        <w:rFonts w:hint="default"/>
      </w:rPr>
    </w:lvl>
  </w:abstractNum>
  <w:abstractNum w:abstractNumId="1">
    <w:nsid w:val="E8F0C346"/>
    <w:multiLevelType w:val="multilevel"/>
    <w:tmpl w:val="E8F0C34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022873E0"/>
    <w:multiLevelType w:val="multilevel"/>
    <w:tmpl w:val="022873E0"/>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A4005B"/>
    <w:multiLevelType w:val="singleLevel"/>
    <w:tmpl w:val="12A4005B"/>
    <w:lvl w:ilvl="0" w:tentative="0">
      <w:start w:val="1"/>
      <w:numFmt w:val="chineseCounting"/>
      <w:suff w:val="nothing"/>
      <w:lvlText w:val="%1、"/>
      <w:lvlJc w:val="left"/>
      <w:rPr>
        <w:rFonts w:hint="eastAsia"/>
      </w:rPr>
    </w:lvl>
  </w:abstractNum>
  <w:abstractNum w:abstractNumId="4">
    <w:nsid w:val="5D312728"/>
    <w:multiLevelType w:val="singleLevel"/>
    <w:tmpl w:val="5D312728"/>
    <w:lvl w:ilvl="0" w:tentative="0">
      <w:start w:val="1"/>
      <w:numFmt w:val="decimal"/>
      <w:suff w:val="space"/>
      <w:lvlText w:val="[%1]"/>
      <w:lvlJc w:val="left"/>
      <w:rPr>
        <w:rFonts w:hint="default"/>
        <w:color w:val="auto"/>
      </w:rPr>
    </w:lvl>
  </w:abstractNum>
  <w:abstractNum w:abstractNumId="5">
    <w:nsid w:val="683D50DD"/>
    <w:multiLevelType w:val="singleLevel"/>
    <w:tmpl w:val="683D50DD"/>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footnotePr>
    <w:footnote w:id="34"/>
    <w:footnote w:id="35"/>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Q1ZWQzNDcwNGQ1NmI1YmE2ZjNjNDU5NGM2YmIyNzMifQ=="/>
  </w:docVars>
  <w:rsids>
    <w:rsidRoot w:val="00172A27"/>
    <w:rsid w:val="00027653"/>
    <w:rsid w:val="0004262D"/>
    <w:rsid w:val="00054D52"/>
    <w:rsid w:val="0006684E"/>
    <w:rsid w:val="000744B9"/>
    <w:rsid w:val="000818EE"/>
    <w:rsid w:val="00084C89"/>
    <w:rsid w:val="0008568E"/>
    <w:rsid w:val="000A706F"/>
    <w:rsid w:val="000E0690"/>
    <w:rsid w:val="000E7B1F"/>
    <w:rsid w:val="00116745"/>
    <w:rsid w:val="001325FF"/>
    <w:rsid w:val="00166B4B"/>
    <w:rsid w:val="001829E2"/>
    <w:rsid w:val="001856B8"/>
    <w:rsid w:val="0019440B"/>
    <w:rsid w:val="001A1349"/>
    <w:rsid w:val="001A14D7"/>
    <w:rsid w:val="001C6F44"/>
    <w:rsid w:val="001F6F32"/>
    <w:rsid w:val="00226780"/>
    <w:rsid w:val="00227045"/>
    <w:rsid w:val="00233C61"/>
    <w:rsid w:val="002C0C2E"/>
    <w:rsid w:val="002C7D14"/>
    <w:rsid w:val="002D0281"/>
    <w:rsid w:val="002E680C"/>
    <w:rsid w:val="002F28D2"/>
    <w:rsid w:val="002F61EC"/>
    <w:rsid w:val="00300600"/>
    <w:rsid w:val="00306B1B"/>
    <w:rsid w:val="00342094"/>
    <w:rsid w:val="00344375"/>
    <w:rsid w:val="00371D87"/>
    <w:rsid w:val="00374A61"/>
    <w:rsid w:val="00392F1F"/>
    <w:rsid w:val="003A488F"/>
    <w:rsid w:val="003B47CD"/>
    <w:rsid w:val="003C14C9"/>
    <w:rsid w:val="003D6C09"/>
    <w:rsid w:val="003F439B"/>
    <w:rsid w:val="00413231"/>
    <w:rsid w:val="004912D7"/>
    <w:rsid w:val="004916A0"/>
    <w:rsid w:val="00504350"/>
    <w:rsid w:val="00512882"/>
    <w:rsid w:val="005172C7"/>
    <w:rsid w:val="00551A18"/>
    <w:rsid w:val="005B05D9"/>
    <w:rsid w:val="005B5BCD"/>
    <w:rsid w:val="005B6BD9"/>
    <w:rsid w:val="005F3519"/>
    <w:rsid w:val="0060387B"/>
    <w:rsid w:val="00612E6A"/>
    <w:rsid w:val="00616983"/>
    <w:rsid w:val="0062635F"/>
    <w:rsid w:val="00640156"/>
    <w:rsid w:val="00653025"/>
    <w:rsid w:val="006609A4"/>
    <w:rsid w:val="0067059E"/>
    <w:rsid w:val="00672712"/>
    <w:rsid w:val="00672BBB"/>
    <w:rsid w:val="00677C00"/>
    <w:rsid w:val="00677E32"/>
    <w:rsid w:val="00681751"/>
    <w:rsid w:val="006B0BCF"/>
    <w:rsid w:val="006B0EE6"/>
    <w:rsid w:val="006C03FE"/>
    <w:rsid w:val="006C0BD1"/>
    <w:rsid w:val="006C45C2"/>
    <w:rsid w:val="00752F37"/>
    <w:rsid w:val="00766454"/>
    <w:rsid w:val="007C589E"/>
    <w:rsid w:val="00815BDC"/>
    <w:rsid w:val="008442CB"/>
    <w:rsid w:val="00860A1E"/>
    <w:rsid w:val="00872F81"/>
    <w:rsid w:val="0088042C"/>
    <w:rsid w:val="008A11AD"/>
    <w:rsid w:val="008B6B39"/>
    <w:rsid w:val="008E3327"/>
    <w:rsid w:val="008E69FA"/>
    <w:rsid w:val="008E766D"/>
    <w:rsid w:val="008F2708"/>
    <w:rsid w:val="008F7B8C"/>
    <w:rsid w:val="00917E38"/>
    <w:rsid w:val="009449AF"/>
    <w:rsid w:val="009B0DCD"/>
    <w:rsid w:val="009B67C0"/>
    <w:rsid w:val="00A10504"/>
    <w:rsid w:val="00A26226"/>
    <w:rsid w:val="00A27AF8"/>
    <w:rsid w:val="00A3133A"/>
    <w:rsid w:val="00A46F3E"/>
    <w:rsid w:val="00A55316"/>
    <w:rsid w:val="00A57170"/>
    <w:rsid w:val="00AE1987"/>
    <w:rsid w:val="00AE748C"/>
    <w:rsid w:val="00B27353"/>
    <w:rsid w:val="00B5553B"/>
    <w:rsid w:val="00B728B0"/>
    <w:rsid w:val="00B738C4"/>
    <w:rsid w:val="00B87C54"/>
    <w:rsid w:val="00BB4A53"/>
    <w:rsid w:val="00BD43BA"/>
    <w:rsid w:val="00BD7EB1"/>
    <w:rsid w:val="00C15828"/>
    <w:rsid w:val="00C50F9F"/>
    <w:rsid w:val="00C629D1"/>
    <w:rsid w:val="00C65119"/>
    <w:rsid w:val="00C71D90"/>
    <w:rsid w:val="00C73388"/>
    <w:rsid w:val="00C92658"/>
    <w:rsid w:val="00CB0C42"/>
    <w:rsid w:val="00CB12FC"/>
    <w:rsid w:val="00CC401D"/>
    <w:rsid w:val="00CC4A81"/>
    <w:rsid w:val="00CC7A88"/>
    <w:rsid w:val="00CE3854"/>
    <w:rsid w:val="00D622CB"/>
    <w:rsid w:val="00D77B09"/>
    <w:rsid w:val="00DA0E9A"/>
    <w:rsid w:val="00DB43CD"/>
    <w:rsid w:val="00E04538"/>
    <w:rsid w:val="00E17651"/>
    <w:rsid w:val="00E2428B"/>
    <w:rsid w:val="00E57A69"/>
    <w:rsid w:val="00E81C57"/>
    <w:rsid w:val="00EC0167"/>
    <w:rsid w:val="00EC2BA5"/>
    <w:rsid w:val="00EC6BC2"/>
    <w:rsid w:val="00EF0AD1"/>
    <w:rsid w:val="00F01151"/>
    <w:rsid w:val="00F23CC4"/>
    <w:rsid w:val="00F44B3C"/>
    <w:rsid w:val="00F46E0A"/>
    <w:rsid w:val="00F87A36"/>
    <w:rsid w:val="00F9257D"/>
    <w:rsid w:val="00FB232D"/>
    <w:rsid w:val="00FB2EEA"/>
    <w:rsid w:val="00FB58E0"/>
    <w:rsid w:val="00FE6C22"/>
    <w:rsid w:val="00FF0B74"/>
    <w:rsid w:val="00FF4759"/>
    <w:rsid w:val="01396E1E"/>
    <w:rsid w:val="01463FD5"/>
    <w:rsid w:val="01527EDF"/>
    <w:rsid w:val="01A31C37"/>
    <w:rsid w:val="01D00C7D"/>
    <w:rsid w:val="02A824AD"/>
    <w:rsid w:val="02EB2811"/>
    <w:rsid w:val="03451AAA"/>
    <w:rsid w:val="03916F6C"/>
    <w:rsid w:val="03FB660C"/>
    <w:rsid w:val="0438617D"/>
    <w:rsid w:val="04A41C14"/>
    <w:rsid w:val="04F41D30"/>
    <w:rsid w:val="054A784B"/>
    <w:rsid w:val="05706B86"/>
    <w:rsid w:val="0643315D"/>
    <w:rsid w:val="06C66B95"/>
    <w:rsid w:val="07256651"/>
    <w:rsid w:val="07414816"/>
    <w:rsid w:val="07A57463"/>
    <w:rsid w:val="07AF1BE8"/>
    <w:rsid w:val="07E166CF"/>
    <w:rsid w:val="07EC2E3C"/>
    <w:rsid w:val="087C1E01"/>
    <w:rsid w:val="08966C3D"/>
    <w:rsid w:val="089A2DB5"/>
    <w:rsid w:val="08B9444F"/>
    <w:rsid w:val="090C2363"/>
    <w:rsid w:val="09382467"/>
    <w:rsid w:val="09AF2373"/>
    <w:rsid w:val="09C04CF3"/>
    <w:rsid w:val="09E65669"/>
    <w:rsid w:val="0A155669"/>
    <w:rsid w:val="0A3356C5"/>
    <w:rsid w:val="0B112BA2"/>
    <w:rsid w:val="0B777B9C"/>
    <w:rsid w:val="0BB022C6"/>
    <w:rsid w:val="0C0F4B82"/>
    <w:rsid w:val="0C2671FD"/>
    <w:rsid w:val="0C470FE2"/>
    <w:rsid w:val="0C5B3333"/>
    <w:rsid w:val="0CF34325"/>
    <w:rsid w:val="0D092609"/>
    <w:rsid w:val="0D2E1801"/>
    <w:rsid w:val="0D4E3C51"/>
    <w:rsid w:val="0D674D12"/>
    <w:rsid w:val="0DFF4583"/>
    <w:rsid w:val="0ED518B9"/>
    <w:rsid w:val="0EED3860"/>
    <w:rsid w:val="0F5D5D24"/>
    <w:rsid w:val="0FE13406"/>
    <w:rsid w:val="0FEB39D9"/>
    <w:rsid w:val="0FEC6DFF"/>
    <w:rsid w:val="100502DB"/>
    <w:rsid w:val="103D460F"/>
    <w:rsid w:val="104319ED"/>
    <w:rsid w:val="10F25464"/>
    <w:rsid w:val="110B729A"/>
    <w:rsid w:val="11577DCA"/>
    <w:rsid w:val="118714DF"/>
    <w:rsid w:val="119836EC"/>
    <w:rsid w:val="1255782F"/>
    <w:rsid w:val="125808F8"/>
    <w:rsid w:val="12922DA3"/>
    <w:rsid w:val="12FB2185"/>
    <w:rsid w:val="13693592"/>
    <w:rsid w:val="13897791"/>
    <w:rsid w:val="139B3968"/>
    <w:rsid w:val="13E96481"/>
    <w:rsid w:val="14290F74"/>
    <w:rsid w:val="14485008"/>
    <w:rsid w:val="151D244F"/>
    <w:rsid w:val="1594241D"/>
    <w:rsid w:val="161A0B74"/>
    <w:rsid w:val="162D33A1"/>
    <w:rsid w:val="16826719"/>
    <w:rsid w:val="16921052"/>
    <w:rsid w:val="16B03286"/>
    <w:rsid w:val="16F75418"/>
    <w:rsid w:val="177E4F72"/>
    <w:rsid w:val="181C72E9"/>
    <w:rsid w:val="18363C5F"/>
    <w:rsid w:val="18CE63E8"/>
    <w:rsid w:val="190B50EC"/>
    <w:rsid w:val="193E101D"/>
    <w:rsid w:val="194B54E8"/>
    <w:rsid w:val="198253AE"/>
    <w:rsid w:val="1A1B135F"/>
    <w:rsid w:val="1A80251D"/>
    <w:rsid w:val="1AB84801"/>
    <w:rsid w:val="1ABD1C31"/>
    <w:rsid w:val="1AF92F80"/>
    <w:rsid w:val="1B0D3879"/>
    <w:rsid w:val="1B481CCF"/>
    <w:rsid w:val="1C186775"/>
    <w:rsid w:val="1C2F09B9"/>
    <w:rsid w:val="1CC23D13"/>
    <w:rsid w:val="1CC9404E"/>
    <w:rsid w:val="1D7E2ADA"/>
    <w:rsid w:val="1DEA5E47"/>
    <w:rsid w:val="1E070646"/>
    <w:rsid w:val="1E6D14DF"/>
    <w:rsid w:val="1EB27D85"/>
    <w:rsid w:val="1EFD35C7"/>
    <w:rsid w:val="1F05314E"/>
    <w:rsid w:val="1F5F2643"/>
    <w:rsid w:val="1FBB377C"/>
    <w:rsid w:val="1FD96549"/>
    <w:rsid w:val="20104B62"/>
    <w:rsid w:val="201319AC"/>
    <w:rsid w:val="201747B8"/>
    <w:rsid w:val="20284DFF"/>
    <w:rsid w:val="203B1D69"/>
    <w:rsid w:val="205D28D2"/>
    <w:rsid w:val="205E01F7"/>
    <w:rsid w:val="20D55986"/>
    <w:rsid w:val="2102259A"/>
    <w:rsid w:val="214C62A1"/>
    <w:rsid w:val="217355DC"/>
    <w:rsid w:val="21A92C39"/>
    <w:rsid w:val="21E12E8E"/>
    <w:rsid w:val="2234120F"/>
    <w:rsid w:val="22431008"/>
    <w:rsid w:val="224C6559"/>
    <w:rsid w:val="22560230"/>
    <w:rsid w:val="22A20DE3"/>
    <w:rsid w:val="22D078AB"/>
    <w:rsid w:val="22D760B9"/>
    <w:rsid w:val="23187529"/>
    <w:rsid w:val="232C0139"/>
    <w:rsid w:val="235A5093"/>
    <w:rsid w:val="2374136D"/>
    <w:rsid w:val="23932947"/>
    <w:rsid w:val="23E1655A"/>
    <w:rsid w:val="24D10F97"/>
    <w:rsid w:val="250A26FB"/>
    <w:rsid w:val="252269DF"/>
    <w:rsid w:val="2547147E"/>
    <w:rsid w:val="257601C6"/>
    <w:rsid w:val="2607286A"/>
    <w:rsid w:val="264823C4"/>
    <w:rsid w:val="26492D6B"/>
    <w:rsid w:val="266C2E7A"/>
    <w:rsid w:val="267D718F"/>
    <w:rsid w:val="26B24DF9"/>
    <w:rsid w:val="273E043A"/>
    <w:rsid w:val="276C31F9"/>
    <w:rsid w:val="27A50B7C"/>
    <w:rsid w:val="27C61896"/>
    <w:rsid w:val="27D57D10"/>
    <w:rsid w:val="27DE0CB9"/>
    <w:rsid w:val="27DF39CB"/>
    <w:rsid w:val="27E86D24"/>
    <w:rsid w:val="28862099"/>
    <w:rsid w:val="288D2644"/>
    <w:rsid w:val="291E22D1"/>
    <w:rsid w:val="293164A9"/>
    <w:rsid w:val="295403E9"/>
    <w:rsid w:val="29676195"/>
    <w:rsid w:val="29CA2459"/>
    <w:rsid w:val="29EA3C4D"/>
    <w:rsid w:val="2A0147A7"/>
    <w:rsid w:val="2A2A6637"/>
    <w:rsid w:val="2A4B2F9A"/>
    <w:rsid w:val="2A5B0901"/>
    <w:rsid w:val="2AE5579D"/>
    <w:rsid w:val="2B255B99"/>
    <w:rsid w:val="2B3B360F"/>
    <w:rsid w:val="2B5464AC"/>
    <w:rsid w:val="2C2B3683"/>
    <w:rsid w:val="2C2F4A23"/>
    <w:rsid w:val="2C9E3BA3"/>
    <w:rsid w:val="2CD86C3B"/>
    <w:rsid w:val="2CF31561"/>
    <w:rsid w:val="2DB06018"/>
    <w:rsid w:val="2DB15CAD"/>
    <w:rsid w:val="2DD720AE"/>
    <w:rsid w:val="2DF126AA"/>
    <w:rsid w:val="2DFE0288"/>
    <w:rsid w:val="2E083BC1"/>
    <w:rsid w:val="2E224536"/>
    <w:rsid w:val="2EB54BB1"/>
    <w:rsid w:val="2F4D3630"/>
    <w:rsid w:val="2F633134"/>
    <w:rsid w:val="2F9F0A04"/>
    <w:rsid w:val="2FA65CE2"/>
    <w:rsid w:val="303F0A59"/>
    <w:rsid w:val="30406FD1"/>
    <w:rsid w:val="30923A9E"/>
    <w:rsid w:val="30A16375"/>
    <w:rsid w:val="31037597"/>
    <w:rsid w:val="319A0963"/>
    <w:rsid w:val="31B62FBF"/>
    <w:rsid w:val="31E607C9"/>
    <w:rsid w:val="32075FF9"/>
    <w:rsid w:val="32617244"/>
    <w:rsid w:val="329830F5"/>
    <w:rsid w:val="32EB76C8"/>
    <w:rsid w:val="32FE29D2"/>
    <w:rsid w:val="33346D74"/>
    <w:rsid w:val="333A23FE"/>
    <w:rsid w:val="33B71CA0"/>
    <w:rsid w:val="343C3F54"/>
    <w:rsid w:val="3482405C"/>
    <w:rsid w:val="34F16921"/>
    <w:rsid w:val="351A48E2"/>
    <w:rsid w:val="352549E8"/>
    <w:rsid w:val="3534781C"/>
    <w:rsid w:val="353F7997"/>
    <w:rsid w:val="35B13F23"/>
    <w:rsid w:val="368A544A"/>
    <w:rsid w:val="369E0BFD"/>
    <w:rsid w:val="36D06DE0"/>
    <w:rsid w:val="36FA25D0"/>
    <w:rsid w:val="38357D00"/>
    <w:rsid w:val="387C0DC3"/>
    <w:rsid w:val="388960C4"/>
    <w:rsid w:val="389C7FD3"/>
    <w:rsid w:val="38D0018D"/>
    <w:rsid w:val="38E70932"/>
    <w:rsid w:val="39E00AF2"/>
    <w:rsid w:val="3AB9469B"/>
    <w:rsid w:val="3AE14C0C"/>
    <w:rsid w:val="3B273268"/>
    <w:rsid w:val="3B8E1539"/>
    <w:rsid w:val="3BAC1B8C"/>
    <w:rsid w:val="3C0F173B"/>
    <w:rsid w:val="3C1001A0"/>
    <w:rsid w:val="3C1A2DCC"/>
    <w:rsid w:val="3C370B47"/>
    <w:rsid w:val="3C706958"/>
    <w:rsid w:val="3C96786D"/>
    <w:rsid w:val="3CF25086"/>
    <w:rsid w:val="3D235CB1"/>
    <w:rsid w:val="3DC51BC4"/>
    <w:rsid w:val="3EBC016B"/>
    <w:rsid w:val="3ED71449"/>
    <w:rsid w:val="3F08328F"/>
    <w:rsid w:val="3F0F6A1B"/>
    <w:rsid w:val="3F382FD5"/>
    <w:rsid w:val="3FCF152A"/>
    <w:rsid w:val="402002DC"/>
    <w:rsid w:val="40401E30"/>
    <w:rsid w:val="405925D6"/>
    <w:rsid w:val="405B17DA"/>
    <w:rsid w:val="408A0869"/>
    <w:rsid w:val="40AD4CD2"/>
    <w:rsid w:val="40DA1398"/>
    <w:rsid w:val="412053B5"/>
    <w:rsid w:val="41863E62"/>
    <w:rsid w:val="419E0B30"/>
    <w:rsid w:val="41C3198C"/>
    <w:rsid w:val="420C1409"/>
    <w:rsid w:val="427C46A5"/>
    <w:rsid w:val="42885446"/>
    <w:rsid w:val="42E859D2"/>
    <w:rsid w:val="4302058B"/>
    <w:rsid w:val="432F3EFE"/>
    <w:rsid w:val="4407632C"/>
    <w:rsid w:val="448D1660"/>
    <w:rsid w:val="44B07D93"/>
    <w:rsid w:val="44D2693A"/>
    <w:rsid w:val="44FD328B"/>
    <w:rsid w:val="450944C6"/>
    <w:rsid w:val="451916C0"/>
    <w:rsid w:val="45594965"/>
    <w:rsid w:val="45A332B4"/>
    <w:rsid w:val="4601612B"/>
    <w:rsid w:val="460C19D8"/>
    <w:rsid w:val="46B1432D"/>
    <w:rsid w:val="46D214DC"/>
    <w:rsid w:val="46DB70E1"/>
    <w:rsid w:val="46F450DE"/>
    <w:rsid w:val="47392EB6"/>
    <w:rsid w:val="4773208C"/>
    <w:rsid w:val="47A07C51"/>
    <w:rsid w:val="48030BB8"/>
    <w:rsid w:val="487A3570"/>
    <w:rsid w:val="488241D3"/>
    <w:rsid w:val="488717E9"/>
    <w:rsid w:val="499624A2"/>
    <w:rsid w:val="49984BB7"/>
    <w:rsid w:val="49B639F6"/>
    <w:rsid w:val="4A4473FF"/>
    <w:rsid w:val="4A9F72BE"/>
    <w:rsid w:val="4B0B7FF3"/>
    <w:rsid w:val="4B0C6BFF"/>
    <w:rsid w:val="4B225AF8"/>
    <w:rsid w:val="4B426B0B"/>
    <w:rsid w:val="4B9759E4"/>
    <w:rsid w:val="4BAD57DD"/>
    <w:rsid w:val="4BF57ABC"/>
    <w:rsid w:val="4C9C5309"/>
    <w:rsid w:val="4CBF0399"/>
    <w:rsid w:val="4CC81BBA"/>
    <w:rsid w:val="4D7A0BD5"/>
    <w:rsid w:val="4DB766CD"/>
    <w:rsid w:val="4DF112C3"/>
    <w:rsid w:val="4E241889"/>
    <w:rsid w:val="4E410805"/>
    <w:rsid w:val="4E5A52AA"/>
    <w:rsid w:val="4EAB63FB"/>
    <w:rsid w:val="4F3D70A6"/>
    <w:rsid w:val="4F561F16"/>
    <w:rsid w:val="4FE75AE1"/>
    <w:rsid w:val="4FED2BFA"/>
    <w:rsid w:val="5008271E"/>
    <w:rsid w:val="5051105B"/>
    <w:rsid w:val="50AA6D74"/>
    <w:rsid w:val="51071719"/>
    <w:rsid w:val="513D338D"/>
    <w:rsid w:val="518C3A6B"/>
    <w:rsid w:val="51AD0FF9"/>
    <w:rsid w:val="51D23005"/>
    <w:rsid w:val="51D51818"/>
    <w:rsid w:val="51E952C3"/>
    <w:rsid w:val="51EC7659"/>
    <w:rsid w:val="522B1438"/>
    <w:rsid w:val="52A03BD4"/>
    <w:rsid w:val="52B0193D"/>
    <w:rsid w:val="52B85859"/>
    <w:rsid w:val="52FB3500"/>
    <w:rsid w:val="532C190B"/>
    <w:rsid w:val="54150B40"/>
    <w:rsid w:val="54292902"/>
    <w:rsid w:val="554E0887"/>
    <w:rsid w:val="558F75C1"/>
    <w:rsid w:val="55C45E2B"/>
    <w:rsid w:val="56113708"/>
    <w:rsid w:val="561D03C0"/>
    <w:rsid w:val="56A553F3"/>
    <w:rsid w:val="56CF5827"/>
    <w:rsid w:val="56DA5E47"/>
    <w:rsid w:val="572F3778"/>
    <w:rsid w:val="57961A49"/>
    <w:rsid w:val="580370AB"/>
    <w:rsid w:val="583A23D4"/>
    <w:rsid w:val="58421289"/>
    <w:rsid w:val="587D49B7"/>
    <w:rsid w:val="58893182"/>
    <w:rsid w:val="58970072"/>
    <w:rsid w:val="58CE6FC1"/>
    <w:rsid w:val="594D25DB"/>
    <w:rsid w:val="59E12AA0"/>
    <w:rsid w:val="59F57DDE"/>
    <w:rsid w:val="5A4C63EF"/>
    <w:rsid w:val="5A8C0EE1"/>
    <w:rsid w:val="5B0311A3"/>
    <w:rsid w:val="5B527A35"/>
    <w:rsid w:val="5B5B3D53"/>
    <w:rsid w:val="5C5A38B2"/>
    <w:rsid w:val="5C976ED0"/>
    <w:rsid w:val="5CA57727"/>
    <w:rsid w:val="5CBF10FA"/>
    <w:rsid w:val="5CE60D7D"/>
    <w:rsid w:val="5D101D2E"/>
    <w:rsid w:val="5D57015B"/>
    <w:rsid w:val="5D614C49"/>
    <w:rsid w:val="5D6B13A2"/>
    <w:rsid w:val="5D7967F9"/>
    <w:rsid w:val="5D8E40C4"/>
    <w:rsid w:val="5DBA7B13"/>
    <w:rsid w:val="5DC202A4"/>
    <w:rsid w:val="5E0B08F2"/>
    <w:rsid w:val="5EEC0743"/>
    <w:rsid w:val="5F1A43E9"/>
    <w:rsid w:val="5F38637A"/>
    <w:rsid w:val="5FBB1776"/>
    <w:rsid w:val="5FEA427E"/>
    <w:rsid w:val="5FFB4B3F"/>
    <w:rsid w:val="5FFE018B"/>
    <w:rsid w:val="60AE1BB1"/>
    <w:rsid w:val="612E0B0D"/>
    <w:rsid w:val="619828EE"/>
    <w:rsid w:val="61BA4586"/>
    <w:rsid w:val="61BA6334"/>
    <w:rsid w:val="61DA2008"/>
    <w:rsid w:val="61F06C11"/>
    <w:rsid w:val="62155B8C"/>
    <w:rsid w:val="622639C9"/>
    <w:rsid w:val="62571DD5"/>
    <w:rsid w:val="63100901"/>
    <w:rsid w:val="63506DAC"/>
    <w:rsid w:val="638F1B41"/>
    <w:rsid w:val="638F78D2"/>
    <w:rsid w:val="63D00091"/>
    <w:rsid w:val="63E84357"/>
    <w:rsid w:val="641770BE"/>
    <w:rsid w:val="643C1282"/>
    <w:rsid w:val="64B60787"/>
    <w:rsid w:val="65103DDD"/>
    <w:rsid w:val="6511270F"/>
    <w:rsid w:val="65B75B1D"/>
    <w:rsid w:val="65C94D98"/>
    <w:rsid w:val="66290F28"/>
    <w:rsid w:val="667629E0"/>
    <w:rsid w:val="669E73DD"/>
    <w:rsid w:val="66D831F9"/>
    <w:rsid w:val="66D954AE"/>
    <w:rsid w:val="678C307C"/>
    <w:rsid w:val="67957627"/>
    <w:rsid w:val="67CA42A6"/>
    <w:rsid w:val="67D22629"/>
    <w:rsid w:val="681C1AF7"/>
    <w:rsid w:val="681F15E7"/>
    <w:rsid w:val="68582403"/>
    <w:rsid w:val="687A6B68"/>
    <w:rsid w:val="68DE4FFE"/>
    <w:rsid w:val="6938470E"/>
    <w:rsid w:val="694F7CAA"/>
    <w:rsid w:val="696D0921"/>
    <w:rsid w:val="69771297"/>
    <w:rsid w:val="69A753F0"/>
    <w:rsid w:val="69E15F06"/>
    <w:rsid w:val="6A3A44B6"/>
    <w:rsid w:val="6A5124E1"/>
    <w:rsid w:val="6AA23800"/>
    <w:rsid w:val="6AD51948"/>
    <w:rsid w:val="6AED777A"/>
    <w:rsid w:val="6B4759A2"/>
    <w:rsid w:val="6B48561C"/>
    <w:rsid w:val="6B5A2FD8"/>
    <w:rsid w:val="6BDF5D2B"/>
    <w:rsid w:val="6BF91F83"/>
    <w:rsid w:val="6C221F1A"/>
    <w:rsid w:val="6C823EF2"/>
    <w:rsid w:val="6CE409DF"/>
    <w:rsid w:val="6CE92C9D"/>
    <w:rsid w:val="6CEF77DA"/>
    <w:rsid w:val="6CF13414"/>
    <w:rsid w:val="6CF546C4"/>
    <w:rsid w:val="6D0540D0"/>
    <w:rsid w:val="6D2532D0"/>
    <w:rsid w:val="6D462292"/>
    <w:rsid w:val="6D97577B"/>
    <w:rsid w:val="6E001573"/>
    <w:rsid w:val="6E284D53"/>
    <w:rsid w:val="6EBC36EB"/>
    <w:rsid w:val="6F0A409B"/>
    <w:rsid w:val="6F164F49"/>
    <w:rsid w:val="6F532116"/>
    <w:rsid w:val="6F6F0E54"/>
    <w:rsid w:val="6F897F71"/>
    <w:rsid w:val="6FB403CB"/>
    <w:rsid w:val="6FC47CF6"/>
    <w:rsid w:val="6FE8432E"/>
    <w:rsid w:val="701240E1"/>
    <w:rsid w:val="70293003"/>
    <w:rsid w:val="7036571F"/>
    <w:rsid w:val="706823BF"/>
    <w:rsid w:val="707A1594"/>
    <w:rsid w:val="70822713"/>
    <w:rsid w:val="70883D8D"/>
    <w:rsid w:val="70E92F39"/>
    <w:rsid w:val="70ED18BA"/>
    <w:rsid w:val="71122ECD"/>
    <w:rsid w:val="71D0053D"/>
    <w:rsid w:val="7249798C"/>
    <w:rsid w:val="729A12B3"/>
    <w:rsid w:val="7301738A"/>
    <w:rsid w:val="739015EB"/>
    <w:rsid w:val="73E254FA"/>
    <w:rsid w:val="74602D6B"/>
    <w:rsid w:val="748C08EE"/>
    <w:rsid w:val="74BC5F75"/>
    <w:rsid w:val="750D14C0"/>
    <w:rsid w:val="75263B59"/>
    <w:rsid w:val="75385A96"/>
    <w:rsid w:val="75882579"/>
    <w:rsid w:val="75A849CA"/>
    <w:rsid w:val="75C630A2"/>
    <w:rsid w:val="760A7432"/>
    <w:rsid w:val="760D2A7F"/>
    <w:rsid w:val="7620767D"/>
    <w:rsid w:val="762E6D06"/>
    <w:rsid w:val="76BF6130"/>
    <w:rsid w:val="76FB4FCD"/>
    <w:rsid w:val="775A6197"/>
    <w:rsid w:val="77654FE8"/>
    <w:rsid w:val="77DD76E9"/>
    <w:rsid w:val="781A5362"/>
    <w:rsid w:val="78600EB5"/>
    <w:rsid w:val="78623D00"/>
    <w:rsid w:val="78857244"/>
    <w:rsid w:val="788A03B6"/>
    <w:rsid w:val="78B61079"/>
    <w:rsid w:val="78CF3820"/>
    <w:rsid w:val="78E81387"/>
    <w:rsid w:val="78FE2A6A"/>
    <w:rsid w:val="7A7E21D3"/>
    <w:rsid w:val="7AE364A4"/>
    <w:rsid w:val="7AF61D59"/>
    <w:rsid w:val="7B42568E"/>
    <w:rsid w:val="7B5178B1"/>
    <w:rsid w:val="7BC71163"/>
    <w:rsid w:val="7BCF3101"/>
    <w:rsid w:val="7BDB7E7C"/>
    <w:rsid w:val="7C2D3E7B"/>
    <w:rsid w:val="7C324FAC"/>
    <w:rsid w:val="7C572CA5"/>
    <w:rsid w:val="7C7A6994"/>
    <w:rsid w:val="7CAF663E"/>
    <w:rsid w:val="7D0A5F6A"/>
    <w:rsid w:val="7E3468D5"/>
    <w:rsid w:val="7E5506E9"/>
    <w:rsid w:val="7E8C1FCF"/>
    <w:rsid w:val="7EC54522"/>
    <w:rsid w:val="7EE051D4"/>
    <w:rsid w:val="7F002CF6"/>
    <w:rsid w:val="7FD24E7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8"/>
    <w:qFormat/>
    <w:uiPriority w:val="9"/>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link w:val="29"/>
    <w:semiHidden/>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2">
    <w:name w:val="Default Paragraph Font"/>
    <w:qFormat/>
    <w:uiPriority w:val="0"/>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footer"/>
    <w:basedOn w:val="1"/>
    <w:link w:val="17"/>
    <w:qFormat/>
    <w:uiPriority w:val="99"/>
    <w:pPr>
      <w:tabs>
        <w:tab w:val="center" w:pos="4153"/>
        <w:tab w:val="right" w:pos="8306"/>
      </w:tabs>
      <w:snapToGrid w:val="0"/>
      <w:jc w:val="left"/>
    </w:pPr>
    <w:rPr>
      <w:sz w:val="18"/>
    </w:rPr>
  </w:style>
  <w:style w:type="paragraph" w:styleId="6">
    <w:name w:val="header"/>
    <w:basedOn w:val="1"/>
    <w:link w:val="18"/>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toc 1"/>
    <w:basedOn w:val="1"/>
    <w:next w:val="1"/>
    <w:qFormat/>
    <w:uiPriority w:val="0"/>
    <w:pPr>
      <w:tabs>
        <w:tab w:val="right" w:leader="dot" w:pos="9180"/>
        <w:tab w:val="right" w:leader="middleDot" w:pos="9240"/>
      </w:tabs>
      <w:spacing w:line="360" w:lineRule="auto"/>
    </w:pPr>
    <w:rPr>
      <w:sz w:val="24"/>
      <w:szCs w:val="24"/>
    </w:rPr>
  </w:style>
  <w:style w:type="paragraph" w:styleId="8">
    <w:name w:val="footnote text"/>
    <w:basedOn w:val="1"/>
    <w:unhideWhenUsed/>
    <w:qFormat/>
    <w:uiPriority w:val="99"/>
    <w:pPr>
      <w:snapToGrid w:val="0"/>
      <w:jc w:val="left"/>
    </w:pPr>
    <w:rPr>
      <w:sz w:val="18"/>
    </w:rPr>
  </w:style>
  <w:style w:type="paragraph" w:styleId="9">
    <w:name w:val="toc 2"/>
    <w:basedOn w:val="1"/>
    <w:next w:val="1"/>
    <w:unhideWhenUsed/>
    <w:qFormat/>
    <w:uiPriority w:val="39"/>
    <w:pPr>
      <w:ind w:left="420" w:leftChars="200"/>
    </w:pPr>
  </w:style>
  <w:style w:type="table" w:styleId="11">
    <w:name w:val="Table Grid"/>
    <w:basedOn w:val="10"/>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3">
    <w:name w:val="Hyperlink"/>
    <w:qFormat/>
    <w:uiPriority w:val="0"/>
    <w:rPr>
      <w:color w:val="000000"/>
      <w:u w:val="single"/>
    </w:rPr>
  </w:style>
  <w:style w:type="character" w:styleId="14">
    <w:name w:val="footnote reference"/>
    <w:basedOn w:val="12"/>
    <w:unhideWhenUsed/>
    <w:qFormat/>
    <w:uiPriority w:val="99"/>
    <w:rPr>
      <w:vertAlign w:val="superscript"/>
    </w:rPr>
  </w:style>
  <w:style w:type="paragraph" w:customStyle="1" w:styleId="15">
    <w:name w:val="毕业-1"/>
    <w:basedOn w:val="1"/>
    <w:next w:val="1"/>
    <w:link w:val="27"/>
    <w:qFormat/>
    <w:uiPriority w:val="0"/>
    <w:pPr>
      <w:spacing w:before="50" w:beforeLines="50" w:after="50" w:afterLines="50" w:line="240" w:lineRule="auto"/>
      <w:ind w:firstLine="0" w:firstLineChars="0"/>
      <w:jc w:val="center"/>
    </w:pPr>
    <w:rPr>
      <w:rFonts w:ascii="Times New Roman" w:hAnsi="Times New Roman" w:eastAsia="黑体" w:cs="Times New Roman"/>
      <w:b/>
      <w:sz w:val="36"/>
      <w:szCs w:val="24"/>
    </w:rPr>
  </w:style>
  <w:style w:type="paragraph" w:customStyle="1" w:styleId="16">
    <w:name w:val="毕业-2"/>
    <w:basedOn w:val="1"/>
    <w:next w:val="1"/>
    <w:qFormat/>
    <w:uiPriority w:val="0"/>
    <w:pPr>
      <w:spacing w:before="50" w:beforeLines="50" w:after="50" w:afterLines="50" w:line="240" w:lineRule="auto"/>
      <w:ind w:firstLine="0" w:firstLineChars="0"/>
      <w:jc w:val="both"/>
    </w:pPr>
    <w:rPr>
      <w:rFonts w:hint="default" w:ascii="Times New Roman" w:hAnsi="Times New Roman" w:eastAsia="黑体" w:cs="Times New Roman"/>
      <w:b/>
      <w:sz w:val="28"/>
      <w:szCs w:val="24"/>
    </w:rPr>
  </w:style>
  <w:style w:type="character" w:customStyle="1" w:styleId="17">
    <w:name w:val="页脚 字符"/>
    <w:link w:val="5"/>
    <w:qFormat/>
    <w:uiPriority w:val="99"/>
    <w:rPr>
      <w:kern w:val="2"/>
      <w:sz w:val="18"/>
    </w:rPr>
  </w:style>
  <w:style w:type="character" w:customStyle="1" w:styleId="18">
    <w:name w:val="页眉 字符"/>
    <w:link w:val="6"/>
    <w:qFormat/>
    <w:uiPriority w:val="99"/>
    <w:rPr>
      <w:kern w:val="2"/>
      <w:sz w:val="18"/>
    </w:rPr>
  </w:style>
  <w:style w:type="paragraph" w:customStyle="1" w:styleId="1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0">
    <w:name w:val="No Spacing"/>
    <w:link w:val="21"/>
    <w:qFormat/>
    <w:uiPriority w:val="1"/>
    <w:rPr>
      <w:rFonts w:ascii="Calibri" w:hAnsi="Calibri" w:eastAsia="宋体" w:cs="Times New Roman"/>
      <w:sz w:val="22"/>
      <w:szCs w:val="22"/>
      <w:lang w:val="en-US" w:eastAsia="zh-CN" w:bidi="ar-SA"/>
    </w:rPr>
  </w:style>
  <w:style w:type="character" w:customStyle="1" w:styleId="21">
    <w:name w:val="无间隔 字符"/>
    <w:link w:val="20"/>
    <w:qFormat/>
    <w:uiPriority w:val="1"/>
    <w:rPr>
      <w:rFonts w:ascii="Calibri" w:hAnsi="Calibri"/>
      <w:sz w:val="22"/>
      <w:szCs w:val="22"/>
      <w:lang w:val="en-US" w:eastAsia="zh-CN" w:bidi="ar-SA"/>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 w:type="paragraph" w:customStyle="1" w:styleId="25">
    <w:name w:val="毕业_3"/>
    <w:basedOn w:val="1"/>
    <w:next w:val="1"/>
    <w:qFormat/>
    <w:uiPriority w:val="0"/>
    <w:pPr>
      <w:spacing w:line="480" w:lineRule="auto"/>
      <w:ind w:firstLine="0" w:firstLineChars="0"/>
      <w:jc w:val="both"/>
    </w:pPr>
    <w:rPr>
      <w:rFonts w:ascii="Times New Roman" w:hAnsi="Times New Roman" w:eastAsia="黑体"/>
      <w:b/>
      <w:sz w:val="24"/>
      <w:szCs w:val="24"/>
    </w:rPr>
  </w:style>
  <w:style w:type="paragraph" w:customStyle="1" w:styleId="26">
    <w:name w:val="毕业图表"/>
    <w:basedOn w:val="1"/>
    <w:link w:val="30"/>
    <w:qFormat/>
    <w:uiPriority w:val="0"/>
    <w:pPr>
      <w:spacing w:line="360" w:lineRule="auto"/>
      <w:ind w:firstLine="0" w:firstLineChars="0"/>
      <w:jc w:val="center"/>
    </w:pPr>
    <w:rPr>
      <w:rFonts w:hint="default" w:ascii="Times New Roman" w:hAnsi="Times New Roman" w:eastAsia="黑体" w:cs="Times New Roman"/>
      <w:sz w:val="24"/>
      <w:szCs w:val="24"/>
    </w:rPr>
  </w:style>
  <w:style w:type="character" w:customStyle="1" w:styleId="27">
    <w:name w:val="毕业-1 Char"/>
    <w:link w:val="15"/>
    <w:qFormat/>
    <w:uiPriority w:val="0"/>
    <w:rPr>
      <w:rFonts w:ascii="Times New Roman" w:hAnsi="Times New Roman" w:eastAsia="黑体" w:cs="Times New Roman"/>
      <w:b/>
      <w:sz w:val="36"/>
      <w:szCs w:val="24"/>
    </w:rPr>
  </w:style>
  <w:style w:type="character" w:customStyle="1" w:styleId="28">
    <w:name w:val="标题 1 Char"/>
    <w:link w:val="2"/>
    <w:qFormat/>
    <w:uiPriority w:val="9"/>
    <w:rPr>
      <w:rFonts w:hint="eastAsia" w:ascii="宋体" w:hAnsi="宋体" w:eastAsia="宋体" w:cs="宋体"/>
      <w:b/>
      <w:bCs/>
      <w:kern w:val="44"/>
      <w:sz w:val="48"/>
      <w:szCs w:val="48"/>
      <w:lang w:val="en-US" w:eastAsia="zh-CN" w:bidi="ar"/>
    </w:rPr>
  </w:style>
  <w:style w:type="character" w:customStyle="1" w:styleId="29">
    <w:name w:val="标题 2 Char"/>
    <w:link w:val="3"/>
    <w:qFormat/>
    <w:uiPriority w:val="0"/>
    <w:rPr>
      <w:rFonts w:ascii="Arial" w:hAnsi="Arial" w:eastAsia="黑体"/>
      <w:b/>
      <w:sz w:val="32"/>
    </w:rPr>
  </w:style>
  <w:style w:type="character" w:customStyle="1" w:styleId="30">
    <w:name w:val="毕业图表 Char"/>
    <w:link w:val="26"/>
    <w:qFormat/>
    <w:uiPriority w:val="0"/>
    <w:rPr>
      <w:rFonts w:hint="default" w:ascii="Times New Roman" w:hAnsi="Times New Roman" w:eastAsia="黑体" w:cs="Times New Roman"/>
      <w:sz w:val="24"/>
      <w:szCs w:val="24"/>
    </w:rPr>
  </w:style>
  <w:style w:type="paragraph" w:customStyle="1" w:styleId="31">
    <w:name w:val="毕业4"/>
    <w:basedOn w:val="1"/>
    <w:qFormat/>
    <w:uiPriority w:val="0"/>
    <w:pPr>
      <w:spacing w:line="480" w:lineRule="auto"/>
    </w:pPr>
    <w:rPr>
      <w:rFonts w:hint="default" w:ascii="Times New Roman" w:hAnsi="Times New Roman" w:eastAsia="黑体"/>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oleObject" Target="embeddings/oleObject5.bin"/><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emf"/><Relationship Id="rId3" Type="http://schemas.openxmlformats.org/officeDocument/2006/relationships/footnotes" Target="footnotes.xml"/><Relationship Id="rId29" Type="http://schemas.openxmlformats.org/officeDocument/2006/relationships/image" Target="media/image14.emf"/><Relationship Id="rId28" Type="http://schemas.openxmlformats.org/officeDocument/2006/relationships/image" Target="media/image13.emf"/><Relationship Id="rId27" Type="http://schemas.openxmlformats.org/officeDocument/2006/relationships/image" Target="media/image12.emf"/><Relationship Id="rId26" Type="http://schemas.openxmlformats.org/officeDocument/2006/relationships/image" Target="media/image11.emf"/><Relationship Id="rId25" Type="http://schemas.openxmlformats.org/officeDocument/2006/relationships/image" Target="media/image10.emf"/><Relationship Id="rId24" Type="http://schemas.openxmlformats.org/officeDocument/2006/relationships/image" Target="media/image9.emf"/><Relationship Id="rId23" Type="http://schemas.openxmlformats.org/officeDocument/2006/relationships/image" Target="media/image8.emf"/><Relationship Id="rId22" Type="http://schemas.openxmlformats.org/officeDocument/2006/relationships/image" Target="media/image7.wmf"/><Relationship Id="rId21" Type="http://schemas.openxmlformats.org/officeDocument/2006/relationships/oleObject" Target="embeddings/oleObject4.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5.emf"/><Relationship Id="rId17" Type="http://schemas.openxmlformats.org/officeDocument/2006/relationships/image" Target="media/image4.wmf"/><Relationship Id="rId16" Type="http://schemas.openxmlformats.org/officeDocument/2006/relationships/oleObject" Target="embeddings/oleObject2.bin"/><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w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59</Pages>
  <Words>27163</Words>
  <Characters>36307</Characters>
  <Lines>25</Lines>
  <Paragraphs>7</Paragraphs>
  <TotalTime>13</TotalTime>
  <ScaleCrop>false</ScaleCrop>
  <LinksUpToDate>false</LinksUpToDate>
  <CharactersWithSpaces>37321</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书儿</dc:creator>
  <cp:lastModifiedBy>styles</cp:lastModifiedBy>
  <cp:lastPrinted>2021-12-27T00:35:00Z</cp:lastPrinted>
  <dcterms:modified xsi:type="dcterms:W3CDTF">2022-06-14T11:20:59Z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A110607250A14ABAAF1D3569E1824D83</vt:lpwstr>
  </property>
</Properties>
</file>