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Ansi="宋体"/>
          <w:kern w:val="0"/>
        </w:rPr>
      </w:pPr>
      <w:bookmarkStart w:id="178" w:name="_GoBack"/>
      <w:bookmarkEnd w:id="178"/>
    </w:p>
    <w:p>
      <w:pPr>
        <w:spacing w:line="360" w:lineRule="auto"/>
        <w:rPr>
          <w:rFonts w:hAnsi="宋体"/>
          <w:kern w:val="0"/>
        </w:rPr>
      </w:pPr>
    </w:p>
    <w:p>
      <w:pPr>
        <w:spacing w:line="360" w:lineRule="auto"/>
        <w:rPr>
          <w:rFonts w:hAnsi="宋体"/>
          <w:kern w:val="0"/>
        </w:rPr>
      </w:pPr>
    </w:p>
    <w:p>
      <w:pPr>
        <w:spacing w:line="360" w:lineRule="auto"/>
        <w:jc w:val="center"/>
        <w:rPr>
          <w:rFonts w:eastAsia="黑体"/>
          <w:sz w:val="34"/>
        </w:rPr>
      </w:pPr>
      <w:r>
        <w:rPr>
          <w:rFonts w:hAnsi="宋体"/>
          <w:kern w:val="0"/>
        </w:rPr>
        <w:object>
          <v:shape id="_x0000_i1025" o:spt="75" type="#_x0000_t75" style="height:46.8pt;width:205.85pt;" o:ole="t" filled="t" o:preferrelative="t" stroked="f" coordsize="21600,21600">
            <v:path/>
            <v:fill on="t" focussize="0,0"/>
            <v:stroke on="f" joinstyle="miter"/>
            <v:imagedata r:id="rId20" o:title=""/>
            <o:lock v:ext="edit" aspectratio="t"/>
            <w10:wrap type="none"/>
            <w10:anchorlock/>
          </v:shape>
          <o:OLEObject Type="Embed" ProgID="Word.Picture.8" ShapeID="_x0000_i1025" DrawAspect="Content" ObjectID="_1468075725" r:id="rId19">
            <o:LockedField>false</o:LockedField>
          </o:OLEObject>
        </w:object>
      </w:r>
    </w:p>
    <w:p>
      <w:pPr>
        <w:adjustRightInd w:val="0"/>
        <w:snapToGrid w:val="0"/>
        <w:jc w:val="center"/>
        <w:rPr>
          <w:b/>
          <w:bCs/>
          <w:spacing w:val="20"/>
          <w:sz w:val="18"/>
        </w:rPr>
      </w:pPr>
    </w:p>
    <w:p>
      <w:pPr>
        <w:adjustRightInd w:val="0"/>
        <w:snapToGrid w:val="0"/>
        <w:jc w:val="center"/>
        <w:rPr>
          <w:b/>
          <w:bCs/>
          <w:spacing w:val="20"/>
          <w:sz w:val="18"/>
        </w:rPr>
      </w:pPr>
    </w:p>
    <w:p>
      <w:pPr>
        <w:spacing w:line="360" w:lineRule="auto"/>
        <w:jc w:val="center"/>
        <w:rPr>
          <w:rFonts w:ascii="华文中宋" w:hAnsi="华文中宋" w:eastAsia="华文中宋"/>
          <w:b/>
          <w:bCs/>
          <w:sz w:val="72"/>
          <w:szCs w:val="72"/>
        </w:rPr>
      </w:pPr>
      <w:r>
        <w:rPr>
          <w:rFonts w:hint="eastAsia" w:ascii="华文中宋" w:hAnsi="华文中宋" w:eastAsia="华文中宋"/>
          <w:b/>
          <w:bCs/>
          <w:spacing w:val="20"/>
          <w:sz w:val="72"/>
          <w:szCs w:val="72"/>
        </w:rPr>
        <w:t>本科毕业设计[论文]</w:t>
      </w:r>
    </w:p>
    <w:p>
      <w:pPr>
        <w:spacing w:line="360" w:lineRule="auto"/>
        <w:jc w:val="center"/>
        <w:rPr>
          <w:rFonts w:ascii="楷体_GB2312" w:hAnsi="黑体" w:eastAsia="楷体_GB2312"/>
          <w:bCs/>
          <w:color w:val="FF0000"/>
          <w:sz w:val="36"/>
          <w:szCs w:val="36"/>
        </w:rPr>
      </w:pPr>
    </w:p>
    <w:p>
      <w:pPr>
        <w:adjustRightInd w:val="0"/>
        <w:snapToGrid w:val="0"/>
        <w:spacing w:line="264" w:lineRule="auto"/>
        <w:rPr>
          <w:rFonts w:eastAsia="华文中宋"/>
          <w:b/>
          <w:bCs/>
          <w:spacing w:val="12"/>
          <w:sz w:val="52"/>
          <w:szCs w:val="32"/>
        </w:rPr>
      </w:pPr>
    </w:p>
    <w:p>
      <w:pPr>
        <w:jc w:val="center"/>
        <w:rPr>
          <w:rFonts w:ascii="黑体" w:eastAsia="黑体"/>
          <w:b/>
          <w:sz w:val="44"/>
          <w:szCs w:val="44"/>
        </w:rPr>
      </w:pPr>
      <w:r>
        <w:rPr>
          <w:rFonts w:hint="eastAsia" w:ascii="黑体" w:eastAsia="黑体"/>
          <w:b/>
          <w:sz w:val="44"/>
          <w:szCs w:val="44"/>
        </w:rPr>
        <w:t>重污染企业负面环境信息披露的经济后果与作用机制研究</w:t>
      </w:r>
    </w:p>
    <w:p>
      <w:pPr>
        <w:adjustRightInd w:val="0"/>
        <w:snapToGrid w:val="0"/>
        <w:spacing w:line="264" w:lineRule="auto"/>
        <w:rPr>
          <w:rFonts w:eastAsia="华文中宋"/>
          <w:b/>
          <w:bCs/>
          <w:spacing w:val="12"/>
          <w:sz w:val="52"/>
          <w:szCs w:val="32"/>
        </w:rPr>
      </w:pPr>
    </w:p>
    <w:p>
      <w:pPr>
        <w:adjustRightInd w:val="0"/>
        <w:snapToGrid w:val="0"/>
        <w:spacing w:line="264" w:lineRule="auto"/>
        <w:rPr>
          <w:rFonts w:eastAsia="华文中宋"/>
          <w:b/>
          <w:bCs/>
          <w:spacing w:val="12"/>
          <w:sz w:val="52"/>
          <w:szCs w:val="32"/>
        </w:rPr>
      </w:pPr>
    </w:p>
    <w:tbl>
      <w:tblPr>
        <w:tblStyle w:val="16"/>
        <w:tblW w:w="0" w:type="auto"/>
        <w:tblInd w:w="1809" w:type="dxa"/>
        <w:tblLayout w:type="autofit"/>
        <w:tblCellMar>
          <w:top w:w="0" w:type="dxa"/>
          <w:left w:w="108" w:type="dxa"/>
          <w:bottom w:w="0" w:type="dxa"/>
          <w:right w:w="108" w:type="dxa"/>
        </w:tblCellMar>
      </w:tblPr>
      <w:tblGrid>
        <w:gridCol w:w="1701"/>
        <w:gridCol w:w="3402"/>
      </w:tblGrid>
      <w:tr>
        <w:tblPrEx>
          <w:tblCellMar>
            <w:top w:w="0" w:type="dxa"/>
            <w:left w:w="108" w:type="dxa"/>
            <w:bottom w:w="0" w:type="dxa"/>
            <w:right w:w="108" w:type="dxa"/>
          </w:tblCellMar>
        </w:tblPrEx>
        <w:tc>
          <w:tcPr>
            <w:tcW w:w="1701" w:type="dxa"/>
          </w:tcPr>
          <w:p>
            <w:pPr>
              <w:spacing w:line="720" w:lineRule="auto"/>
              <w:jc w:val="distribute"/>
              <w:rPr>
                <w:rFonts w:ascii="华文中宋" w:hAnsi="华文中宋" w:eastAsia="华文中宋"/>
                <w:kern w:val="0"/>
                <w:sz w:val="32"/>
                <w:szCs w:val="32"/>
              </w:rPr>
            </w:pPr>
            <w:r>
              <w:rPr>
                <w:rFonts w:hint="eastAsia" w:ascii="华文中宋" w:hAnsi="华文中宋" w:eastAsia="华文中宋"/>
                <w:kern w:val="0"/>
                <w:sz w:val="32"/>
                <w:szCs w:val="32"/>
              </w:rPr>
              <w:t>院系</w:t>
            </w:r>
          </w:p>
        </w:tc>
        <w:tc>
          <w:tcPr>
            <w:tcW w:w="3402" w:type="dxa"/>
            <w:tcBorders>
              <w:bottom w:val="single" w:color="auto" w:sz="6" w:space="0"/>
            </w:tcBorders>
          </w:tcPr>
          <w:p>
            <w:pPr>
              <w:spacing w:line="720" w:lineRule="auto"/>
              <w:jc w:val="center"/>
              <w:rPr>
                <w:rFonts w:ascii="华文中宋" w:hAnsi="华文中宋" w:eastAsia="华文中宋"/>
                <w:kern w:val="0"/>
                <w:sz w:val="32"/>
                <w:szCs w:val="32"/>
              </w:rPr>
            </w:pPr>
            <w:r>
              <w:rPr>
                <w:rFonts w:hint="eastAsia" w:ascii="华文中宋" w:hAnsi="华文中宋" w:eastAsia="华文中宋"/>
                <w:kern w:val="0"/>
                <w:sz w:val="32"/>
                <w:szCs w:val="32"/>
              </w:rPr>
              <w:t>管理学院</w:t>
            </w:r>
          </w:p>
        </w:tc>
      </w:tr>
      <w:tr>
        <w:tblPrEx>
          <w:tblCellMar>
            <w:top w:w="0" w:type="dxa"/>
            <w:left w:w="108" w:type="dxa"/>
            <w:bottom w:w="0" w:type="dxa"/>
            <w:right w:w="108" w:type="dxa"/>
          </w:tblCellMar>
        </w:tblPrEx>
        <w:tc>
          <w:tcPr>
            <w:tcW w:w="1701" w:type="dxa"/>
          </w:tcPr>
          <w:p>
            <w:pPr>
              <w:spacing w:line="720" w:lineRule="auto"/>
              <w:jc w:val="distribute"/>
              <w:rPr>
                <w:rFonts w:ascii="华文中宋" w:hAnsi="华文中宋" w:eastAsia="华文中宋"/>
                <w:kern w:val="0"/>
                <w:sz w:val="32"/>
                <w:szCs w:val="32"/>
              </w:rPr>
            </w:pPr>
            <w:r>
              <w:rPr>
                <w:rFonts w:hint="eastAsia" w:ascii="华文中宋" w:hAnsi="华文中宋" w:eastAsia="华文中宋"/>
                <w:kern w:val="0"/>
                <w:sz w:val="32"/>
                <w:szCs w:val="32"/>
              </w:rPr>
              <w:t>专业班级</w:t>
            </w:r>
          </w:p>
        </w:tc>
        <w:tc>
          <w:tcPr>
            <w:tcW w:w="3402" w:type="dxa"/>
            <w:tcBorders>
              <w:top w:val="single" w:color="auto" w:sz="6" w:space="0"/>
              <w:bottom w:val="single" w:color="auto" w:sz="6" w:space="0"/>
            </w:tcBorders>
          </w:tcPr>
          <w:p>
            <w:pPr>
              <w:spacing w:line="720" w:lineRule="auto"/>
              <w:jc w:val="center"/>
              <w:rPr>
                <w:rFonts w:ascii="华文中宋" w:hAnsi="华文中宋" w:eastAsia="华文中宋"/>
                <w:kern w:val="0"/>
                <w:sz w:val="32"/>
                <w:szCs w:val="32"/>
              </w:rPr>
            </w:pPr>
            <w:r>
              <w:rPr>
                <w:rFonts w:hint="eastAsia" w:ascii="华文中宋" w:hAnsi="华文中宋" w:eastAsia="华文中宋"/>
                <w:kern w:val="0"/>
                <w:sz w:val="32"/>
                <w:szCs w:val="32"/>
              </w:rPr>
              <w:t>财务1801</w:t>
            </w:r>
          </w:p>
        </w:tc>
      </w:tr>
      <w:tr>
        <w:tblPrEx>
          <w:tblCellMar>
            <w:top w:w="0" w:type="dxa"/>
            <w:left w:w="108" w:type="dxa"/>
            <w:bottom w:w="0" w:type="dxa"/>
            <w:right w:w="108" w:type="dxa"/>
          </w:tblCellMar>
        </w:tblPrEx>
        <w:tc>
          <w:tcPr>
            <w:tcW w:w="1701" w:type="dxa"/>
          </w:tcPr>
          <w:p>
            <w:pPr>
              <w:spacing w:line="720" w:lineRule="auto"/>
              <w:jc w:val="distribute"/>
              <w:rPr>
                <w:rFonts w:ascii="华文中宋" w:hAnsi="华文中宋" w:eastAsia="华文中宋"/>
                <w:kern w:val="0"/>
                <w:sz w:val="32"/>
                <w:szCs w:val="32"/>
              </w:rPr>
            </w:pPr>
            <w:r>
              <w:rPr>
                <w:rFonts w:hint="eastAsia" w:ascii="华文中宋" w:hAnsi="华文中宋" w:eastAsia="华文中宋"/>
                <w:kern w:val="0"/>
                <w:sz w:val="32"/>
                <w:szCs w:val="32"/>
              </w:rPr>
              <w:t>姓名</w:t>
            </w:r>
          </w:p>
        </w:tc>
        <w:tc>
          <w:tcPr>
            <w:tcW w:w="3402" w:type="dxa"/>
            <w:tcBorders>
              <w:top w:val="single" w:color="auto" w:sz="6" w:space="0"/>
              <w:bottom w:val="single" w:color="auto" w:sz="6" w:space="0"/>
            </w:tcBorders>
          </w:tcPr>
          <w:p>
            <w:pPr>
              <w:spacing w:line="720" w:lineRule="auto"/>
              <w:jc w:val="center"/>
              <w:rPr>
                <w:rFonts w:ascii="华文中宋" w:hAnsi="华文中宋" w:eastAsia="华文中宋"/>
                <w:kern w:val="0"/>
                <w:sz w:val="32"/>
                <w:szCs w:val="32"/>
              </w:rPr>
            </w:pPr>
            <w:r>
              <w:rPr>
                <w:rFonts w:hint="eastAsia" w:ascii="华文中宋" w:hAnsi="华文中宋" w:eastAsia="华文中宋"/>
                <w:kern w:val="0"/>
                <w:sz w:val="32"/>
                <w:szCs w:val="32"/>
              </w:rPr>
              <w:t>黄安然</w:t>
            </w:r>
          </w:p>
        </w:tc>
      </w:tr>
      <w:tr>
        <w:tblPrEx>
          <w:tblCellMar>
            <w:top w:w="0" w:type="dxa"/>
            <w:left w:w="108" w:type="dxa"/>
            <w:bottom w:w="0" w:type="dxa"/>
            <w:right w:w="108" w:type="dxa"/>
          </w:tblCellMar>
        </w:tblPrEx>
        <w:tc>
          <w:tcPr>
            <w:tcW w:w="1701" w:type="dxa"/>
          </w:tcPr>
          <w:p>
            <w:pPr>
              <w:spacing w:line="720" w:lineRule="auto"/>
              <w:jc w:val="distribute"/>
              <w:rPr>
                <w:rFonts w:ascii="华文中宋" w:hAnsi="华文中宋" w:eastAsia="华文中宋"/>
                <w:kern w:val="0"/>
                <w:sz w:val="32"/>
                <w:szCs w:val="32"/>
              </w:rPr>
            </w:pPr>
            <w:r>
              <w:rPr>
                <w:rFonts w:hint="eastAsia" w:ascii="华文中宋" w:hAnsi="华文中宋" w:eastAsia="华文中宋"/>
                <w:kern w:val="0"/>
                <w:sz w:val="32"/>
                <w:szCs w:val="32"/>
              </w:rPr>
              <w:t>学号</w:t>
            </w:r>
          </w:p>
        </w:tc>
        <w:tc>
          <w:tcPr>
            <w:tcW w:w="3402" w:type="dxa"/>
            <w:tcBorders>
              <w:top w:val="single" w:color="auto" w:sz="6" w:space="0"/>
              <w:bottom w:val="single" w:color="auto" w:sz="6" w:space="0"/>
            </w:tcBorders>
          </w:tcPr>
          <w:p>
            <w:pPr>
              <w:spacing w:line="720" w:lineRule="auto"/>
              <w:jc w:val="center"/>
              <w:rPr>
                <w:rFonts w:ascii="华文中宋" w:hAnsi="华文中宋" w:eastAsia="华文中宋"/>
                <w:kern w:val="0"/>
                <w:sz w:val="32"/>
                <w:szCs w:val="32"/>
              </w:rPr>
            </w:pPr>
            <w:r>
              <w:rPr>
                <w:rFonts w:hint="eastAsia" w:ascii="华文中宋" w:hAnsi="华文中宋" w:eastAsia="华文中宋"/>
                <w:kern w:val="0"/>
                <w:sz w:val="32"/>
                <w:szCs w:val="32"/>
              </w:rPr>
              <w:t>U201716720</w:t>
            </w:r>
          </w:p>
        </w:tc>
      </w:tr>
      <w:tr>
        <w:tblPrEx>
          <w:tblCellMar>
            <w:top w:w="0" w:type="dxa"/>
            <w:left w:w="108" w:type="dxa"/>
            <w:bottom w:w="0" w:type="dxa"/>
            <w:right w:w="108" w:type="dxa"/>
          </w:tblCellMar>
        </w:tblPrEx>
        <w:tc>
          <w:tcPr>
            <w:tcW w:w="1701" w:type="dxa"/>
          </w:tcPr>
          <w:p>
            <w:pPr>
              <w:spacing w:line="720" w:lineRule="auto"/>
              <w:jc w:val="distribute"/>
              <w:rPr>
                <w:rFonts w:ascii="华文中宋" w:hAnsi="华文中宋" w:eastAsia="华文中宋"/>
                <w:kern w:val="0"/>
                <w:sz w:val="32"/>
                <w:szCs w:val="32"/>
              </w:rPr>
            </w:pPr>
            <w:r>
              <w:rPr>
                <w:rFonts w:hint="eastAsia" w:ascii="华文中宋" w:hAnsi="华文中宋" w:eastAsia="华文中宋"/>
                <w:kern w:val="0"/>
                <w:sz w:val="32"/>
                <w:szCs w:val="32"/>
              </w:rPr>
              <w:t>指导教师</w:t>
            </w:r>
          </w:p>
        </w:tc>
        <w:tc>
          <w:tcPr>
            <w:tcW w:w="3402" w:type="dxa"/>
            <w:tcBorders>
              <w:top w:val="single" w:color="auto" w:sz="6" w:space="0"/>
              <w:bottom w:val="single" w:color="auto" w:sz="6" w:space="0"/>
            </w:tcBorders>
          </w:tcPr>
          <w:p>
            <w:pPr>
              <w:spacing w:line="720" w:lineRule="auto"/>
              <w:jc w:val="center"/>
              <w:rPr>
                <w:rFonts w:ascii="华文中宋" w:hAnsi="华文中宋" w:eastAsia="华文中宋"/>
                <w:kern w:val="0"/>
                <w:sz w:val="32"/>
                <w:szCs w:val="32"/>
              </w:rPr>
            </w:pPr>
            <w:r>
              <w:rPr>
                <w:rFonts w:hint="eastAsia" w:ascii="华文中宋" w:hAnsi="华文中宋" w:eastAsia="华文中宋"/>
                <w:kern w:val="0"/>
                <w:sz w:val="32"/>
                <w:szCs w:val="32"/>
              </w:rPr>
              <w:t>李安泰</w:t>
            </w:r>
          </w:p>
        </w:tc>
      </w:tr>
    </w:tbl>
    <w:p>
      <w:pPr>
        <w:jc w:val="center"/>
        <w:rPr>
          <w:rFonts w:ascii="华文中宋" w:hAnsi="华文中宋" w:eastAsia="华文中宋"/>
          <w:bCs/>
          <w:kern w:val="0"/>
          <w:sz w:val="32"/>
          <w:szCs w:val="32"/>
        </w:rPr>
      </w:pPr>
    </w:p>
    <w:p>
      <w:pPr>
        <w:spacing w:line="360" w:lineRule="auto"/>
        <w:jc w:val="center"/>
        <w:rPr>
          <w:rFonts w:ascii="华文中宋" w:hAnsi="华文中宋" w:eastAsia="华文中宋"/>
          <w:bCs/>
          <w:kern w:val="0"/>
          <w:sz w:val="32"/>
          <w:szCs w:val="32"/>
        </w:rPr>
        <w:sectPr>
          <w:headerReference r:id="rId4" w:type="first"/>
          <w:headerReference r:id="rId3" w:type="default"/>
          <w:footerReference r:id="rId5" w:type="default"/>
          <w:footerReference r:id="rId6" w:type="even"/>
          <w:pgSz w:w="11906" w:h="16838"/>
          <w:pgMar w:top="1440" w:right="1800" w:bottom="1440" w:left="1800" w:header="0" w:footer="850" w:gutter="0"/>
          <w:cols w:space="425" w:num="1"/>
          <w:titlePg/>
          <w:docGrid w:type="lines" w:linePitch="312" w:charSpace="0"/>
        </w:sectPr>
      </w:pPr>
      <w:r>
        <w:rPr>
          <w:rFonts w:hint="eastAsia" w:ascii="华文中宋" w:hAnsi="华文中宋" w:eastAsia="华文中宋"/>
          <w:bCs/>
          <w:kern w:val="0"/>
          <w:sz w:val="32"/>
          <w:szCs w:val="32"/>
        </w:rPr>
        <w:t>2022年 5月</w:t>
      </w:r>
      <w:r>
        <w:rPr>
          <w:rFonts w:ascii="华文中宋" w:hAnsi="华文中宋" w:eastAsia="华文中宋"/>
          <w:bCs/>
          <w:kern w:val="0"/>
          <w:sz w:val="32"/>
          <w:szCs w:val="32"/>
        </w:rPr>
        <w:t>28</w:t>
      </w:r>
      <w:r>
        <w:rPr>
          <w:rFonts w:hint="eastAsia" w:ascii="华文中宋" w:hAnsi="华文中宋" w:eastAsia="华文中宋"/>
          <w:bCs/>
          <w:kern w:val="0"/>
          <w:sz w:val="32"/>
          <w:szCs w:val="32"/>
        </w:rPr>
        <w:t>日</w:t>
      </w:r>
    </w:p>
    <w:p>
      <w:pPr>
        <w:spacing w:line="360" w:lineRule="auto"/>
        <w:jc w:val="center"/>
        <w:sectPr>
          <w:headerReference r:id="rId7" w:type="first"/>
          <w:footerReference r:id="rId9" w:type="first"/>
          <w:footerReference r:id="rId8" w:type="default"/>
          <w:pgSz w:w="11906" w:h="16838"/>
          <w:pgMar w:top="1440" w:right="1800" w:bottom="1440" w:left="1800" w:header="851" w:footer="992" w:gutter="0"/>
          <w:cols w:space="425" w:num="1"/>
          <w:titlePg/>
          <w:docGrid w:type="lines" w:linePitch="312" w:charSpace="0"/>
        </w:sectPr>
      </w:pPr>
      <w:r>
        <w:drawing>
          <wp:inline distT="0" distB="0" distL="114300" distR="114300">
            <wp:extent cx="5981700" cy="9117330"/>
            <wp:effectExtent l="0" t="0" r="7620" b="11430"/>
            <wp:docPr id="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1"/>
                    <pic:cNvPicPr>
                      <a:picLocks noChangeAspect="1"/>
                    </pic:cNvPicPr>
                  </pic:nvPicPr>
                  <pic:blipFill>
                    <a:blip r:embed="rId21"/>
                    <a:srcRect l="8108" t="3665" r="6178"/>
                    <a:stretch>
                      <a:fillRect/>
                    </a:stretch>
                  </pic:blipFill>
                  <pic:spPr>
                    <a:xfrm>
                      <a:off x="0" y="0"/>
                      <a:ext cx="5981700" cy="9117330"/>
                    </a:xfrm>
                    <a:prstGeom prst="rect">
                      <a:avLst/>
                    </a:prstGeom>
                    <a:noFill/>
                    <a:ln>
                      <a:noFill/>
                    </a:ln>
                  </pic:spPr>
                </pic:pic>
              </a:graphicData>
            </a:graphic>
          </wp:inline>
        </w:drawing>
      </w:r>
    </w:p>
    <w:p>
      <w:pPr>
        <w:pStyle w:val="2"/>
        <w:numPr>
          <w:ilvl w:val="0"/>
          <w:numId w:val="0"/>
        </w:numPr>
        <w:spacing w:before="156" w:beforeLines="50" w:after="156" w:afterLines="50" w:line="360" w:lineRule="auto"/>
        <w:jc w:val="center"/>
      </w:pPr>
      <w:bookmarkStart w:id="0" w:name="_Toc104210850"/>
      <w:bookmarkStart w:id="1" w:name="_Toc104214087"/>
      <w:bookmarkStart w:id="2" w:name="_Toc104983831"/>
      <w:bookmarkStart w:id="3" w:name="_Toc104264327"/>
      <w:bookmarkStart w:id="4" w:name="_Toc104216141"/>
      <w:r>
        <w:rPr>
          <w:rFonts w:hint="eastAsia"/>
        </w:rPr>
        <w:t xml:space="preserve">摘 </w:t>
      </w:r>
      <w:r>
        <w:t xml:space="preserve"> </w:t>
      </w:r>
      <w:r>
        <w:rPr>
          <w:rFonts w:hint="eastAsia"/>
        </w:rPr>
        <w:t>要</w:t>
      </w:r>
      <w:bookmarkEnd w:id="0"/>
      <w:bookmarkEnd w:id="1"/>
      <w:bookmarkEnd w:id="2"/>
      <w:bookmarkEnd w:id="3"/>
      <w:bookmarkEnd w:id="4"/>
    </w:p>
    <w:p>
      <w:pPr>
        <w:spacing w:line="360" w:lineRule="auto"/>
        <w:ind w:firstLine="480" w:firstLineChars="200"/>
        <w:rPr>
          <w:rFonts w:ascii="Times New Roman" w:hAnsi="Times New Roman" w:cs="Times New Roman"/>
          <w:sz w:val="24"/>
        </w:rPr>
      </w:pPr>
      <w:r>
        <w:rPr>
          <w:rFonts w:hint="eastAsia" w:hAnsi="宋体"/>
          <w:sz w:val="24"/>
        </w:rPr>
        <w:t>随着社会责任投资理论的推广、投资者金融素养的提升，企业环境信息逐渐成为影响投资者投资决策的重要因素之一。学术界</w:t>
      </w:r>
      <w:r>
        <w:rPr>
          <w:rFonts w:ascii="Times New Roman" w:hAnsi="Times New Roman" w:cs="Times New Roman"/>
          <w:sz w:val="24"/>
        </w:rPr>
        <w:t>关于环境信息披露与企业价值关系的研究还未得到一致性的结论，因此市场上负面环境信息披露的有效性及其作用机制还有待进一步验证。</w:t>
      </w:r>
    </w:p>
    <w:p>
      <w:pPr>
        <w:spacing w:line="360" w:lineRule="auto"/>
        <w:ind w:firstLine="480" w:firstLineChars="200"/>
        <w:rPr>
          <w:sz w:val="24"/>
          <w:szCs w:val="24"/>
        </w:rPr>
      </w:pPr>
      <w:r>
        <w:rPr>
          <w:rFonts w:ascii="Times New Roman" w:hAnsi="Times New Roman" w:cs="Times New Roman"/>
          <w:sz w:val="24"/>
        </w:rPr>
        <w:t>本文选取2014-2021年的重污染企业数据，探究负面环境信息披露对企业市场</w:t>
      </w:r>
      <w:r>
        <w:rPr>
          <w:rFonts w:hint="eastAsia" w:ascii="Times New Roman" w:hAnsi="Times New Roman" w:cs="Times New Roman"/>
          <w:sz w:val="24"/>
        </w:rPr>
        <w:t>表现</w:t>
      </w:r>
      <w:r>
        <w:rPr>
          <w:rFonts w:ascii="Times New Roman" w:hAnsi="Times New Roman" w:cs="Times New Roman"/>
          <w:sz w:val="24"/>
        </w:rPr>
        <w:t>、企业价值的影响，并对负面环境信息披露影响企业价值的作用机制进行检验。本文通过事件研究法</w:t>
      </w:r>
      <w:r>
        <w:rPr>
          <w:rFonts w:hint="eastAsia" w:ascii="Times New Roman" w:hAnsi="Times New Roman" w:cs="Times New Roman"/>
          <w:sz w:val="24"/>
        </w:rPr>
        <w:t>，</w:t>
      </w:r>
      <w:r>
        <w:rPr>
          <w:rFonts w:ascii="Times New Roman" w:hAnsi="Times New Roman" w:cs="Times New Roman"/>
          <w:sz w:val="24"/>
        </w:rPr>
        <w:t>检验</w:t>
      </w:r>
      <w:r>
        <w:rPr>
          <w:rFonts w:hint="eastAsia" w:ascii="Times New Roman" w:hAnsi="Times New Roman" w:cs="Times New Roman"/>
          <w:sz w:val="24"/>
        </w:rPr>
        <w:t>了</w:t>
      </w:r>
      <w:r>
        <w:rPr>
          <w:rFonts w:ascii="Times New Roman" w:hAnsi="Times New Roman" w:cs="Times New Roman"/>
          <w:sz w:val="24"/>
        </w:rPr>
        <w:t>企业负面环境信息披露后的</w:t>
      </w:r>
      <w:r>
        <w:rPr>
          <w:rFonts w:hint="eastAsia" w:ascii="Times New Roman" w:hAnsi="Times New Roman" w:cs="Times New Roman"/>
          <w:sz w:val="24"/>
        </w:rPr>
        <w:t>不同窗口期的累计异常报酬率及购买-持有期收益率</w:t>
      </w:r>
      <w:r>
        <w:rPr>
          <w:rFonts w:ascii="Times New Roman" w:hAnsi="Times New Roman" w:cs="Times New Roman"/>
          <w:sz w:val="24"/>
        </w:rPr>
        <w:t>，发现市</w:t>
      </w:r>
      <w:r>
        <w:rPr>
          <w:rFonts w:hint="eastAsia" w:hAnsi="宋体"/>
          <w:sz w:val="24"/>
        </w:rPr>
        <w:t>场强烈的负向反应并非投资者的过度反应，</w:t>
      </w:r>
      <w:r>
        <w:rPr>
          <w:rFonts w:ascii="Times New Roman" w:hAnsi="Times New Roman" w:cs="Times New Roman"/>
          <w:sz w:val="24"/>
        </w:rPr>
        <w:t>负面环境信息披露对企业的市场绩效在短期和中长期均有显著的负面影响</w:t>
      </w:r>
      <w:r>
        <w:rPr>
          <w:rFonts w:hint="eastAsia" w:hAnsi="宋体"/>
          <w:sz w:val="24"/>
        </w:rPr>
        <w:t>。为了对企业负面环境信息披露的经济后果做更深入的研究，本文还运用多元线性回归，</w:t>
      </w:r>
      <w:r>
        <w:rPr>
          <w:rFonts w:hint="eastAsia"/>
          <w:sz w:val="24"/>
          <w:szCs w:val="24"/>
        </w:rPr>
        <w:t>在验证企业负面环境信息披露会显著影响企业价值的基础上，验证了财务风险在其中的中介作用。</w:t>
      </w:r>
    </w:p>
    <w:p>
      <w:pPr>
        <w:spacing w:line="360" w:lineRule="auto"/>
        <w:ind w:firstLine="480" w:firstLineChars="200"/>
        <w:rPr>
          <w:rFonts w:hAnsi="宋体"/>
          <w:sz w:val="24"/>
        </w:rPr>
      </w:pPr>
      <w:r>
        <w:rPr>
          <w:rFonts w:hint="eastAsia"/>
          <w:sz w:val="24"/>
          <w:szCs w:val="24"/>
        </w:rPr>
        <w:t>本文检验了强制性环境信息披露对环境不良企业的惩戒作用的有效性，补充了负面环境信息披露影响企业价值的作用机制研究</w:t>
      </w:r>
      <w:r>
        <w:rPr>
          <w:rFonts w:hint="eastAsia" w:hAnsi="宋体"/>
          <w:sz w:val="24"/>
        </w:rPr>
        <w:t>，并为当前的环境治理和经济转型作出启示。</w:t>
      </w:r>
    </w:p>
    <w:p>
      <w:pPr>
        <w:spacing w:line="360" w:lineRule="auto"/>
        <w:rPr>
          <w:rFonts w:hAnsi="宋体"/>
          <w:sz w:val="24"/>
        </w:rPr>
      </w:pPr>
    </w:p>
    <w:p>
      <w:pPr>
        <w:spacing w:line="360" w:lineRule="auto"/>
        <w:rPr>
          <w:rFonts w:ascii="宋体" w:hAnsi="宋体"/>
          <w:sz w:val="24"/>
        </w:rPr>
      </w:pPr>
      <w:r>
        <w:rPr>
          <w:rFonts w:eastAsia="黑体"/>
          <w:b/>
          <w:bCs/>
          <w:sz w:val="28"/>
          <w:szCs w:val="28"/>
        </w:rPr>
        <w:t>关键词：</w:t>
      </w:r>
      <w:r>
        <w:rPr>
          <w:rFonts w:hint="eastAsia" w:hAnsi="宋体"/>
          <w:sz w:val="24"/>
        </w:rPr>
        <w:t>环境信息披露</w:t>
      </w:r>
      <w:r>
        <w:rPr>
          <w:rFonts w:hAnsi="宋体"/>
          <w:sz w:val="24"/>
        </w:rPr>
        <w:t>；</w:t>
      </w:r>
      <w:r>
        <w:rPr>
          <w:rFonts w:hint="eastAsia" w:hAnsi="宋体"/>
          <w:sz w:val="24"/>
        </w:rPr>
        <w:t>市场反应；企业价值；机制检验</w:t>
      </w:r>
    </w:p>
    <w:p>
      <w:pPr>
        <w:spacing w:line="360" w:lineRule="auto"/>
        <w:rPr>
          <w:rFonts w:eastAsia="黑体"/>
          <w:b/>
          <w:sz w:val="36"/>
          <w:szCs w:val="36"/>
        </w:rPr>
      </w:pPr>
      <w:r>
        <w:rPr>
          <w:rFonts w:eastAsia="黑体"/>
          <w:b/>
          <w:sz w:val="36"/>
          <w:szCs w:val="36"/>
        </w:rPr>
        <w:br w:type="page"/>
      </w:r>
    </w:p>
    <w:p>
      <w:pPr>
        <w:pStyle w:val="2"/>
        <w:numPr>
          <w:ilvl w:val="0"/>
          <w:numId w:val="0"/>
        </w:numPr>
        <w:spacing w:before="156" w:beforeLines="50" w:after="156" w:afterLines="50" w:line="360" w:lineRule="auto"/>
      </w:pPr>
      <w:bookmarkStart w:id="5" w:name="_Toc104264328"/>
      <w:bookmarkStart w:id="6" w:name="_Toc104214088"/>
      <w:bookmarkStart w:id="7" w:name="_Toc104216142"/>
      <w:bookmarkStart w:id="8" w:name="_Toc104983832"/>
      <w:r>
        <w:rPr>
          <w:rFonts w:hint="eastAsia"/>
        </w:rPr>
        <w:t>Abstract</w:t>
      </w:r>
      <w:bookmarkEnd w:id="5"/>
      <w:bookmarkEnd w:id="6"/>
      <w:bookmarkEnd w:id="7"/>
      <w:bookmarkEnd w:id="8"/>
    </w:p>
    <w:p>
      <w:pPr>
        <w:pStyle w:val="3"/>
        <w:ind w:firstLine="420" w:firstLineChars="0"/>
      </w:pPr>
      <w:r>
        <w:rPr>
          <w:rFonts w:hint="eastAsia"/>
        </w:rPr>
        <w:t>With the popularization of social responsibility investment theory and the improvement of investors' Financial Literacy, the environmental information disclosure has gradually become an important factors influencing investors' decisions. The research on the relationship between environmental information disclosure and enterprise value has not reached a consistent conclusion, therefore, the effectiveness and mechanism of the negative environmental information in the market need to be further verified.</w:t>
      </w:r>
    </w:p>
    <w:p>
      <w:pPr>
        <w:pStyle w:val="3"/>
        <w:ind w:firstLine="480"/>
      </w:pPr>
      <w:r>
        <w:rPr>
          <w:rFonts w:hint="eastAsia"/>
        </w:rPr>
        <w:t>Based on the data of heavy polluting enterprises from 2014 to 2021, this paper explores the effect of negative environmental information disclosure on market performance and enterprise value, and examines the mechanism of the effect of negative environmental information disclosure on enterprise value. Through the event research method, this paper examines the CAR and the BHAR in different window periods after the disclosure of enterprises' negative environmental information, it is found that the strong negative reaction of the market is not the overreaction of investors, and the disclosure of negative environmental information has a significant negative impact on the market performance in the short and long term. In order to further study the economic consequences of enterprises' disclosure of negative environmental information, this paper also uses multiple linear regression to verify that enterprises' disclosure of negative environmental information will significantly affect the value of enterprises, the intermediary role of financial risk is verified.</w:t>
      </w:r>
    </w:p>
    <w:p>
      <w:pPr>
        <w:pStyle w:val="3"/>
        <w:ind w:firstLine="480"/>
      </w:pPr>
      <w:r>
        <w:rPr>
          <w:rFonts w:hint="eastAsia"/>
        </w:rPr>
        <w:t>This paper examines the effectiveness of mandatory environmental information disclosure on the disciplinary role of enterprises that have bad environmental performance. This paper also complements the research on the mechanism of negative environmental information disclosure affecting the enterprises</w:t>
      </w:r>
      <w:r>
        <w:t>’</w:t>
      </w:r>
      <w:r>
        <w:rPr>
          <w:rFonts w:hint="eastAsia"/>
        </w:rPr>
        <w:t xml:space="preserve"> value, and for the environmental governance and economic transformation to make enlightenment.</w:t>
      </w:r>
    </w:p>
    <w:p>
      <w:pPr>
        <w:pStyle w:val="3"/>
        <w:ind w:firstLine="0" w:firstLineChars="0"/>
        <w:sectPr>
          <w:headerReference r:id="rId10" w:type="default"/>
          <w:footerReference r:id="rId11" w:type="default"/>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Key Words</w:t>
      </w:r>
      <w:r>
        <w:rPr>
          <w:rFonts w:hint="eastAsia"/>
          <w:b/>
        </w:rPr>
        <w:t>：</w:t>
      </w:r>
      <w:r>
        <w:rPr>
          <w:rFonts w:hint="eastAsia"/>
        </w:rPr>
        <w:t>Environmental information disclosure; Market reaction; Corporate value; Mechanism inspection</w:t>
      </w:r>
    </w:p>
    <w:p>
      <w:pPr>
        <w:pStyle w:val="2"/>
        <w:numPr>
          <w:ilvl w:val="0"/>
          <w:numId w:val="0"/>
        </w:numPr>
        <w:spacing w:before="156" w:beforeLines="50" w:after="156" w:afterLines="50" w:line="240" w:lineRule="auto"/>
        <w:rPr>
          <w:kern w:val="0"/>
        </w:rPr>
      </w:pPr>
      <w:bookmarkStart w:id="9" w:name="_Toc104265032"/>
      <w:bookmarkStart w:id="10" w:name="_Toc104983833"/>
      <w:r>
        <w:rPr>
          <w:rFonts w:hint="eastAsia"/>
          <w:kern w:val="0"/>
        </w:rPr>
        <w:t xml:space="preserve">目 </w:t>
      </w:r>
      <w:r>
        <w:rPr>
          <w:kern w:val="0"/>
        </w:rPr>
        <w:t xml:space="preserve"> </w:t>
      </w:r>
      <w:r>
        <w:rPr>
          <w:rFonts w:hint="eastAsia"/>
          <w:kern w:val="0"/>
        </w:rPr>
        <w:t>录</w:t>
      </w:r>
      <w:bookmarkEnd w:id="9"/>
      <w:bookmarkEnd w:id="10"/>
    </w:p>
    <w:sdt>
      <w:sdtPr>
        <w:rPr>
          <w:rFonts w:asciiTheme="minorHAnsi" w:hAnsiTheme="minorHAnsi" w:eastAsiaTheme="minorEastAsia" w:cstheme="minorBidi"/>
          <w:sz w:val="21"/>
          <w:szCs w:val="21"/>
          <w:lang w:val="zh-CN"/>
        </w:rPr>
        <w:id w:val="-1019624434"/>
        <w:docPartObj>
          <w:docPartGallery w:val="Table of Contents"/>
          <w:docPartUnique/>
        </w:docPartObj>
      </w:sdtPr>
      <w:sdtEndPr>
        <w:rPr>
          <w:rFonts w:asciiTheme="minorHAnsi" w:hAnsiTheme="minorHAnsi" w:eastAsiaTheme="minorEastAsia" w:cstheme="minorBidi"/>
          <w:b/>
          <w:bCs/>
          <w:sz w:val="21"/>
          <w:szCs w:val="21"/>
          <w:lang w:val="zh-CN"/>
        </w:rPr>
      </w:sdtEndPr>
      <w:sdtContent>
        <w:p>
          <w:pPr>
            <w:pStyle w:val="12"/>
            <w:spacing w:line="336" w:lineRule="auto"/>
            <w:rPr>
              <w:rFonts w:eastAsiaTheme="minorEastAsia"/>
              <w:b/>
              <w:bCs/>
            </w:rPr>
          </w:pPr>
          <w:r>
            <w:rPr>
              <w:rFonts w:eastAsiaTheme="minorEastAsia"/>
            </w:rPr>
            <w:fldChar w:fldCharType="begin"/>
          </w:r>
          <w:r>
            <w:rPr>
              <w:rFonts w:eastAsiaTheme="minorEastAsia"/>
            </w:rPr>
            <w:instrText xml:space="preserve"> TOC \o "1-3" \h \z \u </w:instrText>
          </w:r>
          <w:r>
            <w:rPr>
              <w:rFonts w:eastAsiaTheme="minorEastAsia"/>
            </w:rPr>
            <w:fldChar w:fldCharType="separate"/>
          </w:r>
          <w:r>
            <w:fldChar w:fldCharType="begin"/>
          </w:r>
          <w:r>
            <w:instrText xml:space="preserve"> HYPERLINK \l "_Toc104983831" </w:instrText>
          </w:r>
          <w:r>
            <w:fldChar w:fldCharType="separate"/>
          </w:r>
          <w:r>
            <w:rPr>
              <w:rStyle w:val="21"/>
              <w:rFonts w:eastAsiaTheme="minorEastAsia"/>
              <w:b/>
              <w:bCs/>
            </w:rPr>
            <w:t>摘要</w:t>
          </w:r>
          <w:r>
            <w:rPr>
              <w:rFonts w:eastAsiaTheme="minorEastAsia"/>
              <w:b/>
              <w:bCs/>
            </w:rPr>
            <w:tab/>
          </w:r>
          <w:r>
            <w:rPr>
              <w:rFonts w:eastAsiaTheme="minorEastAsia"/>
              <w:b/>
              <w:bCs/>
            </w:rPr>
            <w:fldChar w:fldCharType="begin"/>
          </w:r>
          <w:r>
            <w:rPr>
              <w:rFonts w:eastAsiaTheme="minorEastAsia"/>
              <w:b/>
              <w:bCs/>
            </w:rPr>
            <w:instrText xml:space="preserve"> PAGEREF _Toc104983831 \h </w:instrText>
          </w:r>
          <w:r>
            <w:rPr>
              <w:rFonts w:eastAsiaTheme="minorEastAsia"/>
              <w:b/>
              <w:bCs/>
            </w:rPr>
            <w:fldChar w:fldCharType="separate"/>
          </w:r>
          <w:r>
            <w:rPr>
              <w:rFonts w:eastAsiaTheme="minorEastAsia"/>
              <w:b/>
              <w:bCs/>
            </w:rPr>
            <w:t>I</w:t>
          </w:r>
          <w:r>
            <w:rPr>
              <w:rFonts w:eastAsiaTheme="minorEastAsia"/>
              <w:b/>
              <w:bCs/>
            </w:rPr>
            <w:fldChar w:fldCharType="end"/>
          </w:r>
          <w:r>
            <w:rPr>
              <w:rFonts w:eastAsiaTheme="minorEastAsia"/>
              <w:b/>
              <w:bCs/>
            </w:rPr>
            <w:fldChar w:fldCharType="end"/>
          </w:r>
        </w:p>
        <w:p>
          <w:pPr>
            <w:pStyle w:val="12"/>
            <w:spacing w:line="336" w:lineRule="auto"/>
            <w:rPr>
              <w:rFonts w:eastAsiaTheme="minorEastAsia"/>
              <w:b/>
              <w:bCs/>
            </w:rPr>
          </w:pPr>
          <w:r>
            <w:fldChar w:fldCharType="begin"/>
          </w:r>
          <w:r>
            <w:instrText xml:space="preserve"> HYPERLINK \l "_Toc104983832" </w:instrText>
          </w:r>
          <w:r>
            <w:fldChar w:fldCharType="separate"/>
          </w:r>
          <w:r>
            <w:rPr>
              <w:rStyle w:val="21"/>
              <w:rFonts w:eastAsiaTheme="minorEastAsia"/>
              <w:b/>
              <w:bCs/>
            </w:rPr>
            <w:t>Abstract</w:t>
          </w:r>
          <w:r>
            <w:rPr>
              <w:rFonts w:eastAsiaTheme="minorEastAsia"/>
              <w:b/>
              <w:bCs/>
            </w:rPr>
            <w:tab/>
          </w:r>
          <w:r>
            <w:rPr>
              <w:rFonts w:eastAsiaTheme="minorEastAsia"/>
              <w:b/>
              <w:bCs/>
            </w:rPr>
            <w:fldChar w:fldCharType="begin"/>
          </w:r>
          <w:r>
            <w:rPr>
              <w:rFonts w:eastAsiaTheme="minorEastAsia"/>
              <w:b/>
              <w:bCs/>
            </w:rPr>
            <w:instrText xml:space="preserve"> PAGEREF _Toc104983832 \h </w:instrText>
          </w:r>
          <w:r>
            <w:rPr>
              <w:rFonts w:eastAsiaTheme="minorEastAsia"/>
              <w:b/>
              <w:bCs/>
            </w:rPr>
            <w:fldChar w:fldCharType="separate"/>
          </w:r>
          <w:r>
            <w:rPr>
              <w:rFonts w:eastAsiaTheme="minorEastAsia"/>
              <w:b/>
              <w:bCs/>
            </w:rPr>
            <w:t>II</w:t>
          </w:r>
          <w:r>
            <w:rPr>
              <w:rFonts w:eastAsiaTheme="minorEastAsia"/>
              <w:b/>
              <w:bCs/>
            </w:rPr>
            <w:fldChar w:fldCharType="end"/>
          </w:r>
          <w:r>
            <w:rPr>
              <w:rFonts w:eastAsiaTheme="minorEastAsia"/>
              <w:b/>
              <w:bCs/>
            </w:rPr>
            <w:fldChar w:fldCharType="end"/>
          </w:r>
        </w:p>
        <w:p>
          <w:pPr>
            <w:pStyle w:val="12"/>
            <w:spacing w:line="336" w:lineRule="auto"/>
            <w:rPr>
              <w:rFonts w:eastAsiaTheme="minorEastAsia"/>
              <w:b/>
              <w:bCs/>
            </w:rPr>
          </w:pPr>
          <w:r>
            <w:fldChar w:fldCharType="begin"/>
          </w:r>
          <w:r>
            <w:instrText xml:space="preserve"> HYPERLINK \l "_Toc104983834" </w:instrText>
          </w:r>
          <w:r>
            <w:fldChar w:fldCharType="separate"/>
          </w:r>
          <w:r>
            <w:rPr>
              <w:rStyle w:val="21"/>
              <w:rFonts w:eastAsiaTheme="minorEastAsia"/>
              <w:b/>
              <w:bCs/>
            </w:rPr>
            <w:t>1</w:t>
          </w:r>
          <w:r>
            <w:rPr>
              <w:rStyle w:val="21"/>
              <w:rFonts w:hint="eastAsia" w:eastAsiaTheme="minorEastAsia"/>
              <w:b/>
              <w:bCs/>
              <w:lang w:val="en-US" w:eastAsia="zh-CN"/>
            </w:rPr>
            <w:t xml:space="preserve">   </w:t>
          </w:r>
          <w:r>
            <w:rPr>
              <w:rStyle w:val="21"/>
              <w:rFonts w:eastAsiaTheme="minorEastAsia"/>
              <w:b/>
              <w:bCs/>
            </w:rPr>
            <w:t>绪论</w:t>
          </w:r>
          <w:r>
            <w:rPr>
              <w:rFonts w:eastAsiaTheme="minorEastAsia"/>
              <w:b/>
              <w:bCs/>
            </w:rPr>
            <w:tab/>
          </w:r>
          <w:r>
            <w:rPr>
              <w:rFonts w:eastAsiaTheme="minorEastAsia"/>
              <w:b/>
              <w:bCs/>
            </w:rPr>
            <w:fldChar w:fldCharType="begin"/>
          </w:r>
          <w:r>
            <w:rPr>
              <w:rFonts w:eastAsiaTheme="minorEastAsia"/>
              <w:b/>
              <w:bCs/>
            </w:rPr>
            <w:instrText xml:space="preserve"> PAGEREF _Toc104983834 \h </w:instrText>
          </w:r>
          <w:r>
            <w:rPr>
              <w:rFonts w:eastAsiaTheme="minorEastAsia"/>
              <w:b/>
              <w:bCs/>
            </w:rPr>
            <w:fldChar w:fldCharType="separate"/>
          </w:r>
          <w:r>
            <w:rPr>
              <w:rFonts w:eastAsiaTheme="minorEastAsia"/>
              <w:b/>
              <w:bCs/>
            </w:rPr>
            <w:t>1</w:t>
          </w:r>
          <w:r>
            <w:rPr>
              <w:rFonts w:eastAsiaTheme="minorEastAsia"/>
              <w:b/>
              <w:bCs/>
            </w:rPr>
            <w:fldChar w:fldCharType="end"/>
          </w:r>
          <w:r>
            <w:rPr>
              <w:rFonts w:eastAsiaTheme="minorEastAsia"/>
              <w:b/>
              <w:bCs/>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"_Toc104983835" </w:instrText>
          </w:r>
          <w:r>
            <w:fldChar w:fldCharType="separate"/>
          </w:r>
          <w:r>
            <w:rPr>
              <w:rStyle w:val="21"/>
              <w:rFonts w:eastAsiaTheme="minorEastAsia"/>
              <w:sz w:val="24"/>
              <w:szCs w:val="24"/>
            </w:rPr>
            <w:t>1.1</w:t>
          </w:r>
          <w:r>
            <w:rPr>
              <w:rStyle w:val="21"/>
              <w:rFonts w:hint="eastAsia" w:eastAsiaTheme="minorEastAsia"/>
              <w:sz w:val="24"/>
              <w:szCs w:val="24"/>
              <w:lang w:val="en-US" w:eastAsia="zh-CN"/>
            </w:rPr>
            <w:t xml:space="preserve">  </w:t>
          </w:r>
          <w:r>
            <w:rPr>
              <w:rStyle w:val="21"/>
              <w:rFonts w:eastAsiaTheme="minorEastAsia"/>
              <w:sz w:val="24"/>
              <w:szCs w:val="24"/>
            </w:rPr>
            <w:t>研究背景及研究问题的提出</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_Toc104983835 \h </w:instrText>
          </w:r>
          <w:r>
            <w:rPr>
              <w:rFonts w:eastAsiaTheme="minorEastAsia"/>
              <w:sz w:val="24"/>
              <w:szCs w:val="24"/>
            </w:rPr>
            <w:fldChar w:fldCharType="separate"/>
          </w:r>
          <w:r>
            <w:rPr>
              <w:rFonts w:eastAsiaTheme="minorEastAsia"/>
              <w:sz w:val="24"/>
              <w:szCs w:val="24"/>
            </w:rPr>
            <w:t>1</w:t>
          </w:r>
          <w:r>
            <w:rPr>
              <w:rFonts w:eastAsiaTheme="minorEastAsia"/>
              <w:sz w:val="24"/>
              <w:szCs w:val="24"/>
            </w:rPr>
            <w:fldChar w:fldCharType="end"/>
          </w:r>
          <w:r>
            <w:rPr>
              <w:rFonts w:eastAsiaTheme="minorEastAsia"/>
              <w:sz w:val="24"/>
              <w:szCs w:val="24"/>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"_Toc104983836" </w:instrText>
          </w:r>
          <w:r>
            <w:fldChar w:fldCharType="separate"/>
          </w:r>
          <w:r>
            <w:rPr>
              <w:rStyle w:val="21"/>
              <w:rFonts w:eastAsiaTheme="minorEastAsia"/>
              <w:sz w:val="24"/>
              <w:szCs w:val="24"/>
            </w:rPr>
            <w:t>1.2</w:t>
          </w:r>
          <w:r>
            <w:rPr>
              <w:rStyle w:val="21"/>
              <w:rFonts w:hint="eastAsia" w:eastAsiaTheme="minorEastAsia"/>
              <w:sz w:val="24"/>
              <w:szCs w:val="24"/>
              <w:lang w:val="en-US" w:eastAsia="zh-CN"/>
            </w:rPr>
            <w:t xml:space="preserve">  </w:t>
          </w:r>
          <w:r>
            <w:rPr>
              <w:rStyle w:val="21"/>
              <w:rFonts w:eastAsiaTheme="minorEastAsia"/>
              <w:sz w:val="24"/>
              <w:szCs w:val="24"/>
            </w:rPr>
            <w:t>相关概念界定</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_Toc104983836 \h </w:instrText>
          </w:r>
          <w:r>
            <w:rPr>
              <w:rFonts w:eastAsiaTheme="minorEastAsia"/>
              <w:sz w:val="24"/>
              <w:szCs w:val="24"/>
            </w:rPr>
            <w:fldChar w:fldCharType="separate"/>
          </w:r>
          <w:r>
            <w:rPr>
              <w:rFonts w:eastAsiaTheme="minorEastAsia"/>
              <w:sz w:val="24"/>
              <w:szCs w:val="24"/>
            </w:rPr>
            <w:t>1</w:t>
          </w:r>
          <w:r>
            <w:rPr>
              <w:rFonts w:eastAsiaTheme="minorEastAsia"/>
              <w:sz w:val="24"/>
              <w:szCs w:val="24"/>
            </w:rPr>
            <w:fldChar w:fldCharType="end"/>
          </w:r>
          <w:r>
            <w:rPr>
              <w:rFonts w:eastAsiaTheme="minorEastAsia"/>
              <w:sz w:val="24"/>
              <w:szCs w:val="24"/>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"_Toc104983837" </w:instrText>
          </w:r>
          <w:r>
            <w:fldChar w:fldCharType="separate"/>
          </w:r>
          <w:r>
            <w:rPr>
              <w:rStyle w:val="21"/>
              <w:rFonts w:eastAsiaTheme="minorEastAsia"/>
              <w:sz w:val="24"/>
              <w:szCs w:val="24"/>
            </w:rPr>
            <w:t xml:space="preserve">1.3 </w:t>
          </w:r>
          <w:r>
            <w:rPr>
              <w:rStyle w:val="21"/>
              <w:rFonts w:hint="eastAsia" w:eastAsiaTheme="minorEastAsia"/>
              <w:sz w:val="24"/>
              <w:szCs w:val="24"/>
              <w:lang w:val="en-US" w:eastAsia="zh-CN"/>
            </w:rPr>
            <w:t xml:space="preserve"> </w:t>
          </w:r>
          <w:r>
            <w:rPr>
              <w:rStyle w:val="21"/>
              <w:rFonts w:eastAsiaTheme="minorEastAsia"/>
              <w:sz w:val="24"/>
              <w:szCs w:val="24"/>
            </w:rPr>
            <w:t>研究方法与研究内容</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_Toc104983837 \h </w:instrText>
          </w:r>
          <w:r>
            <w:rPr>
              <w:rFonts w:eastAsiaTheme="minorEastAsia"/>
              <w:sz w:val="24"/>
              <w:szCs w:val="24"/>
            </w:rPr>
            <w:fldChar w:fldCharType="separate"/>
          </w:r>
          <w:r>
            <w:rPr>
              <w:rFonts w:eastAsiaTheme="minorEastAsia"/>
              <w:sz w:val="24"/>
              <w:szCs w:val="24"/>
            </w:rPr>
            <w:t>2</w:t>
          </w:r>
          <w:r>
            <w:rPr>
              <w:rFonts w:eastAsiaTheme="minorEastAsia"/>
              <w:sz w:val="24"/>
              <w:szCs w:val="24"/>
            </w:rPr>
            <w:fldChar w:fldCharType="end"/>
          </w:r>
          <w:r>
            <w:rPr>
              <w:rFonts w:eastAsiaTheme="minorEastAsia"/>
              <w:sz w:val="24"/>
              <w:szCs w:val="24"/>
            </w:rPr>
            <w:fldChar w:fldCharType="end"/>
          </w:r>
        </w:p>
        <w:p>
          <w:pPr>
            <w:pStyle w:val="12"/>
            <w:spacing w:line="336" w:lineRule="auto"/>
            <w:rPr>
              <w:rFonts w:eastAsiaTheme="minorEastAsia"/>
              <w:b/>
              <w:bCs/>
            </w:rPr>
          </w:pPr>
          <w:r>
            <w:fldChar w:fldCharType="begin"/>
          </w:r>
          <w:r>
            <w:instrText xml:space="preserve"> HYPERLINK \l "_Toc104983840" </w:instrText>
          </w:r>
          <w:r>
            <w:fldChar w:fldCharType="separate"/>
          </w:r>
          <w:r>
            <w:rPr>
              <w:rStyle w:val="21"/>
              <w:rFonts w:eastAsiaTheme="minorEastAsia"/>
              <w:b/>
              <w:bCs/>
            </w:rPr>
            <w:t xml:space="preserve">2 </w:t>
          </w:r>
          <w:r>
            <w:rPr>
              <w:rStyle w:val="21"/>
              <w:rFonts w:hint="eastAsia" w:eastAsiaTheme="minorEastAsia"/>
              <w:b/>
              <w:bCs/>
              <w:lang w:val="en-US" w:eastAsia="zh-CN"/>
            </w:rPr>
            <w:t xml:space="preserve">  </w:t>
          </w:r>
          <w:r>
            <w:rPr>
              <w:rStyle w:val="21"/>
              <w:rFonts w:eastAsiaTheme="minorEastAsia"/>
              <w:b/>
              <w:bCs/>
            </w:rPr>
            <w:t>文献综述</w:t>
          </w:r>
          <w:r>
            <w:rPr>
              <w:rFonts w:eastAsiaTheme="minorEastAsia"/>
              <w:b/>
              <w:bCs/>
            </w:rPr>
            <w:tab/>
          </w:r>
          <w:r>
            <w:rPr>
              <w:rFonts w:eastAsiaTheme="minorEastAsia"/>
              <w:b/>
              <w:bCs/>
            </w:rPr>
            <w:fldChar w:fldCharType="begin"/>
          </w:r>
          <w:r>
            <w:rPr>
              <w:rFonts w:eastAsiaTheme="minorEastAsia"/>
              <w:b/>
              <w:bCs/>
            </w:rPr>
            <w:instrText xml:space="preserve"> PAGEREF _Toc104983840 \h </w:instrText>
          </w:r>
          <w:r>
            <w:rPr>
              <w:rFonts w:eastAsiaTheme="minorEastAsia"/>
              <w:b/>
              <w:bCs/>
            </w:rPr>
            <w:fldChar w:fldCharType="separate"/>
          </w:r>
          <w:r>
            <w:rPr>
              <w:rFonts w:eastAsiaTheme="minorEastAsia"/>
              <w:b/>
              <w:bCs/>
            </w:rPr>
            <w:t>4</w:t>
          </w:r>
          <w:r>
            <w:rPr>
              <w:rFonts w:eastAsiaTheme="minorEastAsia"/>
              <w:b/>
              <w:bCs/>
            </w:rPr>
            <w:fldChar w:fldCharType="end"/>
          </w:r>
          <w:r>
            <w:rPr>
              <w:rFonts w:eastAsiaTheme="minorEastAsia"/>
              <w:b/>
              <w:bCs/>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"_Toc104983841" </w:instrText>
          </w:r>
          <w:r>
            <w:fldChar w:fldCharType="separate"/>
          </w:r>
          <w:r>
            <w:rPr>
              <w:rStyle w:val="21"/>
              <w:rFonts w:eastAsiaTheme="minorEastAsia"/>
              <w:sz w:val="24"/>
              <w:szCs w:val="24"/>
            </w:rPr>
            <w:t xml:space="preserve">2.1 </w:t>
          </w:r>
          <w:r>
            <w:rPr>
              <w:rStyle w:val="21"/>
              <w:rFonts w:hint="eastAsia" w:eastAsiaTheme="minorEastAsia"/>
              <w:sz w:val="24"/>
              <w:szCs w:val="24"/>
              <w:lang w:val="en-US" w:eastAsia="zh-CN"/>
            </w:rPr>
            <w:t xml:space="preserve"> </w:t>
          </w:r>
          <w:r>
            <w:rPr>
              <w:rStyle w:val="21"/>
              <w:rFonts w:eastAsiaTheme="minorEastAsia"/>
              <w:sz w:val="24"/>
              <w:szCs w:val="24"/>
            </w:rPr>
            <w:t>关于环境信息披露的研究</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_Toc104983841 \h </w:instrText>
          </w:r>
          <w:r>
            <w:rPr>
              <w:rFonts w:eastAsiaTheme="minorEastAsia"/>
              <w:sz w:val="24"/>
              <w:szCs w:val="24"/>
            </w:rPr>
            <w:fldChar w:fldCharType="separate"/>
          </w:r>
          <w:r>
            <w:rPr>
              <w:rFonts w:eastAsiaTheme="minorEastAsia"/>
              <w:sz w:val="24"/>
              <w:szCs w:val="24"/>
            </w:rPr>
            <w:t>4</w:t>
          </w:r>
          <w:r>
            <w:rPr>
              <w:rFonts w:eastAsiaTheme="minorEastAsia"/>
              <w:sz w:val="24"/>
              <w:szCs w:val="24"/>
            </w:rPr>
            <w:fldChar w:fldCharType="end"/>
          </w:r>
          <w:r>
            <w:rPr>
              <w:rFonts w:eastAsiaTheme="minorEastAsia"/>
              <w:sz w:val="24"/>
              <w:szCs w:val="24"/>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"_Toc104983844" </w:instrText>
          </w:r>
          <w:r>
            <w:fldChar w:fldCharType="separate"/>
          </w:r>
          <w:r>
            <w:rPr>
              <w:rStyle w:val="21"/>
              <w:rFonts w:eastAsiaTheme="minorEastAsia"/>
              <w:sz w:val="24"/>
              <w:szCs w:val="24"/>
            </w:rPr>
            <w:t xml:space="preserve">2.2 </w:t>
          </w:r>
          <w:r>
            <w:rPr>
              <w:rStyle w:val="21"/>
              <w:rFonts w:hint="eastAsia" w:eastAsiaTheme="minorEastAsia"/>
              <w:sz w:val="24"/>
              <w:szCs w:val="24"/>
              <w:lang w:val="en-US" w:eastAsia="zh-CN"/>
            </w:rPr>
            <w:t xml:space="preserve"> </w:t>
          </w:r>
          <w:r>
            <w:rPr>
              <w:rStyle w:val="21"/>
              <w:rFonts w:eastAsiaTheme="minorEastAsia"/>
              <w:sz w:val="24"/>
              <w:szCs w:val="24"/>
            </w:rPr>
            <w:t>关于企业价值的研究</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_Toc104983844 \h </w:instrText>
          </w:r>
          <w:r>
            <w:rPr>
              <w:rFonts w:eastAsiaTheme="minorEastAsia"/>
              <w:sz w:val="24"/>
              <w:szCs w:val="24"/>
            </w:rPr>
            <w:fldChar w:fldCharType="separate"/>
          </w:r>
          <w:r>
            <w:rPr>
              <w:rFonts w:eastAsiaTheme="minorEastAsia"/>
              <w:sz w:val="24"/>
              <w:szCs w:val="24"/>
            </w:rPr>
            <w:t>5</w:t>
          </w:r>
          <w:r>
            <w:rPr>
              <w:rFonts w:eastAsiaTheme="minorEastAsia"/>
              <w:sz w:val="24"/>
              <w:szCs w:val="24"/>
            </w:rPr>
            <w:fldChar w:fldCharType="end"/>
          </w:r>
          <w:r>
            <w:rPr>
              <w:rFonts w:eastAsiaTheme="minorEastAsia"/>
              <w:sz w:val="24"/>
              <w:szCs w:val="24"/>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"_Toc104983845" </w:instrText>
          </w:r>
          <w:r>
            <w:fldChar w:fldCharType="separate"/>
          </w:r>
          <w:r>
            <w:rPr>
              <w:rStyle w:val="21"/>
              <w:rFonts w:eastAsiaTheme="minorEastAsia"/>
              <w:sz w:val="24"/>
              <w:szCs w:val="24"/>
            </w:rPr>
            <w:t xml:space="preserve">2.3 </w:t>
          </w:r>
          <w:r>
            <w:rPr>
              <w:rStyle w:val="21"/>
              <w:rFonts w:hint="eastAsia" w:eastAsiaTheme="minorEastAsia"/>
              <w:sz w:val="24"/>
              <w:szCs w:val="24"/>
              <w:lang w:val="en-US" w:eastAsia="zh-CN"/>
            </w:rPr>
            <w:t xml:space="preserve"> </w:t>
          </w:r>
          <w:r>
            <w:rPr>
              <w:rStyle w:val="21"/>
              <w:rFonts w:eastAsiaTheme="minorEastAsia"/>
              <w:sz w:val="24"/>
              <w:szCs w:val="24"/>
            </w:rPr>
            <w:t>关于环境信息披露与企业价值的研究</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_Toc104983845 \h </w:instrText>
          </w:r>
          <w:r>
            <w:rPr>
              <w:rFonts w:eastAsiaTheme="minorEastAsia"/>
              <w:sz w:val="24"/>
              <w:szCs w:val="24"/>
            </w:rPr>
            <w:fldChar w:fldCharType="separate"/>
          </w:r>
          <w:r>
            <w:rPr>
              <w:rFonts w:eastAsiaTheme="minorEastAsia"/>
              <w:sz w:val="24"/>
              <w:szCs w:val="24"/>
            </w:rPr>
            <w:t>6</w:t>
          </w:r>
          <w:r>
            <w:rPr>
              <w:rFonts w:eastAsiaTheme="minorEastAsia"/>
              <w:sz w:val="24"/>
              <w:szCs w:val="24"/>
            </w:rPr>
            <w:fldChar w:fldCharType="end"/>
          </w:r>
          <w:r>
            <w:rPr>
              <w:rFonts w:eastAsiaTheme="minorEastAsia"/>
              <w:sz w:val="24"/>
              <w:szCs w:val="24"/>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"_Toc104983848" </w:instrText>
          </w:r>
          <w:r>
            <w:fldChar w:fldCharType="separate"/>
          </w:r>
          <w:r>
            <w:rPr>
              <w:rStyle w:val="21"/>
              <w:rFonts w:eastAsiaTheme="minorEastAsia"/>
              <w:sz w:val="24"/>
              <w:szCs w:val="24"/>
            </w:rPr>
            <w:t xml:space="preserve">2.4 </w:t>
          </w:r>
          <w:r>
            <w:rPr>
              <w:rStyle w:val="21"/>
              <w:rFonts w:hint="eastAsia" w:eastAsiaTheme="minorEastAsia"/>
              <w:sz w:val="24"/>
              <w:szCs w:val="24"/>
              <w:lang w:val="en-US" w:eastAsia="zh-CN"/>
            </w:rPr>
            <w:t xml:space="preserve"> </w:t>
          </w:r>
          <w:r>
            <w:rPr>
              <w:rStyle w:val="21"/>
              <w:rFonts w:eastAsiaTheme="minorEastAsia"/>
              <w:sz w:val="24"/>
              <w:szCs w:val="24"/>
            </w:rPr>
            <w:t>文献评述</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_Toc104983848 \h </w:instrText>
          </w:r>
          <w:r>
            <w:rPr>
              <w:rFonts w:eastAsiaTheme="minorEastAsia"/>
              <w:sz w:val="24"/>
              <w:szCs w:val="24"/>
            </w:rPr>
            <w:fldChar w:fldCharType="separate"/>
          </w:r>
          <w:r>
            <w:rPr>
              <w:rFonts w:eastAsiaTheme="minorEastAsia"/>
              <w:sz w:val="24"/>
              <w:szCs w:val="24"/>
            </w:rPr>
            <w:t>8</w:t>
          </w:r>
          <w:r>
            <w:rPr>
              <w:rFonts w:eastAsiaTheme="minorEastAsia"/>
              <w:sz w:val="24"/>
              <w:szCs w:val="24"/>
            </w:rPr>
            <w:fldChar w:fldCharType="end"/>
          </w:r>
          <w:r>
            <w:rPr>
              <w:rFonts w:eastAsiaTheme="minorEastAsia"/>
              <w:sz w:val="24"/>
              <w:szCs w:val="24"/>
            </w:rPr>
            <w:fldChar w:fldCharType="end"/>
          </w:r>
        </w:p>
        <w:p>
          <w:pPr>
            <w:pStyle w:val="12"/>
            <w:spacing w:line="336" w:lineRule="auto"/>
            <w:rPr>
              <w:rFonts w:eastAsiaTheme="minorEastAsia"/>
              <w:b/>
              <w:bCs/>
            </w:rPr>
          </w:pPr>
          <w:r>
            <w:fldChar w:fldCharType="begin"/>
          </w:r>
          <w:r>
            <w:instrText xml:space="preserve"> HYPERLINK \l "_Toc104983849" </w:instrText>
          </w:r>
          <w:r>
            <w:fldChar w:fldCharType="separate"/>
          </w:r>
          <w:r>
            <w:rPr>
              <w:rStyle w:val="21"/>
              <w:rFonts w:eastAsiaTheme="minorEastAsia"/>
              <w:b/>
              <w:bCs/>
            </w:rPr>
            <w:t xml:space="preserve">3 </w:t>
          </w:r>
          <w:r>
            <w:rPr>
              <w:rStyle w:val="21"/>
              <w:rFonts w:hint="eastAsia" w:eastAsiaTheme="minorEastAsia"/>
              <w:b/>
              <w:bCs/>
              <w:lang w:val="en-US" w:eastAsia="zh-CN"/>
            </w:rPr>
            <w:t xml:space="preserve">  </w:t>
          </w:r>
          <w:r>
            <w:rPr>
              <w:rStyle w:val="21"/>
              <w:rFonts w:eastAsiaTheme="minorEastAsia"/>
              <w:b/>
              <w:bCs/>
            </w:rPr>
            <w:t>假设提出与研究设计</w:t>
          </w:r>
          <w:r>
            <w:rPr>
              <w:rFonts w:eastAsiaTheme="minorEastAsia"/>
              <w:b/>
              <w:bCs/>
            </w:rPr>
            <w:tab/>
          </w:r>
          <w:r>
            <w:rPr>
              <w:rFonts w:eastAsiaTheme="minorEastAsia"/>
              <w:b/>
              <w:bCs/>
            </w:rPr>
            <w:fldChar w:fldCharType="begin"/>
          </w:r>
          <w:r>
            <w:rPr>
              <w:rFonts w:eastAsiaTheme="minorEastAsia"/>
              <w:b/>
              <w:bCs/>
            </w:rPr>
            <w:instrText xml:space="preserve"> PAGEREF _Toc104983849 \h </w:instrText>
          </w:r>
          <w:r>
            <w:rPr>
              <w:rFonts w:eastAsiaTheme="minorEastAsia"/>
              <w:b/>
              <w:bCs/>
            </w:rPr>
            <w:fldChar w:fldCharType="separate"/>
          </w:r>
          <w:r>
            <w:rPr>
              <w:rFonts w:eastAsiaTheme="minorEastAsia"/>
              <w:b/>
              <w:bCs/>
            </w:rPr>
            <w:t>9</w:t>
          </w:r>
          <w:r>
            <w:rPr>
              <w:rFonts w:eastAsiaTheme="minorEastAsia"/>
              <w:b/>
              <w:bCs/>
            </w:rPr>
            <w:fldChar w:fldCharType="end"/>
          </w:r>
          <w:r>
            <w:rPr>
              <w:rFonts w:eastAsiaTheme="minorEastAsia"/>
              <w:b/>
              <w:bCs/>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"_Toc104983850" </w:instrText>
          </w:r>
          <w:r>
            <w:fldChar w:fldCharType="separate"/>
          </w:r>
          <w:r>
            <w:rPr>
              <w:rStyle w:val="21"/>
              <w:rFonts w:eastAsiaTheme="minorEastAsia"/>
              <w:sz w:val="24"/>
              <w:szCs w:val="24"/>
            </w:rPr>
            <w:t xml:space="preserve">3.1 </w:t>
          </w:r>
          <w:r>
            <w:rPr>
              <w:rStyle w:val="21"/>
              <w:rFonts w:hint="eastAsia" w:eastAsiaTheme="minorEastAsia"/>
              <w:sz w:val="24"/>
              <w:szCs w:val="24"/>
              <w:lang w:val="en-US" w:eastAsia="zh-CN"/>
            </w:rPr>
            <w:t xml:space="preserve"> </w:t>
          </w:r>
          <w:r>
            <w:rPr>
              <w:rStyle w:val="21"/>
              <w:rFonts w:eastAsiaTheme="minorEastAsia"/>
              <w:sz w:val="24"/>
              <w:szCs w:val="24"/>
            </w:rPr>
            <w:t>理论基础</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_Toc104983850 \h </w:instrText>
          </w:r>
          <w:r>
            <w:rPr>
              <w:rFonts w:eastAsiaTheme="minorEastAsia"/>
              <w:sz w:val="24"/>
              <w:szCs w:val="24"/>
            </w:rPr>
            <w:fldChar w:fldCharType="separate"/>
          </w:r>
          <w:r>
            <w:rPr>
              <w:rFonts w:eastAsiaTheme="minorEastAsia"/>
              <w:sz w:val="24"/>
              <w:szCs w:val="24"/>
            </w:rPr>
            <w:t>9</w:t>
          </w:r>
          <w:r>
            <w:rPr>
              <w:rFonts w:eastAsiaTheme="minorEastAsia"/>
              <w:sz w:val="24"/>
              <w:szCs w:val="24"/>
            </w:rPr>
            <w:fldChar w:fldCharType="end"/>
          </w:r>
          <w:r>
            <w:rPr>
              <w:rFonts w:eastAsiaTheme="minorEastAsia"/>
              <w:sz w:val="24"/>
              <w:szCs w:val="24"/>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"_Toc104983854" </w:instrText>
          </w:r>
          <w:r>
            <w:fldChar w:fldCharType="separate"/>
          </w:r>
          <w:r>
            <w:rPr>
              <w:rStyle w:val="21"/>
              <w:rFonts w:eastAsiaTheme="minorEastAsia"/>
              <w:sz w:val="24"/>
              <w:szCs w:val="24"/>
            </w:rPr>
            <w:t xml:space="preserve">3.2 </w:t>
          </w:r>
          <w:r>
            <w:rPr>
              <w:rStyle w:val="21"/>
              <w:rFonts w:hint="eastAsia" w:eastAsiaTheme="minorEastAsia"/>
              <w:sz w:val="24"/>
              <w:szCs w:val="24"/>
              <w:lang w:val="en-US" w:eastAsia="zh-CN"/>
            </w:rPr>
            <w:t xml:space="preserve"> </w:t>
          </w:r>
          <w:r>
            <w:rPr>
              <w:rStyle w:val="21"/>
              <w:rFonts w:eastAsiaTheme="minorEastAsia"/>
              <w:sz w:val="24"/>
              <w:szCs w:val="24"/>
            </w:rPr>
            <w:t>研究假设</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_Toc104983854 \h </w:instrText>
          </w:r>
          <w:r>
            <w:rPr>
              <w:rFonts w:eastAsiaTheme="minorEastAsia"/>
              <w:sz w:val="24"/>
              <w:szCs w:val="24"/>
            </w:rPr>
            <w:fldChar w:fldCharType="separate"/>
          </w:r>
          <w:r>
            <w:rPr>
              <w:rFonts w:eastAsiaTheme="minorEastAsia"/>
              <w:sz w:val="24"/>
              <w:szCs w:val="24"/>
            </w:rPr>
            <w:t>10</w:t>
          </w:r>
          <w:r>
            <w:rPr>
              <w:rFonts w:eastAsiaTheme="minorEastAsia"/>
              <w:sz w:val="24"/>
              <w:szCs w:val="24"/>
            </w:rPr>
            <w:fldChar w:fldCharType="end"/>
          </w:r>
          <w:r>
            <w:rPr>
              <w:rFonts w:eastAsiaTheme="minorEastAsia"/>
              <w:sz w:val="24"/>
              <w:szCs w:val="24"/>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"_Toc104983857" </w:instrText>
          </w:r>
          <w:r>
            <w:fldChar w:fldCharType="separate"/>
          </w:r>
          <w:r>
            <w:rPr>
              <w:rStyle w:val="21"/>
              <w:rFonts w:eastAsiaTheme="minorEastAsia"/>
              <w:sz w:val="24"/>
              <w:szCs w:val="24"/>
            </w:rPr>
            <w:t xml:space="preserve">3.3 </w:t>
          </w:r>
          <w:r>
            <w:rPr>
              <w:rStyle w:val="21"/>
              <w:rFonts w:hint="eastAsia" w:eastAsiaTheme="minorEastAsia"/>
              <w:sz w:val="24"/>
              <w:szCs w:val="24"/>
              <w:lang w:val="en-US" w:eastAsia="zh-CN"/>
            </w:rPr>
            <w:t xml:space="preserve"> </w:t>
          </w:r>
          <w:r>
            <w:rPr>
              <w:rStyle w:val="21"/>
              <w:rFonts w:eastAsiaTheme="minorEastAsia"/>
              <w:sz w:val="24"/>
              <w:szCs w:val="24"/>
            </w:rPr>
            <w:t>研究设计</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_Toc104983857 \h </w:instrText>
          </w:r>
          <w:r>
            <w:rPr>
              <w:rFonts w:eastAsiaTheme="minorEastAsia"/>
              <w:sz w:val="24"/>
              <w:szCs w:val="24"/>
            </w:rPr>
            <w:fldChar w:fldCharType="separate"/>
          </w:r>
          <w:r>
            <w:rPr>
              <w:rFonts w:eastAsiaTheme="minorEastAsia"/>
              <w:sz w:val="24"/>
              <w:szCs w:val="24"/>
            </w:rPr>
            <w:t>11</w:t>
          </w:r>
          <w:r>
            <w:rPr>
              <w:rFonts w:eastAsiaTheme="minorEastAsia"/>
              <w:sz w:val="24"/>
              <w:szCs w:val="24"/>
            </w:rPr>
            <w:fldChar w:fldCharType="end"/>
          </w:r>
          <w:r>
            <w:rPr>
              <w:rFonts w:eastAsiaTheme="minorEastAsia"/>
              <w:sz w:val="24"/>
              <w:szCs w:val="24"/>
            </w:rPr>
            <w:fldChar w:fldCharType="end"/>
          </w:r>
        </w:p>
        <w:p>
          <w:pPr>
            <w:pStyle w:val="12"/>
            <w:spacing w:line="336" w:lineRule="auto"/>
            <w:rPr>
              <w:rFonts w:eastAsiaTheme="minorEastAsia"/>
              <w:b/>
              <w:bCs/>
            </w:rPr>
          </w:pPr>
          <w:r>
            <w:fldChar w:fldCharType="begin"/>
          </w:r>
          <w:r>
            <w:instrText xml:space="preserve"> HYPERLINK \l "_Toc104983860" </w:instrText>
          </w:r>
          <w:r>
            <w:fldChar w:fldCharType="separate"/>
          </w:r>
          <w:r>
            <w:rPr>
              <w:rStyle w:val="21"/>
              <w:rFonts w:eastAsiaTheme="minorEastAsia"/>
              <w:b/>
              <w:bCs/>
            </w:rPr>
            <w:t xml:space="preserve">4 </w:t>
          </w:r>
          <w:r>
            <w:rPr>
              <w:rStyle w:val="21"/>
              <w:rFonts w:hint="eastAsia" w:eastAsiaTheme="minorEastAsia"/>
              <w:b/>
              <w:bCs/>
              <w:lang w:val="en-US" w:eastAsia="zh-CN"/>
            </w:rPr>
            <w:t xml:space="preserve">  </w:t>
          </w:r>
          <w:r>
            <w:rPr>
              <w:rStyle w:val="21"/>
              <w:rFonts w:eastAsiaTheme="minorEastAsia"/>
              <w:b/>
              <w:bCs/>
            </w:rPr>
            <w:t>重污染企业负面环境信息披露的市场反应</w:t>
          </w:r>
          <w:r>
            <w:rPr>
              <w:rFonts w:eastAsiaTheme="minorEastAsia"/>
              <w:b/>
              <w:bCs/>
            </w:rPr>
            <w:tab/>
          </w:r>
          <w:r>
            <w:rPr>
              <w:rFonts w:eastAsiaTheme="minorEastAsia"/>
              <w:b/>
              <w:bCs/>
            </w:rPr>
            <w:fldChar w:fldCharType="begin"/>
          </w:r>
          <w:r>
            <w:rPr>
              <w:rFonts w:eastAsiaTheme="minorEastAsia"/>
              <w:b/>
              <w:bCs/>
            </w:rPr>
            <w:instrText xml:space="preserve"> PAGEREF _Toc104983860 \h </w:instrText>
          </w:r>
          <w:r>
            <w:rPr>
              <w:rFonts w:eastAsiaTheme="minorEastAsia"/>
              <w:b/>
              <w:bCs/>
            </w:rPr>
            <w:fldChar w:fldCharType="separate"/>
          </w:r>
          <w:r>
            <w:rPr>
              <w:rFonts w:eastAsiaTheme="minorEastAsia"/>
              <w:b/>
              <w:bCs/>
            </w:rPr>
            <w:t>15</w:t>
          </w:r>
          <w:r>
            <w:rPr>
              <w:rFonts w:eastAsiaTheme="minorEastAsia"/>
              <w:b/>
              <w:bCs/>
            </w:rPr>
            <w:fldChar w:fldCharType="end"/>
          </w:r>
          <w:r>
            <w:rPr>
              <w:rFonts w:eastAsiaTheme="minorEastAsia"/>
              <w:b/>
              <w:bCs/>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"_Toc104983861" </w:instrText>
          </w:r>
          <w:r>
            <w:fldChar w:fldCharType="separate"/>
          </w:r>
          <w:r>
            <w:rPr>
              <w:rStyle w:val="21"/>
              <w:rFonts w:eastAsiaTheme="minorEastAsia"/>
              <w:sz w:val="24"/>
              <w:szCs w:val="24"/>
            </w:rPr>
            <w:t xml:space="preserve">4.1 </w:t>
          </w:r>
          <w:r>
            <w:rPr>
              <w:rStyle w:val="21"/>
              <w:rFonts w:hint="eastAsia" w:eastAsiaTheme="minorEastAsia"/>
              <w:sz w:val="24"/>
              <w:szCs w:val="24"/>
              <w:lang w:val="en-US" w:eastAsia="zh-CN"/>
            </w:rPr>
            <w:t xml:space="preserve"> </w:t>
          </w:r>
          <w:r>
            <w:rPr>
              <w:rStyle w:val="21"/>
              <w:rFonts w:eastAsiaTheme="minorEastAsia"/>
              <w:sz w:val="24"/>
              <w:szCs w:val="24"/>
            </w:rPr>
            <w:t>重污染企业负面环境信息披露的短期市场反应</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_Toc104983861 \h </w:instrText>
          </w:r>
          <w:r>
            <w:rPr>
              <w:rFonts w:eastAsiaTheme="minorEastAsia"/>
              <w:sz w:val="24"/>
              <w:szCs w:val="24"/>
            </w:rPr>
            <w:fldChar w:fldCharType="separate"/>
          </w:r>
          <w:r>
            <w:rPr>
              <w:rFonts w:eastAsiaTheme="minorEastAsia"/>
              <w:sz w:val="24"/>
              <w:szCs w:val="24"/>
            </w:rPr>
            <w:t>15</w:t>
          </w:r>
          <w:r>
            <w:rPr>
              <w:rFonts w:eastAsiaTheme="minorEastAsia"/>
              <w:sz w:val="24"/>
              <w:szCs w:val="24"/>
            </w:rPr>
            <w:fldChar w:fldCharType="end"/>
          </w:r>
          <w:r>
            <w:rPr>
              <w:rFonts w:eastAsiaTheme="minorEastAsia"/>
              <w:sz w:val="24"/>
              <w:szCs w:val="24"/>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"_Toc104983862" </w:instrText>
          </w:r>
          <w:r>
            <w:fldChar w:fldCharType="separate"/>
          </w:r>
          <w:r>
            <w:rPr>
              <w:rStyle w:val="21"/>
              <w:rFonts w:eastAsiaTheme="minorEastAsia"/>
              <w:sz w:val="24"/>
              <w:szCs w:val="24"/>
            </w:rPr>
            <w:t xml:space="preserve">4.2 </w:t>
          </w:r>
          <w:r>
            <w:rPr>
              <w:rStyle w:val="21"/>
              <w:rFonts w:hint="eastAsia" w:eastAsiaTheme="minorEastAsia"/>
              <w:sz w:val="24"/>
              <w:szCs w:val="24"/>
              <w:lang w:val="en-US" w:eastAsia="zh-CN"/>
            </w:rPr>
            <w:t xml:space="preserve"> </w:t>
          </w:r>
          <w:r>
            <w:rPr>
              <w:rStyle w:val="21"/>
              <w:rFonts w:eastAsiaTheme="minorEastAsia"/>
              <w:sz w:val="24"/>
              <w:szCs w:val="24"/>
            </w:rPr>
            <w:t>重污染企业负面环境信息披露的中长期市场反应</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_Toc104983862 \h </w:instrText>
          </w:r>
          <w:r>
            <w:rPr>
              <w:rFonts w:eastAsiaTheme="minorEastAsia"/>
              <w:sz w:val="24"/>
              <w:szCs w:val="24"/>
            </w:rPr>
            <w:fldChar w:fldCharType="separate"/>
          </w:r>
          <w:r>
            <w:rPr>
              <w:rFonts w:eastAsiaTheme="minorEastAsia"/>
              <w:sz w:val="24"/>
              <w:szCs w:val="24"/>
            </w:rPr>
            <w:t>16</w:t>
          </w:r>
          <w:r>
            <w:rPr>
              <w:rFonts w:eastAsiaTheme="minorEastAsia"/>
              <w:sz w:val="24"/>
              <w:szCs w:val="24"/>
            </w:rPr>
            <w:fldChar w:fldCharType="end"/>
          </w:r>
          <w:r>
            <w:rPr>
              <w:rFonts w:eastAsiaTheme="minorEastAsia"/>
              <w:sz w:val="24"/>
              <w:szCs w:val="24"/>
            </w:rPr>
            <w:fldChar w:fldCharType="end"/>
          </w:r>
        </w:p>
        <w:p>
          <w:pPr>
            <w:pStyle w:val="12"/>
            <w:spacing w:line="336" w:lineRule="auto"/>
            <w:rPr>
              <w:rFonts w:eastAsiaTheme="minorEastAsia"/>
              <w:b/>
              <w:bCs/>
            </w:rPr>
          </w:pPr>
          <w:r>
            <w:fldChar w:fldCharType="begin"/>
          </w:r>
          <w:r>
            <w:instrText xml:space="preserve"> HYPERLINK \l "_Toc104983863" </w:instrText>
          </w:r>
          <w:r>
            <w:fldChar w:fldCharType="separate"/>
          </w:r>
          <w:r>
            <w:rPr>
              <w:rStyle w:val="21"/>
              <w:rFonts w:eastAsiaTheme="minorEastAsia"/>
              <w:b/>
              <w:bCs/>
            </w:rPr>
            <w:t xml:space="preserve">5 </w:t>
          </w:r>
          <w:r>
            <w:rPr>
              <w:rStyle w:val="21"/>
              <w:rFonts w:hint="eastAsia" w:eastAsiaTheme="minorEastAsia"/>
              <w:b/>
              <w:bCs/>
              <w:lang w:val="en-US" w:eastAsia="zh-CN"/>
            </w:rPr>
            <w:t xml:space="preserve">  </w:t>
          </w:r>
          <w:r>
            <w:rPr>
              <w:rStyle w:val="21"/>
              <w:rFonts w:eastAsiaTheme="minorEastAsia"/>
              <w:b/>
              <w:bCs/>
            </w:rPr>
            <w:t>机制检验：财务风险</w:t>
          </w:r>
          <w:r>
            <w:rPr>
              <w:rFonts w:eastAsiaTheme="minorEastAsia"/>
              <w:b/>
              <w:bCs/>
            </w:rPr>
            <w:tab/>
          </w:r>
          <w:r>
            <w:rPr>
              <w:rFonts w:eastAsiaTheme="minorEastAsia"/>
              <w:b/>
              <w:bCs/>
            </w:rPr>
            <w:fldChar w:fldCharType="begin"/>
          </w:r>
          <w:r>
            <w:rPr>
              <w:rFonts w:eastAsiaTheme="minorEastAsia"/>
              <w:b/>
              <w:bCs/>
            </w:rPr>
            <w:instrText xml:space="preserve"> PAGEREF _Toc104983863 \h </w:instrText>
          </w:r>
          <w:r>
            <w:rPr>
              <w:rFonts w:eastAsiaTheme="minorEastAsia"/>
              <w:b/>
              <w:bCs/>
            </w:rPr>
            <w:fldChar w:fldCharType="separate"/>
          </w:r>
          <w:r>
            <w:rPr>
              <w:rFonts w:eastAsiaTheme="minorEastAsia"/>
              <w:b/>
              <w:bCs/>
            </w:rPr>
            <w:t>17</w:t>
          </w:r>
          <w:r>
            <w:rPr>
              <w:rFonts w:eastAsiaTheme="minorEastAsia"/>
              <w:b/>
              <w:bCs/>
            </w:rPr>
            <w:fldChar w:fldCharType="end"/>
          </w:r>
          <w:r>
            <w:rPr>
              <w:rFonts w:eastAsiaTheme="minorEastAsia"/>
              <w:b/>
              <w:bCs/>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"_Toc104983864" </w:instrText>
          </w:r>
          <w:r>
            <w:fldChar w:fldCharType="separate"/>
          </w:r>
          <w:r>
            <w:rPr>
              <w:rStyle w:val="21"/>
              <w:rFonts w:eastAsiaTheme="minorEastAsia"/>
              <w:sz w:val="24"/>
              <w:szCs w:val="24"/>
            </w:rPr>
            <w:t xml:space="preserve">5.1 </w:t>
          </w:r>
          <w:r>
            <w:rPr>
              <w:rStyle w:val="21"/>
              <w:rFonts w:hint="eastAsia" w:eastAsiaTheme="minorEastAsia"/>
              <w:sz w:val="24"/>
              <w:szCs w:val="24"/>
              <w:lang w:val="en-US" w:eastAsia="zh-CN"/>
            </w:rPr>
            <w:t xml:space="preserve"> </w:t>
          </w:r>
          <w:r>
            <w:rPr>
              <w:rStyle w:val="21"/>
              <w:rFonts w:eastAsiaTheme="minorEastAsia"/>
              <w:sz w:val="24"/>
              <w:szCs w:val="24"/>
            </w:rPr>
            <w:t>描述性统计</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_Toc104983864 \h </w:instrText>
          </w:r>
          <w:r>
            <w:rPr>
              <w:rFonts w:eastAsiaTheme="minorEastAsia"/>
              <w:sz w:val="24"/>
              <w:szCs w:val="24"/>
            </w:rPr>
            <w:fldChar w:fldCharType="separate"/>
          </w:r>
          <w:r>
            <w:rPr>
              <w:rFonts w:eastAsiaTheme="minorEastAsia"/>
              <w:sz w:val="24"/>
              <w:szCs w:val="24"/>
            </w:rPr>
            <w:t>17</w:t>
          </w:r>
          <w:r>
            <w:rPr>
              <w:rFonts w:eastAsiaTheme="minorEastAsia"/>
              <w:sz w:val="24"/>
              <w:szCs w:val="24"/>
            </w:rPr>
            <w:fldChar w:fldCharType="end"/>
          </w:r>
          <w:r>
            <w:rPr>
              <w:rFonts w:eastAsiaTheme="minorEastAsia"/>
              <w:sz w:val="24"/>
              <w:szCs w:val="24"/>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"_Toc104983865" </w:instrText>
          </w:r>
          <w:r>
            <w:fldChar w:fldCharType="separate"/>
          </w:r>
          <w:r>
            <w:rPr>
              <w:rStyle w:val="21"/>
              <w:rFonts w:eastAsiaTheme="minorEastAsia"/>
              <w:sz w:val="24"/>
              <w:szCs w:val="24"/>
            </w:rPr>
            <w:t xml:space="preserve">5.2 </w:t>
          </w:r>
          <w:r>
            <w:rPr>
              <w:rStyle w:val="21"/>
              <w:rFonts w:hint="eastAsia" w:eastAsiaTheme="minorEastAsia"/>
              <w:sz w:val="24"/>
              <w:szCs w:val="24"/>
              <w:lang w:val="en-US" w:eastAsia="zh-CN"/>
            </w:rPr>
            <w:t xml:space="preserve"> </w:t>
          </w:r>
          <w:r>
            <w:rPr>
              <w:rStyle w:val="21"/>
              <w:rFonts w:eastAsiaTheme="minorEastAsia"/>
              <w:sz w:val="24"/>
              <w:szCs w:val="24"/>
            </w:rPr>
            <w:t>相关性分析</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_Toc104983865 \h </w:instrText>
          </w:r>
          <w:r>
            <w:rPr>
              <w:rFonts w:eastAsiaTheme="minorEastAsia"/>
              <w:sz w:val="24"/>
              <w:szCs w:val="24"/>
            </w:rPr>
            <w:fldChar w:fldCharType="separate"/>
          </w:r>
          <w:r>
            <w:rPr>
              <w:rFonts w:eastAsiaTheme="minorEastAsia"/>
              <w:sz w:val="24"/>
              <w:szCs w:val="24"/>
            </w:rPr>
            <w:t>19</w:t>
          </w:r>
          <w:r>
            <w:rPr>
              <w:rFonts w:eastAsiaTheme="minorEastAsia"/>
              <w:sz w:val="24"/>
              <w:szCs w:val="24"/>
            </w:rPr>
            <w:fldChar w:fldCharType="end"/>
          </w:r>
          <w:r>
            <w:rPr>
              <w:rFonts w:eastAsiaTheme="minorEastAsia"/>
              <w:sz w:val="24"/>
              <w:szCs w:val="24"/>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"_Toc104983866" </w:instrText>
          </w:r>
          <w:r>
            <w:fldChar w:fldCharType="separate"/>
          </w:r>
          <w:r>
            <w:rPr>
              <w:rStyle w:val="21"/>
              <w:rFonts w:eastAsiaTheme="minorEastAsia"/>
              <w:sz w:val="24"/>
              <w:szCs w:val="24"/>
            </w:rPr>
            <w:t xml:space="preserve">5.3 </w:t>
          </w:r>
          <w:r>
            <w:rPr>
              <w:rStyle w:val="21"/>
              <w:rFonts w:hint="eastAsia" w:eastAsiaTheme="minorEastAsia"/>
              <w:sz w:val="24"/>
              <w:szCs w:val="24"/>
              <w:lang w:val="en-US" w:eastAsia="zh-CN"/>
            </w:rPr>
            <w:t xml:space="preserve"> </w:t>
          </w:r>
          <w:r>
            <w:rPr>
              <w:rStyle w:val="21"/>
              <w:rFonts w:eastAsiaTheme="minorEastAsia"/>
              <w:sz w:val="24"/>
              <w:szCs w:val="24"/>
            </w:rPr>
            <w:t>中介效应检验</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_Toc104983866 \h </w:instrText>
          </w:r>
          <w:r>
            <w:rPr>
              <w:rFonts w:eastAsiaTheme="minorEastAsia"/>
              <w:sz w:val="24"/>
              <w:szCs w:val="24"/>
            </w:rPr>
            <w:fldChar w:fldCharType="separate"/>
          </w:r>
          <w:r>
            <w:rPr>
              <w:rFonts w:eastAsiaTheme="minorEastAsia"/>
              <w:sz w:val="24"/>
              <w:szCs w:val="24"/>
            </w:rPr>
            <w:t>21</w:t>
          </w:r>
          <w:r>
            <w:rPr>
              <w:rFonts w:eastAsiaTheme="minorEastAsia"/>
              <w:sz w:val="24"/>
              <w:szCs w:val="24"/>
            </w:rPr>
            <w:fldChar w:fldCharType="end"/>
          </w:r>
          <w:r>
            <w:rPr>
              <w:rFonts w:eastAsiaTheme="minorEastAsia"/>
              <w:sz w:val="24"/>
              <w:szCs w:val="24"/>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"_Toc104983870" </w:instrText>
          </w:r>
          <w:r>
            <w:fldChar w:fldCharType="separate"/>
          </w:r>
          <w:r>
            <w:rPr>
              <w:rStyle w:val="21"/>
              <w:rFonts w:eastAsiaTheme="minorEastAsia"/>
              <w:sz w:val="24"/>
              <w:szCs w:val="24"/>
            </w:rPr>
            <w:t xml:space="preserve">5.4 </w:t>
          </w:r>
          <w:r>
            <w:rPr>
              <w:rStyle w:val="21"/>
              <w:rFonts w:hint="eastAsia" w:eastAsiaTheme="minorEastAsia"/>
              <w:sz w:val="24"/>
              <w:szCs w:val="24"/>
              <w:lang w:val="en-US" w:eastAsia="zh-CN"/>
            </w:rPr>
            <w:t xml:space="preserve"> </w:t>
          </w:r>
          <w:r>
            <w:rPr>
              <w:rStyle w:val="21"/>
              <w:rFonts w:eastAsiaTheme="minorEastAsia"/>
              <w:sz w:val="24"/>
              <w:szCs w:val="24"/>
            </w:rPr>
            <w:t>稳健性检验</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_Toc104983870 \h </w:instrText>
          </w:r>
          <w:r>
            <w:rPr>
              <w:rFonts w:eastAsiaTheme="minorEastAsia"/>
              <w:sz w:val="24"/>
              <w:szCs w:val="24"/>
            </w:rPr>
            <w:fldChar w:fldCharType="separate"/>
          </w:r>
          <w:r>
            <w:rPr>
              <w:rFonts w:eastAsiaTheme="minorEastAsia"/>
              <w:sz w:val="24"/>
              <w:szCs w:val="24"/>
            </w:rPr>
            <w:t>23</w:t>
          </w:r>
          <w:r>
            <w:rPr>
              <w:rFonts w:eastAsiaTheme="minorEastAsia"/>
              <w:sz w:val="24"/>
              <w:szCs w:val="24"/>
            </w:rPr>
            <w:fldChar w:fldCharType="end"/>
          </w:r>
          <w:r>
            <w:rPr>
              <w:rFonts w:eastAsiaTheme="minorEastAsia"/>
              <w:sz w:val="24"/>
              <w:szCs w:val="24"/>
            </w:rPr>
            <w:fldChar w:fldCharType="end"/>
          </w:r>
        </w:p>
        <w:p>
          <w:pPr>
            <w:pStyle w:val="12"/>
            <w:spacing w:line="336" w:lineRule="auto"/>
            <w:rPr>
              <w:rFonts w:eastAsiaTheme="minorEastAsia"/>
              <w:b/>
              <w:bCs/>
            </w:rPr>
          </w:pPr>
          <w:r>
            <w:fldChar w:fldCharType="begin"/>
          </w:r>
          <w:r>
            <w:instrText xml:space="preserve"> HYPERLINK \l "_Toc104983873" </w:instrText>
          </w:r>
          <w:r>
            <w:fldChar w:fldCharType="separate"/>
          </w:r>
          <w:r>
            <w:rPr>
              <w:rStyle w:val="21"/>
              <w:rFonts w:eastAsiaTheme="minorEastAsia"/>
              <w:b/>
              <w:bCs/>
            </w:rPr>
            <w:t xml:space="preserve">6 </w:t>
          </w:r>
          <w:r>
            <w:rPr>
              <w:rStyle w:val="21"/>
              <w:rFonts w:hint="eastAsia" w:eastAsiaTheme="minorEastAsia"/>
              <w:b/>
              <w:bCs/>
              <w:lang w:val="en-US" w:eastAsia="zh-CN"/>
            </w:rPr>
            <w:t xml:space="preserve">  </w:t>
          </w:r>
          <w:r>
            <w:rPr>
              <w:rStyle w:val="21"/>
              <w:rFonts w:eastAsiaTheme="minorEastAsia"/>
              <w:b/>
              <w:bCs/>
            </w:rPr>
            <w:t>结论与展望</w:t>
          </w:r>
          <w:r>
            <w:rPr>
              <w:rFonts w:eastAsiaTheme="minorEastAsia"/>
              <w:b/>
              <w:bCs/>
            </w:rPr>
            <w:tab/>
          </w:r>
          <w:r>
            <w:rPr>
              <w:rFonts w:eastAsiaTheme="minorEastAsia"/>
              <w:b/>
              <w:bCs/>
            </w:rPr>
            <w:fldChar w:fldCharType="begin"/>
          </w:r>
          <w:r>
            <w:rPr>
              <w:rFonts w:eastAsiaTheme="minorEastAsia"/>
              <w:b/>
              <w:bCs/>
            </w:rPr>
            <w:instrText xml:space="preserve"> PAGEREF _Toc104983873 \h </w:instrText>
          </w:r>
          <w:r>
            <w:rPr>
              <w:rFonts w:eastAsiaTheme="minorEastAsia"/>
              <w:b/>
              <w:bCs/>
            </w:rPr>
            <w:fldChar w:fldCharType="separate"/>
          </w:r>
          <w:r>
            <w:rPr>
              <w:rFonts w:eastAsiaTheme="minorEastAsia"/>
              <w:b/>
              <w:bCs/>
            </w:rPr>
            <w:t>26</w:t>
          </w:r>
          <w:r>
            <w:rPr>
              <w:rFonts w:eastAsiaTheme="minorEastAsia"/>
              <w:b/>
              <w:bCs/>
            </w:rPr>
            <w:fldChar w:fldCharType="end"/>
          </w:r>
          <w:r>
            <w:rPr>
              <w:rFonts w:eastAsiaTheme="minorEastAsia"/>
              <w:b/>
              <w:bCs/>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"_Toc104983874" </w:instrText>
          </w:r>
          <w:r>
            <w:fldChar w:fldCharType="separate"/>
          </w:r>
          <w:r>
            <w:rPr>
              <w:rStyle w:val="21"/>
              <w:rFonts w:eastAsiaTheme="minorEastAsia"/>
              <w:sz w:val="24"/>
              <w:szCs w:val="24"/>
            </w:rPr>
            <w:t xml:space="preserve">6.1 </w:t>
          </w:r>
          <w:r>
            <w:rPr>
              <w:rStyle w:val="21"/>
              <w:rFonts w:hint="eastAsia" w:eastAsiaTheme="minorEastAsia"/>
              <w:sz w:val="24"/>
              <w:szCs w:val="24"/>
              <w:lang w:val="en-US" w:eastAsia="zh-CN"/>
            </w:rPr>
            <w:t xml:space="preserve"> </w:t>
          </w:r>
          <w:r>
            <w:rPr>
              <w:rStyle w:val="21"/>
              <w:rFonts w:eastAsiaTheme="minorEastAsia"/>
              <w:sz w:val="24"/>
              <w:szCs w:val="24"/>
            </w:rPr>
            <w:t>研究结论与建议提出</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_Toc104983874 \h </w:instrText>
          </w:r>
          <w:r>
            <w:rPr>
              <w:rFonts w:eastAsiaTheme="minorEastAsia"/>
              <w:sz w:val="24"/>
              <w:szCs w:val="24"/>
            </w:rPr>
            <w:fldChar w:fldCharType="separate"/>
          </w:r>
          <w:r>
            <w:rPr>
              <w:rFonts w:eastAsiaTheme="minorEastAsia"/>
              <w:sz w:val="24"/>
              <w:szCs w:val="24"/>
            </w:rPr>
            <w:t>26</w:t>
          </w:r>
          <w:r>
            <w:rPr>
              <w:rFonts w:eastAsiaTheme="minorEastAsia"/>
              <w:sz w:val="24"/>
              <w:szCs w:val="24"/>
            </w:rPr>
            <w:fldChar w:fldCharType="end"/>
          </w:r>
          <w:r>
            <w:rPr>
              <w:rFonts w:eastAsiaTheme="minorEastAsia"/>
              <w:sz w:val="24"/>
              <w:szCs w:val="24"/>
            </w:rPr>
            <w:fldChar w:fldCharType="end"/>
          </w:r>
        </w:p>
        <w:p>
          <w:pPr>
            <w:pStyle w:val="14"/>
            <w:tabs>
              <w:tab w:val="right" w:leader="dot" w:pos="8296"/>
            </w:tabs>
            <w:spacing w:line="336" w:lineRule="auto"/>
            <w:rPr>
              <w:rFonts w:eastAsiaTheme="minorEastAsia"/>
              <w:sz w:val="24"/>
              <w:szCs w:val="24"/>
            </w:rPr>
          </w:pPr>
          <w:r>
            <w:fldChar w:fldCharType="begin"/>
          </w:r>
          <w:r>
            <w:instrText xml:space="preserve"> HYPERLINK \l "_Toc104983877" </w:instrText>
          </w:r>
          <w:r>
            <w:fldChar w:fldCharType="separate"/>
          </w:r>
          <w:r>
            <w:rPr>
              <w:rStyle w:val="21"/>
              <w:rFonts w:eastAsiaTheme="minorEastAsia"/>
              <w:sz w:val="24"/>
              <w:szCs w:val="24"/>
            </w:rPr>
            <w:t xml:space="preserve">6.2 </w:t>
          </w:r>
          <w:r>
            <w:rPr>
              <w:rStyle w:val="21"/>
              <w:rFonts w:hint="eastAsia" w:eastAsiaTheme="minorEastAsia"/>
              <w:sz w:val="24"/>
              <w:szCs w:val="24"/>
              <w:lang w:val="en-US" w:eastAsia="zh-CN"/>
            </w:rPr>
            <w:t xml:space="preserve"> </w:t>
          </w:r>
          <w:r>
            <w:rPr>
              <w:rStyle w:val="21"/>
              <w:rFonts w:eastAsiaTheme="minorEastAsia"/>
              <w:sz w:val="24"/>
              <w:szCs w:val="24"/>
            </w:rPr>
            <w:t>研究局限与展望</w:t>
          </w:r>
          <w:r>
            <w:rPr>
              <w:rFonts w:eastAsiaTheme="minorEastAsia"/>
              <w:sz w:val="24"/>
              <w:szCs w:val="24"/>
            </w:rPr>
            <w:tab/>
          </w:r>
          <w:r>
            <w:rPr>
              <w:rFonts w:eastAsiaTheme="minorEastAsia"/>
              <w:sz w:val="24"/>
              <w:szCs w:val="24"/>
            </w:rPr>
            <w:fldChar w:fldCharType="begin"/>
          </w:r>
          <w:r>
            <w:rPr>
              <w:rFonts w:eastAsiaTheme="minorEastAsia"/>
              <w:sz w:val="24"/>
              <w:szCs w:val="24"/>
            </w:rPr>
            <w:instrText xml:space="preserve"> PAGEREF _Toc104983877 \h </w:instrText>
          </w:r>
          <w:r>
            <w:rPr>
              <w:rFonts w:eastAsiaTheme="minorEastAsia"/>
              <w:sz w:val="24"/>
              <w:szCs w:val="24"/>
            </w:rPr>
            <w:fldChar w:fldCharType="separate"/>
          </w:r>
          <w:r>
            <w:rPr>
              <w:rFonts w:eastAsiaTheme="minorEastAsia"/>
              <w:sz w:val="24"/>
              <w:szCs w:val="24"/>
            </w:rPr>
            <w:t>27</w:t>
          </w:r>
          <w:r>
            <w:rPr>
              <w:rFonts w:eastAsiaTheme="minorEastAsia"/>
              <w:sz w:val="24"/>
              <w:szCs w:val="24"/>
            </w:rPr>
            <w:fldChar w:fldCharType="end"/>
          </w:r>
          <w:r>
            <w:rPr>
              <w:rFonts w:eastAsiaTheme="minorEastAsia"/>
              <w:sz w:val="24"/>
              <w:szCs w:val="24"/>
            </w:rPr>
            <w:fldChar w:fldCharType="end"/>
          </w:r>
        </w:p>
        <w:p>
          <w:pPr>
            <w:pStyle w:val="12"/>
            <w:spacing w:line="336" w:lineRule="auto"/>
            <w:rPr>
              <w:rFonts w:eastAsiaTheme="minorEastAsia"/>
              <w:b/>
              <w:bCs/>
            </w:rPr>
          </w:pPr>
          <w:r>
            <w:fldChar w:fldCharType="begin"/>
          </w:r>
          <w:r>
            <w:instrText xml:space="preserve"> HYPERLINK \l "_Toc104983878" </w:instrText>
          </w:r>
          <w:r>
            <w:fldChar w:fldCharType="separate"/>
          </w:r>
          <w:r>
            <w:rPr>
              <w:rStyle w:val="21"/>
              <w:rFonts w:eastAsiaTheme="minorEastAsia"/>
              <w:b/>
              <w:bCs/>
            </w:rPr>
            <w:t>致谢</w:t>
          </w:r>
          <w:r>
            <w:rPr>
              <w:rFonts w:eastAsiaTheme="minorEastAsia"/>
              <w:b/>
              <w:bCs/>
            </w:rPr>
            <w:tab/>
          </w:r>
          <w:r>
            <w:rPr>
              <w:rFonts w:eastAsiaTheme="minorEastAsia"/>
              <w:b/>
              <w:bCs/>
            </w:rPr>
            <w:fldChar w:fldCharType="begin"/>
          </w:r>
          <w:r>
            <w:rPr>
              <w:rFonts w:eastAsiaTheme="minorEastAsia"/>
              <w:b/>
              <w:bCs/>
            </w:rPr>
            <w:instrText xml:space="preserve"> PAGEREF _Toc104983878 \h </w:instrText>
          </w:r>
          <w:r>
            <w:rPr>
              <w:rFonts w:eastAsiaTheme="minorEastAsia"/>
              <w:b/>
              <w:bCs/>
            </w:rPr>
            <w:fldChar w:fldCharType="separate"/>
          </w:r>
          <w:r>
            <w:rPr>
              <w:rFonts w:eastAsiaTheme="minorEastAsia"/>
              <w:b/>
              <w:bCs/>
            </w:rPr>
            <w:t>28</w:t>
          </w:r>
          <w:r>
            <w:rPr>
              <w:rFonts w:eastAsiaTheme="minorEastAsia"/>
              <w:b/>
              <w:bCs/>
            </w:rPr>
            <w:fldChar w:fldCharType="end"/>
          </w:r>
          <w:r>
            <w:rPr>
              <w:rFonts w:eastAsiaTheme="minorEastAsia"/>
              <w:b/>
              <w:bCs/>
            </w:rPr>
            <w:fldChar w:fldCharType="end"/>
          </w:r>
        </w:p>
        <w:p>
          <w:pPr>
            <w:pStyle w:val="12"/>
            <w:spacing w:line="336" w:lineRule="auto"/>
            <w:rPr>
              <w:rFonts w:eastAsiaTheme="minorEastAsia"/>
            </w:rPr>
          </w:pPr>
          <w:r>
            <w:fldChar w:fldCharType="begin"/>
          </w:r>
          <w:r>
            <w:instrText xml:space="preserve"> HYPERLINK \l "_Toc104983879" </w:instrText>
          </w:r>
          <w:r>
            <w:fldChar w:fldCharType="separate"/>
          </w:r>
          <w:r>
            <w:rPr>
              <w:rStyle w:val="21"/>
              <w:rFonts w:eastAsiaTheme="minorEastAsia"/>
              <w:b/>
              <w:bCs/>
            </w:rPr>
            <w:t>参考文献</w:t>
          </w:r>
          <w:r>
            <w:rPr>
              <w:rFonts w:eastAsiaTheme="minorEastAsia"/>
              <w:b/>
              <w:bCs/>
            </w:rPr>
            <w:tab/>
          </w:r>
          <w:r>
            <w:rPr>
              <w:rFonts w:eastAsiaTheme="minorEastAsia"/>
              <w:b/>
              <w:bCs/>
            </w:rPr>
            <w:fldChar w:fldCharType="begin"/>
          </w:r>
          <w:r>
            <w:rPr>
              <w:rFonts w:eastAsiaTheme="minorEastAsia"/>
              <w:b/>
              <w:bCs/>
            </w:rPr>
            <w:instrText xml:space="preserve"> PAGEREF _Toc104983879 \h </w:instrText>
          </w:r>
          <w:r>
            <w:rPr>
              <w:rFonts w:eastAsiaTheme="minorEastAsia"/>
              <w:b/>
              <w:bCs/>
            </w:rPr>
            <w:fldChar w:fldCharType="separate"/>
          </w:r>
          <w:r>
            <w:rPr>
              <w:rFonts w:eastAsiaTheme="minorEastAsia"/>
              <w:b/>
              <w:bCs/>
            </w:rPr>
            <w:t>29</w:t>
          </w:r>
          <w:r>
            <w:rPr>
              <w:rFonts w:eastAsiaTheme="minorEastAsia"/>
              <w:b/>
              <w:bCs/>
            </w:rPr>
            <w:fldChar w:fldCharType="end"/>
          </w:r>
          <w:r>
            <w:rPr>
              <w:rFonts w:eastAsiaTheme="minorEastAsia"/>
              <w:b/>
              <w:bCs/>
            </w:rPr>
            <w:fldChar w:fldCharType="end"/>
          </w:r>
        </w:p>
        <w:p>
          <w:pPr>
            <w:spacing w:line="360" w:lineRule="auto"/>
            <w:rPr>
              <w:b/>
              <w:bCs/>
              <w:lang w:val="zh-CN"/>
            </w:rPr>
          </w:pPr>
          <w:r>
            <w:rPr>
              <w:rFonts w:ascii="Times New Roman" w:hAnsi="Times New Roman" w:cs="Times New Roman"/>
              <w:b/>
              <w:bCs/>
              <w:sz w:val="24"/>
              <w:szCs w:val="24"/>
              <w:lang w:val="zh-CN"/>
            </w:rPr>
            <w:fldChar w:fldCharType="end"/>
          </w:r>
        </w:p>
      </w:sdtContent>
    </w:sdt>
    <w:p>
      <w:pPr>
        <w:spacing w:line="360" w:lineRule="auto"/>
        <w:rPr>
          <w:rFonts w:ascii="Times New Roman" w:hAnsi="Times New Roman" w:cs="Times New Roman" w:eastAsiaTheme="majorEastAsia"/>
          <w:sz w:val="24"/>
          <w:szCs w:val="24"/>
        </w:rPr>
        <w:sectPr>
          <w:headerReference r:id="rId12" w:type="first"/>
          <w:footerReference r:id="rId14" w:type="first"/>
          <w:footerReference r:id="rId13" w:type="default"/>
          <w:pgSz w:w="11906" w:h="16838"/>
          <w:pgMar w:top="1440" w:right="1800" w:bottom="1440" w:left="1800" w:header="851" w:footer="992" w:gutter="0"/>
          <w:pgNumType w:fmt="upperRoman" w:start="3"/>
          <w:cols w:space="720" w:num="1"/>
          <w:titlePg/>
          <w:docGrid w:type="lines" w:linePitch="312" w:charSpace="0"/>
        </w:sectPr>
      </w:pPr>
    </w:p>
    <w:p>
      <w:pPr>
        <w:pStyle w:val="2"/>
        <w:numPr>
          <w:ilvl w:val="0"/>
          <w:numId w:val="0"/>
        </w:numPr>
        <w:spacing w:before="156" w:beforeLines="50" w:after="156" w:afterLines="50" w:line="240" w:lineRule="auto"/>
        <w:ind w:leftChars="0"/>
        <w:jc w:val="center"/>
      </w:pPr>
      <w:bookmarkStart w:id="11" w:name="_Toc104983834"/>
      <w:bookmarkStart w:id="12" w:name="_Toc104210852"/>
      <w:bookmarkStart w:id="13" w:name="_Toc104216144"/>
      <w:r>
        <w:rPr>
          <w:rFonts w:hint="eastAsia"/>
          <w:lang w:val="en-US" w:eastAsia="zh-CN"/>
        </w:rPr>
        <w:t xml:space="preserve">1  </w:t>
      </w:r>
      <w:r>
        <w:rPr>
          <w:rFonts w:hint="eastAsia"/>
        </w:rPr>
        <w:t>绪论</w:t>
      </w:r>
      <w:bookmarkEnd w:id="11"/>
      <w:bookmarkEnd w:id="12"/>
      <w:bookmarkEnd w:id="13"/>
    </w:p>
    <w:p>
      <w:pPr>
        <w:pStyle w:val="4"/>
        <w:keepNext/>
        <w:keepLines/>
        <w:pageBreakBefore w:val="0"/>
        <w:widowControl w:val="0"/>
        <w:kinsoku/>
        <w:wordWrap/>
        <w:overflowPunct/>
        <w:topLinePunct w:val="0"/>
        <w:autoSpaceDE/>
        <w:autoSpaceDN/>
        <w:bidi w:val="0"/>
        <w:adjustRightInd/>
        <w:snapToGrid/>
        <w:spacing w:before="156" w:beforeLines="50" w:after="156" w:afterLines="50" w:line="240" w:lineRule="auto"/>
        <w:ind w:left="0" w:firstLine="0"/>
        <w:textAlignment w:val="auto"/>
        <w:rPr>
          <w:rFonts w:hAnsi="宋体"/>
        </w:rPr>
      </w:pPr>
      <w:bookmarkStart w:id="14" w:name="_Toc104210853"/>
      <w:bookmarkStart w:id="15" w:name="_Toc104216145"/>
      <w:bookmarkStart w:id="16" w:name="_Toc104983835"/>
      <w:r>
        <w:t>研究背景及研究问题的提出</w:t>
      </w:r>
      <w:bookmarkEnd w:id="14"/>
      <w:bookmarkEnd w:id="15"/>
      <w:bookmarkEnd w:id="16"/>
    </w:p>
    <w:p>
      <w:pPr>
        <w:pStyle w:val="3"/>
        <w:ind w:firstLine="480"/>
      </w:pPr>
      <w:r>
        <w:t>当今社会的环境问题日益严重</w:t>
      </w:r>
      <w:r>
        <w:rPr>
          <w:rFonts w:hint="eastAsia"/>
        </w:rPr>
        <w:t>，环境污染主要来源于企业的生产经营活动，</w:t>
      </w:r>
      <w:r>
        <w:t>如何有效发挥企业在环境</w:t>
      </w:r>
      <w:r>
        <w:rPr>
          <w:rFonts w:hint="eastAsia"/>
        </w:rPr>
        <w:t>治理</w:t>
      </w:r>
      <w:r>
        <w:t>中的作用</w:t>
      </w:r>
      <w:r>
        <w:rPr>
          <w:rFonts w:hint="eastAsia"/>
        </w:rPr>
        <w:t>、</w:t>
      </w:r>
      <w:r>
        <w:t>使企业自觉履行环境责任</w:t>
      </w:r>
      <w:r>
        <w:rPr>
          <w:rFonts w:hint="eastAsia"/>
        </w:rPr>
        <w:t>，</w:t>
      </w:r>
      <w:r>
        <w:t>已成为控制污染的</w:t>
      </w:r>
      <w:r>
        <w:rPr>
          <w:rFonts w:hint="eastAsia"/>
        </w:rPr>
        <w:t>重要</w:t>
      </w:r>
      <w:r>
        <w:t>途径。</w:t>
      </w:r>
      <w:r>
        <w:rPr>
          <w:rFonts w:hint="eastAsia"/>
        </w:rPr>
        <w:t>因此，重污染企业的环境信息披露受到政府、投资者和其他利益相关者的高度重视。</w:t>
      </w:r>
      <w:r>
        <w:t>《上市公司环境信息披露指南》界定</w:t>
      </w:r>
      <w:r>
        <w:rPr>
          <w:rFonts w:hint="eastAsia"/>
        </w:rPr>
        <w:t>了</w:t>
      </w:r>
      <w:r>
        <w:t>重污染行业</w:t>
      </w:r>
      <w:r>
        <w:rPr>
          <w:rFonts w:hint="eastAsia"/>
        </w:rPr>
        <w:t>，</w:t>
      </w:r>
      <w:r>
        <w:t>并明确要求重污染行业</w:t>
      </w:r>
      <w:r>
        <w:rPr>
          <w:rFonts w:hint="eastAsia"/>
        </w:rPr>
        <w:t>内的</w:t>
      </w:r>
      <w:r>
        <w:t>上市公司定期披露环境信息</w:t>
      </w:r>
      <w:r>
        <w:rPr>
          <w:rFonts w:hint="eastAsia"/>
        </w:rPr>
        <w:t>，</w:t>
      </w:r>
      <w:r>
        <w:t>对重大环保处罚</w:t>
      </w:r>
      <w:r>
        <w:rPr>
          <w:rFonts w:hint="eastAsia"/>
        </w:rPr>
        <w:t>等负面环境事件</w:t>
      </w:r>
      <w:r>
        <w:t>发布临时环境报告</w:t>
      </w:r>
    </w:p>
    <w:p>
      <w:pPr>
        <w:pStyle w:val="3"/>
        <w:ind w:firstLine="480"/>
      </w:pPr>
      <w:r>
        <w:rPr>
          <w:rFonts w:hint="eastAsia"/>
        </w:rPr>
        <w:t>重污染企业进行</w:t>
      </w:r>
      <w:r>
        <w:t>负面环境信息披露在理论上可以引导市场关注企业环保责任</w:t>
      </w:r>
      <w:r>
        <w:rPr>
          <w:rFonts w:hint="eastAsia"/>
        </w:rPr>
        <w:t>，</w:t>
      </w:r>
      <w:r>
        <w:t>发挥惩罚机制的作用</w:t>
      </w:r>
      <w:r>
        <w:rPr>
          <w:rFonts w:hint="eastAsia"/>
        </w:rPr>
        <w:t>，</w:t>
      </w:r>
      <w:r>
        <w:t>提高环境违法成本</w:t>
      </w:r>
      <w:r>
        <w:rPr>
          <w:rFonts w:hint="eastAsia"/>
        </w:rPr>
        <w:t>，</w:t>
      </w:r>
      <w:r>
        <w:t>并在之后企业的市场表现上得到体现</w:t>
      </w:r>
      <w:r>
        <w:rPr>
          <w:rFonts w:hint="eastAsia"/>
        </w:rPr>
        <w:t>。</w:t>
      </w:r>
      <w:r>
        <w:t>但</w:t>
      </w:r>
      <w:r>
        <w:rPr>
          <w:rFonts w:hint="eastAsia"/>
        </w:rPr>
        <w:t>我国资本市场的有效性不及发达的资本主义国家，环境信息披露的与企业价值关系的研究还未得到一致性的结论，因此强制性</w:t>
      </w:r>
      <w:r>
        <w:t>负面环境信息披露</w:t>
      </w:r>
      <w:r>
        <w:rPr>
          <w:rFonts w:hint="eastAsia"/>
        </w:rPr>
        <w:t>政策</w:t>
      </w:r>
      <w:r>
        <w:t>的有效性还有待进一步验证。</w:t>
      </w:r>
    </w:p>
    <w:p>
      <w:pPr>
        <w:pStyle w:val="3"/>
        <w:ind w:firstLine="480"/>
      </w:pPr>
      <w:r>
        <w:t>本课题旨在通过数据收集、回归分析等步骤</w:t>
      </w:r>
      <w:r>
        <w:rPr>
          <w:rFonts w:hint="eastAsia"/>
        </w:rPr>
        <w:t>，</w:t>
      </w:r>
      <w:r>
        <w:t>探究中国重污染企业负面环境信息</w:t>
      </w:r>
      <w:r>
        <w:rPr>
          <w:rFonts w:hint="eastAsia"/>
        </w:rPr>
        <w:t>披露</w:t>
      </w:r>
      <w:r>
        <w:t>的</w:t>
      </w:r>
      <w:r>
        <w:rPr>
          <w:rFonts w:hint="eastAsia"/>
        </w:rPr>
        <w:t>经济后果及作用机制，验证</w:t>
      </w:r>
      <w:r>
        <w:t>市场对</w:t>
      </w:r>
      <w:r>
        <w:rPr>
          <w:rFonts w:hint="eastAsia"/>
        </w:rPr>
        <w:t>负面</w:t>
      </w:r>
      <w:r>
        <w:t>环</w:t>
      </w:r>
      <w:r>
        <w:rPr>
          <w:rFonts w:hint="eastAsia"/>
        </w:rPr>
        <w:t>境事件</w:t>
      </w:r>
      <w:r>
        <w:t>的惩罚机制</w:t>
      </w:r>
      <w:r>
        <w:rPr>
          <w:rFonts w:hint="eastAsia"/>
        </w:rPr>
        <w:t>的有效性，</w:t>
      </w:r>
      <w:r>
        <w:t>为已有研究</w:t>
      </w:r>
      <w:r>
        <w:rPr>
          <w:rFonts w:hint="eastAsia"/>
        </w:rPr>
        <w:t>作出</w:t>
      </w:r>
      <w:r>
        <w:t>补充与完善。</w:t>
      </w:r>
    </w:p>
    <w:p>
      <w:pPr>
        <w:pStyle w:val="4"/>
        <w:spacing w:before="156" w:beforeLines="50" w:after="156" w:afterLines="50" w:line="240" w:lineRule="auto"/>
        <w:ind w:left="567"/>
      </w:pPr>
      <w:bookmarkStart w:id="17" w:name="_Toc104216146"/>
      <w:bookmarkStart w:id="18" w:name="_Toc104210854"/>
      <w:bookmarkStart w:id="19" w:name="_Toc104983836"/>
      <w:r>
        <w:rPr>
          <w:rFonts w:hint="eastAsia"/>
        </w:rPr>
        <w:t>相关概念界定</w:t>
      </w:r>
      <w:bookmarkEnd w:id="17"/>
      <w:bookmarkEnd w:id="18"/>
      <w:bookmarkEnd w:id="19"/>
    </w:p>
    <w:p>
      <w:pPr>
        <w:numPr>
          <w:ilvl w:val="0"/>
          <w:numId w:val="2"/>
        </w:numPr>
        <w:spacing w:line="360" w:lineRule="auto"/>
        <w:ind w:firstLine="480" w:firstLineChars="200"/>
        <w:jc w:val="left"/>
        <w:rPr>
          <w:sz w:val="24"/>
          <w:szCs w:val="24"/>
        </w:rPr>
      </w:pPr>
      <w:r>
        <w:rPr>
          <w:sz w:val="24"/>
          <w:szCs w:val="24"/>
        </w:rPr>
        <w:t>重污染企业</w:t>
      </w:r>
    </w:p>
    <w:p>
      <w:pPr>
        <w:pStyle w:val="3"/>
        <w:ind w:firstLine="480"/>
      </w:pPr>
      <w:r>
        <w:t>重污染企业的认定主要根据《上市公司行业分类指引》以及《上市公司环境信息披露指南》</w:t>
      </w:r>
      <w:r>
        <w:rPr>
          <w:rFonts w:hint="eastAsia"/>
        </w:rPr>
        <w:t>（</w:t>
      </w:r>
      <w:r>
        <w:t>环办函</w:t>
      </w:r>
      <w:r>
        <w:rPr>
          <w:rFonts w:hint="eastAsia"/>
        </w:rPr>
        <w:t>〔</w:t>
      </w:r>
      <w:r>
        <w:t>2010</w:t>
      </w:r>
      <w:r>
        <w:rPr>
          <w:rFonts w:hint="eastAsia"/>
        </w:rPr>
        <w:t>〕</w:t>
      </w:r>
      <w:r>
        <w:t>78号</w:t>
      </w:r>
      <w:r>
        <w:rPr>
          <w:rFonts w:hint="eastAsia"/>
        </w:rPr>
        <w:t>），</w:t>
      </w:r>
      <w:r>
        <w:t>主要包括火电、钢铁、水泥等16类行业。</w:t>
      </w:r>
    </w:p>
    <w:p>
      <w:pPr>
        <w:numPr>
          <w:ilvl w:val="0"/>
          <w:numId w:val="2"/>
        </w:numPr>
        <w:spacing w:line="360" w:lineRule="auto"/>
        <w:ind w:firstLine="480" w:firstLineChars="200"/>
        <w:jc w:val="left"/>
        <w:rPr>
          <w:sz w:val="24"/>
          <w:szCs w:val="24"/>
        </w:rPr>
      </w:pPr>
      <w:r>
        <w:rPr>
          <w:sz w:val="24"/>
          <w:szCs w:val="24"/>
        </w:rPr>
        <w:t>负面环境信息披露</w:t>
      </w:r>
    </w:p>
    <w:p>
      <w:pPr>
        <w:pStyle w:val="3"/>
        <w:ind w:firstLine="480"/>
        <w:rPr>
          <w:b/>
          <w:szCs w:val="28"/>
        </w:rPr>
      </w:pPr>
      <w:r>
        <w:rPr>
          <w:rFonts w:hint="eastAsia"/>
        </w:rPr>
        <w:t>企业对污染防治措施不到位、污染物超标、</w:t>
      </w:r>
      <w:r>
        <w:t>越界开采</w:t>
      </w:r>
      <w:r>
        <w:rPr>
          <w:rFonts w:hint="eastAsia"/>
        </w:rPr>
        <w:t>资源、环境污染事故等负面环境事件做出的临时环境信息披露。</w:t>
      </w:r>
    </w:p>
    <w:p>
      <w:pPr>
        <w:pStyle w:val="4"/>
        <w:spacing w:before="156" w:beforeLines="50" w:after="156" w:afterLines="50" w:line="240" w:lineRule="auto"/>
        <w:ind w:left="567"/>
      </w:pPr>
      <w:bookmarkStart w:id="20" w:name="_Toc104983837"/>
      <w:bookmarkStart w:id="21" w:name="_Toc104210855"/>
      <w:bookmarkStart w:id="22" w:name="_Toc104216147"/>
      <w:r>
        <w:rPr>
          <w:rFonts w:hint="eastAsia"/>
        </w:rPr>
        <w:t>研究方法与研究内容</w:t>
      </w:r>
      <w:bookmarkEnd w:id="20"/>
      <w:bookmarkEnd w:id="21"/>
      <w:bookmarkEnd w:id="22"/>
    </w:p>
    <w:p>
      <w:pPr>
        <w:pStyle w:val="5"/>
        <w:spacing w:before="0" w:after="0" w:line="480" w:lineRule="auto"/>
      </w:pPr>
      <w:bookmarkStart w:id="23" w:name="_Toc104983838"/>
      <w:bookmarkStart w:id="24" w:name="_Toc104221212"/>
      <w:bookmarkStart w:id="25" w:name="_Toc104264501"/>
      <w:bookmarkStart w:id="26" w:name="_Toc104265037"/>
      <w:bookmarkStart w:id="27" w:name="_Toc104264334"/>
      <w:r>
        <w:rPr>
          <w:rFonts w:hint="eastAsia"/>
        </w:rPr>
        <w:t>研究方法</w:t>
      </w:r>
      <w:bookmarkEnd w:id="23"/>
      <w:bookmarkEnd w:id="24"/>
      <w:bookmarkEnd w:id="25"/>
      <w:bookmarkEnd w:id="26"/>
      <w:bookmarkEnd w:id="27"/>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（1）文献研究法</w:t>
      </w:r>
    </w:p>
    <w:p>
      <w:pPr>
        <w:spacing w:line="360" w:lineRule="auto"/>
        <w:ind w:firstLine="480" w:firstLineChars="200"/>
        <w:rPr>
          <w:sz w:val="24"/>
          <w:szCs w:val="24"/>
        </w:rPr>
      </w:pPr>
      <w:r>
        <w:rPr>
          <w:rFonts w:hint="eastAsia"/>
          <w:sz w:val="24"/>
          <w:szCs w:val="24"/>
        </w:rPr>
        <w:t>通过对现有文献的阅读和梳理，了解企业负面环境信息披露与企业价值相关性的研究进展，针对不足之处提出新的研究问题并展开分析。</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（2）实证分析法</w:t>
      </w:r>
    </w:p>
    <w:p>
      <w:pPr>
        <w:pStyle w:val="3"/>
        <w:ind w:firstLine="480"/>
      </w:pPr>
      <w:r>
        <w:rPr>
          <w:rFonts w:hint="eastAsia"/>
        </w:rPr>
        <w:t>本研究运用事件研究法（</w:t>
      </w:r>
      <w:r>
        <w:t>Ball和Brown</w:t>
      </w:r>
      <w:r>
        <w:rPr>
          <w:rFonts w:hint="eastAsia"/>
        </w:rPr>
        <w:t>，</w:t>
      </w:r>
      <w:r>
        <w:t>1968</w:t>
      </w:r>
      <w:r>
        <w:rPr>
          <w:rFonts w:hint="eastAsia"/>
        </w:rPr>
        <w:t>）分别对企业负面环境信息披露的短期市场反应和中长期市场反应进行分析，以说明市场是否有效以及是否存在投资者过度反应。本文运用事件研究法探讨负面环境信息披露在不同时间窗口对企业市场绩效带来的影响，并通过多元线性回归分析该事件能否造成企业价值的变动，检验财务风险的中介效应。</w:t>
      </w:r>
    </w:p>
    <w:p>
      <w:pPr>
        <w:pStyle w:val="5"/>
        <w:spacing w:before="0" w:after="0" w:line="480" w:lineRule="auto"/>
      </w:pPr>
      <w:bookmarkStart w:id="28" w:name="_Toc104221213"/>
      <w:bookmarkStart w:id="29" w:name="_Toc104265038"/>
      <w:bookmarkStart w:id="30" w:name="_Toc104264335"/>
      <w:bookmarkStart w:id="31" w:name="_Toc104983839"/>
      <w:bookmarkStart w:id="32" w:name="_Toc104264502"/>
      <w:r>
        <w:rPr>
          <w:rFonts w:hint="eastAsia"/>
        </w:rPr>
        <w:t>研究内容</w:t>
      </w:r>
      <w:bookmarkEnd w:id="28"/>
      <w:bookmarkEnd w:id="29"/>
      <w:bookmarkEnd w:id="30"/>
      <w:bookmarkEnd w:id="31"/>
      <w:bookmarkEnd w:id="32"/>
    </w:p>
    <w:p>
      <w:pPr>
        <w:spacing w:line="360" w:lineRule="auto"/>
        <w:ind w:firstLine="420"/>
        <w:rPr>
          <w:sz w:val="24"/>
          <w:szCs w:val="24"/>
        </w:rPr>
      </w:pPr>
      <w:r>
        <w:rPr>
          <w:rFonts w:hint="eastAsia"/>
          <w:sz w:val="24"/>
          <w:szCs w:val="24"/>
        </w:rPr>
        <w:t>首先从短期和中长期分别探讨企业负面环境信息披露能否引起企业市场表现的变化，说明市场的有效性以及是否存在过度反应，然后在验证企业负面环境信息披露会显著影响企业价值的基础上，以财务风险为中介变量检验其中的作用机制。</w:t>
      </w:r>
    </w:p>
    <w:p>
      <w:pPr>
        <w:spacing w:line="360" w:lineRule="auto"/>
        <w:ind w:firstLine="420"/>
        <w:rPr>
          <w:sz w:val="24"/>
          <w:szCs w:val="24"/>
        </w:rPr>
      </w:pPr>
      <w:r>
        <w:rPr>
          <w:rFonts w:hint="eastAsia"/>
          <w:sz w:val="24"/>
          <w:szCs w:val="24"/>
        </w:rPr>
        <w:t>本文的结构安排如下：</w:t>
      </w:r>
    </w:p>
    <w:p>
      <w:pPr>
        <w:spacing w:line="360" w:lineRule="auto"/>
        <w:ind w:firstLine="420"/>
        <w:rPr>
          <w:sz w:val="24"/>
          <w:szCs w:val="24"/>
        </w:rPr>
      </w:pPr>
      <w:r>
        <w:rPr>
          <w:rFonts w:hint="eastAsia"/>
          <w:sz w:val="24"/>
          <w:szCs w:val="24"/>
        </w:rPr>
        <w:t>第二章为文献综述。本文总结梳理了环境信息披露、负面环境信息披露的经济后果的相关研究，并围绕研究主题对文献进行评述。</w:t>
      </w:r>
    </w:p>
    <w:p>
      <w:pPr>
        <w:spacing w:line="360" w:lineRule="auto"/>
        <w:ind w:firstLine="420"/>
        <w:rPr>
          <w:sz w:val="24"/>
          <w:szCs w:val="24"/>
        </w:rPr>
      </w:pPr>
      <w:r>
        <w:rPr>
          <w:rFonts w:hint="eastAsia"/>
          <w:sz w:val="24"/>
          <w:szCs w:val="24"/>
        </w:rPr>
        <w:t>第三章为理论提出与假设提出。我们基于现有文献的局限性与经济学理论提出研究假设，同时针对研究假设进行研究设计，阐述数据的来源和处理方式、模型的设置和变量的定义等。</w:t>
      </w:r>
    </w:p>
    <w:p>
      <w:pPr>
        <w:spacing w:line="360" w:lineRule="auto"/>
        <w:ind w:firstLine="420"/>
        <w:rPr>
          <w:sz w:val="24"/>
          <w:szCs w:val="24"/>
        </w:rPr>
      </w:pPr>
      <w:r>
        <w:rPr>
          <w:rFonts w:hint="eastAsia"/>
          <w:sz w:val="24"/>
          <w:szCs w:val="24"/>
        </w:rPr>
        <w:t>第四章为实证结果。针对假设开展实证研究，对数据进行描述统计，展示回归结果，并作出说明分析。</w:t>
      </w:r>
    </w:p>
    <w:p>
      <w:pPr>
        <w:spacing w:line="360" w:lineRule="auto"/>
        <w:ind w:firstLine="420"/>
        <w:rPr>
          <w:sz w:val="24"/>
          <w:szCs w:val="24"/>
        </w:rPr>
      </w:pPr>
      <w:r>
        <w:rPr>
          <w:rFonts w:hint="eastAsia"/>
          <w:sz w:val="24"/>
          <w:szCs w:val="24"/>
        </w:rPr>
        <w:t>第五章为机制检验。研究负面环境信息披露是否通过影响企业财务风险来影响企业价值，探讨其作用路径。</w:t>
      </w:r>
    </w:p>
    <w:p>
      <w:pPr>
        <w:spacing w:line="360" w:lineRule="auto"/>
        <w:ind w:firstLine="420"/>
        <w:rPr>
          <w:sz w:val="24"/>
          <w:szCs w:val="24"/>
        </w:rPr>
      </w:pPr>
      <w:r>
        <w:rPr>
          <w:rFonts w:hint="eastAsia"/>
          <w:sz w:val="24"/>
          <w:szCs w:val="24"/>
        </w:rPr>
        <w:t>第六章为结论与展望。进行研究结果的总结，并基于此给出政策建议；同时</w:t>
      </w:r>
      <w:r>
        <mc:AlternateContent>
          <mc:Choice Requires="wps">
            <w:drawing>
              <wp:anchor distT="0" distB="0" distL="114300" distR="114300" simplePos="0" relativeHeight="251660288" behindDoc="0" locked="0" layoutInCell="1" allowOverlap="1">
                <wp:simplePos x="0" y="0"/>
                <wp:positionH relativeFrom="column">
                  <wp:posOffset>140335</wp:posOffset>
                </wp:positionH>
                <wp:positionV relativeFrom="paragraph">
                  <wp:posOffset>6699885</wp:posOffset>
                </wp:positionV>
                <wp:extent cx="4937125"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4937125" cy="635"/>
                        </a:xfrm>
                        <a:prstGeom prst="rect">
                          <a:avLst/>
                        </a:prstGeom>
                        <a:solidFill>
                          <a:prstClr val="white"/>
                        </a:solidFill>
                        <a:ln>
                          <a:noFill/>
                        </a:ln>
                      </wps:spPr>
                      <wps:txbx>
                        <w:txbxContent>
                          <w:p>
                            <w:pPr>
                              <w:pStyle w:val="32"/>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研究思路与研究框架</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1.05pt;margin-top:527.55pt;height:0.05pt;width:388.75pt;mso-wrap-distance-bottom:0pt;mso-wrap-distance-top:0pt;z-index:251660288;mso-width-relative:page;mso-height-relative:page;" fillcolor="#FFFFFF" filled="t" stroked="f" coordsize="21600,21600" o:gfxdata="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&#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rR5A/bAAAADAEAAA8AAAAAAAAAAQAgAAAAIgAAAGRy&#10;cy9kb3ducmV2LnhtbFBLAQIUABQAAAAIAIdO4kCTVb1WOwIAAHIEAAAOAAAAAAAAAAEAIAAAACoB&#10;AABkcnMvZTJvRG9jLnhtbFBLBQYAAAAABgAGAFkBAADXBQAAAAA=&#10;">
                <v:fill on="t" focussize="0,0"/>
                <v:stroke on="f"/>
                <v:imagedata o:title=""/>
                <o:lock v:ext="edit" aspectratio="f"/>
                <v:textbox inset="0mm,0mm,0mm,0mm" style="mso-fit-shape-to-text:t;">
                  <w:txbxContent>
                    <w:p>
                      <w:pPr>
                        <w:pStyle w:val="32"/>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研究思路与研究框架</w:t>
                      </w:r>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margin">
              <wp:posOffset>140335</wp:posOffset>
            </wp:positionH>
            <wp:positionV relativeFrom="paragraph">
              <wp:posOffset>345440</wp:posOffset>
            </wp:positionV>
            <wp:extent cx="4937125" cy="6297295"/>
            <wp:effectExtent l="0" t="0" r="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4937125" cy="6297295"/>
                    </a:xfrm>
                    <a:prstGeom prst="rect">
                      <a:avLst/>
                    </a:prstGeom>
                  </pic:spPr>
                </pic:pic>
              </a:graphicData>
            </a:graphic>
          </wp:anchor>
        </w:drawing>
      </w:r>
      <w:r>
        <w:rPr>
          <w:rFonts w:hint="eastAsia"/>
          <w:sz w:val="24"/>
          <w:szCs w:val="24"/>
        </w:rPr>
        <w:t>针对研究过程中的不足之处做出展望，探讨后续可行的研究方向。</w:t>
      </w:r>
      <w:bookmarkStart w:id="33" w:name="_Toc104210856"/>
      <w:bookmarkStart w:id="34" w:name="_Toc104216148"/>
    </w:p>
    <w:p>
      <w:pPr>
        <w:spacing w:line="360" w:lineRule="auto"/>
        <w:ind w:firstLine="420"/>
        <w:rPr>
          <w:sz w:val="24"/>
          <w:szCs w:val="24"/>
        </w:rPr>
      </w:pPr>
    </w:p>
    <w:p>
      <w:r>
        <w:br w:type="page"/>
      </w:r>
    </w:p>
    <w:p>
      <w:pPr>
        <w:pStyle w:val="2"/>
        <w:spacing w:before="156" w:beforeLines="50" w:after="156" w:afterLines="50" w:line="240" w:lineRule="auto"/>
        <w:ind w:left="0" w:firstLine="0"/>
      </w:pPr>
      <w:bookmarkStart w:id="35" w:name="_Toc104983840"/>
      <w:r>
        <w:t>文献综述</w:t>
      </w:r>
      <w:bookmarkEnd w:id="33"/>
      <w:bookmarkEnd w:id="34"/>
      <w:bookmarkEnd w:id="35"/>
    </w:p>
    <w:p>
      <w:pPr>
        <w:pStyle w:val="4"/>
        <w:spacing w:before="156" w:beforeLines="50" w:after="156" w:afterLines="50" w:line="240" w:lineRule="auto"/>
        <w:ind w:left="567"/>
      </w:pPr>
      <w:bookmarkStart w:id="36" w:name="_Toc104983841"/>
      <w:bookmarkStart w:id="37" w:name="_Toc104264338"/>
      <w:bookmarkStart w:id="38" w:name="_Toc104221216"/>
      <w:bookmarkStart w:id="39" w:name="_Toc104264505"/>
      <w:bookmarkStart w:id="40" w:name="_Toc104265041"/>
      <w:r>
        <w:rPr>
          <w:rFonts w:hint="eastAsia"/>
        </w:rPr>
        <w:t>关于环境信息披露的研究</w:t>
      </w:r>
      <w:bookmarkEnd w:id="36"/>
    </w:p>
    <w:p>
      <w:pPr>
        <w:pStyle w:val="5"/>
        <w:spacing w:before="0" w:after="0" w:line="480" w:lineRule="auto"/>
      </w:pPr>
      <w:bookmarkStart w:id="41" w:name="_Toc104983842"/>
      <w:r>
        <w:rPr>
          <w:rFonts w:hint="eastAsia"/>
        </w:rPr>
        <w:t>环境信息披露的动机及影响因素</w:t>
      </w:r>
      <w:bookmarkEnd w:id="37"/>
      <w:bookmarkEnd w:id="38"/>
      <w:bookmarkEnd w:id="39"/>
      <w:bookmarkEnd w:id="40"/>
      <w:bookmarkEnd w:id="41"/>
    </w:p>
    <w:p>
      <w:pPr>
        <w:pStyle w:val="3"/>
        <w:ind w:firstLine="480"/>
        <w:rPr>
          <w:rFonts w:cs="Times New Roman"/>
        </w:rPr>
      </w:pPr>
      <w:r>
        <w:rPr>
          <w:rFonts w:hint="eastAsia"/>
        </w:rPr>
        <w:t>西方学者以企业环境信息披露为对象的研究开始较早。Gray等（1993）提出，企业自</w:t>
      </w:r>
      <w:r>
        <w:rPr>
          <w:rFonts w:cs="Times New Roman"/>
        </w:rPr>
        <w:t>愿披露的动机会随信息的外部使用方对环境信息的关注程度的加强而加强。Clarkson（2008）认为融资成本</w:t>
      </w:r>
      <w:r>
        <w:rPr>
          <w:rFonts w:hint="eastAsia" w:cs="Times New Roman"/>
        </w:rPr>
        <w:t>是</w:t>
      </w:r>
      <w:r>
        <w:rPr>
          <w:rFonts w:cs="Times New Roman"/>
        </w:rPr>
        <w:t>企业会进行环境信息披露的重要因素，同时企业的环境披露水平与政府所施加的环境压力正相关。Liu等（2009）认为环境信息披露行为是由于企业内外部的共同作用，政府压力、市场竞争度和地区发展水平都会对影响环境信息质量。</w:t>
      </w:r>
    </w:p>
    <w:p>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国内对环境信息披露的影响因素讨集中在行业类型、公司规模、公司治理、外部压力和文化等非正式制度等方面。邹立（2006）认为，强制披露的动因是环境信息的非对称性，而自愿披露的动因是代理关系的产生，经营者在被取代的风险下追求企业价值最大化，从而推动企业主动披露环境信息以降低资本成本。王建明（2008）实证检验发现监管制度压力与环境信息披露水平正相关。尹聪（2009）则探讨了环境信息披露与盈余管理</w:t>
      </w:r>
      <w:r>
        <w:rPr>
          <w:rFonts w:hint="eastAsia" w:ascii="Times New Roman" w:hAnsi="Times New Roman" w:cs="Times New Roman"/>
          <w:sz w:val="24"/>
          <w:szCs w:val="24"/>
        </w:rPr>
        <w:t>之间的</w:t>
      </w:r>
      <w:r>
        <w:rPr>
          <w:rFonts w:ascii="Times New Roman" w:hAnsi="Times New Roman" w:cs="Times New Roman"/>
          <w:sz w:val="24"/>
          <w:szCs w:val="24"/>
        </w:rPr>
        <w:t>关联性，发现我国重污染行业上市公司的环境信息披露存在降低公共压力的动机。孟晓华（2014）检验了企业高管的背景特征与企业环境信息披露的关系、高管更替对企业环境责任披露的影响，研究表明在较短的任期内，高管总体呈现出同质性的消极态度，高管非自愿且负面的更替显著不利于企业环境责任的改善。姚圣（2017）的研究表明，政府补贴和违规风险也是企业环境信息披露的动因之一</w:t>
      </w:r>
      <w:r>
        <w:rPr>
          <w:rFonts w:hint="eastAsia" w:ascii="Times New Roman" w:hAnsi="Times New Roman" w:cs="Times New Roman"/>
          <w:sz w:val="24"/>
          <w:szCs w:val="24"/>
        </w:rPr>
        <w:t>。</w:t>
      </w:r>
      <w:r>
        <w:rPr>
          <w:rFonts w:ascii="Times New Roman" w:hAnsi="Times New Roman" w:cs="Times New Roman"/>
          <w:sz w:val="24"/>
          <w:szCs w:val="24"/>
        </w:rPr>
        <w:t>谭亚兰（2021）研究发现，股权集中度与环境信息披露质量之间显著正相关，而与环境信息披露质量之间无显著关系。</w:t>
      </w:r>
    </w:p>
    <w:p>
      <w:pPr>
        <w:pStyle w:val="5"/>
        <w:spacing w:before="0" w:after="0" w:line="480" w:lineRule="auto"/>
      </w:pPr>
      <w:bookmarkStart w:id="42" w:name="_Toc104264339"/>
      <w:bookmarkStart w:id="43" w:name="_Toc104265042"/>
      <w:bookmarkStart w:id="44" w:name="_Toc104264506"/>
      <w:bookmarkStart w:id="45" w:name="_Toc104983843"/>
      <w:bookmarkStart w:id="46" w:name="_Toc104221217"/>
      <w:r>
        <w:rPr>
          <w:rFonts w:hint="eastAsia"/>
        </w:rPr>
        <w:t>环境信息披露与环境绩效</w:t>
      </w:r>
      <w:bookmarkEnd w:id="42"/>
      <w:bookmarkEnd w:id="43"/>
      <w:bookmarkEnd w:id="44"/>
      <w:bookmarkEnd w:id="45"/>
      <w:bookmarkEnd w:id="46"/>
    </w:p>
    <w:p>
      <w:pPr>
        <w:pStyle w:val="3"/>
        <w:ind w:firstLine="480"/>
      </w:pPr>
      <w:r>
        <w:rPr>
          <w:rFonts w:hint="eastAsia"/>
        </w:rPr>
        <w:t>关于环境信息披露与环境绩效之间关系的研究有四种结论：显著正相关、显著负相关、U型关系和无显著关系。</w:t>
      </w:r>
    </w:p>
    <w:p>
      <w:pPr>
        <w:pStyle w:val="3"/>
        <w:ind w:firstLine="480"/>
      </w:pPr>
      <w:bookmarkStart w:id="47" w:name="_Toc104264340"/>
      <w:bookmarkStart w:id="48" w:name="_Toc104265043"/>
      <w:bookmarkStart w:id="49" w:name="_Toc104221218"/>
      <w:bookmarkStart w:id="50" w:name="_Toc104264507"/>
      <w:r>
        <w:rPr>
          <w:rFonts w:hint="eastAsia"/>
        </w:rPr>
        <w:t>认为二者显著正相关的文献主要基于信号传递理论和资源依赖理论。环境绩效好的企业应该愿意披露更多的环境信息，因为这可以带来更低的环境成本，对投资者是利好消息（Anderson，1980；Clarksont等，2006；Giannarakis，2019；Christian，2021）。</w:t>
      </w:r>
    </w:p>
    <w:p>
      <w:pPr>
        <w:pStyle w:val="3"/>
        <w:ind w:firstLine="480"/>
      </w:pPr>
      <w:r>
        <w:rPr>
          <w:rFonts w:hint="eastAsia"/>
        </w:rPr>
        <w:t>同时也有一些学者认为环境绩效对企业环境信息披露具有抑制作用。这种观点主要是依据合法性理论。当企业环境绩效较差时，往往需要承担更重的政治、社会压力，企业会披露更多信息以改善利益相关者印象（Rockness，1985；Patten，2002；Freedman和Jaggi，2005；武恒光和王守海，2016）。</w:t>
      </w:r>
    </w:p>
    <w:p>
      <w:pPr>
        <w:pStyle w:val="3"/>
        <w:ind w:firstLine="480"/>
      </w:pPr>
      <w:r>
        <w:rPr>
          <w:rFonts w:hint="eastAsia"/>
        </w:rPr>
        <w:t>也有的研究通过实证分析认为两者之间不存在显著相关性。（Ingram，1980；Wiseman，1982；Fekrat等，1996；Armando等，2020）。</w:t>
      </w:r>
    </w:p>
    <w:p>
      <w:pPr>
        <w:pStyle w:val="3"/>
        <w:ind w:firstLine="480"/>
      </w:pPr>
      <w:r>
        <w:rPr>
          <w:rFonts w:hint="eastAsia"/>
        </w:rPr>
        <w:t>认为环境信息披露与环境绩效之间存在U型关系的文献较少。 X.H. Meng等（2014）研究发现，环境绩效较差和较好的企业披露的环境信息均多于环境绩效中等的企业，相对于环境绩效较好的企业，环境绩效较差的企业披露了更多关于软信息，区别在于环境表现较好的企业披露了更多的硬信息。沈宏涛（2014）的研究也验证了这一观点。</w:t>
      </w:r>
    </w:p>
    <w:p>
      <w:pPr>
        <w:pStyle w:val="4"/>
        <w:spacing w:before="156" w:beforeLines="50" w:after="156" w:afterLines="50" w:line="240" w:lineRule="auto"/>
        <w:ind w:left="567"/>
      </w:pPr>
      <w:bookmarkStart w:id="51" w:name="_Toc104983844"/>
      <w:r>
        <w:rPr>
          <w:rFonts w:hint="eastAsia"/>
        </w:rPr>
        <w:t>关于企业价值的研究</w:t>
      </w:r>
      <w:bookmarkEnd w:id="51"/>
    </w:p>
    <w:p>
      <w:pPr>
        <w:pStyle w:val="3"/>
        <w:ind w:firstLine="480"/>
      </w:pPr>
      <w:r>
        <w:rPr>
          <w:rFonts w:hint="eastAsia"/>
        </w:rPr>
        <w:t>企业价值是指企业未来预期自由现金流的现值，企业价值研究的核心问题是企业价值来源和创造问题，现有研究多以托宾Q值作为企业价值的衡量指标（白重恩等，2005；梁若冰等，2021），也有研究企业的市场绩效视为公司价值的体现，并通过超额累计收益率（CAR）加以衡量（章卫东，2007；唐松等，2019）。</w:t>
      </w:r>
    </w:p>
    <w:p>
      <w:pPr>
        <w:pStyle w:val="3"/>
        <w:ind w:firstLine="480"/>
      </w:pPr>
      <w:r>
        <w:rPr>
          <w:rFonts w:hint="eastAsia"/>
        </w:rPr>
        <w:t>有大量研究对企业价值的影响因素展开讨论。Yu Gaoa等（2021）发现管理者过度自信可以成为提高公司价值的因素。Iqbal Umer等（2022）发现环境创新对企业价值具有促进作用，且组织资本在这一过程重具有调节作用。孙彤等（2021）发现企业家前台化行为有助于增加企业经营活动现金流、降低系统性风险，从而提升企业价值。王清刚等（2022）发现信息化水平和企业风险承担水平与企业价值显著正相关，信息化水平能通过风险承担作用于企业价值。贾雪阳等（2022）的研究发现，研发投入对企业价值提升有显著的促进作用，且股东责任在二者之间发挥中介效应。</w:t>
      </w:r>
    </w:p>
    <w:p>
      <w:pPr>
        <w:pStyle w:val="4"/>
        <w:spacing w:before="156" w:beforeLines="50" w:after="156" w:afterLines="50" w:line="240" w:lineRule="auto"/>
        <w:ind w:left="567"/>
      </w:pPr>
      <w:bookmarkStart w:id="52" w:name="_Toc104983845"/>
      <w:r>
        <w:rPr>
          <w:rFonts w:hint="eastAsia"/>
        </w:rPr>
        <w:t>关于环境信息披露与企业价值</w:t>
      </w:r>
      <w:bookmarkEnd w:id="47"/>
      <w:bookmarkEnd w:id="48"/>
      <w:bookmarkEnd w:id="49"/>
      <w:bookmarkEnd w:id="50"/>
      <w:r>
        <w:rPr>
          <w:rFonts w:hint="eastAsia"/>
        </w:rPr>
        <w:t>的研究</w:t>
      </w:r>
      <w:bookmarkEnd w:id="52"/>
    </w:p>
    <w:p>
      <w:pPr>
        <w:pStyle w:val="5"/>
        <w:spacing w:before="0" w:after="0" w:line="480" w:lineRule="auto"/>
        <w:rPr>
          <w:szCs w:val="24"/>
        </w:rPr>
      </w:pPr>
      <w:bookmarkStart w:id="53" w:name="_Toc104983846"/>
      <w:r>
        <w:rPr>
          <w:rFonts w:hint="eastAsia"/>
        </w:rPr>
        <w:t>环境信息披露与企业价值的相关性研究</w:t>
      </w:r>
      <w:bookmarkEnd w:id="53"/>
    </w:p>
    <w:p>
      <w:pPr>
        <w:spacing w:line="360" w:lineRule="auto"/>
        <w:ind w:firstLine="480" w:firstLineChars="200"/>
        <w:jc w:val="left"/>
        <w:rPr>
          <w:bCs/>
          <w:sz w:val="24"/>
          <w:szCs w:val="24"/>
        </w:rPr>
      </w:pPr>
      <w:r>
        <w:rPr>
          <w:rFonts w:hint="eastAsia"/>
          <w:bCs/>
          <w:sz w:val="24"/>
          <w:szCs w:val="24"/>
        </w:rPr>
        <w:t>随着研究的深入，近年来学术界将对环境信息披露的研究重点放在了信息披露的价值相关性中。通过研究企业环境信息披露的市场反应，了解市场是否对于企业在环境治理中的投资或者造成的环境污染会做出反应，并进一步影响企业的市值。</w:t>
      </w:r>
    </w:p>
    <w:p>
      <w:pPr>
        <w:pStyle w:val="3"/>
        <w:ind w:firstLine="420" w:firstLineChars="0"/>
        <w:rPr>
          <w:rFonts w:cs="Times New Roman"/>
          <w:szCs w:val="24"/>
        </w:rPr>
      </w:pPr>
      <w:r>
        <w:rPr>
          <w:rFonts w:cs="Times New Roman"/>
          <w:szCs w:val="24"/>
        </w:rPr>
        <w:t>在以发达国家上市企业为对象的有关研究中，大多数学者都得到了环境信息披露会影响企业价值的结论。</w:t>
      </w:r>
      <w:r>
        <w:rPr>
          <w:rFonts w:cs="Times New Roman"/>
        </w:rPr>
        <w:t>Klassen等（1996）的研究用美国</w:t>
      </w:r>
      <w:r>
        <w:rPr>
          <w:rFonts w:hint="eastAsia" w:cs="Times New Roman"/>
        </w:rPr>
        <w:t>企业</w:t>
      </w:r>
      <w:r>
        <w:rPr>
          <w:rFonts w:cs="Times New Roman"/>
        </w:rPr>
        <w:t>获得环境奖励的事件为样本，</w:t>
      </w:r>
      <w:r>
        <w:rPr>
          <w:rFonts w:hint="eastAsia" w:cs="Times New Roman"/>
        </w:rPr>
        <w:t>发现资本市场</w:t>
      </w:r>
      <w:r>
        <w:rPr>
          <w:rFonts w:cs="Times New Roman"/>
        </w:rPr>
        <w:t>能够对</w:t>
      </w:r>
      <w:r>
        <w:rPr>
          <w:rFonts w:hint="eastAsia" w:cs="Times New Roman"/>
        </w:rPr>
        <w:t>环境正面信息</w:t>
      </w:r>
      <w:r>
        <w:rPr>
          <w:rFonts w:cs="Times New Roman"/>
        </w:rPr>
        <w:t>做出正面反应的结论。</w:t>
      </w:r>
      <w:r>
        <w:rPr>
          <w:rFonts w:cs="Times New Roman"/>
          <w:szCs w:val="24"/>
        </w:rPr>
        <w:t>Ferguson（2002）研究指出，企业会披露更高质量的环境信息，降低信息不对称，进而缓解融资约束，以保证价值的稳定提升。Clarkson等（2013）以美国的上市公司为样本，将环境信息划分成软披露和硬披露，指出环境信息披露有助于的提高企业价值。Nor等（2016）的研究认为环境信息披露可以提高公司的市场价值和盈利能力。</w:t>
      </w:r>
    </w:p>
    <w:p>
      <w:pPr>
        <w:pStyle w:val="3"/>
        <w:ind w:firstLine="480"/>
        <w:rPr>
          <w:rFonts w:cs="Times New Roman"/>
          <w:szCs w:val="24"/>
        </w:rPr>
      </w:pPr>
      <w:r>
        <w:rPr>
          <w:rFonts w:cs="Times New Roman"/>
          <w:bCs/>
          <w:szCs w:val="24"/>
        </w:rPr>
        <w:t>中国学者在此方面的实证研究晚于西方，且</w:t>
      </w:r>
      <w:r>
        <w:rPr>
          <w:rFonts w:cs="Times New Roman"/>
          <w:szCs w:val="24"/>
        </w:rPr>
        <w:t>在以我国上市企业为对象的有关研究中，尚未对环境信息披露与企业价值的相关性形成统一结论。</w:t>
      </w:r>
      <w:r>
        <w:rPr>
          <w:rFonts w:cs="Times New Roman"/>
        </w:rPr>
        <w:t>万军（2003）、</w:t>
      </w:r>
      <w:r>
        <w:rPr>
          <w:rFonts w:cs="Times New Roman"/>
          <w:szCs w:val="24"/>
        </w:rPr>
        <w:t>陈玉清和马丽丽（2005）、马海超和周若馨（2017）都发现我国市场对企业发布的社会责任信息没有明显反应能力</w:t>
      </w:r>
      <w:r>
        <w:rPr>
          <w:rFonts w:cs="Times New Roman"/>
        </w:rPr>
        <w:t>。Gupta等（2005）在分析我国上市公司环境信息披露的市场反应时发现不是所有的上市公司都会对环境绩效发布做出响应，资本市场也不一定能对所披露的环境信息进行正确反馈，此外还发现市场表现会因公司所处的经济、政治背景不同而不同。史晓媛</w:t>
      </w:r>
      <w:r>
        <w:rPr>
          <w:rFonts w:hint="eastAsia" w:cs="Times New Roman"/>
        </w:rPr>
        <w:t>（</w:t>
      </w:r>
      <w:r>
        <w:rPr>
          <w:rFonts w:cs="Times New Roman"/>
        </w:rPr>
        <w:t>2006）</w:t>
      </w:r>
      <w:r>
        <w:rPr>
          <w:rFonts w:hint="eastAsia" w:cs="Times New Roman"/>
        </w:rPr>
        <w:t>和</w:t>
      </w:r>
      <w:r>
        <w:rPr>
          <w:rFonts w:cs="Times New Roman"/>
        </w:rPr>
        <w:t>胡冬</w:t>
      </w:r>
      <w:r>
        <w:rPr>
          <w:rFonts w:hint="eastAsia" w:cs="Times New Roman"/>
        </w:rPr>
        <w:t>（</w:t>
      </w:r>
      <w:r>
        <w:rPr>
          <w:rFonts w:cs="Times New Roman"/>
        </w:rPr>
        <w:t>2008）的研究表明，我国资本市场对公司披露的环境信息反应不灵敏</w:t>
      </w:r>
      <w:r>
        <w:rPr>
          <w:rFonts w:hint="eastAsia" w:cs="Times New Roman"/>
        </w:rPr>
        <w:t>，仅有个别环境相关的事件能使其产生明显波动</w:t>
      </w:r>
      <w:r>
        <w:rPr>
          <w:rFonts w:cs="Times New Roman"/>
        </w:rPr>
        <w:t>。</w:t>
      </w:r>
      <w:r>
        <w:rPr>
          <w:rFonts w:hint="eastAsia" w:cs="Times New Roman"/>
          <w:szCs w:val="24"/>
        </w:rPr>
        <w:t>王润（2013）发现我国上市公司环境信息披露水平与企业价值显著正相关，同时公司规模、资产负债率、前十大股东持股比例显著影响我国上市公司的环境信息披露水平。代文等（2014）发现环境信息披露质量越高，企业的价值越大。郭金亚（2015）发现重污染行业企业进行环境信息披露会影响当期和下一会计年度的EVA。李志斌等（2019）发现环境信息披露与公司价值呈显著的倒“U”型关系。</w:t>
      </w:r>
      <w:r>
        <w:rPr>
          <w:rFonts w:cs="Times New Roman"/>
          <w:szCs w:val="24"/>
        </w:rPr>
        <w:t>成琼文（2022）</w:t>
      </w:r>
      <w:r>
        <w:rPr>
          <w:rFonts w:hint="eastAsia" w:cs="Times New Roman"/>
          <w:szCs w:val="24"/>
        </w:rPr>
        <w:t>的</w:t>
      </w:r>
      <w:r>
        <w:rPr>
          <w:rFonts w:cs="Times New Roman"/>
          <w:szCs w:val="24"/>
        </w:rPr>
        <w:t>研究结果表明，重污染企业环境信息披露与企业价值呈</w:t>
      </w:r>
      <w:r>
        <w:rPr>
          <w:rFonts w:hint="eastAsia" w:cs="Times New Roman"/>
          <w:szCs w:val="24"/>
        </w:rPr>
        <w:t>“U”</w:t>
      </w:r>
      <w:r>
        <w:rPr>
          <w:rFonts w:cs="Times New Roman"/>
          <w:szCs w:val="24"/>
        </w:rPr>
        <w:t>型关系，同时环境信息披露可通过创新产出来影响企业价值。</w:t>
      </w:r>
    </w:p>
    <w:p>
      <w:pPr>
        <w:pStyle w:val="3"/>
        <w:ind w:firstLine="480"/>
      </w:pPr>
      <w:r>
        <w:rPr>
          <w:rFonts w:hint="eastAsia"/>
        </w:rPr>
        <w:t>在环境信息披露的价值相关性研究中，有很多学者也把负面环境信息披露的经济后果作为研究的对象。Shane等（1983）研究了低环保评级公司的市场反应，指出企业价值和负面环境信息披露负相关。Lanoie等（1994）和Capelle-Blancard等（2010）发现环境负面信息披露对公司股价的冲击明显，</w:t>
      </w:r>
      <w:r>
        <w:rPr>
          <w:bCs/>
        </w:rPr>
        <w:t>公司的市值</w:t>
      </w:r>
      <w:r>
        <w:rPr>
          <w:rFonts w:hint="eastAsia"/>
          <w:bCs/>
        </w:rPr>
        <w:t>会受到</w:t>
      </w:r>
      <w:r>
        <w:t>企业环境污染事件</w:t>
      </w:r>
      <w:r>
        <w:rPr>
          <w:rFonts w:hint="eastAsia"/>
        </w:rPr>
        <w:t>的影响</w:t>
      </w:r>
      <w:r>
        <w:rPr>
          <w:rFonts w:hint="eastAsia"/>
          <w:bCs/>
        </w:rPr>
        <w:t>而显著</w:t>
      </w:r>
      <w:r>
        <w:rPr>
          <w:bCs/>
        </w:rPr>
        <w:t>下降。</w:t>
      </w:r>
      <w:r>
        <w:rPr>
          <w:rFonts w:hint="eastAsia"/>
          <w:bCs/>
        </w:rPr>
        <w:t>Hamilton（1995）</w:t>
      </w:r>
      <w:r>
        <w:rPr>
          <w:bCs/>
        </w:rPr>
        <w:t>的研</w:t>
      </w:r>
      <w:r>
        <w:rPr>
          <w:rFonts w:hint="eastAsia"/>
          <w:bCs/>
        </w:rPr>
        <w:t>究</w:t>
      </w:r>
      <w:r>
        <w:rPr>
          <w:bCs/>
        </w:rPr>
        <w:t>结果表明</w:t>
      </w:r>
      <w:r>
        <w:rPr>
          <w:rFonts w:hint="eastAsia"/>
          <w:bCs/>
        </w:rPr>
        <w:t>，</w:t>
      </w:r>
      <w:r>
        <w:rPr>
          <w:bCs/>
        </w:rPr>
        <w:t>如果</w:t>
      </w:r>
      <w:r>
        <w:rPr>
          <w:rFonts w:hint="eastAsia"/>
        </w:rPr>
        <w:t>污染数据</w:t>
      </w:r>
      <w:r>
        <w:rPr>
          <w:bCs/>
        </w:rPr>
        <w:t>超过公众容忍度</w:t>
      </w:r>
      <w:r>
        <w:rPr>
          <w:rFonts w:hint="eastAsia"/>
          <w:bCs/>
        </w:rPr>
        <w:t>，</w:t>
      </w:r>
      <w:r>
        <w:rPr>
          <w:rFonts w:hint="eastAsia"/>
        </w:rPr>
        <w:t>媒体对该公司的报道越多，公司价值损失越大</w:t>
      </w:r>
      <w:r>
        <w:rPr>
          <w:rFonts w:hint="eastAsia"/>
          <w:bCs/>
        </w:rPr>
        <w:t>。</w:t>
      </w:r>
      <w:r>
        <w:rPr>
          <w:rFonts w:hint="eastAsia"/>
        </w:rPr>
        <w:t>Colwell（2009）发现负面环境信息披露会显著抑制小市值公司的市场表现。我国学者向志平等（2011）的研究表明，有些类别的环境信息不会对中国的资本市场产生冲击。闫明（2012）以石化行业为研究对象，发现股票市场对公司自愿披露的环境污染事件有显著反应</w:t>
      </w:r>
      <w:r>
        <w:t>。万寿义</w:t>
      </w:r>
      <w:r>
        <w:rPr>
          <w:rFonts w:hint="eastAsia"/>
        </w:rPr>
        <w:t>和</w:t>
      </w:r>
      <w:r>
        <w:t>刘正阳（</w:t>
      </w:r>
      <w:r>
        <w:rPr>
          <w:rFonts w:hint="eastAsia"/>
        </w:rPr>
        <w:t>2012</w:t>
      </w:r>
      <w:r>
        <w:t>）以</w:t>
      </w:r>
      <w:r>
        <w:rPr>
          <w:rFonts w:hint="eastAsia"/>
        </w:rPr>
        <w:t>在A股市场和H股市场</w:t>
      </w:r>
      <w:r>
        <w:t>双重上市的紫金矿业为</w:t>
      </w:r>
      <w:r>
        <w:rPr>
          <w:rFonts w:hint="eastAsia"/>
        </w:rPr>
        <w:t>研究</w:t>
      </w:r>
      <w:r>
        <w:t>对象</w:t>
      </w:r>
      <w:r>
        <w:rPr>
          <w:rFonts w:hint="eastAsia"/>
        </w:rPr>
        <w:t>，</w:t>
      </w:r>
      <w:r>
        <w:t>发现</w:t>
      </w:r>
      <w:r>
        <w:rPr>
          <w:rFonts w:hint="eastAsia"/>
        </w:rPr>
        <w:t>对于环保处罚信息，A</w:t>
      </w:r>
      <w:r>
        <w:t>股市场未作出反应</w:t>
      </w:r>
      <w:r>
        <w:rPr>
          <w:rFonts w:hint="eastAsia"/>
        </w:rPr>
        <w:t>，而H</w:t>
      </w:r>
      <w:r>
        <w:t>股市场</w:t>
      </w:r>
      <w:r>
        <w:rPr>
          <w:rFonts w:hint="eastAsia"/>
        </w:rPr>
        <w:t>做出了</w:t>
      </w:r>
      <w:r>
        <w:t>负面反应</w:t>
      </w:r>
      <w:r>
        <w:rPr>
          <w:rFonts w:hint="eastAsia"/>
        </w:rPr>
        <w:t>，两地</w:t>
      </w:r>
      <w:r>
        <w:t>差异显著。</w:t>
      </w:r>
      <w:r>
        <w:rPr>
          <w:rFonts w:hint="eastAsia"/>
          <w:bCs/>
        </w:rPr>
        <w:t>陈开军等（2020）实证检验了环境信息披露的有效性，结果表明披露当日市场对企业做出了惩罚，但反应持续不持久，这与张玮</w:t>
      </w:r>
      <w:r>
        <w:rPr>
          <w:rFonts w:hint="eastAsia"/>
        </w:rPr>
        <w:t>（2008）</w:t>
      </w:r>
      <w:r>
        <w:rPr>
          <w:rFonts w:hint="eastAsia"/>
          <w:bCs/>
        </w:rPr>
        <w:t>的发现一致。</w:t>
      </w:r>
    </w:p>
    <w:p>
      <w:pPr>
        <w:pStyle w:val="5"/>
        <w:spacing w:before="0" w:after="0" w:line="480" w:lineRule="auto"/>
      </w:pPr>
      <w:bookmarkStart w:id="54" w:name="_Toc104983847"/>
      <w:r>
        <w:rPr>
          <w:rFonts w:hint="eastAsia"/>
        </w:rPr>
        <w:t>环境信息披露影响企业价值的作用机制研究</w:t>
      </w:r>
      <w:bookmarkEnd w:id="54"/>
    </w:p>
    <w:p>
      <w:pPr>
        <w:spacing w:line="360" w:lineRule="auto"/>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傅小敬（2013）发现重污染上市公司的社会责任信息披露质量对公司价值的影响程度比非重污染行业的上市公司更大，这主要是因为投资者信心的增强所导致的。但田雯（2013）的研究表明，环境信息披露与投资者信心负相关，这是因为部分投资者认为企业在放大公司积极的环境信息，回避消极信息导致的。黄茜（2014）发现环境信息披露水平越好，公司的权益资本成本越低，而环境信息披露水平越好，公司价值越高。杨园华（2015）的研究发现，企业声誉在碳信息披露数量与企业价值创造的影响关系中发挥了中介效应，但顾客满意在这一过程中未起到中介作用。战相颖（2015）、任力等（2017）和孔婕（2020）的研究都表明发现环境信息披露水平与企业价值的正相关关系是通过预期现金流量和权益资本成本实现的。钟马（2016）的研究提到，强制导向社会责任信息披露会导致公司价值下降，高污染行业进行社会责任信息披露后的投资效率增长不显著，融资约束削减效应也不显著。刘菊（2016）的研究表明，资本结构是环境信息披露质量影响公司价值的中介变量。樊世阳（2020）发现环境信息披露对企业价值的影响具有滞后效应，且机构投资者在其中具有正向调节作用。</w:t>
      </w:r>
    </w:p>
    <w:p>
      <w:pPr>
        <w:spacing w:line="360" w:lineRule="auto"/>
        <w:ind w:firstLine="480" w:firstLineChars="200"/>
        <w:jc w:val="left"/>
      </w:pPr>
      <w:r>
        <w:rPr>
          <w:rFonts w:hint="eastAsia" w:ascii="Times New Roman" w:hAnsi="Times New Roman" w:cs="Times New Roman"/>
          <w:sz w:val="24"/>
          <w:szCs w:val="24"/>
        </w:rPr>
        <w:t>关于企业负面环境信息披露对企业价值的影响机制，顾浩东等（2019）认为企业负面环境信息的披露通过减少消费者的购买意愿而影响企业价值。唐松等（2019）的研究表明，环境污染事件曝光通过影响政府监管力度和债务融资规模来影响企业价值。</w:t>
      </w:r>
    </w:p>
    <w:p>
      <w:pPr>
        <w:pStyle w:val="4"/>
        <w:spacing w:before="156" w:beforeLines="50" w:after="156" w:afterLines="50" w:line="240" w:lineRule="auto"/>
        <w:ind w:left="567"/>
      </w:pPr>
      <w:bookmarkStart w:id="55" w:name="_Toc104983848"/>
      <w:bookmarkStart w:id="56" w:name="_Toc104216151"/>
      <w:bookmarkStart w:id="57" w:name="_Toc104210859"/>
      <w:r>
        <w:rPr>
          <w:rFonts w:hint="eastAsia"/>
        </w:rPr>
        <w:t>文献评述</w:t>
      </w:r>
      <w:bookmarkEnd w:id="55"/>
      <w:bookmarkEnd w:id="56"/>
      <w:bookmarkEnd w:id="57"/>
    </w:p>
    <w:p>
      <w:pPr>
        <w:pStyle w:val="3"/>
        <w:ind w:firstLine="480"/>
      </w:pPr>
      <w:r>
        <w:t>本文对以往研究企业</w:t>
      </w:r>
      <w:r>
        <w:rPr>
          <w:rFonts w:hint="eastAsia"/>
        </w:rPr>
        <w:t>环境</w:t>
      </w:r>
      <w:r>
        <w:t>信息披露</w:t>
      </w:r>
      <w:r>
        <w:rPr>
          <w:rFonts w:hint="eastAsia"/>
        </w:rPr>
        <w:t>和企业价值</w:t>
      </w:r>
      <w:r>
        <w:t>的文献进行了梳理</w:t>
      </w:r>
      <w:r>
        <w:rPr>
          <w:rFonts w:hint="eastAsia"/>
        </w:rPr>
        <w:t>，以发达国家的企业为研究对象的</w:t>
      </w:r>
      <w:r>
        <w:t>研究普遍</w:t>
      </w:r>
      <w:r>
        <w:rPr>
          <w:rFonts w:hint="eastAsia"/>
        </w:rPr>
        <w:t>证明了企业环境信息披露与企业价值的相关性，</w:t>
      </w:r>
      <w:r>
        <w:t>即上市公司的</w:t>
      </w:r>
      <w:r>
        <w:rPr>
          <w:rFonts w:hint="eastAsia"/>
        </w:rPr>
        <w:t>正面环境信息披露</w:t>
      </w:r>
      <w:r>
        <w:t>能够</w:t>
      </w:r>
      <w:r>
        <w:rPr>
          <w:rFonts w:hint="eastAsia"/>
        </w:rPr>
        <w:t>带来更高的股票回报，促进企业价值提升，</w:t>
      </w:r>
      <w:r>
        <w:t>负面的</w:t>
      </w:r>
      <w:r>
        <w:rPr>
          <w:rFonts w:hint="eastAsia"/>
        </w:rPr>
        <w:t>环境信息披露则对企业价值具有抑制作用</w:t>
      </w:r>
      <w:r>
        <w:t>。关于我国资本市场对环境信息披露的反应程度还没有定论</w:t>
      </w:r>
      <w:r>
        <w:rPr>
          <w:rFonts w:hint="eastAsia"/>
        </w:rPr>
        <w:t>。我国环境信息披露的研究开始得较晚，早年间环境信息披露政策的落实不到位，也影响着环境信息披露制度发挥作用。我们</w:t>
      </w:r>
      <w:r>
        <w:t>认为以往</w:t>
      </w:r>
      <w:r>
        <w:rPr>
          <w:rFonts w:hint="eastAsia"/>
        </w:rPr>
        <w:t>学者在进行企业负面信息披露与市场反应的</w:t>
      </w:r>
      <w:r>
        <w:t>研究存在的局限性主要包括以下几点：</w:t>
      </w:r>
    </w:p>
    <w:p>
      <w:pPr>
        <w:numPr>
          <w:ilvl w:val="0"/>
          <w:numId w:val="3"/>
        </w:numPr>
        <w:spacing w:line="360" w:lineRule="auto"/>
        <w:ind w:firstLine="480" w:firstLineChars="200"/>
        <w:jc w:val="left"/>
        <w:rPr>
          <w:rFonts w:ascii="Times New Roman" w:hAnsi="Times New Roman" w:cs="Times New Roman" w:eastAsiaTheme="majorEastAsia"/>
          <w:sz w:val="24"/>
          <w:szCs w:val="24"/>
        </w:rPr>
      </w:pPr>
      <w:r>
        <w:rPr>
          <w:rFonts w:ascii="Times New Roman" w:hAnsi="Times New Roman" w:cs="Times New Roman" w:eastAsiaTheme="majorEastAsia"/>
          <w:sz w:val="24"/>
          <w:szCs w:val="24"/>
        </w:rPr>
        <w:t>针对负面环境事件的研究，前人在样本选取方面</w:t>
      </w:r>
      <w:r>
        <w:rPr>
          <w:rFonts w:hint="eastAsia" w:ascii="Times New Roman" w:hAnsi="Times New Roman" w:cs="Times New Roman" w:eastAsiaTheme="majorEastAsia"/>
          <w:sz w:val="24"/>
          <w:szCs w:val="24"/>
        </w:rPr>
        <w:t>有所不同</w:t>
      </w:r>
      <w:r>
        <w:rPr>
          <w:rFonts w:ascii="Times New Roman" w:hAnsi="Times New Roman" w:cs="Times New Roman" w:eastAsiaTheme="majorEastAsia"/>
          <w:sz w:val="24"/>
          <w:szCs w:val="24"/>
        </w:rPr>
        <w:t>，比如以特定某个环境负面事件作为样本（万寿义和刘正阳，2012</w:t>
      </w:r>
      <w:r>
        <w:rPr>
          <w:rFonts w:hint="eastAsia" w:ascii="Times New Roman" w:hAnsi="Times New Roman" w:cs="Times New Roman" w:eastAsiaTheme="majorEastAsia"/>
          <w:sz w:val="24"/>
          <w:szCs w:val="24"/>
        </w:rPr>
        <w:t>；石羞月，2</w:t>
      </w:r>
      <w:r>
        <w:rPr>
          <w:rFonts w:ascii="Times New Roman" w:hAnsi="Times New Roman" w:cs="Times New Roman" w:eastAsiaTheme="majorEastAsia"/>
          <w:sz w:val="24"/>
          <w:szCs w:val="24"/>
        </w:rPr>
        <w:t>019</w:t>
      </w:r>
      <w:r>
        <w:rPr>
          <w:rFonts w:hint="eastAsia" w:ascii="Times New Roman" w:hAnsi="Times New Roman" w:cs="Times New Roman" w:eastAsiaTheme="majorEastAsia"/>
          <w:sz w:val="24"/>
          <w:szCs w:val="24"/>
        </w:rPr>
        <w:t>；苏利平等，2</w:t>
      </w:r>
      <w:r>
        <w:rPr>
          <w:rFonts w:ascii="Times New Roman" w:hAnsi="Times New Roman" w:cs="Times New Roman" w:eastAsiaTheme="majorEastAsia"/>
          <w:sz w:val="24"/>
          <w:szCs w:val="24"/>
        </w:rPr>
        <w:t>022），又或是选取政府有关部门所公示的环境违规事件（唐松，2019），但少有研究将样本事件设定为企业进行的负面环境信息披露行为，因此环境信息披露政策在我国资本市场上的作用如何还有待探讨。</w:t>
      </w:r>
    </w:p>
    <w:p>
      <w:pPr>
        <w:numPr>
          <w:ilvl w:val="0"/>
          <w:numId w:val="3"/>
        </w:numPr>
        <w:spacing w:line="360" w:lineRule="auto"/>
        <w:ind w:firstLine="480" w:firstLineChars="200"/>
        <w:jc w:val="left"/>
        <w:rPr>
          <w:rFonts w:ascii="Times New Roman" w:hAnsi="Times New Roman" w:cs="Times New Roman" w:eastAsiaTheme="majorEastAsia"/>
          <w:sz w:val="24"/>
          <w:szCs w:val="24"/>
        </w:rPr>
      </w:pPr>
      <w:r>
        <w:rPr>
          <w:rFonts w:ascii="Times New Roman" w:hAnsi="Times New Roman" w:cs="Times New Roman" w:eastAsiaTheme="majorEastAsia"/>
          <w:sz w:val="24"/>
          <w:szCs w:val="24"/>
        </w:rPr>
        <w:t>大多针对企业负面环境信息披露后市场反应的研究都采用事件研究法，以CAR（累计异常回报率）作为其市场绩效的衡量指标</w:t>
      </w:r>
      <w:r>
        <w:rPr>
          <w:rFonts w:hint="eastAsia" w:ascii="Times New Roman" w:hAnsi="Times New Roman" w:cs="Times New Roman" w:eastAsiaTheme="majorEastAsia"/>
          <w:sz w:val="24"/>
          <w:szCs w:val="24"/>
        </w:rPr>
        <w:t>（严方，2</w:t>
      </w:r>
      <w:r>
        <w:rPr>
          <w:rFonts w:ascii="Times New Roman" w:hAnsi="Times New Roman" w:cs="Times New Roman" w:eastAsiaTheme="majorEastAsia"/>
          <w:sz w:val="24"/>
          <w:szCs w:val="24"/>
        </w:rPr>
        <w:t>013</w:t>
      </w:r>
      <w:r>
        <w:rPr>
          <w:rFonts w:hint="eastAsia" w:ascii="Times New Roman" w:hAnsi="Times New Roman" w:cs="Times New Roman" w:eastAsiaTheme="majorEastAsia"/>
          <w:sz w:val="24"/>
          <w:szCs w:val="24"/>
        </w:rPr>
        <w:t>；宋慧敏，2</w:t>
      </w:r>
      <w:r>
        <w:rPr>
          <w:rFonts w:ascii="Times New Roman" w:hAnsi="Times New Roman" w:cs="Times New Roman" w:eastAsiaTheme="majorEastAsia"/>
          <w:sz w:val="24"/>
          <w:szCs w:val="24"/>
        </w:rPr>
        <w:t>019</w:t>
      </w:r>
      <w:r>
        <w:rPr>
          <w:rFonts w:hint="eastAsia" w:ascii="Times New Roman" w:hAnsi="Times New Roman" w:cs="Times New Roman" w:eastAsiaTheme="majorEastAsia"/>
          <w:sz w:val="24"/>
          <w:szCs w:val="24"/>
        </w:rPr>
        <w:t>；孟佳，2</w:t>
      </w:r>
      <w:r>
        <w:rPr>
          <w:rFonts w:ascii="Times New Roman" w:hAnsi="Times New Roman" w:cs="Times New Roman" w:eastAsiaTheme="majorEastAsia"/>
          <w:sz w:val="24"/>
          <w:szCs w:val="24"/>
        </w:rPr>
        <w:t>021</w:t>
      </w:r>
      <w:r>
        <w:rPr>
          <w:rFonts w:hint="eastAsia" w:ascii="Times New Roman" w:hAnsi="Times New Roman" w:cs="Times New Roman" w:eastAsiaTheme="majorEastAsia"/>
          <w:sz w:val="24"/>
          <w:szCs w:val="24"/>
        </w:rPr>
        <w:t>）</w:t>
      </w:r>
      <w:r>
        <w:rPr>
          <w:rFonts w:ascii="Times New Roman" w:hAnsi="Times New Roman" w:cs="Times New Roman" w:eastAsiaTheme="majorEastAsia"/>
          <w:sz w:val="24"/>
          <w:szCs w:val="24"/>
        </w:rPr>
        <w:t>，而我国资本市场尚不健全，投机性强，短期内的股价波动可能是投资者的过度反应，不一定反映公司真实的投资价值变化，负面环境信息披露的惩罚作用还有待进一步验证。</w:t>
      </w:r>
    </w:p>
    <w:p>
      <w:pPr>
        <w:numPr>
          <w:ilvl w:val="0"/>
          <w:numId w:val="3"/>
        </w:numPr>
        <w:spacing w:line="360" w:lineRule="auto"/>
        <w:ind w:firstLine="480" w:firstLineChars="200"/>
        <w:jc w:val="left"/>
        <w:rPr>
          <w:rFonts w:ascii="Times New Roman" w:hAnsi="Times New Roman" w:cs="Times New Roman" w:eastAsiaTheme="majorEastAsia"/>
          <w:sz w:val="24"/>
          <w:szCs w:val="24"/>
        </w:rPr>
      </w:pPr>
      <w:r>
        <w:rPr>
          <w:rFonts w:ascii="Times New Roman" w:hAnsi="Times New Roman" w:cs="Times New Roman" w:eastAsiaTheme="majorEastAsia"/>
          <w:sz w:val="24"/>
          <w:szCs w:val="24"/>
        </w:rPr>
        <w:t>由于中国信息披露制度起步较晚，环境信息披露对资本市场作用的理论机制并未得出清晰一致的结论，其作用路径还有待探索。</w:t>
      </w:r>
    </w:p>
    <w:p>
      <w:bookmarkStart w:id="58" w:name="_Toc104216152"/>
      <w:bookmarkStart w:id="59" w:name="_Toc104210860"/>
      <w:r>
        <w:rPr>
          <w:rFonts w:hint="eastAsia"/>
        </w:rPr>
        <w:br w:type="page"/>
      </w:r>
    </w:p>
    <w:p>
      <w:pPr>
        <w:pStyle w:val="2"/>
        <w:spacing w:before="156" w:beforeLines="50" w:after="156" w:afterLines="50" w:line="240" w:lineRule="auto"/>
        <w:ind w:left="0" w:firstLine="0"/>
      </w:pPr>
      <w:bookmarkStart w:id="60" w:name="_Toc104983849"/>
      <w:r>
        <w:rPr>
          <w:rFonts w:hint="eastAsia"/>
        </w:rPr>
        <w:t>假设提出与研究设计</w:t>
      </w:r>
      <w:bookmarkEnd w:id="58"/>
      <w:bookmarkEnd w:id="59"/>
      <w:bookmarkEnd w:id="60"/>
    </w:p>
    <w:p>
      <w:pPr>
        <w:pStyle w:val="4"/>
        <w:spacing w:before="156" w:beforeLines="50" w:after="156" w:afterLines="50" w:line="240" w:lineRule="auto"/>
        <w:ind w:left="567"/>
      </w:pPr>
      <w:bookmarkStart w:id="61" w:name="_Toc104216153"/>
      <w:bookmarkStart w:id="62" w:name="_Toc104210861"/>
      <w:bookmarkStart w:id="63" w:name="_Toc104983850"/>
      <w:r>
        <w:rPr>
          <w:rFonts w:hint="eastAsia"/>
        </w:rPr>
        <w:t>理论基础</w:t>
      </w:r>
      <w:bookmarkEnd w:id="61"/>
      <w:bookmarkEnd w:id="62"/>
      <w:bookmarkEnd w:id="63"/>
    </w:p>
    <w:p>
      <w:pPr>
        <w:pStyle w:val="5"/>
        <w:spacing w:before="0" w:after="0" w:line="480" w:lineRule="auto"/>
      </w:pPr>
      <w:bookmarkStart w:id="64" w:name="_Toc104264345"/>
      <w:bookmarkStart w:id="65" w:name="_Toc104983851"/>
      <w:bookmarkStart w:id="66" w:name="_Toc104264512"/>
      <w:bookmarkStart w:id="67" w:name="_Toc104221223"/>
      <w:bookmarkStart w:id="68" w:name="_Toc104265048"/>
      <w:r>
        <w:t>社会责任投资理论</w:t>
      </w:r>
      <w:bookmarkEnd w:id="64"/>
      <w:bookmarkEnd w:id="65"/>
      <w:bookmarkEnd w:id="66"/>
      <w:bookmarkEnd w:id="67"/>
      <w:bookmarkEnd w:id="68"/>
    </w:p>
    <w:p>
      <w:pPr>
        <w:pStyle w:val="3"/>
        <w:ind w:firstLine="480"/>
      </w:pPr>
      <w:r>
        <w:rPr>
          <w:rFonts w:hint="eastAsia"/>
        </w:rPr>
        <w:t>社会责任投资（SRI）是指投资者在进行投资决策时，不仅关注传统的绩效指标，而且关注企业社会责任的履行情况，是一种考虑了环境保护和公共利益的投资策略。现有研究表明，投资者在投资时如果更多关注于对社会、环境治理的影响，就可以更好地防范声誉、运营、监管等方面的风险（谢云，2018），且通过实证分析发现，社会责任投资会有高于市场的投资回报率（林龙，2017）。</w:t>
      </w:r>
    </w:p>
    <w:p>
      <w:pPr>
        <w:pStyle w:val="5"/>
        <w:spacing w:before="0" w:after="0" w:line="480" w:lineRule="auto"/>
      </w:pPr>
      <w:bookmarkStart w:id="69" w:name="_Toc104221224"/>
      <w:bookmarkStart w:id="70" w:name="_Toc104983852"/>
      <w:bookmarkStart w:id="71" w:name="_Toc104264346"/>
      <w:bookmarkStart w:id="72" w:name="_Toc104264513"/>
      <w:bookmarkStart w:id="73" w:name="_Toc104265049"/>
      <w:r>
        <w:rPr>
          <w:rFonts w:hint="eastAsia"/>
        </w:rPr>
        <w:t>信号传递理论</w:t>
      </w:r>
      <w:bookmarkEnd w:id="69"/>
      <w:bookmarkEnd w:id="70"/>
      <w:bookmarkEnd w:id="71"/>
      <w:bookmarkEnd w:id="72"/>
      <w:bookmarkEnd w:id="73"/>
    </w:p>
    <w:p>
      <w:pPr>
        <w:pStyle w:val="3"/>
        <w:ind w:firstLine="480"/>
      </w:pPr>
      <w:r>
        <w:rPr>
          <w:rFonts w:hint="eastAsia"/>
        </w:rPr>
        <w:t>信号传递理论最早由Spence提出，指的是尽管企业与投资者之间存在信息不对称，但企业的信息披露会向市场释放信号，从而影响投资者的决策。</w:t>
      </w:r>
    </w:p>
    <w:p>
      <w:pPr>
        <w:pStyle w:val="3"/>
        <w:ind w:firstLine="480"/>
      </w:pPr>
      <w:r>
        <w:rPr>
          <w:rFonts w:hint="eastAsia"/>
        </w:rPr>
        <w:t>企业披露负面环境信息向公众传递了消极的信号，侧面反映出企业内部管理的不足或环保意识的缺失。</w:t>
      </w:r>
      <w:r>
        <w:t>Shane</w:t>
      </w:r>
      <w:r>
        <w:rPr>
          <w:rFonts w:hint="eastAsia"/>
        </w:rPr>
        <w:t>和</w:t>
      </w:r>
      <w:r>
        <w:t>Spicer</w:t>
      </w:r>
      <w:r>
        <w:rPr>
          <w:rFonts w:hint="eastAsia"/>
        </w:rPr>
        <w:t>（</w:t>
      </w:r>
      <w:r>
        <w:t>1983</w:t>
      </w:r>
      <w:r>
        <w:rPr>
          <w:rFonts w:hint="eastAsia"/>
        </w:rPr>
        <w:t>）</w:t>
      </w:r>
      <w:r>
        <w:t>认为</w:t>
      </w:r>
      <w:r>
        <w:rPr>
          <w:rFonts w:hint="eastAsia"/>
        </w:rPr>
        <w:t>负面</w:t>
      </w:r>
      <w:r>
        <w:t>环境信息的披露会</w:t>
      </w:r>
      <w:r>
        <w:rPr>
          <w:rFonts w:hint="eastAsia"/>
        </w:rPr>
        <w:t>降低</w:t>
      </w:r>
      <w:r>
        <w:t>投资者对于</w:t>
      </w:r>
      <w:r>
        <w:rPr>
          <w:rFonts w:hint="eastAsia"/>
        </w:rPr>
        <w:t>企业</w:t>
      </w:r>
      <w:r>
        <w:t>未来现金流的预期。Buysse</w:t>
      </w:r>
      <w:r>
        <w:rPr>
          <w:rFonts w:hint="eastAsia"/>
        </w:rPr>
        <w:t>和</w:t>
      </w:r>
      <w:r>
        <w:t>Verbeke（2003）发现，</w:t>
      </w:r>
      <w:r>
        <w:rPr>
          <w:rFonts w:hint="eastAsia"/>
        </w:rPr>
        <w:t>企业进行</w:t>
      </w:r>
      <w:r>
        <w:t>绿色创新</w:t>
      </w:r>
      <w:r>
        <w:rPr>
          <w:rFonts w:hint="eastAsia"/>
        </w:rPr>
        <w:t>的行为</w:t>
      </w:r>
      <w:r>
        <w:t>能够增强</w:t>
      </w:r>
      <w:r>
        <w:rPr>
          <w:rFonts w:hint="eastAsia"/>
        </w:rPr>
        <w:t>投资者</w:t>
      </w:r>
      <w:r>
        <w:t>信心，减少</w:t>
      </w:r>
      <w:r>
        <w:rPr>
          <w:rFonts w:hint="eastAsia"/>
        </w:rPr>
        <w:t>对企业的</w:t>
      </w:r>
      <w:r>
        <w:t>负面预期</w:t>
      </w:r>
      <w:r>
        <w:rPr>
          <w:rFonts w:hint="eastAsia"/>
        </w:rPr>
        <w:t>。</w:t>
      </w:r>
      <w:r>
        <w:t>Xu</w:t>
      </w:r>
      <w:r>
        <w:rPr>
          <w:rFonts w:hint="eastAsia"/>
        </w:rPr>
        <w:t>等人（</w:t>
      </w:r>
      <w:r>
        <w:t>2016</w:t>
      </w:r>
      <w:r>
        <w:rPr>
          <w:rFonts w:hint="eastAsia"/>
        </w:rPr>
        <w:t>）</w:t>
      </w:r>
      <w:r>
        <w:t>发现投资者给予</w:t>
      </w:r>
      <w:r>
        <w:rPr>
          <w:rFonts w:hint="eastAsia"/>
        </w:rPr>
        <w:t>了</w:t>
      </w:r>
      <w:r>
        <w:t>受到环境惩罚的企业更低的估值，而给予实现绿色发展的企业更高的估值</w:t>
      </w:r>
      <w:r>
        <w:rPr>
          <w:rFonts w:hint="eastAsia"/>
        </w:rPr>
        <w:t>，这</w:t>
      </w:r>
      <w:r>
        <w:rPr>
          <w:rFonts w:ascii="宋体" w:hAnsi="宋体" w:cs="宋体"/>
        </w:rPr>
        <w:t>说明</w:t>
      </w:r>
      <w:r>
        <w:rPr>
          <w:rFonts w:hint="eastAsia" w:ascii="宋体" w:hAnsi="宋体" w:cs="宋体"/>
        </w:rPr>
        <w:t>环境</w:t>
      </w:r>
      <w:r>
        <w:rPr>
          <w:rFonts w:ascii="宋体" w:hAnsi="宋体" w:cs="宋体"/>
        </w:rPr>
        <w:t>信息的披露能够向投资者传递企业是否重视绿色发展的信号</w:t>
      </w:r>
      <w:r>
        <w:rPr>
          <w:rFonts w:hint="eastAsia" w:ascii="宋体" w:hAnsi="宋体" w:cs="宋体"/>
        </w:rPr>
        <w:t>。</w:t>
      </w:r>
      <w:r>
        <w:rPr>
          <w:rFonts w:ascii="宋体" w:hAnsi="宋体" w:cs="宋体"/>
        </w:rPr>
        <w:t>理论上</w:t>
      </w:r>
      <w:r>
        <w:rPr>
          <w:rFonts w:hint="eastAsia" w:ascii="宋体" w:hAnsi="宋体" w:cs="宋体"/>
        </w:rPr>
        <w:t>，</w:t>
      </w:r>
      <w:r>
        <w:rPr>
          <w:rFonts w:ascii="宋体" w:hAnsi="宋体" w:cs="宋体"/>
        </w:rPr>
        <w:t>重视环境保护的</w:t>
      </w:r>
      <w:r>
        <w:rPr>
          <w:rFonts w:hint="eastAsia" w:ascii="宋体" w:hAnsi="宋体" w:cs="宋体"/>
        </w:rPr>
        <w:t>理性</w:t>
      </w:r>
      <w:r>
        <w:rPr>
          <w:rFonts w:ascii="宋体" w:hAnsi="宋体" w:cs="宋体"/>
        </w:rPr>
        <w:t>投资者在接收到企业负面环境信息后会降低对企业的估值</w:t>
      </w:r>
      <w:r>
        <w:rPr>
          <w:rFonts w:hint="eastAsia" w:ascii="宋体" w:hAnsi="宋体" w:cs="宋体"/>
        </w:rPr>
        <w:t>。</w:t>
      </w:r>
    </w:p>
    <w:p>
      <w:pPr>
        <w:pStyle w:val="5"/>
        <w:spacing w:before="0" w:after="0" w:line="480" w:lineRule="auto"/>
      </w:pPr>
      <w:bookmarkStart w:id="74" w:name="_Toc104264347"/>
      <w:bookmarkStart w:id="75" w:name="_Toc104264514"/>
      <w:bookmarkStart w:id="76" w:name="_Toc104983853"/>
      <w:bookmarkStart w:id="77" w:name="_Toc104265050"/>
      <w:bookmarkStart w:id="78" w:name="_Toc104221225"/>
      <w:r>
        <w:rPr>
          <w:rFonts w:hint="eastAsia"/>
        </w:rPr>
        <w:t>有效市场假说</w:t>
      </w:r>
      <w:bookmarkEnd w:id="74"/>
      <w:bookmarkEnd w:id="75"/>
      <w:bookmarkEnd w:id="76"/>
      <w:bookmarkEnd w:id="77"/>
      <w:bookmarkEnd w:id="78"/>
    </w:p>
    <w:p>
      <w:pPr>
        <w:pStyle w:val="3"/>
        <w:ind w:firstLine="480"/>
      </w:pPr>
      <w:r>
        <w:rPr>
          <w:rFonts w:hint="eastAsia"/>
        </w:rPr>
        <w:t>有效市场假说由尤金·法玛（1965）提出。该假说认为：只要满足市场有效且所有投资人都是理性的，市场上的信息都能被投资者所吸收和利用，进而做出理性选择并且反映到资产价格中。目前，我国有许多学者的研究都表明中国的资本市场呈现一定程度的弱式有效（张兵等，2003；赵皓东，2016；仇硕，2020）</w:t>
      </w:r>
    </w:p>
    <w:p>
      <w:pPr>
        <w:pStyle w:val="4"/>
        <w:spacing w:before="156" w:beforeLines="50" w:after="156" w:afterLines="50" w:line="240" w:lineRule="auto"/>
        <w:ind w:left="567"/>
      </w:pPr>
      <w:bookmarkStart w:id="79" w:name="_Toc104216154"/>
      <w:bookmarkStart w:id="80" w:name="_Toc104210862"/>
      <w:bookmarkStart w:id="81" w:name="_Toc104983854"/>
      <w:r>
        <w:rPr>
          <w:rFonts w:hint="eastAsia"/>
        </w:rPr>
        <w:t>研究假设</w:t>
      </w:r>
      <w:bookmarkEnd w:id="79"/>
      <w:bookmarkEnd w:id="80"/>
      <w:bookmarkEnd w:id="81"/>
    </w:p>
    <w:p>
      <w:pPr>
        <w:pStyle w:val="5"/>
        <w:spacing w:before="0" w:after="0" w:line="480" w:lineRule="auto"/>
      </w:pPr>
      <w:bookmarkStart w:id="82" w:name="_Toc104264516"/>
      <w:bookmarkStart w:id="83" w:name="_Toc104264349"/>
      <w:bookmarkStart w:id="84" w:name="_Toc104221227"/>
      <w:bookmarkStart w:id="85" w:name="_Toc104983855"/>
      <w:bookmarkStart w:id="86" w:name="_Toc104265052"/>
      <w:r>
        <w:rPr>
          <w:rFonts w:hint="eastAsia"/>
        </w:rPr>
        <w:t>企业负面环境信息披露的市场反应</w:t>
      </w:r>
      <w:bookmarkEnd w:id="82"/>
      <w:bookmarkEnd w:id="83"/>
      <w:bookmarkEnd w:id="84"/>
      <w:bookmarkEnd w:id="85"/>
      <w:bookmarkEnd w:id="86"/>
    </w:p>
    <w:p>
      <w:pPr>
        <w:pStyle w:val="3"/>
        <w:ind w:firstLine="480"/>
      </w:pPr>
      <w:r>
        <w:rPr>
          <w:rFonts w:hint="eastAsia"/>
        </w:rPr>
        <w:t>基于社会责任投资理论、信号传递理论与有效市场假说，我们可以推测，虽然我国资本市场整体为一定程度的弱势有效，但是随着经济的发展，国家对于投资者金融素养的培养会促使投资者减少投机行为，综合衡量各方面信息做出理性投资决策，因此环境信息能够反映到证券的价格中，在上市公司披露负面环境信息时其股票价格应当有所下降。因此</w:t>
      </w:r>
      <w:r>
        <w:t>提出第一个假设：</w:t>
      </w:r>
    </w:p>
    <w:p>
      <w:pPr>
        <w:pStyle w:val="3"/>
        <w:ind w:firstLine="480"/>
        <w:rPr>
          <w:b/>
        </w:rPr>
      </w:pPr>
      <w:r>
        <w:rPr>
          <w:bCs/>
        </w:rPr>
        <w:t>假设1：</w:t>
      </w:r>
      <w:r>
        <w:rPr>
          <w:rFonts w:hint="eastAsia"/>
        </w:rPr>
        <w:t>重污染企业进行负面环境</w:t>
      </w:r>
      <w:r>
        <w:t>信息披露</w:t>
      </w:r>
      <w:r>
        <w:rPr>
          <w:rFonts w:hint="eastAsia"/>
        </w:rPr>
        <w:t>后，</w:t>
      </w:r>
      <w:r>
        <w:t>股票市场会</w:t>
      </w:r>
      <w:r>
        <w:rPr>
          <w:rFonts w:hint="eastAsia"/>
        </w:rPr>
        <w:t>作出</w:t>
      </w:r>
      <w:r>
        <w:t>负面反应</w:t>
      </w:r>
      <w:r>
        <w:rPr>
          <w:rFonts w:hint="eastAsia"/>
        </w:rPr>
        <w:t>。</w:t>
      </w:r>
    </w:p>
    <w:p>
      <w:pPr>
        <w:pStyle w:val="5"/>
        <w:spacing w:before="0" w:after="0" w:line="480" w:lineRule="auto"/>
      </w:pPr>
      <w:bookmarkStart w:id="87" w:name="_Toc104264517"/>
      <w:bookmarkStart w:id="88" w:name="_Toc104221228"/>
      <w:bookmarkStart w:id="89" w:name="_Toc104983856"/>
      <w:bookmarkStart w:id="90" w:name="_Toc104264350"/>
      <w:bookmarkStart w:id="91" w:name="_Toc104265053"/>
      <w:r>
        <w:rPr>
          <w:rFonts w:hint="eastAsia"/>
        </w:rPr>
        <w:t>企业负面环境信息披露对公司价值的作用机制检验</w:t>
      </w:r>
      <w:bookmarkEnd w:id="87"/>
      <w:bookmarkEnd w:id="88"/>
      <w:bookmarkEnd w:id="89"/>
      <w:bookmarkEnd w:id="90"/>
      <w:bookmarkEnd w:id="91"/>
    </w:p>
    <w:p>
      <w:pPr>
        <w:spacing w:line="360" w:lineRule="auto"/>
        <w:ind w:firstLine="480" w:firstLineChars="200"/>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现有文献中，国内外学者对企业承担社会责任与企业风险之间的研究主要建立在利益相关者、信息不对称以及风险管理理论之上。从利益相关者角度考虑，重污染企业披露的负面环境信息会降低企业的合法性；从信息不对称角度考虑，披露负面环境信息减少信息传递的不对称性，从道德资本层面降低企业声誉；从风险管理理论考虑，承担社会责任能提高企业声誉，起到“保险效应”以减少企业其他负面事件带来的损失，企业进行负面的环境信息披露则会降低企业声誉，加剧其他负面事件带来的损失。</w:t>
      </w:r>
      <w:r>
        <w:rPr>
          <w:rFonts w:hint="eastAsia" w:ascii="Times New Roman" w:hAnsi="Times New Roman" w:cs="Times New Roman" w:eastAsiaTheme="majorEastAsia"/>
          <w:bCs/>
          <w:sz w:val="24"/>
          <w:szCs w:val="24"/>
        </w:rPr>
        <w:t>相较于其他行业，重污染行业的环保支出相对更高，在披露了负面环境信息后, 投资者可能会怀疑公司未来应付资金需求的能力，从而降低对企业的估值。</w:t>
      </w:r>
      <w:r>
        <w:rPr>
          <w:rFonts w:ascii="Times New Roman" w:hAnsi="Times New Roman" w:cs="Times New Roman" w:eastAsiaTheme="majorEastAsia"/>
          <w:bCs/>
          <w:sz w:val="24"/>
          <w:szCs w:val="24"/>
        </w:rPr>
        <w:t>吴文洋（2022）探讨了社会责任与财务风险之间的关系，发现企业积极履行社会责任有助于降低财务风险，据此我们可以推测，企业进行负面环境信息披露会提升企业的财务风险。</w:t>
      </w:r>
    </w:p>
    <w:p>
      <w:pPr>
        <w:spacing w:line="360" w:lineRule="auto"/>
        <w:ind w:firstLine="480" w:firstLineChars="200"/>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回顾前人的研究成果，吴鹏（2015）研究发现，内部控制通过影响财务风险间接影响企业价值。乔海燕（2021）指出，财务风险控制有利于企业进行价值创造。陈影（2022）的研究指出，信贷配置不合理会导致企业的财务风险上升，从而影响企业价值。</w:t>
      </w:r>
      <w:r>
        <w:rPr>
          <w:rFonts w:hint="eastAsia" w:ascii="Times New Roman" w:hAnsi="Times New Roman" w:cs="Times New Roman"/>
          <w:bCs/>
          <w:sz w:val="24"/>
          <w:szCs w:val="24"/>
        </w:rPr>
        <w:t>王琳璘等（2022）的研究发现，ESG评级会通过影响企业的财务风险来影响企业价值。</w:t>
      </w:r>
      <w:r>
        <w:rPr>
          <w:rFonts w:ascii="Times New Roman" w:hAnsi="Times New Roman" w:cs="Times New Roman" w:eastAsiaTheme="majorEastAsia"/>
          <w:bCs/>
          <w:sz w:val="24"/>
          <w:szCs w:val="24"/>
        </w:rPr>
        <w:t>这些文献均对财务风险与企业价值的关系进行了论述，也说明财务风险的大小确实会影响企业价值。从估值角度看，企业披露负面环境信息后，企业财务风险上升，会提高投资者对企业未来现金流的贴现率，从而影响企业价值。因此我们可以提出</w:t>
      </w:r>
      <w:r>
        <w:rPr>
          <w:rFonts w:hint="eastAsia" w:ascii="Times New Roman" w:hAnsi="Times New Roman" w:cs="Times New Roman" w:eastAsiaTheme="majorEastAsia"/>
          <w:bCs/>
          <w:sz w:val="24"/>
          <w:szCs w:val="24"/>
        </w:rPr>
        <w:t>假设2。</w:t>
      </w:r>
    </w:p>
    <w:p>
      <w:pPr>
        <w:spacing w:line="360" w:lineRule="auto"/>
        <w:ind w:firstLine="480" w:firstLineChars="200"/>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假设2：企业负面环境信息披露通过增加企业财务风险来影响企业价值。</w:t>
      </w:r>
    </w:p>
    <w:p>
      <w:pPr>
        <w:pStyle w:val="4"/>
        <w:spacing w:before="156" w:beforeLines="50" w:after="156" w:afterLines="50" w:line="240" w:lineRule="auto"/>
        <w:ind w:left="567"/>
      </w:pPr>
      <w:bookmarkStart w:id="92" w:name="_Toc104216155"/>
      <w:bookmarkStart w:id="93" w:name="_Toc104210863"/>
      <w:bookmarkStart w:id="94" w:name="_Toc104983857"/>
      <w:r>
        <w:rPr>
          <w:rFonts w:hint="eastAsia"/>
        </w:rPr>
        <w:t>研究设计</w:t>
      </w:r>
      <w:bookmarkEnd w:id="92"/>
      <w:bookmarkEnd w:id="93"/>
      <w:bookmarkEnd w:id="94"/>
    </w:p>
    <w:p>
      <w:pPr>
        <w:pStyle w:val="5"/>
        <w:spacing w:before="0" w:after="0" w:line="480" w:lineRule="auto"/>
      </w:pPr>
      <w:bookmarkStart w:id="95" w:name="_Toc104264352"/>
      <w:bookmarkStart w:id="96" w:name="_Toc104221230"/>
      <w:bookmarkStart w:id="97" w:name="_Toc104264519"/>
      <w:bookmarkStart w:id="98" w:name="_Toc104265055"/>
      <w:bookmarkStart w:id="99" w:name="_Toc104983858"/>
      <w:r>
        <w:rPr>
          <w:rFonts w:hint="eastAsia"/>
        </w:rPr>
        <w:t>样本选取与数据来源</w:t>
      </w:r>
      <w:bookmarkEnd w:id="95"/>
      <w:bookmarkEnd w:id="96"/>
      <w:bookmarkEnd w:id="97"/>
      <w:bookmarkEnd w:id="98"/>
      <w:bookmarkEnd w:id="99"/>
    </w:p>
    <w:p>
      <w:pPr>
        <w:pStyle w:val="3"/>
        <w:ind w:firstLine="480"/>
      </w:pPr>
      <w:r>
        <w:rPr>
          <w:rFonts w:hint="eastAsia"/>
        </w:rPr>
        <w:t>本研究选取重污染企业在2014至2021年间单独披露的负面环境信息作为样本事件。其中，关于重污染行业的界定来源于《上市公司环境信息披露指南》；负面环境信息披露的事件信息则是通过“环境”、“环保部门行政处罚”、“行政处罚”、“污染环境案”、“污染环境罪”、“停产整改”等关键词在国泰安数据库中检索筛选出企业包含了负面环境信息的临时环境信息披露公告。</w:t>
      </w:r>
    </w:p>
    <w:p>
      <w:pPr>
        <w:pStyle w:val="3"/>
        <w:ind w:firstLine="480"/>
      </w:pPr>
      <w:r>
        <w:rPr>
          <w:rFonts w:hint="eastAsia"/>
        </w:rPr>
        <w:t>按照惯例，我们对初始样本进行了如下筛选：（1）剔除事件发生前后五年内被ST的企业；（2）针对一年内有多次负面环境信息披露行为的企业，仅保留第一次的数据；共130个样本。</w:t>
      </w:r>
    </w:p>
    <w:p>
      <w:pPr>
        <w:pStyle w:val="3"/>
        <w:ind w:firstLine="480"/>
      </w:pPr>
      <w:r>
        <w:rPr>
          <w:rFonts w:hint="eastAsia"/>
        </w:rPr>
        <w:t>CSMAR（国泰安）数据库是本文样本财务数据的主要来源。此外，本文在1%和99%分位处对连续变量做了缩尾处理以避免极端值干扰研究结论。</w:t>
      </w:r>
    </w:p>
    <w:p>
      <w:pPr>
        <w:pStyle w:val="5"/>
        <w:spacing w:before="0" w:after="0" w:line="480" w:lineRule="auto"/>
      </w:pPr>
      <w:bookmarkStart w:id="100" w:name="_Toc104264520"/>
      <w:bookmarkStart w:id="101" w:name="_Toc104264353"/>
      <w:bookmarkStart w:id="102" w:name="_Toc104265056"/>
      <w:bookmarkStart w:id="103" w:name="_Toc104221231"/>
      <w:bookmarkStart w:id="104" w:name="_Toc104983859"/>
      <w:r>
        <w:rPr>
          <w:rFonts w:hint="eastAsia"/>
        </w:rPr>
        <w:t>模型设定与变量选取</w:t>
      </w:r>
      <w:bookmarkEnd w:id="100"/>
      <w:bookmarkEnd w:id="101"/>
      <w:bookmarkEnd w:id="102"/>
      <w:bookmarkEnd w:id="103"/>
      <w:bookmarkEnd w:id="104"/>
    </w:p>
    <w:p>
      <w:pPr>
        <w:spacing w:line="360" w:lineRule="auto"/>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（1）重污染企业负面环境信息披露的市场反应</w:t>
      </w:r>
    </w:p>
    <w:p>
      <w:pPr>
        <w:spacing w:line="360" w:lineRule="auto"/>
        <w:ind w:firstLine="480" w:firstLineChars="200"/>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1）重污染企业负面环境信息披露的短期市场反应</w:t>
      </w:r>
    </w:p>
    <w:p>
      <w:pPr>
        <w:spacing w:line="360" w:lineRule="auto"/>
        <w:ind w:firstLine="480" w:firstLineChars="200"/>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采用市场模型来估计股票的预期正常收益率，具体估计模型如式（3-1）</w:t>
      </w:r>
      <w:r>
        <w:rPr>
          <w:rFonts w:hint="eastAsia" w:ascii="Times New Roman" w:hAnsi="Times New Roman" w:cs="Times New Roman" w:eastAsiaTheme="majorEastAsia"/>
          <w:bCs/>
          <w:sz w:val="24"/>
          <w:szCs w:val="24"/>
        </w:rPr>
        <w:t>所示</w:t>
      </w:r>
      <w:r>
        <w:rPr>
          <w:rFonts w:ascii="Times New Roman" w:hAnsi="Times New Roman" w:cs="Times New Roman" w:eastAsiaTheme="majorEastAsia"/>
          <w:bCs/>
          <w:sz w:val="24"/>
          <w:szCs w:val="24"/>
        </w:rPr>
        <w:t>。</w:t>
      </w:r>
    </w:p>
    <w:p>
      <w:pPr>
        <w:pStyle w:val="47"/>
        <w:ind w:firstLine="480" w:firstLineChars="200"/>
      </w:pPr>
      <w:r>
        <w:tab/>
      </w:r>
      <w:r>
        <w:rPr>
          <w:position w:val="-12"/>
        </w:rPr>
        <w:object>
          <v:shape id="_x0000_i1026" o:spt="75" type="#_x0000_t75" style="height:18.3pt;width:94.45pt;" o:ole="t" filled="f" o:preferrelative="t" stroked="f" coordsize="21600,21600">
            <v:path/>
            <v:fill on="f" focussize="0,0"/>
            <v:stroke on="f" joinstyle="miter"/>
            <v:imagedata r:id="rId24" o:title=""/>
            <o:lock v:ext="edit" aspectratio="t"/>
            <w10:wrap type="none"/>
            <w10:anchorlock/>
          </v:shape>
          <o:OLEObject Type="Embed" ProgID="Equation.DSMT4" ShapeID="_x0000_i1026" DrawAspect="Content" ObjectID="_1468075726" r:id="rId2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r>
        <w:fldChar w:fldCharType="end"/>
      </w:r>
    </w:p>
    <w:p>
      <w:pPr>
        <w:pStyle w:val="47"/>
        <w:ind w:firstLine="480" w:firstLineChars="200"/>
      </w:pPr>
      <w:r>
        <w:tab/>
      </w:r>
      <w:r>
        <w:rPr>
          <w:position w:val="-14"/>
        </w:rPr>
        <w:object>
          <v:shape id="_x0000_i1027" o:spt="75" type="#_x0000_t75" style="height:20.8pt;width:94.45pt;" o:ole="t" filled="f" o:preferrelative="t" stroked="f" coordsize="21600,21600">
            <v:path/>
            <v:fill on="f" focussize="0,0"/>
            <v:stroke on="f" joinstyle="miter"/>
            <v:imagedata r:id="rId26" o:title=""/>
            <o:lock v:ext="edit" aspectratio="t"/>
            <w10:wrap type="none"/>
            <w10:anchorlock/>
          </v:shape>
          <o:OLEObject Type="Embed" ProgID="Equation.DSMT4" ShapeID="_x0000_i1027" DrawAspect="Content" ObjectID="_1468075727" r:id="rId2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r>
        <w:fldChar w:fldCharType="end"/>
      </w:r>
    </w:p>
    <w:p>
      <w:pPr>
        <w:spacing w:line="360" w:lineRule="auto"/>
        <w:ind w:firstLine="480" w:firstLineChars="200"/>
        <w:rPr>
          <w:rFonts w:ascii="Times New Roman" w:hAnsi="Times New Roman" w:cs="Times New Roman"/>
          <w:bCs/>
          <w:sz w:val="24"/>
          <w:szCs w:val="24"/>
        </w:rPr>
      </w:pPr>
      <w:r>
        <w:rPr>
          <w:rFonts w:ascii="Times New Roman" w:hAnsi="Times New Roman" w:cs="Times New Roman"/>
          <w:bCs/>
          <w:sz w:val="24"/>
          <w:szCs w:val="24"/>
        </w:rPr>
        <w:t>其中</w:t>
      </w:r>
      <w:r>
        <w:rPr>
          <w:rFonts w:ascii="Times New Roman" w:hAnsi="Times New Roman" w:cs="Times New Roman"/>
          <w:bCs/>
          <w:position w:val="-12"/>
          <w:sz w:val="24"/>
          <w:szCs w:val="24"/>
        </w:rPr>
        <w:object>
          <v:shape id="_x0000_i1028" o:spt="75" type="#_x0000_t75" style="height:18.3pt;width:15pt;" o:ole="t" filled="f" o:preferrelative="t" stroked="f" coordsize="21600,21600">
            <v:path/>
            <v:fill on="f" focussize="0,0"/>
            <v:stroke on="f" joinstyle="miter"/>
            <v:imagedata r:id="rId28" o:title=""/>
            <o:lock v:ext="edit" aspectratio="t"/>
            <w10:wrap type="none"/>
            <w10:anchorlock/>
          </v:shape>
          <o:OLEObject Type="Embed" ProgID="Equation.DSMT4" ShapeID="_x0000_i1028" DrawAspect="Content" ObjectID="_1468075728" r:id="rId27">
            <o:LockedField>false</o:LockedField>
          </o:OLEObject>
        </w:object>
      </w:r>
      <w:r>
        <w:rPr>
          <w:rFonts w:ascii="Times New Roman" w:hAnsi="Times New Roman" w:cs="Times New Roman"/>
          <w:bCs/>
          <w:sz w:val="24"/>
          <w:szCs w:val="24"/>
        </w:rPr>
        <w:t>表示样本股票i在t日的报酬率，</w:t>
      </w:r>
      <w:r>
        <w:rPr>
          <w:rFonts w:ascii="Times New Roman" w:hAnsi="Times New Roman" w:cs="Times New Roman"/>
          <w:bCs/>
          <w:position w:val="-12"/>
          <w:sz w:val="24"/>
          <w:szCs w:val="24"/>
        </w:rPr>
        <w:object>
          <v:shape id="_x0000_i1029" o:spt="75" type="#_x0000_t75" style="height:18.3pt;width:12.05pt;" o:ole="t" filled="f" o:preferrelative="t" stroked="f" coordsize="21600,21600">
            <v:path/>
            <v:fill on="f" focussize="0,0"/>
            <v:stroke on="f" joinstyle="miter"/>
            <v:imagedata r:id="rId30" o:title=""/>
            <o:lock v:ext="edit" aspectratio="t"/>
            <w10:wrap type="none"/>
            <w10:anchorlock/>
          </v:shape>
          <o:OLEObject Type="Embed" ProgID="Equation.DSMT4" ShapeID="_x0000_i1029" DrawAspect="Content" ObjectID="_1468075729" r:id="rId29">
            <o:LockedField>false</o:LockedField>
          </o:OLEObject>
        </w:object>
      </w:r>
      <w:r>
        <w:rPr>
          <w:rFonts w:ascii="Times New Roman" w:hAnsi="Times New Roman" w:cs="Times New Roman"/>
          <w:bCs/>
          <w:sz w:val="24"/>
          <w:szCs w:val="24"/>
        </w:rPr>
        <w:t>表示白噪声。以事件发生前的1</w:t>
      </w:r>
      <w:r>
        <w:rPr>
          <w:rFonts w:hint="eastAsia" w:ascii="Times New Roman" w:hAnsi="Times New Roman" w:cs="Times New Roman"/>
          <w:bCs/>
          <w:sz w:val="24"/>
          <w:szCs w:val="24"/>
        </w:rPr>
        <w:t>1</w:t>
      </w:r>
      <w:r>
        <w:rPr>
          <w:rFonts w:ascii="Times New Roman" w:hAnsi="Times New Roman" w:cs="Times New Roman"/>
          <w:bCs/>
          <w:sz w:val="24"/>
          <w:szCs w:val="24"/>
        </w:rPr>
        <w:t>0天到</w:t>
      </w:r>
      <w:r>
        <w:rPr>
          <w:rFonts w:hint="eastAsia" w:ascii="Times New Roman" w:hAnsi="Times New Roman" w:cs="Times New Roman"/>
          <w:bCs/>
          <w:sz w:val="24"/>
          <w:szCs w:val="24"/>
        </w:rPr>
        <w:t>1</w:t>
      </w:r>
      <w:r>
        <w:rPr>
          <w:rFonts w:ascii="Times New Roman" w:hAnsi="Times New Roman" w:cs="Times New Roman"/>
          <w:bCs/>
          <w:sz w:val="24"/>
          <w:szCs w:val="24"/>
        </w:rPr>
        <w:t>0天的数据作为估计窗，选取沪深300指数作为市场组合，利用回归（3-2）得到的</w:t>
      </w:r>
      <w:r>
        <w:rPr>
          <w:rFonts w:ascii="Times New Roman" w:hAnsi="Times New Roman" w:cs="Times New Roman"/>
          <w:bCs/>
          <w:position w:val="-6"/>
          <w:sz w:val="24"/>
          <w:szCs w:val="24"/>
        </w:rPr>
        <w:object>
          <v:shape id="_x0000_i1030" o:spt="75" type="#_x0000_t75" style="height:10.8pt;width:12.05pt;" o:ole="t" filled="f" o:preferrelative="t" stroked="f" coordsize="21600,21600">
            <v:path/>
            <v:fill on="f" focussize="0,0"/>
            <v:stroke on="f" joinstyle="miter"/>
            <v:imagedata r:id="rId32" o:title=""/>
            <o:lock v:ext="edit" aspectratio="t"/>
            <w10:wrap type="none"/>
            <w10:anchorlock/>
          </v:shape>
          <o:OLEObject Type="Embed" ProgID="Equation.DSMT4" ShapeID="_x0000_i1030" DrawAspect="Content" ObjectID="_1468075730" r:id="rId31">
            <o:LockedField>false</o:LockedField>
          </o:OLEObject>
        </w:object>
      </w:r>
      <w:r>
        <w:rPr>
          <w:rFonts w:ascii="Times New Roman" w:hAnsi="Times New Roman" w:cs="Times New Roman"/>
          <w:bCs/>
          <w:sz w:val="24"/>
          <w:szCs w:val="24"/>
        </w:rPr>
        <w:t>和</w:t>
      </w:r>
      <w:r>
        <w:rPr>
          <w:rFonts w:ascii="Times New Roman" w:hAnsi="Times New Roman" w:cs="Times New Roman"/>
          <w:bCs/>
          <w:position w:val="-10"/>
          <w:sz w:val="24"/>
          <w:szCs w:val="24"/>
        </w:rPr>
        <w:object>
          <v:shape id="_x0000_i1031" o:spt="75" type="#_x0000_t75" style="height:16.25pt;width:12.05pt;" o:ole="t" filled="f" o:preferrelative="t" stroked="f" coordsize="21600,21600">
            <v:path/>
            <v:fill on="f" focussize="0,0"/>
            <v:stroke on="f" joinstyle="miter"/>
            <v:imagedata r:id="rId34" o:title=""/>
            <o:lock v:ext="edit" aspectratio="t"/>
            <w10:wrap type="none"/>
            <w10:anchorlock/>
          </v:shape>
          <o:OLEObject Type="Embed" ProgID="Equation.DSMT4" ShapeID="_x0000_i1031" DrawAspect="Content" ObjectID="_1468075731" r:id="rId33">
            <o:LockedField>false</o:LockedField>
          </o:OLEObject>
        </w:object>
      </w:r>
      <w:r>
        <w:rPr>
          <w:rFonts w:ascii="Times New Roman" w:hAnsi="Times New Roman" w:cs="Times New Roman"/>
          <w:bCs/>
          <w:sz w:val="24"/>
          <w:szCs w:val="24"/>
        </w:rPr>
        <w:t>值计算股票i在t日的预期正常报酬率</w:t>
      </w:r>
      <w:r>
        <w:rPr>
          <w:rFonts w:ascii="Times New Roman" w:hAnsi="Times New Roman" w:cs="Times New Roman"/>
          <w:bCs/>
          <w:position w:val="-12"/>
          <w:sz w:val="24"/>
          <w:szCs w:val="24"/>
        </w:rPr>
        <w:object>
          <v:shape id="_x0000_i1032" o:spt="75" type="#_x0000_t75" style="height:18.3pt;width:33.3pt;" o:ole="t" filled="f" o:preferrelative="t" stroked="f" coordsize="21600,21600">
            <v:path/>
            <v:fill on="f" focussize="0,0"/>
            <v:stroke on="f" joinstyle="miter"/>
            <v:imagedata r:id="rId36" o:title=""/>
            <o:lock v:ext="edit" aspectratio="t"/>
            <w10:wrap type="none"/>
            <w10:anchorlock/>
          </v:shape>
          <o:OLEObject Type="Embed" ProgID="Equation.DSMT4" ShapeID="_x0000_i1032" DrawAspect="Content" ObjectID="_1468075732" r:id="rId35">
            <o:LockedField>false</o:LockedField>
          </o:OLEObject>
        </w:object>
      </w:r>
      <w:r>
        <w:rPr>
          <w:rFonts w:ascii="Times New Roman" w:hAnsi="Times New Roman" w:cs="Times New Roman"/>
          <w:bCs/>
          <w:sz w:val="24"/>
          <w:szCs w:val="24"/>
        </w:rPr>
        <w:t>，进一步求出股票i在t日的异常报酬率</w:t>
      </w:r>
      <w:r>
        <w:rPr>
          <w:rFonts w:ascii="Times New Roman" w:hAnsi="Times New Roman" w:cs="Times New Roman"/>
          <w:bCs/>
          <w:position w:val="-12"/>
          <w:sz w:val="24"/>
          <w:szCs w:val="24"/>
        </w:rPr>
        <w:object>
          <v:shape id="_x0000_i1033" o:spt="75" type="#_x0000_t75" style="height:18.3pt;width:23.3pt;" o:ole="t" filled="f" o:preferrelative="t" stroked="f" coordsize="21600,21600">
            <v:path/>
            <v:fill on="f" focussize="0,0"/>
            <v:stroke on="f" joinstyle="miter"/>
            <v:imagedata r:id="rId38" o:title=""/>
            <o:lock v:ext="edit" aspectratio="t"/>
            <w10:wrap type="none"/>
            <w10:anchorlock/>
          </v:shape>
          <o:OLEObject Type="Embed" ProgID="Equation.DSMT4" ShapeID="_x0000_i1033" DrawAspect="Content" ObjectID="_1468075733" r:id="rId37">
            <o:LockedField>false</o:LockedField>
          </o:OLEObject>
        </w:object>
      </w:r>
      <w:r>
        <w:rPr>
          <w:rFonts w:hint="eastAsia" w:ascii="Times New Roman" w:hAnsi="Times New Roman" w:cs="Times New Roman"/>
          <w:bCs/>
          <w:sz w:val="24"/>
          <w:szCs w:val="24"/>
        </w:rPr>
        <w:t>，计算公式如式（3-3）所示。</w:t>
      </w:r>
    </w:p>
    <w:p>
      <w:pPr>
        <w:pStyle w:val="47"/>
        <w:ind w:firstLine="0"/>
      </w:pPr>
      <w:r>
        <w:tab/>
      </w:r>
      <w:r>
        <w:rPr>
          <w:position w:val="-14"/>
        </w:rPr>
        <w:object>
          <v:shape id="_x0000_i1034" o:spt="75" type="#_x0000_t75" style="height:19.55pt;width:91.15pt;" o:ole="t" filled="f" o:preferrelative="t" stroked="f" coordsize="21600,21600">
            <v:path/>
            <v:fill on="f" focussize="0,0"/>
            <v:stroke on="f" joinstyle="miter"/>
            <v:imagedata r:id="rId40" o:title=""/>
            <o:lock v:ext="edit" aspectratio="t"/>
            <w10:wrap type="none"/>
            <w10:anchorlock/>
          </v:shape>
          <o:OLEObject Type="Embed" ProgID="Equation.DSMT4" ShapeID="_x0000_i1034" DrawAspect="Content" ObjectID="_1468075734" r:id="rId3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r>
        <w:fldChar w:fldCharType="end"/>
      </w:r>
    </w:p>
    <w:p>
      <w:pPr>
        <w:widowControl/>
        <w:ind w:firstLine="480" w:firstLineChars="200"/>
        <w:jc w:val="left"/>
        <w:rPr>
          <w:rFonts w:ascii="Times New Roman" w:hAnsi="Times New Roman" w:cs="Times New Roman"/>
          <w:bCs/>
          <w:sz w:val="24"/>
          <w:szCs w:val="24"/>
        </w:rPr>
      </w:pPr>
      <w:r>
        <w:rPr>
          <w:rFonts w:ascii="Times New Roman" w:hAnsi="Times New Roman" w:cs="Times New Roman"/>
          <w:bCs/>
          <w:sz w:val="24"/>
          <w:szCs w:val="24"/>
        </w:rPr>
        <w:t>对n只样本股票累计异常报酬率取平均得到t日的平均异常报酬率</w:t>
      </w:r>
      <w:r>
        <w:rPr>
          <w:rFonts w:ascii="Times New Roman" w:hAnsi="Times New Roman" w:cs="Times New Roman"/>
          <w:bCs/>
          <w:position w:val="-12"/>
          <w:sz w:val="24"/>
          <w:szCs w:val="24"/>
        </w:rPr>
        <w:object>
          <v:shape id="_x0000_i1035" o:spt="75" type="#_x0000_t75" style="height:18.3pt;width:21.25pt;" o:ole="t" filled="f" o:preferrelative="t" stroked="f" coordsize="21600,21600">
            <v:path/>
            <v:fill on="f" focussize="0,0"/>
            <v:stroke on="f" joinstyle="miter"/>
            <v:imagedata r:id="rId42" o:title=""/>
            <o:lock v:ext="edit" aspectratio="t"/>
            <w10:wrap type="none"/>
            <w10:anchorlock/>
          </v:shape>
          <o:OLEObject Type="Embed" ProgID="Equation.DSMT4" ShapeID="_x0000_i1035" DrawAspect="Content" ObjectID="_1468075735" r:id="rId41">
            <o:LockedField>false</o:LockedField>
          </o:OLEObject>
        </w:object>
      </w:r>
      <w:r>
        <w:rPr>
          <w:rFonts w:hint="eastAsia" w:ascii="Times New Roman" w:hAnsi="Times New Roman" w:cs="Times New Roman"/>
          <w:bCs/>
          <w:sz w:val="24"/>
          <w:szCs w:val="24"/>
        </w:rPr>
        <w:t>，过程如式（3-4）所示。</w:t>
      </w:r>
    </w:p>
    <w:p>
      <w:pPr>
        <w:pStyle w:val="47"/>
        <w:ind w:firstLine="0"/>
      </w:pPr>
      <w:r>
        <w:tab/>
      </w:r>
      <w:r>
        <w:rPr>
          <w:position w:val="-28"/>
        </w:rPr>
        <w:object>
          <v:shape id="_x0000_i1036" o:spt="75" type="#_x0000_t75" style="height:34.15pt;width:76.6pt;" o:ole="t" filled="f" o:preferrelative="t" stroked="f" coordsize="21600,21600">
            <v:path/>
            <v:fill on="f" focussize="0,0"/>
            <v:stroke on="f" joinstyle="miter"/>
            <v:imagedata r:id="rId44" o:title=""/>
            <o:lock v:ext="edit" aspectratio="t"/>
            <w10:wrap type="none"/>
            <w10:anchorlock/>
          </v:shape>
          <o:OLEObject Type="Embed" ProgID="Equation.DSMT4" ShapeID="_x0000_i1036" DrawAspect="Content" ObjectID="_1468075736" r:id="rId4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r>
        <w:fldChar w:fldCharType="end"/>
      </w:r>
    </w:p>
    <w:p>
      <w:pPr>
        <w:pStyle w:val="47"/>
        <w:tabs>
          <w:tab w:val="left" w:pos="4715"/>
        </w:tabs>
        <w:ind w:firstLine="480" w:firstLineChars="200"/>
      </w:pPr>
      <w:r>
        <w:t>对个股日异常报酬率在事件窗口期内加总得到个股i的累计异常报酬率</w:t>
      </w:r>
      <w:r>
        <w:rPr>
          <w:position w:val="-14"/>
        </w:rPr>
        <w:object>
          <v:shape id="_x0000_i1037" o:spt="75" type="#_x0000_t75" style="height:19.55pt;width:58.7pt;" o:ole="t" filled="f" o:preferrelative="t" stroked="f" coordsize="21600,21600">
            <v:path/>
            <v:fill on="f" focussize="0,0"/>
            <v:stroke on="f" joinstyle="miter"/>
            <v:imagedata r:id="rId46" o:title=""/>
            <o:lock v:ext="edit" aspectratio="t"/>
            <w10:wrap type="none"/>
            <w10:anchorlock/>
          </v:shape>
          <o:OLEObject Type="Embed" ProgID="Equation.DSMT4" ShapeID="_x0000_i1037" DrawAspect="Content" ObjectID="_1468075737" r:id="rId45">
            <o:LockedField>false</o:LockedField>
          </o:OLEObject>
        </w:object>
      </w:r>
      <w:r>
        <w:rPr>
          <w:rFonts w:hint="eastAsia"/>
        </w:rPr>
        <w:t>，</w:t>
      </w:r>
      <w:r>
        <w:t>计算公式如</w:t>
      </w:r>
      <w:r>
        <w:rPr>
          <w:rFonts w:hint="eastAsia"/>
        </w:rPr>
        <w:t>式（3-5）所示。</w:t>
      </w:r>
    </w:p>
    <w:p>
      <w:pPr>
        <w:pStyle w:val="47"/>
        <w:ind w:firstLine="480" w:firstLineChars="200"/>
      </w:pPr>
      <w:r>
        <w:tab/>
      </w:r>
      <w:r>
        <w:rPr>
          <w:position w:val="-32"/>
        </w:rPr>
        <w:object>
          <v:shape id="_x0000_i1038" o:spt="75" type="#_x0000_t75" style="height:36.6pt;width:104.05pt;" o:ole="t" filled="f" o:preferrelative="t" stroked="f" coordsize="21600,21600">
            <v:path/>
            <v:fill on="f" focussize="0,0"/>
            <v:stroke on="f" joinstyle="miter"/>
            <v:imagedata r:id="rId48" o:title=""/>
            <o:lock v:ext="edit" aspectratio="t"/>
            <w10:wrap type="none"/>
            <w10:anchorlock/>
          </v:shape>
          <o:OLEObject Type="Embed" ProgID="Equation.DSMT4" ShapeID="_x0000_i1038" DrawAspect="Content" ObjectID="_1468075738" r:id="rId4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r>
        <w:fldChar w:fldCharType="end"/>
      </w:r>
    </w:p>
    <w:p>
      <w:pPr>
        <w:pStyle w:val="47"/>
        <w:tabs>
          <w:tab w:val="left" w:pos="4715"/>
        </w:tabs>
        <w:ind w:firstLine="480" w:firstLineChars="200"/>
      </w:pPr>
      <w:r>
        <w:rPr>
          <w:position w:val="-4"/>
        </w:rPr>
        <w:object>
          <v:shape id="_x0000_i1039" o:spt="75" type="#_x0000_t75" style="height:14.55pt;width:9.15pt;" o:ole="t" filled="f" o:preferrelative="t" stroked="f" coordsize="21600,21600">
            <v:path/>
            <v:fill on="f" focussize="0,0"/>
            <v:stroke on="f" joinstyle="miter"/>
            <v:imagedata r:id="rId50" o:title=""/>
            <o:lock v:ext="edit" aspectratio="t"/>
            <w10:wrap type="none"/>
            <w10:anchorlock/>
          </v:shape>
          <o:OLEObject Type="Embed" ProgID="Equation.DSMT4" ShapeID="_x0000_i1039" DrawAspect="Content" ObjectID="_1468075739" r:id="rId49">
            <o:LockedField>false</o:LockedField>
          </o:OLEObject>
        </w:object>
      </w:r>
      <w:r>
        <w:t>对平均日异常报酬率在事件窗口期内加总</w:t>
      </w:r>
      <w:r>
        <w:rPr>
          <w:rFonts w:hint="eastAsia"/>
        </w:rPr>
        <w:t>得到</w:t>
      </w:r>
      <w:r>
        <w:t>样本整体的累计异常报酬率</w:t>
      </w:r>
      <w:r>
        <w:rPr>
          <w:position w:val="-14"/>
        </w:rPr>
        <w:object>
          <v:shape id="_x0000_i1040" o:spt="75" type="#_x0000_t75" style="height:19.55pt;width:56.2pt;" o:ole="t" filled="f" o:preferrelative="t" stroked="f" coordsize="21600,21600">
            <v:path/>
            <v:fill on="f" focussize="0,0"/>
            <v:stroke on="f" joinstyle="miter"/>
            <v:imagedata r:id="rId52" o:title=""/>
            <o:lock v:ext="edit" aspectratio="t"/>
            <w10:wrap type="none"/>
            <w10:anchorlock/>
          </v:shape>
          <o:OLEObject Type="Embed" ProgID="Equation.DSMT4" ShapeID="_x0000_i1040" DrawAspect="Content" ObjectID="_1468075740" r:id="rId51">
            <o:LockedField>false</o:LockedField>
          </o:OLEObject>
        </w:object>
      </w:r>
      <w:r>
        <w:t>，计算公式</w:t>
      </w:r>
      <w:r>
        <w:rPr>
          <w:rFonts w:hint="eastAsia"/>
        </w:rPr>
        <w:t>如式（3-6）所示。</w:t>
      </w:r>
      <w:r>
        <w:tab/>
      </w:r>
    </w:p>
    <w:p>
      <w:pPr>
        <w:pStyle w:val="47"/>
        <w:ind w:firstLine="480" w:firstLineChars="200"/>
      </w:pPr>
      <w:r>
        <w:tab/>
      </w:r>
      <w:r>
        <w:rPr>
          <w:position w:val="-32"/>
        </w:rPr>
        <w:object>
          <v:shape id="_x0000_i1041" o:spt="75" type="#_x0000_t75" style="height:36.6pt;width:99.05pt;" o:ole="t" filled="f" o:preferrelative="t" stroked="f" coordsize="21600,21600">
            <v:path/>
            <v:fill on="f" focussize="0,0"/>
            <v:stroke on="f" joinstyle="miter"/>
            <v:imagedata r:id="rId54" o:title=""/>
            <o:lock v:ext="edit" aspectratio="t"/>
            <w10:wrap type="none"/>
            <w10:anchorlock/>
          </v:shape>
          <o:OLEObject Type="Embed" ProgID="Equation.DSMT4" ShapeID="_x0000_i1041" DrawAspect="Content" ObjectID="_1468075741" r:id="rId5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r>
        <w:fldChar w:fldCharType="end"/>
      </w:r>
    </w:p>
    <w:p>
      <w:pPr>
        <w:spacing w:line="360" w:lineRule="auto"/>
        <w:ind w:firstLine="480" w:firstLineChars="200"/>
        <w:rPr>
          <w:rFonts w:ascii="Times New Roman" w:hAnsi="Times New Roman" w:cs="Times New Roman"/>
          <w:bCs/>
          <w:sz w:val="24"/>
          <w:szCs w:val="24"/>
        </w:rPr>
      </w:pPr>
      <w:r>
        <w:rPr>
          <w:rFonts w:ascii="Times New Roman" w:hAnsi="Times New Roman" w:cs="Times New Roman"/>
          <w:bCs/>
          <w:sz w:val="24"/>
          <w:szCs w:val="24"/>
        </w:rPr>
        <w:t>2）重污染企业负面环境信息披露的中长期市场绩效影响</w:t>
      </w:r>
    </w:p>
    <w:p>
      <w:pPr>
        <w:spacing w:line="360" w:lineRule="auto"/>
        <w:ind w:firstLine="480" w:firstLineChars="200"/>
        <w:rPr>
          <w:rFonts w:ascii="Times New Roman" w:hAnsi="Times New Roman" w:cs="Times New Roman"/>
          <w:bCs/>
          <w:sz w:val="24"/>
          <w:szCs w:val="24"/>
        </w:rPr>
      </w:pPr>
      <w:r>
        <w:rPr>
          <w:rFonts w:ascii="Times New Roman" w:hAnsi="Times New Roman" w:cs="Times New Roman"/>
          <w:bCs/>
          <w:sz w:val="24"/>
          <w:szCs w:val="24"/>
        </w:rPr>
        <w:t>在对事件进行中长期的后果研究时，由于BHAR模型与CAR模型相比有克服偏态偏误与再平衡偏误等特点，更有利于准确估计长期异常收益，故本研究采用BHAR模型来检验重污染企业负面环境信息披露的中长期市场绩效影响。</w:t>
      </w:r>
    </w:p>
    <w:p>
      <w:pPr>
        <w:spacing w:line="360" w:lineRule="auto"/>
        <w:ind w:firstLine="480" w:firstLineChars="200"/>
        <w:rPr>
          <w:rFonts w:ascii="Times New Roman" w:hAnsi="Times New Roman" w:cs="Times New Roman"/>
          <w:bCs/>
          <w:sz w:val="24"/>
          <w:szCs w:val="24"/>
        </w:rPr>
      </w:pPr>
      <w:r>
        <w:rPr>
          <w:rFonts w:ascii="Times New Roman" w:hAnsi="Times New Roman" w:cs="Times New Roman"/>
          <w:bCs/>
          <w:sz w:val="24"/>
          <w:szCs w:val="24"/>
        </w:rPr>
        <w:t>BHAR的计算过程如</w:t>
      </w:r>
      <w:r>
        <w:rPr>
          <w:rFonts w:hint="eastAsia" w:ascii="Times New Roman" w:hAnsi="Times New Roman" w:cs="Times New Roman"/>
          <w:bCs/>
          <w:sz w:val="24"/>
          <w:szCs w:val="24"/>
        </w:rPr>
        <w:t>式（3-7）所示</w:t>
      </w:r>
      <w:r>
        <w:rPr>
          <w:rFonts w:ascii="Times New Roman" w:hAnsi="Times New Roman" w:cs="Times New Roman"/>
          <w:bCs/>
          <w:sz w:val="24"/>
          <w:szCs w:val="24"/>
        </w:rPr>
        <w:t>：</w:t>
      </w:r>
    </w:p>
    <w:p>
      <w:pPr>
        <w:pStyle w:val="47"/>
        <w:ind w:firstLine="480" w:firstLineChars="200"/>
      </w:pPr>
      <w:r>
        <w:tab/>
      </w:r>
      <w:r>
        <w:rPr>
          <w:position w:val="-64"/>
        </w:rPr>
        <w:object>
          <v:shape id="_x0000_i1042" o:spt="75" type="#_x0000_t75" style="height:69.9pt;width:203.1pt;" o:ole="t" filled="f" o:preferrelative="t" stroked="f" coordsize="21600,21600">
            <v:path/>
            <v:fill on="f" focussize="0,0"/>
            <v:stroke on="f" joinstyle="miter"/>
            <v:imagedata r:id="rId56" o:title=""/>
            <o:lock v:ext="edit" aspectratio="t"/>
            <w10:wrap type="none"/>
            <w10:anchorlock/>
          </v:shape>
          <o:OLEObject Type="Embed" ProgID="Equation.DSMT4" ShapeID="_x0000_i1042" DrawAspect="Content" ObjectID="_1468075742" r:id="rId5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r>
        <w:fldChar w:fldCharType="end"/>
      </w:r>
    </w:p>
    <w:p>
      <w:pPr>
        <w:ind w:firstLine="480" w:firstLineChars="200"/>
        <w:rPr>
          <w:rFonts w:ascii="Times New Roman" w:hAnsi="Times New Roman" w:cs="Times New Roman"/>
          <w:bCs/>
          <w:sz w:val="24"/>
          <w:szCs w:val="24"/>
        </w:rPr>
      </w:pPr>
      <w:r>
        <w:rPr>
          <w:rFonts w:ascii="Times New Roman" w:hAnsi="Times New Roman" w:cs="Times New Roman"/>
          <w:position w:val="-14"/>
          <w:sz w:val="24"/>
          <w:szCs w:val="24"/>
        </w:rPr>
        <w:object>
          <v:shape id="_x0000_i1043" o:spt="75" type="#_x0000_t75" style="height:19.15pt;width:40.8pt;" o:ole="t" filled="f" o:preferrelative="t" stroked="f" coordsize="21600,21600">
            <v:path/>
            <v:fill on="f" focussize="0,0"/>
            <v:stroke on="f" joinstyle="miter"/>
            <v:imagedata r:id="rId58" o:title=""/>
            <o:lock v:ext="edit" aspectratio="t"/>
            <w10:wrap type="none"/>
            <w10:anchorlock/>
          </v:shape>
          <o:OLEObject Type="Embed" ProgID="Equation.DSMT4" ShapeID="_x0000_i1043" DrawAspect="Content" ObjectID="_1468075743" r:id="rId57">
            <o:LockedField>false</o:LockedField>
          </o:OLEObject>
        </w:object>
      </w:r>
      <w:r>
        <w:rPr>
          <w:rFonts w:ascii="Times New Roman" w:hAnsi="Times New Roman" w:cs="Times New Roman"/>
          <w:bCs/>
          <w:sz w:val="24"/>
          <w:szCs w:val="24"/>
        </w:rPr>
        <w:t>为样本i购买并持有t个月的异常回报率。</w:t>
      </w:r>
    </w:p>
    <w:p>
      <w:pPr>
        <w:ind w:firstLine="480" w:firstLineChars="200"/>
        <w:rPr>
          <w:rFonts w:ascii="Times New Roman" w:hAnsi="Times New Roman" w:cs="Times New Roman"/>
          <w:sz w:val="24"/>
          <w:szCs w:val="24"/>
        </w:rPr>
      </w:pPr>
      <w:r>
        <w:rPr>
          <w:rFonts w:ascii="Times New Roman" w:hAnsi="Times New Roman" w:cs="Times New Roman"/>
          <w:position w:val="-14"/>
          <w:sz w:val="24"/>
          <w:szCs w:val="24"/>
        </w:rPr>
        <w:object>
          <v:shape id="_x0000_i1044" o:spt="75" type="#_x0000_t75" style="height:19.15pt;width:18.3pt;" o:ole="t" filled="f" o:preferrelative="t" stroked="f" coordsize="21600,21600">
            <v:path/>
            <v:fill on="f" focussize="0,0"/>
            <v:stroke on="f" joinstyle="miter"/>
            <v:imagedata r:id="rId60" o:title=""/>
            <o:lock v:ext="edit" aspectratio="t"/>
            <w10:wrap type="none"/>
            <w10:anchorlock/>
          </v:shape>
          <o:OLEObject Type="Embed" ProgID="Equation.DSMT4" ShapeID="_x0000_i1044" DrawAspect="Content" ObjectID="_1468075744" r:id="rId59">
            <o:LockedField>false</o:LockedField>
          </o:OLEObject>
        </w:object>
      </w:r>
      <w:r>
        <w:rPr>
          <w:rFonts w:ascii="Times New Roman" w:hAnsi="Times New Roman" w:cs="Times New Roman"/>
          <w:sz w:val="24"/>
          <w:szCs w:val="24"/>
        </w:rPr>
        <w:t>为第t个月的实际报酬率。</w:t>
      </w:r>
    </w:p>
    <w:p>
      <w:pPr>
        <w:ind w:firstLine="480" w:firstLineChars="200"/>
        <w:rPr>
          <w:rFonts w:ascii="Times New Roman" w:hAnsi="Times New Roman" w:cs="Times New Roman"/>
          <w:bCs/>
          <w:sz w:val="24"/>
          <w:szCs w:val="24"/>
        </w:rPr>
      </w:pPr>
      <w:r>
        <w:rPr>
          <w:rFonts w:ascii="Times New Roman" w:hAnsi="Times New Roman" w:cs="Times New Roman"/>
          <w:position w:val="-14"/>
          <w:sz w:val="24"/>
          <w:szCs w:val="24"/>
        </w:rPr>
        <w:object>
          <v:shape id="_x0000_i1045" o:spt="75" type="#_x0000_t75" style="height:19.15pt;width:47.85pt;" o:ole="t" filled="f" o:preferrelative="t" stroked="f" coordsize="21600,21600">
            <v:path/>
            <v:fill on="f" focussize="0,0"/>
            <v:stroke on="f" joinstyle="miter"/>
            <v:imagedata r:id="rId62" o:title=""/>
            <o:lock v:ext="edit" aspectratio="t"/>
            <w10:wrap type="none"/>
            <w10:anchorlock/>
          </v:shape>
          <o:OLEObject Type="Embed" ProgID="Equation.DSMT4" ShapeID="_x0000_i1045" DrawAspect="Content" ObjectID="_1468075745" r:id="rId61">
            <o:LockedField>false</o:LockedField>
          </o:OLEObject>
        </w:object>
      </w:r>
      <w:r>
        <w:rPr>
          <w:rFonts w:ascii="Times New Roman" w:hAnsi="Times New Roman" w:cs="Times New Roman"/>
          <w:bCs/>
          <w:sz w:val="24"/>
          <w:szCs w:val="24"/>
        </w:rPr>
        <w:t>为第t个月的预期收益，由参照组中的样本公司在第t个月的平均收益率。</w:t>
      </w:r>
    </w:p>
    <w:p>
      <w:pPr>
        <w:spacing w:line="360" w:lineRule="auto"/>
        <w:ind w:firstLine="480" w:firstLineChars="200"/>
        <w:rPr>
          <w:rFonts w:ascii="Times New Roman" w:hAnsi="Times New Roman" w:cs="Times New Roman"/>
          <w:bCs/>
          <w:sz w:val="24"/>
          <w:szCs w:val="24"/>
        </w:rPr>
      </w:pPr>
      <w:r>
        <w:rPr>
          <w:rFonts w:ascii="Times New Roman" w:hAnsi="Times New Roman" w:cs="Times New Roman"/>
          <w:bCs/>
          <w:sz w:val="24"/>
          <w:szCs w:val="24"/>
        </w:rPr>
        <w:t>吴世农、许年行（2004）发现中国的资本市场上存在显著的账面市值比效应与规模效应。前人运用BHAR方法时也多以企业规模、账面市值比作为标准选择配对组，本研究在此基础上还控制了行业。具体分组过程为：首先把样本公司相同行业的上市公司按照企业规模（企业规模的参照标准为事件发生当年6月的企业流通市值）大小分成三组，然后在此基础上根据事件发生年份上一年度的账面市值比把每组进一步细分为三组，我们可以根据样本的事件发生年度、行业、企业规模大小和账面市值比寻找对应的投资组合。</w:t>
      </w:r>
    </w:p>
    <w:p>
      <w:pPr>
        <w:spacing w:line="360" w:lineRule="auto"/>
        <w:rPr>
          <w:rFonts w:ascii="Times New Roman" w:hAnsi="Times New Roman" w:cs="Times New Roman"/>
          <w:bCs/>
          <w:sz w:val="24"/>
          <w:szCs w:val="24"/>
        </w:rPr>
      </w:pPr>
      <w:r>
        <w:rPr>
          <w:rFonts w:ascii="Times New Roman" w:hAnsi="Times New Roman" w:cs="Times New Roman"/>
          <w:bCs/>
          <w:sz w:val="24"/>
          <w:szCs w:val="24"/>
        </w:rPr>
        <w:t>（2）重污染企业负面环境信息披露影响企业价值的机制</w:t>
      </w:r>
      <w:r>
        <w:rPr>
          <w:rFonts w:hint="eastAsia" w:ascii="Times New Roman" w:hAnsi="Times New Roman" w:cs="Times New Roman"/>
          <w:bCs/>
          <w:sz w:val="24"/>
          <w:szCs w:val="24"/>
        </w:rPr>
        <w:t>检验</w:t>
      </w:r>
    </w:p>
    <w:p>
      <w:pPr>
        <w:spacing w:line="360" w:lineRule="auto"/>
        <w:ind w:firstLine="420"/>
        <w:rPr>
          <w:rFonts w:ascii="Times New Roman" w:hAnsi="Times New Roman" w:cs="Times New Roman"/>
          <w:bCs/>
          <w:sz w:val="24"/>
          <w:szCs w:val="24"/>
        </w:rPr>
      </w:pPr>
      <w:r>
        <w:rPr>
          <w:rFonts w:hint="eastAsia" w:ascii="Times New Roman" w:hAnsi="Times New Roman" w:cs="Times New Roman"/>
          <w:bCs/>
          <w:sz w:val="24"/>
          <w:szCs w:val="24"/>
        </w:rPr>
        <w:t>使用逐步回归法检验财务风险的中介作用：</w:t>
      </w:r>
    </w:p>
    <w:p>
      <w:pPr>
        <w:spacing w:line="360" w:lineRule="auto"/>
        <w:ind w:firstLine="420"/>
        <w:jc w:val="left"/>
        <w:rPr>
          <w:rFonts w:ascii="Times New Roman" w:hAnsi="Times New Roman" w:cs="Times New Roman"/>
          <w:bCs/>
          <w:sz w:val="24"/>
          <w:szCs w:val="24"/>
        </w:rPr>
      </w:pPr>
      <w:r>
        <w:rPr>
          <w:rFonts w:ascii="Times New Roman" w:hAnsi="Times New Roman" w:cs="Times New Roman"/>
          <w:bCs/>
          <w:sz w:val="24"/>
          <w:szCs w:val="24"/>
        </w:rPr>
        <w:t>1）企业负面环境信息披露对企业价值的影响</w:t>
      </w:r>
    </w:p>
    <w:p>
      <w:pPr>
        <w:pStyle w:val="47"/>
        <w:ind w:firstLine="480" w:firstLineChars="200"/>
        <w:jc w:val="left"/>
      </w:pPr>
      <w:r>
        <w:rPr>
          <w:position w:val="-52"/>
        </w:rPr>
        <w:object>
          <v:shape id="_x0000_i1046" o:spt="75" type="#_x0000_t75" style="height:57pt;width:340pt;" o:ole="t" filled="f" o:preferrelative="t" stroked="f" coordsize="21600,21600">
            <v:path/>
            <v:fill on="f" focussize="0,0"/>
            <v:stroke on="f" joinstyle="miter"/>
            <v:imagedata r:id="rId64" o:title=""/>
            <o:lock v:ext="edit" aspectratio="t"/>
            <w10:wrap type="none"/>
            <w10:anchorlock/>
          </v:shape>
          <o:OLEObject Type="Embed" ProgID="Equation.DSMT4" ShapeID="_x0000_i1046" DrawAspect="Content" ObjectID="_1468075746" r:id="rId6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r>
        <w:fldChar w:fldCharType="end"/>
      </w:r>
    </w:p>
    <w:p>
      <w:pPr>
        <w:spacing w:line="360" w:lineRule="auto"/>
        <w:ind w:left="480"/>
        <w:rPr>
          <w:rFonts w:ascii="Times New Roman" w:hAnsi="Times New Roman" w:cs="Times New Roman"/>
          <w:bCs/>
          <w:sz w:val="24"/>
          <w:szCs w:val="24"/>
        </w:rPr>
      </w:pPr>
      <w:r>
        <w:rPr>
          <w:rFonts w:ascii="Times New Roman" w:hAnsi="Times New Roman" w:cs="Times New Roman"/>
          <w:bCs/>
          <w:sz w:val="24"/>
          <w:szCs w:val="24"/>
        </w:rPr>
        <w:t>2）负面环境信息披露</w:t>
      </w:r>
      <w:r>
        <w:rPr>
          <w:rFonts w:hint="eastAsia" w:ascii="Times New Roman" w:hAnsi="Times New Roman" w:cs="Times New Roman"/>
          <w:bCs/>
          <w:sz w:val="24"/>
          <w:szCs w:val="24"/>
        </w:rPr>
        <w:t>对</w:t>
      </w:r>
      <w:r>
        <w:rPr>
          <w:rFonts w:ascii="Times New Roman" w:hAnsi="Times New Roman" w:cs="Times New Roman"/>
          <w:bCs/>
          <w:sz w:val="24"/>
          <w:szCs w:val="24"/>
        </w:rPr>
        <w:t>财务风险</w:t>
      </w:r>
      <w:r>
        <w:rPr>
          <w:rFonts w:hint="eastAsia" w:ascii="Times New Roman" w:hAnsi="Times New Roman" w:cs="Times New Roman"/>
          <w:bCs/>
          <w:sz w:val="24"/>
          <w:szCs w:val="24"/>
        </w:rPr>
        <w:t>的影响</w:t>
      </w:r>
    </w:p>
    <w:p>
      <w:pPr>
        <w:spacing w:line="360" w:lineRule="auto"/>
        <w:ind w:firstLine="480" w:firstLineChars="200"/>
        <w:rPr>
          <w:rFonts w:ascii="Times New Roman" w:hAnsi="Times New Roman" w:cs="Times New Roman"/>
          <w:bCs/>
          <w:sz w:val="24"/>
          <w:szCs w:val="24"/>
        </w:rPr>
      </w:pPr>
      <w:r>
        <w:rPr>
          <w:rFonts w:ascii="Times New Roman" w:hAnsi="Times New Roman" w:cs="Times New Roman"/>
          <w:bCs/>
          <w:sz w:val="24"/>
          <w:szCs w:val="24"/>
        </w:rPr>
        <w:t>采用多元回归模型</w:t>
      </w:r>
      <w:r>
        <w:rPr>
          <w:rFonts w:hint="eastAsia" w:ascii="Times New Roman" w:hAnsi="Times New Roman" w:cs="Times New Roman"/>
          <w:bCs/>
          <w:sz w:val="24"/>
          <w:szCs w:val="24"/>
        </w:rPr>
        <w:t>（3-9）</w:t>
      </w:r>
      <w:r>
        <w:rPr>
          <w:rFonts w:ascii="Times New Roman" w:hAnsi="Times New Roman" w:cs="Times New Roman"/>
          <w:bCs/>
          <w:sz w:val="24"/>
          <w:szCs w:val="24"/>
        </w:rPr>
        <w:t>实证检验上市公司污染事件曝光后财务风险的变化</w:t>
      </w:r>
      <w:r>
        <w:rPr>
          <w:rFonts w:hint="eastAsia" w:ascii="Times New Roman" w:hAnsi="Times New Roman" w:cs="Times New Roman"/>
          <w:bCs/>
          <w:sz w:val="24"/>
          <w:szCs w:val="24"/>
        </w:rPr>
        <w:t>。</w:t>
      </w:r>
    </w:p>
    <w:p>
      <w:pPr>
        <w:pStyle w:val="47"/>
        <w:ind w:firstLine="480" w:firstLineChars="200"/>
      </w:pPr>
      <w:r>
        <w:rPr>
          <w:position w:val="-52"/>
        </w:rPr>
        <w:object>
          <v:shape id="_x0000_i1047" o:spt="75" type="#_x0000_t75" style="height:57pt;width:312.15pt;" o:ole="t" filled="f" o:preferrelative="t" stroked="f" coordsize="21600,21600">
            <v:path/>
            <v:fill on="f" focussize="0,0"/>
            <v:stroke on="f" joinstyle="miter"/>
            <v:imagedata r:id="rId66" o:title=""/>
            <o:lock v:ext="edit" aspectratio="t"/>
            <w10:wrap type="none"/>
            <w10:anchorlock/>
          </v:shape>
          <o:OLEObject Type="Embed" ProgID="Equation.DSMT4" ShapeID="_x0000_i1047" DrawAspect="Content" ObjectID="_1468075747" r:id="rId6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r>
        <w:fldChar w:fldCharType="end"/>
      </w:r>
    </w:p>
    <w:p>
      <w:pPr>
        <w:spacing w:line="360" w:lineRule="auto"/>
        <w:ind w:firstLine="480" w:firstLineChars="200"/>
        <w:rPr>
          <w:rFonts w:ascii="Times New Roman" w:hAnsi="Times New Roman" w:cs="Times New Roman"/>
          <w:bCs/>
          <w:sz w:val="24"/>
          <w:szCs w:val="24"/>
        </w:rPr>
      </w:pPr>
      <w:r>
        <w:rPr>
          <w:rFonts w:ascii="Times New Roman" w:hAnsi="Times New Roman" w:cs="Times New Roman"/>
          <w:bCs/>
          <w:sz w:val="24"/>
          <w:szCs w:val="24"/>
        </w:rPr>
        <w:t>因变量</w:t>
      </w:r>
      <w:r>
        <w:rPr>
          <w:rFonts w:hint="eastAsia" w:ascii="Times New Roman" w:hAnsi="Times New Roman" w:cs="Times New Roman"/>
          <w:bCs/>
          <w:sz w:val="24"/>
          <w:szCs w:val="24"/>
        </w:rPr>
        <w:t>参考王琳璘等（2022）的研究，选择</w:t>
      </w:r>
      <w:r>
        <w:rPr>
          <w:rFonts w:ascii="Times New Roman" w:hAnsi="Times New Roman" w:cs="Times New Roman"/>
          <w:bCs/>
          <w:position w:val="-12"/>
          <w:sz w:val="24"/>
          <w:szCs w:val="24"/>
        </w:rPr>
        <w:object>
          <v:shape id="_x0000_i1048" o:spt="75" type="#_x0000_t75" style="height:17.9pt;width:54.1pt;" o:ole="t" filled="f" o:preferrelative="t" stroked="f" coordsize="21600,21600">
            <v:path/>
            <v:fill on="f" focussize="0,0"/>
            <v:stroke on="f" joinstyle="miter"/>
            <v:imagedata r:id="rId68" o:title=""/>
            <o:lock v:ext="edit" aspectratio="f"/>
            <w10:wrap type="none"/>
            <w10:anchorlock/>
          </v:shape>
          <o:OLEObject Type="Embed" ProgID="Equation.DSMT4" ShapeID="_x0000_i1048" DrawAspect="Content" ObjectID="_1468075748" r:id="rId67">
            <o:LockedField>false</o:LockedField>
          </o:OLEObject>
        </w:object>
      </w:r>
      <w:r>
        <w:rPr>
          <w:rFonts w:ascii="Times New Roman" w:hAnsi="Times New Roman" w:cs="Times New Roman"/>
          <w:bCs/>
          <w:sz w:val="24"/>
          <w:szCs w:val="24"/>
        </w:rPr>
        <w:t>指标，表示企业的财务风险</w:t>
      </w:r>
      <w:r>
        <w:rPr>
          <w:rFonts w:hint="eastAsia" w:ascii="Times New Roman" w:hAnsi="Times New Roman" w:cs="Times New Roman"/>
          <w:bCs/>
          <w:sz w:val="24"/>
          <w:szCs w:val="24"/>
        </w:rPr>
        <w:t>。</w:t>
      </w:r>
      <w:r>
        <w:rPr>
          <w:rFonts w:ascii="Times New Roman" w:hAnsi="Times New Roman" w:cs="Times New Roman"/>
          <w:bCs/>
          <w:position w:val="-14"/>
          <w:sz w:val="24"/>
          <w:szCs w:val="24"/>
        </w:rPr>
        <w:object>
          <v:shape id="_x0000_i1049" o:spt="75" type="#_x0000_t75" style="height:19.15pt;width:25.4pt;" o:ole="t" filled="f" o:preferrelative="t" stroked="f" coordsize="21600,21600">
            <v:path/>
            <v:fill on="f" focussize="0,0"/>
            <v:stroke on="f" joinstyle="miter"/>
            <v:imagedata r:id="rId70" o:title=""/>
            <o:lock v:ext="edit" aspectratio="f"/>
            <w10:wrap type="none"/>
            <w10:anchorlock/>
          </v:shape>
          <o:OLEObject Type="Embed" ProgID="Equation.DSMT4" ShapeID="_x0000_i1049" DrawAspect="Content" ObjectID="_1468075749" r:id="rId69">
            <o:LockedField>false</o:LockedField>
          </o:OLEObject>
        </w:object>
      </w:r>
      <w:r>
        <w:rPr>
          <w:rFonts w:ascii="Times New Roman" w:hAnsi="Times New Roman" w:cs="Times New Roman"/>
          <w:bCs/>
          <w:sz w:val="24"/>
          <w:szCs w:val="24"/>
        </w:rPr>
        <w:t>，是企业滞后一期的</w:t>
      </w:r>
      <w:r>
        <w:rPr>
          <w:rFonts w:ascii="Times New Roman" w:hAnsi="Times New Roman" w:cs="Times New Roman"/>
          <w:bCs/>
          <w:position w:val="-12"/>
          <w:sz w:val="24"/>
          <w:szCs w:val="24"/>
        </w:rPr>
        <w:object>
          <v:shape id="_x0000_i1050" o:spt="75" type="#_x0000_t75" style="height:17.9pt;width:54.1pt;" o:ole="t" filled="f" o:preferrelative="t" stroked="f" coordsize="21600,21600">
            <v:path/>
            <v:fill on="f" focussize="0,0"/>
            <v:stroke on="f" joinstyle="miter"/>
            <v:imagedata r:id="rId68" o:title=""/>
            <o:lock v:ext="edit" aspectratio="f"/>
            <w10:wrap type="none"/>
            <w10:anchorlock/>
          </v:shape>
          <o:OLEObject Type="Embed" ProgID="Equation.DSMT4" ShapeID="_x0000_i1050" DrawAspect="Content" ObjectID="_1468075750" r:id="rId71">
            <o:LockedField>false</o:LockedField>
          </o:OLEObject>
        </w:object>
      </w:r>
      <w:r>
        <w:rPr>
          <w:rFonts w:ascii="Times New Roman" w:hAnsi="Times New Roman" w:cs="Times New Roman"/>
          <w:bCs/>
          <w:sz w:val="24"/>
          <w:szCs w:val="24"/>
        </w:rPr>
        <w:t>指标，Z值越小，说明企业财务风险越大。</w:t>
      </w:r>
      <w:r>
        <w:rPr>
          <w:rFonts w:ascii="Times New Roman" w:hAnsi="Times New Roman" w:cs="Times New Roman"/>
          <w:bCs/>
          <w:position w:val="-12"/>
          <w:sz w:val="24"/>
          <w:szCs w:val="24"/>
        </w:rPr>
        <w:object>
          <v:shape id="_x0000_i1051" o:spt="75" type="#_x0000_t75" style="height:17.9pt;width:54.1pt;" o:ole="t" filled="f" o:preferrelative="t" stroked="f" coordsize="21600,21600">
            <v:path/>
            <v:fill on="f" focussize="0,0"/>
            <v:stroke on="f" joinstyle="miter"/>
            <v:imagedata r:id="rId73" o:title=""/>
            <o:lock v:ext="edit" aspectratio="f"/>
            <w10:wrap type="none"/>
            <w10:anchorlock/>
          </v:shape>
          <o:OLEObject Type="Embed" ProgID="Equation.DSMT4" ShapeID="_x0000_i1051" DrawAspect="Content" ObjectID="_1468075751" r:id="rId72">
            <o:LockedField>false</o:LockedField>
          </o:OLEObject>
        </w:object>
      </w:r>
      <w:r>
        <w:rPr>
          <w:rFonts w:ascii="Times New Roman" w:hAnsi="Times New Roman" w:cs="Times New Roman"/>
          <w:bCs/>
          <w:sz w:val="24"/>
          <w:szCs w:val="24"/>
        </w:rPr>
        <w:t>指数=0.60*股票市价总值/负债总额+（0.99*销售收入+1.20*营运资金+3.3*息税前利润+1.40*留存收益）/资产总额。</w:t>
      </w:r>
    </w:p>
    <w:p>
      <w:pPr>
        <w:spacing w:line="360" w:lineRule="auto"/>
        <w:ind w:firstLine="480" w:firstLineChars="200"/>
        <w:rPr>
          <w:rFonts w:ascii="Times New Roman" w:hAnsi="Times New Roman" w:cs="Times New Roman"/>
          <w:bCs/>
          <w:sz w:val="24"/>
          <w:szCs w:val="24"/>
        </w:rPr>
      </w:pPr>
      <w:r>
        <w:rPr>
          <w:rFonts w:ascii="Times New Roman" w:hAnsi="Times New Roman" w:cs="Times New Roman"/>
          <w:bCs/>
          <w:sz w:val="24"/>
          <w:szCs w:val="24"/>
        </w:rPr>
        <w:t>自变量</w:t>
      </w:r>
      <w:r>
        <w:rPr>
          <w:rFonts w:ascii="Times New Roman" w:hAnsi="Times New Roman" w:cs="Times New Roman"/>
          <w:bCs/>
          <w:position w:val="-14"/>
          <w:sz w:val="24"/>
          <w:szCs w:val="24"/>
        </w:rPr>
        <w:object>
          <v:shape id="_x0000_i1052" o:spt="75" type="#_x0000_t75" style="height:19.15pt;width:58.7pt;" o:ole="t" filled="f" o:preferrelative="t" stroked="f" coordsize="21600,21600">
            <v:path/>
            <v:fill on="f" focussize="0,0"/>
            <v:stroke on="f" joinstyle="miter"/>
            <v:imagedata r:id="rId75" o:title=""/>
            <o:lock v:ext="edit" aspectratio="f"/>
            <w10:wrap type="none"/>
            <w10:anchorlock/>
          </v:shape>
          <o:OLEObject Type="Embed" ProgID="Equation.DSMT4" ShapeID="_x0000_i1052" DrawAspect="Content" ObjectID="_1468075752" r:id="rId74">
            <o:LockedField>false</o:LockedField>
          </o:OLEObject>
        </w:object>
      </w:r>
      <w:r>
        <w:rPr>
          <w:rFonts w:ascii="Times New Roman" w:hAnsi="Times New Roman" w:cs="Times New Roman"/>
          <w:bCs/>
          <w:sz w:val="24"/>
          <w:szCs w:val="24"/>
        </w:rPr>
        <w:t>表示负面环境信息披露与否的虚拟变量。我们预期在上市公司负面环境信息披露后，财务风险会上升，因此预期</w:t>
      </w:r>
      <w:r>
        <w:rPr>
          <w:rFonts w:ascii="Times New Roman" w:hAnsi="Times New Roman" w:cs="Times New Roman"/>
          <w:bCs/>
          <w:position w:val="-12"/>
          <w:sz w:val="24"/>
          <w:szCs w:val="24"/>
        </w:rPr>
        <w:object>
          <v:shape id="_x0000_i1053" o:spt="75" type="#_x0000_t75" style="height:18.3pt;width:13.3pt;" o:ole="t" filled="f" o:preferrelative="t" stroked="f" coordsize="21600,21600">
            <v:path/>
            <v:fill on="f" focussize="0,0"/>
            <v:stroke on="f" joinstyle="miter"/>
            <v:imagedata r:id="rId77" o:title=""/>
            <o:lock v:ext="edit" aspectratio="f"/>
            <w10:wrap type="none"/>
            <w10:anchorlock/>
          </v:shape>
          <o:OLEObject Type="Embed" ProgID="Equation.DSMT4" ShapeID="_x0000_i1053" DrawAspect="Content" ObjectID="_1468075753" r:id="rId76">
            <o:LockedField>false</o:LockedField>
          </o:OLEObject>
        </w:object>
      </w:r>
      <w:r>
        <w:rPr>
          <w:rFonts w:ascii="Times New Roman" w:hAnsi="Times New Roman" w:cs="Times New Roman"/>
          <w:bCs/>
          <w:sz w:val="24"/>
          <w:szCs w:val="24"/>
        </w:rPr>
        <w:t>系数为负。</w:t>
      </w:r>
    </w:p>
    <w:p>
      <w:pPr>
        <w:spacing w:line="360" w:lineRule="auto"/>
        <w:ind w:firstLine="480" w:firstLineChars="200"/>
        <w:rPr>
          <w:rFonts w:ascii="Times New Roman" w:hAnsi="Times New Roman" w:cs="Times New Roman"/>
          <w:bCs/>
          <w:sz w:val="24"/>
          <w:szCs w:val="24"/>
        </w:rPr>
      </w:pPr>
      <w:r>
        <w:rPr>
          <w:rFonts w:ascii="Times New Roman" w:hAnsi="Times New Roman" w:cs="Times New Roman"/>
          <w:bCs/>
          <w:sz w:val="24"/>
          <w:szCs w:val="24"/>
        </w:rPr>
        <w:t>控制变量选取了常见的公司特征变量:</w:t>
      </w:r>
      <w:r>
        <w:rPr>
          <w:rFonts w:ascii="Times New Roman" w:hAnsi="Times New Roman" w:cs="Times New Roman"/>
          <w:bCs/>
          <w:position w:val="-14"/>
          <w:sz w:val="24"/>
          <w:szCs w:val="24"/>
        </w:rPr>
        <w:object>
          <v:shape id="_x0000_i1054" o:spt="75" type="#_x0000_t75" style="height:19.15pt;width:30.8pt;" o:ole="t" filled="f" o:preferrelative="t" stroked="f" coordsize="21600,21600">
            <v:path/>
            <v:fill on="f" focussize="0,0"/>
            <v:stroke on="f" joinstyle="miter"/>
            <v:imagedata r:id="rId79" o:title=""/>
            <o:lock v:ext="edit" aspectratio="f"/>
            <w10:wrap type="none"/>
            <w10:anchorlock/>
          </v:shape>
          <o:OLEObject Type="Embed" ProgID="Equation.DSMT4" ShapeID="_x0000_i1054" DrawAspect="Content" ObjectID="_1468075754" r:id="rId78">
            <o:LockedField>false</o:LockedField>
          </o:OLEObject>
        </w:object>
      </w:r>
      <w:r>
        <w:rPr>
          <w:rFonts w:ascii="Times New Roman" w:hAnsi="Times New Roman" w:cs="Times New Roman"/>
          <w:bCs/>
          <w:sz w:val="24"/>
          <w:szCs w:val="24"/>
        </w:rPr>
        <w:t>（公司规模</w:t>
      </w:r>
      <w:r>
        <w:rPr>
          <w:rFonts w:hint="eastAsia" w:ascii="Times New Roman" w:hAnsi="Times New Roman" w:cs="Times New Roman"/>
          <w:bCs/>
          <w:sz w:val="24"/>
          <w:szCs w:val="24"/>
        </w:rPr>
        <w:t>）</w:t>
      </w:r>
      <w:r>
        <w:rPr>
          <w:rFonts w:ascii="Times New Roman" w:hAnsi="Times New Roman" w:cs="Times New Roman"/>
          <w:bCs/>
          <w:sz w:val="24"/>
          <w:szCs w:val="24"/>
        </w:rPr>
        <w:t>、</w:t>
      </w:r>
      <w:r>
        <w:rPr>
          <w:rFonts w:ascii="Times New Roman" w:hAnsi="Times New Roman" w:cs="Times New Roman"/>
          <w:bCs/>
          <w:position w:val="-14"/>
          <w:sz w:val="24"/>
          <w:szCs w:val="24"/>
        </w:rPr>
        <w:object>
          <v:shape id="_x0000_i1055" o:spt="75" type="#_x0000_t75" style="height:19.15pt;width:33.3pt;" o:ole="t" filled="f" o:preferrelative="t" stroked="f" coordsize="21600,21600">
            <v:path/>
            <v:fill on="f" focussize="0,0"/>
            <v:stroke on="f" joinstyle="miter"/>
            <v:imagedata r:id="rId81" o:title=""/>
            <o:lock v:ext="edit" aspectratio="f"/>
            <w10:wrap type="none"/>
            <w10:anchorlock/>
          </v:shape>
          <o:OLEObject Type="Embed" ProgID="Equation.DSMT4" ShapeID="_x0000_i1055" DrawAspect="Content" ObjectID="_1468075755" r:id="rId80">
            <o:LockedField>false</o:LockedField>
          </o:OLEObject>
        </w:object>
      </w:r>
      <w:r>
        <w:rPr>
          <w:rFonts w:ascii="Times New Roman" w:hAnsi="Times New Roman" w:cs="Times New Roman"/>
          <w:bCs/>
          <w:sz w:val="24"/>
          <w:szCs w:val="24"/>
        </w:rPr>
        <w:t>（盈利能力）、</w:t>
      </w:r>
      <w:r>
        <w:rPr>
          <w:rFonts w:ascii="Times New Roman" w:hAnsi="Times New Roman" w:cs="Times New Roman"/>
          <w:bCs/>
          <w:position w:val="-14"/>
          <w:sz w:val="24"/>
          <w:szCs w:val="24"/>
        </w:rPr>
        <w:object>
          <v:shape id="_x0000_i1056" o:spt="75" type="#_x0000_t75" style="height:19.15pt;width:24.15pt;" o:ole="t" filled="f" o:preferrelative="t" stroked="f" coordsize="21600,21600">
            <v:path/>
            <v:fill on="f" focussize="0,0"/>
            <v:stroke on="f" joinstyle="miter"/>
            <v:imagedata r:id="rId83" o:title=""/>
            <o:lock v:ext="edit" aspectratio="f"/>
            <w10:wrap type="none"/>
            <w10:anchorlock/>
          </v:shape>
          <o:OLEObject Type="Embed" ProgID="Equation.DSMT4" ShapeID="_x0000_i1056" DrawAspect="Content" ObjectID="_1468075756" r:id="rId82">
            <o:LockedField>false</o:LockedField>
          </o:OLEObject>
        </w:object>
      </w:r>
      <w:r>
        <w:rPr>
          <w:rFonts w:ascii="Times New Roman" w:hAnsi="Times New Roman" w:cs="Times New Roman"/>
          <w:bCs/>
          <w:sz w:val="24"/>
          <w:szCs w:val="24"/>
        </w:rPr>
        <w:t>（期末的资产负债率）、</w:t>
      </w:r>
      <w:r>
        <w:rPr>
          <w:rFonts w:ascii="Times New Roman" w:hAnsi="Times New Roman" w:cs="Times New Roman"/>
          <w:bCs/>
          <w:position w:val="-14"/>
          <w:sz w:val="24"/>
          <w:szCs w:val="24"/>
        </w:rPr>
        <w:object>
          <v:shape id="_x0000_i1057" o:spt="75" type="#_x0000_t75" style="height:19.15pt;width:30.8pt;" o:ole="t" filled="f" o:preferrelative="t" stroked="f" coordsize="21600,21600">
            <v:path/>
            <v:fill on="f" focussize="0,0"/>
            <v:stroke on="f" joinstyle="miter"/>
            <v:imagedata r:id="rId85" o:title=""/>
            <o:lock v:ext="edit" aspectratio="f"/>
            <w10:wrap type="none"/>
            <w10:anchorlock/>
          </v:shape>
          <o:OLEObject Type="Embed" ProgID="Equation.DSMT4" ShapeID="_x0000_i1057" DrawAspect="Content" ObjectID="_1468075757" r:id="rId84">
            <o:LockedField>false</o:LockedField>
          </o:OLEObject>
        </w:object>
      </w:r>
      <w:r>
        <w:rPr>
          <w:rFonts w:ascii="Times New Roman" w:hAnsi="Times New Roman" w:cs="Times New Roman"/>
          <w:bCs/>
          <w:sz w:val="24"/>
          <w:szCs w:val="24"/>
        </w:rPr>
        <w:t>（上市年限的自然对数）、</w:t>
      </w:r>
      <w:r>
        <w:rPr>
          <w:rFonts w:ascii="Times New Roman" w:hAnsi="Times New Roman" w:cs="Times New Roman"/>
          <w:bCs/>
          <w:position w:val="-14"/>
          <w:sz w:val="24"/>
          <w:szCs w:val="24"/>
        </w:rPr>
        <w:object>
          <v:shape id="_x0000_i1058" o:spt="75" type="#_x0000_t75" style="height:19.15pt;width:35.4pt;" o:ole="t" filled="f" o:preferrelative="t" stroked="f" coordsize="21600,21600">
            <v:path/>
            <v:fill on="f" focussize="0,0"/>
            <v:stroke on="f" joinstyle="miter"/>
            <v:imagedata r:id="rId87" o:title=""/>
            <o:lock v:ext="edit" aspectratio="f"/>
            <w10:wrap type="none"/>
            <w10:anchorlock/>
          </v:shape>
          <o:OLEObject Type="Embed" ProgID="Equation.DSMT4" ShapeID="_x0000_i1058" DrawAspect="Content" ObjectID="_1468075758" r:id="rId86">
            <o:LockedField>false</o:LockedField>
          </o:OLEObject>
        </w:object>
      </w:r>
      <w:r>
        <w:rPr>
          <w:rFonts w:hint="eastAsia" w:ascii="Times New Roman" w:hAnsi="Times New Roman" w:cs="Times New Roman"/>
          <w:bCs/>
          <w:sz w:val="24"/>
          <w:szCs w:val="24"/>
        </w:rPr>
        <w:t>（</w:t>
      </w:r>
      <w:r>
        <w:rPr>
          <w:rFonts w:ascii="Times New Roman" w:hAnsi="Times New Roman" w:cs="Times New Roman"/>
          <w:bCs/>
          <w:sz w:val="24"/>
          <w:szCs w:val="24"/>
        </w:rPr>
        <w:t>是否两职合一</w:t>
      </w:r>
      <w:r>
        <w:rPr>
          <w:rFonts w:hint="eastAsia" w:ascii="Times New Roman" w:hAnsi="Times New Roman" w:cs="Times New Roman"/>
          <w:bCs/>
          <w:sz w:val="24"/>
          <w:szCs w:val="24"/>
        </w:rPr>
        <w:t>）</w:t>
      </w:r>
      <w:r>
        <w:rPr>
          <w:rFonts w:ascii="Times New Roman" w:hAnsi="Times New Roman" w:cs="Times New Roman"/>
          <w:bCs/>
          <w:sz w:val="24"/>
          <w:szCs w:val="24"/>
        </w:rPr>
        <w:t>；</w:t>
      </w:r>
      <w:r>
        <w:rPr>
          <w:rFonts w:ascii="Times New Roman" w:hAnsi="Times New Roman" w:cs="Times New Roman"/>
          <w:bCs/>
          <w:position w:val="-14"/>
          <w:sz w:val="24"/>
          <w:szCs w:val="24"/>
        </w:rPr>
        <w:object>
          <v:shape id="_x0000_i1059" o:spt="75" type="#_x0000_t75" style="height:19.15pt;width:36.6pt;" o:ole="t" filled="f" o:preferrelative="t" stroked="f" coordsize="21600,21600">
            <v:path/>
            <v:fill on="f" focussize="0,0"/>
            <v:stroke on="f" joinstyle="miter"/>
            <v:imagedata r:id="rId89" o:title=""/>
            <o:lock v:ext="edit" aspectratio="f"/>
            <w10:wrap type="none"/>
            <w10:anchorlock/>
          </v:shape>
          <o:OLEObject Type="Embed" ProgID="Equation.DSMT4" ShapeID="_x0000_i1059" DrawAspect="Content" ObjectID="_1468075759" r:id="rId88">
            <o:LockedField>false</o:LockedField>
          </o:OLEObject>
        </w:object>
      </w:r>
      <w:r>
        <w:rPr>
          <w:rFonts w:hint="eastAsia" w:ascii="Times New Roman" w:hAnsi="Times New Roman" w:cs="Times New Roman"/>
          <w:bCs/>
          <w:sz w:val="24"/>
          <w:szCs w:val="24"/>
        </w:rPr>
        <w:t>（</w:t>
      </w:r>
      <w:r>
        <w:rPr>
          <w:rFonts w:ascii="Times New Roman" w:hAnsi="Times New Roman" w:cs="Times New Roman"/>
          <w:bCs/>
          <w:sz w:val="24"/>
          <w:szCs w:val="24"/>
        </w:rPr>
        <w:t>董事会人数</w:t>
      </w:r>
      <w:r>
        <w:rPr>
          <w:rFonts w:hint="eastAsia" w:ascii="Times New Roman" w:hAnsi="Times New Roman" w:cs="Times New Roman"/>
          <w:bCs/>
          <w:sz w:val="24"/>
          <w:szCs w:val="24"/>
        </w:rPr>
        <w:t>）</w:t>
      </w:r>
      <w:r>
        <w:rPr>
          <w:rFonts w:ascii="Times New Roman" w:hAnsi="Times New Roman" w:cs="Times New Roman"/>
          <w:bCs/>
          <w:sz w:val="24"/>
          <w:szCs w:val="24"/>
        </w:rPr>
        <w:t>；</w:t>
      </w:r>
      <w:r>
        <w:rPr>
          <w:rFonts w:ascii="Times New Roman" w:hAnsi="Times New Roman" w:cs="Times New Roman"/>
          <w:bCs/>
          <w:position w:val="-14"/>
          <w:sz w:val="24"/>
          <w:szCs w:val="24"/>
        </w:rPr>
        <w:object>
          <v:shape id="_x0000_i1060" o:spt="75" type="#_x0000_t75" style="height:19.15pt;width:48.7pt;" o:ole="t" filled="f" o:preferrelative="t" stroked="f" coordsize="21600,21600">
            <v:path/>
            <v:fill on="f" focussize="0,0"/>
            <v:stroke on="f" joinstyle="miter"/>
            <v:imagedata r:id="rId91" o:title=""/>
            <o:lock v:ext="edit" aspectratio="f"/>
            <w10:wrap type="none"/>
            <w10:anchorlock/>
          </v:shape>
          <o:OLEObject Type="Embed" ProgID="Equation.DSMT4" ShapeID="_x0000_i1060" DrawAspect="Content" ObjectID="_1468075760" r:id="rId90">
            <o:LockedField>false</o:LockedField>
          </o:OLEObject>
        </w:object>
      </w:r>
      <w:r>
        <w:rPr>
          <w:rFonts w:hint="eastAsia" w:ascii="Times New Roman" w:hAnsi="Times New Roman" w:cs="Times New Roman"/>
          <w:bCs/>
          <w:sz w:val="24"/>
          <w:szCs w:val="24"/>
        </w:rPr>
        <w:t>（</w:t>
      </w:r>
      <w:r>
        <w:rPr>
          <w:rFonts w:ascii="Times New Roman" w:hAnsi="Times New Roman" w:cs="Times New Roman"/>
          <w:bCs/>
          <w:sz w:val="24"/>
          <w:szCs w:val="24"/>
        </w:rPr>
        <w:t>独立董事占比</w:t>
      </w:r>
      <w:r>
        <w:rPr>
          <w:rFonts w:hint="eastAsia" w:ascii="Times New Roman" w:hAnsi="Times New Roman" w:cs="Times New Roman"/>
          <w:bCs/>
          <w:sz w:val="24"/>
          <w:szCs w:val="24"/>
        </w:rPr>
        <w:t>）</w:t>
      </w:r>
      <w:r>
        <w:rPr>
          <w:rFonts w:ascii="Times New Roman" w:hAnsi="Times New Roman" w:cs="Times New Roman"/>
          <w:bCs/>
          <w:sz w:val="24"/>
          <w:szCs w:val="24"/>
        </w:rPr>
        <w:t>；</w:t>
      </w:r>
      <w:r>
        <w:rPr>
          <w:rFonts w:ascii="Times New Roman" w:hAnsi="Times New Roman" w:cs="Times New Roman"/>
          <w:bCs/>
          <w:position w:val="-14"/>
          <w:sz w:val="24"/>
          <w:szCs w:val="24"/>
        </w:rPr>
        <w:object>
          <v:shape id="_x0000_i1061" o:spt="75" type="#_x0000_t75" style="height:19.15pt;width:42.05pt;" o:ole="t" filled="f" o:preferrelative="t" stroked="f" coordsize="21600,21600">
            <v:path/>
            <v:fill on="f" focussize="0,0"/>
            <v:stroke on="f" joinstyle="miter"/>
            <v:imagedata r:id="rId93" o:title=""/>
            <o:lock v:ext="edit" aspectratio="f"/>
            <w10:wrap type="none"/>
            <w10:anchorlock/>
          </v:shape>
          <o:OLEObject Type="Embed" ProgID="Equation.DSMT4" ShapeID="_x0000_i1061" DrawAspect="Content" ObjectID="_1468075761" r:id="rId92">
            <o:LockedField>false</o:LockedField>
          </o:OLEObject>
        </w:object>
      </w:r>
      <w:r>
        <w:rPr>
          <w:rFonts w:hint="eastAsia" w:ascii="Times New Roman" w:hAnsi="Times New Roman" w:cs="Times New Roman"/>
          <w:bCs/>
          <w:sz w:val="24"/>
          <w:szCs w:val="24"/>
        </w:rPr>
        <w:t>（企业</w:t>
      </w:r>
      <w:r>
        <w:rPr>
          <w:rFonts w:ascii="Times New Roman" w:hAnsi="Times New Roman" w:cs="Times New Roman"/>
          <w:bCs/>
          <w:sz w:val="24"/>
          <w:szCs w:val="24"/>
        </w:rPr>
        <w:t>年末的市净率</w:t>
      </w:r>
      <w:r>
        <w:rPr>
          <w:rFonts w:hint="eastAsia" w:ascii="Times New Roman" w:hAnsi="Times New Roman" w:cs="Times New Roman"/>
          <w:bCs/>
          <w:sz w:val="24"/>
          <w:szCs w:val="24"/>
        </w:rPr>
        <w:t>）</w:t>
      </w:r>
      <w:r>
        <w:rPr>
          <w:rFonts w:ascii="Times New Roman" w:hAnsi="Times New Roman" w:cs="Times New Roman"/>
          <w:bCs/>
          <w:sz w:val="24"/>
          <w:szCs w:val="24"/>
        </w:rPr>
        <w:t>。并参考黎文靖等（2015）和唐松等（2019）的研究，控制了表示公司治理的代理变量</w:t>
      </w:r>
      <w:r>
        <w:rPr>
          <w:rFonts w:ascii="Times New Roman" w:hAnsi="Times New Roman" w:cs="Times New Roman"/>
          <w:bCs/>
          <w:position w:val="-14"/>
          <w:sz w:val="24"/>
          <w:szCs w:val="24"/>
        </w:rPr>
        <w:object>
          <v:shape id="_x0000_i1062" o:spt="75" type="#_x0000_t75" style="height:19.15pt;width:70.75pt;" o:ole="t" filled="f" o:preferrelative="t" stroked="f" coordsize="21600,21600">
            <v:path/>
            <v:fill on="f" focussize="0,0"/>
            <v:stroke on="f" joinstyle="miter"/>
            <v:imagedata r:id="rId95" o:title=""/>
            <o:lock v:ext="edit" aspectratio="f"/>
            <w10:wrap type="none"/>
            <w10:anchorlock/>
          </v:shape>
          <o:OLEObject Type="Embed" ProgID="Equation.DSMT4" ShapeID="_x0000_i1062" DrawAspect="Content" ObjectID="_1468075762" r:id="rId94">
            <o:LockedField>false</o:LockedField>
          </o:OLEObject>
        </w:object>
      </w:r>
      <w:r>
        <w:rPr>
          <w:rFonts w:hint="eastAsia" w:ascii="Times New Roman" w:hAnsi="Times New Roman" w:cs="Times New Roman"/>
          <w:bCs/>
          <w:sz w:val="24"/>
          <w:szCs w:val="24"/>
        </w:rPr>
        <w:t>（</w:t>
      </w:r>
      <w:r>
        <w:rPr>
          <w:rFonts w:ascii="Times New Roman" w:hAnsi="Times New Roman" w:cs="Times New Roman"/>
          <w:bCs/>
          <w:sz w:val="24"/>
          <w:szCs w:val="24"/>
        </w:rPr>
        <w:t>第一大股东持股比例</w:t>
      </w:r>
      <w:r>
        <w:rPr>
          <w:rFonts w:hint="eastAsia" w:ascii="Times New Roman" w:hAnsi="Times New Roman" w:cs="Times New Roman"/>
          <w:bCs/>
          <w:sz w:val="24"/>
          <w:szCs w:val="24"/>
        </w:rPr>
        <w:t>）。</w:t>
      </w:r>
    </w:p>
    <w:p>
      <w:pPr>
        <w:numPr>
          <w:ilvl w:val="0"/>
          <w:numId w:val="4"/>
        </w:numPr>
        <w:spacing w:line="360" w:lineRule="auto"/>
        <w:ind w:left="480"/>
        <w:rPr>
          <w:rFonts w:ascii="Times New Roman" w:hAnsi="Times New Roman" w:cs="Times New Roman"/>
          <w:bCs/>
          <w:sz w:val="24"/>
          <w:szCs w:val="24"/>
        </w:rPr>
      </w:pPr>
      <w:r>
        <w:rPr>
          <w:rFonts w:ascii="Times New Roman" w:hAnsi="Times New Roman" w:cs="Times New Roman"/>
          <w:bCs/>
          <w:sz w:val="24"/>
          <w:szCs w:val="24"/>
        </w:rPr>
        <w:t>负面环境信息披露</w:t>
      </w:r>
      <w:r>
        <w:rPr>
          <w:rFonts w:hint="eastAsia" w:ascii="Times New Roman" w:hAnsi="Times New Roman" w:cs="Times New Roman"/>
          <w:bCs/>
          <w:sz w:val="24"/>
          <w:szCs w:val="24"/>
        </w:rPr>
        <w:t>、</w:t>
      </w:r>
      <w:r>
        <w:rPr>
          <w:rFonts w:ascii="Times New Roman" w:hAnsi="Times New Roman" w:cs="Times New Roman"/>
          <w:bCs/>
          <w:sz w:val="24"/>
          <w:szCs w:val="24"/>
        </w:rPr>
        <w:t>财务风险</w:t>
      </w:r>
      <w:r>
        <w:rPr>
          <w:rFonts w:hint="eastAsia" w:ascii="Times New Roman" w:hAnsi="Times New Roman" w:cs="Times New Roman"/>
          <w:bCs/>
          <w:sz w:val="24"/>
          <w:szCs w:val="24"/>
        </w:rPr>
        <w:t>与企业价值</w:t>
      </w:r>
    </w:p>
    <w:p>
      <w:pPr>
        <w:spacing w:line="360" w:lineRule="auto"/>
        <w:ind w:firstLine="480" w:firstLineChars="200"/>
        <w:jc w:val="left"/>
        <w:rPr>
          <w:rFonts w:ascii="Times New Roman" w:hAnsi="Times New Roman" w:cs="Times New Roman"/>
          <w:bCs/>
          <w:sz w:val="24"/>
          <w:szCs w:val="24"/>
        </w:rPr>
      </w:pPr>
      <w:r>
        <w:rPr>
          <w:rFonts w:hint="eastAsia" w:ascii="Times New Roman" w:hAnsi="Times New Roman" w:cs="Times New Roman"/>
          <w:bCs/>
          <w:sz w:val="24"/>
          <w:szCs w:val="24"/>
        </w:rPr>
        <w:t>通过式（3-10）检验负面环境信息披露、财务风险与企业价值三者之间的关系。</w:t>
      </w:r>
      <w:r>
        <w:rPr>
          <w:rFonts w:ascii="Times New Roman" w:hAnsi="Times New Roman" w:cs="Times New Roman"/>
          <w:bCs/>
          <w:sz w:val="24"/>
          <w:szCs w:val="24"/>
        </w:rPr>
        <w:t>我们预期负面环境信息披露通过增加企业的财务风险来降低企业价值，因此预期</w:t>
      </w:r>
      <w:r>
        <w:rPr>
          <w:rFonts w:ascii="Times New Roman" w:hAnsi="Times New Roman" w:cs="Times New Roman"/>
          <w:bCs/>
          <w:position w:val="-12"/>
          <w:sz w:val="24"/>
          <w:szCs w:val="24"/>
        </w:rPr>
        <w:object>
          <v:shape id="_x0000_i1063" o:spt="75" type="#_x0000_t75" style="height:18.3pt;width:13.3pt;" o:ole="t" filled="f" o:preferrelative="t" stroked="f" coordsize="21600,21600">
            <v:path/>
            <v:fill on="f" focussize="0,0"/>
            <v:stroke on="f" joinstyle="miter"/>
            <v:imagedata r:id="rId77" o:title=""/>
            <o:lock v:ext="edit" aspectratio="f"/>
            <w10:wrap type="none"/>
            <w10:anchorlock/>
          </v:shape>
          <o:OLEObject Type="Embed" ProgID="Equation.DSMT4" ShapeID="_x0000_i1063" DrawAspect="Content" ObjectID="_1468075763" r:id="rId96">
            <o:LockedField>false</o:LockedField>
          </o:OLEObject>
        </w:object>
      </w:r>
      <w:r>
        <w:rPr>
          <w:rFonts w:ascii="Times New Roman" w:hAnsi="Times New Roman" w:cs="Times New Roman"/>
          <w:bCs/>
          <w:sz w:val="24"/>
          <w:szCs w:val="24"/>
        </w:rPr>
        <w:t>系数为正。</w:t>
      </w:r>
    </w:p>
    <w:p>
      <w:pPr>
        <w:pStyle w:val="47"/>
        <w:ind w:firstLine="480" w:firstLineChars="200"/>
      </w:pPr>
      <w:r>
        <w:rPr>
          <w:position w:val="-52"/>
        </w:rPr>
        <w:object>
          <v:shape id="_x0000_i1064" o:spt="75" type="#_x0000_t75" style="height:57pt;width:335.05pt;" o:ole="t" filled="f" o:preferrelative="t" stroked="f" coordsize="21600,21600">
            <v:path/>
            <v:fill on="f" focussize="0,0"/>
            <v:stroke on="f" joinstyle="miter"/>
            <v:imagedata r:id="rId98" o:title=""/>
            <o:lock v:ext="edit" aspectratio="t"/>
            <w10:wrap type="none"/>
            <w10:anchorlock/>
          </v:shape>
          <o:OLEObject Type="Embed" ProgID="Equation.DSMT4" ShapeID="_x0000_i1064" DrawAspect="Content" ObjectID="_1468075764" r:id="rId9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10</w:instrText>
      </w:r>
      <w:r>
        <w:fldChar w:fldCharType="end"/>
      </w:r>
      <w:r>
        <w:instrText xml:space="preserve">)</w:instrText>
      </w:r>
      <w:r>
        <w:fldChar w:fldCharType="end"/>
      </w:r>
    </w:p>
    <w:p>
      <w:pPr>
        <w:pStyle w:val="28"/>
        <w:spacing w:line="360" w:lineRule="auto"/>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Start w:id="105" w:name="_Toc1102"/>
      <w:r>
        <w:t xml:space="preserve"> </w:t>
      </w:r>
      <w:r>
        <w:rPr>
          <w:rFonts w:hint="eastAsia"/>
        </w:rPr>
        <w:t>变量定义</w:t>
      </w:r>
      <w:bookmarkEnd w:id="105"/>
    </w:p>
    <w:tbl>
      <w:tblPr>
        <w:tblStyle w:val="16"/>
        <w:tblW w:w="5000" w:type="pct"/>
        <w:tblInd w:w="0" w:type="dxa"/>
        <w:tblLayout w:type="autofit"/>
        <w:tblCellMar>
          <w:top w:w="0" w:type="dxa"/>
          <w:left w:w="108" w:type="dxa"/>
          <w:bottom w:w="0" w:type="dxa"/>
          <w:right w:w="108" w:type="dxa"/>
        </w:tblCellMar>
      </w:tblPr>
      <w:tblGrid>
        <w:gridCol w:w="1309"/>
        <w:gridCol w:w="7213"/>
      </w:tblGrid>
      <w:tr>
        <w:tblPrEx>
          <w:tblCellMar>
            <w:top w:w="0" w:type="dxa"/>
            <w:left w:w="108" w:type="dxa"/>
            <w:bottom w:w="0" w:type="dxa"/>
            <w:right w:w="108" w:type="dxa"/>
          </w:tblCellMar>
        </w:tblPrEx>
        <w:trPr>
          <w:trHeight w:val="397" w:hRule="atLeast"/>
        </w:trPr>
        <w:tc>
          <w:tcPr>
            <w:tcW w:w="768" w:type="pct"/>
            <w:tcBorders>
              <w:top w:val="single" w:color="auto" w:sz="12" w:space="0"/>
              <w:bottom w:val="single" w:color="auto" w:sz="4" w:space="0"/>
              <w:right w:val="single" w:color="auto" w:sz="4" w:space="0"/>
            </w:tcBorders>
            <w:vAlign w:val="center"/>
          </w:tcPr>
          <w:p>
            <w:pPr>
              <w:pStyle w:val="30"/>
              <w:jc w:val="center"/>
              <w:rPr>
                <w:b/>
                <w:bCs/>
              </w:rPr>
            </w:pPr>
            <w:r>
              <w:rPr>
                <w:rFonts w:hint="eastAsia"/>
                <w:b/>
                <w:bCs/>
              </w:rPr>
              <w:t>变量符号</w:t>
            </w:r>
          </w:p>
        </w:tc>
        <w:tc>
          <w:tcPr>
            <w:tcW w:w="4231" w:type="pct"/>
            <w:tcBorders>
              <w:top w:val="single" w:color="auto" w:sz="12" w:space="0"/>
              <w:left w:val="single" w:color="auto" w:sz="4" w:space="0"/>
              <w:bottom w:val="single" w:color="auto" w:sz="4" w:space="0"/>
            </w:tcBorders>
            <w:vAlign w:val="center"/>
          </w:tcPr>
          <w:p>
            <w:pPr>
              <w:pStyle w:val="30"/>
              <w:jc w:val="center"/>
              <w:rPr>
                <w:b/>
                <w:bCs/>
              </w:rPr>
            </w:pPr>
            <w:r>
              <w:rPr>
                <w:rFonts w:hint="eastAsia"/>
                <w:b/>
                <w:bCs/>
              </w:rPr>
              <w:t>变量含义</w:t>
            </w:r>
          </w:p>
        </w:tc>
      </w:tr>
      <w:tr>
        <w:tblPrEx>
          <w:tblCellMar>
            <w:top w:w="0" w:type="dxa"/>
            <w:left w:w="108" w:type="dxa"/>
            <w:bottom w:w="0" w:type="dxa"/>
            <w:right w:w="108" w:type="dxa"/>
          </w:tblCellMar>
        </w:tblPrEx>
        <w:trPr>
          <w:trHeight w:val="397" w:hRule="atLeast"/>
        </w:trPr>
        <w:tc>
          <w:tcPr>
            <w:tcW w:w="768" w:type="pct"/>
            <w:tcBorders>
              <w:top w:val="single" w:color="auto" w:sz="4" w:space="0"/>
              <w:left w:val="nil"/>
              <w:bottom w:val="single" w:color="auto" w:sz="4" w:space="0"/>
              <w:right w:val="single" w:color="auto" w:sz="4" w:space="0"/>
            </w:tcBorders>
            <w:vAlign w:val="center"/>
          </w:tcPr>
          <w:p>
            <w:pPr>
              <w:pStyle w:val="30"/>
              <w:rPr>
                <w:bCs/>
              </w:rPr>
            </w:pPr>
            <w:r>
              <w:rPr>
                <w:rFonts w:hint="eastAsia"/>
                <w:bCs/>
              </w:rPr>
              <w:t>TobinQ</w:t>
            </w:r>
          </w:p>
        </w:tc>
        <w:tc>
          <w:tcPr>
            <w:tcW w:w="4231" w:type="pct"/>
            <w:tcBorders>
              <w:top w:val="single" w:color="auto" w:sz="4" w:space="0"/>
              <w:left w:val="single" w:color="auto" w:sz="4" w:space="0"/>
              <w:bottom w:val="single" w:color="auto" w:sz="4" w:space="0"/>
              <w:right w:val="nil"/>
            </w:tcBorders>
            <w:vAlign w:val="center"/>
          </w:tcPr>
          <w:p>
            <w:pPr>
              <w:pStyle w:val="30"/>
              <w:rPr>
                <w:bCs/>
              </w:rPr>
            </w:pPr>
            <w:r>
              <w:rPr>
                <w:rFonts w:hint="eastAsia"/>
                <w:bCs/>
              </w:rPr>
              <w:t>企业价值的代理变量，等于市值除以资产总计</w:t>
            </w:r>
          </w:p>
        </w:tc>
      </w:tr>
      <w:tr>
        <w:tblPrEx>
          <w:tblCellMar>
            <w:top w:w="0" w:type="dxa"/>
            <w:left w:w="108" w:type="dxa"/>
            <w:bottom w:w="0" w:type="dxa"/>
            <w:right w:w="108" w:type="dxa"/>
          </w:tblCellMar>
        </w:tblPrEx>
        <w:trPr>
          <w:trHeight w:val="397" w:hRule="atLeast"/>
        </w:trPr>
        <w:tc>
          <w:tcPr>
            <w:tcW w:w="768" w:type="pct"/>
            <w:tcBorders>
              <w:top w:val="single" w:color="auto" w:sz="4" w:space="0"/>
              <w:left w:val="nil"/>
              <w:bottom w:val="single" w:color="auto" w:sz="4" w:space="0"/>
              <w:right w:val="single" w:color="auto" w:sz="4" w:space="0"/>
            </w:tcBorders>
            <w:vAlign w:val="center"/>
          </w:tcPr>
          <w:p>
            <w:pPr>
              <w:pStyle w:val="30"/>
              <w:rPr>
                <w:bCs/>
              </w:rPr>
            </w:pPr>
            <w:r>
              <w:rPr>
                <w:rFonts w:hint="eastAsia"/>
                <w:bCs/>
              </w:rPr>
              <w:t>Eventyear</w:t>
            </w:r>
          </w:p>
        </w:tc>
        <w:tc>
          <w:tcPr>
            <w:tcW w:w="4231" w:type="pct"/>
            <w:tcBorders>
              <w:top w:val="single" w:color="auto" w:sz="4" w:space="0"/>
              <w:left w:val="single" w:color="auto" w:sz="4" w:space="0"/>
              <w:bottom w:val="single" w:color="auto" w:sz="4" w:space="0"/>
              <w:right w:val="nil"/>
            </w:tcBorders>
            <w:vAlign w:val="center"/>
          </w:tcPr>
          <w:p>
            <w:pPr>
              <w:pStyle w:val="30"/>
              <w:rPr>
                <w:bCs/>
              </w:rPr>
            </w:pPr>
            <w:r>
              <w:rPr>
                <w:rFonts w:hint="eastAsia"/>
                <w:bCs/>
              </w:rPr>
              <w:t>负面环境信息披露与否的虚拟变量，事件当年和后续年度为1，否则为0</w:t>
            </w:r>
          </w:p>
        </w:tc>
      </w:tr>
      <w:tr>
        <w:tblPrEx>
          <w:tblCellMar>
            <w:top w:w="0" w:type="dxa"/>
            <w:left w:w="108" w:type="dxa"/>
            <w:bottom w:w="0" w:type="dxa"/>
            <w:right w:w="108" w:type="dxa"/>
          </w:tblCellMar>
        </w:tblPrEx>
        <w:trPr>
          <w:trHeight w:val="397" w:hRule="atLeast"/>
        </w:trPr>
        <w:tc>
          <w:tcPr>
            <w:tcW w:w="768" w:type="pct"/>
            <w:tcBorders>
              <w:top w:val="single" w:color="auto" w:sz="4" w:space="0"/>
              <w:left w:val="nil"/>
              <w:bottom w:val="single" w:color="auto" w:sz="4" w:space="0"/>
              <w:right w:val="single" w:color="auto" w:sz="4" w:space="0"/>
            </w:tcBorders>
            <w:vAlign w:val="center"/>
          </w:tcPr>
          <w:p>
            <w:pPr>
              <w:pStyle w:val="30"/>
              <w:rPr>
                <w:bCs/>
              </w:rPr>
            </w:pPr>
            <w:r>
              <w:rPr>
                <w:rFonts w:hint="eastAsia"/>
                <w:bCs/>
              </w:rPr>
              <w:t>Z</w:t>
            </w:r>
          </w:p>
        </w:tc>
        <w:tc>
          <w:tcPr>
            <w:tcW w:w="4231" w:type="pct"/>
            <w:tcBorders>
              <w:top w:val="single" w:color="auto" w:sz="4" w:space="0"/>
              <w:left w:val="single" w:color="auto" w:sz="4" w:space="0"/>
              <w:bottom w:val="single" w:color="auto" w:sz="4" w:space="0"/>
              <w:right w:val="nil"/>
            </w:tcBorders>
            <w:vAlign w:val="center"/>
          </w:tcPr>
          <w:p>
            <w:pPr>
              <w:pStyle w:val="30"/>
              <w:rPr>
                <w:bCs/>
              </w:rPr>
            </w:pPr>
            <w:r>
              <w:rPr>
                <w:rFonts w:hint="eastAsia"/>
                <w:bCs/>
              </w:rPr>
              <w:t>财务风险，取Z-score模型得分</w:t>
            </w:r>
          </w:p>
        </w:tc>
      </w:tr>
      <w:tr>
        <w:tblPrEx>
          <w:tblCellMar>
            <w:top w:w="0" w:type="dxa"/>
            <w:left w:w="108" w:type="dxa"/>
            <w:bottom w:w="0" w:type="dxa"/>
            <w:right w:w="108" w:type="dxa"/>
          </w:tblCellMar>
        </w:tblPrEx>
        <w:trPr>
          <w:trHeight w:val="397" w:hRule="atLeast"/>
        </w:trPr>
        <w:tc>
          <w:tcPr>
            <w:tcW w:w="768" w:type="pct"/>
            <w:tcBorders>
              <w:top w:val="single" w:color="auto" w:sz="4" w:space="0"/>
              <w:left w:val="nil"/>
              <w:bottom w:val="single" w:color="auto" w:sz="4" w:space="0"/>
              <w:right w:val="single" w:color="auto" w:sz="4" w:space="0"/>
            </w:tcBorders>
            <w:vAlign w:val="center"/>
          </w:tcPr>
          <w:p>
            <w:pPr>
              <w:pStyle w:val="30"/>
              <w:rPr>
                <w:bCs/>
              </w:rPr>
            </w:pPr>
            <w:r>
              <w:rPr>
                <w:rFonts w:hint="eastAsia"/>
                <w:bCs/>
              </w:rPr>
              <w:t>Age</w:t>
            </w:r>
          </w:p>
        </w:tc>
        <w:tc>
          <w:tcPr>
            <w:tcW w:w="4231" w:type="pct"/>
            <w:tcBorders>
              <w:top w:val="single" w:color="auto" w:sz="4" w:space="0"/>
              <w:left w:val="single" w:color="auto" w:sz="4" w:space="0"/>
              <w:bottom w:val="single" w:color="auto" w:sz="4" w:space="0"/>
              <w:right w:val="nil"/>
            </w:tcBorders>
            <w:vAlign w:val="center"/>
          </w:tcPr>
          <w:p>
            <w:pPr>
              <w:pStyle w:val="30"/>
              <w:rPr>
                <w:bCs/>
              </w:rPr>
            </w:pPr>
            <w:r>
              <w:rPr>
                <w:rFonts w:hint="eastAsia"/>
                <w:bCs/>
              </w:rPr>
              <w:t>公司上市年限的自然对数</w:t>
            </w:r>
          </w:p>
        </w:tc>
      </w:tr>
      <w:tr>
        <w:tblPrEx>
          <w:tblCellMar>
            <w:top w:w="0" w:type="dxa"/>
            <w:left w:w="108" w:type="dxa"/>
            <w:bottom w:w="0" w:type="dxa"/>
            <w:right w:w="108" w:type="dxa"/>
          </w:tblCellMar>
        </w:tblPrEx>
        <w:trPr>
          <w:trHeight w:val="397" w:hRule="atLeast"/>
        </w:trPr>
        <w:tc>
          <w:tcPr>
            <w:tcW w:w="768" w:type="pct"/>
            <w:tcBorders>
              <w:top w:val="single" w:color="auto" w:sz="4" w:space="0"/>
              <w:left w:val="nil"/>
              <w:bottom w:val="single" w:color="auto" w:sz="4" w:space="0"/>
              <w:right w:val="single" w:color="auto" w:sz="4" w:space="0"/>
            </w:tcBorders>
            <w:vAlign w:val="center"/>
          </w:tcPr>
          <w:p>
            <w:pPr>
              <w:pStyle w:val="30"/>
              <w:rPr>
                <w:bCs/>
              </w:rPr>
            </w:pPr>
            <w:r>
              <w:rPr>
                <w:rFonts w:hint="eastAsia"/>
                <w:bCs/>
              </w:rPr>
              <w:t>Largeholder</w:t>
            </w:r>
          </w:p>
        </w:tc>
        <w:tc>
          <w:tcPr>
            <w:tcW w:w="4231" w:type="pct"/>
            <w:tcBorders>
              <w:top w:val="single" w:color="auto" w:sz="4" w:space="0"/>
              <w:left w:val="single" w:color="auto" w:sz="4" w:space="0"/>
              <w:bottom w:val="single" w:color="auto" w:sz="4" w:space="0"/>
            </w:tcBorders>
            <w:vAlign w:val="center"/>
          </w:tcPr>
          <w:p>
            <w:pPr>
              <w:pStyle w:val="30"/>
              <w:rPr>
                <w:bCs/>
              </w:rPr>
            </w:pPr>
            <w:r>
              <w:rPr>
                <w:rFonts w:hint="eastAsia"/>
                <w:bCs/>
              </w:rPr>
              <w:t>公司治理的代理变量，第一大股东持股比例</w:t>
            </w:r>
          </w:p>
        </w:tc>
      </w:tr>
      <w:tr>
        <w:tblPrEx>
          <w:tblCellMar>
            <w:top w:w="0" w:type="dxa"/>
            <w:left w:w="108" w:type="dxa"/>
            <w:bottom w:w="0" w:type="dxa"/>
            <w:right w:w="108" w:type="dxa"/>
          </w:tblCellMar>
        </w:tblPrEx>
        <w:trPr>
          <w:trHeight w:val="397" w:hRule="atLeast"/>
        </w:trPr>
        <w:tc>
          <w:tcPr>
            <w:tcW w:w="768" w:type="pct"/>
            <w:tcBorders>
              <w:top w:val="single" w:color="auto" w:sz="4" w:space="0"/>
              <w:left w:val="nil"/>
              <w:bottom w:val="single" w:color="auto" w:sz="4" w:space="0"/>
              <w:right w:val="single" w:color="auto" w:sz="4" w:space="0"/>
            </w:tcBorders>
            <w:vAlign w:val="center"/>
          </w:tcPr>
          <w:p>
            <w:pPr>
              <w:pStyle w:val="30"/>
              <w:rPr>
                <w:bCs/>
              </w:rPr>
            </w:pPr>
            <w:r>
              <w:rPr>
                <w:rFonts w:hint="eastAsia"/>
                <w:bCs/>
              </w:rPr>
              <w:t>Size</w:t>
            </w:r>
          </w:p>
        </w:tc>
        <w:tc>
          <w:tcPr>
            <w:tcW w:w="4231" w:type="pct"/>
            <w:tcBorders>
              <w:top w:val="single" w:color="auto" w:sz="4" w:space="0"/>
              <w:left w:val="single" w:color="auto" w:sz="4" w:space="0"/>
              <w:bottom w:val="single" w:color="auto" w:sz="4" w:space="0"/>
              <w:right w:val="nil"/>
            </w:tcBorders>
            <w:vAlign w:val="center"/>
          </w:tcPr>
          <w:p>
            <w:pPr>
              <w:pStyle w:val="30"/>
              <w:rPr>
                <w:bCs/>
              </w:rPr>
            </w:pPr>
            <w:r>
              <w:rPr>
                <w:rFonts w:hint="eastAsia"/>
                <w:bCs/>
              </w:rPr>
              <w:t>公司规模，取公司总资产的自然对数</w:t>
            </w:r>
          </w:p>
        </w:tc>
      </w:tr>
      <w:tr>
        <w:tblPrEx>
          <w:tblCellMar>
            <w:top w:w="0" w:type="dxa"/>
            <w:left w:w="108" w:type="dxa"/>
            <w:bottom w:w="0" w:type="dxa"/>
            <w:right w:w="108" w:type="dxa"/>
          </w:tblCellMar>
        </w:tblPrEx>
        <w:trPr>
          <w:trHeight w:val="397" w:hRule="atLeast"/>
        </w:trPr>
        <w:tc>
          <w:tcPr>
            <w:tcW w:w="768" w:type="pct"/>
            <w:tcBorders>
              <w:top w:val="single" w:color="auto" w:sz="4" w:space="0"/>
              <w:left w:val="nil"/>
              <w:bottom w:val="single" w:color="auto" w:sz="4" w:space="0"/>
              <w:right w:val="single" w:color="auto" w:sz="4" w:space="0"/>
            </w:tcBorders>
            <w:vAlign w:val="center"/>
          </w:tcPr>
          <w:p>
            <w:pPr>
              <w:pStyle w:val="30"/>
              <w:rPr>
                <w:bCs/>
              </w:rPr>
            </w:pPr>
            <w:r>
              <w:rPr>
                <w:rFonts w:hint="eastAsia"/>
                <w:bCs/>
              </w:rPr>
              <w:t>Lev</w:t>
            </w:r>
          </w:p>
        </w:tc>
        <w:tc>
          <w:tcPr>
            <w:tcW w:w="4231" w:type="pct"/>
            <w:tcBorders>
              <w:top w:val="single" w:color="auto" w:sz="4" w:space="0"/>
              <w:left w:val="single" w:color="auto" w:sz="4" w:space="0"/>
              <w:bottom w:val="single" w:color="auto" w:sz="4" w:space="0"/>
              <w:right w:val="nil"/>
            </w:tcBorders>
            <w:vAlign w:val="center"/>
          </w:tcPr>
          <w:p>
            <w:pPr>
              <w:pStyle w:val="30"/>
              <w:rPr>
                <w:bCs/>
              </w:rPr>
            </w:pPr>
            <w:r>
              <w:rPr>
                <w:rFonts w:hint="eastAsia"/>
                <w:bCs/>
              </w:rPr>
              <w:t>资产负债率，等于期末负债占总资产的比重</w:t>
            </w:r>
          </w:p>
        </w:tc>
      </w:tr>
      <w:tr>
        <w:tblPrEx>
          <w:tblCellMar>
            <w:top w:w="0" w:type="dxa"/>
            <w:left w:w="108" w:type="dxa"/>
            <w:bottom w:w="0" w:type="dxa"/>
            <w:right w:w="108" w:type="dxa"/>
          </w:tblCellMar>
        </w:tblPrEx>
        <w:trPr>
          <w:trHeight w:val="397" w:hRule="atLeast"/>
        </w:trPr>
        <w:tc>
          <w:tcPr>
            <w:tcW w:w="768" w:type="pct"/>
            <w:tcBorders>
              <w:top w:val="single" w:color="auto" w:sz="4" w:space="0"/>
              <w:left w:val="nil"/>
              <w:bottom w:val="single" w:color="auto" w:sz="4" w:space="0"/>
              <w:right w:val="single" w:color="auto" w:sz="4" w:space="0"/>
            </w:tcBorders>
            <w:vAlign w:val="center"/>
          </w:tcPr>
          <w:p>
            <w:pPr>
              <w:pStyle w:val="30"/>
              <w:rPr>
                <w:bCs/>
              </w:rPr>
            </w:pPr>
            <w:r>
              <w:rPr>
                <w:rFonts w:hint="eastAsia"/>
                <w:bCs/>
              </w:rPr>
              <w:t>ROA</w:t>
            </w:r>
          </w:p>
        </w:tc>
        <w:tc>
          <w:tcPr>
            <w:tcW w:w="4231" w:type="pct"/>
            <w:tcBorders>
              <w:top w:val="single" w:color="auto" w:sz="4" w:space="0"/>
              <w:left w:val="single" w:color="auto" w:sz="4" w:space="0"/>
              <w:bottom w:val="single" w:color="auto" w:sz="4" w:space="0"/>
              <w:right w:val="nil"/>
            </w:tcBorders>
            <w:vAlign w:val="center"/>
          </w:tcPr>
          <w:p>
            <w:pPr>
              <w:pStyle w:val="30"/>
              <w:rPr>
                <w:bCs/>
              </w:rPr>
            </w:pPr>
            <w:r>
              <w:rPr>
                <w:rFonts w:hint="eastAsia"/>
                <w:bCs/>
              </w:rPr>
              <w:t>盈利能力指标，等于净利润/总资产</w:t>
            </w:r>
          </w:p>
        </w:tc>
      </w:tr>
      <w:tr>
        <w:tblPrEx>
          <w:tblCellMar>
            <w:top w:w="0" w:type="dxa"/>
            <w:left w:w="108" w:type="dxa"/>
            <w:bottom w:w="0" w:type="dxa"/>
            <w:right w:w="108" w:type="dxa"/>
          </w:tblCellMar>
        </w:tblPrEx>
        <w:trPr>
          <w:trHeight w:val="397" w:hRule="atLeast"/>
        </w:trPr>
        <w:tc>
          <w:tcPr>
            <w:tcW w:w="768" w:type="pct"/>
            <w:tcBorders>
              <w:top w:val="single" w:color="auto" w:sz="4" w:space="0"/>
              <w:left w:val="nil"/>
              <w:bottom w:val="single" w:color="auto" w:sz="4" w:space="0"/>
              <w:right w:val="single" w:color="auto" w:sz="4" w:space="0"/>
            </w:tcBorders>
            <w:vAlign w:val="center"/>
          </w:tcPr>
          <w:p>
            <w:pPr>
              <w:pStyle w:val="30"/>
              <w:rPr>
                <w:bCs/>
              </w:rPr>
            </w:pPr>
            <w:r>
              <w:rPr>
                <w:rFonts w:hint="eastAsia"/>
                <w:bCs/>
              </w:rPr>
              <w:t>Dual</w:t>
            </w:r>
          </w:p>
        </w:tc>
        <w:tc>
          <w:tcPr>
            <w:tcW w:w="4231" w:type="pct"/>
            <w:tcBorders>
              <w:top w:val="single" w:color="auto" w:sz="4" w:space="0"/>
              <w:left w:val="single" w:color="auto" w:sz="4" w:space="0"/>
              <w:bottom w:val="single" w:color="auto" w:sz="4" w:space="0"/>
              <w:right w:val="nil"/>
            </w:tcBorders>
            <w:vAlign w:val="center"/>
          </w:tcPr>
          <w:p>
            <w:pPr>
              <w:pStyle w:val="30"/>
              <w:rPr>
                <w:bCs/>
              </w:rPr>
            </w:pPr>
            <w:r>
              <w:rPr>
                <w:rFonts w:hint="eastAsia"/>
                <w:bCs/>
              </w:rPr>
              <w:t>是否两职合一，如果CEO与董事长为同一人设为1，否则为0</w:t>
            </w:r>
          </w:p>
        </w:tc>
      </w:tr>
      <w:tr>
        <w:tblPrEx>
          <w:tblCellMar>
            <w:top w:w="0" w:type="dxa"/>
            <w:left w:w="108" w:type="dxa"/>
            <w:bottom w:w="0" w:type="dxa"/>
            <w:right w:w="108" w:type="dxa"/>
          </w:tblCellMar>
        </w:tblPrEx>
        <w:trPr>
          <w:trHeight w:val="397" w:hRule="atLeast"/>
        </w:trPr>
        <w:tc>
          <w:tcPr>
            <w:tcW w:w="768" w:type="pct"/>
            <w:tcBorders>
              <w:top w:val="single" w:color="auto" w:sz="4" w:space="0"/>
              <w:left w:val="nil"/>
              <w:bottom w:val="single" w:color="auto" w:sz="4" w:space="0"/>
              <w:right w:val="single" w:color="auto" w:sz="4" w:space="0"/>
            </w:tcBorders>
            <w:vAlign w:val="center"/>
          </w:tcPr>
          <w:p>
            <w:pPr>
              <w:pStyle w:val="30"/>
              <w:rPr>
                <w:bCs/>
              </w:rPr>
            </w:pPr>
            <w:r>
              <w:rPr>
                <w:rFonts w:hint="eastAsia"/>
                <w:bCs/>
              </w:rPr>
              <w:t>BSize</w:t>
            </w:r>
          </w:p>
        </w:tc>
        <w:tc>
          <w:tcPr>
            <w:tcW w:w="4231" w:type="pct"/>
            <w:tcBorders>
              <w:top w:val="single" w:color="auto" w:sz="4" w:space="0"/>
              <w:left w:val="single" w:color="auto" w:sz="4" w:space="0"/>
              <w:bottom w:val="single" w:color="auto" w:sz="4" w:space="0"/>
              <w:right w:val="nil"/>
            </w:tcBorders>
            <w:vAlign w:val="center"/>
          </w:tcPr>
          <w:p>
            <w:pPr>
              <w:pStyle w:val="30"/>
              <w:rPr>
                <w:bCs/>
              </w:rPr>
            </w:pPr>
            <w:r>
              <w:rPr>
                <w:rFonts w:hint="eastAsia"/>
                <w:bCs/>
              </w:rPr>
              <w:t>董事会人数</w:t>
            </w:r>
          </w:p>
        </w:tc>
      </w:tr>
      <w:tr>
        <w:tblPrEx>
          <w:tblCellMar>
            <w:top w:w="0" w:type="dxa"/>
            <w:left w:w="108" w:type="dxa"/>
            <w:bottom w:w="0" w:type="dxa"/>
            <w:right w:w="108" w:type="dxa"/>
          </w:tblCellMar>
        </w:tblPrEx>
        <w:trPr>
          <w:trHeight w:val="397" w:hRule="atLeast"/>
        </w:trPr>
        <w:tc>
          <w:tcPr>
            <w:tcW w:w="768" w:type="pct"/>
            <w:tcBorders>
              <w:top w:val="single" w:color="auto" w:sz="4" w:space="0"/>
              <w:left w:val="nil"/>
              <w:bottom w:val="single" w:color="auto" w:sz="4" w:space="0"/>
              <w:right w:val="single" w:color="auto" w:sz="4" w:space="0"/>
            </w:tcBorders>
            <w:vAlign w:val="center"/>
          </w:tcPr>
          <w:p>
            <w:pPr>
              <w:pStyle w:val="30"/>
              <w:rPr>
                <w:bCs/>
              </w:rPr>
            </w:pPr>
            <w:r>
              <w:rPr>
                <w:rFonts w:hint="eastAsia"/>
                <w:bCs/>
              </w:rPr>
              <w:t>IDRatio</w:t>
            </w:r>
          </w:p>
        </w:tc>
        <w:tc>
          <w:tcPr>
            <w:tcW w:w="4231" w:type="pct"/>
            <w:tcBorders>
              <w:top w:val="single" w:color="auto" w:sz="4" w:space="0"/>
              <w:left w:val="single" w:color="auto" w:sz="4" w:space="0"/>
              <w:bottom w:val="single" w:color="auto" w:sz="4" w:space="0"/>
              <w:right w:val="nil"/>
            </w:tcBorders>
            <w:vAlign w:val="center"/>
          </w:tcPr>
          <w:p>
            <w:pPr>
              <w:pStyle w:val="30"/>
              <w:rPr>
                <w:bCs/>
              </w:rPr>
            </w:pPr>
            <w:r>
              <w:rPr>
                <w:rFonts w:hint="eastAsia"/>
                <w:bCs/>
              </w:rPr>
              <w:t>独立董事比例，等于独立董事人数/董事会成员人数</w:t>
            </w:r>
          </w:p>
        </w:tc>
      </w:tr>
      <w:tr>
        <w:tblPrEx>
          <w:tblCellMar>
            <w:top w:w="0" w:type="dxa"/>
            <w:left w:w="108" w:type="dxa"/>
            <w:bottom w:w="0" w:type="dxa"/>
            <w:right w:w="108" w:type="dxa"/>
          </w:tblCellMar>
        </w:tblPrEx>
        <w:trPr>
          <w:trHeight w:val="397" w:hRule="atLeast"/>
        </w:trPr>
        <w:tc>
          <w:tcPr>
            <w:tcW w:w="768" w:type="pct"/>
            <w:tcBorders>
              <w:top w:val="single" w:color="auto" w:sz="4" w:space="0"/>
              <w:left w:val="nil"/>
              <w:bottom w:val="single" w:color="auto" w:sz="4" w:space="0"/>
              <w:right w:val="single" w:color="auto" w:sz="4" w:space="0"/>
            </w:tcBorders>
            <w:vAlign w:val="center"/>
          </w:tcPr>
          <w:p>
            <w:pPr>
              <w:pStyle w:val="30"/>
              <w:rPr>
                <w:bCs/>
              </w:rPr>
            </w:pPr>
            <w:r>
              <w:rPr>
                <w:rFonts w:hint="eastAsia"/>
                <w:bCs/>
              </w:rPr>
              <w:t>MKTB</w:t>
            </w:r>
          </w:p>
        </w:tc>
        <w:tc>
          <w:tcPr>
            <w:tcW w:w="4231" w:type="pct"/>
            <w:tcBorders>
              <w:top w:val="single" w:color="auto" w:sz="4" w:space="0"/>
              <w:left w:val="single" w:color="auto" w:sz="4" w:space="0"/>
              <w:bottom w:val="single" w:color="auto" w:sz="4" w:space="0"/>
              <w:right w:val="nil"/>
            </w:tcBorders>
            <w:vAlign w:val="center"/>
          </w:tcPr>
          <w:p>
            <w:pPr>
              <w:pStyle w:val="30"/>
              <w:rPr>
                <w:bCs/>
              </w:rPr>
            </w:pPr>
            <w:r>
              <w:rPr>
                <w:rFonts w:hint="eastAsia"/>
                <w:bCs/>
              </w:rPr>
              <w:t>市净率，等于每股股价/每股净资产</w:t>
            </w:r>
          </w:p>
        </w:tc>
      </w:tr>
      <w:tr>
        <w:tblPrEx>
          <w:tblCellMar>
            <w:top w:w="0" w:type="dxa"/>
            <w:left w:w="108" w:type="dxa"/>
            <w:bottom w:w="0" w:type="dxa"/>
            <w:right w:w="108" w:type="dxa"/>
          </w:tblCellMar>
        </w:tblPrEx>
        <w:trPr>
          <w:trHeight w:val="397" w:hRule="atLeast"/>
        </w:trPr>
        <w:tc>
          <w:tcPr>
            <w:tcW w:w="768" w:type="pct"/>
            <w:tcBorders>
              <w:top w:val="single" w:color="auto" w:sz="4" w:space="0"/>
              <w:left w:val="nil"/>
              <w:bottom w:val="single" w:color="auto" w:sz="12" w:space="0"/>
              <w:right w:val="single" w:color="auto" w:sz="4" w:space="0"/>
            </w:tcBorders>
            <w:vAlign w:val="center"/>
          </w:tcPr>
          <w:p>
            <w:pPr>
              <w:pStyle w:val="30"/>
              <w:rPr>
                <w:bCs/>
              </w:rPr>
            </w:pPr>
            <w:r>
              <w:rPr>
                <w:rFonts w:hint="eastAsia"/>
                <w:bCs/>
              </w:rPr>
              <w:t>Growth</w:t>
            </w:r>
          </w:p>
        </w:tc>
        <w:tc>
          <w:tcPr>
            <w:tcW w:w="4231" w:type="pct"/>
            <w:tcBorders>
              <w:top w:val="single" w:color="auto" w:sz="4" w:space="0"/>
              <w:left w:val="single" w:color="auto" w:sz="4" w:space="0"/>
              <w:bottom w:val="single" w:color="auto" w:sz="12" w:space="0"/>
              <w:right w:val="nil"/>
            </w:tcBorders>
            <w:vAlign w:val="center"/>
          </w:tcPr>
          <w:p>
            <w:pPr>
              <w:pStyle w:val="30"/>
              <w:rPr>
                <w:bCs/>
              </w:rPr>
            </w:pPr>
            <w:r>
              <w:rPr>
                <w:rFonts w:hint="eastAsia"/>
                <w:bCs/>
              </w:rPr>
              <w:t>营业收入增长率，（当期营业收入-上期营业收入）/上期营业收入</w:t>
            </w:r>
          </w:p>
        </w:tc>
      </w:tr>
    </w:tbl>
    <w:p>
      <w:pPr>
        <w:widowControl/>
        <w:jc w:val="left"/>
        <w:rPr>
          <w:rFonts w:eastAsia="黑体"/>
          <w:b/>
          <w:sz w:val="36"/>
          <w:szCs w:val="24"/>
        </w:rPr>
      </w:pPr>
      <w:r>
        <w:rPr>
          <w:rFonts w:eastAsia="黑体"/>
          <w:b/>
          <w:sz w:val="36"/>
          <w:szCs w:val="24"/>
        </w:rPr>
        <w:br w:type="page"/>
      </w:r>
    </w:p>
    <w:p>
      <w:pPr>
        <w:pStyle w:val="2"/>
        <w:spacing w:before="156" w:beforeLines="50" w:after="156" w:afterLines="50" w:line="240" w:lineRule="auto"/>
        <w:ind w:left="0" w:firstLine="0"/>
      </w:pPr>
      <w:bookmarkStart w:id="106" w:name="_Toc104983860"/>
      <w:r>
        <w:rPr>
          <w:rFonts w:hint="eastAsia"/>
        </w:rPr>
        <w:t>重污染企业负面环境信息披露的市场反应</w:t>
      </w:r>
      <w:bookmarkEnd w:id="106"/>
    </w:p>
    <w:p>
      <w:pPr>
        <w:pStyle w:val="4"/>
        <w:spacing w:before="156" w:beforeLines="50" w:after="156" w:afterLines="50" w:line="240" w:lineRule="auto"/>
        <w:ind w:left="567"/>
      </w:pPr>
      <w:bookmarkStart w:id="107" w:name="_Toc104264358"/>
      <w:bookmarkStart w:id="108" w:name="_Toc104983861"/>
      <w:bookmarkStart w:id="109" w:name="_Toc104264525"/>
      <w:bookmarkStart w:id="110" w:name="_Toc104265061"/>
      <w:bookmarkStart w:id="111" w:name="_Toc104221236"/>
      <w:r>
        <w:rPr>
          <w:rFonts w:hint="eastAsia"/>
        </w:rPr>
        <w:t>重污染企业负面环境信息披露的短期市场反应</w:t>
      </w:r>
      <w:bookmarkEnd w:id="107"/>
      <w:bookmarkEnd w:id="108"/>
      <w:bookmarkEnd w:id="109"/>
      <w:bookmarkEnd w:id="110"/>
      <w:bookmarkEnd w:id="111"/>
    </w:p>
    <w:p>
      <w:pPr>
        <w:pStyle w:val="3"/>
        <w:ind w:firstLine="480"/>
      </w:pPr>
      <w:r>
        <w:rPr>
          <w:rFonts w:hint="eastAsia" w:hAnsi="宋体" w:cs="宋体"/>
          <w:kern w:val="0"/>
          <w:lang w:bidi="ar"/>
        </w:rPr>
        <w:t>如表4-1所示，全样本检验的累积平均超额收益率</w:t>
      </w:r>
      <w:r>
        <w:rPr>
          <w:rFonts w:hint="eastAsia"/>
        </w:rPr>
        <w:t>CAAR</w:t>
      </w:r>
      <w:r>
        <w:rPr>
          <w:rFonts w:hint="eastAsia" w:hAnsi="宋体" w:cs="宋体"/>
          <w:kern w:val="0"/>
          <w:lang w:bidi="ar"/>
        </w:rPr>
        <w:t>在</w:t>
      </w:r>
      <w:r>
        <w:rPr>
          <w:rFonts w:hint="eastAsia"/>
        </w:rPr>
        <w:t>[-1,1]、[-3,3]和[-5,5]三个时间窗口上分别为-0.118，-0.169和-0.013，且都在1%的水平上显著。这意味着负面环境信息披露在短期内确实对企业造成了市场冲击。</w:t>
      </w:r>
    </w:p>
    <w:p>
      <w:pPr>
        <w:pStyle w:val="28"/>
        <w:spacing w:line="360" w:lineRule="auto"/>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bookmarkStart w:id="112" w:name="_Toc24691"/>
      <w:r>
        <w:rPr>
          <w:rFonts w:hint="eastAsia"/>
        </w:rPr>
        <w:t>1</w:t>
      </w:r>
      <w:r>
        <w:t xml:space="preserve"> CAR均值与显著性检验</w:t>
      </w:r>
      <w:bookmarkEnd w:id="112"/>
    </w:p>
    <w:tbl>
      <w:tblPr>
        <w:tblStyle w:val="16"/>
        <w:tblW w:w="5000" w:type="pct"/>
        <w:tblInd w:w="0" w:type="dxa"/>
        <w:tblLayout w:type="autofit"/>
        <w:tblCellMar>
          <w:top w:w="0" w:type="dxa"/>
          <w:left w:w="108" w:type="dxa"/>
          <w:bottom w:w="0" w:type="dxa"/>
          <w:right w:w="108" w:type="dxa"/>
        </w:tblCellMar>
      </w:tblPr>
      <w:tblGrid>
        <w:gridCol w:w="1882"/>
        <w:gridCol w:w="2214"/>
        <w:gridCol w:w="2214"/>
        <w:gridCol w:w="2212"/>
      </w:tblGrid>
      <w:tr>
        <w:tblPrEx>
          <w:tblCellMar>
            <w:top w:w="0" w:type="dxa"/>
            <w:left w:w="108" w:type="dxa"/>
            <w:bottom w:w="0" w:type="dxa"/>
            <w:right w:w="108" w:type="dxa"/>
          </w:tblCellMar>
        </w:tblPrEx>
        <w:trPr>
          <w:trHeight w:val="401" w:hRule="atLeast"/>
        </w:trPr>
        <w:tc>
          <w:tcPr>
            <w:tcW w:w="1104" w:type="pct"/>
            <w:tcBorders>
              <w:top w:val="single" w:color="auto" w:sz="12" w:space="0"/>
              <w:left w:val="nil"/>
              <w:bottom w:val="single" w:color="auto" w:sz="8" w:space="0"/>
              <w:right w:val="nil"/>
            </w:tcBorders>
            <w:vAlign w:val="center"/>
          </w:tcPr>
          <w:p>
            <w:pPr>
              <w:pStyle w:val="30"/>
            </w:pPr>
          </w:p>
        </w:tc>
        <w:tc>
          <w:tcPr>
            <w:tcW w:w="1299" w:type="pct"/>
            <w:tcBorders>
              <w:top w:val="single" w:color="auto" w:sz="12" w:space="0"/>
              <w:left w:val="nil"/>
              <w:bottom w:val="single" w:color="auto" w:sz="8" w:space="0"/>
              <w:right w:val="nil"/>
            </w:tcBorders>
            <w:vAlign w:val="center"/>
          </w:tcPr>
          <w:p>
            <w:pPr>
              <w:pStyle w:val="30"/>
              <w:jc w:val="center"/>
            </w:pPr>
            <w:r>
              <w:rPr>
                <w:rFonts w:hint="eastAsia"/>
              </w:rPr>
              <w:t>CAR[-1,1]</w:t>
            </w:r>
          </w:p>
        </w:tc>
        <w:tc>
          <w:tcPr>
            <w:tcW w:w="1299" w:type="pct"/>
            <w:tcBorders>
              <w:top w:val="single" w:color="auto" w:sz="12" w:space="0"/>
              <w:left w:val="nil"/>
              <w:bottom w:val="single" w:color="auto" w:sz="8" w:space="0"/>
              <w:right w:val="nil"/>
            </w:tcBorders>
            <w:vAlign w:val="center"/>
          </w:tcPr>
          <w:p>
            <w:pPr>
              <w:pStyle w:val="30"/>
              <w:jc w:val="center"/>
            </w:pPr>
            <w:r>
              <w:rPr>
                <w:rFonts w:hint="eastAsia"/>
              </w:rPr>
              <w:t>CAR[-3,3]</w:t>
            </w:r>
          </w:p>
        </w:tc>
        <w:tc>
          <w:tcPr>
            <w:tcW w:w="1298" w:type="pct"/>
            <w:tcBorders>
              <w:top w:val="single" w:color="auto" w:sz="12" w:space="0"/>
              <w:left w:val="nil"/>
              <w:bottom w:val="single" w:color="auto" w:sz="8" w:space="0"/>
              <w:right w:val="nil"/>
            </w:tcBorders>
            <w:vAlign w:val="center"/>
          </w:tcPr>
          <w:p>
            <w:pPr>
              <w:pStyle w:val="30"/>
              <w:jc w:val="center"/>
            </w:pPr>
            <w:r>
              <w:rPr>
                <w:rFonts w:hint="eastAsia"/>
              </w:rPr>
              <w:t>CAR[-5,5]</w:t>
            </w:r>
          </w:p>
        </w:tc>
      </w:tr>
      <w:tr>
        <w:tblPrEx>
          <w:tblCellMar>
            <w:top w:w="0" w:type="dxa"/>
            <w:left w:w="108" w:type="dxa"/>
            <w:bottom w:w="0" w:type="dxa"/>
            <w:right w:w="108" w:type="dxa"/>
          </w:tblCellMar>
        </w:tblPrEx>
        <w:trPr>
          <w:trHeight w:val="401" w:hRule="atLeast"/>
        </w:trPr>
        <w:tc>
          <w:tcPr>
            <w:tcW w:w="1104" w:type="pct"/>
            <w:tcBorders>
              <w:top w:val="nil"/>
              <w:left w:val="nil"/>
              <w:bottom w:val="nil"/>
              <w:right w:val="nil"/>
            </w:tcBorders>
            <w:noWrap/>
            <w:vAlign w:val="center"/>
          </w:tcPr>
          <w:p>
            <w:pPr>
              <w:pStyle w:val="30"/>
            </w:pPr>
            <w:r>
              <w:rPr>
                <w:rFonts w:hint="eastAsia"/>
              </w:rPr>
              <w:t>均值</w:t>
            </w:r>
          </w:p>
        </w:tc>
        <w:tc>
          <w:tcPr>
            <w:tcW w:w="1299" w:type="pct"/>
            <w:tcBorders>
              <w:top w:val="nil"/>
              <w:left w:val="nil"/>
              <w:bottom w:val="nil"/>
              <w:right w:val="nil"/>
            </w:tcBorders>
            <w:noWrap/>
            <w:vAlign w:val="center"/>
          </w:tcPr>
          <w:p>
            <w:pPr>
              <w:pStyle w:val="30"/>
              <w:jc w:val="center"/>
            </w:pPr>
            <w:r>
              <w:rPr>
                <w:rFonts w:hint="eastAsia"/>
              </w:rPr>
              <w:t>-0.118***</w:t>
            </w:r>
          </w:p>
        </w:tc>
        <w:tc>
          <w:tcPr>
            <w:tcW w:w="1299" w:type="pct"/>
            <w:tcBorders>
              <w:top w:val="nil"/>
              <w:left w:val="nil"/>
              <w:bottom w:val="nil"/>
              <w:right w:val="nil"/>
            </w:tcBorders>
            <w:noWrap/>
            <w:vAlign w:val="center"/>
          </w:tcPr>
          <w:p>
            <w:pPr>
              <w:pStyle w:val="30"/>
              <w:jc w:val="center"/>
            </w:pPr>
            <w:r>
              <w:rPr>
                <w:rFonts w:hint="eastAsia"/>
              </w:rPr>
              <w:t>-0.169***</w:t>
            </w:r>
          </w:p>
        </w:tc>
        <w:tc>
          <w:tcPr>
            <w:tcW w:w="1298" w:type="pct"/>
            <w:tcBorders>
              <w:top w:val="nil"/>
              <w:left w:val="nil"/>
              <w:bottom w:val="nil"/>
              <w:right w:val="nil"/>
            </w:tcBorders>
            <w:noWrap/>
            <w:vAlign w:val="center"/>
          </w:tcPr>
          <w:p>
            <w:pPr>
              <w:pStyle w:val="30"/>
              <w:jc w:val="center"/>
            </w:pPr>
            <w:r>
              <w:rPr>
                <w:rFonts w:hint="eastAsia"/>
              </w:rPr>
              <w:t>-0.023***</w:t>
            </w:r>
          </w:p>
        </w:tc>
      </w:tr>
      <w:tr>
        <w:tblPrEx>
          <w:tblCellMar>
            <w:top w:w="0" w:type="dxa"/>
            <w:left w:w="108" w:type="dxa"/>
            <w:bottom w:w="0" w:type="dxa"/>
            <w:right w:w="108" w:type="dxa"/>
          </w:tblCellMar>
        </w:tblPrEx>
        <w:trPr>
          <w:trHeight w:val="401" w:hRule="atLeast"/>
        </w:trPr>
        <w:tc>
          <w:tcPr>
            <w:tcW w:w="1104" w:type="pct"/>
            <w:tcBorders>
              <w:top w:val="nil"/>
              <w:left w:val="nil"/>
              <w:bottom w:val="nil"/>
              <w:right w:val="nil"/>
            </w:tcBorders>
            <w:noWrap/>
            <w:vAlign w:val="center"/>
          </w:tcPr>
          <w:p>
            <w:pPr>
              <w:pStyle w:val="30"/>
            </w:pPr>
            <w:r>
              <w:rPr>
                <w:rFonts w:hint="eastAsia"/>
              </w:rPr>
              <w:t>t统计量</w:t>
            </w:r>
          </w:p>
        </w:tc>
        <w:tc>
          <w:tcPr>
            <w:tcW w:w="1299" w:type="pct"/>
            <w:tcBorders>
              <w:top w:val="nil"/>
              <w:left w:val="nil"/>
              <w:bottom w:val="nil"/>
              <w:right w:val="nil"/>
            </w:tcBorders>
            <w:noWrap/>
            <w:vAlign w:val="center"/>
          </w:tcPr>
          <w:p>
            <w:pPr>
              <w:pStyle w:val="30"/>
              <w:jc w:val="center"/>
            </w:pPr>
            <w:r>
              <w:rPr>
                <w:rFonts w:hint="eastAsia"/>
              </w:rPr>
              <w:t>（-2.98）</w:t>
            </w:r>
          </w:p>
        </w:tc>
        <w:tc>
          <w:tcPr>
            <w:tcW w:w="1299" w:type="pct"/>
            <w:tcBorders>
              <w:top w:val="nil"/>
              <w:left w:val="nil"/>
              <w:bottom w:val="nil"/>
              <w:right w:val="nil"/>
            </w:tcBorders>
            <w:noWrap/>
            <w:vAlign w:val="center"/>
          </w:tcPr>
          <w:p>
            <w:pPr>
              <w:pStyle w:val="30"/>
              <w:jc w:val="center"/>
            </w:pPr>
            <w:r>
              <w:rPr>
                <w:rFonts w:hint="eastAsia"/>
              </w:rPr>
              <w:t>（-2.77）</w:t>
            </w:r>
          </w:p>
        </w:tc>
        <w:tc>
          <w:tcPr>
            <w:tcW w:w="1298" w:type="pct"/>
            <w:tcBorders>
              <w:top w:val="nil"/>
              <w:left w:val="nil"/>
              <w:bottom w:val="nil"/>
              <w:right w:val="nil"/>
            </w:tcBorders>
            <w:noWrap/>
            <w:vAlign w:val="center"/>
          </w:tcPr>
          <w:p>
            <w:pPr>
              <w:pStyle w:val="30"/>
              <w:jc w:val="center"/>
            </w:pPr>
            <w:r>
              <w:rPr>
                <w:rFonts w:hint="eastAsia"/>
              </w:rPr>
              <w:t>（-2.9）</w:t>
            </w:r>
          </w:p>
        </w:tc>
      </w:tr>
      <w:tr>
        <w:tblPrEx>
          <w:tblCellMar>
            <w:top w:w="0" w:type="dxa"/>
            <w:left w:w="108" w:type="dxa"/>
            <w:bottom w:w="0" w:type="dxa"/>
            <w:right w:w="108" w:type="dxa"/>
          </w:tblCellMar>
        </w:tblPrEx>
        <w:trPr>
          <w:trHeight w:val="401" w:hRule="atLeast"/>
        </w:trPr>
        <w:tc>
          <w:tcPr>
            <w:tcW w:w="1104" w:type="pct"/>
            <w:tcBorders>
              <w:top w:val="nil"/>
              <w:left w:val="nil"/>
              <w:bottom w:val="single" w:color="auto" w:sz="12" w:space="0"/>
              <w:right w:val="nil"/>
            </w:tcBorders>
            <w:vAlign w:val="center"/>
          </w:tcPr>
          <w:p>
            <w:pPr>
              <w:pStyle w:val="30"/>
            </w:pPr>
            <w:r>
              <w:rPr>
                <w:rFonts w:hint="eastAsia"/>
              </w:rPr>
              <w:t>N</w:t>
            </w:r>
          </w:p>
        </w:tc>
        <w:tc>
          <w:tcPr>
            <w:tcW w:w="1299" w:type="pct"/>
            <w:tcBorders>
              <w:top w:val="nil"/>
              <w:left w:val="nil"/>
              <w:bottom w:val="single" w:color="auto" w:sz="12" w:space="0"/>
              <w:right w:val="nil"/>
            </w:tcBorders>
            <w:vAlign w:val="center"/>
          </w:tcPr>
          <w:p>
            <w:pPr>
              <w:pStyle w:val="30"/>
              <w:jc w:val="center"/>
            </w:pPr>
            <w:r>
              <w:rPr>
                <w:rFonts w:hint="eastAsia"/>
              </w:rPr>
              <w:t>130</w:t>
            </w:r>
          </w:p>
        </w:tc>
        <w:tc>
          <w:tcPr>
            <w:tcW w:w="1299" w:type="pct"/>
            <w:tcBorders>
              <w:top w:val="nil"/>
              <w:left w:val="nil"/>
              <w:bottom w:val="single" w:color="auto" w:sz="12" w:space="0"/>
              <w:right w:val="nil"/>
            </w:tcBorders>
            <w:vAlign w:val="center"/>
          </w:tcPr>
          <w:p>
            <w:pPr>
              <w:pStyle w:val="30"/>
              <w:jc w:val="center"/>
            </w:pPr>
            <w:r>
              <w:rPr>
                <w:rFonts w:hint="eastAsia"/>
              </w:rPr>
              <w:t>130</w:t>
            </w:r>
          </w:p>
        </w:tc>
        <w:tc>
          <w:tcPr>
            <w:tcW w:w="1298" w:type="pct"/>
            <w:tcBorders>
              <w:top w:val="nil"/>
              <w:left w:val="nil"/>
              <w:bottom w:val="single" w:color="auto" w:sz="12" w:space="0"/>
              <w:right w:val="nil"/>
            </w:tcBorders>
            <w:vAlign w:val="center"/>
          </w:tcPr>
          <w:p>
            <w:pPr>
              <w:pStyle w:val="30"/>
              <w:jc w:val="center"/>
            </w:pPr>
            <w:r>
              <w:rPr>
                <w:rFonts w:hint="eastAsia"/>
              </w:rPr>
              <w:t>130</w:t>
            </w:r>
          </w:p>
        </w:tc>
      </w:tr>
    </w:tbl>
    <w:p>
      <w:pPr>
        <w:pStyle w:val="3"/>
        <w:ind w:firstLine="480"/>
        <w:rPr>
          <w:lang w:bidi="ar"/>
        </w:rPr>
      </w:pPr>
      <w:r>
        <w:rPr>
          <w:rFonts w:hint="eastAsia"/>
          <w:lang w:bidi="ar"/>
        </w:rPr>
        <w:t>刘陆宇等（2021）的研究中提到，如果市场存在过度反应，会表现为短期股价的超跌和中长期的恢复，形成“超跌-修复”的股价走势。为进一步分析负面环境信息披露带来的市场冲击是投资者的过度反应还是企业价值的减损，观察更长时间窗口的累计超额收益情况，将窗口期拉长至[-20,20]，得到CAAR[-20,20]为-0.041，依旧为负。通过图4-2，可以更直观地感受到这种负向作用的持续性，市场上并未出现明显的反转效应，因此我们可以认为事件日后企业超额收益率的变化是由于企业价值的减损而不是投资者的行为偏差所带来的。</w:t>
      </w:r>
    </w:p>
    <w:p>
      <w:pPr>
        <w:pStyle w:val="3"/>
        <w:keepNext/>
        <w:ind w:firstLine="0" w:firstLineChars="0"/>
        <w:jc w:val="center"/>
      </w:pPr>
      <w:r>
        <w:drawing>
          <wp:inline distT="0" distB="0" distL="0" distR="0">
            <wp:extent cx="3981450" cy="2895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3990988" cy="2902447"/>
                    </a:xfrm>
                    <a:prstGeom prst="rect">
                      <a:avLst/>
                    </a:prstGeom>
                    <a:noFill/>
                    <a:ln>
                      <a:noFill/>
                    </a:ln>
                  </pic:spPr>
                </pic:pic>
              </a:graphicData>
            </a:graphic>
          </wp:inline>
        </w:drawing>
      </w:r>
    </w:p>
    <w:p>
      <w:pPr>
        <w:pStyle w:val="28"/>
        <w:spacing w:line="360" w:lineRule="auto"/>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bookmarkStart w:id="113" w:name="_Toc7303"/>
      <w:r>
        <w:rPr>
          <w:rFonts w:hint="eastAsia"/>
        </w:rPr>
        <w:t>-1</w:t>
      </w:r>
      <w:r>
        <w:t xml:space="preserve"> CAAR[-20,20]变化图</w:t>
      </w:r>
      <w:bookmarkEnd w:id="113"/>
    </w:p>
    <w:p>
      <w:pPr>
        <w:pStyle w:val="4"/>
        <w:spacing w:before="156" w:beforeLines="50" w:after="156" w:afterLines="50" w:line="240" w:lineRule="auto"/>
        <w:ind w:left="567"/>
      </w:pPr>
      <w:bookmarkStart w:id="114" w:name="_Toc104264359"/>
      <w:bookmarkStart w:id="115" w:name="_Toc104265062"/>
      <w:bookmarkStart w:id="116" w:name="_Toc104983862"/>
      <w:bookmarkStart w:id="117" w:name="_Toc104221237"/>
      <w:bookmarkStart w:id="118" w:name="_Toc104264526"/>
      <w:r>
        <w:rPr>
          <w:rFonts w:hint="eastAsia"/>
        </w:rPr>
        <w:t>重污染企业负面环境信息披露的中长期市场反应</w:t>
      </w:r>
      <w:bookmarkEnd w:id="114"/>
      <w:bookmarkEnd w:id="115"/>
      <w:bookmarkEnd w:id="116"/>
      <w:bookmarkEnd w:id="117"/>
      <w:bookmarkEnd w:id="118"/>
    </w:p>
    <w:p>
      <w:pPr>
        <w:pStyle w:val="3"/>
        <w:ind w:firstLine="480"/>
        <w:rPr>
          <w:lang w:bidi="ar"/>
        </w:rPr>
      </w:pPr>
      <w:r>
        <w:rPr>
          <w:rFonts w:hint="eastAsia"/>
          <w:lang w:bidi="ar"/>
        </w:rPr>
        <w:t>为进一步探讨企业负面环境信息披露后中长期内市场是否存在逆转现象，依照本文在研究设计中的分组方法，建立了56个对应的投资组合作为参照组，计算BHAR值（购买并持有超额收益率）。</w:t>
      </w:r>
    </w:p>
    <w:p>
      <w:pPr>
        <w:pStyle w:val="3"/>
        <w:ind w:firstLine="480"/>
        <w:rPr>
          <w:lang w:bidi="ar"/>
        </w:rPr>
      </w:pPr>
      <w:r>
        <w:rPr>
          <w:rFonts w:hint="eastAsia"/>
          <w:lang w:bidi="ar"/>
        </w:rPr>
        <w:t>通过S-W检验（夏皮洛-威尔克检验），BHAR的显著性检验P值为</w:t>
      </w:r>
      <w:r>
        <w:rPr>
          <w:lang w:bidi="ar"/>
        </w:rPr>
        <w:t>0</w:t>
      </w:r>
      <w:r>
        <w:rPr>
          <w:rFonts w:hint="eastAsia"/>
          <w:lang w:bidi="ar"/>
        </w:rPr>
        <w:t>，由于数据不服从正态分布，故使用非参数Wilcoxon秩和检验。</w:t>
      </w:r>
    </w:p>
    <w:p>
      <w:pPr>
        <w:pStyle w:val="28"/>
        <w:spacing w:line="360" w:lineRule="auto"/>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bookmarkStart w:id="119" w:name="_Toc22457"/>
      <w:r>
        <w:rPr>
          <w:rFonts w:hint="eastAsia"/>
        </w:rPr>
        <w:t>2</w:t>
      </w:r>
      <w:r>
        <w:t xml:space="preserve"> BHAR的秩和检验结果</w:t>
      </w:r>
      <w:bookmarkEnd w:id="119"/>
    </w:p>
    <w:tbl>
      <w:tblPr>
        <w:tblStyle w:val="16"/>
        <w:tblW w:w="4998" w:type="pct"/>
        <w:tblInd w:w="0" w:type="dxa"/>
        <w:tblLayout w:type="autofit"/>
        <w:tblCellMar>
          <w:top w:w="0" w:type="dxa"/>
          <w:left w:w="108" w:type="dxa"/>
          <w:bottom w:w="0" w:type="dxa"/>
          <w:right w:w="108" w:type="dxa"/>
        </w:tblCellMar>
      </w:tblPr>
      <w:tblGrid>
        <w:gridCol w:w="1924"/>
        <w:gridCol w:w="2194"/>
        <w:gridCol w:w="2194"/>
        <w:gridCol w:w="2207"/>
      </w:tblGrid>
      <w:tr>
        <w:tblPrEx>
          <w:tblCellMar>
            <w:top w:w="0" w:type="dxa"/>
            <w:left w:w="108" w:type="dxa"/>
            <w:bottom w:w="0" w:type="dxa"/>
            <w:right w:w="108" w:type="dxa"/>
          </w:tblCellMar>
        </w:tblPrEx>
        <w:trPr>
          <w:trHeight w:val="401" w:hRule="atLeast"/>
        </w:trPr>
        <w:tc>
          <w:tcPr>
            <w:tcW w:w="1129" w:type="pct"/>
            <w:tcBorders>
              <w:top w:val="single" w:color="auto" w:sz="12" w:space="0"/>
              <w:left w:val="nil"/>
              <w:bottom w:val="single" w:color="auto" w:sz="8" w:space="0"/>
              <w:right w:val="nil"/>
            </w:tcBorders>
            <w:vAlign w:val="center"/>
          </w:tcPr>
          <w:p>
            <w:pPr>
              <w:pStyle w:val="30"/>
            </w:pPr>
          </w:p>
        </w:tc>
        <w:tc>
          <w:tcPr>
            <w:tcW w:w="1288" w:type="pct"/>
            <w:tcBorders>
              <w:top w:val="single" w:color="auto" w:sz="12" w:space="0"/>
              <w:left w:val="nil"/>
              <w:bottom w:val="single" w:color="auto" w:sz="8" w:space="0"/>
              <w:right w:val="nil"/>
            </w:tcBorders>
            <w:vAlign w:val="center"/>
          </w:tcPr>
          <w:p>
            <w:pPr>
              <w:pStyle w:val="30"/>
              <w:jc w:val="center"/>
            </w:pPr>
            <w:r>
              <w:rPr>
                <w:rFonts w:hint="eastAsia"/>
              </w:rPr>
              <w:t>BHAR[0,3]</w:t>
            </w:r>
          </w:p>
        </w:tc>
        <w:tc>
          <w:tcPr>
            <w:tcW w:w="1288" w:type="pct"/>
            <w:tcBorders>
              <w:top w:val="single" w:color="auto" w:sz="12" w:space="0"/>
              <w:left w:val="nil"/>
              <w:bottom w:val="single" w:color="auto" w:sz="8" w:space="0"/>
              <w:right w:val="nil"/>
            </w:tcBorders>
            <w:vAlign w:val="center"/>
          </w:tcPr>
          <w:p>
            <w:pPr>
              <w:pStyle w:val="30"/>
              <w:jc w:val="center"/>
            </w:pPr>
            <w:r>
              <w:rPr>
                <w:rFonts w:hint="eastAsia"/>
              </w:rPr>
              <w:t>BHAR[0,6]</w:t>
            </w:r>
          </w:p>
        </w:tc>
        <w:tc>
          <w:tcPr>
            <w:tcW w:w="1296" w:type="pct"/>
            <w:tcBorders>
              <w:top w:val="single" w:color="auto" w:sz="12" w:space="0"/>
              <w:left w:val="nil"/>
              <w:bottom w:val="single" w:color="auto" w:sz="8" w:space="0"/>
              <w:right w:val="nil"/>
            </w:tcBorders>
            <w:vAlign w:val="center"/>
          </w:tcPr>
          <w:p>
            <w:pPr>
              <w:pStyle w:val="30"/>
              <w:jc w:val="center"/>
            </w:pPr>
            <w:r>
              <w:rPr>
                <w:rFonts w:hint="eastAsia"/>
              </w:rPr>
              <w:t>BHAR[0,24]</w:t>
            </w:r>
          </w:p>
        </w:tc>
      </w:tr>
      <w:tr>
        <w:tblPrEx>
          <w:tblCellMar>
            <w:top w:w="0" w:type="dxa"/>
            <w:left w:w="108" w:type="dxa"/>
            <w:bottom w:w="0" w:type="dxa"/>
            <w:right w:w="108" w:type="dxa"/>
          </w:tblCellMar>
        </w:tblPrEx>
        <w:trPr>
          <w:trHeight w:val="401" w:hRule="atLeast"/>
        </w:trPr>
        <w:tc>
          <w:tcPr>
            <w:tcW w:w="1129" w:type="pct"/>
            <w:tcBorders>
              <w:top w:val="nil"/>
              <w:left w:val="nil"/>
              <w:bottom w:val="nil"/>
              <w:right w:val="nil"/>
            </w:tcBorders>
            <w:noWrap/>
            <w:vAlign w:val="center"/>
          </w:tcPr>
          <w:p>
            <w:pPr>
              <w:pStyle w:val="30"/>
            </w:pPr>
            <w:r>
              <w:rPr>
                <w:rFonts w:hint="eastAsia"/>
              </w:rPr>
              <w:t>中位数</w:t>
            </w:r>
          </w:p>
        </w:tc>
        <w:tc>
          <w:tcPr>
            <w:tcW w:w="1288" w:type="pct"/>
            <w:tcBorders>
              <w:top w:val="nil"/>
              <w:left w:val="nil"/>
              <w:bottom w:val="nil"/>
              <w:right w:val="nil"/>
            </w:tcBorders>
            <w:noWrap/>
            <w:vAlign w:val="center"/>
          </w:tcPr>
          <w:p>
            <w:pPr>
              <w:pStyle w:val="30"/>
              <w:jc w:val="center"/>
            </w:pPr>
            <w:r>
              <w:rPr>
                <w:rFonts w:hint="eastAsia"/>
              </w:rPr>
              <w:t>-0.05*</w:t>
            </w:r>
          </w:p>
        </w:tc>
        <w:tc>
          <w:tcPr>
            <w:tcW w:w="1288" w:type="pct"/>
            <w:tcBorders>
              <w:top w:val="nil"/>
              <w:left w:val="nil"/>
              <w:bottom w:val="nil"/>
              <w:right w:val="nil"/>
            </w:tcBorders>
            <w:vAlign w:val="center"/>
          </w:tcPr>
          <w:p>
            <w:pPr>
              <w:pStyle w:val="30"/>
              <w:jc w:val="center"/>
            </w:pPr>
            <w:r>
              <w:rPr>
                <w:rFonts w:hint="eastAsia"/>
              </w:rPr>
              <w:t>-0.09**</w:t>
            </w:r>
          </w:p>
        </w:tc>
        <w:tc>
          <w:tcPr>
            <w:tcW w:w="1296" w:type="pct"/>
            <w:tcBorders>
              <w:top w:val="nil"/>
              <w:left w:val="nil"/>
              <w:bottom w:val="nil"/>
              <w:right w:val="nil"/>
            </w:tcBorders>
            <w:vAlign w:val="center"/>
          </w:tcPr>
          <w:p>
            <w:pPr>
              <w:pStyle w:val="30"/>
              <w:jc w:val="center"/>
            </w:pPr>
            <w:r>
              <w:rPr>
                <w:rFonts w:hint="eastAsia"/>
              </w:rPr>
              <w:t>-0.21***</w:t>
            </w:r>
          </w:p>
        </w:tc>
      </w:tr>
      <w:tr>
        <w:tblPrEx>
          <w:tblCellMar>
            <w:top w:w="0" w:type="dxa"/>
            <w:left w:w="108" w:type="dxa"/>
            <w:bottom w:w="0" w:type="dxa"/>
            <w:right w:w="108" w:type="dxa"/>
          </w:tblCellMar>
        </w:tblPrEx>
        <w:trPr>
          <w:trHeight w:val="401" w:hRule="atLeast"/>
        </w:trPr>
        <w:tc>
          <w:tcPr>
            <w:tcW w:w="1129" w:type="pct"/>
            <w:tcBorders>
              <w:top w:val="nil"/>
              <w:left w:val="nil"/>
              <w:bottom w:val="single" w:color="auto" w:sz="12" w:space="0"/>
              <w:right w:val="nil"/>
            </w:tcBorders>
            <w:vAlign w:val="center"/>
          </w:tcPr>
          <w:p>
            <w:pPr>
              <w:pStyle w:val="30"/>
            </w:pPr>
            <w:r>
              <w:rPr>
                <w:rFonts w:hint="eastAsia"/>
              </w:rPr>
              <w:t>Wilcoxon检验p值</w:t>
            </w:r>
          </w:p>
        </w:tc>
        <w:tc>
          <w:tcPr>
            <w:tcW w:w="1288" w:type="pct"/>
            <w:tcBorders>
              <w:top w:val="nil"/>
              <w:left w:val="nil"/>
              <w:bottom w:val="single" w:color="auto" w:sz="12" w:space="0"/>
              <w:right w:val="nil"/>
            </w:tcBorders>
            <w:vAlign w:val="center"/>
          </w:tcPr>
          <w:p>
            <w:pPr>
              <w:pStyle w:val="30"/>
              <w:jc w:val="center"/>
            </w:pPr>
            <w:r>
              <w:rPr>
                <w:rFonts w:hint="eastAsia"/>
              </w:rPr>
              <w:t>0.07</w:t>
            </w:r>
          </w:p>
        </w:tc>
        <w:tc>
          <w:tcPr>
            <w:tcW w:w="1288" w:type="pct"/>
            <w:tcBorders>
              <w:top w:val="nil"/>
              <w:left w:val="nil"/>
              <w:bottom w:val="single" w:color="auto" w:sz="12" w:space="0"/>
              <w:right w:val="nil"/>
            </w:tcBorders>
            <w:vAlign w:val="center"/>
          </w:tcPr>
          <w:p>
            <w:pPr>
              <w:pStyle w:val="30"/>
              <w:jc w:val="center"/>
            </w:pPr>
            <w:r>
              <w:rPr>
                <w:rFonts w:hint="eastAsia"/>
              </w:rPr>
              <w:t>0.02</w:t>
            </w:r>
          </w:p>
        </w:tc>
        <w:tc>
          <w:tcPr>
            <w:tcW w:w="1296" w:type="pct"/>
            <w:tcBorders>
              <w:top w:val="nil"/>
              <w:left w:val="nil"/>
              <w:bottom w:val="single" w:color="auto" w:sz="12" w:space="0"/>
              <w:right w:val="nil"/>
            </w:tcBorders>
            <w:vAlign w:val="center"/>
          </w:tcPr>
          <w:p>
            <w:pPr>
              <w:pStyle w:val="30"/>
              <w:jc w:val="center"/>
            </w:pPr>
            <w:r>
              <w:rPr>
                <w:rFonts w:hint="eastAsia"/>
              </w:rPr>
              <w:t>0.01</w:t>
            </w:r>
          </w:p>
        </w:tc>
      </w:tr>
    </w:tbl>
    <w:p>
      <w:pPr>
        <w:pStyle w:val="3"/>
        <w:ind w:firstLine="480"/>
        <w:rPr>
          <w:lang w:bidi="ar"/>
        </w:rPr>
      </w:pPr>
      <w:r>
        <w:rPr>
          <w:lang w:bidi="ar"/>
        </w:rPr>
        <w:t>BHAR[0,</w:t>
      </w:r>
      <w:r>
        <w:rPr>
          <w:rFonts w:hint="eastAsia"/>
          <w:lang w:bidi="ar"/>
        </w:rPr>
        <w:t>3</w:t>
      </w:r>
      <w:r>
        <w:rPr>
          <w:lang w:bidi="ar"/>
        </w:rPr>
        <w:t>]</w:t>
      </w:r>
      <w:r>
        <w:rPr>
          <w:rFonts w:hint="eastAsia"/>
          <w:lang w:bidi="ar"/>
        </w:rPr>
        <w:t>、</w:t>
      </w:r>
      <w:r>
        <w:rPr>
          <w:lang w:bidi="ar"/>
        </w:rPr>
        <w:t>BHAR[0,</w:t>
      </w:r>
      <w:r>
        <w:rPr>
          <w:rFonts w:hint="eastAsia"/>
          <w:lang w:bidi="ar"/>
        </w:rPr>
        <w:t>6</w:t>
      </w:r>
      <w:r>
        <w:rPr>
          <w:lang w:bidi="ar"/>
        </w:rPr>
        <w:t>]</w:t>
      </w:r>
      <w:r>
        <w:rPr>
          <w:rFonts w:hint="eastAsia"/>
          <w:lang w:bidi="ar"/>
        </w:rPr>
        <w:t>和 BHAR[</w:t>
      </w:r>
      <w:r>
        <w:rPr>
          <w:lang w:bidi="ar"/>
        </w:rPr>
        <w:t>0,</w:t>
      </w:r>
      <w:r>
        <w:rPr>
          <w:rFonts w:hint="eastAsia"/>
          <w:lang w:bidi="ar"/>
        </w:rPr>
        <w:t>24</w:t>
      </w:r>
      <w:r>
        <w:rPr>
          <w:lang w:bidi="ar"/>
        </w:rPr>
        <w:t>]的中位数</w:t>
      </w:r>
      <w:r>
        <w:rPr>
          <w:rFonts w:hint="eastAsia"/>
          <w:lang w:bidi="ar"/>
        </w:rPr>
        <w:t>分别</w:t>
      </w:r>
      <w:r>
        <w:rPr>
          <w:lang w:bidi="ar"/>
        </w:rPr>
        <w:t>为-0.0</w:t>
      </w:r>
      <w:r>
        <w:rPr>
          <w:rFonts w:hint="eastAsia"/>
          <w:lang w:bidi="ar"/>
        </w:rPr>
        <w:t>5、-0.09和-</w:t>
      </w:r>
      <w:r>
        <w:rPr>
          <w:lang w:bidi="ar"/>
        </w:rPr>
        <w:t>0.</w:t>
      </w:r>
      <w:r>
        <w:rPr>
          <w:rFonts w:hint="eastAsia"/>
          <w:lang w:bidi="ar"/>
        </w:rPr>
        <w:t>21，分别在10%、5%和1%的水平上显著为负，</w:t>
      </w:r>
      <w:r>
        <w:rPr>
          <w:lang w:bidi="ar"/>
        </w:rPr>
        <w:t>说明重污染企业负面环境信息披露对企业中</w:t>
      </w:r>
      <w:r>
        <w:rPr>
          <w:rFonts w:hint="eastAsia"/>
          <w:lang w:bidi="ar"/>
        </w:rPr>
        <w:t>长</w:t>
      </w:r>
      <w:r>
        <w:rPr>
          <w:lang w:bidi="ar"/>
        </w:rPr>
        <w:t>期的市场绩效有着显著的负面影响。</w:t>
      </w:r>
      <w:r>
        <w:rPr>
          <w:rFonts w:hint="eastAsia"/>
          <w:lang w:bidi="ar"/>
        </w:rPr>
        <w:t>通过图</w:t>
      </w:r>
      <w:r>
        <w:rPr>
          <w:lang w:bidi="ar"/>
        </w:rPr>
        <w:t>4-</w:t>
      </w:r>
      <w:r>
        <w:rPr>
          <w:rFonts w:hint="eastAsia"/>
          <w:lang w:bidi="ar"/>
        </w:rPr>
        <w:t>2，我们对这种负向影响可以有更直观的感受。</w:t>
      </w:r>
    </w:p>
    <w:p>
      <w:pPr>
        <w:keepNext/>
        <w:widowControl/>
        <w:spacing w:line="360" w:lineRule="auto"/>
        <w:jc w:val="center"/>
      </w:pPr>
      <w:r>
        <w:rPr>
          <w:sz w:val="24"/>
        </w:rPr>
        <w:drawing>
          <wp:inline distT="0" distB="0" distL="0" distR="0">
            <wp:extent cx="4356100" cy="316738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4356413" cy="3168000"/>
                    </a:xfrm>
                    <a:prstGeom prst="rect">
                      <a:avLst/>
                    </a:prstGeom>
                    <a:noFill/>
                    <a:ln>
                      <a:noFill/>
                    </a:ln>
                  </pic:spPr>
                </pic:pic>
              </a:graphicData>
            </a:graphic>
          </wp:inline>
        </w:drawing>
      </w:r>
    </w:p>
    <w:p>
      <w:pPr>
        <w:pStyle w:val="28"/>
        <w:spacing w:line="360" w:lineRule="auto"/>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-2</w:t>
      </w:r>
      <w:bookmarkStart w:id="120" w:name="_Toc7063"/>
      <w:r>
        <w:t xml:space="preserve"> BHAR[0,24]变化图</w:t>
      </w:r>
      <w:bookmarkEnd w:id="120"/>
    </w:p>
    <w:p>
      <w:pPr>
        <w:pStyle w:val="3"/>
        <w:ind w:firstLine="480"/>
        <w:rPr>
          <w:lang w:bidi="ar"/>
        </w:rPr>
      </w:pPr>
      <w:r>
        <w:rPr>
          <w:rFonts w:hint="eastAsia"/>
          <w:lang w:bidi="ar"/>
        </w:rPr>
        <w:t>通过以上的数据检验，我们验证了企业负面环境信息披露在短期和中长期所带来的市场反应，假设1得证。</w:t>
      </w:r>
    </w:p>
    <w:p>
      <w:pPr>
        <w:widowControl/>
        <w:jc w:val="left"/>
        <w:rPr>
          <w:rFonts w:ascii="Times New Roman" w:hAnsi="Times New Roman"/>
          <w:sz w:val="24"/>
        </w:rPr>
      </w:pPr>
      <w:r>
        <w:br w:type="page"/>
      </w:r>
    </w:p>
    <w:p>
      <w:pPr>
        <w:pStyle w:val="2"/>
        <w:spacing w:before="156" w:beforeLines="50" w:after="156" w:afterLines="50" w:line="240" w:lineRule="auto"/>
        <w:ind w:left="0" w:firstLine="0"/>
      </w:pPr>
      <w:bookmarkStart w:id="121" w:name="_Toc104210868"/>
      <w:bookmarkStart w:id="122" w:name="_Toc104216160"/>
      <w:bookmarkStart w:id="123" w:name="_Toc104983863"/>
      <w:r>
        <w:t>机制</w:t>
      </w:r>
      <w:bookmarkEnd w:id="121"/>
      <w:bookmarkEnd w:id="122"/>
      <w:r>
        <w:rPr>
          <w:rFonts w:hint="eastAsia"/>
        </w:rPr>
        <w:t>检验：财务风险</w:t>
      </w:r>
      <w:bookmarkEnd w:id="123"/>
    </w:p>
    <w:p>
      <w:pPr>
        <w:pStyle w:val="4"/>
        <w:spacing w:before="156" w:beforeLines="50" w:after="156" w:afterLines="50" w:line="240" w:lineRule="auto"/>
        <w:ind w:left="567"/>
      </w:pPr>
      <w:bookmarkStart w:id="124" w:name="_Toc104983864"/>
      <w:bookmarkStart w:id="125" w:name="_Toc104210865"/>
      <w:bookmarkStart w:id="126" w:name="_Toc104216157"/>
      <w:r>
        <w:rPr>
          <w:rFonts w:hint="eastAsia"/>
        </w:rPr>
        <w:t>描述性统计</w:t>
      </w:r>
      <w:bookmarkEnd w:id="124"/>
      <w:bookmarkEnd w:id="125"/>
      <w:bookmarkEnd w:id="126"/>
    </w:p>
    <w:p>
      <w:pPr>
        <w:pStyle w:val="3"/>
        <w:ind w:firstLine="480"/>
      </w:pPr>
      <w:r>
        <w:rPr>
          <w:rFonts w:hint="eastAsia"/>
        </w:rPr>
        <w:t>表5</w:t>
      </w:r>
      <w:r>
        <w:t>-1</w:t>
      </w:r>
      <w:r>
        <w:rPr>
          <w:rFonts w:hint="eastAsia"/>
        </w:rPr>
        <w:t>展示了主要变量的描述性统计结果。可以看出，TobinQ的最大值、最小值和标准差分别为11.13、0.83和1.22，说明样本企业的企业价值差异较大。资产负债率（Lev）的最大值、最小值和均值分别为0</w:t>
      </w:r>
      <w:r>
        <w:t>.9</w:t>
      </w:r>
      <w:r>
        <w:rPr>
          <w:rFonts w:hint="eastAsia"/>
        </w:rPr>
        <w:t>2、0</w:t>
      </w:r>
      <w:r>
        <w:t>.</w:t>
      </w:r>
      <w:r>
        <w:rPr>
          <w:rFonts w:hint="eastAsia"/>
        </w:rPr>
        <w:t>07和0</w:t>
      </w:r>
      <w:r>
        <w:t>.44</w:t>
      </w:r>
      <w:r>
        <w:rPr>
          <w:rFonts w:hint="eastAsia"/>
        </w:rPr>
        <w:t>，说明样本企业的资本结构与长期偿债能力存在明显差异；资产回报率（R</w:t>
      </w:r>
      <w:r>
        <w:t>OA</w:t>
      </w:r>
      <w:r>
        <w:rPr>
          <w:rFonts w:hint="eastAsia"/>
        </w:rPr>
        <w:t>）的最大值、最小值和均值分别为0</w:t>
      </w:r>
      <w:r>
        <w:t>.1</w:t>
      </w:r>
      <w:r>
        <w:rPr>
          <w:rFonts w:hint="eastAsia"/>
        </w:rPr>
        <w:t>8、-</w:t>
      </w:r>
      <w:r>
        <w:t>0.</w:t>
      </w:r>
      <w:r>
        <w:rPr>
          <w:rFonts w:hint="eastAsia"/>
        </w:rPr>
        <w:t>17和0</w:t>
      </w:r>
      <w:r>
        <w:t>.0</w:t>
      </w:r>
      <w:r>
        <w:rPr>
          <w:rFonts w:hint="eastAsia"/>
        </w:rPr>
        <w:t>4，这说明样本企业的盈利能力存在明显差异；企业规模（Size）对年末总资产取自然对数后，最大值、最小值和均值分别为25.07、20.25和2</w:t>
      </w:r>
      <w:r>
        <w:t>2.</w:t>
      </w:r>
      <w:r>
        <w:rPr>
          <w:rFonts w:hint="eastAsia"/>
        </w:rPr>
        <w:t>55，说明样本企业的规模存在差异但差距不大；第一大股东持股比例（Large</w:t>
      </w:r>
      <w:r>
        <w:t>holder</w:t>
      </w:r>
      <w:r>
        <w:rPr>
          <w:rFonts w:hint="eastAsia"/>
        </w:rPr>
        <w:t>）的均值和中位数分别为0</w:t>
      </w:r>
      <w:r>
        <w:t>.3</w:t>
      </w:r>
      <w:r>
        <w:rPr>
          <w:rFonts w:hint="eastAsia"/>
        </w:rPr>
        <w:t>35和0</w:t>
      </w:r>
      <w:r>
        <w:t>.31</w:t>
      </w:r>
      <w:r>
        <w:rPr>
          <w:rFonts w:hint="eastAsia"/>
        </w:rPr>
        <w:t>6，最大值、最小值和标准差分别为77.29、10.50和15.34，说明样本企业的公司治理结构存在一定的差异；独立董事比例（I</w:t>
      </w:r>
      <w:r>
        <w:t>DR</w:t>
      </w:r>
      <w:r>
        <w:rPr>
          <w:rFonts w:hint="eastAsia"/>
        </w:rPr>
        <w:t>atio）的最大值、最小值和标准差分别为6</w:t>
      </w:r>
      <w:r>
        <w:t>6.67</w:t>
      </w:r>
      <w:r>
        <w:rPr>
          <w:rFonts w:hint="eastAsia"/>
        </w:rPr>
        <w:t>、25.00和6.03，说明样本企业的内部控制程度上存在较大差异；上市年限（</w:t>
      </w:r>
      <w:r>
        <w:t>Age</w:t>
      </w:r>
      <w:r>
        <w:rPr>
          <w:rFonts w:hint="eastAsia"/>
        </w:rPr>
        <w:t>）最大值、最小值和均值分别为3.33、0.00和3.72，说明样本企业的年龄存在差异但差距不大；市净率（M</w:t>
      </w:r>
      <w:r>
        <w:t>KTB</w:t>
      </w:r>
      <w:r>
        <w:rPr>
          <w:rFonts w:hint="eastAsia"/>
        </w:rPr>
        <w:t>）的最大值、最小值和标准差分别为36.71、0.56和4.25，说明样本企业的投资价值存在较大差异。</w:t>
      </w:r>
    </w:p>
    <w:p>
      <w:pPr>
        <w:pStyle w:val="3"/>
        <w:ind w:firstLine="480"/>
      </w:pPr>
      <w:r>
        <w:rPr>
          <w:rFonts w:hint="eastAsia"/>
        </w:rPr>
        <w:t>图5</w:t>
      </w:r>
      <w:r>
        <w:t>-1</w:t>
      </w:r>
      <w:r>
        <w:rPr>
          <w:rFonts w:hint="eastAsia"/>
        </w:rPr>
        <w:t>是重污染企业负面环境信息披露的年度分布直方图，从图中可以看出，2</w:t>
      </w:r>
      <w:r>
        <w:t>018</w:t>
      </w:r>
      <w:r>
        <w:rPr>
          <w:rFonts w:hint="eastAsia"/>
        </w:rPr>
        <w:t>年的负面环境信息披露次数最多，达到了5</w:t>
      </w:r>
      <w:r>
        <w:t>0</w:t>
      </w:r>
      <w:r>
        <w:rPr>
          <w:rFonts w:hint="eastAsia"/>
        </w:rPr>
        <w:t>次，占总事件的3</w:t>
      </w:r>
      <w:r>
        <w:t>8.5%</w:t>
      </w:r>
      <w:r>
        <w:rPr>
          <w:rFonts w:hint="eastAsia"/>
        </w:rPr>
        <w:t>，2</w:t>
      </w:r>
      <w:r>
        <w:t>019</w:t>
      </w:r>
      <w:r>
        <w:rPr>
          <w:rFonts w:hint="eastAsia"/>
        </w:rPr>
        <w:t>年和2</w:t>
      </w:r>
      <w:r>
        <w:t>015</w:t>
      </w:r>
      <w:r>
        <w:rPr>
          <w:rFonts w:hint="eastAsia"/>
        </w:rPr>
        <w:t>年的披露事件数量次之，分别为2</w:t>
      </w:r>
      <w:r>
        <w:t>5</w:t>
      </w:r>
      <w:r>
        <w:rPr>
          <w:rFonts w:hint="eastAsia"/>
        </w:rPr>
        <w:t>次和1</w:t>
      </w:r>
      <w:r>
        <w:t>6</w:t>
      </w:r>
      <w:r>
        <w:rPr>
          <w:rFonts w:hint="eastAsia"/>
        </w:rPr>
        <w:t>次；2</w:t>
      </w:r>
      <w:r>
        <w:t>016</w:t>
      </w:r>
      <w:r>
        <w:rPr>
          <w:rFonts w:hint="eastAsia"/>
        </w:rPr>
        <w:t>年的披露事件数量最少，仅5次，占总事件的3</w:t>
      </w:r>
      <w:r>
        <w:t>.85%</w:t>
      </w:r>
      <w:r>
        <w:rPr>
          <w:rFonts w:hint="eastAsia"/>
        </w:rPr>
        <w:t>；其余年份的披露事件数量虽然有所差异，但总体波动程度不大。</w:t>
      </w:r>
    </w:p>
    <w:p>
      <w:pPr>
        <w:pStyle w:val="3"/>
        <w:ind w:firstLine="480"/>
      </w:pPr>
      <w:r>
        <w:rPr>
          <w:rFonts w:hint="eastAsia"/>
        </w:rPr>
        <w:t>表5</w:t>
      </w:r>
      <w:r>
        <w:t>-2</w:t>
      </w:r>
      <w:r>
        <w:rPr>
          <w:rFonts w:hint="eastAsia"/>
        </w:rPr>
        <w:t>展示了分行业的负面环境信息披露事件数量，可以发现，负面环境信息披露事件集中发生在化学原料及化学制品制造业，达到了7</w:t>
      </w:r>
      <w:r>
        <w:t>1</w:t>
      </w:r>
      <w:r>
        <w:rPr>
          <w:rFonts w:hint="eastAsia"/>
        </w:rPr>
        <w:t>次，占全部事件的5</w:t>
      </w:r>
      <w:r>
        <w:t>4.6%</w:t>
      </w:r>
      <w:r>
        <w:rPr>
          <w:rFonts w:hint="eastAsia"/>
        </w:rPr>
        <w:t>；黑色金属冶炼及压延加工业最少，仅1次；其他行业之间虽有所差异但差异不大。</w:t>
      </w:r>
    </w:p>
    <w:p>
      <w:pPr>
        <w:pStyle w:val="3"/>
        <w:ind w:firstLine="480"/>
      </w:pPr>
    </w:p>
    <w:p>
      <w:pPr>
        <w:pStyle w:val="3"/>
        <w:ind w:firstLine="480"/>
      </w:pPr>
    </w:p>
    <w:p>
      <w:pPr>
        <w:pStyle w:val="3"/>
        <w:ind w:firstLine="480"/>
      </w:pPr>
    </w:p>
    <w:p>
      <w:pPr>
        <w:pStyle w:val="28"/>
        <w:spacing w:line="360" w:lineRule="auto"/>
      </w:pPr>
      <w:r>
        <w:rPr>
          <w:rFonts w:hint="eastAsia"/>
        </w:rPr>
        <w:t>表5-</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Start w:id="127" w:name="_Toc16132"/>
      <w:r>
        <w:t xml:space="preserve"> </w:t>
      </w:r>
      <w:r>
        <w:rPr>
          <w:rFonts w:hint="eastAsia"/>
        </w:rPr>
        <w:t>主要变量的描述性统计</w:t>
      </w:r>
      <w:bookmarkEnd w:id="127"/>
    </w:p>
    <w:tbl>
      <w:tblPr>
        <w:tblStyle w:val="16"/>
        <w:tblW w:w="5000" w:type="pct"/>
        <w:tblInd w:w="0" w:type="dxa"/>
        <w:tblLayout w:type="autofit"/>
        <w:tblCellMar>
          <w:top w:w="0" w:type="dxa"/>
          <w:left w:w="108" w:type="dxa"/>
          <w:bottom w:w="0" w:type="dxa"/>
          <w:right w:w="108" w:type="dxa"/>
        </w:tblCellMar>
      </w:tblPr>
      <w:tblGrid>
        <w:gridCol w:w="1311"/>
        <w:gridCol w:w="1201"/>
        <w:gridCol w:w="1201"/>
        <w:gridCol w:w="1201"/>
        <w:gridCol w:w="1201"/>
        <w:gridCol w:w="1201"/>
        <w:gridCol w:w="1206"/>
      </w:tblGrid>
      <w:tr>
        <w:tblPrEx>
          <w:tblCellMar>
            <w:top w:w="0" w:type="dxa"/>
            <w:left w:w="108" w:type="dxa"/>
            <w:bottom w:w="0" w:type="dxa"/>
            <w:right w:w="108" w:type="dxa"/>
          </w:tblCellMar>
        </w:tblPrEx>
        <w:tc>
          <w:tcPr>
            <w:tcW w:w="769" w:type="pct"/>
            <w:tcBorders>
              <w:top w:val="single" w:color="000000" w:sz="12" w:space="0"/>
              <w:left w:val="nil"/>
              <w:bottom w:val="single" w:color="000000" w:sz="4" w:space="0"/>
              <w:right w:val="nil"/>
            </w:tcBorders>
          </w:tcPr>
          <w:p>
            <w:pPr>
              <w:pStyle w:val="30"/>
            </w:pPr>
          </w:p>
        </w:tc>
        <w:tc>
          <w:tcPr>
            <w:tcW w:w="704" w:type="pct"/>
            <w:tcBorders>
              <w:top w:val="single" w:color="000000" w:sz="12" w:space="0"/>
              <w:left w:val="nil"/>
              <w:bottom w:val="single" w:color="000000" w:sz="4" w:space="0"/>
              <w:right w:val="nil"/>
            </w:tcBorders>
          </w:tcPr>
          <w:p>
            <w:pPr>
              <w:pStyle w:val="30"/>
              <w:jc w:val="center"/>
            </w:pPr>
            <w:r>
              <w:rPr>
                <w:rFonts w:hint="eastAsia"/>
              </w:rPr>
              <w:t>N</w:t>
            </w:r>
          </w:p>
        </w:tc>
        <w:tc>
          <w:tcPr>
            <w:tcW w:w="704" w:type="pct"/>
            <w:tcBorders>
              <w:top w:val="single" w:color="000000" w:sz="12" w:space="0"/>
              <w:left w:val="nil"/>
              <w:bottom w:val="single" w:color="000000" w:sz="4" w:space="0"/>
              <w:right w:val="nil"/>
            </w:tcBorders>
          </w:tcPr>
          <w:p>
            <w:pPr>
              <w:pStyle w:val="30"/>
              <w:jc w:val="center"/>
            </w:pPr>
            <w:r>
              <w:rPr>
                <w:rFonts w:hint="eastAsia"/>
              </w:rPr>
              <w:t>均值</w:t>
            </w:r>
          </w:p>
        </w:tc>
        <w:tc>
          <w:tcPr>
            <w:tcW w:w="704" w:type="pct"/>
            <w:tcBorders>
              <w:top w:val="single" w:color="000000" w:sz="12" w:space="0"/>
              <w:left w:val="nil"/>
              <w:bottom w:val="single" w:color="000000" w:sz="4" w:space="0"/>
              <w:right w:val="nil"/>
            </w:tcBorders>
          </w:tcPr>
          <w:p>
            <w:pPr>
              <w:pStyle w:val="30"/>
              <w:jc w:val="center"/>
            </w:pPr>
            <w:r>
              <w:rPr>
                <w:rFonts w:hint="eastAsia"/>
              </w:rPr>
              <w:t>标准差</w:t>
            </w:r>
          </w:p>
        </w:tc>
        <w:tc>
          <w:tcPr>
            <w:tcW w:w="704" w:type="pct"/>
            <w:tcBorders>
              <w:top w:val="single" w:color="000000" w:sz="12" w:space="0"/>
              <w:left w:val="nil"/>
              <w:bottom w:val="single" w:color="000000" w:sz="4" w:space="0"/>
              <w:right w:val="nil"/>
            </w:tcBorders>
          </w:tcPr>
          <w:p>
            <w:pPr>
              <w:pStyle w:val="30"/>
              <w:jc w:val="center"/>
            </w:pPr>
            <w:r>
              <w:rPr>
                <w:rFonts w:hint="eastAsia"/>
              </w:rPr>
              <w:t>最小值</w:t>
            </w:r>
          </w:p>
        </w:tc>
        <w:tc>
          <w:tcPr>
            <w:tcW w:w="704" w:type="pct"/>
            <w:tcBorders>
              <w:top w:val="single" w:color="000000" w:sz="12" w:space="0"/>
              <w:left w:val="nil"/>
              <w:bottom w:val="single" w:color="000000" w:sz="4" w:space="0"/>
              <w:right w:val="nil"/>
            </w:tcBorders>
          </w:tcPr>
          <w:p>
            <w:pPr>
              <w:pStyle w:val="30"/>
              <w:jc w:val="center"/>
            </w:pPr>
            <w:r>
              <w:rPr>
                <w:rFonts w:hint="eastAsia"/>
              </w:rPr>
              <w:t>中位数</w:t>
            </w:r>
          </w:p>
        </w:tc>
        <w:tc>
          <w:tcPr>
            <w:tcW w:w="707" w:type="pct"/>
            <w:tcBorders>
              <w:top w:val="single" w:color="000000" w:sz="12" w:space="0"/>
              <w:left w:val="nil"/>
              <w:bottom w:val="single" w:color="000000" w:sz="4" w:space="0"/>
              <w:right w:val="nil"/>
            </w:tcBorders>
          </w:tcPr>
          <w:p>
            <w:pPr>
              <w:pStyle w:val="30"/>
              <w:jc w:val="center"/>
            </w:pPr>
            <w:r>
              <w:rPr>
                <w:rFonts w:hint="eastAsia"/>
              </w:rPr>
              <w:t>最大值</w:t>
            </w:r>
          </w:p>
        </w:tc>
      </w:tr>
      <w:tr>
        <w:tblPrEx>
          <w:tblCellMar>
            <w:top w:w="0" w:type="dxa"/>
            <w:left w:w="108" w:type="dxa"/>
            <w:bottom w:w="0" w:type="dxa"/>
            <w:right w:w="108" w:type="dxa"/>
          </w:tblCellMar>
        </w:tblPrEx>
        <w:tc>
          <w:tcPr>
            <w:tcW w:w="769" w:type="pct"/>
            <w:tcBorders>
              <w:top w:val="single" w:color="000000" w:sz="4" w:space="0"/>
              <w:left w:val="nil"/>
              <w:bottom w:val="nil"/>
              <w:right w:val="nil"/>
            </w:tcBorders>
          </w:tcPr>
          <w:p>
            <w:pPr>
              <w:pStyle w:val="30"/>
            </w:pPr>
            <w:r>
              <w:rPr>
                <w:rFonts w:hint="eastAsia"/>
              </w:rPr>
              <w:t>TobinQ</w:t>
            </w:r>
          </w:p>
        </w:tc>
        <w:tc>
          <w:tcPr>
            <w:tcW w:w="704" w:type="pct"/>
            <w:tcBorders>
              <w:top w:val="single" w:color="000000"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291</w:t>
            </w:r>
          </w:p>
        </w:tc>
        <w:tc>
          <w:tcPr>
            <w:tcW w:w="704" w:type="pct"/>
            <w:tcBorders>
              <w:top w:val="single" w:color="000000"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1.86</w:t>
            </w:r>
          </w:p>
        </w:tc>
        <w:tc>
          <w:tcPr>
            <w:tcW w:w="704" w:type="pct"/>
            <w:tcBorders>
              <w:top w:val="single" w:color="000000"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1.22</w:t>
            </w:r>
          </w:p>
        </w:tc>
        <w:tc>
          <w:tcPr>
            <w:tcW w:w="704" w:type="pct"/>
            <w:tcBorders>
              <w:top w:val="single" w:color="000000"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0.83</w:t>
            </w:r>
          </w:p>
        </w:tc>
        <w:tc>
          <w:tcPr>
            <w:tcW w:w="704" w:type="pct"/>
            <w:tcBorders>
              <w:top w:val="single" w:color="000000"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1.50</w:t>
            </w:r>
          </w:p>
        </w:tc>
        <w:tc>
          <w:tcPr>
            <w:tcW w:w="707" w:type="pct"/>
            <w:tcBorders>
              <w:top w:val="single" w:color="000000"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11.13</w:t>
            </w:r>
          </w:p>
        </w:tc>
      </w:tr>
      <w:tr>
        <w:tblPrEx>
          <w:tblCellMar>
            <w:top w:w="0" w:type="dxa"/>
            <w:left w:w="108" w:type="dxa"/>
            <w:bottom w:w="0" w:type="dxa"/>
            <w:right w:w="108" w:type="dxa"/>
          </w:tblCellMar>
        </w:tblPrEx>
        <w:tc>
          <w:tcPr>
            <w:tcW w:w="769" w:type="pct"/>
            <w:tcBorders>
              <w:top w:val="nil"/>
              <w:left w:val="nil"/>
              <w:bottom w:val="nil"/>
              <w:right w:val="nil"/>
            </w:tcBorders>
          </w:tcPr>
          <w:p>
            <w:pPr>
              <w:pStyle w:val="30"/>
            </w:pPr>
            <w:r>
              <w:rPr>
                <w:rFonts w:hint="eastAsia"/>
              </w:rPr>
              <w:t>Eventyear</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291</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0.65</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0.48</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1.00</w:t>
            </w:r>
          </w:p>
        </w:tc>
        <w:tc>
          <w:tcPr>
            <w:tcW w:w="707"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1.00</w:t>
            </w:r>
          </w:p>
        </w:tc>
      </w:tr>
      <w:tr>
        <w:tblPrEx>
          <w:tblCellMar>
            <w:top w:w="0" w:type="dxa"/>
            <w:left w:w="108" w:type="dxa"/>
            <w:bottom w:w="0" w:type="dxa"/>
            <w:right w:w="108" w:type="dxa"/>
          </w:tblCellMar>
        </w:tblPrEx>
        <w:tc>
          <w:tcPr>
            <w:tcW w:w="769" w:type="pct"/>
            <w:tcBorders>
              <w:top w:val="nil"/>
              <w:left w:val="nil"/>
              <w:bottom w:val="nil"/>
              <w:right w:val="nil"/>
            </w:tcBorders>
          </w:tcPr>
          <w:p>
            <w:pPr>
              <w:pStyle w:val="30"/>
            </w:pPr>
            <w:r>
              <w:rPr>
                <w:rFonts w:hint="eastAsia"/>
              </w:rPr>
              <w:t>Z</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291</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3.72</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3.15</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0.19</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2.90</w:t>
            </w:r>
          </w:p>
        </w:tc>
        <w:tc>
          <w:tcPr>
            <w:tcW w:w="707"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18.88</w:t>
            </w:r>
          </w:p>
        </w:tc>
      </w:tr>
      <w:tr>
        <w:tblPrEx>
          <w:tblCellMar>
            <w:top w:w="0" w:type="dxa"/>
            <w:left w:w="108" w:type="dxa"/>
            <w:bottom w:w="0" w:type="dxa"/>
            <w:right w:w="108" w:type="dxa"/>
          </w:tblCellMar>
        </w:tblPrEx>
        <w:tc>
          <w:tcPr>
            <w:tcW w:w="769" w:type="pct"/>
            <w:tcBorders>
              <w:top w:val="nil"/>
              <w:left w:val="nil"/>
              <w:bottom w:val="nil"/>
              <w:right w:val="nil"/>
            </w:tcBorders>
          </w:tcPr>
          <w:p>
            <w:pPr>
              <w:pStyle w:val="30"/>
            </w:pPr>
            <w:r>
              <w:rPr>
                <w:rFonts w:hint="eastAsia"/>
              </w:rPr>
              <w:t>Age</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291</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2.34</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0.76</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2.48</w:t>
            </w:r>
          </w:p>
        </w:tc>
        <w:tc>
          <w:tcPr>
            <w:tcW w:w="707"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3.33</w:t>
            </w:r>
          </w:p>
        </w:tc>
      </w:tr>
      <w:tr>
        <w:tblPrEx>
          <w:tblCellMar>
            <w:top w:w="0" w:type="dxa"/>
            <w:left w:w="108" w:type="dxa"/>
            <w:bottom w:w="0" w:type="dxa"/>
            <w:right w:w="108" w:type="dxa"/>
          </w:tblCellMar>
        </w:tblPrEx>
        <w:tc>
          <w:tcPr>
            <w:tcW w:w="769" w:type="pct"/>
            <w:tcBorders>
              <w:top w:val="nil"/>
              <w:left w:val="nil"/>
              <w:bottom w:val="nil"/>
              <w:right w:val="nil"/>
            </w:tcBorders>
          </w:tcPr>
          <w:p>
            <w:pPr>
              <w:pStyle w:val="30"/>
            </w:pPr>
            <w:r>
              <w:rPr>
                <w:rFonts w:hint="eastAsia"/>
              </w:rPr>
              <w:t>Largeholder</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291</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33.46</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15.34</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10.50</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31.63</w:t>
            </w:r>
          </w:p>
        </w:tc>
        <w:tc>
          <w:tcPr>
            <w:tcW w:w="707"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77.29</w:t>
            </w:r>
          </w:p>
        </w:tc>
      </w:tr>
      <w:tr>
        <w:tblPrEx>
          <w:tblCellMar>
            <w:top w:w="0" w:type="dxa"/>
            <w:left w:w="108" w:type="dxa"/>
            <w:bottom w:w="0" w:type="dxa"/>
            <w:right w:w="108" w:type="dxa"/>
          </w:tblCellMar>
        </w:tblPrEx>
        <w:tc>
          <w:tcPr>
            <w:tcW w:w="769" w:type="pct"/>
            <w:tcBorders>
              <w:top w:val="nil"/>
              <w:left w:val="nil"/>
              <w:bottom w:val="nil"/>
              <w:right w:val="nil"/>
            </w:tcBorders>
          </w:tcPr>
          <w:p>
            <w:pPr>
              <w:pStyle w:val="30"/>
            </w:pPr>
            <w:r>
              <w:rPr>
                <w:rFonts w:hint="eastAsia"/>
              </w:rPr>
              <w:t>Size</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291</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22.55</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1.20</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20.25</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22.53</w:t>
            </w:r>
          </w:p>
        </w:tc>
        <w:tc>
          <w:tcPr>
            <w:tcW w:w="707"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25.07</w:t>
            </w:r>
          </w:p>
        </w:tc>
      </w:tr>
      <w:tr>
        <w:tblPrEx>
          <w:tblCellMar>
            <w:top w:w="0" w:type="dxa"/>
            <w:left w:w="108" w:type="dxa"/>
            <w:bottom w:w="0" w:type="dxa"/>
            <w:right w:w="108" w:type="dxa"/>
          </w:tblCellMar>
        </w:tblPrEx>
        <w:tc>
          <w:tcPr>
            <w:tcW w:w="769" w:type="pct"/>
            <w:tcBorders>
              <w:top w:val="nil"/>
              <w:left w:val="nil"/>
              <w:bottom w:val="nil"/>
              <w:right w:val="nil"/>
            </w:tcBorders>
          </w:tcPr>
          <w:p>
            <w:pPr>
              <w:pStyle w:val="30"/>
            </w:pPr>
            <w:r>
              <w:rPr>
                <w:rFonts w:hint="eastAsia"/>
              </w:rPr>
              <w:t>Lev</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291</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0.44</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0.19</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0.07</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0.43</w:t>
            </w:r>
          </w:p>
        </w:tc>
        <w:tc>
          <w:tcPr>
            <w:tcW w:w="707"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0.92</w:t>
            </w:r>
          </w:p>
        </w:tc>
      </w:tr>
      <w:tr>
        <w:tblPrEx>
          <w:tblCellMar>
            <w:top w:w="0" w:type="dxa"/>
            <w:left w:w="108" w:type="dxa"/>
            <w:bottom w:w="0" w:type="dxa"/>
            <w:right w:w="108" w:type="dxa"/>
          </w:tblCellMar>
        </w:tblPrEx>
        <w:tc>
          <w:tcPr>
            <w:tcW w:w="769" w:type="pct"/>
            <w:tcBorders>
              <w:top w:val="nil"/>
              <w:left w:val="nil"/>
              <w:bottom w:val="nil"/>
              <w:right w:val="nil"/>
            </w:tcBorders>
          </w:tcPr>
          <w:p>
            <w:pPr>
              <w:pStyle w:val="30"/>
            </w:pPr>
            <w:r>
              <w:rPr>
                <w:rFonts w:hint="eastAsia"/>
              </w:rPr>
              <w:t>ROA</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291</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0.04</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0.06</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-0.17</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0.03</w:t>
            </w:r>
          </w:p>
        </w:tc>
        <w:tc>
          <w:tcPr>
            <w:tcW w:w="707"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0.18</w:t>
            </w:r>
          </w:p>
        </w:tc>
      </w:tr>
      <w:tr>
        <w:tblPrEx>
          <w:tblCellMar>
            <w:top w:w="0" w:type="dxa"/>
            <w:left w:w="108" w:type="dxa"/>
            <w:bottom w:w="0" w:type="dxa"/>
            <w:right w:w="108" w:type="dxa"/>
          </w:tblCellMar>
        </w:tblPrEx>
        <w:tc>
          <w:tcPr>
            <w:tcW w:w="769" w:type="pct"/>
            <w:tcBorders>
              <w:top w:val="nil"/>
              <w:left w:val="nil"/>
              <w:bottom w:val="nil"/>
              <w:right w:val="nil"/>
            </w:tcBorders>
          </w:tcPr>
          <w:p>
            <w:pPr>
              <w:pStyle w:val="30"/>
            </w:pPr>
            <w:r>
              <w:rPr>
                <w:rFonts w:hint="eastAsia"/>
              </w:rPr>
              <w:t>Dual</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291</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0.22</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0.41</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w:t>
            </w:r>
          </w:p>
        </w:tc>
        <w:tc>
          <w:tcPr>
            <w:tcW w:w="707"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1.00</w:t>
            </w:r>
          </w:p>
        </w:tc>
      </w:tr>
      <w:tr>
        <w:tblPrEx>
          <w:tblCellMar>
            <w:top w:w="0" w:type="dxa"/>
            <w:left w:w="108" w:type="dxa"/>
            <w:bottom w:w="0" w:type="dxa"/>
            <w:right w:w="108" w:type="dxa"/>
          </w:tblCellMar>
        </w:tblPrEx>
        <w:tc>
          <w:tcPr>
            <w:tcW w:w="769" w:type="pct"/>
            <w:tcBorders>
              <w:top w:val="nil"/>
              <w:left w:val="nil"/>
              <w:bottom w:val="nil"/>
              <w:right w:val="nil"/>
            </w:tcBorders>
          </w:tcPr>
          <w:p>
            <w:pPr>
              <w:pStyle w:val="30"/>
            </w:pPr>
            <w:r>
              <w:rPr>
                <w:rFonts w:hint="eastAsia"/>
              </w:rPr>
              <w:t>BSize</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291</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8.82</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1.48</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5.00</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9.00</w:t>
            </w:r>
          </w:p>
        </w:tc>
        <w:tc>
          <w:tcPr>
            <w:tcW w:w="707"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13.00</w:t>
            </w:r>
          </w:p>
        </w:tc>
      </w:tr>
      <w:tr>
        <w:tblPrEx>
          <w:tblCellMar>
            <w:top w:w="0" w:type="dxa"/>
            <w:left w:w="108" w:type="dxa"/>
            <w:bottom w:w="0" w:type="dxa"/>
            <w:right w:w="108" w:type="dxa"/>
          </w:tblCellMar>
        </w:tblPrEx>
        <w:tc>
          <w:tcPr>
            <w:tcW w:w="769" w:type="pct"/>
            <w:tcBorders>
              <w:top w:val="nil"/>
              <w:left w:val="nil"/>
              <w:bottom w:val="nil"/>
              <w:right w:val="nil"/>
            </w:tcBorders>
          </w:tcPr>
          <w:p>
            <w:pPr>
              <w:pStyle w:val="30"/>
            </w:pPr>
            <w:r>
              <w:rPr>
                <w:rFonts w:hint="eastAsia"/>
              </w:rPr>
              <w:t>IDRatio</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291</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36.63</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6.03</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25.00</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33.33</w:t>
            </w:r>
          </w:p>
        </w:tc>
        <w:tc>
          <w:tcPr>
            <w:tcW w:w="707"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66.67</w:t>
            </w:r>
          </w:p>
        </w:tc>
      </w:tr>
      <w:tr>
        <w:tblPrEx>
          <w:tblCellMar>
            <w:top w:w="0" w:type="dxa"/>
            <w:left w:w="108" w:type="dxa"/>
            <w:bottom w:w="0" w:type="dxa"/>
            <w:right w:w="108" w:type="dxa"/>
          </w:tblCellMar>
        </w:tblPrEx>
        <w:tc>
          <w:tcPr>
            <w:tcW w:w="769" w:type="pct"/>
            <w:tcBorders>
              <w:top w:val="nil"/>
              <w:left w:val="nil"/>
              <w:bottom w:val="nil"/>
              <w:right w:val="nil"/>
            </w:tcBorders>
          </w:tcPr>
          <w:p>
            <w:pPr>
              <w:pStyle w:val="30"/>
            </w:pPr>
            <w:r>
              <w:rPr>
                <w:rFonts w:hint="eastAsia"/>
              </w:rPr>
              <w:t>MKTB</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291</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3.11</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4.25</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0.56</w:t>
            </w:r>
          </w:p>
        </w:tc>
        <w:tc>
          <w:tcPr>
            <w:tcW w:w="704"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2.15</w:t>
            </w:r>
          </w:p>
        </w:tc>
        <w:tc>
          <w:tcPr>
            <w:tcW w:w="707"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36.71</w:t>
            </w:r>
          </w:p>
        </w:tc>
      </w:tr>
      <w:tr>
        <w:tblPrEx>
          <w:tblCellMar>
            <w:top w:w="0" w:type="dxa"/>
            <w:left w:w="108" w:type="dxa"/>
            <w:bottom w:w="0" w:type="dxa"/>
            <w:right w:w="108" w:type="dxa"/>
          </w:tblCellMar>
        </w:tblPrEx>
        <w:tc>
          <w:tcPr>
            <w:tcW w:w="769" w:type="pct"/>
            <w:tcBorders>
              <w:top w:val="nil"/>
              <w:left w:val="nil"/>
              <w:bottom w:val="single" w:color="000000" w:sz="12" w:space="0"/>
              <w:right w:val="nil"/>
            </w:tcBorders>
          </w:tcPr>
          <w:p>
            <w:pPr>
              <w:pStyle w:val="30"/>
            </w:pPr>
            <w:r>
              <w:rPr>
                <w:rFonts w:hint="eastAsia"/>
              </w:rPr>
              <w:t>Growth</w:t>
            </w:r>
          </w:p>
        </w:tc>
        <w:tc>
          <w:tcPr>
            <w:tcW w:w="704" w:type="pct"/>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291</w:t>
            </w:r>
          </w:p>
        </w:tc>
        <w:tc>
          <w:tcPr>
            <w:tcW w:w="704" w:type="pct"/>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0.32</w:t>
            </w:r>
          </w:p>
        </w:tc>
        <w:tc>
          <w:tcPr>
            <w:tcW w:w="704" w:type="pct"/>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1.51</w:t>
            </w:r>
          </w:p>
        </w:tc>
        <w:tc>
          <w:tcPr>
            <w:tcW w:w="704" w:type="pct"/>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-0.67</w:t>
            </w:r>
          </w:p>
        </w:tc>
        <w:tc>
          <w:tcPr>
            <w:tcW w:w="704" w:type="pct"/>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0.07</w:t>
            </w:r>
          </w:p>
        </w:tc>
        <w:tc>
          <w:tcPr>
            <w:tcW w:w="707" w:type="pct"/>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11.41</w:t>
            </w:r>
          </w:p>
        </w:tc>
      </w:tr>
    </w:tbl>
    <w:p>
      <w:pPr>
        <w:pStyle w:val="3"/>
        <w:ind w:firstLine="480"/>
      </w:pPr>
    </w:p>
    <w:p>
      <w:pPr>
        <w:keepNext/>
        <w:spacing w:line="360" w:lineRule="auto"/>
        <w:jc w:val="center"/>
      </w:pPr>
      <w:r>
        <w:drawing>
          <wp:inline distT="0" distB="0" distL="114300" distR="114300">
            <wp:extent cx="5029200" cy="3657600"/>
            <wp:effectExtent l="0" t="0" r="0" b="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0"/>
                    <pic:cNvPicPr>
                      <a:picLocks noChangeAspect="1"/>
                    </pic:cNvPicPr>
                  </pic:nvPicPr>
                  <pic:blipFill>
                    <a:blip r:embed="rId101"/>
                    <a:stretch>
                      <a:fillRect/>
                    </a:stretch>
                  </pic:blipFill>
                  <pic:spPr>
                    <a:xfrm>
                      <a:off x="0" y="0"/>
                      <a:ext cx="5029200" cy="3657600"/>
                    </a:xfrm>
                    <a:prstGeom prst="rect">
                      <a:avLst/>
                    </a:prstGeom>
                    <a:noFill/>
                    <a:ln>
                      <a:noFill/>
                    </a:ln>
                  </pic:spPr>
                </pic:pic>
              </a:graphicData>
            </a:graphic>
          </wp:inline>
        </w:drawing>
      </w:r>
    </w:p>
    <w:p>
      <w:pPr>
        <w:pStyle w:val="28"/>
        <w:spacing w:line="360" w:lineRule="auto"/>
      </w:pPr>
      <w:r>
        <w:rPr>
          <w:rFonts w:hint="eastAsia"/>
        </w:rPr>
        <w:t>图 5</w:t>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Start w:id="128" w:name="_Toc13258"/>
      <w:r>
        <w:t xml:space="preserve"> </w:t>
      </w:r>
      <w:r>
        <w:rPr>
          <w:rFonts w:hint="eastAsia"/>
        </w:rPr>
        <w:t>重污染企业负面环境信息披露的年度分布</w:t>
      </w:r>
      <w:bookmarkEnd w:id="128"/>
    </w:p>
    <w:p>
      <w:pPr>
        <w:widowControl/>
        <w:jc w:val="left"/>
        <w:rPr>
          <w:rFonts w:ascii="Times New Roman" w:hAnsi="Times New Roman"/>
          <w:sz w:val="24"/>
        </w:rPr>
      </w:pPr>
      <w:r>
        <w:br w:type="page"/>
      </w:r>
    </w:p>
    <w:p>
      <w:pPr>
        <w:pStyle w:val="28"/>
        <w:spacing w:line="360" w:lineRule="auto"/>
      </w:pPr>
      <w:r>
        <w:rPr>
          <w:rFonts w:hint="eastAsia"/>
        </w:rPr>
        <w:t>表 5-</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bookmarkStart w:id="129" w:name="_Toc6808"/>
      <w:r>
        <w:t xml:space="preserve"> </w:t>
      </w:r>
      <w:r>
        <w:rPr>
          <w:rFonts w:hint="eastAsia"/>
        </w:rPr>
        <w:t>重污染企业负面环境信息披露的行业分布</w:t>
      </w:r>
      <w:bookmarkEnd w:id="129"/>
    </w:p>
    <w:tbl>
      <w:tblPr>
        <w:tblStyle w:val="16"/>
        <w:tblW w:w="5000" w:type="pct"/>
        <w:tblInd w:w="0" w:type="dxa"/>
        <w:tblLayout w:type="autofit"/>
        <w:tblCellMar>
          <w:top w:w="0" w:type="dxa"/>
          <w:left w:w="108" w:type="dxa"/>
          <w:bottom w:w="0" w:type="dxa"/>
          <w:right w:w="108" w:type="dxa"/>
        </w:tblCellMar>
      </w:tblPr>
      <w:tblGrid>
        <w:gridCol w:w="5143"/>
        <w:gridCol w:w="3379"/>
      </w:tblGrid>
      <w:tr>
        <w:tblPrEx>
          <w:tblCellMar>
            <w:top w:w="0" w:type="dxa"/>
            <w:left w:w="108" w:type="dxa"/>
            <w:bottom w:w="0" w:type="dxa"/>
            <w:right w:w="108" w:type="dxa"/>
          </w:tblCellMar>
        </w:tblPrEx>
        <w:trPr>
          <w:trHeight w:val="315" w:hRule="atLeast"/>
        </w:trPr>
        <w:tc>
          <w:tcPr>
            <w:tcW w:w="3017" w:type="pct"/>
            <w:tcBorders>
              <w:top w:val="single" w:color="auto" w:sz="12" w:space="0"/>
              <w:left w:val="nil"/>
              <w:bottom w:val="single" w:color="auto" w:sz="8" w:space="0"/>
              <w:right w:val="nil"/>
            </w:tcBorders>
            <w:vAlign w:val="center"/>
          </w:tcPr>
          <w:p>
            <w:pPr>
              <w:pStyle w:val="30"/>
              <w:jc w:val="center"/>
              <w:rPr>
                <w:b/>
                <w:bCs/>
              </w:rPr>
            </w:pPr>
            <w:r>
              <w:rPr>
                <w:rFonts w:hint="eastAsia"/>
                <w:b/>
                <w:bCs/>
              </w:rPr>
              <w:t>行业</w:t>
            </w:r>
          </w:p>
        </w:tc>
        <w:tc>
          <w:tcPr>
            <w:tcW w:w="1982" w:type="pct"/>
            <w:tcBorders>
              <w:top w:val="single" w:color="auto" w:sz="12" w:space="0"/>
              <w:left w:val="nil"/>
              <w:bottom w:val="single" w:color="auto" w:sz="8" w:space="0"/>
              <w:right w:val="nil"/>
            </w:tcBorders>
            <w:vAlign w:val="center"/>
          </w:tcPr>
          <w:p>
            <w:pPr>
              <w:pStyle w:val="30"/>
              <w:jc w:val="center"/>
              <w:rPr>
                <w:b/>
                <w:bCs/>
              </w:rPr>
            </w:pPr>
            <w:r>
              <w:rPr>
                <w:rFonts w:hint="eastAsia"/>
                <w:b/>
                <w:bCs/>
              </w:rPr>
              <w:t>事件数量</w:t>
            </w:r>
          </w:p>
        </w:tc>
      </w:tr>
      <w:tr>
        <w:tblPrEx>
          <w:tblCellMar>
            <w:top w:w="0" w:type="dxa"/>
            <w:left w:w="108" w:type="dxa"/>
            <w:bottom w:w="0" w:type="dxa"/>
            <w:right w:w="108" w:type="dxa"/>
          </w:tblCellMar>
        </w:tblPrEx>
        <w:trPr>
          <w:trHeight w:val="315" w:hRule="atLeast"/>
        </w:trPr>
        <w:tc>
          <w:tcPr>
            <w:tcW w:w="3017" w:type="pct"/>
            <w:tcBorders>
              <w:top w:val="nil"/>
              <w:left w:val="nil"/>
              <w:bottom w:val="nil"/>
              <w:right w:val="nil"/>
            </w:tcBorders>
            <w:vAlign w:val="center"/>
          </w:tcPr>
          <w:p>
            <w:pPr>
              <w:pStyle w:val="30"/>
              <w:jc w:val="center"/>
            </w:pPr>
            <w:r>
              <w:rPr>
                <w:rFonts w:hint="eastAsia"/>
              </w:rPr>
              <w:t>化学原料及化学制品制造业</w:t>
            </w:r>
          </w:p>
        </w:tc>
        <w:tc>
          <w:tcPr>
            <w:tcW w:w="1982" w:type="pct"/>
            <w:tcBorders>
              <w:top w:val="nil"/>
              <w:left w:val="nil"/>
              <w:bottom w:val="nil"/>
              <w:right w:val="nil"/>
            </w:tcBorders>
            <w:vAlign w:val="center"/>
          </w:tcPr>
          <w:p>
            <w:pPr>
              <w:pStyle w:val="30"/>
              <w:jc w:val="center"/>
            </w:pPr>
            <w:r>
              <w:rPr>
                <w:rFonts w:hint="eastAsia"/>
              </w:rPr>
              <w:t>71</w:t>
            </w:r>
          </w:p>
        </w:tc>
      </w:tr>
      <w:tr>
        <w:tblPrEx>
          <w:tblCellMar>
            <w:top w:w="0" w:type="dxa"/>
            <w:left w:w="108" w:type="dxa"/>
            <w:bottom w:w="0" w:type="dxa"/>
            <w:right w:w="108" w:type="dxa"/>
          </w:tblCellMar>
        </w:tblPrEx>
        <w:trPr>
          <w:trHeight w:val="90" w:hRule="atLeast"/>
        </w:trPr>
        <w:tc>
          <w:tcPr>
            <w:tcW w:w="3017" w:type="pct"/>
            <w:tcBorders>
              <w:top w:val="nil"/>
              <w:left w:val="nil"/>
              <w:bottom w:val="nil"/>
              <w:right w:val="nil"/>
            </w:tcBorders>
            <w:vAlign w:val="center"/>
          </w:tcPr>
          <w:p>
            <w:pPr>
              <w:pStyle w:val="30"/>
              <w:jc w:val="center"/>
            </w:pPr>
            <w:r>
              <w:rPr>
                <w:rFonts w:hint="eastAsia"/>
              </w:rPr>
              <w:t>有色金属冶炼及压延加工业</w:t>
            </w:r>
          </w:p>
        </w:tc>
        <w:tc>
          <w:tcPr>
            <w:tcW w:w="1982" w:type="pct"/>
            <w:tcBorders>
              <w:top w:val="nil"/>
              <w:left w:val="nil"/>
              <w:bottom w:val="nil"/>
              <w:right w:val="nil"/>
            </w:tcBorders>
            <w:vAlign w:val="center"/>
          </w:tcPr>
          <w:p>
            <w:pPr>
              <w:pStyle w:val="30"/>
              <w:jc w:val="center"/>
            </w:pPr>
            <w:r>
              <w:rPr>
                <w:rFonts w:hint="eastAsia"/>
              </w:rPr>
              <w:t>15</w:t>
            </w:r>
          </w:p>
        </w:tc>
      </w:tr>
      <w:tr>
        <w:tblPrEx>
          <w:tblCellMar>
            <w:top w:w="0" w:type="dxa"/>
            <w:left w:w="108" w:type="dxa"/>
            <w:bottom w:w="0" w:type="dxa"/>
            <w:right w:w="108" w:type="dxa"/>
          </w:tblCellMar>
        </w:tblPrEx>
        <w:trPr>
          <w:trHeight w:val="315" w:hRule="atLeast"/>
        </w:trPr>
        <w:tc>
          <w:tcPr>
            <w:tcW w:w="3017" w:type="pct"/>
            <w:tcBorders>
              <w:top w:val="nil"/>
              <w:left w:val="nil"/>
              <w:bottom w:val="nil"/>
              <w:right w:val="nil"/>
            </w:tcBorders>
            <w:vAlign w:val="center"/>
          </w:tcPr>
          <w:p>
            <w:pPr>
              <w:pStyle w:val="30"/>
              <w:jc w:val="center"/>
            </w:pPr>
            <w:r>
              <w:rPr>
                <w:rFonts w:hint="eastAsia"/>
              </w:rPr>
              <w:t>有色金属矿采选业</w:t>
            </w:r>
          </w:p>
        </w:tc>
        <w:tc>
          <w:tcPr>
            <w:tcW w:w="1982" w:type="pct"/>
            <w:tcBorders>
              <w:top w:val="nil"/>
              <w:left w:val="nil"/>
              <w:bottom w:val="nil"/>
              <w:right w:val="nil"/>
            </w:tcBorders>
            <w:vAlign w:val="center"/>
          </w:tcPr>
          <w:p>
            <w:pPr>
              <w:pStyle w:val="30"/>
              <w:jc w:val="center"/>
            </w:pPr>
            <w:r>
              <w:rPr>
                <w:rFonts w:hint="eastAsia"/>
              </w:rPr>
              <w:t>11</w:t>
            </w:r>
          </w:p>
        </w:tc>
      </w:tr>
      <w:tr>
        <w:tblPrEx>
          <w:tblCellMar>
            <w:top w:w="0" w:type="dxa"/>
            <w:left w:w="108" w:type="dxa"/>
            <w:bottom w:w="0" w:type="dxa"/>
            <w:right w:w="108" w:type="dxa"/>
          </w:tblCellMar>
        </w:tblPrEx>
        <w:trPr>
          <w:trHeight w:val="315" w:hRule="atLeast"/>
        </w:trPr>
        <w:tc>
          <w:tcPr>
            <w:tcW w:w="3017" w:type="pct"/>
            <w:tcBorders>
              <w:top w:val="nil"/>
              <w:left w:val="nil"/>
              <w:bottom w:val="nil"/>
              <w:right w:val="nil"/>
            </w:tcBorders>
            <w:vAlign w:val="center"/>
          </w:tcPr>
          <w:p>
            <w:pPr>
              <w:pStyle w:val="30"/>
              <w:jc w:val="center"/>
            </w:pPr>
            <w:r>
              <w:rPr>
                <w:rFonts w:hint="eastAsia"/>
              </w:rPr>
              <w:t>非金属矿物制品业</w:t>
            </w:r>
          </w:p>
        </w:tc>
        <w:tc>
          <w:tcPr>
            <w:tcW w:w="1982" w:type="pct"/>
            <w:tcBorders>
              <w:top w:val="nil"/>
              <w:left w:val="nil"/>
              <w:bottom w:val="nil"/>
              <w:right w:val="nil"/>
            </w:tcBorders>
            <w:vAlign w:val="center"/>
          </w:tcPr>
          <w:p>
            <w:pPr>
              <w:pStyle w:val="30"/>
              <w:jc w:val="center"/>
            </w:pPr>
            <w:r>
              <w:rPr>
                <w:rFonts w:hint="eastAsia"/>
              </w:rPr>
              <w:t>9</w:t>
            </w:r>
          </w:p>
        </w:tc>
      </w:tr>
      <w:tr>
        <w:tblPrEx>
          <w:tblCellMar>
            <w:top w:w="0" w:type="dxa"/>
            <w:left w:w="108" w:type="dxa"/>
            <w:bottom w:w="0" w:type="dxa"/>
            <w:right w:w="108" w:type="dxa"/>
          </w:tblCellMar>
        </w:tblPrEx>
        <w:trPr>
          <w:trHeight w:val="315" w:hRule="atLeast"/>
        </w:trPr>
        <w:tc>
          <w:tcPr>
            <w:tcW w:w="3017" w:type="pct"/>
            <w:tcBorders>
              <w:top w:val="nil"/>
              <w:left w:val="nil"/>
              <w:bottom w:val="nil"/>
              <w:right w:val="nil"/>
            </w:tcBorders>
            <w:vAlign w:val="center"/>
          </w:tcPr>
          <w:p>
            <w:pPr>
              <w:pStyle w:val="30"/>
              <w:jc w:val="center"/>
            </w:pPr>
            <w:r>
              <w:rPr>
                <w:rFonts w:hint="eastAsia"/>
              </w:rPr>
              <w:t>橡胶和塑料制品业</w:t>
            </w:r>
          </w:p>
        </w:tc>
        <w:tc>
          <w:tcPr>
            <w:tcW w:w="1982" w:type="pct"/>
            <w:tcBorders>
              <w:top w:val="nil"/>
              <w:left w:val="nil"/>
              <w:bottom w:val="nil"/>
              <w:right w:val="nil"/>
            </w:tcBorders>
            <w:vAlign w:val="center"/>
          </w:tcPr>
          <w:p>
            <w:pPr>
              <w:pStyle w:val="30"/>
              <w:jc w:val="center"/>
            </w:pPr>
            <w:r>
              <w:rPr>
                <w:rFonts w:hint="eastAsia"/>
              </w:rPr>
              <w:t>5</w:t>
            </w:r>
          </w:p>
        </w:tc>
      </w:tr>
      <w:tr>
        <w:tblPrEx>
          <w:tblCellMar>
            <w:top w:w="0" w:type="dxa"/>
            <w:left w:w="108" w:type="dxa"/>
            <w:bottom w:w="0" w:type="dxa"/>
            <w:right w:w="108" w:type="dxa"/>
          </w:tblCellMar>
        </w:tblPrEx>
        <w:trPr>
          <w:trHeight w:val="315" w:hRule="atLeast"/>
        </w:trPr>
        <w:tc>
          <w:tcPr>
            <w:tcW w:w="3017" w:type="pct"/>
            <w:tcBorders>
              <w:top w:val="nil"/>
              <w:left w:val="nil"/>
              <w:bottom w:val="nil"/>
              <w:right w:val="nil"/>
            </w:tcBorders>
            <w:vAlign w:val="center"/>
          </w:tcPr>
          <w:p>
            <w:pPr>
              <w:pStyle w:val="30"/>
              <w:jc w:val="center"/>
            </w:pPr>
            <w:r>
              <w:rPr>
                <w:rFonts w:hint="eastAsia"/>
              </w:rPr>
              <w:t>黑色金属矿采选业</w:t>
            </w:r>
          </w:p>
        </w:tc>
        <w:tc>
          <w:tcPr>
            <w:tcW w:w="1982" w:type="pct"/>
            <w:tcBorders>
              <w:top w:val="nil"/>
              <w:left w:val="nil"/>
              <w:bottom w:val="nil"/>
              <w:right w:val="nil"/>
            </w:tcBorders>
            <w:vAlign w:val="center"/>
          </w:tcPr>
          <w:p>
            <w:pPr>
              <w:pStyle w:val="30"/>
              <w:jc w:val="center"/>
            </w:pPr>
            <w:r>
              <w:rPr>
                <w:rFonts w:hint="eastAsia"/>
              </w:rPr>
              <w:t>4</w:t>
            </w:r>
          </w:p>
        </w:tc>
      </w:tr>
      <w:tr>
        <w:tblPrEx>
          <w:tblCellMar>
            <w:top w:w="0" w:type="dxa"/>
            <w:left w:w="108" w:type="dxa"/>
            <w:bottom w:w="0" w:type="dxa"/>
            <w:right w:w="108" w:type="dxa"/>
          </w:tblCellMar>
        </w:tblPrEx>
        <w:trPr>
          <w:trHeight w:val="315" w:hRule="atLeast"/>
        </w:trPr>
        <w:tc>
          <w:tcPr>
            <w:tcW w:w="3017" w:type="pct"/>
            <w:tcBorders>
              <w:top w:val="nil"/>
              <w:left w:val="nil"/>
              <w:bottom w:val="nil"/>
              <w:right w:val="nil"/>
            </w:tcBorders>
            <w:vAlign w:val="center"/>
          </w:tcPr>
          <w:p>
            <w:pPr>
              <w:pStyle w:val="30"/>
              <w:jc w:val="center"/>
            </w:pPr>
            <w:r>
              <w:rPr>
                <w:rFonts w:hint="eastAsia"/>
              </w:rPr>
              <w:t>煤炭开采和洗选业</w:t>
            </w:r>
          </w:p>
        </w:tc>
        <w:tc>
          <w:tcPr>
            <w:tcW w:w="1982" w:type="pct"/>
            <w:tcBorders>
              <w:top w:val="nil"/>
              <w:left w:val="nil"/>
              <w:bottom w:val="nil"/>
              <w:right w:val="nil"/>
            </w:tcBorders>
            <w:vAlign w:val="center"/>
          </w:tcPr>
          <w:p>
            <w:pPr>
              <w:pStyle w:val="30"/>
              <w:jc w:val="center"/>
            </w:pPr>
            <w:r>
              <w:rPr>
                <w:rFonts w:hint="eastAsia"/>
              </w:rPr>
              <w:t>3</w:t>
            </w:r>
          </w:p>
        </w:tc>
      </w:tr>
      <w:tr>
        <w:tblPrEx>
          <w:tblCellMar>
            <w:top w:w="0" w:type="dxa"/>
            <w:left w:w="108" w:type="dxa"/>
            <w:bottom w:w="0" w:type="dxa"/>
            <w:right w:w="108" w:type="dxa"/>
          </w:tblCellMar>
        </w:tblPrEx>
        <w:trPr>
          <w:trHeight w:val="315" w:hRule="atLeast"/>
        </w:trPr>
        <w:tc>
          <w:tcPr>
            <w:tcW w:w="3017" w:type="pct"/>
            <w:tcBorders>
              <w:top w:val="nil"/>
              <w:left w:val="nil"/>
              <w:bottom w:val="nil"/>
              <w:right w:val="nil"/>
            </w:tcBorders>
            <w:vAlign w:val="center"/>
          </w:tcPr>
          <w:p>
            <w:pPr>
              <w:pStyle w:val="30"/>
              <w:jc w:val="center"/>
            </w:pPr>
            <w:r>
              <w:rPr>
                <w:rFonts w:hint="eastAsia"/>
              </w:rPr>
              <w:t>石油加工、炼焦及核燃料加工业</w:t>
            </w:r>
          </w:p>
        </w:tc>
        <w:tc>
          <w:tcPr>
            <w:tcW w:w="1982" w:type="pct"/>
            <w:tcBorders>
              <w:top w:val="nil"/>
              <w:left w:val="nil"/>
              <w:bottom w:val="nil"/>
              <w:right w:val="nil"/>
            </w:tcBorders>
            <w:vAlign w:val="center"/>
          </w:tcPr>
          <w:p>
            <w:pPr>
              <w:pStyle w:val="30"/>
              <w:jc w:val="center"/>
            </w:pPr>
            <w:r>
              <w:rPr>
                <w:rFonts w:hint="eastAsia"/>
              </w:rPr>
              <w:t>3</w:t>
            </w:r>
          </w:p>
        </w:tc>
      </w:tr>
      <w:tr>
        <w:tblPrEx>
          <w:tblCellMar>
            <w:top w:w="0" w:type="dxa"/>
            <w:left w:w="108" w:type="dxa"/>
            <w:bottom w:w="0" w:type="dxa"/>
            <w:right w:w="108" w:type="dxa"/>
          </w:tblCellMar>
        </w:tblPrEx>
        <w:trPr>
          <w:trHeight w:val="315" w:hRule="atLeast"/>
        </w:trPr>
        <w:tc>
          <w:tcPr>
            <w:tcW w:w="3017" w:type="pct"/>
            <w:tcBorders>
              <w:top w:val="nil"/>
              <w:left w:val="nil"/>
              <w:bottom w:val="nil"/>
              <w:right w:val="nil"/>
            </w:tcBorders>
            <w:vAlign w:val="center"/>
          </w:tcPr>
          <w:p>
            <w:pPr>
              <w:pStyle w:val="30"/>
              <w:jc w:val="center"/>
            </w:pPr>
            <w:r>
              <w:rPr>
                <w:rFonts w:hint="eastAsia"/>
              </w:rPr>
              <w:t>金属制品业</w:t>
            </w:r>
          </w:p>
        </w:tc>
        <w:tc>
          <w:tcPr>
            <w:tcW w:w="1982" w:type="pct"/>
            <w:tcBorders>
              <w:top w:val="nil"/>
              <w:left w:val="nil"/>
              <w:bottom w:val="nil"/>
              <w:right w:val="nil"/>
            </w:tcBorders>
            <w:vAlign w:val="center"/>
          </w:tcPr>
          <w:p>
            <w:pPr>
              <w:pStyle w:val="30"/>
              <w:jc w:val="center"/>
            </w:pPr>
            <w:r>
              <w:rPr>
                <w:rFonts w:hint="eastAsia"/>
              </w:rPr>
              <w:t>3</w:t>
            </w:r>
          </w:p>
        </w:tc>
      </w:tr>
      <w:tr>
        <w:tblPrEx>
          <w:tblCellMar>
            <w:top w:w="0" w:type="dxa"/>
            <w:left w:w="108" w:type="dxa"/>
            <w:bottom w:w="0" w:type="dxa"/>
            <w:right w:w="108" w:type="dxa"/>
          </w:tblCellMar>
        </w:tblPrEx>
        <w:trPr>
          <w:trHeight w:val="315" w:hRule="atLeast"/>
        </w:trPr>
        <w:tc>
          <w:tcPr>
            <w:tcW w:w="3017" w:type="pct"/>
            <w:tcBorders>
              <w:top w:val="nil"/>
              <w:left w:val="nil"/>
              <w:bottom w:val="nil"/>
              <w:right w:val="nil"/>
            </w:tcBorders>
            <w:vAlign w:val="center"/>
          </w:tcPr>
          <w:p>
            <w:pPr>
              <w:pStyle w:val="30"/>
              <w:jc w:val="center"/>
            </w:pPr>
            <w:r>
              <w:rPr>
                <w:rFonts w:hint="eastAsia"/>
              </w:rPr>
              <w:t>电力、热力生产和供应业</w:t>
            </w:r>
          </w:p>
        </w:tc>
        <w:tc>
          <w:tcPr>
            <w:tcW w:w="1982" w:type="pct"/>
            <w:tcBorders>
              <w:top w:val="nil"/>
              <w:left w:val="nil"/>
              <w:bottom w:val="nil"/>
              <w:right w:val="nil"/>
            </w:tcBorders>
            <w:vAlign w:val="center"/>
          </w:tcPr>
          <w:p>
            <w:pPr>
              <w:pStyle w:val="30"/>
              <w:jc w:val="center"/>
            </w:pPr>
            <w:r>
              <w:rPr>
                <w:rFonts w:hint="eastAsia"/>
              </w:rPr>
              <w:t>3</w:t>
            </w:r>
          </w:p>
        </w:tc>
      </w:tr>
      <w:tr>
        <w:tblPrEx>
          <w:tblCellMar>
            <w:top w:w="0" w:type="dxa"/>
            <w:left w:w="108" w:type="dxa"/>
            <w:bottom w:w="0" w:type="dxa"/>
            <w:right w:w="108" w:type="dxa"/>
          </w:tblCellMar>
        </w:tblPrEx>
        <w:trPr>
          <w:trHeight w:val="90" w:hRule="atLeast"/>
        </w:trPr>
        <w:tc>
          <w:tcPr>
            <w:tcW w:w="3017" w:type="pct"/>
            <w:tcBorders>
              <w:top w:val="nil"/>
              <w:left w:val="nil"/>
              <w:bottom w:val="nil"/>
              <w:right w:val="nil"/>
            </w:tcBorders>
            <w:vAlign w:val="center"/>
          </w:tcPr>
          <w:p>
            <w:pPr>
              <w:pStyle w:val="30"/>
              <w:jc w:val="center"/>
            </w:pPr>
            <w:r>
              <w:rPr>
                <w:rFonts w:hint="eastAsia"/>
              </w:rPr>
              <w:t>酒、饮料和精制茶制造业</w:t>
            </w:r>
          </w:p>
        </w:tc>
        <w:tc>
          <w:tcPr>
            <w:tcW w:w="1982" w:type="pct"/>
            <w:tcBorders>
              <w:top w:val="nil"/>
              <w:left w:val="nil"/>
              <w:bottom w:val="nil"/>
              <w:right w:val="nil"/>
            </w:tcBorders>
            <w:vAlign w:val="center"/>
          </w:tcPr>
          <w:p>
            <w:pPr>
              <w:pStyle w:val="30"/>
              <w:jc w:val="center"/>
            </w:pPr>
            <w:r>
              <w:rPr>
                <w:rFonts w:hint="eastAsia"/>
              </w:rPr>
              <w:t>2</w:t>
            </w:r>
          </w:p>
        </w:tc>
      </w:tr>
      <w:tr>
        <w:tblPrEx>
          <w:tblCellMar>
            <w:top w:w="0" w:type="dxa"/>
            <w:left w:w="108" w:type="dxa"/>
            <w:bottom w:w="0" w:type="dxa"/>
            <w:right w:w="108" w:type="dxa"/>
          </w:tblCellMar>
        </w:tblPrEx>
        <w:trPr>
          <w:trHeight w:val="330" w:hRule="atLeast"/>
        </w:trPr>
        <w:tc>
          <w:tcPr>
            <w:tcW w:w="3017" w:type="pct"/>
            <w:tcBorders>
              <w:top w:val="nil"/>
              <w:left w:val="nil"/>
              <w:bottom w:val="single" w:color="auto" w:sz="12" w:space="0"/>
              <w:right w:val="nil"/>
            </w:tcBorders>
            <w:vAlign w:val="center"/>
          </w:tcPr>
          <w:p>
            <w:pPr>
              <w:pStyle w:val="30"/>
              <w:jc w:val="center"/>
            </w:pPr>
            <w:r>
              <w:rPr>
                <w:rFonts w:hint="eastAsia"/>
              </w:rPr>
              <w:t>黑色金属冶炼及压延加工业</w:t>
            </w:r>
          </w:p>
        </w:tc>
        <w:tc>
          <w:tcPr>
            <w:tcW w:w="1982" w:type="pct"/>
            <w:tcBorders>
              <w:top w:val="nil"/>
              <w:left w:val="nil"/>
              <w:bottom w:val="single" w:color="auto" w:sz="12" w:space="0"/>
              <w:right w:val="nil"/>
            </w:tcBorders>
            <w:vAlign w:val="center"/>
          </w:tcPr>
          <w:p>
            <w:pPr>
              <w:pStyle w:val="30"/>
              <w:jc w:val="center"/>
            </w:pPr>
            <w:r>
              <w:rPr>
                <w:rFonts w:hint="eastAsia"/>
              </w:rPr>
              <w:t>1</w:t>
            </w:r>
          </w:p>
        </w:tc>
      </w:tr>
    </w:tbl>
    <w:p>
      <w:pPr>
        <w:pStyle w:val="4"/>
        <w:spacing w:before="156" w:beforeLines="50" w:after="156" w:afterLines="50" w:line="240" w:lineRule="auto"/>
        <w:ind w:left="567"/>
      </w:pPr>
      <w:bookmarkStart w:id="130" w:name="_Toc104216158"/>
      <w:bookmarkStart w:id="131" w:name="_Toc104210866"/>
      <w:bookmarkStart w:id="132" w:name="_Toc104983865"/>
      <w:r>
        <w:rPr>
          <w:rFonts w:hint="eastAsia"/>
        </w:rPr>
        <w:t>相关性分析</w:t>
      </w:r>
      <w:bookmarkEnd w:id="130"/>
      <w:bookmarkEnd w:id="131"/>
      <w:bookmarkEnd w:id="132"/>
    </w:p>
    <w:p>
      <w:pPr>
        <w:pStyle w:val="3"/>
        <w:ind w:firstLine="480"/>
      </w:pPr>
      <w:r>
        <w:rPr>
          <w:rFonts w:hint="eastAsia"/>
        </w:rPr>
        <w:t>对变量进行相关性检验，得到Pearson相关系数矩阵，各主要变量的相关性分析结果如表5</w:t>
      </w:r>
      <w:r>
        <w:t>-</w:t>
      </w:r>
      <w:r>
        <w:rPr>
          <w:rFonts w:hint="eastAsia"/>
        </w:rPr>
        <w:t>4所示。</w:t>
      </w:r>
    </w:p>
    <w:p>
      <w:pPr>
        <w:pStyle w:val="3"/>
        <w:ind w:firstLine="480"/>
      </w:pPr>
      <w:r>
        <w:rPr>
          <w:rFonts w:hint="eastAsia"/>
        </w:rPr>
        <w:t>由表5-4可知，各主要变量之间的相关系数取绝对值后均小于0.8，且表5-3显示所有变量的方差膨胀因子（VIF）均小于</w:t>
      </w:r>
      <w:r>
        <w:t>4</w:t>
      </w:r>
      <w:r>
        <w:rPr>
          <w:rFonts w:hint="eastAsia"/>
        </w:rPr>
        <w:t>，这表明主回归模型中不存在严重的多重共线性问题，可以进行进一步的回归检验。</w:t>
      </w:r>
    </w:p>
    <w:p>
      <w:pPr>
        <w:pStyle w:val="28"/>
        <w:spacing w:line="360" w:lineRule="auto"/>
      </w:pPr>
      <w:r>
        <w:rPr>
          <w:rFonts w:hint="eastAsia"/>
        </w:rPr>
        <w:t>表 5-</w:t>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bookmarkStart w:id="133" w:name="_Toc3596"/>
      <w:r>
        <w:t xml:space="preserve"> VIF结果</w:t>
      </w:r>
      <w:bookmarkEnd w:id="133"/>
    </w:p>
    <w:tbl>
      <w:tblPr>
        <w:tblStyle w:val="16"/>
        <w:tblW w:w="4998" w:type="pct"/>
        <w:jc w:val="center"/>
        <w:tblLayout w:type="autofit"/>
        <w:tblCellMar>
          <w:top w:w="0" w:type="dxa"/>
          <w:left w:w="108" w:type="dxa"/>
          <w:bottom w:w="0" w:type="dxa"/>
          <w:right w:w="108" w:type="dxa"/>
        </w:tblCellMar>
      </w:tblPr>
      <w:tblGrid>
        <w:gridCol w:w="2152"/>
        <w:gridCol w:w="4007"/>
        <w:gridCol w:w="2360"/>
      </w:tblGrid>
      <w:tr>
        <w:tblPrEx>
          <w:tblCellMar>
            <w:top w:w="0" w:type="dxa"/>
            <w:left w:w="108" w:type="dxa"/>
            <w:bottom w:w="0" w:type="dxa"/>
            <w:right w:w="108" w:type="dxa"/>
          </w:tblCellMar>
        </w:tblPrEx>
        <w:trPr>
          <w:trHeight w:val="220" w:hRule="atLeast"/>
          <w:jc w:val="center"/>
        </w:trPr>
        <w:tc>
          <w:tcPr>
            <w:tcW w:w="1263" w:type="pct"/>
            <w:tcBorders>
              <w:top w:val="single" w:color="auto" w:sz="12" w:space="0"/>
              <w:left w:val="nil"/>
              <w:bottom w:val="single" w:color="auto" w:sz="6" w:space="0"/>
              <w:right w:val="nil"/>
            </w:tcBorders>
          </w:tcPr>
          <w:p>
            <w:pPr>
              <w:pStyle w:val="30"/>
            </w:pPr>
            <w:r>
              <w:rPr>
                <w:rFonts w:hint="eastAsia"/>
              </w:rPr>
              <w:t>Variable</w:t>
            </w:r>
          </w:p>
        </w:tc>
        <w:tc>
          <w:tcPr>
            <w:tcW w:w="2351" w:type="pct"/>
            <w:tcBorders>
              <w:top w:val="single" w:color="auto" w:sz="12" w:space="0"/>
              <w:left w:val="nil"/>
              <w:bottom w:val="single" w:color="auto" w:sz="6" w:space="0"/>
              <w:right w:val="nil"/>
            </w:tcBorders>
          </w:tcPr>
          <w:p>
            <w:pPr>
              <w:pStyle w:val="30"/>
              <w:jc w:val="center"/>
            </w:pPr>
            <w:r>
              <w:rPr>
                <w:rFonts w:hint="eastAsia"/>
              </w:rPr>
              <w:t>VIF</w:t>
            </w:r>
          </w:p>
        </w:tc>
        <w:tc>
          <w:tcPr>
            <w:tcW w:w="1385" w:type="pct"/>
            <w:tcBorders>
              <w:top w:val="single" w:color="auto" w:sz="12" w:space="0"/>
              <w:left w:val="nil"/>
              <w:bottom w:val="single" w:color="auto" w:sz="6" w:space="0"/>
              <w:right w:val="nil"/>
            </w:tcBorders>
          </w:tcPr>
          <w:p>
            <w:pPr>
              <w:pStyle w:val="30"/>
              <w:jc w:val="center"/>
            </w:pPr>
            <w:r>
              <w:rPr>
                <w:rFonts w:hint="eastAsia"/>
              </w:rPr>
              <w:t>1/VIF</w:t>
            </w:r>
          </w:p>
        </w:tc>
      </w:tr>
      <w:tr>
        <w:tblPrEx>
          <w:tblCellMar>
            <w:top w:w="0" w:type="dxa"/>
            <w:left w:w="108" w:type="dxa"/>
            <w:bottom w:w="0" w:type="dxa"/>
            <w:right w:w="108" w:type="dxa"/>
          </w:tblCellMar>
        </w:tblPrEx>
        <w:trPr>
          <w:jc w:val="center"/>
        </w:trPr>
        <w:tc>
          <w:tcPr>
            <w:tcW w:w="1263" w:type="pct"/>
            <w:tcBorders>
              <w:top w:val="single" w:color="auto" w:sz="6" w:space="0"/>
              <w:left w:val="nil"/>
              <w:bottom w:val="nil"/>
              <w:right w:val="nil"/>
            </w:tcBorders>
          </w:tcPr>
          <w:p>
            <w:pPr>
              <w:pStyle w:val="30"/>
            </w:pPr>
            <w:r>
              <w:rPr>
                <w:rFonts w:hint="eastAsia"/>
              </w:rPr>
              <w:t>Age</w:t>
            </w:r>
          </w:p>
        </w:tc>
        <w:tc>
          <w:tcPr>
            <w:tcW w:w="2351" w:type="pct"/>
            <w:tcBorders>
              <w:top w:val="single" w:color="auto" w:sz="6"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3.270</w:t>
            </w:r>
          </w:p>
        </w:tc>
        <w:tc>
          <w:tcPr>
            <w:tcW w:w="1385" w:type="pct"/>
            <w:tcBorders>
              <w:top w:val="single" w:color="auto" w:sz="6"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0.306</w:t>
            </w:r>
          </w:p>
        </w:tc>
      </w:tr>
      <w:tr>
        <w:tblPrEx>
          <w:tblCellMar>
            <w:top w:w="0" w:type="dxa"/>
            <w:left w:w="108" w:type="dxa"/>
            <w:bottom w:w="0" w:type="dxa"/>
            <w:right w:w="108" w:type="dxa"/>
          </w:tblCellMar>
        </w:tblPrEx>
        <w:trPr>
          <w:trHeight w:val="90" w:hRule="atLeast"/>
          <w:jc w:val="center"/>
        </w:trPr>
        <w:tc>
          <w:tcPr>
            <w:tcW w:w="1263" w:type="pct"/>
            <w:tcBorders>
              <w:top w:val="nil"/>
              <w:left w:val="nil"/>
              <w:bottom w:val="nil"/>
              <w:right w:val="nil"/>
            </w:tcBorders>
          </w:tcPr>
          <w:p>
            <w:pPr>
              <w:pStyle w:val="30"/>
            </w:pPr>
            <w:r>
              <w:rPr>
                <w:rFonts w:hint="eastAsia"/>
              </w:rPr>
              <w:t>Lev</w:t>
            </w:r>
          </w:p>
        </w:tc>
        <w:tc>
          <w:tcPr>
            <w:tcW w:w="2351"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2.500</w:t>
            </w:r>
          </w:p>
        </w:tc>
        <w:tc>
          <w:tcPr>
            <w:tcW w:w="1385"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0.400</w:t>
            </w:r>
          </w:p>
        </w:tc>
      </w:tr>
      <w:tr>
        <w:tblPrEx>
          <w:tblCellMar>
            <w:top w:w="0" w:type="dxa"/>
            <w:left w:w="108" w:type="dxa"/>
            <w:bottom w:w="0" w:type="dxa"/>
            <w:right w:w="108" w:type="dxa"/>
          </w:tblCellMar>
        </w:tblPrEx>
        <w:trPr>
          <w:jc w:val="center"/>
        </w:trPr>
        <w:tc>
          <w:tcPr>
            <w:tcW w:w="1263" w:type="pct"/>
            <w:tcBorders>
              <w:top w:val="nil"/>
              <w:left w:val="nil"/>
              <w:bottom w:val="nil"/>
              <w:right w:val="nil"/>
            </w:tcBorders>
          </w:tcPr>
          <w:p>
            <w:pPr>
              <w:pStyle w:val="30"/>
            </w:pPr>
            <w:r>
              <w:rPr>
                <w:rFonts w:hint="eastAsia"/>
              </w:rPr>
              <w:t>Size</w:t>
            </w:r>
          </w:p>
        </w:tc>
        <w:tc>
          <w:tcPr>
            <w:tcW w:w="2351"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2.310</w:t>
            </w:r>
          </w:p>
        </w:tc>
        <w:tc>
          <w:tcPr>
            <w:tcW w:w="1385"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0.433</w:t>
            </w:r>
          </w:p>
        </w:tc>
      </w:tr>
      <w:tr>
        <w:tblPrEx>
          <w:tblCellMar>
            <w:top w:w="0" w:type="dxa"/>
            <w:left w:w="108" w:type="dxa"/>
            <w:bottom w:w="0" w:type="dxa"/>
            <w:right w:w="108" w:type="dxa"/>
          </w:tblCellMar>
        </w:tblPrEx>
        <w:trPr>
          <w:jc w:val="center"/>
        </w:trPr>
        <w:tc>
          <w:tcPr>
            <w:tcW w:w="1263" w:type="pct"/>
            <w:tcBorders>
              <w:top w:val="nil"/>
              <w:left w:val="nil"/>
              <w:bottom w:val="nil"/>
              <w:right w:val="nil"/>
            </w:tcBorders>
          </w:tcPr>
          <w:p>
            <w:pPr>
              <w:pStyle w:val="30"/>
            </w:pPr>
            <w:r>
              <w:rPr>
                <w:rFonts w:hint="eastAsia"/>
              </w:rPr>
              <w:t>SOE</w:t>
            </w:r>
          </w:p>
        </w:tc>
        <w:tc>
          <w:tcPr>
            <w:tcW w:w="2351"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1.750</w:t>
            </w:r>
          </w:p>
        </w:tc>
        <w:tc>
          <w:tcPr>
            <w:tcW w:w="1385"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0.573</w:t>
            </w:r>
          </w:p>
        </w:tc>
      </w:tr>
      <w:tr>
        <w:tblPrEx>
          <w:tblCellMar>
            <w:top w:w="0" w:type="dxa"/>
            <w:left w:w="108" w:type="dxa"/>
            <w:bottom w:w="0" w:type="dxa"/>
            <w:right w:w="108" w:type="dxa"/>
          </w:tblCellMar>
        </w:tblPrEx>
        <w:trPr>
          <w:jc w:val="center"/>
        </w:trPr>
        <w:tc>
          <w:tcPr>
            <w:tcW w:w="1263" w:type="pct"/>
            <w:tcBorders>
              <w:top w:val="nil"/>
              <w:left w:val="nil"/>
              <w:bottom w:val="nil"/>
              <w:right w:val="nil"/>
            </w:tcBorders>
          </w:tcPr>
          <w:p>
            <w:pPr>
              <w:pStyle w:val="30"/>
            </w:pPr>
            <w:r>
              <w:rPr>
                <w:rFonts w:hint="eastAsia"/>
              </w:rPr>
              <w:t>Z</w:t>
            </w:r>
          </w:p>
        </w:tc>
        <w:tc>
          <w:tcPr>
            <w:tcW w:w="2351"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1.650</w:t>
            </w:r>
          </w:p>
        </w:tc>
        <w:tc>
          <w:tcPr>
            <w:tcW w:w="1385"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0.607</w:t>
            </w:r>
          </w:p>
        </w:tc>
      </w:tr>
      <w:tr>
        <w:tblPrEx>
          <w:tblCellMar>
            <w:top w:w="0" w:type="dxa"/>
            <w:left w:w="108" w:type="dxa"/>
            <w:bottom w:w="0" w:type="dxa"/>
            <w:right w:w="108" w:type="dxa"/>
          </w:tblCellMar>
        </w:tblPrEx>
        <w:trPr>
          <w:jc w:val="center"/>
        </w:trPr>
        <w:tc>
          <w:tcPr>
            <w:tcW w:w="1263" w:type="pct"/>
            <w:tcBorders>
              <w:top w:val="nil"/>
              <w:left w:val="nil"/>
              <w:bottom w:val="nil"/>
              <w:right w:val="nil"/>
            </w:tcBorders>
          </w:tcPr>
          <w:p>
            <w:pPr>
              <w:pStyle w:val="30"/>
            </w:pPr>
            <w:r>
              <w:rPr>
                <w:rFonts w:hint="eastAsia"/>
              </w:rPr>
              <w:t>MKTB</w:t>
            </w:r>
          </w:p>
        </w:tc>
        <w:tc>
          <w:tcPr>
            <w:tcW w:w="2351"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1.480</w:t>
            </w:r>
          </w:p>
        </w:tc>
        <w:tc>
          <w:tcPr>
            <w:tcW w:w="1385"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0.675</w:t>
            </w:r>
          </w:p>
        </w:tc>
      </w:tr>
      <w:tr>
        <w:tblPrEx>
          <w:tblCellMar>
            <w:top w:w="0" w:type="dxa"/>
            <w:left w:w="108" w:type="dxa"/>
            <w:bottom w:w="0" w:type="dxa"/>
            <w:right w:w="108" w:type="dxa"/>
          </w:tblCellMar>
        </w:tblPrEx>
        <w:trPr>
          <w:jc w:val="center"/>
        </w:trPr>
        <w:tc>
          <w:tcPr>
            <w:tcW w:w="1263" w:type="pct"/>
            <w:tcBorders>
              <w:top w:val="nil"/>
              <w:left w:val="nil"/>
              <w:bottom w:val="nil"/>
              <w:right w:val="nil"/>
            </w:tcBorders>
          </w:tcPr>
          <w:p>
            <w:pPr>
              <w:pStyle w:val="30"/>
            </w:pPr>
            <w:r>
              <w:rPr>
                <w:rFonts w:hint="eastAsia"/>
              </w:rPr>
              <w:t>ROA</w:t>
            </w:r>
          </w:p>
        </w:tc>
        <w:tc>
          <w:tcPr>
            <w:tcW w:w="2351"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1.390</w:t>
            </w:r>
          </w:p>
        </w:tc>
        <w:tc>
          <w:tcPr>
            <w:tcW w:w="1385"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0.718</w:t>
            </w:r>
          </w:p>
        </w:tc>
      </w:tr>
      <w:tr>
        <w:tblPrEx>
          <w:tblCellMar>
            <w:top w:w="0" w:type="dxa"/>
            <w:left w:w="108" w:type="dxa"/>
            <w:bottom w:w="0" w:type="dxa"/>
            <w:right w:w="108" w:type="dxa"/>
          </w:tblCellMar>
        </w:tblPrEx>
        <w:trPr>
          <w:jc w:val="center"/>
        </w:trPr>
        <w:tc>
          <w:tcPr>
            <w:tcW w:w="1263" w:type="pct"/>
            <w:tcBorders>
              <w:top w:val="nil"/>
              <w:left w:val="nil"/>
              <w:bottom w:val="nil"/>
              <w:right w:val="nil"/>
            </w:tcBorders>
          </w:tcPr>
          <w:p>
            <w:pPr>
              <w:pStyle w:val="30"/>
            </w:pPr>
            <w:r>
              <w:rPr>
                <w:rFonts w:hint="eastAsia"/>
              </w:rPr>
              <w:t>Growth</w:t>
            </w:r>
          </w:p>
        </w:tc>
        <w:tc>
          <w:tcPr>
            <w:tcW w:w="2351"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1.360</w:t>
            </w:r>
          </w:p>
        </w:tc>
        <w:tc>
          <w:tcPr>
            <w:tcW w:w="1385"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0.735</w:t>
            </w:r>
          </w:p>
        </w:tc>
      </w:tr>
      <w:tr>
        <w:tblPrEx>
          <w:tblCellMar>
            <w:top w:w="0" w:type="dxa"/>
            <w:left w:w="108" w:type="dxa"/>
            <w:bottom w:w="0" w:type="dxa"/>
            <w:right w:w="108" w:type="dxa"/>
          </w:tblCellMar>
        </w:tblPrEx>
        <w:trPr>
          <w:jc w:val="center"/>
        </w:trPr>
        <w:tc>
          <w:tcPr>
            <w:tcW w:w="1263" w:type="pct"/>
            <w:tcBorders>
              <w:top w:val="nil"/>
              <w:left w:val="nil"/>
              <w:bottom w:val="nil"/>
              <w:right w:val="nil"/>
            </w:tcBorders>
          </w:tcPr>
          <w:p>
            <w:pPr>
              <w:pStyle w:val="30"/>
            </w:pPr>
            <w:r>
              <w:rPr>
                <w:rFonts w:hint="eastAsia"/>
              </w:rPr>
              <w:t>IDRatio</w:t>
            </w:r>
          </w:p>
        </w:tc>
        <w:tc>
          <w:tcPr>
            <w:tcW w:w="2351"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1.310</w:t>
            </w:r>
          </w:p>
        </w:tc>
        <w:tc>
          <w:tcPr>
            <w:tcW w:w="1385"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0.765</w:t>
            </w:r>
          </w:p>
        </w:tc>
      </w:tr>
      <w:tr>
        <w:tblPrEx>
          <w:tblCellMar>
            <w:top w:w="0" w:type="dxa"/>
            <w:left w:w="108" w:type="dxa"/>
            <w:bottom w:w="0" w:type="dxa"/>
            <w:right w:w="108" w:type="dxa"/>
          </w:tblCellMar>
        </w:tblPrEx>
        <w:trPr>
          <w:jc w:val="center"/>
        </w:trPr>
        <w:tc>
          <w:tcPr>
            <w:tcW w:w="1263" w:type="pct"/>
            <w:tcBorders>
              <w:top w:val="nil"/>
              <w:left w:val="nil"/>
              <w:bottom w:val="nil"/>
              <w:right w:val="nil"/>
            </w:tcBorders>
          </w:tcPr>
          <w:p>
            <w:pPr>
              <w:pStyle w:val="30"/>
            </w:pPr>
            <w:r>
              <w:rPr>
                <w:rFonts w:hint="eastAsia"/>
              </w:rPr>
              <w:t>Dual</w:t>
            </w:r>
          </w:p>
        </w:tc>
        <w:tc>
          <w:tcPr>
            <w:tcW w:w="2351"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1.190</w:t>
            </w:r>
          </w:p>
        </w:tc>
        <w:tc>
          <w:tcPr>
            <w:tcW w:w="1385"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0.838</w:t>
            </w:r>
          </w:p>
        </w:tc>
      </w:tr>
      <w:tr>
        <w:tblPrEx>
          <w:tblCellMar>
            <w:top w:w="0" w:type="dxa"/>
            <w:left w:w="108" w:type="dxa"/>
            <w:bottom w:w="0" w:type="dxa"/>
            <w:right w:w="108" w:type="dxa"/>
          </w:tblCellMar>
        </w:tblPrEx>
        <w:trPr>
          <w:jc w:val="center"/>
        </w:trPr>
        <w:tc>
          <w:tcPr>
            <w:tcW w:w="1263" w:type="pct"/>
            <w:tcBorders>
              <w:top w:val="nil"/>
              <w:left w:val="nil"/>
              <w:bottom w:val="nil"/>
              <w:right w:val="nil"/>
            </w:tcBorders>
          </w:tcPr>
          <w:p>
            <w:pPr>
              <w:pStyle w:val="30"/>
            </w:pPr>
            <w:r>
              <w:rPr>
                <w:rFonts w:hint="eastAsia"/>
              </w:rPr>
              <w:t>Largeholder</w:t>
            </w:r>
          </w:p>
        </w:tc>
        <w:tc>
          <w:tcPr>
            <w:tcW w:w="2351"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1.180</w:t>
            </w:r>
          </w:p>
        </w:tc>
        <w:tc>
          <w:tcPr>
            <w:tcW w:w="1385"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0.845</w:t>
            </w:r>
          </w:p>
        </w:tc>
      </w:tr>
      <w:tr>
        <w:tblPrEx>
          <w:tblCellMar>
            <w:top w:w="0" w:type="dxa"/>
            <w:left w:w="108" w:type="dxa"/>
            <w:bottom w:w="0" w:type="dxa"/>
            <w:right w:w="108" w:type="dxa"/>
          </w:tblCellMar>
        </w:tblPrEx>
        <w:trPr>
          <w:jc w:val="center"/>
        </w:trPr>
        <w:tc>
          <w:tcPr>
            <w:tcW w:w="1263" w:type="pct"/>
            <w:tcBorders>
              <w:top w:val="nil"/>
              <w:left w:val="nil"/>
              <w:bottom w:val="nil"/>
              <w:right w:val="nil"/>
            </w:tcBorders>
          </w:tcPr>
          <w:p>
            <w:pPr>
              <w:pStyle w:val="30"/>
            </w:pPr>
            <w:r>
              <w:rPr>
                <w:rFonts w:hint="eastAsia"/>
              </w:rPr>
              <w:t>BSize</w:t>
            </w:r>
          </w:p>
        </w:tc>
        <w:tc>
          <w:tcPr>
            <w:tcW w:w="2351"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1.050</w:t>
            </w:r>
          </w:p>
        </w:tc>
        <w:tc>
          <w:tcPr>
            <w:tcW w:w="1385" w:type="pct"/>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0.951</w:t>
            </w:r>
          </w:p>
        </w:tc>
      </w:tr>
      <w:tr>
        <w:tblPrEx>
          <w:tblBorders>
            <w:top w:val="none" w:color="auto" w:sz="0"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63" w:type="pct"/>
            <w:tcBorders>
              <w:top w:val="nil"/>
              <w:left w:val="nil"/>
              <w:bottom w:val="single" w:color="auto" w:sz="12" w:space="0"/>
              <w:right w:val="nil"/>
            </w:tcBorders>
          </w:tcPr>
          <w:p>
            <w:pPr>
              <w:pStyle w:val="30"/>
            </w:pPr>
            <w:r>
              <w:rPr>
                <w:rFonts w:hint="eastAsia"/>
              </w:rPr>
              <w:t>Mean</w:t>
            </w:r>
          </w:p>
        </w:tc>
        <w:tc>
          <w:tcPr>
            <w:tcW w:w="2351" w:type="pct"/>
            <w:tcBorders>
              <w:top w:val="nil"/>
              <w:left w:val="nil"/>
              <w:bottom w:val="single" w:color="auto" w:sz="12" w:space="0"/>
              <w:right w:val="nil"/>
            </w:tcBorders>
          </w:tcPr>
          <w:p>
            <w:pPr>
              <w:pStyle w:val="30"/>
              <w:jc w:val="center"/>
            </w:pPr>
            <w:r>
              <w:rPr>
                <w:rFonts w:hint="eastAsia"/>
              </w:rPr>
              <w:t>1.700</w:t>
            </w:r>
          </w:p>
        </w:tc>
        <w:tc>
          <w:tcPr>
            <w:tcW w:w="1385" w:type="pct"/>
            <w:tcBorders>
              <w:top w:val="nil"/>
              <w:left w:val="nil"/>
              <w:bottom w:val="single" w:color="auto" w:sz="12" w:space="0"/>
              <w:right w:val="nil"/>
            </w:tcBorders>
          </w:tcPr>
          <w:p>
            <w:pPr>
              <w:pStyle w:val="30"/>
              <w:jc w:val="center"/>
            </w:pPr>
          </w:p>
        </w:tc>
      </w:tr>
    </w:tbl>
    <w:p>
      <w:pPr>
        <w:spacing w:line="360" w:lineRule="auto"/>
        <w:ind w:firstLine="480" w:firstLineChars="200"/>
        <w:rPr>
          <w:sz w:val="24"/>
          <w:szCs w:val="24"/>
        </w:rPr>
        <w:sectPr>
          <w:headerReference r:id="rId15" w:type="first"/>
          <w:footerReference r:id="rId17" w:type="first"/>
          <w:footerReference r:id="rId16" w:type="default"/>
          <w:pgSz w:w="11906" w:h="16838"/>
          <w:pgMar w:top="1440" w:right="1800" w:bottom="1440" w:left="1800" w:header="851" w:footer="992" w:gutter="0"/>
          <w:pgNumType w:start="1"/>
          <w:cols w:space="720" w:num="1"/>
          <w:titlePg/>
          <w:docGrid w:type="lines" w:linePitch="312" w:charSpace="0"/>
        </w:sectPr>
      </w:pPr>
    </w:p>
    <w:p>
      <w:pPr>
        <w:pStyle w:val="28"/>
        <w:spacing w:line="360" w:lineRule="auto"/>
      </w:pPr>
      <w:r>
        <w:rPr>
          <w:rFonts w:hint="eastAsia"/>
        </w:rPr>
        <w:t>表5-</w:t>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bookmarkStart w:id="134" w:name="_Toc31995"/>
      <w:r>
        <w:t xml:space="preserve"> </w:t>
      </w:r>
      <w:r>
        <w:rPr>
          <w:rFonts w:hint="eastAsia"/>
        </w:rPr>
        <w:t>主要变量的</w:t>
      </w:r>
      <w:r>
        <w:t>Pearson相关系数</w:t>
      </w:r>
      <w:bookmarkEnd w:id="134"/>
    </w:p>
    <w:tbl>
      <w:tblPr>
        <w:tblStyle w:val="16"/>
        <w:tblW w:w="4997" w:type="pct"/>
        <w:tblInd w:w="0" w:type="dxa"/>
        <w:tblLayout w:type="autofit"/>
        <w:tblCellMar>
          <w:top w:w="0" w:type="dxa"/>
          <w:left w:w="108" w:type="dxa"/>
          <w:bottom w:w="0" w:type="dxa"/>
          <w:right w:w="108" w:type="dxa"/>
        </w:tblCellMar>
      </w:tblPr>
      <w:tblGrid>
        <w:gridCol w:w="1744"/>
        <w:gridCol w:w="1361"/>
        <w:gridCol w:w="1503"/>
        <w:gridCol w:w="1361"/>
        <w:gridCol w:w="1262"/>
        <w:gridCol w:w="1744"/>
        <w:gridCol w:w="1262"/>
        <w:gridCol w:w="1361"/>
        <w:gridCol w:w="1361"/>
        <w:gridCol w:w="1206"/>
      </w:tblGrid>
      <w:tr>
        <w:tblPrEx>
          <w:tblCellMar>
            <w:top w:w="0" w:type="dxa"/>
            <w:left w:w="108" w:type="dxa"/>
            <w:bottom w:w="0" w:type="dxa"/>
            <w:right w:w="108" w:type="dxa"/>
          </w:tblCellMar>
        </w:tblPrEx>
        <w:tc>
          <w:tcPr>
            <w:tcW w:w="615" w:type="pct"/>
            <w:tcBorders>
              <w:top w:val="single" w:color="000000" w:sz="12" w:space="0"/>
              <w:left w:val="nil"/>
              <w:bottom w:val="single" w:color="000000" w:sz="4" w:space="0"/>
              <w:right w:val="nil"/>
            </w:tcBorders>
          </w:tcPr>
          <w:p>
            <w:pPr>
              <w:pStyle w:val="30"/>
            </w:pPr>
          </w:p>
        </w:tc>
        <w:tc>
          <w:tcPr>
            <w:tcW w:w="480" w:type="pct"/>
            <w:tcBorders>
              <w:top w:val="single" w:color="000000" w:sz="12" w:space="0"/>
              <w:left w:val="nil"/>
              <w:bottom w:val="single" w:color="000000" w:sz="4" w:space="0"/>
              <w:right w:val="nil"/>
            </w:tcBorders>
          </w:tcPr>
          <w:p>
            <w:pPr>
              <w:pStyle w:val="30"/>
            </w:pPr>
            <w:r>
              <w:rPr>
                <w:rFonts w:hint="eastAsia"/>
              </w:rPr>
              <w:t>TobinQ</w:t>
            </w:r>
          </w:p>
        </w:tc>
        <w:tc>
          <w:tcPr>
            <w:tcW w:w="530" w:type="pct"/>
            <w:tcBorders>
              <w:top w:val="single" w:color="000000" w:sz="12" w:space="0"/>
              <w:left w:val="nil"/>
              <w:bottom w:val="single" w:color="000000" w:sz="4" w:space="0"/>
              <w:right w:val="nil"/>
            </w:tcBorders>
          </w:tcPr>
          <w:p>
            <w:pPr>
              <w:pStyle w:val="30"/>
            </w:pPr>
            <w:r>
              <w:rPr>
                <w:rFonts w:hint="eastAsia"/>
              </w:rPr>
              <w:t>Eventyear</w:t>
            </w:r>
          </w:p>
        </w:tc>
        <w:tc>
          <w:tcPr>
            <w:tcW w:w="480" w:type="pct"/>
            <w:tcBorders>
              <w:top w:val="single" w:color="000000" w:sz="12" w:space="0"/>
              <w:left w:val="nil"/>
              <w:bottom w:val="single" w:color="000000" w:sz="4" w:space="0"/>
              <w:right w:val="nil"/>
            </w:tcBorders>
          </w:tcPr>
          <w:p>
            <w:pPr>
              <w:pStyle w:val="30"/>
            </w:pPr>
            <w:r>
              <w:rPr>
                <w:rFonts w:hint="eastAsia"/>
              </w:rPr>
              <w:t>Z</w:t>
            </w:r>
          </w:p>
        </w:tc>
        <w:tc>
          <w:tcPr>
            <w:tcW w:w="445" w:type="pct"/>
            <w:tcBorders>
              <w:top w:val="single" w:color="000000" w:sz="12" w:space="0"/>
              <w:left w:val="nil"/>
              <w:bottom w:val="single" w:color="000000" w:sz="4" w:space="0"/>
              <w:right w:val="nil"/>
            </w:tcBorders>
          </w:tcPr>
          <w:p>
            <w:pPr>
              <w:pStyle w:val="30"/>
            </w:pPr>
            <w:r>
              <w:rPr>
                <w:rFonts w:hint="eastAsia"/>
              </w:rPr>
              <w:t>Age</w:t>
            </w:r>
          </w:p>
        </w:tc>
        <w:tc>
          <w:tcPr>
            <w:tcW w:w="615" w:type="pct"/>
            <w:tcBorders>
              <w:top w:val="single" w:color="000000" w:sz="12" w:space="0"/>
              <w:left w:val="nil"/>
              <w:bottom w:val="single" w:color="000000" w:sz="4" w:space="0"/>
              <w:right w:val="nil"/>
            </w:tcBorders>
          </w:tcPr>
          <w:p>
            <w:pPr>
              <w:pStyle w:val="30"/>
            </w:pPr>
            <w:r>
              <w:rPr>
                <w:rFonts w:hint="eastAsia"/>
              </w:rPr>
              <w:t>Largeholder</w:t>
            </w:r>
          </w:p>
        </w:tc>
        <w:tc>
          <w:tcPr>
            <w:tcW w:w="445" w:type="pct"/>
            <w:tcBorders>
              <w:top w:val="single" w:color="000000" w:sz="12" w:space="0"/>
              <w:left w:val="nil"/>
              <w:bottom w:val="single" w:color="000000" w:sz="4" w:space="0"/>
              <w:right w:val="nil"/>
            </w:tcBorders>
          </w:tcPr>
          <w:p>
            <w:pPr>
              <w:pStyle w:val="30"/>
            </w:pPr>
            <w:r>
              <w:rPr>
                <w:rFonts w:hint="eastAsia"/>
              </w:rPr>
              <w:t>Size</w:t>
            </w:r>
          </w:p>
        </w:tc>
        <w:tc>
          <w:tcPr>
            <w:tcW w:w="480" w:type="pct"/>
            <w:tcBorders>
              <w:top w:val="single" w:color="000000" w:sz="12" w:space="0"/>
              <w:left w:val="nil"/>
              <w:bottom w:val="single" w:color="000000" w:sz="4" w:space="0"/>
              <w:right w:val="nil"/>
            </w:tcBorders>
          </w:tcPr>
          <w:p>
            <w:pPr>
              <w:pStyle w:val="30"/>
            </w:pPr>
            <w:r>
              <w:rPr>
                <w:rFonts w:hint="eastAsia"/>
              </w:rPr>
              <w:t>Lev</w:t>
            </w:r>
          </w:p>
        </w:tc>
        <w:tc>
          <w:tcPr>
            <w:tcW w:w="480" w:type="pct"/>
            <w:tcBorders>
              <w:top w:val="single" w:color="000000" w:sz="12" w:space="0"/>
              <w:left w:val="nil"/>
              <w:bottom w:val="single" w:color="000000" w:sz="4" w:space="0"/>
              <w:right w:val="nil"/>
            </w:tcBorders>
          </w:tcPr>
          <w:p>
            <w:pPr>
              <w:pStyle w:val="30"/>
            </w:pPr>
            <w:r>
              <w:rPr>
                <w:rFonts w:hint="eastAsia"/>
              </w:rPr>
              <w:t>ROA</w:t>
            </w:r>
          </w:p>
        </w:tc>
        <w:tc>
          <w:tcPr>
            <w:tcW w:w="425" w:type="pct"/>
            <w:tcBorders>
              <w:top w:val="single" w:color="000000" w:sz="12" w:space="0"/>
              <w:left w:val="nil"/>
              <w:bottom w:val="single" w:color="000000" w:sz="4" w:space="0"/>
              <w:right w:val="nil"/>
            </w:tcBorders>
          </w:tcPr>
          <w:p>
            <w:pPr>
              <w:pStyle w:val="30"/>
            </w:pPr>
            <w:r>
              <w:rPr>
                <w:rFonts w:hint="eastAsia"/>
              </w:rPr>
              <w:t>Growth</w:t>
            </w:r>
          </w:p>
        </w:tc>
      </w:tr>
      <w:tr>
        <w:tblPrEx>
          <w:tblCellMar>
            <w:top w:w="0" w:type="dxa"/>
            <w:left w:w="108" w:type="dxa"/>
            <w:bottom w:w="0" w:type="dxa"/>
            <w:right w:w="108" w:type="dxa"/>
          </w:tblCellMar>
        </w:tblPrEx>
        <w:tc>
          <w:tcPr>
            <w:tcW w:w="615" w:type="pct"/>
            <w:tcBorders>
              <w:top w:val="single" w:color="000000" w:sz="4" w:space="0"/>
              <w:left w:val="nil"/>
              <w:bottom w:val="nil"/>
              <w:right w:val="nil"/>
            </w:tcBorders>
          </w:tcPr>
          <w:p>
            <w:pPr>
              <w:pStyle w:val="30"/>
              <w:jc w:val="left"/>
            </w:pPr>
            <w:r>
              <w:rPr>
                <w:rFonts w:hint="eastAsia"/>
              </w:rPr>
              <w:t>TobinQ</w:t>
            </w:r>
          </w:p>
        </w:tc>
        <w:tc>
          <w:tcPr>
            <w:tcW w:w="1361" w:type="dxa"/>
            <w:tcBorders>
              <w:top w:val="single" w:color="000000"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1.000</w:t>
            </w:r>
          </w:p>
        </w:tc>
        <w:tc>
          <w:tcPr>
            <w:tcW w:w="1503" w:type="dxa"/>
            <w:tcBorders>
              <w:top w:val="single" w:color="000000" w:sz="4" w:space="0"/>
              <w:left w:val="nil"/>
              <w:bottom w:val="nil"/>
              <w:right w:val="nil"/>
            </w:tcBorders>
          </w:tcPr>
          <w:p>
            <w:pPr>
              <w:autoSpaceDE w:val="0"/>
              <w:autoSpaceDN w:val="0"/>
              <w:adjustRightInd w:val="0"/>
              <w:jc w:val="center"/>
            </w:pPr>
          </w:p>
        </w:tc>
        <w:tc>
          <w:tcPr>
            <w:tcW w:w="1361" w:type="dxa"/>
            <w:tcBorders>
              <w:top w:val="single" w:color="000000" w:sz="4" w:space="0"/>
              <w:left w:val="nil"/>
              <w:bottom w:val="nil"/>
              <w:right w:val="nil"/>
            </w:tcBorders>
          </w:tcPr>
          <w:p>
            <w:pPr>
              <w:autoSpaceDE w:val="0"/>
              <w:autoSpaceDN w:val="0"/>
              <w:adjustRightInd w:val="0"/>
              <w:jc w:val="center"/>
            </w:pPr>
          </w:p>
        </w:tc>
        <w:tc>
          <w:tcPr>
            <w:tcW w:w="1262" w:type="dxa"/>
            <w:tcBorders>
              <w:top w:val="single" w:color="000000" w:sz="4" w:space="0"/>
              <w:left w:val="nil"/>
              <w:bottom w:val="nil"/>
              <w:right w:val="nil"/>
            </w:tcBorders>
          </w:tcPr>
          <w:p>
            <w:pPr>
              <w:autoSpaceDE w:val="0"/>
              <w:autoSpaceDN w:val="0"/>
              <w:adjustRightInd w:val="0"/>
              <w:jc w:val="center"/>
            </w:pPr>
          </w:p>
        </w:tc>
        <w:tc>
          <w:tcPr>
            <w:tcW w:w="1744" w:type="dxa"/>
            <w:tcBorders>
              <w:top w:val="single" w:color="000000" w:sz="4" w:space="0"/>
              <w:left w:val="nil"/>
              <w:bottom w:val="nil"/>
              <w:right w:val="nil"/>
            </w:tcBorders>
          </w:tcPr>
          <w:p>
            <w:pPr>
              <w:autoSpaceDE w:val="0"/>
              <w:autoSpaceDN w:val="0"/>
              <w:adjustRightInd w:val="0"/>
              <w:jc w:val="center"/>
            </w:pPr>
          </w:p>
        </w:tc>
        <w:tc>
          <w:tcPr>
            <w:tcW w:w="1262" w:type="dxa"/>
            <w:tcBorders>
              <w:top w:val="single" w:color="000000" w:sz="4" w:space="0"/>
              <w:left w:val="nil"/>
              <w:bottom w:val="nil"/>
              <w:right w:val="nil"/>
            </w:tcBorders>
          </w:tcPr>
          <w:p>
            <w:pPr>
              <w:autoSpaceDE w:val="0"/>
              <w:autoSpaceDN w:val="0"/>
              <w:adjustRightInd w:val="0"/>
              <w:jc w:val="center"/>
            </w:pPr>
          </w:p>
        </w:tc>
        <w:tc>
          <w:tcPr>
            <w:tcW w:w="1361" w:type="dxa"/>
            <w:tcBorders>
              <w:top w:val="single" w:color="000000" w:sz="4" w:space="0"/>
              <w:left w:val="nil"/>
              <w:bottom w:val="nil"/>
              <w:right w:val="nil"/>
            </w:tcBorders>
          </w:tcPr>
          <w:p>
            <w:pPr>
              <w:autoSpaceDE w:val="0"/>
              <w:autoSpaceDN w:val="0"/>
              <w:adjustRightInd w:val="0"/>
              <w:jc w:val="center"/>
            </w:pPr>
          </w:p>
        </w:tc>
        <w:tc>
          <w:tcPr>
            <w:tcW w:w="1361" w:type="dxa"/>
            <w:tcBorders>
              <w:top w:val="single" w:color="000000" w:sz="4" w:space="0"/>
              <w:left w:val="nil"/>
              <w:bottom w:val="nil"/>
              <w:right w:val="nil"/>
            </w:tcBorders>
          </w:tcPr>
          <w:p>
            <w:pPr>
              <w:autoSpaceDE w:val="0"/>
              <w:autoSpaceDN w:val="0"/>
              <w:adjustRightInd w:val="0"/>
              <w:jc w:val="center"/>
            </w:pPr>
          </w:p>
        </w:tc>
        <w:tc>
          <w:tcPr>
            <w:tcW w:w="1206" w:type="dxa"/>
            <w:tcBorders>
              <w:top w:val="single" w:color="000000" w:sz="4" w:space="0"/>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p>
        </w:tc>
        <w:tc>
          <w:tcPr>
            <w:tcW w:w="1361" w:type="dxa"/>
            <w:tcBorders>
              <w:top w:val="nil"/>
              <w:left w:val="nil"/>
              <w:bottom w:val="nil"/>
              <w:right w:val="nil"/>
            </w:tcBorders>
          </w:tcPr>
          <w:p>
            <w:pPr>
              <w:autoSpaceDE w:val="0"/>
              <w:autoSpaceDN w:val="0"/>
              <w:adjustRightInd w:val="0"/>
              <w:jc w:val="center"/>
            </w:pPr>
          </w:p>
        </w:tc>
        <w:tc>
          <w:tcPr>
            <w:tcW w:w="1503"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62" w:type="dxa"/>
            <w:tcBorders>
              <w:top w:val="nil"/>
              <w:left w:val="nil"/>
              <w:bottom w:val="nil"/>
              <w:right w:val="nil"/>
            </w:tcBorders>
          </w:tcPr>
          <w:p>
            <w:pPr>
              <w:autoSpaceDE w:val="0"/>
              <w:autoSpaceDN w:val="0"/>
              <w:adjustRightInd w:val="0"/>
              <w:jc w:val="center"/>
            </w:pPr>
          </w:p>
        </w:tc>
        <w:tc>
          <w:tcPr>
            <w:tcW w:w="1744" w:type="dxa"/>
            <w:tcBorders>
              <w:top w:val="nil"/>
              <w:left w:val="nil"/>
              <w:bottom w:val="nil"/>
              <w:right w:val="nil"/>
            </w:tcBorders>
          </w:tcPr>
          <w:p>
            <w:pPr>
              <w:autoSpaceDE w:val="0"/>
              <w:autoSpaceDN w:val="0"/>
              <w:adjustRightInd w:val="0"/>
              <w:jc w:val="center"/>
            </w:pPr>
          </w:p>
        </w:tc>
        <w:tc>
          <w:tcPr>
            <w:tcW w:w="1262"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r>
              <w:rPr>
                <w:rFonts w:hint="eastAsia"/>
              </w:rPr>
              <w:t>Eventyear</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0.032</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1.000</w:t>
            </w:r>
          </w:p>
        </w:tc>
        <w:tc>
          <w:tcPr>
            <w:tcW w:w="1361" w:type="dxa"/>
            <w:tcBorders>
              <w:top w:val="nil"/>
              <w:left w:val="nil"/>
              <w:bottom w:val="nil"/>
              <w:right w:val="nil"/>
            </w:tcBorders>
          </w:tcPr>
          <w:p>
            <w:pPr>
              <w:autoSpaceDE w:val="0"/>
              <w:autoSpaceDN w:val="0"/>
              <w:adjustRightInd w:val="0"/>
              <w:jc w:val="center"/>
            </w:pPr>
          </w:p>
        </w:tc>
        <w:tc>
          <w:tcPr>
            <w:tcW w:w="1262" w:type="dxa"/>
            <w:tcBorders>
              <w:top w:val="nil"/>
              <w:left w:val="nil"/>
              <w:bottom w:val="nil"/>
              <w:right w:val="nil"/>
            </w:tcBorders>
          </w:tcPr>
          <w:p>
            <w:pPr>
              <w:autoSpaceDE w:val="0"/>
              <w:autoSpaceDN w:val="0"/>
              <w:adjustRightInd w:val="0"/>
              <w:jc w:val="center"/>
            </w:pPr>
          </w:p>
        </w:tc>
        <w:tc>
          <w:tcPr>
            <w:tcW w:w="1744" w:type="dxa"/>
            <w:tcBorders>
              <w:top w:val="nil"/>
              <w:left w:val="nil"/>
              <w:bottom w:val="nil"/>
              <w:right w:val="nil"/>
            </w:tcBorders>
          </w:tcPr>
          <w:p>
            <w:pPr>
              <w:autoSpaceDE w:val="0"/>
              <w:autoSpaceDN w:val="0"/>
              <w:adjustRightInd w:val="0"/>
              <w:jc w:val="center"/>
            </w:pPr>
          </w:p>
        </w:tc>
        <w:tc>
          <w:tcPr>
            <w:tcW w:w="1262"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(0.581)</w:t>
            </w:r>
          </w:p>
        </w:tc>
        <w:tc>
          <w:tcPr>
            <w:tcW w:w="1503"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62" w:type="dxa"/>
            <w:tcBorders>
              <w:top w:val="nil"/>
              <w:left w:val="nil"/>
              <w:bottom w:val="nil"/>
              <w:right w:val="nil"/>
            </w:tcBorders>
          </w:tcPr>
          <w:p>
            <w:pPr>
              <w:autoSpaceDE w:val="0"/>
              <w:autoSpaceDN w:val="0"/>
              <w:adjustRightInd w:val="0"/>
              <w:jc w:val="center"/>
            </w:pPr>
          </w:p>
        </w:tc>
        <w:tc>
          <w:tcPr>
            <w:tcW w:w="1744" w:type="dxa"/>
            <w:tcBorders>
              <w:top w:val="nil"/>
              <w:left w:val="nil"/>
              <w:bottom w:val="nil"/>
              <w:right w:val="nil"/>
            </w:tcBorders>
          </w:tcPr>
          <w:p>
            <w:pPr>
              <w:autoSpaceDE w:val="0"/>
              <w:autoSpaceDN w:val="0"/>
              <w:adjustRightInd w:val="0"/>
              <w:jc w:val="center"/>
            </w:pPr>
          </w:p>
        </w:tc>
        <w:tc>
          <w:tcPr>
            <w:tcW w:w="1262"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r>
              <w:rPr>
                <w:rFonts w:hint="eastAsia"/>
              </w:rPr>
              <w:t>Z</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0.532</w:t>
            </w:r>
            <w:r>
              <w:rPr>
                <w:rFonts w:ascii="Times New Roman" w:hAnsi="Times New Roman" w:eastAsia="等线" w:cs="Times New Roman"/>
                <w:kern w:val="0"/>
                <w:vertAlign w:val="superscript"/>
                <w:lang w:bidi="ar"/>
              </w:rPr>
              <w:t>***</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-0.026</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1.000</w:t>
            </w:r>
          </w:p>
        </w:tc>
        <w:tc>
          <w:tcPr>
            <w:tcW w:w="1262" w:type="dxa"/>
            <w:tcBorders>
              <w:top w:val="nil"/>
              <w:left w:val="nil"/>
              <w:bottom w:val="nil"/>
              <w:right w:val="nil"/>
            </w:tcBorders>
          </w:tcPr>
          <w:p>
            <w:pPr>
              <w:autoSpaceDE w:val="0"/>
              <w:autoSpaceDN w:val="0"/>
              <w:adjustRightInd w:val="0"/>
              <w:jc w:val="center"/>
            </w:pPr>
          </w:p>
        </w:tc>
        <w:tc>
          <w:tcPr>
            <w:tcW w:w="1744" w:type="dxa"/>
            <w:tcBorders>
              <w:top w:val="nil"/>
              <w:left w:val="nil"/>
              <w:bottom w:val="nil"/>
              <w:right w:val="nil"/>
            </w:tcBorders>
          </w:tcPr>
          <w:p>
            <w:pPr>
              <w:autoSpaceDE w:val="0"/>
              <w:autoSpaceDN w:val="0"/>
              <w:adjustRightInd w:val="0"/>
              <w:jc w:val="center"/>
            </w:pPr>
          </w:p>
        </w:tc>
        <w:tc>
          <w:tcPr>
            <w:tcW w:w="1262"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(0.000)</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(0.662)</w:t>
            </w:r>
          </w:p>
        </w:tc>
        <w:tc>
          <w:tcPr>
            <w:tcW w:w="1361" w:type="dxa"/>
            <w:tcBorders>
              <w:top w:val="nil"/>
              <w:left w:val="nil"/>
              <w:bottom w:val="nil"/>
              <w:right w:val="nil"/>
            </w:tcBorders>
          </w:tcPr>
          <w:p>
            <w:pPr>
              <w:autoSpaceDE w:val="0"/>
              <w:autoSpaceDN w:val="0"/>
              <w:adjustRightInd w:val="0"/>
              <w:jc w:val="center"/>
            </w:pPr>
          </w:p>
        </w:tc>
        <w:tc>
          <w:tcPr>
            <w:tcW w:w="1262" w:type="dxa"/>
            <w:tcBorders>
              <w:top w:val="nil"/>
              <w:left w:val="nil"/>
              <w:bottom w:val="nil"/>
              <w:right w:val="nil"/>
            </w:tcBorders>
          </w:tcPr>
          <w:p>
            <w:pPr>
              <w:autoSpaceDE w:val="0"/>
              <w:autoSpaceDN w:val="0"/>
              <w:adjustRightInd w:val="0"/>
              <w:jc w:val="center"/>
            </w:pPr>
          </w:p>
        </w:tc>
        <w:tc>
          <w:tcPr>
            <w:tcW w:w="1744" w:type="dxa"/>
            <w:tcBorders>
              <w:top w:val="nil"/>
              <w:left w:val="nil"/>
              <w:bottom w:val="nil"/>
              <w:right w:val="nil"/>
            </w:tcBorders>
          </w:tcPr>
          <w:p>
            <w:pPr>
              <w:autoSpaceDE w:val="0"/>
              <w:autoSpaceDN w:val="0"/>
              <w:adjustRightInd w:val="0"/>
              <w:jc w:val="center"/>
            </w:pPr>
          </w:p>
        </w:tc>
        <w:tc>
          <w:tcPr>
            <w:tcW w:w="1262"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r>
              <w:rPr>
                <w:rFonts w:hint="eastAsia"/>
              </w:rPr>
              <w:t>Age</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0.019</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0.121</w:t>
            </w:r>
            <w:r>
              <w:rPr>
                <w:rFonts w:ascii="Times New Roman" w:hAnsi="Times New Roman" w:eastAsia="等线" w:cs="Times New Roman"/>
                <w:kern w:val="0"/>
                <w:vertAlign w:val="superscript"/>
                <w:lang w:bidi="ar"/>
              </w:rPr>
              <w:t>**</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-0.087</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1.000</w:t>
            </w:r>
          </w:p>
        </w:tc>
        <w:tc>
          <w:tcPr>
            <w:tcW w:w="1744" w:type="dxa"/>
            <w:tcBorders>
              <w:top w:val="nil"/>
              <w:left w:val="nil"/>
              <w:bottom w:val="nil"/>
              <w:right w:val="nil"/>
            </w:tcBorders>
          </w:tcPr>
          <w:p>
            <w:pPr>
              <w:autoSpaceDE w:val="0"/>
              <w:autoSpaceDN w:val="0"/>
              <w:adjustRightInd w:val="0"/>
              <w:jc w:val="center"/>
            </w:pPr>
          </w:p>
        </w:tc>
        <w:tc>
          <w:tcPr>
            <w:tcW w:w="1262"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(0.752)</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(0.039)</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(0.139)</w:t>
            </w:r>
          </w:p>
        </w:tc>
        <w:tc>
          <w:tcPr>
            <w:tcW w:w="1262" w:type="dxa"/>
            <w:tcBorders>
              <w:top w:val="nil"/>
              <w:left w:val="nil"/>
              <w:bottom w:val="nil"/>
              <w:right w:val="nil"/>
            </w:tcBorders>
          </w:tcPr>
          <w:p>
            <w:pPr>
              <w:autoSpaceDE w:val="0"/>
              <w:autoSpaceDN w:val="0"/>
              <w:adjustRightInd w:val="0"/>
              <w:jc w:val="center"/>
            </w:pPr>
          </w:p>
        </w:tc>
        <w:tc>
          <w:tcPr>
            <w:tcW w:w="1744" w:type="dxa"/>
            <w:tcBorders>
              <w:top w:val="nil"/>
              <w:left w:val="nil"/>
              <w:bottom w:val="nil"/>
              <w:right w:val="nil"/>
            </w:tcBorders>
          </w:tcPr>
          <w:p>
            <w:pPr>
              <w:autoSpaceDE w:val="0"/>
              <w:autoSpaceDN w:val="0"/>
              <w:adjustRightInd w:val="0"/>
              <w:jc w:val="center"/>
            </w:pPr>
          </w:p>
        </w:tc>
        <w:tc>
          <w:tcPr>
            <w:tcW w:w="1262"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r>
              <w:rPr>
                <w:rFonts w:hint="eastAsia"/>
              </w:rPr>
              <w:t>Largeholder</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-0.013</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-0.066</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-0.084</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0.057</w:t>
            </w:r>
          </w:p>
        </w:tc>
        <w:tc>
          <w:tcPr>
            <w:tcW w:w="174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1.000</w:t>
            </w:r>
          </w:p>
        </w:tc>
        <w:tc>
          <w:tcPr>
            <w:tcW w:w="1262"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(0.819)</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(0.259)</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(0.151)</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(0.334)</w:t>
            </w:r>
          </w:p>
        </w:tc>
        <w:tc>
          <w:tcPr>
            <w:tcW w:w="1744" w:type="dxa"/>
            <w:tcBorders>
              <w:top w:val="nil"/>
              <w:left w:val="nil"/>
              <w:bottom w:val="nil"/>
              <w:right w:val="nil"/>
            </w:tcBorders>
          </w:tcPr>
          <w:p>
            <w:pPr>
              <w:autoSpaceDE w:val="0"/>
              <w:autoSpaceDN w:val="0"/>
              <w:adjustRightInd w:val="0"/>
              <w:jc w:val="center"/>
            </w:pPr>
          </w:p>
        </w:tc>
        <w:tc>
          <w:tcPr>
            <w:tcW w:w="1262"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r>
              <w:rPr>
                <w:rFonts w:hint="eastAsia"/>
              </w:rPr>
              <w:t>Size</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-0.437</w:t>
            </w:r>
            <w:r>
              <w:rPr>
                <w:rFonts w:ascii="Times New Roman" w:hAnsi="Times New Roman" w:eastAsia="等线" w:cs="Times New Roman"/>
                <w:kern w:val="0"/>
                <w:vertAlign w:val="superscript"/>
                <w:lang w:bidi="ar"/>
              </w:rPr>
              <w:t>***</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0.095</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-0.376</w:t>
            </w:r>
            <w:r>
              <w:rPr>
                <w:rFonts w:ascii="Times New Roman" w:hAnsi="Times New Roman" w:eastAsia="等线" w:cs="Times New Roman"/>
                <w:kern w:val="0"/>
                <w:vertAlign w:val="superscript"/>
                <w:lang w:bidi="ar"/>
              </w:rPr>
              <w:t>***</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0.426</w:t>
            </w:r>
            <w:r>
              <w:rPr>
                <w:rFonts w:ascii="Times New Roman" w:hAnsi="Times New Roman" w:eastAsia="等线" w:cs="Times New Roman"/>
                <w:kern w:val="0"/>
                <w:vertAlign w:val="superscript"/>
                <w:lang w:bidi="ar"/>
              </w:rPr>
              <w:t>***</w:t>
            </w:r>
          </w:p>
        </w:tc>
        <w:tc>
          <w:tcPr>
            <w:tcW w:w="174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0.304</w:t>
            </w:r>
            <w:r>
              <w:rPr>
                <w:rFonts w:ascii="Times New Roman" w:hAnsi="Times New Roman" w:eastAsia="等线" w:cs="Times New Roman"/>
                <w:kern w:val="0"/>
                <w:vertAlign w:val="superscript"/>
                <w:lang w:bidi="ar"/>
              </w:rPr>
              <w:t>***</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1.000</w:t>
            </w:r>
          </w:p>
        </w:tc>
        <w:tc>
          <w:tcPr>
            <w:tcW w:w="1361"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(0.000)</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(0.107)</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(0.000)</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(0.000)</w:t>
            </w:r>
          </w:p>
        </w:tc>
        <w:tc>
          <w:tcPr>
            <w:tcW w:w="174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(0.000)</w:t>
            </w:r>
          </w:p>
        </w:tc>
        <w:tc>
          <w:tcPr>
            <w:tcW w:w="1262"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r>
              <w:rPr>
                <w:rFonts w:hint="eastAsia"/>
              </w:rPr>
              <w:t>Lev</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0.008</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0.019</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-0.650</w:t>
            </w:r>
            <w:r>
              <w:rPr>
                <w:rFonts w:ascii="Times New Roman" w:hAnsi="Times New Roman" w:eastAsia="等线" w:cs="Times New Roman"/>
                <w:kern w:val="0"/>
                <w:vertAlign w:val="superscript"/>
                <w:lang w:bidi="ar"/>
              </w:rPr>
              <w:t>***</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0.274</w:t>
            </w:r>
            <w:r>
              <w:rPr>
                <w:rFonts w:ascii="Times New Roman" w:hAnsi="Times New Roman" w:eastAsia="等线" w:cs="Times New Roman"/>
                <w:kern w:val="0"/>
                <w:vertAlign w:val="superscript"/>
                <w:lang w:bidi="ar"/>
              </w:rPr>
              <w:t>***</w:t>
            </w:r>
          </w:p>
        </w:tc>
        <w:tc>
          <w:tcPr>
            <w:tcW w:w="174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0.173</w:t>
            </w:r>
            <w:r>
              <w:rPr>
                <w:rFonts w:ascii="Times New Roman" w:hAnsi="Times New Roman" w:eastAsia="等线" w:cs="Times New Roman"/>
                <w:kern w:val="0"/>
                <w:vertAlign w:val="superscript"/>
                <w:lang w:bidi="ar"/>
              </w:rPr>
              <w:t>***</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0.379</w:t>
            </w:r>
            <w:r>
              <w:rPr>
                <w:rFonts w:ascii="Times New Roman" w:hAnsi="Times New Roman" w:eastAsia="等线" w:cs="Times New Roman"/>
                <w:kern w:val="0"/>
                <w:vertAlign w:val="superscript"/>
                <w:lang w:bidi="ar"/>
              </w:rPr>
              <w:t>***</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1.000</w:t>
            </w: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(0.887)</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(0.741)</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(0.000)</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(0.000)</w:t>
            </w:r>
          </w:p>
        </w:tc>
        <w:tc>
          <w:tcPr>
            <w:tcW w:w="174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(0.003)</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(0.000)</w:t>
            </w:r>
          </w:p>
        </w:tc>
        <w:tc>
          <w:tcPr>
            <w:tcW w:w="1361" w:type="dxa"/>
            <w:tcBorders>
              <w:top w:val="nil"/>
              <w:left w:val="nil"/>
              <w:bottom w:val="nil"/>
              <w:right w:val="nil"/>
            </w:tcBorders>
          </w:tcPr>
          <w:p>
            <w:pPr>
              <w:autoSpaceDE w:val="0"/>
              <w:autoSpaceDN w:val="0"/>
              <w:adjustRightInd w:val="0"/>
              <w:jc w:val="center"/>
            </w:pP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r>
              <w:rPr>
                <w:rFonts w:hint="eastAsia"/>
              </w:rPr>
              <w:t>ROA</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-0.027</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0.024</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0.292</w:t>
            </w:r>
            <w:r>
              <w:rPr>
                <w:rFonts w:ascii="Times New Roman" w:hAnsi="Times New Roman" w:eastAsia="等线" w:cs="Times New Roman"/>
                <w:kern w:val="0"/>
                <w:vertAlign w:val="superscript"/>
                <w:lang w:bidi="ar"/>
              </w:rPr>
              <w:t>***</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-0.117</w:t>
            </w:r>
            <w:r>
              <w:rPr>
                <w:rFonts w:ascii="Times New Roman" w:hAnsi="Times New Roman" w:eastAsia="等线" w:cs="Times New Roman"/>
                <w:kern w:val="0"/>
                <w:vertAlign w:val="superscript"/>
                <w:lang w:bidi="ar"/>
              </w:rPr>
              <w:t>**</w:t>
            </w:r>
          </w:p>
        </w:tc>
        <w:tc>
          <w:tcPr>
            <w:tcW w:w="174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-0.038</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0.023</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-0.442</w:t>
            </w:r>
            <w:r>
              <w:rPr>
                <w:rFonts w:ascii="Times New Roman" w:hAnsi="Times New Roman" w:eastAsia="等线" w:cs="Times New Roman"/>
                <w:kern w:val="0"/>
                <w:vertAlign w:val="superscript"/>
                <w:lang w:bidi="ar"/>
              </w:rPr>
              <w:t>***</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1.000</w:t>
            </w: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(0.651)</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(0.682)</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(0.000)</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(0.046)</w:t>
            </w:r>
          </w:p>
        </w:tc>
        <w:tc>
          <w:tcPr>
            <w:tcW w:w="174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(0.513)</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(0.692)</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(0.000)</w:t>
            </w:r>
          </w:p>
        </w:tc>
        <w:tc>
          <w:tcPr>
            <w:tcW w:w="1361" w:type="dxa"/>
            <w:tcBorders>
              <w:top w:val="nil"/>
              <w:left w:val="nil"/>
              <w:bottom w:val="nil"/>
              <w:right w:val="nil"/>
            </w:tcBorders>
          </w:tcPr>
          <w:p>
            <w:pPr>
              <w:autoSpaceDE w:val="0"/>
              <w:autoSpaceDN w:val="0"/>
              <w:adjustRightInd w:val="0"/>
              <w:jc w:val="center"/>
            </w:pPr>
          </w:p>
        </w:tc>
        <w:tc>
          <w:tcPr>
            <w:tcW w:w="1206" w:type="dxa"/>
            <w:tcBorders>
              <w:top w:val="nil"/>
              <w:left w:val="nil"/>
              <w:bottom w:val="nil"/>
              <w:right w:val="nil"/>
            </w:tcBorders>
          </w:tcPr>
          <w:p>
            <w:pPr>
              <w:autoSpaceDE w:val="0"/>
              <w:autoSpaceDN w:val="0"/>
              <w:adjustRightInd w:val="0"/>
              <w:jc w:val="center"/>
            </w:pPr>
          </w:p>
        </w:tc>
      </w:tr>
      <w:tr>
        <w:tblPrEx>
          <w:tblCellMar>
            <w:top w:w="0" w:type="dxa"/>
            <w:left w:w="108" w:type="dxa"/>
            <w:bottom w:w="0" w:type="dxa"/>
            <w:right w:w="108" w:type="dxa"/>
          </w:tblCellMar>
        </w:tblPrEx>
        <w:tc>
          <w:tcPr>
            <w:tcW w:w="615" w:type="pct"/>
            <w:tcBorders>
              <w:top w:val="nil"/>
              <w:left w:val="nil"/>
              <w:bottom w:val="nil"/>
              <w:right w:val="nil"/>
            </w:tcBorders>
          </w:tcPr>
          <w:p>
            <w:pPr>
              <w:pStyle w:val="30"/>
              <w:jc w:val="left"/>
            </w:pPr>
            <w:r>
              <w:rPr>
                <w:rFonts w:hint="eastAsia"/>
              </w:rPr>
              <w:t>Growth</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0.073</w:t>
            </w:r>
          </w:p>
        </w:tc>
        <w:tc>
          <w:tcPr>
            <w:tcW w:w="1503"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0.002</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-0.051</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0.098</w:t>
            </w:r>
            <w:r>
              <w:rPr>
                <w:rFonts w:ascii="Times New Roman" w:hAnsi="Times New Roman" w:eastAsia="等线" w:cs="Times New Roman"/>
                <w:kern w:val="0"/>
                <w:vertAlign w:val="superscript"/>
                <w:lang w:bidi="ar"/>
              </w:rPr>
              <w:t>*</w:t>
            </w:r>
          </w:p>
        </w:tc>
        <w:tc>
          <w:tcPr>
            <w:tcW w:w="174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0.000</w:t>
            </w:r>
          </w:p>
        </w:tc>
        <w:tc>
          <w:tcPr>
            <w:tcW w:w="126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-0.158</w:t>
            </w:r>
            <w:r>
              <w:rPr>
                <w:rFonts w:ascii="Times New Roman" w:hAnsi="Times New Roman" w:eastAsia="等线" w:cs="Times New Roman"/>
                <w:kern w:val="0"/>
                <w:vertAlign w:val="superscript"/>
                <w:lang w:bidi="ar"/>
              </w:rPr>
              <w:t>***</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0.088</w:t>
            </w:r>
          </w:p>
        </w:tc>
        <w:tc>
          <w:tcPr>
            <w:tcW w:w="136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-0.079</w:t>
            </w:r>
          </w:p>
        </w:tc>
        <w:tc>
          <w:tcPr>
            <w:tcW w:w="1206"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1.000</w:t>
            </w:r>
          </w:p>
        </w:tc>
      </w:tr>
      <w:tr>
        <w:tblPrEx>
          <w:tblCellMar>
            <w:top w:w="0" w:type="dxa"/>
            <w:left w:w="108" w:type="dxa"/>
            <w:bottom w:w="0" w:type="dxa"/>
            <w:right w:w="108" w:type="dxa"/>
          </w:tblCellMar>
        </w:tblPrEx>
        <w:tc>
          <w:tcPr>
            <w:tcW w:w="615" w:type="pct"/>
            <w:tcBorders>
              <w:top w:val="nil"/>
              <w:left w:val="nil"/>
              <w:bottom w:val="single" w:color="000000" w:sz="12" w:space="0"/>
              <w:right w:val="nil"/>
            </w:tcBorders>
          </w:tcPr>
          <w:p>
            <w:pPr>
              <w:pStyle w:val="30"/>
              <w:jc w:val="left"/>
            </w:pPr>
          </w:p>
        </w:tc>
        <w:tc>
          <w:tcPr>
            <w:tcW w:w="1361" w:type="dxa"/>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(0.216)</w:t>
            </w:r>
          </w:p>
        </w:tc>
        <w:tc>
          <w:tcPr>
            <w:tcW w:w="1503" w:type="dxa"/>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(0.976)</w:t>
            </w:r>
          </w:p>
        </w:tc>
        <w:tc>
          <w:tcPr>
            <w:tcW w:w="1361" w:type="dxa"/>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(0.386)</w:t>
            </w:r>
          </w:p>
        </w:tc>
        <w:tc>
          <w:tcPr>
            <w:tcW w:w="1262" w:type="dxa"/>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(0.095)</w:t>
            </w:r>
          </w:p>
        </w:tc>
        <w:tc>
          <w:tcPr>
            <w:tcW w:w="1744" w:type="dxa"/>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(0.994)</w:t>
            </w:r>
          </w:p>
        </w:tc>
        <w:tc>
          <w:tcPr>
            <w:tcW w:w="1262" w:type="dxa"/>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(0.007)</w:t>
            </w:r>
          </w:p>
        </w:tc>
        <w:tc>
          <w:tcPr>
            <w:tcW w:w="1361" w:type="dxa"/>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(0.135)</w:t>
            </w:r>
          </w:p>
        </w:tc>
        <w:tc>
          <w:tcPr>
            <w:tcW w:w="1361" w:type="dxa"/>
            <w:tcBorders>
              <w:top w:val="nil"/>
              <w:left w:val="nil"/>
              <w:bottom w:val="single" w:color="000000" w:sz="12" w:space="0"/>
              <w:right w:val="nil"/>
            </w:tcBorders>
          </w:tcPr>
          <w:p>
            <w:pPr>
              <w:autoSpaceDE w:val="0"/>
              <w:autoSpaceDN w:val="0"/>
              <w:adjustRightInd w:val="0"/>
              <w:jc w:val="center"/>
            </w:pPr>
            <w:r>
              <w:rPr>
                <w:rFonts w:ascii="Times New Roman" w:hAnsi="Times New Roman" w:eastAsia="等线" w:cs="Times New Roman"/>
                <w:kern w:val="0"/>
                <w:lang w:bidi="ar"/>
              </w:rPr>
              <w:t>(0.180)</w:t>
            </w:r>
          </w:p>
        </w:tc>
        <w:tc>
          <w:tcPr>
            <w:tcW w:w="1206" w:type="dxa"/>
            <w:tcBorders>
              <w:top w:val="nil"/>
              <w:left w:val="nil"/>
              <w:bottom w:val="single" w:color="000000" w:sz="12" w:space="0"/>
              <w:right w:val="nil"/>
            </w:tcBorders>
          </w:tcPr>
          <w:p>
            <w:pPr>
              <w:autoSpaceDE w:val="0"/>
              <w:autoSpaceDN w:val="0"/>
              <w:adjustRightInd w:val="0"/>
              <w:jc w:val="center"/>
            </w:pPr>
          </w:p>
        </w:tc>
      </w:tr>
    </w:tbl>
    <w:p>
      <w:pPr>
        <w:pStyle w:val="30"/>
        <w:spacing w:line="360" w:lineRule="auto"/>
      </w:pPr>
      <w:r>
        <w:rPr>
          <w:rFonts w:hint="eastAsia"/>
          <w:sz w:val="24"/>
        </w:rPr>
        <w:t>注：括号内为稳健的t统计量；</w:t>
      </w:r>
      <w:r>
        <w:rPr>
          <w:sz w:val="24"/>
          <w:vertAlign w:val="superscript"/>
        </w:rPr>
        <w:t>*</w:t>
      </w:r>
      <w:r>
        <w:rPr>
          <w:sz w:val="24"/>
        </w:rPr>
        <w:t xml:space="preserve"> p &lt; 0.1, </w:t>
      </w:r>
      <w:r>
        <w:rPr>
          <w:sz w:val="24"/>
          <w:vertAlign w:val="superscript"/>
        </w:rPr>
        <w:t>**</w:t>
      </w:r>
      <w:r>
        <w:rPr>
          <w:sz w:val="24"/>
        </w:rPr>
        <w:t xml:space="preserve"> p &lt; 0.05, </w:t>
      </w:r>
      <w:r>
        <w:rPr>
          <w:sz w:val="24"/>
          <w:vertAlign w:val="superscript"/>
        </w:rPr>
        <w:t>***</w:t>
      </w:r>
      <w:r>
        <w:rPr>
          <w:sz w:val="24"/>
        </w:rPr>
        <w:t xml:space="preserve"> p &lt; 0.01</w:t>
      </w:r>
      <w:r>
        <w:rPr>
          <w:rFonts w:hint="eastAsia"/>
          <w:sz w:val="24"/>
        </w:rPr>
        <w:t>，下同</w:t>
      </w:r>
    </w:p>
    <w:p>
      <w:pPr>
        <w:spacing w:line="360" w:lineRule="auto"/>
        <w:rPr>
          <w:bCs/>
          <w:sz w:val="24"/>
          <w:szCs w:val="24"/>
        </w:rPr>
        <w:sectPr>
          <w:pgSz w:w="16838" w:h="11906" w:orient="landscape"/>
          <w:pgMar w:top="1800" w:right="1440" w:bottom="1800" w:left="1440" w:header="851" w:footer="992" w:gutter="0"/>
          <w:cols w:space="720" w:num="1"/>
          <w:docGrid w:type="lines" w:linePitch="312" w:charSpace="0"/>
        </w:sectPr>
      </w:pPr>
    </w:p>
    <w:p>
      <w:pPr>
        <w:pStyle w:val="4"/>
        <w:spacing w:before="156" w:beforeLines="50" w:after="156" w:afterLines="50" w:line="240" w:lineRule="auto"/>
        <w:ind w:left="567"/>
      </w:pPr>
      <w:bookmarkStart w:id="135" w:name="_Toc104983866"/>
      <w:r>
        <w:rPr>
          <w:rFonts w:hint="eastAsia"/>
        </w:rPr>
        <w:t>中介效应检验</w:t>
      </w:r>
      <w:bookmarkEnd w:id="135"/>
    </w:p>
    <w:p>
      <w:pPr>
        <w:pStyle w:val="5"/>
        <w:spacing w:before="0" w:after="0" w:line="480" w:lineRule="auto"/>
      </w:pPr>
      <w:bookmarkStart w:id="136" w:name="_Toc104983867"/>
      <w:r>
        <w:rPr>
          <w:rFonts w:hint="eastAsia"/>
        </w:rPr>
        <w:t>逐步回归法</w:t>
      </w:r>
      <w:bookmarkEnd w:id="136"/>
    </w:p>
    <w:p>
      <w:pPr>
        <w:pStyle w:val="3"/>
        <w:ind w:firstLine="420" w:firstLineChars="0"/>
        <w:jc w:val="left"/>
        <w:rPr>
          <w:rFonts w:cs="Times New Roman" w:eastAsiaTheme="majorEastAsia"/>
          <w:szCs w:val="24"/>
        </w:rPr>
      </w:pPr>
      <w:r>
        <w:rPr>
          <w:rFonts w:cs="Times New Roman" w:eastAsiaTheme="majorEastAsia"/>
          <w:szCs w:val="24"/>
        </w:rPr>
        <w:t>为了更好地研究负面环境信息披露影响企业价值的作用机制，我们先对滞后一期的TobinQ（企业价值）与Eventyear（表示事件发生前后的虚拟变量）进行回归分析，以说明企业负面环境信息披露与企业价值的相关性。</w:t>
      </w:r>
    </w:p>
    <w:p>
      <w:pPr>
        <w:pStyle w:val="3"/>
        <w:ind w:firstLine="480"/>
        <w:rPr>
          <w:rFonts w:cs="Times New Roman"/>
          <w:szCs w:val="24"/>
        </w:rPr>
      </w:pPr>
      <w:r>
        <w:t>表5-</w:t>
      </w:r>
      <w:r>
        <w:rPr>
          <w:rFonts w:hint="eastAsia"/>
        </w:rPr>
        <w:t>5</w:t>
      </w:r>
      <w:r>
        <w:t>报告了模型（3-8）</w:t>
      </w:r>
      <w:r>
        <w:rPr>
          <w:rFonts w:hint="eastAsia"/>
        </w:rPr>
        <w:t>、（3-9）、（3-10）</w:t>
      </w:r>
      <w:r>
        <w:t>的回归结果</w:t>
      </w:r>
      <w:r>
        <w:rPr>
          <w:rFonts w:hint="eastAsia"/>
        </w:rPr>
        <w:t>。</w:t>
      </w:r>
    </w:p>
    <w:p>
      <w:pPr>
        <w:pStyle w:val="28"/>
        <w:spacing w:line="360" w:lineRule="auto"/>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rPr>
          <w:rFonts w:hint="eastAsia"/>
        </w:rPr>
        <w:t>-5财务风险的中介效应检验</w:t>
      </w:r>
    </w:p>
    <w:tbl>
      <w:tblPr>
        <w:tblStyle w:val="16"/>
        <w:tblW w:w="4998" w:type="pct"/>
        <w:jc w:val="center"/>
        <w:tblLayout w:type="autofit"/>
        <w:tblCellMar>
          <w:top w:w="0" w:type="dxa"/>
          <w:left w:w="108" w:type="dxa"/>
          <w:bottom w:w="0" w:type="dxa"/>
          <w:right w:w="108" w:type="dxa"/>
        </w:tblCellMar>
      </w:tblPr>
      <w:tblGrid>
        <w:gridCol w:w="2644"/>
        <w:gridCol w:w="1958"/>
        <w:gridCol w:w="1958"/>
        <w:gridCol w:w="1959"/>
      </w:tblGrid>
      <w:tr>
        <w:tblPrEx>
          <w:tblCellMar>
            <w:top w:w="0" w:type="dxa"/>
            <w:left w:w="108" w:type="dxa"/>
            <w:bottom w:w="0" w:type="dxa"/>
            <w:right w:w="108" w:type="dxa"/>
          </w:tblCellMar>
        </w:tblPrEx>
        <w:trPr>
          <w:jc w:val="center"/>
        </w:trPr>
        <w:tc>
          <w:tcPr>
            <w:tcW w:w="1551" w:type="pct"/>
            <w:tcBorders>
              <w:top w:val="single" w:color="auto" w:sz="12" w:space="0"/>
              <w:left w:val="nil"/>
              <w:bottom w:val="single" w:color="auto" w:sz="4" w:space="0"/>
              <w:right w:val="nil"/>
            </w:tcBorders>
            <w:vAlign w:val="center"/>
          </w:tcPr>
          <w:p>
            <w:pPr>
              <w:pStyle w:val="30"/>
              <w:jc w:val="left"/>
            </w:pPr>
            <w:r>
              <w:rPr>
                <w:rFonts w:hint="eastAsia"/>
              </w:rPr>
              <w:t>VARIABLES</w:t>
            </w:r>
          </w:p>
        </w:tc>
        <w:tc>
          <w:tcPr>
            <w:tcW w:w="1149" w:type="pct"/>
            <w:tcBorders>
              <w:top w:val="single" w:color="auto" w:sz="12" w:space="0"/>
              <w:left w:val="nil"/>
              <w:bottom w:val="single" w:color="auto" w:sz="4" w:space="0"/>
              <w:right w:val="nil"/>
            </w:tcBorders>
          </w:tcPr>
          <w:p>
            <w:pPr>
              <w:pStyle w:val="30"/>
              <w:jc w:val="center"/>
              <w:rPr>
                <w:sz w:val="20"/>
              </w:rPr>
            </w:pPr>
            <w:r>
              <w:rPr>
                <w:rFonts w:hint="eastAsia"/>
                <w:sz w:val="22"/>
                <w:szCs w:val="22"/>
              </w:rPr>
              <w:t>L.TobinQ</w:t>
            </w:r>
          </w:p>
        </w:tc>
        <w:tc>
          <w:tcPr>
            <w:tcW w:w="1149" w:type="pct"/>
            <w:tcBorders>
              <w:top w:val="single" w:color="auto" w:sz="12" w:space="0"/>
              <w:left w:val="nil"/>
              <w:bottom w:val="single" w:color="auto" w:sz="4" w:space="0"/>
              <w:right w:val="nil"/>
            </w:tcBorders>
          </w:tcPr>
          <w:p>
            <w:pPr>
              <w:pStyle w:val="30"/>
              <w:jc w:val="center"/>
              <w:rPr>
                <w:sz w:val="22"/>
                <w:szCs w:val="22"/>
              </w:rPr>
            </w:pPr>
            <w:r>
              <w:rPr>
                <w:rFonts w:hint="eastAsia"/>
                <w:sz w:val="22"/>
                <w:szCs w:val="22"/>
              </w:rPr>
              <w:t>L.Z</w:t>
            </w:r>
          </w:p>
        </w:tc>
        <w:tc>
          <w:tcPr>
            <w:tcW w:w="1149" w:type="pct"/>
            <w:tcBorders>
              <w:top w:val="single" w:color="auto" w:sz="12" w:space="0"/>
              <w:left w:val="nil"/>
              <w:bottom w:val="single" w:color="auto" w:sz="4" w:space="0"/>
              <w:right w:val="nil"/>
            </w:tcBorders>
          </w:tcPr>
          <w:p>
            <w:pPr>
              <w:pStyle w:val="30"/>
              <w:jc w:val="center"/>
              <w:rPr>
                <w:sz w:val="22"/>
                <w:szCs w:val="22"/>
              </w:rPr>
            </w:pPr>
            <w:r>
              <w:rPr>
                <w:rFonts w:hint="eastAsia"/>
                <w:sz w:val="22"/>
                <w:szCs w:val="22"/>
              </w:rPr>
              <w:t>L.TobinQ</w:t>
            </w:r>
          </w:p>
        </w:tc>
      </w:tr>
      <w:tr>
        <w:trPr>
          <w:jc w:val="center"/>
        </w:trPr>
        <w:tc>
          <w:tcPr>
            <w:tcW w:w="1551" w:type="pct"/>
            <w:tcBorders>
              <w:top w:val="single" w:color="auto" w:sz="4" w:space="0"/>
              <w:left w:val="nil"/>
              <w:bottom w:val="nil"/>
              <w:right w:val="nil"/>
            </w:tcBorders>
          </w:tcPr>
          <w:p>
            <w:pPr>
              <w:pStyle w:val="30"/>
              <w:jc w:val="left"/>
            </w:pPr>
            <w:r>
              <w:rPr>
                <w:rFonts w:hint="eastAsia"/>
              </w:rPr>
              <w:t>Eventyear</w:t>
            </w:r>
          </w:p>
        </w:tc>
        <w:tc>
          <w:tcPr>
            <w:tcW w:w="1149" w:type="pct"/>
            <w:tcBorders>
              <w:top w:val="single" w:color="auto" w:sz="4" w:space="0"/>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-0.365</w:t>
            </w:r>
            <w:r>
              <w:rPr>
                <w:rFonts w:ascii="Times New Roman" w:hAnsi="Times New Roman" w:eastAsia="等线" w:cs="Times New Roman"/>
                <w:kern w:val="0"/>
                <w:vertAlign w:val="superscript"/>
                <w:lang w:bidi="ar"/>
              </w:rPr>
              <w:t>***</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-0.724</w:t>
            </w:r>
            <w:r>
              <w:rPr>
                <w:rFonts w:ascii="Times New Roman" w:hAnsi="Times New Roman" w:eastAsia="等线" w:cs="Times New Roman"/>
                <w:kern w:val="0"/>
                <w:vertAlign w:val="superscript"/>
                <w:lang w:bidi="ar"/>
              </w:rPr>
              <w:t>***</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-0.182</w:t>
            </w:r>
            <w:r>
              <w:rPr>
                <w:rFonts w:ascii="Times New Roman" w:hAnsi="Times New Roman" w:eastAsia="等线" w:cs="Times New Roman"/>
                <w:kern w:val="0"/>
                <w:vertAlign w:val="superscript"/>
                <w:lang w:bidi="ar"/>
              </w:rPr>
              <w:t>**</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(-3.68)</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(-3.02)</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(-2.25)</w:t>
            </w:r>
          </w:p>
        </w:tc>
      </w:tr>
      <w:tr>
        <w:trPr>
          <w:jc w:val="center"/>
        </w:trPr>
        <w:tc>
          <w:tcPr>
            <w:tcW w:w="1551" w:type="pct"/>
            <w:tcBorders>
              <w:top w:val="nil"/>
              <w:left w:val="nil"/>
              <w:bottom w:val="nil"/>
              <w:right w:val="nil"/>
            </w:tcBorders>
          </w:tcPr>
          <w:p>
            <w:pPr>
              <w:pStyle w:val="30"/>
              <w:jc w:val="left"/>
            </w:pPr>
            <w:r>
              <w:rPr>
                <w:rFonts w:hint="eastAsia"/>
              </w:rPr>
              <w:t>L.Z</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p>
        </w:tc>
        <w:tc>
          <w:tcPr>
            <w:tcW w:w="1959" w:type="dxa"/>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0.252</w:t>
            </w:r>
            <w:r>
              <w:rPr>
                <w:rFonts w:ascii="Times New Roman" w:hAnsi="Times New Roman" w:eastAsia="等线" w:cs="Times New Roman"/>
                <w:kern w:val="0"/>
                <w:vertAlign w:val="superscript"/>
                <w:lang w:bidi="ar"/>
              </w:rPr>
              <w:t>***</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p>
        </w:tc>
        <w:tc>
          <w:tcPr>
            <w:tcW w:w="1959" w:type="dxa"/>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(9.61)</w:t>
            </w:r>
          </w:p>
        </w:tc>
      </w:tr>
      <w:tr>
        <w:tblPrEx>
          <w:tblCellMar>
            <w:top w:w="0" w:type="dxa"/>
            <w:left w:w="108" w:type="dxa"/>
            <w:bottom w:w="0" w:type="dxa"/>
            <w:right w:w="108" w:type="dxa"/>
          </w:tblCellMar>
        </w:tblPrEx>
        <w:trPr>
          <w:trHeight w:val="90" w:hRule="atLeast"/>
          <w:jc w:val="center"/>
        </w:trPr>
        <w:tc>
          <w:tcPr>
            <w:tcW w:w="1551" w:type="pct"/>
            <w:tcBorders>
              <w:top w:val="nil"/>
              <w:left w:val="nil"/>
              <w:bottom w:val="nil"/>
              <w:right w:val="nil"/>
            </w:tcBorders>
          </w:tcPr>
          <w:p>
            <w:pPr>
              <w:pStyle w:val="30"/>
              <w:jc w:val="left"/>
            </w:pPr>
            <w:r>
              <w:rPr>
                <w:rFonts w:hint="eastAsia"/>
              </w:rPr>
              <w:t>Age</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0.062</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0.581</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-0.084</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(0.22)</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(0.86)</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(-0.38)</w:t>
            </w:r>
          </w:p>
        </w:tc>
      </w:tr>
      <w:tr>
        <w:trPr>
          <w:jc w:val="center"/>
        </w:trPr>
        <w:tc>
          <w:tcPr>
            <w:tcW w:w="1551" w:type="pct"/>
            <w:tcBorders>
              <w:top w:val="nil"/>
              <w:left w:val="nil"/>
              <w:bottom w:val="nil"/>
              <w:right w:val="nil"/>
            </w:tcBorders>
          </w:tcPr>
          <w:p>
            <w:pPr>
              <w:pStyle w:val="30"/>
              <w:jc w:val="left"/>
            </w:pPr>
            <w:r>
              <w:rPr>
                <w:rFonts w:hint="eastAsia"/>
              </w:rPr>
              <w:t>Largeholder</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-0.002</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-0.003</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-0.001</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(-0.19)</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(-0.11)</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(-0.15)</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r>
              <w:rPr>
                <w:rFonts w:hint="eastAsia"/>
              </w:rPr>
              <w:t>Size</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0.394</w:t>
            </w:r>
            <w:r>
              <w:rPr>
                <w:rFonts w:ascii="Times New Roman" w:hAnsi="Times New Roman" w:eastAsia="等线" w:cs="Times New Roman"/>
                <w:kern w:val="0"/>
                <w:vertAlign w:val="superscript"/>
                <w:lang w:bidi="ar"/>
              </w:rPr>
              <w:t>*</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0.289</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0.321</w:t>
            </w:r>
            <w:r>
              <w:rPr>
                <w:rFonts w:ascii="Times New Roman" w:hAnsi="Times New Roman" w:eastAsia="等线" w:cs="Times New Roman"/>
                <w:kern w:val="0"/>
                <w:vertAlign w:val="superscript"/>
                <w:lang w:bidi="ar"/>
              </w:rPr>
              <w:t>*</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(1.76)</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(0.53)</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(1.80)</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r>
              <w:rPr>
                <w:rFonts w:hint="eastAsia"/>
              </w:rPr>
              <w:t>Lev</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-0.196</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-5.031</w:t>
            </w:r>
            <w:r>
              <w:rPr>
                <w:rFonts w:ascii="Times New Roman" w:hAnsi="Times New Roman" w:eastAsia="等线" w:cs="Times New Roman"/>
                <w:kern w:val="0"/>
                <w:vertAlign w:val="superscript"/>
                <w:lang w:bidi="ar"/>
              </w:rPr>
              <w:t>***</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1.072</w:t>
            </w:r>
            <w:r>
              <w:rPr>
                <w:rFonts w:ascii="Times New Roman" w:hAnsi="Times New Roman" w:eastAsia="等线" w:cs="Times New Roman"/>
                <w:kern w:val="0"/>
                <w:vertAlign w:val="superscript"/>
                <w:lang w:bidi="ar"/>
              </w:rPr>
              <w:t>*</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(-0.26)</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(-2.80)</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(1.77)</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r>
              <w:rPr>
                <w:rFonts w:hint="eastAsia"/>
              </w:rPr>
              <w:t>ROA</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0.459</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-4.531</w:t>
            </w:r>
            <w:r>
              <w:rPr>
                <w:rFonts w:ascii="Times New Roman" w:hAnsi="Times New Roman" w:eastAsia="等线" w:cs="Times New Roman"/>
                <w:kern w:val="0"/>
                <w:vertAlign w:val="superscript"/>
                <w:lang w:bidi="ar"/>
              </w:rPr>
              <w:t>*</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1.600</w:t>
            </w:r>
            <w:r>
              <w:rPr>
                <w:rFonts w:ascii="Times New Roman" w:hAnsi="Times New Roman" w:eastAsia="等线" w:cs="Times New Roman"/>
                <w:kern w:val="0"/>
                <w:vertAlign w:val="superscript"/>
                <w:lang w:bidi="ar"/>
              </w:rPr>
              <w:t>*</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(0.45)</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(-1.83)</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(1.94)</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r>
              <w:rPr>
                <w:rFonts w:hint="eastAsia"/>
              </w:rPr>
              <w:t>MKTB</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0.152</w:t>
            </w:r>
            <w:r>
              <w:rPr>
                <w:rFonts w:ascii="Times New Roman" w:hAnsi="Times New Roman" w:eastAsia="等线" w:cs="Times New Roman"/>
                <w:kern w:val="0"/>
                <w:vertAlign w:val="superscript"/>
                <w:lang w:bidi="ar"/>
              </w:rPr>
              <w:t>***</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0.220</w:t>
            </w:r>
            <w:r>
              <w:rPr>
                <w:rFonts w:ascii="Times New Roman" w:hAnsi="Times New Roman" w:eastAsia="等线" w:cs="Times New Roman"/>
                <w:kern w:val="0"/>
                <w:vertAlign w:val="superscript"/>
                <w:lang w:bidi="ar"/>
              </w:rPr>
              <w:t>***</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0.096</w:t>
            </w:r>
            <w:r>
              <w:rPr>
                <w:rFonts w:ascii="Times New Roman" w:hAnsi="Times New Roman" w:eastAsia="等线" w:cs="Times New Roman"/>
                <w:kern w:val="0"/>
                <w:vertAlign w:val="superscript"/>
                <w:lang w:bidi="ar"/>
              </w:rPr>
              <w:t>***</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(8.34)</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(5.00)</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(6.18)</w:t>
            </w:r>
          </w:p>
        </w:tc>
      </w:tr>
      <w:tr>
        <w:trPr>
          <w:jc w:val="center"/>
        </w:trPr>
        <w:tc>
          <w:tcPr>
            <w:tcW w:w="1551" w:type="pct"/>
            <w:tcBorders>
              <w:top w:val="nil"/>
              <w:left w:val="nil"/>
              <w:bottom w:val="nil"/>
              <w:right w:val="nil"/>
            </w:tcBorders>
          </w:tcPr>
          <w:p>
            <w:pPr>
              <w:pStyle w:val="30"/>
              <w:jc w:val="left"/>
            </w:pPr>
            <w:r>
              <w:rPr>
                <w:rFonts w:hint="eastAsia"/>
              </w:rPr>
              <w:t>Dual</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-0.484</w:t>
            </w:r>
            <w:r>
              <w:rPr>
                <w:rFonts w:ascii="Times New Roman" w:hAnsi="Times New Roman" w:eastAsia="等线" w:cs="Times New Roman"/>
                <w:kern w:val="0"/>
                <w:vertAlign w:val="superscript"/>
                <w:lang w:bidi="ar"/>
              </w:rPr>
              <w:t>**</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-0.896</w:t>
            </w:r>
            <w:r>
              <w:rPr>
                <w:rFonts w:ascii="Times New Roman" w:hAnsi="Times New Roman" w:eastAsia="等线" w:cs="Times New Roman"/>
                <w:kern w:val="0"/>
                <w:vertAlign w:val="superscript"/>
                <w:lang w:bidi="ar"/>
              </w:rPr>
              <w:t>*</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-0.258</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(-2.28)</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(-1.75)</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(-1.51)</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r>
              <w:rPr>
                <w:rFonts w:hint="eastAsia"/>
              </w:rPr>
              <w:t>BSize</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0.030</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0.064</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0.014</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ind w:firstLine="480"/>
              <w:jc w:val="left"/>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(0.58)</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(0.51)</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(0.34)</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r>
              <w:rPr>
                <w:rFonts w:hint="eastAsia"/>
              </w:rPr>
              <w:t>IDRatio</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0.006</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0.030</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-0.001</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ind w:firstLine="480"/>
              <w:jc w:val="left"/>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(0.49)</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(0.93)</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(-0.09)</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jc w:val="left"/>
            </w:pPr>
            <w:r>
              <w:rPr>
                <w:rFonts w:hint="eastAsia"/>
              </w:rPr>
              <w:t>Growth</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-0.085</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-0.055</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-0.071</w:t>
            </w:r>
          </w:p>
        </w:tc>
      </w:tr>
      <w:tr>
        <w:tblPrEx>
          <w:tblCellMar>
            <w:top w:w="0" w:type="dxa"/>
            <w:left w:w="108" w:type="dxa"/>
            <w:bottom w:w="0" w:type="dxa"/>
            <w:right w:w="108" w:type="dxa"/>
          </w:tblCellMar>
        </w:tblPrEx>
        <w:trPr>
          <w:jc w:val="center"/>
        </w:trPr>
        <w:tc>
          <w:tcPr>
            <w:tcW w:w="1551" w:type="pct"/>
            <w:tcBorders>
              <w:top w:val="nil"/>
              <w:left w:val="nil"/>
              <w:bottom w:val="nil"/>
              <w:right w:val="nil"/>
            </w:tcBorders>
          </w:tcPr>
          <w:p>
            <w:pPr>
              <w:pStyle w:val="30"/>
              <w:ind w:firstLine="480"/>
              <w:jc w:val="left"/>
            </w:pP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(-1.38)</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(-0.37)</w:t>
            </w:r>
          </w:p>
        </w:tc>
        <w:tc>
          <w:tcPr>
            <w:tcW w:w="1149" w:type="pct"/>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(-1.45)</w:t>
            </w:r>
          </w:p>
        </w:tc>
      </w:tr>
      <w:tr>
        <w:trPr>
          <w:jc w:val="center"/>
        </w:trPr>
        <w:tc>
          <w:tcPr>
            <w:tcW w:w="1551" w:type="pct"/>
            <w:tcBorders>
              <w:top w:val="nil"/>
              <w:left w:val="nil"/>
              <w:bottom w:val="nil"/>
              <w:right w:val="nil"/>
            </w:tcBorders>
          </w:tcPr>
          <w:p>
            <w:pPr>
              <w:pStyle w:val="30"/>
              <w:jc w:val="left"/>
            </w:pPr>
            <w:r>
              <w:rPr>
                <w:rFonts w:hint="eastAsia"/>
              </w:rPr>
              <w:t>_cons</w:t>
            </w:r>
          </w:p>
        </w:tc>
        <w:tc>
          <w:tcPr>
            <w:tcW w:w="1958" w:type="dxa"/>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-7.684</w:t>
            </w:r>
            <w:r>
              <w:rPr>
                <w:rFonts w:ascii="Times New Roman" w:hAnsi="Times New Roman" w:eastAsia="等线" w:cs="Times New Roman"/>
                <w:kern w:val="0"/>
                <w:vertAlign w:val="superscript"/>
                <w:lang w:bidi="ar"/>
              </w:rPr>
              <w:t>*</w:t>
            </w:r>
          </w:p>
        </w:tc>
        <w:tc>
          <w:tcPr>
            <w:tcW w:w="1958" w:type="dxa"/>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-3.416</w:t>
            </w:r>
          </w:p>
        </w:tc>
        <w:tc>
          <w:tcPr>
            <w:tcW w:w="1959" w:type="dxa"/>
            <w:tcBorders>
              <w:top w:val="nil"/>
              <w:left w:val="nil"/>
              <w:bottom w:val="nil"/>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-6.824</w:t>
            </w:r>
            <w:r>
              <w:rPr>
                <w:rFonts w:ascii="Times New Roman" w:hAnsi="Times New Roman" w:eastAsia="等线" w:cs="Times New Roman"/>
                <w:kern w:val="0"/>
                <w:vertAlign w:val="superscript"/>
                <w:lang w:bidi="ar"/>
              </w:rPr>
              <w:t>*</w:t>
            </w:r>
          </w:p>
        </w:tc>
      </w:tr>
      <w:tr>
        <w:tblPrEx>
          <w:tblCellMar>
            <w:top w:w="0" w:type="dxa"/>
            <w:left w:w="108" w:type="dxa"/>
            <w:bottom w:w="0" w:type="dxa"/>
            <w:right w:w="108" w:type="dxa"/>
          </w:tblCellMar>
        </w:tblPrEx>
        <w:trPr>
          <w:jc w:val="center"/>
        </w:trPr>
        <w:tc>
          <w:tcPr>
            <w:tcW w:w="1551" w:type="pct"/>
            <w:tcBorders>
              <w:top w:val="nil"/>
              <w:left w:val="nil"/>
              <w:bottom w:val="single" w:color="auto" w:sz="4" w:space="0"/>
              <w:right w:val="nil"/>
            </w:tcBorders>
          </w:tcPr>
          <w:p>
            <w:pPr>
              <w:pStyle w:val="30"/>
              <w:jc w:val="left"/>
            </w:pPr>
          </w:p>
        </w:tc>
        <w:tc>
          <w:tcPr>
            <w:tcW w:w="1958" w:type="dxa"/>
            <w:tcBorders>
              <w:top w:val="nil"/>
              <w:left w:val="nil"/>
              <w:bottom w:val="single" w:color="auto" w:sz="4" w:space="0"/>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(-1.68)</w:t>
            </w:r>
          </w:p>
        </w:tc>
        <w:tc>
          <w:tcPr>
            <w:tcW w:w="1958" w:type="dxa"/>
            <w:tcBorders>
              <w:top w:val="nil"/>
              <w:left w:val="nil"/>
              <w:bottom w:val="single" w:color="auto" w:sz="4" w:space="0"/>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(-0.31)</w:t>
            </w:r>
          </w:p>
        </w:tc>
        <w:tc>
          <w:tcPr>
            <w:tcW w:w="1959" w:type="dxa"/>
            <w:tcBorders>
              <w:top w:val="nil"/>
              <w:left w:val="nil"/>
              <w:bottom w:val="single" w:color="auto" w:sz="4" w:space="0"/>
              <w:right w:val="nil"/>
            </w:tcBorders>
          </w:tcPr>
          <w:p>
            <w:pPr>
              <w:autoSpaceDE w:val="0"/>
              <w:autoSpaceDN w:val="0"/>
              <w:adjustRightInd w:val="0"/>
              <w:jc w:val="center"/>
              <w:rPr>
                <w:rFonts w:ascii="Times New Roman" w:hAnsi="Times New Roman"/>
              </w:rPr>
            </w:pPr>
            <w:r>
              <w:rPr>
                <w:rFonts w:ascii="Times New Roman" w:hAnsi="Times New Roman" w:eastAsia="等线" w:cs="Times New Roman"/>
                <w:kern w:val="0"/>
                <w:lang w:bidi="ar"/>
              </w:rPr>
              <w:t>(-1.87)</w:t>
            </w:r>
          </w:p>
        </w:tc>
      </w:tr>
      <w:tr>
        <w:tblPrEx>
          <w:tblCellMar>
            <w:top w:w="0" w:type="dxa"/>
            <w:left w:w="108" w:type="dxa"/>
            <w:bottom w:w="0" w:type="dxa"/>
            <w:right w:w="108" w:type="dxa"/>
          </w:tblCellMar>
        </w:tblPrEx>
        <w:trPr>
          <w:jc w:val="center"/>
        </w:trPr>
        <w:tc>
          <w:tcPr>
            <w:tcW w:w="1551" w:type="pct"/>
            <w:tcBorders>
              <w:top w:val="single" w:color="auto" w:sz="4" w:space="0"/>
              <w:left w:val="nil"/>
              <w:right w:val="nil"/>
            </w:tcBorders>
          </w:tcPr>
          <w:p>
            <w:pPr>
              <w:pStyle w:val="30"/>
            </w:pPr>
            <w:r>
              <w:rPr>
                <w:rFonts w:hint="eastAsia"/>
              </w:rPr>
              <w:t>Individual FE</w:t>
            </w:r>
          </w:p>
        </w:tc>
        <w:tc>
          <w:tcPr>
            <w:tcW w:w="1149" w:type="pct"/>
            <w:tcBorders>
              <w:top w:val="single" w:color="auto" w:sz="4" w:space="0"/>
              <w:left w:val="nil"/>
              <w:right w:val="nil"/>
            </w:tcBorders>
          </w:tcPr>
          <w:p>
            <w:pPr>
              <w:pStyle w:val="30"/>
              <w:jc w:val="center"/>
            </w:pPr>
            <w:r>
              <w:rPr>
                <w:rFonts w:hint="eastAsia"/>
              </w:rPr>
              <w:t>YES</w:t>
            </w:r>
          </w:p>
        </w:tc>
        <w:tc>
          <w:tcPr>
            <w:tcW w:w="1149" w:type="pct"/>
            <w:tcBorders>
              <w:top w:val="single" w:color="auto" w:sz="4" w:space="0"/>
              <w:left w:val="nil"/>
              <w:right w:val="nil"/>
            </w:tcBorders>
          </w:tcPr>
          <w:p>
            <w:pPr>
              <w:pStyle w:val="30"/>
              <w:jc w:val="center"/>
            </w:pPr>
            <w:r>
              <w:rPr>
                <w:rFonts w:hint="eastAsia"/>
              </w:rPr>
              <w:t>YES</w:t>
            </w:r>
          </w:p>
        </w:tc>
        <w:tc>
          <w:tcPr>
            <w:tcW w:w="1149" w:type="pct"/>
            <w:tcBorders>
              <w:top w:val="single" w:color="auto" w:sz="4" w:space="0"/>
              <w:left w:val="nil"/>
              <w:right w:val="nil"/>
            </w:tcBorders>
          </w:tcPr>
          <w:p>
            <w:pPr>
              <w:pStyle w:val="30"/>
              <w:ind w:firstLine="480"/>
            </w:pPr>
            <w:r>
              <w:rPr>
                <w:rFonts w:hint="eastAsia"/>
              </w:rPr>
              <w:t>YES</w:t>
            </w:r>
          </w:p>
        </w:tc>
      </w:tr>
      <w:tr>
        <w:tblPrEx>
          <w:tblCellMar>
            <w:top w:w="0" w:type="dxa"/>
            <w:left w:w="108" w:type="dxa"/>
            <w:bottom w:w="0" w:type="dxa"/>
            <w:right w:w="108" w:type="dxa"/>
          </w:tblCellMar>
        </w:tblPrEx>
        <w:trPr>
          <w:jc w:val="center"/>
        </w:trPr>
        <w:tc>
          <w:tcPr>
            <w:tcW w:w="1551" w:type="pct"/>
            <w:tcBorders>
              <w:top w:val="single" w:color="auto" w:sz="4" w:space="0"/>
              <w:left w:val="nil"/>
              <w:bottom w:val="nil"/>
              <w:right w:val="nil"/>
            </w:tcBorders>
          </w:tcPr>
          <w:p>
            <w:pPr>
              <w:pStyle w:val="30"/>
            </w:pPr>
            <w:r>
              <w:rPr>
                <w:rFonts w:hint="eastAsia"/>
              </w:rPr>
              <w:t>N</w:t>
            </w:r>
          </w:p>
        </w:tc>
        <w:tc>
          <w:tcPr>
            <w:tcW w:w="1149" w:type="pct"/>
            <w:tcBorders>
              <w:top w:val="single" w:color="auto" w:sz="4" w:space="0"/>
              <w:left w:val="nil"/>
              <w:bottom w:val="nil"/>
              <w:right w:val="nil"/>
            </w:tcBorders>
          </w:tcPr>
          <w:p>
            <w:pPr>
              <w:pStyle w:val="30"/>
              <w:jc w:val="center"/>
            </w:pPr>
            <w:r>
              <w:rPr>
                <w:rFonts w:hint="eastAsia"/>
              </w:rPr>
              <w:t>232</w:t>
            </w:r>
          </w:p>
        </w:tc>
        <w:tc>
          <w:tcPr>
            <w:tcW w:w="1149" w:type="pct"/>
            <w:tcBorders>
              <w:top w:val="single" w:color="auto" w:sz="4" w:space="0"/>
              <w:left w:val="nil"/>
              <w:bottom w:val="nil"/>
              <w:right w:val="nil"/>
            </w:tcBorders>
          </w:tcPr>
          <w:p>
            <w:pPr>
              <w:pStyle w:val="30"/>
              <w:jc w:val="center"/>
            </w:pPr>
            <w:r>
              <w:rPr>
                <w:rFonts w:hint="eastAsia"/>
              </w:rPr>
              <w:t>232</w:t>
            </w:r>
          </w:p>
        </w:tc>
        <w:tc>
          <w:tcPr>
            <w:tcW w:w="1149" w:type="pct"/>
            <w:tcBorders>
              <w:top w:val="single" w:color="auto" w:sz="4" w:space="0"/>
              <w:left w:val="nil"/>
              <w:bottom w:val="nil"/>
              <w:right w:val="nil"/>
            </w:tcBorders>
          </w:tcPr>
          <w:p>
            <w:pPr>
              <w:pStyle w:val="30"/>
              <w:ind w:firstLine="480"/>
            </w:pPr>
            <w:r>
              <w:rPr>
                <w:rFonts w:hint="eastAsia"/>
              </w:rPr>
              <w:t>232</w:t>
            </w:r>
          </w:p>
        </w:tc>
      </w:tr>
      <w:tr>
        <w:tblPrEx>
          <w:tblCellMar>
            <w:top w:w="0" w:type="dxa"/>
            <w:left w:w="108" w:type="dxa"/>
            <w:bottom w:w="0" w:type="dxa"/>
            <w:right w:w="108" w:type="dxa"/>
          </w:tblCellMar>
        </w:tblPrEx>
        <w:trPr>
          <w:jc w:val="center"/>
        </w:trPr>
        <w:tc>
          <w:tcPr>
            <w:tcW w:w="1551" w:type="pct"/>
            <w:tcBorders>
              <w:top w:val="nil"/>
              <w:left w:val="nil"/>
              <w:bottom w:val="single" w:color="auto" w:sz="12" w:space="0"/>
              <w:right w:val="nil"/>
            </w:tcBorders>
          </w:tcPr>
          <w:p>
            <w:pPr>
              <w:pStyle w:val="30"/>
            </w:pPr>
            <w:r>
              <w:rPr>
                <w:rFonts w:hint="eastAsia"/>
              </w:rPr>
              <w:t>adj. R</w:t>
            </w:r>
            <w:r>
              <w:rPr>
                <w:rFonts w:hint="eastAsia"/>
                <w:vertAlign w:val="superscript"/>
              </w:rPr>
              <w:t>2</w:t>
            </w:r>
          </w:p>
        </w:tc>
        <w:tc>
          <w:tcPr>
            <w:tcW w:w="1149" w:type="pct"/>
            <w:tcBorders>
              <w:top w:val="nil"/>
              <w:left w:val="nil"/>
              <w:bottom w:val="single" w:color="auto" w:sz="12" w:space="0"/>
              <w:right w:val="nil"/>
            </w:tcBorders>
          </w:tcPr>
          <w:p>
            <w:pPr>
              <w:pStyle w:val="30"/>
              <w:jc w:val="center"/>
            </w:pPr>
            <w:r>
              <w:rPr>
                <w:rFonts w:hint="eastAsia"/>
              </w:rPr>
              <w:t>0.795</w:t>
            </w:r>
          </w:p>
        </w:tc>
        <w:tc>
          <w:tcPr>
            <w:tcW w:w="1149" w:type="pct"/>
            <w:tcBorders>
              <w:top w:val="nil"/>
              <w:left w:val="nil"/>
              <w:bottom w:val="single" w:color="auto" w:sz="12" w:space="0"/>
              <w:right w:val="nil"/>
            </w:tcBorders>
          </w:tcPr>
          <w:p>
            <w:pPr>
              <w:pStyle w:val="30"/>
              <w:jc w:val="center"/>
            </w:pPr>
            <w:r>
              <w:rPr>
                <w:rFonts w:hint="eastAsia"/>
              </w:rPr>
              <w:t>0.869</w:t>
            </w:r>
          </w:p>
        </w:tc>
        <w:tc>
          <w:tcPr>
            <w:tcW w:w="1149" w:type="pct"/>
            <w:tcBorders>
              <w:top w:val="nil"/>
              <w:left w:val="nil"/>
              <w:bottom w:val="single" w:color="auto" w:sz="12" w:space="0"/>
              <w:right w:val="nil"/>
            </w:tcBorders>
          </w:tcPr>
          <w:p>
            <w:pPr>
              <w:pStyle w:val="30"/>
              <w:ind w:firstLine="480"/>
            </w:pPr>
            <w:r>
              <w:rPr>
                <w:rFonts w:hint="eastAsia"/>
              </w:rPr>
              <w:t>0.831</w:t>
            </w:r>
          </w:p>
        </w:tc>
      </w:tr>
    </w:tbl>
    <w:p>
      <w:r>
        <w:br w:type="page"/>
      </w:r>
    </w:p>
    <w:p>
      <w:pPr>
        <w:pStyle w:val="3"/>
        <w:ind w:firstLine="480"/>
      </w:pPr>
      <w:r>
        <w:rPr>
          <w:rFonts w:hint="eastAsia"/>
        </w:rPr>
        <w:t>由</w:t>
      </w:r>
      <w:r>
        <w:t>（1）</w:t>
      </w:r>
      <w:r>
        <w:rPr>
          <w:rFonts w:hint="eastAsia"/>
        </w:rPr>
        <w:t>可知，</w:t>
      </w:r>
      <w:r>
        <w:t>Eventyear</w:t>
      </w:r>
      <w:r>
        <w:rPr>
          <w:rFonts w:hint="eastAsia"/>
        </w:rPr>
        <w:t>对滞后一期的</w:t>
      </w:r>
      <w:r>
        <w:t>TobinQ有</w:t>
      </w:r>
      <w:r>
        <w:rPr>
          <w:rFonts w:hint="eastAsia"/>
        </w:rPr>
        <w:t>显著的</w:t>
      </w:r>
      <w:r>
        <w:t>负向作用，即事件发生会导致企业在后续年度的价值下降</w:t>
      </w:r>
      <w:r>
        <w:rPr>
          <w:rFonts w:hint="eastAsia"/>
        </w:rPr>
        <w:t>，且</w:t>
      </w:r>
      <w:r>
        <w:t>负面环境信息披露影响企业价值的总效应为-0.36</w:t>
      </w:r>
      <w:r>
        <w:rPr>
          <w:rFonts w:hint="eastAsia"/>
        </w:rPr>
        <w:t>5</w:t>
      </w:r>
      <w:r>
        <w:t>。</w:t>
      </w:r>
    </w:p>
    <w:p>
      <w:pPr>
        <w:pStyle w:val="3"/>
        <w:ind w:firstLine="480"/>
      </w:pPr>
      <w:r>
        <w:rPr>
          <w:rFonts w:hint="eastAsia"/>
        </w:rPr>
        <w:t>由（2）</w:t>
      </w:r>
      <w:r>
        <w:t>我们可以发现，Eventyear的系数显著为负，这说明负面环境信息披露确实</w:t>
      </w:r>
      <w:r>
        <w:rPr>
          <w:rFonts w:hint="eastAsia"/>
        </w:rPr>
        <w:t>会使得</w:t>
      </w:r>
      <w:r>
        <w:t>后续年度的财务风险增加，与本文的理论预期相符。</w:t>
      </w:r>
    </w:p>
    <w:p>
      <w:pPr>
        <w:pStyle w:val="3"/>
        <w:ind w:firstLine="420" w:firstLineChars="0"/>
      </w:pPr>
      <w:r>
        <w:rPr>
          <w:rFonts w:hint="eastAsia"/>
        </w:rPr>
        <w:t>由（3）可知</w:t>
      </w:r>
      <w:r>
        <w:t>，</w:t>
      </w:r>
      <w:r>
        <w:rPr>
          <w:rFonts w:hint="eastAsia"/>
        </w:rPr>
        <w:t>滞后一期的</w:t>
      </w:r>
      <w:r>
        <w:t>Z（财务风险）的系数在1%的置信水平上显著为正，说明财务风险越大则企业价值越低；而Eventyear的系数</w:t>
      </w:r>
      <w:r>
        <w:rPr>
          <w:rFonts w:hint="eastAsia"/>
        </w:rPr>
        <w:t>在5</w:t>
      </w:r>
      <w:r>
        <w:t>%</w:t>
      </w:r>
      <w:r>
        <w:rPr>
          <w:rFonts w:hint="eastAsia"/>
        </w:rPr>
        <w:t>的水平上</w:t>
      </w:r>
      <w:r>
        <w:t>显著，</w:t>
      </w:r>
      <w:r>
        <w:rPr>
          <w:rFonts w:hint="eastAsia"/>
        </w:rPr>
        <w:t>同时由（1）中的</w:t>
      </w:r>
      <w:r>
        <w:t>-0.366</w:t>
      </w:r>
      <w:r>
        <w:rPr>
          <w:rFonts w:hint="eastAsia"/>
        </w:rPr>
        <w:t>上升到</w:t>
      </w:r>
      <w:r>
        <w:t>-0.</w:t>
      </w:r>
      <w:r>
        <w:rPr>
          <w:rFonts w:hint="eastAsia"/>
        </w:rPr>
        <w:t>182，</w:t>
      </w:r>
      <w:r>
        <w:t>说明财务风险对负面环境信息披露促使企业价值下降具有中介效应，并且是</w:t>
      </w:r>
      <w:r>
        <w:rPr>
          <w:rFonts w:hint="eastAsia"/>
        </w:rPr>
        <w:t>部分</w:t>
      </w:r>
      <w:r>
        <w:t>中介效应，其中中介效应为-0.1</w:t>
      </w:r>
      <w:r>
        <w:rPr>
          <w:rFonts w:hint="eastAsia"/>
        </w:rPr>
        <w:t>82</w:t>
      </w:r>
      <w:r>
        <w:t>，总效应为-0.36</w:t>
      </w:r>
      <w:r>
        <w:rPr>
          <w:rFonts w:hint="eastAsia"/>
        </w:rPr>
        <w:t>5</w:t>
      </w:r>
      <w:r>
        <w:t>，中介效应占比</w:t>
      </w:r>
      <w:r>
        <w:rPr>
          <w:rFonts w:hint="eastAsia"/>
        </w:rPr>
        <w:t>50.01</w:t>
      </w:r>
      <w:r>
        <w:t>%。</w:t>
      </w:r>
    </w:p>
    <w:p>
      <w:pPr>
        <w:pStyle w:val="3"/>
        <w:ind w:firstLine="480"/>
      </w:pPr>
      <w:r>
        <w:t>综上所述，我们通过实证检验了负面环境信息披露会使得企业后续年度的财务风险上升，也发现了财务风险越大则企业价值越低，因此假设2得以验证，即企业负面环境信息披露通过影响企业的财务风险来影响企业价值。</w:t>
      </w:r>
    </w:p>
    <w:p>
      <w:pPr>
        <w:pStyle w:val="5"/>
        <w:spacing w:before="0" w:after="0" w:line="480" w:lineRule="auto"/>
      </w:pPr>
      <w:bookmarkStart w:id="137" w:name="_Toc104983868"/>
      <w:bookmarkStart w:id="138" w:name="_Toc104210871"/>
      <w:bookmarkStart w:id="139" w:name="_Toc104216163"/>
      <w:r>
        <w:rPr>
          <w:rFonts w:hint="eastAsia"/>
        </w:rPr>
        <w:t>Sobel检验</w:t>
      </w:r>
      <w:bookmarkEnd w:id="137"/>
    </w:p>
    <w:p>
      <w:pPr>
        <w:pStyle w:val="3"/>
        <w:ind w:firstLine="480"/>
      </w:pPr>
      <w:r>
        <w:rPr>
          <w:rFonts w:hint="eastAsia"/>
        </w:rPr>
        <w:t>本文采用Sobel-Goodman检验法对中介效应进行更为严格的检验。</w:t>
      </w:r>
    </w:p>
    <w:p>
      <w:pPr>
        <w:pStyle w:val="3"/>
        <w:ind w:firstLine="480"/>
      </w:pPr>
      <w:r>
        <w:rPr>
          <w:rFonts w:hint="eastAsia"/>
        </w:rPr>
        <w:t>如表5</w:t>
      </w:r>
      <w:r>
        <w:t>-</w:t>
      </w:r>
      <w:r>
        <w:rPr>
          <w:rFonts w:hint="eastAsia"/>
        </w:rPr>
        <w:t>6所示， Sobel检验与Goodman检验的中介效应系数均在1</w:t>
      </w:r>
      <w:r>
        <w:t>%</w:t>
      </w:r>
      <w:r>
        <w:rPr>
          <w:rFonts w:hint="eastAsia"/>
        </w:rPr>
        <w:t>的水平上显著，说明中介效应确实存在，中介效应占比为间接效应/总效应=50.01</w:t>
      </w:r>
      <w:r>
        <w:t>%</w:t>
      </w:r>
      <w:r>
        <w:rPr>
          <w:rFonts w:hint="eastAsia"/>
        </w:rPr>
        <w:t>。</w:t>
      </w:r>
    </w:p>
    <w:p>
      <w:pPr>
        <w:pStyle w:val="28"/>
        <w:spacing w:line="360" w:lineRule="auto"/>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rPr>
          <w:rFonts w:hint="eastAsia"/>
        </w:rPr>
        <w:t>-6</w:t>
      </w:r>
      <w:r>
        <w:t xml:space="preserve">  Sobel-Goodman</w:t>
      </w:r>
      <w:r>
        <w:rPr>
          <w:rFonts w:hint="eastAsia"/>
        </w:rPr>
        <w:t>中介效应检验</w:t>
      </w:r>
    </w:p>
    <w:tbl>
      <w:tblPr>
        <w:tblStyle w:val="17"/>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366"/>
        <w:gridCol w:w="2336"/>
        <w:gridCol w:w="1802"/>
        <w:gridCol w:w="1802"/>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366" w:type="dxa"/>
          </w:tcPr>
          <w:p>
            <w:pPr>
              <w:pStyle w:val="3"/>
              <w:ind w:firstLine="0" w:firstLineChars="0"/>
              <w:jc w:val="center"/>
              <w:rPr>
                <w:rFonts w:eastAsia="宋体" w:cs="Times New Roman"/>
                <w:sz w:val="21"/>
              </w:rPr>
            </w:pPr>
          </w:p>
        </w:tc>
        <w:tc>
          <w:tcPr>
            <w:tcW w:w="2336" w:type="dxa"/>
          </w:tcPr>
          <w:p>
            <w:pPr>
              <w:pStyle w:val="3"/>
              <w:ind w:firstLine="0" w:firstLineChars="0"/>
              <w:jc w:val="center"/>
              <w:rPr>
                <w:rFonts w:eastAsia="宋体" w:cs="Times New Roman"/>
                <w:sz w:val="21"/>
              </w:rPr>
            </w:pPr>
            <w:r>
              <w:rPr>
                <w:rFonts w:hint="eastAsia" w:eastAsia="宋体" w:cs="Times New Roman"/>
                <w:sz w:val="21"/>
              </w:rPr>
              <w:t>系数</w:t>
            </w:r>
          </w:p>
        </w:tc>
        <w:tc>
          <w:tcPr>
            <w:tcW w:w="1802" w:type="dxa"/>
          </w:tcPr>
          <w:p>
            <w:pPr>
              <w:pStyle w:val="3"/>
              <w:ind w:firstLine="0" w:firstLineChars="0"/>
              <w:jc w:val="center"/>
              <w:rPr>
                <w:rFonts w:eastAsia="宋体" w:cs="Times New Roman"/>
                <w:sz w:val="21"/>
              </w:rPr>
            </w:pPr>
            <w:r>
              <w:rPr>
                <w:rFonts w:hint="eastAsia" w:eastAsia="宋体" w:cs="Times New Roman"/>
                <w:sz w:val="21"/>
              </w:rPr>
              <w:t>Z</w:t>
            </w:r>
          </w:p>
        </w:tc>
        <w:tc>
          <w:tcPr>
            <w:tcW w:w="1802" w:type="dxa"/>
          </w:tcPr>
          <w:p>
            <w:pPr>
              <w:pStyle w:val="3"/>
              <w:ind w:firstLine="0" w:firstLineChars="0"/>
              <w:jc w:val="center"/>
              <w:rPr>
                <w:rFonts w:eastAsia="宋体" w:cs="Times New Roman"/>
                <w:sz w:val="21"/>
              </w:rPr>
            </w:pPr>
            <w:r>
              <w:rPr>
                <w:rFonts w:hint="eastAsia" w:eastAsia="宋体" w:cs="Times New Roman"/>
                <w:sz w:val="21"/>
              </w:rPr>
              <w:t>P&gt;|Z|</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366" w:type="dxa"/>
          </w:tcPr>
          <w:p>
            <w:pPr>
              <w:pStyle w:val="3"/>
              <w:ind w:firstLine="0" w:firstLineChars="0"/>
              <w:jc w:val="center"/>
              <w:rPr>
                <w:rFonts w:eastAsia="宋体" w:cs="Times New Roman"/>
                <w:sz w:val="21"/>
              </w:rPr>
            </w:pPr>
            <w:r>
              <w:rPr>
                <w:rFonts w:hint="eastAsia" w:eastAsia="宋体" w:cs="Times New Roman"/>
                <w:sz w:val="21"/>
              </w:rPr>
              <w:t>Sobel检验</w:t>
            </w:r>
          </w:p>
        </w:tc>
        <w:tc>
          <w:tcPr>
            <w:tcW w:w="2336" w:type="dxa"/>
          </w:tcPr>
          <w:p>
            <w:pPr>
              <w:pStyle w:val="3"/>
              <w:ind w:firstLine="0" w:firstLineChars="0"/>
              <w:jc w:val="center"/>
              <w:rPr>
                <w:rFonts w:eastAsia="宋体" w:cs="Times New Roman"/>
                <w:sz w:val="21"/>
              </w:rPr>
            </w:pPr>
            <w:r>
              <w:rPr>
                <w:rFonts w:hint="eastAsia" w:eastAsia="宋体" w:cs="Times New Roman"/>
                <w:sz w:val="21"/>
              </w:rPr>
              <w:t>-0.182***</w:t>
            </w:r>
          </w:p>
        </w:tc>
        <w:tc>
          <w:tcPr>
            <w:tcW w:w="1802" w:type="dxa"/>
          </w:tcPr>
          <w:p>
            <w:pPr>
              <w:pStyle w:val="3"/>
              <w:ind w:firstLine="0" w:firstLineChars="0"/>
              <w:jc w:val="center"/>
              <w:rPr>
                <w:rFonts w:eastAsia="宋体" w:cs="Times New Roman"/>
                <w:sz w:val="21"/>
              </w:rPr>
            </w:pPr>
            <w:r>
              <w:rPr>
                <w:rFonts w:hint="eastAsia" w:eastAsia="宋体" w:cs="Times New Roman"/>
                <w:sz w:val="21"/>
              </w:rPr>
              <w:t>-2.883</w:t>
            </w:r>
          </w:p>
        </w:tc>
        <w:tc>
          <w:tcPr>
            <w:tcW w:w="1802" w:type="dxa"/>
          </w:tcPr>
          <w:p>
            <w:pPr>
              <w:pStyle w:val="3"/>
              <w:ind w:firstLine="0" w:firstLineChars="0"/>
              <w:jc w:val="center"/>
              <w:rPr>
                <w:rFonts w:eastAsia="宋体" w:cs="Times New Roman"/>
                <w:sz w:val="21"/>
              </w:rPr>
            </w:pPr>
            <w:r>
              <w:rPr>
                <w:rFonts w:hint="eastAsia" w:eastAsia="宋体" w:cs="Times New Roman"/>
                <w:sz w:val="21"/>
              </w:rPr>
              <w:t>0.003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c>
          <w:tcPr>
            <w:tcW w:w="2366" w:type="dxa"/>
          </w:tcPr>
          <w:p>
            <w:pPr>
              <w:pStyle w:val="3"/>
              <w:ind w:firstLine="0" w:firstLineChars="0"/>
              <w:jc w:val="center"/>
              <w:rPr>
                <w:rFonts w:eastAsia="宋体" w:cs="Times New Roman"/>
                <w:sz w:val="21"/>
              </w:rPr>
            </w:pPr>
            <w:r>
              <w:rPr>
                <w:rFonts w:hint="eastAsia" w:eastAsia="宋体" w:cs="Times New Roman"/>
                <w:sz w:val="21"/>
              </w:rPr>
              <w:t>Goodman检验1</w:t>
            </w:r>
          </w:p>
        </w:tc>
        <w:tc>
          <w:tcPr>
            <w:tcW w:w="2336" w:type="dxa"/>
          </w:tcPr>
          <w:p>
            <w:pPr>
              <w:pStyle w:val="3"/>
              <w:ind w:firstLine="0" w:firstLineChars="0"/>
              <w:jc w:val="center"/>
              <w:rPr>
                <w:rFonts w:eastAsia="宋体" w:cs="Times New Roman"/>
                <w:sz w:val="21"/>
              </w:rPr>
            </w:pPr>
            <w:r>
              <w:rPr>
                <w:rFonts w:hint="eastAsia" w:eastAsia="宋体" w:cs="Times New Roman"/>
                <w:sz w:val="21"/>
              </w:rPr>
              <w:t>-0.182***</w:t>
            </w:r>
          </w:p>
        </w:tc>
        <w:tc>
          <w:tcPr>
            <w:tcW w:w="1802" w:type="dxa"/>
          </w:tcPr>
          <w:p>
            <w:pPr>
              <w:pStyle w:val="3"/>
              <w:ind w:firstLine="0" w:firstLineChars="0"/>
              <w:jc w:val="center"/>
              <w:rPr>
                <w:rFonts w:eastAsia="宋体" w:cs="Times New Roman"/>
                <w:sz w:val="21"/>
              </w:rPr>
            </w:pPr>
            <w:r>
              <w:rPr>
                <w:rFonts w:hint="eastAsia" w:eastAsia="宋体" w:cs="Times New Roman"/>
                <w:sz w:val="21"/>
              </w:rPr>
              <w:t>-2.869</w:t>
            </w:r>
          </w:p>
        </w:tc>
        <w:tc>
          <w:tcPr>
            <w:tcW w:w="1802" w:type="dxa"/>
          </w:tcPr>
          <w:p>
            <w:pPr>
              <w:pStyle w:val="3"/>
              <w:ind w:firstLine="0" w:firstLineChars="0"/>
              <w:jc w:val="center"/>
              <w:rPr>
                <w:rFonts w:eastAsia="宋体" w:cs="Times New Roman"/>
                <w:sz w:val="21"/>
              </w:rPr>
            </w:pPr>
            <w:r>
              <w:rPr>
                <w:rFonts w:hint="eastAsia" w:eastAsia="宋体" w:cs="Times New Roman"/>
                <w:sz w:val="21"/>
              </w:rPr>
              <w:t>0.004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366" w:type="dxa"/>
          </w:tcPr>
          <w:p>
            <w:pPr>
              <w:pStyle w:val="3"/>
              <w:ind w:firstLine="0" w:firstLineChars="0"/>
              <w:jc w:val="center"/>
              <w:rPr>
                <w:rFonts w:eastAsia="宋体" w:cs="Times New Roman"/>
                <w:sz w:val="21"/>
              </w:rPr>
            </w:pPr>
            <w:r>
              <w:rPr>
                <w:rFonts w:hint="eastAsia" w:eastAsia="宋体" w:cs="Times New Roman"/>
                <w:sz w:val="21"/>
              </w:rPr>
              <w:t>Goodman检验2</w:t>
            </w:r>
          </w:p>
        </w:tc>
        <w:tc>
          <w:tcPr>
            <w:tcW w:w="2336" w:type="dxa"/>
          </w:tcPr>
          <w:p>
            <w:pPr>
              <w:pStyle w:val="3"/>
              <w:ind w:firstLine="0" w:firstLineChars="0"/>
              <w:jc w:val="center"/>
              <w:rPr>
                <w:rFonts w:eastAsia="宋体" w:cs="Times New Roman"/>
                <w:sz w:val="21"/>
              </w:rPr>
            </w:pPr>
            <w:r>
              <w:rPr>
                <w:rFonts w:hint="eastAsia" w:eastAsia="宋体" w:cs="Times New Roman"/>
                <w:sz w:val="21"/>
              </w:rPr>
              <w:t>-0.182***</w:t>
            </w:r>
          </w:p>
        </w:tc>
        <w:tc>
          <w:tcPr>
            <w:tcW w:w="1802" w:type="dxa"/>
          </w:tcPr>
          <w:p>
            <w:pPr>
              <w:pStyle w:val="3"/>
              <w:ind w:firstLine="0" w:firstLineChars="0"/>
              <w:jc w:val="center"/>
              <w:rPr>
                <w:rFonts w:eastAsia="宋体" w:cs="Times New Roman"/>
                <w:sz w:val="21"/>
              </w:rPr>
            </w:pPr>
            <w:r>
              <w:rPr>
                <w:rFonts w:hint="eastAsia" w:eastAsia="宋体" w:cs="Times New Roman"/>
                <w:sz w:val="21"/>
              </w:rPr>
              <w:t>-2.898</w:t>
            </w:r>
          </w:p>
        </w:tc>
        <w:tc>
          <w:tcPr>
            <w:tcW w:w="1802" w:type="dxa"/>
          </w:tcPr>
          <w:p>
            <w:pPr>
              <w:pStyle w:val="3"/>
              <w:ind w:firstLine="0" w:firstLineChars="0"/>
              <w:jc w:val="center"/>
              <w:rPr>
                <w:rFonts w:eastAsia="宋体" w:cs="Times New Roman"/>
                <w:sz w:val="21"/>
              </w:rPr>
            </w:pPr>
            <w:r>
              <w:rPr>
                <w:rFonts w:hint="eastAsia" w:eastAsia="宋体" w:cs="Times New Roman"/>
                <w:sz w:val="21"/>
              </w:rPr>
              <w:t>0.003</w:t>
            </w:r>
          </w:p>
        </w:tc>
      </w:tr>
    </w:tbl>
    <w:p>
      <w:pPr>
        <w:pStyle w:val="5"/>
        <w:spacing w:before="0" w:after="0" w:line="480" w:lineRule="auto"/>
      </w:pPr>
      <w:bookmarkStart w:id="140" w:name="_Toc104983869"/>
      <w:r>
        <w:rPr>
          <w:rFonts w:hint="eastAsia"/>
        </w:rPr>
        <w:t>Bootstrap检验</w:t>
      </w:r>
      <w:bookmarkEnd w:id="140"/>
    </w:p>
    <w:p>
      <w:pPr>
        <w:pStyle w:val="3"/>
        <w:ind w:firstLine="480"/>
      </w:pPr>
      <w:r>
        <w:rPr>
          <w:rFonts w:hint="eastAsia"/>
        </w:rPr>
        <w:t>本文采用自抽样</w:t>
      </w:r>
      <w:r>
        <w:t>2</w:t>
      </w:r>
      <w:r>
        <w:rPr>
          <w:rFonts w:hint="eastAsia"/>
        </w:rPr>
        <w:t>000次后进行回归估计，表5</w:t>
      </w:r>
      <w:r>
        <w:t>-</w:t>
      </w:r>
      <w:r>
        <w:rPr>
          <w:rFonts w:hint="eastAsia"/>
        </w:rPr>
        <w:t>7为Bootstrap法的中介效应检验结果。我们发现中介效应的系数为</w:t>
      </w:r>
      <w:r>
        <w:t>-0.</w:t>
      </w:r>
      <w:r>
        <w:rPr>
          <w:rFonts w:hint="eastAsia"/>
        </w:rPr>
        <w:t>182且在</w:t>
      </w:r>
      <w:r>
        <w:t>5</w:t>
      </w:r>
      <w:r>
        <w:rPr>
          <w:rFonts w:hint="eastAsia"/>
        </w:rPr>
        <w:t>%的水平上显著，说明中介效应存在。经计算可得到总效应=间接效应+直接效应=</w:t>
      </w:r>
      <w:r>
        <w:t>-0.36</w:t>
      </w:r>
      <w:r>
        <w:rPr>
          <w:rFonts w:hint="eastAsia"/>
        </w:rPr>
        <w:t>5；中介效应占比为间接效应/总效应=50.01</w:t>
      </w:r>
      <w:r>
        <w:t>%</w:t>
      </w:r>
      <w:r>
        <w:rPr>
          <w:rFonts w:hint="eastAsia"/>
        </w:rPr>
        <w:t>，与Sobel检验中得到的结果一致。</w:t>
      </w:r>
    </w:p>
    <w:p>
      <w:pPr>
        <w:pStyle w:val="28"/>
        <w:spacing w:line="360" w:lineRule="auto"/>
      </w:pPr>
    </w:p>
    <w:p>
      <w:pPr>
        <w:pStyle w:val="28"/>
        <w:spacing w:line="360" w:lineRule="auto"/>
      </w:pPr>
    </w:p>
    <w:p>
      <w:pPr>
        <w:pStyle w:val="28"/>
        <w:spacing w:line="360" w:lineRule="auto"/>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rPr>
          <w:rFonts w:hint="eastAsia"/>
        </w:rPr>
        <w:t>-7</w:t>
      </w:r>
      <w:r>
        <w:t xml:space="preserve">  </w:t>
      </w:r>
      <w:r>
        <w:rPr>
          <w:rFonts w:hint="eastAsia"/>
        </w:rPr>
        <w:t>Bootstrap检验结果</w:t>
      </w:r>
    </w:p>
    <w:tbl>
      <w:tblPr>
        <w:tblStyle w:val="17"/>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366"/>
        <w:gridCol w:w="2336"/>
        <w:gridCol w:w="1802"/>
        <w:gridCol w:w="1802"/>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366" w:type="dxa"/>
          </w:tcPr>
          <w:p>
            <w:pPr>
              <w:pStyle w:val="3"/>
              <w:ind w:firstLine="0" w:firstLineChars="0"/>
              <w:jc w:val="center"/>
              <w:rPr>
                <w:rFonts w:eastAsia="宋体" w:cs="Times New Roman"/>
                <w:sz w:val="21"/>
              </w:rPr>
            </w:pPr>
          </w:p>
        </w:tc>
        <w:tc>
          <w:tcPr>
            <w:tcW w:w="2336" w:type="dxa"/>
          </w:tcPr>
          <w:p>
            <w:pPr>
              <w:pStyle w:val="3"/>
              <w:ind w:firstLine="0" w:firstLineChars="0"/>
              <w:jc w:val="center"/>
              <w:rPr>
                <w:rFonts w:eastAsia="宋体" w:cs="Times New Roman"/>
                <w:sz w:val="21"/>
              </w:rPr>
            </w:pPr>
            <w:r>
              <w:rPr>
                <w:rFonts w:hint="eastAsia" w:eastAsia="宋体" w:cs="Times New Roman"/>
                <w:sz w:val="21"/>
              </w:rPr>
              <w:t>系数</w:t>
            </w:r>
          </w:p>
        </w:tc>
        <w:tc>
          <w:tcPr>
            <w:tcW w:w="1802" w:type="dxa"/>
          </w:tcPr>
          <w:p>
            <w:pPr>
              <w:pStyle w:val="3"/>
              <w:ind w:firstLine="0" w:firstLineChars="0"/>
              <w:jc w:val="center"/>
              <w:rPr>
                <w:rFonts w:eastAsia="宋体" w:cs="Times New Roman"/>
                <w:sz w:val="21"/>
              </w:rPr>
            </w:pPr>
            <w:r>
              <w:rPr>
                <w:rFonts w:hint="eastAsia" w:eastAsia="宋体" w:cs="Times New Roman"/>
                <w:sz w:val="21"/>
              </w:rPr>
              <w:t>Z</w:t>
            </w:r>
          </w:p>
        </w:tc>
        <w:tc>
          <w:tcPr>
            <w:tcW w:w="1802" w:type="dxa"/>
          </w:tcPr>
          <w:p>
            <w:pPr>
              <w:pStyle w:val="3"/>
              <w:ind w:firstLine="0" w:firstLineChars="0"/>
              <w:jc w:val="center"/>
              <w:rPr>
                <w:rFonts w:eastAsia="宋体" w:cs="Times New Roman"/>
                <w:sz w:val="21"/>
              </w:rPr>
            </w:pPr>
            <w:r>
              <w:rPr>
                <w:rFonts w:hint="eastAsia" w:eastAsia="宋体" w:cs="Times New Roman"/>
                <w:sz w:val="21"/>
              </w:rPr>
              <w:t>P&gt;|Z|</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366" w:type="dxa"/>
          </w:tcPr>
          <w:p>
            <w:pPr>
              <w:pStyle w:val="3"/>
              <w:ind w:firstLine="0" w:firstLineChars="0"/>
              <w:jc w:val="center"/>
              <w:rPr>
                <w:rFonts w:eastAsia="宋体" w:cs="Times New Roman"/>
                <w:sz w:val="21"/>
              </w:rPr>
            </w:pPr>
            <w:r>
              <w:rPr>
                <w:rFonts w:hint="eastAsia" w:eastAsia="宋体" w:cs="Times New Roman"/>
                <w:sz w:val="21"/>
              </w:rPr>
              <w:t>间接效应</w:t>
            </w:r>
          </w:p>
        </w:tc>
        <w:tc>
          <w:tcPr>
            <w:tcW w:w="2336" w:type="dxa"/>
          </w:tcPr>
          <w:p>
            <w:pPr>
              <w:pStyle w:val="3"/>
              <w:ind w:firstLine="0" w:firstLineChars="0"/>
              <w:jc w:val="center"/>
              <w:rPr>
                <w:rFonts w:eastAsia="宋体" w:cs="Times New Roman"/>
                <w:sz w:val="21"/>
              </w:rPr>
            </w:pPr>
            <w:r>
              <w:rPr>
                <w:rFonts w:hint="eastAsia" w:eastAsia="宋体" w:cs="Times New Roman"/>
                <w:sz w:val="21"/>
              </w:rPr>
              <w:t>-0.182**</w:t>
            </w:r>
          </w:p>
        </w:tc>
        <w:tc>
          <w:tcPr>
            <w:tcW w:w="1802" w:type="dxa"/>
          </w:tcPr>
          <w:p>
            <w:pPr>
              <w:pStyle w:val="3"/>
              <w:ind w:firstLine="0" w:firstLineChars="0"/>
              <w:jc w:val="center"/>
              <w:rPr>
                <w:rFonts w:eastAsia="宋体" w:cs="Times New Roman"/>
                <w:sz w:val="21"/>
              </w:rPr>
            </w:pPr>
            <w:r>
              <w:rPr>
                <w:rFonts w:hint="eastAsia" w:eastAsia="宋体" w:cs="Times New Roman"/>
                <w:sz w:val="21"/>
              </w:rPr>
              <w:t>-2.30</w:t>
            </w:r>
          </w:p>
        </w:tc>
        <w:tc>
          <w:tcPr>
            <w:tcW w:w="1802" w:type="dxa"/>
          </w:tcPr>
          <w:p>
            <w:pPr>
              <w:pStyle w:val="3"/>
              <w:ind w:firstLine="0" w:firstLineChars="0"/>
              <w:jc w:val="center"/>
              <w:rPr>
                <w:rFonts w:eastAsia="宋体" w:cs="Times New Roman"/>
                <w:sz w:val="21"/>
              </w:rPr>
            </w:pPr>
            <w:r>
              <w:rPr>
                <w:rFonts w:hint="eastAsia" w:eastAsia="宋体" w:cs="Times New Roman"/>
                <w:sz w:val="21"/>
              </w:rPr>
              <w:t>0.022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366" w:type="dxa"/>
          </w:tcPr>
          <w:p>
            <w:pPr>
              <w:pStyle w:val="3"/>
              <w:ind w:firstLine="0" w:firstLineChars="0"/>
              <w:jc w:val="center"/>
              <w:rPr>
                <w:rFonts w:eastAsia="宋体" w:cs="Times New Roman"/>
                <w:sz w:val="21"/>
              </w:rPr>
            </w:pPr>
            <w:r>
              <w:rPr>
                <w:rFonts w:hint="eastAsia" w:eastAsia="宋体" w:cs="Times New Roman"/>
                <w:sz w:val="21"/>
              </w:rPr>
              <w:t>直接效应</w:t>
            </w:r>
          </w:p>
        </w:tc>
        <w:tc>
          <w:tcPr>
            <w:tcW w:w="2336" w:type="dxa"/>
          </w:tcPr>
          <w:p>
            <w:pPr>
              <w:pStyle w:val="3"/>
              <w:ind w:firstLine="0" w:firstLineChars="0"/>
              <w:jc w:val="center"/>
              <w:rPr>
                <w:rFonts w:eastAsia="宋体" w:cs="Times New Roman"/>
                <w:sz w:val="21"/>
              </w:rPr>
            </w:pPr>
            <w:r>
              <w:rPr>
                <w:rFonts w:hint="eastAsia" w:eastAsia="宋体" w:cs="Times New Roman"/>
                <w:sz w:val="21"/>
              </w:rPr>
              <w:t>-0.182**</w:t>
            </w:r>
          </w:p>
        </w:tc>
        <w:tc>
          <w:tcPr>
            <w:tcW w:w="1802" w:type="dxa"/>
          </w:tcPr>
          <w:p>
            <w:pPr>
              <w:pStyle w:val="3"/>
              <w:ind w:firstLine="0" w:firstLineChars="0"/>
              <w:jc w:val="center"/>
              <w:rPr>
                <w:rFonts w:eastAsia="宋体" w:cs="Times New Roman"/>
                <w:sz w:val="21"/>
              </w:rPr>
            </w:pPr>
            <w:r>
              <w:rPr>
                <w:rFonts w:hint="eastAsia" w:eastAsia="宋体" w:cs="Times New Roman"/>
                <w:sz w:val="21"/>
              </w:rPr>
              <w:t>-2.16</w:t>
            </w:r>
          </w:p>
        </w:tc>
        <w:tc>
          <w:tcPr>
            <w:tcW w:w="1802" w:type="dxa"/>
          </w:tcPr>
          <w:p>
            <w:pPr>
              <w:pStyle w:val="3"/>
              <w:ind w:firstLine="0" w:firstLineChars="0"/>
              <w:jc w:val="center"/>
              <w:rPr>
                <w:rFonts w:eastAsia="宋体" w:cs="Times New Roman"/>
                <w:sz w:val="21"/>
              </w:rPr>
            </w:pPr>
            <w:r>
              <w:rPr>
                <w:rFonts w:hint="eastAsia" w:eastAsia="宋体" w:cs="Times New Roman"/>
                <w:sz w:val="21"/>
              </w:rPr>
              <w:t>0.031</w:t>
            </w:r>
          </w:p>
        </w:tc>
      </w:tr>
    </w:tbl>
    <w:p>
      <w:pPr>
        <w:pStyle w:val="4"/>
        <w:spacing w:before="156" w:beforeLines="50" w:after="156" w:afterLines="50" w:line="240" w:lineRule="auto"/>
        <w:ind w:left="567"/>
      </w:pPr>
      <w:bookmarkStart w:id="141" w:name="_Toc104983870"/>
      <w:r>
        <w:rPr>
          <w:rFonts w:hint="eastAsia"/>
        </w:rPr>
        <w:t>稳健性检验</w:t>
      </w:r>
      <w:bookmarkEnd w:id="138"/>
      <w:bookmarkEnd w:id="139"/>
      <w:bookmarkEnd w:id="141"/>
    </w:p>
    <w:p>
      <w:pPr>
        <w:pStyle w:val="5"/>
        <w:spacing w:before="0" w:after="0" w:line="480" w:lineRule="auto"/>
      </w:pPr>
      <w:bookmarkStart w:id="142" w:name="_Toc104265068"/>
      <w:bookmarkStart w:id="143" w:name="_Toc104983871"/>
      <w:bookmarkStart w:id="144" w:name="_Toc104264532"/>
      <w:bookmarkStart w:id="145" w:name="_Toc104264365"/>
      <w:bookmarkStart w:id="146" w:name="_Toc104221242"/>
      <w:r>
        <w:rPr>
          <w:rFonts w:hint="eastAsia"/>
        </w:rPr>
        <w:t>更换被解释变量的度量方式</w:t>
      </w:r>
      <w:bookmarkEnd w:id="142"/>
      <w:bookmarkEnd w:id="143"/>
      <w:bookmarkEnd w:id="144"/>
      <w:bookmarkEnd w:id="145"/>
    </w:p>
    <w:p>
      <w:pPr>
        <w:pStyle w:val="3"/>
        <w:ind w:firstLine="420" w:firstLineChars="0"/>
      </w:pPr>
      <w:r>
        <w:rPr>
          <w:rFonts w:hint="eastAsia"/>
        </w:rPr>
        <w:t>前文在计算TobinQ值时采用市值/资产的计算方式，为了减少为减少测量误差对回归结果的影响，参考罗婷等（2009）的做法，令TobinQ值等于公司市场价值与有形资产的比值，即市值/（资产总计-无形资产净额-商誉净额），并依据Soble检验，重新验证财务风险的中介作用。</w:t>
      </w:r>
    </w:p>
    <w:p>
      <w:pPr>
        <w:pStyle w:val="3"/>
        <w:ind w:firstLine="420" w:firstLineChars="0"/>
      </w:pPr>
      <w:r>
        <w:rPr>
          <w:rFonts w:hint="eastAsia"/>
        </w:rPr>
        <w:t>替换被解释变量后的Sobel</w:t>
      </w:r>
      <w:r>
        <w:t>-</w:t>
      </w:r>
      <w:r>
        <w:rPr>
          <w:rFonts w:hint="eastAsia"/>
        </w:rPr>
        <w:t>Goodman检验结果如表5-8所示，Sobel检验与Goodman检验的中介效应系数均在1</w:t>
      </w:r>
      <w:r>
        <w:t>%</w:t>
      </w:r>
      <w:r>
        <w:rPr>
          <w:rFonts w:hint="eastAsia"/>
        </w:rPr>
        <w:t>的水平上显著，说明中介效应成立。</w:t>
      </w:r>
    </w:p>
    <w:p>
      <w:pPr>
        <w:pStyle w:val="3"/>
        <w:ind w:firstLine="420" w:firstLineChars="0"/>
      </w:pPr>
      <w:r>
        <w:rPr>
          <w:rFonts w:hint="eastAsia"/>
        </w:rPr>
        <w:t>重新计算后的间接效应为</w:t>
      </w:r>
      <w:r>
        <w:t>-0.</w:t>
      </w:r>
      <w:r>
        <w:rPr>
          <w:rFonts w:hint="eastAsia"/>
        </w:rPr>
        <w:t>207，直接效应为</w:t>
      </w:r>
      <w:r>
        <w:t>-0.2</w:t>
      </w:r>
      <w:r>
        <w:rPr>
          <w:rFonts w:hint="eastAsia"/>
        </w:rPr>
        <w:t>03，总效应为两者之和，即-</w:t>
      </w:r>
      <w:r>
        <w:t>0.4</w:t>
      </w:r>
      <w:r>
        <w:rPr>
          <w:rFonts w:hint="eastAsia"/>
        </w:rPr>
        <w:t>10，中介效应占比为间接效应/总效应=50.57</w:t>
      </w:r>
      <w:r>
        <w:t>%</w:t>
      </w:r>
      <w:r>
        <w:rPr>
          <w:rFonts w:hint="eastAsia"/>
        </w:rPr>
        <w:t>。上述回归结果表明,基本结论依旧稳健。</w:t>
      </w:r>
    </w:p>
    <w:p>
      <w:pPr>
        <w:pStyle w:val="28"/>
        <w:spacing w:line="360" w:lineRule="auto"/>
        <w:ind w:left="840" w:hanging="420"/>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rPr>
          <w:rFonts w:hint="eastAsia"/>
        </w:rPr>
        <w:t>-8</w:t>
      </w:r>
      <w:r>
        <w:t xml:space="preserve"> </w:t>
      </w:r>
      <w:r>
        <w:rPr>
          <w:rFonts w:hint="eastAsia"/>
        </w:rPr>
        <w:t>替换被解释变量后的Sobel</w:t>
      </w:r>
      <w:r>
        <w:t>-</w:t>
      </w:r>
      <w:r>
        <w:rPr>
          <w:rFonts w:hint="eastAsia"/>
        </w:rPr>
        <w:t>Goodman检验结果</w:t>
      </w:r>
    </w:p>
    <w:tbl>
      <w:tblPr>
        <w:tblStyle w:val="17"/>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366"/>
        <w:gridCol w:w="2336"/>
        <w:gridCol w:w="1802"/>
        <w:gridCol w:w="1802"/>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366" w:type="dxa"/>
          </w:tcPr>
          <w:p>
            <w:pPr>
              <w:pStyle w:val="3"/>
              <w:ind w:firstLine="0" w:firstLineChars="0"/>
              <w:jc w:val="center"/>
              <w:rPr>
                <w:rFonts w:eastAsia="宋体" w:cs="Times New Roman"/>
                <w:sz w:val="21"/>
              </w:rPr>
            </w:pPr>
          </w:p>
        </w:tc>
        <w:tc>
          <w:tcPr>
            <w:tcW w:w="2336" w:type="dxa"/>
          </w:tcPr>
          <w:p>
            <w:pPr>
              <w:pStyle w:val="3"/>
              <w:ind w:firstLine="0" w:firstLineChars="0"/>
              <w:jc w:val="center"/>
              <w:rPr>
                <w:rFonts w:eastAsia="宋体" w:cs="Times New Roman"/>
                <w:sz w:val="21"/>
              </w:rPr>
            </w:pPr>
            <w:r>
              <w:rPr>
                <w:rFonts w:hint="eastAsia" w:eastAsia="宋体" w:cs="Times New Roman"/>
                <w:sz w:val="21"/>
              </w:rPr>
              <w:t>系数</w:t>
            </w:r>
          </w:p>
        </w:tc>
        <w:tc>
          <w:tcPr>
            <w:tcW w:w="1802" w:type="dxa"/>
          </w:tcPr>
          <w:p>
            <w:pPr>
              <w:pStyle w:val="3"/>
              <w:ind w:firstLine="0" w:firstLineChars="0"/>
              <w:jc w:val="center"/>
              <w:rPr>
                <w:rFonts w:eastAsia="宋体" w:cs="Times New Roman"/>
                <w:sz w:val="21"/>
              </w:rPr>
            </w:pPr>
            <w:r>
              <w:rPr>
                <w:rFonts w:hint="eastAsia" w:eastAsia="宋体" w:cs="Times New Roman"/>
                <w:sz w:val="21"/>
              </w:rPr>
              <w:t>Z</w:t>
            </w:r>
          </w:p>
        </w:tc>
        <w:tc>
          <w:tcPr>
            <w:tcW w:w="1802" w:type="dxa"/>
          </w:tcPr>
          <w:p>
            <w:pPr>
              <w:pStyle w:val="3"/>
              <w:ind w:firstLine="0" w:firstLineChars="0"/>
              <w:jc w:val="center"/>
              <w:rPr>
                <w:rFonts w:eastAsia="宋体" w:cs="Times New Roman"/>
                <w:sz w:val="21"/>
              </w:rPr>
            </w:pPr>
            <w:r>
              <w:rPr>
                <w:rFonts w:hint="eastAsia" w:eastAsia="宋体" w:cs="Times New Roman"/>
                <w:sz w:val="21"/>
              </w:rPr>
              <w:t>P&gt;|Z|</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366" w:type="dxa"/>
          </w:tcPr>
          <w:p>
            <w:pPr>
              <w:pStyle w:val="3"/>
              <w:ind w:firstLine="0" w:firstLineChars="0"/>
              <w:jc w:val="center"/>
              <w:rPr>
                <w:rFonts w:eastAsia="宋体" w:cs="Times New Roman"/>
                <w:sz w:val="21"/>
              </w:rPr>
            </w:pPr>
            <w:r>
              <w:rPr>
                <w:rFonts w:hint="eastAsia" w:eastAsia="宋体" w:cs="Times New Roman"/>
                <w:sz w:val="21"/>
              </w:rPr>
              <w:t>Sobel检验</w:t>
            </w:r>
          </w:p>
        </w:tc>
        <w:tc>
          <w:tcPr>
            <w:tcW w:w="2336" w:type="dxa"/>
          </w:tcPr>
          <w:p>
            <w:pPr>
              <w:pStyle w:val="3"/>
              <w:ind w:firstLine="0" w:firstLineChars="0"/>
              <w:jc w:val="center"/>
              <w:rPr>
                <w:rFonts w:eastAsia="宋体" w:cs="Times New Roman"/>
                <w:sz w:val="21"/>
              </w:rPr>
            </w:pPr>
            <w:r>
              <w:rPr>
                <w:rFonts w:hint="eastAsia" w:eastAsia="宋体" w:cs="Times New Roman"/>
                <w:sz w:val="21"/>
              </w:rPr>
              <w:t>-0.207***</w:t>
            </w:r>
          </w:p>
        </w:tc>
        <w:tc>
          <w:tcPr>
            <w:tcW w:w="1802" w:type="dxa"/>
          </w:tcPr>
          <w:p>
            <w:pPr>
              <w:pStyle w:val="3"/>
              <w:ind w:firstLine="0" w:firstLineChars="0"/>
              <w:jc w:val="center"/>
              <w:rPr>
                <w:rFonts w:eastAsia="宋体" w:cs="Times New Roman"/>
                <w:sz w:val="21"/>
              </w:rPr>
            </w:pPr>
            <w:r>
              <w:rPr>
                <w:rFonts w:hint="eastAsia" w:eastAsia="宋体" w:cs="Times New Roman"/>
                <w:sz w:val="21"/>
              </w:rPr>
              <w:t>-2.880</w:t>
            </w:r>
          </w:p>
        </w:tc>
        <w:tc>
          <w:tcPr>
            <w:tcW w:w="1802" w:type="dxa"/>
          </w:tcPr>
          <w:p>
            <w:pPr>
              <w:pStyle w:val="3"/>
              <w:ind w:firstLine="0" w:firstLineChars="0"/>
              <w:jc w:val="center"/>
              <w:rPr>
                <w:rFonts w:eastAsia="宋体" w:cs="Times New Roman"/>
                <w:sz w:val="21"/>
              </w:rPr>
            </w:pPr>
            <w:r>
              <w:rPr>
                <w:rFonts w:hint="eastAsia" w:eastAsia="宋体" w:cs="Times New Roman"/>
                <w:sz w:val="21"/>
              </w:rPr>
              <w:t>0.004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366" w:type="dxa"/>
          </w:tcPr>
          <w:p>
            <w:pPr>
              <w:pStyle w:val="3"/>
              <w:ind w:firstLine="0" w:firstLineChars="0"/>
              <w:jc w:val="center"/>
              <w:rPr>
                <w:rFonts w:eastAsia="宋体" w:cs="Times New Roman"/>
                <w:sz w:val="21"/>
              </w:rPr>
            </w:pPr>
            <w:r>
              <w:rPr>
                <w:rFonts w:hint="eastAsia" w:eastAsia="宋体" w:cs="Times New Roman"/>
                <w:sz w:val="21"/>
              </w:rPr>
              <w:t>Goodman检验1</w:t>
            </w:r>
          </w:p>
        </w:tc>
        <w:tc>
          <w:tcPr>
            <w:tcW w:w="2336" w:type="dxa"/>
          </w:tcPr>
          <w:p>
            <w:pPr>
              <w:pStyle w:val="3"/>
              <w:ind w:firstLine="0" w:firstLineChars="0"/>
              <w:jc w:val="center"/>
              <w:rPr>
                <w:rFonts w:eastAsia="宋体" w:cs="Times New Roman"/>
                <w:sz w:val="21"/>
              </w:rPr>
            </w:pPr>
            <w:r>
              <w:rPr>
                <w:rFonts w:hint="eastAsia" w:eastAsia="宋体" w:cs="Times New Roman"/>
                <w:sz w:val="21"/>
              </w:rPr>
              <w:t>-0.207***</w:t>
            </w:r>
          </w:p>
        </w:tc>
        <w:tc>
          <w:tcPr>
            <w:tcW w:w="1802" w:type="dxa"/>
          </w:tcPr>
          <w:p>
            <w:pPr>
              <w:pStyle w:val="3"/>
              <w:ind w:firstLine="0" w:firstLineChars="0"/>
              <w:jc w:val="center"/>
              <w:rPr>
                <w:rFonts w:eastAsia="宋体" w:cs="Times New Roman"/>
                <w:sz w:val="21"/>
              </w:rPr>
            </w:pPr>
            <w:r>
              <w:rPr>
                <w:rFonts w:hint="eastAsia" w:eastAsia="宋体" w:cs="Times New Roman"/>
                <w:sz w:val="21"/>
              </w:rPr>
              <w:t>-2.865</w:t>
            </w:r>
          </w:p>
        </w:tc>
        <w:tc>
          <w:tcPr>
            <w:tcW w:w="1802" w:type="dxa"/>
          </w:tcPr>
          <w:p>
            <w:pPr>
              <w:pStyle w:val="3"/>
              <w:ind w:firstLine="0" w:firstLineChars="0"/>
              <w:jc w:val="center"/>
              <w:rPr>
                <w:rFonts w:eastAsia="宋体" w:cs="Times New Roman"/>
                <w:sz w:val="21"/>
              </w:rPr>
            </w:pPr>
            <w:r>
              <w:rPr>
                <w:rFonts w:hint="eastAsia" w:eastAsia="宋体" w:cs="Times New Roman"/>
                <w:sz w:val="21"/>
              </w:rPr>
              <w:t>0.004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366" w:type="dxa"/>
          </w:tcPr>
          <w:p>
            <w:pPr>
              <w:pStyle w:val="3"/>
              <w:ind w:firstLine="0" w:firstLineChars="0"/>
              <w:jc w:val="center"/>
              <w:rPr>
                <w:rFonts w:eastAsia="宋体" w:cs="Times New Roman"/>
                <w:sz w:val="21"/>
              </w:rPr>
            </w:pPr>
            <w:r>
              <w:rPr>
                <w:rFonts w:hint="eastAsia" w:eastAsia="宋体" w:cs="Times New Roman"/>
                <w:sz w:val="21"/>
              </w:rPr>
              <w:t>Goodman检验2</w:t>
            </w:r>
          </w:p>
        </w:tc>
        <w:tc>
          <w:tcPr>
            <w:tcW w:w="2336" w:type="dxa"/>
          </w:tcPr>
          <w:p>
            <w:pPr>
              <w:pStyle w:val="3"/>
              <w:ind w:firstLine="0" w:firstLineChars="0"/>
              <w:jc w:val="center"/>
              <w:rPr>
                <w:rFonts w:eastAsia="宋体" w:cs="Times New Roman"/>
                <w:sz w:val="21"/>
              </w:rPr>
            </w:pPr>
            <w:r>
              <w:rPr>
                <w:rFonts w:hint="eastAsia" w:eastAsia="宋体" w:cs="Times New Roman"/>
                <w:sz w:val="21"/>
              </w:rPr>
              <w:t>-0.207***</w:t>
            </w:r>
          </w:p>
        </w:tc>
        <w:tc>
          <w:tcPr>
            <w:tcW w:w="1802" w:type="dxa"/>
          </w:tcPr>
          <w:p>
            <w:pPr>
              <w:pStyle w:val="3"/>
              <w:ind w:firstLine="0" w:firstLineChars="0"/>
              <w:jc w:val="center"/>
              <w:rPr>
                <w:rFonts w:eastAsia="宋体" w:cs="Times New Roman"/>
                <w:sz w:val="21"/>
              </w:rPr>
            </w:pPr>
            <w:r>
              <w:rPr>
                <w:rFonts w:hint="eastAsia" w:eastAsia="宋体" w:cs="Times New Roman"/>
                <w:sz w:val="21"/>
              </w:rPr>
              <w:t>-2.894</w:t>
            </w:r>
          </w:p>
        </w:tc>
        <w:tc>
          <w:tcPr>
            <w:tcW w:w="1802" w:type="dxa"/>
          </w:tcPr>
          <w:p>
            <w:pPr>
              <w:pStyle w:val="3"/>
              <w:ind w:firstLine="0" w:firstLineChars="0"/>
              <w:jc w:val="center"/>
              <w:rPr>
                <w:rFonts w:eastAsia="宋体" w:cs="Times New Roman"/>
                <w:sz w:val="21"/>
              </w:rPr>
            </w:pPr>
            <w:r>
              <w:rPr>
                <w:rFonts w:hint="eastAsia" w:eastAsia="宋体" w:cs="Times New Roman"/>
                <w:sz w:val="21"/>
              </w:rPr>
              <w:t>0.004</w:t>
            </w:r>
          </w:p>
        </w:tc>
      </w:tr>
    </w:tbl>
    <w:p>
      <w:pPr>
        <w:pStyle w:val="5"/>
        <w:spacing w:before="0" w:after="0" w:line="480" w:lineRule="auto"/>
      </w:pPr>
      <w:bookmarkStart w:id="147" w:name="_Toc104264366"/>
      <w:bookmarkStart w:id="148" w:name="_Toc104265069"/>
      <w:bookmarkStart w:id="149" w:name="_Toc104983872"/>
      <w:bookmarkStart w:id="150" w:name="_Toc104264533"/>
      <w:r>
        <w:t>安慰剂检验</w:t>
      </w:r>
      <w:bookmarkEnd w:id="146"/>
      <w:bookmarkEnd w:id="147"/>
      <w:bookmarkEnd w:id="148"/>
      <w:bookmarkEnd w:id="149"/>
      <w:bookmarkEnd w:id="150"/>
    </w:p>
    <w:p>
      <w:pPr>
        <w:pStyle w:val="3"/>
        <w:ind w:firstLine="480"/>
      </w:pPr>
      <w:r>
        <w:t>参考唐松等（2019）的方法进行安慰剂检验，为克服时间趋势可能带来的影响，虚构了一个事件年份，将事件真实发生的前一年记为Fakeyear，设置虚拟变量为1，之前的年份设置为0。因为将时间提前了一年，那么理论上事件冲击的影响应该不显著。重新进行回归，结果如表5-</w:t>
      </w:r>
      <w:r>
        <w:rPr>
          <w:rFonts w:hint="eastAsia"/>
        </w:rPr>
        <w:t>9</w:t>
      </w:r>
      <w:r>
        <w:t>、5-</w:t>
      </w:r>
      <w:r>
        <w:rPr>
          <w:rFonts w:hint="eastAsia"/>
        </w:rPr>
        <w:t>10</w:t>
      </w:r>
      <w:r>
        <w:t>所示。</w:t>
      </w:r>
    </w:p>
    <w:p>
      <w:pPr>
        <w:pStyle w:val="3"/>
        <w:ind w:firstLine="480"/>
      </w:pPr>
      <w:r>
        <w:t>我们发现无论在何种模型下，Fakeyear的系数并不显著，说明企业价值与财务风险的变化是由于事件的发生，而非自然时间趋势带来的，这与本文的预期相符。</w:t>
      </w:r>
    </w:p>
    <w:p>
      <w:pPr>
        <w:pStyle w:val="28"/>
        <w:spacing w:line="360" w:lineRule="auto"/>
        <w:ind w:left="840" w:hanging="420"/>
      </w:pPr>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t>5</w:t>
      </w:r>
      <w:r>
        <w:rPr>
          <w:rFonts w:hint="eastAsia"/>
        </w:rPr>
        <w:fldChar w:fldCharType="end"/>
      </w:r>
      <w:bookmarkStart w:id="151" w:name="_Toc13545"/>
      <w:r>
        <w:rPr>
          <w:rFonts w:hint="eastAsia"/>
        </w:rPr>
        <w:t>-9 企业负面环境信息披露与企业价值的安慰剂检验</w:t>
      </w:r>
      <w:bookmarkEnd w:id="151"/>
    </w:p>
    <w:tbl>
      <w:tblPr>
        <w:tblStyle w:val="16"/>
        <w:tblW w:w="4998" w:type="pct"/>
        <w:jc w:val="center"/>
        <w:tblLayout w:type="autofit"/>
        <w:tblCellMar>
          <w:top w:w="0" w:type="dxa"/>
          <w:left w:w="108" w:type="dxa"/>
          <w:bottom w:w="0" w:type="dxa"/>
          <w:right w:w="108" w:type="dxa"/>
        </w:tblCellMar>
      </w:tblPr>
      <w:tblGrid>
        <w:gridCol w:w="2147"/>
        <w:gridCol w:w="1590"/>
        <w:gridCol w:w="1590"/>
        <w:gridCol w:w="1592"/>
        <w:gridCol w:w="1600"/>
      </w:tblGrid>
      <w:tr>
        <w:tblPrEx>
          <w:tblCellMar>
            <w:top w:w="0" w:type="dxa"/>
            <w:left w:w="108" w:type="dxa"/>
            <w:bottom w:w="0" w:type="dxa"/>
            <w:right w:w="108" w:type="dxa"/>
          </w:tblCellMar>
        </w:tblPrEx>
        <w:trPr>
          <w:jc w:val="center"/>
        </w:trPr>
        <w:tc>
          <w:tcPr>
            <w:tcW w:w="1260" w:type="pct"/>
            <w:vMerge w:val="restart"/>
            <w:tcBorders>
              <w:top w:val="single" w:color="auto" w:sz="12" w:space="0"/>
              <w:left w:val="nil"/>
              <w:right w:val="nil"/>
            </w:tcBorders>
            <w:vAlign w:val="center"/>
          </w:tcPr>
          <w:p>
            <w:pPr>
              <w:pStyle w:val="30"/>
            </w:pPr>
            <w:r>
              <w:rPr>
                <w:rFonts w:hint="eastAsia"/>
              </w:rPr>
              <w:t>VARIABLES</w:t>
            </w:r>
          </w:p>
        </w:tc>
        <w:tc>
          <w:tcPr>
            <w:tcW w:w="3739" w:type="pct"/>
            <w:gridSpan w:val="4"/>
            <w:tcBorders>
              <w:top w:val="single" w:color="auto" w:sz="12" w:space="0"/>
              <w:left w:val="nil"/>
              <w:bottom w:val="single" w:color="auto" w:sz="4" w:space="0"/>
              <w:right w:val="nil"/>
            </w:tcBorders>
          </w:tcPr>
          <w:p>
            <w:pPr>
              <w:pStyle w:val="30"/>
              <w:ind w:firstLine="440"/>
              <w:jc w:val="center"/>
              <w:rPr>
                <w:sz w:val="20"/>
              </w:rPr>
            </w:pPr>
            <w:r>
              <w:rPr>
                <w:rFonts w:hint="eastAsia"/>
                <w:sz w:val="22"/>
                <w:szCs w:val="22"/>
              </w:rPr>
              <w:t>L.TobinQ</w:t>
            </w:r>
          </w:p>
        </w:tc>
      </w:tr>
      <w:tr>
        <w:tblPrEx>
          <w:tblCellMar>
            <w:top w:w="0" w:type="dxa"/>
            <w:left w:w="108" w:type="dxa"/>
            <w:bottom w:w="0" w:type="dxa"/>
            <w:right w:w="108" w:type="dxa"/>
          </w:tblCellMar>
        </w:tblPrEx>
        <w:trPr>
          <w:jc w:val="center"/>
        </w:trPr>
        <w:tc>
          <w:tcPr>
            <w:tcW w:w="1260" w:type="pct"/>
            <w:vMerge w:val="continue"/>
            <w:tcBorders>
              <w:left w:val="nil"/>
              <w:bottom w:val="single" w:color="auto" w:sz="4" w:space="0"/>
              <w:right w:val="nil"/>
            </w:tcBorders>
          </w:tcPr>
          <w:p>
            <w:pPr>
              <w:pStyle w:val="30"/>
              <w:ind w:firstLine="480"/>
            </w:pPr>
          </w:p>
        </w:tc>
        <w:tc>
          <w:tcPr>
            <w:tcW w:w="933" w:type="pct"/>
            <w:tcBorders>
              <w:top w:val="single" w:color="auto" w:sz="4" w:space="0"/>
              <w:left w:val="nil"/>
              <w:bottom w:val="single" w:color="auto" w:sz="4" w:space="0"/>
              <w:right w:val="nil"/>
            </w:tcBorders>
          </w:tcPr>
          <w:p>
            <w:pPr>
              <w:pStyle w:val="30"/>
              <w:jc w:val="center"/>
              <w:rPr>
                <w:sz w:val="22"/>
                <w:szCs w:val="22"/>
              </w:rPr>
            </w:pPr>
            <w:r>
              <w:rPr>
                <w:rFonts w:hint="eastAsia"/>
                <w:sz w:val="22"/>
                <w:szCs w:val="22"/>
              </w:rPr>
              <w:t>（1）</w:t>
            </w:r>
          </w:p>
        </w:tc>
        <w:tc>
          <w:tcPr>
            <w:tcW w:w="933" w:type="pct"/>
            <w:tcBorders>
              <w:top w:val="single" w:color="auto" w:sz="4" w:space="0"/>
              <w:left w:val="nil"/>
              <w:bottom w:val="single" w:color="auto" w:sz="4" w:space="0"/>
              <w:right w:val="nil"/>
            </w:tcBorders>
          </w:tcPr>
          <w:p>
            <w:pPr>
              <w:pStyle w:val="30"/>
              <w:jc w:val="center"/>
              <w:rPr>
                <w:sz w:val="22"/>
                <w:szCs w:val="22"/>
              </w:rPr>
            </w:pPr>
            <w:r>
              <w:rPr>
                <w:rFonts w:hint="eastAsia"/>
                <w:sz w:val="22"/>
                <w:szCs w:val="22"/>
              </w:rPr>
              <w:t>（2）</w:t>
            </w:r>
          </w:p>
        </w:tc>
        <w:tc>
          <w:tcPr>
            <w:tcW w:w="934" w:type="pct"/>
            <w:tcBorders>
              <w:top w:val="single" w:color="auto" w:sz="4" w:space="0"/>
              <w:left w:val="nil"/>
              <w:bottom w:val="single" w:color="auto" w:sz="4" w:space="0"/>
              <w:right w:val="nil"/>
            </w:tcBorders>
          </w:tcPr>
          <w:p>
            <w:pPr>
              <w:pStyle w:val="30"/>
              <w:ind w:firstLine="440"/>
              <w:jc w:val="center"/>
              <w:rPr>
                <w:sz w:val="22"/>
                <w:szCs w:val="22"/>
              </w:rPr>
            </w:pPr>
            <w:r>
              <w:rPr>
                <w:rFonts w:hint="eastAsia"/>
                <w:sz w:val="22"/>
                <w:szCs w:val="22"/>
              </w:rPr>
              <w:t>（3）</w:t>
            </w:r>
          </w:p>
        </w:tc>
        <w:tc>
          <w:tcPr>
            <w:tcW w:w="937" w:type="pct"/>
            <w:tcBorders>
              <w:top w:val="single" w:color="auto" w:sz="4" w:space="0"/>
              <w:left w:val="nil"/>
              <w:bottom w:val="single" w:color="auto" w:sz="4" w:space="0"/>
              <w:right w:val="nil"/>
            </w:tcBorders>
          </w:tcPr>
          <w:p>
            <w:pPr>
              <w:pStyle w:val="30"/>
              <w:jc w:val="center"/>
              <w:rPr>
                <w:sz w:val="22"/>
                <w:szCs w:val="22"/>
              </w:rPr>
            </w:pPr>
            <w:r>
              <w:rPr>
                <w:rFonts w:hint="eastAsia"/>
                <w:sz w:val="22"/>
                <w:szCs w:val="22"/>
              </w:rPr>
              <w:t>（4）</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pPr>
          </w:p>
        </w:tc>
        <w:tc>
          <w:tcPr>
            <w:tcW w:w="933" w:type="pct"/>
            <w:tcBorders>
              <w:top w:val="nil"/>
              <w:left w:val="nil"/>
              <w:bottom w:val="nil"/>
              <w:right w:val="nil"/>
            </w:tcBorders>
          </w:tcPr>
          <w:p>
            <w:pPr>
              <w:pStyle w:val="30"/>
              <w:jc w:val="center"/>
            </w:pPr>
          </w:p>
        </w:tc>
        <w:tc>
          <w:tcPr>
            <w:tcW w:w="933" w:type="pct"/>
            <w:tcBorders>
              <w:top w:val="nil"/>
              <w:left w:val="nil"/>
              <w:bottom w:val="nil"/>
              <w:right w:val="nil"/>
            </w:tcBorders>
          </w:tcPr>
          <w:p>
            <w:pPr>
              <w:pStyle w:val="30"/>
              <w:jc w:val="center"/>
              <w:rPr>
                <w:rFonts w:cs="Times New Roman"/>
                <w:kern w:val="0"/>
              </w:rPr>
            </w:pPr>
          </w:p>
        </w:tc>
        <w:tc>
          <w:tcPr>
            <w:tcW w:w="934" w:type="pct"/>
            <w:tcBorders>
              <w:top w:val="nil"/>
              <w:left w:val="nil"/>
              <w:bottom w:val="nil"/>
              <w:right w:val="nil"/>
            </w:tcBorders>
          </w:tcPr>
          <w:p>
            <w:pPr>
              <w:pStyle w:val="30"/>
              <w:ind w:firstLine="480"/>
              <w:jc w:val="center"/>
            </w:pPr>
          </w:p>
        </w:tc>
        <w:tc>
          <w:tcPr>
            <w:tcW w:w="937" w:type="pct"/>
            <w:tcBorders>
              <w:top w:val="nil"/>
              <w:left w:val="nil"/>
              <w:bottom w:val="nil"/>
              <w:right w:val="nil"/>
            </w:tcBorders>
          </w:tcPr>
          <w:p>
            <w:pPr>
              <w:pStyle w:val="30"/>
              <w:jc w:val="center"/>
            </w:pP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pPr>
            <w:r>
              <w:rPr>
                <w:rFonts w:hint="eastAsia"/>
              </w:rPr>
              <w:t>Faketyear</w:t>
            </w: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-1.010</w:t>
            </w: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-0.111</w:t>
            </w: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0.651</w:t>
            </w: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0.405</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ind w:firstLine="480"/>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(-1.18)</w:t>
            </w: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(-0.19)</w:t>
            </w: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(1.11)</w:t>
            </w: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(0.69)</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pPr>
            <w:r>
              <w:rPr>
                <w:rFonts w:hint="eastAsia"/>
              </w:rPr>
              <w:t>Age</w:t>
            </w: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0.195</w:t>
            </w:r>
            <w:r>
              <w:rPr>
                <w:rFonts w:ascii="Times New Roman" w:hAnsi="Times New Roman" w:eastAsia="等线" w:cs="Times New Roman"/>
                <w:kern w:val="0"/>
                <w:vertAlign w:val="superscript"/>
                <w:lang w:bidi="ar"/>
              </w:rPr>
              <w:t>**</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-0.569</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ind w:firstLine="480"/>
            </w:pP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(2.61)</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(-1.42)</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pPr>
            <w:r>
              <w:rPr>
                <w:rFonts w:hint="eastAsia"/>
              </w:rPr>
              <w:t>Largeholder</w:t>
            </w: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0.005</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0.005</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ind w:firstLine="480"/>
            </w:pP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(1.63)</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(0.27)</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pPr>
            <w:r>
              <w:rPr>
                <w:rFonts w:hint="eastAsia"/>
              </w:rPr>
              <w:t>Size</w:t>
            </w: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-0.224</w:t>
            </w:r>
            <w:r>
              <w:rPr>
                <w:rFonts w:ascii="Times New Roman" w:hAnsi="Times New Roman" w:eastAsia="等线" w:cs="Times New Roman"/>
                <w:kern w:val="0"/>
                <w:vertAlign w:val="superscript"/>
                <w:lang w:bidi="ar"/>
              </w:rPr>
              <w:t>***</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0.315</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ind w:firstLine="480"/>
            </w:pP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(-3.61)</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(1.02)</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pPr>
            <w:r>
              <w:rPr>
                <w:rFonts w:hint="eastAsia"/>
              </w:rPr>
              <w:t>Lev</w:t>
            </w: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-1.167</w:t>
            </w:r>
            <w:r>
              <w:rPr>
                <w:rFonts w:ascii="Times New Roman" w:hAnsi="Times New Roman" w:eastAsia="等线" w:cs="Times New Roman"/>
                <w:kern w:val="0"/>
                <w:vertAlign w:val="superscript"/>
                <w:lang w:bidi="ar"/>
              </w:rPr>
              <w:t>***</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-1.551</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ind w:firstLine="480"/>
            </w:pP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(-3.52)</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(-1.50)</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pPr>
            <w:r>
              <w:rPr>
                <w:rFonts w:hint="eastAsia"/>
              </w:rPr>
              <w:t>ROA</w:t>
            </w: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-0.191</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0.599</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ind w:firstLine="480"/>
            </w:pP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(-0.21)</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(0.44)</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pPr>
            <w:r>
              <w:rPr>
                <w:rFonts w:hint="eastAsia"/>
              </w:rPr>
              <w:t>MKTB</w:t>
            </w: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0.178</w:t>
            </w:r>
            <w:r>
              <w:rPr>
                <w:rFonts w:ascii="Times New Roman" w:hAnsi="Times New Roman" w:eastAsia="等线" w:cs="Times New Roman"/>
                <w:kern w:val="0"/>
                <w:vertAlign w:val="superscript"/>
                <w:lang w:bidi="ar"/>
              </w:rPr>
              <w:t>***</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0.100</w:t>
            </w:r>
            <w:r>
              <w:rPr>
                <w:rFonts w:ascii="Times New Roman" w:hAnsi="Times New Roman" w:eastAsia="等线" w:cs="Times New Roman"/>
                <w:kern w:val="0"/>
                <w:vertAlign w:val="superscript"/>
                <w:lang w:bidi="ar"/>
              </w:rPr>
              <w:t>***</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ind w:firstLine="480"/>
            </w:pP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(9.53)</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(2.63)</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pPr>
            <w:r>
              <w:rPr>
                <w:rFonts w:hint="eastAsia"/>
              </w:rPr>
              <w:t>Dual</w:t>
            </w: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-0.066</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-0.590</w:t>
            </w:r>
            <w:r>
              <w:rPr>
                <w:rFonts w:ascii="Times New Roman" w:hAnsi="Times New Roman" w:eastAsia="等线" w:cs="Times New Roman"/>
                <w:kern w:val="0"/>
                <w:vertAlign w:val="superscript"/>
                <w:lang w:bidi="ar"/>
              </w:rPr>
              <w:t>**</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ind w:firstLine="480"/>
            </w:pP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(-0.50)</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(-1.98)</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pPr>
            <w:r>
              <w:rPr>
                <w:rFonts w:hint="eastAsia"/>
              </w:rPr>
              <w:t>BSize</w:t>
            </w: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0.035</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-0.034</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ind w:firstLine="480"/>
            </w:pP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(0.98)</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(-0.32)</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pPr>
            <w:r>
              <w:rPr>
                <w:rFonts w:hint="eastAsia"/>
              </w:rPr>
              <w:t>IDRatio</w:t>
            </w: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0.001</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-0.002</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ind w:firstLine="480"/>
            </w:pP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(0.10)</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(-0.08)</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pPr>
            <w:r>
              <w:rPr>
                <w:rFonts w:hint="eastAsia"/>
              </w:rPr>
              <w:t>Growth</w:t>
            </w: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-0.027</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-0.159</w:t>
            </w:r>
            <w:r>
              <w:rPr>
                <w:rFonts w:ascii="Times New Roman" w:hAnsi="Times New Roman" w:eastAsia="等线" w:cs="Times New Roman"/>
                <w:kern w:val="0"/>
                <w:vertAlign w:val="superscript"/>
                <w:lang w:bidi="ar"/>
              </w:rPr>
              <w:t>**</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ind w:firstLine="480"/>
            </w:pPr>
          </w:p>
        </w:tc>
        <w:tc>
          <w:tcPr>
            <w:tcW w:w="1591" w:type="dxa"/>
            <w:tcBorders>
              <w:top w:val="nil"/>
              <w:left w:val="nil"/>
              <w:bottom w:val="nil"/>
              <w:right w:val="nil"/>
            </w:tcBorders>
          </w:tcPr>
          <w:p>
            <w:pPr>
              <w:autoSpaceDE w:val="0"/>
              <w:autoSpaceDN w:val="0"/>
              <w:adjustRightInd w:val="0"/>
              <w:jc w:val="center"/>
            </w:pP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(-0.86)</w:t>
            </w:r>
          </w:p>
        </w:tc>
        <w:tc>
          <w:tcPr>
            <w:tcW w:w="1592" w:type="dxa"/>
            <w:tcBorders>
              <w:top w:val="nil"/>
              <w:left w:val="nil"/>
              <w:bottom w:val="nil"/>
              <w:right w:val="nil"/>
            </w:tcBorders>
          </w:tcPr>
          <w:p>
            <w:pPr>
              <w:autoSpaceDE w:val="0"/>
              <w:autoSpaceDN w:val="0"/>
              <w:adjustRightInd w:val="0"/>
              <w:jc w:val="center"/>
            </w:pP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(-2.09)</w:t>
            </w:r>
          </w:p>
        </w:tc>
      </w:tr>
      <w:tr>
        <w:tblPrEx>
          <w:tblCellMar>
            <w:top w:w="0" w:type="dxa"/>
            <w:left w:w="108" w:type="dxa"/>
            <w:bottom w:w="0" w:type="dxa"/>
            <w:right w:w="108" w:type="dxa"/>
          </w:tblCellMar>
        </w:tblPrEx>
        <w:trPr>
          <w:jc w:val="center"/>
        </w:trPr>
        <w:tc>
          <w:tcPr>
            <w:tcW w:w="1260" w:type="pct"/>
            <w:tcBorders>
              <w:top w:val="nil"/>
              <w:left w:val="nil"/>
              <w:bottom w:val="nil"/>
              <w:right w:val="nil"/>
            </w:tcBorders>
          </w:tcPr>
          <w:p>
            <w:pPr>
              <w:pStyle w:val="30"/>
            </w:pPr>
            <w:r>
              <w:rPr>
                <w:rFonts w:hint="eastAsia"/>
              </w:rPr>
              <w:t>_cons</w:t>
            </w: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2.752</w:t>
            </w:r>
            <w:r>
              <w:rPr>
                <w:rFonts w:ascii="Times New Roman" w:hAnsi="Times New Roman" w:eastAsia="等线" w:cs="Times New Roman"/>
                <w:kern w:val="0"/>
                <w:vertAlign w:val="superscript"/>
                <w:lang w:bidi="ar"/>
              </w:rPr>
              <w:t>***</w:t>
            </w:r>
          </w:p>
        </w:tc>
        <w:tc>
          <w:tcPr>
            <w:tcW w:w="1591"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6.017</w:t>
            </w:r>
            <w:r>
              <w:rPr>
                <w:rFonts w:ascii="Times New Roman" w:hAnsi="Times New Roman" w:eastAsia="等线" w:cs="Times New Roman"/>
                <w:kern w:val="0"/>
                <w:vertAlign w:val="superscript"/>
                <w:lang w:bidi="ar"/>
              </w:rPr>
              <w:t>***</w:t>
            </w: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1.081</w:t>
            </w:r>
            <w:r>
              <w:rPr>
                <w:rFonts w:ascii="Times New Roman" w:hAnsi="Times New Roman" w:eastAsia="等线" w:cs="Times New Roman"/>
                <w:kern w:val="0"/>
                <w:vertAlign w:val="superscript"/>
                <w:lang w:bidi="ar"/>
              </w:rPr>
              <w:t>*</w:t>
            </w:r>
          </w:p>
        </w:tc>
        <w:tc>
          <w:tcPr>
            <w:tcW w:w="1597"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-3.677</w:t>
            </w:r>
          </w:p>
        </w:tc>
      </w:tr>
      <w:tr>
        <w:tblPrEx>
          <w:tblCellMar>
            <w:top w:w="0" w:type="dxa"/>
            <w:left w:w="108" w:type="dxa"/>
            <w:bottom w:w="0" w:type="dxa"/>
            <w:right w:w="108" w:type="dxa"/>
          </w:tblCellMar>
        </w:tblPrEx>
        <w:trPr>
          <w:jc w:val="center"/>
        </w:trPr>
        <w:tc>
          <w:tcPr>
            <w:tcW w:w="1260" w:type="pct"/>
            <w:tcBorders>
              <w:top w:val="nil"/>
              <w:left w:val="nil"/>
              <w:bottom w:val="single" w:color="auto" w:sz="4" w:space="0"/>
              <w:right w:val="nil"/>
            </w:tcBorders>
          </w:tcPr>
          <w:p>
            <w:pPr>
              <w:pStyle w:val="30"/>
              <w:ind w:firstLine="480"/>
            </w:pPr>
          </w:p>
        </w:tc>
        <w:tc>
          <w:tcPr>
            <w:tcW w:w="1591" w:type="dxa"/>
            <w:tcBorders>
              <w:top w:val="nil"/>
              <w:left w:val="nil"/>
              <w:bottom w:val="single" w:color="auto" w:sz="4" w:space="0"/>
              <w:right w:val="nil"/>
            </w:tcBorders>
          </w:tcPr>
          <w:p>
            <w:pPr>
              <w:autoSpaceDE w:val="0"/>
              <w:autoSpaceDN w:val="0"/>
              <w:adjustRightInd w:val="0"/>
              <w:jc w:val="center"/>
            </w:pPr>
            <w:r>
              <w:rPr>
                <w:rFonts w:ascii="Times New Roman" w:hAnsi="Times New Roman" w:eastAsia="等线" w:cs="Times New Roman"/>
                <w:kern w:val="0"/>
                <w:lang w:bidi="ar"/>
              </w:rPr>
              <w:t>(3.21)</w:t>
            </w:r>
          </w:p>
        </w:tc>
        <w:tc>
          <w:tcPr>
            <w:tcW w:w="1591" w:type="dxa"/>
            <w:tcBorders>
              <w:top w:val="nil"/>
              <w:left w:val="nil"/>
              <w:bottom w:val="single" w:color="auto" w:sz="4" w:space="0"/>
              <w:right w:val="nil"/>
            </w:tcBorders>
          </w:tcPr>
          <w:p>
            <w:pPr>
              <w:autoSpaceDE w:val="0"/>
              <w:autoSpaceDN w:val="0"/>
              <w:adjustRightInd w:val="0"/>
              <w:jc w:val="center"/>
            </w:pPr>
            <w:r>
              <w:rPr>
                <w:rFonts w:ascii="Times New Roman" w:hAnsi="Times New Roman" w:eastAsia="等线" w:cs="Times New Roman"/>
                <w:kern w:val="0"/>
                <w:lang w:bidi="ar"/>
              </w:rPr>
              <w:t>(4.27)</w:t>
            </w:r>
          </w:p>
        </w:tc>
        <w:tc>
          <w:tcPr>
            <w:tcW w:w="1592" w:type="dxa"/>
            <w:tcBorders>
              <w:top w:val="nil"/>
              <w:left w:val="nil"/>
              <w:bottom w:val="single" w:color="auto" w:sz="4" w:space="0"/>
              <w:right w:val="nil"/>
            </w:tcBorders>
          </w:tcPr>
          <w:p>
            <w:pPr>
              <w:autoSpaceDE w:val="0"/>
              <w:autoSpaceDN w:val="0"/>
              <w:adjustRightInd w:val="0"/>
              <w:jc w:val="center"/>
            </w:pPr>
            <w:r>
              <w:rPr>
                <w:rFonts w:ascii="Times New Roman" w:hAnsi="Times New Roman" w:eastAsia="等线" w:cs="Times New Roman"/>
                <w:kern w:val="0"/>
                <w:lang w:bidi="ar"/>
              </w:rPr>
              <w:t>(1.85)</w:t>
            </w:r>
          </w:p>
        </w:tc>
        <w:tc>
          <w:tcPr>
            <w:tcW w:w="1597" w:type="dxa"/>
            <w:tcBorders>
              <w:top w:val="nil"/>
              <w:left w:val="nil"/>
              <w:bottom w:val="single" w:color="auto" w:sz="4" w:space="0"/>
              <w:right w:val="nil"/>
            </w:tcBorders>
          </w:tcPr>
          <w:p>
            <w:pPr>
              <w:autoSpaceDE w:val="0"/>
              <w:autoSpaceDN w:val="0"/>
              <w:adjustRightInd w:val="0"/>
              <w:jc w:val="center"/>
            </w:pPr>
            <w:r>
              <w:rPr>
                <w:rFonts w:ascii="Times New Roman" w:hAnsi="Times New Roman" w:eastAsia="等线" w:cs="Times New Roman"/>
                <w:kern w:val="0"/>
                <w:lang w:bidi="ar"/>
              </w:rPr>
              <w:t>(-0.59)</w:t>
            </w:r>
          </w:p>
        </w:tc>
      </w:tr>
      <w:tr>
        <w:tblPrEx>
          <w:tblCellMar>
            <w:top w:w="0" w:type="dxa"/>
            <w:left w:w="108" w:type="dxa"/>
            <w:bottom w:w="0" w:type="dxa"/>
            <w:right w:w="108" w:type="dxa"/>
          </w:tblCellMar>
        </w:tblPrEx>
        <w:trPr>
          <w:jc w:val="center"/>
        </w:trPr>
        <w:tc>
          <w:tcPr>
            <w:tcW w:w="1260" w:type="pct"/>
            <w:tcBorders>
              <w:top w:val="single" w:color="auto" w:sz="4" w:space="0"/>
              <w:left w:val="nil"/>
              <w:right w:val="nil"/>
            </w:tcBorders>
          </w:tcPr>
          <w:p>
            <w:pPr>
              <w:pStyle w:val="30"/>
              <w:rPr>
                <w:i/>
                <w:iCs/>
              </w:rPr>
            </w:pPr>
            <w:r>
              <w:rPr>
                <w:rFonts w:hint="eastAsia"/>
              </w:rPr>
              <w:t>Individual FE</w:t>
            </w:r>
          </w:p>
        </w:tc>
        <w:tc>
          <w:tcPr>
            <w:tcW w:w="933" w:type="pct"/>
            <w:tcBorders>
              <w:top w:val="single" w:color="auto" w:sz="4" w:space="0"/>
              <w:left w:val="nil"/>
              <w:right w:val="nil"/>
            </w:tcBorders>
          </w:tcPr>
          <w:p>
            <w:pPr>
              <w:pStyle w:val="30"/>
              <w:jc w:val="center"/>
            </w:pPr>
            <w:r>
              <w:rPr>
                <w:rFonts w:hint="eastAsia"/>
              </w:rPr>
              <w:t>NO</w:t>
            </w:r>
          </w:p>
        </w:tc>
        <w:tc>
          <w:tcPr>
            <w:tcW w:w="933" w:type="pct"/>
            <w:tcBorders>
              <w:top w:val="single" w:color="auto" w:sz="4" w:space="0"/>
              <w:left w:val="nil"/>
              <w:right w:val="nil"/>
            </w:tcBorders>
          </w:tcPr>
          <w:p>
            <w:pPr>
              <w:pStyle w:val="30"/>
              <w:jc w:val="center"/>
            </w:pPr>
            <w:r>
              <w:rPr>
                <w:rFonts w:hint="eastAsia"/>
              </w:rPr>
              <w:t>NO</w:t>
            </w:r>
          </w:p>
        </w:tc>
        <w:tc>
          <w:tcPr>
            <w:tcW w:w="934" w:type="pct"/>
            <w:tcBorders>
              <w:top w:val="single" w:color="auto" w:sz="4" w:space="0"/>
              <w:left w:val="nil"/>
              <w:right w:val="nil"/>
            </w:tcBorders>
          </w:tcPr>
          <w:p>
            <w:pPr>
              <w:pStyle w:val="30"/>
              <w:ind w:firstLine="480"/>
              <w:jc w:val="center"/>
            </w:pPr>
            <w:r>
              <w:rPr>
                <w:rFonts w:hint="eastAsia"/>
              </w:rPr>
              <w:t>YES</w:t>
            </w:r>
          </w:p>
        </w:tc>
        <w:tc>
          <w:tcPr>
            <w:tcW w:w="937" w:type="pct"/>
            <w:tcBorders>
              <w:top w:val="single" w:color="auto" w:sz="4" w:space="0"/>
              <w:left w:val="nil"/>
              <w:right w:val="nil"/>
            </w:tcBorders>
          </w:tcPr>
          <w:p>
            <w:pPr>
              <w:pStyle w:val="30"/>
              <w:jc w:val="center"/>
            </w:pPr>
            <w:r>
              <w:rPr>
                <w:rFonts w:hint="eastAsia"/>
              </w:rPr>
              <w:t>YES</w:t>
            </w:r>
          </w:p>
        </w:tc>
      </w:tr>
      <w:tr>
        <w:tblPrEx>
          <w:tblCellMar>
            <w:top w:w="0" w:type="dxa"/>
            <w:left w:w="108" w:type="dxa"/>
            <w:bottom w:w="0" w:type="dxa"/>
            <w:right w:w="108" w:type="dxa"/>
          </w:tblCellMar>
        </w:tblPrEx>
        <w:trPr>
          <w:jc w:val="center"/>
        </w:trPr>
        <w:tc>
          <w:tcPr>
            <w:tcW w:w="1260" w:type="pct"/>
            <w:tcBorders>
              <w:top w:val="single" w:color="auto" w:sz="4" w:space="0"/>
              <w:left w:val="nil"/>
              <w:bottom w:val="nil"/>
              <w:right w:val="nil"/>
            </w:tcBorders>
          </w:tcPr>
          <w:p>
            <w:pPr>
              <w:pStyle w:val="30"/>
            </w:pPr>
            <w:r>
              <w:rPr>
                <w:rFonts w:hint="eastAsia"/>
              </w:rPr>
              <w:t>N</w:t>
            </w:r>
          </w:p>
        </w:tc>
        <w:tc>
          <w:tcPr>
            <w:tcW w:w="1591" w:type="dxa"/>
            <w:tcBorders>
              <w:top w:val="single" w:color="auto"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168</w:t>
            </w:r>
          </w:p>
        </w:tc>
        <w:tc>
          <w:tcPr>
            <w:tcW w:w="1591" w:type="dxa"/>
            <w:tcBorders>
              <w:top w:val="single" w:color="auto"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168</w:t>
            </w:r>
          </w:p>
        </w:tc>
        <w:tc>
          <w:tcPr>
            <w:tcW w:w="1592" w:type="dxa"/>
            <w:tcBorders>
              <w:top w:val="single" w:color="auto"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163</w:t>
            </w:r>
          </w:p>
        </w:tc>
        <w:tc>
          <w:tcPr>
            <w:tcW w:w="1597" w:type="dxa"/>
            <w:tcBorders>
              <w:top w:val="single" w:color="auto"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163</w:t>
            </w:r>
          </w:p>
        </w:tc>
      </w:tr>
      <w:tr>
        <w:tblPrEx>
          <w:tblCellMar>
            <w:top w:w="0" w:type="dxa"/>
            <w:left w:w="108" w:type="dxa"/>
            <w:bottom w:w="0" w:type="dxa"/>
            <w:right w:w="108" w:type="dxa"/>
          </w:tblCellMar>
        </w:tblPrEx>
        <w:trPr>
          <w:jc w:val="center"/>
        </w:trPr>
        <w:tc>
          <w:tcPr>
            <w:tcW w:w="1260" w:type="pct"/>
            <w:tcBorders>
              <w:top w:val="nil"/>
              <w:left w:val="nil"/>
              <w:bottom w:val="single" w:color="auto" w:sz="12" w:space="0"/>
              <w:right w:val="nil"/>
            </w:tcBorders>
          </w:tcPr>
          <w:p>
            <w:pPr>
              <w:pStyle w:val="30"/>
            </w:pPr>
            <w:r>
              <w:rPr>
                <w:rFonts w:hint="eastAsia"/>
              </w:rPr>
              <w:t>adj. R</w:t>
            </w:r>
            <w:r>
              <w:rPr>
                <w:rFonts w:hint="eastAsia"/>
                <w:vertAlign w:val="superscript"/>
              </w:rPr>
              <w:t>2</w:t>
            </w:r>
          </w:p>
        </w:tc>
        <w:tc>
          <w:tcPr>
            <w:tcW w:w="1591" w:type="dxa"/>
            <w:tcBorders>
              <w:top w:val="nil"/>
              <w:left w:val="nil"/>
              <w:bottom w:val="single" w:color="auto" w:sz="12" w:space="0"/>
              <w:right w:val="nil"/>
            </w:tcBorders>
          </w:tcPr>
          <w:p>
            <w:pPr>
              <w:autoSpaceDE w:val="0"/>
              <w:autoSpaceDN w:val="0"/>
              <w:adjustRightInd w:val="0"/>
              <w:jc w:val="center"/>
            </w:pPr>
            <w:r>
              <w:rPr>
                <w:rFonts w:ascii="Times New Roman" w:hAnsi="Times New Roman" w:eastAsia="等线" w:cs="Times New Roman"/>
                <w:kern w:val="0"/>
                <w:lang w:bidi="ar"/>
              </w:rPr>
              <w:t>0.002</w:t>
            </w:r>
          </w:p>
        </w:tc>
        <w:tc>
          <w:tcPr>
            <w:tcW w:w="1591" w:type="dxa"/>
            <w:tcBorders>
              <w:top w:val="nil"/>
              <w:left w:val="nil"/>
              <w:bottom w:val="single" w:color="auto" w:sz="12" w:space="0"/>
              <w:right w:val="nil"/>
            </w:tcBorders>
          </w:tcPr>
          <w:p>
            <w:pPr>
              <w:autoSpaceDE w:val="0"/>
              <w:autoSpaceDN w:val="0"/>
              <w:adjustRightInd w:val="0"/>
              <w:jc w:val="center"/>
            </w:pPr>
            <w:r>
              <w:rPr>
                <w:rFonts w:ascii="Times New Roman" w:hAnsi="Times New Roman" w:eastAsia="等线" w:cs="Times New Roman"/>
                <w:kern w:val="0"/>
                <w:lang w:bidi="ar"/>
              </w:rPr>
              <w:t>0.575</w:t>
            </w:r>
          </w:p>
        </w:tc>
        <w:tc>
          <w:tcPr>
            <w:tcW w:w="1592" w:type="dxa"/>
            <w:tcBorders>
              <w:top w:val="nil"/>
              <w:left w:val="nil"/>
              <w:bottom w:val="single" w:color="auto" w:sz="12" w:space="0"/>
              <w:right w:val="nil"/>
            </w:tcBorders>
          </w:tcPr>
          <w:p>
            <w:pPr>
              <w:autoSpaceDE w:val="0"/>
              <w:autoSpaceDN w:val="0"/>
              <w:adjustRightInd w:val="0"/>
              <w:jc w:val="center"/>
            </w:pPr>
            <w:r>
              <w:rPr>
                <w:rFonts w:ascii="Times New Roman" w:hAnsi="Times New Roman" w:eastAsia="等线" w:cs="Times New Roman"/>
                <w:kern w:val="0"/>
                <w:lang w:bidi="ar"/>
              </w:rPr>
              <w:t>0.583</w:t>
            </w:r>
          </w:p>
        </w:tc>
        <w:tc>
          <w:tcPr>
            <w:tcW w:w="1597" w:type="dxa"/>
            <w:tcBorders>
              <w:top w:val="nil"/>
              <w:left w:val="nil"/>
              <w:bottom w:val="single" w:color="auto" w:sz="12" w:space="0"/>
              <w:right w:val="nil"/>
            </w:tcBorders>
          </w:tcPr>
          <w:p>
            <w:pPr>
              <w:autoSpaceDE w:val="0"/>
              <w:autoSpaceDN w:val="0"/>
              <w:adjustRightInd w:val="0"/>
              <w:jc w:val="center"/>
            </w:pPr>
            <w:r>
              <w:rPr>
                <w:rFonts w:ascii="Times New Roman" w:hAnsi="Times New Roman" w:eastAsia="等线" w:cs="Times New Roman"/>
                <w:kern w:val="0"/>
                <w:lang w:bidi="ar"/>
              </w:rPr>
              <w:t>0.616</w:t>
            </w:r>
          </w:p>
        </w:tc>
      </w:tr>
    </w:tbl>
    <w:p>
      <w:pPr>
        <w:rPr>
          <w:rFonts w:ascii="Times New Roman" w:hAnsi="Times New Roman" w:cs="Times New Roman" w:eastAsiaTheme="majorEastAsia"/>
        </w:rPr>
      </w:pPr>
      <w:r>
        <w:rPr>
          <w:rFonts w:hint="eastAsia"/>
        </w:rPr>
        <w:br w:type="page"/>
      </w:r>
    </w:p>
    <w:p>
      <w:pPr>
        <w:pStyle w:val="28"/>
        <w:spacing w:line="360" w:lineRule="auto"/>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bookmarkStart w:id="152" w:name="_Toc19467"/>
      <w:r>
        <w:rPr>
          <w:rFonts w:hint="eastAsia"/>
        </w:rPr>
        <w:t>-10</w:t>
      </w:r>
      <w:r>
        <w:t xml:space="preserve"> </w:t>
      </w:r>
      <w:r>
        <w:rPr>
          <w:rFonts w:hint="eastAsia"/>
        </w:rPr>
        <w:t>负面环境信息披露与财务风险的安慰剂检验</w:t>
      </w:r>
      <w:bookmarkEnd w:id="152"/>
    </w:p>
    <w:tbl>
      <w:tblPr>
        <w:tblStyle w:val="16"/>
        <w:tblW w:w="4974" w:type="pct"/>
        <w:jc w:val="center"/>
        <w:tblLayout w:type="autofit"/>
        <w:tblCellMar>
          <w:top w:w="0" w:type="dxa"/>
          <w:left w:w="108" w:type="dxa"/>
          <w:bottom w:w="0" w:type="dxa"/>
          <w:right w:w="108" w:type="dxa"/>
        </w:tblCellMar>
      </w:tblPr>
      <w:tblGrid>
        <w:gridCol w:w="2133"/>
        <w:gridCol w:w="1584"/>
        <w:gridCol w:w="1584"/>
        <w:gridCol w:w="1584"/>
        <w:gridCol w:w="1593"/>
      </w:tblGrid>
      <w:tr>
        <w:tblPrEx>
          <w:tblCellMar>
            <w:top w:w="0" w:type="dxa"/>
            <w:left w:w="108" w:type="dxa"/>
            <w:bottom w:w="0" w:type="dxa"/>
            <w:right w:w="108" w:type="dxa"/>
          </w:tblCellMar>
        </w:tblPrEx>
        <w:trPr>
          <w:jc w:val="center"/>
        </w:trPr>
        <w:tc>
          <w:tcPr>
            <w:tcW w:w="1258" w:type="pct"/>
            <w:vMerge w:val="restart"/>
            <w:tcBorders>
              <w:top w:val="single" w:color="auto" w:sz="12" w:space="0"/>
              <w:left w:val="nil"/>
              <w:right w:val="nil"/>
            </w:tcBorders>
            <w:vAlign w:val="center"/>
          </w:tcPr>
          <w:p>
            <w:pPr>
              <w:pStyle w:val="30"/>
            </w:pPr>
            <w:r>
              <w:rPr>
                <w:rFonts w:hint="eastAsia"/>
              </w:rPr>
              <w:t>VARIABLES</w:t>
            </w:r>
          </w:p>
        </w:tc>
        <w:tc>
          <w:tcPr>
            <w:tcW w:w="3741" w:type="pct"/>
            <w:gridSpan w:val="4"/>
            <w:tcBorders>
              <w:top w:val="single" w:color="auto" w:sz="12" w:space="0"/>
              <w:left w:val="nil"/>
              <w:bottom w:val="single" w:color="auto" w:sz="4" w:space="0"/>
              <w:right w:val="nil"/>
            </w:tcBorders>
          </w:tcPr>
          <w:p>
            <w:pPr>
              <w:pStyle w:val="30"/>
              <w:ind w:firstLine="440"/>
              <w:jc w:val="center"/>
              <w:rPr>
                <w:sz w:val="20"/>
              </w:rPr>
            </w:pPr>
            <w:r>
              <w:rPr>
                <w:rFonts w:hint="eastAsia"/>
                <w:sz w:val="22"/>
                <w:szCs w:val="22"/>
              </w:rPr>
              <w:t>L.Z</w:t>
            </w:r>
          </w:p>
        </w:tc>
      </w:tr>
      <w:tr>
        <w:tblPrEx>
          <w:tblCellMar>
            <w:top w:w="0" w:type="dxa"/>
            <w:left w:w="108" w:type="dxa"/>
            <w:bottom w:w="0" w:type="dxa"/>
            <w:right w:w="108" w:type="dxa"/>
          </w:tblCellMar>
        </w:tblPrEx>
        <w:trPr>
          <w:jc w:val="center"/>
        </w:trPr>
        <w:tc>
          <w:tcPr>
            <w:tcW w:w="1258" w:type="pct"/>
            <w:vMerge w:val="continue"/>
            <w:tcBorders>
              <w:left w:val="nil"/>
              <w:bottom w:val="single" w:color="auto" w:sz="4" w:space="0"/>
              <w:right w:val="nil"/>
            </w:tcBorders>
          </w:tcPr>
          <w:p>
            <w:pPr>
              <w:pStyle w:val="30"/>
              <w:ind w:firstLine="480"/>
            </w:pPr>
          </w:p>
        </w:tc>
        <w:tc>
          <w:tcPr>
            <w:tcW w:w="934" w:type="pct"/>
            <w:tcBorders>
              <w:top w:val="single" w:color="auto" w:sz="4" w:space="0"/>
              <w:left w:val="nil"/>
              <w:bottom w:val="single" w:color="auto" w:sz="4" w:space="0"/>
              <w:right w:val="nil"/>
            </w:tcBorders>
          </w:tcPr>
          <w:p>
            <w:pPr>
              <w:pStyle w:val="30"/>
              <w:jc w:val="center"/>
            </w:pPr>
            <w:r>
              <w:rPr>
                <w:rFonts w:hint="eastAsia"/>
              </w:rPr>
              <w:t>（1）</w:t>
            </w:r>
          </w:p>
        </w:tc>
        <w:tc>
          <w:tcPr>
            <w:tcW w:w="934" w:type="pct"/>
            <w:tcBorders>
              <w:top w:val="single" w:color="auto" w:sz="4" w:space="0"/>
              <w:left w:val="nil"/>
              <w:bottom w:val="single" w:color="auto" w:sz="4" w:space="0"/>
              <w:right w:val="nil"/>
            </w:tcBorders>
          </w:tcPr>
          <w:p>
            <w:pPr>
              <w:pStyle w:val="30"/>
              <w:ind w:firstLine="440"/>
              <w:jc w:val="center"/>
            </w:pPr>
            <w:r>
              <w:rPr>
                <w:rFonts w:hint="eastAsia"/>
              </w:rPr>
              <w:t>（2）</w:t>
            </w:r>
          </w:p>
        </w:tc>
        <w:tc>
          <w:tcPr>
            <w:tcW w:w="934" w:type="pct"/>
            <w:tcBorders>
              <w:top w:val="single" w:color="auto" w:sz="4" w:space="0"/>
              <w:left w:val="nil"/>
              <w:bottom w:val="single" w:color="auto" w:sz="4" w:space="0"/>
              <w:right w:val="nil"/>
            </w:tcBorders>
          </w:tcPr>
          <w:p>
            <w:pPr>
              <w:pStyle w:val="30"/>
              <w:jc w:val="center"/>
            </w:pPr>
            <w:r>
              <w:rPr>
                <w:rFonts w:hint="eastAsia"/>
              </w:rPr>
              <w:t>（3）</w:t>
            </w:r>
          </w:p>
        </w:tc>
        <w:tc>
          <w:tcPr>
            <w:tcW w:w="938" w:type="pct"/>
            <w:tcBorders>
              <w:top w:val="single" w:color="auto" w:sz="4" w:space="0"/>
              <w:left w:val="nil"/>
              <w:bottom w:val="single" w:color="auto" w:sz="4" w:space="0"/>
              <w:right w:val="nil"/>
            </w:tcBorders>
          </w:tcPr>
          <w:p>
            <w:pPr>
              <w:pStyle w:val="30"/>
              <w:jc w:val="center"/>
            </w:pPr>
            <w:r>
              <w:rPr>
                <w:rFonts w:hint="eastAsia"/>
              </w:rPr>
              <w:t>（4）</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pPr>
          </w:p>
        </w:tc>
        <w:tc>
          <w:tcPr>
            <w:tcW w:w="934" w:type="pct"/>
            <w:tcBorders>
              <w:top w:val="nil"/>
              <w:left w:val="nil"/>
              <w:bottom w:val="nil"/>
              <w:right w:val="nil"/>
            </w:tcBorders>
          </w:tcPr>
          <w:p>
            <w:pPr>
              <w:pStyle w:val="30"/>
              <w:jc w:val="center"/>
              <w:rPr>
                <w:rFonts w:cs="Times New Roman"/>
                <w:kern w:val="0"/>
              </w:rPr>
            </w:pPr>
          </w:p>
        </w:tc>
        <w:tc>
          <w:tcPr>
            <w:tcW w:w="934" w:type="pct"/>
            <w:tcBorders>
              <w:top w:val="nil"/>
              <w:left w:val="nil"/>
              <w:bottom w:val="nil"/>
              <w:right w:val="nil"/>
            </w:tcBorders>
          </w:tcPr>
          <w:p>
            <w:pPr>
              <w:pStyle w:val="30"/>
              <w:jc w:val="center"/>
              <w:rPr>
                <w:rFonts w:cs="Times New Roman"/>
                <w:kern w:val="0"/>
              </w:rPr>
            </w:pPr>
          </w:p>
        </w:tc>
        <w:tc>
          <w:tcPr>
            <w:tcW w:w="934" w:type="pct"/>
            <w:tcBorders>
              <w:top w:val="nil"/>
              <w:left w:val="nil"/>
              <w:bottom w:val="nil"/>
              <w:right w:val="nil"/>
            </w:tcBorders>
          </w:tcPr>
          <w:p>
            <w:pPr>
              <w:pStyle w:val="30"/>
              <w:jc w:val="center"/>
              <w:rPr>
                <w:rFonts w:cs="Times New Roman"/>
                <w:kern w:val="0"/>
              </w:rPr>
            </w:pPr>
          </w:p>
        </w:tc>
        <w:tc>
          <w:tcPr>
            <w:tcW w:w="938" w:type="pct"/>
            <w:tcBorders>
              <w:top w:val="nil"/>
              <w:left w:val="nil"/>
              <w:bottom w:val="nil"/>
              <w:right w:val="nil"/>
            </w:tcBorders>
          </w:tcPr>
          <w:p>
            <w:pPr>
              <w:pStyle w:val="30"/>
              <w:jc w:val="center"/>
              <w:rPr>
                <w:rFonts w:cs="Times New Roman"/>
                <w:kern w:val="0"/>
              </w:rPr>
            </w:pP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pPr>
            <w:r>
              <w:rPr>
                <w:rFonts w:hint="eastAsia"/>
              </w:rPr>
              <w:t>Faketyear</w:t>
            </w: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0.723</w:t>
            </w: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-0.296</w:t>
            </w: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1.230</w:t>
            </w: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0.941</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ind w:firstLine="480"/>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(0.24)</w:t>
            </w: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(-0.14)</w:t>
            </w: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(0.93)</w:t>
            </w: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(0.71)</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pPr>
            <w:r>
              <w:rPr>
                <w:rFonts w:hint="eastAsia"/>
              </w:rPr>
              <w:t>Age</w:t>
            </w: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0.347</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-0.831</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ind w:firstLine="480"/>
            </w:pP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(1.21)</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(-0.93)</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pPr>
            <w:r>
              <w:rPr>
                <w:rFonts w:hint="eastAsia"/>
              </w:rPr>
              <w:t>Largeholder</w:t>
            </w: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0.002</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0.016</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ind w:firstLine="480"/>
            </w:pP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(0.16)</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(0.37)</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pPr>
            <w:r>
              <w:rPr>
                <w:rFonts w:hint="eastAsia"/>
              </w:rPr>
              <w:t>Size</w:t>
            </w: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0.016</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0.118</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ind w:firstLine="480"/>
            </w:pP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(0.07)</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(0.17)</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pPr>
            <w:r>
              <w:rPr>
                <w:rFonts w:hint="eastAsia"/>
              </w:rPr>
              <w:t>Lev</w:t>
            </w: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-13.250</w:t>
            </w:r>
            <w:r>
              <w:rPr>
                <w:rFonts w:ascii="Times New Roman" w:hAnsi="Times New Roman" w:eastAsia="等线" w:cs="Times New Roman"/>
                <w:kern w:val="0"/>
                <w:vertAlign w:val="superscript"/>
                <w:lang w:bidi="ar"/>
              </w:rPr>
              <w:t>***</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-7.474</w:t>
            </w:r>
            <w:r>
              <w:rPr>
                <w:rFonts w:ascii="Times New Roman" w:hAnsi="Times New Roman" w:eastAsia="等线" w:cs="Times New Roman"/>
                <w:kern w:val="0"/>
                <w:vertAlign w:val="superscript"/>
                <w:lang w:bidi="ar"/>
              </w:rPr>
              <w:t>***</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ind w:firstLine="480"/>
            </w:pP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(-10.44)</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(-3.22)</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pPr>
            <w:r>
              <w:rPr>
                <w:rFonts w:hint="eastAsia"/>
              </w:rPr>
              <w:t>ROA</w:t>
            </w: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-8.062</w:t>
            </w:r>
            <w:r>
              <w:rPr>
                <w:rFonts w:ascii="Times New Roman" w:hAnsi="Times New Roman" w:eastAsia="等线" w:cs="Times New Roman"/>
                <w:kern w:val="0"/>
                <w:vertAlign w:val="superscript"/>
                <w:lang w:bidi="ar"/>
              </w:rPr>
              <w:t>**</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-4.498</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ind w:firstLine="480"/>
            </w:pP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(-2.27)</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(-1.48)</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pPr>
            <w:r>
              <w:rPr>
                <w:rFonts w:hint="eastAsia"/>
              </w:rPr>
              <w:t>MKTB</w:t>
            </w: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0.271</w:t>
            </w:r>
            <w:r>
              <w:rPr>
                <w:rFonts w:ascii="Times New Roman" w:hAnsi="Times New Roman" w:eastAsia="等线" w:cs="Times New Roman"/>
                <w:kern w:val="0"/>
                <w:vertAlign w:val="superscript"/>
                <w:lang w:bidi="ar"/>
              </w:rPr>
              <w:t>***</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0.182</w:t>
            </w:r>
            <w:r>
              <w:rPr>
                <w:rFonts w:ascii="Times New Roman" w:hAnsi="Times New Roman" w:eastAsia="等线" w:cs="Times New Roman"/>
                <w:kern w:val="0"/>
                <w:vertAlign w:val="superscript"/>
                <w:lang w:bidi="ar"/>
              </w:rPr>
              <w:t>**</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ind w:firstLine="480"/>
            </w:pP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(3.77)</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(2.14)</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pPr>
            <w:r>
              <w:rPr>
                <w:rFonts w:hint="eastAsia"/>
              </w:rPr>
              <w:t>Dual</w:t>
            </w: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-0.157</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-0.883</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ind w:firstLine="480"/>
            </w:pP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(-0.31)</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(-1.33)</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pPr>
            <w:r>
              <w:rPr>
                <w:rFonts w:hint="eastAsia"/>
              </w:rPr>
              <w:t>BSize</w:t>
            </w: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0.081</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0.038</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ind w:firstLine="480"/>
            </w:pP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(0.60)</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(0.16)</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pPr>
            <w:r>
              <w:rPr>
                <w:rFonts w:hint="eastAsia"/>
              </w:rPr>
              <w:t>IDRatio</w:t>
            </w: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0.003</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0.053</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ind w:firstLine="480"/>
            </w:pP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(0.10)</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(1.15)</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pPr>
            <w:r>
              <w:rPr>
                <w:rFonts w:hint="eastAsia"/>
              </w:rPr>
              <w:t>Growth</w:t>
            </w: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-0.098</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-0.202</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ind w:firstLine="480"/>
            </w:pPr>
          </w:p>
        </w:tc>
        <w:tc>
          <w:tcPr>
            <w:tcW w:w="1584" w:type="dxa"/>
            <w:tcBorders>
              <w:top w:val="nil"/>
              <w:left w:val="nil"/>
              <w:bottom w:val="nil"/>
              <w:right w:val="nil"/>
            </w:tcBorders>
          </w:tcPr>
          <w:p>
            <w:pPr>
              <w:autoSpaceDE w:val="0"/>
              <w:autoSpaceDN w:val="0"/>
              <w:adjustRightInd w:val="0"/>
              <w:jc w:val="center"/>
            </w:pP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(-0.81)</w:t>
            </w:r>
          </w:p>
        </w:tc>
        <w:tc>
          <w:tcPr>
            <w:tcW w:w="1584" w:type="dxa"/>
            <w:tcBorders>
              <w:top w:val="nil"/>
              <w:left w:val="nil"/>
              <w:bottom w:val="nil"/>
              <w:right w:val="nil"/>
            </w:tcBorders>
          </w:tcPr>
          <w:p>
            <w:pPr>
              <w:autoSpaceDE w:val="0"/>
              <w:autoSpaceDN w:val="0"/>
              <w:adjustRightInd w:val="0"/>
              <w:jc w:val="center"/>
            </w:pP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(-1.19)</w:t>
            </w:r>
          </w:p>
        </w:tc>
      </w:tr>
      <w:tr>
        <w:tblPrEx>
          <w:tblCellMar>
            <w:top w:w="0" w:type="dxa"/>
            <w:left w:w="108" w:type="dxa"/>
            <w:bottom w:w="0" w:type="dxa"/>
            <w:right w:w="108" w:type="dxa"/>
          </w:tblCellMar>
        </w:tblPrEx>
        <w:trPr>
          <w:jc w:val="center"/>
        </w:trPr>
        <w:tc>
          <w:tcPr>
            <w:tcW w:w="1258" w:type="pct"/>
            <w:tcBorders>
              <w:top w:val="nil"/>
              <w:left w:val="nil"/>
              <w:bottom w:val="nil"/>
              <w:right w:val="nil"/>
            </w:tcBorders>
          </w:tcPr>
          <w:p>
            <w:pPr>
              <w:pStyle w:val="30"/>
            </w:pPr>
            <w:r>
              <w:rPr>
                <w:rFonts w:hint="eastAsia"/>
              </w:rPr>
              <w:t>_cons</w:t>
            </w: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2.700</w:t>
            </w: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7.183</w:t>
            </w:r>
          </w:p>
        </w:tc>
        <w:tc>
          <w:tcPr>
            <w:tcW w:w="1584"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2.045</w:t>
            </w:r>
          </w:p>
        </w:tc>
        <w:tc>
          <w:tcPr>
            <w:tcW w:w="1592" w:type="dxa"/>
            <w:tcBorders>
              <w:top w:val="nil"/>
              <w:left w:val="nil"/>
              <w:bottom w:val="nil"/>
              <w:right w:val="nil"/>
            </w:tcBorders>
          </w:tcPr>
          <w:p>
            <w:pPr>
              <w:autoSpaceDE w:val="0"/>
              <w:autoSpaceDN w:val="0"/>
              <w:adjustRightInd w:val="0"/>
              <w:jc w:val="center"/>
            </w:pPr>
            <w:r>
              <w:rPr>
                <w:rFonts w:ascii="Times New Roman" w:hAnsi="Times New Roman" w:eastAsia="等线" w:cs="Times New Roman"/>
                <w:kern w:val="0"/>
                <w:lang w:bidi="ar"/>
              </w:rPr>
              <w:t>2.138</w:t>
            </w:r>
          </w:p>
        </w:tc>
      </w:tr>
      <w:tr>
        <w:tblPrEx>
          <w:tblCellMar>
            <w:top w:w="0" w:type="dxa"/>
            <w:left w:w="108" w:type="dxa"/>
            <w:bottom w:w="0" w:type="dxa"/>
            <w:right w:w="108" w:type="dxa"/>
          </w:tblCellMar>
        </w:tblPrEx>
        <w:trPr>
          <w:jc w:val="center"/>
        </w:trPr>
        <w:tc>
          <w:tcPr>
            <w:tcW w:w="1258" w:type="pct"/>
            <w:tcBorders>
              <w:top w:val="nil"/>
              <w:left w:val="nil"/>
              <w:bottom w:val="single" w:color="auto" w:sz="4" w:space="0"/>
              <w:right w:val="nil"/>
            </w:tcBorders>
          </w:tcPr>
          <w:p>
            <w:pPr>
              <w:pStyle w:val="30"/>
              <w:ind w:firstLine="480"/>
            </w:pPr>
          </w:p>
        </w:tc>
        <w:tc>
          <w:tcPr>
            <w:tcW w:w="1584" w:type="dxa"/>
            <w:tcBorders>
              <w:top w:val="nil"/>
              <w:left w:val="nil"/>
              <w:bottom w:val="single" w:color="auto" w:sz="4" w:space="0"/>
              <w:right w:val="nil"/>
            </w:tcBorders>
          </w:tcPr>
          <w:p>
            <w:pPr>
              <w:autoSpaceDE w:val="0"/>
              <w:autoSpaceDN w:val="0"/>
              <w:adjustRightInd w:val="0"/>
              <w:jc w:val="center"/>
            </w:pPr>
            <w:r>
              <w:rPr>
                <w:rFonts w:ascii="Times New Roman" w:hAnsi="Times New Roman" w:eastAsia="等线" w:cs="Times New Roman"/>
                <w:kern w:val="0"/>
                <w:lang w:bidi="ar"/>
              </w:rPr>
              <w:t>(0.90)</w:t>
            </w:r>
          </w:p>
        </w:tc>
        <w:tc>
          <w:tcPr>
            <w:tcW w:w="1584" w:type="dxa"/>
            <w:tcBorders>
              <w:top w:val="nil"/>
              <w:left w:val="nil"/>
              <w:bottom w:val="single" w:color="auto" w:sz="4" w:space="0"/>
              <w:right w:val="nil"/>
            </w:tcBorders>
          </w:tcPr>
          <w:p>
            <w:pPr>
              <w:autoSpaceDE w:val="0"/>
              <w:autoSpaceDN w:val="0"/>
              <w:adjustRightInd w:val="0"/>
              <w:jc w:val="center"/>
            </w:pPr>
            <w:r>
              <w:rPr>
                <w:rFonts w:ascii="Times New Roman" w:hAnsi="Times New Roman" w:eastAsia="等线" w:cs="Times New Roman"/>
                <w:kern w:val="0"/>
                <w:lang w:bidi="ar"/>
              </w:rPr>
              <w:t>(1.33)</w:t>
            </w:r>
          </w:p>
        </w:tc>
        <w:tc>
          <w:tcPr>
            <w:tcW w:w="1584" w:type="dxa"/>
            <w:tcBorders>
              <w:top w:val="nil"/>
              <w:left w:val="nil"/>
              <w:bottom w:val="single" w:color="auto" w:sz="4" w:space="0"/>
              <w:right w:val="nil"/>
            </w:tcBorders>
          </w:tcPr>
          <w:p>
            <w:pPr>
              <w:autoSpaceDE w:val="0"/>
              <w:autoSpaceDN w:val="0"/>
              <w:adjustRightInd w:val="0"/>
              <w:jc w:val="center"/>
            </w:pPr>
            <w:r>
              <w:rPr>
                <w:rFonts w:ascii="Times New Roman" w:hAnsi="Times New Roman" w:eastAsia="等线" w:cs="Times New Roman"/>
                <w:kern w:val="0"/>
                <w:lang w:bidi="ar"/>
              </w:rPr>
              <w:t>(1.55)</w:t>
            </w:r>
          </w:p>
        </w:tc>
        <w:tc>
          <w:tcPr>
            <w:tcW w:w="1592" w:type="dxa"/>
            <w:tcBorders>
              <w:top w:val="nil"/>
              <w:left w:val="nil"/>
              <w:bottom w:val="single" w:color="auto" w:sz="4" w:space="0"/>
              <w:right w:val="nil"/>
            </w:tcBorders>
          </w:tcPr>
          <w:p>
            <w:pPr>
              <w:autoSpaceDE w:val="0"/>
              <w:autoSpaceDN w:val="0"/>
              <w:adjustRightInd w:val="0"/>
              <w:jc w:val="center"/>
            </w:pPr>
            <w:r>
              <w:rPr>
                <w:rFonts w:ascii="Times New Roman" w:hAnsi="Times New Roman" w:eastAsia="等线" w:cs="Times New Roman"/>
                <w:kern w:val="0"/>
                <w:lang w:bidi="ar"/>
              </w:rPr>
              <w:t>(0.15)</w:t>
            </w:r>
          </w:p>
        </w:tc>
      </w:tr>
      <w:tr>
        <w:tblPrEx>
          <w:tblCellMar>
            <w:top w:w="0" w:type="dxa"/>
            <w:left w:w="108" w:type="dxa"/>
            <w:bottom w:w="0" w:type="dxa"/>
            <w:right w:w="108" w:type="dxa"/>
          </w:tblCellMar>
        </w:tblPrEx>
        <w:trPr>
          <w:jc w:val="center"/>
        </w:trPr>
        <w:tc>
          <w:tcPr>
            <w:tcW w:w="1258" w:type="pct"/>
            <w:tcBorders>
              <w:top w:val="single" w:color="auto" w:sz="4" w:space="0"/>
              <w:left w:val="nil"/>
              <w:right w:val="nil"/>
            </w:tcBorders>
          </w:tcPr>
          <w:p>
            <w:pPr>
              <w:pStyle w:val="30"/>
              <w:rPr>
                <w:i/>
                <w:iCs/>
              </w:rPr>
            </w:pPr>
            <w:r>
              <w:rPr>
                <w:rFonts w:hint="eastAsia"/>
              </w:rPr>
              <w:t>Individual FE</w:t>
            </w:r>
          </w:p>
        </w:tc>
        <w:tc>
          <w:tcPr>
            <w:tcW w:w="934" w:type="pct"/>
            <w:tcBorders>
              <w:top w:val="single" w:color="auto" w:sz="4" w:space="0"/>
              <w:left w:val="nil"/>
              <w:right w:val="nil"/>
            </w:tcBorders>
          </w:tcPr>
          <w:p>
            <w:pPr>
              <w:pStyle w:val="30"/>
              <w:jc w:val="center"/>
            </w:pPr>
            <w:r>
              <w:rPr>
                <w:rFonts w:hint="eastAsia"/>
              </w:rPr>
              <w:t>NO</w:t>
            </w:r>
          </w:p>
        </w:tc>
        <w:tc>
          <w:tcPr>
            <w:tcW w:w="934" w:type="pct"/>
            <w:tcBorders>
              <w:top w:val="single" w:color="auto" w:sz="4" w:space="0"/>
              <w:left w:val="nil"/>
              <w:right w:val="nil"/>
            </w:tcBorders>
          </w:tcPr>
          <w:p>
            <w:pPr>
              <w:pStyle w:val="30"/>
              <w:jc w:val="center"/>
            </w:pPr>
            <w:r>
              <w:rPr>
                <w:rFonts w:hint="eastAsia"/>
              </w:rPr>
              <w:t>NO</w:t>
            </w:r>
          </w:p>
        </w:tc>
        <w:tc>
          <w:tcPr>
            <w:tcW w:w="934" w:type="pct"/>
            <w:tcBorders>
              <w:top w:val="single" w:color="auto" w:sz="4" w:space="0"/>
              <w:left w:val="nil"/>
              <w:right w:val="nil"/>
            </w:tcBorders>
          </w:tcPr>
          <w:p>
            <w:pPr>
              <w:pStyle w:val="30"/>
              <w:jc w:val="center"/>
            </w:pPr>
            <w:r>
              <w:rPr>
                <w:rFonts w:hint="eastAsia"/>
              </w:rPr>
              <w:t>YES</w:t>
            </w:r>
          </w:p>
        </w:tc>
        <w:tc>
          <w:tcPr>
            <w:tcW w:w="938" w:type="pct"/>
            <w:tcBorders>
              <w:top w:val="single" w:color="auto" w:sz="4" w:space="0"/>
              <w:left w:val="nil"/>
              <w:right w:val="nil"/>
            </w:tcBorders>
          </w:tcPr>
          <w:p>
            <w:pPr>
              <w:pStyle w:val="30"/>
              <w:jc w:val="center"/>
            </w:pPr>
            <w:r>
              <w:rPr>
                <w:rFonts w:hint="eastAsia"/>
              </w:rPr>
              <w:t>YES</w:t>
            </w:r>
          </w:p>
        </w:tc>
      </w:tr>
      <w:tr>
        <w:tblPrEx>
          <w:tblCellMar>
            <w:top w:w="0" w:type="dxa"/>
            <w:left w:w="108" w:type="dxa"/>
            <w:bottom w:w="0" w:type="dxa"/>
            <w:right w:w="108" w:type="dxa"/>
          </w:tblCellMar>
        </w:tblPrEx>
        <w:trPr>
          <w:jc w:val="center"/>
        </w:trPr>
        <w:tc>
          <w:tcPr>
            <w:tcW w:w="1258" w:type="pct"/>
            <w:tcBorders>
              <w:top w:val="single" w:color="auto" w:sz="4" w:space="0"/>
              <w:left w:val="nil"/>
              <w:bottom w:val="nil"/>
              <w:right w:val="nil"/>
            </w:tcBorders>
          </w:tcPr>
          <w:p>
            <w:pPr>
              <w:pStyle w:val="30"/>
            </w:pPr>
            <w:r>
              <w:rPr>
                <w:rFonts w:hint="eastAsia"/>
              </w:rPr>
              <w:t>N</w:t>
            </w:r>
          </w:p>
        </w:tc>
        <w:tc>
          <w:tcPr>
            <w:tcW w:w="1584" w:type="dxa"/>
            <w:tcBorders>
              <w:top w:val="single" w:color="auto"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168</w:t>
            </w:r>
          </w:p>
        </w:tc>
        <w:tc>
          <w:tcPr>
            <w:tcW w:w="1584" w:type="dxa"/>
            <w:tcBorders>
              <w:top w:val="single" w:color="auto"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168</w:t>
            </w:r>
          </w:p>
        </w:tc>
        <w:tc>
          <w:tcPr>
            <w:tcW w:w="1584" w:type="dxa"/>
            <w:tcBorders>
              <w:top w:val="single" w:color="auto"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163</w:t>
            </w:r>
          </w:p>
        </w:tc>
        <w:tc>
          <w:tcPr>
            <w:tcW w:w="1592" w:type="dxa"/>
            <w:tcBorders>
              <w:top w:val="single" w:color="auto" w:sz="4" w:space="0"/>
              <w:left w:val="nil"/>
              <w:bottom w:val="nil"/>
              <w:right w:val="nil"/>
            </w:tcBorders>
          </w:tcPr>
          <w:p>
            <w:pPr>
              <w:autoSpaceDE w:val="0"/>
              <w:autoSpaceDN w:val="0"/>
              <w:adjustRightInd w:val="0"/>
              <w:jc w:val="center"/>
            </w:pPr>
            <w:r>
              <w:rPr>
                <w:rFonts w:ascii="Times New Roman" w:hAnsi="Times New Roman" w:eastAsia="等线" w:cs="Times New Roman"/>
                <w:kern w:val="0"/>
                <w:lang w:bidi="ar"/>
              </w:rPr>
              <w:t>163</w:t>
            </w:r>
          </w:p>
        </w:tc>
      </w:tr>
      <w:tr>
        <w:tblPrEx>
          <w:tblCellMar>
            <w:top w:w="0" w:type="dxa"/>
            <w:left w:w="108" w:type="dxa"/>
            <w:bottom w:w="0" w:type="dxa"/>
            <w:right w:w="108" w:type="dxa"/>
          </w:tblCellMar>
        </w:tblPrEx>
        <w:trPr>
          <w:jc w:val="center"/>
        </w:trPr>
        <w:tc>
          <w:tcPr>
            <w:tcW w:w="1258" w:type="pct"/>
            <w:tcBorders>
              <w:top w:val="nil"/>
              <w:left w:val="nil"/>
              <w:bottom w:val="single" w:color="auto" w:sz="12" w:space="0"/>
              <w:right w:val="nil"/>
            </w:tcBorders>
          </w:tcPr>
          <w:p>
            <w:pPr>
              <w:pStyle w:val="30"/>
            </w:pPr>
            <w:r>
              <w:rPr>
                <w:rFonts w:hint="eastAsia"/>
              </w:rPr>
              <w:t>adj. R</w:t>
            </w:r>
            <w:r>
              <w:rPr>
                <w:rFonts w:hint="eastAsia"/>
                <w:vertAlign w:val="superscript"/>
              </w:rPr>
              <w:t>2</w:t>
            </w:r>
          </w:p>
        </w:tc>
        <w:tc>
          <w:tcPr>
            <w:tcW w:w="1584" w:type="dxa"/>
            <w:tcBorders>
              <w:top w:val="nil"/>
              <w:left w:val="nil"/>
              <w:bottom w:val="single" w:color="auto" w:sz="12" w:space="0"/>
              <w:right w:val="nil"/>
            </w:tcBorders>
          </w:tcPr>
          <w:p>
            <w:pPr>
              <w:autoSpaceDE w:val="0"/>
              <w:autoSpaceDN w:val="0"/>
              <w:adjustRightInd w:val="0"/>
              <w:jc w:val="center"/>
            </w:pPr>
            <w:r>
              <w:rPr>
                <w:rFonts w:ascii="Times New Roman" w:hAnsi="Times New Roman" w:eastAsia="等线" w:cs="Times New Roman"/>
                <w:kern w:val="0"/>
                <w:lang w:bidi="ar"/>
              </w:rPr>
              <w:t>-0.006</w:t>
            </w:r>
          </w:p>
        </w:tc>
        <w:tc>
          <w:tcPr>
            <w:tcW w:w="1584" w:type="dxa"/>
            <w:tcBorders>
              <w:top w:val="nil"/>
              <w:left w:val="nil"/>
              <w:bottom w:val="single" w:color="auto" w:sz="12" w:space="0"/>
              <w:right w:val="nil"/>
            </w:tcBorders>
          </w:tcPr>
          <w:p>
            <w:pPr>
              <w:autoSpaceDE w:val="0"/>
              <w:autoSpaceDN w:val="0"/>
              <w:adjustRightInd w:val="0"/>
              <w:jc w:val="center"/>
            </w:pPr>
            <w:r>
              <w:rPr>
                <w:rFonts w:ascii="Times New Roman" w:hAnsi="Times New Roman" w:eastAsia="等线" w:cs="Times New Roman"/>
                <w:kern w:val="0"/>
                <w:lang w:bidi="ar"/>
              </w:rPr>
              <w:t>0.489</w:t>
            </w:r>
          </w:p>
        </w:tc>
        <w:tc>
          <w:tcPr>
            <w:tcW w:w="1584" w:type="dxa"/>
            <w:tcBorders>
              <w:top w:val="nil"/>
              <w:left w:val="nil"/>
              <w:bottom w:val="single" w:color="auto" w:sz="12" w:space="0"/>
              <w:right w:val="nil"/>
            </w:tcBorders>
          </w:tcPr>
          <w:p>
            <w:pPr>
              <w:autoSpaceDE w:val="0"/>
              <w:autoSpaceDN w:val="0"/>
              <w:adjustRightInd w:val="0"/>
              <w:jc w:val="center"/>
            </w:pPr>
            <w:r>
              <w:rPr>
                <w:rFonts w:ascii="Times New Roman" w:hAnsi="Times New Roman" w:eastAsia="等线" w:cs="Times New Roman"/>
                <w:kern w:val="0"/>
                <w:lang w:bidi="ar"/>
              </w:rPr>
              <w:t>0.798</w:t>
            </w:r>
          </w:p>
        </w:tc>
        <w:tc>
          <w:tcPr>
            <w:tcW w:w="1592" w:type="dxa"/>
            <w:tcBorders>
              <w:top w:val="nil"/>
              <w:left w:val="nil"/>
              <w:bottom w:val="single" w:color="auto" w:sz="12" w:space="0"/>
              <w:right w:val="nil"/>
            </w:tcBorders>
          </w:tcPr>
          <w:p>
            <w:pPr>
              <w:autoSpaceDE w:val="0"/>
              <w:autoSpaceDN w:val="0"/>
              <w:adjustRightInd w:val="0"/>
              <w:jc w:val="center"/>
            </w:pPr>
            <w:r>
              <w:rPr>
                <w:rFonts w:ascii="Times New Roman" w:hAnsi="Times New Roman" w:eastAsia="等线" w:cs="Times New Roman"/>
                <w:kern w:val="0"/>
                <w:lang w:bidi="ar"/>
              </w:rPr>
              <w:t>0.816</w:t>
            </w:r>
          </w:p>
        </w:tc>
      </w:tr>
    </w:tbl>
    <w:p>
      <w:pPr>
        <w:widowControl/>
        <w:jc w:val="left"/>
      </w:pPr>
      <w:r>
        <w:br w:type="page"/>
      </w:r>
    </w:p>
    <w:p>
      <w:pPr>
        <w:pStyle w:val="2"/>
        <w:spacing w:before="156" w:beforeLines="50" w:after="156" w:afterLines="50" w:line="240" w:lineRule="auto"/>
        <w:ind w:left="0" w:firstLine="0"/>
      </w:pPr>
      <w:bookmarkStart w:id="153" w:name="_Toc104210872"/>
      <w:bookmarkStart w:id="154" w:name="_Toc104983873"/>
      <w:bookmarkStart w:id="155" w:name="_Toc104216164"/>
      <w:r>
        <w:t>结论与展望</w:t>
      </w:r>
      <w:bookmarkEnd w:id="153"/>
      <w:bookmarkEnd w:id="154"/>
      <w:bookmarkEnd w:id="155"/>
    </w:p>
    <w:p>
      <w:pPr>
        <w:pStyle w:val="4"/>
        <w:spacing w:before="156" w:beforeLines="50" w:after="156" w:afterLines="50" w:line="240" w:lineRule="auto"/>
        <w:ind w:left="567"/>
      </w:pPr>
      <w:bookmarkStart w:id="156" w:name="_Toc104983874"/>
      <w:bookmarkStart w:id="157" w:name="_Toc104216165"/>
      <w:bookmarkStart w:id="158" w:name="_Toc104210873"/>
      <w:r>
        <w:t>研究结论与建议提出</w:t>
      </w:r>
      <w:bookmarkEnd w:id="156"/>
      <w:bookmarkEnd w:id="157"/>
      <w:bookmarkEnd w:id="158"/>
    </w:p>
    <w:p>
      <w:pPr>
        <w:pStyle w:val="5"/>
        <w:spacing w:before="0" w:after="0" w:line="480" w:lineRule="auto"/>
      </w:pPr>
      <w:bookmarkStart w:id="159" w:name="_Toc104983875"/>
      <w:bookmarkStart w:id="160" w:name="_Toc104264369"/>
      <w:bookmarkStart w:id="161" w:name="_Toc104221245"/>
      <w:bookmarkStart w:id="162" w:name="_Toc104264536"/>
      <w:bookmarkStart w:id="163" w:name="_Toc104265072"/>
      <w:r>
        <w:t>研究结论</w:t>
      </w:r>
      <w:bookmarkEnd w:id="159"/>
      <w:bookmarkEnd w:id="160"/>
      <w:bookmarkEnd w:id="161"/>
      <w:bookmarkEnd w:id="162"/>
      <w:bookmarkEnd w:id="163"/>
    </w:p>
    <w:p>
      <w:pPr>
        <w:pStyle w:val="3"/>
        <w:ind w:firstLine="480"/>
      </w:pPr>
      <w:r>
        <w:t>本研究以2014-2021年间重污染企业进行负面环境信息披露的行为作为研究对象，通过实证验证了三个假设，对负面环境信息披露的经济后果与作用机制进行了分析，结论总结如下：</w:t>
      </w:r>
    </w:p>
    <w:p>
      <w:pPr>
        <w:spacing w:line="360" w:lineRule="auto"/>
        <w:ind w:firstLine="480" w:firstLineChars="200"/>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（1）当重污染行业上市公司进行负面环境信息披露后，其市场绩效在短期、中长期都表现出了明显的负向趋势，且这种影响并非是投资者的过度反应。</w:t>
      </w:r>
    </w:p>
    <w:p>
      <w:pPr>
        <w:spacing w:line="360" w:lineRule="auto"/>
        <w:ind w:firstLine="480" w:firstLineChars="200"/>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（2）负面环境信息披露</w:t>
      </w:r>
      <w:r>
        <w:rPr>
          <w:rFonts w:hint="eastAsia" w:ascii="Times New Roman" w:hAnsi="Times New Roman" w:cs="Times New Roman" w:eastAsiaTheme="majorEastAsia"/>
          <w:bCs/>
          <w:sz w:val="24"/>
          <w:szCs w:val="24"/>
        </w:rPr>
        <w:t>对后续年度的</w:t>
      </w:r>
      <w:r>
        <w:rPr>
          <w:rFonts w:ascii="Times New Roman" w:hAnsi="Times New Roman" w:cs="Times New Roman" w:eastAsiaTheme="majorEastAsia"/>
          <w:bCs/>
          <w:sz w:val="24"/>
          <w:szCs w:val="24"/>
        </w:rPr>
        <w:t>公司价值有显著的负面影响。</w:t>
      </w:r>
    </w:p>
    <w:p>
      <w:pPr>
        <w:spacing w:line="360" w:lineRule="auto"/>
        <w:ind w:firstLine="480" w:firstLineChars="200"/>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（3）负面环境信息披露通过影响企业的财务风险来影响企业价值。负面环境信息披露后，企业的财务风险上升</w:t>
      </w:r>
      <w:r>
        <w:rPr>
          <w:rFonts w:hint="eastAsia" w:ascii="Times New Roman" w:hAnsi="Times New Roman" w:cs="Times New Roman" w:eastAsiaTheme="majorEastAsia"/>
          <w:bCs/>
          <w:sz w:val="24"/>
          <w:szCs w:val="24"/>
        </w:rPr>
        <w:t>，</w:t>
      </w:r>
      <w:r>
        <w:rPr>
          <w:rFonts w:ascii="Times New Roman" w:hAnsi="Times New Roman" w:cs="Times New Roman" w:eastAsiaTheme="majorEastAsia"/>
          <w:bCs/>
          <w:sz w:val="24"/>
          <w:szCs w:val="24"/>
        </w:rPr>
        <w:t>未来现金流受到影响，影响企业的经营绩效，使得企业价值下降。财务风险</w:t>
      </w:r>
      <w:r>
        <w:rPr>
          <w:rFonts w:hint="eastAsia" w:ascii="Times New Roman" w:hAnsi="Times New Roman" w:cs="Times New Roman" w:eastAsiaTheme="majorEastAsia"/>
          <w:bCs/>
          <w:sz w:val="24"/>
          <w:szCs w:val="24"/>
        </w:rPr>
        <w:t>在</w:t>
      </w:r>
      <w:r>
        <w:rPr>
          <w:rFonts w:ascii="Times New Roman" w:hAnsi="Times New Roman" w:cs="Times New Roman" w:eastAsiaTheme="majorEastAsia"/>
          <w:bCs/>
          <w:sz w:val="24"/>
          <w:szCs w:val="24"/>
        </w:rPr>
        <w:t>负面环境信息披露</w:t>
      </w:r>
      <w:r>
        <w:rPr>
          <w:rFonts w:hint="eastAsia" w:ascii="Times New Roman" w:hAnsi="Times New Roman" w:cs="Times New Roman" w:eastAsiaTheme="majorEastAsia"/>
          <w:bCs/>
          <w:sz w:val="24"/>
          <w:szCs w:val="24"/>
        </w:rPr>
        <w:t>影响企业价值的过程中起部分中介作用。</w:t>
      </w:r>
    </w:p>
    <w:p>
      <w:pPr>
        <w:pStyle w:val="5"/>
        <w:spacing w:before="0" w:after="0" w:line="480" w:lineRule="auto"/>
      </w:pPr>
      <w:bookmarkStart w:id="164" w:name="_Toc104264370"/>
      <w:bookmarkStart w:id="165" w:name="_Toc104265073"/>
      <w:bookmarkStart w:id="166" w:name="_Toc104264537"/>
      <w:bookmarkStart w:id="167" w:name="_Toc104221246"/>
      <w:bookmarkStart w:id="168" w:name="_Toc104983876"/>
      <w:r>
        <w:t>建议提出</w:t>
      </w:r>
      <w:bookmarkEnd w:id="164"/>
      <w:bookmarkEnd w:id="165"/>
      <w:bookmarkEnd w:id="166"/>
      <w:bookmarkEnd w:id="167"/>
      <w:bookmarkEnd w:id="168"/>
    </w:p>
    <w:p>
      <w:pPr>
        <w:spacing w:line="360" w:lineRule="auto"/>
        <w:ind w:firstLine="480" w:firstLineChars="200"/>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基于本文的研究结论，我们对于发展绿色经济，促进资本市场良性发展提出以下建议：</w:t>
      </w:r>
    </w:p>
    <w:p>
      <w:pPr>
        <w:tabs>
          <w:tab w:val="left" w:pos="420"/>
        </w:tabs>
        <w:spacing w:line="360" w:lineRule="auto"/>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ab/>
      </w:r>
      <w:r>
        <w:rPr>
          <w:rFonts w:ascii="Times New Roman" w:hAnsi="Times New Roman" w:cs="Times New Roman" w:eastAsiaTheme="majorEastAsia"/>
          <w:bCs/>
          <w:sz w:val="24"/>
          <w:szCs w:val="24"/>
        </w:rPr>
        <w:t>（1）重污染行业内的上市公司应加强内部监督与控制，关注企业的环境绩效，针对问题及时进行整改，减少</w:t>
      </w:r>
      <w:r>
        <w:rPr>
          <w:rFonts w:hint="eastAsia" w:ascii="Times New Roman" w:hAnsi="Times New Roman" w:cs="Times New Roman" w:eastAsiaTheme="majorEastAsia"/>
          <w:bCs/>
          <w:sz w:val="24"/>
          <w:szCs w:val="24"/>
        </w:rPr>
        <w:t>未来</w:t>
      </w:r>
      <w:r>
        <w:rPr>
          <w:rFonts w:ascii="Times New Roman" w:hAnsi="Times New Roman" w:cs="Times New Roman" w:eastAsiaTheme="majorEastAsia"/>
          <w:bCs/>
          <w:sz w:val="24"/>
          <w:szCs w:val="24"/>
        </w:rPr>
        <w:t>环境违规等负面事件的发生</w:t>
      </w:r>
      <w:r>
        <w:rPr>
          <w:rFonts w:hint="eastAsia" w:ascii="Times New Roman" w:hAnsi="Times New Roman" w:cs="Times New Roman" w:eastAsiaTheme="majorEastAsia"/>
          <w:bCs/>
          <w:sz w:val="24"/>
          <w:szCs w:val="24"/>
        </w:rPr>
        <w:t>的可能性</w:t>
      </w:r>
      <w:r>
        <w:rPr>
          <w:rFonts w:ascii="Times New Roman" w:hAnsi="Times New Roman" w:cs="Times New Roman" w:eastAsiaTheme="majorEastAsia"/>
          <w:bCs/>
          <w:sz w:val="24"/>
          <w:szCs w:val="24"/>
        </w:rPr>
        <w:t>，以降低企业价值折损的风险。</w:t>
      </w:r>
    </w:p>
    <w:p>
      <w:pPr>
        <w:tabs>
          <w:tab w:val="left" w:pos="420"/>
        </w:tabs>
        <w:spacing w:line="360" w:lineRule="auto"/>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ab/>
      </w:r>
      <w:r>
        <w:rPr>
          <w:rFonts w:ascii="Times New Roman" w:hAnsi="Times New Roman" w:cs="Times New Roman" w:eastAsiaTheme="majorEastAsia"/>
          <w:bCs/>
          <w:sz w:val="24"/>
          <w:szCs w:val="24"/>
        </w:rPr>
        <w:t>（2）环保部门应进一步完善并落实环境信息披露制度，以规范企业披露行为，从而利用市场的惩罚机制，倒逼企业约束自身，减少环境污染行为，促进我国经济可持续化发展。</w:t>
      </w:r>
    </w:p>
    <w:p>
      <w:pPr>
        <w:tabs>
          <w:tab w:val="left" w:pos="420"/>
        </w:tabs>
        <w:spacing w:line="360" w:lineRule="auto"/>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ab/>
      </w:r>
      <w:r>
        <w:rPr>
          <w:rFonts w:ascii="Times New Roman" w:hAnsi="Times New Roman" w:cs="Times New Roman" w:eastAsiaTheme="majorEastAsia"/>
          <w:bCs/>
          <w:sz w:val="24"/>
          <w:szCs w:val="24"/>
        </w:rPr>
        <w:t>（3）相关部门可以通过金融教育，进一步提升投资者金融素养、推广社会责任投资理论，引导投资者更多地关注企业的环境信息披露信息，推动我国资本市场良性发展，也可以促使企业更加关注自身的环境绩效，实现绿色发展。</w:t>
      </w:r>
      <w:bookmarkStart w:id="169" w:name="_Toc104210874"/>
    </w:p>
    <w:p>
      <w:pPr>
        <w:tabs>
          <w:tab w:val="left" w:pos="420"/>
        </w:tabs>
        <w:spacing w:line="360" w:lineRule="auto"/>
        <w:rPr>
          <w:rFonts w:ascii="Times New Roman" w:hAnsi="Times New Roman" w:cs="Times New Roman" w:eastAsiaTheme="majorEastAsia"/>
          <w:bCs/>
          <w:sz w:val="24"/>
          <w:szCs w:val="24"/>
        </w:rPr>
      </w:pPr>
    </w:p>
    <w:p>
      <w:pPr>
        <w:tabs>
          <w:tab w:val="left" w:pos="420"/>
        </w:tabs>
        <w:spacing w:line="360" w:lineRule="auto"/>
        <w:rPr>
          <w:rFonts w:ascii="Times New Roman" w:hAnsi="Times New Roman" w:cs="Times New Roman" w:eastAsiaTheme="majorEastAsia"/>
          <w:bCs/>
          <w:sz w:val="24"/>
          <w:szCs w:val="24"/>
        </w:rPr>
      </w:pPr>
    </w:p>
    <w:p>
      <w:pPr>
        <w:pStyle w:val="4"/>
        <w:spacing w:before="156" w:beforeLines="50" w:after="156" w:afterLines="50" w:line="240" w:lineRule="auto"/>
        <w:ind w:left="567"/>
      </w:pPr>
      <w:bookmarkStart w:id="170" w:name="_Toc104983877"/>
      <w:bookmarkStart w:id="171" w:name="_Toc104216166"/>
      <w:r>
        <w:t>研究局限与展望</w:t>
      </w:r>
      <w:bookmarkEnd w:id="169"/>
      <w:bookmarkEnd w:id="170"/>
      <w:bookmarkEnd w:id="171"/>
    </w:p>
    <w:p>
      <w:pPr>
        <w:spacing w:line="360" w:lineRule="auto"/>
        <w:ind w:firstLine="420"/>
        <w:rPr>
          <w:rFonts w:ascii="Times New Roman" w:hAnsi="Times New Roman" w:cs="Times New Roman" w:eastAsiaTheme="majorEastAsia"/>
          <w:bCs/>
          <w:sz w:val="24"/>
          <w:szCs w:val="24"/>
        </w:rPr>
      </w:pPr>
      <w:r>
        <w:rPr>
          <w:rFonts w:hint="eastAsia" w:ascii="Times New Roman" w:hAnsi="Times New Roman" w:cs="Times New Roman" w:eastAsiaTheme="majorEastAsia"/>
          <w:bCs/>
          <w:sz w:val="24"/>
          <w:szCs w:val="24"/>
        </w:rPr>
        <w:t>首先是</w:t>
      </w:r>
      <w:r>
        <w:rPr>
          <w:rFonts w:ascii="Times New Roman" w:hAnsi="Times New Roman" w:cs="Times New Roman" w:eastAsiaTheme="majorEastAsia"/>
          <w:bCs/>
          <w:sz w:val="24"/>
          <w:szCs w:val="24"/>
        </w:rPr>
        <w:t>样本数量有限</w:t>
      </w:r>
      <w:r>
        <w:rPr>
          <w:rFonts w:hint="eastAsia" w:ascii="Times New Roman" w:hAnsi="Times New Roman" w:cs="Times New Roman" w:eastAsiaTheme="majorEastAsia"/>
          <w:bCs/>
          <w:sz w:val="24"/>
          <w:szCs w:val="24"/>
        </w:rPr>
        <w:t>。</w:t>
      </w:r>
      <w:r>
        <w:rPr>
          <w:rFonts w:ascii="Times New Roman" w:hAnsi="Times New Roman" w:cs="Times New Roman" w:eastAsiaTheme="majorEastAsia"/>
          <w:bCs/>
          <w:sz w:val="24"/>
          <w:szCs w:val="24"/>
        </w:rPr>
        <w:t>本文针对2014-2021年企业披露的负面环境信息展开研究，但环境信息披露在我国尚处于起步阶段，此前纳入国家重点监控并实施强制性信息披露的企业占重污染企业的比重不到20%，且规范性要求不够且内外部监管机制不健全，多数企业“报喜不报忧”，负面环境信息披露不足，使得本研究的样本有限。在2021年12月21日，《企业环境信息依法披露管理办法》的发布进一步推动企业强制性披露环境信息，对改革后的环境信息依法披露提出了明确的要求，使得披露主体更加多元、披露内容更加规范，之后的研究可以获取更加充足的样本数据进行实证分析，或者检验这一政策推行后企业环境信息披露的经济后果变化。</w:t>
      </w:r>
    </w:p>
    <w:p>
      <w:pPr>
        <w:spacing w:line="360" w:lineRule="auto"/>
        <w:ind w:firstLine="420"/>
        <w:rPr>
          <w:rFonts w:ascii="Times New Roman" w:hAnsi="Times New Roman" w:cs="Times New Roman" w:eastAsiaTheme="majorEastAsia"/>
          <w:bCs/>
          <w:sz w:val="24"/>
          <w:szCs w:val="24"/>
        </w:rPr>
      </w:pPr>
      <w:r>
        <w:rPr>
          <w:rFonts w:hint="eastAsia" w:ascii="Times New Roman" w:hAnsi="Times New Roman" w:cs="Times New Roman" w:eastAsiaTheme="majorEastAsia"/>
          <w:bCs/>
          <w:sz w:val="24"/>
          <w:szCs w:val="24"/>
        </w:rPr>
        <w:t>此外，还</w:t>
      </w:r>
      <w:r>
        <w:rPr>
          <w:rFonts w:ascii="Times New Roman" w:hAnsi="Times New Roman" w:cs="Times New Roman" w:eastAsiaTheme="majorEastAsia"/>
          <w:bCs/>
          <w:sz w:val="24"/>
          <w:szCs w:val="24"/>
        </w:rPr>
        <w:t>存在其他可能的作用机制</w:t>
      </w:r>
      <w:r>
        <w:rPr>
          <w:rFonts w:hint="eastAsia" w:ascii="Times New Roman" w:hAnsi="Times New Roman" w:cs="Times New Roman" w:eastAsiaTheme="majorEastAsia"/>
          <w:bCs/>
          <w:sz w:val="24"/>
          <w:szCs w:val="24"/>
        </w:rPr>
        <w:t>有待检验。</w:t>
      </w:r>
      <w:r>
        <w:rPr>
          <w:rFonts w:ascii="Times New Roman" w:hAnsi="Times New Roman" w:cs="Times New Roman" w:eastAsiaTheme="majorEastAsia"/>
          <w:bCs/>
          <w:sz w:val="24"/>
          <w:szCs w:val="24"/>
        </w:rPr>
        <w:t>本研究仅</w:t>
      </w:r>
      <w:r>
        <w:rPr>
          <w:rFonts w:hint="eastAsia" w:ascii="Times New Roman" w:hAnsi="Times New Roman" w:cs="Times New Roman" w:eastAsiaTheme="majorEastAsia"/>
          <w:bCs/>
          <w:sz w:val="24"/>
          <w:szCs w:val="24"/>
        </w:rPr>
        <w:t>从</w:t>
      </w:r>
      <w:r>
        <w:rPr>
          <w:rFonts w:ascii="Times New Roman" w:hAnsi="Times New Roman" w:cs="Times New Roman" w:eastAsiaTheme="majorEastAsia"/>
          <w:bCs/>
          <w:sz w:val="24"/>
          <w:szCs w:val="24"/>
        </w:rPr>
        <w:t>财务风险角度进行了作用机制的分析，后续研究还可以从媒体传播、投资者情绪等角度研究负面环境信息披露影响公司价值的作用机制。</w:t>
      </w:r>
    </w:p>
    <w:p>
      <w:pPr>
        <w:spacing w:line="360" w:lineRule="auto"/>
        <w:ind w:firstLine="420"/>
        <w:rPr>
          <w:rFonts w:ascii="Times New Roman" w:hAnsi="Times New Roman" w:cs="Times New Roman" w:eastAsiaTheme="majorEastAsia"/>
          <w:b/>
          <w:sz w:val="36"/>
          <w:szCs w:val="36"/>
        </w:rPr>
      </w:pPr>
      <w:r>
        <w:rPr>
          <w:rFonts w:ascii="Times New Roman" w:hAnsi="Times New Roman" w:cs="Times New Roman" w:eastAsiaTheme="majorEastAsia"/>
          <w:b/>
          <w:sz w:val="36"/>
          <w:szCs w:val="36"/>
        </w:rPr>
        <w:br w:type="page"/>
      </w:r>
    </w:p>
    <w:p>
      <w:pPr>
        <w:pStyle w:val="2"/>
        <w:numPr>
          <w:ilvl w:val="0"/>
          <w:numId w:val="0"/>
        </w:numPr>
        <w:spacing w:before="156" w:beforeLines="50" w:after="156" w:afterLines="50" w:line="240" w:lineRule="auto"/>
      </w:pPr>
      <w:bookmarkStart w:id="172" w:name="_Toc104210875"/>
      <w:bookmarkStart w:id="173" w:name="_Toc104983878"/>
      <w:bookmarkStart w:id="174" w:name="_Toc104216167"/>
      <w:r>
        <w:t>致谢</w:t>
      </w:r>
      <w:bookmarkEnd w:id="172"/>
      <w:bookmarkEnd w:id="173"/>
      <w:bookmarkEnd w:id="174"/>
    </w:p>
    <w:p>
      <w:pPr>
        <w:pStyle w:val="3"/>
        <w:ind w:firstLine="480"/>
      </w:pPr>
      <w:r>
        <w:t>值此论文完成之际，我的大学生活也即将迎来终点，心中有万般不舍，也期待着下一场旅途。</w:t>
      </w:r>
    </w:p>
    <w:p>
      <w:pPr>
        <w:pStyle w:val="3"/>
        <w:ind w:firstLine="480"/>
      </w:pPr>
      <w:r>
        <w:t>首先要感谢我的导师李安泰老师。从论文的选题，到每一次的讨论答疑，李老师都提出了许多专业的建议，让我在瓶颈时有了方向。您对科研工作的热情、对班级学生的关怀深深感染着我，在此向李老师表示真挚的谢意。同时也感谢在答辩环节对我的论文提出了修改与指导意见的各位老师，宝贵的建议是督促我不断精进的动力。祝愿所有老师生活顺心、工作顺利，paper多多！</w:t>
      </w:r>
    </w:p>
    <w:p>
      <w:pPr>
        <w:pStyle w:val="3"/>
        <w:ind w:firstLine="480"/>
      </w:pPr>
      <w:r>
        <w:t>感谢我的父母和家人，感谢你们一路的支持。你们无微不至的关怀、无私的爱与包容是我克服困难、不断进取的动力。祝愿我的家人身体健康，平安喜乐。</w:t>
      </w:r>
    </w:p>
    <w:p>
      <w:pPr>
        <w:pStyle w:val="3"/>
        <w:ind w:firstLine="480"/>
      </w:pPr>
      <w:r>
        <w:t>感谢我的朋友，感谢你们一路的相伴。你们给我的大学生活带来了丰富的色彩，让我有了无数想要珍藏的回忆。祝愿我的朋友们前路顺遂，在自己的舞台上发光发热。</w:t>
      </w:r>
    </w:p>
    <w:p>
      <w:pPr>
        <w:pStyle w:val="3"/>
        <w:ind w:firstLine="480"/>
      </w:pPr>
      <w:r>
        <w:t>感谢华中科技大学管理学院对我的教育和培养，感谢这一路走来的风景，感谢每一个陪伴过我的人。</w:t>
      </w:r>
    </w:p>
    <w:p>
      <w:pPr>
        <w:pStyle w:val="3"/>
        <w:ind w:firstLine="480"/>
      </w:pPr>
      <w:r>
        <w:t>前路仍遥远，谅我以“你好”作别。</w:t>
      </w:r>
    </w:p>
    <w:p>
      <w:pPr>
        <w:spacing w:line="360" w:lineRule="auto"/>
        <w:ind w:firstLine="480" w:firstLineChars="200"/>
        <w:rPr>
          <w:rFonts w:ascii="Times New Roman" w:hAnsi="Times New Roman" w:cs="Times New Roman" w:eastAsiaTheme="majorEastAsia"/>
          <w:sz w:val="24"/>
        </w:rPr>
      </w:pPr>
    </w:p>
    <w:p>
      <w:pPr>
        <w:spacing w:line="360" w:lineRule="auto"/>
        <w:ind w:firstLine="480" w:firstLineChars="200"/>
        <w:rPr>
          <w:rFonts w:ascii="Times New Roman" w:hAnsi="Times New Roman" w:cs="Times New Roman" w:eastAsiaTheme="majorEastAsia"/>
          <w:sz w:val="24"/>
        </w:rPr>
      </w:pPr>
    </w:p>
    <w:p>
      <w:pPr>
        <w:spacing w:line="360" w:lineRule="auto"/>
        <w:ind w:firstLine="480" w:firstLineChars="200"/>
        <w:jc w:val="right"/>
        <w:rPr>
          <w:rFonts w:ascii="Times New Roman" w:hAnsi="Times New Roman" w:cs="Times New Roman" w:eastAsiaTheme="majorEastAsia"/>
          <w:sz w:val="24"/>
        </w:rPr>
      </w:pPr>
      <w:r>
        <w:rPr>
          <w:rFonts w:ascii="Times New Roman" w:hAnsi="Times New Roman" w:cs="Times New Roman" w:eastAsiaTheme="majorEastAsia"/>
          <w:sz w:val="24"/>
        </w:rPr>
        <w:t>黄安然</w:t>
      </w:r>
    </w:p>
    <w:p>
      <w:pPr>
        <w:spacing w:line="360" w:lineRule="auto"/>
        <w:ind w:firstLine="480" w:firstLineChars="200"/>
        <w:jc w:val="right"/>
        <w:rPr>
          <w:rFonts w:ascii="Times New Roman" w:hAnsi="Times New Roman" w:cs="Times New Roman" w:eastAsiaTheme="majorEastAsia"/>
          <w:sz w:val="24"/>
        </w:rPr>
      </w:pPr>
      <w:r>
        <w:rPr>
          <w:rFonts w:ascii="Times New Roman" w:hAnsi="Times New Roman" w:cs="Times New Roman" w:eastAsiaTheme="majorEastAsia"/>
          <w:sz w:val="24"/>
        </w:rPr>
        <w:t>2022年5月12日</w:t>
      </w:r>
    </w:p>
    <w:p>
      <w:pPr>
        <w:rPr>
          <w:rFonts w:ascii="Times New Roman" w:hAnsi="Times New Roman" w:cs="Times New Roman" w:eastAsiaTheme="majorEastAsia"/>
          <w:b/>
          <w:sz w:val="36"/>
          <w:szCs w:val="36"/>
        </w:rPr>
      </w:pPr>
      <w:r>
        <w:rPr>
          <w:rFonts w:ascii="Times New Roman" w:hAnsi="Times New Roman" w:cs="Times New Roman" w:eastAsiaTheme="majorEastAsia"/>
          <w:b/>
          <w:sz w:val="36"/>
          <w:szCs w:val="36"/>
        </w:rPr>
        <w:br w:type="page"/>
      </w:r>
    </w:p>
    <w:p>
      <w:pPr>
        <w:pStyle w:val="2"/>
        <w:numPr>
          <w:ilvl w:val="0"/>
          <w:numId w:val="0"/>
        </w:numPr>
        <w:spacing w:before="156" w:beforeLines="50" w:after="156" w:afterLines="50" w:line="240" w:lineRule="auto"/>
      </w:pPr>
      <w:bookmarkStart w:id="175" w:name="_Toc104983879"/>
      <w:bookmarkStart w:id="176" w:name="_Toc104216168"/>
      <w:bookmarkStart w:id="177" w:name="_Toc104210876"/>
      <w:r>
        <w:t>参考文献</w:t>
      </w:r>
      <w:bookmarkEnd w:id="175"/>
      <w:bookmarkEnd w:id="176"/>
      <w:bookmarkEnd w:id="177"/>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eastAsiaTheme="majorEastAsia"/>
          <w:kern w:val="2"/>
          <w:szCs w:val="24"/>
        </w:rPr>
        <w:t>Daniel Klerman. Comment on Brady, Evans &amp;amp; Wehrly, reputational penalties for environmental violations: A pure and scientific replication study[J]. International Review of Law &amp;amp; Economics,2020,63(prepublish).</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eastAsiaTheme="majorEastAsia"/>
          <w:kern w:val="2"/>
          <w:szCs w:val="24"/>
        </w:rPr>
        <w:t>Kristel Buysse,Alain Verbeke. Proactive Environmental Strategies: A Stakeholder Management Perspective[J]. Strategic Management Journal,2003,24(5).</w:t>
      </w:r>
    </w:p>
    <w:p>
      <w:pPr>
        <w:pStyle w:val="51"/>
        <w:widowControl/>
        <w:numPr>
          <w:ilvl w:val="0"/>
          <w:numId w:val="5"/>
        </w:numPr>
        <w:tabs>
          <w:tab w:val="left" w:pos="420"/>
        </w:tabs>
        <w:snapToGrid w:val="0"/>
        <w:spacing w:before="0" w:beforeAutospacing="0" w:after="0" w:afterAutospacing="0" w:line="360" w:lineRule="auto"/>
        <w:ind w:left="480" w:hanging="480" w:hangingChars="200"/>
        <w:jc w:val="both"/>
        <w:rPr>
          <w:rFonts w:eastAsiaTheme="majorEastAsia"/>
          <w:kern w:val="2"/>
          <w:szCs w:val="24"/>
        </w:rPr>
      </w:pPr>
      <w:r>
        <w:rPr>
          <w:rFonts w:eastAsiaTheme="majorEastAsia"/>
          <w:kern w:val="2"/>
          <w:szCs w:val="24"/>
        </w:rPr>
        <w:t>Paul Lanoie,Benoı̂t Laplante,Maité Roy. Can capital markets create incentives for pollution control?[J]. Ecological Economics,1998,26(1).</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eastAsiaTheme="majorEastAsia"/>
          <w:kern w:val="2"/>
          <w:szCs w:val="24"/>
        </w:rPr>
        <w:t>Peter M. Clarkson,Xiaohua Fang,Yue Li,Gordon Richardson. The relevance of environmental disclosures: Are such disclosures incrementally informative?[J]. Journal of Accounting and Public Policy,2013,32(5).</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eastAsiaTheme="majorEastAsia"/>
          <w:kern w:val="2"/>
          <w:szCs w:val="24"/>
        </w:rPr>
        <w:t>Richardson Alan J. Welker Michael Hutchinson Ian R.. Managing Capital Market Reactions to Corporate Social Resposibility[J]. International Journal of Management Reviews,1999,1(1).</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eastAsiaTheme="majorEastAsia"/>
          <w:kern w:val="2"/>
          <w:szCs w:val="24"/>
        </w:rPr>
        <w:t>Susmita Dasgupta,Benoit Laplante,Nlandu Mamingi,Hua Wang. Inspections, pollution prices, and environmental performance: evidence from China[J]. Ecological Economics,2001,36(3).</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eastAsiaTheme="majorEastAsia"/>
          <w:kern w:val="2"/>
          <w:szCs w:val="24"/>
        </w:rPr>
        <w:t>Susmita Dasgupta,Jong Ho Hong,Benoit Laplante,Nlandu Mamingi. Disclosure of environmental violations and stock market in the Republic of Korea[J]. Ecological Economics,2005,58(4).</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eastAsiaTheme="majorEastAsia"/>
          <w:kern w:val="2"/>
          <w:szCs w:val="24"/>
        </w:rPr>
        <w:t>X. D. Xu,S. X. Zeng,H. L. Zou,Jonathan J. Shi. The Impact of Corporate Environmental Violation on Shareholders' Wealth: a Perspective Taken from Media Coverage[J]. Business Strategy and the Environment,2016,25(2).</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eastAsiaTheme="majorEastAsia"/>
          <w:kern w:val="2"/>
          <w:szCs w:val="24"/>
        </w:rPr>
        <w:t>Yan Jiang,Le Luo. Market reactions to environmental policies: Evidence from China[J]. Corporate Social Responsibility and Environmental Management,2018,25(5).</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eastAsiaTheme="majorEastAsia"/>
          <w:kern w:val="2"/>
          <w:szCs w:val="24"/>
        </w:rPr>
        <w:t>Zhou,Yin. Stock market reactions to environmental disclosures: new evidence from China[J]. Applied Economics Letters,2018,25(13).</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包罗. 环境信息披露对市场表现及财务绩效的影响研究[D].南京农业大学,2018.DOI:10.27244/d.cnki.gnjnu.2018.001249.</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曾国安,张宏强,刘轶芳,赵家秀,李霞.企业市场表现、财务绩效及环境信息披露——基于重污染上市企业的分析[J].吉林大学社会科学学报,2021,61(04):94-104+236.DOI:10.15939/j.jujsse.2021.04.jj3.</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常凯.环境信息披露对财务绩效的影响——基于中国重污染行业截面数据的实证分析[J].财经论丛,2015(01):71-77.DOI:10.13762/j.cnki.cjlc.2015.01.010.</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陈丹雅. 负面环境信息对企业声誉的影响研究[D].南京理工大学,2020.DOI:10.27241/d.cnki.gnjgu.2020.001132.</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陈梦兰. 环境会计信息披露对企业价值的影响研究[D].广东财经大学,2014.</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丁相安. 环境行政处罚和环境信息披露对公司价值的影响研究[D].大连理工大学,2020.DOI:10.26991/d.cnki.gdllu.2020.003672.</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范丹,付嘉为.环境信息披露对企业全要素生产率的影响[J].中国环境科学,2021,41(07):3463-3472.DOI:10.19674/j.cnki.issn1000-6923.2021.0321.</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方颖,郭俊杰.中国环境信息披露政策是否有效:基于资本市场反应的研究[J].经济研究,2018,53(10):158-174.</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冯丽艳. 社会责任表现对权益资本成本的影响机制研究[D].北京交通大学,2017.</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胡冬. 上市公司环境信息披露的市场反应研究[D].武汉理工大学,2008.</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贾敬全. 上市公司环境信息披露监管研究[D].中国矿业大学,2015.</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孔东民,徐茗丽,黄京.环境污染、媒体曝光与不同类型的投资者反应[J].华中科技大学学报（社会科学版）,2013,27(02):82-89.DOI:10.19648/j.cnki.jhustss1980.2013.02.014.</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李宏伟. 媒体监督、环境信息披露与公司价值研究[D].中国矿业大学,2016.</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李慧云,符少燕,高鹏.媒体关注、碳信息披露与企业价值[J].统计研究,2016,33(09):63-69.DOI:10.19343/j.cnki.11-1302/c.2016.09.008.</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李京楠. 上市公司环境信息披露监管研究[D].对外经济贸易大学,2019.DOI:10.27015/d.cnki.gdwju.2019.000460.</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李井林,阳镇,陈劲,崔文清.ESG促进企业绩效的机制研究——基于企业创新的视角[J].科学学与科学技术管理,2021,42(09):71-89.</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李茜,徐佳铭,熊杰,刘海鑫.企业社会责任一致性对财务绩效的影响研究[J].管理学报,2022,19(02):245-253.</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李蕊. 媒体报道对企业绩效的影响研究[D].湖南大学,2019.DOI:10.27135/d.cnki.ghudu.2019.001414.</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廉洁. 企业环境信息披露的动因研究[D].吉林大学,2009.</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林龙.社会责任投资实证分析[J].福建商学院学报,2017(03):1-11+79.DOI:10.19473/j.cnki.1008-4940.2017.03.001.</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刘菊. 环境信息披露、资本结构与公司价值[D].湖北工业大学,2016.</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孟佳. 企业环境信息披露的投资者反应[D].四川大学,2021.</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孟晓华. 企业环境信息披露的驱动机制研究[D].上海交通大学,2014.</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石羞月.上市公司环境信息披露的市场反应研究——以中石化为例[J].时代金融,2019(30):58-60.</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宋慧敏. 上市公司环境信息披露的市场反应研究[D].南京农业大学,2019.DOI:10.27244/d.cnki.gnjnu.2019.001350.</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苏利平,徐晶.企业环境信息披露违规事件市场反应分析——以D上市公司为例[J].经济研究导刊,2022(05):52-55.</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唐松,施文,孙安其.环境污染曝光与公司价值——理论机制与实证检验[J].金融研究,2019(08):133-150.</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王琳璘,廉永辉,董捷.ESG表现对企业价值的影响机制研究[J].证券市场导报,2022(05):23-34.</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吴文洋,唐绅峰,韦施威.社会责任、媒体关注与企业财务风险——基于中国上市公司的经验证据[J].管理学刊,2022,35(01):124-141.DOI:10.19808/j.cnki.41-1408/f.2022.0009.</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武恒光,王守海.债券市场参与者关注公司环境信息吗?——来自中国重污染上市公司的经验证据[J].会计研究,2016(09):68-74.</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徐建中,贯君,林艳.基于Meta分析的企业环境绩效与财务绩效关系研究[J].管理学报,2018,15(02):246-254.</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闫明. 我国石化行业上市公司环境信息披露的市场反应研究[D].西南大学,2012.</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严方. 我国上市公司环境违规信息披露市场反应的实证研究[D].上海交通大学,2013.</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杨广青,杜亚飞,刘韵哲.企业经营绩效、媒体关注与环境信息披露[J].经济管s理,2020,42(03):55-72.DOI:10.19616/j.cnki.bmj.2020.03.004.</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杨斯悦. 企业环境信息披露质量的影响因素和经济后果研究[D].西北大学,2020.DOI:10.27405/d.cnki.gxbdu.2020.002251.</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杨园华. 碳信息披露对企业价值创造的影响[D].哈尔滨工业大学,2015.</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姚珏. 环境信息披露、市场响应与企业价值研究[D].杭州电子科技大学,2018.</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殷会茹. 环境信息披露对股票市场表现的影响研究[D].哈尔滨工业大学,2013.</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战相颖. 环境会计信息披露与企业价值相关性研究[D].东北财经大学,2015.</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张淑惠,史玄玄,文雷.环境信息披露能提升企业价值吗?——来自中国沪市的经验证据[J].经济社会体制比较,2011(06):166-173.</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张长明,吴宇唯.上市公司环境会计信息披露负外部性及经济法规制[J].湘潭大学学报(哲学社会科学版),2017,41(03):47-50.DOI:10.13715/j.cnki.jxupss.2017.03.008.</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郑若娟.中国重污染行业环境信息披露水平及其影响因素[J].经济管理,2013,35(07):35-46.DOI:10.19616/j.cnki.bmj.2013.07.006.</w:t>
      </w:r>
    </w:p>
    <w:p>
      <w:pPr>
        <w:pStyle w:val="51"/>
        <w:widowControl/>
        <w:numPr>
          <w:ilvl w:val="0"/>
          <w:numId w:val="5"/>
        </w:numPr>
        <w:tabs>
          <w:tab w:val="left" w:pos="420"/>
        </w:tabs>
        <w:snapToGrid w:val="0"/>
        <w:spacing w:line="360" w:lineRule="auto"/>
        <w:ind w:left="480" w:hanging="480" w:hangingChars="200"/>
        <w:jc w:val="both"/>
        <w:rPr>
          <w:rFonts w:eastAsiaTheme="majorEastAsia"/>
          <w:kern w:val="2"/>
          <w:szCs w:val="24"/>
        </w:rPr>
      </w:pPr>
      <w:r>
        <w:rPr>
          <w:rFonts w:hint="eastAsia" w:eastAsiaTheme="majorEastAsia"/>
          <w:kern w:val="2"/>
          <w:szCs w:val="24"/>
        </w:rPr>
        <w:t>周亚荣,张丽芳,董岩.环境会计信息披露现状与启示[J].财会通讯,2016(34):28-31.DOI:10.16144/j.cnki.issn1002-8072.2016.34.009.</w:t>
      </w:r>
    </w:p>
    <w:p>
      <w:pPr>
        <w:pStyle w:val="51"/>
        <w:widowControl/>
        <w:numPr>
          <w:ilvl w:val="0"/>
          <w:numId w:val="0"/>
        </w:numPr>
        <w:tabs>
          <w:tab w:val="left" w:pos="420"/>
        </w:tabs>
        <w:snapToGrid w:val="0"/>
        <w:spacing w:line="360" w:lineRule="auto"/>
        <w:ind w:leftChars="-200"/>
        <w:jc w:val="both"/>
        <w:rPr>
          <w:rFonts w:eastAsiaTheme="majorEastAsia"/>
          <w:kern w:val="2"/>
          <w:szCs w:val="24"/>
        </w:rPr>
        <w:sectPr>
          <w:pgSz w:w="11906" w:h="16838"/>
          <w:pgMar w:top="1440" w:right="1800" w:bottom="1440" w:left="1800" w:header="851" w:footer="992" w:gutter="0"/>
          <w:cols w:space="425" w:num="1"/>
          <w:docGrid w:type="lines" w:linePitch="312" w:charSpace="0"/>
        </w:sectPr>
      </w:pPr>
    </w:p>
    <w:p>
      <w:pPr>
        <w:pStyle w:val="51"/>
        <w:widowControl/>
        <w:numPr>
          <w:ilvl w:val="0"/>
          <w:numId w:val="0"/>
        </w:numPr>
        <w:tabs>
          <w:tab w:val="left" w:pos="420"/>
        </w:tabs>
        <w:snapToGrid w:val="0"/>
        <w:spacing w:line="360" w:lineRule="auto"/>
        <w:ind w:leftChars="-200"/>
        <w:jc w:val="both"/>
        <w:rPr>
          <w:rFonts w:eastAsiaTheme="majorEastAsia"/>
          <w:kern w:val="2"/>
          <w:szCs w:val="24"/>
        </w:rPr>
        <w:sectPr>
          <w:pgSz w:w="11906" w:h="16838"/>
          <w:pgMar w:top="1440" w:right="1800" w:bottom="1440" w:left="1800" w:header="851" w:footer="992" w:gutter="0"/>
          <w:cols w:space="425" w:num="1"/>
          <w:docGrid w:type="lines" w:linePitch="312" w:charSpace="0"/>
        </w:sectPr>
      </w:pPr>
      <w:r>
        <w:drawing>
          <wp:inline distT="0" distB="0" distL="114300" distR="114300">
            <wp:extent cx="5671820" cy="8788400"/>
            <wp:effectExtent l="0" t="0" r="12700" b="5080"/>
            <wp:docPr id="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2"/>
                    <pic:cNvPicPr>
                      <a:picLocks noChangeAspect="1"/>
                    </pic:cNvPicPr>
                  </pic:nvPicPr>
                  <pic:blipFill>
                    <a:blip r:embed="rId102"/>
                    <a:srcRect l="7362" t="8163" r="11484"/>
                    <a:stretch>
                      <a:fillRect/>
                    </a:stretch>
                  </pic:blipFill>
                  <pic:spPr>
                    <a:xfrm>
                      <a:off x="0" y="0"/>
                      <a:ext cx="5671820" cy="8788400"/>
                    </a:xfrm>
                    <a:prstGeom prst="rect">
                      <a:avLst/>
                    </a:prstGeom>
                    <a:noFill/>
                    <a:ln>
                      <a:noFill/>
                    </a:ln>
                  </pic:spPr>
                </pic:pic>
              </a:graphicData>
            </a:graphic>
          </wp:inline>
        </w:drawing>
      </w:r>
    </w:p>
    <w:p>
      <w:pPr>
        <w:pStyle w:val="51"/>
        <w:widowControl/>
        <w:numPr>
          <w:ilvl w:val="0"/>
          <w:numId w:val="0"/>
        </w:numPr>
        <w:tabs>
          <w:tab w:val="left" w:pos="420"/>
        </w:tabs>
        <w:snapToGrid w:val="0"/>
        <w:spacing w:line="360" w:lineRule="auto"/>
        <w:ind w:leftChars="-200"/>
        <w:jc w:val="both"/>
        <w:rPr>
          <w:rFonts w:hint="eastAsia"/>
          <w:lang w:val="en-US" w:eastAsia="zh-CN"/>
        </w:rPr>
      </w:pPr>
      <w:r>
        <w:drawing>
          <wp:inline distT="0" distB="0" distL="114300" distR="114300">
            <wp:extent cx="5857875" cy="8914130"/>
            <wp:effectExtent l="0" t="0" r="9525" b="1270"/>
            <wp:docPr id="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3"/>
                    <pic:cNvPicPr>
                      <a:picLocks noChangeAspect="1"/>
                    </pic:cNvPicPr>
                  </pic:nvPicPr>
                  <pic:blipFill>
                    <a:blip r:embed="rId103"/>
                    <a:stretch>
                      <a:fillRect/>
                    </a:stretch>
                  </pic:blipFill>
                  <pic:spPr>
                    <a:xfrm>
                      <a:off x="0" y="0"/>
                      <a:ext cx="5857875" cy="891413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sdt>
      <w:sdtPr>
        <w:id w:val="1319315473"/>
      </w:sdtPr>
      <w:sdtContent/>
    </w:sdt>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20"/>
      </w:rPr>
    </w:pPr>
    <w:r>
      <w:rPr>
        <w:rStyle w:val="20"/>
      </w:rPr>
      <w:fldChar w:fldCharType="begin"/>
    </w:r>
    <w:r>
      <w:rPr>
        <w:rStyle w:val="20"/>
      </w:rPr>
      <w:instrText xml:space="preserve"> PAGE </w:instrText>
    </w:r>
    <w:r>
      <w:rPr>
        <w:rStyle w:val="20"/>
      </w:rP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20"/>
      </w:rPr>
    </w:pPr>
    <w:r>
      <w:rPr>
        <w:rStyle w:val="20"/>
      </w:rPr>
      <w:fldChar w:fldCharType="begin"/>
    </w:r>
    <w:r>
      <w:rPr>
        <w:rStyle w:val="20"/>
      </w:rPr>
      <w:instrText xml:space="preserve"> PAGE </w:instrText>
    </w:r>
    <w:r>
      <w:rPr>
        <w:rStyle w:val="20"/>
      </w:rPr>
      <w:fldChar w:fldCharType="separate"/>
    </w:r>
    <w:r>
      <w:rPr>
        <w:rStyle w:val="20"/>
      </w:rPr>
      <w:t>2</w:t>
    </w:r>
    <w:r>
      <w:rPr>
        <w:rStyle w:val="20"/>
      </w:rPr>
      <w:fldChar w:fldCharType="end"/>
    </w:r>
  </w:p>
  <w:p>
    <w:pPr>
      <w:pStyle w:val="10"/>
      <w:ind w:right="360"/>
      <w:jc w:val="center"/>
    </w:pPr>
    <w:sdt>
      <w:sdtPr>
        <w:id w:val="-353269561"/>
      </w:sdtPr>
      <w:sdtContent/>
    </w:sdt>
  </w:p>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Times New Roman" w:hAnsi="Times New Roman" w:cs="Times New Roman"/>
        <w:sz w:val="22"/>
        <w:szCs w:val="22"/>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41057414"/>
                          </w:sdtPr>
                          <w:sdtEndPr>
                            <w:rPr>
                              <w:rFonts w:ascii="Times New Roman" w:hAnsi="Times New Roman" w:cs="Times New Roman"/>
                              <w:sz w:val="22"/>
                              <w:szCs w:val="22"/>
                            </w:rPr>
                          </w:sdtEndPr>
                          <w:sdtContent>
                            <w:p>
                              <w:pPr>
                                <w:pStyle w:val="10"/>
                                <w:jc w:val="center"/>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PAGE   \* MERGEFORMAT</w:instrText>
                              </w:r>
                              <w:r>
                                <w:rPr>
                                  <w:rFonts w:ascii="Times New Roman" w:hAnsi="Times New Roman" w:cs="Times New Roman"/>
                                  <w:sz w:val="22"/>
                                  <w:szCs w:val="22"/>
                                </w:rPr>
                                <w:fldChar w:fldCharType="separate"/>
                              </w:r>
                              <w:r>
                                <w:rPr>
                                  <w:rFonts w:ascii="Times New Roman" w:hAnsi="Times New Roman" w:cs="Times New Roman"/>
                                  <w:sz w:val="22"/>
                                  <w:szCs w:val="22"/>
                                  <w:lang w:val="zh-CN"/>
                                </w:rPr>
                                <w:t>2</w:t>
                              </w:r>
                              <w:r>
                                <w:rPr>
                                  <w:rFonts w:ascii="Times New Roman" w:hAnsi="Times New Roman" w:cs="Times New Roman"/>
                                  <w:sz w:val="22"/>
                                  <w:szCs w:val="22"/>
                                </w:rPr>
                                <w:fldChar w:fldCharType="end"/>
                              </w:r>
                            </w:p>
                          </w:sdtContent>
                        </w:sdt>
                        <w:p>
                          <w:pPr>
                            <w:rPr>
                              <w:rFonts w:ascii="Times New Roman" w:hAnsi="Times New Roman" w:cs="Times New Roman"/>
                              <w:sz w:val="22"/>
                              <w:szCs w:val="22"/>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VWnMqAgAAV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CbVWnMqAgAAVQQAAA4AAAAAAAAAAQAgAAAAHwEAAGRycy9lMm9Eb2MueG1sUEsFBgAAAAAGAAYA&#10;WQEAALsFAAAAAA==&#10;">
              <v:fill on="f" focussize="0,0"/>
              <v:stroke on="f" weight="0.5pt"/>
              <v:imagedata o:title=""/>
              <o:lock v:ext="edit" aspectratio="f"/>
              <v:textbox inset="0mm,0mm,0mm,0mm" style="mso-fit-shape-to-text:t;">
                <w:txbxContent>
                  <w:sdt>
                    <w:sdtPr>
                      <w:id w:val="341057414"/>
                    </w:sdtPr>
                    <w:sdtEndPr>
                      <w:rPr>
                        <w:rFonts w:ascii="Times New Roman" w:hAnsi="Times New Roman" w:cs="Times New Roman"/>
                        <w:sz w:val="22"/>
                        <w:szCs w:val="22"/>
                      </w:rPr>
                    </w:sdtEndPr>
                    <w:sdtContent>
                      <w:p>
                        <w:pPr>
                          <w:pStyle w:val="10"/>
                          <w:jc w:val="center"/>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PAGE   \* MERGEFORMAT</w:instrText>
                        </w:r>
                        <w:r>
                          <w:rPr>
                            <w:rFonts w:ascii="Times New Roman" w:hAnsi="Times New Roman" w:cs="Times New Roman"/>
                            <w:sz w:val="22"/>
                            <w:szCs w:val="22"/>
                          </w:rPr>
                          <w:fldChar w:fldCharType="separate"/>
                        </w:r>
                        <w:r>
                          <w:rPr>
                            <w:rFonts w:ascii="Times New Roman" w:hAnsi="Times New Roman" w:cs="Times New Roman"/>
                            <w:sz w:val="22"/>
                            <w:szCs w:val="22"/>
                            <w:lang w:val="zh-CN"/>
                          </w:rPr>
                          <w:t>2</w:t>
                        </w:r>
                        <w:r>
                          <w:rPr>
                            <w:rFonts w:ascii="Times New Roman" w:hAnsi="Times New Roman" w:cs="Times New Roman"/>
                            <w:sz w:val="22"/>
                            <w:szCs w:val="22"/>
                          </w:rPr>
                          <w:fldChar w:fldCharType="end"/>
                        </w:r>
                      </w:p>
                    </w:sdtContent>
                  </w:sdt>
                  <w:p>
                    <w:pPr>
                      <w:rPr>
                        <w:rFonts w:ascii="Times New Roman" w:hAnsi="Times New Roman" w:cs="Times New Roman"/>
                        <w:sz w:val="22"/>
                        <w:szCs w:val="22"/>
                      </w:rPr>
                    </w:pPr>
                  </w:p>
                </w:txbxContent>
              </v:textbox>
            </v:shape>
          </w:pict>
        </mc:Fallback>
      </mc:AlternateContent>
    </w:r>
  </w:p>
  <w:p>
    <w:pPr>
      <w:pStyle w:val="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Times New Roman" w:hAnsi="Times New Roman" w:cs="Times New Roman"/>
        <w:sz w:val="21"/>
        <w:szCs w:val="21"/>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Times New Roman" w:hAnsi="Times New Roman" w:cs="Times New Roman"/>
        <w:sz w:val="21"/>
        <w:szCs w:val="21"/>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05726729"/>
                          </w:sdtPr>
                          <w:sdtEndPr>
                            <w:rPr>
                              <w:rFonts w:ascii="Times New Roman" w:hAnsi="Times New Roman" w:cs="Times New Roman"/>
                              <w:sz w:val="21"/>
                              <w:szCs w:val="21"/>
                            </w:rPr>
                          </w:sdtEndPr>
                          <w:sdtContent>
                            <w:p>
                              <w:pPr>
                                <w:pStyle w:val="10"/>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2</w:t>
                              </w:r>
                              <w:r>
                                <w:rPr>
                                  <w:rFonts w:ascii="Times New Roman" w:hAnsi="Times New Roman" w:cs="Times New Roman"/>
                                  <w:sz w:val="21"/>
                                  <w:szCs w:val="21"/>
                                </w:rPr>
                                <w:fldChar w:fldCharType="end"/>
                              </w:r>
                            </w:p>
                          </w:sdtContent>
                        </w:sdt>
                        <w:p>
                          <w:pPr>
                            <w:rPr>
                              <w:rFonts w:ascii="Times New Roman" w:hAnsi="Times New Roman" w:cs="Times New Roma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sdt>
                    <w:sdtPr>
                      <w:id w:val="-1605726729"/>
                    </w:sdtPr>
                    <w:sdtEndPr>
                      <w:rPr>
                        <w:rFonts w:ascii="Times New Roman" w:hAnsi="Times New Roman" w:cs="Times New Roman"/>
                        <w:sz w:val="21"/>
                        <w:szCs w:val="21"/>
                      </w:rPr>
                    </w:sdtEndPr>
                    <w:sdtContent>
                      <w:p>
                        <w:pPr>
                          <w:pStyle w:val="10"/>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2</w:t>
                        </w:r>
                        <w:r>
                          <w:rPr>
                            <w:rFonts w:ascii="Times New Roman" w:hAnsi="Times New Roman" w:cs="Times New Roman"/>
                            <w:sz w:val="21"/>
                            <w:szCs w:val="21"/>
                          </w:rPr>
                          <w:fldChar w:fldCharType="end"/>
                        </w:r>
                      </w:p>
                    </w:sdtContent>
                  </w:sdt>
                  <w:p>
                    <w:pPr>
                      <w:rPr>
                        <w:rFonts w:ascii="Times New Roman" w:hAnsi="Times New Roman" w:cs="Times New Roman"/>
                      </w:rPr>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Times New Roman" w:hAnsi="Times New Roman" w:cs="Times New Roman"/>
        <w:sz w:val="22"/>
        <w:szCs w:val="22"/>
      </w:rPr>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ikIRMKwIAAFcEAAAOAAAAAAAAAAEAIAAAAB8BAABkcnMvZTJvRG9jLnhtbFBLBQYAAAAABgAG&#10;AFkBAAC8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80"/>
    </w:pPr>
    <w:r>
      <w:rPr>
        <w:rFonts w:hint="eastAsia" w:ascii="华文中宋" w:eastAsia="华文中宋" w:cs="华文中宋"/>
        <w:kern w:val="0"/>
      </w:rPr>
      <w:t>华</w:t>
    </w:r>
    <w:r>
      <w:rPr>
        <w:rFonts w:ascii="华文中宋" w:eastAsia="华文中宋" w:cs="华文中宋"/>
        <w:kern w:val="0"/>
      </w:rPr>
      <w:t xml:space="preserve"> </w:t>
    </w:r>
    <w:r>
      <w:rPr>
        <w:rFonts w:hint="eastAsia" w:ascii="华文中宋" w:eastAsia="华文中宋" w:cs="华文中宋"/>
        <w:kern w:val="0"/>
      </w:rPr>
      <w:t>中</w:t>
    </w:r>
    <w:r>
      <w:rPr>
        <w:rFonts w:ascii="华文中宋" w:eastAsia="华文中宋" w:cs="华文中宋"/>
        <w:kern w:val="0"/>
      </w:rPr>
      <w:t xml:space="preserve"> </w:t>
    </w:r>
    <w:r>
      <w:rPr>
        <w:rFonts w:hint="eastAsia" w:ascii="华文中宋" w:eastAsia="华文中宋" w:cs="华文中宋"/>
        <w:kern w:val="0"/>
      </w:rPr>
      <w:t>科</w:t>
    </w:r>
    <w:r>
      <w:rPr>
        <w:rFonts w:ascii="华文中宋" w:eastAsia="华文中宋" w:cs="华文中宋"/>
        <w:kern w:val="0"/>
      </w:rPr>
      <w:t xml:space="preserve"> </w:t>
    </w:r>
    <w:r>
      <w:rPr>
        <w:rFonts w:hint="eastAsia" w:ascii="华文中宋" w:eastAsia="华文中宋" w:cs="华文中宋"/>
        <w:kern w:val="0"/>
      </w:rPr>
      <w:t>技</w:t>
    </w:r>
    <w:r>
      <w:rPr>
        <w:rFonts w:ascii="华文中宋" w:eastAsia="华文中宋" w:cs="华文中宋"/>
        <w:kern w:val="0"/>
      </w:rPr>
      <w:t xml:space="preserve"> </w:t>
    </w:r>
    <w:r>
      <w:rPr>
        <w:rFonts w:hint="eastAsia" w:ascii="华文中宋" w:eastAsia="华文中宋" w:cs="华文中宋"/>
        <w:kern w:val="0"/>
      </w:rPr>
      <w:t>大</w:t>
    </w:r>
    <w:r>
      <w:rPr>
        <w:rFonts w:ascii="华文中宋" w:eastAsia="华文中宋" w:cs="华文中宋"/>
        <w:kern w:val="0"/>
      </w:rPr>
      <w:t xml:space="preserve"> </w:t>
    </w:r>
    <w:r>
      <w:rPr>
        <w:rFonts w:hint="eastAsia" w:ascii="华文中宋" w:eastAsia="华文中宋" w:cs="华文中宋"/>
        <w:kern w:val="0"/>
      </w:rPr>
      <w:t>学</w:t>
    </w:r>
    <w:r>
      <w:rPr>
        <w:rFonts w:ascii="华文中宋" w:eastAsia="华文中宋" w:cs="华文中宋"/>
        <w:kern w:val="0"/>
      </w:rPr>
      <w:t xml:space="preserve"> </w:t>
    </w:r>
    <w:r>
      <w:rPr>
        <w:rFonts w:hint="eastAsia" w:ascii="华文中宋" w:eastAsia="华文中宋" w:cs="华文中宋"/>
        <w:kern w:val="0"/>
      </w:rPr>
      <w:t>毕</w:t>
    </w:r>
    <w:r>
      <w:rPr>
        <w:rFonts w:ascii="华文中宋" w:eastAsia="华文中宋" w:cs="华文中宋"/>
        <w:kern w:val="0"/>
      </w:rPr>
      <w:t xml:space="preserve"> </w:t>
    </w:r>
    <w:r>
      <w:rPr>
        <w:rFonts w:hint="eastAsia" w:ascii="华文中宋" w:eastAsia="华文中宋" w:cs="华文中宋"/>
        <w:kern w:val="0"/>
      </w:rPr>
      <w:t>业</w:t>
    </w:r>
    <w:r>
      <w:rPr>
        <w:rFonts w:ascii="华文中宋" w:eastAsia="华文中宋" w:cs="华文中宋"/>
        <w:kern w:val="0"/>
      </w:rPr>
      <w:t xml:space="preserve"> </w:t>
    </w:r>
    <w:r>
      <w:rPr>
        <w:rFonts w:hint="eastAsia" w:ascii="华文中宋" w:eastAsia="华文中宋" w:cs="华文中宋"/>
        <w:kern w:val="0"/>
      </w:rPr>
      <w:t>设</w:t>
    </w:r>
    <w:r>
      <w:rPr>
        <w:rFonts w:ascii="华文中宋" w:eastAsia="华文中宋" w:cs="华文中宋"/>
        <w:kern w:val="0"/>
      </w:rPr>
      <w:t xml:space="preserve"> </w:t>
    </w:r>
    <w:r>
      <w:rPr>
        <w:rFonts w:hint="eastAsia" w:ascii="华文中宋" w:eastAsia="华文中宋" w:cs="华文中宋"/>
        <w:kern w:val="0"/>
      </w:rPr>
      <w:t>计（论</w:t>
    </w:r>
    <w:r>
      <w:rPr>
        <w:rFonts w:ascii="华文中宋" w:eastAsia="华文中宋" w:cs="华文中宋"/>
        <w:kern w:val="0"/>
      </w:rPr>
      <w:t xml:space="preserve"> </w:t>
    </w:r>
    <w:r>
      <w:rPr>
        <w:rFonts w:hint="eastAsia" w:ascii="华文中宋" w:eastAsia="华文中宋" w:cs="华文中宋"/>
        <w:kern w:val="0"/>
      </w:rPr>
      <w:t>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jc w:val="both"/>
      <w:rPr>
        <w:color w:val="4F81BD" w:themeColor="accent1"/>
        <w:sz w:val="20"/>
        <w14:textFill>
          <w14:solidFill>
            <w14:schemeClr w14:val="accent1"/>
          </w14:solidFill>
        </w14:textFil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80"/>
    </w:pPr>
    <w:r>
      <w:rPr>
        <w:rFonts w:hint="eastAsia" w:ascii="华文中宋" w:eastAsia="华文中宋" w:cs="华文中宋"/>
        <w:kern w:val="0"/>
      </w:rPr>
      <w:t>华</w:t>
    </w:r>
    <w:r>
      <w:rPr>
        <w:rFonts w:ascii="华文中宋" w:eastAsia="华文中宋" w:cs="华文中宋"/>
        <w:kern w:val="0"/>
      </w:rPr>
      <w:t xml:space="preserve"> </w:t>
    </w:r>
    <w:r>
      <w:rPr>
        <w:rFonts w:hint="eastAsia" w:ascii="华文中宋" w:eastAsia="华文中宋" w:cs="华文中宋"/>
        <w:kern w:val="0"/>
      </w:rPr>
      <w:t>中</w:t>
    </w:r>
    <w:r>
      <w:rPr>
        <w:rFonts w:ascii="华文中宋" w:eastAsia="华文中宋" w:cs="华文中宋"/>
        <w:kern w:val="0"/>
      </w:rPr>
      <w:t xml:space="preserve"> </w:t>
    </w:r>
    <w:r>
      <w:rPr>
        <w:rFonts w:hint="eastAsia" w:ascii="华文中宋" w:eastAsia="华文中宋" w:cs="华文中宋"/>
        <w:kern w:val="0"/>
      </w:rPr>
      <w:t>科</w:t>
    </w:r>
    <w:r>
      <w:rPr>
        <w:rFonts w:ascii="华文中宋" w:eastAsia="华文中宋" w:cs="华文中宋"/>
        <w:kern w:val="0"/>
      </w:rPr>
      <w:t xml:space="preserve"> </w:t>
    </w:r>
    <w:r>
      <w:rPr>
        <w:rFonts w:hint="eastAsia" w:ascii="华文中宋" w:eastAsia="华文中宋" w:cs="华文中宋"/>
        <w:kern w:val="0"/>
      </w:rPr>
      <w:t>技</w:t>
    </w:r>
    <w:r>
      <w:rPr>
        <w:rFonts w:ascii="华文中宋" w:eastAsia="华文中宋" w:cs="华文中宋"/>
        <w:kern w:val="0"/>
      </w:rPr>
      <w:t xml:space="preserve"> </w:t>
    </w:r>
    <w:r>
      <w:rPr>
        <w:rFonts w:hint="eastAsia" w:ascii="华文中宋" w:eastAsia="华文中宋" w:cs="华文中宋"/>
        <w:kern w:val="0"/>
      </w:rPr>
      <w:t>大</w:t>
    </w:r>
    <w:r>
      <w:rPr>
        <w:rFonts w:ascii="华文中宋" w:eastAsia="华文中宋" w:cs="华文中宋"/>
        <w:kern w:val="0"/>
      </w:rPr>
      <w:t xml:space="preserve"> </w:t>
    </w:r>
    <w:r>
      <w:rPr>
        <w:rFonts w:hint="eastAsia" w:ascii="华文中宋" w:eastAsia="华文中宋" w:cs="华文中宋"/>
        <w:kern w:val="0"/>
      </w:rPr>
      <w:t>学</w:t>
    </w:r>
    <w:r>
      <w:rPr>
        <w:rFonts w:ascii="华文中宋" w:eastAsia="华文中宋" w:cs="华文中宋"/>
        <w:kern w:val="0"/>
      </w:rPr>
      <w:t xml:space="preserve"> </w:t>
    </w:r>
    <w:r>
      <w:rPr>
        <w:rFonts w:hint="eastAsia" w:ascii="华文中宋" w:eastAsia="华文中宋" w:cs="华文中宋"/>
        <w:kern w:val="0"/>
      </w:rPr>
      <w:t>毕</w:t>
    </w:r>
    <w:r>
      <w:rPr>
        <w:rFonts w:ascii="华文中宋" w:eastAsia="华文中宋" w:cs="华文中宋"/>
        <w:kern w:val="0"/>
      </w:rPr>
      <w:t xml:space="preserve"> </w:t>
    </w:r>
    <w:r>
      <w:rPr>
        <w:rFonts w:hint="eastAsia" w:ascii="华文中宋" w:eastAsia="华文中宋" w:cs="华文中宋"/>
        <w:kern w:val="0"/>
      </w:rPr>
      <w:t>业</w:t>
    </w:r>
    <w:r>
      <w:rPr>
        <w:rFonts w:ascii="华文中宋" w:eastAsia="华文中宋" w:cs="华文中宋"/>
        <w:kern w:val="0"/>
      </w:rPr>
      <w:t xml:space="preserve"> </w:t>
    </w:r>
    <w:r>
      <w:rPr>
        <w:rFonts w:hint="eastAsia" w:ascii="华文中宋" w:eastAsia="华文中宋" w:cs="华文中宋"/>
        <w:kern w:val="0"/>
      </w:rPr>
      <w:t>设</w:t>
    </w:r>
    <w:r>
      <w:rPr>
        <w:rFonts w:ascii="华文中宋" w:eastAsia="华文中宋" w:cs="华文中宋"/>
        <w:kern w:val="0"/>
      </w:rPr>
      <w:t xml:space="preserve"> </w:t>
    </w:r>
    <w:r>
      <w:rPr>
        <w:rFonts w:hint="eastAsia" w:ascii="华文中宋" w:eastAsia="华文中宋" w:cs="华文中宋"/>
        <w:kern w:val="0"/>
      </w:rPr>
      <w:t>计（论</w:t>
    </w:r>
    <w:r>
      <w:rPr>
        <w:rFonts w:ascii="华文中宋" w:eastAsia="华文中宋" w:cs="华文中宋"/>
        <w:kern w:val="0"/>
      </w:rPr>
      <w:t xml:space="preserve"> </w:t>
    </w:r>
    <w:r>
      <w:rPr>
        <w:rFonts w:hint="eastAsia" w:ascii="华文中宋" w:eastAsia="华文中宋" w:cs="华文中宋"/>
        <w:kern w:val="0"/>
      </w:rPr>
      <w:t>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jc w:val="both"/>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80"/>
    </w:pPr>
    <w:r>
      <w:rPr>
        <w:rFonts w:hint="eastAsia" w:ascii="华文中宋" w:eastAsia="华文中宋" w:cs="华文中宋"/>
        <w:kern w:val="0"/>
      </w:rPr>
      <w:t>华</w:t>
    </w:r>
    <w:r>
      <w:rPr>
        <w:rFonts w:ascii="华文中宋" w:eastAsia="华文中宋" w:cs="华文中宋"/>
        <w:kern w:val="0"/>
      </w:rPr>
      <w:t xml:space="preserve"> </w:t>
    </w:r>
    <w:r>
      <w:rPr>
        <w:rFonts w:hint="eastAsia" w:ascii="华文中宋" w:eastAsia="华文中宋" w:cs="华文中宋"/>
        <w:kern w:val="0"/>
      </w:rPr>
      <w:t>中</w:t>
    </w:r>
    <w:r>
      <w:rPr>
        <w:rFonts w:ascii="华文中宋" w:eastAsia="华文中宋" w:cs="华文中宋"/>
        <w:kern w:val="0"/>
      </w:rPr>
      <w:t xml:space="preserve"> </w:t>
    </w:r>
    <w:r>
      <w:rPr>
        <w:rFonts w:hint="eastAsia" w:ascii="华文中宋" w:eastAsia="华文中宋" w:cs="华文中宋"/>
        <w:kern w:val="0"/>
      </w:rPr>
      <w:t>科</w:t>
    </w:r>
    <w:r>
      <w:rPr>
        <w:rFonts w:ascii="华文中宋" w:eastAsia="华文中宋" w:cs="华文中宋"/>
        <w:kern w:val="0"/>
      </w:rPr>
      <w:t xml:space="preserve"> </w:t>
    </w:r>
    <w:r>
      <w:rPr>
        <w:rFonts w:hint="eastAsia" w:ascii="华文中宋" w:eastAsia="华文中宋" w:cs="华文中宋"/>
        <w:kern w:val="0"/>
      </w:rPr>
      <w:t>技</w:t>
    </w:r>
    <w:r>
      <w:rPr>
        <w:rFonts w:ascii="华文中宋" w:eastAsia="华文中宋" w:cs="华文中宋"/>
        <w:kern w:val="0"/>
      </w:rPr>
      <w:t xml:space="preserve"> </w:t>
    </w:r>
    <w:r>
      <w:rPr>
        <w:rFonts w:hint="eastAsia" w:ascii="华文中宋" w:eastAsia="华文中宋" w:cs="华文中宋"/>
        <w:kern w:val="0"/>
      </w:rPr>
      <w:t>大</w:t>
    </w:r>
    <w:r>
      <w:rPr>
        <w:rFonts w:ascii="华文中宋" w:eastAsia="华文中宋" w:cs="华文中宋"/>
        <w:kern w:val="0"/>
      </w:rPr>
      <w:t xml:space="preserve"> </w:t>
    </w:r>
    <w:r>
      <w:rPr>
        <w:rFonts w:hint="eastAsia" w:ascii="华文中宋" w:eastAsia="华文中宋" w:cs="华文中宋"/>
        <w:kern w:val="0"/>
      </w:rPr>
      <w:t>学</w:t>
    </w:r>
    <w:r>
      <w:rPr>
        <w:rFonts w:ascii="华文中宋" w:eastAsia="华文中宋" w:cs="华文中宋"/>
        <w:kern w:val="0"/>
      </w:rPr>
      <w:t xml:space="preserve"> </w:t>
    </w:r>
    <w:r>
      <w:rPr>
        <w:rFonts w:hint="eastAsia" w:ascii="华文中宋" w:eastAsia="华文中宋" w:cs="华文中宋"/>
        <w:kern w:val="0"/>
      </w:rPr>
      <w:t>毕</w:t>
    </w:r>
    <w:r>
      <w:rPr>
        <w:rFonts w:ascii="华文中宋" w:eastAsia="华文中宋" w:cs="华文中宋"/>
        <w:kern w:val="0"/>
      </w:rPr>
      <w:t xml:space="preserve"> </w:t>
    </w:r>
    <w:r>
      <w:rPr>
        <w:rFonts w:hint="eastAsia" w:ascii="华文中宋" w:eastAsia="华文中宋" w:cs="华文中宋"/>
        <w:kern w:val="0"/>
      </w:rPr>
      <w:t>业</w:t>
    </w:r>
    <w:r>
      <w:rPr>
        <w:rFonts w:ascii="华文中宋" w:eastAsia="华文中宋" w:cs="华文中宋"/>
        <w:kern w:val="0"/>
      </w:rPr>
      <w:t xml:space="preserve"> </w:t>
    </w:r>
    <w:r>
      <w:rPr>
        <w:rFonts w:hint="eastAsia" w:ascii="华文中宋" w:eastAsia="华文中宋" w:cs="华文中宋"/>
        <w:kern w:val="0"/>
      </w:rPr>
      <w:t>设</w:t>
    </w:r>
    <w:r>
      <w:rPr>
        <w:rFonts w:ascii="华文中宋" w:eastAsia="华文中宋" w:cs="华文中宋"/>
        <w:kern w:val="0"/>
      </w:rPr>
      <w:t xml:space="preserve"> </w:t>
    </w:r>
    <w:r>
      <w:rPr>
        <w:rFonts w:hint="eastAsia" w:ascii="华文中宋" w:eastAsia="华文中宋" w:cs="华文中宋"/>
        <w:kern w:val="0"/>
      </w:rPr>
      <w:t>计（论</w:t>
    </w:r>
    <w:r>
      <w:rPr>
        <w:rFonts w:ascii="华文中宋" w:eastAsia="华文中宋" w:cs="华文中宋"/>
        <w:kern w:val="0"/>
      </w:rPr>
      <w:t xml:space="preserve"> </w:t>
    </w:r>
    <w:r>
      <w:rPr>
        <w:rFonts w:hint="eastAsia" w:ascii="华文中宋" w:eastAsia="华文中宋" w:cs="华文中宋"/>
        <w:kern w:val="0"/>
      </w:rPr>
      <w:t>文）</w:t>
    </w:r>
  </w:p>
  <w:p>
    <w:pPr>
      <w:pStyle w:val="11"/>
      <w:pBdr>
        <w:bottom w:val="none" w:color="auto" w:sz="0" w:space="1"/>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EB9587"/>
    <w:multiLevelType w:val="multilevel"/>
    <w:tmpl w:val="87EB9587"/>
    <w:lvl w:ilvl="0" w:tentative="0">
      <w:start w:val="1"/>
      <w:numFmt w:val="decimal"/>
      <w:suff w:val="space"/>
      <w:lvlText w:val="[%1]"/>
      <w:lvlJc w:val="left"/>
      <w:pPr>
        <w:ind w:left="0" w:firstLine="0"/>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A75EC35B"/>
    <w:multiLevelType w:val="singleLevel"/>
    <w:tmpl w:val="A75EC35B"/>
    <w:lvl w:ilvl="0" w:tentative="0">
      <w:start w:val="3"/>
      <w:numFmt w:val="decimal"/>
      <w:suff w:val="nothing"/>
      <w:lvlText w:val="%1）"/>
      <w:lvlJc w:val="left"/>
    </w:lvl>
  </w:abstractNum>
  <w:abstractNum w:abstractNumId="2">
    <w:nsid w:val="0E358189"/>
    <w:multiLevelType w:val="singleLevel"/>
    <w:tmpl w:val="0E358189"/>
    <w:lvl w:ilvl="0" w:tentative="0">
      <w:start w:val="1"/>
      <w:numFmt w:val="decimal"/>
      <w:suff w:val="nothing"/>
      <w:lvlText w:val="（%1）"/>
      <w:lvlJc w:val="left"/>
      <w:rPr>
        <w:rFonts w:hint="default"/>
        <w:b w:val="0"/>
        <w:bCs w:val="0"/>
        <w:sz w:val="24"/>
        <w:szCs w:val="24"/>
      </w:rPr>
    </w:lvl>
  </w:abstractNum>
  <w:abstractNum w:abstractNumId="3">
    <w:nsid w:val="2B02382C"/>
    <w:multiLevelType w:val="multilevel"/>
    <w:tmpl w:val="2B02382C"/>
    <w:lvl w:ilvl="0" w:tentative="0">
      <w:start w:val="1"/>
      <w:numFmt w:val="decimal"/>
      <w:pStyle w:val="2"/>
      <w:suff w:val="space"/>
      <w:lvlText w:val="%1"/>
      <w:lvlJc w:val="left"/>
      <w:pPr>
        <w:ind w:left="425" w:hanging="425"/>
      </w:pPr>
      <w:rPr>
        <w:rFonts w:hint="eastAsia"/>
      </w:rPr>
    </w:lvl>
    <w:lvl w:ilvl="1" w:tentative="0">
      <w:start w:val="1"/>
      <w:numFmt w:val="decimal"/>
      <w:pStyle w:val="4"/>
      <w:suff w:val="space"/>
      <w:lvlText w:val="%1.%2"/>
      <w:lvlJc w:val="left"/>
      <w:pPr>
        <w:ind w:left="992" w:hanging="567"/>
      </w:pPr>
      <w:rPr>
        <w:rFonts w:hint="eastAsia"/>
      </w:rPr>
    </w:lvl>
    <w:lvl w:ilvl="2" w:tentative="0">
      <w:start w:val="1"/>
      <w:numFmt w:val="decimal"/>
      <w:pStyle w:val="5"/>
      <w:suff w:val="space"/>
      <w:lvlText w:val="%1.%2.%3"/>
      <w:lvlJc w:val="left"/>
      <w:pPr>
        <w:ind w:left="567" w:hanging="567"/>
      </w:pPr>
      <w:rPr>
        <w:rFonts w:hint="eastAsia"/>
        <w:i w:val="0"/>
      </w:rPr>
    </w:lvl>
    <w:lvl w:ilvl="3" w:tentative="0">
      <w:start w:val="1"/>
      <w:numFmt w:val="decimal"/>
      <w:pStyle w:val="6"/>
      <w:suff w:val="space"/>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2F29883C"/>
    <w:multiLevelType w:val="singleLevel"/>
    <w:tmpl w:val="2F29883C"/>
    <w:lvl w:ilvl="0" w:tentative="0">
      <w:start w:val="1"/>
      <w:numFmt w:val="decimal"/>
      <w:suff w:val="nothing"/>
      <w:lvlText w:val="（%1）"/>
      <w:lvlJc w:val="left"/>
      <w:rPr>
        <w:rFonts w:hint="default" w:ascii="Times New Roman" w:hAnsi="Times New Roman" w:cs="Times New Roman"/>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bordersDoNotSurroundHeader w:val="1"/>
  <w:bordersDoNotSurroundFooter w:val="1"/>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Q1ZTcyNTEyYmQ4YjcyZjc0OTdlZTA0YjBjZmVmZDkifQ=="/>
  </w:docVars>
  <w:rsids>
    <w:rsidRoot w:val="00C61F96"/>
    <w:rsid w:val="00033212"/>
    <w:rsid w:val="00052516"/>
    <w:rsid w:val="00081647"/>
    <w:rsid w:val="00085EC6"/>
    <w:rsid w:val="00085F09"/>
    <w:rsid w:val="0009608D"/>
    <w:rsid w:val="000D4EC8"/>
    <w:rsid w:val="000D5B38"/>
    <w:rsid w:val="000E4E44"/>
    <w:rsid w:val="000E50D6"/>
    <w:rsid w:val="00107FF1"/>
    <w:rsid w:val="001112C4"/>
    <w:rsid w:val="0013567B"/>
    <w:rsid w:val="001376BE"/>
    <w:rsid w:val="00144B46"/>
    <w:rsid w:val="00147755"/>
    <w:rsid w:val="0017077D"/>
    <w:rsid w:val="00171A6D"/>
    <w:rsid w:val="001C2516"/>
    <w:rsid w:val="001C5F41"/>
    <w:rsid w:val="001D1054"/>
    <w:rsid w:val="001D228A"/>
    <w:rsid w:val="001E3304"/>
    <w:rsid w:val="002126C3"/>
    <w:rsid w:val="0022576E"/>
    <w:rsid w:val="00231134"/>
    <w:rsid w:val="00241833"/>
    <w:rsid w:val="0025551F"/>
    <w:rsid w:val="00275517"/>
    <w:rsid w:val="0029611D"/>
    <w:rsid w:val="002B3E44"/>
    <w:rsid w:val="002C2FF5"/>
    <w:rsid w:val="002C6EB0"/>
    <w:rsid w:val="002C7159"/>
    <w:rsid w:val="002E4C1A"/>
    <w:rsid w:val="0030496A"/>
    <w:rsid w:val="00333850"/>
    <w:rsid w:val="00355227"/>
    <w:rsid w:val="003835C0"/>
    <w:rsid w:val="00393DD1"/>
    <w:rsid w:val="003A7B29"/>
    <w:rsid w:val="003B1218"/>
    <w:rsid w:val="003C21DE"/>
    <w:rsid w:val="003C4C85"/>
    <w:rsid w:val="003D0484"/>
    <w:rsid w:val="003D5E45"/>
    <w:rsid w:val="003E6228"/>
    <w:rsid w:val="003F72DF"/>
    <w:rsid w:val="00412A51"/>
    <w:rsid w:val="00415326"/>
    <w:rsid w:val="00480013"/>
    <w:rsid w:val="00487757"/>
    <w:rsid w:val="00487E6C"/>
    <w:rsid w:val="004C2753"/>
    <w:rsid w:val="004C2D6E"/>
    <w:rsid w:val="004C7574"/>
    <w:rsid w:val="004E14E8"/>
    <w:rsid w:val="0052753A"/>
    <w:rsid w:val="00576DF0"/>
    <w:rsid w:val="005C0E5D"/>
    <w:rsid w:val="00612889"/>
    <w:rsid w:val="00632DA4"/>
    <w:rsid w:val="00637FC2"/>
    <w:rsid w:val="006908DC"/>
    <w:rsid w:val="00693D8E"/>
    <w:rsid w:val="006A30E8"/>
    <w:rsid w:val="006B172F"/>
    <w:rsid w:val="00712D3E"/>
    <w:rsid w:val="007223C8"/>
    <w:rsid w:val="0072640F"/>
    <w:rsid w:val="007272D7"/>
    <w:rsid w:val="0079288F"/>
    <w:rsid w:val="00793359"/>
    <w:rsid w:val="007A0D69"/>
    <w:rsid w:val="007A160F"/>
    <w:rsid w:val="007C161E"/>
    <w:rsid w:val="007C4546"/>
    <w:rsid w:val="007D4900"/>
    <w:rsid w:val="007E3A47"/>
    <w:rsid w:val="007F0DB7"/>
    <w:rsid w:val="007F75C3"/>
    <w:rsid w:val="00837127"/>
    <w:rsid w:val="0084165C"/>
    <w:rsid w:val="0084430C"/>
    <w:rsid w:val="00844F00"/>
    <w:rsid w:val="0084579D"/>
    <w:rsid w:val="00854C7E"/>
    <w:rsid w:val="00864483"/>
    <w:rsid w:val="0087774C"/>
    <w:rsid w:val="00884869"/>
    <w:rsid w:val="008861EB"/>
    <w:rsid w:val="008A5BA0"/>
    <w:rsid w:val="008C5904"/>
    <w:rsid w:val="008F2802"/>
    <w:rsid w:val="009117AB"/>
    <w:rsid w:val="009159AA"/>
    <w:rsid w:val="00962333"/>
    <w:rsid w:val="009708E4"/>
    <w:rsid w:val="009751CB"/>
    <w:rsid w:val="009C032B"/>
    <w:rsid w:val="009D1646"/>
    <w:rsid w:val="009D3CC3"/>
    <w:rsid w:val="009E7A96"/>
    <w:rsid w:val="009F0A7F"/>
    <w:rsid w:val="009F5038"/>
    <w:rsid w:val="009F6B59"/>
    <w:rsid w:val="00A04510"/>
    <w:rsid w:val="00A0676A"/>
    <w:rsid w:val="00A16A97"/>
    <w:rsid w:val="00A60BBC"/>
    <w:rsid w:val="00A6143C"/>
    <w:rsid w:val="00AA62C0"/>
    <w:rsid w:val="00AB7D89"/>
    <w:rsid w:val="00AC3748"/>
    <w:rsid w:val="00AC5EE5"/>
    <w:rsid w:val="00AC74FE"/>
    <w:rsid w:val="00AD3B99"/>
    <w:rsid w:val="00AD3EA2"/>
    <w:rsid w:val="00AF4A1C"/>
    <w:rsid w:val="00B12609"/>
    <w:rsid w:val="00B3542E"/>
    <w:rsid w:val="00B44CD1"/>
    <w:rsid w:val="00B44F73"/>
    <w:rsid w:val="00B455AF"/>
    <w:rsid w:val="00B45BD1"/>
    <w:rsid w:val="00B65F81"/>
    <w:rsid w:val="00B778C0"/>
    <w:rsid w:val="00B978DA"/>
    <w:rsid w:val="00BA27D5"/>
    <w:rsid w:val="00BA373D"/>
    <w:rsid w:val="00BB100C"/>
    <w:rsid w:val="00BC2949"/>
    <w:rsid w:val="00BD56F0"/>
    <w:rsid w:val="00BF06A2"/>
    <w:rsid w:val="00BF07B0"/>
    <w:rsid w:val="00C00F1F"/>
    <w:rsid w:val="00C11E0F"/>
    <w:rsid w:val="00C2492E"/>
    <w:rsid w:val="00C43CCE"/>
    <w:rsid w:val="00C56649"/>
    <w:rsid w:val="00C56656"/>
    <w:rsid w:val="00C61F96"/>
    <w:rsid w:val="00C65C3D"/>
    <w:rsid w:val="00C879C8"/>
    <w:rsid w:val="00C93F16"/>
    <w:rsid w:val="00CD7143"/>
    <w:rsid w:val="00CE1A19"/>
    <w:rsid w:val="00CE2D1C"/>
    <w:rsid w:val="00CE60A1"/>
    <w:rsid w:val="00CF1FBA"/>
    <w:rsid w:val="00D12F0B"/>
    <w:rsid w:val="00D1566D"/>
    <w:rsid w:val="00D3482F"/>
    <w:rsid w:val="00D50177"/>
    <w:rsid w:val="00D52E40"/>
    <w:rsid w:val="00D60A76"/>
    <w:rsid w:val="00D777C3"/>
    <w:rsid w:val="00D92540"/>
    <w:rsid w:val="00DB1651"/>
    <w:rsid w:val="00DC753C"/>
    <w:rsid w:val="00DE09F8"/>
    <w:rsid w:val="00E1033A"/>
    <w:rsid w:val="00E13616"/>
    <w:rsid w:val="00E6445D"/>
    <w:rsid w:val="00E728AD"/>
    <w:rsid w:val="00E8646E"/>
    <w:rsid w:val="00E919CB"/>
    <w:rsid w:val="00EB62D2"/>
    <w:rsid w:val="00EC096A"/>
    <w:rsid w:val="00EF61CE"/>
    <w:rsid w:val="00F00FBF"/>
    <w:rsid w:val="00F01C62"/>
    <w:rsid w:val="00F105D3"/>
    <w:rsid w:val="00F5429A"/>
    <w:rsid w:val="00F54C17"/>
    <w:rsid w:val="00F9170E"/>
    <w:rsid w:val="00F9237C"/>
    <w:rsid w:val="00F97B31"/>
    <w:rsid w:val="00FA7624"/>
    <w:rsid w:val="00FB0EC8"/>
    <w:rsid w:val="00FB64AB"/>
    <w:rsid w:val="00FF0C97"/>
    <w:rsid w:val="026661F2"/>
    <w:rsid w:val="02AC6928"/>
    <w:rsid w:val="04A568F3"/>
    <w:rsid w:val="04B16362"/>
    <w:rsid w:val="052B3FC2"/>
    <w:rsid w:val="05A45F94"/>
    <w:rsid w:val="06996FDE"/>
    <w:rsid w:val="07FE0A73"/>
    <w:rsid w:val="08C5771C"/>
    <w:rsid w:val="09FE565F"/>
    <w:rsid w:val="0B1508EB"/>
    <w:rsid w:val="0BA50152"/>
    <w:rsid w:val="0C1779C2"/>
    <w:rsid w:val="0D9341EC"/>
    <w:rsid w:val="0D9B08EA"/>
    <w:rsid w:val="0DDF1ECF"/>
    <w:rsid w:val="101B4230"/>
    <w:rsid w:val="132C06ED"/>
    <w:rsid w:val="14B925FA"/>
    <w:rsid w:val="16B7433A"/>
    <w:rsid w:val="1799416A"/>
    <w:rsid w:val="1A315C9A"/>
    <w:rsid w:val="1A4A7ED3"/>
    <w:rsid w:val="1B054143"/>
    <w:rsid w:val="1DE908F7"/>
    <w:rsid w:val="200F7712"/>
    <w:rsid w:val="206F74FF"/>
    <w:rsid w:val="20753775"/>
    <w:rsid w:val="22E65640"/>
    <w:rsid w:val="242933C0"/>
    <w:rsid w:val="2573383C"/>
    <w:rsid w:val="25846C81"/>
    <w:rsid w:val="25A16BBC"/>
    <w:rsid w:val="269940B3"/>
    <w:rsid w:val="27644345"/>
    <w:rsid w:val="278A2D93"/>
    <w:rsid w:val="27A91D58"/>
    <w:rsid w:val="27D643FB"/>
    <w:rsid w:val="28211B57"/>
    <w:rsid w:val="28253B39"/>
    <w:rsid w:val="2A450AA9"/>
    <w:rsid w:val="2ABA5EB5"/>
    <w:rsid w:val="2BBB750F"/>
    <w:rsid w:val="2BE66400"/>
    <w:rsid w:val="2C0A5C1A"/>
    <w:rsid w:val="2D8D38F3"/>
    <w:rsid w:val="2E7A54B9"/>
    <w:rsid w:val="2EDD1974"/>
    <w:rsid w:val="2FC103E1"/>
    <w:rsid w:val="2FF610E7"/>
    <w:rsid w:val="31150E12"/>
    <w:rsid w:val="32286B46"/>
    <w:rsid w:val="33503F4C"/>
    <w:rsid w:val="33D665E2"/>
    <w:rsid w:val="34332557"/>
    <w:rsid w:val="35184EC6"/>
    <w:rsid w:val="390E5CB1"/>
    <w:rsid w:val="395112E5"/>
    <w:rsid w:val="3A26548A"/>
    <w:rsid w:val="3A834993"/>
    <w:rsid w:val="3B643B7B"/>
    <w:rsid w:val="3B9A779F"/>
    <w:rsid w:val="3CD52854"/>
    <w:rsid w:val="3F825149"/>
    <w:rsid w:val="41E60666"/>
    <w:rsid w:val="42D04314"/>
    <w:rsid w:val="43210EE4"/>
    <w:rsid w:val="4364271F"/>
    <w:rsid w:val="43C07D47"/>
    <w:rsid w:val="43D00067"/>
    <w:rsid w:val="44690384"/>
    <w:rsid w:val="45877724"/>
    <w:rsid w:val="45AA5CFC"/>
    <w:rsid w:val="469C0455"/>
    <w:rsid w:val="484E277B"/>
    <w:rsid w:val="4A064ACC"/>
    <w:rsid w:val="4A467386"/>
    <w:rsid w:val="4ACC2FB1"/>
    <w:rsid w:val="4AF56EDE"/>
    <w:rsid w:val="4E357167"/>
    <w:rsid w:val="504F1E42"/>
    <w:rsid w:val="50CD20DB"/>
    <w:rsid w:val="51F579F1"/>
    <w:rsid w:val="526F5772"/>
    <w:rsid w:val="53AF4851"/>
    <w:rsid w:val="53B2071D"/>
    <w:rsid w:val="56102E1E"/>
    <w:rsid w:val="56C66C16"/>
    <w:rsid w:val="57B91A6F"/>
    <w:rsid w:val="58283BE4"/>
    <w:rsid w:val="5A0B2352"/>
    <w:rsid w:val="5B81248F"/>
    <w:rsid w:val="5C617244"/>
    <w:rsid w:val="5E9B0C4B"/>
    <w:rsid w:val="5EA13B94"/>
    <w:rsid w:val="5EFA729C"/>
    <w:rsid w:val="5F6E0956"/>
    <w:rsid w:val="607B3B91"/>
    <w:rsid w:val="61873718"/>
    <w:rsid w:val="62E0626E"/>
    <w:rsid w:val="640C3EFC"/>
    <w:rsid w:val="64565356"/>
    <w:rsid w:val="6522151E"/>
    <w:rsid w:val="663412AA"/>
    <w:rsid w:val="67B2624A"/>
    <w:rsid w:val="67CD03AE"/>
    <w:rsid w:val="67EA09D7"/>
    <w:rsid w:val="69073C5A"/>
    <w:rsid w:val="69C9689E"/>
    <w:rsid w:val="6E345A3C"/>
    <w:rsid w:val="6F694565"/>
    <w:rsid w:val="745D64B7"/>
    <w:rsid w:val="74B80258"/>
    <w:rsid w:val="773C6DAE"/>
    <w:rsid w:val="79C02919"/>
    <w:rsid w:val="7A38545C"/>
    <w:rsid w:val="7C2D7BC9"/>
    <w:rsid w:val="7C8226F6"/>
    <w:rsid w:val="7F3C4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3"/>
    <w:link w:val="23"/>
    <w:qFormat/>
    <w:uiPriority w:val="9"/>
    <w:pPr>
      <w:keepNext/>
      <w:keepLines/>
      <w:numPr>
        <w:ilvl w:val="0"/>
        <w:numId w:val="1"/>
      </w:numPr>
      <w:spacing w:before="340" w:after="330" w:line="460" w:lineRule="exact"/>
      <w:jc w:val="center"/>
      <w:outlineLvl w:val="0"/>
    </w:pPr>
    <w:rPr>
      <w:rFonts w:ascii="Times New Roman" w:hAnsi="Times New Roman" w:eastAsia="黑体"/>
      <w:b/>
      <w:bCs/>
      <w:kern w:val="44"/>
      <w:sz w:val="36"/>
      <w:szCs w:val="44"/>
    </w:rPr>
  </w:style>
  <w:style w:type="paragraph" w:styleId="4">
    <w:name w:val="heading 2"/>
    <w:basedOn w:val="1"/>
    <w:next w:val="3"/>
    <w:link w:val="24"/>
    <w:unhideWhenUsed/>
    <w:qFormat/>
    <w:uiPriority w:val="9"/>
    <w:pPr>
      <w:keepNext/>
      <w:keepLines/>
      <w:numPr>
        <w:ilvl w:val="1"/>
        <w:numId w:val="1"/>
      </w:numPr>
      <w:spacing w:before="260" w:after="260" w:line="460" w:lineRule="exact"/>
      <w:ind w:left="567"/>
      <w:outlineLvl w:val="1"/>
    </w:pPr>
    <w:rPr>
      <w:rFonts w:ascii="Times New Roman" w:hAnsi="Times New Roman" w:eastAsia="黑体" w:cstheme="majorBidi"/>
      <w:b/>
      <w:bCs/>
      <w:sz w:val="28"/>
      <w:szCs w:val="32"/>
    </w:rPr>
  </w:style>
  <w:style w:type="paragraph" w:styleId="5">
    <w:name w:val="heading 3"/>
    <w:basedOn w:val="1"/>
    <w:next w:val="3"/>
    <w:link w:val="25"/>
    <w:unhideWhenUsed/>
    <w:qFormat/>
    <w:uiPriority w:val="9"/>
    <w:pPr>
      <w:keepNext/>
      <w:keepLines/>
      <w:numPr>
        <w:ilvl w:val="2"/>
        <w:numId w:val="1"/>
      </w:numPr>
      <w:spacing w:before="260" w:after="260" w:line="460" w:lineRule="exact"/>
      <w:outlineLvl w:val="2"/>
    </w:pPr>
    <w:rPr>
      <w:rFonts w:ascii="Times New Roman" w:hAnsi="Times New Roman" w:eastAsia="黑体"/>
      <w:b/>
      <w:bCs/>
      <w:sz w:val="24"/>
      <w:szCs w:val="32"/>
    </w:rPr>
  </w:style>
  <w:style w:type="paragraph" w:styleId="6">
    <w:name w:val="heading 4"/>
    <w:basedOn w:val="1"/>
    <w:next w:val="3"/>
    <w:link w:val="26"/>
    <w:unhideWhenUsed/>
    <w:qFormat/>
    <w:uiPriority w:val="9"/>
    <w:pPr>
      <w:keepNext/>
      <w:keepLines/>
      <w:numPr>
        <w:ilvl w:val="3"/>
        <w:numId w:val="1"/>
      </w:numPr>
      <w:spacing w:before="280" w:after="290" w:line="460" w:lineRule="exact"/>
      <w:outlineLvl w:val="3"/>
    </w:pPr>
    <w:rPr>
      <w:rFonts w:ascii="Times New Roman" w:hAnsi="Times New Roman" w:eastAsia="黑体" w:cstheme="majorBidi"/>
      <w:b/>
      <w:bCs/>
      <w:sz w:val="24"/>
      <w:szCs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customStyle="1" w:styleId="3">
    <w:name w:val="正文0"/>
    <w:basedOn w:val="1"/>
    <w:link w:val="22"/>
    <w:qFormat/>
    <w:uiPriority w:val="0"/>
    <w:pPr>
      <w:spacing w:line="360" w:lineRule="auto"/>
      <w:ind w:firstLine="200" w:firstLineChars="200"/>
    </w:pPr>
    <w:rPr>
      <w:rFonts w:ascii="Times New Roman" w:hAnsi="Times New Roman"/>
      <w:sz w:val="24"/>
    </w:r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toc 3"/>
    <w:basedOn w:val="1"/>
    <w:next w:val="1"/>
    <w:unhideWhenUsed/>
    <w:qFormat/>
    <w:uiPriority w:val="39"/>
    <w:pPr>
      <w:ind w:left="840" w:leftChars="400"/>
    </w:pPr>
  </w:style>
  <w:style w:type="paragraph" w:styleId="9">
    <w:name w:val="Date"/>
    <w:basedOn w:val="1"/>
    <w:next w:val="1"/>
    <w:link w:val="49"/>
    <w:unhideWhenUsed/>
    <w:qFormat/>
    <w:uiPriority w:val="99"/>
    <w:pPr>
      <w:ind w:left="100" w:leftChars="2500"/>
    </w:pPr>
    <w:rPr>
      <w:rFonts w:ascii="Times New Roman" w:hAnsi="Times New Roman" w:eastAsia="宋体" w:cs="Times New Roman"/>
      <w:szCs w:val="20"/>
    </w:rPr>
  </w:style>
  <w:style w:type="paragraph" w:styleId="10">
    <w:name w:val="footer"/>
    <w:basedOn w:val="1"/>
    <w:link w:val="38"/>
    <w:unhideWhenUsed/>
    <w:qFormat/>
    <w:uiPriority w:val="99"/>
    <w:pPr>
      <w:tabs>
        <w:tab w:val="center" w:pos="4153"/>
        <w:tab w:val="right" w:pos="8306"/>
      </w:tabs>
      <w:snapToGrid w:val="0"/>
      <w:jc w:val="left"/>
    </w:pPr>
    <w:rPr>
      <w:sz w:val="18"/>
      <w:szCs w:val="18"/>
    </w:rPr>
  </w:style>
  <w:style w:type="paragraph" w:styleId="11">
    <w:name w:val="header"/>
    <w:basedOn w:val="1"/>
    <w:link w:val="37"/>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tabs>
        <w:tab w:val="right" w:leader="dot" w:pos="8296"/>
      </w:tabs>
      <w:spacing w:line="360" w:lineRule="auto"/>
    </w:pPr>
    <w:rPr>
      <w:rFonts w:ascii="Times New Roman" w:hAnsi="Times New Roman" w:cs="Times New Roman" w:eastAsiaTheme="majorEastAsia"/>
      <w:sz w:val="24"/>
      <w:szCs w:val="24"/>
    </w:rPr>
  </w:style>
  <w:style w:type="paragraph" w:styleId="13">
    <w:name w:val="table of figures"/>
    <w:basedOn w:val="1"/>
    <w:next w:val="1"/>
    <w:semiHidden/>
    <w:unhideWhenUsed/>
    <w:qFormat/>
    <w:uiPriority w:val="99"/>
    <w:pPr>
      <w:ind w:left="200" w:leftChars="200" w:hanging="200" w:hangingChars="200"/>
    </w:pPr>
  </w:style>
  <w:style w:type="paragraph" w:styleId="14">
    <w:name w:val="toc 2"/>
    <w:basedOn w:val="1"/>
    <w:next w:val="1"/>
    <w:unhideWhenUsed/>
    <w:qFormat/>
    <w:uiPriority w:val="39"/>
    <w:rPr>
      <w:rFonts w:ascii="Times New Roman" w:hAnsi="Times New Roman" w:eastAsia="宋体" w:cs="Times New Roman"/>
      <w:szCs w:val="20"/>
    </w:rPr>
  </w:style>
  <w:style w:type="paragraph" w:styleId="15">
    <w:name w:val="Title"/>
    <w:basedOn w:val="1"/>
    <w:next w:val="3"/>
    <w:link w:val="27"/>
    <w:qFormat/>
    <w:uiPriority w:val="10"/>
    <w:pPr>
      <w:spacing w:before="240" w:after="60"/>
      <w:jc w:val="center"/>
      <w:outlineLvl w:val="0"/>
    </w:pPr>
    <w:rPr>
      <w:rFonts w:ascii="Times New Roman" w:hAnsi="Times New Roman" w:eastAsia="黑体" w:cstheme="majorBidi"/>
      <w:b/>
      <w:bCs/>
      <w:sz w:val="44"/>
      <w:szCs w:val="32"/>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qFormat/>
    <w:uiPriority w:val="22"/>
    <w:rPr>
      <w:b/>
    </w:rPr>
  </w:style>
  <w:style w:type="character" w:styleId="20">
    <w:name w:val="page number"/>
    <w:basedOn w:val="18"/>
    <w:semiHidden/>
    <w:unhideWhenUsed/>
    <w:qFormat/>
    <w:uiPriority w:val="99"/>
  </w:style>
  <w:style w:type="character" w:styleId="21">
    <w:name w:val="Hyperlink"/>
    <w:basedOn w:val="18"/>
    <w:unhideWhenUsed/>
    <w:qFormat/>
    <w:uiPriority w:val="99"/>
    <w:rPr>
      <w:color w:val="0000FF" w:themeColor="hyperlink"/>
      <w:u w:val="single"/>
      <w14:textFill>
        <w14:solidFill>
          <w14:schemeClr w14:val="hlink"/>
        </w14:solidFill>
      </w14:textFill>
    </w:rPr>
  </w:style>
  <w:style w:type="character" w:customStyle="1" w:styleId="22">
    <w:name w:val="正文0 字符"/>
    <w:basedOn w:val="18"/>
    <w:link w:val="3"/>
    <w:qFormat/>
    <w:uiPriority w:val="0"/>
    <w:rPr>
      <w:rFonts w:ascii="Times New Roman" w:hAnsi="Times New Roman"/>
      <w:sz w:val="24"/>
    </w:rPr>
  </w:style>
  <w:style w:type="character" w:customStyle="1" w:styleId="23">
    <w:name w:val="标题 1 字符"/>
    <w:basedOn w:val="18"/>
    <w:link w:val="2"/>
    <w:qFormat/>
    <w:uiPriority w:val="9"/>
    <w:rPr>
      <w:rFonts w:ascii="Times New Roman" w:hAnsi="Times New Roman" w:eastAsia="黑体"/>
      <w:b/>
      <w:bCs/>
      <w:kern w:val="44"/>
      <w:sz w:val="36"/>
      <w:szCs w:val="44"/>
    </w:rPr>
  </w:style>
  <w:style w:type="character" w:customStyle="1" w:styleId="24">
    <w:name w:val="标题 2 字符"/>
    <w:basedOn w:val="18"/>
    <w:link w:val="4"/>
    <w:qFormat/>
    <w:uiPriority w:val="9"/>
    <w:rPr>
      <w:rFonts w:ascii="Times New Roman" w:hAnsi="Times New Roman" w:eastAsia="黑体" w:cstheme="majorBidi"/>
      <w:b/>
      <w:bCs/>
      <w:kern w:val="2"/>
      <w:sz w:val="28"/>
      <w:szCs w:val="32"/>
    </w:rPr>
  </w:style>
  <w:style w:type="character" w:customStyle="1" w:styleId="25">
    <w:name w:val="标题 3 字符"/>
    <w:basedOn w:val="18"/>
    <w:link w:val="5"/>
    <w:qFormat/>
    <w:uiPriority w:val="9"/>
    <w:rPr>
      <w:rFonts w:ascii="Times New Roman" w:hAnsi="Times New Roman" w:eastAsia="黑体"/>
      <w:b/>
      <w:bCs/>
      <w:kern w:val="2"/>
      <w:sz w:val="24"/>
      <w:szCs w:val="32"/>
    </w:rPr>
  </w:style>
  <w:style w:type="character" w:customStyle="1" w:styleId="26">
    <w:name w:val="标题 4 字符"/>
    <w:basedOn w:val="18"/>
    <w:link w:val="6"/>
    <w:qFormat/>
    <w:uiPriority w:val="9"/>
    <w:rPr>
      <w:rFonts w:ascii="Times New Roman" w:hAnsi="Times New Roman" w:eastAsia="黑体" w:cstheme="majorBidi"/>
      <w:b/>
      <w:bCs/>
      <w:kern w:val="2"/>
      <w:sz w:val="24"/>
      <w:szCs w:val="28"/>
    </w:rPr>
  </w:style>
  <w:style w:type="character" w:customStyle="1" w:styleId="27">
    <w:name w:val="标题 字符"/>
    <w:basedOn w:val="18"/>
    <w:link w:val="15"/>
    <w:qFormat/>
    <w:uiPriority w:val="10"/>
    <w:rPr>
      <w:rFonts w:ascii="Times New Roman" w:hAnsi="Times New Roman" w:eastAsia="黑体" w:cstheme="majorBidi"/>
      <w:b/>
      <w:bCs/>
      <w:sz w:val="44"/>
      <w:szCs w:val="32"/>
    </w:rPr>
  </w:style>
  <w:style w:type="paragraph" w:customStyle="1" w:styleId="28">
    <w:name w:val="表标题"/>
    <w:basedOn w:val="1"/>
    <w:next w:val="1"/>
    <w:link w:val="29"/>
    <w:qFormat/>
    <w:uiPriority w:val="0"/>
    <w:pPr>
      <w:jc w:val="center"/>
    </w:pPr>
    <w:rPr>
      <w:rFonts w:ascii="Times New Roman" w:hAnsi="Times New Roman" w:eastAsia="黑体"/>
      <w:sz w:val="24"/>
    </w:rPr>
  </w:style>
  <w:style w:type="character" w:customStyle="1" w:styleId="29">
    <w:name w:val="表标题 字符"/>
    <w:basedOn w:val="18"/>
    <w:link w:val="28"/>
    <w:qFormat/>
    <w:uiPriority w:val="0"/>
    <w:rPr>
      <w:rFonts w:ascii="Times New Roman" w:hAnsi="Times New Roman" w:eastAsia="黑体"/>
      <w:sz w:val="24"/>
    </w:rPr>
  </w:style>
  <w:style w:type="paragraph" w:customStyle="1" w:styleId="30">
    <w:name w:val="表内容"/>
    <w:basedOn w:val="1"/>
    <w:next w:val="1"/>
    <w:link w:val="31"/>
    <w:qFormat/>
    <w:uiPriority w:val="0"/>
    <w:rPr>
      <w:rFonts w:ascii="Times New Roman" w:hAnsi="Times New Roman"/>
    </w:rPr>
  </w:style>
  <w:style w:type="character" w:customStyle="1" w:styleId="31">
    <w:name w:val="表内容 字符"/>
    <w:basedOn w:val="18"/>
    <w:link w:val="30"/>
    <w:qFormat/>
    <w:uiPriority w:val="0"/>
    <w:rPr>
      <w:rFonts w:ascii="Times New Roman" w:hAnsi="Times New Roman"/>
    </w:rPr>
  </w:style>
  <w:style w:type="paragraph" w:customStyle="1" w:styleId="32">
    <w:name w:val="图表标题"/>
    <w:basedOn w:val="1"/>
    <w:next w:val="1"/>
    <w:link w:val="33"/>
    <w:qFormat/>
    <w:uiPriority w:val="0"/>
    <w:pPr>
      <w:jc w:val="center"/>
    </w:pPr>
    <w:rPr>
      <w:rFonts w:ascii="Times New Roman" w:hAnsi="Times New Roman" w:eastAsia="黑体"/>
      <w:sz w:val="24"/>
    </w:rPr>
  </w:style>
  <w:style w:type="character" w:customStyle="1" w:styleId="33">
    <w:name w:val="图表标题 字符"/>
    <w:basedOn w:val="18"/>
    <w:link w:val="32"/>
    <w:qFormat/>
    <w:uiPriority w:val="0"/>
    <w:rPr>
      <w:rFonts w:ascii="Times New Roman" w:hAnsi="Times New Roman" w:eastAsia="黑体"/>
      <w:sz w:val="24"/>
    </w:rPr>
  </w:style>
  <w:style w:type="paragraph" w:customStyle="1" w:styleId="34">
    <w:name w:val="参考文献"/>
    <w:basedOn w:val="1"/>
    <w:next w:val="3"/>
    <w:qFormat/>
    <w:uiPriority w:val="0"/>
    <w:pPr>
      <w:jc w:val="center"/>
    </w:pPr>
    <w:rPr>
      <w:rFonts w:ascii="Times New Roman" w:hAnsi="Times New Roman" w:eastAsia="黑体"/>
      <w:b/>
      <w:sz w:val="36"/>
    </w:rPr>
  </w:style>
  <w:style w:type="paragraph" w:customStyle="1" w:styleId="35">
    <w:name w:val="参考文献&amp;附录"/>
    <w:basedOn w:val="1"/>
    <w:next w:val="3"/>
    <w:link w:val="36"/>
    <w:qFormat/>
    <w:uiPriority w:val="0"/>
    <w:pPr>
      <w:jc w:val="center"/>
    </w:pPr>
    <w:rPr>
      <w:rFonts w:ascii="Times New Roman" w:hAnsi="Times New Roman" w:eastAsia="黑体"/>
      <w:b/>
      <w:sz w:val="36"/>
    </w:rPr>
  </w:style>
  <w:style w:type="character" w:customStyle="1" w:styleId="36">
    <w:name w:val="参考文献&amp;附录 字符"/>
    <w:basedOn w:val="18"/>
    <w:link w:val="35"/>
    <w:qFormat/>
    <w:uiPriority w:val="0"/>
    <w:rPr>
      <w:rFonts w:ascii="Times New Roman" w:hAnsi="Times New Roman" w:eastAsia="黑体"/>
      <w:b/>
      <w:sz w:val="36"/>
    </w:rPr>
  </w:style>
  <w:style w:type="character" w:customStyle="1" w:styleId="37">
    <w:name w:val="页眉 字符"/>
    <w:basedOn w:val="18"/>
    <w:link w:val="11"/>
    <w:qFormat/>
    <w:uiPriority w:val="99"/>
    <w:rPr>
      <w:sz w:val="18"/>
      <w:szCs w:val="18"/>
    </w:rPr>
  </w:style>
  <w:style w:type="character" w:customStyle="1" w:styleId="38">
    <w:name w:val="页脚 字符"/>
    <w:basedOn w:val="18"/>
    <w:link w:val="10"/>
    <w:qFormat/>
    <w:uiPriority w:val="99"/>
    <w:rPr>
      <w:sz w:val="18"/>
      <w:szCs w:val="18"/>
    </w:rPr>
  </w:style>
  <w:style w:type="paragraph" w:styleId="39">
    <w:name w:val="No Spacing"/>
    <w:link w:val="40"/>
    <w:qFormat/>
    <w:uiPriority w:val="1"/>
    <w:pPr>
      <w:widowControl w:val="0"/>
      <w:jc w:val="both"/>
    </w:pPr>
    <w:rPr>
      <w:rFonts w:asciiTheme="minorHAnsi" w:hAnsiTheme="minorHAnsi" w:eastAsiaTheme="minorEastAsia" w:cstheme="minorBidi"/>
      <w:kern w:val="2"/>
      <w:sz w:val="21"/>
      <w:szCs w:val="21"/>
      <w:lang w:val="en-US" w:eastAsia="zh-CN" w:bidi="ar-SA"/>
    </w:rPr>
  </w:style>
  <w:style w:type="character" w:customStyle="1" w:styleId="40">
    <w:name w:val="无间隔 字符"/>
    <w:link w:val="39"/>
    <w:qFormat/>
    <w:uiPriority w:val="1"/>
  </w:style>
  <w:style w:type="paragraph" w:customStyle="1" w:styleId="41">
    <w:name w:val="摘要"/>
    <w:basedOn w:val="1"/>
    <w:next w:val="3"/>
    <w:link w:val="42"/>
    <w:qFormat/>
    <w:uiPriority w:val="0"/>
    <w:pPr>
      <w:jc w:val="center"/>
    </w:pPr>
    <w:rPr>
      <w:rFonts w:ascii="Times New Roman" w:hAnsi="Times New Roman" w:eastAsia="黑体"/>
      <w:b/>
      <w:sz w:val="36"/>
    </w:rPr>
  </w:style>
  <w:style w:type="character" w:customStyle="1" w:styleId="42">
    <w:name w:val="摘要 字符"/>
    <w:basedOn w:val="22"/>
    <w:link w:val="41"/>
    <w:qFormat/>
    <w:uiPriority w:val="0"/>
    <w:rPr>
      <w:rFonts w:ascii="Times New Roman" w:hAnsi="Times New Roman" w:eastAsia="黑体"/>
      <w:b/>
      <w:sz w:val="36"/>
    </w:rPr>
  </w:style>
  <w:style w:type="paragraph" w:customStyle="1" w:styleId="43">
    <w:name w:val="关键词"/>
    <w:basedOn w:val="1"/>
    <w:next w:val="3"/>
    <w:link w:val="44"/>
    <w:qFormat/>
    <w:uiPriority w:val="0"/>
    <w:rPr>
      <w:rFonts w:ascii="Times New Roman" w:hAnsi="Times New Roman" w:eastAsia="黑体"/>
      <w:b/>
      <w:sz w:val="28"/>
    </w:rPr>
  </w:style>
  <w:style w:type="character" w:customStyle="1" w:styleId="44">
    <w:name w:val="关键词 字符"/>
    <w:basedOn w:val="18"/>
    <w:link w:val="43"/>
    <w:qFormat/>
    <w:uiPriority w:val="0"/>
    <w:rPr>
      <w:rFonts w:ascii="Times New Roman" w:hAnsi="Times New Roman" w:eastAsia="黑体"/>
      <w:b/>
      <w:sz w:val="28"/>
    </w:rPr>
  </w:style>
  <w:style w:type="paragraph" w:customStyle="1" w:styleId="45">
    <w:name w:val="TOC 标题1"/>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46">
    <w:name w:val="MTEquationSection"/>
    <w:qFormat/>
    <w:uiPriority w:val="0"/>
    <w:rPr>
      <w:rFonts w:ascii="黑体" w:hAnsi="黑体" w:eastAsia="黑体"/>
      <w:bCs/>
      <w:color w:val="FF0000"/>
      <w:sz w:val="32"/>
      <w:szCs w:val="32"/>
    </w:rPr>
  </w:style>
  <w:style w:type="paragraph" w:customStyle="1" w:styleId="47">
    <w:name w:val="MTDisplayEquation"/>
    <w:basedOn w:val="1"/>
    <w:next w:val="1"/>
    <w:link w:val="48"/>
    <w:qFormat/>
    <w:uiPriority w:val="0"/>
    <w:pPr>
      <w:tabs>
        <w:tab w:val="center" w:pos="4160"/>
        <w:tab w:val="right" w:pos="8300"/>
      </w:tabs>
      <w:spacing w:line="360" w:lineRule="auto"/>
      <w:ind w:firstLine="420"/>
    </w:pPr>
    <w:rPr>
      <w:rFonts w:ascii="Times New Roman" w:hAnsi="Times New Roman" w:eastAsia="宋体" w:cs="Times New Roman"/>
      <w:bCs/>
      <w:sz w:val="24"/>
      <w:szCs w:val="24"/>
    </w:rPr>
  </w:style>
  <w:style w:type="character" w:customStyle="1" w:styleId="48">
    <w:name w:val="MTDisplayEquation 字符"/>
    <w:link w:val="47"/>
    <w:qFormat/>
    <w:uiPriority w:val="0"/>
    <w:rPr>
      <w:rFonts w:ascii="Times New Roman" w:hAnsi="Times New Roman" w:eastAsia="宋体" w:cs="Times New Roman"/>
      <w:bCs/>
      <w:sz w:val="24"/>
      <w:szCs w:val="24"/>
    </w:rPr>
  </w:style>
  <w:style w:type="character" w:customStyle="1" w:styleId="49">
    <w:name w:val="日期 字符"/>
    <w:basedOn w:val="18"/>
    <w:link w:val="9"/>
    <w:qFormat/>
    <w:uiPriority w:val="99"/>
    <w:rPr>
      <w:rFonts w:ascii="Times New Roman" w:hAnsi="Times New Roman" w:eastAsia="宋体" w:cs="Times New Roman"/>
      <w:szCs w:val="20"/>
    </w:rPr>
  </w:style>
  <w:style w:type="paragraph" w:customStyle="1" w:styleId="50">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51">
    <w:name w:val="普通(网站)1"/>
    <w:basedOn w:val="1"/>
    <w:qFormat/>
    <w:uiPriority w:val="0"/>
    <w:pPr>
      <w:spacing w:before="100" w:beforeAutospacing="1" w:after="100" w:afterAutospacing="1"/>
      <w:jc w:val="left"/>
    </w:pPr>
    <w:rPr>
      <w:rFonts w:ascii="Times New Roman" w:hAnsi="Times New Roman" w:eastAsia="宋体" w:cs="Times New Roman"/>
      <w:kern w:val="0"/>
      <w:sz w:val="24"/>
      <w:szCs w:val="20"/>
    </w:rPr>
  </w:style>
  <w:style w:type="character" w:customStyle="1" w:styleId="52">
    <w:name w:val="font51"/>
    <w:basedOn w:val="18"/>
    <w:qFormat/>
    <w:uiPriority w:val="0"/>
    <w:rPr>
      <w:rFonts w:hint="default" w:ascii="Times New Roman" w:hAnsi="Times New Roman" w:cs="Times New Roman"/>
      <w:color w:val="000000"/>
      <w:sz w:val="24"/>
      <w:szCs w:val="24"/>
      <w:u w:val="none"/>
    </w:rPr>
  </w:style>
  <w:style w:type="paragraph" w:customStyle="1" w:styleId="53">
    <w:name w:val="TOC 标题2"/>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41.emf"/><Relationship Id="rId98" Type="http://schemas.openxmlformats.org/officeDocument/2006/relationships/image" Target="media/image40.wmf"/><Relationship Id="rId97" Type="http://schemas.openxmlformats.org/officeDocument/2006/relationships/oleObject" Target="embeddings/oleObject40.bin"/><Relationship Id="rId96" Type="http://schemas.openxmlformats.org/officeDocument/2006/relationships/oleObject" Target="embeddings/oleObject39.bin"/><Relationship Id="rId95" Type="http://schemas.openxmlformats.org/officeDocument/2006/relationships/image" Target="media/image39.wmf"/><Relationship Id="rId94" Type="http://schemas.openxmlformats.org/officeDocument/2006/relationships/oleObject" Target="embeddings/oleObject38.bin"/><Relationship Id="rId93" Type="http://schemas.openxmlformats.org/officeDocument/2006/relationships/image" Target="media/image38.wmf"/><Relationship Id="rId92" Type="http://schemas.openxmlformats.org/officeDocument/2006/relationships/oleObject" Target="embeddings/oleObject37.bin"/><Relationship Id="rId91" Type="http://schemas.openxmlformats.org/officeDocument/2006/relationships/image" Target="media/image37.wmf"/><Relationship Id="rId90" Type="http://schemas.openxmlformats.org/officeDocument/2006/relationships/oleObject" Target="embeddings/oleObject36.bin"/><Relationship Id="rId9" Type="http://schemas.openxmlformats.org/officeDocument/2006/relationships/footer" Target="footer4.xml"/><Relationship Id="rId89" Type="http://schemas.openxmlformats.org/officeDocument/2006/relationships/image" Target="media/image36.wmf"/><Relationship Id="rId88" Type="http://schemas.openxmlformats.org/officeDocument/2006/relationships/oleObject" Target="embeddings/oleObject35.bin"/><Relationship Id="rId87" Type="http://schemas.openxmlformats.org/officeDocument/2006/relationships/image" Target="media/image35.wmf"/><Relationship Id="rId86" Type="http://schemas.openxmlformats.org/officeDocument/2006/relationships/oleObject" Target="embeddings/oleObject34.bin"/><Relationship Id="rId85" Type="http://schemas.openxmlformats.org/officeDocument/2006/relationships/image" Target="media/image34.wmf"/><Relationship Id="rId84" Type="http://schemas.openxmlformats.org/officeDocument/2006/relationships/oleObject" Target="embeddings/oleObject33.bin"/><Relationship Id="rId83" Type="http://schemas.openxmlformats.org/officeDocument/2006/relationships/image" Target="media/image33.wmf"/><Relationship Id="rId82" Type="http://schemas.openxmlformats.org/officeDocument/2006/relationships/oleObject" Target="embeddings/oleObject32.bin"/><Relationship Id="rId81" Type="http://schemas.openxmlformats.org/officeDocument/2006/relationships/image" Target="media/image32.wmf"/><Relationship Id="rId80" Type="http://schemas.openxmlformats.org/officeDocument/2006/relationships/oleObject" Target="embeddings/oleObject31.bin"/><Relationship Id="rId8" Type="http://schemas.openxmlformats.org/officeDocument/2006/relationships/footer" Target="footer3.xml"/><Relationship Id="rId79" Type="http://schemas.openxmlformats.org/officeDocument/2006/relationships/image" Target="media/image31.wmf"/><Relationship Id="rId78" Type="http://schemas.openxmlformats.org/officeDocument/2006/relationships/oleObject" Target="embeddings/oleObject30.bin"/><Relationship Id="rId77" Type="http://schemas.openxmlformats.org/officeDocument/2006/relationships/image" Target="media/image30.wmf"/><Relationship Id="rId76" Type="http://schemas.openxmlformats.org/officeDocument/2006/relationships/oleObject" Target="embeddings/oleObject29.bin"/><Relationship Id="rId75" Type="http://schemas.openxmlformats.org/officeDocument/2006/relationships/image" Target="media/image29.wmf"/><Relationship Id="rId74" Type="http://schemas.openxmlformats.org/officeDocument/2006/relationships/oleObject" Target="embeddings/oleObject28.bin"/><Relationship Id="rId73" Type="http://schemas.openxmlformats.org/officeDocument/2006/relationships/image" Target="media/image28.wmf"/><Relationship Id="rId72" Type="http://schemas.openxmlformats.org/officeDocument/2006/relationships/oleObject" Target="embeddings/oleObject27.bin"/><Relationship Id="rId71" Type="http://schemas.openxmlformats.org/officeDocument/2006/relationships/oleObject" Target="embeddings/oleObject26.bin"/><Relationship Id="rId70" Type="http://schemas.openxmlformats.org/officeDocument/2006/relationships/image" Target="media/image27.wmf"/><Relationship Id="rId7" Type="http://schemas.openxmlformats.org/officeDocument/2006/relationships/header" Target="header3.xml"/><Relationship Id="rId69" Type="http://schemas.openxmlformats.org/officeDocument/2006/relationships/oleObject" Target="embeddings/oleObject25.bin"/><Relationship Id="rId68" Type="http://schemas.openxmlformats.org/officeDocument/2006/relationships/image" Target="media/image26.wmf"/><Relationship Id="rId67" Type="http://schemas.openxmlformats.org/officeDocument/2006/relationships/oleObject" Target="embeddings/oleObject24.bin"/><Relationship Id="rId66" Type="http://schemas.openxmlformats.org/officeDocument/2006/relationships/image" Target="media/image25.wmf"/><Relationship Id="rId65" Type="http://schemas.openxmlformats.org/officeDocument/2006/relationships/oleObject" Target="embeddings/oleObject23.bin"/><Relationship Id="rId64" Type="http://schemas.openxmlformats.org/officeDocument/2006/relationships/image" Target="media/image24.wmf"/><Relationship Id="rId63" Type="http://schemas.openxmlformats.org/officeDocument/2006/relationships/oleObject" Target="embeddings/oleObject22.bin"/><Relationship Id="rId62" Type="http://schemas.openxmlformats.org/officeDocument/2006/relationships/image" Target="media/image23.wmf"/><Relationship Id="rId61" Type="http://schemas.openxmlformats.org/officeDocument/2006/relationships/oleObject" Target="embeddings/oleObject21.bin"/><Relationship Id="rId60" Type="http://schemas.openxmlformats.org/officeDocument/2006/relationships/image" Target="media/image22.wmf"/><Relationship Id="rId6" Type="http://schemas.openxmlformats.org/officeDocument/2006/relationships/footer" Target="footer2.xml"/><Relationship Id="rId59" Type="http://schemas.openxmlformats.org/officeDocument/2006/relationships/oleObject" Target="embeddings/oleObject20.bin"/><Relationship Id="rId58" Type="http://schemas.openxmlformats.org/officeDocument/2006/relationships/image" Target="media/image21.wmf"/><Relationship Id="rId57" Type="http://schemas.openxmlformats.org/officeDocument/2006/relationships/oleObject" Target="embeddings/oleObject19.bin"/><Relationship Id="rId56" Type="http://schemas.openxmlformats.org/officeDocument/2006/relationships/image" Target="media/image20.wmf"/><Relationship Id="rId55" Type="http://schemas.openxmlformats.org/officeDocument/2006/relationships/oleObject" Target="embeddings/oleObject18.bin"/><Relationship Id="rId54" Type="http://schemas.openxmlformats.org/officeDocument/2006/relationships/image" Target="media/image19.wmf"/><Relationship Id="rId53" Type="http://schemas.openxmlformats.org/officeDocument/2006/relationships/oleObject" Target="embeddings/oleObject17.bin"/><Relationship Id="rId52" Type="http://schemas.openxmlformats.org/officeDocument/2006/relationships/image" Target="media/image18.wmf"/><Relationship Id="rId51" Type="http://schemas.openxmlformats.org/officeDocument/2006/relationships/oleObject" Target="embeddings/oleObject16.bin"/><Relationship Id="rId50" Type="http://schemas.openxmlformats.org/officeDocument/2006/relationships/image" Target="media/image17.wmf"/><Relationship Id="rId5" Type="http://schemas.openxmlformats.org/officeDocument/2006/relationships/footer" Target="footer1.xml"/><Relationship Id="rId49" Type="http://schemas.openxmlformats.org/officeDocument/2006/relationships/oleObject" Target="embeddings/oleObject15.bin"/><Relationship Id="rId48" Type="http://schemas.openxmlformats.org/officeDocument/2006/relationships/image" Target="media/image16.wmf"/><Relationship Id="rId47" Type="http://schemas.openxmlformats.org/officeDocument/2006/relationships/oleObject" Target="embeddings/oleObject14.bin"/><Relationship Id="rId46" Type="http://schemas.openxmlformats.org/officeDocument/2006/relationships/image" Target="media/image15.wmf"/><Relationship Id="rId45" Type="http://schemas.openxmlformats.org/officeDocument/2006/relationships/oleObject" Target="embeddings/oleObject13.bin"/><Relationship Id="rId44" Type="http://schemas.openxmlformats.org/officeDocument/2006/relationships/image" Target="media/image14.wmf"/><Relationship Id="rId43" Type="http://schemas.openxmlformats.org/officeDocument/2006/relationships/oleObject" Target="embeddings/oleObject12.bin"/><Relationship Id="rId42" Type="http://schemas.openxmlformats.org/officeDocument/2006/relationships/image" Target="media/image13.wmf"/><Relationship Id="rId41" Type="http://schemas.openxmlformats.org/officeDocument/2006/relationships/oleObject" Target="embeddings/oleObject11.bin"/><Relationship Id="rId40" Type="http://schemas.openxmlformats.org/officeDocument/2006/relationships/image" Target="media/image12.wmf"/><Relationship Id="rId4" Type="http://schemas.openxmlformats.org/officeDocument/2006/relationships/header" Target="header2.xml"/><Relationship Id="rId39" Type="http://schemas.openxmlformats.org/officeDocument/2006/relationships/oleObject" Target="embeddings/oleObject10.bin"/><Relationship Id="rId38" Type="http://schemas.openxmlformats.org/officeDocument/2006/relationships/image" Target="media/image11.wmf"/><Relationship Id="rId37" Type="http://schemas.openxmlformats.org/officeDocument/2006/relationships/oleObject" Target="embeddings/oleObject9.bin"/><Relationship Id="rId36" Type="http://schemas.openxmlformats.org/officeDocument/2006/relationships/image" Target="media/image10.wmf"/><Relationship Id="rId35" Type="http://schemas.openxmlformats.org/officeDocument/2006/relationships/oleObject" Target="embeddings/oleObject8.bin"/><Relationship Id="rId34" Type="http://schemas.openxmlformats.org/officeDocument/2006/relationships/image" Target="media/image9.wmf"/><Relationship Id="rId33" Type="http://schemas.openxmlformats.org/officeDocument/2006/relationships/oleObject" Target="embeddings/oleObject7.bin"/><Relationship Id="rId32" Type="http://schemas.openxmlformats.org/officeDocument/2006/relationships/image" Target="media/image8.wmf"/><Relationship Id="rId31" Type="http://schemas.openxmlformats.org/officeDocument/2006/relationships/oleObject" Target="embeddings/oleObject6.bin"/><Relationship Id="rId30" Type="http://schemas.openxmlformats.org/officeDocument/2006/relationships/image" Target="media/image7.w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6.wmf"/><Relationship Id="rId27" Type="http://schemas.openxmlformats.org/officeDocument/2006/relationships/oleObject" Target="embeddings/oleObject4.bin"/><Relationship Id="rId26" Type="http://schemas.openxmlformats.org/officeDocument/2006/relationships/image" Target="media/image5.wmf"/><Relationship Id="rId25" Type="http://schemas.openxmlformats.org/officeDocument/2006/relationships/oleObject" Target="embeddings/oleObject3.bin"/><Relationship Id="rId24" Type="http://schemas.openxmlformats.org/officeDocument/2006/relationships/image" Target="media/image4.wmf"/><Relationship Id="rId23" Type="http://schemas.openxmlformats.org/officeDocument/2006/relationships/oleObject" Target="embeddings/oleObject2.bin"/><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header" Target="header6.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7" Type="http://schemas.openxmlformats.org/officeDocument/2006/relationships/fontTable" Target="fontTable.xml"/><Relationship Id="rId106" Type="http://schemas.openxmlformats.org/officeDocument/2006/relationships/customXml" Target="../customXml/item2.xml"/><Relationship Id="rId105" Type="http://schemas.openxmlformats.org/officeDocument/2006/relationships/numbering" Target="numbering.xml"/><Relationship Id="rId104" Type="http://schemas.openxmlformats.org/officeDocument/2006/relationships/customXml" Target="../customXml/item1.xml"/><Relationship Id="rId103" Type="http://schemas.openxmlformats.org/officeDocument/2006/relationships/image" Target="media/image45.png"/><Relationship Id="rId102" Type="http://schemas.openxmlformats.org/officeDocument/2006/relationships/image" Target="media/image44.png"/><Relationship Id="rId101" Type="http://schemas.openxmlformats.org/officeDocument/2006/relationships/image" Target="media/image43.emf"/><Relationship Id="rId100" Type="http://schemas.openxmlformats.org/officeDocument/2006/relationships/image" Target="media/image42.emf"/><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7E5C61-30A1-4238-B8E9-631BE7B2350D}">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16389</Words>
  <Characters>24675</Characters>
  <Lines>225</Lines>
  <Paragraphs>63</Paragraphs>
  <TotalTime>1</TotalTime>
  <ScaleCrop>false</ScaleCrop>
  <LinksUpToDate>false</LinksUpToDate>
  <CharactersWithSpaces>25372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2022-05-23T07:57:00Z</dcterms:created>
  <dc:creator>lenovo</dc:creator>
  <cp:lastModifiedBy>   penetrAte</cp:lastModifiedBy>
  <cp:lastPrinted>2022-05-25T15:49:00Z</cp:lastPrinted>
  <dcterms:modified xsi:type="dcterms:W3CDTF">2022-06-14T02:14:54Z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AB1FB0A95D594368AC3AECDCCFC39D61</vt:lpwstr>
  </property>
  <property fmtid="{D5CDD505-2E9C-101B-9397-08002B2CF9AE}" pid="4" name="MTWinEqns">
    <vt:bool>true</vt:bool>
  </property>
  <property fmtid="{D5CDD505-2E9C-101B-9397-08002B2CF9AE}" pid="5" name="MTEquationNumber2">
    <vt:lpwstr>(#S1-#E1)</vt:lpwstr>
  </property>
  <property fmtid="{D5CDD505-2E9C-101B-9397-08002B2CF9AE}" pid="6" name="MTCustomEquationNumber">
    <vt:lpwstr>1</vt:lpwstr>
  </property>
  <property fmtid="{D5CDD505-2E9C-101B-9397-08002B2CF9AE}" pid="7" name="MTEquationSection">
    <vt:lpwstr>1</vt:lpwstr>
  </property>
</Properties>
</file>